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E6B6C" w14:textId="38CC7182" w:rsidR="006478E7" w:rsidRPr="00490FBB" w:rsidRDefault="006478E7" w:rsidP="00481D74">
      <w:pPr>
        <w:pStyle w:val="Guidelinescross-ref"/>
      </w:pPr>
    </w:p>
    <w:p w14:paraId="50B6D781" w14:textId="493EAF82" w:rsidR="006478E7" w:rsidRPr="000C5DD2" w:rsidRDefault="00BB0FFB" w:rsidP="00BB0FFB">
      <w:pPr>
        <w:pStyle w:val="Heading10"/>
        <w:spacing w:before="2880"/>
        <w:jc w:val="center"/>
        <w:rPr>
          <w:sz w:val="48"/>
          <w:szCs w:val="48"/>
          <w:lang w:val="en-AU"/>
        </w:rPr>
      </w:pPr>
      <w:r w:rsidRPr="000C5DD2">
        <w:rPr>
          <w:sz w:val="48"/>
          <w:szCs w:val="48"/>
          <w:lang w:val="en-AU"/>
        </w:rPr>
        <w:t xml:space="preserve">MSAC </w:t>
      </w:r>
      <w:r w:rsidR="006478E7" w:rsidRPr="000C5DD2">
        <w:rPr>
          <w:sz w:val="48"/>
          <w:szCs w:val="48"/>
          <w:lang w:val="en-AU"/>
        </w:rPr>
        <w:t xml:space="preserve">Application </w:t>
      </w:r>
      <w:r w:rsidR="00B9270C" w:rsidRPr="000C5DD2">
        <w:rPr>
          <w:sz w:val="48"/>
          <w:szCs w:val="48"/>
          <w:lang w:val="en-AU"/>
        </w:rPr>
        <w:t>1806</w:t>
      </w:r>
    </w:p>
    <w:p w14:paraId="164B8A6F" w14:textId="308B6A18" w:rsidR="005E3CD8" w:rsidRDefault="005E3CD8" w:rsidP="00BB0FFB">
      <w:pPr>
        <w:pStyle w:val="Heading1"/>
        <w:rPr>
          <w:color w:val="548DD4"/>
          <w:sz w:val="48"/>
          <w:szCs w:val="48"/>
        </w:rPr>
      </w:pPr>
      <w:r w:rsidRPr="005E3CD8">
        <w:rPr>
          <w:color w:val="548DD4"/>
          <w:sz w:val="48"/>
          <w:szCs w:val="48"/>
        </w:rPr>
        <w:t xml:space="preserve">Marstacimab for </w:t>
      </w:r>
      <w:r w:rsidR="00467A7D">
        <w:rPr>
          <w:color w:val="548DD4"/>
          <w:sz w:val="48"/>
          <w:szCs w:val="48"/>
        </w:rPr>
        <w:t xml:space="preserve">routine prophylaxis to </w:t>
      </w:r>
      <w:r w:rsidRPr="005E3CD8">
        <w:rPr>
          <w:color w:val="548DD4"/>
          <w:sz w:val="48"/>
          <w:szCs w:val="48"/>
        </w:rPr>
        <w:t xml:space="preserve">prevent bleeding in </w:t>
      </w:r>
      <w:r w:rsidR="00467A7D">
        <w:rPr>
          <w:color w:val="548DD4"/>
          <w:sz w:val="48"/>
          <w:szCs w:val="48"/>
        </w:rPr>
        <w:t xml:space="preserve">patients with </w:t>
      </w:r>
      <w:r w:rsidRPr="005E3CD8">
        <w:rPr>
          <w:color w:val="548DD4"/>
          <w:sz w:val="48"/>
          <w:szCs w:val="48"/>
        </w:rPr>
        <w:t>haemophilia</w:t>
      </w:r>
      <w:r w:rsidR="009122CA">
        <w:rPr>
          <w:color w:val="548DD4"/>
          <w:sz w:val="48"/>
          <w:szCs w:val="48"/>
        </w:rPr>
        <w:t xml:space="preserve"> </w:t>
      </w:r>
    </w:p>
    <w:p w14:paraId="2C0553B2" w14:textId="77777777" w:rsidR="00A414C0" w:rsidRDefault="00A414C0" w:rsidP="00A414C0">
      <w:pPr>
        <w:rPr>
          <w:lang w:val="en-US" w:eastAsia="en-AU"/>
        </w:rPr>
      </w:pPr>
    </w:p>
    <w:p w14:paraId="29F9B9DE" w14:textId="0C9DE88D" w:rsidR="0051648A" w:rsidRPr="00275247" w:rsidRDefault="0051648A" w:rsidP="0051648A">
      <w:pPr>
        <w:pStyle w:val="Heading10"/>
        <w:jc w:val="center"/>
        <w:rPr>
          <w:sz w:val="40"/>
          <w:szCs w:val="40"/>
        </w:rPr>
      </w:pPr>
      <w:r w:rsidRPr="752DF2B2">
        <w:rPr>
          <w:color w:val="548DD4"/>
          <w:sz w:val="40"/>
          <w:szCs w:val="40"/>
        </w:rPr>
        <w:t xml:space="preserve">Applicant: </w:t>
      </w:r>
      <w:r w:rsidR="00D83467" w:rsidRPr="00D83467">
        <w:rPr>
          <w:color w:val="548DD4"/>
          <w:sz w:val="40"/>
          <w:szCs w:val="40"/>
        </w:rPr>
        <w:t>Pfizer Australia Pty Ltd</w:t>
      </w:r>
    </w:p>
    <w:p w14:paraId="0DB1C615" w14:textId="77777777" w:rsidR="00A414C0" w:rsidRPr="000E6BFB" w:rsidRDefault="00A414C0" w:rsidP="000E6BFB">
      <w:pPr>
        <w:rPr>
          <w:lang w:val="en-US" w:eastAsia="en-AU"/>
        </w:rPr>
      </w:pPr>
    </w:p>
    <w:p w14:paraId="23900CA0" w14:textId="64D4D63B" w:rsidR="006478E7" w:rsidRPr="000C5DD2" w:rsidRDefault="006478E7" w:rsidP="00BB0FFB">
      <w:pPr>
        <w:pStyle w:val="Heading1"/>
        <w:rPr>
          <w:lang w:val="en-AU"/>
        </w:rPr>
      </w:pPr>
      <w:r w:rsidRPr="000C5DD2">
        <w:rPr>
          <w:lang w:val="en-AU"/>
        </w:rPr>
        <w:t>PICO Confirmation</w:t>
      </w:r>
      <w:r w:rsidRPr="000C5DD2">
        <w:rPr>
          <w:lang w:val="en-AU"/>
        </w:rPr>
        <w:br w:type="page"/>
      </w:r>
    </w:p>
    <w:p w14:paraId="219312C8" w14:textId="62FB408A" w:rsidR="006478E7" w:rsidRPr="00D52956" w:rsidRDefault="006478E7" w:rsidP="00BB0FFB">
      <w:pPr>
        <w:pStyle w:val="Heading2"/>
      </w:pPr>
      <w:r w:rsidRPr="00D52956">
        <w:lastRenderedPageBreak/>
        <w:t>Summary of PI</w:t>
      </w:r>
      <w:r w:rsidR="00235B21">
        <w:t xml:space="preserve">CO criteria to define </w:t>
      </w:r>
      <w:r w:rsidRPr="00D52956">
        <w:t xml:space="preserve">questions to be addressed in an </w:t>
      </w:r>
      <w:r>
        <w:t xml:space="preserve">Assessment </w:t>
      </w:r>
      <w:r w:rsidRPr="00D52956" w:rsidDel="00345A78">
        <w:t>R</w:t>
      </w:r>
      <w:r w:rsidRPr="00D52956">
        <w:t>eport to the Medical Services Advisory Committee (MSAC)</w:t>
      </w:r>
    </w:p>
    <w:p w14:paraId="224459F3" w14:textId="6E34E357" w:rsidR="00D52956" w:rsidRPr="000C5DD2" w:rsidRDefault="00D52956" w:rsidP="00D52956">
      <w:pPr>
        <w:pStyle w:val="Caption"/>
        <w:rPr>
          <w:lang w:val="en-AU"/>
        </w:rPr>
      </w:pPr>
      <w:bookmarkStart w:id="0" w:name="_Ref69732160"/>
      <w:bookmarkStart w:id="1" w:name="_Ref69732155"/>
      <w:r w:rsidRPr="000C5DD2">
        <w:rPr>
          <w:lang w:val="en-AU"/>
        </w:rPr>
        <w:t>Table</w:t>
      </w:r>
      <w:r w:rsidR="00FD4C65" w:rsidRPr="000C5DD2">
        <w:rPr>
          <w:lang w:val="en-AU"/>
        </w:rPr>
        <w:t> </w:t>
      </w:r>
      <w:r w:rsidRPr="000C5DD2">
        <w:rPr>
          <w:lang w:val="en-AU"/>
        </w:rPr>
        <w:fldChar w:fldCharType="begin"/>
      </w:r>
      <w:r w:rsidRPr="000C5DD2">
        <w:rPr>
          <w:lang w:val="en-AU"/>
        </w:rPr>
        <w:instrText xml:space="preserve"> SEQ Table \* ARABIC </w:instrText>
      </w:r>
      <w:r w:rsidRPr="000C5DD2">
        <w:rPr>
          <w:lang w:val="en-AU"/>
        </w:rPr>
        <w:fldChar w:fldCharType="separate"/>
      </w:r>
      <w:r w:rsidR="001D119F">
        <w:rPr>
          <w:noProof/>
          <w:lang w:val="en-AU"/>
        </w:rPr>
        <w:t>1</w:t>
      </w:r>
      <w:r w:rsidRPr="000C5DD2">
        <w:rPr>
          <w:lang w:val="en-AU"/>
        </w:rPr>
        <w:fldChar w:fldCharType="end"/>
      </w:r>
      <w:bookmarkEnd w:id="0"/>
      <w:r w:rsidRPr="000C5DD2">
        <w:rPr>
          <w:lang w:val="en-AU"/>
        </w:rPr>
        <w:tab/>
        <w:t xml:space="preserve">PICO for </w:t>
      </w:r>
      <w:r w:rsidR="00F74E32" w:rsidRPr="000C5DD2">
        <w:rPr>
          <w:lang w:val="en-AU"/>
        </w:rPr>
        <w:t>Marstacimab</w:t>
      </w:r>
      <w:r w:rsidRPr="000C5DD2">
        <w:rPr>
          <w:lang w:val="en-AU"/>
        </w:rPr>
        <w:t xml:space="preserve"> in </w:t>
      </w:r>
      <w:r w:rsidR="00F74E32" w:rsidRPr="000C5DD2">
        <w:rPr>
          <w:lang w:val="en-AU"/>
        </w:rPr>
        <w:t>patients with Haemophilia A</w:t>
      </w:r>
      <w:r w:rsidRPr="000C5DD2">
        <w:rPr>
          <w:lang w:val="en-AU"/>
        </w:rPr>
        <w:t xml:space="preserve"> </w:t>
      </w:r>
      <w:r w:rsidR="00026751" w:rsidRPr="000C5DD2">
        <w:rPr>
          <w:lang w:val="en-AU"/>
        </w:rPr>
        <w:t>(</w:t>
      </w:r>
      <w:r w:rsidRPr="000C5DD2">
        <w:rPr>
          <w:lang w:val="en-AU"/>
        </w:rPr>
        <w:t>PICO Set 1</w:t>
      </w:r>
      <w:bookmarkEnd w:id="1"/>
      <w:r w:rsidR="00026751" w:rsidRPr="000C5DD2">
        <w:rPr>
          <w:lang w:val="en-AU"/>
        </w:rPr>
        <w:t>) and Haemophilia B (PICO Set 2</w:t>
      </w:r>
      <w:r w:rsidR="004D0E6F" w:rsidRPr="000C5DD2">
        <w:rPr>
          <w:lang w:val="en-AU"/>
        </w:rPr>
        <w:t>)</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550"/>
        <w:gridCol w:w="4010"/>
        <w:gridCol w:w="4006"/>
      </w:tblGrid>
      <w:tr w:rsidR="003A567E" w:rsidRPr="00490FBB" w14:paraId="2A509B30" w14:textId="77777777" w:rsidTr="007032E5">
        <w:trPr>
          <w:trHeight w:val="372"/>
          <w:tblHeader/>
        </w:trPr>
        <w:tc>
          <w:tcPr>
            <w:tcW w:w="810" w:type="pct"/>
            <w:tcBorders>
              <w:top w:val="single" w:sz="8" w:space="0" w:color="auto"/>
              <w:left w:val="single" w:sz="8" w:space="0" w:color="auto"/>
              <w:bottom w:val="single" w:sz="8" w:space="0" w:color="auto"/>
              <w:right w:val="single" w:sz="4" w:space="0" w:color="auto"/>
            </w:tcBorders>
            <w:shd w:val="clear" w:color="auto" w:fill="D9D9D9"/>
            <w:vAlign w:val="center"/>
            <w:hideMark/>
          </w:tcPr>
          <w:p w14:paraId="4B4F1A56" w14:textId="77777777" w:rsidR="003A567E" w:rsidRPr="00490FBB" w:rsidRDefault="003A567E" w:rsidP="00C54349">
            <w:pPr>
              <w:spacing w:before="20" w:after="20" w:line="240" w:lineRule="auto"/>
              <w:rPr>
                <w:b/>
              </w:rPr>
            </w:pPr>
            <w:bookmarkStart w:id="2" w:name="Title_Table1" w:colFirst="0" w:colLast="0"/>
            <w:r w:rsidRPr="00490FBB">
              <w:rPr>
                <w:b/>
              </w:rPr>
              <w:t>Component</w:t>
            </w:r>
          </w:p>
        </w:tc>
        <w:tc>
          <w:tcPr>
            <w:tcW w:w="4190" w:type="pct"/>
            <w:gridSpan w:val="2"/>
            <w:tcBorders>
              <w:top w:val="single" w:sz="8" w:space="0" w:color="auto"/>
              <w:left w:val="single" w:sz="8" w:space="0" w:color="auto"/>
              <w:bottom w:val="single" w:sz="8" w:space="0" w:color="auto"/>
              <w:right w:val="single" w:sz="4" w:space="0" w:color="auto"/>
            </w:tcBorders>
            <w:shd w:val="clear" w:color="auto" w:fill="D9D9D9"/>
            <w:vAlign w:val="center"/>
          </w:tcPr>
          <w:p w14:paraId="0E31DF4F" w14:textId="77777777" w:rsidR="003A567E" w:rsidRPr="00490FBB" w:rsidRDefault="003A567E" w:rsidP="00C54349">
            <w:pPr>
              <w:spacing w:before="20" w:after="20" w:line="240" w:lineRule="auto"/>
              <w:rPr>
                <w:b/>
              </w:rPr>
            </w:pPr>
            <w:r w:rsidRPr="00490FBB">
              <w:rPr>
                <w:b/>
              </w:rPr>
              <w:t>Description</w:t>
            </w:r>
          </w:p>
        </w:tc>
      </w:tr>
      <w:bookmarkEnd w:id="2"/>
      <w:tr w:rsidR="00DD2F22" w:rsidRPr="00490FBB" w14:paraId="78E0BB65" w14:textId="77777777" w:rsidTr="007032E5">
        <w:tc>
          <w:tcPr>
            <w:tcW w:w="810" w:type="pct"/>
            <w:tcBorders>
              <w:top w:val="single" w:sz="8" w:space="0" w:color="auto"/>
              <w:left w:val="single" w:sz="8" w:space="0" w:color="auto"/>
              <w:bottom w:val="single" w:sz="4" w:space="0" w:color="auto"/>
              <w:right w:val="single" w:sz="4" w:space="0" w:color="auto"/>
            </w:tcBorders>
            <w:hideMark/>
          </w:tcPr>
          <w:p w14:paraId="715E50D5" w14:textId="74EB4863" w:rsidR="00DD2F22" w:rsidRPr="00490FBB" w:rsidRDefault="00DD2F22" w:rsidP="00E01349">
            <w:pPr>
              <w:spacing w:after="120" w:line="240" w:lineRule="auto"/>
              <w:rPr>
                <w:rFonts w:cs="Arial"/>
              </w:rPr>
            </w:pPr>
            <w:r>
              <w:rPr>
                <w:rFonts w:cs="Arial"/>
              </w:rPr>
              <w:t>Population</w:t>
            </w:r>
          </w:p>
        </w:tc>
        <w:tc>
          <w:tcPr>
            <w:tcW w:w="2096" w:type="pct"/>
            <w:tcBorders>
              <w:top w:val="single" w:sz="4" w:space="0" w:color="auto"/>
              <w:left w:val="single" w:sz="4" w:space="0" w:color="auto"/>
              <w:bottom w:val="single" w:sz="4" w:space="0" w:color="auto"/>
              <w:right w:val="single" w:sz="4" w:space="0" w:color="auto"/>
            </w:tcBorders>
            <w:vAlign w:val="center"/>
            <w:hideMark/>
          </w:tcPr>
          <w:p w14:paraId="6788363D" w14:textId="43059BC1" w:rsidR="00D7128C" w:rsidRPr="00D7128C" w:rsidRDefault="00D7128C" w:rsidP="005B6574">
            <w:pPr>
              <w:spacing w:after="120" w:line="240" w:lineRule="auto"/>
              <w:rPr>
                <w:rFonts w:cs="Arial"/>
                <w:b/>
                <w:bCs/>
              </w:rPr>
            </w:pPr>
            <w:r>
              <w:rPr>
                <w:rFonts w:cs="Arial"/>
                <w:b/>
                <w:bCs/>
              </w:rPr>
              <w:t>PICO Set 1</w:t>
            </w:r>
          </w:p>
          <w:p w14:paraId="42AA5715" w14:textId="161B86B4" w:rsidR="00DD2F22" w:rsidRDefault="00DD2F22" w:rsidP="005B6574">
            <w:pPr>
              <w:spacing w:after="120" w:line="240" w:lineRule="auto"/>
              <w:rPr>
                <w:rFonts w:cs="Arial"/>
                <w:b/>
              </w:rPr>
            </w:pPr>
            <w:r>
              <w:rPr>
                <w:rFonts w:cs="Arial"/>
              </w:rPr>
              <w:t>C</w:t>
            </w:r>
            <w:r w:rsidRPr="00963501">
              <w:rPr>
                <w:rFonts w:cs="Arial"/>
              </w:rPr>
              <w:t xml:space="preserve">hildren and adults aged 12 years and older with severe </w:t>
            </w:r>
            <w:r w:rsidR="00937FF4" w:rsidRPr="00937FF4">
              <w:rPr>
                <w:rFonts w:cs="Arial"/>
              </w:rPr>
              <w:t>haemophilia</w:t>
            </w:r>
            <w:r>
              <w:rPr>
                <w:rFonts w:cs="Arial"/>
              </w:rPr>
              <w:t xml:space="preserve"> A</w:t>
            </w:r>
            <w:r w:rsidRPr="00963501">
              <w:rPr>
                <w:rFonts w:cs="Arial"/>
              </w:rPr>
              <w:t xml:space="preserve"> </w:t>
            </w:r>
            <w:r w:rsidR="00771D28" w:rsidRPr="0DD90B9D">
              <w:t>(</w:t>
            </w:r>
            <w:r w:rsidR="00771D28">
              <w:t xml:space="preserve">congenital factor </w:t>
            </w:r>
            <w:r w:rsidR="00771D28" w:rsidRPr="0DD90B9D">
              <w:t>VIII</w:t>
            </w:r>
            <w:r w:rsidR="00771D28">
              <w:t xml:space="preserve"> deficiency, FVIII </w:t>
            </w:r>
            <w:r w:rsidR="00771D28" w:rsidRPr="0DD90B9D">
              <w:t>&lt; 1%)</w:t>
            </w:r>
            <w:r w:rsidR="00771D28">
              <w:t xml:space="preserve"> </w:t>
            </w:r>
            <w:r w:rsidRPr="00963501">
              <w:rPr>
                <w:rFonts w:cs="Arial"/>
              </w:rPr>
              <w:t xml:space="preserve">without </w:t>
            </w:r>
            <w:r w:rsidR="00F95DAE">
              <w:rPr>
                <w:rFonts w:cs="Arial"/>
              </w:rPr>
              <w:t xml:space="preserve">Factor </w:t>
            </w:r>
            <w:r w:rsidR="00BF6BE2">
              <w:rPr>
                <w:rFonts w:cs="Arial"/>
              </w:rPr>
              <w:t>V</w:t>
            </w:r>
            <w:r w:rsidR="00024306">
              <w:rPr>
                <w:rFonts w:cs="Arial"/>
              </w:rPr>
              <w:t xml:space="preserve">III </w:t>
            </w:r>
            <w:r w:rsidRPr="00963501">
              <w:rPr>
                <w:rFonts w:cs="Arial"/>
              </w:rPr>
              <w:t>inhibitors</w:t>
            </w:r>
          </w:p>
        </w:tc>
        <w:tc>
          <w:tcPr>
            <w:tcW w:w="2094" w:type="pct"/>
            <w:tcBorders>
              <w:top w:val="single" w:sz="4" w:space="0" w:color="auto"/>
              <w:left w:val="single" w:sz="4" w:space="0" w:color="auto"/>
              <w:bottom w:val="single" w:sz="4" w:space="0" w:color="auto"/>
              <w:right w:val="single" w:sz="4" w:space="0" w:color="auto"/>
            </w:tcBorders>
            <w:vAlign w:val="center"/>
          </w:tcPr>
          <w:p w14:paraId="41A439CE" w14:textId="5B27BFF5" w:rsidR="00D7128C" w:rsidRPr="00D7128C" w:rsidRDefault="00D7128C" w:rsidP="00D7128C">
            <w:pPr>
              <w:spacing w:after="120" w:line="240" w:lineRule="auto"/>
              <w:rPr>
                <w:rFonts w:cs="Arial"/>
                <w:b/>
                <w:bCs/>
              </w:rPr>
            </w:pPr>
            <w:r>
              <w:rPr>
                <w:rFonts w:cs="Arial"/>
                <w:b/>
                <w:bCs/>
              </w:rPr>
              <w:t xml:space="preserve">PICO Set </w:t>
            </w:r>
            <w:r w:rsidR="007515DC">
              <w:rPr>
                <w:rFonts w:cs="Arial"/>
                <w:b/>
                <w:bCs/>
              </w:rPr>
              <w:t>2</w:t>
            </w:r>
          </w:p>
          <w:p w14:paraId="4A4FF7C2" w14:textId="5936D3FC" w:rsidR="00DD2F22" w:rsidRPr="005B6574" w:rsidRDefault="001A6332" w:rsidP="005B6574">
            <w:pPr>
              <w:spacing w:after="120" w:line="240" w:lineRule="auto"/>
              <w:rPr>
                <w:rFonts w:cs="Arial"/>
              </w:rPr>
            </w:pPr>
            <w:r>
              <w:rPr>
                <w:rFonts w:cs="Arial"/>
              </w:rPr>
              <w:t>C</w:t>
            </w:r>
            <w:r w:rsidRPr="00963501">
              <w:rPr>
                <w:rFonts w:cs="Arial"/>
              </w:rPr>
              <w:t xml:space="preserve">hildren and adults aged 12 years and older with severe </w:t>
            </w:r>
            <w:r w:rsidR="00937FF4" w:rsidRPr="00937FF4">
              <w:rPr>
                <w:rFonts w:cs="Arial"/>
              </w:rPr>
              <w:t>haemophilia</w:t>
            </w:r>
            <w:r>
              <w:rPr>
                <w:rFonts w:cs="Arial"/>
              </w:rPr>
              <w:t xml:space="preserve"> B</w:t>
            </w:r>
            <w:r w:rsidRPr="00963501">
              <w:rPr>
                <w:rFonts w:cs="Arial"/>
              </w:rPr>
              <w:t xml:space="preserve"> </w:t>
            </w:r>
            <w:r w:rsidR="00771D28" w:rsidRPr="0DD90B9D">
              <w:t>(</w:t>
            </w:r>
            <w:r w:rsidR="00771D28">
              <w:t xml:space="preserve">congenital factor </w:t>
            </w:r>
            <w:r w:rsidR="00771D28" w:rsidRPr="0DD90B9D">
              <w:t>IX</w:t>
            </w:r>
            <w:r w:rsidR="00771D28">
              <w:t xml:space="preserve"> deficiency, FIX </w:t>
            </w:r>
            <w:r w:rsidR="00771D28" w:rsidRPr="0DD90B9D">
              <w:t>&lt;1%)</w:t>
            </w:r>
            <w:r w:rsidR="00771D28">
              <w:t xml:space="preserve"> </w:t>
            </w:r>
            <w:r w:rsidRPr="00963501">
              <w:rPr>
                <w:rFonts w:cs="Arial"/>
              </w:rPr>
              <w:t xml:space="preserve">without </w:t>
            </w:r>
            <w:r w:rsidR="00024306">
              <w:rPr>
                <w:rFonts w:cs="Arial"/>
              </w:rPr>
              <w:t xml:space="preserve">Factor IX </w:t>
            </w:r>
            <w:r w:rsidRPr="00963501">
              <w:rPr>
                <w:rFonts w:cs="Arial"/>
              </w:rPr>
              <w:t>inhibitors</w:t>
            </w:r>
          </w:p>
        </w:tc>
      </w:tr>
      <w:tr w:rsidR="006478E7" w:rsidRPr="00490FBB" w14:paraId="654E13A9" w14:textId="77777777" w:rsidTr="007032E5">
        <w:tc>
          <w:tcPr>
            <w:tcW w:w="810" w:type="pct"/>
            <w:tcBorders>
              <w:top w:val="single" w:sz="4" w:space="0" w:color="auto"/>
              <w:left w:val="single" w:sz="8" w:space="0" w:color="auto"/>
              <w:bottom w:val="single" w:sz="4" w:space="0" w:color="auto"/>
              <w:right w:val="single" w:sz="4" w:space="0" w:color="auto"/>
            </w:tcBorders>
            <w:hideMark/>
          </w:tcPr>
          <w:p w14:paraId="5BF0C211" w14:textId="77777777" w:rsidR="006478E7" w:rsidRPr="00490FBB" w:rsidRDefault="006478E7" w:rsidP="00E01349">
            <w:pPr>
              <w:spacing w:after="120" w:line="240" w:lineRule="auto"/>
              <w:rPr>
                <w:rFonts w:cs="Arial"/>
              </w:rPr>
            </w:pPr>
            <w:r w:rsidRPr="00490FBB">
              <w:rPr>
                <w:rFonts w:cs="Arial"/>
              </w:rPr>
              <w:t>Intervention</w:t>
            </w:r>
          </w:p>
        </w:tc>
        <w:tc>
          <w:tcPr>
            <w:tcW w:w="4190" w:type="pct"/>
            <w:gridSpan w:val="2"/>
            <w:tcBorders>
              <w:top w:val="single" w:sz="4" w:space="0" w:color="auto"/>
              <w:left w:val="single" w:sz="4" w:space="0" w:color="auto"/>
              <w:bottom w:val="single" w:sz="4" w:space="0" w:color="auto"/>
              <w:right w:val="single" w:sz="4" w:space="0" w:color="auto"/>
            </w:tcBorders>
            <w:vAlign w:val="bottom"/>
            <w:hideMark/>
          </w:tcPr>
          <w:p w14:paraId="3E51DB12" w14:textId="6B2EE351" w:rsidR="006478E7" w:rsidRPr="005B6574" w:rsidRDefault="00FC2F79" w:rsidP="005B6574">
            <w:pPr>
              <w:spacing w:after="120" w:line="240" w:lineRule="auto"/>
              <w:rPr>
                <w:rFonts w:cs="Arial"/>
              </w:rPr>
            </w:pPr>
            <w:r w:rsidRPr="005B6574">
              <w:rPr>
                <w:rFonts w:cs="Arial"/>
              </w:rPr>
              <w:t>Mar</w:t>
            </w:r>
            <w:r w:rsidR="00E62E76">
              <w:rPr>
                <w:rFonts w:cs="Arial"/>
              </w:rPr>
              <w:t>s</w:t>
            </w:r>
            <w:r w:rsidR="005B6574">
              <w:rPr>
                <w:rFonts w:cs="Arial"/>
              </w:rPr>
              <w:t xml:space="preserve">tacimab </w:t>
            </w:r>
            <w:r w:rsidR="008B2F6C">
              <w:rPr>
                <w:rFonts w:cs="Arial"/>
              </w:rPr>
              <w:t>(for prophylaxis)</w:t>
            </w:r>
          </w:p>
        </w:tc>
      </w:tr>
      <w:tr w:rsidR="00D24444" w:rsidRPr="00490FBB" w14:paraId="1F5647C3" w14:textId="77777777" w:rsidTr="007032E5">
        <w:tc>
          <w:tcPr>
            <w:tcW w:w="810" w:type="pct"/>
            <w:tcBorders>
              <w:top w:val="single" w:sz="4" w:space="0" w:color="auto"/>
              <w:left w:val="single" w:sz="8" w:space="0" w:color="auto"/>
              <w:bottom w:val="single" w:sz="4" w:space="0" w:color="auto"/>
              <w:right w:val="single" w:sz="4" w:space="0" w:color="auto"/>
            </w:tcBorders>
            <w:hideMark/>
          </w:tcPr>
          <w:p w14:paraId="7F55173A" w14:textId="45BA3C37" w:rsidR="00D24444" w:rsidRPr="00490FBB" w:rsidRDefault="00D24444" w:rsidP="00921AA3">
            <w:pPr>
              <w:spacing w:after="120" w:line="240" w:lineRule="auto"/>
              <w:rPr>
                <w:rFonts w:cs="Arial"/>
              </w:rPr>
            </w:pPr>
            <w:r w:rsidRPr="00490FBB">
              <w:rPr>
                <w:rFonts w:cs="Arial"/>
              </w:rPr>
              <w:t>Comparator</w:t>
            </w:r>
            <w:r>
              <w:rPr>
                <w:rFonts w:cs="Arial"/>
              </w:rPr>
              <w:t>s</w:t>
            </w:r>
          </w:p>
        </w:tc>
        <w:tc>
          <w:tcPr>
            <w:tcW w:w="2096" w:type="pct"/>
            <w:tcBorders>
              <w:top w:val="single" w:sz="4" w:space="0" w:color="auto"/>
              <w:left w:val="single" w:sz="4" w:space="0" w:color="auto"/>
              <w:bottom w:val="single" w:sz="4" w:space="0" w:color="auto"/>
              <w:right w:val="single" w:sz="4" w:space="0" w:color="auto"/>
            </w:tcBorders>
            <w:vAlign w:val="center"/>
            <w:hideMark/>
          </w:tcPr>
          <w:p w14:paraId="5AA62B73" w14:textId="57AADF1F" w:rsidR="00D24444" w:rsidRDefault="00D24444" w:rsidP="00921AA3">
            <w:pPr>
              <w:spacing w:after="120" w:line="240" w:lineRule="auto"/>
            </w:pPr>
            <w:r w:rsidDel="006642B6">
              <w:rPr>
                <w:rFonts w:cs="Arial"/>
              </w:rPr>
              <w:t>1</w:t>
            </w:r>
            <w:r>
              <w:rPr>
                <w:rFonts w:cs="Arial"/>
              </w:rPr>
              <w:t>. Emicizumab</w:t>
            </w:r>
            <w:r w:rsidRPr="00D52956">
              <w:t xml:space="preserve"> </w:t>
            </w:r>
            <w:r>
              <w:t>(for prophylaxis)</w:t>
            </w:r>
          </w:p>
          <w:p w14:paraId="0296F6D3" w14:textId="7741EA2C" w:rsidR="00D24444" w:rsidRDefault="00D24444" w:rsidP="00921AA3">
            <w:pPr>
              <w:spacing w:after="120" w:line="240" w:lineRule="auto"/>
              <w:rPr>
                <w:rFonts w:cs="Arial"/>
              </w:rPr>
            </w:pPr>
            <w:r>
              <w:rPr>
                <w:rFonts w:cs="Arial"/>
              </w:rPr>
              <w:t xml:space="preserve">2. Extended </w:t>
            </w:r>
            <w:r w:rsidR="00470C25" w:rsidRPr="00937FF4">
              <w:rPr>
                <w:rFonts w:cs="Arial"/>
              </w:rPr>
              <w:t>half-life</w:t>
            </w:r>
            <w:r>
              <w:rPr>
                <w:rFonts w:cs="Arial"/>
              </w:rPr>
              <w:t xml:space="preserve"> (EHL) factor VIII products (for prophylaxis) </w:t>
            </w:r>
          </w:p>
        </w:tc>
        <w:tc>
          <w:tcPr>
            <w:tcW w:w="2094" w:type="pct"/>
            <w:tcBorders>
              <w:top w:val="single" w:sz="4" w:space="0" w:color="auto"/>
              <w:left w:val="single" w:sz="4" w:space="0" w:color="auto"/>
              <w:bottom w:val="single" w:sz="4" w:space="0" w:color="auto"/>
              <w:right w:val="single" w:sz="4" w:space="0" w:color="auto"/>
            </w:tcBorders>
            <w:vAlign w:val="center"/>
          </w:tcPr>
          <w:p w14:paraId="7F47ED0C" w14:textId="77777777" w:rsidR="0072273A" w:rsidRPr="00321536" w:rsidRDefault="0072273A" w:rsidP="0072273A">
            <w:pPr>
              <w:spacing w:after="120" w:line="240" w:lineRule="auto"/>
              <w:rPr>
                <w:rFonts w:cs="Arial"/>
              </w:rPr>
            </w:pPr>
            <w:r w:rsidRPr="00321536">
              <w:rPr>
                <w:rFonts w:cs="Arial"/>
              </w:rPr>
              <w:t>1.</w:t>
            </w:r>
            <w:r w:rsidRPr="00321536" w:rsidDel="00321536">
              <w:rPr>
                <w:rFonts w:cs="Arial"/>
              </w:rPr>
              <w:t xml:space="preserve"> </w:t>
            </w:r>
            <w:r w:rsidRPr="00321536">
              <w:rPr>
                <w:rFonts w:cs="Arial"/>
              </w:rPr>
              <w:t>EHL factor IX products (for prophylaxis)</w:t>
            </w:r>
          </w:p>
          <w:p w14:paraId="7E690E4B" w14:textId="034D77FC" w:rsidR="00D24444" w:rsidRPr="00D52956" w:rsidRDefault="00D24444" w:rsidP="0072273A">
            <w:pPr>
              <w:spacing w:after="120" w:line="240" w:lineRule="auto"/>
            </w:pPr>
          </w:p>
        </w:tc>
      </w:tr>
      <w:tr w:rsidR="00921AA3" w:rsidRPr="00490FBB" w14:paraId="591B1D2D" w14:textId="77777777" w:rsidTr="007032E5">
        <w:tc>
          <w:tcPr>
            <w:tcW w:w="810" w:type="pct"/>
            <w:tcBorders>
              <w:top w:val="single" w:sz="4" w:space="0" w:color="auto"/>
              <w:left w:val="single" w:sz="8" w:space="0" w:color="auto"/>
              <w:bottom w:val="single" w:sz="4" w:space="0" w:color="auto"/>
              <w:right w:val="single" w:sz="4" w:space="0" w:color="auto"/>
            </w:tcBorders>
            <w:hideMark/>
          </w:tcPr>
          <w:p w14:paraId="635F9D15" w14:textId="364EDFF2" w:rsidR="00921AA3" w:rsidRPr="00490FBB" w:rsidRDefault="00921AA3" w:rsidP="00921AA3">
            <w:pPr>
              <w:spacing w:after="120" w:line="240" w:lineRule="auto"/>
              <w:rPr>
                <w:rFonts w:cs="Arial"/>
              </w:rPr>
            </w:pPr>
            <w:bookmarkStart w:id="3" w:name="_Hlk198818805"/>
            <w:r w:rsidRPr="00490FBB">
              <w:rPr>
                <w:rFonts w:cs="Arial"/>
              </w:rPr>
              <w:t>Outcomes</w:t>
            </w:r>
          </w:p>
        </w:tc>
        <w:tc>
          <w:tcPr>
            <w:tcW w:w="4190" w:type="pct"/>
            <w:gridSpan w:val="2"/>
            <w:tcBorders>
              <w:top w:val="single" w:sz="4" w:space="0" w:color="auto"/>
              <w:left w:val="single" w:sz="4" w:space="0" w:color="auto"/>
              <w:bottom w:val="single" w:sz="4" w:space="0" w:color="auto"/>
              <w:right w:val="single" w:sz="4" w:space="0" w:color="auto"/>
            </w:tcBorders>
            <w:vAlign w:val="center"/>
            <w:hideMark/>
          </w:tcPr>
          <w:p w14:paraId="0FA39C53" w14:textId="77777777" w:rsidR="00921AA3" w:rsidRDefault="00921AA3" w:rsidP="009A745D">
            <w:pPr>
              <w:spacing w:after="120"/>
              <w:rPr>
                <w:b/>
                <w:bCs/>
              </w:rPr>
            </w:pPr>
            <w:r w:rsidRPr="00EF5819">
              <w:rPr>
                <w:b/>
                <w:bCs/>
              </w:rPr>
              <w:t xml:space="preserve">Safety </w:t>
            </w:r>
          </w:p>
          <w:p w14:paraId="3B39DD7A" w14:textId="77777777" w:rsidR="00E87945" w:rsidRDefault="00E87945" w:rsidP="009A745D">
            <w:pPr>
              <w:pStyle w:val="ListParagraph"/>
              <w:numPr>
                <w:ilvl w:val="0"/>
                <w:numId w:val="14"/>
              </w:numPr>
              <w:ind w:left="714" w:hanging="357"/>
            </w:pPr>
            <w:r>
              <w:t>Adverse events (e.g. injection site reactions)</w:t>
            </w:r>
          </w:p>
          <w:p w14:paraId="35F2568E" w14:textId="77777777" w:rsidR="00E87945" w:rsidRDefault="00E87945" w:rsidP="00013FE7">
            <w:pPr>
              <w:pStyle w:val="ListParagraph"/>
              <w:numPr>
                <w:ilvl w:val="0"/>
                <w:numId w:val="14"/>
              </w:numPr>
            </w:pPr>
            <w:r>
              <w:t>Serious adverse events (including thrombotic events)</w:t>
            </w:r>
          </w:p>
          <w:p w14:paraId="2CEF5922" w14:textId="13A5E785" w:rsidR="00E87945" w:rsidRDefault="00E87945" w:rsidP="00C06117">
            <w:pPr>
              <w:pStyle w:val="ListParagraph"/>
              <w:numPr>
                <w:ilvl w:val="0"/>
                <w:numId w:val="14"/>
              </w:numPr>
              <w:spacing w:after="120"/>
              <w:ind w:left="714" w:hanging="357"/>
            </w:pPr>
            <w:r>
              <w:t>Immunogenicity (</w:t>
            </w:r>
            <w:r w:rsidR="00B37104">
              <w:t>antidrug an</w:t>
            </w:r>
            <w:r w:rsidR="00810110">
              <w:t>t</w:t>
            </w:r>
            <w:r w:rsidR="00B37104">
              <w:t>ibodies, n</w:t>
            </w:r>
            <w:r w:rsidR="00810110">
              <w:t>eu</w:t>
            </w:r>
            <w:r w:rsidR="00B37104">
              <w:t>tralising antibodies</w:t>
            </w:r>
            <w:r>
              <w:t>)</w:t>
            </w:r>
          </w:p>
          <w:p w14:paraId="32AABF43" w14:textId="5B783EB6" w:rsidR="00921AA3" w:rsidRDefault="00921AA3" w:rsidP="009A745D">
            <w:pPr>
              <w:spacing w:after="120"/>
            </w:pPr>
            <w:r w:rsidRPr="00EF5819">
              <w:rPr>
                <w:b/>
                <w:bCs/>
              </w:rPr>
              <w:t>Effectiveness</w:t>
            </w:r>
            <w:r>
              <w:t xml:space="preserve"> </w:t>
            </w:r>
          </w:p>
          <w:p w14:paraId="389560CD" w14:textId="1860696B" w:rsidR="00EC17A0" w:rsidRDefault="00EC17A0" w:rsidP="00013FE7">
            <w:pPr>
              <w:pStyle w:val="ListParagraph"/>
              <w:numPr>
                <w:ilvl w:val="0"/>
                <w:numId w:val="14"/>
              </w:numPr>
            </w:pPr>
            <w:r>
              <w:t>Annualised bleeding rates</w:t>
            </w:r>
            <w:r w:rsidR="001734C3">
              <w:t xml:space="preserve"> (overall, categorised bleed severity, surgical/non-surgical, and site/type specific)</w:t>
            </w:r>
          </w:p>
          <w:p w14:paraId="74AA7335" w14:textId="16F010BD" w:rsidR="00013FE7" w:rsidRDefault="00013FE7" w:rsidP="00013FE7">
            <w:pPr>
              <w:pStyle w:val="ListParagraph"/>
              <w:numPr>
                <w:ilvl w:val="0"/>
                <w:numId w:val="14"/>
              </w:numPr>
            </w:pPr>
            <w:r w:rsidRPr="00937FF4">
              <w:t xml:space="preserve">Volume of </w:t>
            </w:r>
            <w:r w:rsidR="007F669A" w:rsidRPr="00937FF4">
              <w:t>factor</w:t>
            </w:r>
            <w:r w:rsidR="00D7128C" w:rsidRPr="00937FF4">
              <w:t xml:space="preserve"> (FVIII/FIX)</w:t>
            </w:r>
            <w:r w:rsidRPr="00937FF4">
              <w:t xml:space="preserve"> replacement required for breakthrough bleeds</w:t>
            </w:r>
          </w:p>
          <w:p w14:paraId="5364F652" w14:textId="302B6C1D" w:rsidR="0031078A" w:rsidRDefault="0031078A" w:rsidP="00013FE7">
            <w:pPr>
              <w:pStyle w:val="ListParagraph"/>
              <w:numPr>
                <w:ilvl w:val="0"/>
                <w:numId w:val="14"/>
              </w:numPr>
            </w:pPr>
            <w:r>
              <w:t>Joint health</w:t>
            </w:r>
            <w:r w:rsidR="00F8361B">
              <w:t xml:space="preserve"> outcomes</w:t>
            </w:r>
          </w:p>
          <w:p w14:paraId="60FCC639" w14:textId="77127B38" w:rsidR="008E66F7" w:rsidRDefault="00F8361B" w:rsidP="00013FE7">
            <w:pPr>
              <w:pStyle w:val="ListParagraph"/>
              <w:numPr>
                <w:ilvl w:val="0"/>
                <w:numId w:val="14"/>
              </w:numPr>
            </w:pPr>
            <w:r>
              <w:t>Health-related q</w:t>
            </w:r>
            <w:r w:rsidR="008E66F7">
              <w:t>uality of life</w:t>
            </w:r>
          </w:p>
          <w:p w14:paraId="24B44E60" w14:textId="5AB57675" w:rsidR="009A662F" w:rsidRDefault="009A662F" w:rsidP="00C06117">
            <w:pPr>
              <w:pStyle w:val="ListParagraph"/>
              <w:numPr>
                <w:ilvl w:val="0"/>
                <w:numId w:val="14"/>
              </w:numPr>
              <w:spacing w:after="120"/>
              <w:ind w:left="714" w:hanging="357"/>
            </w:pPr>
            <w:r w:rsidRPr="00937FF4">
              <w:t xml:space="preserve">Number of missed days of work/activity/school </w:t>
            </w:r>
          </w:p>
          <w:p w14:paraId="3794347B" w14:textId="77777777" w:rsidR="00921AA3" w:rsidRDefault="00921AA3" w:rsidP="009A745D">
            <w:pPr>
              <w:spacing w:after="120"/>
              <w:rPr>
                <w:b/>
                <w:bCs/>
              </w:rPr>
            </w:pPr>
            <w:r w:rsidRPr="00DA35C1">
              <w:rPr>
                <w:b/>
                <w:bCs/>
              </w:rPr>
              <w:t>Cost and cost-effectiveness</w:t>
            </w:r>
          </w:p>
          <w:p w14:paraId="5D70BD1C" w14:textId="0D404E5D" w:rsidR="00826687" w:rsidRDefault="00F23F9C" w:rsidP="00013FE7">
            <w:pPr>
              <w:pStyle w:val="ListParagraph"/>
              <w:numPr>
                <w:ilvl w:val="0"/>
                <w:numId w:val="14"/>
              </w:numPr>
            </w:pPr>
            <w:r>
              <w:t xml:space="preserve">Financial implications </w:t>
            </w:r>
            <w:r w:rsidR="00F614BB">
              <w:t>(</w:t>
            </w:r>
            <w:r w:rsidR="005B1DFA">
              <w:t>c</w:t>
            </w:r>
            <w:r w:rsidR="00F614BB">
              <w:t xml:space="preserve">osts and cost-offsets including total factor and/or </w:t>
            </w:r>
            <w:r w:rsidR="00587B83">
              <w:t>monoclonal antibody consumption</w:t>
            </w:r>
            <w:r w:rsidR="00DC2BB2">
              <w:t xml:space="preserve"> (incorporating increase in dose)</w:t>
            </w:r>
            <w:r w:rsidR="00F614BB">
              <w:t>, costs of delivering the intervention, costs of managing adverse events or breakthrough bleeding</w:t>
            </w:r>
            <w:r w:rsidR="00DC2BB2">
              <w:t>)</w:t>
            </w:r>
          </w:p>
          <w:p w14:paraId="7C335FEF" w14:textId="77777777" w:rsidR="008830E5" w:rsidRDefault="00F23F9C" w:rsidP="00C06117">
            <w:pPr>
              <w:pStyle w:val="ListParagraph"/>
              <w:numPr>
                <w:ilvl w:val="0"/>
                <w:numId w:val="14"/>
              </w:numPr>
              <w:spacing w:after="120"/>
              <w:ind w:left="714" w:hanging="357"/>
            </w:pPr>
            <w:r>
              <w:t>Cost-effectiveness</w:t>
            </w:r>
          </w:p>
          <w:p w14:paraId="16D65D1C" w14:textId="77777777" w:rsidR="0095556B" w:rsidRPr="00B17084" w:rsidRDefault="0095556B" w:rsidP="009A745D">
            <w:pPr>
              <w:spacing w:after="120"/>
              <w:rPr>
                <w:b/>
              </w:rPr>
            </w:pPr>
            <w:r w:rsidRPr="00B17084">
              <w:rPr>
                <w:b/>
              </w:rPr>
              <w:t>Other relevant considerations</w:t>
            </w:r>
          </w:p>
          <w:p w14:paraId="46229471" w14:textId="6E72FCEF" w:rsidR="00D129C5" w:rsidRPr="00937FF4" w:rsidRDefault="00D129C5" w:rsidP="00B17084">
            <w:pPr>
              <w:pStyle w:val="ListParagraph"/>
              <w:numPr>
                <w:ilvl w:val="0"/>
                <w:numId w:val="14"/>
              </w:numPr>
            </w:pPr>
            <w:r w:rsidRPr="00937FF4">
              <w:t xml:space="preserve">Patient preference </w:t>
            </w:r>
          </w:p>
          <w:p w14:paraId="12168CA7" w14:textId="48B68F77" w:rsidR="00D129C5" w:rsidRPr="00937FF4" w:rsidRDefault="008B4A68" w:rsidP="00B17084">
            <w:pPr>
              <w:pStyle w:val="ListParagraph"/>
              <w:numPr>
                <w:ilvl w:val="0"/>
                <w:numId w:val="14"/>
              </w:numPr>
            </w:pPr>
            <w:r w:rsidRPr="00937FF4">
              <w:t>Treatment burden e.g. a</w:t>
            </w:r>
            <w:r w:rsidR="00D129C5" w:rsidRPr="00937FF4">
              <w:t>dministration time</w:t>
            </w:r>
            <w:r w:rsidR="00E534A6" w:rsidRPr="00937FF4">
              <w:t>, impact on lifestyle, ability to travel</w:t>
            </w:r>
          </w:p>
          <w:p w14:paraId="6F9242D7" w14:textId="24B06A37" w:rsidR="0095556B" w:rsidRPr="009341AD" w:rsidRDefault="00D129C5" w:rsidP="00013FE7">
            <w:pPr>
              <w:pStyle w:val="ListParagraph"/>
              <w:numPr>
                <w:ilvl w:val="0"/>
                <w:numId w:val="14"/>
              </w:numPr>
            </w:pPr>
            <w:r w:rsidRPr="00937FF4">
              <w:t>Adherence to treatment</w:t>
            </w:r>
          </w:p>
        </w:tc>
      </w:tr>
      <w:bookmarkEnd w:id="3"/>
      <w:tr w:rsidR="0072273A" w:rsidRPr="00490FBB" w14:paraId="4A55FFDB" w14:textId="77777777" w:rsidTr="007032E5">
        <w:tc>
          <w:tcPr>
            <w:tcW w:w="810" w:type="pct"/>
            <w:tcBorders>
              <w:top w:val="single" w:sz="4" w:space="0" w:color="auto"/>
              <w:left w:val="single" w:sz="8" w:space="0" w:color="auto"/>
              <w:bottom w:val="single" w:sz="8" w:space="0" w:color="auto"/>
              <w:right w:val="single" w:sz="4" w:space="0" w:color="auto"/>
            </w:tcBorders>
          </w:tcPr>
          <w:p w14:paraId="003B36EC" w14:textId="6739B593" w:rsidR="0072273A" w:rsidRPr="00490FBB" w:rsidRDefault="0072273A" w:rsidP="00921AA3">
            <w:pPr>
              <w:spacing w:after="120" w:line="240" w:lineRule="auto"/>
              <w:rPr>
                <w:rFonts w:cs="Arial"/>
              </w:rPr>
            </w:pPr>
            <w:r w:rsidRPr="00490FBB">
              <w:rPr>
                <w:rFonts w:cs="Arial"/>
              </w:rPr>
              <w:lastRenderedPageBreak/>
              <w:t>Assessment questions</w:t>
            </w:r>
          </w:p>
        </w:tc>
        <w:tc>
          <w:tcPr>
            <w:tcW w:w="2096" w:type="pct"/>
            <w:tcBorders>
              <w:top w:val="single" w:sz="4" w:space="0" w:color="auto"/>
              <w:left w:val="single" w:sz="4" w:space="0" w:color="auto"/>
              <w:bottom w:val="single" w:sz="4" w:space="0" w:color="auto"/>
              <w:right w:val="single" w:sz="4" w:space="0" w:color="auto"/>
            </w:tcBorders>
            <w:vAlign w:val="center"/>
          </w:tcPr>
          <w:p w14:paraId="5AF47872" w14:textId="3811F27B" w:rsidR="0072273A" w:rsidRDefault="0072273A" w:rsidP="00921AA3">
            <w:pPr>
              <w:spacing w:after="120" w:line="240" w:lineRule="auto"/>
              <w:rPr>
                <w:color w:val="000000" w:themeColor="text1"/>
              </w:rPr>
            </w:pPr>
            <w:r w:rsidDel="00B71A7B">
              <w:rPr>
                <w:color w:val="000000" w:themeColor="text1"/>
              </w:rPr>
              <w:t>1</w:t>
            </w:r>
            <w:r w:rsidR="00FF7AB5">
              <w:rPr>
                <w:color w:val="000000" w:themeColor="text1"/>
              </w:rPr>
              <w:t>.</w:t>
            </w:r>
            <w:r w:rsidDel="00B71A7B">
              <w:rPr>
                <w:color w:val="000000" w:themeColor="text1"/>
              </w:rPr>
              <w:t xml:space="preserve"> </w:t>
            </w:r>
            <w:r w:rsidRPr="00FD4C65" w:rsidDel="00B71A7B">
              <w:rPr>
                <w:color w:val="000000" w:themeColor="text1"/>
              </w:rPr>
              <w:t>What</w:t>
            </w:r>
            <w:r w:rsidRPr="00490FBB" w:rsidDel="00B71A7B">
              <w:rPr>
                <w:color w:val="000000" w:themeColor="text1"/>
              </w:rPr>
              <w:t xml:space="preserve"> is the safety, effectiveness and cost-effectiveness of </w:t>
            </w:r>
            <w:r>
              <w:rPr>
                <w:color w:val="000000" w:themeColor="text1"/>
              </w:rPr>
              <w:t>marstacimab</w:t>
            </w:r>
            <w:r w:rsidRPr="00490FBB">
              <w:rPr>
                <w:color w:val="000000" w:themeColor="text1"/>
              </w:rPr>
              <w:t xml:space="preserve"> </w:t>
            </w:r>
            <w:r>
              <w:rPr>
                <w:color w:val="000000" w:themeColor="text1"/>
              </w:rPr>
              <w:t xml:space="preserve">prophylaxis </w:t>
            </w:r>
            <w:r w:rsidRPr="00490FBB">
              <w:rPr>
                <w:color w:val="000000" w:themeColor="text1"/>
              </w:rPr>
              <w:t xml:space="preserve">versus </w:t>
            </w:r>
            <w:r>
              <w:rPr>
                <w:color w:val="000000" w:themeColor="text1"/>
              </w:rPr>
              <w:t>emicizumab</w:t>
            </w:r>
            <w:r w:rsidRPr="00490FBB">
              <w:rPr>
                <w:color w:val="000000" w:themeColor="text1"/>
              </w:rPr>
              <w:t xml:space="preserve"> </w:t>
            </w:r>
            <w:r>
              <w:rPr>
                <w:color w:val="000000" w:themeColor="text1"/>
              </w:rPr>
              <w:t xml:space="preserve">prophylaxis </w:t>
            </w:r>
            <w:r w:rsidRPr="00490FBB">
              <w:rPr>
                <w:color w:val="000000" w:themeColor="text1"/>
              </w:rPr>
              <w:t xml:space="preserve">in </w:t>
            </w:r>
            <w:r>
              <w:rPr>
                <w:color w:val="000000" w:themeColor="text1"/>
              </w:rPr>
              <w:t>the severe Haemophilia A</w:t>
            </w:r>
            <w:r w:rsidR="00AD3A31">
              <w:rPr>
                <w:color w:val="000000" w:themeColor="text1"/>
              </w:rPr>
              <w:t xml:space="preserve"> without factor</w:t>
            </w:r>
            <w:r w:rsidR="00E24297">
              <w:rPr>
                <w:color w:val="000000" w:themeColor="text1"/>
              </w:rPr>
              <w:t xml:space="preserve"> VIII inhibitor</w:t>
            </w:r>
            <w:r>
              <w:rPr>
                <w:color w:val="000000" w:themeColor="text1"/>
              </w:rPr>
              <w:t xml:space="preserve"> population</w:t>
            </w:r>
            <w:r w:rsidRPr="00FD4C65">
              <w:rPr>
                <w:color w:val="000000" w:themeColor="text1"/>
              </w:rPr>
              <w:t>?</w:t>
            </w:r>
          </w:p>
          <w:p w14:paraId="2748AE57" w14:textId="2C700608" w:rsidR="0072273A" w:rsidRDefault="0072273A" w:rsidP="00921AA3">
            <w:pPr>
              <w:spacing w:after="120" w:line="240" w:lineRule="auto"/>
              <w:rPr>
                <w:color w:val="000000" w:themeColor="text1"/>
              </w:rPr>
            </w:pPr>
            <w:r>
              <w:rPr>
                <w:color w:val="000000" w:themeColor="text1"/>
              </w:rPr>
              <w:t>2</w:t>
            </w:r>
            <w:r w:rsidR="00FF7AB5">
              <w:rPr>
                <w:color w:val="000000" w:themeColor="text1"/>
              </w:rPr>
              <w:t>.</w:t>
            </w:r>
            <w:r>
              <w:rPr>
                <w:color w:val="000000" w:themeColor="text1"/>
              </w:rPr>
              <w:t xml:space="preserve"> </w:t>
            </w:r>
            <w:r w:rsidRPr="00FD4C65">
              <w:rPr>
                <w:color w:val="000000" w:themeColor="text1"/>
              </w:rPr>
              <w:t>What</w:t>
            </w:r>
            <w:r w:rsidRPr="00490FBB">
              <w:rPr>
                <w:color w:val="000000" w:themeColor="text1"/>
              </w:rPr>
              <w:t xml:space="preserve"> is the safety, effectiveness and cost-effectiveness of </w:t>
            </w:r>
            <w:r>
              <w:rPr>
                <w:color w:val="000000" w:themeColor="text1"/>
              </w:rPr>
              <w:t>marstacimab</w:t>
            </w:r>
            <w:r w:rsidRPr="00490FBB">
              <w:rPr>
                <w:color w:val="000000" w:themeColor="text1"/>
              </w:rPr>
              <w:t xml:space="preserve"> </w:t>
            </w:r>
            <w:r>
              <w:rPr>
                <w:color w:val="000000" w:themeColor="text1"/>
              </w:rPr>
              <w:t xml:space="preserve">prophylaxis </w:t>
            </w:r>
            <w:r w:rsidRPr="00490FBB">
              <w:rPr>
                <w:color w:val="000000" w:themeColor="text1"/>
              </w:rPr>
              <w:t xml:space="preserve">versus </w:t>
            </w:r>
            <w:r>
              <w:rPr>
                <w:color w:val="000000" w:themeColor="text1"/>
              </w:rPr>
              <w:t>EHL factor VIII</w:t>
            </w:r>
            <w:r w:rsidRPr="00490FBB">
              <w:rPr>
                <w:color w:val="000000" w:themeColor="text1"/>
              </w:rPr>
              <w:t xml:space="preserve"> </w:t>
            </w:r>
            <w:r>
              <w:rPr>
                <w:color w:val="000000" w:themeColor="text1"/>
              </w:rPr>
              <w:t xml:space="preserve">prophylaxis </w:t>
            </w:r>
            <w:r w:rsidRPr="00490FBB">
              <w:rPr>
                <w:color w:val="000000" w:themeColor="text1"/>
              </w:rPr>
              <w:t xml:space="preserve">in </w:t>
            </w:r>
            <w:r>
              <w:rPr>
                <w:color w:val="000000" w:themeColor="text1"/>
              </w:rPr>
              <w:t>the severe Haemophilia A</w:t>
            </w:r>
            <w:r w:rsidR="00E24297">
              <w:rPr>
                <w:color w:val="000000" w:themeColor="text1"/>
              </w:rPr>
              <w:t xml:space="preserve"> without factor VIII inhibitor</w:t>
            </w:r>
            <w:r>
              <w:rPr>
                <w:color w:val="000000" w:themeColor="text1"/>
              </w:rPr>
              <w:t xml:space="preserve"> population</w:t>
            </w:r>
            <w:r w:rsidRPr="00FD4C65">
              <w:rPr>
                <w:color w:val="000000" w:themeColor="text1"/>
              </w:rPr>
              <w:t>?</w:t>
            </w:r>
          </w:p>
          <w:p w14:paraId="0FA42178" w14:textId="2470B239" w:rsidR="0072273A" w:rsidRDefault="0072273A" w:rsidP="00921AA3">
            <w:pPr>
              <w:spacing w:after="120" w:line="240" w:lineRule="auto"/>
              <w:rPr>
                <w:color w:val="000000" w:themeColor="text1"/>
              </w:rPr>
            </w:pPr>
          </w:p>
        </w:tc>
        <w:tc>
          <w:tcPr>
            <w:tcW w:w="2094" w:type="pct"/>
            <w:tcBorders>
              <w:top w:val="single" w:sz="4" w:space="0" w:color="auto"/>
              <w:left w:val="single" w:sz="4" w:space="0" w:color="auto"/>
              <w:bottom w:val="single" w:sz="4" w:space="0" w:color="auto"/>
              <w:right w:val="single" w:sz="4" w:space="0" w:color="auto"/>
            </w:tcBorders>
            <w:vAlign w:val="center"/>
          </w:tcPr>
          <w:p w14:paraId="7B77F09B" w14:textId="7EE37262" w:rsidR="00541AAD" w:rsidRDefault="00467A7D" w:rsidP="00541AAD">
            <w:pPr>
              <w:spacing w:after="120" w:line="240" w:lineRule="auto"/>
              <w:rPr>
                <w:color w:val="000000" w:themeColor="text1"/>
              </w:rPr>
            </w:pPr>
            <w:r>
              <w:rPr>
                <w:color w:val="000000" w:themeColor="text1"/>
              </w:rPr>
              <w:t>1</w:t>
            </w:r>
            <w:r w:rsidR="00541AAD">
              <w:rPr>
                <w:color w:val="000000" w:themeColor="text1"/>
              </w:rPr>
              <w:t xml:space="preserve">. </w:t>
            </w:r>
            <w:r w:rsidR="00541AAD" w:rsidRPr="00FD4C65">
              <w:rPr>
                <w:color w:val="000000" w:themeColor="text1"/>
              </w:rPr>
              <w:t>What</w:t>
            </w:r>
            <w:r w:rsidR="00541AAD" w:rsidRPr="00490FBB">
              <w:rPr>
                <w:color w:val="000000" w:themeColor="text1"/>
              </w:rPr>
              <w:t xml:space="preserve"> is the safety, effectiveness and cost-effectiveness of </w:t>
            </w:r>
            <w:r w:rsidR="009D494A">
              <w:rPr>
                <w:color w:val="000000" w:themeColor="text1"/>
              </w:rPr>
              <w:t>m</w:t>
            </w:r>
            <w:r w:rsidR="009D494A" w:rsidRPr="00937FF4">
              <w:rPr>
                <w:color w:val="000000" w:themeColor="text1"/>
              </w:rPr>
              <w:t xml:space="preserve">arstacimab </w:t>
            </w:r>
            <w:r w:rsidR="00541AAD">
              <w:rPr>
                <w:color w:val="000000" w:themeColor="text1"/>
              </w:rPr>
              <w:t xml:space="preserve">prophylaxis </w:t>
            </w:r>
            <w:r w:rsidR="00541AAD" w:rsidRPr="00490FBB">
              <w:rPr>
                <w:color w:val="000000" w:themeColor="text1"/>
              </w:rPr>
              <w:t xml:space="preserve">versus </w:t>
            </w:r>
            <w:r w:rsidR="00211913">
              <w:rPr>
                <w:color w:val="000000" w:themeColor="text1"/>
              </w:rPr>
              <w:t xml:space="preserve">EHL </w:t>
            </w:r>
            <w:r w:rsidR="00541AAD">
              <w:rPr>
                <w:color w:val="000000" w:themeColor="text1"/>
              </w:rPr>
              <w:t>factor IX prophylaxis</w:t>
            </w:r>
            <w:r w:rsidR="00541AAD" w:rsidRPr="00490FBB">
              <w:rPr>
                <w:color w:val="000000" w:themeColor="text1"/>
              </w:rPr>
              <w:t xml:space="preserve"> in </w:t>
            </w:r>
            <w:r w:rsidR="00541AAD">
              <w:rPr>
                <w:color w:val="000000" w:themeColor="text1"/>
              </w:rPr>
              <w:t>the severe Haemophilia B</w:t>
            </w:r>
            <w:r w:rsidR="00E24297">
              <w:rPr>
                <w:color w:val="000000" w:themeColor="text1"/>
              </w:rPr>
              <w:t xml:space="preserve"> without factor IX</w:t>
            </w:r>
            <w:r w:rsidR="00541AAD">
              <w:rPr>
                <w:color w:val="000000" w:themeColor="text1"/>
              </w:rPr>
              <w:t xml:space="preserve"> </w:t>
            </w:r>
            <w:r w:rsidR="00711138">
              <w:rPr>
                <w:color w:val="000000" w:themeColor="text1"/>
              </w:rPr>
              <w:t>inhibitor</w:t>
            </w:r>
            <w:r w:rsidR="00541AAD">
              <w:rPr>
                <w:color w:val="000000" w:themeColor="text1"/>
              </w:rPr>
              <w:t xml:space="preserve"> population</w:t>
            </w:r>
            <w:r w:rsidR="00541AAD" w:rsidRPr="00FD4C65">
              <w:rPr>
                <w:color w:val="000000" w:themeColor="text1"/>
              </w:rPr>
              <w:t>?</w:t>
            </w:r>
          </w:p>
          <w:p w14:paraId="7AB69A9A" w14:textId="7052CEEC" w:rsidR="00554ED9" w:rsidRPr="00FD4C65" w:rsidRDefault="00554ED9" w:rsidP="00554ED9">
            <w:pPr>
              <w:spacing w:after="120" w:line="240" w:lineRule="auto"/>
              <w:rPr>
                <w:color w:val="000000" w:themeColor="text1"/>
              </w:rPr>
            </w:pPr>
          </w:p>
        </w:tc>
      </w:tr>
    </w:tbl>
    <w:p w14:paraId="13E36353" w14:textId="03D5C2D5" w:rsidR="00963E76" w:rsidRPr="00490FBB" w:rsidRDefault="00963E76" w:rsidP="00963E76"/>
    <w:p w14:paraId="53297713" w14:textId="0DA7B658" w:rsidR="00912660" w:rsidRDefault="00912660" w:rsidP="00713728">
      <w:pPr>
        <w:pStyle w:val="Heading2"/>
      </w:pPr>
      <w:r>
        <w:t>Purpose of application</w:t>
      </w:r>
    </w:p>
    <w:p w14:paraId="0E65AD1B" w14:textId="03AF3D9F" w:rsidR="004C2C5E" w:rsidRDefault="004C2C5E" w:rsidP="004C2C5E">
      <w:pPr>
        <w:spacing w:after="240"/>
        <w:rPr>
          <w:iCs/>
        </w:rPr>
      </w:pPr>
      <w:r w:rsidRPr="009A3778">
        <w:rPr>
          <w:iCs/>
        </w:rPr>
        <w:t xml:space="preserve">An application requesting </w:t>
      </w:r>
      <w:r w:rsidR="00266465">
        <w:rPr>
          <w:iCs/>
        </w:rPr>
        <w:t xml:space="preserve">listing </w:t>
      </w:r>
      <w:r w:rsidR="00497F2F">
        <w:rPr>
          <w:iCs/>
        </w:rPr>
        <w:t xml:space="preserve">of marstacimab </w:t>
      </w:r>
      <w:r w:rsidR="00497F2F" w:rsidRPr="009A3778">
        <w:rPr>
          <w:iCs/>
        </w:rPr>
        <w:t xml:space="preserve">for </w:t>
      </w:r>
      <w:r w:rsidR="00497F2F">
        <w:rPr>
          <w:iCs/>
        </w:rPr>
        <w:t>severe haemophilia A or B</w:t>
      </w:r>
      <w:r w:rsidR="00497F2F" w:rsidRPr="009A3778">
        <w:rPr>
          <w:iCs/>
        </w:rPr>
        <w:t xml:space="preserve"> </w:t>
      </w:r>
      <w:r w:rsidR="00266465">
        <w:rPr>
          <w:iCs/>
        </w:rPr>
        <w:t xml:space="preserve">on the National Products </w:t>
      </w:r>
      <w:r w:rsidR="003E1334">
        <w:rPr>
          <w:iCs/>
        </w:rPr>
        <w:t xml:space="preserve">Price </w:t>
      </w:r>
      <w:r w:rsidR="00266465">
        <w:rPr>
          <w:iCs/>
        </w:rPr>
        <w:t>List</w:t>
      </w:r>
      <w:r w:rsidR="00DB06FB">
        <w:rPr>
          <w:iCs/>
        </w:rPr>
        <w:t xml:space="preserve"> (NPPL)</w:t>
      </w:r>
      <w:r w:rsidR="00266465">
        <w:rPr>
          <w:iCs/>
        </w:rPr>
        <w:t xml:space="preserve">, </w:t>
      </w:r>
      <w:r w:rsidR="00497F2F">
        <w:rPr>
          <w:iCs/>
        </w:rPr>
        <w:t xml:space="preserve">managed </w:t>
      </w:r>
      <w:r w:rsidR="00266465">
        <w:rPr>
          <w:iCs/>
        </w:rPr>
        <w:t>by the Nation</w:t>
      </w:r>
      <w:r w:rsidR="005C78A9">
        <w:rPr>
          <w:iCs/>
        </w:rPr>
        <w:t>al</w:t>
      </w:r>
      <w:r w:rsidR="00266465">
        <w:rPr>
          <w:iCs/>
        </w:rPr>
        <w:t xml:space="preserve"> Blood Authority (NBA)</w:t>
      </w:r>
      <w:r w:rsidR="00497F2F">
        <w:rPr>
          <w:iCs/>
        </w:rPr>
        <w:t>,</w:t>
      </w:r>
      <w:r w:rsidRPr="009A3778">
        <w:rPr>
          <w:iCs/>
        </w:rPr>
        <w:t xml:space="preserve"> was received from </w:t>
      </w:r>
      <w:r w:rsidR="009046C5">
        <w:rPr>
          <w:iCs/>
        </w:rPr>
        <w:t>Pfizer</w:t>
      </w:r>
      <w:r w:rsidRPr="009A3778">
        <w:rPr>
          <w:iCs/>
        </w:rPr>
        <w:t xml:space="preserve"> by the </w:t>
      </w:r>
      <w:r w:rsidR="007D5B7A" w:rsidRPr="00FD55E7">
        <w:rPr>
          <w:iCs/>
          <w:lang w:val="en-US"/>
        </w:rPr>
        <w:t>Department of Health, Disability and Ageing</w:t>
      </w:r>
      <w:r w:rsidRPr="009A3778">
        <w:rPr>
          <w:iCs/>
        </w:rPr>
        <w:t>.</w:t>
      </w:r>
    </w:p>
    <w:p w14:paraId="736F8563" w14:textId="40E81207" w:rsidR="00977F40" w:rsidRDefault="00977F40" w:rsidP="004C2C5E">
      <w:pPr>
        <w:spacing w:after="240"/>
        <w:rPr>
          <w:iCs/>
        </w:rPr>
      </w:pPr>
      <w:bookmarkStart w:id="4" w:name="_Hlk207179055"/>
      <w:r w:rsidRPr="002F5BF3">
        <w:rPr>
          <w:iCs/>
        </w:rPr>
        <w:t xml:space="preserve">Public funding for blood and blood-related products </w:t>
      </w:r>
      <w:r>
        <w:rPr>
          <w:iCs/>
        </w:rPr>
        <w:t xml:space="preserve">is facilitated through the </w:t>
      </w:r>
      <w:r w:rsidRPr="002F5BF3">
        <w:rPr>
          <w:iCs/>
        </w:rPr>
        <w:t xml:space="preserve">national blood arrangements outlined in the </w:t>
      </w:r>
      <w:r>
        <w:rPr>
          <w:iCs/>
        </w:rPr>
        <w:t xml:space="preserve">National Blood </w:t>
      </w:r>
      <w:r w:rsidRPr="002F5BF3">
        <w:rPr>
          <w:iCs/>
        </w:rPr>
        <w:t>Agreement</w:t>
      </w:r>
      <w:r>
        <w:rPr>
          <w:iCs/>
        </w:rPr>
        <w:t xml:space="preserve"> and </w:t>
      </w:r>
      <w:r w:rsidRPr="002F5BF3">
        <w:rPr>
          <w:iCs/>
        </w:rPr>
        <w:t>managed by the NBA on behalf of all governments. Blood and blood related products included in the national blood arrangements are agreed to by Australian governments and listed on the NPPL</w:t>
      </w:r>
      <w:r>
        <w:rPr>
          <w:iCs/>
        </w:rPr>
        <w:t xml:space="preserve">. </w:t>
      </w:r>
      <w:r w:rsidRPr="002F5BF3">
        <w:rPr>
          <w:iCs/>
        </w:rPr>
        <w:t>Schedule 4 of the</w:t>
      </w:r>
      <w:r w:rsidR="00C0292A">
        <w:rPr>
          <w:iCs/>
        </w:rPr>
        <w:t xml:space="preserve"> National Blood</w:t>
      </w:r>
      <w:r w:rsidRPr="002F5BF3">
        <w:rPr>
          <w:iCs/>
        </w:rPr>
        <w:t xml:space="preserve"> Agreement provides for evidence-based evaluation and advice to governments to support decisions regarding changes to products funded under the National Blood Agreement, including assessment by </w:t>
      </w:r>
      <w:r>
        <w:rPr>
          <w:iCs/>
        </w:rPr>
        <w:t>MSAC</w:t>
      </w:r>
      <w:r w:rsidRPr="002F5BF3">
        <w:rPr>
          <w:iCs/>
        </w:rPr>
        <w:t xml:space="preserve"> where required. </w:t>
      </w:r>
      <w:bookmarkEnd w:id="4"/>
    </w:p>
    <w:p w14:paraId="20C45084" w14:textId="1A67E7D7" w:rsidR="00FA4549" w:rsidRDefault="001F6E1D" w:rsidP="006E6C05">
      <w:pPr>
        <w:keepNext/>
        <w:spacing w:after="240"/>
        <w:rPr>
          <w:b/>
          <w:bCs/>
          <w:iCs/>
        </w:rPr>
      </w:pPr>
      <w:r>
        <w:rPr>
          <w:b/>
          <w:bCs/>
          <w:iCs/>
        </w:rPr>
        <w:t>Clinical claim</w:t>
      </w:r>
    </w:p>
    <w:p w14:paraId="738954DA" w14:textId="57789DE1" w:rsidR="00FA4549" w:rsidRDefault="00D8405A" w:rsidP="004C2C5E">
      <w:pPr>
        <w:spacing w:after="240"/>
        <w:rPr>
          <w:bCs/>
          <w:iCs/>
        </w:rPr>
      </w:pPr>
      <w:r>
        <w:rPr>
          <w:bCs/>
          <w:iCs/>
        </w:rPr>
        <w:t>In children and</w:t>
      </w:r>
      <w:r w:rsidRPr="00D8405A">
        <w:rPr>
          <w:bCs/>
          <w:iCs/>
        </w:rPr>
        <w:t xml:space="preserve"> adults aged 12 years and older with severe</w:t>
      </w:r>
      <w:r w:rsidR="00FA4549">
        <w:rPr>
          <w:bCs/>
          <w:iCs/>
        </w:rPr>
        <w:t xml:space="preserve"> haemophilia A</w:t>
      </w:r>
      <w:r w:rsidR="00C52B8A" w:rsidRPr="00937FF4">
        <w:rPr>
          <w:bCs/>
          <w:iCs/>
        </w:rPr>
        <w:t xml:space="preserve"> (HMA)</w:t>
      </w:r>
      <w:r w:rsidR="0052068F" w:rsidRPr="00937FF4">
        <w:rPr>
          <w:bCs/>
          <w:iCs/>
        </w:rPr>
        <w:t>,</w:t>
      </w:r>
      <w:r w:rsidR="0052068F">
        <w:rPr>
          <w:bCs/>
          <w:iCs/>
        </w:rPr>
        <w:t xml:space="preserve"> without </w:t>
      </w:r>
      <w:r w:rsidR="00454E37">
        <w:rPr>
          <w:bCs/>
          <w:iCs/>
        </w:rPr>
        <w:t xml:space="preserve">factor eight (FVIII) </w:t>
      </w:r>
      <w:r w:rsidR="0052068F">
        <w:rPr>
          <w:bCs/>
          <w:iCs/>
        </w:rPr>
        <w:t>inhibitors</w:t>
      </w:r>
      <w:r w:rsidR="00FA4549">
        <w:rPr>
          <w:bCs/>
          <w:iCs/>
        </w:rPr>
        <w:t>:</w:t>
      </w:r>
    </w:p>
    <w:p w14:paraId="7F306685" w14:textId="6016C544" w:rsidR="005E251D" w:rsidRDefault="00D8405A">
      <w:pPr>
        <w:pStyle w:val="ListParagraph"/>
        <w:numPr>
          <w:ilvl w:val="0"/>
          <w:numId w:val="13"/>
        </w:numPr>
        <w:spacing w:after="240"/>
        <w:rPr>
          <w:bCs/>
          <w:iCs/>
        </w:rPr>
      </w:pPr>
      <w:r w:rsidRPr="0052068F">
        <w:rPr>
          <w:bCs/>
          <w:iCs/>
        </w:rPr>
        <w:t xml:space="preserve">Use of </w:t>
      </w:r>
      <w:r w:rsidR="00E11673">
        <w:rPr>
          <w:bCs/>
          <w:iCs/>
        </w:rPr>
        <w:t>m</w:t>
      </w:r>
      <w:r w:rsidR="00E11673" w:rsidRPr="0052068F">
        <w:rPr>
          <w:bCs/>
          <w:iCs/>
        </w:rPr>
        <w:t xml:space="preserve">arstacimab </w:t>
      </w:r>
      <w:r w:rsidRPr="0052068F">
        <w:rPr>
          <w:bCs/>
          <w:iCs/>
        </w:rPr>
        <w:t xml:space="preserve">results in superior efficacy </w:t>
      </w:r>
      <w:r w:rsidR="005E251D">
        <w:rPr>
          <w:bCs/>
          <w:iCs/>
        </w:rPr>
        <w:t xml:space="preserve">in comparison </w:t>
      </w:r>
      <w:r w:rsidRPr="0052068F">
        <w:rPr>
          <w:bCs/>
          <w:iCs/>
        </w:rPr>
        <w:t xml:space="preserve">to </w:t>
      </w:r>
      <w:r w:rsidR="0052068F" w:rsidRPr="0052068F">
        <w:rPr>
          <w:bCs/>
          <w:iCs/>
        </w:rPr>
        <w:t>FVIII prophylaxis; and non-inferior efficacy to emicizumab</w:t>
      </w:r>
      <w:r w:rsidR="005E251D">
        <w:rPr>
          <w:bCs/>
          <w:iCs/>
        </w:rPr>
        <w:t>; in terms of annualised bleeding rate</w:t>
      </w:r>
      <w:r w:rsidR="00F71FFE">
        <w:rPr>
          <w:bCs/>
          <w:iCs/>
        </w:rPr>
        <w:t xml:space="preserve"> (ABR)</w:t>
      </w:r>
      <w:r w:rsidR="005E251D">
        <w:rPr>
          <w:bCs/>
          <w:iCs/>
        </w:rPr>
        <w:t>.</w:t>
      </w:r>
    </w:p>
    <w:p w14:paraId="0BDF70A7" w14:textId="649AB2D8" w:rsidR="0052068F" w:rsidRDefault="005E251D">
      <w:pPr>
        <w:pStyle w:val="ListParagraph"/>
        <w:numPr>
          <w:ilvl w:val="0"/>
          <w:numId w:val="13"/>
        </w:numPr>
        <w:spacing w:after="240"/>
        <w:rPr>
          <w:bCs/>
          <w:iCs/>
        </w:rPr>
      </w:pPr>
      <w:r>
        <w:rPr>
          <w:bCs/>
          <w:iCs/>
        </w:rPr>
        <w:t xml:space="preserve">Use of </w:t>
      </w:r>
      <w:r w:rsidR="00E11673">
        <w:rPr>
          <w:bCs/>
          <w:iCs/>
        </w:rPr>
        <w:t xml:space="preserve">marstacimab </w:t>
      </w:r>
      <w:r>
        <w:rPr>
          <w:bCs/>
          <w:iCs/>
        </w:rPr>
        <w:t xml:space="preserve">results in non-inferior safety </w:t>
      </w:r>
      <w:r w:rsidR="00046B75">
        <w:rPr>
          <w:bCs/>
          <w:iCs/>
        </w:rPr>
        <w:t xml:space="preserve">in comparison </w:t>
      </w:r>
      <w:r w:rsidR="00046B75" w:rsidRPr="0052068F">
        <w:rPr>
          <w:bCs/>
          <w:iCs/>
        </w:rPr>
        <w:t xml:space="preserve">to </w:t>
      </w:r>
      <w:r w:rsidR="009F1DEB">
        <w:rPr>
          <w:bCs/>
          <w:iCs/>
        </w:rPr>
        <w:t>FVIII</w:t>
      </w:r>
      <w:r w:rsidR="00046B75" w:rsidRPr="0052068F">
        <w:rPr>
          <w:bCs/>
          <w:iCs/>
        </w:rPr>
        <w:t xml:space="preserve"> prophylaxis</w:t>
      </w:r>
      <w:r w:rsidR="009F4399">
        <w:rPr>
          <w:bCs/>
          <w:iCs/>
        </w:rPr>
        <w:t xml:space="preserve"> </w:t>
      </w:r>
      <w:r w:rsidR="00792C7B">
        <w:rPr>
          <w:bCs/>
          <w:iCs/>
        </w:rPr>
        <w:t>and</w:t>
      </w:r>
      <w:r w:rsidR="00046B75">
        <w:rPr>
          <w:bCs/>
          <w:iCs/>
        </w:rPr>
        <w:t xml:space="preserve"> </w:t>
      </w:r>
      <w:r w:rsidR="00046B75" w:rsidRPr="0052068F">
        <w:rPr>
          <w:bCs/>
          <w:iCs/>
        </w:rPr>
        <w:t>emicizumab</w:t>
      </w:r>
      <w:r w:rsidR="00046B75">
        <w:rPr>
          <w:bCs/>
          <w:iCs/>
        </w:rPr>
        <w:t xml:space="preserve"> in terms of adverse events.</w:t>
      </w:r>
    </w:p>
    <w:p w14:paraId="60C1735F" w14:textId="674096B3" w:rsidR="00814ADF" w:rsidRDefault="00814ADF" w:rsidP="00814ADF">
      <w:pPr>
        <w:spacing w:after="240"/>
        <w:rPr>
          <w:bCs/>
          <w:iCs/>
        </w:rPr>
      </w:pPr>
      <w:r>
        <w:rPr>
          <w:bCs/>
          <w:iCs/>
        </w:rPr>
        <w:t>In children and</w:t>
      </w:r>
      <w:r w:rsidRPr="00D8405A">
        <w:rPr>
          <w:bCs/>
          <w:iCs/>
        </w:rPr>
        <w:t xml:space="preserve"> adults aged 12 years and older with severe</w:t>
      </w:r>
      <w:r>
        <w:rPr>
          <w:bCs/>
          <w:iCs/>
        </w:rPr>
        <w:t xml:space="preserve"> haemophilia B</w:t>
      </w:r>
      <w:r w:rsidR="00C52B8A" w:rsidRPr="00937FF4">
        <w:rPr>
          <w:bCs/>
          <w:iCs/>
        </w:rPr>
        <w:t xml:space="preserve"> (HMB)</w:t>
      </w:r>
      <w:r w:rsidRPr="00937FF4">
        <w:rPr>
          <w:bCs/>
          <w:iCs/>
        </w:rPr>
        <w:t>,</w:t>
      </w:r>
      <w:r>
        <w:rPr>
          <w:bCs/>
          <w:iCs/>
        </w:rPr>
        <w:t xml:space="preserve"> without </w:t>
      </w:r>
      <w:r w:rsidR="00454E37">
        <w:rPr>
          <w:bCs/>
          <w:iCs/>
        </w:rPr>
        <w:t xml:space="preserve">factor nine (FIX) </w:t>
      </w:r>
      <w:r>
        <w:rPr>
          <w:bCs/>
          <w:iCs/>
        </w:rPr>
        <w:t>inhibitors:</w:t>
      </w:r>
    </w:p>
    <w:p w14:paraId="566A0263" w14:textId="1DCBECF3" w:rsidR="00E02664" w:rsidRDefault="00E02664" w:rsidP="00E02664">
      <w:pPr>
        <w:pStyle w:val="ListParagraph"/>
        <w:numPr>
          <w:ilvl w:val="0"/>
          <w:numId w:val="13"/>
        </w:numPr>
        <w:spacing w:after="240"/>
        <w:rPr>
          <w:bCs/>
          <w:iCs/>
        </w:rPr>
      </w:pPr>
      <w:r w:rsidRPr="0052068F">
        <w:rPr>
          <w:bCs/>
          <w:iCs/>
        </w:rPr>
        <w:t xml:space="preserve">Use of </w:t>
      </w:r>
      <w:r w:rsidR="00E11673">
        <w:rPr>
          <w:bCs/>
          <w:iCs/>
        </w:rPr>
        <w:t>m</w:t>
      </w:r>
      <w:r w:rsidR="00E11673" w:rsidRPr="0052068F">
        <w:rPr>
          <w:bCs/>
          <w:iCs/>
        </w:rPr>
        <w:t xml:space="preserve">arstacimab </w:t>
      </w:r>
      <w:r w:rsidRPr="0052068F">
        <w:rPr>
          <w:bCs/>
          <w:iCs/>
        </w:rPr>
        <w:t xml:space="preserve">results in superior efficacy </w:t>
      </w:r>
      <w:r>
        <w:rPr>
          <w:bCs/>
          <w:iCs/>
        </w:rPr>
        <w:t xml:space="preserve">in comparison </w:t>
      </w:r>
      <w:r w:rsidRPr="0052068F">
        <w:rPr>
          <w:bCs/>
          <w:iCs/>
        </w:rPr>
        <w:t>to F</w:t>
      </w:r>
      <w:r>
        <w:rPr>
          <w:bCs/>
          <w:iCs/>
        </w:rPr>
        <w:t>IX</w:t>
      </w:r>
      <w:r w:rsidRPr="0052068F">
        <w:rPr>
          <w:bCs/>
          <w:iCs/>
        </w:rPr>
        <w:t xml:space="preserve"> prophylaxis</w:t>
      </w:r>
      <w:r>
        <w:rPr>
          <w:bCs/>
          <w:iCs/>
        </w:rPr>
        <w:t xml:space="preserve"> in terms of </w:t>
      </w:r>
      <w:r w:rsidR="00F71FFE">
        <w:rPr>
          <w:bCs/>
          <w:iCs/>
        </w:rPr>
        <w:t>ABR</w:t>
      </w:r>
      <w:r>
        <w:rPr>
          <w:bCs/>
          <w:iCs/>
        </w:rPr>
        <w:t>.</w:t>
      </w:r>
    </w:p>
    <w:p w14:paraId="3BEA768B" w14:textId="334DF002" w:rsidR="00E02664" w:rsidRDefault="00E02664" w:rsidP="00E02664">
      <w:pPr>
        <w:pStyle w:val="ListParagraph"/>
        <w:numPr>
          <w:ilvl w:val="0"/>
          <w:numId w:val="13"/>
        </w:numPr>
        <w:spacing w:after="240"/>
        <w:rPr>
          <w:bCs/>
          <w:iCs/>
        </w:rPr>
      </w:pPr>
      <w:r>
        <w:rPr>
          <w:bCs/>
          <w:iCs/>
        </w:rPr>
        <w:t xml:space="preserve">Use of </w:t>
      </w:r>
      <w:r w:rsidR="00E11673">
        <w:rPr>
          <w:bCs/>
          <w:iCs/>
        </w:rPr>
        <w:t xml:space="preserve">marstacimab </w:t>
      </w:r>
      <w:r>
        <w:rPr>
          <w:bCs/>
          <w:iCs/>
        </w:rPr>
        <w:t xml:space="preserve">results in non-inferior safety in comparison </w:t>
      </w:r>
      <w:r w:rsidRPr="0052068F">
        <w:rPr>
          <w:bCs/>
          <w:iCs/>
        </w:rPr>
        <w:t xml:space="preserve">to </w:t>
      </w:r>
      <w:r w:rsidR="002B2AD2">
        <w:rPr>
          <w:bCs/>
          <w:iCs/>
        </w:rPr>
        <w:t>FIX</w:t>
      </w:r>
      <w:r w:rsidRPr="0052068F">
        <w:rPr>
          <w:bCs/>
          <w:iCs/>
        </w:rPr>
        <w:t xml:space="preserve"> prophylaxis</w:t>
      </w:r>
      <w:r>
        <w:rPr>
          <w:bCs/>
          <w:iCs/>
        </w:rPr>
        <w:t xml:space="preserve"> in terms of adverse events.</w:t>
      </w:r>
    </w:p>
    <w:p w14:paraId="18E66948" w14:textId="77777777" w:rsidR="00D73332" w:rsidRPr="00FD4C65" w:rsidRDefault="00D73332" w:rsidP="00FD4C65">
      <w:pPr>
        <w:pStyle w:val="Heading2"/>
      </w:pPr>
      <w:r w:rsidRPr="00FD4C65">
        <w:lastRenderedPageBreak/>
        <w:t xml:space="preserve">PICO </w:t>
      </w:r>
      <w:r w:rsidR="00FD4E33" w:rsidRPr="00FD4C65">
        <w:t xml:space="preserve">criteria </w:t>
      </w:r>
    </w:p>
    <w:p w14:paraId="06B30611" w14:textId="77777777" w:rsidR="007D6B83" w:rsidRPr="00713728" w:rsidRDefault="007D6B83" w:rsidP="007D6B83">
      <w:pPr>
        <w:pStyle w:val="Heading3"/>
      </w:pPr>
      <w:r w:rsidRPr="00713728">
        <w:t>Population</w:t>
      </w:r>
    </w:p>
    <w:p w14:paraId="5A61BFED" w14:textId="1B2A846E" w:rsidR="0076740E" w:rsidRDefault="00641159">
      <w:r w:rsidRPr="0DD90B9D">
        <w:t xml:space="preserve">Patients </w:t>
      </w:r>
      <w:r w:rsidR="00C65ADE">
        <w:t>proposed to be</w:t>
      </w:r>
      <w:r w:rsidRPr="0DD90B9D">
        <w:t xml:space="preserve"> eligible for treatment with </w:t>
      </w:r>
      <w:r w:rsidR="00C65ADE">
        <w:t>m</w:t>
      </w:r>
      <w:r w:rsidRPr="0DD90B9D">
        <w:t xml:space="preserve">arstacimab include children and adults aged 12 years and over </w:t>
      </w:r>
      <w:r w:rsidR="00C65ADE">
        <w:t xml:space="preserve">with </w:t>
      </w:r>
      <w:r w:rsidRPr="0DD90B9D">
        <w:t>severe HMA (</w:t>
      </w:r>
      <w:r w:rsidR="00883C0F">
        <w:t xml:space="preserve">congenital factor </w:t>
      </w:r>
      <w:r w:rsidRPr="0DD90B9D">
        <w:t>VIII</w:t>
      </w:r>
      <w:r w:rsidR="003E2036">
        <w:t xml:space="preserve"> deficiency, FVIII </w:t>
      </w:r>
      <w:r w:rsidRPr="0DD90B9D">
        <w:t>&lt; 1%) or severe HMB (</w:t>
      </w:r>
      <w:r w:rsidR="00074A19">
        <w:t xml:space="preserve">congenital factor </w:t>
      </w:r>
      <w:r w:rsidRPr="0DD90B9D">
        <w:t>IX</w:t>
      </w:r>
      <w:r w:rsidR="00074A19">
        <w:t xml:space="preserve"> deficiency, FIX </w:t>
      </w:r>
      <w:r w:rsidRPr="0DD90B9D">
        <w:t xml:space="preserve">&lt;1%) without inhibitors to FVIII or FIX. This population aligns with the </w:t>
      </w:r>
      <w:r w:rsidR="005E4C8D">
        <w:t>registered indication</w:t>
      </w:r>
      <w:r w:rsidRPr="0DD90B9D">
        <w:t xml:space="preserve"> for </w:t>
      </w:r>
      <w:r w:rsidR="00891F9A">
        <w:t>m</w:t>
      </w:r>
      <w:r w:rsidRPr="0DD90B9D">
        <w:t xml:space="preserve">arstacimab </w:t>
      </w:r>
      <w:r>
        <w:t>listed in</w:t>
      </w:r>
      <w:r w:rsidRPr="0DD90B9D">
        <w:t xml:space="preserve"> the Australian </w:t>
      </w:r>
      <w:r>
        <w:t>Register of Therapeutic Goods</w:t>
      </w:r>
      <w:r w:rsidRPr="0DD90B9D">
        <w:t xml:space="preserve"> (</w:t>
      </w:r>
      <w:r>
        <w:t>AR</w:t>
      </w:r>
      <w:r w:rsidRPr="0DD90B9D">
        <w:t>TG) in 2025</w:t>
      </w:r>
      <w:r w:rsidR="001278F4">
        <w:t xml:space="preserve"> (ID 438990)</w:t>
      </w:r>
      <w:r w:rsidR="00A36C13" w:rsidRPr="0DD90B9D">
        <w:t xml:space="preserve">. </w:t>
      </w:r>
    </w:p>
    <w:p w14:paraId="0F681BB1" w14:textId="3B86AB0D" w:rsidR="000374DB" w:rsidRPr="00E507CF" w:rsidRDefault="00647AC9" w:rsidP="00647AC9">
      <w:pPr>
        <w:pStyle w:val="Commentary"/>
        <w:rPr>
          <w:i w:val="0"/>
        </w:rPr>
      </w:pPr>
      <w:r w:rsidRPr="006F6D5C">
        <w:rPr>
          <w:i w:val="0"/>
        </w:rPr>
        <w:t xml:space="preserve">In the </w:t>
      </w:r>
      <w:r w:rsidR="005D7437" w:rsidRPr="006F6D5C">
        <w:rPr>
          <w:i w:val="0"/>
        </w:rPr>
        <w:t>pre</w:t>
      </w:r>
      <w:r w:rsidRPr="006F6D5C">
        <w:rPr>
          <w:i w:val="0"/>
        </w:rPr>
        <w:t xml:space="preserve">-PASC meeting, the </w:t>
      </w:r>
      <w:r w:rsidR="00307B35" w:rsidRPr="006F6D5C">
        <w:rPr>
          <w:i w:val="0"/>
        </w:rPr>
        <w:t>applicant</w:t>
      </w:r>
      <w:r w:rsidRPr="006F6D5C">
        <w:rPr>
          <w:i w:val="0"/>
        </w:rPr>
        <w:t xml:space="preserve"> specified </w:t>
      </w:r>
      <w:r w:rsidR="00776296" w:rsidRPr="006F6D5C">
        <w:rPr>
          <w:i w:val="0"/>
        </w:rPr>
        <w:t>that an absence of inhibitors refers to active inhibitors and that individuals who have had a history of inhibitors</w:t>
      </w:r>
      <w:r w:rsidR="00776296">
        <w:rPr>
          <w:i w:val="0"/>
        </w:rPr>
        <w:t xml:space="preserve"> </w:t>
      </w:r>
      <w:r w:rsidR="004E1482">
        <w:rPr>
          <w:i w:val="0"/>
          <w:iCs/>
        </w:rPr>
        <w:t xml:space="preserve">(but </w:t>
      </w:r>
      <w:r w:rsidR="0094626B">
        <w:rPr>
          <w:i w:val="0"/>
          <w:iCs/>
        </w:rPr>
        <w:t xml:space="preserve">do </w:t>
      </w:r>
      <w:r w:rsidR="004E1482">
        <w:rPr>
          <w:i w:val="0"/>
          <w:iCs/>
        </w:rPr>
        <w:t xml:space="preserve">not currently </w:t>
      </w:r>
      <w:r w:rsidR="0094626B">
        <w:rPr>
          <w:i w:val="0"/>
          <w:iCs/>
        </w:rPr>
        <w:t>have</w:t>
      </w:r>
      <w:r w:rsidR="004E1482">
        <w:rPr>
          <w:i w:val="0"/>
          <w:iCs/>
        </w:rPr>
        <w:t xml:space="preserve"> active inhibitors)</w:t>
      </w:r>
      <w:r w:rsidR="00776296" w:rsidRPr="00E507CF">
        <w:rPr>
          <w:i w:val="0"/>
          <w:iCs/>
        </w:rPr>
        <w:t xml:space="preserve"> </w:t>
      </w:r>
      <w:r w:rsidR="00776296" w:rsidRPr="00E507CF">
        <w:rPr>
          <w:i w:val="0"/>
        </w:rPr>
        <w:t>will still be eligible for marstacimab.</w:t>
      </w:r>
    </w:p>
    <w:p w14:paraId="76428D5A" w14:textId="761B974F" w:rsidR="0081141E" w:rsidRDefault="0081141E" w:rsidP="00772EB6">
      <w:r>
        <w:t xml:space="preserve">Haemophilia is an X-linked congenital bleeding disorder, caused by a deficiency in a coagulation </w:t>
      </w:r>
      <w:r w:rsidR="007921D8" w:rsidRPr="00937FF4">
        <w:t>F</w:t>
      </w:r>
      <w:r w:rsidRPr="00937FF4">
        <w:t>VIII</w:t>
      </w:r>
      <w:r>
        <w:t xml:space="preserve"> in HMA or coagulation FIX in HMB. This deficiency arises from the </w:t>
      </w:r>
      <w:r w:rsidR="00A17C0B">
        <w:t xml:space="preserve">variants </w:t>
      </w:r>
      <w:r>
        <w:t xml:space="preserve">in the </w:t>
      </w:r>
      <w:r w:rsidRPr="00E37EE4">
        <w:rPr>
          <w:i/>
          <w:iCs/>
        </w:rPr>
        <w:t xml:space="preserve">F8 </w:t>
      </w:r>
      <w:r w:rsidRPr="00D528B3">
        <w:t>or</w:t>
      </w:r>
      <w:r w:rsidRPr="00E37EE4">
        <w:rPr>
          <w:i/>
          <w:iCs/>
        </w:rPr>
        <w:t xml:space="preserve"> F9 </w:t>
      </w:r>
      <w:r w:rsidRPr="00D528B3">
        <w:t>genes</w:t>
      </w:r>
      <w:r w:rsidRPr="00E37EE4">
        <w:rPr>
          <w:i/>
          <w:iCs/>
        </w:rPr>
        <w:t>,</w:t>
      </w:r>
      <w:r>
        <w:t xml:space="preserve"> which encode the respective clotting factors</w:t>
      </w:r>
      <w:r w:rsidR="00310205">
        <w:rPr>
          <w:rStyle w:val="FootnoteReference"/>
        </w:rPr>
        <w:footnoteReference w:id="2"/>
      </w:r>
      <w:r>
        <w:t xml:space="preserve">. As illustrated in </w:t>
      </w:r>
      <w:r w:rsidR="005B2CFC">
        <w:fldChar w:fldCharType="begin"/>
      </w:r>
      <w:r w:rsidR="005B2CFC">
        <w:instrText xml:space="preserve"> REF _Ref199499962 \h </w:instrText>
      </w:r>
      <w:r w:rsidR="005B2CFC">
        <w:fldChar w:fldCharType="separate"/>
      </w:r>
      <w:r w:rsidR="001D119F" w:rsidRPr="001A0617">
        <w:t xml:space="preserve">Figure </w:t>
      </w:r>
      <w:r w:rsidR="001D119F">
        <w:rPr>
          <w:noProof/>
        </w:rPr>
        <w:t>1</w:t>
      </w:r>
      <w:r w:rsidR="005B2CFC">
        <w:fldChar w:fldCharType="end"/>
      </w:r>
      <w:r>
        <w:t xml:space="preserve">, the clotting cascade involves a complex interaction of the coagulation factors. In HMA and HMB, the disruption of FVIII and FIX impairs the cascade, resulting in prolonged bleeding. </w:t>
      </w:r>
    </w:p>
    <w:p w14:paraId="72F84E6C" w14:textId="73DD988D" w:rsidR="00103E86" w:rsidRDefault="00103E86" w:rsidP="00A62A40">
      <w:r w:rsidRPr="00D1653A">
        <w:rPr>
          <w:noProof/>
        </w:rPr>
        <w:lastRenderedPageBreak/>
        <w:drawing>
          <wp:inline distT="0" distB="0" distL="0" distR="0" wp14:anchorId="4E8A3D43" wp14:editId="4CA6B9E7">
            <wp:extent cx="6083935" cy="4814570"/>
            <wp:effectExtent l="0" t="0" r="0" b="5080"/>
            <wp:docPr id="2083953030" name="Picture 1" descr="A diagram of the clotting cascade. Affected factors in haemophilia A and B are surrounded in re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53030" name="Picture 1" descr="A diagram of the clotting cascade. Affected factors in haemophilia A and B are surrounded in red box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3935" cy="4814570"/>
                    </a:xfrm>
                    <a:prstGeom prst="rect">
                      <a:avLst/>
                    </a:prstGeom>
                    <a:noFill/>
                    <a:ln>
                      <a:noFill/>
                    </a:ln>
                  </pic:spPr>
                </pic:pic>
              </a:graphicData>
            </a:graphic>
          </wp:inline>
        </w:drawing>
      </w:r>
    </w:p>
    <w:p w14:paraId="38854E0E" w14:textId="36F22FAE" w:rsidR="009179ED" w:rsidRPr="001A0617" w:rsidRDefault="009179ED" w:rsidP="009179ED">
      <w:pPr>
        <w:pStyle w:val="Caption"/>
        <w:rPr>
          <w:lang w:val="en-AU"/>
        </w:rPr>
      </w:pPr>
      <w:bookmarkStart w:id="5" w:name="_Ref199499962"/>
      <w:r w:rsidRPr="001A0617">
        <w:rPr>
          <w:lang w:val="en-AU"/>
        </w:rPr>
        <w:t xml:space="preserve">Figure </w:t>
      </w:r>
      <w:r w:rsidRPr="001A0617">
        <w:rPr>
          <w:lang w:val="en-AU"/>
        </w:rPr>
        <w:fldChar w:fldCharType="begin"/>
      </w:r>
      <w:r w:rsidRPr="001A0617">
        <w:rPr>
          <w:lang w:val="en-AU"/>
        </w:rPr>
        <w:instrText xml:space="preserve"> SEQ Figure \* ARABIC </w:instrText>
      </w:r>
      <w:r w:rsidRPr="001A0617">
        <w:rPr>
          <w:lang w:val="en-AU"/>
        </w:rPr>
        <w:fldChar w:fldCharType="separate"/>
      </w:r>
      <w:r w:rsidR="001D119F">
        <w:rPr>
          <w:noProof/>
          <w:lang w:val="en-AU"/>
        </w:rPr>
        <w:t>1</w:t>
      </w:r>
      <w:r w:rsidRPr="001A0617">
        <w:rPr>
          <w:lang w:val="en-AU"/>
        </w:rPr>
        <w:fldChar w:fldCharType="end"/>
      </w:r>
      <w:bookmarkEnd w:id="5"/>
      <w:r w:rsidRPr="001A0617">
        <w:rPr>
          <w:lang w:val="en-AU"/>
        </w:rPr>
        <w:t xml:space="preserve"> The clotting cascade</w:t>
      </w:r>
    </w:p>
    <w:p w14:paraId="0556A195" w14:textId="65C60166" w:rsidR="007031B8" w:rsidRDefault="007031B8" w:rsidP="007031B8">
      <w:pPr>
        <w:pStyle w:val="Tablenotes"/>
      </w:pPr>
      <w:r>
        <w:t xml:space="preserve">Source: Figure 1 </w:t>
      </w:r>
      <w:r w:rsidR="00F37083">
        <w:fldChar w:fldCharType="begin"/>
      </w:r>
      <w:r w:rsidR="003A567E">
        <w:instrText xml:space="preserve"> ADDIN EN.CITE &lt;EndNote&gt;&lt;Cite AuthorYear="1"&gt;&lt;Author&gt;Badulescu&lt;/Author&gt;&lt;Year&gt;2024&lt;/Year&gt;&lt;RecNum&gt;36&lt;/RecNum&gt;&lt;DisplayText&gt;Badulescu et al. (2024)&lt;/DisplayText&gt;&lt;record&gt;&lt;rec-number&gt;36&lt;/rec-number&gt;&lt;foreign-keys&gt;&lt;key app="EN" db-id="wrdwrvxxvt5dstesdtovsevj50f2z9xw099s" timestamp="1747882151"&gt;36&lt;/key&gt;&lt;/foreign-keys&gt;&lt;ref-type name="Journal Article"&gt;17&lt;/ref-type&gt;&lt;contributors&gt;&lt;authors&gt;&lt;author&gt;Badulescu, Oana Viola&lt;/author&gt;&lt;author&gt;Badescu, Minerva Codruta&lt;/author&gt;&lt;author&gt;Bojan, Iris Bararu&lt;/author&gt;&lt;author&gt;Vladeanu, Maria&lt;/author&gt;&lt;author&gt;Filip, Nina&lt;/author&gt;&lt;author&gt;Dobreanu, Stefan&lt;/author&gt;&lt;author&gt;Tudor, Razvan&lt;/author&gt;&lt;author&gt;Ciuntu, Bogdan-Mihnea&lt;/author&gt;&lt;author&gt;Tanevski, Adelina&lt;/author&gt;&lt;author&gt;Ciocoiu, Manuela&lt;/author&gt;&lt;/authors&gt;&lt;/contributors&gt;&lt;titles&gt;&lt;title&gt;Thrombotic Disease in Hemophilic Patients: Is This a Paradox in a State of Hypocoagulability?&lt;/title&gt;&lt;secondary-title&gt;Diagnostics&lt;/secondary-title&gt;&lt;/titles&gt;&lt;periodical&gt;&lt;full-title&gt;Diagnostics&lt;/full-title&gt;&lt;/periodical&gt;&lt;pages&gt;286&lt;/pages&gt;&lt;volume&gt;14&lt;/volume&gt;&lt;number&gt;3&lt;/number&gt;&lt;dates&gt;&lt;year&gt;2024&lt;/year&gt;&lt;/dates&gt;&lt;isbn&gt;2075-4418&lt;/isbn&gt;&lt;accession-num&gt;doi:10.3390/diagnostics14030286&lt;/accession-num&gt;&lt;urls&gt;&lt;related-urls&gt;&lt;url&gt;https://www.mdpi.com/2075-4418/14/3/286&lt;/url&gt;&lt;/related-urls&gt;&lt;/urls&gt;&lt;/record&gt;&lt;/Cite&gt;&lt;/EndNote&gt;</w:instrText>
      </w:r>
      <w:r w:rsidR="00F37083">
        <w:fldChar w:fldCharType="separate"/>
      </w:r>
      <w:r w:rsidR="003A567E">
        <w:rPr>
          <w:noProof/>
        </w:rPr>
        <w:t>Badulescu et al. (2024)</w:t>
      </w:r>
      <w:r w:rsidR="00F37083">
        <w:fldChar w:fldCharType="end"/>
      </w:r>
      <w:r>
        <w:t xml:space="preserve"> Licensed under Creative Commons</w:t>
      </w:r>
      <w:r w:rsidRPr="00A449B2">
        <w:t xml:space="preserve"> Attribution (CC BY) license</w:t>
      </w:r>
      <w:r>
        <w:t xml:space="preserve"> (</w:t>
      </w:r>
      <w:hyperlink r:id="rId9" w:history="1">
        <w:r w:rsidRPr="00983DC5">
          <w:rPr>
            <w:rStyle w:val="Hyperlink"/>
            <w:rFonts w:ascii="Arial Narrow" w:hAnsi="Arial Narrow" w:cs="Arial"/>
          </w:rPr>
          <w:t>https://creativecommons.org/licenses/by/4.0/</w:t>
        </w:r>
      </w:hyperlink>
      <w:r w:rsidRPr="00A449B2">
        <w:t>)</w:t>
      </w:r>
    </w:p>
    <w:p w14:paraId="67819397" w14:textId="72700107" w:rsidR="007031B8" w:rsidRDefault="007031B8" w:rsidP="007031B8">
      <w:pPr>
        <w:pStyle w:val="Tablenotes"/>
      </w:pPr>
      <w:r>
        <w:t xml:space="preserve">TFPI = </w:t>
      </w:r>
      <w:r w:rsidRPr="00966253">
        <w:t xml:space="preserve">tissue factor pathway </w:t>
      </w:r>
      <w:r w:rsidR="00026253" w:rsidRPr="00937FF4">
        <w:t>inhibitor.</w:t>
      </w:r>
    </w:p>
    <w:p w14:paraId="6EC4649F" w14:textId="18BB8189" w:rsidR="00AD20F3" w:rsidRDefault="00D054BE" w:rsidP="00EC3136">
      <w:pPr>
        <w:pStyle w:val="Tablenotes"/>
      </w:pPr>
      <w:r>
        <w:t>Note: the factors affected by marstacimab (</w:t>
      </w:r>
      <w:r w:rsidR="0081282C" w:rsidRPr="008C1E14">
        <w:t>I</w:t>
      </w:r>
      <w:r>
        <w:t>X and VIII) are highlighted in red boxes.</w:t>
      </w:r>
    </w:p>
    <w:p w14:paraId="4124A1C2" w14:textId="1CC5BB75" w:rsidR="000D4CC9" w:rsidRDefault="000D4CC9" w:rsidP="000D4CC9">
      <w:r>
        <w:t>Haemophilia typically affects males and is inherited through the maternal line</w:t>
      </w:r>
      <w:r w:rsidR="00EA08FC" w:rsidRPr="00937FF4">
        <w:t xml:space="preserve"> due to being X-linked</w:t>
      </w:r>
      <w:r w:rsidRPr="00937FF4">
        <w:t>.</w:t>
      </w:r>
      <w:r>
        <w:t xml:space="preserve"> However, females who carry a variant in a clotting factor gene can also have reduced levels of clotting factor and may be diagnosed with haemophilia. Additionally, both </w:t>
      </w:r>
      <w:r w:rsidRPr="00F75B6E">
        <w:rPr>
          <w:i/>
          <w:iCs/>
        </w:rPr>
        <w:t>F8</w:t>
      </w:r>
      <w:r>
        <w:t xml:space="preserve"> and </w:t>
      </w:r>
      <w:r w:rsidRPr="00F75B6E">
        <w:rPr>
          <w:i/>
          <w:iCs/>
        </w:rPr>
        <w:t>F9</w:t>
      </w:r>
      <w:r>
        <w:t xml:space="preserve"> genes are susceptible to </w:t>
      </w:r>
      <w:r w:rsidRPr="00A03E16">
        <w:rPr>
          <w:i/>
          <w:iCs/>
        </w:rPr>
        <w:t>de novo</w:t>
      </w:r>
      <w:r>
        <w:t xml:space="preserve"> variants, and up to one-third of haemophilia cases arise from spontaneous variants with no prior family history </w:t>
      </w:r>
      <w:r w:rsidR="00F37083">
        <w:fldChar w:fldCharType="begin">
          <w:fldData xml:space="preserve">PEVuZE5vdGU+PENpdGU+PEF1dGhvcj5Tcml2YXN0YXZhPC9BdXRob3I+PFllYXI+MjAyMDwvWWVh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</w:fldData>
        </w:fldChar>
      </w:r>
      <w:r w:rsidR="00F37083">
        <w:instrText xml:space="preserve"> ADDIN EN.CITE </w:instrText>
      </w:r>
      <w:r w:rsidR="00F37083">
        <w:fldChar w:fldCharType="begin">
          <w:fldData xml:space="preserve">PEVuZE5vdGU+PENpdGU+PEF1dGhvcj5Tcml2YXN0YXZhPC9BdXRob3I+PFllYXI+MjAyMDwvWWVh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</w:fldData>
        </w:fldChar>
      </w:r>
      <w:r w:rsidR="00F37083">
        <w:instrText xml:space="preserve"> ADDIN EN.CITE.DATA </w:instrText>
      </w:r>
      <w:r w:rsidR="00F37083">
        <w:fldChar w:fldCharType="end"/>
      </w:r>
      <w:r w:rsidR="00F37083">
        <w:fldChar w:fldCharType="separate"/>
      </w:r>
      <w:r w:rsidR="00F37083" w:rsidRPr="001A0617">
        <w:t>(Srivastava et al. 2020)</w:t>
      </w:r>
      <w:r w:rsidR="00F37083">
        <w:fldChar w:fldCharType="end"/>
      </w:r>
      <w:r>
        <w:t>.</w:t>
      </w:r>
    </w:p>
    <w:p w14:paraId="1AD6F317" w14:textId="16742972" w:rsidR="00474055" w:rsidRDefault="00474055" w:rsidP="00772EB6">
      <w:r w:rsidRPr="006602A6">
        <w:t xml:space="preserve">There are three levels of haemophilia: </w:t>
      </w:r>
      <w:r w:rsidR="00CD5C1F" w:rsidRPr="00CD5C1F">
        <w:t>mild, moderate and severe</w:t>
      </w:r>
      <w:r w:rsidRPr="006602A6">
        <w:t xml:space="preserve">. The level of severity depends on the amount of clotting factor </w:t>
      </w:r>
      <w:r w:rsidR="00ED5ECF">
        <w:t xml:space="preserve">activity </w:t>
      </w:r>
      <w:r w:rsidRPr="006602A6">
        <w:t xml:space="preserve">in the person’s blood as shown in </w:t>
      </w:r>
      <w:r w:rsidR="007C067A">
        <w:fldChar w:fldCharType="begin"/>
      </w:r>
      <w:r w:rsidR="007C067A">
        <w:instrText xml:space="preserve"> REF _Ref69732160 \h </w:instrText>
      </w:r>
      <w:r w:rsidR="007C067A">
        <w:fldChar w:fldCharType="separate"/>
      </w:r>
      <w:r w:rsidR="001D119F" w:rsidRPr="000C5DD2">
        <w:t>Table </w:t>
      </w:r>
      <w:r w:rsidR="00092FC5">
        <w:t>2</w:t>
      </w:r>
      <w:r w:rsidR="007C067A">
        <w:fldChar w:fldCharType="end"/>
      </w:r>
      <w:r w:rsidRPr="006602A6">
        <w:rPr>
          <w:b/>
          <w:bCs/>
        </w:rPr>
        <w:t>.</w:t>
      </w:r>
      <w:r>
        <w:rPr>
          <w:b/>
          <w:bCs/>
        </w:rPr>
        <w:t xml:space="preserve"> </w:t>
      </w:r>
      <w:r>
        <w:t>A person with haemophilia will usually have the same level of severity over the</w:t>
      </w:r>
      <w:r w:rsidR="00C1175B">
        <w:t>ir</w:t>
      </w:r>
      <w:r>
        <w:t xml:space="preserve"> </w:t>
      </w:r>
      <w:r w:rsidR="00026253" w:rsidRPr="00937FF4">
        <w:t>lifetime</w:t>
      </w:r>
      <w:r w:rsidR="00670DD3">
        <w:t>.</w:t>
      </w:r>
      <w:r>
        <w:t xml:space="preserve"> Within a family, males </w:t>
      </w:r>
      <w:r w:rsidR="00E47D65">
        <w:t xml:space="preserve">with </w:t>
      </w:r>
      <w:r>
        <w:t xml:space="preserve">haemophilia will also nearly always have the same level of severity, </w:t>
      </w:r>
      <w:r w:rsidR="00EA03CB">
        <w:t>e.g.</w:t>
      </w:r>
      <w:r>
        <w:t xml:space="preserve"> if a grandfather has severe haemophilia and his grandson inherited haemophilia, his grandson will also have severe haemophilia. However, factor levels </w:t>
      </w:r>
      <w:r w:rsidR="00AD03B5">
        <w:t xml:space="preserve">in females with </w:t>
      </w:r>
      <w:r>
        <w:t xml:space="preserve">haemophilia are unpredictable, and severity can vary between females within the same family </w:t>
      </w:r>
      <w:r w:rsidR="00F37083">
        <w:fldChar w:fldCharType="begin"/>
      </w:r>
      <w:r w:rsidR="00F37083">
        <w:instrText xml:space="preserve"> ADDIN EN.CITE &lt;EndNote&gt;&lt;Cite&gt;&lt;Author&gt;Haemophilia Foundation Australia&lt;/Author&gt;&lt;Year&gt;2023&lt;/Year&gt;&lt;RecNum&gt;13&lt;/RecNum&gt;&lt;DisplayText&gt;(Haemophilia Foundation Australia 2023)&lt;/DisplayText&gt;&lt;record&gt;&lt;rec-number&gt;13&lt;/rec-number&gt;&lt;foreign-keys&gt;&lt;key app="EN" db-id="wrdwrvxxvt5dstesdtovsevj50f2z9xw099s" timestamp="1747872576"&gt;13&lt;/key&gt;&lt;/foreign-keys&gt;&lt;ref-type name="Pamphlet"&gt;24&lt;/ref-type&gt;&lt;contributors&gt;&lt;authors&gt;&lt;author&gt;Haemophilia Foundation Australia,&lt;/author&gt;&lt;/authors&gt;&lt;secondary-authors&gt;&lt;author&gt;Haemophilia Foundation Australia,&lt;/author&gt;&lt;/secondary-authors&gt;&lt;/contributors&gt;&lt;titles&gt;&lt;title&gt;Haemophilia&lt;/title&gt;&lt;/titles&gt;&lt;dates&gt;&lt;year&gt;2023&lt;/year&gt;&lt;pub-dates&gt;&lt;date&gt;August 2023&lt;/date&gt;&lt;/pub-dates&gt;&lt;/dates&gt;&lt;urls&gt;&lt;/urls&gt;&lt;/record&gt;&lt;/Cite&gt;&lt;/EndNote&gt;</w:instrText>
      </w:r>
      <w:r w:rsidR="00F37083">
        <w:fldChar w:fldCharType="separate"/>
      </w:r>
      <w:r w:rsidR="00F37083" w:rsidRPr="001A0617">
        <w:t>(Haemophilia Foundation Australia 2023)</w:t>
      </w:r>
      <w:r w:rsidR="00F37083">
        <w:fldChar w:fldCharType="end"/>
      </w:r>
      <w:r>
        <w:t>.</w:t>
      </w:r>
    </w:p>
    <w:p w14:paraId="1365BA13" w14:textId="0DE1A008" w:rsidR="007C067A" w:rsidRPr="001A0617" w:rsidRDefault="007C067A" w:rsidP="007C067A">
      <w:pPr>
        <w:pStyle w:val="Caption"/>
        <w:rPr>
          <w:b w:val="0"/>
          <w:sz w:val="22"/>
          <w:szCs w:val="22"/>
          <w:lang w:val="en-AU"/>
        </w:rPr>
      </w:pPr>
      <w:r w:rsidRPr="001A0617">
        <w:rPr>
          <w:lang w:val="en-AU"/>
        </w:rPr>
        <w:lastRenderedPageBreak/>
        <w:t xml:space="preserve">Table </w:t>
      </w:r>
      <w:r w:rsidRPr="001A0617">
        <w:rPr>
          <w:lang w:val="en-AU"/>
        </w:rPr>
        <w:fldChar w:fldCharType="begin"/>
      </w:r>
      <w:r>
        <w:instrText xml:space="preserve"> SEQ Table \* ARABIC </w:instrText>
      </w:r>
      <w:r w:rsidRPr="001A0617">
        <w:rPr>
          <w:lang w:val="en-AU"/>
        </w:rPr>
        <w:fldChar w:fldCharType="separate"/>
      </w:r>
      <w:r w:rsidR="001D119F">
        <w:rPr>
          <w:noProof/>
        </w:rPr>
        <w:t>2</w:t>
      </w:r>
      <w:r w:rsidRPr="001A0617">
        <w:rPr>
          <w:lang w:val="en-AU"/>
        </w:rPr>
        <w:fldChar w:fldCharType="end"/>
      </w:r>
      <w:r w:rsidRPr="001A0617">
        <w:rPr>
          <w:lang w:val="en-AU"/>
        </w:rPr>
        <w:t xml:space="preserve"> Relationship of bleeding severity to clotting factor</w:t>
      </w:r>
    </w:p>
    <w:tbl>
      <w:tblPr>
        <w:tblpPr w:leftFromText="180" w:rightFromText="180" w:vertAnchor="text" w:horzAnchor="margin" w:tblpY="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3304"/>
        <w:gridCol w:w="4646"/>
      </w:tblGrid>
      <w:tr w:rsidR="00474055" w:rsidRPr="00AC4201" w14:paraId="224DDF4D" w14:textId="77777777" w:rsidTr="00CD5C1F">
        <w:trPr>
          <w:cantSplit/>
          <w:tblHeader/>
        </w:trPr>
        <w:tc>
          <w:tcPr>
            <w:tcW w:w="847" w:type="pct"/>
            <w:shd w:val="clear" w:color="auto" w:fill="F2F2F2" w:themeFill="background1" w:themeFillShade="F2"/>
          </w:tcPr>
          <w:p w14:paraId="43386B2F" w14:textId="77777777" w:rsidR="00474055" w:rsidRPr="00CD5C1F" w:rsidRDefault="00474055" w:rsidP="00F056D3">
            <w:pPr>
              <w:pStyle w:val="TableText0"/>
              <w:rPr>
                <w:b/>
                <w:bCs/>
              </w:rPr>
            </w:pPr>
            <w:r w:rsidRPr="00CD5C1F">
              <w:rPr>
                <w:b/>
                <w:bCs/>
              </w:rPr>
              <w:t>Severity</w:t>
            </w:r>
          </w:p>
        </w:tc>
        <w:tc>
          <w:tcPr>
            <w:tcW w:w="1726" w:type="pct"/>
            <w:shd w:val="clear" w:color="auto" w:fill="F2F2F2" w:themeFill="background1" w:themeFillShade="F2"/>
          </w:tcPr>
          <w:p w14:paraId="6674BBE5" w14:textId="05D3E7F9" w:rsidR="00474055" w:rsidRPr="00CD5C1F" w:rsidRDefault="00474055" w:rsidP="00F056D3">
            <w:pPr>
              <w:pStyle w:val="TableText0"/>
              <w:rPr>
                <w:b/>
                <w:bCs/>
              </w:rPr>
            </w:pPr>
            <w:r w:rsidRPr="00CD5C1F">
              <w:rPr>
                <w:b/>
                <w:bCs/>
              </w:rPr>
              <w:t>Clotting factor level</w:t>
            </w:r>
            <w:r w:rsidR="00346F4B">
              <w:rPr>
                <w:b/>
                <w:bCs/>
              </w:rPr>
              <w:t xml:space="preserve"> </w:t>
            </w:r>
            <w:r w:rsidR="00164745">
              <w:rPr>
                <w:b/>
                <w:bCs/>
              </w:rPr>
              <w:t>activity (%</w:t>
            </w:r>
            <w:r w:rsidR="00B46ECE">
              <w:rPr>
                <w:b/>
                <w:bCs/>
              </w:rPr>
              <w:t>)</w:t>
            </w:r>
          </w:p>
        </w:tc>
        <w:tc>
          <w:tcPr>
            <w:tcW w:w="2427" w:type="pct"/>
            <w:shd w:val="clear" w:color="auto" w:fill="F2F2F2" w:themeFill="background1" w:themeFillShade="F2"/>
          </w:tcPr>
          <w:p w14:paraId="27592785" w14:textId="77777777" w:rsidR="00474055" w:rsidRPr="00CD5C1F" w:rsidRDefault="00474055" w:rsidP="00F056D3">
            <w:pPr>
              <w:pStyle w:val="TableText0"/>
              <w:rPr>
                <w:b/>
                <w:bCs/>
              </w:rPr>
            </w:pPr>
            <w:r w:rsidRPr="00CD5C1F">
              <w:rPr>
                <w:b/>
                <w:bCs/>
              </w:rPr>
              <w:t>Bleeding episodes</w:t>
            </w:r>
          </w:p>
        </w:tc>
      </w:tr>
      <w:tr w:rsidR="00474055" w:rsidRPr="00AC4201" w14:paraId="596C2ED4" w14:textId="77777777" w:rsidTr="00474055">
        <w:trPr>
          <w:cantSplit/>
          <w:tblHeader/>
        </w:trPr>
        <w:tc>
          <w:tcPr>
            <w:tcW w:w="847" w:type="pct"/>
            <w:tcBorders>
              <w:top w:val="single" w:sz="4" w:space="0" w:color="auto"/>
              <w:left w:val="single" w:sz="4" w:space="0" w:color="auto"/>
              <w:bottom w:val="single" w:sz="4" w:space="0" w:color="auto"/>
              <w:right w:val="single" w:sz="4" w:space="0" w:color="auto"/>
            </w:tcBorders>
          </w:tcPr>
          <w:p w14:paraId="207C597A" w14:textId="77777777" w:rsidR="00474055" w:rsidRPr="00F056D3" w:rsidRDefault="00474055" w:rsidP="00F056D3">
            <w:pPr>
              <w:pStyle w:val="TableText0"/>
            </w:pPr>
            <w:r w:rsidRPr="00F056D3">
              <w:t>Severe</w:t>
            </w:r>
          </w:p>
        </w:tc>
        <w:tc>
          <w:tcPr>
            <w:tcW w:w="1726" w:type="pct"/>
            <w:tcBorders>
              <w:top w:val="single" w:sz="4" w:space="0" w:color="auto"/>
              <w:left w:val="single" w:sz="4" w:space="0" w:color="auto"/>
              <w:bottom w:val="single" w:sz="4" w:space="0" w:color="auto"/>
              <w:right w:val="single" w:sz="4" w:space="0" w:color="auto"/>
            </w:tcBorders>
          </w:tcPr>
          <w:p w14:paraId="5D816241" w14:textId="77777777" w:rsidR="00474055" w:rsidRPr="00F056D3" w:rsidRDefault="00474055" w:rsidP="00F056D3">
            <w:pPr>
              <w:pStyle w:val="TableText0"/>
            </w:pPr>
            <w:r w:rsidRPr="00F056D3">
              <w:t>&lt;1 IU/dl (&lt;0.01 IU/ml) or</w:t>
            </w:r>
          </w:p>
          <w:p w14:paraId="47A335A6" w14:textId="77777777" w:rsidR="00474055" w:rsidRPr="00F056D3" w:rsidRDefault="00474055" w:rsidP="00F056D3">
            <w:pPr>
              <w:pStyle w:val="TableText0"/>
            </w:pPr>
            <w:r w:rsidRPr="00F056D3">
              <w:t>&lt;1% of normal</w:t>
            </w:r>
          </w:p>
        </w:tc>
        <w:tc>
          <w:tcPr>
            <w:tcW w:w="2427" w:type="pct"/>
            <w:tcBorders>
              <w:top w:val="single" w:sz="4" w:space="0" w:color="auto"/>
              <w:left w:val="single" w:sz="4" w:space="0" w:color="auto"/>
              <w:bottom w:val="single" w:sz="4" w:space="0" w:color="auto"/>
              <w:right w:val="single" w:sz="4" w:space="0" w:color="auto"/>
            </w:tcBorders>
          </w:tcPr>
          <w:p w14:paraId="5B4DF992" w14:textId="77777777" w:rsidR="00474055" w:rsidRPr="00F056D3" w:rsidRDefault="00474055" w:rsidP="00F056D3">
            <w:pPr>
              <w:pStyle w:val="TableText0"/>
            </w:pPr>
            <w:r w:rsidRPr="00F056D3">
              <w:t>Spontaneous bleeding into joints or muscles, predominantly in the absence of identifiable haemostatic challenge</w:t>
            </w:r>
          </w:p>
        </w:tc>
      </w:tr>
      <w:tr w:rsidR="00474055" w:rsidRPr="00AC4201" w14:paraId="5003E714" w14:textId="77777777" w:rsidTr="00474055">
        <w:trPr>
          <w:cantSplit/>
          <w:tblHeader/>
        </w:trPr>
        <w:tc>
          <w:tcPr>
            <w:tcW w:w="847" w:type="pct"/>
            <w:tcBorders>
              <w:top w:val="single" w:sz="4" w:space="0" w:color="auto"/>
              <w:left w:val="single" w:sz="4" w:space="0" w:color="auto"/>
              <w:bottom w:val="single" w:sz="4" w:space="0" w:color="auto"/>
              <w:right w:val="single" w:sz="4" w:space="0" w:color="auto"/>
            </w:tcBorders>
          </w:tcPr>
          <w:p w14:paraId="264D5E39" w14:textId="77777777" w:rsidR="00474055" w:rsidRPr="00F056D3" w:rsidRDefault="00474055" w:rsidP="00F056D3">
            <w:pPr>
              <w:pStyle w:val="TableText0"/>
            </w:pPr>
            <w:r w:rsidRPr="00F056D3">
              <w:t>Moderate</w:t>
            </w:r>
          </w:p>
        </w:tc>
        <w:tc>
          <w:tcPr>
            <w:tcW w:w="1726" w:type="pct"/>
            <w:tcBorders>
              <w:top w:val="single" w:sz="4" w:space="0" w:color="auto"/>
              <w:left w:val="single" w:sz="4" w:space="0" w:color="auto"/>
              <w:bottom w:val="single" w:sz="4" w:space="0" w:color="auto"/>
              <w:right w:val="single" w:sz="4" w:space="0" w:color="auto"/>
            </w:tcBorders>
          </w:tcPr>
          <w:p w14:paraId="01247712" w14:textId="77777777" w:rsidR="00474055" w:rsidRPr="00F056D3" w:rsidRDefault="00474055" w:rsidP="00F056D3">
            <w:pPr>
              <w:pStyle w:val="TableText0"/>
            </w:pPr>
            <w:r w:rsidRPr="00F056D3">
              <w:t>1– 5 IU/dl (0.01– 0.05 IU/ml) or</w:t>
            </w:r>
          </w:p>
          <w:p w14:paraId="6EF89027" w14:textId="17DCA272" w:rsidR="00474055" w:rsidRPr="00F056D3" w:rsidRDefault="00474055" w:rsidP="00F056D3">
            <w:pPr>
              <w:pStyle w:val="TableText0"/>
            </w:pPr>
            <w:r w:rsidRPr="00F056D3">
              <w:t>1–5% of normal</w:t>
            </w:r>
          </w:p>
        </w:tc>
        <w:tc>
          <w:tcPr>
            <w:tcW w:w="2427" w:type="pct"/>
            <w:tcBorders>
              <w:top w:val="single" w:sz="4" w:space="0" w:color="auto"/>
              <w:left w:val="single" w:sz="4" w:space="0" w:color="auto"/>
              <w:bottom w:val="single" w:sz="4" w:space="0" w:color="auto"/>
              <w:right w:val="single" w:sz="4" w:space="0" w:color="auto"/>
            </w:tcBorders>
          </w:tcPr>
          <w:p w14:paraId="50BF2539" w14:textId="77777777" w:rsidR="00474055" w:rsidRPr="00F056D3" w:rsidRDefault="00474055" w:rsidP="00F056D3">
            <w:pPr>
              <w:pStyle w:val="TableText0"/>
            </w:pPr>
            <w:r w:rsidRPr="00F056D3">
              <w:t>Occasional spontaneous bleeding; prolonged bleeding with minor trauma or surgery</w:t>
            </w:r>
          </w:p>
        </w:tc>
      </w:tr>
      <w:tr w:rsidR="00474055" w:rsidRPr="00AC4201" w14:paraId="205C9FCC" w14:textId="77777777" w:rsidTr="00474055">
        <w:trPr>
          <w:cantSplit/>
          <w:tblHeader/>
        </w:trPr>
        <w:tc>
          <w:tcPr>
            <w:tcW w:w="847" w:type="pct"/>
            <w:tcBorders>
              <w:top w:val="single" w:sz="4" w:space="0" w:color="auto"/>
              <w:left w:val="single" w:sz="4" w:space="0" w:color="auto"/>
              <w:bottom w:val="single" w:sz="4" w:space="0" w:color="auto"/>
              <w:right w:val="single" w:sz="4" w:space="0" w:color="auto"/>
            </w:tcBorders>
          </w:tcPr>
          <w:p w14:paraId="40C4CF45" w14:textId="77777777" w:rsidR="00474055" w:rsidRPr="00F056D3" w:rsidRDefault="00474055" w:rsidP="00F056D3">
            <w:pPr>
              <w:pStyle w:val="TableText0"/>
            </w:pPr>
            <w:r w:rsidRPr="00F056D3">
              <w:t>Mild</w:t>
            </w:r>
          </w:p>
        </w:tc>
        <w:tc>
          <w:tcPr>
            <w:tcW w:w="1726" w:type="pct"/>
            <w:tcBorders>
              <w:top w:val="single" w:sz="4" w:space="0" w:color="auto"/>
              <w:left w:val="single" w:sz="4" w:space="0" w:color="auto"/>
              <w:bottom w:val="single" w:sz="4" w:space="0" w:color="auto"/>
              <w:right w:val="single" w:sz="4" w:space="0" w:color="auto"/>
            </w:tcBorders>
          </w:tcPr>
          <w:p w14:paraId="59505E36" w14:textId="361F583A" w:rsidR="00474055" w:rsidRPr="00F056D3" w:rsidRDefault="00474055" w:rsidP="00F056D3">
            <w:pPr>
              <w:pStyle w:val="TableText0"/>
            </w:pPr>
            <w:r w:rsidRPr="00F056D3">
              <w:t>5</w:t>
            </w:r>
            <w:r w:rsidR="008F3A94">
              <w:t xml:space="preserve"> </w:t>
            </w:r>
            <w:r w:rsidRPr="00F056D3">
              <w:t>–</w:t>
            </w:r>
            <w:r w:rsidR="008F3A94">
              <w:t xml:space="preserve"> </w:t>
            </w:r>
            <w:r w:rsidRPr="00F056D3">
              <w:t>40 IU/dl (0.05–0.40 IU/ml) or</w:t>
            </w:r>
          </w:p>
          <w:p w14:paraId="7B3B16C7" w14:textId="77777777" w:rsidR="00474055" w:rsidRPr="00F056D3" w:rsidRDefault="00474055" w:rsidP="00F056D3">
            <w:pPr>
              <w:pStyle w:val="TableText0"/>
            </w:pPr>
            <w:r w:rsidRPr="00F056D3">
              <w:t>5% to &lt;40% of normal</w:t>
            </w:r>
          </w:p>
        </w:tc>
        <w:tc>
          <w:tcPr>
            <w:tcW w:w="2427" w:type="pct"/>
            <w:tcBorders>
              <w:top w:val="single" w:sz="4" w:space="0" w:color="auto"/>
              <w:left w:val="single" w:sz="4" w:space="0" w:color="auto"/>
              <w:bottom w:val="single" w:sz="4" w:space="0" w:color="auto"/>
              <w:right w:val="single" w:sz="4" w:space="0" w:color="auto"/>
            </w:tcBorders>
          </w:tcPr>
          <w:p w14:paraId="24E5D657" w14:textId="77777777" w:rsidR="00474055" w:rsidRPr="00F056D3" w:rsidRDefault="00474055" w:rsidP="00F056D3">
            <w:pPr>
              <w:pStyle w:val="TableText0"/>
            </w:pPr>
            <w:r w:rsidRPr="00F056D3">
              <w:t>Severe bleeding with major trauma or surgery; spontaneous bleeding is rare</w:t>
            </w:r>
          </w:p>
        </w:tc>
      </w:tr>
    </w:tbl>
    <w:p w14:paraId="1C6B26EF" w14:textId="5E8F6F4A" w:rsidR="00474055" w:rsidRDefault="00474055" w:rsidP="00CD5C1F">
      <w:pPr>
        <w:pStyle w:val="Tablenotes"/>
      </w:pPr>
      <w:r w:rsidRPr="00474055">
        <w:t xml:space="preserve">Source: </w:t>
      </w:r>
      <w:r w:rsidR="00F14587">
        <w:t xml:space="preserve">Table 1, </w:t>
      </w:r>
      <w:r w:rsidR="00F14587" w:rsidRPr="00A85CEF">
        <w:t>MBS Application PICO set document_Pfizer_marstacimab_March 2025</w:t>
      </w:r>
    </w:p>
    <w:p w14:paraId="199FF3F1" w14:textId="6F84ECB1" w:rsidR="0091038C" w:rsidRPr="00474055" w:rsidRDefault="0091038C" w:rsidP="00CD5C1F">
      <w:pPr>
        <w:pStyle w:val="Tablenotes"/>
      </w:pPr>
      <w:r>
        <w:t>IU = international units</w:t>
      </w:r>
    </w:p>
    <w:p w14:paraId="3EC3E119" w14:textId="7FCE04AD" w:rsidR="00E82265" w:rsidRPr="00D708E9" w:rsidRDefault="003563AF" w:rsidP="00772EB6">
      <w:pPr>
        <w:rPr>
          <w:rFonts w:cs="Segoe UI"/>
        </w:rPr>
      </w:pPr>
      <w:r>
        <w:rPr>
          <w:rFonts w:cs="Segoe UI"/>
        </w:rPr>
        <w:t>Severe haemophilia is typically identified early in life, especially when unusual bruising or bleeding occurs, or if there is a known family history of the condition.</w:t>
      </w:r>
      <w:r w:rsidRPr="00BF735F">
        <w:rPr>
          <w:rFonts w:cs="Segoe UI"/>
        </w:rPr>
        <w:t xml:space="preserve"> It may be suspected in newborns who experience internal bleeding, swelling, or persistent bleeding following procedures such as heel pricks, circumcision, or immunisation.</w:t>
      </w:r>
      <w:r w:rsidRPr="007462C4">
        <w:rPr>
          <w:rFonts w:cs="Segoe UI"/>
        </w:rPr>
        <w:t xml:space="preserve"> </w:t>
      </w:r>
      <w:r w:rsidRPr="00BF735F">
        <w:rPr>
          <w:rFonts w:cs="Segoe UI"/>
        </w:rPr>
        <w:t>More often, signs become noticeable when a child begins to crawl or walk, and bruising becomes more visible</w:t>
      </w:r>
      <w:r>
        <w:rPr>
          <w:rFonts w:cs="Segoe UI"/>
        </w:rPr>
        <w:t>.</w:t>
      </w:r>
      <w:r w:rsidRPr="008842CF">
        <w:rPr>
          <w:rFonts w:cs="Segoe UI"/>
        </w:rPr>
        <w:t xml:space="preserve"> </w:t>
      </w:r>
      <w:r w:rsidR="000724A7">
        <w:t xml:space="preserve">Individuals with severe haemophilia most commonly experience internal bleeding into the joints (70-80%), muscles (10-20%) and the internal organs (5-10%) </w:t>
      </w:r>
      <w:r w:rsidR="00F37083">
        <w:fldChar w:fldCharType="begin">
          <w:fldData xml:space="preserve">PEVuZE5vdGU+PENpdGU+PEF1dGhvcj5Tcml2YXN0YXZhPC9BdXRob3I+PFllYXI+MjAyMDwvWWVh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</w:fldData>
        </w:fldChar>
      </w:r>
      <w:r w:rsidR="00F37083">
        <w:instrText xml:space="preserve"> ADDIN EN.CITE </w:instrText>
      </w:r>
      <w:r w:rsidR="00F37083">
        <w:fldChar w:fldCharType="begin">
          <w:fldData xml:space="preserve">PEVuZE5vdGU+PENpdGU+PEF1dGhvcj5Tcml2YXN0YXZhPC9BdXRob3I+PFllYXI+MjAyMDwvWWVh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</w:fldData>
        </w:fldChar>
      </w:r>
      <w:r w:rsidR="00F37083">
        <w:instrText xml:space="preserve"> ADDIN EN.CITE.DATA </w:instrText>
      </w:r>
      <w:r w:rsidR="00F37083">
        <w:fldChar w:fldCharType="end"/>
      </w:r>
      <w:r w:rsidR="00F37083">
        <w:fldChar w:fldCharType="separate"/>
      </w:r>
      <w:r w:rsidR="00F37083" w:rsidRPr="001A0617">
        <w:t>(Srivastava et al. 2020)</w:t>
      </w:r>
      <w:r w:rsidR="00F37083">
        <w:fldChar w:fldCharType="end"/>
      </w:r>
      <w:r w:rsidR="000724A7">
        <w:t>. These bleeds can occur without an obvious cause (“spontaneous”</w:t>
      </w:r>
      <w:r w:rsidR="00026253" w:rsidRPr="00937FF4">
        <w:t>),</w:t>
      </w:r>
      <w:r w:rsidR="000724A7">
        <w:t xml:space="preserve"> or they may result from an injury. If not promptly treated, internal bleeding can lead to pain and swelling. Over time, recurrent bleeding into joints and muscles can cause permanent damage such as arthritis, chronic pain and loss of mobility </w:t>
      </w:r>
      <w:r w:rsidR="00F37083">
        <w:fldChar w:fldCharType="begin"/>
      </w:r>
      <w:r w:rsidR="00F37083">
        <w:instrText xml:space="preserve"> ADDIN EN.CITE &lt;EndNote&gt;&lt;Cite&gt;&lt;Author&gt;Haemophilia Foundation Australia&lt;/Author&gt;&lt;Year&gt;2023&lt;/Year&gt;&lt;RecNum&gt;13&lt;/RecNum&gt;&lt;DisplayText&gt;(Haemophilia Foundation Australia 2023)&lt;/DisplayText&gt;&lt;record&gt;&lt;rec-number&gt;13&lt;/rec-number&gt;&lt;foreign-keys&gt;&lt;key app="EN" db-id="wrdwrvxxvt5dstesdtovsevj50f2z9xw099s" timestamp="1747872576"&gt;13&lt;/key&gt;&lt;/foreign-keys&gt;&lt;ref-type name="Pamphlet"&gt;24&lt;/ref-type&gt;&lt;contributors&gt;&lt;authors&gt;&lt;author&gt;Haemophilia Foundation Australia,&lt;/author&gt;&lt;/authors&gt;&lt;secondary-authors&gt;&lt;author&gt;Haemophilia Foundation Australia,&lt;/author&gt;&lt;/secondary-authors&gt;&lt;/contributors&gt;&lt;titles&gt;&lt;title&gt;Haemophilia&lt;/title&gt;&lt;/titles&gt;&lt;dates&gt;&lt;year&gt;2023&lt;/year&gt;&lt;pub-dates&gt;&lt;date&gt;August 2023&lt;/date&gt;&lt;/pub-dates&gt;&lt;/dates&gt;&lt;urls&gt;&lt;/urls&gt;&lt;/record&gt;&lt;/Cite&gt;&lt;/EndNote&gt;</w:instrText>
      </w:r>
      <w:r w:rsidR="00F37083">
        <w:fldChar w:fldCharType="separate"/>
      </w:r>
      <w:r w:rsidR="00F37083" w:rsidRPr="001A0617">
        <w:t>(Haemophilia Foundation Australia 2023)</w:t>
      </w:r>
      <w:r w:rsidR="00F37083">
        <w:fldChar w:fldCharType="end"/>
      </w:r>
      <w:r w:rsidR="000724A7">
        <w:t xml:space="preserve">. Up to 70% of individuals with haemophilia reported experiencing limitations in their ability to perform daily activities </w:t>
      </w:r>
      <w:r w:rsidR="00F37083">
        <w:fldChar w:fldCharType="begin">
          <w:fldData xml:space="preserve">PEVuZE5vdGU+PENpdGU+PEF1dGhvcj5CdWNrbmVyPC9BdXRob3I+PFllYXI+MjAxODwvWWVhcj48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</w:fldData>
        </w:fldChar>
      </w:r>
      <w:r w:rsidR="00F37083">
        <w:instrText xml:space="preserve"> ADDIN EN.CITE </w:instrText>
      </w:r>
      <w:r w:rsidR="00F37083">
        <w:fldChar w:fldCharType="begin">
          <w:fldData xml:space="preserve">PEVuZE5vdGU+PENpdGU+PEF1dGhvcj5CdWNrbmVyPC9BdXRob3I+PFllYXI+MjAxODwvWWVhcj48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</w:fldData>
        </w:fldChar>
      </w:r>
      <w:r w:rsidR="00F37083">
        <w:instrText xml:space="preserve"> ADDIN EN.CITE.DATA </w:instrText>
      </w:r>
      <w:r w:rsidR="00F37083">
        <w:fldChar w:fldCharType="end"/>
      </w:r>
      <w:r w:rsidR="00F37083">
        <w:fldChar w:fldCharType="separate"/>
      </w:r>
      <w:r w:rsidR="00F37083" w:rsidRPr="001A0617">
        <w:t>(Buckner et al. 2018)</w:t>
      </w:r>
      <w:r w:rsidR="00F37083">
        <w:fldChar w:fldCharType="end"/>
      </w:r>
      <w:r w:rsidR="000724A7">
        <w:t>.</w:t>
      </w:r>
      <w:r w:rsidR="00722AF1">
        <w:t xml:space="preserve"> </w:t>
      </w:r>
      <w:r w:rsidRPr="00BF735F">
        <w:rPr>
          <w:rFonts w:cs="Segoe UI"/>
        </w:rPr>
        <w:t>Diagnosis is confirmed through a blood test that measures clotting factor levels and determines disease severity</w:t>
      </w:r>
      <w:r>
        <w:rPr>
          <w:rFonts w:cs="Segoe UI"/>
        </w:rPr>
        <w:t xml:space="preserve"> </w:t>
      </w:r>
      <w:r w:rsidR="00F37083">
        <w:rPr>
          <w:rFonts w:cs="Segoe UI"/>
        </w:rPr>
        <w:fldChar w:fldCharType="begin"/>
      </w:r>
      <w:r w:rsidR="00F37083">
        <w:rPr>
          <w:rFonts w:cs="Segoe UI"/>
        </w:rPr>
        <w:instrText xml:space="preserve"> ADDIN EN.CITE &lt;EndNote&gt;&lt;Cite&gt;&lt;Author&gt;Haemophilia Foundation Australia&lt;/Author&gt;&lt;Year&gt;2023&lt;/Year&gt;&lt;RecNum&gt;13&lt;/RecNum&gt;&lt;DisplayText&gt;(Haemophilia Foundation Australia 2023)&lt;/DisplayText&gt;&lt;record&gt;&lt;rec-number&gt;13&lt;/rec-number&gt;&lt;foreign-keys&gt;&lt;key app="EN" db-id="wrdwrvxxvt5dstesdtovsevj50f2z9xw099s" timestamp="1747872576"&gt;13&lt;/key&gt;&lt;/foreign-keys&gt;&lt;ref-type name="Pamphlet"&gt;24&lt;/ref-type&gt;&lt;contributors&gt;&lt;authors&gt;&lt;author&gt;Haemophilia Foundation Australia,&lt;/author&gt;&lt;/authors&gt;&lt;secondary-authors&gt;&lt;author&gt;Haemophilia Foundation Australia,&lt;/author&gt;&lt;/secondary-authors&gt;&lt;/contributors&gt;&lt;titles&gt;&lt;title&gt;Haemophilia&lt;/title&gt;&lt;/titles&gt;&lt;dates&gt;&lt;year&gt;2023&lt;/year&gt;&lt;pub-dates&gt;&lt;date&gt;August 2023&lt;/date&gt;&lt;/pub-dates&gt;&lt;/dates&gt;&lt;urls&gt;&lt;/urls&gt;&lt;/record&gt;&lt;/Cite&gt;&lt;/EndNote&gt;</w:instrText>
      </w:r>
      <w:r w:rsidR="00F37083">
        <w:rPr>
          <w:rFonts w:cs="Segoe UI"/>
        </w:rPr>
        <w:fldChar w:fldCharType="separate"/>
      </w:r>
      <w:r w:rsidR="00F37083" w:rsidRPr="001A0617">
        <w:rPr>
          <w:rFonts w:cs="Segoe UI"/>
        </w:rPr>
        <w:t>(Haemophilia Foundation Australia 2023)</w:t>
      </w:r>
      <w:r w:rsidR="00F37083">
        <w:rPr>
          <w:rFonts w:cs="Segoe UI"/>
        </w:rPr>
        <w:fldChar w:fldCharType="end"/>
      </w:r>
      <w:r w:rsidRPr="002D7DF5">
        <w:rPr>
          <w:rFonts w:cs="Segoe UI"/>
        </w:rPr>
        <w:t>.</w:t>
      </w:r>
      <w:r>
        <w:rPr>
          <w:rFonts w:cs="Segoe UI"/>
        </w:rPr>
        <w:t xml:space="preserve"> </w:t>
      </w:r>
    </w:p>
    <w:p w14:paraId="7B9F4728" w14:textId="291C8BE5" w:rsidR="00E82265" w:rsidRDefault="00E82265" w:rsidP="00772EB6">
      <w:r>
        <w:t xml:space="preserve">Bleeding in critical areas such as the brain, neck or throat, and gastrointestinal tract is considered as life-threatening in individuals with haemophilia </w:t>
      </w:r>
      <w:r w:rsidR="00F37083">
        <w:fldChar w:fldCharType="begin">
          <w:fldData xml:space="preserve">PEVuZE5vdGU+PENpdGU+PEF1dGhvcj5Tcml2YXN0YXZhPC9BdXRob3I+PFllYXI+MjAyMDwvWWVh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</w:fldData>
        </w:fldChar>
      </w:r>
      <w:r w:rsidR="00F37083">
        <w:instrText xml:space="preserve"> ADDIN EN.CITE </w:instrText>
      </w:r>
      <w:r w:rsidR="00F37083">
        <w:fldChar w:fldCharType="begin">
          <w:fldData xml:space="preserve">PEVuZE5vdGU+PENpdGU+PEF1dGhvcj5Tcml2YXN0YXZhPC9BdXRob3I+PFllYXI+MjAyMDwvWWVh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</w:fldData>
        </w:fldChar>
      </w:r>
      <w:r w:rsidR="00F37083">
        <w:instrText xml:space="preserve"> ADDIN EN.CITE.DATA </w:instrText>
      </w:r>
      <w:r w:rsidR="00F37083">
        <w:fldChar w:fldCharType="end"/>
      </w:r>
      <w:r w:rsidR="00F37083">
        <w:fldChar w:fldCharType="separate"/>
      </w:r>
      <w:r w:rsidR="00F37083" w:rsidRPr="001A0617">
        <w:t>(Srivastava et al. 2020)</w:t>
      </w:r>
      <w:r w:rsidR="00F37083">
        <w:fldChar w:fldCharType="end"/>
      </w:r>
      <w:r>
        <w:t xml:space="preserve">. As given in </w:t>
      </w:r>
      <w:r w:rsidR="00DC5359">
        <w:rPr>
          <w:highlight w:val="yellow"/>
        </w:rPr>
        <w:fldChar w:fldCharType="begin"/>
      </w:r>
      <w:r w:rsidR="00DC5359">
        <w:instrText xml:space="preserve"> REF _Ref107220571 \h </w:instrText>
      </w:r>
      <w:r w:rsidR="00DC5359">
        <w:rPr>
          <w:highlight w:val="yellow"/>
        </w:rPr>
      </w:r>
      <w:r w:rsidR="00DC5359">
        <w:rPr>
          <w:highlight w:val="yellow"/>
        </w:rPr>
        <w:fldChar w:fldCharType="separate"/>
      </w:r>
      <w:r w:rsidR="001D119F" w:rsidRPr="001A0617">
        <w:t xml:space="preserve">Table </w:t>
      </w:r>
      <w:r w:rsidR="001D119F">
        <w:rPr>
          <w:noProof/>
        </w:rPr>
        <w:t>3</w:t>
      </w:r>
      <w:r w:rsidR="00DC5359">
        <w:rPr>
          <w:highlight w:val="yellow"/>
        </w:rPr>
        <w:fldChar w:fldCharType="end"/>
      </w:r>
      <w:r w:rsidR="00C95F26">
        <w:t>,</w:t>
      </w:r>
      <w:r w:rsidR="00DC5359">
        <w:t xml:space="preserve"> </w:t>
      </w:r>
      <w:r>
        <w:t xml:space="preserve">the standardised mortality ratio (SMR) for individuals with severe haemophilia is 2.4-fold higher than that of the general male population </w:t>
      </w:r>
      <w:r w:rsidR="00F37083">
        <w:fldChar w:fldCharType="begin">
          <w:fldData xml:space="preserve">PEVuZE5vdGU+PENpdGU+PEF1dGhvcj5IYXNzYW48L0F1dGhvcj48WWVhcj4yMDIxPC9ZZWFyPjxS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</w:fldData>
        </w:fldChar>
      </w:r>
      <w:r w:rsidR="00F37083">
        <w:instrText xml:space="preserve"> ADDIN EN.CITE </w:instrText>
      </w:r>
      <w:r w:rsidR="00F37083">
        <w:fldChar w:fldCharType="begin">
          <w:fldData xml:space="preserve">PEVuZE5vdGU+PENpdGU+PEF1dGhvcj5IYXNzYW48L0F1dGhvcj48WWVhcj4yMDIxPC9ZZWFyPjxS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</w:fldData>
        </w:fldChar>
      </w:r>
      <w:r w:rsidR="00F37083">
        <w:instrText xml:space="preserve"> ADDIN EN.CITE.DATA </w:instrText>
      </w:r>
      <w:r w:rsidR="00F37083">
        <w:fldChar w:fldCharType="end"/>
      </w:r>
      <w:r w:rsidR="00F37083">
        <w:fldChar w:fldCharType="separate"/>
      </w:r>
      <w:r w:rsidR="00F37083" w:rsidRPr="001A0617">
        <w:t>(Hassan et al. 2021)</w:t>
      </w:r>
      <w:r w:rsidR="00F37083">
        <w:fldChar w:fldCharType="end"/>
      </w:r>
      <w:r>
        <w:t xml:space="preserve">. </w:t>
      </w:r>
    </w:p>
    <w:p w14:paraId="50FC1691" w14:textId="7A688E55" w:rsidR="00E82265" w:rsidRPr="001A0617" w:rsidRDefault="00E82265" w:rsidP="00C04C71">
      <w:pPr>
        <w:pStyle w:val="Caption"/>
        <w:rPr>
          <w:lang w:val="en-AU"/>
        </w:rPr>
      </w:pPr>
      <w:bookmarkStart w:id="6" w:name="_Ref107220571"/>
      <w:r w:rsidRPr="001A0617">
        <w:rPr>
          <w:lang w:val="en-AU"/>
        </w:rPr>
        <w:t xml:space="preserve">Table </w:t>
      </w:r>
      <w:r w:rsidRPr="001A0617">
        <w:rPr>
          <w:lang w:val="en-AU"/>
        </w:rPr>
        <w:fldChar w:fldCharType="begin"/>
      </w:r>
      <w:r w:rsidRPr="003152E7">
        <w:instrText xml:space="preserve"> SEQ Table \* ARABIC </w:instrText>
      </w:r>
      <w:r w:rsidRPr="001A0617">
        <w:rPr>
          <w:lang w:val="en-AU"/>
        </w:rPr>
        <w:fldChar w:fldCharType="separate"/>
      </w:r>
      <w:r w:rsidR="001D119F">
        <w:rPr>
          <w:noProof/>
        </w:rPr>
        <w:t>3</w:t>
      </w:r>
      <w:r w:rsidRPr="001A0617">
        <w:rPr>
          <w:lang w:val="en-AU"/>
        </w:rPr>
        <w:fldChar w:fldCharType="end"/>
      </w:r>
      <w:bookmarkEnd w:id="6"/>
      <w:r w:rsidRPr="001A0617">
        <w:rPr>
          <w:lang w:val="en-AU"/>
        </w:rPr>
        <w:t xml:space="preserve"> Severity of haemophilia and associated health outcomes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9"/>
        <w:gridCol w:w="1997"/>
        <w:gridCol w:w="1997"/>
        <w:gridCol w:w="1998"/>
      </w:tblGrid>
      <w:tr w:rsidR="00E82265" w:rsidRPr="000702A9" w14:paraId="75452611" w14:textId="77777777">
        <w:trPr>
          <w:cantSplit/>
          <w:tblHeader/>
        </w:trPr>
        <w:tc>
          <w:tcPr>
            <w:tcW w:w="1870" w:type="pct"/>
            <w:shd w:val="clear" w:color="auto" w:fill="D9D9D9" w:themeFill="background1" w:themeFillShade="D9"/>
          </w:tcPr>
          <w:p w14:paraId="71FAA41F" w14:textId="77777777" w:rsidR="00E82265" w:rsidRPr="009B003B" w:rsidRDefault="00E82265" w:rsidP="00772EB6">
            <w:pPr>
              <w:pStyle w:val="TableText0"/>
              <w:rPr>
                <w:b/>
                <w:bCs/>
              </w:rPr>
            </w:pPr>
            <w:r w:rsidRPr="009B003B">
              <w:rPr>
                <w:b/>
                <w:bCs/>
              </w:rPr>
              <w:t>Outcome</w:t>
            </w:r>
          </w:p>
        </w:tc>
        <w:tc>
          <w:tcPr>
            <w:tcW w:w="1043" w:type="pct"/>
            <w:shd w:val="clear" w:color="auto" w:fill="D9D9D9" w:themeFill="background1" w:themeFillShade="D9"/>
          </w:tcPr>
          <w:p w14:paraId="3777253C" w14:textId="77777777" w:rsidR="00E82265" w:rsidRPr="009B003B" w:rsidRDefault="00E82265" w:rsidP="00772EB6">
            <w:pPr>
              <w:pStyle w:val="TableText0"/>
              <w:rPr>
                <w:b/>
                <w:bCs/>
              </w:rPr>
            </w:pPr>
            <w:r w:rsidRPr="009B003B">
              <w:rPr>
                <w:b/>
                <w:bCs/>
              </w:rPr>
              <w:t>Mild</w:t>
            </w:r>
          </w:p>
        </w:tc>
        <w:tc>
          <w:tcPr>
            <w:tcW w:w="1043" w:type="pct"/>
            <w:shd w:val="clear" w:color="auto" w:fill="D9D9D9" w:themeFill="background1" w:themeFillShade="D9"/>
          </w:tcPr>
          <w:p w14:paraId="70DC3EE4" w14:textId="77777777" w:rsidR="00E82265" w:rsidRPr="009B003B" w:rsidRDefault="00E82265" w:rsidP="00772EB6">
            <w:pPr>
              <w:pStyle w:val="TableText0"/>
              <w:rPr>
                <w:b/>
                <w:bCs/>
              </w:rPr>
            </w:pPr>
            <w:r w:rsidRPr="009B003B">
              <w:rPr>
                <w:b/>
                <w:bCs/>
              </w:rPr>
              <w:t>Moderate</w:t>
            </w:r>
          </w:p>
        </w:tc>
        <w:tc>
          <w:tcPr>
            <w:tcW w:w="1044" w:type="pct"/>
            <w:shd w:val="clear" w:color="auto" w:fill="D9D9D9" w:themeFill="background1" w:themeFillShade="D9"/>
          </w:tcPr>
          <w:p w14:paraId="4C65B7B3" w14:textId="77777777" w:rsidR="00E82265" w:rsidRPr="009B003B" w:rsidRDefault="00E82265" w:rsidP="00772EB6">
            <w:pPr>
              <w:pStyle w:val="TableText0"/>
              <w:rPr>
                <w:b/>
                <w:bCs/>
              </w:rPr>
            </w:pPr>
            <w:r w:rsidRPr="009B003B">
              <w:rPr>
                <w:b/>
                <w:bCs/>
              </w:rPr>
              <w:t>Severe</w:t>
            </w:r>
          </w:p>
        </w:tc>
      </w:tr>
      <w:tr w:rsidR="00E82265" w:rsidRPr="001D6291" w14:paraId="533D09AA" w14:textId="77777777">
        <w:trPr>
          <w:cantSplit/>
          <w:tblHeader/>
        </w:trPr>
        <w:tc>
          <w:tcPr>
            <w:tcW w:w="1870" w:type="pct"/>
            <w:tcBorders>
              <w:top w:val="single" w:sz="4" w:space="0" w:color="auto"/>
              <w:left w:val="single" w:sz="4" w:space="0" w:color="auto"/>
              <w:bottom w:val="single" w:sz="4" w:space="0" w:color="auto"/>
              <w:right w:val="single" w:sz="4" w:space="0" w:color="auto"/>
            </w:tcBorders>
          </w:tcPr>
          <w:p w14:paraId="78D2446C" w14:textId="77777777" w:rsidR="00E82265" w:rsidRPr="001D6291" w:rsidRDefault="00E82265" w:rsidP="00772EB6">
            <w:pPr>
              <w:pStyle w:val="TableText0"/>
            </w:pPr>
            <w:r w:rsidRPr="001D6291">
              <w:t>Factor level (activity % in blood)</w:t>
            </w:r>
          </w:p>
        </w:tc>
        <w:tc>
          <w:tcPr>
            <w:tcW w:w="1043" w:type="pct"/>
            <w:tcBorders>
              <w:top w:val="single" w:sz="4" w:space="0" w:color="auto"/>
              <w:left w:val="single" w:sz="4" w:space="0" w:color="auto"/>
              <w:bottom w:val="single" w:sz="4" w:space="0" w:color="auto"/>
              <w:right w:val="single" w:sz="4" w:space="0" w:color="auto"/>
            </w:tcBorders>
          </w:tcPr>
          <w:p w14:paraId="3597D2CE" w14:textId="77777777" w:rsidR="00E82265" w:rsidRPr="001D6291" w:rsidRDefault="00E82265" w:rsidP="00772EB6">
            <w:pPr>
              <w:pStyle w:val="TableText0"/>
            </w:pPr>
            <w:r w:rsidRPr="001D6291">
              <w:t>5 to &lt;40%</w:t>
            </w:r>
          </w:p>
        </w:tc>
        <w:tc>
          <w:tcPr>
            <w:tcW w:w="1043" w:type="pct"/>
            <w:tcBorders>
              <w:top w:val="single" w:sz="4" w:space="0" w:color="auto"/>
              <w:left w:val="single" w:sz="4" w:space="0" w:color="auto"/>
              <w:bottom w:val="single" w:sz="4" w:space="0" w:color="auto"/>
              <w:right w:val="single" w:sz="4" w:space="0" w:color="auto"/>
            </w:tcBorders>
          </w:tcPr>
          <w:p w14:paraId="1C7EEE26" w14:textId="77777777" w:rsidR="00E82265" w:rsidRPr="001D6291" w:rsidRDefault="00E82265" w:rsidP="00772EB6">
            <w:pPr>
              <w:pStyle w:val="TableText0"/>
            </w:pPr>
            <w:r w:rsidRPr="001D6291">
              <w:t>1 to &lt;5%</w:t>
            </w:r>
          </w:p>
        </w:tc>
        <w:tc>
          <w:tcPr>
            <w:tcW w:w="1044" w:type="pct"/>
            <w:tcBorders>
              <w:top w:val="single" w:sz="4" w:space="0" w:color="auto"/>
              <w:left w:val="single" w:sz="4" w:space="0" w:color="auto"/>
              <w:bottom w:val="single" w:sz="4" w:space="0" w:color="auto"/>
              <w:right w:val="single" w:sz="4" w:space="0" w:color="auto"/>
            </w:tcBorders>
          </w:tcPr>
          <w:p w14:paraId="4C82DBF4" w14:textId="77777777" w:rsidR="00E82265" w:rsidRPr="001D6291" w:rsidRDefault="00E82265" w:rsidP="00772EB6">
            <w:pPr>
              <w:pStyle w:val="TableText0"/>
            </w:pPr>
            <w:r w:rsidRPr="001D6291">
              <w:t>&lt;1%</w:t>
            </w:r>
          </w:p>
        </w:tc>
      </w:tr>
      <w:tr w:rsidR="00E82265" w:rsidRPr="001D6291" w14:paraId="51E4769F" w14:textId="77777777">
        <w:trPr>
          <w:cantSplit/>
          <w:tblHeader/>
        </w:trPr>
        <w:tc>
          <w:tcPr>
            <w:tcW w:w="1870" w:type="pct"/>
            <w:tcBorders>
              <w:top w:val="single" w:sz="4" w:space="0" w:color="auto"/>
              <w:left w:val="single" w:sz="4" w:space="0" w:color="auto"/>
              <w:bottom w:val="single" w:sz="4" w:space="0" w:color="auto"/>
              <w:right w:val="single" w:sz="4" w:space="0" w:color="auto"/>
            </w:tcBorders>
          </w:tcPr>
          <w:p w14:paraId="67A8996B" w14:textId="77777777" w:rsidR="00E82265" w:rsidRPr="001D6291" w:rsidRDefault="00E82265" w:rsidP="00772EB6">
            <w:pPr>
              <w:pStyle w:val="TableText0"/>
            </w:pPr>
            <w:r w:rsidRPr="001D6291">
              <w:t>Risk for inhibitor development</w:t>
            </w:r>
          </w:p>
        </w:tc>
        <w:tc>
          <w:tcPr>
            <w:tcW w:w="1043" w:type="pct"/>
            <w:tcBorders>
              <w:top w:val="single" w:sz="4" w:space="0" w:color="auto"/>
              <w:left w:val="single" w:sz="4" w:space="0" w:color="auto"/>
              <w:bottom w:val="single" w:sz="4" w:space="0" w:color="auto"/>
              <w:right w:val="single" w:sz="4" w:space="0" w:color="auto"/>
            </w:tcBorders>
          </w:tcPr>
          <w:p w14:paraId="4A1295D5" w14:textId="77777777" w:rsidR="00E82265" w:rsidRPr="001D6291" w:rsidRDefault="00E82265" w:rsidP="00772EB6">
            <w:pPr>
              <w:pStyle w:val="TableText0"/>
            </w:pPr>
            <w:r w:rsidRPr="001D6291">
              <w:t>Very rare</w:t>
            </w:r>
          </w:p>
        </w:tc>
        <w:tc>
          <w:tcPr>
            <w:tcW w:w="1043" w:type="pct"/>
            <w:tcBorders>
              <w:top w:val="single" w:sz="4" w:space="0" w:color="auto"/>
              <w:left w:val="single" w:sz="4" w:space="0" w:color="auto"/>
              <w:bottom w:val="single" w:sz="4" w:space="0" w:color="auto"/>
              <w:right w:val="single" w:sz="4" w:space="0" w:color="auto"/>
            </w:tcBorders>
          </w:tcPr>
          <w:p w14:paraId="460ADECD" w14:textId="77777777" w:rsidR="00E82265" w:rsidRPr="001D6291" w:rsidRDefault="00E82265" w:rsidP="00772EB6">
            <w:pPr>
              <w:pStyle w:val="TableText0"/>
            </w:pPr>
            <w:r w:rsidRPr="001D6291">
              <w:t>1-2%</w:t>
            </w:r>
          </w:p>
        </w:tc>
        <w:tc>
          <w:tcPr>
            <w:tcW w:w="1044" w:type="pct"/>
            <w:tcBorders>
              <w:top w:val="single" w:sz="4" w:space="0" w:color="auto"/>
              <w:left w:val="single" w:sz="4" w:space="0" w:color="auto"/>
              <w:bottom w:val="single" w:sz="4" w:space="0" w:color="auto"/>
              <w:right w:val="single" w:sz="4" w:space="0" w:color="auto"/>
            </w:tcBorders>
          </w:tcPr>
          <w:p w14:paraId="2A1230D2" w14:textId="743EA2DE" w:rsidR="00E82265" w:rsidRPr="001D6291" w:rsidRDefault="00E82265" w:rsidP="00772EB6">
            <w:pPr>
              <w:pStyle w:val="TableText0"/>
            </w:pPr>
            <w:r w:rsidRPr="001D6291">
              <w:t>HMA: 30%</w:t>
            </w:r>
            <w:r w:rsidR="00A63CDF" w:rsidRPr="00A63CDF">
              <w:rPr>
                <w:vertAlign w:val="superscript"/>
              </w:rPr>
              <w:t>4</w:t>
            </w:r>
          </w:p>
          <w:p w14:paraId="16E7B3AB" w14:textId="63477ECD" w:rsidR="00E82265" w:rsidRPr="001D6291" w:rsidRDefault="00E82265" w:rsidP="00772EB6">
            <w:pPr>
              <w:pStyle w:val="TableText0"/>
            </w:pPr>
            <w:r w:rsidRPr="001D6291">
              <w:t>HMB: 2-3%</w:t>
            </w:r>
            <w:r w:rsidR="00277FF2" w:rsidRPr="00277FF2">
              <w:rPr>
                <w:vertAlign w:val="superscript"/>
              </w:rPr>
              <w:t>4</w:t>
            </w:r>
          </w:p>
        </w:tc>
      </w:tr>
      <w:tr w:rsidR="00E82265" w:rsidRPr="001D6291" w14:paraId="12AFEFAA" w14:textId="77777777">
        <w:trPr>
          <w:cantSplit/>
          <w:tblHeader/>
        </w:trPr>
        <w:tc>
          <w:tcPr>
            <w:tcW w:w="1870" w:type="pct"/>
            <w:tcBorders>
              <w:top w:val="single" w:sz="4" w:space="0" w:color="auto"/>
              <w:left w:val="single" w:sz="4" w:space="0" w:color="auto"/>
              <w:bottom w:val="single" w:sz="4" w:space="0" w:color="auto"/>
              <w:right w:val="single" w:sz="4" w:space="0" w:color="auto"/>
            </w:tcBorders>
          </w:tcPr>
          <w:p w14:paraId="44A780E3" w14:textId="77777777" w:rsidR="00E82265" w:rsidRPr="001D6291" w:rsidRDefault="00E82265" w:rsidP="00772EB6">
            <w:pPr>
              <w:pStyle w:val="TableText0"/>
              <w:rPr>
                <w:vertAlign w:val="superscript"/>
              </w:rPr>
            </w:pPr>
            <w:r w:rsidRPr="001D6291">
              <w:t>Mortality rate (vs general male population)</w:t>
            </w:r>
            <w:r w:rsidRPr="001D6291">
              <w:rPr>
                <w:vertAlign w:val="superscript"/>
              </w:rPr>
              <w:t>1</w:t>
            </w:r>
          </w:p>
        </w:tc>
        <w:tc>
          <w:tcPr>
            <w:tcW w:w="1043" w:type="pct"/>
            <w:tcBorders>
              <w:top w:val="single" w:sz="4" w:space="0" w:color="auto"/>
              <w:left w:val="single" w:sz="4" w:space="0" w:color="auto"/>
              <w:bottom w:val="single" w:sz="4" w:space="0" w:color="auto"/>
              <w:right w:val="single" w:sz="4" w:space="0" w:color="auto"/>
            </w:tcBorders>
          </w:tcPr>
          <w:p w14:paraId="6908571C" w14:textId="77777777" w:rsidR="00E82265" w:rsidRPr="001D6291" w:rsidRDefault="00E82265" w:rsidP="00772EB6">
            <w:pPr>
              <w:pStyle w:val="TableText0"/>
            </w:pPr>
            <w:r w:rsidRPr="001D6291">
              <w:t>1.0</w:t>
            </w:r>
          </w:p>
        </w:tc>
        <w:tc>
          <w:tcPr>
            <w:tcW w:w="1043" w:type="pct"/>
            <w:tcBorders>
              <w:top w:val="single" w:sz="4" w:space="0" w:color="auto"/>
              <w:left w:val="single" w:sz="4" w:space="0" w:color="auto"/>
              <w:bottom w:val="single" w:sz="4" w:space="0" w:color="auto"/>
              <w:right w:val="single" w:sz="4" w:space="0" w:color="auto"/>
            </w:tcBorders>
          </w:tcPr>
          <w:p w14:paraId="0002B46D" w14:textId="77777777" w:rsidR="00E82265" w:rsidRPr="001D6291" w:rsidRDefault="00E82265" w:rsidP="00772EB6">
            <w:pPr>
              <w:pStyle w:val="TableText0"/>
            </w:pPr>
            <w:r w:rsidRPr="001D6291">
              <w:t>1.1</w:t>
            </w:r>
          </w:p>
        </w:tc>
        <w:tc>
          <w:tcPr>
            <w:tcW w:w="1044" w:type="pct"/>
            <w:tcBorders>
              <w:top w:val="single" w:sz="4" w:space="0" w:color="auto"/>
              <w:left w:val="single" w:sz="4" w:space="0" w:color="auto"/>
              <w:bottom w:val="single" w:sz="4" w:space="0" w:color="auto"/>
              <w:right w:val="single" w:sz="4" w:space="0" w:color="auto"/>
            </w:tcBorders>
          </w:tcPr>
          <w:p w14:paraId="02D0789E" w14:textId="77777777" w:rsidR="00E82265" w:rsidRPr="001D6291" w:rsidRDefault="00E82265" w:rsidP="00772EB6">
            <w:pPr>
              <w:pStyle w:val="TableText0"/>
            </w:pPr>
            <w:r w:rsidRPr="001D6291">
              <w:t>2.4</w:t>
            </w:r>
          </w:p>
        </w:tc>
      </w:tr>
      <w:tr w:rsidR="00E82265" w:rsidRPr="001D6291" w14:paraId="7373F7E6" w14:textId="77777777">
        <w:trPr>
          <w:cantSplit/>
          <w:tblHeader/>
        </w:trPr>
        <w:tc>
          <w:tcPr>
            <w:tcW w:w="1870" w:type="pct"/>
            <w:tcBorders>
              <w:top w:val="single" w:sz="4" w:space="0" w:color="auto"/>
              <w:left w:val="single" w:sz="4" w:space="0" w:color="auto"/>
              <w:bottom w:val="single" w:sz="4" w:space="0" w:color="auto"/>
              <w:right w:val="single" w:sz="4" w:space="0" w:color="auto"/>
            </w:tcBorders>
          </w:tcPr>
          <w:p w14:paraId="0289F8CB" w14:textId="77777777" w:rsidR="00E82265" w:rsidRPr="001D6291" w:rsidRDefault="00E82265" w:rsidP="00772EB6">
            <w:pPr>
              <w:pStyle w:val="TableText0"/>
            </w:pPr>
            <w:r w:rsidRPr="001D6291">
              <w:t>Nosebleeds or gum bleeds</w:t>
            </w:r>
          </w:p>
        </w:tc>
        <w:tc>
          <w:tcPr>
            <w:tcW w:w="1043" w:type="pct"/>
            <w:tcBorders>
              <w:top w:val="single" w:sz="4" w:space="0" w:color="auto"/>
              <w:left w:val="single" w:sz="4" w:space="0" w:color="auto"/>
              <w:bottom w:val="single" w:sz="4" w:space="0" w:color="auto"/>
              <w:right w:val="single" w:sz="4" w:space="0" w:color="auto"/>
            </w:tcBorders>
          </w:tcPr>
          <w:p w14:paraId="021A3F51" w14:textId="77777777" w:rsidR="00E82265" w:rsidRPr="001D6291" w:rsidRDefault="00E82265" w:rsidP="00772EB6">
            <w:pPr>
              <w:pStyle w:val="TableText0"/>
            </w:pPr>
            <w:r w:rsidRPr="001D6291">
              <w:rPr>
                <w:rFonts w:ascii="Segoe UI Symbol" w:hAnsi="Segoe UI Symbol" w:cs="Segoe UI Symbol"/>
              </w:rPr>
              <w:t>🗸</w:t>
            </w:r>
          </w:p>
        </w:tc>
        <w:tc>
          <w:tcPr>
            <w:tcW w:w="1043" w:type="pct"/>
            <w:tcBorders>
              <w:top w:val="single" w:sz="4" w:space="0" w:color="auto"/>
              <w:left w:val="single" w:sz="4" w:space="0" w:color="auto"/>
              <w:bottom w:val="single" w:sz="4" w:space="0" w:color="auto"/>
              <w:right w:val="single" w:sz="4" w:space="0" w:color="auto"/>
            </w:tcBorders>
          </w:tcPr>
          <w:p w14:paraId="43FBC96A" w14:textId="77777777" w:rsidR="00E82265" w:rsidRPr="001D6291" w:rsidRDefault="00E82265" w:rsidP="00772EB6">
            <w:pPr>
              <w:pStyle w:val="TableText0"/>
            </w:pPr>
            <w:r w:rsidRPr="001D6291">
              <w:rPr>
                <w:rFonts w:ascii="Segoe UI Symbol" w:hAnsi="Segoe UI Symbol" w:cs="Segoe UI Symbol"/>
              </w:rPr>
              <w:t>🗸</w:t>
            </w:r>
          </w:p>
        </w:tc>
        <w:tc>
          <w:tcPr>
            <w:tcW w:w="1044" w:type="pct"/>
            <w:tcBorders>
              <w:top w:val="single" w:sz="4" w:space="0" w:color="auto"/>
              <w:left w:val="single" w:sz="4" w:space="0" w:color="auto"/>
              <w:bottom w:val="single" w:sz="4" w:space="0" w:color="auto"/>
              <w:right w:val="single" w:sz="4" w:space="0" w:color="auto"/>
            </w:tcBorders>
          </w:tcPr>
          <w:p w14:paraId="2D6AC0D2" w14:textId="77777777" w:rsidR="00E82265" w:rsidRPr="001D6291" w:rsidRDefault="00E82265" w:rsidP="00772EB6">
            <w:pPr>
              <w:pStyle w:val="TableText0"/>
            </w:pPr>
            <w:r w:rsidRPr="001D6291">
              <w:rPr>
                <w:rFonts w:ascii="Segoe UI Symbol" w:hAnsi="Segoe UI Symbol" w:cs="Segoe UI Symbol"/>
              </w:rPr>
              <w:t>🗸</w:t>
            </w:r>
          </w:p>
        </w:tc>
      </w:tr>
      <w:tr w:rsidR="00E82265" w:rsidRPr="001D6291" w14:paraId="34BF804D" w14:textId="77777777">
        <w:trPr>
          <w:cantSplit/>
          <w:tblHeader/>
        </w:trPr>
        <w:tc>
          <w:tcPr>
            <w:tcW w:w="1870" w:type="pct"/>
            <w:tcBorders>
              <w:top w:val="single" w:sz="4" w:space="0" w:color="auto"/>
              <w:left w:val="single" w:sz="4" w:space="0" w:color="auto"/>
              <w:bottom w:val="single" w:sz="4" w:space="0" w:color="auto"/>
              <w:right w:val="single" w:sz="4" w:space="0" w:color="auto"/>
            </w:tcBorders>
          </w:tcPr>
          <w:p w14:paraId="42FA3AED" w14:textId="77777777" w:rsidR="00E82265" w:rsidRPr="001D6291" w:rsidRDefault="00E82265" w:rsidP="00772EB6">
            <w:pPr>
              <w:pStyle w:val="TableText0"/>
            </w:pPr>
            <w:r w:rsidRPr="001D6291">
              <w:t>Bleeding after injury, trauma or surgery</w:t>
            </w:r>
          </w:p>
        </w:tc>
        <w:tc>
          <w:tcPr>
            <w:tcW w:w="1043" w:type="pct"/>
            <w:tcBorders>
              <w:top w:val="single" w:sz="4" w:space="0" w:color="auto"/>
              <w:left w:val="single" w:sz="4" w:space="0" w:color="auto"/>
              <w:bottom w:val="single" w:sz="4" w:space="0" w:color="auto"/>
              <w:right w:val="single" w:sz="4" w:space="0" w:color="auto"/>
            </w:tcBorders>
          </w:tcPr>
          <w:p w14:paraId="14B3600E" w14:textId="77777777" w:rsidR="00E82265" w:rsidRPr="001D6291" w:rsidRDefault="00E82265" w:rsidP="00772EB6">
            <w:pPr>
              <w:pStyle w:val="TableText0"/>
            </w:pPr>
            <w:r w:rsidRPr="001D6291">
              <w:rPr>
                <w:rFonts w:ascii="Segoe UI Symbol" w:hAnsi="Segoe UI Symbol" w:cs="Segoe UI Symbol"/>
              </w:rPr>
              <w:t>🗸</w:t>
            </w:r>
          </w:p>
        </w:tc>
        <w:tc>
          <w:tcPr>
            <w:tcW w:w="1043" w:type="pct"/>
            <w:tcBorders>
              <w:top w:val="single" w:sz="4" w:space="0" w:color="auto"/>
              <w:left w:val="single" w:sz="4" w:space="0" w:color="auto"/>
              <w:bottom w:val="single" w:sz="4" w:space="0" w:color="auto"/>
              <w:right w:val="single" w:sz="4" w:space="0" w:color="auto"/>
            </w:tcBorders>
          </w:tcPr>
          <w:p w14:paraId="4078B747" w14:textId="77777777" w:rsidR="00E82265" w:rsidRPr="001D6291" w:rsidRDefault="00E82265" w:rsidP="00772EB6">
            <w:pPr>
              <w:pStyle w:val="TableText0"/>
            </w:pPr>
            <w:r w:rsidRPr="001D6291">
              <w:rPr>
                <w:rFonts w:ascii="Segoe UI Symbol" w:hAnsi="Segoe UI Symbol" w:cs="Segoe UI Symbol"/>
              </w:rPr>
              <w:t>🗸</w:t>
            </w:r>
          </w:p>
        </w:tc>
        <w:tc>
          <w:tcPr>
            <w:tcW w:w="1044" w:type="pct"/>
            <w:tcBorders>
              <w:top w:val="single" w:sz="4" w:space="0" w:color="auto"/>
              <w:left w:val="single" w:sz="4" w:space="0" w:color="auto"/>
              <w:bottom w:val="single" w:sz="4" w:space="0" w:color="auto"/>
              <w:right w:val="single" w:sz="4" w:space="0" w:color="auto"/>
            </w:tcBorders>
          </w:tcPr>
          <w:p w14:paraId="721BEF7D" w14:textId="77777777" w:rsidR="00E82265" w:rsidRPr="001D6291" w:rsidRDefault="00E82265" w:rsidP="00772EB6">
            <w:pPr>
              <w:pStyle w:val="TableText0"/>
            </w:pPr>
            <w:r w:rsidRPr="001D6291">
              <w:rPr>
                <w:rFonts w:ascii="Segoe UI Symbol" w:hAnsi="Segoe UI Symbol" w:cs="Segoe UI Symbol"/>
              </w:rPr>
              <w:t>🗸</w:t>
            </w:r>
          </w:p>
        </w:tc>
      </w:tr>
      <w:tr w:rsidR="00E82265" w:rsidRPr="001D6291" w14:paraId="26D85D39" w14:textId="77777777">
        <w:trPr>
          <w:cantSplit/>
          <w:tblHeader/>
        </w:trPr>
        <w:tc>
          <w:tcPr>
            <w:tcW w:w="1870" w:type="pct"/>
            <w:tcBorders>
              <w:top w:val="single" w:sz="4" w:space="0" w:color="auto"/>
              <w:left w:val="single" w:sz="4" w:space="0" w:color="auto"/>
              <w:bottom w:val="single" w:sz="4" w:space="0" w:color="auto"/>
              <w:right w:val="single" w:sz="4" w:space="0" w:color="auto"/>
            </w:tcBorders>
          </w:tcPr>
          <w:p w14:paraId="31A9E769" w14:textId="77777777" w:rsidR="00E82265" w:rsidRPr="001D6291" w:rsidRDefault="00E82265" w:rsidP="00772EB6">
            <w:pPr>
              <w:pStyle w:val="TableText0"/>
            </w:pPr>
            <w:r w:rsidRPr="001D6291">
              <w:t>Easy or excessive bruising</w:t>
            </w:r>
          </w:p>
        </w:tc>
        <w:tc>
          <w:tcPr>
            <w:tcW w:w="1043" w:type="pct"/>
            <w:tcBorders>
              <w:top w:val="single" w:sz="4" w:space="0" w:color="auto"/>
              <w:left w:val="single" w:sz="4" w:space="0" w:color="auto"/>
              <w:bottom w:val="single" w:sz="4" w:space="0" w:color="auto"/>
              <w:right w:val="single" w:sz="4" w:space="0" w:color="auto"/>
            </w:tcBorders>
          </w:tcPr>
          <w:p w14:paraId="5E1F6E06" w14:textId="77777777" w:rsidR="00E82265" w:rsidRPr="001D6291" w:rsidRDefault="00E82265" w:rsidP="00772EB6">
            <w:pPr>
              <w:pStyle w:val="TableText0"/>
            </w:pPr>
            <w:r w:rsidRPr="001D6291">
              <w:t>-</w:t>
            </w:r>
          </w:p>
        </w:tc>
        <w:tc>
          <w:tcPr>
            <w:tcW w:w="1043" w:type="pct"/>
            <w:tcBorders>
              <w:top w:val="single" w:sz="4" w:space="0" w:color="auto"/>
              <w:left w:val="single" w:sz="4" w:space="0" w:color="auto"/>
              <w:bottom w:val="single" w:sz="4" w:space="0" w:color="auto"/>
              <w:right w:val="single" w:sz="4" w:space="0" w:color="auto"/>
            </w:tcBorders>
          </w:tcPr>
          <w:p w14:paraId="76CCD5EF" w14:textId="77777777" w:rsidR="00E82265" w:rsidRPr="001D6291" w:rsidRDefault="00E82265" w:rsidP="00772EB6">
            <w:pPr>
              <w:pStyle w:val="TableText0"/>
            </w:pPr>
            <w:r w:rsidRPr="001D6291">
              <w:rPr>
                <w:rFonts w:ascii="Segoe UI Symbol" w:hAnsi="Segoe UI Symbol" w:cs="Segoe UI Symbol"/>
              </w:rPr>
              <w:t>🗸</w:t>
            </w:r>
          </w:p>
        </w:tc>
        <w:tc>
          <w:tcPr>
            <w:tcW w:w="1044" w:type="pct"/>
            <w:tcBorders>
              <w:top w:val="single" w:sz="4" w:space="0" w:color="auto"/>
              <w:left w:val="single" w:sz="4" w:space="0" w:color="auto"/>
              <w:bottom w:val="single" w:sz="4" w:space="0" w:color="auto"/>
              <w:right w:val="single" w:sz="4" w:space="0" w:color="auto"/>
            </w:tcBorders>
          </w:tcPr>
          <w:p w14:paraId="2B383866" w14:textId="77777777" w:rsidR="00E82265" w:rsidRPr="001D6291" w:rsidRDefault="00E82265" w:rsidP="00772EB6">
            <w:pPr>
              <w:pStyle w:val="TableText0"/>
            </w:pPr>
            <w:r w:rsidRPr="001D6291">
              <w:rPr>
                <w:rFonts w:ascii="Segoe UI Symbol" w:hAnsi="Segoe UI Symbol" w:cs="Segoe UI Symbol"/>
              </w:rPr>
              <w:t>🗸</w:t>
            </w:r>
          </w:p>
        </w:tc>
      </w:tr>
      <w:tr w:rsidR="00E82265" w:rsidRPr="001D6291" w14:paraId="7C7C680E" w14:textId="77777777">
        <w:trPr>
          <w:cantSplit/>
          <w:tblHeader/>
        </w:trPr>
        <w:tc>
          <w:tcPr>
            <w:tcW w:w="1870" w:type="pct"/>
            <w:tcBorders>
              <w:top w:val="single" w:sz="4" w:space="0" w:color="auto"/>
              <w:left w:val="single" w:sz="4" w:space="0" w:color="auto"/>
              <w:bottom w:val="single" w:sz="4" w:space="0" w:color="auto"/>
              <w:right w:val="single" w:sz="4" w:space="0" w:color="auto"/>
            </w:tcBorders>
          </w:tcPr>
          <w:p w14:paraId="557D2813" w14:textId="77777777" w:rsidR="00E82265" w:rsidRPr="001D6291" w:rsidRDefault="00E82265" w:rsidP="00772EB6">
            <w:pPr>
              <w:pStyle w:val="TableText0"/>
            </w:pPr>
            <w:r w:rsidRPr="001D6291">
              <w:t>Spontaneous internal bleeding</w:t>
            </w:r>
          </w:p>
        </w:tc>
        <w:tc>
          <w:tcPr>
            <w:tcW w:w="1043" w:type="pct"/>
            <w:tcBorders>
              <w:top w:val="single" w:sz="4" w:space="0" w:color="auto"/>
              <w:left w:val="single" w:sz="4" w:space="0" w:color="auto"/>
              <w:bottom w:val="single" w:sz="4" w:space="0" w:color="auto"/>
              <w:right w:val="single" w:sz="4" w:space="0" w:color="auto"/>
            </w:tcBorders>
          </w:tcPr>
          <w:p w14:paraId="3D774EF9" w14:textId="77777777" w:rsidR="00E82265" w:rsidRPr="001D6291" w:rsidRDefault="00E82265" w:rsidP="00772EB6">
            <w:pPr>
              <w:pStyle w:val="TableText0"/>
            </w:pPr>
            <w:r w:rsidRPr="001D6291">
              <w:t>-</w:t>
            </w:r>
          </w:p>
        </w:tc>
        <w:tc>
          <w:tcPr>
            <w:tcW w:w="1043" w:type="pct"/>
            <w:tcBorders>
              <w:top w:val="single" w:sz="4" w:space="0" w:color="auto"/>
              <w:left w:val="single" w:sz="4" w:space="0" w:color="auto"/>
              <w:bottom w:val="single" w:sz="4" w:space="0" w:color="auto"/>
              <w:right w:val="single" w:sz="4" w:space="0" w:color="auto"/>
            </w:tcBorders>
          </w:tcPr>
          <w:p w14:paraId="251D79C7" w14:textId="77777777" w:rsidR="00E82265" w:rsidRPr="001D6291" w:rsidRDefault="00E82265" w:rsidP="00772EB6">
            <w:pPr>
              <w:pStyle w:val="TableText0"/>
              <w:rPr>
                <w:vertAlign w:val="superscript"/>
              </w:rPr>
            </w:pPr>
            <w:r w:rsidRPr="001D6291">
              <w:rPr>
                <w:rFonts w:ascii="Segoe UI Symbol" w:hAnsi="Segoe UI Symbol" w:cs="Segoe UI Symbol"/>
              </w:rPr>
              <w:t>🗸</w:t>
            </w:r>
            <w:r w:rsidRPr="001D6291">
              <w:rPr>
                <w:vertAlign w:val="superscript"/>
              </w:rPr>
              <w:t>2</w:t>
            </w:r>
          </w:p>
        </w:tc>
        <w:tc>
          <w:tcPr>
            <w:tcW w:w="1044" w:type="pct"/>
            <w:tcBorders>
              <w:top w:val="single" w:sz="4" w:space="0" w:color="auto"/>
              <w:left w:val="single" w:sz="4" w:space="0" w:color="auto"/>
              <w:bottom w:val="single" w:sz="4" w:space="0" w:color="auto"/>
              <w:right w:val="single" w:sz="4" w:space="0" w:color="auto"/>
            </w:tcBorders>
          </w:tcPr>
          <w:p w14:paraId="76D5A088" w14:textId="77777777" w:rsidR="00E82265" w:rsidRPr="001D6291" w:rsidRDefault="00E82265" w:rsidP="00772EB6">
            <w:pPr>
              <w:pStyle w:val="TableText0"/>
            </w:pPr>
            <w:r w:rsidRPr="001D6291">
              <w:rPr>
                <w:rFonts w:ascii="Segoe UI Symbol" w:hAnsi="Segoe UI Symbol" w:cs="Segoe UI Symbol"/>
              </w:rPr>
              <w:t>🗸</w:t>
            </w:r>
          </w:p>
        </w:tc>
      </w:tr>
      <w:tr w:rsidR="00E82265" w:rsidRPr="001D6291" w14:paraId="52EBB388" w14:textId="77777777">
        <w:trPr>
          <w:cantSplit/>
          <w:tblHeader/>
        </w:trPr>
        <w:tc>
          <w:tcPr>
            <w:tcW w:w="1870" w:type="pct"/>
            <w:tcBorders>
              <w:top w:val="single" w:sz="4" w:space="0" w:color="auto"/>
              <w:left w:val="single" w:sz="4" w:space="0" w:color="auto"/>
              <w:bottom w:val="single" w:sz="4" w:space="0" w:color="auto"/>
              <w:right w:val="single" w:sz="4" w:space="0" w:color="auto"/>
            </w:tcBorders>
          </w:tcPr>
          <w:p w14:paraId="4BB0DB72" w14:textId="77777777" w:rsidR="00E82265" w:rsidRPr="001D6291" w:rsidRDefault="00E82265" w:rsidP="00772EB6">
            <w:pPr>
              <w:pStyle w:val="TableText0"/>
            </w:pPr>
            <w:r w:rsidRPr="001D6291">
              <w:t>Haemophilic arthropathy (joint damage)</w:t>
            </w:r>
          </w:p>
        </w:tc>
        <w:tc>
          <w:tcPr>
            <w:tcW w:w="1043" w:type="pct"/>
            <w:tcBorders>
              <w:top w:val="single" w:sz="4" w:space="0" w:color="auto"/>
              <w:left w:val="single" w:sz="4" w:space="0" w:color="auto"/>
              <w:bottom w:val="single" w:sz="4" w:space="0" w:color="auto"/>
              <w:right w:val="single" w:sz="4" w:space="0" w:color="auto"/>
            </w:tcBorders>
          </w:tcPr>
          <w:p w14:paraId="5ADF6FB7" w14:textId="77777777" w:rsidR="00E82265" w:rsidRPr="001D6291" w:rsidRDefault="00E82265" w:rsidP="00772EB6">
            <w:pPr>
              <w:pStyle w:val="TableText0"/>
            </w:pPr>
            <w:r w:rsidRPr="001D6291">
              <w:t>-</w:t>
            </w:r>
          </w:p>
        </w:tc>
        <w:tc>
          <w:tcPr>
            <w:tcW w:w="1043" w:type="pct"/>
            <w:tcBorders>
              <w:top w:val="single" w:sz="4" w:space="0" w:color="auto"/>
              <w:left w:val="single" w:sz="4" w:space="0" w:color="auto"/>
              <w:bottom w:val="single" w:sz="4" w:space="0" w:color="auto"/>
              <w:right w:val="single" w:sz="4" w:space="0" w:color="auto"/>
            </w:tcBorders>
          </w:tcPr>
          <w:p w14:paraId="48CDAE60" w14:textId="77777777" w:rsidR="00E82265" w:rsidRPr="001D6291" w:rsidRDefault="00E82265" w:rsidP="00772EB6">
            <w:pPr>
              <w:pStyle w:val="TableText0"/>
              <w:rPr>
                <w:vertAlign w:val="superscript"/>
              </w:rPr>
            </w:pPr>
            <w:r w:rsidRPr="001D6291">
              <w:rPr>
                <w:rFonts w:ascii="Segoe UI Symbol" w:hAnsi="Segoe UI Symbol" w:cs="Segoe UI Symbol"/>
              </w:rPr>
              <w:t>🗸</w:t>
            </w:r>
            <w:r w:rsidRPr="001D6291">
              <w:rPr>
                <w:vertAlign w:val="superscript"/>
              </w:rPr>
              <w:t>3</w:t>
            </w:r>
          </w:p>
        </w:tc>
        <w:tc>
          <w:tcPr>
            <w:tcW w:w="1044" w:type="pct"/>
            <w:tcBorders>
              <w:top w:val="single" w:sz="4" w:space="0" w:color="auto"/>
              <w:left w:val="single" w:sz="4" w:space="0" w:color="auto"/>
              <w:bottom w:val="single" w:sz="4" w:space="0" w:color="auto"/>
              <w:right w:val="single" w:sz="4" w:space="0" w:color="auto"/>
            </w:tcBorders>
          </w:tcPr>
          <w:p w14:paraId="15A76C20" w14:textId="77777777" w:rsidR="00E82265" w:rsidRPr="001D6291" w:rsidRDefault="00E82265" w:rsidP="00772EB6">
            <w:pPr>
              <w:pStyle w:val="TableText0"/>
            </w:pPr>
            <w:r w:rsidRPr="001D6291">
              <w:rPr>
                <w:rFonts w:ascii="Segoe UI Symbol" w:hAnsi="Segoe UI Symbol" w:cs="Segoe UI Symbol"/>
              </w:rPr>
              <w:t>🗸</w:t>
            </w:r>
          </w:p>
        </w:tc>
      </w:tr>
    </w:tbl>
    <w:p w14:paraId="712B8969" w14:textId="77777777" w:rsidR="00B039C5" w:rsidRDefault="00B039C5" w:rsidP="00B039C5">
      <w:pPr>
        <w:pStyle w:val="Tablenotes"/>
      </w:pPr>
      <w:r>
        <w:t xml:space="preserve">Source: Table 2, </w:t>
      </w:r>
      <w:r w:rsidRPr="00A85CEF">
        <w:t>MBS Application PICO set document_Pfizer_marstacimab_March 2025</w:t>
      </w:r>
    </w:p>
    <w:p w14:paraId="7B8BBB6D" w14:textId="77777777" w:rsidR="00B039C5" w:rsidRDefault="00B039C5" w:rsidP="00B039C5">
      <w:pPr>
        <w:pStyle w:val="Tablenotes"/>
      </w:pPr>
      <w:r>
        <w:t>HMA = haemophilia A; HMB = haemophilia B.</w:t>
      </w:r>
    </w:p>
    <w:p w14:paraId="3753532E" w14:textId="77777777" w:rsidR="00E82265" w:rsidRPr="00AC4201" w:rsidRDefault="00E82265" w:rsidP="001E3268">
      <w:pPr>
        <w:pStyle w:val="Tablenotes"/>
      </w:pPr>
      <w:r w:rsidRPr="00AC4201">
        <w:t>1 Standardised mortality ratio (observed deaths / expected deaths) for age- and calendar year-specific mortality rate</w:t>
      </w:r>
    </w:p>
    <w:p w14:paraId="12AADF56" w14:textId="77777777" w:rsidR="00E82265" w:rsidRPr="00AC4201" w:rsidRDefault="00E82265" w:rsidP="001E3268">
      <w:pPr>
        <w:pStyle w:val="Tablenotes"/>
      </w:pPr>
      <w:r w:rsidRPr="00AC4201">
        <w:t>2 Rare in moderate haemophilia A; can occur occasionally in moderate haemophilia B</w:t>
      </w:r>
    </w:p>
    <w:p w14:paraId="40468EA1" w14:textId="77777777" w:rsidR="00E82265" w:rsidRDefault="00E82265" w:rsidP="001E3268">
      <w:pPr>
        <w:pStyle w:val="Tablenotes"/>
      </w:pPr>
      <w:r w:rsidRPr="00AC4201">
        <w:t xml:space="preserve">3 </w:t>
      </w:r>
      <w:r w:rsidRPr="00E73524">
        <w:t>Common in patients with moderate disease who are not on prophylaxis</w:t>
      </w:r>
    </w:p>
    <w:p w14:paraId="7698A3CF" w14:textId="69F7C0E7" w:rsidR="00277FF2" w:rsidRDefault="00277FF2" w:rsidP="001E3268">
      <w:pPr>
        <w:pStyle w:val="Tablenotes"/>
      </w:pPr>
      <w:r>
        <w:t>4 Lifetime risk</w:t>
      </w:r>
    </w:p>
    <w:p w14:paraId="7FD7333F" w14:textId="46E9B345" w:rsidR="00E82265" w:rsidRPr="000E3A39" w:rsidRDefault="00E82265" w:rsidP="00772EB6">
      <w:r w:rsidRPr="000E3A39">
        <w:lastRenderedPageBreak/>
        <w:t>Haemophilia places a significant burden on both clinical outcomes and health-related quality of life (HRQoL). The key contributor to this disease burden is chronic arthropathy (joint disease) and pain resulting from recurrent bleeding into joints, which can impair daily functioning and personal independence</w:t>
      </w:r>
      <w:r>
        <w:t xml:space="preserve"> </w:t>
      </w:r>
      <w:r w:rsidR="00F37083">
        <w:fldChar w:fldCharType="begin">
          <w:fldData xml:space="preserve">PEVuZE5vdGU+PENpdGU+PEF1dGhvcj5PJmFwb3M7SGFyYTwvQXV0aG9yPjxZZWFyPjIwMTg8L1ll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</w:fldData>
        </w:fldChar>
      </w:r>
      <w:r w:rsidR="00F37083">
        <w:instrText xml:space="preserve"> ADDIN EN.CITE </w:instrText>
      </w:r>
      <w:r w:rsidR="00F37083">
        <w:fldChar w:fldCharType="begin">
          <w:fldData xml:space="preserve">PEVuZE5vdGU+PENpdGU+PEF1dGhvcj5PJmFwb3M7SGFyYTwvQXV0aG9yPjxZZWFyPjIwMTg8L1ll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</w:fldData>
        </w:fldChar>
      </w:r>
      <w:r w:rsidR="00F37083">
        <w:instrText xml:space="preserve"> ADDIN EN.CITE.DATA </w:instrText>
      </w:r>
      <w:r w:rsidR="00F37083">
        <w:fldChar w:fldCharType="end"/>
      </w:r>
      <w:r w:rsidR="00F37083">
        <w:fldChar w:fldCharType="separate"/>
      </w:r>
      <w:r w:rsidR="00F37083" w:rsidRPr="00404853">
        <w:t>(O'Hara et al. 2018)</w:t>
      </w:r>
      <w:r w:rsidR="00F37083">
        <w:fldChar w:fldCharType="end"/>
      </w:r>
      <w:r w:rsidRPr="000E3A39">
        <w:t xml:space="preserve">. If haemophilia is inadequately treated, the consequences can become evident within the first one to two decades of life </w:t>
      </w:r>
      <w:r w:rsidR="002B437E">
        <w:t>(</w:t>
      </w:r>
      <w:r w:rsidR="009857B0">
        <w:t>e.g. chronic synovitis</w:t>
      </w:r>
      <w:r w:rsidR="00626082">
        <w:t>, haemophilic</w:t>
      </w:r>
      <w:r w:rsidR="00A12518">
        <w:t xml:space="preserve"> </w:t>
      </w:r>
      <w:r w:rsidR="00E41CE9">
        <w:t>arthropathy</w:t>
      </w:r>
      <w:r w:rsidR="009C5FD0">
        <w:t>,</w:t>
      </w:r>
      <w:r w:rsidR="00E41CE9">
        <w:t xml:space="preserve"> </w:t>
      </w:r>
      <w:r w:rsidR="009C5FD0">
        <w:t xml:space="preserve">muscle </w:t>
      </w:r>
      <w:r w:rsidR="0071077D">
        <w:t xml:space="preserve">contractures, compartment syndrome, and </w:t>
      </w:r>
      <w:r w:rsidR="001B3CD0">
        <w:t>pseudo</w:t>
      </w:r>
      <w:r w:rsidR="00A83901">
        <w:t>tu</w:t>
      </w:r>
      <w:r w:rsidR="001A2397">
        <w:t>mo</w:t>
      </w:r>
      <w:r w:rsidR="0021374D">
        <w:t>u</w:t>
      </w:r>
      <w:r w:rsidR="00AF262F">
        <w:t>rs)</w:t>
      </w:r>
      <w:r w:rsidRPr="000E3A39">
        <w:t xml:space="preserve"> </w:t>
      </w:r>
      <w:r w:rsidR="00F37083">
        <w:fldChar w:fldCharType="begin">
          <w:fldData xml:space="preserve">PEVuZE5vdGU+PENpdGU+PEF1dGhvcj5Tcml2YXN0YXZhPC9BdXRob3I+PFllYXI+MjAyMDwvWWVh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</w:fldData>
        </w:fldChar>
      </w:r>
      <w:r w:rsidR="00F37083">
        <w:instrText xml:space="preserve"> ADDIN EN.CITE </w:instrText>
      </w:r>
      <w:r w:rsidR="00F37083">
        <w:fldChar w:fldCharType="begin">
          <w:fldData xml:space="preserve">PEVuZE5vdGU+PENpdGU+PEF1dGhvcj5Tcml2YXN0YXZhPC9BdXRob3I+PFllYXI+MjAyMDwvWWVh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</w:fldData>
        </w:fldChar>
      </w:r>
      <w:r w:rsidR="00F37083">
        <w:instrText xml:space="preserve"> ADDIN EN.CITE.DATA </w:instrText>
      </w:r>
      <w:r w:rsidR="00F37083">
        <w:fldChar w:fldCharType="end"/>
      </w:r>
      <w:r w:rsidR="00F37083">
        <w:fldChar w:fldCharType="separate"/>
      </w:r>
      <w:r w:rsidR="00F37083" w:rsidRPr="00404853">
        <w:t>(Srivastava et al. 2020)</w:t>
      </w:r>
      <w:r w:rsidR="00F37083">
        <w:fldChar w:fldCharType="end"/>
      </w:r>
      <w:r w:rsidRPr="000E3A39">
        <w:t xml:space="preserve">. It is thus unsurprising that the literature frequently reports high levels of anxiety and depression associated with haemophilia. The impact of haemophilia on HRQoL is reported to be similar to other chronic diseases such as </w:t>
      </w:r>
      <w:r w:rsidR="00E71C73" w:rsidRPr="000E3A39">
        <w:t>rheumatoid arthritis</w:t>
      </w:r>
      <w:r w:rsidRPr="000E3A39">
        <w:t xml:space="preserve">, diabetes, and </w:t>
      </w:r>
      <w:r w:rsidR="001774FE">
        <w:t>m</w:t>
      </w:r>
      <w:r w:rsidRPr="000E3A39">
        <w:t xml:space="preserve">ultiple </w:t>
      </w:r>
      <w:r w:rsidR="001774FE">
        <w:t>s</w:t>
      </w:r>
      <w:r w:rsidRPr="000E3A39">
        <w:t xml:space="preserve">clerosis </w:t>
      </w:r>
      <w:r w:rsidR="00F37083">
        <w:fldChar w:fldCharType="begin">
          <w:fldData xml:space="preserve">PEVuZE5vdGU+PENpdGU+PEF1dGhvcj5EJmFwb3M7QW5naW9sZWxsYTwvQXV0aG9yPjxZZWFyPjIw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</w:fldData>
        </w:fldChar>
      </w:r>
      <w:r w:rsidR="00F37083">
        <w:instrText xml:space="preserve"> ADDIN EN.CITE </w:instrText>
      </w:r>
      <w:r w:rsidR="00F37083">
        <w:fldChar w:fldCharType="begin">
          <w:fldData xml:space="preserve">PEVuZE5vdGU+PENpdGU+PEF1dGhvcj5EJmFwb3M7QW5naW9sZWxsYTwvQXV0aG9yPjxZZWFyPjIw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</w:fldData>
        </w:fldChar>
      </w:r>
      <w:r w:rsidR="00F37083">
        <w:instrText xml:space="preserve"> ADDIN EN.CITE.DATA </w:instrText>
      </w:r>
      <w:r w:rsidR="00F37083">
        <w:fldChar w:fldCharType="end"/>
      </w:r>
      <w:r w:rsidR="00F37083">
        <w:fldChar w:fldCharType="separate"/>
      </w:r>
      <w:r w:rsidR="00F37083" w:rsidRPr="00404853">
        <w:t>(D'Angiolella et al. 2018)</w:t>
      </w:r>
      <w:r w:rsidR="00F37083">
        <w:fldChar w:fldCharType="end"/>
      </w:r>
      <w:r>
        <w:t xml:space="preserve">, with those with more severe forms of the disease experiencing the greatest impact </w:t>
      </w:r>
      <w:r w:rsidR="00F37083">
        <w:fldChar w:fldCharType="begin">
          <w:fldData xml:space="preserve">PEVuZE5vdGU+PENpdGU+PEF1dGhvcj5DYXJyb2xsPC9BdXRob3I+PFllYXI+MjAxOTwvWWVhcj48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</w:fldData>
        </w:fldChar>
      </w:r>
      <w:r w:rsidR="00F37083">
        <w:instrText xml:space="preserve"> ADDIN EN.CITE </w:instrText>
      </w:r>
      <w:r w:rsidR="00F37083">
        <w:fldChar w:fldCharType="begin">
          <w:fldData xml:space="preserve">PEVuZE5vdGU+PENpdGU+PEF1dGhvcj5DYXJyb2xsPC9BdXRob3I+PFllYXI+MjAxOTwvWWVhcj48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</w:fldData>
        </w:fldChar>
      </w:r>
      <w:r w:rsidR="00F37083">
        <w:instrText xml:space="preserve"> ADDIN EN.CITE.DATA </w:instrText>
      </w:r>
      <w:r w:rsidR="00F37083">
        <w:fldChar w:fldCharType="end"/>
      </w:r>
      <w:r w:rsidR="00F37083">
        <w:fldChar w:fldCharType="separate"/>
      </w:r>
      <w:r w:rsidR="00F37083" w:rsidRPr="00404853">
        <w:t>(Carroll et al. 2019)</w:t>
      </w:r>
      <w:r w:rsidR="00F37083">
        <w:fldChar w:fldCharType="end"/>
      </w:r>
      <w:r>
        <w:t>.</w:t>
      </w:r>
    </w:p>
    <w:p w14:paraId="7DD5FFF4" w14:textId="21F3909C" w:rsidR="00E82265" w:rsidRDefault="00E82265" w:rsidP="00772EB6">
      <w:r>
        <w:t>Beyond its impact on quality of life, haemophilia is associated to a heightened risk of several acute and chronic health conditions, such as arthritis, osteoporosis, obesity, anaemia, kidney disease and haemorrhagic stroke</w:t>
      </w:r>
      <w:r w:rsidR="00C7545B" w:rsidRPr="00937FF4">
        <w:t xml:space="preserve"> </w:t>
      </w:r>
      <w:r w:rsidR="00F37083">
        <w:fldChar w:fldCharType="begin">
          <w:fldData xml:space="preserve">PEVuZE5vdGU+PENpdGU+PEF1dGhvcj5Tcml2YXN0YXZhPC9BdXRob3I+PFllYXI+MjAyMDwvWWVh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</w:fldData>
        </w:fldChar>
      </w:r>
      <w:r w:rsidR="00F37083">
        <w:instrText xml:space="preserve"> ADDIN EN.CITE </w:instrText>
      </w:r>
      <w:r w:rsidR="00F37083">
        <w:fldChar w:fldCharType="begin">
          <w:fldData xml:space="preserve">PEVuZE5vdGU+PENpdGU+PEF1dGhvcj5Tcml2YXN0YXZhPC9BdXRob3I+PFllYXI+MjAyMDwvWWVh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</w:fldData>
        </w:fldChar>
      </w:r>
      <w:r w:rsidR="00F37083">
        <w:instrText xml:space="preserve"> ADDIN EN.CITE.DATA </w:instrText>
      </w:r>
      <w:r w:rsidR="00F37083">
        <w:fldChar w:fldCharType="end"/>
      </w:r>
      <w:r w:rsidR="00F37083">
        <w:fldChar w:fldCharType="separate"/>
      </w:r>
      <w:r w:rsidR="00F37083" w:rsidRPr="00404853">
        <w:t>(Srivastava et al. 2020)</w:t>
      </w:r>
      <w:r w:rsidR="00F37083">
        <w:fldChar w:fldCharType="end"/>
      </w:r>
      <w:r w:rsidR="002F5577">
        <w:t>.</w:t>
      </w:r>
      <w:r w:rsidR="00BE3BF2">
        <w:t xml:space="preserve"> </w:t>
      </w:r>
    </w:p>
    <w:p w14:paraId="1717B057" w14:textId="63801CF2" w:rsidR="00907481" w:rsidRDefault="00907481" w:rsidP="00772EB6">
      <w:r>
        <w:t xml:space="preserve">Managing this condition involves </w:t>
      </w:r>
      <w:r w:rsidRPr="00D135F0">
        <w:t xml:space="preserve">frequent healthcare visits, blood tests, imaging and costly treatments such as bypassing agents </w:t>
      </w:r>
      <w:r w:rsidR="00283B54">
        <w:t>(BPAs)</w:t>
      </w:r>
      <w:r w:rsidRPr="00D135F0">
        <w:t xml:space="preserve"> or immune tolerance therap</w:t>
      </w:r>
      <w:r>
        <w:t xml:space="preserve">y if patients develop inhibitors. </w:t>
      </w:r>
      <w:r w:rsidRPr="004C647F">
        <w:t>Australian data indicate that people with severe HMA face higher levels of absenteeism</w:t>
      </w:r>
      <w:r>
        <w:t xml:space="preserve"> (often missing 20 days of work per year, or more if they have inhibitors)</w:t>
      </w:r>
      <w:r w:rsidRPr="004C647F">
        <w:t>,</w:t>
      </w:r>
      <w:r>
        <w:t xml:space="preserve"> </w:t>
      </w:r>
      <w:r w:rsidRPr="004C647F">
        <w:t>early retirement, and dependence on informal care</w:t>
      </w:r>
      <w:r w:rsidR="00370232" w:rsidRPr="00937FF4">
        <w:t xml:space="preserve"> than those without haemophilia</w:t>
      </w:r>
      <w:r w:rsidRPr="004C647F">
        <w:t xml:space="preserve">, contributing to lost productivity and financial strain on households. </w:t>
      </w:r>
      <w:r w:rsidRPr="00D135F0">
        <w:t>Children with HMA may miss 5 to 40 school days annually, and caregivers, usually family members, face emotional and financial stress, with many reducing their working hours or leaving the workforce altogether.</w:t>
      </w:r>
      <w:r>
        <w:t xml:space="preserve"> Although support services such as National Disability Insurance Scheme (NDIS) are available in Australia, they are not widely </w:t>
      </w:r>
      <w:r w:rsidR="000336FB" w:rsidRPr="00937FF4">
        <w:t xml:space="preserve">accessed </w:t>
      </w:r>
      <w:r>
        <w:t xml:space="preserve">by this group </w:t>
      </w:r>
      <w:r w:rsidR="00F37083">
        <w:fldChar w:fldCharType="begin"/>
      </w:r>
      <w:r w:rsidR="00F37083">
        <w:instrText xml:space="preserve"> ADDIN EN.CITE &lt;EndNote&gt;&lt;Cite&gt;&lt;Author&gt;Brown&lt;/Author&gt;&lt;Year&gt;2020&lt;/Year&gt;&lt;RecNum&gt;42&lt;/RecNum&gt;&lt;DisplayText&gt;(Brown et al. 2020)&lt;/DisplayText&gt;&lt;record&gt;&lt;rec-number&gt;42&lt;/rec-number&gt;&lt;foreign-keys&gt;&lt;key app="EN" db-id="wrdwrvxxvt5dstesdtovsevj50f2z9xw099s" timestamp="1748387629"&gt;42&lt;/key&gt;&lt;/foreign-keys&gt;&lt;ref-type name="Journal Article"&gt;17&lt;/ref-type&gt;&lt;contributors&gt;&lt;authors&gt;&lt;author&gt;Brown, Laurie J.&lt;/author&gt;&lt;author&gt;La, Hai A.&lt;/author&gt;&lt;author&gt;Li, Jinjing&lt;/author&gt;&lt;author&gt;Brunner, Matthias&lt;/author&gt;&lt;author&gt;Snoke, Martin&lt;/author&gt;&lt;author&gt;Kerr, Annette M.&lt;/author&gt;&lt;/authors&gt;&lt;/contributors&gt;&lt;titles&gt;&lt;title&gt;The societal burden of haemophilia A. I – A snapshot of haemophilia A in Australia and beyond&lt;/title&gt;&lt;secondary-title&gt;Haemophilia&lt;/secondary-title&gt;&lt;/titles&gt;&lt;periodical&gt;&lt;full-title&gt;Haemophilia&lt;/full-title&gt;&lt;/periodical&gt;&lt;pages&gt;3-10&lt;/pages&gt;&lt;volume&gt;26&lt;/volume&gt;&lt;number&gt;S5&lt;/number&gt;&lt;keywords&gt;&lt;keyword&gt;Australia&lt;/keyword&gt;&lt;keyword&gt;epidemiology&lt;/keyword&gt;&lt;keyword&gt;haemophilia A&lt;/keyword&gt;&lt;/keywords&gt;&lt;dates&gt;&lt;year&gt;2020&lt;/year&gt;&lt;pub-dates&gt;&lt;date&gt;2020/08/01&lt;/date&gt;&lt;/pub-dates&gt;&lt;/dates&gt;&lt;publisher&gt;John Wiley &amp;amp; Sons, Ltd&lt;/publisher&gt;&lt;isbn&gt;1351-8216&lt;/isbn&gt;&lt;urls&gt;&lt;related-urls&gt;&lt;url&gt;https://doi.org/10.1111/hae.14102&lt;/url&gt;&lt;/related-urls&gt;&lt;/urls&gt;&lt;electronic-resource-num&gt;https://doi.org/10.1111/hae.14102&lt;/electronic-resource-num&gt;&lt;access-date&gt;2025/05/27&lt;/access-date&gt;&lt;/record&gt;&lt;/Cite&gt;&lt;/EndNote&gt;</w:instrText>
      </w:r>
      <w:r w:rsidR="00F37083">
        <w:fldChar w:fldCharType="separate"/>
      </w:r>
      <w:r w:rsidR="00F37083" w:rsidRPr="00404853">
        <w:t>(Brown et al. 2020)</w:t>
      </w:r>
      <w:r w:rsidR="00F37083">
        <w:fldChar w:fldCharType="end"/>
      </w:r>
      <w:r>
        <w:t xml:space="preserve">. </w:t>
      </w:r>
      <w:r w:rsidR="00A34EB1" w:rsidRPr="00937FF4">
        <w:t>T</w:t>
      </w:r>
      <w:r w:rsidRPr="00937FF4">
        <w:t xml:space="preserve">he </w:t>
      </w:r>
      <w:r w:rsidR="00A34EB1" w:rsidRPr="00937FF4">
        <w:t>economic</w:t>
      </w:r>
      <w:r>
        <w:t xml:space="preserve"> burden of HMA in Australia has been explored in various studies which highlight the substantial societal cost associated with the disease</w:t>
      </w:r>
      <w:r w:rsidR="00A34EB1" w:rsidRPr="00937FF4">
        <w:t xml:space="preserve"> </w:t>
      </w:r>
      <w:r w:rsidR="00F37083">
        <w:fldChar w:fldCharType="begin"/>
      </w:r>
      <w:r w:rsidR="00F37083">
        <w:instrText xml:space="preserve"> ADDIN EN.CITE &lt;EndNote&gt;&lt;Cite&gt;&lt;Author&gt;Johnson&lt;/Author&gt;&lt;Year&gt;2011&lt;/Year&gt;&lt;RecNum&gt;44&lt;/RecNum&gt;&lt;DisplayText&gt;(Johnson &amp;amp; Zhou 2011)&lt;/DisplayText&gt;&lt;record&gt;&lt;rec-number&gt;44&lt;/rec-number&gt;&lt;foreign-keys&gt;&lt;key app="EN" db-id="wrdwrvxxvt5dstesdtovsevj50f2z9xw099s" timestamp="1748388209"&gt;44&lt;/key&gt;&lt;/foreign-keys&gt;&lt;ref-type name="Journal Article"&gt;17&lt;/ref-type&gt;&lt;contributors&gt;&lt;authors&gt;&lt;author&gt;Johnson, K. A.&lt;/author&gt;&lt;author&gt;Zhou, Z. Y.&lt;/author&gt;&lt;/authors&gt;&lt;/contributors&gt;&lt;auth-address&gt;Department of Clinical Pharmacy and Pharmaceutical Economics &amp;amp; Policy, Schaeffer Center for Health Policy and Economics, University of Southern California, Los Angeles, CA 90033, USA. kjohnson@usc.edu&lt;/auth-address&gt;&lt;titles&gt;&lt;title&gt;Costs of care in hemophilia and possible implications of health care reform&lt;/title&gt;&lt;secondary-title&gt;Hematology Am Soc Hematol Educ Program&lt;/secondary-title&gt;&lt;/titles&gt;&lt;periodical&gt;&lt;full-title&gt;Hematology Am Soc Hematol Educ Program&lt;/full-title&gt;&lt;/periodical&gt;&lt;pages&gt;413-8&lt;/pages&gt;&lt;volume&gt;2011&lt;/volume&gt;&lt;keywords&gt;&lt;keyword&gt;*Cost of Illness&lt;/keyword&gt;&lt;keyword&gt;Costs and Cost Analysis&lt;/keyword&gt;&lt;keyword&gt;Delivery of Health Care/*economics&lt;/keyword&gt;&lt;keyword&gt;Health Care Reform/*economics&lt;/keyword&gt;&lt;keyword&gt;Hemophilia A/*economics&lt;/keyword&gt;&lt;keyword&gt;Humans&lt;/keyword&gt;&lt;keyword&gt;Quality of Life&lt;/keyword&gt;&lt;/keywords&gt;&lt;dates&gt;&lt;year&gt;2011&lt;/year&gt;&lt;/dates&gt;&lt;isbn&gt;1520-4383&lt;/isbn&gt;&lt;accession-num&gt;22160067&lt;/accession-num&gt;&lt;urls&gt;&lt;/urls&gt;&lt;electronic-resource-num&gt;10.1182/asheducation-2011.1.413&lt;/electronic-resource-num&gt;&lt;remote-database-provider&gt;NLM&lt;/remote-database-provider&gt;&lt;language&gt;eng&lt;/language&gt;&lt;/record&gt;&lt;/Cite&gt;&lt;/EndNote&gt;</w:instrText>
      </w:r>
      <w:r w:rsidR="00F37083">
        <w:fldChar w:fldCharType="separate"/>
      </w:r>
      <w:r w:rsidR="00F37083" w:rsidRPr="00404853">
        <w:t>(Johnson &amp; Zhou 2011)</w:t>
      </w:r>
      <w:r w:rsidR="00F37083">
        <w:fldChar w:fldCharType="end"/>
      </w:r>
      <w:r>
        <w:t>.</w:t>
      </w:r>
    </w:p>
    <w:p w14:paraId="007F5041" w14:textId="20A88376" w:rsidR="00A24CE8" w:rsidRDefault="00A24CE8" w:rsidP="00C86A15">
      <w:pPr>
        <w:pStyle w:val="Heading4"/>
      </w:pPr>
      <w:r>
        <w:t>Size of the target population</w:t>
      </w:r>
    </w:p>
    <w:p w14:paraId="5FB9DF2D" w14:textId="23B4DA71" w:rsidR="00B17740" w:rsidRDefault="00A24CE8" w:rsidP="00A24CE8">
      <w:r>
        <w:t>In Australia, a</w:t>
      </w:r>
      <w:r w:rsidRPr="007130ED">
        <w:t>pproximately one in 6,000 males</w:t>
      </w:r>
      <w:r>
        <w:t xml:space="preserve"> has </w:t>
      </w:r>
      <w:r w:rsidRPr="007130ED">
        <w:t>HMA and one in 25,000-30,000 males ha</w:t>
      </w:r>
      <w:r>
        <w:t>s</w:t>
      </w:r>
      <w:r w:rsidRPr="007130ED">
        <w:t xml:space="preserve"> HMB</w:t>
      </w:r>
      <w:r w:rsidR="002450BD">
        <w:t xml:space="preserve">, </w:t>
      </w:r>
      <w:r w:rsidR="00EE5F77">
        <w:t>resulting in over</w:t>
      </w:r>
      <w:r>
        <w:t xml:space="preserve"> </w:t>
      </w:r>
      <w:r w:rsidR="001917BA" w:rsidRPr="007130ED">
        <w:t>3,</w:t>
      </w:r>
      <w:r w:rsidR="001917BA">
        <w:t>0</w:t>
      </w:r>
      <w:r w:rsidR="001917BA" w:rsidRPr="007130ED">
        <w:t xml:space="preserve">00 individuals </w:t>
      </w:r>
      <w:r w:rsidR="00EE5F77">
        <w:t>currently</w:t>
      </w:r>
      <w:r w:rsidR="001917BA" w:rsidRPr="007130ED">
        <w:t xml:space="preserve"> diagnosed </w:t>
      </w:r>
      <w:r w:rsidR="00EE5F77">
        <w:t xml:space="preserve">across the </w:t>
      </w:r>
      <w:r w:rsidR="00907481">
        <w:t>two conditions</w:t>
      </w:r>
      <w:r w:rsidR="001917BA">
        <w:t xml:space="preserve"> </w:t>
      </w:r>
      <w:r w:rsidR="00F37083">
        <w:fldChar w:fldCharType="begin"/>
      </w:r>
      <w:r w:rsidR="00F37083">
        <w:instrText xml:space="preserve"> ADDIN EN.CITE &lt;EndNote&gt;&lt;Cite&gt;&lt;Author&gt;Haemophilia Foundation Australia&lt;/Author&gt;&lt;Year&gt;2023&lt;/Year&gt;&lt;RecNum&gt;13&lt;/RecNum&gt;&lt;DisplayText&gt;(Haemophilia Foundation Australia 2023)&lt;/DisplayText&gt;&lt;record&gt;&lt;rec-number&gt;13&lt;/rec-number&gt;&lt;foreign-keys&gt;&lt;key app="EN" db-id="wrdwrvxxvt5dstesdtovsevj50f2z9xw099s" timestamp="1747872576"&gt;13&lt;/key&gt;&lt;/foreign-keys&gt;&lt;ref-type name="Pamphlet"&gt;24&lt;/ref-type&gt;&lt;contributors&gt;&lt;authors&gt;&lt;author&gt;Haemophilia Foundation Australia,&lt;/author&gt;&lt;/authors&gt;&lt;secondary-authors&gt;&lt;author&gt;Haemophilia Foundation Australia,&lt;/author&gt;&lt;/secondary-authors&gt;&lt;/contributors&gt;&lt;titles&gt;&lt;title&gt;Haemophilia&lt;/title&gt;&lt;/titles&gt;&lt;dates&gt;&lt;year&gt;2023&lt;/year&gt;&lt;pub-dates&gt;&lt;date&gt;August 2023&lt;/date&gt;&lt;/pub-dates&gt;&lt;/dates&gt;&lt;urls&gt;&lt;/urls&gt;&lt;/record&gt;&lt;/Cite&gt;&lt;/EndNote&gt;</w:instrText>
      </w:r>
      <w:r w:rsidR="00F37083">
        <w:fldChar w:fldCharType="separate"/>
      </w:r>
      <w:r w:rsidR="00F37083" w:rsidRPr="00404853">
        <w:t>(Haemophilia Foundation Australia 2023)</w:t>
      </w:r>
      <w:r w:rsidR="00F37083">
        <w:fldChar w:fldCharType="end"/>
      </w:r>
      <w:r w:rsidR="001917BA">
        <w:t xml:space="preserve">. </w:t>
      </w:r>
      <w:r>
        <w:t xml:space="preserve">The Australian Bleeding Disorders Registry (ABDR) had </w:t>
      </w:r>
      <w:r w:rsidR="00B4470E">
        <w:t>561</w:t>
      </w:r>
      <w:r>
        <w:t xml:space="preserve"> severe HMA cases and </w:t>
      </w:r>
      <w:r w:rsidR="00B4470E">
        <w:t>90</w:t>
      </w:r>
      <w:r>
        <w:t xml:space="preserve"> severe HMB cases</w:t>
      </w:r>
      <w:r w:rsidR="00B4470E">
        <w:t xml:space="preserve"> </w:t>
      </w:r>
      <w:r w:rsidR="0065004E">
        <w:t xml:space="preserve">in people </w:t>
      </w:r>
      <w:r w:rsidR="00B4470E">
        <w:t xml:space="preserve">aged 12 </w:t>
      </w:r>
      <w:r w:rsidR="008D12E6">
        <w:t>years</w:t>
      </w:r>
      <w:r w:rsidR="00B4470E">
        <w:t xml:space="preserve"> or over in 2021-22</w:t>
      </w:r>
      <w:r w:rsidR="00475228">
        <w:t>, who may potentiall</w:t>
      </w:r>
      <w:r w:rsidR="00A85249">
        <w:t>y</w:t>
      </w:r>
      <w:r w:rsidR="00475228">
        <w:t xml:space="preserve"> receive marstacimab if they do not have </w:t>
      </w:r>
      <w:r w:rsidR="00590B3E">
        <w:t>active</w:t>
      </w:r>
      <w:r w:rsidR="00CF213D">
        <w:t xml:space="preserve"> </w:t>
      </w:r>
      <w:r w:rsidR="00475228">
        <w:t>inhibitors</w:t>
      </w:r>
      <w:r>
        <w:t xml:space="preserve">. </w:t>
      </w:r>
      <w:r w:rsidR="00E73436">
        <w:fldChar w:fldCharType="begin"/>
      </w:r>
      <w:r w:rsidR="00E73436">
        <w:instrText xml:space="preserve"> REF _Ref200442581 \h </w:instrText>
      </w:r>
      <w:r w:rsidR="00E73436">
        <w:fldChar w:fldCharType="separate"/>
      </w:r>
      <w:r w:rsidR="001D119F" w:rsidRPr="00404853">
        <w:t xml:space="preserve">Table </w:t>
      </w:r>
      <w:r w:rsidR="001D119F">
        <w:rPr>
          <w:noProof/>
        </w:rPr>
        <w:t>4</w:t>
      </w:r>
      <w:r w:rsidR="00E73436">
        <w:fldChar w:fldCharType="end"/>
      </w:r>
      <w:r w:rsidR="00E73436">
        <w:t xml:space="preserve"> shows </w:t>
      </w:r>
      <w:r w:rsidR="00A85249">
        <w:t xml:space="preserve">an estimate of the number of people who may receive marstacimab, if added to the NPPL. </w:t>
      </w:r>
    </w:p>
    <w:p w14:paraId="02CFE451" w14:textId="72A8B052" w:rsidR="00183016" w:rsidRPr="00404853" w:rsidRDefault="00183016" w:rsidP="00183016">
      <w:pPr>
        <w:pStyle w:val="Caption"/>
        <w:rPr>
          <w:lang w:val="en-AU"/>
        </w:rPr>
      </w:pPr>
      <w:bookmarkStart w:id="7" w:name="_Ref200442581"/>
      <w:bookmarkStart w:id="8" w:name="_Ref200442574"/>
      <w:r w:rsidRPr="00404853">
        <w:rPr>
          <w:lang w:val="en-AU"/>
        </w:rPr>
        <w:lastRenderedPageBreak/>
        <w:t xml:space="preserve">Table </w:t>
      </w:r>
      <w:r w:rsidRPr="00404853">
        <w:rPr>
          <w:lang w:val="en-AU"/>
        </w:rPr>
        <w:fldChar w:fldCharType="begin"/>
      </w:r>
      <w:r>
        <w:instrText xml:space="preserve"> SEQ Table \* ARABIC </w:instrText>
      </w:r>
      <w:r w:rsidRPr="00404853">
        <w:rPr>
          <w:lang w:val="en-AU"/>
        </w:rPr>
        <w:fldChar w:fldCharType="separate"/>
      </w:r>
      <w:r w:rsidR="001D119F">
        <w:rPr>
          <w:noProof/>
        </w:rPr>
        <w:t>4</w:t>
      </w:r>
      <w:r w:rsidRPr="00404853">
        <w:rPr>
          <w:lang w:val="en-AU"/>
        </w:rPr>
        <w:fldChar w:fldCharType="end"/>
      </w:r>
      <w:bookmarkEnd w:id="7"/>
      <w:r w:rsidRPr="00404853">
        <w:rPr>
          <w:lang w:val="en-AU"/>
        </w:rPr>
        <w:tab/>
        <w:t>Estimated size of target population</w:t>
      </w:r>
      <w:bookmarkEnd w:id="8"/>
      <w:r w:rsidRPr="00404853">
        <w:rPr>
          <w:lang w:val="en-AU"/>
        </w:rPr>
        <w:t xml:space="preserve"> </w:t>
      </w:r>
    </w:p>
    <w:tbl>
      <w:tblPr>
        <w:tblStyle w:val="TableGrid"/>
        <w:tblW w:w="5000" w:type="pct"/>
        <w:tblInd w:w="0" w:type="dxa"/>
        <w:tblLook w:val="04A0" w:firstRow="1" w:lastRow="0" w:firstColumn="1" w:lastColumn="0" w:noHBand="0" w:noVBand="1"/>
      </w:tblPr>
      <w:tblGrid>
        <w:gridCol w:w="682"/>
        <w:gridCol w:w="2954"/>
        <w:gridCol w:w="1981"/>
        <w:gridCol w:w="1977"/>
        <w:gridCol w:w="1977"/>
      </w:tblGrid>
      <w:tr w:rsidR="00152FEE" w14:paraId="2F9A541A" w14:textId="75459FAA" w:rsidTr="00C93FE6">
        <w:trPr>
          <w:tblHeader/>
        </w:trPr>
        <w:tc>
          <w:tcPr>
            <w:tcW w:w="356" w:type="pct"/>
          </w:tcPr>
          <w:p w14:paraId="0754F1E3" w14:textId="77777777" w:rsidR="00152FEE" w:rsidRDefault="00152FEE">
            <w:pPr>
              <w:pStyle w:val="TableHeading"/>
            </w:pPr>
            <w:r>
              <w:t>Row</w:t>
            </w:r>
          </w:p>
        </w:tc>
        <w:tc>
          <w:tcPr>
            <w:tcW w:w="1543" w:type="pct"/>
          </w:tcPr>
          <w:p w14:paraId="111B3E57" w14:textId="1FB1E96E" w:rsidR="00152FEE" w:rsidRDefault="00152FEE" w:rsidP="008A4A0A">
            <w:pPr>
              <w:pStyle w:val="TableHeading"/>
            </w:pPr>
            <w:r>
              <w:t>Sample description</w:t>
            </w:r>
          </w:p>
        </w:tc>
        <w:tc>
          <w:tcPr>
            <w:tcW w:w="1035" w:type="pct"/>
          </w:tcPr>
          <w:p w14:paraId="1C960974" w14:textId="77777777" w:rsidR="00152FEE" w:rsidRDefault="00152FEE" w:rsidP="008A4A0A">
            <w:pPr>
              <w:pStyle w:val="TableHeading"/>
            </w:pPr>
            <w:r>
              <w:t>Haemophilia A</w:t>
            </w:r>
          </w:p>
        </w:tc>
        <w:tc>
          <w:tcPr>
            <w:tcW w:w="1033" w:type="pct"/>
          </w:tcPr>
          <w:p w14:paraId="1AA8D5C6" w14:textId="77777777" w:rsidR="00152FEE" w:rsidRDefault="00152FEE" w:rsidP="008A4A0A">
            <w:pPr>
              <w:pStyle w:val="TableHeading"/>
            </w:pPr>
            <w:r>
              <w:t>Haemophilia B</w:t>
            </w:r>
          </w:p>
        </w:tc>
        <w:tc>
          <w:tcPr>
            <w:tcW w:w="1033" w:type="pct"/>
          </w:tcPr>
          <w:p w14:paraId="0B0B44C2" w14:textId="084BA19C" w:rsidR="00152FEE" w:rsidRDefault="00152FEE" w:rsidP="008A4A0A">
            <w:pPr>
              <w:pStyle w:val="TableHeading"/>
            </w:pPr>
            <w:r>
              <w:t>Source</w:t>
            </w:r>
          </w:p>
        </w:tc>
      </w:tr>
      <w:tr w:rsidR="00152FEE" w14:paraId="0797F536" w14:textId="610E9B62" w:rsidTr="00C93FE6">
        <w:trPr>
          <w:tblHeader/>
        </w:trPr>
        <w:tc>
          <w:tcPr>
            <w:tcW w:w="356" w:type="pct"/>
          </w:tcPr>
          <w:p w14:paraId="4F714C4B" w14:textId="5553502F" w:rsidR="00152FEE" w:rsidRDefault="00152FEE" w:rsidP="00FE0051">
            <w:pPr>
              <w:pStyle w:val="TableText0"/>
            </w:pPr>
            <w:r>
              <w:t>A</w:t>
            </w:r>
          </w:p>
        </w:tc>
        <w:tc>
          <w:tcPr>
            <w:tcW w:w="1543" w:type="pct"/>
          </w:tcPr>
          <w:p w14:paraId="4E9937E5" w14:textId="613B3348" w:rsidR="00152FEE" w:rsidRDefault="00152FEE" w:rsidP="00FE0051">
            <w:pPr>
              <w:pStyle w:val="TableText0"/>
            </w:pPr>
            <w:r>
              <w:t xml:space="preserve">Number of people in Australia with condition </w:t>
            </w:r>
          </w:p>
        </w:tc>
        <w:tc>
          <w:tcPr>
            <w:tcW w:w="1035" w:type="pct"/>
          </w:tcPr>
          <w:p w14:paraId="67022CD9" w14:textId="27DBD263" w:rsidR="00152FEE" w:rsidRDefault="00152FEE" w:rsidP="00FE0051">
            <w:pPr>
              <w:pStyle w:val="TableText0"/>
            </w:pPr>
            <w:r>
              <w:t>2681</w:t>
            </w:r>
          </w:p>
        </w:tc>
        <w:tc>
          <w:tcPr>
            <w:tcW w:w="1033" w:type="pct"/>
          </w:tcPr>
          <w:p w14:paraId="597F66CF" w14:textId="56157543" w:rsidR="00152FEE" w:rsidRDefault="00152FEE" w:rsidP="00FE0051">
            <w:pPr>
              <w:pStyle w:val="TableText0"/>
            </w:pPr>
            <w:r>
              <w:t>621</w:t>
            </w:r>
          </w:p>
        </w:tc>
        <w:tc>
          <w:tcPr>
            <w:tcW w:w="1033" w:type="pct"/>
          </w:tcPr>
          <w:p w14:paraId="086BDC1E" w14:textId="695E7505" w:rsidR="00152FEE" w:rsidRDefault="00C515A4" w:rsidP="00FE0051">
            <w:pPr>
              <w:pStyle w:val="TableText0"/>
            </w:pPr>
            <w:r>
              <w:t xml:space="preserve">ABDR data 2022–2023 </w:t>
            </w:r>
            <w:r w:rsidR="002E2578">
              <w:fldChar w:fldCharType="begin"/>
            </w:r>
            <w:r w:rsidR="002E2578">
              <w:instrText xml:space="preserve"> ADDIN EN.CITE &lt;EndNote&gt;&lt;Cite&gt;&lt;Author&gt;National Blood Authority&lt;/Author&gt;&lt;Year&gt;2023&lt;/Year&gt;&lt;RecNum&gt;25&lt;/RecNum&gt;&lt;DisplayText&gt;(National Blood Authority 2023c)&lt;/DisplayText&gt;&lt;record&gt;&lt;rec-number&gt;25&lt;/rec-number&gt;&lt;foreign-keys&gt;&lt;key app="EN" db-id="wrdwrvxxvt5dstesdtovsevj50f2z9xw099s" timestamp="1747872620"&gt;25&lt;/key&gt;&lt;/foreign-keys&gt;&lt;ref-type name="Report"&gt;27&lt;/ref-type&gt;&lt;contributors&gt;&lt;authors&gt;&lt;author&gt;National Blood Authority,&lt;/author&gt;&lt;/authors&gt;&lt;tertiary-authors&gt;&lt;author&gt;National Blood Authority&lt;/author&gt;&lt;/tertiary-authors&gt;&lt;/contributors&gt;&lt;titles&gt;&lt;title&gt;Australian Blood Disorders Registry Annual Report 2022-23&lt;/title&gt;&lt;/titles&gt;&lt;dates&gt;&lt;year&gt;2023&lt;/year&gt;&lt;pub-dates&gt;&lt;date&gt;15 December 2023&lt;/date&gt;&lt;/pub-dates&gt;&lt;/dates&gt;&lt;urls&gt;&lt;related-urls&gt;&lt;url&gt;https://www.blood.gov.au/australian-bleeding-disorders-registryannual-report&lt;/url&gt;&lt;/related-urls&gt;&lt;/urls&gt;&lt;/record&gt;&lt;/Cite&gt;&lt;/EndNote&gt;</w:instrText>
            </w:r>
            <w:r w:rsidR="002E2578">
              <w:fldChar w:fldCharType="separate"/>
            </w:r>
            <w:r w:rsidR="002E2578">
              <w:rPr>
                <w:noProof/>
              </w:rPr>
              <w:t>(National Blood Authority 2023c)</w:t>
            </w:r>
            <w:r w:rsidR="002E2578">
              <w:fldChar w:fldCharType="end"/>
            </w:r>
          </w:p>
        </w:tc>
      </w:tr>
      <w:tr w:rsidR="00152FEE" w14:paraId="5C7D4CE6" w14:textId="141F17BF" w:rsidTr="00C93FE6">
        <w:trPr>
          <w:tblHeader/>
        </w:trPr>
        <w:tc>
          <w:tcPr>
            <w:tcW w:w="356" w:type="pct"/>
          </w:tcPr>
          <w:p w14:paraId="7F0FED99" w14:textId="5292E576" w:rsidR="00152FEE" w:rsidRDefault="00152FEE" w:rsidP="00FE0051">
            <w:pPr>
              <w:pStyle w:val="TableText0"/>
            </w:pPr>
            <w:r>
              <w:t>B</w:t>
            </w:r>
          </w:p>
        </w:tc>
        <w:tc>
          <w:tcPr>
            <w:tcW w:w="1543" w:type="pct"/>
          </w:tcPr>
          <w:p w14:paraId="6BA6BC35" w14:textId="05E9D115" w:rsidR="00152FEE" w:rsidRDefault="00152FEE" w:rsidP="00FE0051">
            <w:pPr>
              <w:pStyle w:val="TableText0"/>
            </w:pPr>
            <w:r>
              <w:t xml:space="preserve">Number of severe cases </w:t>
            </w:r>
          </w:p>
        </w:tc>
        <w:tc>
          <w:tcPr>
            <w:tcW w:w="1035" w:type="pct"/>
          </w:tcPr>
          <w:p w14:paraId="768F21CE" w14:textId="7DBB9F89" w:rsidR="00152FEE" w:rsidRDefault="00152FEE" w:rsidP="00FE0051">
            <w:pPr>
              <w:pStyle w:val="TableText0"/>
            </w:pPr>
            <w:r>
              <w:t>758</w:t>
            </w:r>
          </w:p>
        </w:tc>
        <w:tc>
          <w:tcPr>
            <w:tcW w:w="1033" w:type="pct"/>
          </w:tcPr>
          <w:p w14:paraId="6C10D30B" w14:textId="5538C2A9" w:rsidR="00152FEE" w:rsidRDefault="00152FEE" w:rsidP="00FE0051">
            <w:pPr>
              <w:pStyle w:val="TableText0"/>
            </w:pPr>
            <w:r>
              <w:t>114</w:t>
            </w:r>
          </w:p>
        </w:tc>
        <w:tc>
          <w:tcPr>
            <w:tcW w:w="1033" w:type="pct"/>
          </w:tcPr>
          <w:p w14:paraId="07DEB309" w14:textId="58D39F0B" w:rsidR="00152FEE" w:rsidRDefault="00C515A4" w:rsidP="00FE0051">
            <w:pPr>
              <w:pStyle w:val="TableText0"/>
            </w:pPr>
            <w:r>
              <w:t xml:space="preserve">ABDR data 2022–2023 </w:t>
            </w:r>
            <w:r w:rsidR="002E2578">
              <w:fldChar w:fldCharType="begin"/>
            </w:r>
            <w:r w:rsidR="002E2578">
              <w:instrText xml:space="preserve"> ADDIN EN.CITE &lt;EndNote&gt;&lt;Cite&gt;&lt;Author&gt;National Blood Authority&lt;/Author&gt;&lt;Year&gt;2023&lt;/Year&gt;&lt;RecNum&gt;25&lt;/RecNum&gt;&lt;DisplayText&gt;(National Blood Authority 2023c)&lt;/DisplayText&gt;&lt;record&gt;&lt;rec-number&gt;25&lt;/rec-number&gt;&lt;foreign-keys&gt;&lt;key app="EN" db-id="wrdwrvxxvt5dstesdtovsevj50f2z9xw099s" timestamp="1747872620"&gt;25&lt;/key&gt;&lt;/foreign-keys&gt;&lt;ref-type name="Report"&gt;27&lt;/ref-type&gt;&lt;contributors&gt;&lt;authors&gt;&lt;author&gt;National Blood Authority,&lt;/author&gt;&lt;/authors&gt;&lt;tertiary-authors&gt;&lt;author&gt;National Blood Authority&lt;/author&gt;&lt;/tertiary-authors&gt;&lt;/contributors&gt;&lt;titles&gt;&lt;title&gt;Australian Blood Disorders Registry Annual Report 2022-23&lt;/title&gt;&lt;/titles&gt;&lt;dates&gt;&lt;year&gt;2023&lt;/year&gt;&lt;pub-dates&gt;&lt;date&gt;15 December 2023&lt;/date&gt;&lt;/pub-dates&gt;&lt;/dates&gt;&lt;urls&gt;&lt;related-urls&gt;&lt;url&gt;https://www.blood.gov.au/australian-bleeding-disorders-registryannual-report&lt;/url&gt;&lt;/related-urls&gt;&lt;/urls&gt;&lt;/record&gt;&lt;/Cite&gt;&lt;/EndNote&gt;</w:instrText>
            </w:r>
            <w:r w:rsidR="002E2578">
              <w:fldChar w:fldCharType="separate"/>
            </w:r>
            <w:r w:rsidR="002E2578">
              <w:rPr>
                <w:noProof/>
              </w:rPr>
              <w:t>(National Blood Authority 2023c)</w:t>
            </w:r>
            <w:r w:rsidR="002E2578">
              <w:fldChar w:fldCharType="end"/>
            </w:r>
          </w:p>
        </w:tc>
      </w:tr>
      <w:tr w:rsidR="00152FEE" w14:paraId="7D58CD0F" w14:textId="0213E6E9" w:rsidTr="00C93FE6">
        <w:trPr>
          <w:tblHeader/>
        </w:trPr>
        <w:tc>
          <w:tcPr>
            <w:tcW w:w="356" w:type="pct"/>
          </w:tcPr>
          <w:p w14:paraId="6D69B334" w14:textId="6879B535" w:rsidR="00152FEE" w:rsidRDefault="00152FEE" w:rsidP="00FE0051">
            <w:pPr>
              <w:pStyle w:val="TableText0"/>
            </w:pPr>
            <w:r>
              <w:t>C</w:t>
            </w:r>
          </w:p>
        </w:tc>
        <w:tc>
          <w:tcPr>
            <w:tcW w:w="1543" w:type="pct"/>
          </w:tcPr>
          <w:p w14:paraId="4DFBEFCA" w14:textId="3BB73178" w:rsidR="00152FEE" w:rsidRDefault="00152FEE" w:rsidP="00FE0051">
            <w:pPr>
              <w:pStyle w:val="TableText0"/>
            </w:pPr>
            <w:r>
              <w:t xml:space="preserve">Number of people aged 12+ with severe disease </w:t>
            </w:r>
          </w:p>
        </w:tc>
        <w:tc>
          <w:tcPr>
            <w:tcW w:w="1035" w:type="pct"/>
          </w:tcPr>
          <w:p w14:paraId="552B0939" w14:textId="4FF63B08" w:rsidR="00152FEE" w:rsidRDefault="00152FEE" w:rsidP="00FE0051">
            <w:pPr>
              <w:pStyle w:val="TableText0"/>
            </w:pPr>
            <w:r>
              <w:t>561</w:t>
            </w:r>
          </w:p>
        </w:tc>
        <w:tc>
          <w:tcPr>
            <w:tcW w:w="1033" w:type="pct"/>
          </w:tcPr>
          <w:p w14:paraId="6F0DBEAC" w14:textId="6F349766" w:rsidR="00152FEE" w:rsidRDefault="00152FEE" w:rsidP="00FE0051">
            <w:pPr>
              <w:pStyle w:val="TableText0"/>
            </w:pPr>
            <w:r>
              <w:t>90</w:t>
            </w:r>
          </w:p>
        </w:tc>
        <w:tc>
          <w:tcPr>
            <w:tcW w:w="1033" w:type="pct"/>
          </w:tcPr>
          <w:p w14:paraId="508E3795" w14:textId="33754E09" w:rsidR="00152FEE" w:rsidRDefault="004009F7" w:rsidP="00FE0051">
            <w:pPr>
              <w:pStyle w:val="TableText0"/>
            </w:pPr>
            <w:r>
              <w:t xml:space="preserve">ABDR data up to 30 June 2022 </w:t>
            </w:r>
            <w:r w:rsidR="002E2578">
              <w:fldChar w:fldCharType="begin"/>
            </w:r>
            <w:r w:rsidR="002E2578">
              <w:instrText xml:space="preserve"> ADDIN EN.CITE &lt;EndNote&gt;&lt;Cite&gt;&lt;Author&gt;National Blood Authority&lt;/Author&gt;&lt;Year&gt;2023&lt;/Year&gt;&lt;RecNum&gt;46&lt;/RecNum&gt;&lt;DisplayText&gt;(National Blood Authority 2023a)&lt;/DisplayText&gt;&lt;record&gt;&lt;rec-number&gt;46&lt;/rec-number&gt;&lt;foreign-keys&gt;&lt;key app="EN" db-id="wrdwrvxxvt5dstesdtovsevj50f2z9xw099s" timestamp="1748582417"&gt;46&lt;/key&gt;&lt;/foreign-keys&gt;&lt;ref-type name="Generic"&gt;13&lt;/ref-type&gt;&lt;contributors&gt;&lt;authors&gt;&lt;author&gt;National Blood Authority,&lt;/author&gt;&lt;/authors&gt;&lt;/contributors&gt;&lt;titles&gt;&lt;title&gt;Analyses requested by Pfizer from the ABDR&lt;/title&gt;&lt;/titles&gt;&lt;dates&gt;&lt;year&gt;2023&lt;/year&gt;&lt;/dates&gt;&lt;publisher&gt;NBA&lt;/publisher&gt;&lt;urls&gt;&lt;/urls&gt;&lt;/record&gt;&lt;/Cite&gt;&lt;/EndNote&gt;</w:instrText>
            </w:r>
            <w:r w:rsidR="002E2578">
              <w:fldChar w:fldCharType="separate"/>
            </w:r>
            <w:r w:rsidR="002E2578">
              <w:rPr>
                <w:noProof/>
              </w:rPr>
              <w:t>(National Blood Authority 2023a)</w:t>
            </w:r>
            <w:r w:rsidR="002E2578">
              <w:fldChar w:fldCharType="end"/>
            </w:r>
          </w:p>
        </w:tc>
      </w:tr>
      <w:tr w:rsidR="00152FEE" w14:paraId="310AD440" w14:textId="4907B79A" w:rsidTr="00C93FE6">
        <w:trPr>
          <w:tblHeader/>
        </w:trPr>
        <w:tc>
          <w:tcPr>
            <w:tcW w:w="356" w:type="pct"/>
          </w:tcPr>
          <w:p w14:paraId="3C37A2B8" w14:textId="2029AE30" w:rsidR="00152FEE" w:rsidRDefault="00152FEE" w:rsidP="00FE0051">
            <w:pPr>
              <w:pStyle w:val="TableText0"/>
            </w:pPr>
            <w:r>
              <w:t>D</w:t>
            </w:r>
          </w:p>
        </w:tc>
        <w:tc>
          <w:tcPr>
            <w:tcW w:w="1543" w:type="pct"/>
          </w:tcPr>
          <w:p w14:paraId="232C72F7" w14:textId="0A344089" w:rsidR="00152FEE" w:rsidRDefault="00152FEE" w:rsidP="00FE0051">
            <w:pPr>
              <w:pStyle w:val="TableText0"/>
            </w:pPr>
            <w:r>
              <w:t xml:space="preserve">Number of people aged 12+ with severe disease receiving emicizumab </w:t>
            </w:r>
          </w:p>
        </w:tc>
        <w:tc>
          <w:tcPr>
            <w:tcW w:w="1035" w:type="pct"/>
          </w:tcPr>
          <w:p w14:paraId="7B433E33" w14:textId="7F05605F" w:rsidR="00152FEE" w:rsidRDefault="00152FEE" w:rsidP="00FE0051">
            <w:pPr>
              <w:pStyle w:val="TableText0"/>
            </w:pPr>
            <w:r>
              <w:t>298</w:t>
            </w:r>
          </w:p>
        </w:tc>
        <w:tc>
          <w:tcPr>
            <w:tcW w:w="1033" w:type="pct"/>
          </w:tcPr>
          <w:p w14:paraId="5DB62DE0" w14:textId="7F287FF3" w:rsidR="00152FEE" w:rsidRDefault="00152FEE" w:rsidP="00FE0051">
            <w:pPr>
              <w:pStyle w:val="TableText0"/>
            </w:pPr>
            <w:r>
              <w:t>N/A</w:t>
            </w:r>
          </w:p>
        </w:tc>
        <w:tc>
          <w:tcPr>
            <w:tcW w:w="1033" w:type="pct"/>
          </w:tcPr>
          <w:p w14:paraId="481B60D7" w14:textId="3140C60B" w:rsidR="00152FEE" w:rsidRDefault="003B7DDC" w:rsidP="00FE0051">
            <w:pPr>
              <w:pStyle w:val="TableText0"/>
            </w:pPr>
            <w:r>
              <w:t xml:space="preserve">ABDR data up to 30 June 2022 </w:t>
            </w:r>
            <w:r w:rsidR="002E2578">
              <w:fldChar w:fldCharType="begin"/>
            </w:r>
            <w:r w:rsidR="002E2578">
              <w:instrText xml:space="preserve"> ADDIN EN.CITE &lt;EndNote&gt;&lt;Cite&gt;&lt;Author&gt;National Blood Authority&lt;/Author&gt;&lt;Year&gt;2023&lt;/Year&gt;&lt;RecNum&gt;46&lt;/RecNum&gt;&lt;DisplayText&gt;(National Blood Authority 2023a)&lt;/DisplayText&gt;&lt;record&gt;&lt;rec-number&gt;46&lt;/rec-number&gt;&lt;foreign-keys&gt;&lt;key app="EN" db-id="wrdwrvxxvt5dstesdtovsevj50f2z9xw099s" timestamp="1748582417"&gt;46&lt;/key&gt;&lt;/foreign-keys&gt;&lt;ref-type name="Generic"&gt;13&lt;/ref-type&gt;&lt;contributors&gt;&lt;authors&gt;&lt;author&gt;National Blood Authority,&lt;/author&gt;&lt;/authors&gt;&lt;/contributors&gt;&lt;titles&gt;&lt;title&gt;Analyses requested by Pfizer from the ABDR&lt;/title&gt;&lt;/titles&gt;&lt;dates&gt;&lt;year&gt;2023&lt;/year&gt;&lt;/dates&gt;&lt;publisher&gt;NBA&lt;/publisher&gt;&lt;urls&gt;&lt;/urls&gt;&lt;/record&gt;&lt;/Cite&gt;&lt;/EndNote&gt;</w:instrText>
            </w:r>
            <w:r w:rsidR="002E2578">
              <w:fldChar w:fldCharType="separate"/>
            </w:r>
            <w:r w:rsidR="002E2578">
              <w:rPr>
                <w:noProof/>
              </w:rPr>
              <w:t>(National Blood Authority 2023a)</w:t>
            </w:r>
            <w:r w:rsidR="002E2578">
              <w:fldChar w:fldCharType="end"/>
            </w:r>
          </w:p>
        </w:tc>
      </w:tr>
      <w:tr w:rsidR="00152FEE" w14:paraId="0DA49E7D" w14:textId="14A51A09" w:rsidTr="00C93FE6">
        <w:trPr>
          <w:tblHeader/>
        </w:trPr>
        <w:tc>
          <w:tcPr>
            <w:tcW w:w="356" w:type="pct"/>
          </w:tcPr>
          <w:p w14:paraId="634EDCEC" w14:textId="7A0C2B8B" w:rsidR="00152FEE" w:rsidRPr="00404853" w:rsidRDefault="00152FEE" w:rsidP="00FE0051">
            <w:pPr>
              <w:pStyle w:val="TableText0"/>
            </w:pPr>
            <w:r w:rsidRPr="00404853">
              <w:t>E</w:t>
            </w:r>
          </w:p>
        </w:tc>
        <w:tc>
          <w:tcPr>
            <w:tcW w:w="1543" w:type="pct"/>
          </w:tcPr>
          <w:p w14:paraId="4F84568F" w14:textId="280F4033" w:rsidR="00152FEE" w:rsidRPr="00404853" w:rsidRDefault="00152FEE" w:rsidP="00FE0051">
            <w:pPr>
              <w:pStyle w:val="TableText0"/>
            </w:pPr>
            <w:r w:rsidRPr="00404853">
              <w:t xml:space="preserve">Number of people aged 12+ with severe disease without inhibitors </w:t>
            </w:r>
          </w:p>
        </w:tc>
        <w:tc>
          <w:tcPr>
            <w:tcW w:w="1035" w:type="pct"/>
          </w:tcPr>
          <w:p w14:paraId="59E222FA" w14:textId="44FCCE41" w:rsidR="00152FEE" w:rsidRPr="00937FF4" w:rsidRDefault="00152FEE" w:rsidP="00FE0051">
            <w:pPr>
              <w:pStyle w:val="TableText0"/>
            </w:pPr>
            <w:r w:rsidRPr="00404853">
              <w:t>539</w:t>
            </w:r>
          </w:p>
          <w:p w14:paraId="04C7D234" w14:textId="49317192" w:rsidR="00152FEE" w:rsidRPr="00404853" w:rsidRDefault="00152FEE" w:rsidP="00FE0051">
            <w:pPr>
              <w:pStyle w:val="TableText0"/>
            </w:pPr>
            <w:r w:rsidRPr="00937FF4">
              <w:t>(96% of row C)</w:t>
            </w:r>
          </w:p>
          <w:p w14:paraId="22F998F9" w14:textId="69650569" w:rsidR="00152FEE" w:rsidRPr="00404853" w:rsidRDefault="00152FEE" w:rsidP="00FE0051">
            <w:pPr>
              <w:pStyle w:val="TableText0"/>
              <w:rPr>
                <w:i/>
                <w:vertAlign w:val="superscript"/>
              </w:rPr>
            </w:pPr>
          </w:p>
        </w:tc>
        <w:tc>
          <w:tcPr>
            <w:tcW w:w="1033" w:type="pct"/>
          </w:tcPr>
          <w:p w14:paraId="712C9696" w14:textId="77777777" w:rsidR="001D73D5" w:rsidRDefault="00152FEE" w:rsidP="00FE0051">
            <w:pPr>
              <w:pStyle w:val="TableText0"/>
            </w:pPr>
            <w:r w:rsidRPr="00404853">
              <w:t>89</w:t>
            </w:r>
          </w:p>
          <w:p w14:paraId="5C6E46F2" w14:textId="76F93870" w:rsidR="00152FEE" w:rsidRPr="00404853" w:rsidRDefault="001D73D5" w:rsidP="00FE0051">
            <w:pPr>
              <w:pStyle w:val="TableText0"/>
              <w:rPr>
                <w:i/>
              </w:rPr>
            </w:pPr>
            <w:r w:rsidRPr="00481D74">
              <w:t>(99% of row C)</w:t>
            </w:r>
            <w:r w:rsidR="00152FEE" w:rsidRPr="00404853">
              <w:rPr>
                <w:i/>
                <w:iCs/>
              </w:rPr>
              <w:t xml:space="preserve"> </w:t>
            </w:r>
          </w:p>
        </w:tc>
        <w:tc>
          <w:tcPr>
            <w:tcW w:w="1033" w:type="pct"/>
          </w:tcPr>
          <w:p w14:paraId="1CE48CAF" w14:textId="166D99B4" w:rsidR="00152FEE" w:rsidRPr="00404853" w:rsidRDefault="00C515A4" w:rsidP="00FE0051">
            <w:pPr>
              <w:pStyle w:val="TableText0"/>
            </w:pPr>
            <w:r>
              <w:t xml:space="preserve">ABDR data </w:t>
            </w:r>
            <w:r w:rsidR="00B108FE">
              <w:t>2019–</w:t>
            </w:r>
            <w:r w:rsidR="004737AF">
              <w:t xml:space="preserve">2020 </w:t>
            </w:r>
            <w:r w:rsidR="002E2578">
              <w:fldChar w:fldCharType="begin"/>
            </w:r>
            <w:r w:rsidR="002E2578">
              <w:instrText xml:space="preserve"> ADDIN EN.CITE &lt;EndNote&gt;&lt;Cite&gt;&lt;Author&gt;National Blood Authority&lt;/Author&gt;&lt;Year&gt;2020&lt;/Year&gt;&lt;RecNum&gt;21&lt;/RecNum&gt;&lt;DisplayText&gt;(National Blood Authority 2020)&lt;/DisplayText&gt;&lt;record&gt;&lt;rec-number&gt;21&lt;/rec-number&gt;&lt;foreign-keys&gt;&lt;key app="EN" db-id="wrdwrvxxvt5dstesdtovsevj50f2z9xw099s" timestamp="1747872600"&gt;21&lt;/key&gt;&lt;/foreign-keys&gt;&lt;ref-type name="Report"&gt;27&lt;/ref-type&gt;&lt;contributors&gt;&lt;authors&gt;&lt;author&gt;National Blood Authority,&lt;/author&gt;&lt;/authors&gt;&lt;tertiary-authors&gt;&lt;author&gt;National Blood Authority&lt;/author&gt;&lt;/tertiary-authors&gt;&lt;/contributors&gt;&lt;titles&gt;&lt;title&gt;Australian Blood Disorders Registry Annual Report 2019-20&lt;/title&gt;&lt;/titles&gt;&lt;dates&gt;&lt;year&gt;2020&lt;/year&gt;&lt;pub-dates&gt;&lt;date&gt;2 November 2020&lt;/date&gt;&lt;/pub-dates&gt;&lt;/dates&gt;&lt;urls&gt;&lt;related-urls&gt;&lt;url&gt;http://www.blood.gov.au/data-analysis-reporting&lt;/url&gt;&lt;/related-urls&gt;&lt;/urls&gt;&lt;/record&gt;&lt;/Cite&gt;&lt;/EndNote&gt;</w:instrText>
            </w:r>
            <w:r w:rsidR="002E2578">
              <w:fldChar w:fldCharType="separate"/>
            </w:r>
            <w:r w:rsidR="002E2578">
              <w:rPr>
                <w:noProof/>
              </w:rPr>
              <w:t>(National Blood Authority 2020)</w:t>
            </w:r>
            <w:r w:rsidR="002E2578">
              <w:fldChar w:fldCharType="end"/>
            </w:r>
          </w:p>
        </w:tc>
      </w:tr>
      <w:tr w:rsidR="00152FEE" w14:paraId="324162ED" w14:textId="3A88330C" w:rsidTr="00C93FE6">
        <w:trPr>
          <w:tblHeader/>
        </w:trPr>
        <w:tc>
          <w:tcPr>
            <w:tcW w:w="356" w:type="pct"/>
          </w:tcPr>
          <w:p w14:paraId="5B9EBEF0" w14:textId="47EE0951" w:rsidR="00152FEE" w:rsidRPr="00840C7A" w:rsidRDefault="00152FEE" w:rsidP="00FE0051">
            <w:pPr>
              <w:pStyle w:val="TableText0"/>
            </w:pPr>
            <w:r w:rsidRPr="00840C7A">
              <w:t>F</w:t>
            </w:r>
          </w:p>
        </w:tc>
        <w:tc>
          <w:tcPr>
            <w:tcW w:w="1543" w:type="pct"/>
          </w:tcPr>
          <w:p w14:paraId="27F22D41" w14:textId="77777777" w:rsidR="00152FEE" w:rsidRPr="00840C7A" w:rsidRDefault="00152FEE" w:rsidP="00FE0051">
            <w:pPr>
              <w:pStyle w:val="TableText0"/>
            </w:pPr>
            <w:r w:rsidRPr="00840C7A">
              <w:t>Market share</w:t>
            </w:r>
          </w:p>
          <w:p w14:paraId="5BEB3EAA" w14:textId="4BE34FC3" w:rsidR="00152FEE" w:rsidRPr="00840C7A" w:rsidRDefault="00152FEE" w:rsidP="00FE0051">
            <w:pPr>
              <w:pStyle w:val="TableText0"/>
              <w:rPr>
                <w:vertAlign w:val="superscript"/>
              </w:rPr>
            </w:pPr>
            <w:r w:rsidRPr="00840C7A">
              <w:t>HMA: 10% amongst established individuals (</w:t>
            </w:r>
            <w:r w:rsidR="00AF2234">
              <w:t>&gt;</w:t>
            </w:r>
            <w:r w:rsidRPr="00840C7A">
              <w:t xml:space="preserve">12 years and with access to emicizumab) and </w:t>
            </w:r>
            <w:r w:rsidR="003559D9">
              <w:t>&lt;</w:t>
            </w:r>
            <w:r w:rsidRPr="00840C7A">
              <w:t xml:space="preserve">25% amongst newly eligible patients (turning 12 </w:t>
            </w:r>
            <w:r w:rsidR="006C7AFC">
              <w:t>years of age</w:t>
            </w:r>
            <w:r w:rsidRPr="00840C7A">
              <w:t xml:space="preserve"> without yet having access to emicizumab)</w:t>
            </w:r>
            <w:r w:rsidR="006375CD">
              <w:rPr>
                <w:vertAlign w:val="superscript"/>
              </w:rPr>
              <w:t>a</w:t>
            </w:r>
          </w:p>
          <w:p w14:paraId="022F9FCE" w14:textId="12AFC547" w:rsidR="00152FEE" w:rsidRPr="00840C7A" w:rsidRDefault="00152FEE" w:rsidP="00FE0051">
            <w:pPr>
              <w:pStyle w:val="TableText0"/>
              <w:rPr>
                <w:vertAlign w:val="superscript"/>
              </w:rPr>
            </w:pPr>
            <w:r w:rsidRPr="00840C7A">
              <w:t>HMB: 25% amongst established individuals (</w:t>
            </w:r>
            <w:r w:rsidR="00AF2234">
              <w:t>&gt;</w:t>
            </w:r>
            <w:r w:rsidRPr="00840C7A">
              <w:t>12 years) and 45% of newly eligible individuals</w:t>
            </w:r>
            <w:r w:rsidR="006C7AFC">
              <w:t xml:space="preserve"> (turning 12 years of age)</w:t>
            </w:r>
          </w:p>
        </w:tc>
        <w:tc>
          <w:tcPr>
            <w:tcW w:w="1035" w:type="pct"/>
          </w:tcPr>
          <w:p w14:paraId="3303BD8B" w14:textId="6C673521" w:rsidR="00152FEE" w:rsidRPr="00840C7A" w:rsidRDefault="00152FEE" w:rsidP="00FE0051">
            <w:pPr>
              <w:pStyle w:val="TableText0"/>
            </w:pPr>
            <w:r>
              <w:t>Established:</w:t>
            </w:r>
            <w:r>
              <w:br/>
            </w:r>
            <w:r w:rsidRPr="00840C7A">
              <w:t>54 in year 1</w:t>
            </w:r>
          </w:p>
          <w:p w14:paraId="32408E54" w14:textId="77777777" w:rsidR="00152FEE" w:rsidRDefault="00152FEE" w:rsidP="00FE0051">
            <w:pPr>
              <w:pStyle w:val="TableText0"/>
            </w:pPr>
            <w:r w:rsidRPr="00840C7A">
              <w:t>(10% of row E)</w:t>
            </w:r>
          </w:p>
          <w:p w14:paraId="127BEB41" w14:textId="77777777" w:rsidR="00152FEE" w:rsidRDefault="00152FEE" w:rsidP="00FE0051">
            <w:pPr>
              <w:pStyle w:val="TableText0"/>
            </w:pPr>
          </w:p>
          <w:p w14:paraId="781260D9" w14:textId="2DABE1F4" w:rsidR="00152FEE" w:rsidRPr="00840C7A" w:rsidRDefault="00152FEE" w:rsidP="00FE0051">
            <w:pPr>
              <w:pStyle w:val="TableText0"/>
            </w:pPr>
            <w:r>
              <w:t xml:space="preserve">Newly </w:t>
            </w:r>
            <w:r w:rsidR="00AF2234">
              <w:t>eligible</w:t>
            </w:r>
            <w:r>
              <w:t>: not calculated</w:t>
            </w:r>
          </w:p>
        </w:tc>
        <w:tc>
          <w:tcPr>
            <w:tcW w:w="1033" w:type="pct"/>
          </w:tcPr>
          <w:p w14:paraId="1BAA7DAC" w14:textId="01EA5821" w:rsidR="00152FEE" w:rsidRPr="00840C7A" w:rsidRDefault="00152FEE" w:rsidP="00FE0051">
            <w:pPr>
              <w:pStyle w:val="TableText0"/>
            </w:pPr>
            <w:r>
              <w:t>Established:</w:t>
            </w:r>
            <w:r>
              <w:br/>
            </w:r>
            <w:r w:rsidRPr="00840C7A">
              <w:t>22 in year 1</w:t>
            </w:r>
          </w:p>
          <w:p w14:paraId="7510D55D" w14:textId="77777777" w:rsidR="00152FEE" w:rsidRDefault="00152FEE" w:rsidP="00FE0051">
            <w:pPr>
              <w:pStyle w:val="TableText0"/>
            </w:pPr>
            <w:r w:rsidRPr="00840C7A">
              <w:t>(25% of row E)</w:t>
            </w:r>
          </w:p>
          <w:p w14:paraId="44B4381B" w14:textId="77777777" w:rsidR="00152FEE" w:rsidRDefault="00152FEE" w:rsidP="0021541C">
            <w:pPr>
              <w:pStyle w:val="TableText0"/>
            </w:pPr>
          </w:p>
          <w:p w14:paraId="741A5BD1" w14:textId="0D25DD9B" w:rsidR="00152FEE" w:rsidRPr="00840C7A" w:rsidRDefault="00152FEE" w:rsidP="0021541C">
            <w:pPr>
              <w:pStyle w:val="TableText0"/>
            </w:pPr>
            <w:r>
              <w:t xml:space="preserve">Newly </w:t>
            </w:r>
            <w:r w:rsidR="00AF2234">
              <w:t>eligible</w:t>
            </w:r>
            <w:r>
              <w:t>: not calculated</w:t>
            </w:r>
          </w:p>
        </w:tc>
        <w:tc>
          <w:tcPr>
            <w:tcW w:w="1033" w:type="pct"/>
          </w:tcPr>
          <w:p w14:paraId="161B1C44" w14:textId="6AFF10D6" w:rsidR="00152FEE" w:rsidRPr="00840C7A" w:rsidRDefault="004B5206" w:rsidP="00FE0051">
            <w:pPr>
              <w:pStyle w:val="TableText0"/>
            </w:pPr>
            <w:r>
              <w:t>Preliminary estimates of</w:t>
            </w:r>
            <w:r w:rsidR="00E33EFC">
              <w:t xml:space="preserve"> market share provided by applicant </w:t>
            </w:r>
          </w:p>
        </w:tc>
      </w:tr>
    </w:tbl>
    <w:p w14:paraId="787C4370" w14:textId="3F02A96E" w:rsidR="006375CD" w:rsidRDefault="0014000F" w:rsidP="005C340B">
      <w:pPr>
        <w:pStyle w:val="Tablenotes"/>
      </w:pPr>
      <w:r>
        <w:t>ABDR= Australia Bleeding Disorder Registry</w:t>
      </w:r>
      <w:r w:rsidR="009D5A1E">
        <w:t>;</w:t>
      </w:r>
      <w:r w:rsidR="00087D22">
        <w:t xml:space="preserve"> HMA = haemophilia A;</w:t>
      </w:r>
      <w:r w:rsidR="009D5A1E">
        <w:t xml:space="preserve"> </w:t>
      </w:r>
      <w:r w:rsidR="00D2431E">
        <w:t>HMB = haemophilia B</w:t>
      </w:r>
      <w:r w:rsidR="00E33EFC">
        <w:t>; N/A = not applicable</w:t>
      </w:r>
    </w:p>
    <w:p w14:paraId="52AB8E35" w14:textId="07B18F15" w:rsidR="003559D9" w:rsidRDefault="006375CD" w:rsidP="006375CD">
      <w:pPr>
        <w:pStyle w:val="Tablenotes"/>
      </w:pPr>
      <w:r>
        <w:rPr>
          <w:vertAlign w:val="superscript"/>
        </w:rPr>
        <w:t xml:space="preserve">a </w:t>
      </w:r>
      <w:r w:rsidR="003559D9">
        <w:t xml:space="preserve">In their pre-PASC response the applicant </w:t>
      </w:r>
      <w:r>
        <w:t xml:space="preserve">stated that </w:t>
      </w:r>
      <w:r w:rsidR="00E712AE">
        <w:t>“</w:t>
      </w:r>
      <w:r w:rsidR="003559D9">
        <w:t xml:space="preserve">patients aged &lt; 12 years are eligible to receive emicizumab so the uptake rate of marstacimab among </w:t>
      </w:r>
      <w:r w:rsidR="00893963">
        <w:t>“</w:t>
      </w:r>
      <w:r w:rsidR="003559D9">
        <w:t>newly eligible patients</w:t>
      </w:r>
      <w:r w:rsidR="00893963">
        <w:t>”</w:t>
      </w:r>
      <w:r w:rsidR="003559D9">
        <w:t xml:space="preserve"> (turning 12 years of age) is likely to be lower than 25%.</w:t>
      </w:r>
    </w:p>
    <w:p w14:paraId="3DB0F181" w14:textId="77777777" w:rsidR="00E8243C" w:rsidRDefault="00E8243C" w:rsidP="006375CD">
      <w:pPr>
        <w:pStyle w:val="Tablenotes"/>
      </w:pPr>
    </w:p>
    <w:p w14:paraId="62F1F612" w14:textId="77777777" w:rsidR="00E8243C" w:rsidRDefault="00E8243C" w:rsidP="00E8243C">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PASC noted that the proposed population is patients aged 12 years and over with severe HMA or HMB without factor VIII or IX inhibitors, respectively. Within the proposed population, PASC considered that patients with HMB have the highest unmet clinical need due to the lack of a currently available subcutaneous treatment option.</w:t>
      </w:r>
    </w:p>
    <w:p w14:paraId="7779EB93" w14:textId="77777777" w:rsidR="00E8243C" w:rsidRDefault="00E8243C" w:rsidP="00E8243C">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 xml:space="preserve">PASC noted that in addition to the proposed population, the key BASIS trial also included patients with moderately severe HMB (factor IX 1-2%). While PASC noted that the proposed population is not fully aligned with the key trial informing this application, PASC did not consider this to be a significant issue. PASC noted from the BASIS trial interim clinical study report provided by the applicant that only one patient (out of the 128 patients who entered the observational phase of the trial) had moderately severe HMB. </w:t>
      </w:r>
    </w:p>
    <w:p w14:paraId="1B4F5AD8" w14:textId="77777777" w:rsidR="00E8243C" w:rsidRDefault="00E8243C" w:rsidP="00E8243C">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 xml:space="preserve">PASC noted that although the overall clinical claim versus factor replacement was for HMA and HMB combined, the comparators are different for the two populations (FVIII and FIX replacement, respectively). PASC therefore advised that the results for HMA and HMB would need to be presented separately for the purposes of the health technology assessment. PASC noted that whilst the BASIS trial was not powered for analysis by haemophilia type, presenting the results by haemophilia type will allow the committees (ESC and MSAC) to determine whether any observed differences are likely to be clinically important (even if underpowered for statistical comparisons). </w:t>
      </w:r>
    </w:p>
    <w:p w14:paraId="4E5CCE6F" w14:textId="77777777" w:rsidR="00E8243C" w:rsidRDefault="00E8243C" w:rsidP="00E8243C">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 xml:space="preserve">PASC queried whether individuals with haemophilia and inhibitors to FVIII/FIX should be eligible for marstacimab. PASC noted from the applicant that data are currently being collected for marstacimab </w:t>
      </w:r>
      <w:r>
        <w:rPr>
          <w:rFonts w:asciiTheme="minorHAnsi" w:hAnsiTheme="minorHAnsi" w:cstheme="minorHAnsi"/>
          <w:i/>
          <w:iCs/>
        </w:rPr>
        <w:lastRenderedPageBreak/>
        <w:t xml:space="preserve">treatment in this population. The applicant further stated that the use of marstacimab in this </w:t>
      </w:r>
      <w:r w:rsidRPr="006279D7">
        <w:rPr>
          <w:rFonts w:asciiTheme="minorHAnsi" w:hAnsiTheme="minorHAnsi" w:cstheme="minorHAnsi"/>
          <w:i/>
          <w:iCs/>
        </w:rPr>
        <w:t xml:space="preserve">population </w:t>
      </w:r>
      <w:r>
        <w:rPr>
          <w:rFonts w:asciiTheme="minorHAnsi" w:hAnsiTheme="minorHAnsi" w:cstheme="minorHAnsi"/>
          <w:i/>
          <w:iCs/>
        </w:rPr>
        <w:t>has</w:t>
      </w:r>
      <w:r w:rsidRPr="006279D7">
        <w:rPr>
          <w:rFonts w:asciiTheme="minorHAnsi" w:hAnsiTheme="minorHAnsi" w:cstheme="minorHAnsi"/>
          <w:i/>
          <w:iCs/>
        </w:rPr>
        <w:t xml:space="preserve"> not </w:t>
      </w:r>
      <w:r>
        <w:rPr>
          <w:rFonts w:asciiTheme="minorHAnsi" w:hAnsiTheme="minorHAnsi" w:cstheme="minorHAnsi"/>
          <w:i/>
          <w:iCs/>
        </w:rPr>
        <w:t>yet</w:t>
      </w:r>
      <w:r w:rsidRPr="006279D7">
        <w:rPr>
          <w:rFonts w:asciiTheme="minorHAnsi" w:hAnsiTheme="minorHAnsi" w:cstheme="minorHAnsi"/>
          <w:i/>
          <w:iCs/>
        </w:rPr>
        <w:t xml:space="preserve"> </w:t>
      </w:r>
      <w:r>
        <w:rPr>
          <w:rFonts w:asciiTheme="minorHAnsi" w:hAnsiTheme="minorHAnsi" w:cstheme="minorHAnsi"/>
          <w:i/>
          <w:iCs/>
        </w:rPr>
        <w:t>been considered by the</w:t>
      </w:r>
      <w:r w:rsidRPr="006279D7">
        <w:rPr>
          <w:rFonts w:asciiTheme="minorHAnsi" w:hAnsiTheme="minorHAnsi" w:cstheme="minorHAnsi"/>
          <w:i/>
          <w:iCs/>
        </w:rPr>
        <w:t xml:space="preserve"> TGA </w:t>
      </w:r>
      <w:r>
        <w:rPr>
          <w:rFonts w:asciiTheme="minorHAnsi" w:hAnsiTheme="minorHAnsi" w:cstheme="minorHAnsi"/>
          <w:i/>
          <w:iCs/>
        </w:rPr>
        <w:t>for registration on the ARTG</w:t>
      </w:r>
      <w:r w:rsidRPr="006279D7">
        <w:rPr>
          <w:rFonts w:asciiTheme="minorHAnsi" w:hAnsiTheme="minorHAnsi" w:cstheme="minorHAnsi"/>
          <w:i/>
          <w:iCs/>
        </w:rPr>
        <w:t xml:space="preserve">. </w:t>
      </w:r>
    </w:p>
    <w:p w14:paraId="59685A7B" w14:textId="77777777" w:rsidR="00E8243C" w:rsidRDefault="00E8243C" w:rsidP="00E8243C">
      <w:r>
        <w:rPr>
          <w:rFonts w:asciiTheme="minorHAnsi" w:hAnsiTheme="minorHAnsi" w:cstheme="minorHAnsi"/>
          <w:i/>
          <w:iCs/>
        </w:rPr>
        <w:t xml:space="preserve">PASC noted that there is an ongoing phase 3 clinical trial for the treatment of marstacimab in paediatric patients (&lt;18 years of age) with haemophilia (BASIS KIDS; </w:t>
      </w:r>
      <w:r w:rsidRPr="00C034D4">
        <w:rPr>
          <w:rFonts w:asciiTheme="minorHAnsi" w:hAnsiTheme="minorHAnsi" w:cstheme="minorHAnsi"/>
          <w:i/>
          <w:iCs/>
        </w:rPr>
        <w:t>NCT05611801</w:t>
      </w:r>
      <w:r>
        <w:rPr>
          <w:rFonts w:asciiTheme="minorHAnsi" w:hAnsiTheme="minorHAnsi" w:cstheme="minorHAnsi"/>
          <w:i/>
          <w:iCs/>
        </w:rPr>
        <w:t xml:space="preserve">). PASC noted that marstacimab is currently only registered on the ARTG for patients aged 12 and over. </w:t>
      </w:r>
    </w:p>
    <w:p w14:paraId="0E38780D" w14:textId="574F8C48" w:rsidR="007A66C8" w:rsidRPr="008F1532" w:rsidRDefault="007A66C8" w:rsidP="00713728">
      <w:pPr>
        <w:pStyle w:val="Heading3"/>
      </w:pPr>
      <w:r>
        <w:t>Intervention</w:t>
      </w:r>
    </w:p>
    <w:p w14:paraId="16D51434" w14:textId="4FC60F7A" w:rsidR="00B7519D" w:rsidRDefault="00D43588" w:rsidP="00D43588">
      <w:r>
        <w:t xml:space="preserve">The proposed </w:t>
      </w:r>
      <w:r w:rsidR="00932049">
        <w:t xml:space="preserve">intervention is marstacimab </w:t>
      </w:r>
      <w:r w:rsidR="00F677D4">
        <w:t xml:space="preserve">for </w:t>
      </w:r>
      <w:r w:rsidR="00932049">
        <w:t xml:space="preserve">the </w:t>
      </w:r>
      <w:r w:rsidR="007C34A6">
        <w:t xml:space="preserve">prevention of bleeding in </w:t>
      </w:r>
      <w:r w:rsidR="002C59A9">
        <w:t>HMA</w:t>
      </w:r>
      <w:r w:rsidR="007C34A6">
        <w:t xml:space="preserve"> and </w:t>
      </w:r>
      <w:r w:rsidR="002C59A9">
        <w:t>HMB</w:t>
      </w:r>
      <w:r>
        <w:t>. Marstacimab is a human monoclonal antibody (immunoglobulin G isotype, subclass 1 [IgG1])</w:t>
      </w:r>
      <w:r w:rsidR="002152BA">
        <w:t>.</w:t>
      </w:r>
      <w:r w:rsidR="0018686E">
        <w:t xml:space="preserve"> Marstacimab is delivered </w:t>
      </w:r>
      <w:r w:rsidR="00FD34F4">
        <w:t xml:space="preserve">prophylactically </w:t>
      </w:r>
      <w:r w:rsidR="0018686E">
        <w:t xml:space="preserve">as a </w:t>
      </w:r>
      <w:r w:rsidR="22521029">
        <w:t>subcutaneous</w:t>
      </w:r>
      <w:r w:rsidR="0018686E">
        <w:t xml:space="preserve"> injection </w:t>
      </w:r>
      <w:r w:rsidR="00692402">
        <w:t>using a pen device</w:t>
      </w:r>
      <w:r w:rsidR="00631EEC">
        <w:t>, which may be self-administered, or by a parent or guardian for younger children.</w:t>
      </w:r>
      <w:r w:rsidR="00692402">
        <w:t xml:space="preserve"> </w:t>
      </w:r>
    </w:p>
    <w:p w14:paraId="6EE475F0" w14:textId="77777777" w:rsidR="00DD0870" w:rsidRDefault="00386AB8" w:rsidP="00D43588">
      <w:r>
        <w:t xml:space="preserve">The </w:t>
      </w:r>
      <w:r w:rsidRPr="00937FF4">
        <w:t>applicant</w:t>
      </w:r>
      <w:r>
        <w:t xml:space="preserve"> claims that marstacimab has a long circulating half-life, which allows for once-weekly administration. </w:t>
      </w:r>
      <w:r w:rsidR="00692402">
        <w:t xml:space="preserve">The loading dose is 300mg (2 x 150mg injections), followed by once-weekly injections of 150mg. In patients weighing ≥50kg, </w:t>
      </w:r>
      <w:r w:rsidR="000979E7">
        <w:t xml:space="preserve">the </w:t>
      </w:r>
      <w:r w:rsidR="00631EEC">
        <w:t xml:space="preserve">treating physician may </w:t>
      </w:r>
      <w:r w:rsidR="00692402">
        <w:t>increase</w:t>
      </w:r>
      <w:r w:rsidR="00631EEC">
        <w:t xml:space="preserve"> the dose to </w:t>
      </w:r>
      <w:r w:rsidR="00692402">
        <w:t>300m</w:t>
      </w:r>
      <w:r w:rsidR="00631EEC">
        <w:t xml:space="preserve">g </w:t>
      </w:r>
      <w:r w:rsidR="00692402">
        <w:t>should</w:t>
      </w:r>
      <w:r w:rsidR="00631EEC">
        <w:t xml:space="preserve"> control of bleeding events be </w:t>
      </w:r>
      <w:r w:rsidR="00135E33">
        <w:t>insufficient</w:t>
      </w:r>
      <w:r w:rsidR="00631EEC">
        <w:t>.</w:t>
      </w:r>
      <w:r w:rsidR="00B8309E">
        <w:t xml:space="preserve"> The dosing </w:t>
      </w:r>
      <w:r w:rsidR="001D77E9">
        <w:t xml:space="preserve">regimen is the same, regardless of whether the </w:t>
      </w:r>
      <w:r w:rsidR="006C6029">
        <w:t>individual has HMA or HMB.</w:t>
      </w:r>
    </w:p>
    <w:p w14:paraId="355221A5" w14:textId="119CA4CD" w:rsidR="00692402" w:rsidRDefault="00F1442A" w:rsidP="00D43588">
      <w:r>
        <w:t>The</w:t>
      </w:r>
      <w:r w:rsidR="00262BF7">
        <w:t xml:space="preserve"> </w:t>
      </w:r>
      <w:r w:rsidR="005610DA">
        <w:t>proposed</w:t>
      </w:r>
      <w:r>
        <w:t xml:space="preserve"> </w:t>
      </w:r>
      <w:r w:rsidR="00AF3118">
        <w:t>TGA</w:t>
      </w:r>
      <w:r>
        <w:t xml:space="preserve"> </w:t>
      </w:r>
      <w:r w:rsidR="0067013F">
        <w:t>p</w:t>
      </w:r>
      <w:r w:rsidR="001E7648">
        <w:t>roduct information</w:t>
      </w:r>
      <w:r>
        <w:t xml:space="preserve"> for </w:t>
      </w:r>
      <w:r w:rsidR="001A13C8">
        <w:t xml:space="preserve">marstacimab </w:t>
      </w:r>
      <w:r w:rsidR="00F6662F">
        <w:t xml:space="preserve">provided in the application </w:t>
      </w:r>
      <w:r>
        <w:t xml:space="preserve">does not recommend dose adjustment in </w:t>
      </w:r>
      <w:r w:rsidR="005E4852">
        <w:t xml:space="preserve">individuals who are ≥65 years; have </w:t>
      </w:r>
      <w:r w:rsidR="00017763">
        <w:t>renal and/or hepatic impairment as these patient populations have not been studied.</w:t>
      </w:r>
      <w:r w:rsidR="002714FE">
        <w:t xml:space="preserve"> Marstacimab may also be used for </w:t>
      </w:r>
      <w:r w:rsidR="003B6D8F">
        <w:t xml:space="preserve">the </w:t>
      </w:r>
      <w:r w:rsidR="002714FE">
        <w:t>purpose of treating breakthrough bleeds</w:t>
      </w:r>
      <w:r w:rsidR="00653CF9">
        <w:t xml:space="preserve">, although this is outside the </w:t>
      </w:r>
      <w:r w:rsidR="00003A62">
        <w:t>proposed indications</w:t>
      </w:r>
      <w:r w:rsidR="0043443C">
        <w:t xml:space="preserve"> </w:t>
      </w:r>
      <w:r w:rsidR="002E2578">
        <w:fldChar w:fldCharType="begin"/>
      </w:r>
      <w:r w:rsidR="002E2578">
        <w:instrText xml:space="preserve"> ADDIN EN.CITE &lt;EndNote&gt;&lt;Cite&gt;&lt;Author&gt;NA&lt;/Author&gt;&lt;Year&gt;2025&lt;/Year&gt;&lt;RecNum&gt;28&lt;/RecNum&gt;&lt;DisplayText&gt;(NA 2025)&lt;/DisplayText&gt;&lt;record&gt;&lt;rec-number&gt;28&lt;/rec-number&gt;&lt;foreign-keys&gt;&lt;key app="EN" db-id="wrdwrvxxvt5dstesdtovsevj50f2z9xw099s" timestamp="1747872630"&gt;28&lt;/key&gt;&lt;/foreign-keys&gt;&lt;ref-type name="Report"&gt;27&lt;/ref-type&gt;&lt;contributors&gt;&lt;authors&gt;&lt;author&gt;NA&lt;/author&gt;&lt;/authors&gt;&lt;/contributors&gt;&lt;titles&gt;&lt;title&gt;Australian Product Information HYMPAVZI™ (MARSTACIMAB)&lt;/title&gt;&lt;/titles&gt;&lt;dates&gt;&lt;year&gt;2025&lt;/year&gt;&lt;/dates&gt;&lt;urls&gt;&lt;/urls&gt;&lt;/record&gt;&lt;/Cite&gt;&lt;/EndNote&gt;</w:instrText>
      </w:r>
      <w:r w:rsidR="002E2578">
        <w:fldChar w:fldCharType="separate"/>
      </w:r>
      <w:r w:rsidR="002E2578">
        <w:rPr>
          <w:noProof/>
        </w:rPr>
        <w:t>(NA 2025)</w:t>
      </w:r>
      <w:r w:rsidR="002E2578">
        <w:fldChar w:fldCharType="end"/>
      </w:r>
      <w:r w:rsidR="002714FE">
        <w:t>.</w:t>
      </w:r>
      <w:r w:rsidR="00B43947">
        <w:t xml:space="preserve"> </w:t>
      </w:r>
    </w:p>
    <w:p w14:paraId="72ABB0B6" w14:textId="4FB44730" w:rsidR="005C30C0" w:rsidRDefault="000C06AE" w:rsidP="005C30C0">
      <w:r>
        <w:t>Marstacimab is listed on the ARTG</w:t>
      </w:r>
      <w:r w:rsidR="0059521C">
        <w:t xml:space="preserve"> (ID: 438990)</w:t>
      </w:r>
      <w:r>
        <w:t xml:space="preserve"> </w:t>
      </w:r>
      <w:r w:rsidR="005C30C0">
        <w:t xml:space="preserve">and indicated for </w:t>
      </w:r>
      <w:r w:rsidR="003B6D8F">
        <w:t xml:space="preserve">the </w:t>
      </w:r>
      <w:r w:rsidR="005C30C0">
        <w:t>routine prophylaxis of bleeding episodes in patients 12 years of age and older with:</w:t>
      </w:r>
    </w:p>
    <w:p w14:paraId="0AD37106" w14:textId="43E7DBD4" w:rsidR="005C30C0" w:rsidRDefault="005C30C0" w:rsidP="005C30C0">
      <w:pPr>
        <w:pStyle w:val="ListParagraph"/>
        <w:numPr>
          <w:ilvl w:val="0"/>
          <w:numId w:val="22"/>
        </w:numPr>
      </w:pPr>
      <w:r>
        <w:t>severe haemophilia A (congenital factor VIII deficiency, FVIII &lt;1%</w:t>
      </w:r>
      <w:r w:rsidR="0004701D">
        <w:t xml:space="preserve"> activity</w:t>
      </w:r>
      <w:r>
        <w:t>) without factor VIII inhibitors, or</w:t>
      </w:r>
    </w:p>
    <w:p w14:paraId="0B43D76C" w14:textId="01C0BAC8" w:rsidR="00665260" w:rsidRDefault="005C30C0" w:rsidP="00665260">
      <w:pPr>
        <w:pStyle w:val="ListParagraph"/>
        <w:numPr>
          <w:ilvl w:val="0"/>
          <w:numId w:val="22"/>
        </w:numPr>
      </w:pPr>
      <w:r>
        <w:t>severe haemophilia B (congenital factor IX deficiency, FIX &lt;1%</w:t>
      </w:r>
      <w:r w:rsidR="0004701D">
        <w:t xml:space="preserve"> activity</w:t>
      </w:r>
      <w:r>
        <w:t>) without factor IX inhibitors</w:t>
      </w:r>
    </w:p>
    <w:p w14:paraId="6125A8E1" w14:textId="261D7461" w:rsidR="005C30C0" w:rsidRDefault="005C30C0" w:rsidP="005C30C0">
      <w:r>
        <w:t>Marstacimab is included in the Black Triangle Scheme</w:t>
      </w:r>
      <w:r w:rsidR="00803041">
        <w:t xml:space="preserve"> for additional monitoring, so </w:t>
      </w:r>
      <w:r w:rsidR="00E7245A">
        <w:t>any new safety information may be quickly identified</w:t>
      </w:r>
      <w:r w:rsidR="004D2F66">
        <w:t xml:space="preserve">, as per the </w:t>
      </w:r>
      <w:r w:rsidR="00942978" w:rsidRPr="00AA4583">
        <w:t>ARTG entry</w:t>
      </w:r>
      <w:r w:rsidR="00AA4583">
        <w:rPr>
          <w:rStyle w:val="FootnoteReference"/>
        </w:rPr>
        <w:footnoteReference w:id="3"/>
      </w:r>
      <w:r w:rsidR="004D2F66">
        <w:t>.</w:t>
      </w:r>
      <w:r>
        <w:t xml:space="preserve"> </w:t>
      </w:r>
    </w:p>
    <w:p w14:paraId="42A235A0" w14:textId="5D0B197C" w:rsidR="000225D3" w:rsidRDefault="000225D3" w:rsidP="000225D3">
      <w:pPr>
        <w:pStyle w:val="Heading4"/>
      </w:pPr>
      <w:r>
        <w:t xml:space="preserve">Rationale for </w:t>
      </w:r>
      <w:r w:rsidR="006804A2">
        <w:t>prevention of bleeds with marstacimab</w:t>
      </w:r>
    </w:p>
    <w:p w14:paraId="59A9D1F4" w14:textId="27D17218" w:rsidR="00A60366" w:rsidRDefault="007031B8" w:rsidP="00D43588">
      <w:r>
        <w:t xml:space="preserve">In haemophilia, </w:t>
      </w:r>
      <w:r w:rsidR="007A57AF">
        <w:t xml:space="preserve">individuals retain some ability to control bleeding via the extrinsic pathway. </w:t>
      </w:r>
      <w:r w:rsidR="00F83D69">
        <w:t>However, this is not sufficient to control major or spontaneous bleeds as this pathway is shut down by the tissue factor pathway inhibitor (TFPI)</w:t>
      </w:r>
      <w:r w:rsidR="00B7519D">
        <w:t xml:space="preserve">. TFPI is a </w:t>
      </w:r>
      <w:r w:rsidR="00B7519D" w:rsidRPr="00B7519D">
        <w:t xml:space="preserve">multiple </w:t>
      </w:r>
      <w:r w:rsidR="00CA65D7">
        <w:t>K</w:t>
      </w:r>
      <w:r w:rsidR="00B7519D" w:rsidRPr="00B7519D">
        <w:t>unitz domain protease inhibitor which inactivates both Factor Xa (FXa) and Factor VIIa (FVIIa)</w:t>
      </w:r>
      <w:r w:rsidR="00E4728A">
        <w:t xml:space="preserve">, thereby stopping the clotting </w:t>
      </w:r>
      <w:r w:rsidR="00590D34">
        <w:t xml:space="preserve">cascade </w:t>
      </w:r>
      <w:r w:rsidR="00F37083">
        <w:fldChar w:fldCharType="begin"/>
      </w:r>
      <w:r w:rsidR="00F37083">
        <w:instrText xml:space="preserve"> ADDIN EN.CITE &lt;EndNote&gt;&lt;Cite&gt;&lt;Author&gt;Smith&lt;/Author&gt;&lt;Year&gt;2015&lt;/Year&gt;&lt;RecNum&gt;29&lt;/RecNum&gt;&lt;DisplayText&gt;(Smith, Travers &amp;amp; Morrissey 2015)&lt;/DisplayText&gt;&lt;record&gt;&lt;rec-number&gt;29&lt;/rec-number&gt;&lt;foreign-keys&gt;&lt;key app="EN" db-id="wrdwrvxxvt5dstesdtovsevj50f2z9xw099s" timestamp="1747872634"&gt;29&lt;/key&gt;&lt;/foreign-keys&gt;&lt;ref-type name="Journal Article"&gt;17&lt;/ref-type&gt;&lt;contributors&gt;&lt;authors&gt;&lt;author&gt;Smith, S. A.&lt;/author&gt;&lt;author&gt;Travers, R. J.&lt;/author&gt;&lt;author&gt;Morrissey, J. H.&lt;/author&gt;&lt;/authors&gt;&lt;/contributors&gt;&lt;auth-address&gt;a Department of Biochemistry , University of Illinois at Urbana-Champaign , Urbana , IL , USA.&lt;/auth-address&gt;&lt;titles&gt;&lt;title&gt;How it all starts: Initiation of the clotting cascade&lt;/title&gt;&lt;secondary-title&gt;Crit Rev Biochem Mol Biol&lt;/secondary-title&gt;&lt;/titles&gt;&lt;periodical&gt;&lt;full-title&gt;Crit Rev Biochem Mol Biol&lt;/full-title&gt;&lt;/periodical&gt;&lt;pages&gt;326-36&lt;/pages&gt;&lt;volume&gt;50&lt;/volume&gt;&lt;number&gt;4&lt;/number&gt;&lt;edition&gt;20150528&lt;/edition&gt;&lt;keywords&gt;&lt;keyword&gt;Animals&lt;/keyword&gt;&lt;keyword&gt;*Blood Coagulation&lt;/keyword&gt;&lt;keyword&gt;Hemostasis&lt;/keyword&gt;&lt;keyword&gt;Humans&lt;/keyword&gt;&lt;keyword&gt;*Models, Biological&lt;/keyword&gt;&lt;keyword&gt;Platelet Activation&lt;/keyword&gt;&lt;keyword&gt;Proteolysis&lt;/keyword&gt;&lt;keyword&gt;Thromboplastin/analysis/*metabolism&lt;/keyword&gt;&lt;keyword&gt;Thrombosis/blood/metabolism&lt;/keyword&gt;&lt;keyword&gt;Blood coagulation&lt;/keyword&gt;&lt;keyword&gt;contact pathway&lt;/keyword&gt;&lt;keyword&gt;factor VII&lt;/keyword&gt;&lt;keyword&gt;factor XII&lt;/keyword&gt;&lt;keyword&gt;polyphosphate&lt;/keyword&gt;&lt;keyword&gt;tissue factor&lt;/keyword&gt;&lt;/keywords&gt;&lt;dates&gt;&lt;year&gt;2015&lt;/year&gt;&lt;/dates&gt;&lt;isbn&gt;1549-7798 (Electronic)&amp;#xD;1040-9238 (Print)&amp;#xD;1040-9238 (Linking)&lt;/isbn&gt;&lt;accession-num&gt;26018600&lt;/accession-num&gt;&lt;urls&gt;&lt;related-urls&gt;&lt;url&gt;https://www.ncbi.nlm.nih.gov/pubmed/26018600&lt;/url&gt;&lt;/related-urls&gt;&lt;/urls&gt;&lt;custom2&gt;PMC4826570&lt;/custom2&gt;&lt;electronic-resource-num&gt;10.3109/10409238.2015.1050550&lt;/electronic-resource-num&gt;&lt;remote-database-name&gt;Medline&lt;/remote-database-name&gt;&lt;remote-database-provider&gt;NLM&lt;/remote-database-provider&gt;&lt;/record&gt;&lt;/Cite&gt;&lt;/EndNote&gt;</w:instrText>
      </w:r>
      <w:r w:rsidR="00F37083">
        <w:fldChar w:fldCharType="separate"/>
      </w:r>
      <w:r w:rsidR="00F37083" w:rsidRPr="00796279">
        <w:t>(Smith, Travers &amp; Morrissey 2015)</w:t>
      </w:r>
      <w:r w:rsidR="00F37083">
        <w:fldChar w:fldCharType="end"/>
      </w:r>
      <w:r w:rsidR="00F83D69">
        <w:t>.</w:t>
      </w:r>
      <w:r w:rsidR="00B7519D">
        <w:t xml:space="preserve"> </w:t>
      </w:r>
    </w:p>
    <w:p w14:paraId="4C7FC63A" w14:textId="0BC50C89" w:rsidR="009D3B1A" w:rsidRDefault="009D3B1A" w:rsidP="00D43588">
      <w:r>
        <w:t>Marstacimab binds and inhibits TFPI, thereby enhancing the extrinsic pathway, and bypassing the requirement to replace FVIII or FIX (</w:t>
      </w:r>
      <w:r>
        <w:fldChar w:fldCharType="begin"/>
      </w:r>
      <w:r>
        <w:instrText xml:space="preserve"> REF _Ref198810813 \h </w:instrText>
      </w:r>
      <w:r>
        <w:fldChar w:fldCharType="separate"/>
      </w:r>
      <w:r w:rsidR="001D119F" w:rsidRPr="00796279">
        <w:t xml:space="preserve">Figure </w:t>
      </w:r>
      <w:r w:rsidR="001D119F">
        <w:rPr>
          <w:noProof/>
        </w:rPr>
        <w:t>2</w:t>
      </w:r>
      <w:r>
        <w:fldChar w:fldCharType="end"/>
      </w:r>
      <w:r>
        <w:t>).</w:t>
      </w:r>
      <w:r w:rsidR="00401054">
        <w:t xml:space="preserve"> </w:t>
      </w:r>
      <w:r w:rsidR="008929B9">
        <w:t xml:space="preserve">The application claims that marstacimab is expected to </w:t>
      </w:r>
      <w:r w:rsidR="008929B9">
        <w:lastRenderedPageBreak/>
        <w:t>reduce th</w:t>
      </w:r>
      <w:r w:rsidR="00347652">
        <w:t>e</w:t>
      </w:r>
      <w:r w:rsidR="008929B9">
        <w:t xml:space="preserve"> frequency of bleeds, and prevent chronic pain and joint damage associated with haemophilia in the longer term.</w:t>
      </w:r>
      <w:r w:rsidR="001D2CA6">
        <w:t xml:space="preserve"> </w:t>
      </w:r>
    </w:p>
    <w:p w14:paraId="3FA4AE8D" w14:textId="0ABD72B8" w:rsidR="00103E86" w:rsidRDefault="007C540A" w:rsidP="001D2CA6">
      <w:pPr>
        <w:keepNext/>
      </w:pPr>
      <w:r w:rsidRPr="007C540A">
        <w:rPr>
          <w:noProof/>
        </w:rPr>
        <w:drawing>
          <wp:inline distT="0" distB="0" distL="0" distR="0" wp14:anchorId="7E8200EE" wp14:editId="2505544A">
            <wp:extent cx="6083935" cy="4846955"/>
            <wp:effectExtent l="0" t="0" r="0" b="0"/>
            <wp:docPr id="1562341013" name="Picture 1" descr="A diagram of the clotting cascade. Affected factors in haemophilia A and B are surrounded in red boxes.&#10;Marstacimab (highlighted in yellow) interacts with TFPI, surrounded in purple bo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341013" name="Picture 1" descr="A diagram of the clotting cascade. Affected factors in haemophilia A and B are surrounded in red boxes.&#10;Marstacimab (highlighted in yellow) interacts with TFPI, surrounded in purple box. &#10;"/>
                    <pic:cNvPicPr/>
                  </pic:nvPicPr>
                  <pic:blipFill>
                    <a:blip r:embed="rId10"/>
                    <a:stretch>
                      <a:fillRect/>
                    </a:stretch>
                  </pic:blipFill>
                  <pic:spPr>
                    <a:xfrm>
                      <a:off x="0" y="0"/>
                      <a:ext cx="6083935" cy="4846955"/>
                    </a:xfrm>
                    <a:prstGeom prst="rect">
                      <a:avLst/>
                    </a:prstGeom>
                  </pic:spPr>
                </pic:pic>
              </a:graphicData>
            </a:graphic>
          </wp:inline>
        </w:drawing>
      </w:r>
    </w:p>
    <w:p w14:paraId="63F5391A" w14:textId="4DD427F3" w:rsidR="001D2CA6" w:rsidRPr="00796279" w:rsidRDefault="001D2CA6" w:rsidP="001D2CA6">
      <w:pPr>
        <w:pStyle w:val="Caption"/>
        <w:rPr>
          <w:lang w:val="en-AU"/>
        </w:rPr>
      </w:pPr>
      <w:bookmarkStart w:id="9" w:name="_Ref198810813"/>
      <w:r w:rsidRPr="00796279">
        <w:rPr>
          <w:lang w:val="en-AU"/>
        </w:rPr>
        <w:t xml:space="preserve">Figure </w:t>
      </w:r>
      <w:r w:rsidRPr="00796279">
        <w:rPr>
          <w:lang w:val="en-AU"/>
        </w:rPr>
        <w:fldChar w:fldCharType="begin"/>
      </w:r>
      <w:r w:rsidRPr="00796279">
        <w:rPr>
          <w:lang w:val="en-AU"/>
        </w:rPr>
        <w:instrText xml:space="preserve"> SEQ Figure \* ARABIC </w:instrText>
      </w:r>
      <w:r w:rsidRPr="00796279">
        <w:rPr>
          <w:lang w:val="en-AU"/>
        </w:rPr>
        <w:fldChar w:fldCharType="separate"/>
      </w:r>
      <w:r w:rsidR="001D119F">
        <w:rPr>
          <w:noProof/>
          <w:lang w:val="en-AU"/>
        </w:rPr>
        <w:t>2</w:t>
      </w:r>
      <w:r w:rsidRPr="00796279">
        <w:rPr>
          <w:lang w:val="en-AU"/>
        </w:rPr>
        <w:fldChar w:fldCharType="end"/>
      </w:r>
      <w:bookmarkEnd w:id="9"/>
      <w:r w:rsidRPr="00796279">
        <w:rPr>
          <w:lang w:val="en-AU"/>
        </w:rPr>
        <w:t xml:space="preserve"> Mechanism of action of </w:t>
      </w:r>
      <w:bookmarkStart w:id="10" w:name="_Int_5TSCLxHD"/>
      <w:r w:rsidRPr="00796279">
        <w:rPr>
          <w:lang w:val="en-AU"/>
        </w:rPr>
        <w:t>marstacimab</w:t>
      </w:r>
      <w:bookmarkEnd w:id="10"/>
    </w:p>
    <w:p w14:paraId="2066C2C7" w14:textId="21F5115D" w:rsidR="00875A2E" w:rsidRDefault="00941E0C" w:rsidP="00F241E6">
      <w:pPr>
        <w:pStyle w:val="Tablenotes"/>
      </w:pPr>
      <w:r>
        <w:t>Source: a</w:t>
      </w:r>
      <w:r w:rsidR="00103E86">
        <w:t>dapted from</w:t>
      </w:r>
      <w:r>
        <w:t xml:space="preserve"> </w:t>
      </w:r>
      <w:r w:rsidR="008D089A">
        <w:t>Figure 1</w:t>
      </w:r>
      <w:r w:rsidR="008E5B86">
        <w:t>,</w:t>
      </w:r>
      <w:r w:rsidR="00875A2E">
        <w:t xml:space="preserve"> </w:t>
      </w:r>
      <w:r w:rsidR="00F37083">
        <w:fldChar w:fldCharType="begin"/>
      </w:r>
      <w:r w:rsidR="008E5B86">
        <w:instrText xml:space="preserve"> ADDIN EN.CITE &lt;EndNote&gt;&lt;Cite AuthorYear="1"&gt;&lt;Author&gt;Badulescu&lt;/Author&gt;&lt;Year&gt;2024&lt;/Year&gt;&lt;RecNum&gt;36&lt;/RecNum&gt;&lt;DisplayText&gt;Badulescu et al. (2024)&lt;/DisplayText&gt;&lt;record&gt;&lt;rec-number&gt;36&lt;/rec-number&gt;&lt;foreign-keys&gt;&lt;key app="EN" db-id="wrdwrvxxvt5dstesdtovsevj50f2z9xw099s" timestamp="1747882151"&gt;36&lt;/key&gt;&lt;/foreign-keys&gt;&lt;ref-type name="Journal Article"&gt;17&lt;/ref-type&gt;&lt;contributors&gt;&lt;authors&gt;&lt;author&gt;Badulescu, Oana Viola&lt;/author&gt;&lt;author&gt;Badescu, Minerva Codruta&lt;/author&gt;&lt;author&gt;Bojan, Iris Bararu&lt;/author&gt;&lt;author&gt;Vladeanu, Maria&lt;/author&gt;&lt;author&gt;Filip, Nina&lt;/author&gt;&lt;author&gt;Dobreanu, Stefan&lt;/author&gt;&lt;author&gt;Tudor, Razvan&lt;/author&gt;&lt;author&gt;Ciuntu, Bogdan-Mihnea&lt;/author&gt;&lt;author&gt;Tanevski, Adelina&lt;/author&gt;&lt;author&gt;Ciocoiu, Manuela&lt;/author&gt;&lt;/authors&gt;&lt;/contributors&gt;&lt;titles&gt;&lt;title&gt;Thrombotic Disease in Hemophilic Patients: Is This a Paradox in a State of Hypocoagulability?&lt;/title&gt;&lt;secondary-title&gt;Diagnostics&lt;/secondary-title&gt;&lt;/titles&gt;&lt;periodical&gt;&lt;full-title&gt;Diagnostics&lt;/full-title&gt;&lt;/periodical&gt;&lt;pages&gt;286&lt;/pages&gt;&lt;volume&gt;14&lt;/volume&gt;&lt;number&gt;3&lt;/number&gt;&lt;dates&gt;&lt;year&gt;2024&lt;/year&gt;&lt;/dates&gt;&lt;isbn&gt;2075-4418&lt;/isbn&gt;&lt;accession-num&gt;doi:10.3390/diagnostics14030286&lt;/accession-num&gt;&lt;urls&gt;&lt;related-urls&gt;&lt;url&gt;https://www.mdpi.com/2075-4418/14/3/286&lt;/url&gt;&lt;/related-urls&gt;&lt;/urls&gt;&lt;/record&gt;&lt;/Cite&gt;&lt;/EndNote&gt;</w:instrText>
      </w:r>
      <w:r w:rsidR="00F37083">
        <w:fldChar w:fldCharType="separate"/>
      </w:r>
      <w:r w:rsidR="008E5B86">
        <w:rPr>
          <w:noProof/>
        </w:rPr>
        <w:t>Badulescu et al. (2024)</w:t>
      </w:r>
      <w:r w:rsidR="00F37083">
        <w:fldChar w:fldCharType="end"/>
      </w:r>
      <w:r w:rsidR="00514825">
        <w:t xml:space="preserve">; </w:t>
      </w:r>
      <w:r w:rsidR="00875A2E">
        <w:t>Licensed under Creative Commons</w:t>
      </w:r>
      <w:r w:rsidR="00A449B2" w:rsidRPr="00A449B2">
        <w:t xml:space="preserve"> Attribution (CC BY) license</w:t>
      </w:r>
      <w:r w:rsidR="00A449B2">
        <w:t xml:space="preserve"> </w:t>
      </w:r>
      <w:r w:rsidR="00437148">
        <w:t>(</w:t>
      </w:r>
      <w:hyperlink r:id="rId11" w:history="1">
        <w:r w:rsidR="00931C35" w:rsidRPr="00983DC5">
          <w:rPr>
            <w:rStyle w:val="Hyperlink"/>
            <w:rFonts w:ascii="Arial Narrow" w:hAnsi="Arial Narrow" w:cs="Arial"/>
          </w:rPr>
          <w:t>https://creativecommons.org/licenses/by/4.0/</w:t>
        </w:r>
      </w:hyperlink>
      <w:r w:rsidR="00A449B2" w:rsidRPr="00A449B2">
        <w:t>)</w:t>
      </w:r>
    </w:p>
    <w:p w14:paraId="0C8C3618" w14:textId="3448231E" w:rsidR="00966253" w:rsidRDefault="00966253" w:rsidP="00F241E6">
      <w:pPr>
        <w:pStyle w:val="Tablenotes"/>
      </w:pPr>
      <w:r>
        <w:t>TFPI</w:t>
      </w:r>
      <w:r w:rsidR="00F305EC">
        <w:t xml:space="preserve"> =</w:t>
      </w:r>
      <w:r>
        <w:t xml:space="preserve"> </w:t>
      </w:r>
      <w:r w:rsidRPr="00966253">
        <w:t>tissue factor pathway inhibitor</w:t>
      </w:r>
    </w:p>
    <w:p w14:paraId="3A5D30A3" w14:textId="7EC2E4FE" w:rsidR="00AF6E5A" w:rsidRDefault="00AF6E5A" w:rsidP="00F241E6">
      <w:pPr>
        <w:pStyle w:val="Tablenotes"/>
      </w:pPr>
      <w:r>
        <w:t>Note: the factor targeted by marstacimab</w:t>
      </w:r>
      <w:r w:rsidR="00D44419">
        <w:t xml:space="preserve"> (TFPI)</w:t>
      </w:r>
      <w:r>
        <w:t xml:space="preserve"> is highlighted in a purple box.</w:t>
      </w:r>
    </w:p>
    <w:p w14:paraId="073CF22D" w14:textId="5C6E8AA8" w:rsidR="00A60366" w:rsidRDefault="00A60366" w:rsidP="00F241E6">
      <w:pPr>
        <w:pStyle w:val="Tablenotes"/>
      </w:pPr>
    </w:p>
    <w:p w14:paraId="7FCA9E0A" w14:textId="6B030A17" w:rsidR="00F57E20" w:rsidRDefault="00F57E20" w:rsidP="00F57E20">
      <w:pPr>
        <w:pStyle w:val="Heading4"/>
      </w:pPr>
      <w:r>
        <w:t xml:space="preserve">Key evidence for </w:t>
      </w:r>
      <w:r w:rsidR="00217B00">
        <w:t>marstacimab</w:t>
      </w:r>
    </w:p>
    <w:p w14:paraId="0248B2F9" w14:textId="7979E365" w:rsidR="0084431D" w:rsidRDefault="0017620D" w:rsidP="00A9393E">
      <w:r>
        <w:t xml:space="preserve">The </w:t>
      </w:r>
      <w:r w:rsidR="0047577B">
        <w:t>BASIS</w:t>
      </w:r>
      <w:r w:rsidR="008D0AF0">
        <w:t xml:space="preserve"> trial (</w:t>
      </w:r>
      <w:r w:rsidR="0047577B" w:rsidRPr="008F4583">
        <w:t>NCT03938792</w:t>
      </w:r>
      <w:r w:rsidR="0084431D">
        <w:t>)</w:t>
      </w:r>
      <w:r w:rsidR="0047577B">
        <w:t xml:space="preserve"> is the</w:t>
      </w:r>
      <w:r w:rsidR="008D0AF0">
        <w:t xml:space="preserve"> </w:t>
      </w:r>
      <w:r>
        <w:t xml:space="preserve">pivotal trial for </w:t>
      </w:r>
      <w:r w:rsidR="00132245">
        <w:t>the application</w:t>
      </w:r>
      <w:r w:rsidR="008D0AF0">
        <w:t>. It is a before-and</w:t>
      </w:r>
      <w:r w:rsidR="000542E4">
        <w:t>-</w:t>
      </w:r>
      <w:r w:rsidR="008D0AF0">
        <w:t>af</w:t>
      </w:r>
      <w:r w:rsidR="000542E4">
        <w:t xml:space="preserve">ter case series </w:t>
      </w:r>
      <w:r w:rsidR="009B36D8">
        <w:t>of</w:t>
      </w:r>
      <w:r w:rsidR="004572A9">
        <w:t xml:space="preserve"> </w:t>
      </w:r>
      <w:r w:rsidR="002B49C9">
        <w:t xml:space="preserve">128 </w:t>
      </w:r>
      <w:r w:rsidR="00D13B4E">
        <w:t xml:space="preserve">individuals with </w:t>
      </w:r>
      <w:r w:rsidR="004C7074">
        <w:t xml:space="preserve">severe </w:t>
      </w:r>
      <w:r w:rsidR="0031598C">
        <w:t>HMA</w:t>
      </w:r>
      <w:r w:rsidR="004F2393">
        <w:t xml:space="preserve"> or </w:t>
      </w:r>
      <w:r w:rsidR="004C7074">
        <w:t xml:space="preserve">moderately severe to severe </w:t>
      </w:r>
      <w:r w:rsidR="0031598C">
        <w:t>HMB</w:t>
      </w:r>
      <w:r w:rsidR="00C17476">
        <w:t>, with or without inhibitors</w:t>
      </w:r>
      <w:r w:rsidR="00623287">
        <w:t>.</w:t>
      </w:r>
      <w:r w:rsidR="0047577B">
        <w:t xml:space="preserve"> </w:t>
      </w:r>
      <w:r w:rsidR="007903AF">
        <w:t xml:space="preserve">The applicant has presented data from the non-inhibitor </w:t>
      </w:r>
      <w:r w:rsidR="00A41B78">
        <w:t>cohort. The</w:t>
      </w:r>
      <w:r w:rsidR="000C62F2">
        <w:t xml:space="preserve"> trial consisted of </w:t>
      </w:r>
      <w:r w:rsidR="000352FC">
        <w:t>2</w:t>
      </w:r>
      <w:r w:rsidR="003A4113">
        <w:t xml:space="preserve"> parts</w:t>
      </w:r>
      <w:r w:rsidR="00542349">
        <w:t xml:space="preserve">: </w:t>
      </w:r>
      <w:r w:rsidR="00D83281" w:rsidRPr="00937FF4">
        <w:t>observational</w:t>
      </w:r>
      <w:r w:rsidR="00542349">
        <w:t xml:space="preserve"> phase</w:t>
      </w:r>
      <w:r w:rsidR="00560468">
        <w:t xml:space="preserve"> (OP), and active treatment phase (ATP)</w:t>
      </w:r>
      <w:r w:rsidR="003A4113">
        <w:t xml:space="preserve">. </w:t>
      </w:r>
      <w:r w:rsidR="00560468">
        <w:t xml:space="preserve">In </w:t>
      </w:r>
      <w:r w:rsidR="00627D4F">
        <w:t>the</w:t>
      </w:r>
      <w:r w:rsidR="00560468">
        <w:t xml:space="preserve"> </w:t>
      </w:r>
      <w:r w:rsidR="003A4113">
        <w:t>OP</w:t>
      </w:r>
      <w:r w:rsidR="00560468">
        <w:t>,</w:t>
      </w:r>
      <w:r w:rsidR="003A4113">
        <w:t xml:space="preserve"> p</w:t>
      </w:r>
      <w:r w:rsidR="00EE4E5B">
        <w:t xml:space="preserve">articipants were followed up </w:t>
      </w:r>
      <w:r w:rsidR="0062794F">
        <w:t xml:space="preserve">for </w:t>
      </w:r>
      <w:r w:rsidR="00481277">
        <w:t>6</w:t>
      </w:r>
      <w:r w:rsidR="0062794F">
        <w:t xml:space="preserve"> months on their </w:t>
      </w:r>
      <w:r w:rsidR="00556F90">
        <w:t>existing regimen</w:t>
      </w:r>
      <w:r w:rsidR="004E525B">
        <w:t xml:space="preserve"> (either on-demand or prophylaxis)</w:t>
      </w:r>
      <w:r w:rsidR="00701E24">
        <w:t xml:space="preserve">. In the </w:t>
      </w:r>
      <w:r w:rsidR="003A4113">
        <w:t>ATP</w:t>
      </w:r>
      <w:r w:rsidR="00701E24">
        <w:t>,</w:t>
      </w:r>
      <w:r w:rsidR="003A4113">
        <w:t xml:space="preserve"> participants </w:t>
      </w:r>
      <w:r w:rsidR="007B3A3D">
        <w:t>received a 300</w:t>
      </w:r>
      <w:r w:rsidR="00D94B1B">
        <w:t xml:space="preserve">mg </w:t>
      </w:r>
      <w:r w:rsidR="001A6EEA">
        <w:t xml:space="preserve">loading dose of marstacimab followed by a prophylactic regimen of </w:t>
      </w:r>
      <w:r w:rsidR="006154C9">
        <w:t>marstacimab</w:t>
      </w:r>
      <w:r w:rsidR="00883EB1">
        <w:t xml:space="preserve"> of </w:t>
      </w:r>
      <w:r w:rsidR="00FF1446">
        <w:t xml:space="preserve">150mg dose </w:t>
      </w:r>
      <w:r w:rsidR="007F184A">
        <w:t>once a week</w:t>
      </w:r>
      <w:r w:rsidR="00962953">
        <w:t>, and followed up for 12 months.</w:t>
      </w:r>
      <w:r w:rsidR="000052DF">
        <w:t xml:space="preserve"> Participants were permitted to escalate their dose </w:t>
      </w:r>
      <w:r w:rsidR="00F75C37">
        <w:t>if required after 180 days.</w:t>
      </w:r>
      <w:r w:rsidR="00A9393E">
        <w:t xml:space="preserve"> </w:t>
      </w:r>
      <w:r w:rsidR="00263AE0">
        <w:t xml:space="preserve">A total of 14 participants required dose escalation. </w:t>
      </w:r>
      <w:r w:rsidR="00BF43D4">
        <w:t>Three</w:t>
      </w:r>
      <w:r w:rsidR="00A9393E">
        <w:t xml:space="preserve"> participants </w:t>
      </w:r>
      <w:r w:rsidR="00263AE0">
        <w:t xml:space="preserve">with prior on-demand treatment </w:t>
      </w:r>
      <w:r w:rsidR="00A9393E">
        <w:t>(</w:t>
      </w:r>
      <w:r w:rsidR="00263AE0">
        <w:t>HMA: 1; HMB: 2); and 11 with prior prophylaxis (HMA: 5; HMB: 6)</w:t>
      </w:r>
      <w:r w:rsidR="00A9393E">
        <w:t xml:space="preserve"> had their marstacimab dose increased from 150 mg to 300 mg weekly.</w:t>
      </w:r>
    </w:p>
    <w:p w14:paraId="0D54B7F7" w14:textId="52289F75" w:rsidR="00EB534A" w:rsidRDefault="00EB534A" w:rsidP="00EB534A">
      <w:pPr>
        <w:autoSpaceDE w:val="0"/>
        <w:autoSpaceDN w:val="0"/>
        <w:adjustRightInd w:val="0"/>
        <w:spacing w:line="23" w:lineRule="atLeast"/>
        <w:rPr>
          <w:rFonts w:asciiTheme="minorHAnsi" w:hAnsiTheme="minorHAnsi" w:cstheme="minorHAnsi"/>
          <w:i/>
          <w:iCs/>
        </w:rPr>
      </w:pPr>
      <w:bookmarkStart w:id="11" w:name="_Hlk207385242"/>
      <w:r w:rsidRPr="006F14D4">
        <w:rPr>
          <w:rFonts w:asciiTheme="minorHAnsi" w:hAnsiTheme="minorHAnsi" w:cstheme="minorHAnsi"/>
          <w:i/>
        </w:rPr>
        <w:lastRenderedPageBreak/>
        <w:t xml:space="preserve">PASC noted that </w:t>
      </w:r>
      <w:r w:rsidRPr="006F14D4">
        <w:rPr>
          <w:rFonts w:asciiTheme="minorHAnsi" w:hAnsiTheme="minorHAnsi" w:cstheme="minorHAnsi"/>
          <w:i/>
          <w:iCs/>
        </w:rPr>
        <w:t xml:space="preserve">in the key trial, individuals who had 2 bleeding episodes in a 6-month period while on 150 mg marstacimab per week, were eligible for a dose increase, to 300 mg per week. PASC noted from the applicant’s pre-PASC response that across the key trial and the subsequent open label extension study (NCT05145127), 23 participants (21%) had their dose escalated from 150mg to 300mg weekly. </w:t>
      </w:r>
      <w:r w:rsidRPr="001623C4">
        <w:rPr>
          <w:rFonts w:asciiTheme="minorHAnsi" w:hAnsiTheme="minorHAnsi" w:cstheme="minorHAnsi"/>
          <w:i/>
        </w:rPr>
        <w:t>PASC considered that t</w:t>
      </w:r>
      <w:r w:rsidRPr="001623C4">
        <w:rPr>
          <w:rFonts w:asciiTheme="minorHAnsi" w:hAnsiTheme="minorHAnsi" w:cstheme="minorHAnsi"/>
          <w:i/>
          <w:iCs/>
        </w:rPr>
        <w:t>he</w:t>
      </w:r>
      <w:r w:rsidRPr="001623C4">
        <w:rPr>
          <w:rFonts w:asciiTheme="minorHAnsi" w:hAnsiTheme="minorHAnsi" w:cstheme="minorHAnsi"/>
          <w:i/>
        </w:rPr>
        <w:t xml:space="preserve"> proportion of individuals who required </w:t>
      </w:r>
      <w:r w:rsidRPr="001623C4">
        <w:rPr>
          <w:rFonts w:asciiTheme="minorHAnsi" w:hAnsiTheme="minorHAnsi" w:cstheme="minorHAnsi"/>
          <w:i/>
          <w:iCs/>
        </w:rPr>
        <w:t>a dose increase (from 150mg to 300mg weekly)</w:t>
      </w:r>
      <w:r w:rsidRPr="001623C4">
        <w:rPr>
          <w:rFonts w:asciiTheme="minorHAnsi" w:hAnsiTheme="minorHAnsi" w:cstheme="minorHAnsi"/>
          <w:i/>
        </w:rPr>
        <w:t xml:space="preserve"> should be reported in the assessment report</w:t>
      </w:r>
      <w:r w:rsidRPr="001623C4">
        <w:rPr>
          <w:rFonts w:asciiTheme="minorHAnsi" w:hAnsiTheme="minorHAnsi" w:cstheme="minorHAnsi"/>
          <w:i/>
          <w:iCs/>
        </w:rPr>
        <w:t>, as this will have implications for the economic assessment and financial analysis</w:t>
      </w:r>
      <w:r w:rsidRPr="001623C4">
        <w:rPr>
          <w:rFonts w:asciiTheme="minorHAnsi" w:hAnsiTheme="minorHAnsi" w:cstheme="minorHAnsi"/>
          <w:i/>
        </w:rPr>
        <w:t>.</w:t>
      </w:r>
      <w:r w:rsidRPr="001623C4">
        <w:rPr>
          <w:rFonts w:asciiTheme="minorHAnsi" w:hAnsiTheme="minorHAnsi" w:cstheme="minorHAnsi"/>
          <w:i/>
          <w:iCs/>
        </w:rPr>
        <w:t xml:space="preserve"> </w:t>
      </w:r>
    </w:p>
    <w:p w14:paraId="05F1860A" w14:textId="65A4F1EA" w:rsidR="00785375" w:rsidRPr="001623C4" w:rsidRDefault="00785375" w:rsidP="00EB534A">
      <w:pPr>
        <w:autoSpaceDE w:val="0"/>
        <w:autoSpaceDN w:val="0"/>
        <w:adjustRightInd w:val="0"/>
        <w:spacing w:line="23" w:lineRule="atLeast"/>
        <w:rPr>
          <w:rFonts w:asciiTheme="minorHAnsi" w:hAnsiTheme="minorHAnsi" w:cstheme="minorHAnsi"/>
          <w:i/>
        </w:rPr>
      </w:pPr>
      <w:r w:rsidRPr="001623C4">
        <w:rPr>
          <w:rFonts w:asciiTheme="minorHAnsi" w:hAnsiTheme="minorHAnsi" w:cstheme="minorHAnsi"/>
          <w:i/>
          <w:iCs/>
        </w:rPr>
        <w:t>PASC noted that the flat dosing of marstacimab (rather than weight-based dosing) is a benefit as it results in less product wastage.</w:t>
      </w:r>
      <w:r w:rsidRPr="005C3D8E">
        <w:rPr>
          <w:rFonts w:asciiTheme="minorHAnsi" w:hAnsiTheme="minorHAnsi" w:cstheme="minorHAnsi"/>
          <w:i/>
          <w:iCs/>
        </w:rPr>
        <w:t xml:space="preserve"> </w:t>
      </w:r>
    </w:p>
    <w:bookmarkEnd w:id="11"/>
    <w:p w14:paraId="208A8ED5" w14:textId="5D2B3940" w:rsidR="002970A8" w:rsidRDefault="00FD1B0F" w:rsidP="0017620D">
      <w:r>
        <w:t xml:space="preserve">Results from the </w:t>
      </w:r>
      <w:r w:rsidR="0047577B">
        <w:t>BASIS trial</w:t>
      </w:r>
      <w:r w:rsidR="00D55E29">
        <w:t xml:space="preserve"> </w:t>
      </w:r>
      <w:r w:rsidR="00D37D6A">
        <w:t xml:space="preserve">interim study </w:t>
      </w:r>
      <w:r w:rsidR="00D55E29">
        <w:t xml:space="preserve">report </w:t>
      </w:r>
      <w:r w:rsidR="00ED6903">
        <w:t xml:space="preserve">for the </w:t>
      </w:r>
      <w:r w:rsidR="00937FF1">
        <w:t>n</w:t>
      </w:r>
      <w:r w:rsidR="00ED6903">
        <w:t>on-</w:t>
      </w:r>
      <w:r w:rsidR="00C61367">
        <w:t xml:space="preserve">inhibitor </w:t>
      </w:r>
      <w:r w:rsidR="00ED6903">
        <w:t>cohort</w:t>
      </w:r>
      <w:r w:rsidR="00856B50">
        <w:t xml:space="preserve"> </w:t>
      </w:r>
      <w:r w:rsidR="00937FF1">
        <w:t xml:space="preserve">established </w:t>
      </w:r>
      <w:r w:rsidR="00D55E29">
        <w:t>t</w:t>
      </w:r>
      <w:r w:rsidR="008415FB">
        <w:t xml:space="preserve">hat </w:t>
      </w:r>
      <w:r w:rsidR="00703F24">
        <w:t xml:space="preserve">once-weekly </w:t>
      </w:r>
      <w:r w:rsidR="00120969">
        <w:t>pro</w:t>
      </w:r>
      <w:r w:rsidR="006675F0">
        <w:t xml:space="preserve">phylaxis </w:t>
      </w:r>
      <w:r w:rsidR="00D33E88">
        <w:t xml:space="preserve">of marstacimab </w:t>
      </w:r>
      <w:r w:rsidR="00EC1CEC">
        <w:t xml:space="preserve">was </w:t>
      </w:r>
      <w:r w:rsidR="00451CAF">
        <w:t xml:space="preserve">superior </w:t>
      </w:r>
      <w:r w:rsidR="009A3FD1">
        <w:t xml:space="preserve">to </w:t>
      </w:r>
      <w:r w:rsidR="00496826">
        <w:t>factor prophylaxis</w:t>
      </w:r>
      <w:r w:rsidR="002577A5">
        <w:t xml:space="preserve"> in </w:t>
      </w:r>
      <w:r w:rsidR="00613E97">
        <w:t xml:space="preserve">individuals with </w:t>
      </w:r>
      <w:r w:rsidR="0031598C">
        <w:t>HMA</w:t>
      </w:r>
      <w:r w:rsidR="00613E97">
        <w:t xml:space="preserve"> and </w:t>
      </w:r>
      <w:r w:rsidR="0031598C">
        <w:t>HM</w:t>
      </w:r>
      <w:r w:rsidR="00613E97">
        <w:t>B</w:t>
      </w:r>
      <w:r w:rsidR="00132245">
        <w:t>.</w:t>
      </w:r>
      <w:r w:rsidR="00E94988">
        <w:t xml:space="preserve"> The </w:t>
      </w:r>
      <w:r w:rsidR="00613E97" w:rsidRPr="00613E97">
        <w:t>mean estimated ABR was 5.08 (95% CI: 3.40, 6.77) for marstacimab prophylaxis during the ATP compared to 7.85 (95% CI: 5.09, 10.61) for routine factor prophylaxis during the OP, with a resulting estimated ABR difference of -2.77 (95% CI: -5.37, -0.16)</w:t>
      </w:r>
      <w:r w:rsidR="00AF44F8">
        <w:t xml:space="preserve"> </w:t>
      </w:r>
      <w:r w:rsidR="00D22C5A">
        <w:t>(</w:t>
      </w:r>
      <w:r w:rsidR="002E2578">
        <w:fldChar w:fldCharType="begin"/>
      </w:r>
      <w:r w:rsidR="002E2578">
        <w:instrText xml:space="preserve"> ADDIN EN.CITE &lt;EndNote&gt;&lt;Cite AuthorYear="1"&gt;&lt;Author&gt;Pfizer&lt;/Author&gt;&lt;Year&gt;2023&lt;/Year&gt;&lt;RecNum&gt;2&lt;/RecNum&gt;&lt;DisplayText&gt;Pfizer (2023)&lt;/DisplayText&gt;&lt;record&gt;&lt;rec-number&gt;2&lt;/rec-number&gt;&lt;foreign-keys&gt;&lt;key app="EN" db-id="wrdwrvxxvt5dstesdtovsevj50f2z9xw099s" timestamp="1747872534"&gt;2&lt;/key&gt;&lt;/foreign-keys&gt;&lt;ref-type name="Report"&gt;27&lt;/ref-type&gt;&lt;contributors&gt;&lt;authors&gt;&lt;author&gt;Pfizer&lt;/author&gt;&lt;/authors&gt;&lt;/contributors&gt;&lt;titles&gt;&lt;title&gt;BASIS (B7841005) Interim Study Report Body&lt;/title&gt;&lt;/titles&gt;&lt;dates&gt;&lt;year&gt;2023&lt;/year&gt;&lt;pub-dates&gt;&lt;date&gt;13 September 2023&lt;/date&gt;&lt;/pub-dates&gt;&lt;/dates&gt;&lt;urls&gt;&lt;/urls&gt;&lt;/record&gt;&lt;/Cite&gt;&lt;/EndNote&gt;</w:instrText>
      </w:r>
      <w:r w:rsidR="002E2578">
        <w:fldChar w:fldCharType="separate"/>
      </w:r>
      <w:r w:rsidR="002E2578">
        <w:rPr>
          <w:noProof/>
        </w:rPr>
        <w:t>Pfizer (2023)</w:t>
      </w:r>
      <w:r w:rsidR="002E2578">
        <w:fldChar w:fldCharType="end"/>
      </w:r>
      <w:r w:rsidR="00D22C5A">
        <w:t>, Table 24</w:t>
      </w:r>
      <w:r w:rsidR="00081FEC">
        <w:t xml:space="preserve"> and 38</w:t>
      </w:r>
      <w:r w:rsidR="00D22C5A">
        <w:t>)</w:t>
      </w:r>
      <w:r w:rsidR="00613E97" w:rsidRPr="00613E97">
        <w:t>.</w:t>
      </w:r>
      <w:r w:rsidR="00E94988">
        <w:t xml:space="preserve"> </w:t>
      </w:r>
    </w:p>
    <w:p w14:paraId="5937C084" w14:textId="1A45C4D9" w:rsidR="00374424" w:rsidRPr="00C354C0" w:rsidRDefault="007C6B29" w:rsidP="00C23F12">
      <w:pPr>
        <w:pStyle w:val="Commentary"/>
        <w:rPr>
          <w:i w:val="0"/>
        </w:rPr>
      </w:pPr>
      <w:r w:rsidRPr="00C354C0">
        <w:rPr>
          <w:i w:val="0"/>
        </w:rPr>
        <w:t xml:space="preserve">The assessment group </w:t>
      </w:r>
      <w:r w:rsidR="001C2422" w:rsidRPr="00C354C0">
        <w:rPr>
          <w:i w:val="0"/>
          <w:iCs/>
        </w:rPr>
        <w:t xml:space="preserve">considered </w:t>
      </w:r>
      <w:r w:rsidRPr="00C354C0">
        <w:rPr>
          <w:i w:val="0"/>
        </w:rPr>
        <w:t>i</w:t>
      </w:r>
      <w:r w:rsidR="006D0F27" w:rsidRPr="00C354C0">
        <w:rPr>
          <w:i w:val="0"/>
        </w:rPr>
        <w:t xml:space="preserve">t </w:t>
      </w:r>
      <w:r w:rsidR="008D19F8">
        <w:rPr>
          <w:i w:val="0"/>
        </w:rPr>
        <w:t xml:space="preserve">was </w:t>
      </w:r>
      <w:r w:rsidR="006D0F27" w:rsidRPr="00C354C0">
        <w:rPr>
          <w:i w:val="0"/>
        </w:rPr>
        <w:t xml:space="preserve">not appropriate to </w:t>
      </w:r>
      <w:r w:rsidR="0068011E" w:rsidRPr="00C354C0">
        <w:rPr>
          <w:i w:val="0"/>
        </w:rPr>
        <w:t>pool results across populations</w:t>
      </w:r>
      <w:r w:rsidR="005550A8" w:rsidRPr="00C354C0">
        <w:rPr>
          <w:i w:val="0"/>
        </w:rPr>
        <w:t xml:space="preserve"> (i.e. HMA and HMB). </w:t>
      </w:r>
      <w:r w:rsidR="001C2422" w:rsidRPr="00C354C0">
        <w:rPr>
          <w:i w:val="0"/>
          <w:iCs/>
        </w:rPr>
        <w:t>The assessment group considered it more appropriate that</w:t>
      </w:r>
      <w:r w:rsidR="006511E2" w:rsidRPr="00C354C0">
        <w:rPr>
          <w:i w:val="0"/>
        </w:rPr>
        <w:t xml:space="preserve"> data for each population </w:t>
      </w:r>
      <w:r w:rsidR="001C2422" w:rsidRPr="00C354C0">
        <w:rPr>
          <w:i w:val="0"/>
          <w:iCs/>
        </w:rPr>
        <w:t xml:space="preserve">be presented </w:t>
      </w:r>
      <w:r w:rsidR="006511E2" w:rsidRPr="00C354C0">
        <w:rPr>
          <w:i w:val="0"/>
        </w:rPr>
        <w:t>separately</w:t>
      </w:r>
      <w:r w:rsidR="00374424" w:rsidRPr="00C354C0">
        <w:rPr>
          <w:i w:val="0"/>
        </w:rPr>
        <w:t xml:space="preserve"> in the assessment</w:t>
      </w:r>
      <w:r w:rsidR="00327FF5" w:rsidRPr="00C354C0">
        <w:rPr>
          <w:i w:val="0"/>
        </w:rPr>
        <w:t xml:space="preserve"> report</w:t>
      </w:r>
      <w:r w:rsidR="006511E2" w:rsidRPr="00C354C0">
        <w:rPr>
          <w:i w:val="0"/>
        </w:rPr>
        <w:t>.</w:t>
      </w:r>
    </w:p>
    <w:p w14:paraId="21C037C6" w14:textId="73B44395" w:rsidR="00254A1D" w:rsidRPr="00C354C0" w:rsidRDefault="00570D9E" w:rsidP="00C23F12">
      <w:pPr>
        <w:pStyle w:val="Commentary"/>
        <w:rPr>
          <w:i w:val="0"/>
        </w:rPr>
      </w:pPr>
      <w:r w:rsidRPr="00C354C0">
        <w:rPr>
          <w:i w:val="0"/>
        </w:rPr>
        <w:t>The assessment group has extracted the</w:t>
      </w:r>
      <w:r w:rsidR="00FC0603" w:rsidRPr="00C354C0">
        <w:rPr>
          <w:i w:val="0"/>
        </w:rPr>
        <w:t>se</w:t>
      </w:r>
      <w:r w:rsidRPr="00C354C0">
        <w:rPr>
          <w:i w:val="0"/>
        </w:rPr>
        <w:t xml:space="preserve"> results from the subgroup analysis</w:t>
      </w:r>
      <w:r w:rsidR="00F14D81" w:rsidRPr="00C354C0">
        <w:rPr>
          <w:i w:val="0"/>
        </w:rPr>
        <w:t xml:space="preserve"> in the </w:t>
      </w:r>
      <w:r w:rsidR="00FA590C">
        <w:rPr>
          <w:i w:val="0"/>
        </w:rPr>
        <w:t xml:space="preserve">BASIS </w:t>
      </w:r>
      <w:r w:rsidR="00F14D81" w:rsidRPr="00C354C0">
        <w:rPr>
          <w:i w:val="0"/>
        </w:rPr>
        <w:t xml:space="preserve">trial </w:t>
      </w:r>
      <w:r w:rsidR="006C5EF0">
        <w:rPr>
          <w:i w:val="0"/>
        </w:rPr>
        <w:t>interim</w:t>
      </w:r>
      <w:r w:rsidR="00106291">
        <w:rPr>
          <w:i w:val="0"/>
        </w:rPr>
        <w:t xml:space="preserve"> study</w:t>
      </w:r>
      <w:r w:rsidR="00F14D81" w:rsidRPr="00C354C0">
        <w:rPr>
          <w:i w:val="0"/>
        </w:rPr>
        <w:t xml:space="preserve"> report</w:t>
      </w:r>
      <w:r w:rsidR="00527C1E" w:rsidRPr="00C354C0">
        <w:rPr>
          <w:i w:val="0"/>
        </w:rPr>
        <w:t xml:space="preserve"> </w:t>
      </w:r>
      <w:r w:rsidR="0055320A" w:rsidRPr="00C354C0">
        <w:rPr>
          <w:i w:val="0"/>
        </w:rPr>
        <w:t xml:space="preserve">and presented them in </w:t>
      </w:r>
      <w:r w:rsidR="00E23333" w:rsidRPr="002F0524">
        <w:rPr>
          <w:i w:val="0"/>
        </w:rPr>
        <w:fldChar w:fldCharType="begin"/>
      </w:r>
      <w:r w:rsidR="00E23333" w:rsidRPr="002F0524">
        <w:rPr>
          <w:i w:val="0"/>
        </w:rPr>
        <w:instrText xml:space="preserve"> REF _Ref199845819 \h </w:instrText>
      </w:r>
      <w:r w:rsidR="00E23333" w:rsidRPr="00C354C0">
        <w:rPr>
          <w:i w:val="0"/>
        </w:rPr>
        <w:instrText xml:space="preserve"> \* MERGEFORMAT </w:instrText>
      </w:r>
      <w:r w:rsidR="00E23333" w:rsidRPr="002F0524">
        <w:rPr>
          <w:i w:val="0"/>
        </w:rPr>
      </w:r>
      <w:r w:rsidR="00E23333" w:rsidRPr="002F0524">
        <w:rPr>
          <w:i w:val="0"/>
        </w:rPr>
        <w:fldChar w:fldCharType="separate"/>
      </w:r>
      <w:r w:rsidR="001D119F" w:rsidRPr="003A3B9E">
        <w:rPr>
          <w:i w:val="0"/>
        </w:rPr>
        <w:t xml:space="preserve">Table </w:t>
      </w:r>
      <w:r w:rsidR="001D119F" w:rsidRPr="003A3B9E">
        <w:rPr>
          <w:i w:val="0"/>
          <w:noProof/>
        </w:rPr>
        <w:t>5</w:t>
      </w:r>
      <w:r w:rsidR="00E23333" w:rsidRPr="002F0524">
        <w:rPr>
          <w:i w:val="0"/>
        </w:rPr>
        <w:fldChar w:fldCharType="end"/>
      </w:r>
      <w:r w:rsidR="0055320A" w:rsidRPr="00C354C0">
        <w:rPr>
          <w:i w:val="0"/>
          <w:iCs/>
        </w:rPr>
        <w:t xml:space="preserve"> belo</w:t>
      </w:r>
      <w:r w:rsidR="0055320A" w:rsidRPr="00214584">
        <w:rPr>
          <w:i w:val="0"/>
          <w:iCs/>
        </w:rPr>
        <w:t>w</w:t>
      </w:r>
      <w:r w:rsidR="00F14D81" w:rsidRPr="00214584">
        <w:rPr>
          <w:i w:val="0"/>
          <w:iCs/>
        </w:rPr>
        <w:t>.</w:t>
      </w:r>
      <w:r w:rsidR="006511E2" w:rsidRPr="00214584">
        <w:rPr>
          <w:i w:val="0"/>
        </w:rPr>
        <w:t xml:space="preserve"> </w:t>
      </w:r>
      <w:r w:rsidR="007732BC" w:rsidRPr="00C354C0">
        <w:rPr>
          <w:i w:val="0"/>
        </w:rPr>
        <w:t xml:space="preserve">Efficacy favoured marstacimab </w:t>
      </w:r>
      <w:r w:rsidR="00E51278" w:rsidRPr="00C354C0">
        <w:rPr>
          <w:i w:val="0"/>
        </w:rPr>
        <w:t xml:space="preserve">compared to on-demand </w:t>
      </w:r>
      <w:r w:rsidR="00150726" w:rsidRPr="00C354C0">
        <w:rPr>
          <w:i w:val="0"/>
        </w:rPr>
        <w:t xml:space="preserve">factor replacement </w:t>
      </w:r>
      <w:r w:rsidR="004F757E" w:rsidRPr="00C354C0">
        <w:rPr>
          <w:i w:val="0"/>
        </w:rPr>
        <w:t xml:space="preserve">for both </w:t>
      </w:r>
      <w:r w:rsidR="00894163">
        <w:rPr>
          <w:i w:val="0"/>
        </w:rPr>
        <w:t>HMA</w:t>
      </w:r>
      <w:r w:rsidR="004F757E" w:rsidRPr="00C354C0">
        <w:rPr>
          <w:i w:val="0"/>
        </w:rPr>
        <w:t xml:space="preserve"> and </w:t>
      </w:r>
      <w:r w:rsidR="00894163">
        <w:rPr>
          <w:i w:val="0"/>
        </w:rPr>
        <w:t>HM</w:t>
      </w:r>
      <w:r w:rsidR="004F757E" w:rsidRPr="00C354C0">
        <w:rPr>
          <w:i w:val="0"/>
        </w:rPr>
        <w:t xml:space="preserve">B. Similarly, </w:t>
      </w:r>
      <w:r w:rsidR="00972C8F" w:rsidRPr="00C354C0">
        <w:rPr>
          <w:i w:val="0"/>
        </w:rPr>
        <w:t xml:space="preserve">efficacy favoured marstacimab compared to </w:t>
      </w:r>
      <w:r w:rsidR="00FE7ED2" w:rsidRPr="00C354C0">
        <w:rPr>
          <w:i w:val="0"/>
        </w:rPr>
        <w:t>prophylactic</w:t>
      </w:r>
      <w:r w:rsidR="00972C8F" w:rsidRPr="00C354C0">
        <w:rPr>
          <w:i w:val="0"/>
        </w:rPr>
        <w:t xml:space="preserve"> factor replacement </w:t>
      </w:r>
      <w:r w:rsidR="003959F5" w:rsidRPr="00C354C0">
        <w:rPr>
          <w:i w:val="0"/>
        </w:rPr>
        <w:t xml:space="preserve">for </w:t>
      </w:r>
      <w:r w:rsidR="00894163">
        <w:rPr>
          <w:i w:val="0"/>
        </w:rPr>
        <w:t>HM</w:t>
      </w:r>
      <w:r w:rsidR="00972C8F" w:rsidRPr="00C354C0">
        <w:rPr>
          <w:i w:val="0"/>
        </w:rPr>
        <w:t>A only. In contrast, superior</w:t>
      </w:r>
      <w:r w:rsidR="00FE7ED2" w:rsidRPr="00C354C0">
        <w:rPr>
          <w:i w:val="0"/>
        </w:rPr>
        <w:t xml:space="preserve"> efficacy </w:t>
      </w:r>
      <w:r w:rsidR="00972C8F" w:rsidRPr="00C354C0">
        <w:rPr>
          <w:i w:val="0"/>
        </w:rPr>
        <w:t xml:space="preserve">was not established for </w:t>
      </w:r>
      <w:r w:rsidR="00D87D6A" w:rsidRPr="00C354C0">
        <w:rPr>
          <w:i w:val="0"/>
        </w:rPr>
        <w:t xml:space="preserve">marstacimab in </w:t>
      </w:r>
      <w:r w:rsidR="00894163">
        <w:rPr>
          <w:i w:val="0"/>
        </w:rPr>
        <w:t>HM</w:t>
      </w:r>
      <w:r w:rsidR="00D87D6A" w:rsidRPr="00C354C0">
        <w:rPr>
          <w:i w:val="0"/>
        </w:rPr>
        <w:t>B</w:t>
      </w:r>
      <w:r w:rsidR="00C0213C">
        <w:rPr>
          <w:i w:val="0"/>
        </w:rPr>
        <w:t xml:space="preserve"> when compared to </w:t>
      </w:r>
      <w:r w:rsidR="0046040E">
        <w:rPr>
          <w:i w:val="0"/>
        </w:rPr>
        <w:t>prophylacti</w:t>
      </w:r>
      <w:r w:rsidR="00BC2C65">
        <w:rPr>
          <w:i w:val="0"/>
        </w:rPr>
        <w:t>c factor replacement</w:t>
      </w:r>
      <w:r w:rsidR="00D87D6A" w:rsidRPr="00C354C0">
        <w:rPr>
          <w:i w:val="0"/>
        </w:rPr>
        <w:t xml:space="preserve">. </w:t>
      </w:r>
      <w:r w:rsidR="00C54B63" w:rsidRPr="00C354C0">
        <w:rPr>
          <w:i w:val="0"/>
        </w:rPr>
        <w:t>The report states that this is l</w:t>
      </w:r>
      <w:r w:rsidR="00D738FC" w:rsidRPr="00C354C0">
        <w:rPr>
          <w:i w:val="0"/>
        </w:rPr>
        <w:t xml:space="preserve">ikely due to </w:t>
      </w:r>
      <w:r w:rsidR="00FB0FBC" w:rsidRPr="00C354C0">
        <w:rPr>
          <w:i w:val="0"/>
        </w:rPr>
        <w:t xml:space="preserve">small </w:t>
      </w:r>
      <w:r w:rsidR="008C3284">
        <w:rPr>
          <w:i w:val="0"/>
        </w:rPr>
        <w:t xml:space="preserve">participant </w:t>
      </w:r>
      <w:r w:rsidR="00FB0FBC" w:rsidRPr="00C354C0">
        <w:rPr>
          <w:i w:val="0"/>
        </w:rPr>
        <w:t>numbers in the HMB arm</w:t>
      </w:r>
      <w:r w:rsidR="009403E9" w:rsidRPr="00C354C0">
        <w:rPr>
          <w:i w:val="0"/>
        </w:rPr>
        <w:t xml:space="preserve">. This is </w:t>
      </w:r>
      <w:r w:rsidR="00D70DCD" w:rsidRPr="00C354C0">
        <w:rPr>
          <w:i w:val="0"/>
        </w:rPr>
        <w:t>reasonable;</w:t>
      </w:r>
      <w:r w:rsidR="009403E9" w:rsidRPr="00C354C0">
        <w:rPr>
          <w:i w:val="0"/>
        </w:rPr>
        <w:t xml:space="preserve"> </w:t>
      </w:r>
      <w:r w:rsidR="00BF4D8B" w:rsidRPr="00C354C0">
        <w:rPr>
          <w:i w:val="0"/>
        </w:rPr>
        <w:t>however,</w:t>
      </w:r>
      <w:r w:rsidR="009403E9" w:rsidRPr="00C354C0">
        <w:rPr>
          <w:i w:val="0"/>
        </w:rPr>
        <w:t xml:space="preserve"> this</w:t>
      </w:r>
      <w:r w:rsidR="004572A9" w:rsidRPr="00C354C0">
        <w:rPr>
          <w:i w:val="0"/>
        </w:rPr>
        <w:t xml:space="preserve"> evidence alone </w:t>
      </w:r>
      <w:r w:rsidR="009403E9" w:rsidRPr="00C354C0">
        <w:rPr>
          <w:i w:val="0"/>
        </w:rPr>
        <w:t>is insufficient to establish</w:t>
      </w:r>
      <w:r w:rsidR="00EC44EF" w:rsidRPr="00C354C0">
        <w:rPr>
          <w:i w:val="0"/>
        </w:rPr>
        <w:t xml:space="preserve"> the claim of</w:t>
      </w:r>
      <w:r w:rsidR="009403E9" w:rsidRPr="00C354C0">
        <w:rPr>
          <w:i w:val="0"/>
        </w:rPr>
        <w:t xml:space="preserve"> superiority</w:t>
      </w:r>
      <w:r w:rsidR="004572A9" w:rsidRPr="00C354C0">
        <w:rPr>
          <w:i w:val="0"/>
        </w:rPr>
        <w:t xml:space="preserve"> for this population</w:t>
      </w:r>
      <w:r w:rsidR="009403E9" w:rsidRPr="00C354C0">
        <w:rPr>
          <w:i w:val="0"/>
        </w:rPr>
        <w:t>.</w:t>
      </w:r>
    </w:p>
    <w:p w14:paraId="6B328579" w14:textId="74661DB3" w:rsidR="00B40C66" w:rsidRPr="00796279" w:rsidRDefault="00B40C66" w:rsidP="00B40C66">
      <w:pPr>
        <w:pStyle w:val="Caption"/>
        <w:rPr>
          <w:lang w:val="en-AU"/>
        </w:rPr>
      </w:pPr>
      <w:bookmarkStart w:id="12" w:name="_Ref199845819"/>
      <w:r w:rsidRPr="00796279">
        <w:rPr>
          <w:lang w:val="en-AU"/>
        </w:rPr>
        <w:t xml:space="preserve">Table </w:t>
      </w:r>
      <w:r w:rsidRPr="00796279">
        <w:rPr>
          <w:lang w:val="en-AU"/>
        </w:rPr>
        <w:fldChar w:fldCharType="begin"/>
      </w:r>
      <w:r w:rsidRPr="00796279">
        <w:rPr>
          <w:lang w:val="en-AU"/>
        </w:rPr>
        <w:instrText xml:space="preserve"> SEQ Table \* ARABIC </w:instrText>
      </w:r>
      <w:r w:rsidRPr="00796279">
        <w:rPr>
          <w:lang w:val="en-AU"/>
        </w:rPr>
        <w:fldChar w:fldCharType="separate"/>
      </w:r>
      <w:r w:rsidR="001D119F">
        <w:rPr>
          <w:noProof/>
          <w:lang w:val="en-AU"/>
        </w:rPr>
        <w:t>5</w:t>
      </w:r>
      <w:r w:rsidRPr="00796279">
        <w:rPr>
          <w:lang w:val="en-AU"/>
        </w:rPr>
        <w:fldChar w:fldCharType="end"/>
      </w:r>
      <w:bookmarkEnd w:id="12"/>
      <w:r w:rsidRPr="00796279">
        <w:rPr>
          <w:lang w:val="en-AU"/>
        </w:rPr>
        <w:t xml:space="preserve"> ABR subgroup analysis, by </w:t>
      </w:r>
      <w:r w:rsidR="00654605" w:rsidRPr="00796279">
        <w:rPr>
          <w:lang w:val="en-AU"/>
        </w:rPr>
        <w:t>haemophilia type and treatment mode</w:t>
      </w:r>
      <w:r w:rsidR="00B65BF0">
        <w:rPr>
          <w:lang w:val="en-AU"/>
        </w:rPr>
        <w:t>, non-inhibitor cohort</w:t>
      </w:r>
    </w:p>
    <w:tbl>
      <w:tblPr>
        <w:tblStyle w:val="TableGrid2"/>
        <w:tblW w:w="5000" w:type="pct"/>
        <w:tblLayout w:type="fixed"/>
        <w:tblLook w:val="04A0" w:firstRow="1" w:lastRow="0" w:firstColumn="1" w:lastColumn="0" w:noHBand="0" w:noVBand="1"/>
      </w:tblPr>
      <w:tblGrid>
        <w:gridCol w:w="656"/>
        <w:gridCol w:w="521"/>
        <w:gridCol w:w="1229"/>
        <w:gridCol w:w="1133"/>
        <w:gridCol w:w="1417"/>
        <w:gridCol w:w="708"/>
        <w:gridCol w:w="1133"/>
        <w:gridCol w:w="1275"/>
        <w:gridCol w:w="1499"/>
      </w:tblGrid>
      <w:tr w:rsidR="00003FD4" w:rsidRPr="00D73651" w14:paraId="1C87F934" w14:textId="77777777" w:rsidTr="004375D6">
        <w:trPr>
          <w:trHeight w:val="297"/>
        </w:trPr>
        <w:tc>
          <w:tcPr>
            <w:tcW w:w="343" w:type="pct"/>
            <w:vMerge w:val="restart"/>
            <w:shd w:val="clear" w:color="auto" w:fill="F2F2F2" w:themeFill="background1" w:themeFillShade="F2"/>
            <w:vAlign w:val="center"/>
          </w:tcPr>
          <w:p w14:paraId="2679FD5B" w14:textId="77777777" w:rsidR="00003FD4" w:rsidRPr="00D73651" w:rsidRDefault="00003FD4" w:rsidP="004375D6">
            <w:pPr>
              <w:pStyle w:val="TableText0"/>
              <w:rPr>
                <w:b/>
                <w:bCs/>
              </w:rPr>
            </w:pPr>
          </w:p>
        </w:tc>
        <w:tc>
          <w:tcPr>
            <w:tcW w:w="2246" w:type="pct"/>
            <w:gridSpan w:val="4"/>
            <w:shd w:val="clear" w:color="auto" w:fill="F2F2F2" w:themeFill="background1" w:themeFillShade="F2"/>
            <w:vAlign w:val="center"/>
          </w:tcPr>
          <w:p w14:paraId="1B14EDDA" w14:textId="33FB14A7" w:rsidR="00003FD4" w:rsidRPr="00D73651" w:rsidRDefault="00003FD4" w:rsidP="004375D6">
            <w:pPr>
              <w:pStyle w:val="TableText0"/>
              <w:rPr>
                <w:b/>
                <w:bCs/>
              </w:rPr>
            </w:pPr>
            <w:r w:rsidRPr="00D73651">
              <w:rPr>
                <w:b/>
                <w:bCs/>
              </w:rPr>
              <w:t>On-Demand cohort</w:t>
            </w:r>
          </w:p>
        </w:tc>
        <w:tc>
          <w:tcPr>
            <w:tcW w:w="2411" w:type="pct"/>
            <w:gridSpan w:val="4"/>
            <w:shd w:val="clear" w:color="auto" w:fill="F2F2F2" w:themeFill="background1" w:themeFillShade="F2"/>
            <w:vAlign w:val="center"/>
          </w:tcPr>
          <w:p w14:paraId="2C498BE1" w14:textId="290EFEB5" w:rsidR="00003FD4" w:rsidRPr="00D73651" w:rsidRDefault="00003FD4" w:rsidP="004375D6">
            <w:pPr>
              <w:pStyle w:val="TableText0"/>
              <w:rPr>
                <w:b/>
                <w:bCs/>
              </w:rPr>
            </w:pPr>
            <w:r w:rsidRPr="00D73651">
              <w:rPr>
                <w:b/>
                <w:bCs/>
              </w:rPr>
              <w:t>Prophylaxis cohort</w:t>
            </w:r>
          </w:p>
        </w:tc>
      </w:tr>
      <w:tr w:rsidR="009A19FB" w:rsidRPr="00D73651" w14:paraId="2B6F8162" w14:textId="77777777" w:rsidTr="00FF7AB5">
        <w:trPr>
          <w:trHeight w:val="297"/>
        </w:trPr>
        <w:tc>
          <w:tcPr>
            <w:tcW w:w="343" w:type="pct"/>
            <w:vMerge/>
            <w:shd w:val="clear" w:color="auto" w:fill="F2F2F2" w:themeFill="background1" w:themeFillShade="F2"/>
            <w:vAlign w:val="center"/>
          </w:tcPr>
          <w:p w14:paraId="1BE4B396" w14:textId="77777777" w:rsidR="00003FD4" w:rsidRPr="00D73651" w:rsidRDefault="00003FD4" w:rsidP="004375D6">
            <w:pPr>
              <w:pStyle w:val="TableText0"/>
              <w:rPr>
                <w:b/>
                <w:bCs/>
              </w:rPr>
            </w:pPr>
          </w:p>
        </w:tc>
        <w:tc>
          <w:tcPr>
            <w:tcW w:w="272" w:type="pct"/>
            <w:shd w:val="clear" w:color="auto" w:fill="F2F2F2" w:themeFill="background1" w:themeFillShade="F2"/>
          </w:tcPr>
          <w:p w14:paraId="2FCA45C1" w14:textId="09CEFC46" w:rsidR="00003FD4" w:rsidRPr="00D73651" w:rsidRDefault="00003FD4" w:rsidP="004375D6">
            <w:pPr>
              <w:pStyle w:val="TableText0"/>
              <w:rPr>
                <w:b/>
                <w:bCs/>
              </w:rPr>
            </w:pPr>
            <w:r w:rsidRPr="00D73651">
              <w:rPr>
                <w:b/>
                <w:bCs/>
              </w:rPr>
              <w:t>N</w:t>
            </w:r>
          </w:p>
        </w:tc>
        <w:tc>
          <w:tcPr>
            <w:tcW w:w="642" w:type="pct"/>
            <w:shd w:val="clear" w:color="auto" w:fill="F2F2F2" w:themeFill="background1" w:themeFillShade="F2"/>
            <w:vAlign w:val="center"/>
          </w:tcPr>
          <w:p w14:paraId="64B0AD2B" w14:textId="77777777" w:rsidR="00003FD4" w:rsidRPr="00D73651" w:rsidRDefault="00003FD4" w:rsidP="004375D6">
            <w:pPr>
              <w:pStyle w:val="TableText0"/>
              <w:rPr>
                <w:b/>
                <w:bCs/>
              </w:rPr>
            </w:pPr>
            <w:r w:rsidRPr="00D73651">
              <w:rPr>
                <w:b/>
                <w:bCs/>
              </w:rPr>
              <w:t>OP</w:t>
            </w:r>
          </w:p>
          <w:p w14:paraId="7DE2C2CB" w14:textId="68F03D1C" w:rsidR="00003FD4" w:rsidRPr="00D73651" w:rsidRDefault="00003FD4" w:rsidP="004375D6">
            <w:pPr>
              <w:pStyle w:val="TableText0"/>
              <w:rPr>
                <w:b/>
                <w:bCs/>
              </w:rPr>
            </w:pPr>
            <w:r w:rsidRPr="00D73651">
              <w:rPr>
                <w:b/>
                <w:bCs/>
              </w:rPr>
              <w:t>(FR, On-D)</w:t>
            </w:r>
          </w:p>
        </w:tc>
        <w:tc>
          <w:tcPr>
            <w:tcW w:w="592" w:type="pct"/>
            <w:shd w:val="clear" w:color="auto" w:fill="F2F2F2" w:themeFill="background1" w:themeFillShade="F2"/>
            <w:vAlign w:val="center"/>
          </w:tcPr>
          <w:p w14:paraId="636549FD" w14:textId="77777777" w:rsidR="00003FD4" w:rsidRPr="00D73651" w:rsidRDefault="00003FD4" w:rsidP="004375D6">
            <w:pPr>
              <w:pStyle w:val="TableText0"/>
              <w:rPr>
                <w:b/>
                <w:bCs/>
              </w:rPr>
            </w:pPr>
            <w:r w:rsidRPr="00D73651">
              <w:rPr>
                <w:b/>
                <w:bCs/>
              </w:rPr>
              <w:t>AT</w:t>
            </w:r>
          </w:p>
          <w:p w14:paraId="7F57E319" w14:textId="3FD4618D" w:rsidR="00003FD4" w:rsidRPr="00D73651" w:rsidRDefault="00003FD4" w:rsidP="004375D6">
            <w:pPr>
              <w:pStyle w:val="TableText0"/>
              <w:rPr>
                <w:b/>
                <w:bCs/>
              </w:rPr>
            </w:pPr>
            <w:r w:rsidRPr="00D73651">
              <w:rPr>
                <w:b/>
                <w:bCs/>
              </w:rPr>
              <w:t>(Mars, PPX)</w:t>
            </w:r>
          </w:p>
        </w:tc>
        <w:tc>
          <w:tcPr>
            <w:tcW w:w="740" w:type="pct"/>
            <w:shd w:val="clear" w:color="auto" w:fill="F2F2F2" w:themeFill="background1" w:themeFillShade="F2"/>
            <w:vAlign w:val="center"/>
          </w:tcPr>
          <w:p w14:paraId="69B031F0" w14:textId="51AF349D" w:rsidR="00003FD4" w:rsidRPr="00D73651" w:rsidRDefault="00003FD4" w:rsidP="004375D6">
            <w:pPr>
              <w:pStyle w:val="TableText0"/>
              <w:rPr>
                <w:b/>
                <w:bCs/>
              </w:rPr>
            </w:pPr>
            <w:r w:rsidRPr="00D73651">
              <w:rPr>
                <w:b/>
                <w:bCs/>
              </w:rPr>
              <w:t xml:space="preserve">Ratio </w:t>
            </w:r>
            <w:r w:rsidRPr="00D73651">
              <w:rPr>
                <w:b/>
                <w:bCs/>
              </w:rPr>
              <w:br/>
              <w:t>(95%CI)</w:t>
            </w:r>
          </w:p>
        </w:tc>
        <w:tc>
          <w:tcPr>
            <w:tcW w:w="370" w:type="pct"/>
            <w:shd w:val="clear" w:color="auto" w:fill="F2F2F2" w:themeFill="background1" w:themeFillShade="F2"/>
            <w:vAlign w:val="center"/>
          </w:tcPr>
          <w:p w14:paraId="2778A7C5" w14:textId="4982556F" w:rsidR="00003FD4" w:rsidRPr="00D73651" w:rsidRDefault="00003FD4" w:rsidP="004375D6">
            <w:pPr>
              <w:pStyle w:val="TableText0"/>
              <w:rPr>
                <w:b/>
                <w:bCs/>
              </w:rPr>
            </w:pPr>
            <w:r w:rsidRPr="00D73651">
              <w:rPr>
                <w:b/>
                <w:bCs/>
              </w:rPr>
              <w:t>N</w:t>
            </w:r>
          </w:p>
        </w:tc>
        <w:tc>
          <w:tcPr>
            <w:tcW w:w="592" w:type="pct"/>
            <w:shd w:val="clear" w:color="auto" w:fill="F2F2F2" w:themeFill="background1" w:themeFillShade="F2"/>
            <w:vAlign w:val="center"/>
          </w:tcPr>
          <w:p w14:paraId="28145A78" w14:textId="77777777" w:rsidR="00003FD4" w:rsidRPr="00D73651" w:rsidRDefault="00003FD4" w:rsidP="004375D6">
            <w:pPr>
              <w:pStyle w:val="TableText0"/>
              <w:rPr>
                <w:b/>
                <w:bCs/>
              </w:rPr>
            </w:pPr>
            <w:r w:rsidRPr="00D73651">
              <w:rPr>
                <w:b/>
                <w:bCs/>
              </w:rPr>
              <w:t>OP</w:t>
            </w:r>
          </w:p>
          <w:p w14:paraId="5AC8F367" w14:textId="4146A830" w:rsidR="00003FD4" w:rsidRPr="00D73651" w:rsidRDefault="00003FD4" w:rsidP="004375D6">
            <w:pPr>
              <w:pStyle w:val="TableText0"/>
              <w:rPr>
                <w:b/>
                <w:bCs/>
              </w:rPr>
            </w:pPr>
            <w:r w:rsidRPr="00D73651">
              <w:rPr>
                <w:b/>
                <w:bCs/>
              </w:rPr>
              <w:t xml:space="preserve">(FR, </w:t>
            </w:r>
            <w:r w:rsidR="00453D4A">
              <w:rPr>
                <w:b/>
                <w:bCs/>
              </w:rPr>
              <w:t>PPX</w:t>
            </w:r>
            <w:r w:rsidRPr="00D73651">
              <w:rPr>
                <w:b/>
                <w:bCs/>
              </w:rPr>
              <w:t>)</w:t>
            </w:r>
          </w:p>
        </w:tc>
        <w:tc>
          <w:tcPr>
            <w:tcW w:w="666" w:type="pct"/>
            <w:shd w:val="clear" w:color="auto" w:fill="F2F2F2" w:themeFill="background1" w:themeFillShade="F2"/>
            <w:vAlign w:val="center"/>
          </w:tcPr>
          <w:p w14:paraId="2908D0CA" w14:textId="77777777" w:rsidR="00003FD4" w:rsidRPr="00D73651" w:rsidRDefault="00003FD4" w:rsidP="004375D6">
            <w:pPr>
              <w:pStyle w:val="TableText0"/>
              <w:rPr>
                <w:b/>
                <w:bCs/>
              </w:rPr>
            </w:pPr>
            <w:r w:rsidRPr="00D73651">
              <w:rPr>
                <w:b/>
                <w:bCs/>
              </w:rPr>
              <w:t>AT</w:t>
            </w:r>
          </w:p>
          <w:p w14:paraId="6A2E9127" w14:textId="523E961F" w:rsidR="00003FD4" w:rsidRPr="00D73651" w:rsidRDefault="00003FD4" w:rsidP="004375D6">
            <w:pPr>
              <w:pStyle w:val="TableText0"/>
              <w:rPr>
                <w:b/>
                <w:bCs/>
              </w:rPr>
            </w:pPr>
            <w:r w:rsidRPr="00D73651">
              <w:rPr>
                <w:b/>
                <w:bCs/>
              </w:rPr>
              <w:t>(Mars, PPX)</w:t>
            </w:r>
          </w:p>
        </w:tc>
        <w:tc>
          <w:tcPr>
            <w:tcW w:w="783" w:type="pct"/>
            <w:shd w:val="clear" w:color="auto" w:fill="F2F2F2" w:themeFill="background1" w:themeFillShade="F2"/>
            <w:vAlign w:val="center"/>
          </w:tcPr>
          <w:p w14:paraId="4611FAB4" w14:textId="43090A58" w:rsidR="00003FD4" w:rsidRPr="00D73651" w:rsidRDefault="00003FD4" w:rsidP="004375D6">
            <w:pPr>
              <w:pStyle w:val="TableText0"/>
              <w:rPr>
                <w:b/>
                <w:bCs/>
              </w:rPr>
            </w:pPr>
            <w:r w:rsidRPr="00D73651">
              <w:rPr>
                <w:b/>
                <w:bCs/>
              </w:rPr>
              <w:t>Difference</w:t>
            </w:r>
          </w:p>
          <w:p w14:paraId="17838419" w14:textId="3ACBA442" w:rsidR="00003FD4" w:rsidRPr="00D73651" w:rsidRDefault="00003FD4" w:rsidP="004375D6">
            <w:pPr>
              <w:pStyle w:val="TableText0"/>
              <w:rPr>
                <w:b/>
                <w:bCs/>
              </w:rPr>
            </w:pPr>
            <w:r w:rsidRPr="00D73651">
              <w:rPr>
                <w:b/>
                <w:bCs/>
              </w:rPr>
              <w:t>(95%CI)</w:t>
            </w:r>
          </w:p>
        </w:tc>
      </w:tr>
      <w:tr w:rsidR="00FD1764" w:rsidRPr="005E09AB" w14:paraId="18070705" w14:textId="6E1252FD" w:rsidTr="004375D6">
        <w:trPr>
          <w:trHeight w:val="297"/>
        </w:trPr>
        <w:tc>
          <w:tcPr>
            <w:tcW w:w="343" w:type="pct"/>
            <w:vAlign w:val="center"/>
          </w:tcPr>
          <w:p w14:paraId="71715FEC" w14:textId="6AB608BA" w:rsidR="00FD1764" w:rsidRPr="00FD1764" w:rsidRDefault="00FD1764" w:rsidP="004375D6">
            <w:pPr>
              <w:pStyle w:val="TableText0"/>
              <w:rPr>
                <w:b/>
                <w:bCs/>
              </w:rPr>
            </w:pPr>
            <w:r w:rsidRPr="00FD1764">
              <w:rPr>
                <w:b/>
                <w:bCs/>
              </w:rPr>
              <w:t>HMA</w:t>
            </w:r>
          </w:p>
        </w:tc>
        <w:tc>
          <w:tcPr>
            <w:tcW w:w="272" w:type="pct"/>
            <w:vAlign w:val="center"/>
          </w:tcPr>
          <w:p w14:paraId="731627A3" w14:textId="66D99EAB" w:rsidR="00FD1764" w:rsidRPr="00A3774F" w:rsidRDefault="007F65C2" w:rsidP="004375D6">
            <w:pPr>
              <w:pStyle w:val="TableText0"/>
            </w:pPr>
            <w:r w:rsidRPr="00A3774F">
              <w:t>26</w:t>
            </w:r>
          </w:p>
        </w:tc>
        <w:tc>
          <w:tcPr>
            <w:tcW w:w="642" w:type="pct"/>
            <w:vAlign w:val="center"/>
          </w:tcPr>
          <w:p w14:paraId="2579D327" w14:textId="02B10A2E" w:rsidR="00FD1764" w:rsidRPr="00A3774F" w:rsidRDefault="00714043" w:rsidP="004375D6">
            <w:pPr>
              <w:pStyle w:val="TableText0"/>
            </w:pPr>
            <w:r w:rsidRPr="00A3774F">
              <w:t>40.57</w:t>
            </w:r>
          </w:p>
        </w:tc>
        <w:tc>
          <w:tcPr>
            <w:tcW w:w="592" w:type="pct"/>
            <w:vAlign w:val="center"/>
          </w:tcPr>
          <w:p w14:paraId="4DA640BB" w14:textId="213B83F4" w:rsidR="00FD1764" w:rsidRPr="00A3774F" w:rsidRDefault="002F0890" w:rsidP="004375D6">
            <w:pPr>
              <w:pStyle w:val="TableText0"/>
            </w:pPr>
            <w:r w:rsidRPr="00A3774F">
              <w:t>3.61</w:t>
            </w:r>
          </w:p>
        </w:tc>
        <w:tc>
          <w:tcPr>
            <w:tcW w:w="740" w:type="pct"/>
            <w:vAlign w:val="center"/>
          </w:tcPr>
          <w:p w14:paraId="2A6CB8F1" w14:textId="61E0DD54" w:rsidR="007F00D6" w:rsidRPr="00A3774F" w:rsidRDefault="007F00D6" w:rsidP="004375D6">
            <w:pPr>
              <w:pStyle w:val="TableText0"/>
            </w:pPr>
            <w:r w:rsidRPr="00A3774F">
              <w:t>0.</w:t>
            </w:r>
            <w:r w:rsidR="004E44FF">
              <w:t>0</w:t>
            </w:r>
            <w:r w:rsidRPr="00A3774F">
              <w:t>89</w:t>
            </w:r>
            <w:r w:rsidRPr="00A3774F">
              <w:br/>
              <w:t>(0.062, 0.130)</w:t>
            </w:r>
          </w:p>
        </w:tc>
        <w:tc>
          <w:tcPr>
            <w:tcW w:w="370" w:type="pct"/>
            <w:vAlign w:val="center"/>
          </w:tcPr>
          <w:p w14:paraId="02698F35" w14:textId="4E4AE62A" w:rsidR="00FD1764" w:rsidRPr="00A3774F" w:rsidRDefault="001D7D29" w:rsidP="004375D6">
            <w:pPr>
              <w:pStyle w:val="TableText0"/>
            </w:pPr>
            <w:r w:rsidRPr="00A3774F">
              <w:t>65</w:t>
            </w:r>
          </w:p>
        </w:tc>
        <w:tc>
          <w:tcPr>
            <w:tcW w:w="592" w:type="pct"/>
            <w:vAlign w:val="center"/>
          </w:tcPr>
          <w:p w14:paraId="7E0E1D4C" w14:textId="48B91ACC" w:rsidR="00FD1764" w:rsidRPr="00A3774F" w:rsidRDefault="00D16427" w:rsidP="004375D6">
            <w:pPr>
              <w:pStyle w:val="TableText0"/>
            </w:pPr>
            <w:r w:rsidRPr="00A3774F">
              <w:t>9.16</w:t>
            </w:r>
          </w:p>
        </w:tc>
        <w:tc>
          <w:tcPr>
            <w:tcW w:w="666" w:type="pct"/>
            <w:vAlign w:val="center"/>
          </w:tcPr>
          <w:p w14:paraId="7E86E4DE" w14:textId="28B1C08D" w:rsidR="00FD1764" w:rsidRPr="00A3774F" w:rsidRDefault="00D16427" w:rsidP="004375D6">
            <w:pPr>
              <w:pStyle w:val="TableText0"/>
            </w:pPr>
            <w:r w:rsidRPr="00A3774F">
              <w:t>5.3</w:t>
            </w:r>
          </w:p>
        </w:tc>
        <w:tc>
          <w:tcPr>
            <w:tcW w:w="783" w:type="pct"/>
            <w:vAlign w:val="center"/>
          </w:tcPr>
          <w:p w14:paraId="58DCD60D" w14:textId="2941FF6B" w:rsidR="00F13CD8" w:rsidRPr="00A3774F" w:rsidRDefault="00F13CD8" w:rsidP="004375D6">
            <w:pPr>
              <w:pStyle w:val="TableText0"/>
            </w:pPr>
            <w:r w:rsidRPr="00A3774F">
              <w:t xml:space="preserve">-3.91 </w:t>
            </w:r>
            <w:r w:rsidR="00646651" w:rsidRPr="00A3774F">
              <w:br/>
            </w:r>
            <w:r w:rsidRPr="00A3774F">
              <w:t>(-7.1, -0.73)</w:t>
            </w:r>
          </w:p>
        </w:tc>
      </w:tr>
      <w:tr w:rsidR="00FD1764" w:rsidRPr="005E09AB" w14:paraId="3848FA92" w14:textId="5210BE4E" w:rsidTr="004375D6">
        <w:trPr>
          <w:trHeight w:val="297"/>
        </w:trPr>
        <w:tc>
          <w:tcPr>
            <w:tcW w:w="343" w:type="pct"/>
            <w:vAlign w:val="center"/>
          </w:tcPr>
          <w:p w14:paraId="375F596B" w14:textId="49B28FEC" w:rsidR="00FD1764" w:rsidRPr="00FD1764" w:rsidRDefault="00FD1764" w:rsidP="004375D6">
            <w:pPr>
              <w:pStyle w:val="TableText0"/>
              <w:rPr>
                <w:b/>
                <w:bCs/>
              </w:rPr>
            </w:pPr>
            <w:r w:rsidRPr="00FD1764">
              <w:rPr>
                <w:b/>
                <w:bCs/>
              </w:rPr>
              <w:t>HMB</w:t>
            </w:r>
          </w:p>
        </w:tc>
        <w:tc>
          <w:tcPr>
            <w:tcW w:w="272" w:type="pct"/>
            <w:vAlign w:val="center"/>
          </w:tcPr>
          <w:p w14:paraId="7288B78A" w14:textId="26993E4D" w:rsidR="00FD1764" w:rsidRPr="00A3774F" w:rsidRDefault="007F65C2" w:rsidP="004375D6">
            <w:pPr>
              <w:pStyle w:val="TableText0"/>
            </w:pPr>
            <w:r w:rsidRPr="00A3774F">
              <w:t>7</w:t>
            </w:r>
          </w:p>
        </w:tc>
        <w:tc>
          <w:tcPr>
            <w:tcW w:w="642" w:type="pct"/>
            <w:vAlign w:val="center"/>
          </w:tcPr>
          <w:p w14:paraId="5FF62739" w14:textId="7651D449" w:rsidR="00FD1764" w:rsidRPr="00A3774F" w:rsidRDefault="00714043" w:rsidP="004375D6">
            <w:pPr>
              <w:pStyle w:val="TableText0"/>
            </w:pPr>
            <w:r w:rsidRPr="00A3774F">
              <w:t>28.67</w:t>
            </w:r>
          </w:p>
        </w:tc>
        <w:tc>
          <w:tcPr>
            <w:tcW w:w="592" w:type="pct"/>
            <w:vAlign w:val="center"/>
          </w:tcPr>
          <w:p w14:paraId="014BAF3F" w14:textId="3FBABB8B" w:rsidR="00FD1764" w:rsidRPr="00A3774F" w:rsidRDefault="002F0890" w:rsidP="004375D6">
            <w:pPr>
              <w:pStyle w:val="TableText0"/>
            </w:pPr>
            <w:r w:rsidRPr="00A3774F">
              <w:t>1.65</w:t>
            </w:r>
          </w:p>
        </w:tc>
        <w:tc>
          <w:tcPr>
            <w:tcW w:w="740" w:type="pct"/>
            <w:vAlign w:val="center"/>
          </w:tcPr>
          <w:p w14:paraId="4A65E33C" w14:textId="77777777" w:rsidR="00F13CD8" w:rsidRPr="00A3774F" w:rsidRDefault="007F00D6" w:rsidP="004375D6">
            <w:pPr>
              <w:pStyle w:val="TableText0"/>
            </w:pPr>
            <w:r w:rsidRPr="00A3774F">
              <w:t>0.036</w:t>
            </w:r>
          </w:p>
          <w:p w14:paraId="4BC333E4" w14:textId="195A00B3" w:rsidR="007F00D6" w:rsidRPr="00A3774F" w:rsidRDefault="007F00D6" w:rsidP="004375D6">
            <w:pPr>
              <w:pStyle w:val="TableText0"/>
            </w:pPr>
            <w:r w:rsidRPr="00A3774F">
              <w:t xml:space="preserve">(0.012, 0.111) </w:t>
            </w:r>
          </w:p>
        </w:tc>
        <w:tc>
          <w:tcPr>
            <w:tcW w:w="370" w:type="pct"/>
            <w:vAlign w:val="center"/>
          </w:tcPr>
          <w:p w14:paraId="3E168027" w14:textId="6113B2E7" w:rsidR="00FD1764" w:rsidRPr="00A3774F" w:rsidRDefault="001D7D29" w:rsidP="004375D6">
            <w:pPr>
              <w:pStyle w:val="TableText0"/>
            </w:pPr>
            <w:r w:rsidRPr="00A3774F">
              <w:t>18</w:t>
            </w:r>
          </w:p>
        </w:tc>
        <w:tc>
          <w:tcPr>
            <w:tcW w:w="592" w:type="pct"/>
            <w:vAlign w:val="center"/>
          </w:tcPr>
          <w:p w14:paraId="4F8EA8D3" w14:textId="3B8D5004" w:rsidR="00FD1764" w:rsidRPr="00A3774F" w:rsidRDefault="00EE7DF4" w:rsidP="004375D6">
            <w:pPr>
              <w:pStyle w:val="TableText0"/>
            </w:pPr>
            <w:r w:rsidRPr="00A3774F">
              <w:t>3.26</w:t>
            </w:r>
          </w:p>
        </w:tc>
        <w:tc>
          <w:tcPr>
            <w:tcW w:w="666" w:type="pct"/>
            <w:vAlign w:val="center"/>
          </w:tcPr>
          <w:p w14:paraId="2EEF958C" w14:textId="1CCBB076" w:rsidR="00FD1764" w:rsidRPr="00A3774F" w:rsidRDefault="00EE7DF4" w:rsidP="004375D6">
            <w:pPr>
              <w:pStyle w:val="TableText0"/>
            </w:pPr>
            <w:r w:rsidRPr="00A3774F">
              <w:t>4.71</w:t>
            </w:r>
          </w:p>
        </w:tc>
        <w:tc>
          <w:tcPr>
            <w:tcW w:w="783" w:type="pct"/>
            <w:vAlign w:val="center"/>
          </w:tcPr>
          <w:p w14:paraId="1F7EB221" w14:textId="27CB8F90" w:rsidR="00F13CD8" w:rsidRPr="00A3774F" w:rsidRDefault="00F13CD8" w:rsidP="004375D6">
            <w:pPr>
              <w:pStyle w:val="TableText0"/>
            </w:pPr>
            <w:r w:rsidRPr="00A3774F">
              <w:t xml:space="preserve">1.35 </w:t>
            </w:r>
            <w:r w:rsidR="00646651" w:rsidRPr="00A3774F">
              <w:br/>
            </w:r>
            <w:r w:rsidRPr="00A3774F">
              <w:t>(-1.44, 4.13)</w:t>
            </w:r>
          </w:p>
        </w:tc>
      </w:tr>
    </w:tbl>
    <w:p w14:paraId="710E5EB1" w14:textId="7E85F694" w:rsidR="00957E63" w:rsidRDefault="00734908" w:rsidP="00957E63">
      <w:pPr>
        <w:pStyle w:val="Tablenotes"/>
      </w:pPr>
      <w:r>
        <w:t xml:space="preserve">Source: </w:t>
      </w:r>
      <w:r w:rsidR="00F52957">
        <w:t xml:space="preserve">Section 5.1.1.1.1 and </w:t>
      </w:r>
      <w:r w:rsidR="006F1F26">
        <w:t>5.1.2.1.1</w:t>
      </w:r>
      <w:r w:rsidR="00D6372B">
        <w:t xml:space="preserve"> </w:t>
      </w:r>
      <w:r w:rsidR="00891447" w:rsidRPr="00891447">
        <w:t>Interim Study Report</w:t>
      </w:r>
      <w:r w:rsidR="00D70DCD">
        <w:t xml:space="preserve"> </w:t>
      </w:r>
      <w:r w:rsidR="00F37083">
        <w:fldChar w:fldCharType="begin"/>
      </w:r>
      <w:r w:rsidR="008E5B86">
        <w:instrText xml:space="preserve"> ADDIN EN.CITE &lt;EndNote&gt;&lt;Cite AuthorYear="1"&gt;&lt;Author&gt;Pfizer&lt;/Author&gt;&lt;Year&gt;2023&lt;/Year&gt;&lt;RecNum&gt;2&lt;/RecNum&gt;&lt;DisplayText&gt;Pfizer (2023)&lt;/DisplayText&gt;&lt;record&gt;&lt;rec-number&gt;2&lt;/rec-number&gt;&lt;foreign-keys&gt;&lt;key app="EN" db-id="wrdwrvxxvt5dstesdtovsevj50f2z9xw099s" timestamp="1747872534"&gt;2&lt;/key&gt;&lt;/foreign-keys&gt;&lt;ref-type name="Report"&gt;27&lt;/ref-type&gt;&lt;contributors&gt;&lt;authors&gt;&lt;author&gt;Pfizer&lt;/author&gt;&lt;/authors&gt;&lt;/contributors&gt;&lt;titles&gt;&lt;title&gt;BASIS (B7841005) Interim Study Report Body&lt;/title&gt;&lt;/titles&gt;&lt;dates&gt;&lt;year&gt;2023&lt;/year&gt;&lt;pub-dates&gt;&lt;date&gt;13 September 2023&lt;/date&gt;&lt;/pub-dates&gt;&lt;/dates&gt;&lt;urls&gt;&lt;/urls&gt;&lt;/record&gt;&lt;/Cite&gt;&lt;/EndNote&gt;</w:instrText>
      </w:r>
      <w:r w:rsidR="00F37083">
        <w:fldChar w:fldCharType="separate"/>
      </w:r>
      <w:r w:rsidR="008E5B86">
        <w:rPr>
          <w:noProof/>
        </w:rPr>
        <w:t>Pfizer (2023)</w:t>
      </w:r>
      <w:r w:rsidR="00F37083">
        <w:fldChar w:fldCharType="end"/>
      </w:r>
    </w:p>
    <w:p w14:paraId="7C4DCBE7" w14:textId="3AEE5AAC" w:rsidR="005E09AB" w:rsidRDefault="00465E1A" w:rsidP="00C57B77">
      <w:pPr>
        <w:pStyle w:val="Tablenotes"/>
      </w:pPr>
      <w:r>
        <w:t xml:space="preserve">AT = active treatment; CI = confidence interval; </w:t>
      </w:r>
      <w:r w:rsidR="008B2B2A">
        <w:t xml:space="preserve">FR = factor replacement; </w:t>
      </w:r>
      <w:r w:rsidR="00F461C7">
        <w:t xml:space="preserve">HMA = haemophilia A; HMB = haemophilia B; </w:t>
      </w:r>
      <w:r>
        <w:t xml:space="preserve">Mars = marstacimab; </w:t>
      </w:r>
      <w:r w:rsidR="00D67148">
        <w:br/>
      </w:r>
      <w:r w:rsidR="00F461C7">
        <w:t>On-D = on-demand;</w:t>
      </w:r>
      <w:r w:rsidR="00C53079">
        <w:t xml:space="preserve"> </w:t>
      </w:r>
      <w:r>
        <w:t xml:space="preserve">OP = observation phase; </w:t>
      </w:r>
      <w:r w:rsidR="00C53079">
        <w:t>PPX</w:t>
      </w:r>
      <w:r w:rsidR="00DA73BF">
        <w:t xml:space="preserve"> = prophylaxis</w:t>
      </w:r>
    </w:p>
    <w:p w14:paraId="19E97690" w14:textId="433BA38F" w:rsidR="005F52DE" w:rsidRDefault="0033480C" w:rsidP="005F52DE">
      <w:r>
        <w:t xml:space="preserve">After </w:t>
      </w:r>
      <w:r w:rsidR="00BA0306">
        <w:t>the 12</w:t>
      </w:r>
      <w:r w:rsidR="003E5B69">
        <w:t xml:space="preserve"> months of follow up in the ATP, </w:t>
      </w:r>
      <w:r w:rsidR="00BB124C">
        <w:t>107</w:t>
      </w:r>
      <w:r w:rsidR="00222126">
        <w:t xml:space="preserve"> (</w:t>
      </w:r>
      <w:r w:rsidR="00FD3089">
        <w:t>83.5%</w:t>
      </w:r>
      <w:r w:rsidR="00222126">
        <w:t>)</w:t>
      </w:r>
      <w:r w:rsidR="00BB124C">
        <w:t xml:space="preserve"> individuals </w:t>
      </w:r>
      <w:r w:rsidR="008240D4">
        <w:t xml:space="preserve">from BASIS </w:t>
      </w:r>
      <w:r w:rsidR="00C465D0">
        <w:t xml:space="preserve">(non-inhibitor cohort) </w:t>
      </w:r>
      <w:r w:rsidR="00BB124C">
        <w:t>were enrolled in</w:t>
      </w:r>
      <w:r w:rsidR="008240D4">
        <w:t xml:space="preserve"> an </w:t>
      </w:r>
      <w:r w:rsidR="008240D4" w:rsidRPr="00F634D7">
        <w:t xml:space="preserve">Open-Label Extension </w:t>
      </w:r>
      <w:r w:rsidR="008240D4">
        <w:t>s</w:t>
      </w:r>
      <w:r w:rsidR="008240D4" w:rsidRPr="00F634D7">
        <w:t xml:space="preserve">tudy </w:t>
      </w:r>
      <w:r w:rsidR="008240D4">
        <w:t>(</w:t>
      </w:r>
      <w:r w:rsidR="008240D4" w:rsidRPr="00FF789E">
        <w:t>NCT05145127</w:t>
      </w:r>
      <w:r w:rsidR="008240D4">
        <w:t>)</w:t>
      </w:r>
      <w:r w:rsidR="00FD3089">
        <w:t xml:space="preserve">, and </w:t>
      </w:r>
      <w:r w:rsidR="00117FB7">
        <w:t>followed up for a mean 12.5 months.</w:t>
      </w:r>
      <w:r w:rsidR="00FB0F7A">
        <w:t xml:space="preserve"> </w:t>
      </w:r>
      <w:r w:rsidR="005E32A0">
        <w:t>At the end of study follow up,</w:t>
      </w:r>
      <w:r w:rsidR="006E6CC2">
        <w:t xml:space="preserve"> </w:t>
      </w:r>
      <w:r w:rsidR="006E6CC2">
        <w:rPr>
          <w:iCs/>
        </w:rPr>
        <w:t>e</w:t>
      </w:r>
      <w:r w:rsidR="006E6CC2" w:rsidRPr="00C354C0">
        <w:t xml:space="preserve">fficacy favoured marstacimab compared to on-demand factor replacement for both </w:t>
      </w:r>
      <w:r w:rsidR="00894163">
        <w:t>HM</w:t>
      </w:r>
      <w:r w:rsidR="006E6CC2" w:rsidRPr="00C354C0">
        <w:t xml:space="preserve">A and </w:t>
      </w:r>
      <w:r w:rsidR="00894163">
        <w:t>HM</w:t>
      </w:r>
      <w:r w:rsidR="006E6CC2" w:rsidRPr="00C354C0">
        <w:t xml:space="preserve">B. Similarly, efficacy favoured marstacimab compared to prophylactic factor replacement for </w:t>
      </w:r>
      <w:r w:rsidR="00894163">
        <w:t>HM</w:t>
      </w:r>
      <w:r w:rsidR="006E6CC2" w:rsidRPr="00C354C0">
        <w:t>A</w:t>
      </w:r>
      <w:r w:rsidR="00F863E9">
        <w:t xml:space="preserve"> and </w:t>
      </w:r>
      <w:r w:rsidR="00894163">
        <w:t>HM</w:t>
      </w:r>
      <w:r w:rsidR="00F863E9">
        <w:t>B</w:t>
      </w:r>
      <w:r w:rsidR="00470826">
        <w:t xml:space="preserve"> (</w:t>
      </w:r>
      <w:r w:rsidR="00470826">
        <w:fldChar w:fldCharType="begin"/>
      </w:r>
      <w:r w:rsidR="00470826">
        <w:instrText xml:space="preserve"> REF _Ref203577639 \h </w:instrText>
      </w:r>
      <w:r w:rsidR="00470826">
        <w:fldChar w:fldCharType="separate"/>
      </w:r>
      <w:r w:rsidR="001D119F" w:rsidRPr="00D1653A">
        <w:t>Table</w:t>
      </w:r>
      <w:r w:rsidR="001D119F">
        <w:t xml:space="preserve"> 6</w:t>
      </w:r>
      <w:r w:rsidR="00470826">
        <w:fldChar w:fldCharType="end"/>
      </w:r>
      <w:r w:rsidR="00470826">
        <w:t>)</w:t>
      </w:r>
      <w:r w:rsidR="00F863E9">
        <w:t>.</w:t>
      </w:r>
      <w:r w:rsidR="006E6CC2" w:rsidRPr="00C354C0">
        <w:t xml:space="preserve"> </w:t>
      </w:r>
    </w:p>
    <w:p w14:paraId="4D14BD96" w14:textId="77777777" w:rsidR="00BF7356" w:rsidRPr="00D1653A" w:rsidRDefault="00BF7356" w:rsidP="005F52DE">
      <w:pPr>
        <w:rPr>
          <w:lang w:eastAsia="ja-JP"/>
        </w:rPr>
      </w:pPr>
    </w:p>
    <w:p w14:paraId="5C612029" w14:textId="3FCCA912" w:rsidR="009D2F3B" w:rsidRPr="00D1653A" w:rsidRDefault="00B960FA" w:rsidP="00B960FA">
      <w:pPr>
        <w:pStyle w:val="Caption"/>
        <w:rPr>
          <w:lang w:val="en-AU"/>
        </w:rPr>
      </w:pPr>
      <w:bookmarkStart w:id="13" w:name="_Ref203577639"/>
      <w:r w:rsidRPr="00D1653A">
        <w:rPr>
          <w:lang w:val="en-AU"/>
        </w:rPr>
        <w:lastRenderedPageBreak/>
        <w:t>Table</w:t>
      </w:r>
      <w:r w:rsidR="00702689">
        <w:rPr>
          <w:lang w:val="en-AU"/>
        </w:rPr>
        <w:t xml:space="preserve"> 6</w:t>
      </w:r>
      <w:bookmarkEnd w:id="13"/>
      <w:r w:rsidRPr="00D1653A">
        <w:rPr>
          <w:lang w:val="en-AU"/>
        </w:rPr>
        <w:t xml:space="preserve"> Modelled ABR esti</w:t>
      </w:r>
      <w:r w:rsidR="0048544C" w:rsidRPr="00D1653A">
        <w:rPr>
          <w:lang w:val="en-AU"/>
        </w:rPr>
        <w:t xml:space="preserve">mates for </w:t>
      </w:r>
      <w:r w:rsidR="004509CD" w:rsidRPr="00D1653A">
        <w:rPr>
          <w:lang w:val="en-AU"/>
        </w:rPr>
        <w:t xml:space="preserve">treated and total bleeds during the </w:t>
      </w:r>
      <w:r w:rsidR="00F634D7" w:rsidRPr="00D1653A">
        <w:rPr>
          <w:lang w:val="en-AU"/>
        </w:rPr>
        <w:t>Open-Label Extension study phase</w:t>
      </w:r>
      <w:r w:rsidR="00BD19D0">
        <w:rPr>
          <w:lang w:val="en-AU"/>
        </w:rPr>
        <w:t>, non-inhibitor cohort</w:t>
      </w:r>
    </w:p>
    <w:tbl>
      <w:tblPr>
        <w:tblStyle w:val="TableGrid"/>
        <w:tblW w:w="0" w:type="auto"/>
        <w:tblInd w:w="0" w:type="dxa"/>
        <w:tblLook w:val="04A0" w:firstRow="1" w:lastRow="0" w:firstColumn="1" w:lastColumn="0" w:noHBand="0" w:noVBand="1"/>
      </w:tblPr>
      <w:tblGrid>
        <w:gridCol w:w="2122"/>
        <w:gridCol w:w="3685"/>
        <w:gridCol w:w="3763"/>
      </w:tblGrid>
      <w:tr w:rsidR="008762EF" w:rsidRPr="006610C1" w14:paraId="42E5C352" w14:textId="77777777" w:rsidTr="00A120D5">
        <w:tc>
          <w:tcPr>
            <w:tcW w:w="2122" w:type="dxa"/>
            <w:shd w:val="clear" w:color="auto" w:fill="F2F2F2" w:themeFill="background1" w:themeFillShade="F2"/>
          </w:tcPr>
          <w:p w14:paraId="6C9943EF" w14:textId="77777777" w:rsidR="008762EF" w:rsidRPr="006610C1" w:rsidRDefault="008762EF" w:rsidP="006610C1">
            <w:pPr>
              <w:pStyle w:val="TableText0"/>
              <w:rPr>
                <w:b/>
                <w:bCs/>
              </w:rPr>
            </w:pPr>
          </w:p>
        </w:tc>
        <w:tc>
          <w:tcPr>
            <w:tcW w:w="3685" w:type="dxa"/>
            <w:shd w:val="clear" w:color="auto" w:fill="F2F2F2" w:themeFill="background1" w:themeFillShade="F2"/>
          </w:tcPr>
          <w:p w14:paraId="7E04B81F" w14:textId="573F1134" w:rsidR="008762EF" w:rsidRPr="006610C1" w:rsidRDefault="008762EF" w:rsidP="006610C1">
            <w:pPr>
              <w:pStyle w:val="TableText0"/>
              <w:rPr>
                <w:b/>
                <w:bCs/>
              </w:rPr>
            </w:pPr>
            <w:r w:rsidRPr="00D73651">
              <w:rPr>
                <w:b/>
                <w:bCs/>
              </w:rPr>
              <w:t>On-Demand cohort</w:t>
            </w:r>
          </w:p>
        </w:tc>
        <w:tc>
          <w:tcPr>
            <w:tcW w:w="3763" w:type="dxa"/>
            <w:shd w:val="clear" w:color="auto" w:fill="F2F2F2" w:themeFill="background1" w:themeFillShade="F2"/>
          </w:tcPr>
          <w:p w14:paraId="1618724D" w14:textId="4C178296" w:rsidR="008762EF" w:rsidRPr="006610C1" w:rsidRDefault="008762EF" w:rsidP="006610C1">
            <w:pPr>
              <w:pStyle w:val="TableText0"/>
              <w:rPr>
                <w:b/>
                <w:bCs/>
              </w:rPr>
            </w:pPr>
            <w:r w:rsidRPr="00D73651">
              <w:rPr>
                <w:b/>
                <w:bCs/>
              </w:rPr>
              <w:t>Prophylaxis cohort</w:t>
            </w:r>
          </w:p>
        </w:tc>
      </w:tr>
      <w:tr w:rsidR="005D0460" w:rsidRPr="006610C1" w14:paraId="082CCE54" w14:textId="77777777">
        <w:tc>
          <w:tcPr>
            <w:tcW w:w="9570" w:type="dxa"/>
            <w:gridSpan w:val="3"/>
            <w:shd w:val="clear" w:color="auto" w:fill="F2F2F2" w:themeFill="background1" w:themeFillShade="F2"/>
          </w:tcPr>
          <w:p w14:paraId="79E603CD" w14:textId="1B558DB4" w:rsidR="005D0460" w:rsidRPr="00D73651" w:rsidRDefault="005D0460" w:rsidP="006610C1">
            <w:pPr>
              <w:pStyle w:val="TableText0"/>
              <w:rPr>
                <w:b/>
                <w:bCs/>
              </w:rPr>
            </w:pPr>
            <w:r>
              <w:rPr>
                <w:b/>
                <w:bCs/>
              </w:rPr>
              <w:t>Observational phas</w:t>
            </w:r>
            <w:r w:rsidR="00AE5435">
              <w:rPr>
                <w:b/>
                <w:bCs/>
              </w:rPr>
              <w:t>e</w:t>
            </w:r>
            <w:r w:rsidR="00FD0A47">
              <w:rPr>
                <w:b/>
                <w:bCs/>
              </w:rPr>
              <w:t xml:space="preserve"> ABR summary</w:t>
            </w:r>
          </w:p>
        </w:tc>
      </w:tr>
      <w:tr w:rsidR="005D0460" w:rsidRPr="006610C1" w14:paraId="1163A5B3" w14:textId="77777777" w:rsidTr="00481D74">
        <w:tc>
          <w:tcPr>
            <w:tcW w:w="2122" w:type="dxa"/>
          </w:tcPr>
          <w:p w14:paraId="678B05B2" w14:textId="676128E5" w:rsidR="005D0460" w:rsidRPr="006610C1" w:rsidRDefault="005D0460" w:rsidP="005D0460">
            <w:pPr>
              <w:pStyle w:val="TableText0"/>
              <w:rPr>
                <w:b/>
                <w:bCs/>
              </w:rPr>
            </w:pPr>
            <w:r w:rsidRPr="006610C1">
              <w:rPr>
                <w:b/>
                <w:bCs/>
              </w:rPr>
              <w:t>HMA</w:t>
            </w:r>
          </w:p>
        </w:tc>
        <w:tc>
          <w:tcPr>
            <w:tcW w:w="3685" w:type="dxa"/>
            <w:vAlign w:val="center"/>
          </w:tcPr>
          <w:p w14:paraId="5B66600B" w14:textId="4DEC42F9" w:rsidR="005D0460" w:rsidRPr="00675F9B" w:rsidRDefault="005D0460" w:rsidP="005D0460">
            <w:pPr>
              <w:pStyle w:val="TableText0"/>
              <w:rPr>
                <w:b/>
                <w:bCs/>
              </w:rPr>
            </w:pPr>
            <w:r w:rsidRPr="00675F9B">
              <w:t>40.57</w:t>
            </w:r>
          </w:p>
        </w:tc>
        <w:tc>
          <w:tcPr>
            <w:tcW w:w="3763" w:type="dxa"/>
            <w:vAlign w:val="center"/>
          </w:tcPr>
          <w:p w14:paraId="017F72CC" w14:textId="2677249A" w:rsidR="005D0460" w:rsidRPr="00675F9B" w:rsidRDefault="005D0460" w:rsidP="005D0460">
            <w:pPr>
              <w:pStyle w:val="TableText0"/>
              <w:rPr>
                <w:b/>
                <w:bCs/>
              </w:rPr>
            </w:pPr>
            <w:r w:rsidRPr="00675F9B">
              <w:t>9.16</w:t>
            </w:r>
          </w:p>
        </w:tc>
      </w:tr>
      <w:tr w:rsidR="005D0460" w:rsidRPr="006610C1" w14:paraId="53A1411F" w14:textId="77777777" w:rsidTr="00481D74">
        <w:tc>
          <w:tcPr>
            <w:tcW w:w="2122" w:type="dxa"/>
          </w:tcPr>
          <w:p w14:paraId="6E1BFC8E" w14:textId="156AD8A6" w:rsidR="005D0460" w:rsidRPr="006610C1" w:rsidRDefault="005D0460" w:rsidP="005D0460">
            <w:pPr>
              <w:pStyle w:val="TableText0"/>
              <w:rPr>
                <w:b/>
                <w:bCs/>
              </w:rPr>
            </w:pPr>
            <w:r w:rsidRPr="006610C1">
              <w:rPr>
                <w:b/>
                <w:bCs/>
              </w:rPr>
              <w:t>HMB</w:t>
            </w:r>
          </w:p>
        </w:tc>
        <w:tc>
          <w:tcPr>
            <w:tcW w:w="3685" w:type="dxa"/>
            <w:vAlign w:val="center"/>
          </w:tcPr>
          <w:p w14:paraId="42B4C58D" w14:textId="7BD23B5F" w:rsidR="005D0460" w:rsidRPr="00675F9B" w:rsidRDefault="005D0460" w:rsidP="005D0460">
            <w:pPr>
              <w:pStyle w:val="TableText0"/>
              <w:rPr>
                <w:b/>
                <w:bCs/>
              </w:rPr>
            </w:pPr>
            <w:r w:rsidRPr="00675F9B">
              <w:t>28.67</w:t>
            </w:r>
          </w:p>
        </w:tc>
        <w:tc>
          <w:tcPr>
            <w:tcW w:w="3763" w:type="dxa"/>
            <w:vAlign w:val="center"/>
          </w:tcPr>
          <w:p w14:paraId="2C0B96B4" w14:textId="43C3EB75" w:rsidR="005D0460" w:rsidRPr="00675F9B" w:rsidRDefault="005D0460" w:rsidP="005D0460">
            <w:pPr>
              <w:pStyle w:val="TableText0"/>
              <w:rPr>
                <w:b/>
                <w:bCs/>
              </w:rPr>
            </w:pPr>
            <w:r w:rsidRPr="00675F9B">
              <w:t>3.26</w:t>
            </w:r>
          </w:p>
        </w:tc>
      </w:tr>
      <w:tr w:rsidR="005D0460" w14:paraId="6C36C687" w14:textId="77777777" w:rsidTr="006610C1">
        <w:tc>
          <w:tcPr>
            <w:tcW w:w="9570" w:type="dxa"/>
            <w:gridSpan w:val="3"/>
            <w:shd w:val="clear" w:color="auto" w:fill="F2F2F2" w:themeFill="background1" w:themeFillShade="F2"/>
          </w:tcPr>
          <w:p w14:paraId="629AEB03" w14:textId="2E2AB337" w:rsidR="005D0460" w:rsidRPr="006610C1" w:rsidRDefault="005D0460" w:rsidP="005D0460">
            <w:pPr>
              <w:pStyle w:val="TableText0"/>
              <w:rPr>
                <w:b/>
                <w:bCs/>
              </w:rPr>
            </w:pPr>
            <w:r w:rsidRPr="006610C1">
              <w:rPr>
                <w:b/>
                <w:bCs/>
              </w:rPr>
              <w:t>Model-based</w:t>
            </w:r>
            <w:r w:rsidRPr="00417953">
              <w:rPr>
                <w:b/>
                <w:bCs/>
                <w:vertAlign w:val="superscript"/>
              </w:rPr>
              <w:t>a</w:t>
            </w:r>
            <w:r w:rsidRPr="006610C1">
              <w:rPr>
                <w:b/>
                <w:bCs/>
              </w:rPr>
              <w:t xml:space="preserve"> ABR summary, treated bleeds </w:t>
            </w:r>
            <w:r>
              <w:rPr>
                <w:b/>
                <w:bCs/>
              </w:rPr>
              <w:t>[Estimate (95%CI)]</w:t>
            </w:r>
          </w:p>
        </w:tc>
      </w:tr>
      <w:tr w:rsidR="005D0460" w14:paraId="2AB3A7AB" w14:textId="77777777" w:rsidTr="00A120D5">
        <w:tc>
          <w:tcPr>
            <w:tcW w:w="2122" w:type="dxa"/>
          </w:tcPr>
          <w:p w14:paraId="6B3A68D5" w14:textId="3EBF3655" w:rsidR="005D0460" w:rsidRPr="006610C1" w:rsidRDefault="005D0460" w:rsidP="005D0460">
            <w:pPr>
              <w:pStyle w:val="TableText0"/>
              <w:rPr>
                <w:b/>
                <w:bCs/>
              </w:rPr>
            </w:pPr>
            <w:r w:rsidRPr="006610C1">
              <w:rPr>
                <w:b/>
                <w:bCs/>
              </w:rPr>
              <w:t>HMA</w:t>
            </w:r>
          </w:p>
        </w:tc>
        <w:tc>
          <w:tcPr>
            <w:tcW w:w="3685" w:type="dxa"/>
          </w:tcPr>
          <w:p w14:paraId="4228E447" w14:textId="685691B3" w:rsidR="005D0460" w:rsidRDefault="005D0460" w:rsidP="005D0460">
            <w:pPr>
              <w:pStyle w:val="TableText0"/>
            </w:pPr>
            <w:r>
              <w:t>4.25 (2.43, 7.42)</w:t>
            </w:r>
          </w:p>
        </w:tc>
        <w:tc>
          <w:tcPr>
            <w:tcW w:w="3763" w:type="dxa"/>
          </w:tcPr>
          <w:p w14:paraId="35CA3DDA" w14:textId="1FFDBB1F" w:rsidR="005D0460" w:rsidRDefault="005D0460" w:rsidP="005D0460">
            <w:pPr>
              <w:pStyle w:val="TableText0"/>
            </w:pPr>
            <w:r>
              <w:t>2.94 (2.01, 4.31)</w:t>
            </w:r>
          </w:p>
        </w:tc>
      </w:tr>
      <w:tr w:rsidR="005D0460" w14:paraId="62AF5828" w14:textId="77777777" w:rsidTr="00A120D5">
        <w:tc>
          <w:tcPr>
            <w:tcW w:w="2122" w:type="dxa"/>
          </w:tcPr>
          <w:p w14:paraId="64CD47D5" w14:textId="2CAA04BB" w:rsidR="005D0460" w:rsidRPr="006610C1" w:rsidRDefault="005D0460" w:rsidP="005D0460">
            <w:pPr>
              <w:pStyle w:val="TableText0"/>
              <w:rPr>
                <w:b/>
                <w:bCs/>
              </w:rPr>
            </w:pPr>
            <w:r w:rsidRPr="006610C1">
              <w:rPr>
                <w:b/>
                <w:bCs/>
              </w:rPr>
              <w:t>HMB</w:t>
            </w:r>
          </w:p>
        </w:tc>
        <w:tc>
          <w:tcPr>
            <w:tcW w:w="3685" w:type="dxa"/>
          </w:tcPr>
          <w:p w14:paraId="50BB088A" w14:textId="154524FC" w:rsidR="005D0460" w:rsidRDefault="005D0460" w:rsidP="005D0460">
            <w:pPr>
              <w:pStyle w:val="TableText0"/>
            </w:pPr>
            <w:r>
              <w:t>1.77 (0.45, 6.93)</w:t>
            </w:r>
          </w:p>
        </w:tc>
        <w:tc>
          <w:tcPr>
            <w:tcW w:w="3763" w:type="dxa"/>
          </w:tcPr>
          <w:p w14:paraId="324380C2" w14:textId="7BE546FE" w:rsidR="005D0460" w:rsidRDefault="005D0460" w:rsidP="005D0460">
            <w:pPr>
              <w:pStyle w:val="TableText0"/>
            </w:pPr>
            <w:r>
              <w:t>2.24 (0.88, 5.74)</w:t>
            </w:r>
          </w:p>
        </w:tc>
      </w:tr>
      <w:tr w:rsidR="005D0460" w14:paraId="29E86A50" w14:textId="77777777" w:rsidTr="006610C1">
        <w:tc>
          <w:tcPr>
            <w:tcW w:w="9570" w:type="dxa"/>
            <w:gridSpan w:val="3"/>
            <w:shd w:val="clear" w:color="auto" w:fill="F2F2F2" w:themeFill="background1" w:themeFillShade="F2"/>
          </w:tcPr>
          <w:p w14:paraId="19BE0592" w14:textId="63C268EB" w:rsidR="005D0460" w:rsidRPr="006610C1" w:rsidRDefault="005D0460" w:rsidP="005D0460">
            <w:pPr>
              <w:pStyle w:val="TableText0"/>
              <w:rPr>
                <w:b/>
                <w:bCs/>
              </w:rPr>
            </w:pPr>
            <w:r w:rsidRPr="006610C1">
              <w:rPr>
                <w:b/>
                <w:bCs/>
              </w:rPr>
              <w:t>Model-based</w:t>
            </w:r>
            <w:r w:rsidRPr="00417953">
              <w:rPr>
                <w:b/>
                <w:bCs/>
                <w:vertAlign w:val="superscript"/>
              </w:rPr>
              <w:t>a</w:t>
            </w:r>
            <w:r w:rsidRPr="006610C1">
              <w:rPr>
                <w:b/>
                <w:bCs/>
              </w:rPr>
              <w:t xml:space="preserve"> ABR summary, total bleeds </w:t>
            </w:r>
            <w:r>
              <w:rPr>
                <w:b/>
                <w:bCs/>
              </w:rPr>
              <w:t>[Estimate (95%CI)]</w:t>
            </w:r>
          </w:p>
        </w:tc>
      </w:tr>
      <w:tr w:rsidR="005D0460" w14:paraId="71579A38" w14:textId="77777777" w:rsidTr="00A120D5">
        <w:tc>
          <w:tcPr>
            <w:tcW w:w="2122" w:type="dxa"/>
          </w:tcPr>
          <w:p w14:paraId="4CBF7DB3" w14:textId="45C5D609" w:rsidR="005D0460" w:rsidRPr="006610C1" w:rsidRDefault="005D0460" w:rsidP="005D0460">
            <w:pPr>
              <w:pStyle w:val="TableText0"/>
              <w:rPr>
                <w:b/>
                <w:bCs/>
              </w:rPr>
            </w:pPr>
            <w:r w:rsidRPr="006610C1">
              <w:rPr>
                <w:b/>
                <w:bCs/>
              </w:rPr>
              <w:t>HMA</w:t>
            </w:r>
          </w:p>
        </w:tc>
        <w:tc>
          <w:tcPr>
            <w:tcW w:w="3685" w:type="dxa"/>
          </w:tcPr>
          <w:p w14:paraId="65E66427" w14:textId="71B1FA41" w:rsidR="005D0460" w:rsidRDefault="005D0460" w:rsidP="005D0460">
            <w:pPr>
              <w:pStyle w:val="TableText0"/>
            </w:pPr>
            <w:r>
              <w:t>5.08 (3.17, 8.14)</w:t>
            </w:r>
          </w:p>
        </w:tc>
        <w:tc>
          <w:tcPr>
            <w:tcW w:w="3763" w:type="dxa"/>
          </w:tcPr>
          <w:p w14:paraId="529D2314" w14:textId="16B4B7CF" w:rsidR="005D0460" w:rsidRDefault="005D0460" w:rsidP="005D0460">
            <w:pPr>
              <w:pStyle w:val="TableText0"/>
            </w:pPr>
            <w:r>
              <w:t>3.40 (2.33, 4.96)</w:t>
            </w:r>
          </w:p>
        </w:tc>
      </w:tr>
      <w:tr w:rsidR="005D0460" w14:paraId="17D3CA93" w14:textId="77777777" w:rsidTr="00A120D5">
        <w:tc>
          <w:tcPr>
            <w:tcW w:w="2122" w:type="dxa"/>
          </w:tcPr>
          <w:p w14:paraId="06DED760" w14:textId="51B0E38C" w:rsidR="005D0460" w:rsidRPr="006610C1" w:rsidRDefault="005D0460" w:rsidP="005D0460">
            <w:pPr>
              <w:pStyle w:val="TableText0"/>
              <w:rPr>
                <w:b/>
                <w:bCs/>
              </w:rPr>
            </w:pPr>
            <w:r w:rsidRPr="006610C1">
              <w:rPr>
                <w:b/>
                <w:bCs/>
              </w:rPr>
              <w:t>HMB</w:t>
            </w:r>
          </w:p>
        </w:tc>
        <w:tc>
          <w:tcPr>
            <w:tcW w:w="3685" w:type="dxa"/>
          </w:tcPr>
          <w:p w14:paraId="3CFA4F5F" w14:textId="73973708" w:rsidR="005D0460" w:rsidRDefault="005D0460" w:rsidP="005D0460">
            <w:pPr>
              <w:pStyle w:val="TableText0"/>
            </w:pPr>
            <w:r>
              <w:t>5.16 (2.96, 8.98)</w:t>
            </w:r>
          </w:p>
        </w:tc>
        <w:tc>
          <w:tcPr>
            <w:tcW w:w="3763" w:type="dxa"/>
          </w:tcPr>
          <w:p w14:paraId="69C3CE72" w14:textId="6BD7F666" w:rsidR="005D0460" w:rsidRDefault="005D0460" w:rsidP="005D0460">
            <w:pPr>
              <w:pStyle w:val="TableText0"/>
            </w:pPr>
            <w:r>
              <w:t>2.39 (1.01, 5.69)</w:t>
            </w:r>
          </w:p>
        </w:tc>
      </w:tr>
    </w:tbl>
    <w:p w14:paraId="087EF523" w14:textId="56D05BD8" w:rsidR="003534B2" w:rsidRDefault="003534B2" w:rsidP="006610C1">
      <w:pPr>
        <w:pStyle w:val="Tablenotes"/>
      </w:pPr>
      <w:r>
        <w:t xml:space="preserve">Source : Adapted from </w:t>
      </w:r>
      <w:r w:rsidR="005D0460">
        <w:t xml:space="preserve">Section 5.1.1.1.1 and 5.1.2.1.1 </w:t>
      </w:r>
      <w:r w:rsidR="005D0460" w:rsidRPr="00891447">
        <w:t>Interim Study Report</w:t>
      </w:r>
      <w:r w:rsidR="005D0460">
        <w:t xml:space="preserve"> </w:t>
      </w:r>
      <w:r w:rsidR="005D0460">
        <w:fldChar w:fldCharType="begin"/>
      </w:r>
      <w:r w:rsidR="005D0460">
        <w:instrText xml:space="preserve"> ADDIN EN.CITE &lt;EndNote&gt;&lt;Cite AuthorYear="1"&gt;&lt;Author&gt;Pfizer&lt;/Author&gt;&lt;Year&gt;2023&lt;/Year&gt;&lt;RecNum&gt;2&lt;/RecNum&gt;&lt;DisplayText&gt;Pfizer (2023)&lt;/DisplayText&gt;&lt;record&gt;&lt;rec-number&gt;2&lt;/rec-number&gt;&lt;foreign-keys&gt;&lt;key app="EN" db-id="wrdwrvxxvt5dstesdtovsevj50f2z9xw099s" timestamp="1747872534"&gt;2&lt;/key&gt;&lt;/foreign-keys&gt;&lt;ref-type name="Report"&gt;27&lt;/ref-type&gt;&lt;contributors&gt;&lt;authors&gt;&lt;author&gt;Pfizer&lt;/author&gt;&lt;/authors&gt;&lt;/contributors&gt;&lt;titles&gt;&lt;title&gt;BASIS (B7841005) Interim Study Report Body&lt;/title&gt;&lt;/titles&gt;&lt;dates&gt;&lt;year&gt;2023&lt;/year&gt;&lt;pub-dates&gt;&lt;date&gt;13 September 2023&lt;/date&gt;&lt;/pub-dates&gt;&lt;/dates&gt;&lt;urls&gt;&lt;/urls&gt;&lt;/record&gt;&lt;/Cite&gt;&lt;/EndNote&gt;</w:instrText>
      </w:r>
      <w:r w:rsidR="005D0460">
        <w:fldChar w:fldCharType="separate"/>
      </w:r>
      <w:r w:rsidR="005D0460">
        <w:rPr>
          <w:noProof/>
        </w:rPr>
        <w:t>Pfizer (2023)</w:t>
      </w:r>
      <w:r w:rsidR="005D0460">
        <w:fldChar w:fldCharType="end"/>
      </w:r>
      <w:r w:rsidR="005D0460">
        <w:t xml:space="preserve">, </w:t>
      </w:r>
      <w:r w:rsidR="00F37083">
        <w:fldChar w:fldCharType="begin"/>
      </w:r>
      <w:r w:rsidR="008E5B86">
        <w:instrText xml:space="preserve"> ADDIN EN.CITE &lt;EndNote&gt;&lt;Cite AuthorYear="1"&gt;&lt;Author&gt;Kazani&lt;/Author&gt;&lt;Year&gt;2025&lt;/Year&gt;&lt;RecNum&gt;32&lt;/RecNum&gt;&lt;DisplayText&gt;Kazani et al. (2025)&lt;/DisplayText&gt;&lt;record&gt;&lt;rec-number&gt;32&lt;/rec-number&gt;&lt;foreign-keys&gt;&lt;key app="EN" db-id="wrdwrvxxvt5dstesdtovsevj50f2z9xw099s" timestamp="1747873197"&gt;32&lt;/key&gt;&lt;/foreign-keys&gt;&lt;ref-type name="Journal Article"&gt;17&lt;/ref-type&gt;&lt;contributors&gt;&lt;authors&gt;&lt;author&gt;Kazani, S&lt;/author&gt;&lt;author&gt;Gould, T&lt;/author&gt;&lt;author&gt;Sun, P&lt;/author&gt;&lt;author&gt;McComb, B&lt;/author&gt;&lt;author&gt;Taylor, C Turich&lt;/author&gt;&lt;author&gt;McDonald, R&lt;/author&gt;&lt;author&gt;Teeter, J&lt;/author&gt;&lt;author&gt;Hwang, E&lt;/author&gt;&lt;author&gt;Palladino, A&lt;/author&gt;&lt;/authors&gt;&lt;/contributors&gt;&lt;titles&gt;&lt;title&gt;Sustained Efficacy of Marstacimab in Adults and Adolescents with Severe Hemophilia A or B without Inhibitors&lt;/title&gt;&lt;secondary-title&gt;Hämostaseologie&lt;/secondary-title&gt;&lt;/titles&gt;&lt;periodical&gt;&lt;full-title&gt;Hämostaseologie&lt;/full-title&gt;&lt;/periodical&gt;&lt;pages&gt;T-07-05&lt;/pages&gt;&lt;volume&gt;45&lt;/volume&gt;&lt;number&gt;S 01&lt;/number&gt;&lt;dates&gt;&lt;year&gt;2025&lt;/year&gt;&lt;/dates&gt;&lt;isbn&gt;0720-9355&lt;/isbn&gt;&lt;urls&gt;&lt;/urls&gt;&lt;/record&gt;&lt;/Cite&gt;&lt;/EndNote&gt;</w:instrText>
      </w:r>
      <w:r w:rsidR="00F37083">
        <w:fldChar w:fldCharType="separate"/>
      </w:r>
      <w:r w:rsidR="008E5B86">
        <w:rPr>
          <w:noProof/>
        </w:rPr>
        <w:t>Kazani et al. (2025)</w:t>
      </w:r>
      <w:r w:rsidR="00F37083">
        <w:fldChar w:fldCharType="end"/>
      </w:r>
    </w:p>
    <w:p w14:paraId="227BA5FA" w14:textId="6E971212" w:rsidR="00643B79" w:rsidRDefault="00FA697A" w:rsidP="006610C1">
      <w:pPr>
        <w:pStyle w:val="Tablenotes"/>
      </w:pPr>
      <w:r>
        <w:t xml:space="preserve">ABR = annualised bleeding rate; </w:t>
      </w:r>
      <w:r w:rsidR="00643B79">
        <w:t>HMA = haemophilia A; HMB = haemophilia B</w:t>
      </w:r>
    </w:p>
    <w:p w14:paraId="2BB1B28A" w14:textId="3FAE8CE3" w:rsidR="00C844B4" w:rsidRDefault="00E91D5A" w:rsidP="00417953">
      <w:pPr>
        <w:pStyle w:val="Tablenotes"/>
        <w:numPr>
          <w:ilvl w:val="0"/>
          <w:numId w:val="24"/>
        </w:numPr>
      </w:pPr>
      <w:r>
        <w:t xml:space="preserve">Based on a negative </w:t>
      </w:r>
      <w:r w:rsidRPr="00937FF4">
        <w:t>binomia</w:t>
      </w:r>
      <w:r w:rsidR="00BD556B">
        <w:t>l</w:t>
      </w:r>
      <w:r>
        <w:t xml:space="preserve"> regression model without treatment and a log-link function. The model uses the number of bleeds as a response variable and log time on treatment as an offset variable to account for different duration on treatment.</w:t>
      </w:r>
    </w:p>
    <w:p w14:paraId="5D98D6FA" w14:textId="185A3249" w:rsidR="00325AD5" w:rsidRDefault="00325AD5" w:rsidP="00325AD5">
      <w:pPr>
        <w:pStyle w:val="Tablenotes"/>
      </w:pPr>
      <w:r>
        <w:t xml:space="preserve">Note: </w:t>
      </w:r>
      <w:r w:rsidR="008D634C">
        <w:t xml:space="preserve">study cohorts are defined by what the participant </w:t>
      </w:r>
      <w:r w:rsidR="003E2F22">
        <w:t>historically received.</w:t>
      </w:r>
    </w:p>
    <w:p w14:paraId="632B7008" w14:textId="763751D4" w:rsidR="00C7652A" w:rsidRPr="001328C2" w:rsidRDefault="0007342F" w:rsidP="00C7652A">
      <w:pPr>
        <w:pStyle w:val="Commentary"/>
        <w:rPr>
          <w:i w:val="0"/>
        </w:rPr>
      </w:pPr>
      <w:r w:rsidRPr="001328C2">
        <w:rPr>
          <w:i w:val="0"/>
        </w:rPr>
        <w:t>The assessment group</w:t>
      </w:r>
      <w:r w:rsidR="00C7652A" w:rsidRPr="001328C2">
        <w:rPr>
          <w:i w:val="0"/>
        </w:rPr>
        <w:t xml:space="preserve"> also noted that the </w:t>
      </w:r>
      <w:r w:rsidR="00C73E43">
        <w:rPr>
          <w:i w:val="0"/>
        </w:rPr>
        <w:t>BASIS</w:t>
      </w:r>
      <w:r w:rsidR="00C73E43" w:rsidRPr="001328C2">
        <w:rPr>
          <w:i w:val="0"/>
        </w:rPr>
        <w:t xml:space="preserve"> </w:t>
      </w:r>
      <w:r w:rsidR="00C7652A" w:rsidRPr="001328C2">
        <w:rPr>
          <w:i w:val="0"/>
        </w:rPr>
        <w:t xml:space="preserve">trial </w:t>
      </w:r>
      <w:r w:rsidR="00A620A1" w:rsidRPr="001328C2">
        <w:rPr>
          <w:i w:val="0"/>
        </w:rPr>
        <w:t xml:space="preserve">does not describe the type of </w:t>
      </w:r>
      <w:r w:rsidR="00F21F88" w:rsidRPr="001328C2">
        <w:rPr>
          <w:i w:val="0"/>
        </w:rPr>
        <w:t xml:space="preserve">factor replacement </w:t>
      </w:r>
      <w:r w:rsidR="005F42F9" w:rsidRPr="001328C2">
        <w:rPr>
          <w:i w:val="0"/>
        </w:rPr>
        <w:t xml:space="preserve">(e.g. EHL or SHL) </w:t>
      </w:r>
      <w:r w:rsidR="00141923" w:rsidRPr="001328C2">
        <w:rPr>
          <w:i w:val="0"/>
        </w:rPr>
        <w:t xml:space="preserve">used by participants in the </w:t>
      </w:r>
      <w:r w:rsidR="00000DEC">
        <w:rPr>
          <w:i w:val="0"/>
        </w:rPr>
        <w:t>OP</w:t>
      </w:r>
      <w:r w:rsidR="00141923" w:rsidRPr="001328C2">
        <w:rPr>
          <w:i w:val="0"/>
        </w:rPr>
        <w:t xml:space="preserve"> of the trial. This has implications as </w:t>
      </w:r>
      <w:r w:rsidR="00286A17" w:rsidRPr="001328C2">
        <w:rPr>
          <w:i w:val="0"/>
        </w:rPr>
        <w:t xml:space="preserve">efficacy may differ across these </w:t>
      </w:r>
      <w:r w:rsidR="00E26B93">
        <w:rPr>
          <w:i w:val="0"/>
        </w:rPr>
        <w:t>factor replacement</w:t>
      </w:r>
      <w:r w:rsidR="00286A17" w:rsidRPr="001328C2">
        <w:rPr>
          <w:i w:val="0"/>
        </w:rPr>
        <w:t xml:space="preserve"> t</w:t>
      </w:r>
      <w:r w:rsidR="00FD316E" w:rsidRPr="001328C2">
        <w:rPr>
          <w:i w:val="0"/>
        </w:rPr>
        <w:t>ype</w:t>
      </w:r>
      <w:r w:rsidR="00453363" w:rsidRPr="001328C2">
        <w:rPr>
          <w:i w:val="0"/>
        </w:rPr>
        <w:t>s</w:t>
      </w:r>
      <w:r w:rsidR="002945BC" w:rsidRPr="001328C2">
        <w:rPr>
          <w:i w:val="0"/>
        </w:rPr>
        <w:t>. Secondly, this has implications on</w:t>
      </w:r>
      <w:r w:rsidR="00453363" w:rsidRPr="001328C2">
        <w:rPr>
          <w:i w:val="0"/>
        </w:rPr>
        <w:t xml:space="preserve"> the applicability of evidence to the Australian population in terms of EHL and SHL usage</w:t>
      </w:r>
      <w:r w:rsidR="00485549" w:rsidRPr="001328C2">
        <w:rPr>
          <w:i w:val="0"/>
        </w:rPr>
        <w:t xml:space="preserve">. This is pertinent for the </w:t>
      </w:r>
      <w:r w:rsidR="00857C35" w:rsidRPr="001328C2">
        <w:rPr>
          <w:i w:val="0"/>
        </w:rPr>
        <w:t>HMB population</w:t>
      </w:r>
      <w:r w:rsidR="00761F83" w:rsidRPr="001328C2">
        <w:rPr>
          <w:i w:val="0"/>
        </w:rPr>
        <w:t xml:space="preserve">, the vast majority </w:t>
      </w:r>
      <w:r w:rsidR="00853AEE" w:rsidRPr="001328C2">
        <w:rPr>
          <w:i w:val="0"/>
        </w:rPr>
        <w:t xml:space="preserve">(80%) </w:t>
      </w:r>
      <w:r w:rsidR="00761F83" w:rsidRPr="001328C2">
        <w:rPr>
          <w:i w:val="0"/>
        </w:rPr>
        <w:t>of which</w:t>
      </w:r>
      <w:r w:rsidR="00857C35" w:rsidRPr="001328C2">
        <w:rPr>
          <w:i w:val="0"/>
        </w:rPr>
        <w:t xml:space="preserve"> </w:t>
      </w:r>
      <w:r w:rsidR="00761F83" w:rsidRPr="001328C2">
        <w:rPr>
          <w:i w:val="0"/>
        </w:rPr>
        <w:t xml:space="preserve">use EHL </w:t>
      </w:r>
      <w:r w:rsidR="008948C2" w:rsidRPr="001328C2">
        <w:rPr>
          <w:i w:val="0"/>
        </w:rPr>
        <w:t xml:space="preserve">rather than </w:t>
      </w:r>
      <w:r w:rsidR="00485549" w:rsidRPr="001328C2">
        <w:rPr>
          <w:i w:val="0"/>
        </w:rPr>
        <w:t>SHL</w:t>
      </w:r>
      <w:r w:rsidR="008948C2" w:rsidRPr="001328C2">
        <w:rPr>
          <w:i w:val="0"/>
        </w:rPr>
        <w:t xml:space="preserve"> in Australia</w:t>
      </w:r>
      <w:r w:rsidR="00094E65" w:rsidRPr="001328C2">
        <w:rPr>
          <w:i w:val="0"/>
        </w:rPr>
        <w:t xml:space="preserve"> </w:t>
      </w:r>
      <w:r w:rsidR="002E2578">
        <w:rPr>
          <w:i w:val="0"/>
        </w:rPr>
        <w:fldChar w:fldCharType="begin"/>
      </w:r>
      <w:r w:rsidR="002E2578">
        <w:rPr>
          <w:i w:val="0"/>
        </w:rPr>
        <w:instrText xml:space="preserve"> ADDIN EN.CITE &lt;EndNote&gt;&lt;Cite&gt;&lt;Author&gt;National Blood Authority&lt;/Author&gt;&lt;Year&gt;2023&lt;/Year&gt;&lt;RecNum&gt;46&lt;/RecNum&gt;&lt;DisplayText&gt;(National Blood Authority 2023a)&lt;/DisplayText&gt;&lt;record&gt;&lt;rec-number&gt;46&lt;/rec-number&gt;&lt;foreign-keys&gt;&lt;key app="EN" db-id="wrdwrvxxvt5dstesdtovsevj50f2z9xw099s" timestamp="1748582417"&gt;46&lt;/key&gt;&lt;/foreign-keys&gt;&lt;ref-type name="Generic"&gt;13&lt;/ref-type&gt;&lt;contributors&gt;&lt;authors&gt;&lt;author&gt;National Blood Authority,&lt;/author&gt;&lt;/authors&gt;&lt;/contributors&gt;&lt;titles&gt;&lt;title&gt;Analyses requested by Pfizer from the ABDR&lt;/title&gt;&lt;/titles&gt;&lt;dates&gt;&lt;year&gt;2023&lt;/year&gt;&lt;/dates&gt;&lt;publisher&gt;NBA&lt;/publisher&gt;&lt;urls&gt;&lt;/urls&gt;&lt;/record&gt;&lt;/Cite&gt;&lt;/EndNote&gt;</w:instrText>
      </w:r>
      <w:r w:rsidR="002E2578">
        <w:rPr>
          <w:i w:val="0"/>
        </w:rPr>
        <w:fldChar w:fldCharType="separate"/>
      </w:r>
      <w:r w:rsidR="002E2578">
        <w:rPr>
          <w:i w:val="0"/>
          <w:noProof/>
        </w:rPr>
        <w:t>(National Blood Authority 2023a)</w:t>
      </w:r>
      <w:r w:rsidR="002E2578">
        <w:rPr>
          <w:i w:val="0"/>
        </w:rPr>
        <w:fldChar w:fldCharType="end"/>
      </w:r>
      <w:r w:rsidR="00F5247F" w:rsidRPr="001328C2">
        <w:rPr>
          <w:i w:val="0"/>
        </w:rPr>
        <w:t>.</w:t>
      </w:r>
    </w:p>
    <w:p w14:paraId="077331A0" w14:textId="113F6C30" w:rsidR="008A7DC6" w:rsidRDefault="008A7DC6" w:rsidP="00D0237B">
      <w:r>
        <w:t xml:space="preserve">The majority of </w:t>
      </w:r>
      <w:r w:rsidR="000E05A6">
        <w:t xml:space="preserve">treatment emergent adverse events </w:t>
      </w:r>
      <w:r w:rsidR="0098450E">
        <w:t>in the ATP were</w:t>
      </w:r>
      <w:r w:rsidR="00791E35">
        <w:t xml:space="preserve"> </w:t>
      </w:r>
      <w:r w:rsidR="001C5A91" w:rsidRPr="001C5A91">
        <w:t>injection site pruritis (4 [4.8%] participants), injection site erythema (3 [3.6%] participants), and prothrombin fragment 1.2 increased (3 [3.6%] participants</w:t>
      </w:r>
      <w:r w:rsidR="001C5A91">
        <w:t>).</w:t>
      </w:r>
      <w:r w:rsidR="000F1BBA">
        <w:t xml:space="preserve"> All events were mild-moderate in severity.</w:t>
      </w:r>
    </w:p>
    <w:p w14:paraId="16DC5600" w14:textId="6C334F39" w:rsidR="000377A9" w:rsidRDefault="00810561" w:rsidP="00D0237B">
      <w:r>
        <w:t xml:space="preserve">There were no </w:t>
      </w:r>
      <w:r w:rsidR="00336F14">
        <w:t>deaths</w:t>
      </w:r>
      <w:r w:rsidR="00DD0393">
        <w:t>, and no serious adverse events</w:t>
      </w:r>
      <w:r w:rsidR="001F7392">
        <w:t xml:space="preserve"> (SAEs)</w:t>
      </w:r>
      <w:r w:rsidR="00DD0393">
        <w:t xml:space="preserve"> related to thrombo</w:t>
      </w:r>
      <w:r w:rsidR="00D6793B">
        <w:t>embolism</w:t>
      </w:r>
      <w:r w:rsidR="007C2FC6">
        <w:t xml:space="preserve">. </w:t>
      </w:r>
      <w:r w:rsidR="000377A9">
        <w:t xml:space="preserve">One </w:t>
      </w:r>
      <w:r w:rsidR="001F7392">
        <w:t xml:space="preserve">SAE was related to the treatment: one incident of </w:t>
      </w:r>
      <w:r w:rsidR="009E3A13" w:rsidRPr="009E3A13">
        <w:t xml:space="preserve">Grade 1 peripheral swelling (calf swelling) </w:t>
      </w:r>
      <w:r w:rsidR="009E3A13">
        <w:t>occurred during the ATP</w:t>
      </w:r>
      <w:r w:rsidR="00611246">
        <w:t xml:space="preserve">. </w:t>
      </w:r>
      <w:r w:rsidR="001405D7" w:rsidRPr="001405D7">
        <w:t xml:space="preserve">Five (6.0%) medication errors were reported during the ATP. </w:t>
      </w:r>
    </w:p>
    <w:p w14:paraId="2FDF3615" w14:textId="2BC25D16" w:rsidR="00613A92" w:rsidRDefault="00606D11" w:rsidP="00D0237B">
      <w:r>
        <w:t xml:space="preserve">Anti-drug antibodies </w:t>
      </w:r>
      <w:r w:rsidR="00BE6C96">
        <w:t xml:space="preserve">(ADAs) </w:t>
      </w:r>
      <w:r>
        <w:t xml:space="preserve">developed in </w:t>
      </w:r>
      <w:r w:rsidR="006A2540">
        <w:t xml:space="preserve">19.8% of </w:t>
      </w:r>
      <w:r w:rsidR="00384EED">
        <w:t>evaluable patients (</w:t>
      </w:r>
      <w:r w:rsidR="00A74427">
        <w:t>23/116)</w:t>
      </w:r>
      <w:r w:rsidR="000A7139">
        <w:t xml:space="preserve">. Most </w:t>
      </w:r>
      <w:r w:rsidR="008B38E8">
        <w:t xml:space="preserve">instances of </w:t>
      </w:r>
      <w:r w:rsidR="00BE6C96">
        <w:t xml:space="preserve">ADAs </w:t>
      </w:r>
      <w:r w:rsidR="00794665">
        <w:t>(</w:t>
      </w:r>
      <w:r w:rsidR="00EC2382">
        <w:t>61%</w:t>
      </w:r>
      <w:r w:rsidR="00E13C6A">
        <w:t xml:space="preserve">, </w:t>
      </w:r>
      <w:r w:rsidR="00F82F65">
        <w:t>14/23</w:t>
      </w:r>
      <w:r w:rsidR="00794665">
        <w:t>)</w:t>
      </w:r>
      <w:r w:rsidR="00EC2382">
        <w:t xml:space="preserve"> </w:t>
      </w:r>
      <w:r w:rsidR="00BE6C96">
        <w:t>were judged to be transient (</w:t>
      </w:r>
      <w:r w:rsidR="006C22C1">
        <w:t>defined as positivity for &lt;16 week</w:t>
      </w:r>
      <w:r w:rsidR="00794665">
        <w:t>s)</w:t>
      </w:r>
      <w:r w:rsidR="00EC2382">
        <w:t xml:space="preserve">. By the end of the ATP </w:t>
      </w:r>
      <w:r w:rsidR="00330363">
        <w:t xml:space="preserve">study </w:t>
      </w:r>
      <w:r w:rsidR="00EC2382">
        <w:t>period, 95.</w:t>
      </w:r>
      <w:r w:rsidR="00E13C6A">
        <w:t>7%</w:t>
      </w:r>
      <w:r w:rsidR="00F358C2">
        <w:t xml:space="preserve"> (</w:t>
      </w:r>
      <w:r w:rsidR="006061F9">
        <w:t>22/23</w:t>
      </w:r>
      <w:r w:rsidR="00F358C2">
        <w:t>)</w:t>
      </w:r>
      <w:r w:rsidR="00AC3CA1">
        <w:t xml:space="preserve"> had resolved.</w:t>
      </w:r>
      <w:r w:rsidR="00661BD4">
        <w:t xml:space="preserve"> </w:t>
      </w:r>
      <w:r w:rsidR="008D5C35">
        <w:t xml:space="preserve">Neutralising antibodies (nAb) developed in 5.2% of the study cohort (6/116). All were </w:t>
      </w:r>
      <w:r w:rsidR="00942497">
        <w:t xml:space="preserve">transient and resolved by the end of the </w:t>
      </w:r>
      <w:r w:rsidR="00A42364">
        <w:t xml:space="preserve">ATP </w:t>
      </w:r>
      <w:r w:rsidR="00942497">
        <w:t>study period.</w:t>
      </w:r>
    </w:p>
    <w:p w14:paraId="26447AB6" w14:textId="30645205" w:rsidR="006D2E26" w:rsidRDefault="006D409A" w:rsidP="006D409A">
      <w:pPr>
        <w:pStyle w:val="Commentary"/>
        <w:rPr>
          <w:i w:val="0"/>
        </w:rPr>
      </w:pPr>
      <w:r w:rsidRPr="00F66441">
        <w:rPr>
          <w:i w:val="0"/>
        </w:rPr>
        <w:t xml:space="preserve">The assessment group raised the issue of developing marstacimab ADAs after commencement of marstacimab treatment. Specifically, whether it would be monitored by antibody testing as per factor replacement, and its flow-on effects in condition management. In the pre-PASC meeting, the applicant stated that 23 (19.8%) of participants in the BASIS trial developed ADAs, of which the vast majority (n=22) were transient. It was also stated that management of ADAs would be left up to the treating clinician’s judgement. The Food and Drug Administration (FDA) </w:t>
      </w:r>
      <w:r w:rsidR="005B3D03">
        <w:rPr>
          <w:i w:val="0"/>
        </w:rPr>
        <w:t>p</w:t>
      </w:r>
      <w:r w:rsidR="005B3D03" w:rsidRPr="00F66441">
        <w:rPr>
          <w:i w:val="0"/>
        </w:rPr>
        <w:t xml:space="preserve">rescribing </w:t>
      </w:r>
      <w:r w:rsidR="005B3D03">
        <w:rPr>
          <w:i w:val="0"/>
        </w:rPr>
        <w:t>i</w:t>
      </w:r>
      <w:r w:rsidR="005B3D03" w:rsidRPr="00F66441">
        <w:rPr>
          <w:i w:val="0"/>
        </w:rPr>
        <w:t xml:space="preserve">nformation </w:t>
      </w:r>
      <w:r w:rsidRPr="00F66441">
        <w:rPr>
          <w:i w:val="0"/>
        </w:rPr>
        <w:t xml:space="preserve">for marstacimab does not recommend any clinical course of management, stating "There was no identified clinically significant effect of ADAs, including nAbs, on safety or efficacy of marstacimab-hncq over the treatment duration of 12 months." The applicant </w:t>
      </w:r>
      <w:r w:rsidR="002232F3">
        <w:rPr>
          <w:i w:val="0"/>
        </w:rPr>
        <w:t>stated</w:t>
      </w:r>
      <w:r w:rsidR="002232F3" w:rsidRPr="00F66441">
        <w:rPr>
          <w:i w:val="0"/>
        </w:rPr>
        <w:t xml:space="preserve"> </w:t>
      </w:r>
      <w:r w:rsidRPr="00F66441">
        <w:rPr>
          <w:i w:val="0"/>
        </w:rPr>
        <w:t xml:space="preserve">that similar wording </w:t>
      </w:r>
      <w:r w:rsidR="0026671A">
        <w:rPr>
          <w:i w:val="0"/>
        </w:rPr>
        <w:t>has been</w:t>
      </w:r>
      <w:r w:rsidRPr="00F66441">
        <w:rPr>
          <w:i w:val="0"/>
        </w:rPr>
        <w:t xml:space="preserve"> </w:t>
      </w:r>
      <w:r w:rsidRPr="004727D3">
        <w:rPr>
          <w:i w:val="0"/>
        </w:rPr>
        <w:t xml:space="preserve">included in the </w:t>
      </w:r>
      <w:r w:rsidR="0026671A">
        <w:rPr>
          <w:i w:val="0"/>
        </w:rPr>
        <w:t>proposed</w:t>
      </w:r>
      <w:r w:rsidRPr="004727D3">
        <w:rPr>
          <w:i w:val="0"/>
        </w:rPr>
        <w:t xml:space="preserve"> TGA </w:t>
      </w:r>
      <w:r w:rsidRPr="004727D3" w:rsidDel="00B93C70">
        <w:rPr>
          <w:i w:val="0"/>
        </w:rPr>
        <w:t>product information</w:t>
      </w:r>
      <w:r w:rsidR="0026671A">
        <w:rPr>
          <w:i w:val="0"/>
        </w:rPr>
        <w:t xml:space="preserve"> for marstacimab</w:t>
      </w:r>
      <w:r w:rsidR="00C96C87">
        <w:rPr>
          <w:i w:val="0"/>
        </w:rPr>
        <w:t>.</w:t>
      </w:r>
      <w:r w:rsidR="0000214B">
        <w:rPr>
          <w:i w:val="0"/>
        </w:rPr>
        <w:t xml:space="preserve"> </w:t>
      </w:r>
      <w:r w:rsidRPr="004727D3">
        <w:rPr>
          <w:i w:val="0"/>
        </w:rPr>
        <w:t>The applicant has confirmed that data on ADA development will be provided in the assessment report.</w:t>
      </w:r>
      <w:r w:rsidR="004357D3">
        <w:rPr>
          <w:i w:val="0"/>
        </w:rPr>
        <w:t xml:space="preserve"> </w:t>
      </w:r>
    </w:p>
    <w:p w14:paraId="58FA324A" w14:textId="4B308A68" w:rsidR="006D409A" w:rsidRDefault="00403D92" w:rsidP="006D409A">
      <w:pPr>
        <w:pStyle w:val="Commentary"/>
        <w:rPr>
          <w:i w:val="0"/>
        </w:rPr>
      </w:pPr>
      <w:r>
        <w:rPr>
          <w:i w:val="0"/>
        </w:rPr>
        <w:lastRenderedPageBreak/>
        <w:t>The a</w:t>
      </w:r>
      <w:r w:rsidR="007114D3">
        <w:rPr>
          <w:i w:val="0"/>
        </w:rPr>
        <w:t>ssessment group</w:t>
      </w:r>
      <w:r w:rsidR="00096E9E">
        <w:rPr>
          <w:i w:val="0"/>
        </w:rPr>
        <w:t xml:space="preserve"> </w:t>
      </w:r>
      <w:r w:rsidR="00C0247F">
        <w:rPr>
          <w:i w:val="0"/>
        </w:rPr>
        <w:t>considered that the</w:t>
      </w:r>
      <w:r w:rsidR="003978D2">
        <w:rPr>
          <w:i w:val="0"/>
        </w:rPr>
        <w:t xml:space="preserve"> </w:t>
      </w:r>
      <w:r w:rsidR="001E3503">
        <w:rPr>
          <w:i w:val="0"/>
        </w:rPr>
        <w:t>evidence from the</w:t>
      </w:r>
      <w:r w:rsidR="00FF3C9F">
        <w:rPr>
          <w:i w:val="0"/>
        </w:rPr>
        <w:t xml:space="preserve"> BASIS trial does not preclude</w:t>
      </w:r>
      <w:r w:rsidR="005C1716">
        <w:rPr>
          <w:i w:val="0"/>
        </w:rPr>
        <w:t xml:space="preserve"> </w:t>
      </w:r>
      <w:r w:rsidR="001E3503">
        <w:rPr>
          <w:i w:val="0"/>
        </w:rPr>
        <w:t xml:space="preserve">the possibility of </w:t>
      </w:r>
      <w:r w:rsidR="002F10DD">
        <w:rPr>
          <w:i w:val="0"/>
        </w:rPr>
        <w:t xml:space="preserve">clinically-relevant </w:t>
      </w:r>
      <w:r w:rsidR="001E3503">
        <w:rPr>
          <w:i w:val="0"/>
        </w:rPr>
        <w:t xml:space="preserve">ADAs </w:t>
      </w:r>
      <w:r w:rsidR="002F10DD">
        <w:rPr>
          <w:i w:val="0"/>
        </w:rPr>
        <w:t>to marstacimab</w:t>
      </w:r>
      <w:r w:rsidR="00093D76">
        <w:rPr>
          <w:i w:val="0"/>
        </w:rPr>
        <w:t xml:space="preserve"> as</w:t>
      </w:r>
      <w:r w:rsidR="002F10DD">
        <w:rPr>
          <w:i w:val="0"/>
        </w:rPr>
        <w:t xml:space="preserve"> </w:t>
      </w:r>
      <w:r w:rsidR="008F1536">
        <w:rPr>
          <w:i w:val="0"/>
        </w:rPr>
        <w:t>ADAs to other m</w:t>
      </w:r>
      <w:r w:rsidR="00A86D94">
        <w:rPr>
          <w:i w:val="0"/>
        </w:rPr>
        <w:t>onoclo</w:t>
      </w:r>
      <w:r w:rsidR="00A2466A">
        <w:rPr>
          <w:i w:val="0"/>
        </w:rPr>
        <w:t>nal</w:t>
      </w:r>
      <w:r w:rsidR="00093D76">
        <w:rPr>
          <w:i w:val="0"/>
        </w:rPr>
        <w:t xml:space="preserve"> </w:t>
      </w:r>
      <w:r w:rsidR="00664420">
        <w:rPr>
          <w:i w:val="0"/>
        </w:rPr>
        <w:t>antibody-based</w:t>
      </w:r>
      <w:r w:rsidR="00093D76">
        <w:rPr>
          <w:i w:val="0"/>
        </w:rPr>
        <w:t xml:space="preserve"> haemophilia treatments (e.g. </w:t>
      </w:r>
      <w:r w:rsidR="00F738E3">
        <w:rPr>
          <w:i w:val="0"/>
        </w:rPr>
        <w:t xml:space="preserve">emicizumab) </w:t>
      </w:r>
      <w:r w:rsidR="00093D76">
        <w:rPr>
          <w:i w:val="0"/>
        </w:rPr>
        <w:t>have been observed</w:t>
      </w:r>
      <w:r w:rsidR="00D116A1">
        <w:rPr>
          <w:i w:val="0"/>
        </w:rPr>
        <w:t xml:space="preserve"> in the real world </w:t>
      </w:r>
      <w:r w:rsidR="002E2578">
        <w:rPr>
          <w:i w:val="0"/>
        </w:rPr>
        <w:fldChar w:fldCharType="begin"/>
      </w:r>
      <w:r w:rsidR="002E2578">
        <w:rPr>
          <w:i w:val="0"/>
        </w:rPr>
        <w:instrText xml:space="preserve"> ADDIN EN.CITE &lt;EndNote&gt;&lt;Cite&gt;&lt;Author&gt;Kizilocak&lt;/Author&gt;&lt;Year&gt;2023&lt;/Year&gt;&lt;RecNum&gt;53&lt;/RecNum&gt;&lt;DisplayText&gt;(Kizilocak, Guerrera &amp;amp; Young 2023)&lt;/DisplayText&gt;&lt;record&gt;&lt;rec-number&gt;53&lt;/rec-number&gt;&lt;foreign-keys&gt;&lt;key app="EN" db-id="wrdwrvxxvt5dstesdtovsevj50f2z9xw099s" timestamp="1752718185"&gt;53&lt;/key&gt;&lt;/foreign-keys&gt;&lt;ref-type name="Journal Article"&gt;17&lt;/ref-type&gt;&lt;contributors&gt;&lt;authors&gt;&lt;author&gt;Kizilocak, H.&lt;/author&gt;&lt;author&gt;Guerrera, M. F.&lt;/author&gt;&lt;author&gt;Young, G.&lt;/author&gt;&lt;/authors&gt;&lt;/contributors&gt;&lt;auth-address&gt;Children&amp;apos;s Hospital Los Angeles, Hemostasis and Thrombosis Center, Los Angeles, CA, USA.&amp;#xD;Children&amp;apos;s National Hospital, Washington, DC, USA.&amp;#xD;University of Southern California, Keck School of Medicine, Los Angeles, CA, USA.&lt;/auth-address&gt;&lt;titles&gt;&lt;title&gt;Neutralizing antidrug antibody to emicizumab in patients with severe hemophilia A: Case report of a first noninhibitor patient and review of the literature&lt;/title&gt;&lt;secondary-title&gt;Res Pract Thromb Haemost&lt;/secondary-title&gt;&lt;/titles&gt;&lt;periodical&gt;&lt;full-title&gt;Res Pract Thromb Haemost&lt;/full-title&gt;&lt;/periodical&gt;&lt;pages&gt;102194&lt;/pages&gt;&lt;volume&gt;7&lt;/volume&gt;&lt;number&gt;6&lt;/number&gt;&lt;edition&gt;20230830&lt;/edition&gt;&lt;keywords&gt;&lt;keyword&gt;antidrug antibodies&lt;/keyword&gt;&lt;keyword&gt;case report&lt;/keyword&gt;&lt;keyword&gt;emicizumab&lt;/keyword&gt;&lt;keyword&gt;factor VIII&lt;/keyword&gt;&lt;keyword&gt;hemophilia&lt;/keyword&gt;&lt;/keywords&gt;&lt;dates&gt;&lt;year&gt;2023&lt;/year&gt;&lt;pub-dates&gt;&lt;date&gt;Aug&lt;/date&gt;&lt;/pub-dates&gt;&lt;/dates&gt;&lt;isbn&gt;2475-0379&lt;/isbn&gt;&lt;accession-num&gt;37732158&lt;/accession-num&gt;&lt;urls&gt;&lt;/urls&gt;&lt;custom2&gt;PMC10507376&lt;/custom2&gt;&lt;electronic-resource-num&gt;10.1016/j.rpth.2023.102194&lt;/electronic-resource-num&gt;&lt;remote-database-provider&gt;NLM&lt;/remote-database-provider&gt;&lt;language&gt;eng&lt;/language&gt;&lt;/record&gt;&lt;/Cite&gt;&lt;/EndNote&gt;</w:instrText>
      </w:r>
      <w:r w:rsidR="002E2578">
        <w:rPr>
          <w:i w:val="0"/>
        </w:rPr>
        <w:fldChar w:fldCharType="separate"/>
      </w:r>
      <w:r w:rsidR="002E2578">
        <w:rPr>
          <w:i w:val="0"/>
          <w:noProof/>
        </w:rPr>
        <w:t>(Kizilocak, Guerrera &amp; Young 2023)</w:t>
      </w:r>
      <w:r w:rsidR="002E2578">
        <w:rPr>
          <w:i w:val="0"/>
        </w:rPr>
        <w:fldChar w:fldCharType="end"/>
      </w:r>
      <w:r w:rsidR="00D116A1">
        <w:rPr>
          <w:i w:val="0"/>
        </w:rPr>
        <w:t xml:space="preserve">. </w:t>
      </w:r>
      <w:r w:rsidR="00FD2B6E">
        <w:rPr>
          <w:i w:val="0"/>
        </w:rPr>
        <w:t xml:space="preserve">Therefore, </w:t>
      </w:r>
      <w:r w:rsidR="006253D6">
        <w:rPr>
          <w:i w:val="0"/>
        </w:rPr>
        <w:t>i</w:t>
      </w:r>
      <w:r w:rsidR="00152598">
        <w:rPr>
          <w:i w:val="0"/>
        </w:rPr>
        <w:t>nformation regarding</w:t>
      </w:r>
      <w:r w:rsidR="0076436C">
        <w:rPr>
          <w:i w:val="0"/>
        </w:rPr>
        <w:t xml:space="preserve"> </w:t>
      </w:r>
      <w:r w:rsidR="00AF3716">
        <w:rPr>
          <w:i w:val="0"/>
        </w:rPr>
        <w:t xml:space="preserve">the </w:t>
      </w:r>
      <w:r w:rsidR="005A00BB">
        <w:rPr>
          <w:i w:val="0"/>
        </w:rPr>
        <w:t>requirements and provisions for testing ADAs to marstacimab</w:t>
      </w:r>
      <w:r w:rsidR="00EA3525">
        <w:rPr>
          <w:i w:val="0"/>
        </w:rPr>
        <w:t xml:space="preserve"> in Australia</w:t>
      </w:r>
      <w:r w:rsidR="008B63F6">
        <w:rPr>
          <w:i w:val="0"/>
        </w:rPr>
        <w:t xml:space="preserve"> would be </w:t>
      </w:r>
      <w:r w:rsidR="00F12B13">
        <w:rPr>
          <w:i w:val="0"/>
        </w:rPr>
        <w:t>informative</w:t>
      </w:r>
      <w:r w:rsidR="005A00BB">
        <w:rPr>
          <w:i w:val="0"/>
        </w:rPr>
        <w:t xml:space="preserve">. </w:t>
      </w:r>
    </w:p>
    <w:p w14:paraId="54E47058" w14:textId="77777777" w:rsidR="000C0B47" w:rsidRPr="001623C4" w:rsidRDefault="000C0B47" w:rsidP="000C0B47">
      <w:pPr>
        <w:autoSpaceDE w:val="0"/>
        <w:autoSpaceDN w:val="0"/>
        <w:adjustRightInd w:val="0"/>
        <w:spacing w:line="23" w:lineRule="atLeast"/>
        <w:rPr>
          <w:rFonts w:asciiTheme="minorHAnsi" w:hAnsiTheme="minorHAnsi" w:cstheme="minorHAnsi"/>
          <w:i/>
        </w:rPr>
      </w:pPr>
      <w:bookmarkStart w:id="14" w:name="_Hlk207385253"/>
      <w:r w:rsidRPr="001623C4">
        <w:rPr>
          <w:rFonts w:asciiTheme="minorHAnsi" w:hAnsiTheme="minorHAnsi" w:cstheme="minorHAnsi"/>
          <w:i/>
        </w:rPr>
        <w:t>PASC noted from the applicant’s clinical expert that there is no strong justification from the available evidence for the need for regular ADA testing and that this testing, if performed, should be driven by clinical requirements.</w:t>
      </w:r>
    </w:p>
    <w:bookmarkEnd w:id="14"/>
    <w:p w14:paraId="665B0675" w14:textId="06D8C974" w:rsidR="007A66C8" w:rsidRPr="008F1532" w:rsidRDefault="007A66C8" w:rsidP="00713728">
      <w:pPr>
        <w:pStyle w:val="Heading3"/>
      </w:pPr>
      <w:r w:rsidRPr="008F1532">
        <w:t>Comparator</w:t>
      </w:r>
      <w:r w:rsidR="008F1532">
        <w:t>s</w:t>
      </w:r>
    </w:p>
    <w:p w14:paraId="27C03274" w14:textId="7EB5C73A" w:rsidR="00FE12AA" w:rsidRDefault="00FE12AA" w:rsidP="00FE12AA">
      <w:pPr>
        <w:pStyle w:val="Heading4"/>
      </w:pPr>
      <w:r>
        <w:t>Haemophilia A</w:t>
      </w:r>
    </w:p>
    <w:p w14:paraId="7F081513" w14:textId="7D2A15C5" w:rsidR="00320847" w:rsidRPr="00AE22A9" w:rsidRDefault="00320847" w:rsidP="00320847">
      <w:r>
        <w:t xml:space="preserve">The </w:t>
      </w:r>
      <w:r w:rsidR="00D44516">
        <w:t>primary</w:t>
      </w:r>
      <w:r>
        <w:t xml:space="preserve"> comparator </w:t>
      </w:r>
      <w:r w:rsidR="00D44516">
        <w:t xml:space="preserve">for people with HMA </w:t>
      </w:r>
      <w:r>
        <w:t>is emicizumab (He</w:t>
      </w:r>
      <w:r w:rsidR="00664420">
        <w:t>m</w:t>
      </w:r>
      <w:r>
        <w:t>libra)</w:t>
      </w:r>
      <w:r w:rsidR="00D44516">
        <w:t>,</w:t>
      </w:r>
      <w:r>
        <w:t xml:space="preserve"> which is a bispecific, humanised monoclonal antibody. Emicizumab is delivered subcutaneously as a prophylactic treatment for HMA. The treatment </w:t>
      </w:r>
      <w:r w:rsidRPr="00BB16FF">
        <w:t>brings together activated Factor IX and Factor X</w:t>
      </w:r>
      <w:r>
        <w:t xml:space="preserve"> in the clotting cascade, thereby replacing FVIII </w:t>
      </w:r>
      <w:r w:rsidR="00F37083">
        <w:fldChar w:fldCharType="begin"/>
      </w:r>
      <w:r w:rsidR="00F37083">
        <w:instrText xml:space="preserve"> ADDIN EN.CITE &lt;EndNote&gt;&lt;Cite&gt;&lt;Author&gt;Mahlangu&lt;/Author&gt;&lt;Year&gt;2022&lt;/Year&gt;&lt;RecNum&gt;49&lt;/RecNum&gt;&lt;DisplayText&gt;(Mahlangu, Iorio &amp;amp; Kenet 2022)&lt;/DisplayText&gt;&lt;record&gt;&lt;rec-number&gt;49&lt;/rec-number&gt;&lt;foreign-keys&gt;&lt;key app="EN" db-id="wrdwrvxxvt5dstesdtovsevj50f2z9xw099s" timestamp="1748846260"&gt;49&lt;/key&gt;&lt;/foreign-keys&gt;&lt;ref-type name="Journal Article"&gt;17&lt;/ref-type&gt;&lt;contributors&gt;&lt;authors&gt;&lt;author&gt;Mahlangu, Johnny&lt;/author&gt;&lt;author&gt;Iorio, Alfonso&lt;/author&gt;&lt;author&gt;Kenet, Gili&lt;/author&gt;&lt;/authors&gt;&lt;/contributors&gt;&lt;titles&gt;&lt;title&gt;Emicizumab state-of-the-art update&lt;/title&gt;&lt;secondary-title&gt;Haemophilia&lt;/secondary-title&gt;&lt;/titles&gt;&lt;periodical&gt;&lt;full-title&gt;Haemophilia&lt;/full-title&gt;&lt;/periodical&gt;&lt;pages&gt;103-110&lt;/pages&gt;&lt;volume&gt;28&lt;/volume&gt;&lt;number&gt;S4&lt;/number&gt;&lt;keywords&gt;&lt;keyword&gt;emicizumab&lt;/keyword&gt;&lt;keyword&gt;haemophilia A&lt;/keyword&gt;&lt;keyword&gt;rollout&lt;/keyword&gt;&lt;keyword&gt;pharmacokinetic&lt;/keyword&gt;&lt;keyword&gt;paediatric&lt;/keyword&gt;&lt;keyword&gt;real-world evidence&lt;/keyword&gt;&lt;/keywords&gt;&lt;dates&gt;&lt;year&gt;2022&lt;/year&gt;&lt;pub-dates&gt;&lt;date&gt;2022/05/01&lt;/date&gt;&lt;/pub-dates&gt;&lt;/dates&gt;&lt;publisher&gt;John Wiley &amp;amp; Sons, Ltd&lt;/publisher&gt;&lt;isbn&gt;1351-8216&lt;/isbn&gt;&lt;urls&gt;&lt;related-urls&gt;&lt;url&gt;https://doi.org/10.1111/hae.14524&lt;/url&gt;&lt;url&gt;https://onlinelibrary.wiley.com/doi/pdfdirect/10.1111/hae.14524?download=true&lt;/url&gt;&lt;/related-urls&gt;&lt;/urls&gt;&lt;electronic-resource-num&gt;https://doi.org/10.1111/hae.14524&lt;/electronic-resource-num&gt;&lt;access-date&gt;2025/06/01&lt;/access-date&gt;&lt;/record&gt;&lt;/Cite&gt;&lt;/EndNote&gt;</w:instrText>
      </w:r>
      <w:r w:rsidR="00F37083">
        <w:fldChar w:fldCharType="separate"/>
      </w:r>
      <w:r w:rsidR="00F37083" w:rsidRPr="00F95C24">
        <w:t>(Mahlangu, Iorio &amp; Kenet 2022)</w:t>
      </w:r>
      <w:r w:rsidR="00F37083">
        <w:fldChar w:fldCharType="end"/>
      </w:r>
      <w:r>
        <w:t xml:space="preserve">. Emicizumab is available </w:t>
      </w:r>
      <w:r w:rsidR="0C33A6A8">
        <w:t>under the National Blo</w:t>
      </w:r>
      <w:r>
        <w:t>o</w:t>
      </w:r>
      <w:r w:rsidR="0C33A6A8">
        <w:t xml:space="preserve">d Agreement </w:t>
      </w:r>
      <w:r>
        <w:t>for treatment of HMA with or without inhibitors, based on a positive recommendation by the MSAC (Applications 1579 and 1510.1)</w:t>
      </w:r>
      <w:r w:rsidR="00974787">
        <w:t xml:space="preserve"> and was added to the</w:t>
      </w:r>
      <w:r w:rsidR="6D759644">
        <w:t xml:space="preserve"> NPPL</w:t>
      </w:r>
      <w:r w:rsidR="00974787">
        <w:t xml:space="preserve"> in November 2020</w:t>
      </w:r>
      <w:r>
        <w:t xml:space="preserve">. NBA </w:t>
      </w:r>
      <w:r w:rsidR="00290FD5">
        <w:t>data from</w:t>
      </w:r>
      <w:r>
        <w:t xml:space="preserve"> 2021-22 </w:t>
      </w:r>
      <w:r w:rsidR="00290FD5">
        <w:t>rep</w:t>
      </w:r>
      <w:r w:rsidR="00E02A9A">
        <w:t>or</w:t>
      </w:r>
      <w:r w:rsidR="00290FD5">
        <w:t xml:space="preserve">ted that </w:t>
      </w:r>
      <w:r w:rsidR="00B5014C">
        <w:t>298/561 (</w:t>
      </w:r>
      <w:r w:rsidR="00290FD5">
        <w:t>53</w:t>
      </w:r>
      <w:r>
        <w:t>%</w:t>
      </w:r>
      <w:r w:rsidR="00B5014C">
        <w:t>)</w:t>
      </w:r>
      <w:r>
        <w:t xml:space="preserve"> individuals with severe HMA aged ≥12 years were receiving emicizumab </w:t>
      </w:r>
      <w:r w:rsidR="00F37083">
        <w:fldChar w:fldCharType="begin"/>
      </w:r>
      <w:r w:rsidR="00F37083">
        <w:instrText xml:space="preserve"> ADDIN EN.CITE &lt;EndNote&gt;&lt;Cite&gt;&lt;Author&gt;National Blood Authority&lt;/Author&gt;&lt;Year&gt;2023&lt;/Year&gt;&lt;RecNum&gt;23&lt;/RecNum&gt;&lt;DisplayText&gt;(National Blood Authority 2023b)&lt;/DisplayText&gt;&lt;record&gt;&lt;rec-number&gt;23&lt;/rec-number&gt;&lt;foreign-keys&gt;&lt;key app="EN" db-id="wrdwrvxxvt5dstesdtovsevj50f2z9xw099s" timestamp="1747872605"&gt;23&lt;/key&gt;&lt;/foreign-keys&gt;&lt;ref-type name="Report"&gt;27&lt;/ref-type&gt;&lt;contributors&gt;&lt;authors&gt;&lt;author&gt;National Blood Authority,&lt;/author&gt;&lt;/authors&gt;&lt;tertiary-authors&gt;&lt;author&gt;National Blood Authority&lt;/author&gt;&lt;/tertiary-authors&gt;&lt;/contributors&gt;&lt;titles&gt;&lt;title&gt;Australian Blood Disorders Registry Annual Report 2021-22&lt;/title&gt;&lt;/titles&gt;&lt;dates&gt;&lt;year&gt;2023&lt;/year&gt;&lt;pub-dates&gt;&lt;date&gt;22 March 2023&lt;/date&gt;&lt;/pub-dates&gt;&lt;/dates&gt;&lt;urls&gt;&lt;related-urls&gt;&lt;url&gt;http://www.blood.gov.au/data-analysis-reporting&lt;/url&gt;&lt;/related-urls&gt;&lt;/urls&gt;&lt;/record&gt;&lt;/Cite&gt;&lt;/EndNote&gt;</w:instrText>
      </w:r>
      <w:r w:rsidR="00F37083">
        <w:fldChar w:fldCharType="separate"/>
      </w:r>
      <w:r w:rsidR="00F37083" w:rsidRPr="00F95C24">
        <w:t>(National Blood Authority 2023b)</w:t>
      </w:r>
      <w:r w:rsidR="00F37083">
        <w:fldChar w:fldCharType="end"/>
      </w:r>
      <w:r>
        <w:t xml:space="preserve">. </w:t>
      </w:r>
      <w:r w:rsidR="00E02A9A" w:rsidRPr="00AE22A9">
        <w:t>T</w:t>
      </w:r>
      <w:r w:rsidRPr="00AE22A9">
        <w:t xml:space="preserve">his includes </w:t>
      </w:r>
      <w:r w:rsidR="004B4829" w:rsidRPr="00610FDF">
        <w:t xml:space="preserve">those with </w:t>
      </w:r>
      <w:r w:rsidR="00887E7E">
        <w:t>HMA</w:t>
      </w:r>
      <w:r w:rsidR="004B4829" w:rsidRPr="00610FDF">
        <w:t xml:space="preserve"> with inhibitors to FVIII</w:t>
      </w:r>
      <w:r w:rsidR="004B4829">
        <w:t>, who would not be</w:t>
      </w:r>
      <w:r w:rsidR="00E02A9A" w:rsidRPr="00AE22A9">
        <w:t xml:space="preserve"> eligible</w:t>
      </w:r>
      <w:r w:rsidRPr="00AE22A9">
        <w:t xml:space="preserve"> </w:t>
      </w:r>
      <w:r w:rsidR="00E02A9A" w:rsidRPr="00AE22A9">
        <w:t>for marstacimab</w:t>
      </w:r>
      <w:r w:rsidR="00821397" w:rsidRPr="00AE22A9">
        <w:t>.</w:t>
      </w:r>
      <w:r w:rsidR="00911E5E">
        <w:t xml:space="preserve"> </w:t>
      </w:r>
      <w:r w:rsidR="00F16724">
        <w:t>Between 2021-22 and 2022-23</w:t>
      </w:r>
      <w:r w:rsidR="00B368BF">
        <w:t>,</w:t>
      </w:r>
      <w:r w:rsidR="00F16724">
        <w:t xml:space="preserve"> </w:t>
      </w:r>
      <w:r w:rsidR="0029179B">
        <w:t>the demand for emicizumab increased by 13.8%</w:t>
      </w:r>
      <w:r w:rsidR="009F5F45">
        <w:t xml:space="preserve"> </w:t>
      </w:r>
      <w:r w:rsidR="00F37083">
        <w:fldChar w:fldCharType="begin"/>
      </w:r>
      <w:r w:rsidR="00F37083">
        <w:instrText xml:space="preserve"> ADDIN EN.CITE &lt;EndNote&gt;&lt;Cite&gt;&lt;Author&gt;National Blood Authority&lt;/Author&gt;&lt;Year&gt;2023&lt;/Year&gt;&lt;RecNum&gt;25&lt;/RecNum&gt;&lt;DisplayText&gt;(National Blood Authority 2023c)&lt;/DisplayText&gt;&lt;record&gt;&lt;rec-number&gt;25&lt;/rec-number&gt;&lt;foreign-keys&gt;&lt;key app="EN" db-id="wrdwrvxxvt5dstesdtovsevj50f2z9xw099s" timestamp="1747872620"&gt;25&lt;/key&gt;&lt;/foreign-keys&gt;&lt;ref-type name="Report"&gt;27&lt;/ref-type&gt;&lt;contributors&gt;&lt;authors&gt;&lt;author&gt;National Blood Authority,&lt;/author&gt;&lt;/authors&gt;&lt;tertiary-authors&gt;&lt;author&gt;National Blood Authority&lt;/author&gt;&lt;/tertiary-authors&gt;&lt;/contributors&gt;&lt;titles&gt;&lt;title&gt;Australian Blood Disorders Registry Annual Report 2022-23&lt;/title&gt;&lt;/titles&gt;&lt;dates&gt;&lt;year&gt;2023&lt;/year&gt;&lt;pub-dates&gt;&lt;date&gt;15 December 2023&lt;/date&gt;&lt;/pub-dates&gt;&lt;/dates&gt;&lt;urls&gt;&lt;related-urls&gt;&lt;url&gt;https://www.blood.gov.au/australian-bleeding-disorders-registryannual-report&lt;/url&gt;&lt;/related-urls&gt;&lt;/urls&gt;&lt;/record&gt;&lt;/Cite&gt;&lt;/EndNote&gt;</w:instrText>
      </w:r>
      <w:r w:rsidR="00F37083">
        <w:fldChar w:fldCharType="separate"/>
      </w:r>
      <w:r w:rsidR="00F37083" w:rsidRPr="00F95C24">
        <w:t>(National Blood Authority 2023c)</w:t>
      </w:r>
      <w:r w:rsidR="00F37083">
        <w:fldChar w:fldCharType="end"/>
      </w:r>
      <w:r w:rsidR="00FF1908">
        <w:t>.</w:t>
      </w:r>
      <w:r w:rsidR="00885714">
        <w:t xml:space="preserve"> </w:t>
      </w:r>
    </w:p>
    <w:p w14:paraId="0D05DF21" w14:textId="128332A1" w:rsidR="001A7676" w:rsidRDefault="000474D1" w:rsidP="00DE48D7">
      <w:r>
        <w:t>An additional</w:t>
      </w:r>
      <w:r w:rsidR="001A4E59">
        <w:t xml:space="preserve"> comparator is FVIII </w:t>
      </w:r>
      <w:r w:rsidR="006446C7">
        <w:t xml:space="preserve">replacement </w:t>
      </w:r>
      <w:r w:rsidR="001A4E59">
        <w:t>prophylaxis</w:t>
      </w:r>
      <w:r w:rsidR="00F1450D">
        <w:t xml:space="preserve"> </w:t>
      </w:r>
      <w:r w:rsidR="007B067E">
        <w:t>via intravenous infusion</w:t>
      </w:r>
      <w:r w:rsidR="00310825">
        <w:t>.</w:t>
      </w:r>
      <w:r w:rsidR="00682DBE">
        <w:t xml:space="preserve"> </w:t>
      </w:r>
      <w:r w:rsidR="00637008">
        <w:t xml:space="preserve">FVIII </w:t>
      </w:r>
      <w:r w:rsidR="005D20E0">
        <w:t xml:space="preserve">may be sourced </w:t>
      </w:r>
      <w:r w:rsidR="009F4DCD">
        <w:t>from</w:t>
      </w:r>
      <w:r w:rsidR="00B67755">
        <w:t xml:space="preserve"> </w:t>
      </w:r>
      <w:r w:rsidR="009F4DCD">
        <w:t xml:space="preserve">human </w:t>
      </w:r>
      <w:r w:rsidR="00F8408C">
        <w:t>plasma</w:t>
      </w:r>
      <w:r w:rsidR="00B67755">
        <w:t>, or</w:t>
      </w:r>
      <w:r w:rsidR="009F4DCD">
        <w:t xml:space="preserve"> manufactured</w:t>
      </w:r>
      <w:r w:rsidR="00B67755">
        <w:t xml:space="preserve"> as a recombinant</w:t>
      </w:r>
      <w:r w:rsidR="009F4DCD">
        <w:t xml:space="preserve"> product. </w:t>
      </w:r>
      <w:r w:rsidR="0024060F">
        <w:t xml:space="preserve">Recombinant products may be classified as </w:t>
      </w:r>
      <w:r w:rsidR="00AC658E">
        <w:t>standard-half</w:t>
      </w:r>
      <w:r w:rsidR="00C41CDB">
        <w:t>-</w:t>
      </w:r>
      <w:r w:rsidR="00AC658E">
        <w:t xml:space="preserve">life (SHL) or </w:t>
      </w:r>
      <w:r w:rsidR="0024060F">
        <w:t>extended</w:t>
      </w:r>
      <w:r w:rsidR="00F8408C">
        <w:t xml:space="preserve"> </w:t>
      </w:r>
      <w:r w:rsidR="0024060F">
        <w:t>half</w:t>
      </w:r>
      <w:r w:rsidR="009D15A0">
        <w:t>-life</w:t>
      </w:r>
      <w:r w:rsidR="0024060F">
        <w:t xml:space="preserve"> (EHL)</w:t>
      </w:r>
      <w:r w:rsidR="00C40F53">
        <w:t xml:space="preserve">. SHL products are administered </w:t>
      </w:r>
      <w:r w:rsidR="00EA3F8F">
        <w:t>every 2 days</w:t>
      </w:r>
      <w:r w:rsidR="00C40F53">
        <w:t xml:space="preserve"> whilst EHL products</w:t>
      </w:r>
      <w:r w:rsidR="0010774B">
        <w:t xml:space="preserve"> </w:t>
      </w:r>
      <w:r w:rsidR="007B067E">
        <w:t>requir</w:t>
      </w:r>
      <w:r w:rsidR="00C40F53">
        <w:t>e</w:t>
      </w:r>
      <w:r w:rsidR="00D64CD9">
        <w:t xml:space="preserve"> </w:t>
      </w:r>
      <w:r w:rsidR="00D338DD">
        <w:t>less-frequent infusion</w:t>
      </w:r>
      <w:r w:rsidR="004A2C85">
        <w:t xml:space="preserve"> (2-3 times per week)</w:t>
      </w:r>
      <w:r w:rsidR="00D338DD">
        <w:t>.</w:t>
      </w:r>
      <w:r w:rsidR="001A7676">
        <w:t xml:space="preserve"> </w:t>
      </w:r>
    </w:p>
    <w:p w14:paraId="1F91808C" w14:textId="2FD9C154" w:rsidR="006A1FEA" w:rsidRDefault="00ED0205" w:rsidP="00DE48D7">
      <w:r>
        <w:t xml:space="preserve">It was reported that </w:t>
      </w:r>
      <w:r w:rsidR="009543BD">
        <w:t>3</w:t>
      </w:r>
      <w:r w:rsidR="00A47BBC">
        <w:t>56</w:t>
      </w:r>
      <w:r w:rsidR="009543BD">
        <w:t xml:space="preserve">/561 </w:t>
      </w:r>
      <w:r w:rsidR="00A47BBC">
        <w:t>(</w:t>
      </w:r>
      <w:r w:rsidR="00612993">
        <w:t xml:space="preserve">63.5%) </w:t>
      </w:r>
      <w:r w:rsidR="009543BD">
        <w:t>patients aged 12</w:t>
      </w:r>
      <w:r w:rsidR="00211B0D">
        <w:t xml:space="preserve"> years and older</w:t>
      </w:r>
      <w:r w:rsidR="009543BD">
        <w:t xml:space="preserve"> with severe HMA in Australia </w:t>
      </w:r>
      <w:r w:rsidR="0092581D">
        <w:t>were on a prophylactic regimen of FVIII at some point in 2021-2022</w:t>
      </w:r>
      <w:r w:rsidR="008C2966">
        <w:t xml:space="preserve"> </w:t>
      </w:r>
      <w:r w:rsidR="00F37083">
        <w:fldChar w:fldCharType="begin"/>
      </w:r>
      <w:r w:rsidR="00F37083">
        <w:instrText xml:space="preserve"> ADDIN EN.CITE &lt;EndNote&gt;&lt;Cite&gt;&lt;Author&gt;National Blood Authority&lt;/Author&gt;&lt;Year&gt;2023&lt;/Year&gt;&lt;RecNum&gt;46&lt;/RecNum&gt;&lt;DisplayText&gt;(National Blood Authority 2023a)&lt;/DisplayText&gt;&lt;record&gt;&lt;rec-number&gt;46&lt;/rec-number&gt;&lt;foreign-keys&gt;&lt;key app="EN" db-id="wrdwrvxxvt5dstesdtovsevj50f2z9xw099s" timestamp="1748582417"&gt;46&lt;/key&gt;&lt;/foreign-keys&gt;&lt;ref-type name="Generic"&gt;13&lt;/ref-type&gt;&lt;contributors&gt;&lt;authors&gt;&lt;author&gt;National Blood Authority,&lt;/author&gt;&lt;/authors&gt;&lt;/contributors&gt;&lt;titles&gt;&lt;title&gt;Analyses requested by Pfizer from the ABDR&lt;/title&gt;&lt;/titles&gt;&lt;dates&gt;&lt;year&gt;2023&lt;/year&gt;&lt;/dates&gt;&lt;publisher&gt;NBA&lt;/publisher&gt;&lt;urls&gt;&lt;/urls&gt;&lt;/record&gt;&lt;/Cite&gt;&lt;/EndNote&gt;</w:instrText>
      </w:r>
      <w:r w:rsidR="00F37083">
        <w:fldChar w:fldCharType="separate"/>
      </w:r>
      <w:r w:rsidR="00F37083" w:rsidRPr="00F95C24">
        <w:t>(National Blood Authority 2023a)</w:t>
      </w:r>
      <w:r w:rsidR="00F37083">
        <w:fldChar w:fldCharType="end"/>
      </w:r>
      <w:r w:rsidR="0092581D">
        <w:t xml:space="preserve"> although </w:t>
      </w:r>
      <w:r w:rsidR="00390182">
        <w:t xml:space="preserve">it is likely that at least </w:t>
      </w:r>
      <w:r w:rsidR="00612993">
        <w:t>some of these swapped to</w:t>
      </w:r>
      <w:r w:rsidR="008C2966">
        <w:t xml:space="preserve"> prophylaxis with emicizumab (given the sum of those who received emicizumab and prophylactic FVIII summed to more than 100%). </w:t>
      </w:r>
      <w:r w:rsidR="006A1FEA">
        <w:t>NBA usage estimates for 202</w:t>
      </w:r>
      <w:r w:rsidR="000D4AFC">
        <w:t>1</w:t>
      </w:r>
      <w:r w:rsidR="006A1FEA">
        <w:t>-202</w:t>
      </w:r>
      <w:r w:rsidR="006109B6">
        <w:t>2</w:t>
      </w:r>
      <w:r w:rsidR="00F8408C">
        <w:t xml:space="preserve"> report that</w:t>
      </w:r>
      <w:r w:rsidR="006A1FEA">
        <w:t xml:space="preserve">: </w:t>
      </w:r>
      <w:r w:rsidR="00DA146B">
        <w:t xml:space="preserve">59.5% of </w:t>
      </w:r>
      <w:r w:rsidR="003F0C46">
        <w:t xml:space="preserve">individuals with </w:t>
      </w:r>
      <w:r w:rsidR="00DA146B">
        <w:t xml:space="preserve">severe </w:t>
      </w:r>
      <w:r w:rsidR="00486861">
        <w:t>HMA</w:t>
      </w:r>
      <w:r w:rsidR="00DA146B">
        <w:t xml:space="preserve"> use an EHL; </w:t>
      </w:r>
      <w:r w:rsidR="005906D0">
        <w:t>38.5</w:t>
      </w:r>
      <w:r w:rsidR="00DA146B">
        <w:t>% use</w:t>
      </w:r>
      <w:r w:rsidR="006109B6">
        <w:t xml:space="preserve"> an SHL; and 2% were using</w:t>
      </w:r>
      <w:r w:rsidR="00DA146B">
        <w:t xml:space="preserve"> </w:t>
      </w:r>
      <w:r w:rsidR="003A4E38">
        <w:t>a plasma-derived FVIII product</w:t>
      </w:r>
      <w:r w:rsidR="00C904DD">
        <w:t xml:space="preserve"> </w:t>
      </w:r>
      <w:r w:rsidR="00F37083">
        <w:fldChar w:fldCharType="begin"/>
      </w:r>
      <w:r w:rsidR="00F37083">
        <w:instrText xml:space="preserve"> ADDIN EN.CITE &lt;EndNote&gt;&lt;Cite&gt;&lt;Author&gt;National Blood Authority&lt;/Author&gt;&lt;Year&gt;2023&lt;/Year&gt;&lt;RecNum&gt;23&lt;/RecNum&gt;&lt;DisplayText&gt;(National Blood Authority 2023b)&lt;/DisplayText&gt;&lt;record&gt;&lt;rec-number&gt;23&lt;/rec-number&gt;&lt;foreign-keys&gt;&lt;key app="EN" db-id="wrdwrvxxvt5dstesdtovsevj50f2z9xw099s" timestamp="1747872605"&gt;23&lt;/key&gt;&lt;/foreign-keys&gt;&lt;ref-type name="Report"&gt;27&lt;/ref-type&gt;&lt;contributors&gt;&lt;authors&gt;&lt;author&gt;National Blood Authority,&lt;/author&gt;&lt;/authors&gt;&lt;tertiary-authors&gt;&lt;author&gt;National Blood Authority&lt;/author&gt;&lt;/tertiary-authors&gt;&lt;/contributors&gt;&lt;titles&gt;&lt;title&gt;Australian Blood Disorders Registry Annual Report 2021-22&lt;/title&gt;&lt;/titles&gt;&lt;dates&gt;&lt;year&gt;2023&lt;/year&gt;&lt;pub-dates&gt;&lt;date&gt;22 March 2023&lt;/date&gt;&lt;/pub-dates&gt;&lt;/dates&gt;&lt;urls&gt;&lt;related-urls&gt;&lt;url&gt;http://www.blood.gov.au/data-analysis-reporting&lt;/url&gt;&lt;/related-urls&gt;&lt;/urls&gt;&lt;/record&gt;&lt;/Cite&gt;&lt;/EndNote&gt;</w:instrText>
      </w:r>
      <w:r w:rsidR="00F37083">
        <w:fldChar w:fldCharType="separate"/>
      </w:r>
      <w:r w:rsidR="00F37083" w:rsidRPr="00F95C24">
        <w:t>(National Blood Authority 2023b)</w:t>
      </w:r>
      <w:r w:rsidR="00F37083">
        <w:fldChar w:fldCharType="end"/>
      </w:r>
      <w:r w:rsidR="00A15E51">
        <w:t>.</w:t>
      </w:r>
    </w:p>
    <w:p w14:paraId="20EEA623" w14:textId="24C72171" w:rsidR="00E26409" w:rsidRDefault="000B7434" w:rsidP="00DE48D7">
      <w:r>
        <w:t>In 202</w:t>
      </w:r>
      <w:r w:rsidR="00085C56">
        <w:t xml:space="preserve">1-2022, there were </w:t>
      </w:r>
      <w:r w:rsidR="007026CF">
        <w:t xml:space="preserve">49 adults and &lt;5 adolescents (aged 12-17) with severe HMA </w:t>
      </w:r>
      <w:r w:rsidR="00085C56">
        <w:t xml:space="preserve">receiving </w:t>
      </w:r>
      <w:r w:rsidR="00996310">
        <w:t>FVIII product as an on-demand regimen</w:t>
      </w:r>
      <w:r w:rsidR="007026CF">
        <w:t xml:space="preserve"> </w:t>
      </w:r>
      <w:r w:rsidR="00F37083">
        <w:fldChar w:fldCharType="begin"/>
      </w:r>
      <w:r w:rsidR="00F37083">
        <w:instrText xml:space="preserve"> ADDIN EN.CITE &lt;EndNote&gt;&lt;Cite&gt;&lt;Author&gt;National Blood Authority&lt;/Author&gt;&lt;Year&gt;2023&lt;/Year&gt;&lt;RecNum&gt;46&lt;/RecNum&gt;&lt;DisplayText&gt;(National Blood Authority 2023a)&lt;/DisplayText&gt;&lt;record&gt;&lt;rec-number&gt;46&lt;/rec-number&gt;&lt;foreign-keys&gt;&lt;key app="EN" db-id="wrdwrvxxvt5dstesdtovsevj50f2z9xw099s" timestamp="1748582417"&gt;46&lt;/key&gt;&lt;/foreign-keys&gt;&lt;ref-type name="Generic"&gt;13&lt;/ref-type&gt;&lt;contributors&gt;&lt;authors&gt;&lt;author&gt;National Blood Authority,&lt;/author&gt;&lt;/authors&gt;&lt;/contributors&gt;&lt;titles&gt;&lt;title&gt;Analyses requested by Pfizer from the ABDR&lt;/title&gt;&lt;/titles&gt;&lt;dates&gt;&lt;year&gt;2023&lt;/year&gt;&lt;/dates&gt;&lt;publisher&gt;NBA&lt;/publisher&gt;&lt;urls&gt;&lt;/urls&gt;&lt;/record&gt;&lt;/Cite&gt;&lt;/EndNote&gt;</w:instrText>
      </w:r>
      <w:r w:rsidR="00F37083">
        <w:fldChar w:fldCharType="separate"/>
      </w:r>
      <w:r w:rsidR="00F37083" w:rsidRPr="00F95C24">
        <w:t>(National Blood Authority 2023a)</w:t>
      </w:r>
      <w:r w:rsidR="00F37083">
        <w:fldChar w:fldCharType="end"/>
      </w:r>
      <w:r w:rsidR="001D5805">
        <w:t xml:space="preserve">. </w:t>
      </w:r>
    </w:p>
    <w:p w14:paraId="528CCA7E" w14:textId="77AC7E64" w:rsidR="00FE12AA" w:rsidRDefault="00FE12AA" w:rsidP="00FE12AA">
      <w:pPr>
        <w:pStyle w:val="Heading4"/>
      </w:pPr>
      <w:r>
        <w:t>Haemophilia B</w:t>
      </w:r>
    </w:p>
    <w:p w14:paraId="3909F2FF" w14:textId="79314BE5" w:rsidR="007C7625" w:rsidRPr="0036615F" w:rsidRDefault="00F5657D" w:rsidP="007C7625">
      <w:r>
        <w:t>T</w:t>
      </w:r>
      <w:r w:rsidR="006633DC">
        <w:t xml:space="preserve">he </w:t>
      </w:r>
      <w:r w:rsidR="008B19D9">
        <w:t>nominated p</w:t>
      </w:r>
      <w:r w:rsidR="0036615F">
        <w:t xml:space="preserve">rimary comparator </w:t>
      </w:r>
      <w:r w:rsidR="00AE3875">
        <w:t xml:space="preserve">for people with HMB </w:t>
      </w:r>
      <w:r w:rsidR="0036615F">
        <w:t xml:space="preserve">is FIX </w:t>
      </w:r>
      <w:r w:rsidR="00E21C79">
        <w:t xml:space="preserve">replacement </w:t>
      </w:r>
      <w:r w:rsidR="0036615F">
        <w:t>prophylaxis</w:t>
      </w:r>
      <w:r w:rsidR="00D85FFB">
        <w:t xml:space="preserve"> via intravenous infusion</w:t>
      </w:r>
      <w:r w:rsidR="0036615F">
        <w:t>.</w:t>
      </w:r>
      <w:r w:rsidR="00D85FFB">
        <w:t xml:space="preserve"> As with HMA, </w:t>
      </w:r>
      <w:r w:rsidR="008F6C9D">
        <w:t xml:space="preserve">FIX products are </w:t>
      </w:r>
      <w:r w:rsidR="00950F62">
        <w:t xml:space="preserve">available as blood plasma </w:t>
      </w:r>
      <w:r w:rsidR="00094379">
        <w:t xml:space="preserve">products, and </w:t>
      </w:r>
      <w:r w:rsidR="00420472">
        <w:t>recombinant products (</w:t>
      </w:r>
      <w:r w:rsidR="00366FF1">
        <w:t xml:space="preserve">including SHL and EHL). </w:t>
      </w:r>
      <w:r w:rsidR="007C7625">
        <w:t xml:space="preserve">NBA usage estimates for 2021-2022: 80.5% of severe </w:t>
      </w:r>
      <w:r w:rsidR="00486861">
        <w:t>HM</w:t>
      </w:r>
      <w:r w:rsidR="007C7625">
        <w:t>B patients use an EHL (Alprolix) versus 19.5% of patients use a SHL (Benefix) for prophylactic regimens</w:t>
      </w:r>
      <w:r w:rsidR="00797D64">
        <w:t xml:space="preserve"> </w:t>
      </w:r>
      <w:r w:rsidR="00F37083">
        <w:fldChar w:fldCharType="begin"/>
      </w:r>
      <w:r w:rsidR="00F37083">
        <w:instrText xml:space="preserve"> ADDIN EN.CITE &lt;EndNote&gt;&lt;Cite&gt;&lt;Author&gt;National Blood Authority&lt;/Author&gt;&lt;Year&gt;2023&lt;/Year&gt;&lt;RecNum&gt;23&lt;/RecNum&gt;&lt;DisplayText&gt;(National Blood Authority 2023b)&lt;/DisplayText&gt;&lt;record&gt;&lt;rec-number&gt;23&lt;/rec-number&gt;&lt;foreign-keys&gt;&lt;key app="EN" db-id="wrdwrvxxvt5dstesdtovsevj50f2z9xw099s" timestamp="1747872605"&gt;23&lt;/key&gt;&lt;/foreign-keys&gt;&lt;ref-type name="Report"&gt;27&lt;/ref-type&gt;&lt;contributors&gt;&lt;authors&gt;&lt;author&gt;National Blood Authority,&lt;/author&gt;&lt;/authors&gt;&lt;tertiary-authors&gt;&lt;author&gt;National Blood Authority&lt;/author&gt;&lt;/tertiary-authors&gt;&lt;/contributors&gt;&lt;titles&gt;&lt;title&gt;Australian Blood Disorders Registry Annual Report 2021-22&lt;/title&gt;&lt;/titles&gt;&lt;dates&gt;&lt;year&gt;2023&lt;/year&gt;&lt;pub-dates&gt;&lt;date&gt;22 March 2023&lt;/date&gt;&lt;/pub-dates&gt;&lt;/dates&gt;&lt;urls&gt;&lt;related-urls&gt;&lt;url&gt;http://www.blood.gov.au/data-analysis-reporting&lt;/url&gt;&lt;/related-urls&gt;&lt;/urls&gt;&lt;/record&gt;&lt;/Cite&gt;&lt;/EndNote&gt;</w:instrText>
      </w:r>
      <w:r w:rsidR="00F37083">
        <w:fldChar w:fldCharType="separate"/>
      </w:r>
      <w:r w:rsidR="00F37083" w:rsidRPr="00F95C24">
        <w:t>(National Blood Authority 2023b)</w:t>
      </w:r>
      <w:r w:rsidR="00F37083">
        <w:fldChar w:fldCharType="end"/>
      </w:r>
      <w:r w:rsidR="007C7625">
        <w:t>.</w:t>
      </w:r>
      <w:r w:rsidR="00F62741">
        <w:t xml:space="preserve"> </w:t>
      </w:r>
      <w:r w:rsidR="00ED001A">
        <w:t xml:space="preserve">Data from the ABDR estimate that </w:t>
      </w:r>
      <w:r w:rsidR="00FC72CA">
        <w:t>78.9</w:t>
      </w:r>
      <w:r w:rsidR="000059F0">
        <w:t xml:space="preserve">% of </w:t>
      </w:r>
      <w:r w:rsidR="00F30D0B">
        <w:t xml:space="preserve">individuals </w:t>
      </w:r>
      <w:r w:rsidR="00FC72CA">
        <w:t>with severe HMB</w:t>
      </w:r>
      <w:r w:rsidR="000059F0">
        <w:t xml:space="preserve"> </w:t>
      </w:r>
      <w:r w:rsidR="00FC72CA">
        <w:t xml:space="preserve">are on a </w:t>
      </w:r>
      <w:r w:rsidR="00B64718">
        <w:t>prophyla</w:t>
      </w:r>
      <w:r w:rsidR="00797D64">
        <w:t>ctic</w:t>
      </w:r>
      <w:r w:rsidR="00B64718">
        <w:t xml:space="preserve"> </w:t>
      </w:r>
      <w:r w:rsidR="00B64718">
        <w:lastRenderedPageBreak/>
        <w:t>regimen</w:t>
      </w:r>
      <w:r w:rsidR="00610CD2">
        <w:t xml:space="preserve"> </w:t>
      </w:r>
      <w:r w:rsidR="00F37083">
        <w:fldChar w:fldCharType="begin"/>
      </w:r>
      <w:r w:rsidR="00F37083">
        <w:instrText xml:space="preserve"> ADDIN EN.CITE &lt;EndNote&gt;&lt;Cite&gt;&lt;Author&gt;National Blood Authority&lt;/Author&gt;&lt;Year&gt;2023&lt;/Year&gt;&lt;RecNum&gt;46&lt;/RecNum&gt;&lt;DisplayText&gt;(National Blood Authority 2023a)&lt;/DisplayText&gt;&lt;record&gt;&lt;rec-number&gt;46&lt;/rec-number&gt;&lt;foreign-keys&gt;&lt;key app="EN" db-id="wrdwrvxxvt5dstesdtovsevj50f2z9xw099s" timestamp="1748582417"&gt;46&lt;/key&gt;&lt;/foreign-keys&gt;&lt;ref-type name="Generic"&gt;13&lt;/ref-type&gt;&lt;contributors&gt;&lt;authors&gt;&lt;author&gt;National Blood Authority,&lt;/author&gt;&lt;/authors&gt;&lt;/contributors&gt;&lt;titles&gt;&lt;title&gt;Analyses requested by Pfizer from the ABDR&lt;/title&gt;&lt;/titles&gt;&lt;dates&gt;&lt;year&gt;2023&lt;/year&gt;&lt;/dates&gt;&lt;publisher&gt;NBA&lt;/publisher&gt;&lt;urls&gt;&lt;/urls&gt;&lt;/record&gt;&lt;/Cite&gt;&lt;/EndNote&gt;</w:instrText>
      </w:r>
      <w:r w:rsidR="00F37083">
        <w:fldChar w:fldCharType="separate"/>
      </w:r>
      <w:r w:rsidR="00F37083" w:rsidRPr="00F95C24">
        <w:t>(National Blood Authority 2023a)</w:t>
      </w:r>
      <w:r w:rsidR="00F37083">
        <w:fldChar w:fldCharType="end"/>
      </w:r>
      <w:r w:rsidR="00B64718">
        <w:t>.</w:t>
      </w:r>
      <w:r w:rsidR="00600DEB">
        <w:t xml:space="preserve"> </w:t>
      </w:r>
      <w:r w:rsidR="009F6D79">
        <w:t xml:space="preserve">Dosing regimens are </w:t>
      </w:r>
      <w:r w:rsidR="00C266F5">
        <w:t>twice a week for SHL products and up to once per 2-3 weeks for EHL.</w:t>
      </w:r>
    </w:p>
    <w:p w14:paraId="54C83193" w14:textId="29012FB7" w:rsidR="008F212B" w:rsidRDefault="00B578A2" w:rsidP="0036615F">
      <w:r>
        <w:t xml:space="preserve">The </w:t>
      </w:r>
      <w:r w:rsidR="0036615F">
        <w:t>secondary comparator is FIX</w:t>
      </w:r>
      <w:r>
        <w:t xml:space="preserve"> </w:t>
      </w:r>
      <w:r w:rsidR="00F97B88">
        <w:t xml:space="preserve">replacement </w:t>
      </w:r>
      <w:r w:rsidR="0036615F">
        <w:t>on-demand</w:t>
      </w:r>
      <w:r w:rsidR="00F97B88">
        <w:t xml:space="preserve"> via intravenous infusion</w:t>
      </w:r>
      <w:r w:rsidR="0036615F">
        <w:t>.</w:t>
      </w:r>
      <w:r w:rsidR="00F97B88">
        <w:t xml:space="preserve"> The products available for FIX on-demand are identical to those available for prophylaxis, except that the individual receive</w:t>
      </w:r>
      <w:r w:rsidR="00514B55">
        <w:t>s</w:t>
      </w:r>
      <w:r w:rsidR="00F97B88">
        <w:t xml:space="preserve"> </w:t>
      </w:r>
      <w:r w:rsidR="00514B55">
        <w:t>infusion</w:t>
      </w:r>
      <w:r w:rsidR="00F97B88">
        <w:t xml:space="preserve"> only when</w:t>
      </w:r>
      <w:r w:rsidR="00DE7156">
        <w:t xml:space="preserve"> required (i.e. </w:t>
      </w:r>
      <w:r w:rsidR="003F3E7F">
        <w:t xml:space="preserve">for the treatment of </w:t>
      </w:r>
      <w:r w:rsidR="00DE7156">
        <w:t>bleeds).</w:t>
      </w:r>
      <w:r w:rsidR="00F97B88">
        <w:t xml:space="preserve"> </w:t>
      </w:r>
      <w:r w:rsidR="001F638B">
        <w:t xml:space="preserve">Whilst prophylaxis is </w:t>
      </w:r>
      <w:r w:rsidR="00CD38B4">
        <w:t xml:space="preserve">recommended as the </w:t>
      </w:r>
      <w:r w:rsidR="00EA4750">
        <w:t xml:space="preserve">gold standard </w:t>
      </w:r>
      <w:r w:rsidR="00605592">
        <w:t>o</w:t>
      </w:r>
      <w:r w:rsidR="00D82C9F">
        <w:t>f treatment for severe haemo</w:t>
      </w:r>
      <w:r w:rsidR="0045666B">
        <w:t>p</w:t>
      </w:r>
      <w:r w:rsidR="00D82C9F">
        <w:t>h</w:t>
      </w:r>
      <w:r w:rsidR="0045666B">
        <w:t>ilia</w:t>
      </w:r>
      <w:r w:rsidR="006327E8">
        <w:t xml:space="preserve">, reasons </w:t>
      </w:r>
      <w:r w:rsidR="006C00B8">
        <w:t xml:space="preserve">for </w:t>
      </w:r>
      <w:r w:rsidR="00CA332F">
        <w:t xml:space="preserve">on-demand regimens include </w:t>
      </w:r>
      <w:r w:rsidR="00155707">
        <w:t xml:space="preserve">inconvenience and frequency of </w:t>
      </w:r>
      <w:r w:rsidR="0072788B">
        <w:t xml:space="preserve">intravenous </w:t>
      </w:r>
      <w:r w:rsidR="006E73A7">
        <w:t>delivery, and the cost of factor replacement</w:t>
      </w:r>
      <w:r w:rsidR="008C2AE0">
        <w:t xml:space="preserve"> </w:t>
      </w:r>
      <w:r w:rsidR="00F37083">
        <w:fldChar w:fldCharType="begin"/>
      </w:r>
      <w:r w:rsidR="00F37083">
        <w:instrText xml:space="preserve"> ADDIN EN.CITE &lt;EndNote&gt;&lt;Cite&gt;&lt;Author&gt;Makris&lt;/Author&gt;&lt;Year&gt;2012&lt;/Year&gt;&lt;RecNum&gt;50&lt;/RecNum&gt;&lt;DisplayText&gt;(Makris 2012)&lt;/DisplayText&gt;&lt;record&gt;&lt;rec-number&gt;50&lt;/rec-number&gt;&lt;foreign-keys&gt;&lt;key app="EN" db-id="wrdwrvxxvt5dstesdtovsevj50f2z9xw099s" timestamp="1748850807"&gt;50&lt;/key&gt;&lt;/foreign-keys&gt;&lt;ref-type name="Journal Article"&gt;17&lt;/ref-type&gt;&lt;contributors&gt;&lt;authors&gt;&lt;author&gt;Makris, M.&lt;/author&gt;&lt;/authors&gt;&lt;/contributors&gt;&lt;auth-address&gt;Department of Cardiovascular Science, University of Sheffield, Royal Hallamshire Hospital, Sheffield, UK. m.makris@sheffield.ac.uk&lt;/auth-address&gt;&lt;titles&gt;&lt;title&gt;Prophylaxis in haemophilia should be life-long&lt;/title&gt;&lt;secondary-title&gt;Blood Transfus&lt;/secondary-title&gt;&lt;/titles&gt;&lt;periodical&gt;&lt;full-title&gt;Blood Transfus&lt;/full-title&gt;&lt;/periodical&gt;&lt;pages&gt;165-8&lt;/pages&gt;&lt;volume&gt;10&lt;/volume&gt;&lt;number&gt;2&lt;/number&gt;&lt;edition&gt;20120213&lt;/edition&gt;&lt;keywords&gt;&lt;keyword&gt;Adolescent&lt;/keyword&gt;&lt;keyword&gt;Adult&lt;/keyword&gt;&lt;keyword&gt;Child&lt;/keyword&gt;&lt;keyword&gt;Coagulants/*therapeutic use&lt;/keyword&gt;&lt;keyword&gt;Factor IX/*therapeutic use&lt;/keyword&gt;&lt;keyword&gt;Factor VIII/*therapeutic use&lt;/keyword&gt;&lt;keyword&gt;Hemophilia A/*prevention &amp;amp; control&lt;/keyword&gt;&lt;keyword&gt;Humans&lt;/keyword&gt;&lt;keyword&gt;Young Adult&lt;/keyword&gt;&lt;/keywords&gt;&lt;dates&gt;&lt;year&gt;2012&lt;/year&gt;&lt;pub-dates&gt;&lt;date&gt;Apr&lt;/date&gt;&lt;/pub-dates&gt;&lt;/dates&gt;&lt;isbn&gt;1723-2007 (Print)&amp;#xD;1723-2007&lt;/isbn&gt;&lt;accession-num&gt;22337280&lt;/accession-num&gt;&lt;urls&gt;&lt;/urls&gt;&lt;custom2&gt;PMC3320774&lt;/custom2&gt;&lt;electronic-resource-num&gt;10.2450/2012.0147-11&lt;/electronic-resource-num&gt;&lt;remote-database-provider&gt;NLM&lt;/remote-database-provider&gt;&lt;language&gt;eng&lt;/language&gt;&lt;/record&gt;&lt;/Cite&gt;&lt;/EndNote&gt;</w:instrText>
      </w:r>
      <w:r w:rsidR="00F37083">
        <w:fldChar w:fldCharType="separate"/>
      </w:r>
      <w:r w:rsidR="00F37083" w:rsidRPr="00F95C24">
        <w:t>(Makris 2012)</w:t>
      </w:r>
      <w:r w:rsidR="00F37083">
        <w:fldChar w:fldCharType="end"/>
      </w:r>
      <w:r w:rsidR="006E73A7">
        <w:t>.</w:t>
      </w:r>
      <w:r w:rsidR="00610CD2">
        <w:t xml:space="preserve"> Data from the ABDR estimate that </w:t>
      </w:r>
      <w:r w:rsidR="0020694A">
        <w:t>1</w:t>
      </w:r>
      <w:r w:rsidR="00610CD2">
        <w:t>8.9% of individuals with severe HMB are on a</w:t>
      </w:r>
      <w:r w:rsidR="009B328F">
        <w:t>n</w:t>
      </w:r>
      <w:r w:rsidR="00610CD2">
        <w:t xml:space="preserve"> </w:t>
      </w:r>
      <w:r w:rsidR="009B328F">
        <w:t xml:space="preserve">on-demand </w:t>
      </w:r>
      <w:r w:rsidR="00610CD2">
        <w:t xml:space="preserve">regimen </w:t>
      </w:r>
      <w:r w:rsidR="00F37083">
        <w:fldChar w:fldCharType="begin"/>
      </w:r>
      <w:r w:rsidR="00F37083">
        <w:instrText xml:space="preserve"> ADDIN EN.CITE &lt;EndNote&gt;&lt;Cite&gt;&lt;Author&gt;National Blood Authority&lt;/Author&gt;&lt;Year&gt;2023&lt;/Year&gt;&lt;RecNum&gt;46&lt;/RecNum&gt;&lt;DisplayText&gt;(National Blood Authority 2023a)&lt;/DisplayText&gt;&lt;record&gt;&lt;rec-number&gt;46&lt;/rec-number&gt;&lt;foreign-keys&gt;&lt;key app="EN" db-id="wrdwrvxxvt5dstesdtovsevj50f2z9xw099s" timestamp="1748582417"&gt;46&lt;/key&gt;&lt;/foreign-keys&gt;&lt;ref-type name="Generic"&gt;13&lt;/ref-type&gt;&lt;contributors&gt;&lt;authors&gt;&lt;author&gt;National Blood Authority,&lt;/author&gt;&lt;/authors&gt;&lt;/contributors&gt;&lt;titles&gt;&lt;title&gt;Analyses requested by Pfizer from the ABDR&lt;/title&gt;&lt;/titles&gt;&lt;dates&gt;&lt;year&gt;2023&lt;/year&gt;&lt;/dates&gt;&lt;publisher&gt;NBA&lt;/publisher&gt;&lt;urls&gt;&lt;/urls&gt;&lt;/record&gt;&lt;/Cite&gt;&lt;/EndNote&gt;</w:instrText>
      </w:r>
      <w:r w:rsidR="00F37083">
        <w:fldChar w:fldCharType="separate"/>
      </w:r>
      <w:r w:rsidR="00F37083" w:rsidRPr="00F95C24">
        <w:t>(National Blood Authority 2023a)</w:t>
      </w:r>
      <w:r w:rsidR="00F37083">
        <w:fldChar w:fldCharType="end"/>
      </w:r>
      <w:r w:rsidR="00610CD2">
        <w:t xml:space="preserve">. </w:t>
      </w:r>
    </w:p>
    <w:p w14:paraId="6E23C573" w14:textId="7E72E344" w:rsidR="00CA0E14" w:rsidRDefault="00CA0E14" w:rsidP="00CA0E14">
      <w:pPr>
        <w:autoSpaceDE w:val="0"/>
        <w:autoSpaceDN w:val="0"/>
        <w:adjustRightInd w:val="0"/>
        <w:spacing w:line="23" w:lineRule="atLeast"/>
        <w:rPr>
          <w:rFonts w:asciiTheme="minorHAnsi" w:hAnsiTheme="minorHAnsi" w:cstheme="minorHAnsi"/>
          <w:i/>
          <w:color w:val="2E74B5" w:themeColor="accent1" w:themeShade="BF"/>
        </w:rPr>
      </w:pPr>
      <w:bookmarkStart w:id="15" w:name="_Hlk207385374"/>
      <w:r w:rsidRPr="006F14D4">
        <w:rPr>
          <w:rFonts w:asciiTheme="minorHAnsi" w:hAnsiTheme="minorHAnsi" w:cstheme="minorHAnsi"/>
          <w:i/>
        </w:rPr>
        <w:t xml:space="preserve">PASC noted from the published results of the key BASIS trial </w:t>
      </w:r>
      <w:r>
        <w:rPr>
          <w:rFonts w:asciiTheme="minorHAnsi" w:hAnsiTheme="minorHAnsi" w:cstheme="minorHAnsi"/>
          <w:i/>
        </w:rPr>
        <w:fldChar w:fldCharType="begin"/>
      </w:r>
      <w:r>
        <w:rPr>
          <w:rFonts w:asciiTheme="minorHAnsi" w:hAnsiTheme="minorHAnsi" w:cstheme="minorHAnsi"/>
          <w:i/>
        </w:rPr>
        <w:instrText xml:space="preserve"> ADDIN EN.CITE &lt;EndNote&gt;&lt;Cite&gt;&lt;Author&gt;Matino&lt;/Author&gt;&lt;Year&gt;2025&lt;/Year&gt;&lt;RecNum&gt;54&lt;/RecNum&gt;&lt;DisplayText&gt;(Matino et al. 2025)&lt;/DisplayText&gt;&lt;record&gt;&lt;rec-number&gt;54&lt;/rec-number&gt;&lt;foreign-keys&gt;&lt;key app="EN" db-id="wrdwrvxxvt5dstesdtovsevj50f2z9xw099s" timestamp="1756351177"&gt;54&lt;/key&gt;&lt;/foreign-keys&gt;&lt;ref-type name="Journal Article"&gt;17&lt;/ref-type&gt;&lt;contributors&gt;&lt;authors&gt;&lt;author&gt;Matino, Davide&lt;/author&gt;&lt;author&gt;Palladino, Andrew&lt;/author&gt;&lt;author&gt;Taylor, Carrie Turich&lt;/author&gt;&lt;author&gt;Hwang, Eunhee&lt;/author&gt;&lt;author&gt;Raje, Sangeeta&lt;/author&gt;&lt;author&gt;Nayak, Satyaprakash&lt;/author&gt;&lt;author&gt;McDonald, Regina&lt;/author&gt;&lt;author&gt;Acharya, Suchitra&lt;/author&gt;&lt;author&gt;Mahlangu, Johnny&lt;/author&gt;&lt;author&gt;Jiménez-Yuste, Victor&lt;/author&gt;&lt;author&gt;Choraria, Nirmalkumar G. Dr&lt;/author&gt;&lt;author&gt;Yang, Renchi&lt;/author&gt;&lt;author&gt;Li, Chi-kong&lt;/author&gt;&lt;author&gt;Al-Khabori, Murtadha&lt;/author&gt;&lt;author&gt;Wali, Yasser Ahmed Mohamed Soliman&lt;/author&gt;&lt;author&gt;Morales-Adrian, Javier De Jesus&lt;/author&gt;&lt;author&gt;Park, Young-Shil&lt;/author&gt;&lt;author&gt;Zülfikar, Osman Bülent&lt;/author&gt;&lt;author&gt;Teeter, John&lt;/author&gt;&lt;/authors&gt;&lt;/contributors&gt;&lt;titles&gt;&lt;title&gt;Marstacimab Prophylaxis in Hemophilia A/B Without Inhibitors: Results from the Phase 3 BASIS Trial&lt;/title&gt;&lt;secondary-title&gt;Blood&lt;/secondary-title&gt;&lt;/titles&gt;&lt;periodical&gt;&lt;full-title&gt;Blood&lt;/full-title&gt;&lt;/periodical&gt;&lt;pages&gt;blood.2024027468&lt;/pages&gt;&lt;dates&gt;&lt;year&gt;2025&lt;/year&gt;&lt;/dates&gt;&lt;isbn&gt;0006-4971&lt;/isbn&gt;&lt;urls&gt;&lt;related-urls&gt;&lt;url&gt;https://doi.org/10.1182/blood.2024027468&lt;/url&gt;&lt;/related-urls&gt;&lt;/urls&gt;&lt;electronic-resource-num&gt;10.1182/blood.2024027468&lt;/electronic-resource-num&gt;&lt;access-date&gt;8/28/2025&lt;/access-date&gt;&lt;/record&gt;&lt;/Cite&gt;&lt;/EndNote&gt;</w:instrText>
      </w:r>
      <w:r>
        <w:rPr>
          <w:rFonts w:asciiTheme="minorHAnsi" w:hAnsiTheme="minorHAnsi" w:cstheme="minorHAnsi"/>
          <w:i/>
        </w:rPr>
        <w:fldChar w:fldCharType="separate"/>
      </w:r>
      <w:r>
        <w:rPr>
          <w:rFonts w:asciiTheme="minorHAnsi" w:hAnsiTheme="minorHAnsi" w:cstheme="minorHAnsi"/>
          <w:i/>
          <w:noProof/>
        </w:rPr>
        <w:t>(Matino et al. 2025)</w:t>
      </w:r>
      <w:r>
        <w:rPr>
          <w:rFonts w:asciiTheme="minorHAnsi" w:hAnsiTheme="minorHAnsi" w:cstheme="minorHAnsi"/>
          <w:i/>
        </w:rPr>
        <w:fldChar w:fldCharType="end"/>
      </w:r>
      <w:r w:rsidRPr="006F14D4">
        <w:rPr>
          <w:rFonts w:asciiTheme="minorHAnsi" w:hAnsiTheme="minorHAnsi" w:cstheme="minorHAnsi"/>
          <w:i/>
        </w:rPr>
        <w:t xml:space="preserve"> that while marstacimab led to fewer bleeding events compared to previous factor replacement therapy, the reduction was significantly greater in patients who had previously received on-demand treatment (a 92% reduction) than in those who had been on prior prophylaxis (a 35.5% reduction). PASC noted that in the Australian setting, the majority of patients with severe haemophilia treated with factor replacement are on a prophylactic regimen as opposed to on demand therapy. PASC noted that the prophylactic treatment is the current standard of care for</w:t>
      </w:r>
      <w:r>
        <w:rPr>
          <w:rFonts w:asciiTheme="minorHAnsi" w:hAnsiTheme="minorHAnsi" w:cstheme="minorHAnsi"/>
          <w:i/>
        </w:rPr>
        <w:t xml:space="preserve"> patients with</w:t>
      </w:r>
      <w:r w:rsidRPr="006F14D4">
        <w:rPr>
          <w:rFonts w:asciiTheme="minorHAnsi" w:hAnsiTheme="minorHAnsi" w:cstheme="minorHAnsi"/>
          <w:i/>
        </w:rPr>
        <w:t xml:space="preserve"> severe haemophilia treated with factor replacement therapy. PASC noted from the applicant’s clinical expert that the minority of patients who do not undergo prophylaxis, are those with difficulty self-administering regular infusions intravenously. </w:t>
      </w:r>
      <w:r w:rsidR="00CA0069">
        <w:rPr>
          <w:rFonts w:asciiTheme="minorHAnsi" w:hAnsiTheme="minorHAnsi" w:cstheme="minorHAnsi"/>
          <w:i/>
        </w:rPr>
        <w:t xml:space="preserve">PASC noted that </w:t>
      </w:r>
      <w:r w:rsidR="0093410F">
        <w:rPr>
          <w:rFonts w:asciiTheme="minorHAnsi" w:hAnsiTheme="minorHAnsi" w:cstheme="minorHAnsi"/>
          <w:i/>
        </w:rPr>
        <w:t>some patien</w:t>
      </w:r>
      <w:r w:rsidR="00881993">
        <w:rPr>
          <w:rFonts w:asciiTheme="minorHAnsi" w:hAnsiTheme="minorHAnsi" w:cstheme="minorHAnsi"/>
          <w:i/>
        </w:rPr>
        <w:t>ts may also cho</w:t>
      </w:r>
      <w:r w:rsidR="0015401E">
        <w:rPr>
          <w:rFonts w:asciiTheme="minorHAnsi" w:hAnsiTheme="minorHAnsi" w:cstheme="minorHAnsi"/>
          <w:i/>
        </w:rPr>
        <w:t>o</w:t>
      </w:r>
      <w:r w:rsidR="00881993">
        <w:rPr>
          <w:rFonts w:asciiTheme="minorHAnsi" w:hAnsiTheme="minorHAnsi" w:cstheme="minorHAnsi"/>
          <w:i/>
        </w:rPr>
        <w:t xml:space="preserve">se to opt out of </w:t>
      </w:r>
      <w:r w:rsidR="000A5BB0">
        <w:rPr>
          <w:rFonts w:asciiTheme="minorHAnsi" w:hAnsiTheme="minorHAnsi" w:cstheme="minorHAnsi"/>
          <w:i/>
        </w:rPr>
        <w:t xml:space="preserve">regular </w:t>
      </w:r>
      <w:r w:rsidR="00881993">
        <w:rPr>
          <w:rFonts w:asciiTheme="minorHAnsi" w:hAnsiTheme="minorHAnsi" w:cstheme="minorHAnsi"/>
          <w:i/>
        </w:rPr>
        <w:t>prophyla</w:t>
      </w:r>
      <w:r w:rsidR="0015401E">
        <w:rPr>
          <w:rFonts w:asciiTheme="minorHAnsi" w:hAnsiTheme="minorHAnsi" w:cstheme="minorHAnsi"/>
          <w:i/>
        </w:rPr>
        <w:t>xis</w:t>
      </w:r>
      <w:r w:rsidR="00881993">
        <w:rPr>
          <w:rFonts w:asciiTheme="minorHAnsi" w:hAnsiTheme="minorHAnsi" w:cstheme="minorHAnsi"/>
          <w:i/>
        </w:rPr>
        <w:t xml:space="preserve"> due to treatment fatigue. </w:t>
      </w:r>
      <w:r w:rsidR="00C07C23">
        <w:rPr>
          <w:rFonts w:asciiTheme="minorHAnsi" w:hAnsiTheme="minorHAnsi" w:cstheme="minorHAnsi"/>
          <w:i/>
        </w:rPr>
        <w:t>Given that the majority of patients undergo prophylaxis</w:t>
      </w:r>
      <w:r w:rsidR="00AF621E">
        <w:rPr>
          <w:rFonts w:asciiTheme="minorHAnsi" w:hAnsiTheme="minorHAnsi" w:cstheme="minorHAnsi"/>
          <w:i/>
        </w:rPr>
        <w:t xml:space="preserve"> factor replacement therapy</w:t>
      </w:r>
      <w:r w:rsidR="00C07C23">
        <w:rPr>
          <w:rFonts w:asciiTheme="minorHAnsi" w:hAnsiTheme="minorHAnsi" w:cstheme="minorHAnsi"/>
          <w:i/>
        </w:rPr>
        <w:t xml:space="preserve">, </w:t>
      </w:r>
      <w:r w:rsidRPr="006F14D4">
        <w:rPr>
          <w:rFonts w:asciiTheme="minorHAnsi" w:hAnsiTheme="minorHAnsi" w:cstheme="minorHAnsi"/>
          <w:i/>
        </w:rPr>
        <w:t xml:space="preserve">PASC </w:t>
      </w:r>
      <w:r>
        <w:rPr>
          <w:rFonts w:asciiTheme="minorHAnsi" w:hAnsiTheme="minorHAnsi" w:cstheme="minorHAnsi"/>
          <w:i/>
        </w:rPr>
        <w:t>advised</w:t>
      </w:r>
      <w:r w:rsidRPr="006F14D4">
        <w:rPr>
          <w:rFonts w:asciiTheme="minorHAnsi" w:hAnsiTheme="minorHAnsi" w:cstheme="minorHAnsi"/>
          <w:i/>
        </w:rPr>
        <w:t xml:space="preserve"> that on-demand factor replacement therapy should not be considered a comparator for either HMA </w:t>
      </w:r>
      <w:r w:rsidRPr="00431932">
        <w:rPr>
          <w:rFonts w:asciiTheme="minorHAnsi" w:hAnsiTheme="minorHAnsi" w:cstheme="minorHAnsi"/>
          <w:i/>
        </w:rPr>
        <w:t>or</w:t>
      </w:r>
      <w:r w:rsidRPr="006F14D4">
        <w:rPr>
          <w:rFonts w:asciiTheme="minorHAnsi" w:hAnsiTheme="minorHAnsi" w:cstheme="minorHAnsi"/>
          <w:i/>
        </w:rPr>
        <w:t xml:space="preserve"> HMB populations. </w:t>
      </w:r>
    </w:p>
    <w:p w14:paraId="6D5ACD80" w14:textId="27BB3F76" w:rsidR="00CA0E14" w:rsidRDefault="00CA0E14" w:rsidP="00CA0E14">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 xml:space="preserve">PASC noted that EHL factor replacement products are only marginally superior to SHL products in regard to bleeding rates, but are associated with improved convenience due to reduced dosing frequency (which may improve quality of life). PASC noted that although there are SHL factor replacement products available on the NPPL, the vast majority of patients receiving factor replacement are on EHL products, </w:t>
      </w:r>
      <w:r w:rsidR="00886159">
        <w:rPr>
          <w:rFonts w:asciiTheme="minorHAnsi" w:hAnsiTheme="minorHAnsi" w:cstheme="minorHAnsi"/>
          <w:i/>
          <w:iCs/>
        </w:rPr>
        <w:t>and the clinical expert also advised that SHL is rarely used now. Therefore</w:t>
      </w:r>
      <w:r w:rsidR="00D7239A">
        <w:rPr>
          <w:rFonts w:asciiTheme="minorHAnsi" w:hAnsiTheme="minorHAnsi" w:cstheme="minorHAnsi"/>
          <w:i/>
          <w:iCs/>
        </w:rPr>
        <w:t>,</w:t>
      </w:r>
      <w:r>
        <w:rPr>
          <w:rFonts w:asciiTheme="minorHAnsi" w:hAnsiTheme="minorHAnsi" w:cstheme="minorHAnsi"/>
          <w:i/>
          <w:iCs/>
        </w:rPr>
        <w:t xml:space="preserve"> SHL </w:t>
      </w:r>
      <w:r w:rsidR="00886159">
        <w:rPr>
          <w:rFonts w:asciiTheme="minorHAnsi" w:hAnsiTheme="minorHAnsi" w:cstheme="minorHAnsi"/>
          <w:i/>
          <w:iCs/>
        </w:rPr>
        <w:t xml:space="preserve">was considered to not be </w:t>
      </w:r>
      <w:r>
        <w:rPr>
          <w:rFonts w:asciiTheme="minorHAnsi" w:hAnsiTheme="minorHAnsi" w:cstheme="minorHAnsi"/>
          <w:i/>
          <w:iCs/>
        </w:rPr>
        <w:t xml:space="preserve"> </w:t>
      </w:r>
      <w:r w:rsidR="00886159">
        <w:rPr>
          <w:rFonts w:asciiTheme="minorHAnsi" w:hAnsiTheme="minorHAnsi" w:cstheme="minorHAnsi"/>
          <w:i/>
          <w:iCs/>
        </w:rPr>
        <w:t>a valid</w:t>
      </w:r>
      <w:r>
        <w:rPr>
          <w:rFonts w:asciiTheme="minorHAnsi" w:hAnsiTheme="minorHAnsi" w:cstheme="minorHAnsi"/>
          <w:i/>
          <w:iCs/>
        </w:rPr>
        <w:t xml:space="preserve"> comparator.</w:t>
      </w:r>
    </w:p>
    <w:p w14:paraId="4F8AAA19" w14:textId="426B7279" w:rsidR="00CA0E14" w:rsidRPr="004A4D2F" w:rsidRDefault="00CA0E14" w:rsidP="00CA0E14">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 xml:space="preserve">PASC noted that the results from the BASIS trial were pooled across prior treatment (i.e. SHL or EHL). PASC considered input from the applicant’s clinical expert that the BASIS trial recruited a significant proportion of participants from several </w:t>
      </w:r>
      <w:r w:rsidRPr="0057489E">
        <w:rPr>
          <w:rFonts w:asciiTheme="minorHAnsi" w:hAnsiTheme="minorHAnsi" w:cstheme="minorHAnsi"/>
          <w:i/>
          <w:iCs/>
        </w:rPr>
        <w:t>low-middle income countries</w:t>
      </w:r>
      <w:r>
        <w:rPr>
          <w:rFonts w:asciiTheme="minorHAnsi" w:hAnsiTheme="minorHAnsi" w:cstheme="minorHAnsi"/>
          <w:i/>
          <w:iCs/>
        </w:rPr>
        <w:t xml:space="preserve"> where, due to availability, the proportion of SHL use is greater than in Australia. PASC advised that the assessment report should clearly outline the proportion of patients on prior EHL and SHL treatment in the key trial and assess the applicability of this to the Australian setting</w:t>
      </w:r>
      <w:r w:rsidR="00A36C13">
        <w:rPr>
          <w:rFonts w:asciiTheme="minorHAnsi" w:hAnsiTheme="minorHAnsi" w:cstheme="minorHAnsi"/>
          <w:i/>
          <w:iCs/>
        </w:rPr>
        <w:t xml:space="preserve">. </w:t>
      </w:r>
    </w:p>
    <w:p w14:paraId="4EC7C5A8" w14:textId="77777777" w:rsidR="001353E0" w:rsidRPr="00F91A5F" w:rsidRDefault="001353E0" w:rsidP="001353E0">
      <w:pPr>
        <w:autoSpaceDE w:val="0"/>
        <w:autoSpaceDN w:val="0"/>
        <w:adjustRightInd w:val="0"/>
        <w:spacing w:line="23" w:lineRule="atLeast"/>
        <w:rPr>
          <w:rFonts w:asciiTheme="minorHAnsi" w:hAnsiTheme="minorHAnsi" w:cstheme="minorHAnsi"/>
          <w:i/>
          <w:iCs/>
        </w:rPr>
      </w:pPr>
      <w:r w:rsidRPr="00F91A5F">
        <w:rPr>
          <w:rFonts w:asciiTheme="minorHAnsi" w:hAnsiTheme="minorHAnsi" w:cstheme="minorHAnsi"/>
          <w:i/>
          <w:iCs/>
          <w:color w:val="2E74B5" w:themeColor="accent1" w:themeShade="BF"/>
        </w:rPr>
        <w:t>Haemophilia A</w:t>
      </w:r>
    </w:p>
    <w:p w14:paraId="60F6AC8C" w14:textId="77777777" w:rsidR="001353E0" w:rsidRDefault="001353E0" w:rsidP="001353E0">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 xml:space="preserve">PASC noted from the applicant’s clinical expert that the majority of patients with HMA are treated with </w:t>
      </w:r>
      <w:r w:rsidRPr="006279D7">
        <w:rPr>
          <w:rFonts w:asciiTheme="minorHAnsi" w:hAnsiTheme="minorHAnsi" w:cstheme="minorHAnsi"/>
          <w:i/>
          <w:iCs/>
        </w:rPr>
        <w:t xml:space="preserve">emicizumab </w:t>
      </w:r>
      <w:r>
        <w:rPr>
          <w:rFonts w:asciiTheme="minorHAnsi" w:hAnsiTheme="minorHAnsi" w:cstheme="minorHAnsi"/>
          <w:i/>
          <w:iCs/>
        </w:rPr>
        <w:t xml:space="preserve">(approximately </w:t>
      </w:r>
      <w:r w:rsidRPr="006279D7">
        <w:rPr>
          <w:rFonts w:asciiTheme="minorHAnsi" w:hAnsiTheme="minorHAnsi" w:cstheme="minorHAnsi"/>
          <w:i/>
          <w:iCs/>
        </w:rPr>
        <w:t>80%)</w:t>
      </w:r>
      <w:r>
        <w:rPr>
          <w:rFonts w:asciiTheme="minorHAnsi" w:hAnsiTheme="minorHAnsi" w:cstheme="minorHAnsi"/>
          <w:i/>
          <w:iCs/>
        </w:rPr>
        <w:t xml:space="preserve"> with, the remainder being treated with FVIII replacement using EHL products</w:t>
      </w:r>
      <w:r w:rsidRPr="006279D7">
        <w:rPr>
          <w:rFonts w:asciiTheme="minorHAnsi" w:hAnsiTheme="minorHAnsi" w:cstheme="minorHAnsi"/>
          <w:i/>
          <w:iCs/>
        </w:rPr>
        <w:t>.</w:t>
      </w:r>
      <w:r>
        <w:rPr>
          <w:rFonts w:asciiTheme="minorHAnsi" w:hAnsiTheme="minorHAnsi" w:cstheme="minorHAnsi"/>
          <w:i/>
          <w:iCs/>
        </w:rPr>
        <w:t xml:space="preserve"> PASC noted that the most widely used treatment regimen for FVIII replacement in severe HMA is prophylaxis rather than on-demand, including in the paediatric setting where newborns may be given prophylactic treatment. Therefore, PASC considered emicizumab to be the main comparator in the HMA population and </w:t>
      </w:r>
      <w:r w:rsidRPr="00783AD5">
        <w:rPr>
          <w:rFonts w:asciiTheme="minorHAnsi" w:hAnsiTheme="minorHAnsi" w:cstheme="minorHAnsi"/>
          <w:i/>
          <w:iCs/>
        </w:rPr>
        <w:t>EHL factor VIII products (for prophylaxis</w:t>
      </w:r>
      <w:r>
        <w:rPr>
          <w:rFonts w:asciiTheme="minorHAnsi" w:hAnsiTheme="minorHAnsi" w:cstheme="minorHAnsi"/>
          <w:i/>
          <w:iCs/>
        </w:rPr>
        <w:t>) to be the secondary comparator.</w:t>
      </w:r>
    </w:p>
    <w:p w14:paraId="724673FD" w14:textId="77777777" w:rsidR="001353E0" w:rsidRDefault="001353E0" w:rsidP="001353E0">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 xml:space="preserve">PASC noted that there is no evidence directly comparing marstacimab with emicizumab, so an indirect comparison of the two treatments will be required. </w:t>
      </w:r>
    </w:p>
    <w:p w14:paraId="13DC97CA" w14:textId="77777777" w:rsidR="001353E0" w:rsidRPr="00F91A5F" w:rsidRDefault="001353E0" w:rsidP="001353E0">
      <w:pPr>
        <w:autoSpaceDE w:val="0"/>
        <w:autoSpaceDN w:val="0"/>
        <w:adjustRightInd w:val="0"/>
        <w:spacing w:line="23" w:lineRule="atLeast"/>
        <w:rPr>
          <w:rFonts w:asciiTheme="minorHAnsi" w:hAnsiTheme="minorHAnsi" w:cstheme="minorHAnsi"/>
          <w:bCs/>
          <w:i/>
          <w:color w:val="2E74B5" w:themeColor="accent1" w:themeShade="BF"/>
        </w:rPr>
      </w:pPr>
      <w:r w:rsidRPr="00F91A5F">
        <w:rPr>
          <w:rFonts w:asciiTheme="minorHAnsi" w:hAnsiTheme="minorHAnsi" w:cstheme="minorHAnsi"/>
          <w:bCs/>
          <w:i/>
          <w:color w:val="2E74B5" w:themeColor="accent1" w:themeShade="BF"/>
        </w:rPr>
        <w:t>Haemophilia B</w:t>
      </w:r>
    </w:p>
    <w:p w14:paraId="10B7E2FF" w14:textId="77777777" w:rsidR="001353E0" w:rsidRDefault="001353E0" w:rsidP="001353E0">
      <w:pPr>
        <w:autoSpaceDE w:val="0"/>
        <w:autoSpaceDN w:val="0"/>
        <w:adjustRightInd w:val="0"/>
        <w:spacing w:line="23" w:lineRule="atLeast"/>
        <w:rPr>
          <w:rFonts w:asciiTheme="minorHAnsi" w:hAnsiTheme="minorHAnsi" w:cstheme="minorHAnsi"/>
          <w:i/>
          <w:iCs/>
        </w:rPr>
      </w:pPr>
      <w:r w:rsidRPr="00CB4F07">
        <w:rPr>
          <w:rFonts w:asciiTheme="minorHAnsi" w:hAnsiTheme="minorHAnsi" w:cstheme="minorHAnsi"/>
          <w:i/>
          <w:iCs/>
        </w:rPr>
        <w:lastRenderedPageBreak/>
        <w:t xml:space="preserve">PASC noted that </w:t>
      </w:r>
      <w:r>
        <w:rPr>
          <w:rFonts w:asciiTheme="minorHAnsi" w:hAnsiTheme="minorHAnsi" w:cstheme="minorHAnsi"/>
          <w:i/>
          <w:iCs/>
        </w:rPr>
        <w:t>o</w:t>
      </w:r>
      <w:r w:rsidRPr="00CB4F07">
        <w:rPr>
          <w:rFonts w:asciiTheme="minorHAnsi" w:hAnsiTheme="minorHAnsi" w:cstheme="minorHAnsi"/>
          <w:i/>
          <w:iCs/>
        </w:rPr>
        <w:t>n</w:t>
      </w:r>
      <w:r>
        <w:rPr>
          <w:rFonts w:asciiTheme="minorHAnsi" w:hAnsiTheme="minorHAnsi" w:cstheme="minorHAnsi"/>
          <w:i/>
          <w:iCs/>
        </w:rPr>
        <w:t xml:space="preserve"> demand</w:t>
      </w:r>
      <w:r w:rsidRPr="00CB4F07">
        <w:rPr>
          <w:rFonts w:asciiTheme="minorHAnsi" w:hAnsiTheme="minorHAnsi" w:cstheme="minorHAnsi"/>
          <w:i/>
          <w:iCs/>
        </w:rPr>
        <w:t xml:space="preserve"> </w:t>
      </w:r>
      <w:r>
        <w:rPr>
          <w:rFonts w:asciiTheme="minorHAnsi" w:hAnsiTheme="minorHAnsi" w:cstheme="minorHAnsi"/>
          <w:i/>
          <w:iCs/>
        </w:rPr>
        <w:t xml:space="preserve">treatment </w:t>
      </w:r>
      <w:r w:rsidRPr="00CB4F07">
        <w:rPr>
          <w:rFonts w:asciiTheme="minorHAnsi" w:hAnsiTheme="minorHAnsi" w:cstheme="minorHAnsi"/>
          <w:i/>
          <w:iCs/>
        </w:rPr>
        <w:t>should not be included as a comparator</w:t>
      </w:r>
      <w:r>
        <w:rPr>
          <w:rFonts w:asciiTheme="minorHAnsi" w:hAnsiTheme="minorHAnsi" w:cstheme="minorHAnsi"/>
          <w:i/>
          <w:iCs/>
        </w:rPr>
        <w:t xml:space="preserve">, as the vast majority of individuals with severe HMB receive prophylactic treatment. PASC further noted that the majority of patients in the severe HMB population use EHL products. PASC therefore considered that </w:t>
      </w:r>
      <w:r w:rsidRPr="008D0759">
        <w:rPr>
          <w:rFonts w:asciiTheme="minorHAnsi" w:hAnsiTheme="minorHAnsi" w:cstheme="minorHAnsi"/>
          <w:i/>
          <w:iCs/>
        </w:rPr>
        <w:t>EHL factor IX products (for prophylaxis)</w:t>
      </w:r>
      <w:r>
        <w:rPr>
          <w:rFonts w:asciiTheme="minorHAnsi" w:hAnsiTheme="minorHAnsi" w:cstheme="minorHAnsi"/>
          <w:i/>
          <w:iCs/>
        </w:rPr>
        <w:t xml:space="preserve"> to be the main comparator for the HMB population. </w:t>
      </w:r>
    </w:p>
    <w:bookmarkEnd w:id="15"/>
    <w:p w14:paraId="5E6CC8BB" w14:textId="5DB0B126" w:rsidR="00225F73" w:rsidRDefault="00225F73" w:rsidP="00225F73">
      <w:pPr>
        <w:pStyle w:val="Heading4"/>
      </w:pPr>
      <w:r>
        <w:t>Near-market comparators</w:t>
      </w:r>
    </w:p>
    <w:p w14:paraId="1B186B69" w14:textId="3FFF7D90" w:rsidR="007F0456" w:rsidRDefault="00117A4A" w:rsidP="00225F73">
      <w:pPr>
        <w:pStyle w:val="Commentary"/>
        <w:rPr>
          <w:i w:val="0"/>
        </w:rPr>
      </w:pPr>
      <w:r w:rsidRPr="006A4DFB">
        <w:rPr>
          <w:i w:val="0"/>
        </w:rPr>
        <w:t xml:space="preserve">The assessment group </w:t>
      </w:r>
      <w:r w:rsidR="004E5A4B" w:rsidRPr="006A4DFB">
        <w:rPr>
          <w:i w:val="0"/>
        </w:rPr>
        <w:t xml:space="preserve">noted </w:t>
      </w:r>
      <w:r w:rsidR="00A8117C">
        <w:rPr>
          <w:i w:val="0"/>
        </w:rPr>
        <w:t xml:space="preserve">two additional </w:t>
      </w:r>
      <w:r w:rsidR="00027E96">
        <w:rPr>
          <w:i w:val="0"/>
        </w:rPr>
        <w:t>near market comparators</w:t>
      </w:r>
      <w:r w:rsidR="002D4784">
        <w:rPr>
          <w:i w:val="0"/>
        </w:rPr>
        <w:t>.</w:t>
      </w:r>
    </w:p>
    <w:p w14:paraId="6D5E1785" w14:textId="7B1E8966" w:rsidR="00225F73" w:rsidRDefault="00027E96" w:rsidP="00225F73">
      <w:pPr>
        <w:pStyle w:val="Commentary"/>
        <w:rPr>
          <w:i w:val="0"/>
        </w:rPr>
      </w:pPr>
      <w:r>
        <w:rPr>
          <w:i w:val="0"/>
        </w:rPr>
        <w:t>Concizumab</w:t>
      </w:r>
      <w:r w:rsidR="007A1781">
        <w:rPr>
          <w:i w:val="0"/>
        </w:rPr>
        <w:t xml:space="preserve"> (MSAC 1805)</w:t>
      </w:r>
      <w:r w:rsidR="007F0456">
        <w:rPr>
          <w:i w:val="0"/>
        </w:rPr>
        <w:t xml:space="preserve"> </w:t>
      </w:r>
      <w:r w:rsidR="007F0456" w:rsidRPr="008C01BF">
        <w:rPr>
          <w:i w:val="0"/>
        </w:rPr>
        <w:t>is currently undergoing assessment for</w:t>
      </w:r>
      <w:r w:rsidR="00F0421F" w:rsidRPr="006A4DFB">
        <w:rPr>
          <w:i w:val="0"/>
        </w:rPr>
        <w:t xml:space="preserve"> </w:t>
      </w:r>
      <w:r w:rsidR="00376FB3" w:rsidRPr="006A4DFB">
        <w:rPr>
          <w:i w:val="0"/>
        </w:rPr>
        <w:t>prophylaxis in patients with HMB with inhibitors</w:t>
      </w:r>
      <w:r w:rsidR="00225F73" w:rsidRPr="006A4DFB">
        <w:rPr>
          <w:i w:val="0"/>
        </w:rPr>
        <w:t xml:space="preserve">. </w:t>
      </w:r>
      <w:r w:rsidR="00D06872">
        <w:rPr>
          <w:i w:val="0"/>
        </w:rPr>
        <w:t xml:space="preserve">Whilst </w:t>
      </w:r>
      <w:r w:rsidR="00103466">
        <w:rPr>
          <w:i w:val="0"/>
        </w:rPr>
        <w:t>th</w:t>
      </w:r>
      <w:r w:rsidR="00BD5573">
        <w:rPr>
          <w:i w:val="0"/>
        </w:rPr>
        <w:t xml:space="preserve">e </w:t>
      </w:r>
      <w:r w:rsidR="00781879">
        <w:rPr>
          <w:i w:val="0"/>
        </w:rPr>
        <w:t>patient population does not match the population</w:t>
      </w:r>
      <w:r w:rsidR="00FE42AF">
        <w:rPr>
          <w:i w:val="0"/>
        </w:rPr>
        <w:t xml:space="preserve"> for marstacimab, </w:t>
      </w:r>
      <w:r w:rsidR="00225F73" w:rsidRPr="00481D74">
        <w:rPr>
          <w:i w:val="0"/>
        </w:rPr>
        <w:t xml:space="preserve">there is an ongoing trial of concizumab in individuals </w:t>
      </w:r>
      <w:r w:rsidR="0060429B" w:rsidRPr="00481D74">
        <w:rPr>
          <w:i w:val="0"/>
        </w:rPr>
        <w:t xml:space="preserve">with </w:t>
      </w:r>
      <w:r w:rsidR="007E0493">
        <w:rPr>
          <w:i w:val="0"/>
        </w:rPr>
        <w:t>HM</w:t>
      </w:r>
      <w:r w:rsidR="0060429B" w:rsidRPr="00481D74">
        <w:rPr>
          <w:i w:val="0"/>
        </w:rPr>
        <w:t xml:space="preserve">A or </w:t>
      </w:r>
      <w:r w:rsidR="007E0493">
        <w:rPr>
          <w:i w:val="0"/>
        </w:rPr>
        <w:t>HM</w:t>
      </w:r>
      <w:r w:rsidR="0060429B" w:rsidRPr="00481D74">
        <w:rPr>
          <w:i w:val="0"/>
        </w:rPr>
        <w:t>B</w:t>
      </w:r>
      <w:r w:rsidR="00225F73" w:rsidRPr="00481D74">
        <w:rPr>
          <w:i w:val="0"/>
        </w:rPr>
        <w:t xml:space="preserve"> without inhibitors (explorer8; NCT04082429).</w:t>
      </w:r>
      <w:r w:rsidR="006825FA" w:rsidRPr="00481D74">
        <w:rPr>
          <w:i w:val="0"/>
        </w:rPr>
        <w:t xml:space="preserve"> </w:t>
      </w:r>
      <w:r w:rsidR="00225F73" w:rsidRPr="00481D74">
        <w:rPr>
          <w:i w:val="0"/>
        </w:rPr>
        <w:t>Therefore, concizumab may be considered a near-</w:t>
      </w:r>
      <w:r w:rsidR="005D7B79" w:rsidRPr="00481D74">
        <w:rPr>
          <w:i w:val="0"/>
        </w:rPr>
        <w:t xml:space="preserve">market </w:t>
      </w:r>
      <w:r w:rsidR="00225F73" w:rsidRPr="00481D74">
        <w:rPr>
          <w:i w:val="0"/>
        </w:rPr>
        <w:t>comparator</w:t>
      </w:r>
      <w:r w:rsidR="0060429B" w:rsidRPr="00481D74">
        <w:rPr>
          <w:i w:val="0"/>
        </w:rPr>
        <w:t xml:space="preserve"> for both PICO set 1 and 2</w:t>
      </w:r>
      <w:r w:rsidR="00225F73" w:rsidRPr="00481D74">
        <w:rPr>
          <w:i w:val="0"/>
        </w:rPr>
        <w:t>.</w:t>
      </w:r>
    </w:p>
    <w:p w14:paraId="30A8F9C5" w14:textId="51DC69A3" w:rsidR="00FA418C" w:rsidRDefault="00FA418C" w:rsidP="00225F73">
      <w:pPr>
        <w:pStyle w:val="Commentary"/>
        <w:rPr>
          <w:i w:val="0"/>
        </w:rPr>
      </w:pPr>
      <w:bookmarkStart w:id="16" w:name="_Hlk207385391"/>
      <w:r w:rsidRPr="004849CA">
        <w:rPr>
          <w:rFonts w:asciiTheme="minorHAnsi" w:hAnsiTheme="minorHAnsi" w:cstheme="minorBidi"/>
        </w:rPr>
        <w:t xml:space="preserve">PASC noted that concizumab has been registered on the ARTG for patients at least 12 years of age who have </w:t>
      </w:r>
      <w:r w:rsidRPr="00F91A5F">
        <w:rPr>
          <w:rFonts w:asciiTheme="minorHAnsi" w:hAnsiTheme="minorHAnsi" w:cstheme="minorBidi"/>
          <w:iCs/>
        </w:rPr>
        <w:t>HMA</w:t>
      </w:r>
      <w:r w:rsidRPr="004211DF">
        <w:rPr>
          <w:rFonts w:asciiTheme="minorHAnsi" w:hAnsiTheme="minorHAnsi" w:cstheme="minorBidi"/>
          <w:iCs/>
        </w:rPr>
        <w:t xml:space="preserve"> or </w:t>
      </w:r>
      <w:r w:rsidRPr="00F91A5F">
        <w:rPr>
          <w:rFonts w:asciiTheme="minorHAnsi" w:hAnsiTheme="minorHAnsi" w:cstheme="minorBidi"/>
          <w:iCs/>
        </w:rPr>
        <w:t>HM</w:t>
      </w:r>
      <w:r w:rsidRPr="004211DF">
        <w:rPr>
          <w:rFonts w:asciiTheme="minorHAnsi" w:hAnsiTheme="minorHAnsi" w:cstheme="minorBidi"/>
          <w:iCs/>
        </w:rPr>
        <w:t>B</w:t>
      </w:r>
      <w:r w:rsidRPr="00431932">
        <w:rPr>
          <w:rFonts w:asciiTheme="minorHAnsi" w:hAnsiTheme="minorHAnsi" w:cstheme="minorBidi"/>
        </w:rPr>
        <w:t>. PASC</w:t>
      </w:r>
      <w:r w:rsidRPr="004849CA">
        <w:rPr>
          <w:rFonts w:asciiTheme="minorHAnsi" w:hAnsiTheme="minorHAnsi" w:cstheme="minorBidi"/>
        </w:rPr>
        <w:t xml:space="preserve"> noted that an application for concizumab has been submitted for consideration by MSAC for patients with </w:t>
      </w:r>
      <w:r w:rsidRPr="006F14D4">
        <w:rPr>
          <w:rFonts w:asciiTheme="minorHAnsi" w:hAnsiTheme="minorHAnsi" w:cstheme="minorBidi"/>
          <w:i w:val="0"/>
        </w:rPr>
        <w:t>HMB</w:t>
      </w:r>
      <w:r w:rsidRPr="004849CA">
        <w:rPr>
          <w:rFonts w:asciiTheme="minorHAnsi" w:hAnsiTheme="minorHAnsi" w:cstheme="minorBidi"/>
        </w:rPr>
        <w:t xml:space="preserve"> with factor IX inhibitors. PASC noted this was not the same targeted population as marstacimab and did not consider that concizumab was a relevant near-market comparator.</w:t>
      </w:r>
      <w:r w:rsidRPr="004849CA">
        <w:rPr>
          <w:rFonts w:asciiTheme="minorHAnsi" w:hAnsiTheme="minorHAnsi" w:cstheme="minorBidi"/>
          <w:i w:val="0"/>
        </w:rPr>
        <w:t xml:space="preserve"> </w:t>
      </w:r>
      <w:r w:rsidRPr="006F7E35">
        <w:t xml:space="preserve">However, if the proposal for public funding of concizumab is expanded to include patients with HMA or HMB without inhibitors, it would be a relevant </w:t>
      </w:r>
      <w:r w:rsidR="00321EC0">
        <w:t xml:space="preserve">near-market </w:t>
      </w:r>
      <w:r w:rsidRPr="006F7E35">
        <w:t>comparator against marstacimab for the HMA and HMB patient populations</w:t>
      </w:r>
      <w:r w:rsidR="00321EC0">
        <w:t xml:space="preserve"> proposed in the current application</w:t>
      </w:r>
      <w:r w:rsidRPr="006F7E35">
        <w:t>.</w:t>
      </w:r>
    </w:p>
    <w:bookmarkEnd w:id="16"/>
    <w:p w14:paraId="30B45554" w14:textId="1BD0E6C5" w:rsidR="00EE6E47" w:rsidRPr="00EE6E47" w:rsidRDefault="00C11D1F" w:rsidP="00EE6E47">
      <w:pPr>
        <w:pStyle w:val="Commentary"/>
        <w:rPr>
          <w:i w:val="0"/>
        </w:rPr>
      </w:pPr>
      <w:r w:rsidRPr="00C11D1F">
        <w:rPr>
          <w:i w:val="0"/>
        </w:rPr>
        <w:t>Etranacogene dezaparvovec</w:t>
      </w:r>
      <w:r>
        <w:rPr>
          <w:i w:val="0"/>
        </w:rPr>
        <w:t xml:space="preserve"> (</w:t>
      </w:r>
      <w:r w:rsidR="00EE6E47" w:rsidRPr="00EE6E47">
        <w:rPr>
          <w:i w:val="0"/>
        </w:rPr>
        <w:t>Hemgenix</w:t>
      </w:r>
      <w:r>
        <w:rPr>
          <w:i w:val="0"/>
        </w:rPr>
        <w:t>)</w:t>
      </w:r>
      <w:r w:rsidR="00EE6E47" w:rsidRPr="00EE6E47">
        <w:rPr>
          <w:i w:val="0"/>
        </w:rPr>
        <w:t xml:space="preserve"> (MSAC application 1728.1) is currently undergoing assessment for </w:t>
      </w:r>
      <w:r w:rsidR="00A73891">
        <w:rPr>
          <w:i w:val="0"/>
        </w:rPr>
        <w:t>a</w:t>
      </w:r>
      <w:r w:rsidR="00EE6E47" w:rsidRPr="00EE6E47">
        <w:rPr>
          <w:i w:val="0"/>
        </w:rPr>
        <w:t xml:space="preserve">dult patients (≥18 years) with severe or moderately severe (≤2%) congenital haemophilia B (cHMB), currently receiving stable FIX prophylactic therapy, who also meet the following criteria: </w:t>
      </w:r>
    </w:p>
    <w:p w14:paraId="39C0EB98" w14:textId="428EC1A6" w:rsidR="00615A90" w:rsidRDefault="00B3185F" w:rsidP="00615A90">
      <w:pPr>
        <w:pStyle w:val="ListParagraph"/>
        <w:numPr>
          <w:ilvl w:val="0"/>
          <w:numId w:val="41"/>
        </w:numPr>
      </w:pPr>
      <w:r>
        <w:t>A</w:t>
      </w:r>
      <w:r w:rsidR="00EE6E47" w:rsidRPr="00615A90">
        <w:t>nti-AAV5 NAb titre &lt; 1:900 using 9-point assay as determined by the AAV5 NAb assay</w:t>
      </w:r>
    </w:p>
    <w:p w14:paraId="4BDAE82C" w14:textId="77777777" w:rsidR="00615A90" w:rsidRDefault="00EE6E47" w:rsidP="00615A90">
      <w:pPr>
        <w:pStyle w:val="ListParagraph"/>
        <w:numPr>
          <w:ilvl w:val="0"/>
          <w:numId w:val="41"/>
        </w:numPr>
      </w:pPr>
      <w:r w:rsidRPr="00615A90">
        <w:t xml:space="preserve">No active infections, either acute or uncontrolled chronic </w:t>
      </w:r>
    </w:p>
    <w:p w14:paraId="7C9054FB" w14:textId="5A09FA79" w:rsidR="006A6BB3" w:rsidRDefault="00EE6E47" w:rsidP="00615A90">
      <w:pPr>
        <w:pStyle w:val="ListParagraph"/>
        <w:numPr>
          <w:ilvl w:val="0"/>
          <w:numId w:val="41"/>
        </w:numPr>
      </w:pPr>
      <w:r w:rsidRPr="00615A90">
        <w:t xml:space="preserve">No known advanced hepatic fibrosis, or cirrhosis </w:t>
      </w:r>
    </w:p>
    <w:p w14:paraId="31734818" w14:textId="4932DE8B" w:rsidR="007C5DC8" w:rsidRDefault="007C5DC8" w:rsidP="00615A90">
      <w:pPr>
        <w:pStyle w:val="ListParagraph"/>
        <w:numPr>
          <w:ilvl w:val="0"/>
          <w:numId w:val="41"/>
        </w:numPr>
      </w:pPr>
      <w:r>
        <w:t>No FIX inhibitors</w:t>
      </w:r>
    </w:p>
    <w:p w14:paraId="31F683D1" w14:textId="100135D1" w:rsidR="00C11D1F" w:rsidRDefault="00C11D1F" w:rsidP="00481D74">
      <w:r>
        <w:t xml:space="preserve">Therefore, </w:t>
      </w:r>
      <w:r w:rsidR="002530B7">
        <w:t>e</w:t>
      </w:r>
      <w:r w:rsidR="002530B7" w:rsidRPr="002530B7">
        <w:t>tranacogene dezaparvovec</w:t>
      </w:r>
      <w:r>
        <w:t xml:space="preserve"> </w:t>
      </w:r>
      <w:r w:rsidR="002530B7">
        <w:t>may be considered a near-market comparator for PICO set 2.</w:t>
      </w:r>
    </w:p>
    <w:p w14:paraId="09B1E3D1" w14:textId="77777777" w:rsidR="004B0F5C" w:rsidRPr="0006680D" w:rsidRDefault="004B0F5C" w:rsidP="004B0F5C">
      <w:pPr>
        <w:autoSpaceDE w:val="0"/>
        <w:autoSpaceDN w:val="0"/>
        <w:adjustRightInd w:val="0"/>
        <w:spacing w:line="23" w:lineRule="atLeast"/>
        <w:rPr>
          <w:rFonts w:asciiTheme="minorHAnsi" w:hAnsiTheme="minorHAnsi" w:cstheme="minorBidi"/>
          <w:i/>
        </w:rPr>
      </w:pPr>
      <w:bookmarkStart w:id="17" w:name="_Hlk207385402"/>
      <w:r w:rsidRPr="0006680D">
        <w:rPr>
          <w:rFonts w:asciiTheme="minorHAnsi" w:hAnsiTheme="minorHAnsi" w:cstheme="minorBidi"/>
          <w:i/>
        </w:rPr>
        <w:t>PASC noted that etranacogene dezaparvovec gene therapy (ED; trade name - Hemgenix) has been provisionally registered on the ARTG for adults with HMB without a history of factor IX inhibitors. ED was considered by MSAC in August 2024 and July 2025 for adults with HMB without a history of factor IX inhibitors. In accordance with the MSAC Guidelines, PASC considered ED to be a relevant near-market comparator for the HMB population</w:t>
      </w:r>
      <w:r w:rsidRPr="0006680D">
        <w:rPr>
          <w:rStyle w:val="FootnoteReference"/>
          <w:rFonts w:asciiTheme="minorHAnsi" w:hAnsiTheme="minorHAnsi" w:cstheme="minorHAnsi"/>
          <w:i/>
        </w:rPr>
        <w:footnoteReference w:id="4"/>
      </w:r>
      <w:r w:rsidRPr="0006680D">
        <w:rPr>
          <w:rFonts w:asciiTheme="minorHAnsi" w:hAnsiTheme="minorHAnsi" w:cstheme="minorBidi"/>
          <w:i/>
        </w:rPr>
        <w:t xml:space="preserve">. </w:t>
      </w:r>
    </w:p>
    <w:bookmarkEnd w:id="17"/>
    <w:p w14:paraId="29C1EA87" w14:textId="335FDC48" w:rsidR="007A66C8" w:rsidRPr="008F1532" w:rsidRDefault="007A66C8" w:rsidP="00713728">
      <w:pPr>
        <w:pStyle w:val="Heading3"/>
      </w:pPr>
      <w:r w:rsidRPr="008F1532">
        <w:t xml:space="preserve">Outcomes </w:t>
      </w:r>
    </w:p>
    <w:p w14:paraId="6334B675" w14:textId="77777777" w:rsidR="00603D0D" w:rsidRDefault="00603D0D" w:rsidP="00603D0D">
      <w:pPr>
        <w:pStyle w:val="Heading4"/>
      </w:pPr>
      <w:r>
        <w:t xml:space="preserve">Safety </w:t>
      </w:r>
    </w:p>
    <w:p w14:paraId="784894A5" w14:textId="4C4D83FB" w:rsidR="00603D0D" w:rsidRDefault="00603D0D" w:rsidP="00603D0D">
      <w:pPr>
        <w:pStyle w:val="ListParagraph"/>
        <w:numPr>
          <w:ilvl w:val="0"/>
          <w:numId w:val="19"/>
        </w:numPr>
      </w:pPr>
      <w:r>
        <w:t xml:space="preserve">Adverse events </w:t>
      </w:r>
      <w:r w:rsidR="00335D8B">
        <w:t>(e.g. injection site reactions)</w:t>
      </w:r>
    </w:p>
    <w:p w14:paraId="137B7E99" w14:textId="2393BA72" w:rsidR="00603D0D" w:rsidRDefault="00603D0D" w:rsidP="00603D0D">
      <w:pPr>
        <w:pStyle w:val="ListParagraph"/>
        <w:numPr>
          <w:ilvl w:val="0"/>
          <w:numId w:val="19"/>
        </w:numPr>
      </w:pPr>
      <w:r>
        <w:t>Serious adverse events</w:t>
      </w:r>
      <w:r w:rsidR="00081E5E">
        <w:t xml:space="preserve"> (including thrombotic events)</w:t>
      </w:r>
    </w:p>
    <w:p w14:paraId="3A304424" w14:textId="2818527B" w:rsidR="00603D0D" w:rsidRDefault="00603D0D" w:rsidP="00603D0D">
      <w:pPr>
        <w:pStyle w:val="ListParagraph"/>
        <w:numPr>
          <w:ilvl w:val="0"/>
          <w:numId w:val="19"/>
        </w:numPr>
      </w:pPr>
      <w:r>
        <w:lastRenderedPageBreak/>
        <w:t xml:space="preserve">Immunogenicity </w:t>
      </w:r>
      <w:r w:rsidR="00E027FC">
        <w:t>(antidrug an</w:t>
      </w:r>
      <w:r w:rsidR="003551F9">
        <w:t>t</w:t>
      </w:r>
      <w:r w:rsidR="00E027FC">
        <w:t>ibodies, n</w:t>
      </w:r>
      <w:r w:rsidR="00810110">
        <w:t>eu</w:t>
      </w:r>
      <w:r w:rsidR="00E027FC">
        <w:t>tralising antibodies)</w:t>
      </w:r>
    </w:p>
    <w:p w14:paraId="32188A53" w14:textId="1DA133BA" w:rsidR="00603D0D" w:rsidRDefault="00603D0D" w:rsidP="00603D0D">
      <w:pPr>
        <w:pStyle w:val="Heading4"/>
      </w:pPr>
      <w:r>
        <w:t xml:space="preserve">Efficacy </w:t>
      </w:r>
    </w:p>
    <w:p w14:paraId="197C2DB2" w14:textId="37661C3E" w:rsidR="00603D0D" w:rsidRDefault="00603D0D" w:rsidP="002D3328">
      <w:pPr>
        <w:pStyle w:val="ListParagraph"/>
        <w:numPr>
          <w:ilvl w:val="0"/>
          <w:numId w:val="20"/>
        </w:numPr>
      </w:pPr>
      <w:r>
        <w:t>Annualised bleeding rates</w:t>
      </w:r>
      <w:r w:rsidR="00746726">
        <w:t xml:space="preserve"> (overall, categorised bleed severity, surgical/non-surgical</w:t>
      </w:r>
      <w:r w:rsidR="001734C3">
        <w:t>,</w:t>
      </w:r>
      <w:r w:rsidR="00746726">
        <w:t xml:space="preserve"> and site/type specific</w:t>
      </w:r>
      <w:r w:rsidR="001734C3">
        <w:t>)</w:t>
      </w:r>
      <w:r w:rsidR="00432919">
        <w:t xml:space="preserve"> </w:t>
      </w:r>
    </w:p>
    <w:p w14:paraId="6A164B66" w14:textId="14E8327D" w:rsidR="007A5FC6" w:rsidRPr="00F95C24" w:rsidRDefault="007A5FC6" w:rsidP="007A5FC6">
      <w:pPr>
        <w:pStyle w:val="ListParagraph"/>
        <w:numPr>
          <w:ilvl w:val="0"/>
          <w:numId w:val="20"/>
        </w:numPr>
      </w:pPr>
      <w:r w:rsidRPr="00F95C24">
        <w:t xml:space="preserve">Volume of </w:t>
      </w:r>
      <w:r w:rsidR="006E7EE1" w:rsidRPr="00F95C24">
        <w:t>FVIII/</w:t>
      </w:r>
      <w:r w:rsidRPr="00F95C24">
        <w:t>FIX replacement required for breakthrough bleeds</w:t>
      </w:r>
    </w:p>
    <w:p w14:paraId="4BF1BF22" w14:textId="0F64782F" w:rsidR="00603D0D" w:rsidRDefault="00603D0D" w:rsidP="00603D0D">
      <w:pPr>
        <w:pStyle w:val="ListParagraph"/>
        <w:numPr>
          <w:ilvl w:val="0"/>
          <w:numId w:val="20"/>
        </w:numPr>
      </w:pPr>
      <w:r>
        <w:t>Joint health</w:t>
      </w:r>
      <w:r w:rsidR="00156142">
        <w:t xml:space="preserve"> outcomes</w:t>
      </w:r>
    </w:p>
    <w:p w14:paraId="143E6168" w14:textId="0A7286B2" w:rsidR="00603D0D" w:rsidRDefault="00156142" w:rsidP="00603D0D">
      <w:pPr>
        <w:pStyle w:val="ListParagraph"/>
        <w:numPr>
          <w:ilvl w:val="0"/>
          <w:numId w:val="20"/>
        </w:numPr>
      </w:pPr>
      <w:r>
        <w:t>Health-related q</w:t>
      </w:r>
      <w:r w:rsidR="00603D0D">
        <w:t>uality of life</w:t>
      </w:r>
    </w:p>
    <w:p w14:paraId="00E834BD" w14:textId="2AE5A28E" w:rsidR="007A5FC6" w:rsidRDefault="007A5FC6" w:rsidP="007A5FC6">
      <w:pPr>
        <w:pStyle w:val="ListParagraph"/>
        <w:numPr>
          <w:ilvl w:val="0"/>
          <w:numId w:val="20"/>
        </w:numPr>
      </w:pPr>
      <w:r w:rsidRPr="00F95C24">
        <w:t xml:space="preserve">Number of missed days of work/activity/school </w:t>
      </w:r>
    </w:p>
    <w:p w14:paraId="382B9565" w14:textId="77777777" w:rsidR="00603D0D" w:rsidRDefault="00603D0D" w:rsidP="00603D0D">
      <w:pPr>
        <w:pStyle w:val="Heading4"/>
      </w:pPr>
      <w:r>
        <w:t>Cost and cost-effectiveness</w:t>
      </w:r>
    </w:p>
    <w:p w14:paraId="6B19B0CB" w14:textId="55F77397" w:rsidR="007A5FC6" w:rsidRDefault="007A5FC6" w:rsidP="007A5FC6">
      <w:pPr>
        <w:pStyle w:val="ListParagraph"/>
        <w:numPr>
          <w:ilvl w:val="0"/>
          <w:numId w:val="17"/>
        </w:numPr>
      </w:pPr>
      <w:r>
        <w:t>Financial implications (costs and cost-offsets including total factor and/or monoclonal antibody consumption</w:t>
      </w:r>
      <w:r w:rsidR="00C22D56">
        <w:t xml:space="preserve"> (including increase in dose)</w:t>
      </w:r>
      <w:r>
        <w:t>, costs of delivering the intervention, costs of managing adverse events or breakthrough bleeding)</w:t>
      </w:r>
    </w:p>
    <w:p w14:paraId="02A6028F" w14:textId="7AD5D99F" w:rsidR="007A5FC6" w:rsidRDefault="007A5FC6" w:rsidP="007A5FC6">
      <w:pPr>
        <w:pStyle w:val="ListParagraph"/>
        <w:numPr>
          <w:ilvl w:val="0"/>
          <w:numId w:val="17"/>
        </w:numPr>
      </w:pPr>
      <w:r>
        <w:t>Cost-effectiveness</w:t>
      </w:r>
    </w:p>
    <w:p w14:paraId="4199A797" w14:textId="77777777" w:rsidR="007A5FC6" w:rsidRPr="00A153F0" w:rsidRDefault="007A5FC6" w:rsidP="00AD79A2">
      <w:pPr>
        <w:pStyle w:val="Heading4"/>
      </w:pPr>
      <w:r w:rsidRPr="00A153F0">
        <w:t>Other relevant considerations</w:t>
      </w:r>
    </w:p>
    <w:p w14:paraId="596B2CB5" w14:textId="77777777" w:rsidR="007A5FC6" w:rsidRPr="00F95C24" w:rsidRDefault="007A5FC6" w:rsidP="007A5FC6">
      <w:pPr>
        <w:pStyle w:val="ListParagraph"/>
        <w:numPr>
          <w:ilvl w:val="0"/>
          <w:numId w:val="17"/>
        </w:numPr>
      </w:pPr>
      <w:r w:rsidRPr="00F95C24">
        <w:t xml:space="preserve">Patient preference </w:t>
      </w:r>
    </w:p>
    <w:p w14:paraId="7F9F0E51" w14:textId="77777777" w:rsidR="007A5FC6" w:rsidRPr="00F95C24" w:rsidRDefault="007A5FC6" w:rsidP="007A5FC6">
      <w:pPr>
        <w:pStyle w:val="ListParagraph"/>
        <w:numPr>
          <w:ilvl w:val="0"/>
          <w:numId w:val="17"/>
        </w:numPr>
      </w:pPr>
      <w:r w:rsidRPr="00F95C24">
        <w:t>Treatment burden e.g. administration time, impact on lifestyle, ability to travel</w:t>
      </w:r>
    </w:p>
    <w:p w14:paraId="76884B63" w14:textId="75EE34E0" w:rsidR="005E5600" w:rsidRDefault="007A5FC6" w:rsidP="007D3402">
      <w:pPr>
        <w:pStyle w:val="ListParagraph"/>
        <w:numPr>
          <w:ilvl w:val="0"/>
          <w:numId w:val="17"/>
        </w:numPr>
      </w:pPr>
      <w:r w:rsidRPr="00F95C24">
        <w:t>Adherence to treatment</w:t>
      </w:r>
    </w:p>
    <w:p w14:paraId="7DFA2868" w14:textId="77777777" w:rsidR="005B0DC0" w:rsidRDefault="005B0DC0" w:rsidP="005B0DC0">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 xml:space="preserve">PASC largely agreed that the outcomes were appropriate. </w:t>
      </w:r>
    </w:p>
    <w:p w14:paraId="295782C4" w14:textId="25816E77" w:rsidR="00A24E4E" w:rsidRPr="00312416" w:rsidRDefault="00881545" w:rsidP="005B0DC0">
      <w:pPr>
        <w:autoSpaceDE w:val="0"/>
        <w:autoSpaceDN w:val="0"/>
        <w:adjustRightInd w:val="0"/>
        <w:spacing w:line="23" w:lineRule="atLeast"/>
        <w:rPr>
          <w:rFonts w:asciiTheme="minorHAnsi" w:hAnsiTheme="minorHAnsi" w:cstheme="minorHAnsi"/>
        </w:rPr>
      </w:pPr>
      <w:r>
        <w:rPr>
          <w:rFonts w:asciiTheme="minorHAnsi" w:hAnsiTheme="minorHAnsi" w:cstheme="minorHAnsi"/>
          <w:i/>
        </w:rPr>
        <w:t>PASC advised that the annualised bleeding rate be presented as an overall</w:t>
      </w:r>
      <w:r w:rsidR="003A36A6">
        <w:rPr>
          <w:rFonts w:asciiTheme="minorHAnsi" w:hAnsiTheme="minorHAnsi" w:cstheme="minorHAnsi"/>
          <w:i/>
        </w:rPr>
        <w:t xml:space="preserve"> rate</w:t>
      </w:r>
      <w:r>
        <w:rPr>
          <w:rFonts w:asciiTheme="minorHAnsi" w:hAnsiTheme="minorHAnsi" w:cstheme="minorHAnsi"/>
          <w:i/>
        </w:rPr>
        <w:t xml:space="preserve"> and also categorised according to bleed severity, surgical/non-surgical and site/type specific. </w:t>
      </w:r>
      <w:r w:rsidR="00A24E4E" w:rsidRPr="005E5B0F">
        <w:rPr>
          <w:rFonts w:asciiTheme="minorHAnsi" w:hAnsiTheme="minorHAnsi" w:cstheme="minorHAnsi"/>
          <w:i/>
        </w:rPr>
        <w:t xml:space="preserve">PASC recommended that perioperative bleeding rates </w:t>
      </w:r>
      <w:r w:rsidR="00A24E4E" w:rsidRPr="006F7E35">
        <w:rPr>
          <w:rFonts w:asciiTheme="minorHAnsi" w:hAnsiTheme="minorHAnsi" w:cstheme="minorHAnsi"/>
          <w:i/>
        </w:rPr>
        <w:t xml:space="preserve">also </w:t>
      </w:r>
      <w:r w:rsidR="00A24E4E" w:rsidRPr="005E5B0F">
        <w:rPr>
          <w:rFonts w:asciiTheme="minorHAnsi" w:hAnsiTheme="minorHAnsi" w:cstheme="minorHAnsi"/>
          <w:i/>
        </w:rPr>
        <w:t xml:space="preserve">be </w:t>
      </w:r>
      <w:r w:rsidR="00A24E4E" w:rsidRPr="0006680D">
        <w:rPr>
          <w:rFonts w:asciiTheme="minorHAnsi" w:hAnsiTheme="minorHAnsi" w:cstheme="minorHAnsi"/>
          <w:i/>
        </w:rPr>
        <w:t>captured as part of the outcomes</w:t>
      </w:r>
      <w:r w:rsidR="00A24E4E" w:rsidRPr="005E5B0F">
        <w:rPr>
          <w:rFonts w:asciiTheme="minorHAnsi" w:hAnsiTheme="minorHAnsi" w:cstheme="minorHAnsi"/>
          <w:i/>
        </w:rPr>
        <w:t>.</w:t>
      </w:r>
      <w:r w:rsidR="00A24E4E" w:rsidRPr="0006680D">
        <w:rPr>
          <w:rFonts w:asciiTheme="minorHAnsi" w:hAnsiTheme="minorHAnsi" w:cstheme="minorHAnsi"/>
        </w:rPr>
        <w:t xml:space="preserve"> </w:t>
      </w:r>
    </w:p>
    <w:p w14:paraId="4C617E37" w14:textId="77777777" w:rsidR="00321EC0" w:rsidRPr="004A4D2F" w:rsidRDefault="00321EC0" w:rsidP="00321EC0">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 xml:space="preserve">PASC considered that routine monitoring of ADAs would not be required as data provided showed a very low incidence of these, and they tend not to influence the efficacy of marstacimab. PASC recommended that the assessment report include the information on ADAs collected in the BASIS trial, but further information would not be required on this outcome. </w:t>
      </w:r>
    </w:p>
    <w:p w14:paraId="72F11044" w14:textId="14B66070" w:rsidR="00321EC0" w:rsidRPr="00BF7356" w:rsidRDefault="00321EC0" w:rsidP="005B0DC0">
      <w:pPr>
        <w:autoSpaceDE w:val="0"/>
        <w:autoSpaceDN w:val="0"/>
        <w:adjustRightInd w:val="0"/>
        <w:spacing w:line="23" w:lineRule="atLeast"/>
        <w:rPr>
          <w:rFonts w:asciiTheme="minorHAnsi" w:hAnsiTheme="minorHAnsi" w:cstheme="minorHAnsi"/>
          <w:i/>
        </w:rPr>
      </w:pPr>
      <w:r w:rsidRPr="006C711C">
        <w:rPr>
          <w:rFonts w:asciiTheme="minorHAnsi" w:hAnsiTheme="minorHAnsi" w:cstheme="minorHAnsi"/>
          <w:i/>
        </w:rPr>
        <w:t xml:space="preserve">PASC noted from the applicant’s pre-PASC response the high compliance to treatment in the key BASIS trial (attrition rate &lt;5%) and the </w:t>
      </w:r>
      <w:r>
        <w:rPr>
          <w:rFonts w:asciiTheme="minorHAnsi" w:hAnsiTheme="minorHAnsi" w:cstheme="minorHAnsi"/>
          <w:i/>
        </w:rPr>
        <w:t xml:space="preserve">open label </w:t>
      </w:r>
      <w:r w:rsidRPr="006C711C">
        <w:rPr>
          <w:rFonts w:asciiTheme="minorHAnsi" w:hAnsiTheme="minorHAnsi" w:cstheme="minorHAnsi"/>
          <w:i/>
        </w:rPr>
        <w:t>extension study where 80% of participants had opted to continue treatment with marstacimab at the time of interim analysis.</w:t>
      </w:r>
    </w:p>
    <w:p w14:paraId="6069F0B5" w14:textId="4BE42357" w:rsidR="00D73332" w:rsidRPr="00490FBB" w:rsidRDefault="00D73332" w:rsidP="00713728">
      <w:pPr>
        <w:pStyle w:val="Heading2"/>
        <w:rPr>
          <w:b/>
          <w:bCs/>
          <w:i/>
        </w:rPr>
      </w:pPr>
      <w:r w:rsidRPr="00490FBB">
        <w:t>Clinical management algorithms</w:t>
      </w:r>
    </w:p>
    <w:p w14:paraId="597DC27C" w14:textId="17D18A01" w:rsidR="000C22D4" w:rsidRDefault="00561195" w:rsidP="00F056D3">
      <w:pPr>
        <w:rPr>
          <w:rFonts w:cs="Segoe UI"/>
        </w:rPr>
      </w:pPr>
      <w:r w:rsidRPr="00937FF4">
        <w:rPr>
          <w:rFonts w:cs="Segoe UI"/>
        </w:rPr>
        <w:t xml:space="preserve">Patients with haemophilia receive </w:t>
      </w:r>
      <w:r w:rsidR="00360EA5" w:rsidRPr="00937FF4">
        <w:rPr>
          <w:rFonts w:cs="Segoe UI"/>
        </w:rPr>
        <w:t xml:space="preserve">specialist care coordinated </w:t>
      </w:r>
      <w:r w:rsidR="000C22D4" w:rsidRPr="004E49F0">
        <w:rPr>
          <w:rFonts w:cs="Segoe UI"/>
        </w:rPr>
        <w:t>through Haemophilia Treatment Centres (HTCs). Individuals with severe haemophilia receive coordinated, multidisciplinary care involving a haematologist, specialised haemophilia nurse, musculoskeletal specialists such as physiotherapists, orthopaedic surgeons or rheumatologists, coagulation scientists, and psychosocial professionals including social workers or psychologists</w:t>
      </w:r>
      <w:r w:rsidR="000C22D4">
        <w:rPr>
          <w:rFonts w:cs="Segoe UI"/>
        </w:rPr>
        <w:t xml:space="preserve"> </w:t>
      </w:r>
      <w:r w:rsidR="00F37083">
        <w:rPr>
          <w:rFonts w:cs="Segoe UI"/>
        </w:rPr>
        <w:fldChar w:fldCharType="begin"/>
      </w:r>
      <w:r w:rsidR="00F37083">
        <w:rPr>
          <w:rFonts w:cs="Segoe UI"/>
        </w:rPr>
        <w:instrText xml:space="preserve"> ADDIN EN.CITE &lt;EndNote&gt;&lt;Cite&gt;&lt;Author&gt;National Blood Authority&lt;/Author&gt;&lt;Year&gt;2025&lt;/Year&gt;&lt;RecNum&gt;24&lt;/RecNum&gt;&lt;DisplayText&gt;(National Blood Authority 2025)&lt;/DisplayText&gt;&lt;record&gt;&lt;rec-number&gt;24&lt;/rec-number&gt;&lt;foreign-keys&gt;&lt;key app="EN" db-id="wrdwrvxxvt5dstesdtovsevj50f2z9xw099s" timestamp="1747872618"&gt;24&lt;/key&gt;&lt;/foreign-keys&gt;&lt;ref-type name="Report"&gt;27&lt;/ref-type&gt;&lt;contributors&gt;&lt;authors&gt;&lt;author&gt;National Blood Authority,&lt;/author&gt;&lt;/authors&gt;&lt;/contributors&gt;&lt;titles&gt;&lt;title&gt;The framework for the management of bleeding disorders in Australia&lt;/title&gt;&lt;/titles&gt;&lt;dates&gt;&lt;year&gt;2025&lt;/year&gt;&lt;pub-dates&gt;&lt;date&gt;February 2025&lt;/date&gt;&lt;/pub-dates&gt;&lt;/dates&gt;&lt;urls&gt;&lt;/urls&gt;&lt;/record&gt;&lt;/Cite&gt;&lt;/EndNote&gt;</w:instrText>
      </w:r>
      <w:r w:rsidR="00F37083">
        <w:rPr>
          <w:rFonts w:cs="Segoe UI"/>
        </w:rPr>
        <w:fldChar w:fldCharType="separate"/>
      </w:r>
      <w:r w:rsidR="00F37083" w:rsidRPr="00F95C24">
        <w:rPr>
          <w:rFonts w:cs="Segoe UI"/>
        </w:rPr>
        <w:t>(National Blood Authority 2025)</w:t>
      </w:r>
      <w:r w:rsidR="00F37083">
        <w:rPr>
          <w:rFonts w:cs="Segoe UI"/>
        </w:rPr>
        <w:fldChar w:fldCharType="end"/>
      </w:r>
      <w:r w:rsidR="003319BE">
        <w:rPr>
          <w:rFonts w:cs="Segoe UI"/>
        </w:rPr>
        <w:t>.</w:t>
      </w:r>
    </w:p>
    <w:p w14:paraId="05E9ACCE" w14:textId="4DD3079A" w:rsidR="00E2590C" w:rsidRDefault="000C22D4" w:rsidP="00C02FB3">
      <w:r w:rsidRPr="00F12E62">
        <w:rPr>
          <w:rFonts w:cs="Segoe UI"/>
        </w:rPr>
        <w:t xml:space="preserve">The treating haematologist would be responsible for determining a patient’s eligibility for marstacimab treatment, including evaluating the presence of </w:t>
      </w:r>
      <w:r w:rsidR="003A1581" w:rsidRPr="00937FF4">
        <w:rPr>
          <w:rFonts w:cs="Segoe UI"/>
        </w:rPr>
        <w:t xml:space="preserve">clotting factor </w:t>
      </w:r>
      <w:r w:rsidR="00B90FE2" w:rsidRPr="00F12E62">
        <w:rPr>
          <w:rFonts w:cs="Segoe UI"/>
        </w:rPr>
        <w:t>inhibitors.</w:t>
      </w:r>
      <w:r w:rsidR="00986EE4" w:rsidRPr="00F12E62">
        <w:rPr>
          <w:rFonts w:cs="Segoe UI"/>
          <w:color w:val="1F1F1F"/>
        </w:rPr>
        <w:t xml:space="preserve"> </w:t>
      </w:r>
      <w:r w:rsidRPr="00F12E62">
        <w:rPr>
          <w:rFonts w:cs="Segoe UI"/>
        </w:rPr>
        <w:t>Inhibitor development occurs far more frequently in HMA compared to HMB</w:t>
      </w:r>
      <w:r w:rsidR="000555D9">
        <w:rPr>
          <w:rFonts w:cs="Segoe UI"/>
        </w:rPr>
        <w:t>,</w:t>
      </w:r>
      <w:r w:rsidR="00554245">
        <w:rPr>
          <w:rFonts w:cs="Segoe UI"/>
        </w:rPr>
        <w:t xml:space="preserve"> </w:t>
      </w:r>
      <w:r w:rsidR="00AF297E" w:rsidRPr="00AF297E">
        <w:rPr>
          <w:rFonts w:cs="Segoe UI"/>
        </w:rPr>
        <w:t xml:space="preserve">with inhibitory antibodies developing in approximately 30% of </w:t>
      </w:r>
      <w:r w:rsidR="00AF297E" w:rsidRPr="00AF297E">
        <w:rPr>
          <w:rFonts w:cs="Segoe UI"/>
        </w:rPr>
        <w:lastRenderedPageBreak/>
        <w:t>previously untreated patients with HMA, whereas inhibitor formation in HMB occurs infrequently, with a cumulative incidence of up to 5%</w:t>
      </w:r>
      <w:r w:rsidR="007D4E75">
        <w:rPr>
          <w:rFonts w:cs="Segoe UI"/>
        </w:rPr>
        <w:t xml:space="preserve"> </w:t>
      </w:r>
      <w:r w:rsidR="007D4E75">
        <w:t>(</w:t>
      </w:r>
      <w:r w:rsidR="007D4E75" w:rsidRPr="00404853">
        <w:t>Srivastava et al. 2020</w:t>
      </w:r>
      <w:r w:rsidR="007D4E75">
        <w:t>)</w:t>
      </w:r>
      <w:r w:rsidR="00A36C13">
        <w:t>.</w:t>
      </w:r>
      <w:r w:rsidR="00A36C13">
        <w:rPr>
          <w:rFonts w:cs="Segoe UI"/>
        </w:rPr>
        <w:t xml:space="preserve"> </w:t>
      </w:r>
      <w:r w:rsidRPr="00F12E62">
        <w:rPr>
          <w:rFonts w:cs="Segoe UI"/>
        </w:rPr>
        <w:t xml:space="preserve">If a patient does not </w:t>
      </w:r>
      <w:r>
        <w:rPr>
          <w:rFonts w:cs="Segoe UI"/>
        </w:rPr>
        <w:t xml:space="preserve">clinically </w:t>
      </w:r>
      <w:r w:rsidRPr="00F12E62">
        <w:rPr>
          <w:rFonts w:cs="Segoe UI"/>
        </w:rPr>
        <w:t>respond to factor as expected, the presence of inhibitors may be suspected and tested. It is rare for inhibitors to remain undetected in a patient undergoing factor prophylaxis.</w:t>
      </w:r>
      <w:r w:rsidR="0087244C">
        <w:rPr>
          <w:rFonts w:cs="Segoe UI"/>
        </w:rPr>
        <w:t xml:space="preserve"> </w:t>
      </w:r>
      <w:r w:rsidR="00E2590C" w:rsidRPr="00977652">
        <w:t>The clinical treatment algorithms</w:t>
      </w:r>
      <w:r w:rsidR="00BB2370">
        <w:t xml:space="preserve"> outlined</w:t>
      </w:r>
      <w:r w:rsidR="00E2590C" w:rsidRPr="00977652">
        <w:t xml:space="preserve"> in this section are based on the W</w:t>
      </w:r>
      <w:r w:rsidR="007515CC">
        <w:t xml:space="preserve">orld </w:t>
      </w:r>
      <w:r w:rsidR="00E2590C" w:rsidRPr="00977652">
        <w:t>F</w:t>
      </w:r>
      <w:r w:rsidR="007515CC">
        <w:t xml:space="preserve">ederation </w:t>
      </w:r>
      <w:r w:rsidR="007D2D17">
        <w:t xml:space="preserve">of </w:t>
      </w:r>
      <w:r w:rsidR="003117AC" w:rsidRPr="00977652">
        <w:t>H</w:t>
      </w:r>
      <w:r w:rsidR="003117AC">
        <w:t>aemophilia</w:t>
      </w:r>
      <w:r w:rsidR="00026844">
        <w:t xml:space="preserve"> (WFH)</w:t>
      </w:r>
      <w:r w:rsidR="00E2590C" w:rsidRPr="00977652">
        <w:t xml:space="preserve"> Guidelines for the Management of </w:t>
      </w:r>
      <w:r w:rsidR="003117AC" w:rsidRPr="00977652">
        <w:t>Haemophilia</w:t>
      </w:r>
      <w:r w:rsidR="00E2590C" w:rsidRPr="00977652">
        <w:t xml:space="preserve"> (3</w:t>
      </w:r>
      <w:r w:rsidR="00E2590C" w:rsidRPr="00977652">
        <w:rPr>
          <w:vertAlign w:val="superscript"/>
        </w:rPr>
        <w:t>rd</w:t>
      </w:r>
      <w:r w:rsidR="009E2E80">
        <w:t>edition</w:t>
      </w:r>
      <w:r w:rsidR="00EF65D5">
        <w:t xml:space="preserve">) </w:t>
      </w:r>
      <w:r w:rsidR="00144ABF">
        <w:t>(</w:t>
      </w:r>
      <w:r w:rsidR="00144ABF" w:rsidRPr="00404853">
        <w:t>Srivastava et al. 2020</w:t>
      </w:r>
      <w:r w:rsidR="00144ABF">
        <w:t>)</w:t>
      </w:r>
      <w:r w:rsidR="009E2E80">
        <w:t xml:space="preserve"> </w:t>
      </w:r>
      <w:r w:rsidR="00E2590C" w:rsidRPr="00977652">
        <w:t>,the Position Statement by the Australian Haemophilia Centre Director’s Organisation</w:t>
      </w:r>
      <w:r w:rsidR="00C1042B">
        <w:t xml:space="preserve"> </w:t>
      </w:r>
      <w:r w:rsidR="00F37083">
        <w:fldChar w:fldCharType="begin"/>
      </w:r>
      <w:r w:rsidR="00F37083">
        <w:instrText xml:space="preserve"> ADDIN EN.CITE &lt;EndNote&gt;&lt;Cite&gt;&lt;Author&gt;AHCDO&lt;/Author&gt;&lt;Year&gt;2024&lt;/Year&gt;&lt;RecNum&gt;51&lt;/RecNum&gt;&lt;DisplayText&gt;(AHCDO 2024)&lt;/DisplayText&gt;&lt;record&gt;&lt;rec-number&gt;51&lt;/rec-number&gt;&lt;foreign-keys&gt;&lt;key app="EN" db-id="wrdwrvxxvt5dstesdtovsevj50f2z9xw099s" timestamp="1748909251"&gt;51&lt;/key&gt;&lt;/foreign-keys&gt;&lt;ref-type name="Generic"&gt;13&lt;/ref-type&gt;&lt;contributors&gt;&lt;authors&gt;&lt;author&gt;AHCDO&lt;/author&gt;&lt;/authors&gt;&lt;/contributors&gt;&lt;titles&gt;&lt;title&gt;Position Statement: Guidelines for the Management of Haemophilia in Australia&lt;/title&gt;&lt;/titles&gt;&lt;dates&gt;&lt;year&gt;2024&lt;/year&gt;&lt;/dates&gt;&lt;pub-location&gt;Malvern East, VIC&lt;/pub-location&gt;&lt;urls&gt;&lt;/urls&gt;&lt;/record&gt;&lt;/Cite&gt;&lt;/EndNote&gt;</w:instrText>
      </w:r>
      <w:r w:rsidR="00F37083">
        <w:fldChar w:fldCharType="separate"/>
      </w:r>
      <w:r w:rsidR="00F37083">
        <w:rPr>
          <w:noProof/>
        </w:rPr>
        <w:t>(AHCDO 2024)</w:t>
      </w:r>
      <w:r w:rsidR="00F37083">
        <w:fldChar w:fldCharType="end"/>
      </w:r>
      <w:r w:rsidR="00E2590C" w:rsidRPr="00977652">
        <w:t>, the Framework for the Management of Bleeding Disorders in Australia by the NBA</w:t>
      </w:r>
      <w:r w:rsidR="00E30862">
        <w:t xml:space="preserve"> </w:t>
      </w:r>
      <w:r w:rsidR="00F37083">
        <w:fldChar w:fldCharType="begin"/>
      </w:r>
      <w:r w:rsidR="00F37083">
        <w:instrText xml:space="preserve"> ADDIN EN.CITE &lt;EndNote&gt;&lt;Cite&gt;&lt;Author&gt;National Blood Authority&lt;/Author&gt;&lt;Year&gt;2025&lt;/Year&gt;&lt;RecNum&gt;24&lt;/RecNum&gt;&lt;DisplayText&gt;(National Blood Authority 2025)&lt;/DisplayText&gt;&lt;record&gt;&lt;rec-number&gt;24&lt;/rec-number&gt;&lt;foreign-keys&gt;&lt;key app="EN" db-id="wrdwrvxxvt5dstesdtovsevj50f2z9xw099s" timestamp="1747872618"&gt;24&lt;/key&gt;&lt;/foreign-keys&gt;&lt;ref-type name="Report"&gt;27&lt;/ref-type&gt;&lt;contributors&gt;&lt;authors&gt;&lt;author&gt;National Blood Authority,&lt;/author&gt;&lt;/authors&gt;&lt;/contributors&gt;&lt;titles&gt;&lt;title&gt;The framework for the management of bleeding disorders in Australia&lt;/title&gt;&lt;/titles&gt;&lt;dates&gt;&lt;year&gt;2025&lt;/year&gt;&lt;pub-dates&gt;&lt;date&gt;February 2025&lt;/date&gt;&lt;/pub-dates&gt;&lt;/dates&gt;&lt;urls&gt;&lt;/urls&gt;&lt;/record&gt;&lt;/Cite&gt;&lt;/EndNote&gt;</w:instrText>
      </w:r>
      <w:r w:rsidR="00F37083">
        <w:fldChar w:fldCharType="separate"/>
      </w:r>
      <w:r w:rsidR="00F37083">
        <w:rPr>
          <w:noProof/>
        </w:rPr>
        <w:t>(National Blood Authority 2025)</w:t>
      </w:r>
      <w:r w:rsidR="00F37083">
        <w:fldChar w:fldCharType="end"/>
      </w:r>
      <w:r w:rsidR="00E2590C" w:rsidRPr="00977652">
        <w:t>, and the Public Summary Document for emicizumab (MSAC</w:t>
      </w:r>
      <w:r w:rsidR="007432B3">
        <w:t xml:space="preserve"> 1579</w:t>
      </w:r>
      <w:r w:rsidR="00E2590C" w:rsidRPr="00977652">
        <w:t>).</w:t>
      </w:r>
    </w:p>
    <w:p w14:paraId="12CEEEB1" w14:textId="262F882F" w:rsidR="000971B1" w:rsidRPr="00972390" w:rsidRDefault="000971B1" w:rsidP="00AD0EBC">
      <w:pPr>
        <w:pStyle w:val="Commentary"/>
        <w:rPr>
          <w:i w:val="0"/>
        </w:rPr>
      </w:pPr>
      <w:r w:rsidRPr="00972390">
        <w:rPr>
          <w:i w:val="0"/>
        </w:rPr>
        <w:t xml:space="preserve">The assessment group noted that clinical </w:t>
      </w:r>
      <w:r w:rsidR="001163A5" w:rsidRPr="00972390">
        <w:rPr>
          <w:i w:val="0"/>
        </w:rPr>
        <w:t xml:space="preserve">treatment algorithms should reflect </w:t>
      </w:r>
      <w:r w:rsidR="00EF44F7" w:rsidRPr="00972390">
        <w:rPr>
          <w:i w:val="0"/>
        </w:rPr>
        <w:t xml:space="preserve">current </w:t>
      </w:r>
      <w:r w:rsidR="001163A5" w:rsidRPr="00972390">
        <w:rPr>
          <w:i w:val="0"/>
        </w:rPr>
        <w:t>practice</w:t>
      </w:r>
      <w:r w:rsidR="001D76D8" w:rsidRPr="00972390">
        <w:rPr>
          <w:i w:val="0"/>
        </w:rPr>
        <w:t xml:space="preserve">, </w:t>
      </w:r>
      <w:r w:rsidR="00375BD9" w:rsidRPr="00972390">
        <w:rPr>
          <w:i w:val="0"/>
        </w:rPr>
        <w:t xml:space="preserve">specific to </w:t>
      </w:r>
      <w:r w:rsidR="00624B33" w:rsidRPr="00972390">
        <w:rPr>
          <w:i w:val="0"/>
        </w:rPr>
        <w:t>the claimed population</w:t>
      </w:r>
      <w:r w:rsidR="00375BD9" w:rsidRPr="00972390">
        <w:rPr>
          <w:i w:val="0"/>
        </w:rPr>
        <w:t xml:space="preserve"> and nominated comparators</w:t>
      </w:r>
      <w:r w:rsidR="00EF44F7" w:rsidRPr="00972390">
        <w:rPr>
          <w:i w:val="0"/>
        </w:rPr>
        <w:t>, which may differ from best practice</w:t>
      </w:r>
      <w:r w:rsidR="00870A61" w:rsidRPr="00972390">
        <w:rPr>
          <w:i w:val="0"/>
        </w:rPr>
        <w:t xml:space="preserve"> outlined in the guidelines</w:t>
      </w:r>
      <w:r w:rsidR="00375BD9" w:rsidRPr="00972390">
        <w:rPr>
          <w:i w:val="0"/>
        </w:rPr>
        <w:t xml:space="preserve">. The assessment group has amended </w:t>
      </w:r>
      <w:r w:rsidR="003D770C" w:rsidRPr="00972390">
        <w:rPr>
          <w:i w:val="0"/>
        </w:rPr>
        <w:t>the</w:t>
      </w:r>
      <w:r w:rsidR="0059342A" w:rsidRPr="00972390">
        <w:rPr>
          <w:i w:val="0"/>
        </w:rPr>
        <w:t xml:space="preserve"> algorithms provided in the application</w:t>
      </w:r>
      <w:r w:rsidR="001551E6" w:rsidRPr="00972390">
        <w:rPr>
          <w:i w:val="0"/>
        </w:rPr>
        <w:t xml:space="preserve"> to reflect these requirements</w:t>
      </w:r>
      <w:r w:rsidR="00554245">
        <w:rPr>
          <w:i w:val="0"/>
        </w:rPr>
        <w:t xml:space="preserve"> </w:t>
      </w:r>
      <w:r w:rsidR="002A0E16">
        <w:rPr>
          <w:i w:val="0"/>
        </w:rPr>
        <w:t>Figure 5</w:t>
      </w:r>
      <w:r w:rsidR="00554245">
        <w:rPr>
          <w:i w:val="0"/>
        </w:rPr>
        <w:t xml:space="preserve"> and </w:t>
      </w:r>
      <w:r w:rsidR="00554245">
        <w:rPr>
          <w:i w:val="0"/>
        </w:rPr>
        <w:fldChar w:fldCharType="begin"/>
      </w:r>
      <w:r w:rsidR="00554245">
        <w:rPr>
          <w:i w:val="0"/>
        </w:rPr>
        <w:instrText xml:space="preserve"> REF _Ref203721923 \h  \* MERGEFORMAT </w:instrText>
      </w:r>
      <w:r w:rsidR="00554245">
        <w:rPr>
          <w:i w:val="0"/>
        </w:rPr>
      </w:r>
      <w:r w:rsidR="00554245">
        <w:rPr>
          <w:i w:val="0"/>
        </w:rPr>
        <w:fldChar w:fldCharType="separate"/>
      </w:r>
      <w:r w:rsidR="001D119F" w:rsidRPr="003A3B9E">
        <w:rPr>
          <w:i w:val="0"/>
        </w:rPr>
        <w:t>Figure 6</w:t>
      </w:r>
      <w:r w:rsidR="00554245">
        <w:rPr>
          <w:i w:val="0"/>
        </w:rPr>
        <w:fldChar w:fldCharType="end"/>
      </w:r>
      <w:r w:rsidR="001551E6" w:rsidRPr="00972390">
        <w:rPr>
          <w:i w:val="0"/>
        </w:rPr>
        <w:t>.</w:t>
      </w:r>
    </w:p>
    <w:p w14:paraId="34E94463" w14:textId="77777777" w:rsidR="004D030C" w:rsidRDefault="004D030C" w:rsidP="004D030C">
      <w:pPr>
        <w:pStyle w:val="Heading3"/>
      </w:pPr>
      <w:r>
        <w:t>Haemophilia A</w:t>
      </w:r>
    </w:p>
    <w:p w14:paraId="1E0EC41B" w14:textId="7AFC7FC5" w:rsidR="004E500C" w:rsidRDefault="00F006C4" w:rsidP="00C97FA3">
      <w:r w:rsidRPr="001A1CFD">
        <w:t>The current treatment algorithm</w:t>
      </w:r>
      <w:r w:rsidR="00383B63" w:rsidRPr="001A1CFD">
        <w:t xml:space="preserve"> for HM</w:t>
      </w:r>
      <w:r w:rsidR="00263EB5">
        <w:t>A</w:t>
      </w:r>
      <w:r w:rsidR="00383B63" w:rsidRPr="001A1CFD">
        <w:t xml:space="preserve"> is illustrated </w:t>
      </w:r>
      <w:r w:rsidR="005F2E23" w:rsidRPr="001A1CFD">
        <w:t xml:space="preserve">in </w:t>
      </w:r>
      <w:r w:rsidR="00877844">
        <w:fldChar w:fldCharType="begin"/>
      </w:r>
      <w:r w:rsidR="00877844">
        <w:instrText xml:space="preserve"> REF _Ref206495329 \h </w:instrText>
      </w:r>
      <w:r w:rsidR="00877844">
        <w:fldChar w:fldCharType="separate"/>
      </w:r>
      <w:r w:rsidR="00877844" w:rsidRPr="00C97FA3">
        <w:t xml:space="preserve">Figure </w:t>
      </w:r>
      <w:r w:rsidR="00877844">
        <w:rPr>
          <w:noProof/>
        </w:rPr>
        <w:t>3</w:t>
      </w:r>
      <w:r w:rsidR="00877844">
        <w:fldChar w:fldCharType="end"/>
      </w:r>
      <w:r w:rsidR="005F2E23" w:rsidRPr="001A1CFD">
        <w:t>.</w:t>
      </w:r>
      <w:r w:rsidR="00630A34" w:rsidRPr="001A1CFD">
        <w:t xml:space="preserve"> The current standard of care </w:t>
      </w:r>
      <w:r w:rsidR="003B46BF" w:rsidRPr="001A1CFD">
        <w:t xml:space="preserve">for </w:t>
      </w:r>
      <w:r w:rsidR="00CC6FAD">
        <w:t xml:space="preserve">people with severe HMA </w:t>
      </w:r>
      <w:r w:rsidR="00CD23B7" w:rsidRPr="001A1CFD">
        <w:t>i</w:t>
      </w:r>
      <w:r w:rsidR="00CC6FAD">
        <w:t>n</w:t>
      </w:r>
      <w:r w:rsidR="00CD23B7" w:rsidRPr="001A1CFD">
        <w:t>volves either prophylactic subcutaneous injections of emicizumab (</w:t>
      </w:r>
      <w:r w:rsidR="00CB514A" w:rsidRPr="001A1CFD">
        <w:t>administered 1-4 times</w:t>
      </w:r>
      <w:r w:rsidR="00CD23B7" w:rsidRPr="001A1CFD">
        <w:t xml:space="preserve"> per month) or prophylactic infusions of FVIII concentrate (</w:t>
      </w:r>
      <w:r w:rsidR="00C426B6" w:rsidRPr="001A1CFD">
        <w:t xml:space="preserve">administered </w:t>
      </w:r>
      <w:r w:rsidR="0053028F">
        <w:t>1-2 times per week for EHL products</w:t>
      </w:r>
      <w:r w:rsidR="007120C3">
        <w:t>)</w:t>
      </w:r>
      <w:r w:rsidR="00624549" w:rsidRPr="001A1CFD">
        <w:t>.</w:t>
      </w:r>
      <w:r w:rsidR="005A0046" w:rsidRPr="001A1CFD">
        <w:t xml:space="preserve"> </w:t>
      </w:r>
      <w:r w:rsidR="003F4C19" w:rsidRPr="001A1CFD">
        <w:t xml:space="preserve">Patients receiving </w:t>
      </w:r>
      <w:r w:rsidR="00053B07" w:rsidRPr="001A1CFD">
        <w:t>prophylactic treatment with either emicizumab or FVIII concentrate may still require on-demand FVIII concentrate, such as for managing breakthrough bleed</w:t>
      </w:r>
      <w:r w:rsidR="002F027B" w:rsidRPr="001A1CFD">
        <w:t>ing episodes</w:t>
      </w:r>
      <w:r w:rsidR="00053B07" w:rsidRPr="001A1CFD">
        <w:t xml:space="preserve"> or </w:t>
      </w:r>
      <w:r w:rsidR="00D4586E" w:rsidRPr="001A1CFD">
        <w:t xml:space="preserve">as surgical cover </w:t>
      </w:r>
      <w:r w:rsidR="00177A9D" w:rsidRPr="001A1CFD">
        <w:t>prior to procedure</w:t>
      </w:r>
      <w:r w:rsidR="0033011E">
        <w:t>s</w:t>
      </w:r>
      <w:r w:rsidR="00337843">
        <w:t xml:space="preserve"> (surgical </w:t>
      </w:r>
      <w:r w:rsidR="0033011E">
        <w:t>prop</w:t>
      </w:r>
      <w:r w:rsidR="00443403">
        <w:t>h</w:t>
      </w:r>
      <w:r w:rsidR="0033011E">
        <w:t>ylaxis)</w:t>
      </w:r>
      <w:r w:rsidR="005C268D">
        <w:t>.</w:t>
      </w:r>
      <w:r w:rsidR="001A1CFD" w:rsidRPr="001A1CFD">
        <w:t xml:space="preserve"> </w:t>
      </w:r>
    </w:p>
    <w:p w14:paraId="1AD3212C" w14:textId="2542A949" w:rsidR="00DC0330" w:rsidRPr="00BF7356" w:rsidRDefault="007F240D" w:rsidP="00BF7356">
      <w:r w:rsidRPr="000340F3">
        <w:t xml:space="preserve">In </w:t>
      </w:r>
      <w:r w:rsidR="00210BEE">
        <w:t>patient</w:t>
      </w:r>
      <w:r w:rsidR="001B53FE">
        <w:t xml:space="preserve">s with </w:t>
      </w:r>
      <w:r w:rsidR="00986553">
        <w:t xml:space="preserve">HMA </w:t>
      </w:r>
      <w:r w:rsidRPr="000340F3">
        <w:t>receiving FVIII prophylaxis, screening for inhibitor</w:t>
      </w:r>
      <w:r w:rsidR="00E47CCC" w:rsidRPr="000340F3">
        <w:t>s is conducted</w:t>
      </w:r>
      <w:r w:rsidR="00DB370F" w:rsidRPr="000340F3">
        <w:t xml:space="preserve"> if the clinical response </w:t>
      </w:r>
      <w:r w:rsidR="000340F3" w:rsidRPr="000340F3">
        <w:t>is</w:t>
      </w:r>
      <w:r w:rsidR="00DB370F" w:rsidRPr="000340F3">
        <w:t xml:space="preserve"> not as expected</w:t>
      </w:r>
      <w:r w:rsidR="00A404BE" w:rsidRPr="000340F3">
        <w:t>, after intensive thera</w:t>
      </w:r>
      <w:r w:rsidR="00294C6F" w:rsidRPr="000340F3">
        <w:t>py or prior to surgery. Inhibitor development is more common in HMA</w:t>
      </w:r>
      <w:r w:rsidR="00E755EA" w:rsidRPr="000340F3">
        <w:t>, occurring in approximately 30% of individuals with s</w:t>
      </w:r>
      <w:r w:rsidR="007E74A0" w:rsidRPr="000340F3">
        <w:t>evere disease</w:t>
      </w:r>
      <w:r w:rsidR="00944601">
        <w:t xml:space="preserve"> </w:t>
      </w:r>
      <w:r w:rsidR="009762AC" w:rsidRPr="00937FF4">
        <w:t>at some point in their</w:t>
      </w:r>
      <w:r w:rsidR="00CF644E" w:rsidRPr="00937FF4">
        <w:t xml:space="preserve"> lifetime </w:t>
      </w:r>
      <w:r w:rsidR="00586248" w:rsidRPr="00937FF4">
        <w:t>(Srivastava et al.</w:t>
      </w:r>
      <w:r w:rsidR="00586248">
        <w:rPr>
          <w:noProof/>
        </w:rPr>
        <w:t xml:space="preserve"> 2020)</w:t>
      </w:r>
      <w:r w:rsidR="00AA1AB7" w:rsidRPr="000340F3">
        <w:t>.</w:t>
      </w:r>
      <w:r w:rsidR="006B7A73" w:rsidRPr="000340F3">
        <w:t xml:space="preserve"> If high inhibitor titres are detected, </w:t>
      </w:r>
      <w:r w:rsidR="00325416" w:rsidRPr="004679D0">
        <w:t>immune tolerance induction</w:t>
      </w:r>
      <w:r w:rsidR="00325416">
        <w:t xml:space="preserve"> (</w:t>
      </w:r>
      <w:r w:rsidR="000C57AE">
        <w:t>ITI</w:t>
      </w:r>
      <w:r w:rsidR="00325416">
        <w:t>)</w:t>
      </w:r>
      <w:r w:rsidR="007B2466">
        <w:t xml:space="preserve"> </w:t>
      </w:r>
      <w:r w:rsidR="006B7A73" w:rsidRPr="000340F3">
        <w:t xml:space="preserve">with FVIII is typically initiated, alongside on-demand use of </w:t>
      </w:r>
      <w:r w:rsidR="00BC6C6E" w:rsidRPr="00F211F2">
        <w:t>BPAs</w:t>
      </w:r>
      <w:r w:rsidR="00BC6C6E">
        <w:t xml:space="preserve"> </w:t>
      </w:r>
      <w:r w:rsidR="00A61E0C" w:rsidRPr="000340F3">
        <w:t>as needed.</w:t>
      </w:r>
      <w:r w:rsidR="00DC0330" w:rsidRPr="000340F3">
        <w:t xml:space="preserve"> If tolerisation is unsuccessful, subsequent treatment options include on-demand or prophylactic BPAs, or prophylactic emicizumab in combination with a BPA.</w:t>
      </w:r>
    </w:p>
    <w:p w14:paraId="42292543" w14:textId="2A711CB6" w:rsidR="00D5395A" w:rsidRPr="00B5654A" w:rsidRDefault="00D5395A" w:rsidP="003A3B9E">
      <w:bookmarkStart w:id="18" w:name="_Ref201673974"/>
      <w:r w:rsidRPr="00D5395A">
        <w:rPr>
          <w:noProof/>
          <w:lang w:eastAsia="ja-JP"/>
        </w:rPr>
        <w:lastRenderedPageBreak/>
        <w:drawing>
          <wp:inline distT="0" distB="0" distL="0" distR="0" wp14:anchorId="50673999" wp14:editId="60D70947">
            <wp:extent cx="6083935" cy="4556760"/>
            <wp:effectExtent l="0" t="0" r="0" b="0"/>
            <wp:docPr id="1743559118" name="Picture 1" descr="A diagram of best treatment practice for severe HMA in Australia. Individuals may be treated prophylactically with emicizumab, or EHL FVIII factors. FVIII is used to treat breakthrough bleeds. Individuals are also monitored for drug inhibitors for factor re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59118" name="Picture 1" descr="A diagram of best treatment practice for severe HMA in Australia. Individuals may be treated prophylactically with emicizumab, or EHL FVIII factors. FVIII is used to treat breakthrough bleeds. Individuals are also monitored for drug inhibitors for factor replacement."/>
                    <pic:cNvPicPr/>
                  </pic:nvPicPr>
                  <pic:blipFill>
                    <a:blip r:embed="rId12"/>
                    <a:stretch>
                      <a:fillRect/>
                    </a:stretch>
                  </pic:blipFill>
                  <pic:spPr>
                    <a:xfrm>
                      <a:off x="0" y="0"/>
                      <a:ext cx="6083935" cy="4556760"/>
                    </a:xfrm>
                    <a:prstGeom prst="rect">
                      <a:avLst/>
                    </a:prstGeom>
                  </pic:spPr>
                </pic:pic>
              </a:graphicData>
            </a:graphic>
          </wp:inline>
        </w:drawing>
      </w:r>
    </w:p>
    <w:p w14:paraId="75D26C0F" w14:textId="554A9A48" w:rsidR="00ED0E85" w:rsidRDefault="00ED0E85" w:rsidP="00145990">
      <w:pPr>
        <w:pStyle w:val="Caption"/>
        <w:ind w:left="0" w:firstLine="0"/>
        <w:rPr>
          <w:lang w:val="en-AU"/>
        </w:rPr>
      </w:pPr>
      <w:bookmarkStart w:id="19" w:name="_Ref206495329"/>
      <w:r w:rsidRPr="00C97FA3">
        <w:rPr>
          <w:lang w:val="en-AU"/>
        </w:rPr>
        <w:t xml:space="preserve">Figure </w:t>
      </w:r>
      <w:r w:rsidRPr="00C97FA3">
        <w:rPr>
          <w:lang w:val="en-AU"/>
        </w:rPr>
        <w:fldChar w:fldCharType="begin"/>
      </w:r>
      <w:r w:rsidRPr="00C97FA3">
        <w:rPr>
          <w:lang w:val="en-AU"/>
        </w:rPr>
        <w:instrText xml:space="preserve"> SEQ Figure \* ARABIC </w:instrText>
      </w:r>
      <w:r w:rsidRPr="00C97FA3">
        <w:rPr>
          <w:lang w:val="en-AU"/>
        </w:rPr>
        <w:fldChar w:fldCharType="separate"/>
      </w:r>
      <w:r w:rsidR="001D119F">
        <w:rPr>
          <w:noProof/>
          <w:lang w:val="en-AU"/>
        </w:rPr>
        <w:t>3</w:t>
      </w:r>
      <w:r w:rsidRPr="00C97FA3">
        <w:rPr>
          <w:lang w:val="en-AU"/>
        </w:rPr>
        <w:fldChar w:fldCharType="end"/>
      </w:r>
      <w:bookmarkEnd w:id="18"/>
      <w:bookmarkEnd w:id="19"/>
      <w:r w:rsidRPr="00C97FA3">
        <w:rPr>
          <w:lang w:val="en-AU"/>
        </w:rPr>
        <w:t xml:space="preserve"> Current clinical algorithm for the treatment of Haemophilia A</w:t>
      </w:r>
    </w:p>
    <w:p w14:paraId="248882D9" w14:textId="76F035A7" w:rsidR="00ED0E85" w:rsidRDefault="00ED0E85" w:rsidP="00ED0E85">
      <w:pPr>
        <w:pStyle w:val="Tablenotes"/>
      </w:pPr>
      <w:r w:rsidRPr="00C97FA3">
        <w:t xml:space="preserve">Source: </w:t>
      </w:r>
      <w:r w:rsidR="00AB413D" w:rsidRPr="00C97FA3">
        <w:t xml:space="preserve">Adapted from </w:t>
      </w:r>
      <w:r w:rsidRPr="00C97FA3">
        <w:t>Figure 6, MBS Application PICO set document_Pfizer_marstacimab_March 2025</w:t>
      </w:r>
    </w:p>
    <w:p w14:paraId="24107B00" w14:textId="693AF1B6" w:rsidR="00ED0E85" w:rsidRPr="004679D0" w:rsidRDefault="00ED0E85" w:rsidP="00ED0E85">
      <w:pPr>
        <w:pStyle w:val="Tablenotes"/>
      </w:pPr>
      <w:r w:rsidRPr="004679D0">
        <w:t>BPA = bypass</w:t>
      </w:r>
      <w:r w:rsidR="000A0487">
        <w:t>ing</w:t>
      </w:r>
      <w:r w:rsidRPr="004679D0">
        <w:t xml:space="preserve"> agents; </w:t>
      </w:r>
      <w:r w:rsidR="00CE48AE">
        <w:t>EHL= Extended half</w:t>
      </w:r>
      <w:r w:rsidR="005F37EF">
        <w:t>-life</w:t>
      </w:r>
      <w:r w:rsidR="00CE48AE">
        <w:t xml:space="preserve">; </w:t>
      </w:r>
      <w:r w:rsidRPr="004679D0">
        <w:t>HMA = haemophilia A; FVIII = factor VIII concentrate; ITI = immune tolerance induction</w:t>
      </w:r>
      <w:r w:rsidR="00E24D68">
        <w:t xml:space="preserve">; </w:t>
      </w:r>
    </w:p>
    <w:p w14:paraId="1BD6EE8B" w14:textId="27A29A2E" w:rsidR="002C5F97" w:rsidRPr="00762EFB" w:rsidRDefault="00694416" w:rsidP="00762EFB">
      <w:pPr>
        <w:pStyle w:val="Tablenotes"/>
      </w:pPr>
      <w:r w:rsidRPr="00F95926">
        <w:rPr>
          <w:vertAlign w:val="superscript"/>
        </w:rPr>
        <w:t>1</w:t>
      </w:r>
      <w:r w:rsidR="00ED0E85" w:rsidRPr="004679D0">
        <w:t xml:space="preserve"> To treat breakthrough bleeds / surgical cover</w:t>
      </w:r>
    </w:p>
    <w:p w14:paraId="286ABB50" w14:textId="77777777" w:rsidR="00C91368" w:rsidRDefault="001D119F" w:rsidP="003A3B9E">
      <w:pPr>
        <w:spacing w:after="0" w:line="240" w:lineRule="auto"/>
      </w:pPr>
      <w:r>
        <w:rPr>
          <w:b/>
          <w:bCs/>
        </w:rPr>
        <w:fldChar w:fldCharType="begin"/>
      </w:r>
      <w:r>
        <w:rPr>
          <w:b/>
          <w:bCs/>
        </w:rPr>
        <w:instrText xml:space="preserve"> REF _Ref201675335 \h  \* MERGEFORMAT </w:instrText>
      </w:r>
      <w:r>
        <w:rPr>
          <w:b/>
          <w:bCs/>
        </w:rPr>
      </w:r>
      <w:r>
        <w:rPr>
          <w:b/>
          <w:bCs/>
        </w:rPr>
        <w:fldChar w:fldCharType="separate"/>
      </w:r>
      <w:r w:rsidRPr="00D1653A">
        <w:t xml:space="preserve">Figure </w:t>
      </w:r>
      <w:r>
        <w:t>4</w:t>
      </w:r>
      <w:r>
        <w:rPr>
          <w:b/>
          <w:bCs/>
        </w:rPr>
        <w:fldChar w:fldCharType="end"/>
      </w:r>
      <w:r>
        <w:rPr>
          <w:b/>
          <w:bCs/>
        </w:rPr>
        <w:t xml:space="preserve"> </w:t>
      </w:r>
      <w:r w:rsidRPr="00116EA2">
        <w:t xml:space="preserve">illustrates the proposed algorithm </w:t>
      </w:r>
      <w:r>
        <w:t>for the management of patients with severe HMA,</w:t>
      </w:r>
      <w:r w:rsidRPr="00116EA2">
        <w:t xml:space="preserve"> </w:t>
      </w:r>
      <w:r>
        <w:t>incorporating</w:t>
      </w:r>
      <w:r w:rsidRPr="00116EA2">
        <w:t xml:space="preserve"> the anticipated availability of marstacimab. Marstacimab </w:t>
      </w:r>
      <w:r>
        <w:t>is proposed</w:t>
      </w:r>
      <w:r w:rsidRPr="00116EA2">
        <w:t xml:space="preserve"> as an alternative to both emicizumab and </w:t>
      </w:r>
      <w:r>
        <w:t xml:space="preserve">EHL </w:t>
      </w:r>
      <w:r w:rsidRPr="00116EA2">
        <w:t>factor VIII replacement</w:t>
      </w:r>
      <w:r>
        <w:t xml:space="preserve"> </w:t>
      </w:r>
      <w:r w:rsidRPr="00116EA2">
        <w:t>for individuals aged 12 years and older</w:t>
      </w:r>
      <w:r>
        <w:t>.</w:t>
      </w:r>
    </w:p>
    <w:p w14:paraId="2A0F9225" w14:textId="389788E0" w:rsidR="005A78C4" w:rsidRDefault="00C129A1" w:rsidP="003A3B9E">
      <w:pPr>
        <w:spacing w:after="0" w:line="240" w:lineRule="auto"/>
        <w:rPr>
          <w:rFonts w:ascii="Segoe UI" w:hAnsi="Segoe UI" w:cs="Segoe UI"/>
        </w:rPr>
      </w:pPr>
      <w:r w:rsidRPr="00C129A1">
        <w:rPr>
          <w:rFonts w:ascii="Segoe UI" w:hAnsi="Segoe UI" w:cs="Segoe UI"/>
          <w:noProof/>
        </w:rPr>
        <w:lastRenderedPageBreak/>
        <w:drawing>
          <wp:inline distT="0" distB="0" distL="0" distR="0" wp14:anchorId="6A405710" wp14:editId="3C394414">
            <wp:extent cx="6083935" cy="3997960"/>
            <wp:effectExtent l="0" t="0" r="0" b="2540"/>
            <wp:docPr id="372619400" name="Picture 1" descr="A diagram of best treatment practice for severe HMA in Australia. Individuals may be treated prophylactically with marstacimab (highlighted), emicizumab, or EHL FVIII factors. FVIII is used to treat breakthrough bleeds. Individuals are also monitored for drug inhibitors for factor replacement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19400" name="Picture 1" descr="A diagram of best treatment practice for severe HMA in Australia. Individuals may be treated prophylactically with marstacimab (highlighted), emicizumab, or EHL FVIII factors. FVIII is used to treat breakthrough bleeds. Individuals are also monitored for drug inhibitors for factor replacement only."/>
                    <pic:cNvPicPr/>
                  </pic:nvPicPr>
                  <pic:blipFill>
                    <a:blip r:embed="rId13"/>
                    <a:stretch>
                      <a:fillRect/>
                    </a:stretch>
                  </pic:blipFill>
                  <pic:spPr>
                    <a:xfrm>
                      <a:off x="0" y="0"/>
                      <a:ext cx="6083935" cy="3997960"/>
                    </a:xfrm>
                    <a:prstGeom prst="rect">
                      <a:avLst/>
                    </a:prstGeom>
                  </pic:spPr>
                </pic:pic>
              </a:graphicData>
            </a:graphic>
          </wp:inline>
        </w:drawing>
      </w:r>
    </w:p>
    <w:p w14:paraId="7FD7518A" w14:textId="51C7D3C1" w:rsidR="007C4181" w:rsidRPr="00D1653A" w:rsidRDefault="007C4181" w:rsidP="004D0FEC">
      <w:pPr>
        <w:pStyle w:val="Caption"/>
        <w:ind w:left="0" w:firstLine="0"/>
        <w:rPr>
          <w:lang w:val="en-AU"/>
        </w:rPr>
      </w:pPr>
      <w:bookmarkStart w:id="20" w:name="_Ref201675335"/>
      <w:bookmarkStart w:id="21" w:name="_Ref200446158"/>
      <w:r w:rsidRPr="00D1653A">
        <w:rPr>
          <w:lang w:val="en-AU"/>
        </w:rPr>
        <w:t xml:space="preserve">Figure </w:t>
      </w:r>
      <w:r w:rsidRPr="00D1653A">
        <w:rPr>
          <w:lang w:val="en-AU"/>
        </w:rPr>
        <w:fldChar w:fldCharType="begin"/>
      </w:r>
      <w:r w:rsidRPr="00D1653A">
        <w:rPr>
          <w:lang w:val="en-AU"/>
        </w:rPr>
        <w:instrText xml:space="preserve"> SEQ Figure \* ARABIC </w:instrText>
      </w:r>
      <w:r w:rsidRPr="00D1653A">
        <w:rPr>
          <w:lang w:val="en-AU"/>
        </w:rPr>
        <w:fldChar w:fldCharType="separate"/>
      </w:r>
      <w:r w:rsidR="001D119F">
        <w:rPr>
          <w:noProof/>
          <w:lang w:val="en-AU"/>
        </w:rPr>
        <w:t>4</w:t>
      </w:r>
      <w:r w:rsidRPr="00D1653A">
        <w:rPr>
          <w:lang w:val="en-AU"/>
        </w:rPr>
        <w:fldChar w:fldCharType="end"/>
      </w:r>
      <w:bookmarkEnd w:id="20"/>
      <w:r w:rsidRPr="00D1653A">
        <w:rPr>
          <w:lang w:val="en-AU"/>
        </w:rPr>
        <w:t xml:space="preserve"> Proposed clinical algorithm for the treatment of Haemophilia A</w:t>
      </w:r>
    </w:p>
    <w:bookmarkEnd w:id="21"/>
    <w:p w14:paraId="077C26E9" w14:textId="0E56A310" w:rsidR="007D74BA" w:rsidRDefault="007D74BA" w:rsidP="00D242B1">
      <w:pPr>
        <w:pStyle w:val="Tablenotes"/>
      </w:pPr>
      <w:r w:rsidRPr="000A04F0">
        <w:t xml:space="preserve">Source: </w:t>
      </w:r>
      <w:r w:rsidR="009951F3" w:rsidRPr="000A04F0">
        <w:t>Adapted fro</w:t>
      </w:r>
      <w:r w:rsidR="000A04F0" w:rsidRPr="000A04F0">
        <w:t>m</w:t>
      </w:r>
      <w:r w:rsidRPr="000A04F0">
        <w:t xml:space="preserve"> Figure </w:t>
      </w:r>
      <w:r w:rsidR="007626C0" w:rsidRPr="000A04F0">
        <w:t>7</w:t>
      </w:r>
      <w:r w:rsidRPr="000A04F0">
        <w:t>, MBS Application PICO set document_Pfizer_marstacimab_March 2025</w:t>
      </w:r>
    </w:p>
    <w:p w14:paraId="6A61D8AC" w14:textId="032C27F2" w:rsidR="00C2041A" w:rsidRPr="004679D0" w:rsidRDefault="00C2041A" w:rsidP="00C2041A">
      <w:pPr>
        <w:pStyle w:val="Tablenotes"/>
      </w:pPr>
      <w:r w:rsidRPr="004679D0">
        <w:t>BPA = bypass</w:t>
      </w:r>
      <w:r w:rsidR="000A0487">
        <w:t>ing</w:t>
      </w:r>
      <w:r w:rsidRPr="004679D0">
        <w:t xml:space="preserve"> agents; </w:t>
      </w:r>
      <w:r>
        <w:t xml:space="preserve">EHL= Extended </w:t>
      </w:r>
      <w:r w:rsidR="007F1861">
        <w:t>half-life</w:t>
      </w:r>
      <w:r>
        <w:t xml:space="preserve">; </w:t>
      </w:r>
      <w:r w:rsidRPr="004679D0">
        <w:t>HMA = haemophilia A; FVIII = factor VIII concentrate; ITI = immune tolerance induction</w:t>
      </w:r>
      <w:r>
        <w:t xml:space="preserve">; </w:t>
      </w:r>
    </w:p>
    <w:p w14:paraId="5ED82368" w14:textId="4A7ADE68" w:rsidR="00DC1376" w:rsidRDefault="002F5506" w:rsidP="002F5506">
      <w:pPr>
        <w:pStyle w:val="Tablenotes"/>
      </w:pPr>
      <w:r w:rsidRPr="00F95926">
        <w:rPr>
          <w:vertAlign w:val="superscript"/>
        </w:rPr>
        <w:t>1</w:t>
      </w:r>
      <w:r w:rsidRPr="004679D0">
        <w:t xml:space="preserve"> To treat breakthrough bleeds / surgical cover</w:t>
      </w:r>
    </w:p>
    <w:p w14:paraId="642C63B8" w14:textId="4EB6CB32" w:rsidR="00633934" w:rsidRPr="00822918" w:rsidRDefault="00633934" w:rsidP="002F5506">
      <w:pPr>
        <w:pStyle w:val="Tablenotes"/>
      </w:pPr>
      <w:r w:rsidRPr="00481D74">
        <w:rPr>
          <w:vertAlign w:val="superscript"/>
        </w:rPr>
        <w:t>2</w:t>
      </w:r>
      <w:r w:rsidR="000F567C">
        <w:rPr>
          <w:vertAlign w:val="superscript"/>
        </w:rPr>
        <w:t xml:space="preserve"> </w:t>
      </w:r>
      <w:r w:rsidR="00822918">
        <w:rPr>
          <w:vertAlign w:val="superscript"/>
        </w:rPr>
        <w:t xml:space="preserve"> </w:t>
      </w:r>
      <w:r w:rsidR="00714152" w:rsidRPr="00481D74">
        <w:t>Indivi</w:t>
      </w:r>
      <w:r w:rsidR="00714152">
        <w:t>duals</w:t>
      </w:r>
      <w:r w:rsidR="00B52ED6">
        <w:t xml:space="preserve"> </w:t>
      </w:r>
      <w:r w:rsidR="002D708D">
        <w:t xml:space="preserve">to be screened for inhibitors to FVIII </w:t>
      </w:r>
      <w:r w:rsidR="0008074D">
        <w:t>only</w:t>
      </w:r>
    </w:p>
    <w:p w14:paraId="169A12DF" w14:textId="2A394605" w:rsidR="00BC5A28" w:rsidRDefault="0024532E" w:rsidP="002F5506">
      <w:pPr>
        <w:pStyle w:val="Tablenotes"/>
      </w:pPr>
      <w:r>
        <w:t xml:space="preserve">Intervention </w:t>
      </w:r>
      <w:r w:rsidR="0022254A">
        <w:t xml:space="preserve">subject to this assessment </w:t>
      </w:r>
      <w:r w:rsidR="000E13D4">
        <w:t>outlined in red</w:t>
      </w:r>
    </w:p>
    <w:p w14:paraId="02C780CB" w14:textId="4836F6DE" w:rsidR="004D030C" w:rsidRDefault="004D030C" w:rsidP="004D030C">
      <w:pPr>
        <w:pStyle w:val="Heading3"/>
      </w:pPr>
      <w:r>
        <w:t>Haemophilia B</w:t>
      </w:r>
    </w:p>
    <w:p w14:paraId="022DFFF7" w14:textId="6D35AA8A" w:rsidR="00D86732" w:rsidRPr="00937FF4" w:rsidRDefault="002B3A6D" w:rsidP="00D86732">
      <w:r w:rsidRPr="00937FF4">
        <w:t xml:space="preserve">The current </w:t>
      </w:r>
      <w:r w:rsidR="000D53F7" w:rsidRPr="00937FF4">
        <w:t xml:space="preserve">treatment </w:t>
      </w:r>
      <w:r w:rsidRPr="00937FF4">
        <w:t xml:space="preserve">algorithm for </w:t>
      </w:r>
      <w:r w:rsidR="001B53FE">
        <w:t xml:space="preserve">individuals with </w:t>
      </w:r>
      <w:r w:rsidRPr="00937FF4">
        <w:t>s</w:t>
      </w:r>
      <w:r w:rsidR="005A4CCC" w:rsidRPr="00937FF4">
        <w:t>e</w:t>
      </w:r>
      <w:r w:rsidRPr="00937FF4">
        <w:t xml:space="preserve">vere HMB is illustrated below in </w:t>
      </w:r>
      <w:r w:rsidR="00877844">
        <w:fldChar w:fldCharType="begin"/>
      </w:r>
      <w:r w:rsidR="00877844">
        <w:instrText xml:space="preserve"> REF _Ref206495356 \h </w:instrText>
      </w:r>
      <w:r w:rsidR="00877844">
        <w:fldChar w:fldCharType="separate"/>
      </w:r>
      <w:r w:rsidR="00877844" w:rsidRPr="00D1653A">
        <w:t xml:space="preserve">Figure </w:t>
      </w:r>
      <w:r w:rsidR="00877844">
        <w:rPr>
          <w:noProof/>
        </w:rPr>
        <w:t>5</w:t>
      </w:r>
      <w:r w:rsidR="00877844">
        <w:fldChar w:fldCharType="end"/>
      </w:r>
      <w:r w:rsidR="004B4574" w:rsidRPr="00937FF4">
        <w:t xml:space="preserve">. The current standard </w:t>
      </w:r>
      <w:r w:rsidR="00480011">
        <w:t xml:space="preserve">of </w:t>
      </w:r>
      <w:r w:rsidR="004B4574" w:rsidRPr="00937FF4">
        <w:t xml:space="preserve">care for </w:t>
      </w:r>
      <w:r w:rsidR="00480011">
        <w:t>the</w:t>
      </w:r>
      <w:r w:rsidR="004B4574" w:rsidRPr="00937FF4">
        <w:t xml:space="preserve"> majority of these patients involves </w:t>
      </w:r>
      <w:r w:rsidR="004F23F0" w:rsidRPr="00AF4F38">
        <w:t>prophylactic infusions of</w:t>
      </w:r>
      <w:r w:rsidR="00741641">
        <w:t xml:space="preserve"> </w:t>
      </w:r>
      <w:r w:rsidR="00C06E70">
        <w:t>EHL</w:t>
      </w:r>
      <w:r w:rsidR="004F23F0" w:rsidRPr="00AF4F38">
        <w:t xml:space="preserve"> FIX concentrate</w:t>
      </w:r>
      <w:r w:rsidR="00E3174C">
        <w:t xml:space="preserve"> (administered </w:t>
      </w:r>
      <w:r w:rsidR="00A26101">
        <w:t>once per 2-3 week</w:t>
      </w:r>
      <w:r w:rsidR="00C06E70">
        <w:t>s</w:t>
      </w:r>
      <w:r w:rsidR="00A26101" w:rsidRPr="00937FF4">
        <w:t>).</w:t>
      </w:r>
      <w:r w:rsidR="0007668D" w:rsidRPr="00937FF4">
        <w:t xml:space="preserve"> </w:t>
      </w:r>
      <w:r w:rsidR="00D75339">
        <w:t xml:space="preserve">In addition, FIX concentrate is also used on-demand to manage breakthrough bleeds or </w:t>
      </w:r>
      <w:r w:rsidR="00C17401">
        <w:t>as cov</w:t>
      </w:r>
      <w:r w:rsidR="00787270">
        <w:t xml:space="preserve">er </w:t>
      </w:r>
      <w:r w:rsidR="00707B29">
        <w:t xml:space="preserve">prior </w:t>
      </w:r>
      <w:r w:rsidR="00707B29" w:rsidRPr="00937FF4">
        <w:t>to</w:t>
      </w:r>
      <w:r w:rsidR="0001024B" w:rsidRPr="00937FF4">
        <w:t xml:space="preserve"> </w:t>
      </w:r>
      <w:r w:rsidR="002600A2">
        <w:t xml:space="preserve">surgical </w:t>
      </w:r>
      <w:r w:rsidR="00D75339" w:rsidRPr="00937FF4">
        <w:t>pr</w:t>
      </w:r>
      <w:r w:rsidR="00E66579" w:rsidRPr="00937FF4">
        <w:t>ocedures.</w:t>
      </w:r>
      <w:r w:rsidR="00E66579">
        <w:t xml:space="preserve"> </w:t>
      </w:r>
      <w:r w:rsidR="008B6AA9" w:rsidRPr="00937FF4">
        <w:t xml:space="preserve">Patients receiving FIX prophylaxis are typically screened for inhibitor development if they exhibit an unexpected clinical response, have undergone intensive FIX treatment, or are scheduled for surgical procedures. </w:t>
      </w:r>
      <w:r w:rsidR="00F87E9F" w:rsidRPr="00F87E9F">
        <w:t>Although developing inhibitors in HMB is relatively rare—affecting approximately 1–4% of patients with severe HMB—it poses significant clinical challenges</w:t>
      </w:r>
      <w:r w:rsidR="00556310">
        <w:t xml:space="preserve"> </w:t>
      </w:r>
      <w:r w:rsidR="002E2578">
        <w:fldChar w:fldCharType="begin"/>
      </w:r>
      <w:r w:rsidR="002E2578">
        <w:instrText xml:space="preserve"> ADDIN EN.CITE &lt;EndNote&gt;&lt;Cite&gt;&lt;Author&gt;National Blood Authority&lt;/Author&gt;&lt;Year&gt;2022&lt;/Year&gt;&lt;RecNum&gt;52&lt;/RecNum&gt;&lt;DisplayText&gt;(National Blood Authority, A 2022)&lt;/DisplayText&gt;&lt;record&gt;&lt;rec-number&gt;52&lt;/rec-number&gt;&lt;foreign-keys&gt;&lt;key app="EN" db-id="wrdwrvxxvt5dstesdtovsevj50f2z9xw099s" timestamp="1752709553"&gt;52&lt;/key&gt;&lt;/foreign-keys&gt;&lt;ref-type name="Report"&gt;27&lt;/ref-type&gt;&lt;contributors&gt;&lt;authors&gt;&lt;author&gt;National Blood Authority,Australia&lt;/author&gt;&lt;/authors&gt;&lt;/contributors&gt;&lt;titles&gt;&lt;title&gt;NOVOSEVEN RT &amp;#xD;EPTACOG ALFA&amp;#xD;&lt;/title&gt;&lt;/titles&gt;&lt;dates&gt;&lt;year&gt;2022&lt;/year&gt;&lt;/dates&gt;&lt;urls&gt;&lt;related-urls&gt;&lt;url&gt;https://www.blood.gov.au/sites/default/files/documents/2024-07/Eptacog%20alfa%20%28NovoSeven%20RT%29%20Utilisation%20Review.pdf&lt;/url&gt;&lt;/related-urls&gt;&lt;/urls&gt;&lt;access-date&gt;17th July 2025&lt;/access-date&gt;&lt;/record&gt;&lt;/Cite&gt;&lt;/EndNote&gt;</w:instrText>
      </w:r>
      <w:r w:rsidR="002E2578">
        <w:fldChar w:fldCharType="separate"/>
      </w:r>
      <w:r w:rsidR="002E2578">
        <w:rPr>
          <w:noProof/>
        </w:rPr>
        <w:t>(National Blood Authority, A 2022)</w:t>
      </w:r>
      <w:r w:rsidR="002E2578">
        <w:fldChar w:fldCharType="end"/>
      </w:r>
      <w:r w:rsidR="001550F5">
        <w:t>.</w:t>
      </w:r>
    </w:p>
    <w:p w14:paraId="6FCB0CC8" w14:textId="173D175E" w:rsidR="008B6AA9" w:rsidRPr="00937FF4" w:rsidRDefault="008B6AA9" w:rsidP="00D1653A">
      <w:r w:rsidRPr="00937FF4">
        <w:t xml:space="preserve">If high-titre inhibitors are detected, </w:t>
      </w:r>
      <w:r w:rsidR="00342571" w:rsidRPr="00937FF4">
        <w:t>ITI</w:t>
      </w:r>
      <w:r w:rsidRPr="00937FF4">
        <w:t xml:space="preserve"> may be considered; however, ITI is infrequently used in HMB due to its lower success rate and a higher risk of complications such as allergic reactions and nephrotic syndrome, compared to ITI in </w:t>
      </w:r>
      <w:r w:rsidR="00342571" w:rsidRPr="00937FF4">
        <w:t>HMA</w:t>
      </w:r>
      <w:r w:rsidRPr="00937FF4">
        <w:t>.</w:t>
      </w:r>
    </w:p>
    <w:p w14:paraId="5BB63516" w14:textId="19EF44F0" w:rsidR="008B6AA9" w:rsidRPr="00B74C69" w:rsidRDefault="008B6AA9" w:rsidP="008B6AA9">
      <w:pPr>
        <w:spacing w:after="0" w:line="240" w:lineRule="auto"/>
        <w:jc w:val="both"/>
        <w:rPr>
          <w:rFonts w:asciiTheme="minorHAnsi" w:hAnsiTheme="minorHAnsi" w:cstheme="minorHAnsi"/>
        </w:rPr>
      </w:pPr>
      <w:r w:rsidRPr="00B74C69">
        <w:rPr>
          <w:rFonts w:asciiTheme="minorHAnsi" w:hAnsiTheme="minorHAnsi" w:cstheme="minorHAnsi"/>
        </w:rPr>
        <w:t xml:space="preserve">For </w:t>
      </w:r>
      <w:r w:rsidR="005F0B27">
        <w:rPr>
          <w:rFonts w:asciiTheme="minorHAnsi" w:hAnsiTheme="minorHAnsi" w:cstheme="minorHAnsi"/>
        </w:rPr>
        <w:t xml:space="preserve">patients with </w:t>
      </w:r>
      <w:r w:rsidR="00B86B20">
        <w:rPr>
          <w:rFonts w:asciiTheme="minorHAnsi" w:hAnsiTheme="minorHAnsi" w:cstheme="minorHAnsi"/>
        </w:rPr>
        <w:t>HMB</w:t>
      </w:r>
      <w:r w:rsidRPr="00B74C69">
        <w:rPr>
          <w:rFonts w:asciiTheme="minorHAnsi" w:hAnsiTheme="minorHAnsi" w:cstheme="minorHAnsi"/>
        </w:rPr>
        <w:t xml:space="preserve"> with inhibitors who </w:t>
      </w:r>
      <w:r w:rsidRPr="00F95926">
        <w:rPr>
          <w:rFonts w:asciiTheme="minorHAnsi" w:hAnsiTheme="minorHAnsi" w:cstheme="minorHAnsi"/>
        </w:rPr>
        <w:t xml:space="preserve">do not achieve </w:t>
      </w:r>
      <w:r w:rsidR="009F64B4" w:rsidRPr="00937FF4">
        <w:rPr>
          <w:rFonts w:asciiTheme="minorHAnsi" w:hAnsiTheme="minorHAnsi" w:cstheme="minorHAnsi"/>
        </w:rPr>
        <w:t>tolerisation</w:t>
      </w:r>
      <w:r w:rsidRPr="00B74C69">
        <w:rPr>
          <w:rFonts w:asciiTheme="minorHAnsi" w:hAnsiTheme="minorHAnsi" w:cstheme="minorHAnsi"/>
        </w:rPr>
        <w:t>, alternative management options include:</w:t>
      </w:r>
    </w:p>
    <w:p w14:paraId="781F8480" w14:textId="77777777" w:rsidR="008B6AA9" w:rsidRPr="00B74C69" w:rsidRDefault="008B6AA9" w:rsidP="008B6AA9">
      <w:pPr>
        <w:numPr>
          <w:ilvl w:val="0"/>
          <w:numId w:val="29"/>
        </w:numPr>
        <w:spacing w:after="0" w:line="240" w:lineRule="auto"/>
        <w:jc w:val="both"/>
        <w:rPr>
          <w:rFonts w:asciiTheme="minorHAnsi" w:hAnsiTheme="minorHAnsi" w:cstheme="minorHAnsi"/>
        </w:rPr>
      </w:pPr>
      <w:r w:rsidRPr="00F95926">
        <w:rPr>
          <w:rFonts w:asciiTheme="minorHAnsi" w:hAnsiTheme="minorHAnsi" w:cstheme="minorHAnsi"/>
        </w:rPr>
        <w:t>Second-line ITI</w:t>
      </w:r>
      <w:r w:rsidRPr="00B74C69">
        <w:rPr>
          <w:rFonts w:asciiTheme="minorHAnsi" w:hAnsiTheme="minorHAnsi" w:cstheme="minorHAnsi"/>
        </w:rPr>
        <w:t xml:space="preserve"> using a modified protocol or alternative FIX product,</w:t>
      </w:r>
    </w:p>
    <w:p w14:paraId="6C2B17D6" w14:textId="77777777" w:rsidR="008B6AA9" w:rsidRDefault="008B6AA9" w:rsidP="008B6AA9">
      <w:pPr>
        <w:numPr>
          <w:ilvl w:val="0"/>
          <w:numId w:val="29"/>
        </w:numPr>
        <w:spacing w:after="0" w:line="240" w:lineRule="auto"/>
        <w:jc w:val="both"/>
        <w:rPr>
          <w:rFonts w:asciiTheme="minorHAnsi" w:hAnsiTheme="minorHAnsi" w:cstheme="minorHAnsi"/>
        </w:rPr>
      </w:pPr>
      <w:r w:rsidRPr="00B74C69">
        <w:rPr>
          <w:rFonts w:asciiTheme="minorHAnsi" w:hAnsiTheme="minorHAnsi" w:cstheme="minorHAnsi"/>
        </w:rPr>
        <w:lastRenderedPageBreak/>
        <w:t xml:space="preserve">The addition of </w:t>
      </w:r>
      <w:r w:rsidRPr="00F95926">
        <w:rPr>
          <w:rFonts w:asciiTheme="minorHAnsi" w:hAnsiTheme="minorHAnsi" w:cstheme="minorHAnsi"/>
        </w:rPr>
        <w:t>immunosuppressive therapy</w:t>
      </w:r>
      <w:r w:rsidRPr="00B74C69">
        <w:rPr>
          <w:rFonts w:asciiTheme="minorHAnsi" w:hAnsiTheme="minorHAnsi" w:cstheme="minorHAnsi"/>
        </w:rPr>
        <w:t>, or</w:t>
      </w:r>
    </w:p>
    <w:p w14:paraId="4C3E57F7" w14:textId="51A33741" w:rsidR="00F62D61" w:rsidRPr="00B74C69" w:rsidRDefault="00F62D61" w:rsidP="008B6AA9">
      <w:pPr>
        <w:numPr>
          <w:ilvl w:val="0"/>
          <w:numId w:val="29"/>
        </w:numPr>
        <w:spacing w:after="0" w:line="240" w:lineRule="auto"/>
        <w:jc w:val="both"/>
        <w:rPr>
          <w:rFonts w:asciiTheme="minorHAnsi" w:hAnsiTheme="minorHAnsi" w:cstheme="minorHAnsi"/>
        </w:rPr>
      </w:pPr>
      <w:r w:rsidRPr="00B74C69">
        <w:rPr>
          <w:rFonts w:asciiTheme="minorHAnsi" w:hAnsiTheme="minorHAnsi" w:cstheme="minorHAnsi"/>
        </w:rPr>
        <w:t xml:space="preserve">The use of </w:t>
      </w:r>
      <w:r>
        <w:rPr>
          <w:rFonts w:asciiTheme="minorHAnsi" w:hAnsiTheme="minorHAnsi" w:cstheme="minorHAnsi"/>
        </w:rPr>
        <w:t>BPAs</w:t>
      </w:r>
      <w:r w:rsidRPr="00B74C69">
        <w:rPr>
          <w:rFonts w:asciiTheme="minorHAnsi" w:hAnsiTheme="minorHAnsi" w:cstheme="minorHAnsi"/>
        </w:rPr>
        <w:t xml:space="preserve">, either </w:t>
      </w:r>
      <w:r w:rsidRPr="00F95926">
        <w:rPr>
          <w:rFonts w:asciiTheme="minorHAnsi" w:hAnsiTheme="minorHAnsi" w:cstheme="minorHAnsi"/>
        </w:rPr>
        <w:t>on-demand</w:t>
      </w:r>
      <w:r w:rsidRPr="00B74C69">
        <w:rPr>
          <w:rFonts w:asciiTheme="minorHAnsi" w:hAnsiTheme="minorHAnsi" w:cstheme="minorHAnsi"/>
        </w:rPr>
        <w:t xml:space="preserve"> or as </w:t>
      </w:r>
      <w:r w:rsidRPr="00F95926">
        <w:rPr>
          <w:rFonts w:asciiTheme="minorHAnsi" w:hAnsiTheme="minorHAnsi" w:cstheme="minorHAnsi"/>
        </w:rPr>
        <w:t>prophylaxis</w:t>
      </w:r>
      <w:r w:rsidRPr="00B74C69">
        <w:rPr>
          <w:rFonts w:asciiTheme="minorHAnsi" w:hAnsiTheme="minorHAnsi" w:cstheme="minorHAnsi"/>
        </w:rPr>
        <w:t>.</w:t>
      </w:r>
    </w:p>
    <w:p w14:paraId="3509552D" w14:textId="350007D2" w:rsidR="00C129A1" w:rsidRPr="00D92845" w:rsidRDefault="00C129A1" w:rsidP="003A3B9E">
      <w:bookmarkStart w:id="22" w:name="_Ref203721921"/>
      <w:r w:rsidRPr="00C129A1">
        <w:rPr>
          <w:noProof/>
          <w:lang w:eastAsia="ja-JP"/>
        </w:rPr>
        <w:drawing>
          <wp:inline distT="0" distB="0" distL="0" distR="0" wp14:anchorId="23AE95BA" wp14:editId="3413BA7D">
            <wp:extent cx="6083935" cy="4458970"/>
            <wp:effectExtent l="0" t="0" r="0" b="0"/>
            <wp:docPr id="449191686" name="Picture 1" descr="A diagram of best treatment practice for severe HMB in Australia. Individuals may be treated prophylactically with EHL factors. Individuals are also monitored for drug inhib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91686" name="Picture 1" descr="A diagram of best treatment practice for severe HMB in Australia. Individuals may be treated prophylactically with EHL factors. Individuals are also monitored for drug inhibitors."/>
                    <pic:cNvPicPr/>
                  </pic:nvPicPr>
                  <pic:blipFill>
                    <a:blip r:embed="rId14"/>
                    <a:stretch>
                      <a:fillRect/>
                    </a:stretch>
                  </pic:blipFill>
                  <pic:spPr>
                    <a:xfrm>
                      <a:off x="0" y="0"/>
                      <a:ext cx="6083935" cy="4458970"/>
                    </a:xfrm>
                    <a:prstGeom prst="rect">
                      <a:avLst/>
                    </a:prstGeom>
                  </pic:spPr>
                </pic:pic>
              </a:graphicData>
            </a:graphic>
          </wp:inline>
        </w:drawing>
      </w:r>
    </w:p>
    <w:p w14:paraId="2EAA7A3A" w14:textId="5A8F8C70" w:rsidR="00797022" w:rsidRPr="00D1653A" w:rsidRDefault="00797022" w:rsidP="00F62D61">
      <w:pPr>
        <w:pStyle w:val="Caption"/>
        <w:ind w:left="0" w:firstLine="0"/>
        <w:rPr>
          <w:rFonts w:ascii="Arial" w:hAnsi="Arial"/>
          <w:szCs w:val="18"/>
          <w:lang w:val="en-AU"/>
        </w:rPr>
      </w:pPr>
      <w:bookmarkStart w:id="23" w:name="_Ref206495356"/>
      <w:r w:rsidRPr="00D1653A">
        <w:rPr>
          <w:lang w:val="en-AU"/>
        </w:rPr>
        <w:t xml:space="preserve">Figure </w:t>
      </w:r>
      <w:r w:rsidRPr="00D1653A">
        <w:rPr>
          <w:lang w:val="en-AU"/>
        </w:rPr>
        <w:fldChar w:fldCharType="begin"/>
      </w:r>
      <w:r w:rsidRPr="00D1653A">
        <w:rPr>
          <w:lang w:val="en-AU"/>
        </w:rPr>
        <w:instrText xml:space="preserve"> SEQ Figure \* ARABIC </w:instrText>
      </w:r>
      <w:r w:rsidRPr="00D1653A">
        <w:rPr>
          <w:lang w:val="en-AU"/>
        </w:rPr>
        <w:fldChar w:fldCharType="separate"/>
      </w:r>
      <w:r w:rsidR="001D119F">
        <w:rPr>
          <w:noProof/>
          <w:lang w:val="en-AU"/>
        </w:rPr>
        <w:t>5</w:t>
      </w:r>
      <w:r w:rsidRPr="00D1653A">
        <w:rPr>
          <w:lang w:val="en-AU"/>
        </w:rPr>
        <w:fldChar w:fldCharType="end"/>
      </w:r>
      <w:bookmarkEnd w:id="22"/>
      <w:bookmarkEnd w:id="23"/>
      <w:r w:rsidRPr="00D1653A">
        <w:rPr>
          <w:lang w:val="en-AU"/>
        </w:rPr>
        <w:t xml:space="preserve"> Current clinical algorithm for the treatment of Haemophilia B</w:t>
      </w:r>
    </w:p>
    <w:p w14:paraId="2635F329" w14:textId="5B62A813" w:rsidR="00FF62D8" w:rsidRDefault="00FF62D8" w:rsidP="00797022">
      <w:pPr>
        <w:pStyle w:val="Tablenotes"/>
      </w:pPr>
      <w:r w:rsidRPr="00A7630B">
        <w:t xml:space="preserve">Source: </w:t>
      </w:r>
      <w:r w:rsidR="000A04F0">
        <w:t>Adapted from</w:t>
      </w:r>
      <w:r w:rsidRPr="00A7630B">
        <w:t xml:space="preserve"> Figure </w:t>
      </w:r>
      <w:r w:rsidR="001A421E" w:rsidRPr="00A7630B">
        <w:t xml:space="preserve">4, </w:t>
      </w:r>
      <w:r w:rsidRPr="00A7630B">
        <w:t>MBS Application PICO set document_Pfizer_marstacimab_March 2025</w:t>
      </w:r>
    </w:p>
    <w:p w14:paraId="25C88A5E" w14:textId="254086AF" w:rsidR="003D0310" w:rsidRPr="003D0310" w:rsidRDefault="003D0310" w:rsidP="00D242B1">
      <w:pPr>
        <w:pStyle w:val="Tablenotes"/>
      </w:pPr>
      <w:r w:rsidRPr="003D0310">
        <w:t>BPA = bypass</w:t>
      </w:r>
      <w:r w:rsidR="00786E76">
        <w:t>ing</w:t>
      </w:r>
      <w:r w:rsidRPr="003D0310">
        <w:t xml:space="preserve"> agents (e.g., FVIIa, aPCC, FEIBA); </w:t>
      </w:r>
      <w:r w:rsidR="004E4502">
        <w:t>EHL= Extended half</w:t>
      </w:r>
      <w:r w:rsidR="00EA10FF">
        <w:t>-life</w:t>
      </w:r>
      <w:r w:rsidR="004E4502">
        <w:t xml:space="preserve">; </w:t>
      </w:r>
      <w:r w:rsidRPr="003D0310">
        <w:t>HMB = haemophilia B</w:t>
      </w:r>
      <w:r w:rsidR="006637C4" w:rsidRPr="003D0310">
        <w:t>;</w:t>
      </w:r>
      <w:r w:rsidRPr="003D0310">
        <w:t xml:space="preserve"> FIX = factor IX concentrate; ITI = immune tolerance induction</w:t>
      </w:r>
      <w:r w:rsidR="004E4502">
        <w:t>;</w:t>
      </w:r>
      <w:r w:rsidR="006637C4">
        <w:t xml:space="preserve"> </w:t>
      </w:r>
    </w:p>
    <w:p w14:paraId="1970F212" w14:textId="213B6946" w:rsidR="003D0310" w:rsidRPr="003D0310" w:rsidRDefault="00B56B4D" w:rsidP="00D242B1">
      <w:pPr>
        <w:pStyle w:val="Tablenotes"/>
      </w:pPr>
      <w:r w:rsidRPr="00B56B4D">
        <w:rPr>
          <w:vertAlign w:val="superscript"/>
        </w:rPr>
        <w:t>1</w:t>
      </w:r>
      <w:r w:rsidR="003D0310" w:rsidRPr="003D0310">
        <w:t>To treat breakthrough bleeds / surgical cover</w:t>
      </w:r>
    </w:p>
    <w:p w14:paraId="1D035FAD" w14:textId="083469C4" w:rsidR="003D0310" w:rsidRDefault="00B56B4D" w:rsidP="00D242B1">
      <w:pPr>
        <w:pStyle w:val="Tablenotes"/>
      </w:pPr>
      <w:r w:rsidRPr="00B56B4D">
        <w:rPr>
          <w:vertAlign w:val="superscript"/>
        </w:rPr>
        <w:t>2</w:t>
      </w:r>
      <w:r w:rsidR="003D0310" w:rsidRPr="003D0310">
        <w:t>Different treatment regimen (e.g., higher factor dose or twice-daily regimen), different factor concentrate, or the addition of an immunosuppressant</w:t>
      </w:r>
    </w:p>
    <w:p w14:paraId="411648B4" w14:textId="31325CF7" w:rsidR="001C5F9E" w:rsidRDefault="001C5F9E" w:rsidP="00851F89">
      <w:pPr>
        <w:pStyle w:val="Tablenotes"/>
        <w:jc w:val="both"/>
        <w:rPr>
          <w:rFonts w:asciiTheme="minorHAnsi" w:hAnsiTheme="minorHAnsi" w:cstheme="minorHAnsi"/>
          <w:sz w:val="22"/>
          <w:szCs w:val="22"/>
        </w:rPr>
      </w:pPr>
    </w:p>
    <w:p w14:paraId="48704840" w14:textId="4C897F32" w:rsidR="004C4E32" w:rsidRDefault="00F61D27" w:rsidP="00D1653A">
      <w:pPr>
        <w:rPr>
          <w:rFonts w:asciiTheme="minorHAnsi" w:hAnsiTheme="minorHAnsi" w:cstheme="minorHAnsi"/>
        </w:rPr>
      </w:pPr>
      <w:r w:rsidRPr="00937FF4">
        <w:t xml:space="preserve">The </w:t>
      </w:r>
      <w:r w:rsidR="00D14BF2" w:rsidRPr="00937FF4">
        <w:t xml:space="preserve">proposed treatment algorithm for the management of individuals with severe HMB </w:t>
      </w:r>
      <w:r w:rsidR="006C6C09" w:rsidRPr="00937FF4">
        <w:t>following the introduction of marstacimab is illustrated in Figure 6. For eligible pat</w:t>
      </w:r>
      <w:r w:rsidR="006A7AE1" w:rsidRPr="00937FF4">
        <w:t xml:space="preserve">ients who opt to transition from FIX replacement </w:t>
      </w:r>
      <w:r w:rsidR="00030CA3" w:rsidRPr="00937FF4">
        <w:t>therapy</w:t>
      </w:r>
      <w:r w:rsidR="006A7AE1" w:rsidRPr="00937FF4">
        <w:t xml:space="preserve"> to marstacimab</w:t>
      </w:r>
      <w:r w:rsidR="005D2D39" w:rsidRPr="00937FF4">
        <w:t>, the need for routine inhibitor scree</w:t>
      </w:r>
      <w:r w:rsidR="00924FB1" w:rsidRPr="00937FF4">
        <w:t>n</w:t>
      </w:r>
      <w:r w:rsidR="005D2D39" w:rsidRPr="00937FF4">
        <w:t>i</w:t>
      </w:r>
      <w:r w:rsidR="00924FB1" w:rsidRPr="00937FF4">
        <w:t>n</w:t>
      </w:r>
      <w:r w:rsidR="005D2D39" w:rsidRPr="00937FF4">
        <w:t>g, ITI or FIX dose adjustments</w:t>
      </w:r>
      <w:r w:rsidR="0075162E">
        <w:rPr>
          <w:rFonts w:asciiTheme="minorHAnsi" w:hAnsiTheme="minorHAnsi" w:cstheme="minorHAnsi"/>
        </w:rPr>
        <w:t xml:space="preserve"> is eliminated, due to the non-factor mechanism action of marstacimab.</w:t>
      </w:r>
    </w:p>
    <w:p w14:paraId="3A870A3B" w14:textId="62C520EC" w:rsidR="004C4E32" w:rsidRDefault="004C4E32" w:rsidP="00851F89">
      <w:pPr>
        <w:pStyle w:val="Tablenotes"/>
        <w:jc w:val="both"/>
        <w:rPr>
          <w:rFonts w:asciiTheme="minorHAnsi" w:hAnsiTheme="minorHAnsi" w:cstheme="minorHAnsi"/>
          <w:sz w:val="22"/>
          <w:szCs w:val="22"/>
        </w:rPr>
      </w:pPr>
    </w:p>
    <w:p w14:paraId="22AB7503" w14:textId="77777777" w:rsidR="00AE1786" w:rsidRDefault="00AE1786" w:rsidP="00851F89">
      <w:pPr>
        <w:pStyle w:val="Tablenotes"/>
        <w:jc w:val="both"/>
        <w:rPr>
          <w:rFonts w:asciiTheme="minorHAnsi" w:hAnsiTheme="minorHAnsi" w:cstheme="minorHAnsi"/>
          <w:sz w:val="22"/>
          <w:szCs w:val="22"/>
        </w:rPr>
      </w:pPr>
    </w:p>
    <w:p w14:paraId="34147DF0" w14:textId="01D7E3F5" w:rsidR="00AE1786" w:rsidRDefault="00AE1786" w:rsidP="00851F89">
      <w:pPr>
        <w:pStyle w:val="Tablenotes"/>
        <w:jc w:val="both"/>
        <w:rPr>
          <w:rFonts w:asciiTheme="minorHAnsi" w:hAnsiTheme="minorHAnsi" w:cstheme="minorHAnsi"/>
          <w:sz w:val="22"/>
          <w:szCs w:val="22"/>
        </w:rPr>
      </w:pPr>
    </w:p>
    <w:p w14:paraId="1CB74774" w14:textId="3B9725B8" w:rsidR="00C129A1" w:rsidRDefault="00C129A1" w:rsidP="00851F89">
      <w:pPr>
        <w:pStyle w:val="Tablenotes"/>
        <w:jc w:val="both"/>
        <w:rPr>
          <w:rFonts w:asciiTheme="minorHAnsi" w:hAnsiTheme="minorHAnsi" w:cstheme="minorHAnsi"/>
          <w:sz w:val="22"/>
          <w:szCs w:val="22"/>
        </w:rPr>
      </w:pPr>
      <w:r w:rsidRPr="00C129A1">
        <w:rPr>
          <w:rFonts w:asciiTheme="minorHAnsi" w:hAnsiTheme="minorHAnsi" w:cstheme="minorHAnsi"/>
          <w:noProof/>
          <w:sz w:val="22"/>
          <w:szCs w:val="22"/>
        </w:rPr>
        <w:lastRenderedPageBreak/>
        <w:drawing>
          <wp:inline distT="0" distB="0" distL="0" distR="0" wp14:anchorId="308EE900" wp14:editId="6F96A71D">
            <wp:extent cx="6083935" cy="4391025"/>
            <wp:effectExtent l="0" t="0" r="0" b="9525"/>
            <wp:docPr id="1188900734" name="Picture 1" descr="A diagram of proposed treatment practice for severe HMB in Australia. Individuals may be treated prophylactically with EHL factors; or marstacimab (outlined in red, which is subject to this assessment). Individuals are to be screened for inhibitors to FIX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00734" name="Picture 1" descr="A diagram of proposed treatment practice for severe HMB in Australia. Individuals may be treated prophylactically with EHL factors; or marstacimab (outlined in red, which is subject to this assessment). Individuals are to be screened for inhibitors to FIX only."/>
                    <pic:cNvPicPr/>
                  </pic:nvPicPr>
                  <pic:blipFill>
                    <a:blip r:embed="rId15"/>
                    <a:stretch>
                      <a:fillRect/>
                    </a:stretch>
                  </pic:blipFill>
                  <pic:spPr>
                    <a:xfrm>
                      <a:off x="0" y="0"/>
                      <a:ext cx="6083935" cy="4391025"/>
                    </a:xfrm>
                    <a:prstGeom prst="rect">
                      <a:avLst/>
                    </a:prstGeom>
                  </pic:spPr>
                </pic:pic>
              </a:graphicData>
            </a:graphic>
          </wp:inline>
        </w:drawing>
      </w:r>
    </w:p>
    <w:p w14:paraId="555FB8BF" w14:textId="3E87C225" w:rsidR="00A23416" w:rsidRPr="00D1653A" w:rsidRDefault="00A23416" w:rsidP="00F95926">
      <w:pPr>
        <w:pStyle w:val="Caption"/>
        <w:ind w:left="0" w:firstLine="0"/>
        <w:rPr>
          <w:lang w:val="en-AU"/>
        </w:rPr>
      </w:pPr>
      <w:bookmarkStart w:id="24" w:name="_Ref203721923"/>
      <w:r w:rsidRPr="00D1653A">
        <w:rPr>
          <w:lang w:val="en-AU"/>
        </w:rPr>
        <w:t xml:space="preserve">Figure </w:t>
      </w:r>
      <w:r w:rsidRPr="00D1653A">
        <w:rPr>
          <w:lang w:val="en-AU"/>
        </w:rPr>
        <w:fldChar w:fldCharType="begin"/>
      </w:r>
      <w:r w:rsidRPr="00D1653A">
        <w:rPr>
          <w:lang w:val="en-AU"/>
        </w:rPr>
        <w:instrText xml:space="preserve"> SEQ Figure \* ARABIC </w:instrText>
      </w:r>
      <w:r w:rsidRPr="00D1653A">
        <w:rPr>
          <w:lang w:val="en-AU"/>
        </w:rPr>
        <w:fldChar w:fldCharType="separate"/>
      </w:r>
      <w:r w:rsidR="001D119F">
        <w:rPr>
          <w:noProof/>
          <w:lang w:val="en-AU"/>
        </w:rPr>
        <w:t>6</w:t>
      </w:r>
      <w:r w:rsidRPr="00D1653A">
        <w:rPr>
          <w:lang w:val="en-AU"/>
        </w:rPr>
        <w:fldChar w:fldCharType="end"/>
      </w:r>
      <w:bookmarkEnd w:id="24"/>
      <w:r w:rsidR="007B41AF" w:rsidRPr="00D1653A">
        <w:rPr>
          <w:lang w:val="en-AU"/>
        </w:rPr>
        <w:t xml:space="preserve"> Proposed</w:t>
      </w:r>
      <w:r w:rsidRPr="00D1653A">
        <w:rPr>
          <w:lang w:val="en-AU"/>
        </w:rPr>
        <w:t xml:space="preserve"> clinical algorithm for the treatment of Haemophilia B</w:t>
      </w:r>
    </w:p>
    <w:p w14:paraId="543F5A37" w14:textId="406CC652" w:rsidR="00A23416" w:rsidRDefault="00A23416" w:rsidP="00A23416">
      <w:pPr>
        <w:pStyle w:val="Tablenotes"/>
      </w:pPr>
      <w:r>
        <w:t xml:space="preserve">Source: </w:t>
      </w:r>
      <w:r w:rsidR="000A04F0">
        <w:t>Adapted from</w:t>
      </w:r>
      <w:r>
        <w:t xml:space="preserve"> Figure 5, </w:t>
      </w:r>
      <w:r w:rsidRPr="00A85CEF">
        <w:t>MBS Application PICO set document_Pfizer_marstacimab_March 2025</w:t>
      </w:r>
    </w:p>
    <w:p w14:paraId="1D74E03A" w14:textId="24745EC7" w:rsidR="00A23416" w:rsidRPr="003D0310" w:rsidRDefault="00A23416" w:rsidP="00A23416">
      <w:pPr>
        <w:pStyle w:val="Tablenotes"/>
      </w:pPr>
      <w:r w:rsidRPr="003D0310">
        <w:t>BPA = bypass</w:t>
      </w:r>
      <w:r w:rsidR="00786E76">
        <w:t>ing</w:t>
      </w:r>
      <w:r w:rsidRPr="003D0310">
        <w:t xml:space="preserve"> agents (e.g., FVIIa, aPCC, FEIBA);</w:t>
      </w:r>
      <w:r w:rsidR="00726980">
        <w:t xml:space="preserve"> EHL= Extended half</w:t>
      </w:r>
      <w:r w:rsidR="00D153CC">
        <w:t>-life</w:t>
      </w:r>
      <w:r w:rsidR="00726980">
        <w:t xml:space="preserve">; </w:t>
      </w:r>
      <w:r w:rsidRPr="003D0310">
        <w:t>HMB = haemophilia B; FIX = factor IX concentrate; ITI = immune tolerance induction</w:t>
      </w:r>
      <w:r w:rsidR="00726980">
        <w:t xml:space="preserve">; </w:t>
      </w:r>
    </w:p>
    <w:p w14:paraId="27CAC84B" w14:textId="16A96FD0" w:rsidR="00A23416" w:rsidRPr="003D0310" w:rsidRDefault="00A23416" w:rsidP="00A23416">
      <w:pPr>
        <w:pStyle w:val="Tablenotes"/>
      </w:pPr>
      <w:r w:rsidRPr="00F95926">
        <w:rPr>
          <w:vertAlign w:val="superscript"/>
        </w:rPr>
        <w:t>1</w:t>
      </w:r>
      <w:r w:rsidRPr="003D0310">
        <w:t>To treat breakthrough bleeds / surgical cover</w:t>
      </w:r>
    </w:p>
    <w:p w14:paraId="7AD3F8FB" w14:textId="5D2E3DA4" w:rsidR="00BA3D2A" w:rsidRDefault="00A23416" w:rsidP="00851F89">
      <w:pPr>
        <w:pStyle w:val="Tablenotes"/>
        <w:jc w:val="both"/>
        <w:rPr>
          <w:rFonts w:asciiTheme="minorHAnsi" w:hAnsiTheme="minorHAnsi" w:cstheme="minorHAnsi"/>
          <w:sz w:val="22"/>
          <w:szCs w:val="22"/>
        </w:rPr>
      </w:pPr>
      <w:r w:rsidRPr="00F95926">
        <w:rPr>
          <w:vertAlign w:val="superscript"/>
        </w:rPr>
        <w:t xml:space="preserve">2 </w:t>
      </w:r>
      <w:r w:rsidRPr="003D0310">
        <w:t>Different treatment regimen (e.g., higher factor dose or twice-daily regimen), different factor concentrate, or the addition of an immunosuppressant</w:t>
      </w:r>
    </w:p>
    <w:p w14:paraId="5F430139" w14:textId="211E3AA6" w:rsidR="006511DC" w:rsidRDefault="00C8380C" w:rsidP="006511DC">
      <w:pPr>
        <w:pStyle w:val="Tablenotes"/>
      </w:pPr>
      <w:r>
        <w:t>i</w:t>
      </w:r>
      <w:r w:rsidR="006511DC">
        <w:t>ntervention subject to this assessment outlined in red</w:t>
      </w:r>
    </w:p>
    <w:p w14:paraId="3F787418" w14:textId="54F4DF75" w:rsidR="00083C16" w:rsidRDefault="00083C16" w:rsidP="006511DC">
      <w:pPr>
        <w:pStyle w:val="Tablenotes"/>
      </w:pPr>
      <w:r>
        <w:rPr>
          <w:vertAlign w:val="superscript"/>
        </w:rPr>
        <w:t xml:space="preserve">3 </w:t>
      </w:r>
      <w:r w:rsidRPr="00F66441">
        <w:t>Indivi</w:t>
      </w:r>
      <w:r>
        <w:t>duals to be screened for inhibitors to F</w:t>
      </w:r>
      <w:r w:rsidR="003A00B9">
        <w:t>IX</w:t>
      </w:r>
      <w:r>
        <w:t xml:space="preserve"> </w:t>
      </w:r>
      <w:r w:rsidR="008D18CB">
        <w:t>only</w:t>
      </w:r>
      <w:r>
        <w:t>.</w:t>
      </w:r>
    </w:p>
    <w:p w14:paraId="09C00E33" w14:textId="77777777" w:rsidR="005B0DC0" w:rsidRDefault="005B0DC0" w:rsidP="006511DC">
      <w:pPr>
        <w:pStyle w:val="Tablenotes"/>
      </w:pPr>
    </w:p>
    <w:p w14:paraId="4B74E441" w14:textId="5F39EC4A" w:rsidR="005B0DC0" w:rsidRDefault="005B0DC0" w:rsidP="006F7E35">
      <w:pPr>
        <w:pStyle w:val="Commentary"/>
      </w:pPr>
      <w:r>
        <w:rPr>
          <w:rFonts w:asciiTheme="minorHAnsi" w:hAnsiTheme="minorHAnsi" w:cstheme="minorHAnsi"/>
          <w:iCs/>
        </w:rPr>
        <w:t>As noted above, PASC considered that o</w:t>
      </w:r>
      <w:r w:rsidRPr="006279D7">
        <w:rPr>
          <w:rFonts w:asciiTheme="minorHAnsi" w:hAnsiTheme="minorHAnsi" w:cstheme="minorHAnsi"/>
          <w:iCs/>
        </w:rPr>
        <w:t>n-demand treatment</w:t>
      </w:r>
      <w:r>
        <w:rPr>
          <w:rFonts w:asciiTheme="minorHAnsi" w:hAnsiTheme="minorHAnsi" w:cstheme="minorHAnsi"/>
          <w:iCs/>
        </w:rPr>
        <w:t xml:space="preserve"> regimens and SHL products are not applicable to severe HMA and HMB within the Australian clinical context. The clinical management algorithms have been updated accordingly. </w:t>
      </w:r>
    </w:p>
    <w:p w14:paraId="2BDE22B9" w14:textId="00B67A29" w:rsidR="00D73332" w:rsidRDefault="00D73332" w:rsidP="00713728">
      <w:pPr>
        <w:pStyle w:val="Heading2"/>
        <w:rPr>
          <w:b/>
          <w:bCs/>
          <w:i/>
        </w:rPr>
      </w:pPr>
      <w:r w:rsidRPr="00490FBB">
        <w:t>Proposed economic evaluation</w:t>
      </w:r>
    </w:p>
    <w:p w14:paraId="27D4A4F7" w14:textId="41983E26" w:rsidR="00586C7A" w:rsidRDefault="00586C7A" w:rsidP="00586C7A">
      <w:pPr>
        <w:pStyle w:val="Heading3"/>
      </w:pPr>
      <w:r>
        <w:t>Haemophilia A</w:t>
      </w:r>
    </w:p>
    <w:p w14:paraId="428F0639" w14:textId="53536DD0" w:rsidR="00507688" w:rsidRDefault="00507688" w:rsidP="00586C7A">
      <w:r>
        <w:t xml:space="preserve">A claim of non-inferiority of efficacy and safety was made for marstacimab </w:t>
      </w:r>
      <w:r w:rsidR="005800B7">
        <w:t xml:space="preserve">compared to </w:t>
      </w:r>
      <w:r>
        <w:t>emicizumab. The appropriate type of economic evaluation in the assessment report would be a cost-minimisation analysis (CMA) (</w:t>
      </w:r>
      <w:r>
        <w:fldChar w:fldCharType="begin"/>
      </w:r>
      <w:r>
        <w:instrText xml:space="preserve"> REF _Ref54260209 \h </w:instrText>
      </w:r>
      <w:r>
        <w:fldChar w:fldCharType="separate"/>
      </w:r>
      <w:r w:rsidR="001D119F" w:rsidRPr="00D1653A">
        <w:t>Table </w:t>
      </w:r>
      <w:r>
        <w:fldChar w:fldCharType="end"/>
      </w:r>
      <w:r w:rsidR="00E5534F">
        <w:t>7</w:t>
      </w:r>
      <w:r>
        <w:t>).</w:t>
      </w:r>
    </w:p>
    <w:p w14:paraId="588DE73A" w14:textId="4D4EF833" w:rsidR="00586C7A" w:rsidRPr="00586C7A" w:rsidRDefault="00586C7A" w:rsidP="00586C7A">
      <w:r>
        <w:lastRenderedPageBreak/>
        <w:t xml:space="preserve">A claim of superior efficacy and non-inferior safety was made for </w:t>
      </w:r>
      <w:r w:rsidR="00215DE0">
        <w:t xml:space="preserve">marstacimab compared to </w:t>
      </w:r>
      <w:r>
        <w:t>FVIII prophylaxis</w:t>
      </w:r>
      <w:r w:rsidR="00D26161">
        <w:t xml:space="preserve">. The appropriate type of economic evaluation in the assessment report would </w:t>
      </w:r>
      <w:r w:rsidR="00D26161" w:rsidRPr="00D26161">
        <w:t>either be a cost-effective analysis (CEA) or a cost-utility analysis (CUA)</w:t>
      </w:r>
      <w:r w:rsidR="00B55500">
        <w:t>.</w:t>
      </w:r>
    </w:p>
    <w:p w14:paraId="6ED143D4" w14:textId="67FE7F14" w:rsidR="00A7416C" w:rsidRDefault="00A7416C" w:rsidP="00A7416C">
      <w:pPr>
        <w:pStyle w:val="Heading3"/>
      </w:pPr>
      <w:r>
        <w:t xml:space="preserve">Haemophilia </w:t>
      </w:r>
      <w:r w:rsidR="009649B6">
        <w:t>B</w:t>
      </w:r>
    </w:p>
    <w:p w14:paraId="5B264C16" w14:textId="3CD11C61" w:rsidR="00A7416C" w:rsidRDefault="00A7416C" w:rsidP="00A7416C">
      <w:r>
        <w:t>A claim of superior efficacy and non-inferior safety was made for F</w:t>
      </w:r>
      <w:r w:rsidR="000D6544">
        <w:t>IX</w:t>
      </w:r>
      <w:r>
        <w:t xml:space="preserve"> prophylaxis. The appropriate type of economic evaluation in the assessment report would </w:t>
      </w:r>
      <w:r w:rsidRPr="00D26161">
        <w:t>either be a CEA or a CUA</w:t>
      </w:r>
      <w:r w:rsidR="0017508F">
        <w:t xml:space="preserve"> (</w:t>
      </w:r>
      <w:r w:rsidR="0017508F">
        <w:fldChar w:fldCharType="begin"/>
      </w:r>
      <w:r w:rsidR="0017508F">
        <w:instrText xml:space="preserve"> REF _Ref54260209 \h </w:instrText>
      </w:r>
      <w:r w:rsidR="0017508F">
        <w:fldChar w:fldCharType="separate"/>
      </w:r>
      <w:r w:rsidR="001D119F" w:rsidRPr="00D1653A">
        <w:t>Table </w:t>
      </w:r>
      <w:r w:rsidR="0017508F">
        <w:fldChar w:fldCharType="end"/>
      </w:r>
      <w:r w:rsidR="00151DB6">
        <w:t>7</w:t>
      </w:r>
      <w:r w:rsidR="0017508F">
        <w:t>)</w:t>
      </w:r>
      <w:r>
        <w:t>.</w:t>
      </w:r>
    </w:p>
    <w:p w14:paraId="6DAB2DBD" w14:textId="5DEDB7C1" w:rsidR="000939E0" w:rsidRPr="00D1653A" w:rsidRDefault="000939E0" w:rsidP="00C40CC4">
      <w:pPr>
        <w:pStyle w:val="Caption"/>
        <w:rPr>
          <w:lang w:val="en-AU"/>
        </w:rPr>
      </w:pPr>
      <w:bookmarkStart w:id="25" w:name="_Ref54260209"/>
      <w:bookmarkStart w:id="26" w:name="_Toc423450289"/>
      <w:r w:rsidRPr="00D1653A">
        <w:rPr>
          <w:lang w:val="en-AU"/>
        </w:rPr>
        <w:t>Table</w:t>
      </w:r>
      <w:r w:rsidR="00DE762F" w:rsidRPr="00D1653A">
        <w:rPr>
          <w:lang w:val="en-AU"/>
        </w:rPr>
        <w:t> </w:t>
      </w:r>
      <w:bookmarkEnd w:id="25"/>
      <w:r w:rsidR="00E5534F">
        <w:rPr>
          <w:lang w:val="en-AU"/>
        </w:rPr>
        <w:t>7</w:t>
      </w:r>
      <w:r w:rsidR="001A5D2F" w:rsidRPr="00D1653A">
        <w:rPr>
          <w:lang w:val="en-AU"/>
        </w:rPr>
        <w:tab/>
        <w:t>Classification of</w:t>
      </w:r>
      <w:r w:rsidRPr="00D1653A">
        <w:rPr>
          <w:lang w:val="en-AU"/>
        </w:rPr>
        <w:t xml:space="preserve"> comparative effectiveness and safety of the proposed intervention</w:t>
      </w:r>
      <w:r w:rsidR="001A5D2F" w:rsidRPr="00D1653A">
        <w:rPr>
          <w:lang w:val="en-AU"/>
        </w:rPr>
        <w:t>,</w:t>
      </w:r>
      <w:r w:rsidRPr="00D1653A">
        <w:rPr>
          <w:lang w:val="en-AU"/>
        </w:rPr>
        <w:t xml:space="preserve"> compared with its main comparator</w:t>
      </w:r>
      <w:r w:rsidR="001A5D2F" w:rsidRPr="00D1653A">
        <w:rPr>
          <w:lang w:val="en-AU"/>
        </w:rPr>
        <w:t>,</w:t>
      </w:r>
      <w:r w:rsidRPr="00D1653A">
        <w:rPr>
          <w:lang w:val="en-AU"/>
        </w:rPr>
        <w:t xml:space="preserve"> and guide to the suitable type of economic evaluation</w:t>
      </w:r>
      <w:bookmarkEnd w:id="26"/>
      <w:r w:rsidR="00E23027" w:rsidRPr="00D1653A">
        <w:rPr>
          <w:lang w:val="en-AU"/>
        </w:rPr>
        <w:t xml:space="preserve"> </w:t>
      </w:r>
    </w:p>
    <w:tbl>
      <w:tblPr>
        <w:tblW w:w="4872" w:type="pct"/>
        <w:tblInd w:w="115" w:type="dxa"/>
        <w:tblLayout w:type="fixed"/>
        <w:tblCellMar>
          <w:left w:w="115" w:type="dxa"/>
          <w:right w:w="115" w:type="dxa"/>
        </w:tblCellMar>
        <w:tblLook w:val="01E0" w:firstRow="1" w:lastRow="1" w:firstColumn="1" w:lastColumn="1" w:noHBand="0" w:noVBand="0"/>
        <w:tblCaption w:val="Table 19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w:tblPr>
      <w:tblGrid>
        <w:gridCol w:w="2012"/>
        <w:gridCol w:w="1905"/>
        <w:gridCol w:w="2227"/>
        <w:gridCol w:w="1748"/>
        <w:gridCol w:w="1434"/>
      </w:tblGrid>
      <w:tr w:rsidR="00686EED" w:rsidRPr="00490FBB" w14:paraId="5238F44C" w14:textId="77777777" w:rsidTr="00686EED">
        <w:trPr>
          <w:cantSplit/>
          <w:tblHeader/>
        </w:trPr>
        <w:tc>
          <w:tcPr>
            <w:tcW w:w="2012" w:type="dxa"/>
            <w:vMerge w:val="restart"/>
            <w:tcBorders>
              <w:top w:val="single" w:sz="4" w:space="0" w:color="auto"/>
              <w:left w:val="single" w:sz="4" w:space="0" w:color="auto"/>
              <w:right w:val="single" w:sz="4" w:space="0" w:color="auto"/>
            </w:tcBorders>
          </w:tcPr>
          <w:p w14:paraId="5B06A6EA" w14:textId="25A7EAC8" w:rsidR="00686EED" w:rsidRPr="003330E6" w:rsidRDefault="00686EED" w:rsidP="00C40CC4">
            <w:pPr>
              <w:pStyle w:val="TableHeading"/>
            </w:pPr>
            <w:bookmarkStart w:id="27" w:name="Title_Table2" w:colFirst="0" w:colLast="0"/>
            <w:r w:rsidRPr="00490FBB">
              <w:t>Comparative safety</w:t>
            </w:r>
          </w:p>
        </w:tc>
        <w:tc>
          <w:tcPr>
            <w:tcW w:w="1905" w:type="dxa"/>
            <w:tcBorders>
              <w:top w:val="single" w:sz="4" w:space="0" w:color="auto"/>
              <w:left w:val="single" w:sz="4" w:space="0" w:color="auto"/>
              <w:bottom w:val="single" w:sz="4" w:space="0" w:color="auto"/>
              <w:right w:val="nil"/>
            </w:tcBorders>
          </w:tcPr>
          <w:p w14:paraId="293E5792" w14:textId="77777777" w:rsidR="00686EED" w:rsidRPr="00490FBB" w:rsidRDefault="00686EED" w:rsidP="00C40CC4">
            <w:pPr>
              <w:pStyle w:val="TableHeading"/>
              <w:jc w:val="center"/>
            </w:pPr>
          </w:p>
        </w:tc>
        <w:tc>
          <w:tcPr>
            <w:tcW w:w="2227" w:type="dxa"/>
            <w:tcBorders>
              <w:top w:val="single" w:sz="4" w:space="0" w:color="auto"/>
              <w:left w:val="nil"/>
              <w:bottom w:val="single" w:sz="4" w:space="0" w:color="auto"/>
            </w:tcBorders>
          </w:tcPr>
          <w:p w14:paraId="57B2397B" w14:textId="77777777" w:rsidR="00686EED" w:rsidRPr="00490FBB" w:rsidRDefault="00686EED" w:rsidP="00C40CC4">
            <w:pPr>
              <w:pStyle w:val="TableHeading"/>
              <w:ind w:left="-75" w:right="-127"/>
              <w:jc w:val="center"/>
            </w:pPr>
            <w:r w:rsidRPr="00490FBB">
              <w:t>Comparative effectiveness</w:t>
            </w:r>
          </w:p>
        </w:tc>
        <w:tc>
          <w:tcPr>
            <w:tcW w:w="1748" w:type="dxa"/>
            <w:tcBorders>
              <w:top w:val="single" w:sz="4" w:space="0" w:color="auto"/>
              <w:left w:val="nil"/>
              <w:bottom w:val="single" w:sz="4" w:space="0" w:color="auto"/>
            </w:tcBorders>
          </w:tcPr>
          <w:p w14:paraId="6B53FB6C" w14:textId="77777777" w:rsidR="00686EED" w:rsidRPr="00490FBB" w:rsidRDefault="00686EED" w:rsidP="00C40CC4">
            <w:pPr>
              <w:pStyle w:val="TableHeading"/>
              <w:jc w:val="center"/>
            </w:pPr>
          </w:p>
        </w:tc>
        <w:tc>
          <w:tcPr>
            <w:tcW w:w="1434" w:type="dxa"/>
            <w:tcBorders>
              <w:top w:val="single" w:sz="4" w:space="0" w:color="auto"/>
              <w:left w:val="nil"/>
              <w:bottom w:val="single" w:sz="4" w:space="0" w:color="auto"/>
              <w:right w:val="single" w:sz="4" w:space="0" w:color="auto"/>
            </w:tcBorders>
          </w:tcPr>
          <w:p w14:paraId="0FE152FA" w14:textId="77777777" w:rsidR="00686EED" w:rsidRPr="00490FBB" w:rsidRDefault="00686EED" w:rsidP="00C40CC4">
            <w:pPr>
              <w:pStyle w:val="TableHeading"/>
              <w:jc w:val="center"/>
            </w:pPr>
          </w:p>
        </w:tc>
      </w:tr>
      <w:bookmarkEnd w:id="27"/>
      <w:tr w:rsidR="00686EED" w:rsidRPr="00490FBB" w14:paraId="78A8F3F1" w14:textId="77777777" w:rsidTr="00686EED">
        <w:trPr>
          <w:cantSplit/>
          <w:tblHeader/>
        </w:trPr>
        <w:tc>
          <w:tcPr>
            <w:tcW w:w="2012" w:type="dxa"/>
            <w:vMerge/>
            <w:tcBorders>
              <w:left w:val="single" w:sz="4" w:space="0" w:color="auto"/>
              <w:bottom w:val="single" w:sz="4" w:space="0" w:color="auto"/>
              <w:right w:val="single" w:sz="4" w:space="0" w:color="auto"/>
            </w:tcBorders>
          </w:tcPr>
          <w:p w14:paraId="6E00D947" w14:textId="57BEC7DE" w:rsidR="00686EED" w:rsidRPr="00490FBB" w:rsidRDefault="00686EED" w:rsidP="00C40CC4">
            <w:pPr>
              <w:pStyle w:val="TableHeading"/>
            </w:pPr>
          </w:p>
        </w:tc>
        <w:tc>
          <w:tcPr>
            <w:tcW w:w="1905" w:type="dxa"/>
            <w:tcBorders>
              <w:left w:val="single" w:sz="4" w:space="0" w:color="auto"/>
              <w:bottom w:val="single" w:sz="4" w:space="0" w:color="auto"/>
              <w:right w:val="single" w:sz="4" w:space="0" w:color="auto"/>
            </w:tcBorders>
          </w:tcPr>
          <w:p w14:paraId="319C788C" w14:textId="77777777" w:rsidR="00686EED" w:rsidRPr="00490FBB" w:rsidRDefault="00686EED" w:rsidP="00C40CC4">
            <w:pPr>
              <w:pStyle w:val="TableHeading"/>
              <w:jc w:val="center"/>
            </w:pPr>
            <w:r w:rsidRPr="00490FBB">
              <w:t>Inferior</w:t>
            </w:r>
          </w:p>
        </w:tc>
        <w:tc>
          <w:tcPr>
            <w:tcW w:w="2227" w:type="dxa"/>
            <w:tcBorders>
              <w:top w:val="single" w:sz="4" w:space="0" w:color="auto"/>
              <w:left w:val="single" w:sz="4" w:space="0" w:color="auto"/>
              <w:bottom w:val="single" w:sz="4" w:space="0" w:color="auto"/>
              <w:right w:val="single" w:sz="4" w:space="0" w:color="auto"/>
            </w:tcBorders>
          </w:tcPr>
          <w:p w14:paraId="5AC96128" w14:textId="77777777" w:rsidR="00686EED" w:rsidRPr="00490FBB" w:rsidRDefault="00686EED" w:rsidP="00C40CC4">
            <w:pPr>
              <w:pStyle w:val="TableHeading"/>
              <w:jc w:val="center"/>
            </w:pPr>
            <w:r w:rsidRPr="00490FBB">
              <w:t>Uncertain</w:t>
            </w:r>
            <w:r w:rsidRPr="00490FBB">
              <w:rPr>
                <w:vertAlign w:val="superscript"/>
              </w:rPr>
              <w:t>a</w:t>
            </w:r>
          </w:p>
        </w:tc>
        <w:tc>
          <w:tcPr>
            <w:tcW w:w="1748" w:type="dxa"/>
            <w:tcBorders>
              <w:top w:val="single" w:sz="4" w:space="0" w:color="auto"/>
              <w:left w:val="single" w:sz="4" w:space="0" w:color="auto"/>
              <w:bottom w:val="single" w:sz="4" w:space="0" w:color="auto"/>
              <w:right w:val="single" w:sz="4" w:space="0" w:color="auto"/>
            </w:tcBorders>
          </w:tcPr>
          <w:p w14:paraId="7AA1349D" w14:textId="4BA1ADFE" w:rsidR="00686EED" w:rsidRPr="00490FBB" w:rsidRDefault="00686EED" w:rsidP="00C40CC4">
            <w:pPr>
              <w:pStyle w:val="TableHeading"/>
              <w:jc w:val="center"/>
            </w:pPr>
            <w:r w:rsidRPr="00490FBB">
              <w:t>Noninferior</w:t>
            </w:r>
            <w:r w:rsidRPr="00490FBB">
              <w:rPr>
                <w:vertAlign w:val="superscript"/>
              </w:rPr>
              <w:t>b</w:t>
            </w:r>
          </w:p>
        </w:tc>
        <w:tc>
          <w:tcPr>
            <w:tcW w:w="1434" w:type="dxa"/>
            <w:tcBorders>
              <w:top w:val="single" w:sz="4" w:space="0" w:color="auto"/>
              <w:left w:val="single" w:sz="4" w:space="0" w:color="auto"/>
              <w:bottom w:val="single" w:sz="4" w:space="0" w:color="auto"/>
              <w:right w:val="single" w:sz="4" w:space="0" w:color="auto"/>
            </w:tcBorders>
          </w:tcPr>
          <w:p w14:paraId="156C5942" w14:textId="77777777" w:rsidR="00686EED" w:rsidRPr="00490FBB" w:rsidRDefault="00686EED" w:rsidP="00C40CC4">
            <w:pPr>
              <w:pStyle w:val="TableHeading"/>
              <w:jc w:val="center"/>
            </w:pPr>
            <w:r w:rsidRPr="00490FBB">
              <w:t>Superior</w:t>
            </w:r>
          </w:p>
        </w:tc>
      </w:tr>
      <w:tr w:rsidR="000939E0" w:rsidRPr="00490FBB" w14:paraId="1E111DC3"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04A362E2" w14:textId="77777777" w:rsidR="000939E0" w:rsidRPr="00490FBB" w:rsidRDefault="000939E0" w:rsidP="00C40CC4">
            <w:pPr>
              <w:pStyle w:val="Tabletext"/>
              <w:keepNext/>
            </w:pPr>
            <w:r w:rsidRPr="00490FBB">
              <w:t>Inferior</w:t>
            </w:r>
          </w:p>
        </w:tc>
        <w:tc>
          <w:tcPr>
            <w:tcW w:w="1905" w:type="dxa"/>
            <w:tcBorders>
              <w:top w:val="single" w:sz="4" w:space="0" w:color="auto"/>
              <w:left w:val="single" w:sz="4" w:space="0" w:color="auto"/>
              <w:bottom w:val="single" w:sz="4" w:space="0" w:color="auto"/>
              <w:right w:val="single" w:sz="4" w:space="0" w:color="auto"/>
            </w:tcBorders>
            <w:vAlign w:val="center"/>
          </w:tcPr>
          <w:p w14:paraId="0B15352C" w14:textId="77777777" w:rsidR="000939E0" w:rsidRPr="00490FBB" w:rsidRDefault="000939E0" w:rsidP="00C40CC4">
            <w:pPr>
              <w:pStyle w:val="Tabletext"/>
              <w:keepNext/>
            </w:pPr>
            <w:r w:rsidRPr="00490FBB">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7A58DE2" w14:textId="77777777" w:rsidR="000939E0" w:rsidRPr="00490FBB" w:rsidRDefault="000939E0" w:rsidP="00C40CC4">
            <w:pPr>
              <w:pStyle w:val="Tabletext"/>
              <w:keepNext/>
            </w:pPr>
            <w:r w:rsidRPr="00490FBB">
              <w:t>Health forgone possible: need other supportive factors</w:t>
            </w:r>
          </w:p>
        </w:tc>
        <w:tc>
          <w:tcPr>
            <w:tcW w:w="1748" w:type="dxa"/>
            <w:tcBorders>
              <w:top w:val="single" w:sz="4" w:space="0" w:color="auto"/>
              <w:left w:val="single" w:sz="4" w:space="0" w:color="auto"/>
              <w:bottom w:val="single" w:sz="4" w:space="0" w:color="auto"/>
              <w:right w:val="single" w:sz="4" w:space="0" w:color="auto"/>
            </w:tcBorders>
            <w:vAlign w:val="center"/>
          </w:tcPr>
          <w:p w14:paraId="3540FA15" w14:textId="77777777" w:rsidR="000939E0" w:rsidRPr="00490FBB" w:rsidRDefault="000939E0" w:rsidP="00C40CC4">
            <w:pPr>
              <w:pStyle w:val="Tabletext"/>
              <w:keepNext/>
            </w:pPr>
            <w:r w:rsidRPr="00490FBB">
              <w:t>Health forgone: need other supportive factors</w:t>
            </w:r>
          </w:p>
        </w:tc>
        <w:tc>
          <w:tcPr>
            <w:tcW w:w="1434" w:type="dxa"/>
            <w:tcBorders>
              <w:top w:val="single" w:sz="4" w:space="0" w:color="auto"/>
              <w:left w:val="single" w:sz="4" w:space="0" w:color="auto"/>
              <w:bottom w:val="single" w:sz="4" w:space="0" w:color="auto"/>
              <w:right w:val="single" w:sz="4" w:space="0" w:color="auto"/>
            </w:tcBorders>
            <w:vAlign w:val="center"/>
          </w:tcPr>
          <w:p w14:paraId="18C6CF73" w14:textId="77777777" w:rsidR="000939E0" w:rsidRPr="00490FBB" w:rsidRDefault="000939E0" w:rsidP="00C40CC4">
            <w:pPr>
              <w:pStyle w:val="Tabletext"/>
              <w:keepNext/>
            </w:pPr>
            <w:r w:rsidRPr="00490FBB">
              <w:t>? Likely CUA</w:t>
            </w:r>
          </w:p>
        </w:tc>
      </w:tr>
      <w:tr w:rsidR="000939E0" w:rsidRPr="00490FBB" w14:paraId="463C2753"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11AF710C" w14:textId="77777777" w:rsidR="000939E0" w:rsidRPr="00490FBB" w:rsidRDefault="000939E0" w:rsidP="00C40CC4">
            <w:pPr>
              <w:pStyle w:val="Tabletext"/>
              <w:keepNext/>
            </w:pPr>
            <w:r w:rsidRPr="00490FBB">
              <w:t>Uncertain</w:t>
            </w:r>
            <w:r w:rsidRPr="00490FBB">
              <w:rPr>
                <w:vertAlign w:val="superscript"/>
              </w:rPr>
              <w:t>a</w:t>
            </w:r>
          </w:p>
        </w:tc>
        <w:tc>
          <w:tcPr>
            <w:tcW w:w="1905" w:type="dxa"/>
            <w:tcBorders>
              <w:top w:val="single" w:sz="4" w:space="0" w:color="auto"/>
              <w:left w:val="single" w:sz="4" w:space="0" w:color="auto"/>
              <w:bottom w:val="single" w:sz="4" w:space="0" w:color="auto"/>
              <w:right w:val="single" w:sz="4" w:space="0" w:color="auto"/>
            </w:tcBorders>
            <w:vAlign w:val="center"/>
          </w:tcPr>
          <w:p w14:paraId="12909D79" w14:textId="77777777" w:rsidR="000939E0" w:rsidRPr="00490FBB" w:rsidRDefault="000939E0" w:rsidP="00C40CC4">
            <w:pPr>
              <w:pStyle w:val="Tabletext"/>
              <w:keepNext/>
            </w:pPr>
            <w:r w:rsidRPr="00490FBB">
              <w:t>Health forgone possible: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50F5E2B4" w14:textId="77777777" w:rsidR="000939E0" w:rsidRPr="00490FBB" w:rsidRDefault="000939E0" w:rsidP="00C40CC4">
            <w:pPr>
              <w:pStyle w:val="Tabletext"/>
              <w:keepNext/>
            </w:pPr>
            <w:r w:rsidRPr="00490FBB">
              <w:t>?</w:t>
            </w:r>
          </w:p>
        </w:tc>
        <w:tc>
          <w:tcPr>
            <w:tcW w:w="1748" w:type="dxa"/>
            <w:tcBorders>
              <w:top w:val="single" w:sz="4" w:space="0" w:color="auto"/>
              <w:left w:val="single" w:sz="4" w:space="0" w:color="auto"/>
              <w:bottom w:val="single" w:sz="4" w:space="0" w:color="auto"/>
              <w:right w:val="single" w:sz="4" w:space="0" w:color="auto"/>
            </w:tcBorders>
            <w:vAlign w:val="center"/>
          </w:tcPr>
          <w:p w14:paraId="0406F2A1" w14:textId="77777777" w:rsidR="000939E0" w:rsidRPr="00490FBB" w:rsidRDefault="000939E0" w:rsidP="00C40CC4">
            <w:pPr>
              <w:pStyle w:val="Tabletext"/>
              <w:keepNext/>
            </w:pPr>
            <w:r w:rsidRPr="00490FBB">
              <w:t>?</w:t>
            </w:r>
          </w:p>
        </w:tc>
        <w:tc>
          <w:tcPr>
            <w:tcW w:w="1434" w:type="dxa"/>
            <w:tcBorders>
              <w:top w:val="single" w:sz="4" w:space="0" w:color="auto"/>
              <w:left w:val="single" w:sz="4" w:space="0" w:color="auto"/>
              <w:bottom w:val="single" w:sz="4" w:space="0" w:color="auto"/>
              <w:right w:val="single" w:sz="4" w:space="0" w:color="auto"/>
            </w:tcBorders>
            <w:vAlign w:val="center"/>
          </w:tcPr>
          <w:p w14:paraId="1996B8CC" w14:textId="77777777" w:rsidR="000939E0" w:rsidRPr="00490FBB" w:rsidRDefault="000939E0" w:rsidP="00C40CC4">
            <w:pPr>
              <w:pStyle w:val="Tabletext"/>
              <w:keepNext/>
            </w:pPr>
            <w:r w:rsidRPr="00490FBB">
              <w:t>? Likely CEA/CUA</w:t>
            </w:r>
          </w:p>
        </w:tc>
      </w:tr>
      <w:tr w:rsidR="000939E0" w:rsidRPr="00490FBB" w14:paraId="47335FF9"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0CBD845B" w14:textId="149CC18B" w:rsidR="000939E0" w:rsidRPr="00490FBB" w:rsidRDefault="000939E0" w:rsidP="00C40CC4">
            <w:pPr>
              <w:pStyle w:val="Tabletext"/>
              <w:keepNext/>
            </w:pPr>
            <w:r w:rsidRPr="00490FBB">
              <w:t>Noninferior</w:t>
            </w:r>
            <w:r w:rsidRPr="00490FBB">
              <w:rPr>
                <w:vertAlign w:val="superscript"/>
              </w:rPr>
              <w:t>b</w:t>
            </w:r>
          </w:p>
        </w:tc>
        <w:tc>
          <w:tcPr>
            <w:tcW w:w="1905" w:type="dxa"/>
            <w:tcBorders>
              <w:top w:val="single" w:sz="4" w:space="0" w:color="auto"/>
              <w:left w:val="single" w:sz="4" w:space="0" w:color="auto"/>
              <w:bottom w:val="single" w:sz="4" w:space="0" w:color="auto"/>
              <w:right w:val="single" w:sz="4" w:space="0" w:color="auto"/>
            </w:tcBorders>
            <w:vAlign w:val="center"/>
          </w:tcPr>
          <w:p w14:paraId="5D8B4B6F" w14:textId="77777777" w:rsidR="000939E0" w:rsidRPr="00490FBB" w:rsidRDefault="000939E0" w:rsidP="00C40CC4">
            <w:pPr>
              <w:pStyle w:val="Tabletext"/>
              <w:keepNext/>
            </w:pPr>
            <w:r w:rsidRPr="00490FBB">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3D9B9E4" w14:textId="77777777" w:rsidR="000939E0" w:rsidRPr="00490FBB" w:rsidRDefault="000939E0" w:rsidP="00C40CC4">
            <w:pPr>
              <w:pStyle w:val="Tabletext"/>
              <w:keepNext/>
            </w:pPr>
            <w:r w:rsidRPr="00490FBB">
              <w:t>?</w:t>
            </w:r>
          </w:p>
        </w:tc>
        <w:tc>
          <w:tcPr>
            <w:tcW w:w="1748" w:type="dxa"/>
            <w:tcBorders>
              <w:top w:val="single" w:sz="4" w:space="0" w:color="auto"/>
              <w:left w:val="single" w:sz="4" w:space="0" w:color="auto"/>
              <w:bottom w:val="single" w:sz="4" w:space="0" w:color="auto"/>
              <w:right w:val="single" w:sz="4" w:space="0" w:color="auto"/>
            </w:tcBorders>
            <w:vAlign w:val="center"/>
          </w:tcPr>
          <w:p w14:paraId="12BD2E22" w14:textId="77777777" w:rsidR="000939E0" w:rsidRPr="00A06F51" w:rsidRDefault="000939E0" w:rsidP="00C40CC4">
            <w:pPr>
              <w:pStyle w:val="Tabletext"/>
              <w:keepNext/>
              <w:rPr>
                <w:highlight w:val="yellow"/>
              </w:rPr>
            </w:pPr>
            <w:r w:rsidRPr="00A06F51">
              <w:rPr>
                <w:highlight w:val="yellow"/>
              </w:rPr>
              <w:t>CMA</w:t>
            </w:r>
          </w:p>
        </w:tc>
        <w:tc>
          <w:tcPr>
            <w:tcW w:w="1434" w:type="dxa"/>
            <w:tcBorders>
              <w:top w:val="single" w:sz="4" w:space="0" w:color="auto"/>
              <w:left w:val="single" w:sz="4" w:space="0" w:color="auto"/>
              <w:bottom w:val="single" w:sz="4" w:space="0" w:color="auto"/>
              <w:right w:val="single" w:sz="4" w:space="0" w:color="auto"/>
            </w:tcBorders>
            <w:vAlign w:val="center"/>
          </w:tcPr>
          <w:p w14:paraId="7E9F7AB5" w14:textId="77777777" w:rsidR="000939E0" w:rsidRPr="00A06F51" w:rsidRDefault="000939E0" w:rsidP="00C40CC4">
            <w:pPr>
              <w:pStyle w:val="Tabletext"/>
              <w:keepNext/>
              <w:rPr>
                <w:highlight w:val="yellow"/>
              </w:rPr>
            </w:pPr>
            <w:r w:rsidRPr="00A06F51">
              <w:rPr>
                <w:highlight w:val="yellow"/>
              </w:rPr>
              <w:t>CEA/CUA</w:t>
            </w:r>
          </w:p>
        </w:tc>
      </w:tr>
      <w:tr w:rsidR="000939E0" w:rsidRPr="00490FBB" w14:paraId="41AB5715"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18F5B4CB" w14:textId="77777777" w:rsidR="000939E0" w:rsidRPr="00490FBB" w:rsidRDefault="000939E0" w:rsidP="00C40CC4">
            <w:pPr>
              <w:pStyle w:val="Tabletext"/>
              <w:keepNext/>
            </w:pPr>
            <w:r w:rsidRPr="00490FBB">
              <w:t>Superior</w:t>
            </w:r>
          </w:p>
        </w:tc>
        <w:tc>
          <w:tcPr>
            <w:tcW w:w="1905" w:type="dxa"/>
            <w:tcBorders>
              <w:top w:val="single" w:sz="4" w:space="0" w:color="auto"/>
              <w:left w:val="single" w:sz="4" w:space="0" w:color="auto"/>
              <w:bottom w:val="single" w:sz="4" w:space="0" w:color="auto"/>
              <w:right w:val="single" w:sz="4" w:space="0" w:color="auto"/>
            </w:tcBorders>
            <w:vAlign w:val="center"/>
          </w:tcPr>
          <w:p w14:paraId="2525815A" w14:textId="77777777" w:rsidR="000939E0" w:rsidRPr="00490FBB" w:rsidRDefault="000939E0" w:rsidP="00C40CC4">
            <w:pPr>
              <w:pStyle w:val="Tabletext"/>
              <w:keepNext/>
            </w:pPr>
            <w:r w:rsidRPr="00490FBB">
              <w:t>? Likely CUA</w:t>
            </w:r>
          </w:p>
        </w:tc>
        <w:tc>
          <w:tcPr>
            <w:tcW w:w="2227" w:type="dxa"/>
            <w:tcBorders>
              <w:top w:val="single" w:sz="4" w:space="0" w:color="auto"/>
              <w:left w:val="single" w:sz="4" w:space="0" w:color="auto"/>
              <w:bottom w:val="single" w:sz="4" w:space="0" w:color="auto"/>
              <w:right w:val="single" w:sz="4" w:space="0" w:color="auto"/>
            </w:tcBorders>
            <w:vAlign w:val="center"/>
          </w:tcPr>
          <w:p w14:paraId="2AE0169D" w14:textId="77777777" w:rsidR="000939E0" w:rsidRPr="00490FBB" w:rsidRDefault="000939E0" w:rsidP="00C40CC4">
            <w:pPr>
              <w:pStyle w:val="Tabletext"/>
              <w:keepNext/>
            </w:pPr>
            <w:r w:rsidRPr="00490FBB">
              <w:t>? Likely CEA/CUA</w:t>
            </w:r>
          </w:p>
        </w:tc>
        <w:tc>
          <w:tcPr>
            <w:tcW w:w="1748" w:type="dxa"/>
            <w:tcBorders>
              <w:top w:val="single" w:sz="4" w:space="0" w:color="auto"/>
              <w:left w:val="single" w:sz="4" w:space="0" w:color="auto"/>
              <w:bottom w:val="single" w:sz="4" w:space="0" w:color="auto"/>
              <w:right w:val="single" w:sz="4" w:space="0" w:color="auto"/>
            </w:tcBorders>
            <w:vAlign w:val="center"/>
          </w:tcPr>
          <w:p w14:paraId="71D0525C" w14:textId="77777777" w:rsidR="000939E0" w:rsidRPr="00490FBB" w:rsidRDefault="000939E0" w:rsidP="00C40CC4">
            <w:pPr>
              <w:pStyle w:val="Tabletext"/>
              <w:keepNext/>
            </w:pPr>
            <w:r w:rsidRPr="00490FBB">
              <w:t>CEA/CUA</w:t>
            </w:r>
          </w:p>
        </w:tc>
        <w:tc>
          <w:tcPr>
            <w:tcW w:w="1434" w:type="dxa"/>
            <w:tcBorders>
              <w:top w:val="single" w:sz="4" w:space="0" w:color="auto"/>
              <w:left w:val="single" w:sz="4" w:space="0" w:color="auto"/>
              <w:bottom w:val="single" w:sz="4" w:space="0" w:color="auto"/>
              <w:right w:val="single" w:sz="4" w:space="0" w:color="auto"/>
            </w:tcBorders>
            <w:vAlign w:val="center"/>
          </w:tcPr>
          <w:p w14:paraId="5FF47EA5" w14:textId="77777777" w:rsidR="000939E0" w:rsidRPr="00490FBB" w:rsidRDefault="000939E0" w:rsidP="00C40CC4">
            <w:pPr>
              <w:pStyle w:val="Tabletext"/>
              <w:keepNext/>
            </w:pPr>
            <w:r w:rsidRPr="00490FBB">
              <w:t>CEA/CUA</w:t>
            </w:r>
          </w:p>
        </w:tc>
      </w:tr>
    </w:tbl>
    <w:p w14:paraId="6538A3FB" w14:textId="77777777" w:rsidR="000939E0" w:rsidRPr="00490FBB" w:rsidRDefault="000939E0" w:rsidP="00C40CC4">
      <w:pPr>
        <w:pStyle w:val="Tablenotes"/>
        <w:keepNext/>
        <w:rPr>
          <w:szCs w:val="18"/>
        </w:rPr>
      </w:pPr>
      <w:r w:rsidRPr="00490FBB">
        <w:rPr>
          <w:szCs w:val="18"/>
        </w:rPr>
        <w:t>CEA=cost-effectiveness analysis; CMA=cost-minimisation analysis; CUA=cost-utility analysis</w:t>
      </w:r>
    </w:p>
    <w:p w14:paraId="48F7CED7" w14:textId="77777777" w:rsidR="000939E0" w:rsidRPr="00490FBB" w:rsidRDefault="000939E0" w:rsidP="00C40CC4">
      <w:pPr>
        <w:pStyle w:val="Tablenotes"/>
        <w:keepNext/>
        <w:rPr>
          <w:b/>
          <w:szCs w:val="18"/>
        </w:rPr>
      </w:pPr>
      <w:r w:rsidRPr="00490FBB">
        <w:rPr>
          <w:szCs w:val="18"/>
        </w:rPr>
        <w:t xml:space="preserve">? = reflect uncertainties and any identified health trade-offs in the economic evaluation, as a minimum in a cost-consequences analysis </w:t>
      </w:r>
    </w:p>
    <w:p w14:paraId="65C6F534" w14:textId="77777777" w:rsidR="000939E0" w:rsidRPr="00490FBB" w:rsidRDefault="000939E0" w:rsidP="00C40CC4">
      <w:pPr>
        <w:pStyle w:val="Tablenotes"/>
        <w:keepNext/>
        <w:rPr>
          <w:b/>
          <w:szCs w:val="18"/>
        </w:rPr>
      </w:pPr>
      <w:r w:rsidRPr="00490FBB">
        <w:rPr>
          <w:szCs w:val="18"/>
          <w:vertAlign w:val="superscript"/>
        </w:rPr>
        <w:t>a</w:t>
      </w:r>
      <w:r w:rsidRPr="00490FBB">
        <w:rPr>
          <w:szCs w:val="18"/>
        </w:rPr>
        <w:t>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p>
    <w:p w14:paraId="27FD2610" w14:textId="3D118E8B" w:rsidR="00E23027" w:rsidRPr="00490FBB" w:rsidRDefault="000939E0" w:rsidP="000939E0">
      <w:pPr>
        <w:pStyle w:val="Tablenotes"/>
        <w:rPr>
          <w:szCs w:val="18"/>
        </w:rPr>
      </w:pPr>
      <w:r w:rsidRPr="00490FBB">
        <w:rPr>
          <w:szCs w:val="18"/>
          <w:vertAlign w:val="superscript"/>
        </w:rPr>
        <w:t>b</w:t>
      </w:r>
      <w:r w:rsidRPr="00490FBB">
        <w:rPr>
          <w:szCs w:val="18"/>
        </w:rPr>
        <w:t> An adequate assessment of ‘noninferiority’ is the preferred basis for demonstrating equivalence</w:t>
      </w:r>
    </w:p>
    <w:p w14:paraId="6181FC8B" w14:textId="77777777" w:rsidR="00741EEF" w:rsidRPr="009B2B34" w:rsidRDefault="00741EEF" w:rsidP="00741EEF">
      <w:pPr>
        <w:autoSpaceDE w:val="0"/>
        <w:autoSpaceDN w:val="0"/>
        <w:adjustRightInd w:val="0"/>
        <w:spacing w:line="23" w:lineRule="atLeast"/>
        <w:rPr>
          <w:rFonts w:asciiTheme="minorHAnsi" w:hAnsiTheme="minorHAnsi" w:cstheme="minorHAnsi"/>
          <w:i/>
          <w:iCs/>
        </w:rPr>
      </w:pPr>
      <w:r w:rsidRPr="006279D7">
        <w:rPr>
          <w:rFonts w:asciiTheme="minorHAnsi" w:hAnsiTheme="minorHAnsi" w:cstheme="minorHAnsi"/>
          <w:i/>
          <w:iCs/>
        </w:rPr>
        <w:t xml:space="preserve">PASC </w:t>
      </w:r>
      <w:r>
        <w:rPr>
          <w:rFonts w:asciiTheme="minorHAnsi" w:hAnsiTheme="minorHAnsi" w:cstheme="minorHAnsi"/>
          <w:i/>
          <w:iCs/>
        </w:rPr>
        <w:t xml:space="preserve">advised </w:t>
      </w:r>
      <w:r w:rsidRPr="006279D7">
        <w:rPr>
          <w:rFonts w:asciiTheme="minorHAnsi" w:hAnsiTheme="minorHAnsi" w:cstheme="minorHAnsi"/>
          <w:i/>
          <w:iCs/>
        </w:rPr>
        <w:t xml:space="preserve">that the </w:t>
      </w:r>
      <w:r>
        <w:rPr>
          <w:rFonts w:asciiTheme="minorHAnsi" w:hAnsiTheme="minorHAnsi" w:cstheme="minorHAnsi"/>
          <w:i/>
          <w:iCs/>
        </w:rPr>
        <w:t xml:space="preserve">economic evaluations for the </w:t>
      </w:r>
      <w:r w:rsidRPr="006279D7">
        <w:rPr>
          <w:rFonts w:asciiTheme="minorHAnsi" w:hAnsiTheme="minorHAnsi" w:cstheme="minorHAnsi"/>
          <w:i/>
          <w:iCs/>
        </w:rPr>
        <w:t>HMA and HMB populations will need to be separated</w:t>
      </w:r>
      <w:r>
        <w:rPr>
          <w:rFonts w:asciiTheme="minorHAnsi" w:hAnsiTheme="minorHAnsi" w:cstheme="minorHAnsi"/>
          <w:i/>
          <w:iCs/>
        </w:rPr>
        <w:t xml:space="preserve"> given that each population has different comparators</w:t>
      </w:r>
      <w:r w:rsidRPr="006279D7">
        <w:rPr>
          <w:rFonts w:asciiTheme="minorHAnsi" w:hAnsiTheme="minorHAnsi" w:cstheme="minorHAnsi"/>
          <w:i/>
          <w:iCs/>
        </w:rPr>
        <w:t>.</w:t>
      </w:r>
    </w:p>
    <w:p w14:paraId="52C25C47" w14:textId="77777777" w:rsidR="00741EEF" w:rsidRDefault="00741EEF" w:rsidP="00741EEF">
      <w:pPr>
        <w:autoSpaceDE w:val="0"/>
        <w:autoSpaceDN w:val="0"/>
        <w:adjustRightInd w:val="0"/>
        <w:spacing w:line="23" w:lineRule="atLeast"/>
        <w:rPr>
          <w:rFonts w:asciiTheme="minorHAnsi" w:hAnsiTheme="minorHAnsi" w:cstheme="minorHAnsi"/>
          <w:i/>
          <w:iCs/>
        </w:rPr>
      </w:pPr>
      <w:r w:rsidRPr="003A3B9E">
        <w:rPr>
          <w:rFonts w:asciiTheme="minorHAnsi" w:hAnsiTheme="minorHAnsi" w:cstheme="minorHAnsi"/>
          <w:i/>
          <w:iCs/>
        </w:rPr>
        <w:t xml:space="preserve">PASC </w:t>
      </w:r>
      <w:r>
        <w:rPr>
          <w:rFonts w:asciiTheme="minorHAnsi" w:hAnsiTheme="minorHAnsi" w:cstheme="minorHAnsi"/>
          <w:i/>
          <w:iCs/>
        </w:rPr>
        <w:t xml:space="preserve">advised that a CMA against emicizumab would be the most appropriate economic evaluation for the HMA population. </w:t>
      </w:r>
    </w:p>
    <w:p w14:paraId="055AEC55" w14:textId="77777777" w:rsidR="00741EEF" w:rsidRDefault="00741EEF" w:rsidP="00741EEF">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 xml:space="preserve">PASC considered that if the claim of superiority is met for marstacimab versus EHL prophylaxis for the HMB population, then a CUA or CEA would be appropriate. </w:t>
      </w:r>
    </w:p>
    <w:p w14:paraId="79E0AA6C" w14:textId="19A4157C" w:rsidR="00325E96" w:rsidRDefault="00741EEF" w:rsidP="00741EEF">
      <w:r w:rsidRPr="006F14D4">
        <w:rPr>
          <w:rFonts w:asciiTheme="minorHAnsi" w:hAnsiTheme="minorHAnsi" w:cstheme="minorHAnsi"/>
          <w:i/>
          <w:iCs/>
        </w:rPr>
        <w:t xml:space="preserve">PASC </w:t>
      </w:r>
      <w:r>
        <w:rPr>
          <w:rFonts w:asciiTheme="minorHAnsi" w:hAnsiTheme="minorHAnsi" w:cstheme="minorHAnsi"/>
          <w:i/>
          <w:iCs/>
        </w:rPr>
        <w:t>considered that if superiority cannot be demonstrated for the comparison of marstacimab versus EHL FIX prophylaxis, then a CMA would be the most appropriate economic evaluation for the HMB population</w:t>
      </w:r>
      <w:r w:rsidR="00276594">
        <w:rPr>
          <w:rFonts w:asciiTheme="minorHAnsi" w:hAnsiTheme="minorHAnsi" w:cstheme="minorHAnsi"/>
          <w:i/>
          <w:iCs/>
        </w:rPr>
        <w:t>.</w:t>
      </w:r>
    </w:p>
    <w:p w14:paraId="047E4738" w14:textId="19D77643" w:rsidR="00D73332" w:rsidRPr="00DE762F" w:rsidRDefault="00D73332" w:rsidP="00DE762F">
      <w:pPr>
        <w:pStyle w:val="Heading2"/>
      </w:pPr>
      <w:r w:rsidRPr="00DE762F">
        <w:t>Propos</w:t>
      </w:r>
      <w:r w:rsidR="000D1FCF" w:rsidRPr="00DE762F">
        <w:t>al for public funding</w:t>
      </w:r>
    </w:p>
    <w:p w14:paraId="28131380" w14:textId="11712FB1" w:rsidR="00303301" w:rsidRDefault="00303301" w:rsidP="00303301">
      <w:r>
        <w:t xml:space="preserve">The </w:t>
      </w:r>
      <w:r w:rsidR="00CA413E">
        <w:t xml:space="preserve">applicant </w:t>
      </w:r>
      <w:r w:rsidR="00F666E6">
        <w:t xml:space="preserve">has sought </w:t>
      </w:r>
      <w:r w:rsidR="00D22054">
        <w:t xml:space="preserve">listing of marstacimab </w:t>
      </w:r>
      <w:r w:rsidR="007A1005">
        <w:t xml:space="preserve">on the </w:t>
      </w:r>
      <w:r w:rsidR="005C78A9">
        <w:t>NPPL</w:t>
      </w:r>
      <w:r w:rsidR="007A1005">
        <w:t xml:space="preserve">, </w:t>
      </w:r>
      <w:r w:rsidR="00D80671">
        <w:t>managed</w:t>
      </w:r>
      <w:r w:rsidR="007A1005">
        <w:t xml:space="preserve"> by the </w:t>
      </w:r>
      <w:r w:rsidR="005C78A9">
        <w:t>NBA</w:t>
      </w:r>
      <w:r w:rsidR="007A1005">
        <w:t xml:space="preserve">. </w:t>
      </w:r>
      <w:r w:rsidR="000E370F">
        <w:t xml:space="preserve">Prescription of funded marstacimab would be limited to </w:t>
      </w:r>
      <w:r w:rsidR="00F678B8">
        <w:t xml:space="preserve">haematologists working in </w:t>
      </w:r>
      <w:r w:rsidR="008401A3">
        <w:t>HTCs</w:t>
      </w:r>
      <w:r w:rsidR="00F678B8">
        <w:t xml:space="preserve">. </w:t>
      </w:r>
    </w:p>
    <w:p w14:paraId="17B0124D" w14:textId="296401E8" w:rsidR="0008356C" w:rsidRDefault="00FB5FFF" w:rsidP="00303301">
      <w:pPr>
        <w:rPr>
          <w:i/>
          <w:iCs/>
        </w:rPr>
      </w:pPr>
      <w:r>
        <w:t xml:space="preserve">The price for </w:t>
      </w:r>
      <w:r w:rsidR="00212F14" w:rsidRPr="00937FF4">
        <w:t>marstacimab</w:t>
      </w:r>
      <w:r>
        <w:t xml:space="preserve"> is not yet available, but will be included in the </w:t>
      </w:r>
      <w:r w:rsidR="008C7859">
        <w:t>a</w:t>
      </w:r>
      <w:r w:rsidR="00AE6A9E" w:rsidRPr="00937FF4">
        <w:t xml:space="preserve">ssessment </w:t>
      </w:r>
      <w:r w:rsidR="008C7859">
        <w:t>r</w:t>
      </w:r>
      <w:r w:rsidR="00AE6A9E" w:rsidRPr="00937FF4">
        <w:t>eport</w:t>
      </w:r>
      <w:r w:rsidR="00A36C13" w:rsidRPr="00937FF4">
        <w:t>.</w:t>
      </w:r>
      <w:r w:rsidR="00A36C13" w:rsidRPr="00937FF4">
        <w:rPr>
          <w:i/>
          <w:iCs/>
        </w:rPr>
        <w:t xml:space="preserve"> </w:t>
      </w:r>
    </w:p>
    <w:p w14:paraId="48BBA606" w14:textId="2E656DE0" w:rsidR="00741EEF" w:rsidRDefault="00741EEF" w:rsidP="00303301">
      <w:pPr>
        <w:rPr>
          <w:i/>
          <w:iCs/>
        </w:rPr>
      </w:pPr>
      <w:r w:rsidRPr="004E6204">
        <w:rPr>
          <w:rFonts w:asciiTheme="minorHAnsi" w:hAnsiTheme="minorHAnsi" w:cstheme="minorHAnsi"/>
          <w:i/>
        </w:rPr>
        <w:t>PASC noted that the proposal for public funding was via the National Blood Agreement.</w:t>
      </w:r>
    </w:p>
    <w:p w14:paraId="62EC335B" w14:textId="77777777" w:rsidR="00325E96" w:rsidRDefault="00325E96" w:rsidP="00303301"/>
    <w:p w14:paraId="62338695" w14:textId="7903C795" w:rsidR="00D37A3F" w:rsidRPr="00D37A3F" w:rsidRDefault="003F0A39" w:rsidP="00713728">
      <w:pPr>
        <w:pStyle w:val="Heading2"/>
      </w:pPr>
      <w:r>
        <w:lastRenderedPageBreak/>
        <w:t>Summary of public consultation</w:t>
      </w:r>
      <w:r w:rsidRPr="00D37A3F">
        <w:t xml:space="preserve"> </w:t>
      </w:r>
      <w:r w:rsidR="00E470B0">
        <w:t>input</w:t>
      </w:r>
    </w:p>
    <w:p w14:paraId="380BE5F3" w14:textId="734DCB29" w:rsidR="00903D7B" w:rsidRPr="00866E20" w:rsidRDefault="00903D7B" w:rsidP="00903D7B">
      <w:pPr>
        <w:spacing w:after="120"/>
        <w:rPr>
          <w:i/>
          <w:iCs/>
        </w:rPr>
      </w:pPr>
      <w:r w:rsidRPr="00E95336">
        <w:rPr>
          <w:i/>
          <w:iCs/>
        </w:rPr>
        <w:t xml:space="preserve">PASC noted and welcomed consultation input </w:t>
      </w:r>
      <w:r w:rsidRPr="00866E20">
        <w:rPr>
          <w:i/>
          <w:iCs/>
        </w:rPr>
        <w:t>from 4 organisation</w:t>
      </w:r>
      <w:r w:rsidR="00F756FD">
        <w:rPr>
          <w:i/>
          <w:iCs/>
        </w:rPr>
        <w:t>s</w:t>
      </w:r>
      <w:r w:rsidRPr="00866E20">
        <w:rPr>
          <w:i/>
          <w:iCs/>
        </w:rPr>
        <w:t xml:space="preserve">: </w:t>
      </w:r>
    </w:p>
    <w:p w14:paraId="3B8176C4" w14:textId="607B91C6" w:rsidR="00903D7B" w:rsidRPr="00866E20" w:rsidRDefault="00903D7B" w:rsidP="00903D7B">
      <w:pPr>
        <w:numPr>
          <w:ilvl w:val="0"/>
          <w:numId w:val="44"/>
        </w:numPr>
        <w:spacing w:before="0" w:after="0" w:line="259" w:lineRule="auto"/>
        <w:ind w:left="714" w:hanging="357"/>
      </w:pPr>
      <w:r w:rsidRPr="00866E20">
        <w:t>Australian Haemophilia Centre Directors’ Organisation (AHCDO)</w:t>
      </w:r>
    </w:p>
    <w:p w14:paraId="70B60EB9" w14:textId="7F9453F6" w:rsidR="00903D7B" w:rsidRPr="00866E20" w:rsidRDefault="00903D7B" w:rsidP="00E25429">
      <w:pPr>
        <w:numPr>
          <w:ilvl w:val="0"/>
          <w:numId w:val="44"/>
        </w:numPr>
        <w:spacing w:before="0" w:after="0" w:line="259" w:lineRule="auto"/>
        <w:ind w:left="714" w:hanging="357"/>
      </w:pPr>
      <w:r w:rsidRPr="00866E20">
        <w:t>Haemophilia Foundation Australia (HFA)</w:t>
      </w:r>
    </w:p>
    <w:p w14:paraId="135FC107" w14:textId="19FC363B" w:rsidR="00903D7B" w:rsidRPr="00866E20" w:rsidRDefault="00903D7B" w:rsidP="00903D7B">
      <w:pPr>
        <w:numPr>
          <w:ilvl w:val="0"/>
          <w:numId w:val="44"/>
        </w:numPr>
        <w:spacing w:before="0" w:after="0" w:line="259" w:lineRule="auto"/>
        <w:ind w:left="714" w:hanging="357"/>
      </w:pPr>
      <w:r w:rsidRPr="00866E20">
        <w:t>Public Pathology Australia</w:t>
      </w:r>
      <w:r>
        <w:t xml:space="preserve"> (PPA)</w:t>
      </w:r>
    </w:p>
    <w:p w14:paraId="5FB9602D" w14:textId="28B35169" w:rsidR="00903D7B" w:rsidRPr="00866E20" w:rsidRDefault="00903D7B" w:rsidP="00903D7B">
      <w:pPr>
        <w:numPr>
          <w:ilvl w:val="0"/>
          <w:numId w:val="44"/>
        </w:numPr>
        <w:spacing w:before="0" w:after="0" w:line="259" w:lineRule="auto"/>
        <w:ind w:left="714" w:hanging="357"/>
      </w:pPr>
      <w:r w:rsidRPr="00866E20">
        <w:t>Thrombosis and Haemostasis Society of Australia and New Zealand (THANZ)</w:t>
      </w:r>
      <w:r>
        <w:t>.</w:t>
      </w:r>
    </w:p>
    <w:p w14:paraId="65AB939C" w14:textId="5D9EE2B1" w:rsidR="00903D7B" w:rsidRDefault="00903D7B" w:rsidP="00903D7B">
      <w:pPr>
        <w:spacing w:after="120"/>
        <w:rPr>
          <w:color w:val="5B9BD5" w:themeColor="accent1"/>
        </w:rPr>
      </w:pPr>
      <w:r>
        <w:t xml:space="preserve">Consultation input was </w:t>
      </w:r>
      <w:r w:rsidRPr="00866E20">
        <w:t xml:space="preserve">supportive </w:t>
      </w:r>
      <w:r>
        <w:t xml:space="preserve">of public funding for </w:t>
      </w:r>
      <w:r>
        <w:rPr>
          <w:bCs/>
        </w:rPr>
        <w:t>m</w:t>
      </w:r>
      <w:r w:rsidRPr="00866E20">
        <w:rPr>
          <w:bCs/>
        </w:rPr>
        <w:t>arstacimab for routine prophylaxis to prevent bleeding in patients with haemophilia.</w:t>
      </w:r>
      <w:r>
        <w:t xml:space="preserve"> </w:t>
      </w:r>
    </w:p>
    <w:p w14:paraId="024AABC8" w14:textId="3D564775" w:rsidR="00903D7B" w:rsidRDefault="00903D7B" w:rsidP="00903D7B">
      <w:pPr>
        <w:rPr>
          <w:b/>
          <w:bCs/>
        </w:rPr>
      </w:pPr>
      <w:r w:rsidRPr="00D811C1">
        <w:rPr>
          <w:b/>
          <w:bCs/>
        </w:rPr>
        <w:t xml:space="preserve">Consumer </w:t>
      </w:r>
      <w:r>
        <w:rPr>
          <w:b/>
          <w:bCs/>
        </w:rPr>
        <w:t>Input</w:t>
      </w:r>
    </w:p>
    <w:p w14:paraId="05ACBE8C" w14:textId="1E96E8E9" w:rsidR="00903D7B" w:rsidRPr="00DE2BF5" w:rsidRDefault="00903D7B" w:rsidP="00903D7B">
      <w:r w:rsidRPr="00DE2BF5">
        <w:t>HFA input included c</w:t>
      </w:r>
      <w:r>
        <w:t xml:space="preserve">onsumer experiences, stating that people with haemophilia who do not have prophylactic treatment can have abnormal bleeding that is </w:t>
      </w:r>
      <w:r w:rsidRPr="00DE2BF5">
        <w:t>disruptive for both the person and their immediate family and can affect work</w:t>
      </w:r>
      <w:r>
        <w:t>,</w:t>
      </w:r>
      <w:r w:rsidRPr="00DE2BF5">
        <w:t xml:space="preserve"> study, relationships, participating in social</w:t>
      </w:r>
      <w:r>
        <w:t xml:space="preserve"> </w:t>
      </w:r>
      <w:r w:rsidRPr="00DE2BF5">
        <w:t>activities, recreation and travel.</w:t>
      </w:r>
      <w:r>
        <w:t xml:space="preserve"> Consultation input stated that the effects of haemophilia can lead to poor mental health, and that non-compliance with intravenous prophylactic treatment during adolescence is a known problem that can lead to permanent joint damage.</w:t>
      </w:r>
    </w:p>
    <w:p w14:paraId="4F16BEC0" w14:textId="1E720059" w:rsidR="00903D7B" w:rsidRDefault="00903D7B" w:rsidP="00903D7B">
      <w:pPr>
        <w:rPr>
          <w:b/>
          <w:bCs/>
        </w:rPr>
      </w:pPr>
      <w:r>
        <w:rPr>
          <w:b/>
          <w:bCs/>
        </w:rPr>
        <w:t>Benefits and Disadvantages</w:t>
      </w:r>
    </w:p>
    <w:p w14:paraId="36A0BDEF" w14:textId="253A0A1D" w:rsidR="00903D7B" w:rsidRDefault="00903D7B" w:rsidP="00903D7B">
      <w:r>
        <w:t xml:space="preserve">The main benefits of public funding reported in the consultation input included a subcutaneous prophylactic treatment option for people with severe haemophilia who are currently on intravenous prophylactic treatment, convenient pen device for weekly delivery with a fixed dose and improved quality of life. All consultation input stated that access to a subcutaneous prophylactic treatment for people with severe haemophilia who are not able to receive emicizumab would be a big advance, reduce the burden of care and reduce symptoms allowing individuals to participate in activities. </w:t>
      </w:r>
    </w:p>
    <w:p w14:paraId="4FA33D7C" w14:textId="69EB2473" w:rsidR="00903D7B" w:rsidRDefault="00903D7B" w:rsidP="00903D7B">
      <w:r>
        <w:t xml:space="preserve">The main disadvantages of public funding reported in the consultation input included the lack of direct evidence to demonstrate marstacimab is non-inferior to the comparator emicizumab. AHCDO input noted the ABR for patients using marstacimab in the BASIS trial was higher than many would consider acceptable in the era of aiming for zero bleeds. Further, there are a high percentage of patients </w:t>
      </w:r>
      <w:r w:rsidR="009219C3">
        <w:t xml:space="preserve">with HMA </w:t>
      </w:r>
      <w:r>
        <w:t xml:space="preserve">on emicizumab that experience zero bleeds and the ABR is typically &lt;1. </w:t>
      </w:r>
    </w:p>
    <w:p w14:paraId="447A98B6" w14:textId="446A270C" w:rsidR="00903D7B" w:rsidRDefault="00903D7B" w:rsidP="00903D7B">
      <w:pPr>
        <w:rPr>
          <w:b/>
          <w:bCs/>
        </w:rPr>
      </w:pPr>
      <w:r>
        <w:rPr>
          <w:b/>
          <w:bCs/>
        </w:rPr>
        <w:t>Population, Comparator (current management) and Delivery</w:t>
      </w:r>
    </w:p>
    <w:p w14:paraId="2E414FB7" w14:textId="1CCC4BB3" w:rsidR="00903D7B" w:rsidRDefault="00903D7B" w:rsidP="00903D7B">
      <w:r>
        <w:t>The consultation input ranged from agreeing to disagreeing with the proposed population. AHCDO and HFA stated that the population was too narrow and should be expanded to include people with moderate haemophilia without inhibitors where a severe phenotype is present, as these patients are candidates for prophylactic therapy</w:t>
      </w:r>
      <w:r w:rsidR="00A36C13">
        <w:t xml:space="preserve">. </w:t>
      </w:r>
    </w:p>
    <w:p w14:paraId="1A9BF1E7" w14:textId="20B51C8A" w:rsidR="00903D7B" w:rsidRPr="00730792" w:rsidRDefault="00903D7B" w:rsidP="00903D7B">
      <w:pPr>
        <w:rPr>
          <w:color w:val="ED0000"/>
        </w:rPr>
      </w:pPr>
      <w:r>
        <w:t xml:space="preserve">The consultation input broadly agreed with the proposed comparators. AHCDO and HFA noted the proportion of people with severe HMA on emicizumab is likely higher than the 2023 annual report. </w:t>
      </w:r>
    </w:p>
    <w:p w14:paraId="6B9BFD43" w14:textId="0B6715A5" w:rsidR="00903D7B" w:rsidRPr="001664C8" w:rsidRDefault="00903D7B" w:rsidP="00903D7B">
      <w:r w:rsidRPr="001664C8">
        <w:t xml:space="preserve">The consultation input stated that </w:t>
      </w:r>
      <w:r>
        <w:t>people with haemophilia can</w:t>
      </w:r>
      <w:r w:rsidRPr="001664C8">
        <w:t xml:space="preserve"> access expert medical care, nursing, counselling, physiotherapy, data management and laboratory services through the HTC comprehensive care team.</w:t>
      </w:r>
    </w:p>
    <w:p w14:paraId="5A4FE514" w14:textId="2E169BA8" w:rsidR="00903D7B" w:rsidRPr="00E76884" w:rsidRDefault="00903D7B" w:rsidP="00903D7B">
      <w:pPr>
        <w:rPr>
          <w:color w:val="5B9BD5" w:themeColor="accent1"/>
        </w:rPr>
      </w:pPr>
      <w:r w:rsidRPr="00C50417">
        <w:rPr>
          <w:b/>
          <w:bCs/>
        </w:rPr>
        <w:lastRenderedPageBreak/>
        <w:t xml:space="preserve">Additional </w:t>
      </w:r>
      <w:r>
        <w:rPr>
          <w:b/>
          <w:bCs/>
        </w:rPr>
        <w:t>C</w:t>
      </w:r>
      <w:r w:rsidRPr="00C50417">
        <w:rPr>
          <w:b/>
          <w:bCs/>
        </w:rPr>
        <w:t xml:space="preserve">omments </w:t>
      </w:r>
    </w:p>
    <w:p w14:paraId="46142647" w14:textId="668FB11A" w:rsidR="00903D7B" w:rsidRDefault="00903D7B" w:rsidP="00903D7B">
      <w:r w:rsidRPr="001664C8">
        <w:t xml:space="preserve">Consultation input noted that there would be no </w:t>
      </w:r>
      <w:r w:rsidR="002E6A2C">
        <w:t>o</w:t>
      </w:r>
      <w:r w:rsidRPr="001664C8">
        <w:t>ut of pocket costs for patients, as approved products are funded through the National Blood Authority</w:t>
      </w:r>
      <w:r>
        <w:t>.</w:t>
      </w:r>
    </w:p>
    <w:p w14:paraId="6DBEDE70" w14:textId="0EA5FA18" w:rsidR="00D37A3F" w:rsidRDefault="00903D7B" w:rsidP="008836AE">
      <w:pPr>
        <w:pStyle w:val="Instructionaltext"/>
        <w:rPr>
          <w:color w:val="auto"/>
        </w:rPr>
      </w:pPr>
      <w:r w:rsidRPr="001623C4">
        <w:rPr>
          <w:color w:val="auto"/>
        </w:rPr>
        <w:t>PPA noted that marstacimab targets the tissue factor pathway in ways that cannot currently be monitored and that should monitoring of TFPI inhibitors become required, new assays may need to be set up.</w:t>
      </w:r>
    </w:p>
    <w:p w14:paraId="040E12FC" w14:textId="77777777" w:rsidR="00A24E4E" w:rsidRDefault="00A24E4E" w:rsidP="00A24E4E">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 xml:space="preserve">PASC noted the consultation feedback from AHCDO, HFA, PPA and THANZ and noted that all feedback was supportive of public funding of marstacimab. </w:t>
      </w:r>
    </w:p>
    <w:p w14:paraId="2AFB03B9" w14:textId="520FE2D2" w:rsidR="00A24E4E" w:rsidRDefault="00A24E4E" w:rsidP="00A24E4E">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 xml:space="preserve">PASC noted that marstacimab is administered as a subcutaneous injection via a pen device and that this method of delivery is not available for any other currently existing treatment for HMB. PASC noted from the results of the 2024 </w:t>
      </w:r>
      <w:r w:rsidRPr="00B74F4E">
        <w:rPr>
          <w:rFonts w:asciiTheme="minorHAnsi" w:hAnsiTheme="minorHAnsi" w:cstheme="minorHAnsi"/>
          <w:i/>
          <w:iCs/>
        </w:rPr>
        <w:t>Haemophilia Treatment Preferences Survey</w:t>
      </w:r>
      <w:r>
        <w:rPr>
          <w:rFonts w:asciiTheme="minorHAnsi" w:hAnsiTheme="minorHAnsi" w:cstheme="minorHAnsi"/>
          <w:i/>
          <w:iCs/>
        </w:rPr>
        <w:t xml:space="preserve"> provided by HFA that subcutaneous injections are preferred by patients and carers. While a subcutaneous mode of delivery may improve </w:t>
      </w:r>
      <w:r w:rsidR="00276594">
        <w:rPr>
          <w:rFonts w:asciiTheme="minorHAnsi" w:hAnsiTheme="minorHAnsi" w:cstheme="minorHAnsi"/>
          <w:i/>
          <w:iCs/>
        </w:rPr>
        <w:t xml:space="preserve">adherence </w:t>
      </w:r>
      <w:r>
        <w:rPr>
          <w:rFonts w:asciiTheme="minorHAnsi" w:hAnsiTheme="minorHAnsi" w:cstheme="minorHAnsi"/>
          <w:i/>
          <w:iCs/>
        </w:rPr>
        <w:t xml:space="preserve">compared to intravenous prophylaxis in the real-world setting, PASC emphasised the importance of support from </w:t>
      </w:r>
      <w:r w:rsidRPr="009404D7">
        <w:rPr>
          <w:rFonts w:asciiTheme="minorHAnsi" w:hAnsiTheme="minorHAnsi" w:cstheme="minorHAnsi"/>
          <w:i/>
          <w:iCs/>
        </w:rPr>
        <w:t>families</w:t>
      </w:r>
      <w:r>
        <w:rPr>
          <w:rFonts w:asciiTheme="minorHAnsi" w:hAnsiTheme="minorHAnsi" w:cstheme="minorHAnsi"/>
          <w:i/>
          <w:iCs/>
        </w:rPr>
        <w:t xml:space="preserve"> and</w:t>
      </w:r>
      <w:r w:rsidRPr="009404D7">
        <w:rPr>
          <w:rFonts w:asciiTheme="minorHAnsi" w:hAnsiTheme="minorHAnsi" w:cstheme="minorHAnsi"/>
          <w:i/>
          <w:iCs/>
        </w:rPr>
        <w:t xml:space="preserve"> multidisciplinary teams</w:t>
      </w:r>
      <w:r>
        <w:rPr>
          <w:rFonts w:asciiTheme="minorHAnsi" w:hAnsiTheme="minorHAnsi" w:cstheme="minorHAnsi"/>
          <w:i/>
          <w:iCs/>
        </w:rPr>
        <w:t xml:space="preserve"> in HTCs to </w:t>
      </w:r>
      <w:r w:rsidR="009101B8">
        <w:rPr>
          <w:rFonts w:asciiTheme="minorHAnsi" w:hAnsiTheme="minorHAnsi" w:cstheme="minorHAnsi"/>
          <w:i/>
          <w:iCs/>
        </w:rPr>
        <w:t>increase adherence</w:t>
      </w:r>
      <w:r>
        <w:rPr>
          <w:rFonts w:asciiTheme="minorHAnsi" w:hAnsiTheme="minorHAnsi" w:cstheme="minorHAnsi"/>
          <w:i/>
          <w:iCs/>
        </w:rPr>
        <w:t>, especially in adolescents and young adults where this can be an issue.</w:t>
      </w:r>
    </w:p>
    <w:p w14:paraId="4C0CA4E0" w14:textId="77777777" w:rsidR="00A24E4E" w:rsidRDefault="00A24E4E" w:rsidP="00A24E4E">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PASC noted from AHCDO input that marstacimab does not eliminate the need for factor inhibitor testing as factor replacement may be required for breakthrough bleeds and surgical prophylaxis.</w:t>
      </w:r>
    </w:p>
    <w:p w14:paraId="4E68667F" w14:textId="0C0F3E0B" w:rsidR="00D37A3F" w:rsidRPr="00D37A3F" w:rsidRDefault="00D37A3F" w:rsidP="00713728">
      <w:pPr>
        <w:pStyle w:val="Heading2"/>
      </w:pPr>
      <w:r w:rsidRPr="00D37A3F">
        <w:t>Next steps</w:t>
      </w:r>
    </w:p>
    <w:p w14:paraId="73DF801E" w14:textId="77777777" w:rsidR="00DB5EB9" w:rsidRDefault="00DB5EB9" w:rsidP="00DB5EB9">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 xml:space="preserve">PASC noted that the applicant stated they would submit an applicant developed assessment report (ADAR). </w:t>
      </w:r>
    </w:p>
    <w:p w14:paraId="14DBA17E" w14:textId="77777777" w:rsidR="005C106D" w:rsidRDefault="005C106D" w:rsidP="005C106D">
      <w:pPr>
        <w:pStyle w:val="Heading2"/>
      </w:pPr>
      <w:r>
        <w:t>Applicant Comments on Ratified PICO</w:t>
      </w:r>
    </w:p>
    <w:p w14:paraId="48CF2129" w14:textId="77777777" w:rsidR="005C106D" w:rsidRPr="00775CE3" w:rsidRDefault="005C106D" w:rsidP="005C106D">
      <w:r>
        <w:t>The applicant had no comment.</w:t>
      </w:r>
    </w:p>
    <w:p w14:paraId="432DCF21" w14:textId="77777777" w:rsidR="00F713C4" w:rsidRDefault="00F713C4">
      <w:pPr>
        <w:spacing w:before="0" w:after="160" w:line="259" w:lineRule="auto"/>
        <w:rPr>
          <w:rFonts w:ascii="Franklin Gothic Medium" w:eastAsiaTheme="majorEastAsia" w:hAnsi="Franklin Gothic Medium" w:cstheme="majorBidi"/>
          <w:color w:val="000000" w:themeColor="text1"/>
          <w:sz w:val="32"/>
          <w:szCs w:val="26"/>
        </w:rPr>
      </w:pPr>
      <w:r>
        <w:br w:type="page"/>
      </w:r>
    </w:p>
    <w:p w14:paraId="57092BCC" w14:textId="1EE14557" w:rsidR="00FA1D2C" w:rsidRPr="00FA1D2C" w:rsidRDefault="00A33126" w:rsidP="00F37083">
      <w:pPr>
        <w:pStyle w:val="Heading2"/>
      </w:pPr>
      <w:r w:rsidRPr="00A33126">
        <w:lastRenderedPageBreak/>
        <w:t>References</w:t>
      </w:r>
    </w:p>
    <w:p w14:paraId="6B012F5B" w14:textId="77777777" w:rsidR="00431932" w:rsidRPr="00431932" w:rsidRDefault="00F37083" w:rsidP="00431932">
      <w:pPr>
        <w:pStyle w:val="EndNoteBibliography"/>
      </w:pPr>
      <w:r>
        <w:rPr>
          <w:lang w:val="en-AU"/>
        </w:rPr>
        <w:fldChar w:fldCharType="begin"/>
      </w:r>
      <w:r w:rsidRPr="00D1653A">
        <w:rPr>
          <w:lang w:val="en-AU"/>
        </w:rPr>
        <w:instrText xml:space="preserve"> ADDIN EN.REFLIST </w:instrText>
      </w:r>
      <w:r>
        <w:rPr>
          <w:lang w:val="en-AU"/>
        </w:rPr>
        <w:fldChar w:fldCharType="separate"/>
      </w:r>
      <w:r w:rsidR="00431932" w:rsidRPr="00431932">
        <w:t>AHCDO 2024, 'Position Statement: Guidelines for the Management of Haemophilia in Australia', Malvern East, VIC.</w:t>
      </w:r>
    </w:p>
    <w:p w14:paraId="591BE22D" w14:textId="77777777" w:rsidR="00431932" w:rsidRPr="00431932" w:rsidRDefault="00431932" w:rsidP="00431932">
      <w:pPr>
        <w:pStyle w:val="EndNoteBibliography"/>
        <w:spacing w:after="0"/>
      </w:pPr>
    </w:p>
    <w:p w14:paraId="27C79437" w14:textId="77777777" w:rsidR="00431932" w:rsidRPr="00431932" w:rsidRDefault="00431932" w:rsidP="00431932">
      <w:pPr>
        <w:pStyle w:val="EndNoteBibliography"/>
      </w:pPr>
      <w:r w:rsidRPr="00431932">
        <w:t xml:space="preserve">Badulescu, OV, Badescu, MC, Bojan, IB, Vladeanu, M, Filip, N, Dobreanu, S, Tudor, R, Ciuntu, B-M, Tanevski, A &amp; Ciocoiu, M 2024, 'Thrombotic Disease in Hemophilic Patients: Is This a Paradox in a State of Hypocoagulability?', </w:t>
      </w:r>
      <w:r w:rsidRPr="00431932">
        <w:rPr>
          <w:i/>
        </w:rPr>
        <w:t>Diagnostics</w:t>
      </w:r>
      <w:r w:rsidRPr="00431932">
        <w:t xml:space="preserve">, vol. 14, no. 3, p. 286, </w:t>
      </w:r>
    </w:p>
    <w:p w14:paraId="0DC1D7D1" w14:textId="77777777" w:rsidR="00431932" w:rsidRPr="00431932" w:rsidRDefault="00431932" w:rsidP="00431932">
      <w:pPr>
        <w:pStyle w:val="EndNoteBibliography"/>
        <w:spacing w:after="0"/>
      </w:pPr>
    </w:p>
    <w:p w14:paraId="337D65D0" w14:textId="27431C18" w:rsidR="00431932" w:rsidRPr="00431932" w:rsidRDefault="00431932" w:rsidP="00431932">
      <w:pPr>
        <w:pStyle w:val="EndNoteBibliography"/>
      </w:pPr>
      <w:r w:rsidRPr="00431932">
        <w:t xml:space="preserve">Brown, LJ, La, HA, Li, J, Brunner, M, Snoke, M &amp; Kerr, AM 2020, 'The societal burden of haemophilia A. I – A snapshot of haemophilia A in Australia and beyond', </w:t>
      </w:r>
      <w:r w:rsidRPr="00431932">
        <w:rPr>
          <w:i/>
        </w:rPr>
        <w:t>Haemophilia</w:t>
      </w:r>
      <w:r w:rsidRPr="00431932">
        <w:t xml:space="preserve">, vol. 26, no. S5, 2020/08/01, pp. 3-10, </w:t>
      </w:r>
      <w:hyperlink r:id="rId16" w:history="1">
        <w:r w:rsidRPr="00431932">
          <w:rPr>
            <w:rStyle w:val="Hyperlink"/>
            <w:rFonts w:ascii="Calibri" w:hAnsi="Calibri" w:cs="Calibri"/>
          </w:rPr>
          <w:t>https://doi.org/10.1111/hae.14102</w:t>
        </w:r>
      </w:hyperlink>
      <w:r w:rsidRPr="00431932">
        <w:t>.</w:t>
      </w:r>
    </w:p>
    <w:p w14:paraId="5CFD54B0" w14:textId="77777777" w:rsidR="00431932" w:rsidRPr="00431932" w:rsidRDefault="00431932" w:rsidP="00431932">
      <w:pPr>
        <w:pStyle w:val="EndNoteBibliography"/>
        <w:spacing w:after="0"/>
      </w:pPr>
    </w:p>
    <w:p w14:paraId="5701E0EE" w14:textId="77777777" w:rsidR="00431932" w:rsidRPr="00431932" w:rsidRDefault="00431932" w:rsidP="00431932">
      <w:pPr>
        <w:pStyle w:val="EndNoteBibliography"/>
      </w:pPr>
      <w:r w:rsidRPr="00431932">
        <w:t xml:space="preserve">Buckner, TW, Batt, K, Quon, D, Witkop, M, Recht, M, Kessler, C, Baumann, K, Hernandez, G, Wang, M, Cooper, DL &amp; Kempton, CL 2018, 'Assessments of pain, functional impairment, anxiety, and depression in US adults with hemophilia across patient-reported outcome instruments in the Pain, Functional Impairment, and Quality of Life (P-FiQ) study', </w:t>
      </w:r>
      <w:r w:rsidRPr="00431932">
        <w:rPr>
          <w:i/>
        </w:rPr>
        <w:t>Eur J Haematol</w:t>
      </w:r>
      <w:r w:rsidRPr="00431932">
        <w:t>, vol. 100 Suppl 1, Apr, pp. 5-13, 10.1111/ejh.13027.</w:t>
      </w:r>
    </w:p>
    <w:p w14:paraId="02B8313C" w14:textId="77777777" w:rsidR="00431932" w:rsidRPr="00431932" w:rsidRDefault="00431932" w:rsidP="00431932">
      <w:pPr>
        <w:pStyle w:val="EndNoteBibliography"/>
        <w:spacing w:after="0"/>
      </w:pPr>
    </w:p>
    <w:p w14:paraId="06631C31" w14:textId="77777777" w:rsidR="00431932" w:rsidRPr="00431932" w:rsidRDefault="00431932" w:rsidP="00431932">
      <w:pPr>
        <w:pStyle w:val="EndNoteBibliography"/>
      </w:pPr>
      <w:r w:rsidRPr="00431932">
        <w:t xml:space="preserve">Carroll, L, Benson, G, Lambert, J, Benmedjahed, K, Zak, M &amp; Lee, XY 2019, 'Real-world utilities and health-related quality-of-life data in hemophilia patients in France and the United Kingdom', </w:t>
      </w:r>
      <w:r w:rsidRPr="00431932">
        <w:rPr>
          <w:i/>
        </w:rPr>
        <w:t>Patient Prefer Adherence</w:t>
      </w:r>
      <w:r w:rsidRPr="00431932">
        <w:t>, vol. 13, pp. 941-957, 10.2147/PPA.S202773.</w:t>
      </w:r>
    </w:p>
    <w:p w14:paraId="7F1109DE" w14:textId="77777777" w:rsidR="00431932" w:rsidRPr="00431932" w:rsidRDefault="00431932" w:rsidP="00431932">
      <w:pPr>
        <w:pStyle w:val="EndNoteBibliography"/>
        <w:spacing w:after="0"/>
      </w:pPr>
    </w:p>
    <w:p w14:paraId="0CF6E87C" w14:textId="77777777" w:rsidR="00431932" w:rsidRPr="00431932" w:rsidRDefault="00431932" w:rsidP="00431932">
      <w:pPr>
        <w:pStyle w:val="EndNoteBibliography"/>
      </w:pPr>
      <w:r w:rsidRPr="00431932">
        <w:t xml:space="preserve">D'Angiolella, LS, Cortesi, PA, Rocino, A, Coppola, A, Hassan, HJ, Giampaolo, A, Solimeno, LP, Lafranconi, A, Micale, M, Mangano, S, Crotti, G, Pagliarin, F, Cesana, G &amp; Mantovani, LG 2018, 'The socioeconomic burden of patients affected by hemophilia with inhibitors', </w:t>
      </w:r>
      <w:r w:rsidRPr="00431932">
        <w:rPr>
          <w:i/>
        </w:rPr>
        <w:t>Eur J Haematol</w:t>
      </w:r>
      <w:r w:rsidRPr="00431932">
        <w:t>, vol. 101, no. 4, Oct, pp. 435-456, 10.1111/ejh.13108.</w:t>
      </w:r>
    </w:p>
    <w:p w14:paraId="2ABC660F" w14:textId="77777777" w:rsidR="00431932" w:rsidRPr="00431932" w:rsidRDefault="00431932" w:rsidP="00431932">
      <w:pPr>
        <w:pStyle w:val="EndNoteBibliography"/>
        <w:spacing w:after="0"/>
      </w:pPr>
    </w:p>
    <w:p w14:paraId="695F37C4" w14:textId="77777777" w:rsidR="00431932" w:rsidRPr="00431932" w:rsidRDefault="00431932" w:rsidP="00431932">
      <w:pPr>
        <w:pStyle w:val="EndNoteBibliography"/>
      </w:pPr>
      <w:r w:rsidRPr="00431932">
        <w:t xml:space="preserve">Haemophilia Foundation Australia 2023, </w:t>
      </w:r>
      <w:r w:rsidRPr="00431932">
        <w:rPr>
          <w:i/>
        </w:rPr>
        <w:t>Haemophilia</w:t>
      </w:r>
      <w:r w:rsidRPr="00431932">
        <w:t>.</w:t>
      </w:r>
    </w:p>
    <w:p w14:paraId="4E9A1745" w14:textId="77777777" w:rsidR="00431932" w:rsidRPr="00431932" w:rsidRDefault="00431932" w:rsidP="00431932">
      <w:pPr>
        <w:pStyle w:val="EndNoteBibliography"/>
        <w:spacing w:after="0"/>
      </w:pPr>
    </w:p>
    <w:p w14:paraId="6D621A01" w14:textId="77777777" w:rsidR="00431932" w:rsidRPr="00431932" w:rsidRDefault="00431932" w:rsidP="00431932">
      <w:pPr>
        <w:pStyle w:val="EndNoteBibliography"/>
      </w:pPr>
      <w:r w:rsidRPr="00431932">
        <w:t xml:space="preserve">Hassan, S, Monahan, RC, Mauser-Bunschoten, EP, van Vulpen, LFD, Eikenboom, J, Beckers, EAM, Hooimeijer, L, Ypma, PF, Nieuwenhuizen, L, Coppens, M, Schols, SEM, Leebeek, FWG, Smit, C, Driessens, MH, le Cessie, S, van Balen, EC, Rosendaal, FR, van der Bom, JG &amp; Gouw, SC 2021, 'Mortality, life expectancy, and causes of death of persons with hemophilia in the Netherlands 2001-2018', </w:t>
      </w:r>
      <w:r w:rsidRPr="00431932">
        <w:rPr>
          <w:i/>
        </w:rPr>
        <w:t>J Thromb Haemost</w:t>
      </w:r>
      <w:r w:rsidRPr="00431932">
        <w:t>, vol. 19, no. 3, Mar, pp. 645-653, 10.1111/jth.15182.</w:t>
      </w:r>
    </w:p>
    <w:p w14:paraId="16DFCEC5" w14:textId="77777777" w:rsidR="00431932" w:rsidRPr="00431932" w:rsidRDefault="00431932" w:rsidP="00431932">
      <w:pPr>
        <w:pStyle w:val="EndNoteBibliography"/>
        <w:spacing w:after="0"/>
      </w:pPr>
    </w:p>
    <w:p w14:paraId="1F2836C3" w14:textId="77777777" w:rsidR="00431932" w:rsidRPr="00431932" w:rsidRDefault="00431932" w:rsidP="00431932">
      <w:pPr>
        <w:pStyle w:val="EndNoteBibliography"/>
      </w:pPr>
      <w:r w:rsidRPr="00431932">
        <w:t xml:space="preserve">Johnson, KA &amp; Zhou, ZY 2011, 'Costs of care in hemophilia and possible implications of health care reform', </w:t>
      </w:r>
      <w:r w:rsidRPr="00431932">
        <w:rPr>
          <w:i/>
        </w:rPr>
        <w:t>Hematology Am Soc Hematol Educ Program</w:t>
      </w:r>
      <w:r w:rsidRPr="00431932">
        <w:t>, vol. 2011, pp. 413-418, 10.1182/asheducation-2011.1.413.</w:t>
      </w:r>
    </w:p>
    <w:p w14:paraId="25C2F4F5" w14:textId="77777777" w:rsidR="00431932" w:rsidRPr="00431932" w:rsidRDefault="00431932" w:rsidP="00431932">
      <w:pPr>
        <w:pStyle w:val="EndNoteBibliography"/>
        <w:spacing w:after="0"/>
      </w:pPr>
    </w:p>
    <w:p w14:paraId="6002EB3D" w14:textId="77777777" w:rsidR="00431932" w:rsidRPr="00431932" w:rsidRDefault="00431932" w:rsidP="00431932">
      <w:pPr>
        <w:pStyle w:val="EndNoteBibliography"/>
      </w:pPr>
      <w:r w:rsidRPr="00431932">
        <w:lastRenderedPageBreak/>
        <w:t xml:space="preserve">Kazani, S, Gould, T, Sun, P, McComb, B, Taylor, CT, McDonald, R, Teeter, J, Hwang, E &amp; Palladino, A 2025, 'Sustained Efficacy of Marstacimab in Adults and Adolescents with Severe Hemophilia A or B without Inhibitors', </w:t>
      </w:r>
      <w:r w:rsidRPr="00431932">
        <w:rPr>
          <w:i/>
        </w:rPr>
        <w:t>Hämostaseologie</w:t>
      </w:r>
      <w:r w:rsidRPr="00431932">
        <w:t xml:space="preserve">, vol. 45, no. S 01, pp. T-07-05, </w:t>
      </w:r>
    </w:p>
    <w:p w14:paraId="196162CE" w14:textId="77777777" w:rsidR="00431932" w:rsidRPr="00431932" w:rsidRDefault="00431932" w:rsidP="00431932">
      <w:pPr>
        <w:pStyle w:val="EndNoteBibliography"/>
        <w:spacing w:after="0"/>
      </w:pPr>
    </w:p>
    <w:p w14:paraId="23BA7EE3" w14:textId="77777777" w:rsidR="00431932" w:rsidRPr="00431932" w:rsidRDefault="00431932" w:rsidP="00431932">
      <w:pPr>
        <w:pStyle w:val="EndNoteBibliography"/>
      </w:pPr>
      <w:r w:rsidRPr="00431932">
        <w:t xml:space="preserve">Kizilocak, H, Guerrera, MF &amp; Young, G 2023, 'Neutralizing antidrug antibody to emicizumab in patients with severe hemophilia A: Case report of a first noninhibitor patient and review of the literature', </w:t>
      </w:r>
      <w:r w:rsidRPr="00431932">
        <w:rPr>
          <w:i/>
        </w:rPr>
        <w:t>Res Pract Thromb Haemost</w:t>
      </w:r>
      <w:r w:rsidRPr="00431932">
        <w:t>, vol. 7, no. 6, Aug, p. 102194, 10.1016/j.rpth.2023.102194.</w:t>
      </w:r>
    </w:p>
    <w:p w14:paraId="2C610EB6" w14:textId="77777777" w:rsidR="00431932" w:rsidRPr="00431932" w:rsidRDefault="00431932" w:rsidP="00431932">
      <w:pPr>
        <w:pStyle w:val="EndNoteBibliography"/>
        <w:spacing w:after="0"/>
      </w:pPr>
    </w:p>
    <w:p w14:paraId="27F724E7" w14:textId="07BCE824" w:rsidR="00431932" w:rsidRPr="00431932" w:rsidRDefault="00431932" w:rsidP="00431932">
      <w:pPr>
        <w:pStyle w:val="EndNoteBibliography"/>
      </w:pPr>
      <w:r w:rsidRPr="00431932">
        <w:t xml:space="preserve">Mahlangu, J, Iorio, A &amp; Kenet, G 2022, 'Emicizumab state-of-the-art update', </w:t>
      </w:r>
      <w:r w:rsidRPr="00431932">
        <w:rPr>
          <w:i/>
        </w:rPr>
        <w:t>Haemophilia</w:t>
      </w:r>
      <w:r w:rsidRPr="00431932">
        <w:t xml:space="preserve">, vol. 28, no. S4, 2022/05/01, pp. 103-110, </w:t>
      </w:r>
      <w:hyperlink r:id="rId17" w:history="1">
        <w:r w:rsidRPr="00431932">
          <w:rPr>
            <w:rStyle w:val="Hyperlink"/>
            <w:rFonts w:ascii="Calibri" w:hAnsi="Calibri" w:cs="Calibri"/>
          </w:rPr>
          <w:t>https://doi.org/10.1111/hae.14524</w:t>
        </w:r>
      </w:hyperlink>
      <w:r w:rsidRPr="00431932">
        <w:t>.</w:t>
      </w:r>
    </w:p>
    <w:p w14:paraId="353F165D" w14:textId="77777777" w:rsidR="00431932" w:rsidRPr="00431932" w:rsidRDefault="00431932" w:rsidP="00431932">
      <w:pPr>
        <w:pStyle w:val="EndNoteBibliography"/>
        <w:spacing w:after="0"/>
      </w:pPr>
    </w:p>
    <w:p w14:paraId="36C47618" w14:textId="77777777" w:rsidR="00431932" w:rsidRPr="00431932" w:rsidRDefault="00431932" w:rsidP="00431932">
      <w:pPr>
        <w:pStyle w:val="EndNoteBibliography"/>
      </w:pPr>
      <w:r w:rsidRPr="00431932">
        <w:t xml:space="preserve">Makris, M 2012, 'Prophylaxis in haemophilia should be life-long', </w:t>
      </w:r>
      <w:r w:rsidRPr="00431932">
        <w:rPr>
          <w:i/>
        </w:rPr>
        <w:t>Blood Transfus</w:t>
      </w:r>
      <w:r w:rsidRPr="00431932">
        <w:t>, vol. 10, no. 2, Apr, pp. 165-168, 10.2450/2012.0147-11.</w:t>
      </w:r>
    </w:p>
    <w:p w14:paraId="764F50A7" w14:textId="77777777" w:rsidR="00431932" w:rsidRPr="00431932" w:rsidRDefault="00431932" w:rsidP="00431932">
      <w:pPr>
        <w:pStyle w:val="EndNoteBibliography"/>
        <w:spacing w:after="0"/>
      </w:pPr>
    </w:p>
    <w:p w14:paraId="1E0CE008" w14:textId="77777777" w:rsidR="00431932" w:rsidRPr="00431932" w:rsidRDefault="00431932" w:rsidP="00431932">
      <w:pPr>
        <w:pStyle w:val="EndNoteBibliography"/>
      </w:pPr>
      <w:r w:rsidRPr="00431932">
        <w:t xml:space="preserve">Matino, D, Palladino, A, Taylor, CT, Hwang, E, Raje, S, Nayak, S, McDonald, R, Acharya, S, Mahlangu, J, Jiménez-Yuste, V, Choraria, NGD, Yang, R, Li, C-k, Al-Khabori, M, Wali, YAMS, Morales-Adrian, JDJ, Park, Y-S, Zülfikar, OB &amp; Teeter, J 2025, 'Marstacimab Prophylaxis in Hemophilia A/B Without Inhibitors: Results from the Phase 3 BASIS Trial', </w:t>
      </w:r>
      <w:r w:rsidRPr="00431932">
        <w:rPr>
          <w:i/>
        </w:rPr>
        <w:t>Blood</w:t>
      </w:r>
      <w:r w:rsidRPr="00431932">
        <w:t>, p. blood.2024027468, 10.1182/blood.2024027468.</w:t>
      </w:r>
    </w:p>
    <w:p w14:paraId="3D655A1F" w14:textId="77777777" w:rsidR="00431932" w:rsidRPr="00431932" w:rsidRDefault="00431932" w:rsidP="00431932">
      <w:pPr>
        <w:pStyle w:val="EndNoteBibliography"/>
        <w:spacing w:after="0"/>
      </w:pPr>
    </w:p>
    <w:p w14:paraId="365FCEB9" w14:textId="77777777" w:rsidR="00431932" w:rsidRPr="00431932" w:rsidRDefault="00431932" w:rsidP="00431932">
      <w:pPr>
        <w:pStyle w:val="EndNoteBibliography"/>
      </w:pPr>
      <w:r w:rsidRPr="00431932">
        <w:t xml:space="preserve">NA 2025, </w:t>
      </w:r>
      <w:r w:rsidRPr="00431932">
        <w:rPr>
          <w:i/>
        </w:rPr>
        <w:t>Australian Product Information HYMPAVZI™ (MARSTACIMAB)</w:t>
      </w:r>
      <w:r w:rsidRPr="00431932">
        <w:t>.</w:t>
      </w:r>
    </w:p>
    <w:p w14:paraId="1BC1D07C" w14:textId="77777777" w:rsidR="00431932" w:rsidRPr="00431932" w:rsidRDefault="00431932" w:rsidP="00431932">
      <w:pPr>
        <w:pStyle w:val="EndNoteBibliography"/>
        <w:spacing w:after="0"/>
      </w:pPr>
    </w:p>
    <w:p w14:paraId="2BC0671F" w14:textId="226A66C8" w:rsidR="00431932" w:rsidRPr="00431932" w:rsidRDefault="00431932" w:rsidP="00431932">
      <w:pPr>
        <w:pStyle w:val="EndNoteBibliography"/>
      </w:pPr>
      <w:r w:rsidRPr="00431932">
        <w:t xml:space="preserve">National Blood Authority 2020, </w:t>
      </w:r>
      <w:r w:rsidRPr="00431932">
        <w:rPr>
          <w:i/>
        </w:rPr>
        <w:t>Australian Blood Disorders Registry Annual Report 2019-20</w:t>
      </w:r>
      <w:r w:rsidRPr="00431932">
        <w:t>, NB Authority, &lt;</w:t>
      </w:r>
      <w:hyperlink r:id="rId18" w:history="1">
        <w:r w:rsidRPr="00431932">
          <w:rPr>
            <w:rStyle w:val="Hyperlink"/>
            <w:rFonts w:ascii="Calibri" w:hAnsi="Calibri" w:cs="Calibri"/>
          </w:rPr>
          <w:t>http://www.blood.gov.au/data-analysis-reporting</w:t>
        </w:r>
      </w:hyperlink>
      <w:r w:rsidRPr="00431932">
        <w:t>&gt;.</w:t>
      </w:r>
    </w:p>
    <w:p w14:paraId="457EFA5B" w14:textId="77777777" w:rsidR="00431932" w:rsidRPr="00431932" w:rsidRDefault="00431932" w:rsidP="00431932">
      <w:pPr>
        <w:pStyle w:val="EndNoteBibliography"/>
        <w:spacing w:after="0"/>
      </w:pPr>
    </w:p>
    <w:p w14:paraId="352799FF" w14:textId="77777777" w:rsidR="00431932" w:rsidRPr="00431932" w:rsidRDefault="00431932" w:rsidP="00431932">
      <w:pPr>
        <w:pStyle w:val="EndNoteBibliography"/>
      </w:pPr>
      <w:r w:rsidRPr="00431932">
        <w:t>National Blood Authority 2023a, 'Analyses requested by Pfizer from the ABDR', NBA.</w:t>
      </w:r>
    </w:p>
    <w:p w14:paraId="31629C1F" w14:textId="77777777" w:rsidR="00431932" w:rsidRPr="00431932" w:rsidRDefault="00431932" w:rsidP="00431932">
      <w:pPr>
        <w:pStyle w:val="EndNoteBibliography"/>
        <w:spacing w:after="0"/>
      </w:pPr>
    </w:p>
    <w:p w14:paraId="5F2B3CBB" w14:textId="4A09C5C9" w:rsidR="00431932" w:rsidRPr="00431932" w:rsidRDefault="00431932" w:rsidP="00431932">
      <w:pPr>
        <w:pStyle w:val="EndNoteBibliography"/>
      </w:pPr>
      <w:r w:rsidRPr="00431932">
        <w:t xml:space="preserve">National Blood Authority 2023b, </w:t>
      </w:r>
      <w:r w:rsidRPr="00431932">
        <w:rPr>
          <w:i/>
        </w:rPr>
        <w:t>Australian Blood Disorders Registry Annual Report 2021-22</w:t>
      </w:r>
      <w:r w:rsidRPr="00431932">
        <w:t>, NB Authority, &lt;</w:t>
      </w:r>
      <w:hyperlink r:id="rId19" w:history="1">
        <w:r w:rsidRPr="00431932">
          <w:rPr>
            <w:rStyle w:val="Hyperlink"/>
            <w:rFonts w:ascii="Calibri" w:hAnsi="Calibri" w:cs="Calibri"/>
          </w:rPr>
          <w:t>http://www.blood.gov.au/data-analysis-reporting</w:t>
        </w:r>
      </w:hyperlink>
      <w:r w:rsidRPr="00431932">
        <w:t>&gt;.</w:t>
      </w:r>
    </w:p>
    <w:p w14:paraId="776362A9" w14:textId="77777777" w:rsidR="00431932" w:rsidRPr="00431932" w:rsidRDefault="00431932" w:rsidP="00431932">
      <w:pPr>
        <w:pStyle w:val="EndNoteBibliography"/>
        <w:spacing w:after="0"/>
      </w:pPr>
    </w:p>
    <w:p w14:paraId="61FAA161" w14:textId="7BB01CB6" w:rsidR="00431932" w:rsidRPr="00431932" w:rsidRDefault="00431932" w:rsidP="00431932">
      <w:pPr>
        <w:pStyle w:val="EndNoteBibliography"/>
      </w:pPr>
      <w:r w:rsidRPr="00431932">
        <w:t xml:space="preserve">National Blood Authority 2023c, </w:t>
      </w:r>
      <w:r w:rsidRPr="00431932">
        <w:rPr>
          <w:i/>
        </w:rPr>
        <w:t>Australian Blood Disorders Registry Annual Report 2022-23</w:t>
      </w:r>
      <w:r w:rsidRPr="00431932">
        <w:t>, NB Authority, &lt;</w:t>
      </w:r>
      <w:hyperlink r:id="rId20" w:history="1">
        <w:r w:rsidRPr="00431932">
          <w:rPr>
            <w:rStyle w:val="Hyperlink"/>
            <w:rFonts w:ascii="Calibri" w:hAnsi="Calibri" w:cs="Calibri"/>
          </w:rPr>
          <w:t>https://www.blood.gov.au/australian-bleeding-disorders-registryannual-report</w:t>
        </w:r>
      </w:hyperlink>
      <w:r w:rsidRPr="00431932">
        <w:t>&gt;.</w:t>
      </w:r>
    </w:p>
    <w:p w14:paraId="1E50E34A" w14:textId="77777777" w:rsidR="00431932" w:rsidRPr="00431932" w:rsidRDefault="00431932" w:rsidP="00431932">
      <w:pPr>
        <w:pStyle w:val="EndNoteBibliography"/>
        <w:spacing w:after="0"/>
      </w:pPr>
    </w:p>
    <w:p w14:paraId="68194447" w14:textId="77777777" w:rsidR="00431932" w:rsidRPr="00431932" w:rsidRDefault="00431932" w:rsidP="00431932">
      <w:pPr>
        <w:pStyle w:val="EndNoteBibliography"/>
      </w:pPr>
      <w:r w:rsidRPr="00431932">
        <w:t xml:space="preserve">National Blood Authority 2025, </w:t>
      </w:r>
      <w:r w:rsidRPr="00431932">
        <w:rPr>
          <w:i/>
        </w:rPr>
        <w:t>The framework for the management of bleeding disorders in Australia</w:t>
      </w:r>
      <w:r w:rsidRPr="00431932">
        <w:t>.</w:t>
      </w:r>
    </w:p>
    <w:p w14:paraId="143F20BA" w14:textId="77777777" w:rsidR="00431932" w:rsidRPr="00431932" w:rsidRDefault="00431932" w:rsidP="00431932">
      <w:pPr>
        <w:pStyle w:val="EndNoteBibliography"/>
        <w:spacing w:after="0"/>
      </w:pPr>
    </w:p>
    <w:p w14:paraId="5DE26FA2" w14:textId="77777777" w:rsidR="00431932" w:rsidRPr="00431932" w:rsidRDefault="00431932" w:rsidP="00431932">
      <w:pPr>
        <w:pStyle w:val="EndNoteBibliography"/>
        <w:rPr>
          <w:i/>
        </w:rPr>
      </w:pPr>
      <w:r w:rsidRPr="00431932">
        <w:t xml:space="preserve">National Blood Authority, A 2022, </w:t>
      </w:r>
      <w:r w:rsidRPr="00431932">
        <w:rPr>
          <w:i/>
        </w:rPr>
        <w:t xml:space="preserve">NOVOSEVEN RT </w:t>
      </w:r>
    </w:p>
    <w:p w14:paraId="32B4EA35" w14:textId="77777777" w:rsidR="00431932" w:rsidRPr="00431932" w:rsidRDefault="00431932" w:rsidP="00431932">
      <w:pPr>
        <w:pStyle w:val="EndNoteBibliography"/>
        <w:rPr>
          <w:i/>
        </w:rPr>
      </w:pPr>
      <w:r w:rsidRPr="00431932">
        <w:rPr>
          <w:i/>
        </w:rPr>
        <w:t>EPTACOG ALFA</w:t>
      </w:r>
    </w:p>
    <w:p w14:paraId="7F7998C8" w14:textId="48C7F61E" w:rsidR="00431932" w:rsidRPr="00431932" w:rsidRDefault="00431932" w:rsidP="00431932">
      <w:pPr>
        <w:pStyle w:val="EndNoteBibliography"/>
      </w:pPr>
      <w:r w:rsidRPr="00431932">
        <w:lastRenderedPageBreak/>
        <w:t xml:space="preserve"> &lt;</w:t>
      </w:r>
      <w:hyperlink r:id="rId21" w:history="1">
        <w:r w:rsidRPr="00431932">
          <w:rPr>
            <w:rStyle w:val="Hyperlink"/>
            <w:rFonts w:ascii="Calibri" w:hAnsi="Calibri" w:cs="Calibri"/>
          </w:rPr>
          <w:t>https://www.blood.gov.au/sites/default/files/documents/2024-07/Eptacog%20alfa%20%28NovoSeven%20RT%29%20Utilisation%20Review.pdf</w:t>
        </w:r>
      </w:hyperlink>
      <w:r w:rsidRPr="00431932">
        <w:t>&gt;.</w:t>
      </w:r>
    </w:p>
    <w:p w14:paraId="1F52ADC6" w14:textId="77777777" w:rsidR="00431932" w:rsidRPr="00431932" w:rsidRDefault="00431932" w:rsidP="00431932">
      <w:pPr>
        <w:pStyle w:val="EndNoteBibliography"/>
        <w:spacing w:after="0"/>
      </w:pPr>
    </w:p>
    <w:p w14:paraId="349BD659" w14:textId="77777777" w:rsidR="00431932" w:rsidRPr="00431932" w:rsidRDefault="00431932" w:rsidP="00431932">
      <w:pPr>
        <w:pStyle w:val="EndNoteBibliography"/>
      </w:pPr>
      <w:r w:rsidRPr="00431932">
        <w:t xml:space="preserve">O'Hara, J, Walsh, S, Camp, C, Mazza, G, Carroll, L, Hoxer, C &amp; Wilkinson, L 2018, 'The impact of severe haemophilia and the presence of target joints on health-related quality-of-life', </w:t>
      </w:r>
      <w:r w:rsidRPr="00431932">
        <w:rPr>
          <w:i/>
        </w:rPr>
        <w:t>Health Qual Life Outcomes</w:t>
      </w:r>
      <w:r w:rsidRPr="00431932">
        <w:t>, vol. 16, no. 1, May 2, p. 84, 10.1186/s12955-018-0908-9.</w:t>
      </w:r>
    </w:p>
    <w:p w14:paraId="5CE49616" w14:textId="77777777" w:rsidR="00431932" w:rsidRPr="00431932" w:rsidRDefault="00431932" w:rsidP="00431932">
      <w:pPr>
        <w:pStyle w:val="EndNoteBibliography"/>
        <w:spacing w:after="0"/>
      </w:pPr>
    </w:p>
    <w:p w14:paraId="0982B5EE" w14:textId="77777777" w:rsidR="00431932" w:rsidRPr="00431932" w:rsidRDefault="00431932" w:rsidP="00431932">
      <w:pPr>
        <w:pStyle w:val="EndNoteBibliography"/>
      </w:pPr>
      <w:r w:rsidRPr="00431932">
        <w:t xml:space="preserve">Pfizer 2023, </w:t>
      </w:r>
      <w:r w:rsidRPr="00431932">
        <w:rPr>
          <w:i/>
        </w:rPr>
        <w:t>BASIS (B7841005) Interim Study Report Body</w:t>
      </w:r>
      <w:r w:rsidRPr="00431932">
        <w:t>.</w:t>
      </w:r>
    </w:p>
    <w:p w14:paraId="2B3675D8" w14:textId="77777777" w:rsidR="00431932" w:rsidRPr="00431932" w:rsidRDefault="00431932" w:rsidP="00431932">
      <w:pPr>
        <w:pStyle w:val="EndNoteBibliography"/>
        <w:spacing w:after="0"/>
      </w:pPr>
    </w:p>
    <w:p w14:paraId="1CC26B57" w14:textId="77777777" w:rsidR="00431932" w:rsidRPr="00431932" w:rsidRDefault="00431932" w:rsidP="00431932">
      <w:pPr>
        <w:pStyle w:val="EndNoteBibliography"/>
      </w:pPr>
      <w:r w:rsidRPr="00431932">
        <w:t xml:space="preserve">Smith, SA, Travers, RJ &amp; Morrissey, JH 2015, 'How it all starts: Initiation of the clotting cascade', </w:t>
      </w:r>
      <w:r w:rsidRPr="00431932">
        <w:rPr>
          <w:i/>
        </w:rPr>
        <w:t>Crit Rev Biochem Mol Biol</w:t>
      </w:r>
      <w:r w:rsidRPr="00431932">
        <w:t>, vol. 50, no. 4, pp. 326-336, 10.3109/10409238.2015.1050550.</w:t>
      </w:r>
    </w:p>
    <w:p w14:paraId="3B80BC3F" w14:textId="77777777" w:rsidR="00431932" w:rsidRPr="00431932" w:rsidRDefault="00431932" w:rsidP="00431932">
      <w:pPr>
        <w:pStyle w:val="EndNoteBibliography"/>
        <w:spacing w:after="0"/>
      </w:pPr>
    </w:p>
    <w:p w14:paraId="79E0CE30" w14:textId="77777777" w:rsidR="00431932" w:rsidRPr="00431932" w:rsidRDefault="00431932" w:rsidP="00431932">
      <w:pPr>
        <w:pStyle w:val="EndNoteBibliography"/>
      </w:pPr>
      <w:r w:rsidRPr="00431932">
        <w:t xml:space="preserve">Srivastava, A, Santagostino, E, Dougall, A, Kitchen, S, Sutherland, M, Pipe, SW, Carcao, M, Mahlangu, J, Ragni, MV, Windyga, J, Llinas, A, Goddard, NJ, Mohan, R, Poonnoose, PM, Feldman, BM, Lewis, SZ, van den Berg, HM, Pierce, GF, panelists, WFHGftMoH &amp; co, a 2020, 'WFH Guidelines for the Management of Hemophilia, 3rd edition', </w:t>
      </w:r>
      <w:r w:rsidRPr="00431932">
        <w:rPr>
          <w:i/>
        </w:rPr>
        <w:t>Haemophilia</w:t>
      </w:r>
      <w:r w:rsidRPr="00431932">
        <w:t>, vol. 26 Suppl 6, Aug, pp. 1-158, 10.1111/hae.14046.</w:t>
      </w:r>
    </w:p>
    <w:p w14:paraId="4BF174FB" w14:textId="77777777" w:rsidR="00431932" w:rsidRPr="00431932" w:rsidRDefault="00431932" w:rsidP="00431932">
      <w:pPr>
        <w:pStyle w:val="EndNoteBibliography"/>
      </w:pPr>
    </w:p>
    <w:p w14:paraId="3923ED2A" w14:textId="405304F1" w:rsidR="005A0C40" w:rsidRDefault="00F37083" w:rsidP="00D64DED">
      <w:pPr>
        <w:pStyle w:val="Instructionaltext"/>
      </w:pPr>
      <w:r>
        <w:fldChar w:fldCharType="end"/>
      </w:r>
    </w:p>
    <w:sectPr w:rsidR="005A0C40" w:rsidSect="00AE6FE0">
      <w:headerReference w:type="even" r:id="rId22"/>
      <w:headerReference w:type="default" r:id="rId23"/>
      <w:footerReference w:type="even" r:id="rId24"/>
      <w:footerReference w:type="default" r:id="rId25"/>
      <w:headerReference w:type="first" r:id="rId26"/>
      <w:footerReference w:type="first" r:id="rId27"/>
      <w:pgSz w:w="11906" w:h="16838"/>
      <w:pgMar w:top="682" w:right="1134" w:bottom="1021"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32969" w14:textId="77777777" w:rsidR="005C413E" w:rsidRDefault="005C413E" w:rsidP="0016315C">
      <w:pPr>
        <w:spacing w:after="0" w:line="240" w:lineRule="auto"/>
      </w:pPr>
      <w:r>
        <w:separator/>
      </w:r>
    </w:p>
  </w:endnote>
  <w:endnote w:type="continuationSeparator" w:id="0">
    <w:p w14:paraId="30F3A5D0" w14:textId="77777777" w:rsidR="005C413E" w:rsidRDefault="005C413E" w:rsidP="0016315C">
      <w:pPr>
        <w:spacing w:after="0" w:line="240" w:lineRule="auto"/>
      </w:pPr>
      <w:r>
        <w:continuationSeparator/>
      </w:r>
    </w:p>
  </w:endnote>
  <w:endnote w:type="continuationNotice" w:id="1">
    <w:p w14:paraId="6DD8E061" w14:textId="77777777" w:rsidR="005C413E" w:rsidRDefault="005C41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1D3D2" w14:textId="52BCA8F0" w:rsidR="00685355" w:rsidRDefault="00462E26">
    <w:pPr>
      <w:pStyle w:val="Footer"/>
      <w:framePr w:wrap="none" w:vAnchor="text" w:hAnchor="margin" w:xAlign="right" w:y="1"/>
      <w:rPr>
        <w:rStyle w:val="PageNumber"/>
      </w:rPr>
    </w:pPr>
    <w:r>
      <w:rPr>
        <w:noProof/>
      </w:rPr>
      <mc:AlternateContent>
        <mc:Choice Requires="wps">
          <w:drawing>
            <wp:anchor distT="0" distB="0" distL="0" distR="0" simplePos="0" relativeHeight="251662336" behindDoc="0" locked="0" layoutInCell="1" allowOverlap="1" wp14:anchorId="2AA9E1CB" wp14:editId="51CDABB9">
              <wp:simplePos x="635" y="635"/>
              <wp:positionH relativeFrom="page">
                <wp:align>center</wp:align>
              </wp:positionH>
              <wp:positionV relativeFrom="page">
                <wp:align>bottom</wp:align>
              </wp:positionV>
              <wp:extent cx="551815" cy="480695"/>
              <wp:effectExtent l="0" t="0" r="635" b="0"/>
              <wp:wrapNone/>
              <wp:docPr id="203908099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3B19877" w14:textId="1F32BC96" w:rsidR="00462E26" w:rsidRPr="00462E26" w:rsidRDefault="00462E26" w:rsidP="00462E26">
                          <w:pPr>
                            <w:spacing w:after="0"/>
                            <w:rPr>
                              <w:rFonts w:cs="Calibri"/>
                              <w:noProof/>
                              <w:color w:val="FF0000"/>
                              <w:sz w:val="24"/>
                              <w:szCs w:val="24"/>
                            </w:rPr>
                          </w:pPr>
                          <w:r w:rsidRPr="00462E26">
                            <w:rPr>
                              <w:rFonts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A9E1CB" id="_x0000_t202" coordsize="21600,21600" o:spt="202" path="m,l,21600r21600,l21600,xe">
              <v:stroke joinstyle="miter"/>
              <v:path gradientshapeok="t" o:connecttype="rect"/>
            </v:shapetype>
            <v:shape id="Text Box 5" o:spid="_x0000_s1027" type="#_x0000_t202" alt="OFFICIAL" style="position:absolute;margin-left:0;margin-top:0;width:43.45pt;height:37.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8MzDQ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" filled="f" stroked="f">
              <v:fill o:detectmouseclick="t"/>
              <v:textbox style="mso-fit-shape-to-text:t" inset="0,0,0,15pt">
                <w:txbxContent>
                  <w:p w14:paraId="13B19877" w14:textId="1F32BC96" w:rsidR="00462E26" w:rsidRPr="00462E26" w:rsidRDefault="00462E26" w:rsidP="00462E26">
                    <w:pPr>
                      <w:spacing w:after="0"/>
                      <w:rPr>
                        <w:rFonts w:cs="Calibri"/>
                        <w:noProof/>
                        <w:color w:val="FF0000"/>
                        <w:sz w:val="24"/>
                        <w:szCs w:val="24"/>
                      </w:rPr>
                    </w:pPr>
                    <w:r w:rsidRPr="00462E26">
                      <w:rPr>
                        <w:rFonts w:cs="Calibri"/>
                        <w:noProof/>
                        <w:color w:val="FF0000"/>
                        <w:sz w:val="24"/>
                        <w:szCs w:val="24"/>
                      </w:rPr>
                      <w:t>OFFICIAL</w:t>
                    </w:r>
                  </w:p>
                </w:txbxContent>
              </v:textbox>
              <w10:wrap anchorx="page" anchory="page"/>
            </v:shape>
          </w:pict>
        </mc:Fallback>
      </mc:AlternateContent>
    </w:r>
    <w:r w:rsidR="00685355">
      <w:rPr>
        <w:rStyle w:val="PageNumber"/>
      </w:rPr>
      <w:fldChar w:fldCharType="begin"/>
    </w:r>
    <w:r w:rsidR="00685355">
      <w:rPr>
        <w:rStyle w:val="PageNumber"/>
      </w:rPr>
      <w:instrText xml:space="preserve"> PAGE </w:instrText>
    </w:r>
    <w:r w:rsidR="00685355">
      <w:rPr>
        <w:rStyle w:val="PageNumber"/>
      </w:rPr>
      <w:fldChar w:fldCharType="separate"/>
    </w:r>
    <w:r w:rsidR="003A1E02" w:rsidRPr="00D1653A">
      <w:rPr>
        <w:rStyle w:val="PageNumber"/>
      </w:rPr>
      <w:t>1</w:t>
    </w:r>
    <w:r w:rsidR="00685355">
      <w:rPr>
        <w:rStyle w:val="PageNumber"/>
      </w:rPr>
      <w:fldChar w:fldCharType="end"/>
    </w:r>
  </w:p>
  <w:p w14:paraId="74E72C2D" w14:textId="77777777" w:rsidR="00685355" w:rsidRDefault="00685355" w:rsidP="006853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593B1" w14:textId="26AB78C6" w:rsidR="00685355" w:rsidRDefault="00462E26">
    <w:pPr>
      <w:pStyle w:val="Footer"/>
      <w:framePr w:wrap="none" w:vAnchor="text" w:hAnchor="margin" w:xAlign="right" w:y="1"/>
      <w:rPr>
        <w:rStyle w:val="PageNumber"/>
      </w:rPr>
    </w:pPr>
    <w:r>
      <w:rPr>
        <w:noProof/>
      </w:rPr>
      <mc:AlternateContent>
        <mc:Choice Requires="wps">
          <w:drawing>
            <wp:anchor distT="0" distB="0" distL="0" distR="0" simplePos="0" relativeHeight="251663360" behindDoc="0" locked="0" layoutInCell="1" allowOverlap="1" wp14:anchorId="1B450366" wp14:editId="409C1D7A">
              <wp:simplePos x="6772275" y="9725025"/>
              <wp:positionH relativeFrom="page">
                <wp:align>center</wp:align>
              </wp:positionH>
              <wp:positionV relativeFrom="page">
                <wp:align>bottom</wp:align>
              </wp:positionV>
              <wp:extent cx="551815" cy="480695"/>
              <wp:effectExtent l="0" t="0" r="635" b="0"/>
              <wp:wrapNone/>
              <wp:docPr id="2112886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A397114" w14:textId="28B3BDA5" w:rsidR="00462E26" w:rsidRPr="00462E26" w:rsidRDefault="00462E26" w:rsidP="00462E26">
                          <w:pPr>
                            <w:spacing w:after="0"/>
                            <w:rPr>
                              <w:rFonts w:cs="Calibri"/>
                              <w:noProof/>
                              <w:color w:val="FF0000"/>
                              <w:sz w:val="24"/>
                              <w:szCs w:val="24"/>
                            </w:rPr>
                          </w:pPr>
                          <w:r w:rsidRPr="00462E26">
                            <w:rPr>
                              <w:rFonts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450366" id="_x0000_t202" coordsize="21600,21600" o:spt="202" path="m,l,21600r21600,l21600,xe">
              <v:stroke joinstyle="miter"/>
              <v:path gradientshapeok="t" o:connecttype="rect"/>
            </v:shapetype>
            <v:shape id="Text Box 6" o:spid="_x0000_s1028" type="#_x0000_t202" alt="OFFICIAL" style="position:absolute;margin-left:0;margin-top:0;width:43.45pt;height:37.8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EO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I1P3NTQnHMrBuG9v+abD0lvmwwtzuGCcA0Ub&#10;nvGQCvqKwtmipAX342/+mI+8Y5SSHgVTUYOKpkR9M7iPqK3JcJNRJ6O4y+c5xs1BPwDKsMAXYXky&#10;0euCmkzpQL+hnNexEIaY4ViuovVkPoRRufgcuFivUxLKyLKwNTvLI3SkK3L5OrwxZ8+EB9zUE0xq&#10;YuU73sfceNPb9SEg+2kpkdqRyDPjKMG01vNziRr/9T9lXR/16ic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RBxDg4CAAAc&#10;BAAADgAAAAAAAAAAAAAAAAAuAgAAZHJzL2Uyb0RvYy54bWxQSwECLQAUAAYACAAAACEAVEtbFtsA&#10;AAADAQAADwAAAAAAAAAAAAAAAABoBAAAZHJzL2Rvd25yZXYueG1sUEsFBgAAAAAEAAQA8wAAAHAF&#10;AAAAAA==&#10;" filled="f" stroked="f">
              <v:fill o:detectmouseclick="t"/>
              <v:textbox style="mso-fit-shape-to-text:t" inset="0,0,0,15pt">
                <w:txbxContent>
                  <w:p w14:paraId="1A397114" w14:textId="28B3BDA5" w:rsidR="00462E26" w:rsidRPr="00462E26" w:rsidRDefault="00462E26" w:rsidP="00462E26">
                    <w:pPr>
                      <w:spacing w:after="0"/>
                      <w:rPr>
                        <w:rFonts w:cs="Calibri"/>
                        <w:noProof/>
                        <w:color w:val="FF0000"/>
                        <w:sz w:val="24"/>
                        <w:szCs w:val="24"/>
                      </w:rPr>
                    </w:pPr>
                    <w:r w:rsidRPr="00462E26">
                      <w:rPr>
                        <w:rFonts w:cs="Calibri"/>
                        <w:noProof/>
                        <w:color w:val="FF0000"/>
                        <w:sz w:val="24"/>
                        <w:szCs w:val="24"/>
                      </w:rPr>
                      <w:t>OFFICIAL</w:t>
                    </w:r>
                  </w:p>
                </w:txbxContent>
              </v:textbox>
              <w10:wrap anchorx="page" anchory="page"/>
            </v:shape>
          </w:pict>
        </mc:Fallback>
      </mc:AlternateContent>
    </w:r>
    <w:sdt>
      <w:sdtPr>
        <w:rPr>
          <w:rStyle w:val="PageNumber"/>
        </w:rPr>
        <w:id w:val="-2093382827"/>
        <w:docPartObj>
          <w:docPartGallery w:val="Page Numbers (Bottom of Page)"/>
          <w:docPartUnique/>
        </w:docPartObj>
      </w:sdtPr>
      <w:sdtEndPr>
        <w:rPr>
          <w:rStyle w:val="PageNumber"/>
        </w:rPr>
      </w:sdtEndPr>
      <w:sdtContent>
        <w:r w:rsidR="00685355">
          <w:rPr>
            <w:rStyle w:val="PageNumber"/>
          </w:rPr>
          <w:fldChar w:fldCharType="begin"/>
        </w:r>
        <w:r w:rsidR="00685355">
          <w:rPr>
            <w:rStyle w:val="PageNumber"/>
          </w:rPr>
          <w:instrText xml:space="preserve"> PAGE </w:instrText>
        </w:r>
        <w:r w:rsidR="00685355">
          <w:rPr>
            <w:rStyle w:val="PageNumber"/>
          </w:rPr>
          <w:fldChar w:fldCharType="separate"/>
        </w:r>
        <w:r w:rsidR="00685355" w:rsidRPr="00D1653A">
          <w:rPr>
            <w:rStyle w:val="PageNumber"/>
          </w:rPr>
          <w:t>1</w:t>
        </w:r>
        <w:r w:rsidR="00685355">
          <w:rPr>
            <w:rStyle w:val="PageNumber"/>
          </w:rPr>
          <w:fldChar w:fldCharType="end"/>
        </w:r>
      </w:sdtContent>
    </w:sdt>
  </w:p>
  <w:p w14:paraId="33649654" w14:textId="1CE5DC7A" w:rsidR="0016315C" w:rsidRPr="00685355" w:rsidRDefault="00A11C23" w:rsidP="00BB0FFB">
    <w:pPr>
      <w:jc w:val="center"/>
    </w:pPr>
    <w:r>
      <w:t xml:space="preserve">Ratified </w:t>
    </w:r>
    <w:r w:rsidR="60009B8A">
      <w:t xml:space="preserve">PICO Confirmation – </w:t>
    </w:r>
    <w:r w:rsidR="0057069A">
      <w:t>August 2025</w:t>
    </w:r>
    <w:r w:rsidR="60009B8A" w:rsidRPr="0057069A">
      <w:t xml:space="preserve"> PASC Meeting</w:t>
    </w:r>
    <w:r w:rsidR="00BB0FFB">
      <w:br/>
    </w:r>
    <w:r w:rsidR="60009B8A">
      <w:t xml:space="preserve">Application </w:t>
    </w:r>
    <w:r w:rsidR="00740B75" w:rsidRPr="007C263F">
      <w:t>18</w:t>
    </w:r>
    <w:r w:rsidR="007C263F" w:rsidRPr="007C263F">
      <w:t>06</w:t>
    </w:r>
    <w:r w:rsidR="60009B8A" w:rsidRPr="007C263F">
      <w:t xml:space="preserve"> – </w:t>
    </w:r>
    <w:r w:rsidR="00F37827" w:rsidRPr="00F37827">
      <w:t xml:space="preserve">Marstacimab for </w:t>
    </w:r>
    <w:r w:rsidR="00467A7D">
      <w:t xml:space="preserve">routine prophylaxis to </w:t>
    </w:r>
    <w:r w:rsidR="00F37827" w:rsidRPr="00F37827">
      <w:t xml:space="preserve">prevent bleeding in </w:t>
    </w:r>
    <w:r w:rsidR="00467A7D">
      <w:t>patients with</w:t>
    </w:r>
    <w:r w:rsidR="00F37827" w:rsidRPr="00F37827">
      <w:t xml:space="preserve"> haemophilia</w:t>
    </w:r>
    <w:r w:rsidR="007C34A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D5474" w14:textId="2DC54721" w:rsidR="00A11C23" w:rsidRDefault="00462E26">
    <w:pPr>
      <w:pStyle w:val="Footer"/>
    </w:pPr>
    <w:r>
      <w:rPr>
        <w:noProof/>
      </w:rPr>
      <mc:AlternateContent>
        <mc:Choice Requires="wps">
          <w:drawing>
            <wp:anchor distT="0" distB="0" distL="0" distR="0" simplePos="0" relativeHeight="251661312" behindDoc="0" locked="0" layoutInCell="1" allowOverlap="1" wp14:anchorId="04468F7D" wp14:editId="36FA5130">
              <wp:simplePos x="635" y="635"/>
              <wp:positionH relativeFrom="page">
                <wp:align>center</wp:align>
              </wp:positionH>
              <wp:positionV relativeFrom="page">
                <wp:align>bottom</wp:align>
              </wp:positionV>
              <wp:extent cx="551815" cy="480695"/>
              <wp:effectExtent l="0" t="0" r="635" b="0"/>
              <wp:wrapNone/>
              <wp:docPr id="1369114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EE919DF" w14:textId="1F924B9E" w:rsidR="00462E26" w:rsidRPr="00462E26" w:rsidRDefault="00462E26" w:rsidP="00462E26">
                          <w:pPr>
                            <w:spacing w:after="0"/>
                            <w:rPr>
                              <w:rFonts w:cs="Calibri"/>
                              <w:noProof/>
                              <w:color w:val="FF0000"/>
                              <w:sz w:val="24"/>
                              <w:szCs w:val="24"/>
                            </w:rPr>
                          </w:pPr>
                          <w:r w:rsidRPr="00462E26">
                            <w:rPr>
                              <w:rFonts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468F7D" id="_x0000_t202" coordsize="21600,21600" o:spt="202" path="m,l,21600r21600,l21600,xe">
              <v:stroke joinstyle="miter"/>
              <v:path gradientshapeok="t" o:connecttype="rect"/>
            </v:shapetype>
            <v:shape id="Text Box 4" o:spid="_x0000_s1030" type="#_x0000_t202" alt="OFFICIAL" style="position:absolute;margin-left:0;margin-top:0;width:43.45pt;height:37.8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fill o:detectmouseclick="t"/>
              <v:textbox style="mso-fit-shape-to-text:t" inset="0,0,0,15pt">
                <w:txbxContent>
                  <w:p w14:paraId="0EE919DF" w14:textId="1F924B9E" w:rsidR="00462E26" w:rsidRPr="00462E26" w:rsidRDefault="00462E26" w:rsidP="00462E26">
                    <w:pPr>
                      <w:spacing w:after="0"/>
                      <w:rPr>
                        <w:rFonts w:cs="Calibri"/>
                        <w:noProof/>
                        <w:color w:val="FF0000"/>
                        <w:sz w:val="24"/>
                        <w:szCs w:val="24"/>
                      </w:rPr>
                    </w:pPr>
                    <w:r w:rsidRPr="00462E26">
                      <w:rPr>
                        <w:rFonts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DACAB" w14:textId="77777777" w:rsidR="005C413E" w:rsidRDefault="005C413E" w:rsidP="0016315C">
      <w:pPr>
        <w:spacing w:after="0" w:line="240" w:lineRule="auto"/>
      </w:pPr>
      <w:r>
        <w:separator/>
      </w:r>
    </w:p>
  </w:footnote>
  <w:footnote w:type="continuationSeparator" w:id="0">
    <w:p w14:paraId="4A2602EC" w14:textId="77777777" w:rsidR="005C413E" w:rsidRDefault="005C413E" w:rsidP="0016315C">
      <w:pPr>
        <w:spacing w:after="0" w:line="240" w:lineRule="auto"/>
      </w:pPr>
      <w:r>
        <w:continuationSeparator/>
      </w:r>
    </w:p>
  </w:footnote>
  <w:footnote w:type="continuationNotice" w:id="1">
    <w:p w14:paraId="673F7BCD" w14:textId="77777777" w:rsidR="005C413E" w:rsidRDefault="005C413E">
      <w:pPr>
        <w:spacing w:after="0" w:line="240" w:lineRule="auto"/>
      </w:pPr>
    </w:p>
  </w:footnote>
  <w:footnote w:id="2">
    <w:p w14:paraId="2610F429" w14:textId="248C1276" w:rsidR="00310205" w:rsidRDefault="00310205">
      <w:pPr>
        <w:pStyle w:val="FootnoteText"/>
      </w:pPr>
      <w:r>
        <w:rPr>
          <w:rStyle w:val="FootnoteReference"/>
        </w:rPr>
        <w:footnoteRef/>
      </w:r>
      <w:r>
        <w:t xml:space="preserve"> Note, there is a</w:t>
      </w:r>
      <w:r w:rsidR="00582AF4">
        <w:t>noth</w:t>
      </w:r>
      <w:r w:rsidR="00481CB3">
        <w:t xml:space="preserve">er form of the disorder, known as acquired haemophilia that is not caused by inherited gene variants. However, acquired haemophilia is not considered part of the target population. </w:t>
      </w:r>
    </w:p>
  </w:footnote>
  <w:footnote w:id="3">
    <w:p w14:paraId="53067A57" w14:textId="76D2DEF0" w:rsidR="00AA4583" w:rsidRDefault="00AA4583">
      <w:pPr>
        <w:pStyle w:val="FootnoteText"/>
      </w:pPr>
      <w:r>
        <w:rPr>
          <w:rStyle w:val="FootnoteReference"/>
        </w:rPr>
        <w:footnoteRef/>
      </w:r>
      <w:r>
        <w:t xml:space="preserve"> </w:t>
      </w:r>
      <w:r w:rsidRPr="00AA4583">
        <w:t>https://www.tga.gov.au/resources/artg/438990</w:t>
      </w:r>
    </w:p>
  </w:footnote>
  <w:footnote w:id="4">
    <w:p w14:paraId="76A8EC40" w14:textId="2BA85204" w:rsidR="004B0F5C" w:rsidRPr="000036A8" w:rsidRDefault="004B0F5C" w:rsidP="004B0F5C">
      <w:pPr>
        <w:pStyle w:val="FootnoteText"/>
        <w:rPr>
          <w:sz w:val="18"/>
          <w:szCs w:val="18"/>
        </w:rPr>
      </w:pPr>
      <w:r w:rsidRPr="000036A8">
        <w:rPr>
          <w:rStyle w:val="FootnoteReference"/>
          <w:sz w:val="18"/>
          <w:szCs w:val="18"/>
        </w:rPr>
        <w:footnoteRef/>
      </w:r>
      <w:r w:rsidRPr="000036A8">
        <w:rPr>
          <w:sz w:val="18"/>
          <w:szCs w:val="18"/>
        </w:rPr>
        <w:t xml:space="preserve"> </w:t>
      </w:r>
      <w:r w:rsidRPr="00BF7356">
        <w:t xml:space="preserve">Medical Services Advisory Committee – </w:t>
      </w:r>
      <w:hyperlink r:id="rId1" w:history="1">
        <w:r w:rsidRPr="00BF7356">
          <w:rPr>
            <w:rStyle w:val="Hyperlink"/>
            <w:rFonts w:ascii="Calibri" w:hAnsi="Calibri"/>
          </w:rPr>
          <w:t>Guidelines for preparing assessments for the Medical Services Advisory Committee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71675" w14:textId="783CB4A4" w:rsidR="00A11C23" w:rsidRDefault="00462E26">
    <w:pPr>
      <w:pStyle w:val="Header"/>
    </w:pPr>
    <w:r>
      <w:rPr>
        <w:noProof/>
      </w:rPr>
      <mc:AlternateContent>
        <mc:Choice Requires="wps">
          <w:drawing>
            <wp:anchor distT="0" distB="0" distL="0" distR="0" simplePos="0" relativeHeight="251659264" behindDoc="0" locked="0" layoutInCell="1" allowOverlap="1" wp14:anchorId="4BEAF109" wp14:editId="076704E4">
              <wp:simplePos x="635" y="635"/>
              <wp:positionH relativeFrom="page">
                <wp:align>center</wp:align>
              </wp:positionH>
              <wp:positionV relativeFrom="page">
                <wp:align>top</wp:align>
              </wp:positionV>
              <wp:extent cx="551815" cy="480695"/>
              <wp:effectExtent l="0" t="0" r="635" b="14605"/>
              <wp:wrapNone/>
              <wp:docPr id="178421931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2A28A26" w14:textId="709AAA0B" w:rsidR="00462E26" w:rsidRPr="00462E26" w:rsidRDefault="00462E26" w:rsidP="00462E26">
                          <w:pPr>
                            <w:spacing w:after="0"/>
                            <w:rPr>
                              <w:rFonts w:cs="Calibri"/>
                              <w:noProof/>
                              <w:color w:val="FF0000"/>
                              <w:sz w:val="24"/>
                              <w:szCs w:val="24"/>
                            </w:rPr>
                          </w:pPr>
                          <w:r w:rsidRPr="00462E26">
                            <w:rPr>
                              <w:rFonts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EAF109"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fill o:detectmouseclick="t"/>
              <v:textbox style="mso-fit-shape-to-text:t" inset="0,15pt,0,0">
                <w:txbxContent>
                  <w:p w14:paraId="42A28A26" w14:textId="709AAA0B" w:rsidR="00462E26" w:rsidRPr="00462E26" w:rsidRDefault="00462E26" w:rsidP="00462E26">
                    <w:pPr>
                      <w:spacing w:after="0"/>
                      <w:rPr>
                        <w:rFonts w:cs="Calibri"/>
                        <w:noProof/>
                        <w:color w:val="FF0000"/>
                        <w:sz w:val="24"/>
                        <w:szCs w:val="24"/>
                      </w:rPr>
                    </w:pPr>
                    <w:r w:rsidRPr="00462E26">
                      <w:rPr>
                        <w:rFonts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90"/>
      <w:gridCol w:w="3190"/>
      <w:gridCol w:w="3190"/>
    </w:tblGrid>
    <w:tr w:rsidR="628F6C62" w14:paraId="30E3AEF3" w14:textId="77777777" w:rsidTr="009A4FFB">
      <w:trPr>
        <w:trHeight w:val="300"/>
      </w:trPr>
      <w:tc>
        <w:tcPr>
          <w:tcW w:w="3190" w:type="dxa"/>
        </w:tcPr>
        <w:p w14:paraId="49F52A5F" w14:textId="31C38894" w:rsidR="628F6C62" w:rsidRDefault="628F6C62" w:rsidP="009A4FFB">
          <w:pPr>
            <w:pStyle w:val="Header"/>
            <w:ind w:left="-115"/>
          </w:pPr>
        </w:p>
      </w:tc>
      <w:tc>
        <w:tcPr>
          <w:tcW w:w="3190" w:type="dxa"/>
        </w:tcPr>
        <w:p w14:paraId="36E67869" w14:textId="784854AB" w:rsidR="628F6C62" w:rsidRDefault="628F6C62" w:rsidP="009A4FFB">
          <w:pPr>
            <w:pStyle w:val="Header"/>
            <w:jc w:val="center"/>
          </w:pPr>
        </w:p>
      </w:tc>
      <w:tc>
        <w:tcPr>
          <w:tcW w:w="3190" w:type="dxa"/>
        </w:tcPr>
        <w:p w14:paraId="7D0E02FB" w14:textId="1ED15B37" w:rsidR="628F6C62" w:rsidRDefault="628F6C62" w:rsidP="009A4FFB">
          <w:pPr>
            <w:pStyle w:val="Header"/>
            <w:ind w:right="-115"/>
            <w:jc w:val="right"/>
          </w:pPr>
        </w:p>
      </w:tc>
    </w:tr>
  </w:tbl>
  <w:p w14:paraId="1C2EB0F3" w14:textId="656C0405" w:rsidR="628F6C62" w:rsidRDefault="628F6C62" w:rsidP="009A4F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8A8AE" w14:textId="1E70BE69" w:rsidR="00A11C23" w:rsidRDefault="00462E26">
    <w:pPr>
      <w:pStyle w:val="Header"/>
    </w:pPr>
    <w:r>
      <w:rPr>
        <w:noProof/>
      </w:rPr>
      <mc:AlternateContent>
        <mc:Choice Requires="wps">
          <w:drawing>
            <wp:anchor distT="0" distB="0" distL="0" distR="0" simplePos="0" relativeHeight="251658240" behindDoc="0" locked="0" layoutInCell="1" allowOverlap="1" wp14:anchorId="66458F05" wp14:editId="262D5323">
              <wp:simplePos x="635" y="635"/>
              <wp:positionH relativeFrom="page">
                <wp:align>center</wp:align>
              </wp:positionH>
              <wp:positionV relativeFrom="page">
                <wp:align>top</wp:align>
              </wp:positionV>
              <wp:extent cx="551815" cy="480695"/>
              <wp:effectExtent l="0" t="0" r="635" b="14605"/>
              <wp:wrapNone/>
              <wp:docPr id="118536180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D87F471" w14:textId="43B98099" w:rsidR="00462E26" w:rsidRPr="00462E26" w:rsidRDefault="00462E26" w:rsidP="00462E26">
                          <w:pPr>
                            <w:spacing w:after="0"/>
                            <w:rPr>
                              <w:rFonts w:cs="Calibri"/>
                              <w:noProof/>
                              <w:color w:val="FF0000"/>
                              <w:sz w:val="24"/>
                              <w:szCs w:val="24"/>
                            </w:rPr>
                          </w:pPr>
                          <w:r w:rsidRPr="00462E26">
                            <w:rPr>
                              <w:rFonts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58F05" id="_x0000_t202" coordsize="21600,21600" o:spt="202" path="m,l,21600r21600,l21600,xe">
              <v:stroke joinstyle="miter"/>
              <v:path gradientshapeok="t" o:connecttype="rect"/>
            </v:shapetype>
            <v:shape id="Text Box 1" o:spid="_x0000_s1029" type="#_x0000_t202" alt="OFFICIAL" style="position:absolute;margin-left:0;margin-top:0;width:43.45pt;height:37.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fill o:detectmouseclick="t"/>
              <v:textbox style="mso-fit-shape-to-text:t" inset="0,15pt,0,0">
                <w:txbxContent>
                  <w:p w14:paraId="5D87F471" w14:textId="43B98099" w:rsidR="00462E26" w:rsidRPr="00462E26" w:rsidRDefault="00462E26" w:rsidP="00462E26">
                    <w:pPr>
                      <w:spacing w:after="0"/>
                      <w:rPr>
                        <w:rFonts w:cs="Calibri"/>
                        <w:noProof/>
                        <w:color w:val="FF0000"/>
                        <w:sz w:val="24"/>
                        <w:szCs w:val="24"/>
                      </w:rPr>
                    </w:pPr>
                    <w:r w:rsidRPr="00462E26">
                      <w:rPr>
                        <w:rFonts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2974"/>
    <w:multiLevelType w:val="hybridMultilevel"/>
    <w:tmpl w:val="1A06A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DC5480"/>
    <w:multiLevelType w:val="hybridMultilevel"/>
    <w:tmpl w:val="F6AA8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721FCA"/>
    <w:multiLevelType w:val="hybridMultilevel"/>
    <w:tmpl w:val="92CADC08"/>
    <w:lvl w:ilvl="0" w:tplc="D6EA5102">
      <w:start w:val="1"/>
      <w:numFmt w:val="bullet"/>
      <w:lvlText w:val=""/>
      <w:lvlJc w:val="left"/>
      <w:pPr>
        <w:ind w:left="720" w:hanging="360"/>
      </w:pPr>
      <w:rPr>
        <w:rFonts w:ascii="Symbol" w:hAnsi="Symbol"/>
      </w:rPr>
    </w:lvl>
    <w:lvl w:ilvl="1" w:tplc="40CEB498">
      <w:start w:val="1"/>
      <w:numFmt w:val="bullet"/>
      <w:lvlText w:val=""/>
      <w:lvlJc w:val="left"/>
      <w:pPr>
        <w:ind w:left="720" w:hanging="360"/>
      </w:pPr>
      <w:rPr>
        <w:rFonts w:ascii="Symbol" w:hAnsi="Symbol"/>
      </w:rPr>
    </w:lvl>
    <w:lvl w:ilvl="2" w:tplc="D5E2EA7E">
      <w:start w:val="1"/>
      <w:numFmt w:val="bullet"/>
      <w:lvlText w:val=""/>
      <w:lvlJc w:val="left"/>
      <w:pPr>
        <w:ind w:left="720" w:hanging="360"/>
      </w:pPr>
      <w:rPr>
        <w:rFonts w:ascii="Symbol" w:hAnsi="Symbol"/>
      </w:rPr>
    </w:lvl>
    <w:lvl w:ilvl="3" w:tplc="A9A6E5B8">
      <w:start w:val="1"/>
      <w:numFmt w:val="bullet"/>
      <w:lvlText w:val=""/>
      <w:lvlJc w:val="left"/>
      <w:pPr>
        <w:ind w:left="720" w:hanging="360"/>
      </w:pPr>
      <w:rPr>
        <w:rFonts w:ascii="Symbol" w:hAnsi="Symbol"/>
      </w:rPr>
    </w:lvl>
    <w:lvl w:ilvl="4" w:tplc="58485034">
      <w:start w:val="1"/>
      <w:numFmt w:val="bullet"/>
      <w:lvlText w:val=""/>
      <w:lvlJc w:val="left"/>
      <w:pPr>
        <w:ind w:left="720" w:hanging="360"/>
      </w:pPr>
      <w:rPr>
        <w:rFonts w:ascii="Symbol" w:hAnsi="Symbol"/>
      </w:rPr>
    </w:lvl>
    <w:lvl w:ilvl="5" w:tplc="5378AC2A">
      <w:start w:val="1"/>
      <w:numFmt w:val="bullet"/>
      <w:lvlText w:val=""/>
      <w:lvlJc w:val="left"/>
      <w:pPr>
        <w:ind w:left="720" w:hanging="360"/>
      </w:pPr>
      <w:rPr>
        <w:rFonts w:ascii="Symbol" w:hAnsi="Symbol"/>
      </w:rPr>
    </w:lvl>
    <w:lvl w:ilvl="6" w:tplc="66264070">
      <w:start w:val="1"/>
      <w:numFmt w:val="bullet"/>
      <w:lvlText w:val=""/>
      <w:lvlJc w:val="left"/>
      <w:pPr>
        <w:ind w:left="720" w:hanging="360"/>
      </w:pPr>
      <w:rPr>
        <w:rFonts w:ascii="Symbol" w:hAnsi="Symbol"/>
      </w:rPr>
    </w:lvl>
    <w:lvl w:ilvl="7" w:tplc="8E443C74">
      <w:start w:val="1"/>
      <w:numFmt w:val="bullet"/>
      <w:lvlText w:val=""/>
      <w:lvlJc w:val="left"/>
      <w:pPr>
        <w:ind w:left="720" w:hanging="360"/>
      </w:pPr>
      <w:rPr>
        <w:rFonts w:ascii="Symbol" w:hAnsi="Symbol"/>
      </w:rPr>
    </w:lvl>
    <w:lvl w:ilvl="8" w:tplc="77DA7B42">
      <w:start w:val="1"/>
      <w:numFmt w:val="bullet"/>
      <w:lvlText w:val=""/>
      <w:lvlJc w:val="left"/>
      <w:pPr>
        <w:ind w:left="720" w:hanging="360"/>
      </w:pPr>
      <w:rPr>
        <w:rFonts w:ascii="Symbol" w:hAnsi="Symbol"/>
      </w:rPr>
    </w:lvl>
  </w:abstractNum>
  <w:abstractNum w:abstractNumId="3" w15:restartNumberingAfterBreak="0">
    <w:nsid w:val="0C41420E"/>
    <w:multiLevelType w:val="hybridMultilevel"/>
    <w:tmpl w:val="B2EC73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0DC85E16"/>
    <w:multiLevelType w:val="hybridMultilevel"/>
    <w:tmpl w:val="E12A8D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F04033"/>
    <w:multiLevelType w:val="hybridMultilevel"/>
    <w:tmpl w:val="68DC246A"/>
    <w:lvl w:ilvl="0" w:tplc="5AD6459E">
      <w:start w:val="1"/>
      <w:numFmt w:val="bullet"/>
      <w:lvlText w:val=""/>
      <w:lvlJc w:val="left"/>
      <w:pPr>
        <w:ind w:left="720" w:hanging="360"/>
      </w:pPr>
      <w:rPr>
        <w:rFonts w:ascii="Symbol" w:hAnsi="Symbol"/>
      </w:rPr>
    </w:lvl>
    <w:lvl w:ilvl="1" w:tplc="29BC9CAE">
      <w:start w:val="1"/>
      <w:numFmt w:val="bullet"/>
      <w:lvlText w:val=""/>
      <w:lvlJc w:val="left"/>
      <w:pPr>
        <w:ind w:left="720" w:hanging="360"/>
      </w:pPr>
      <w:rPr>
        <w:rFonts w:ascii="Symbol" w:hAnsi="Symbol"/>
      </w:rPr>
    </w:lvl>
    <w:lvl w:ilvl="2" w:tplc="42F895BA">
      <w:start w:val="1"/>
      <w:numFmt w:val="bullet"/>
      <w:lvlText w:val=""/>
      <w:lvlJc w:val="left"/>
      <w:pPr>
        <w:ind w:left="720" w:hanging="360"/>
      </w:pPr>
      <w:rPr>
        <w:rFonts w:ascii="Symbol" w:hAnsi="Symbol"/>
      </w:rPr>
    </w:lvl>
    <w:lvl w:ilvl="3" w:tplc="7A3236F2">
      <w:start w:val="1"/>
      <w:numFmt w:val="bullet"/>
      <w:lvlText w:val=""/>
      <w:lvlJc w:val="left"/>
      <w:pPr>
        <w:ind w:left="720" w:hanging="360"/>
      </w:pPr>
      <w:rPr>
        <w:rFonts w:ascii="Symbol" w:hAnsi="Symbol"/>
      </w:rPr>
    </w:lvl>
    <w:lvl w:ilvl="4" w:tplc="3DA07CE4">
      <w:start w:val="1"/>
      <w:numFmt w:val="bullet"/>
      <w:lvlText w:val=""/>
      <w:lvlJc w:val="left"/>
      <w:pPr>
        <w:ind w:left="720" w:hanging="360"/>
      </w:pPr>
      <w:rPr>
        <w:rFonts w:ascii="Symbol" w:hAnsi="Symbol"/>
      </w:rPr>
    </w:lvl>
    <w:lvl w:ilvl="5" w:tplc="D5F4844E">
      <w:start w:val="1"/>
      <w:numFmt w:val="bullet"/>
      <w:lvlText w:val=""/>
      <w:lvlJc w:val="left"/>
      <w:pPr>
        <w:ind w:left="720" w:hanging="360"/>
      </w:pPr>
      <w:rPr>
        <w:rFonts w:ascii="Symbol" w:hAnsi="Symbol"/>
      </w:rPr>
    </w:lvl>
    <w:lvl w:ilvl="6" w:tplc="38742C1C">
      <w:start w:val="1"/>
      <w:numFmt w:val="bullet"/>
      <w:lvlText w:val=""/>
      <w:lvlJc w:val="left"/>
      <w:pPr>
        <w:ind w:left="720" w:hanging="360"/>
      </w:pPr>
      <w:rPr>
        <w:rFonts w:ascii="Symbol" w:hAnsi="Symbol"/>
      </w:rPr>
    </w:lvl>
    <w:lvl w:ilvl="7" w:tplc="95402E54">
      <w:start w:val="1"/>
      <w:numFmt w:val="bullet"/>
      <w:lvlText w:val=""/>
      <w:lvlJc w:val="left"/>
      <w:pPr>
        <w:ind w:left="720" w:hanging="360"/>
      </w:pPr>
      <w:rPr>
        <w:rFonts w:ascii="Symbol" w:hAnsi="Symbol"/>
      </w:rPr>
    </w:lvl>
    <w:lvl w:ilvl="8" w:tplc="B52AC2DC">
      <w:start w:val="1"/>
      <w:numFmt w:val="bullet"/>
      <w:lvlText w:val=""/>
      <w:lvlJc w:val="left"/>
      <w:pPr>
        <w:ind w:left="720" w:hanging="360"/>
      </w:pPr>
      <w:rPr>
        <w:rFonts w:ascii="Symbol" w:hAnsi="Symbol"/>
      </w:rPr>
    </w:lvl>
  </w:abstractNum>
  <w:abstractNum w:abstractNumId="6" w15:restartNumberingAfterBreak="0">
    <w:nsid w:val="149F4D40"/>
    <w:multiLevelType w:val="hybridMultilevel"/>
    <w:tmpl w:val="A8A41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F052A9"/>
    <w:multiLevelType w:val="hybridMultilevel"/>
    <w:tmpl w:val="E03CE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DD24D5"/>
    <w:multiLevelType w:val="multilevel"/>
    <w:tmpl w:val="83F4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023445"/>
    <w:multiLevelType w:val="hybridMultilevel"/>
    <w:tmpl w:val="0CE4E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D946FC"/>
    <w:multiLevelType w:val="hybridMultilevel"/>
    <w:tmpl w:val="0EB45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C43E2"/>
    <w:multiLevelType w:val="hybridMultilevel"/>
    <w:tmpl w:val="D2E07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C4707D"/>
    <w:multiLevelType w:val="hybridMultilevel"/>
    <w:tmpl w:val="8E7C9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B32501"/>
    <w:multiLevelType w:val="hybridMultilevel"/>
    <w:tmpl w:val="A2F41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9B1C8E"/>
    <w:multiLevelType w:val="hybridMultilevel"/>
    <w:tmpl w:val="538C795E"/>
    <w:lvl w:ilvl="0" w:tplc="AA7C0156">
      <w:start w:val="1"/>
      <w:numFmt w:val="bullet"/>
      <w:lvlText w:val=""/>
      <w:lvlJc w:val="left"/>
      <w:pPr>
        <w:ind w:left="720" w:hanging="360"/>
      </w:pPr>
      <w:rPr>
        <w:rFonts w:ascii="Symbol" w:hAnsi="Symbol"/>
      </w:rPr>
    </w:lvl>
    <w:lvl w:ilvl="1" w:tplc="A3C662F2">
      <w:start w:val="1"/>
      <w:numFmt w:val="bullet"/>
      <w:lvlText w:val=""/>
      <w:lvlJc w:val="left"/>
      <w:pPr>
        <w:ind w:left="720" w:hanging="360"/>
      </w:pPr>
      <w:rPr>
        <w:rFonts w:ascii="Symbol" w:hAnsi="Symbol"/>
      </w:rPr>
    </w:lvl>
    <w:lvl w:ilvl="2" w:tplc="506A649E">
      <w:start w:val="1"/>
      <w:numFmt w:val="bullet"/>
      <w:lvlText w:val=""/>
      <w:lvlJc w:val="left"/>
      <w:pPr>
        <w:ind w:left="720" w:hanging="360"/>
      </w:pPr>
      <w:rPr>
        <w:rFonts w:ascii="Symbol" w:hAnsi="Symbol"/>
      </w:rPr>
    </w:lvl>
    <w:lvl w:ilvl="3" w:tplc="6E9606C4">
      <w:start w:val="1"/>
      <w:numFmt w:val="bullet"/>
      <w:lvlText w:val=""/>
      <w:lvlJc w:val="left"/>
      <w:pPr>
        <w:ind w:left="720" w:hanging="360"/>
      </w:pPr>
      <w:rPr>
        <w:rFonts w:ascii="Symbol" w:hAnsi="Symbol"/>
      </w:rPr>
    </w:lvl>
    <w:lvl w:ilvl="4" w:tplc="DCBA5158">
      <w:start w:val="1"/>
      <w:numFmt w:val="bullet"/>
      <w:lvlText w:val=""/>
      <w:lvlJc w:val="left"/>
      <w:pPr>
        <w:ind w:left="720" w:hanging="360"/>
      </w:pPr>
      <w:rPr>
        <w:rFonts w:ascii="Symbol" w:hAnsi="Symbol"/>
      </w:rPr>
    </w:lvl>
    <w:lvl w:ilvl="5" w:tplc="2424EF8C">
      <w:start w:val="1"/>
      <w:numFmt w:val="bullet"/>
      <w:lvlText w:val=""/>
      <w:lvlJc w:val="left"/>
      <w:pPr>
        <w:ind w:left="720" w:hanging="360"/>
      </w:pPr>
      <w:rPr>
        <w:rFonts w:ascii="Symbol" w:hAnsi="Symbol"/>
      </w:rPr>
    </w:lvl>
    <w:lvl w:ilvl="6" w:tplc="8B164BB6">
      <w:start w:val="1"/>
      <w:numFmt w:val="bullet"/>
      <w:lvlText w:val=""/>
      <w:lvlJc w:val="left"/>
      <w:pPr>
        <w:ind w:left="720" w:hanging="360"/>
      </w:pPr>
      <w:rPr>
        <w:rFonts w:ascii="Symbol" w:hAnsi="Symbol"/>
      </w:rPr>
    </w:lvl>
    <w:lvl w:ilvl="7" w:tplc="111CA492">
      <w:start w:val="1"/>
      <w:numFmt w:val="bullet"/>
      <w:lvlText w:val=""/>
      <w:lvlJc w:val="left"/>
      <w:pPr>
        <w:ind w:left="720" w:hanging="360"/>
      </w:pPr>
      <w:rPr>
        <w:rFonts w:ascii="Symbol" w:hAnsi="Symbol"/>
      </w:rPr>
    </w:lvl>
    <w:lvl w:ilvl="8" w:tplc="E89ADD54">
      <w:start w:val="1"/>
      <w:numFmt w:val="bullet"/>
      <w:lvlText w:val=""/>
      <w:lvlJc w:val="left"/>
      <w:pPr>
        <w:ind w:left="720" w:hanging="360"/>
      </w:pPr>
      <w:rPr>
        <w:rFonts w:ascii="Symbol" w:hAnsi="Symbol"/>
      </w:rPr>
    </w:lvl>
  </w:abstractNum>
  <w:abstractNum w:abstractNumId="15" w15:restartNumberingAfterBreak="0">
    <w:nsid w:val="35DE550D"/>
    <w:multiLevelType w:val="hybridMultilevel"/>
    <w:tmpl w:val="0EAC5102"/>
    <w:lvl w:ilvl="0" w:tplc="0C090001">
      <w:start w:val="1"/>
      <w:numFmt w:val="bullet"/>
      <w:lvlText w:val=""/>
      <w:lvlJc w:val="left"/>
      <w:pPr>
        <w:ind w:left="720" w:hanging="360"/>
      </w:pPr>
      <w:rPr>
        <w:rFonts w:ascii="Symbol" w:hAnsi="Symbol" w:hint="default"/>
      </w:rPr>
    </w:lvl>
    <w:lvl w:ilvl="1" w:tplc="3DA8BEB8">
      <w:numFmt w:val="bullet"/>
      <w:lvlText w:val="•"/>
      <w:lvlJc w:val="left"/>
      <w:pPr>
        <w:ind w:left="1800" w:hanging="72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7C66DD"/>
    <w:multiLevelType w:val="hybridMultilevel"/>
    <w:tmpl w:val="02A002B6"/>
    <w:lvl w:ilvl="0" w:tplc="3D16FCB6">
      <w:start w:val="1"/>
      <w:numFmt w:val="bullet"/>
      <w:lvlText w:val="•"/>
      <w:lvlJc w:val="left"/>
      <w:pPr>
        <w:tabs>
          <w:tab w:val="num" w:pos="720"/>
        </w:tabs>
        <w:ind w:left="720" w:hanging="360"/>
      </w:pPr>
      <w:rPr>
        <w:rFonts w:ascii="Arial" w:hAnsi="Arial" w:hint="default"/>
      </w:rPr>
    </w:lvl>
    <w:lvl w:ilvl="1" w:tplc="8878EE42" w:tentative="1">
      <w:start w:val="1"/>
      <w:numFmt w:val="bullet"/>
      <w:lvlText w:val="•"/>
      <w:lvlJc w:val="left"/>
      <w:pPr>
        <w:tabs>
          <w:tab w:val="num" w:pos="1440"/>
        </w:tabs>
        <w:ind w:left="1440" w:hanging="360"/>
      </w:pPr>
      <w:rPr>
        <w:rFonts w:ascii="Arial" w:hAnsi="Arial" w:hint="default"/>
      </w:rPr>
    </w:lvl>
    <w:lvl w:ilvl="2" w:tplc="D9A64DF2" w:tentative="1">
      <w:start w:val="1"/>
      <w:numFmt w:val="bullet"/>
      <w:lvlText w:val="•"/>
      <w:lvlJc w:val="left"/>
      <w:pPr>
        <w:tabs>
          <w:tab w:val="num" w:pos="2160"/>
        </w:tabs>
        <w:ind w:left="2160" w:hanging="360"/>
      </w:pPr>
      <w:rPr>
        <w:rFonts w:ascii="Arial" w:hAnsi="Arial" w:hint="default"/>
      </w:rPr>
    </w:lvl>
    <w:lvl w:ilvl="3" w:tplc="B23654BE" w:tentative="1">
      <w:start w:val="1"/>
      <w:numFmt w:val="bullet"/>
      <w:lvlText w:val="•"/>
      <w:lvlJc w:val="left"/>
      <w:pPr>
        <w:tabs>
          <w:tab w:val="num" w:pos="2880"/>
        </w:tabs>
        <w:ind w:left="2880" w:hanging="360"/>
      </w:pPr>
      <w:rPr>
        <w:rFonts w:ascii="Arial" w:hAnsi="Arial" w:hint="default"/>
      </w:rPr>
    </w:lvl>
    <w:lvl w:ilvl="4" w:tplc="5532BF16" w:tentative="1">
      <w:start w:val="1"/>
      <w:numFmt w:val="bullet"/>
      <w:lvlText w:val="•"/>
      <w:lvlJc w:val="left"/>
      <w:pPr>
        <w:tabs>
          <w:tab w:val="num" w:pos="3600"/>
        </w:tabs>
        <w:ind w:left="3600" w:hanging="360"/>
      </w:pPr>
      <w:rPr>
        <w:rFonts w:ascii="Arial" w:hAnsi="Arial" w:hint="default"/>
      </w:rPr>
    </w:lvl>
    <w:lvl w:ilvl="5" w:tplc="26CCD044" w:tentative="1">
      <w:start w:val="1"/>
      <w:numFmt w:val="bullet"/>
      <w:lvlText w:val="•"/>
      <w:lvlJc w:val="left"/>
      <w:pPr>
        <w:tabs>
          <w:tab w:val="num" w:pos="4320"/>
        </w:tabs>
        <w:ind w:left="4320" w:hanging="360"/>
      </w:pPr>
      <w:rPr>
        <w:rFonts w:ascii="Arial" w:hAnsi="Arial" w:hint="default"/>
      </w:rPr>
    </w:lvl>
    <w:lvl w:ilvl="6" w:tplc="78283C64" w:tentative="1">
      <w:start w:val="1"/>
      <w:numFmt w:val="bullet"/>
      <w:lvlText w:val="•"/>
      <w:lvlJc w:val="left"/>
      <w:pPr>
        <w:tabs>
          <w:tab w:val="num" w:pos="5040"/>
        </w:tabs>
        <w:ind w:left="5040" w:hanging="360"/>
      </w:pPr>
      <w:rPr>
        <w:rFonts w:ascii="Arial" w:hAnsi="Arial" w:hint="default"/>
      </w:rPr>
    </w:lvl>
    <w:lvl w:ilvl="7" w:tplc="28302420" w:tentative="1">
      <w:start w:val="1"/>
      <w:numFmt w:val="bullet"/>
      <w:lvlText w:val="•"/>
      <w:lvlJc w:val="left"/>
      <w:pPr>
        <w:tabs>
          <w:tab w:val="num" w:pos="5760"/>
        </w:tabs>
        <w:ind w:left="5760" w:hanging="360"/>
      </w:pPr>
      <w:rPr>
        <w:rFonts w:ascii="Arial" w:hAnsi="Arial" w:hint="default"/>
      </w:rPr>
    </w:lvl>
    <w:lvl w:ilvl="8" w:tplc="3AEC03F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971768F"/>
    <w:multiLevelType w:val="hybridMultilevel"/>
    <w:tmpl w:val="F044EC0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8C6085"/>
    <w:multiLevelType w:val="hybridMultilevel"/>
    <w:tmpl w:val="49DAA7AA"/>
    <w:lvl w:ilvl="0" w:tplc="B2724B08">
      <w:start w:val="1"/>
      <w:numFmt w:val="bullet"/>
      <w:lvlText w:val=""/>
      <w:lvlJc w:val="left"/>
      <w:pPr>
        <w:ind w:left="720" w:hanging="360"/>
      </w:pPr>
      <w:rPr>
        <w:rFonts w:ascii="Symbol" w:hAnsi="Symbol"/>
      </w:rPr>
    </w:lvl>
    <w:lvl w:ilvl="1" w:tplc="D2A0EFEE">
      <w:start w:val="1"/>
      <w:numFmt w:val="bullet"/>
      <w:lvlText w:val=""/>
      <w:lvlJc w:val="left"/>
      <w:pPr>
        <w:ind w:left="720" w:hanging="360"/>
      </w:pPr>
      <w:rPr>
        <w:rFonts w:ascii="Symbol" w:hAnsi="Symbol"/>
      </w:rPr>
    </w:lvl>
    <w:lvl w:ilvl="2" w:tplc="1FC65B5A">
      <w:start w:val="1"/>
      <w:numFmt w:val="bullet"/>
      <w:lvlText w:val=""/>
      <w:lvlJc w:val="left"/>
      <w:pPr>
        <w:ind w:left="720" w:hanging="360"/>
      </w:pPr>
      <w:rPr>
        <w:rFonts w:ascii="Symbol" w:hAnsi="Symbol"/>
      </w:rPr>
    </w:lvl>
    <w:lvl w:ilvl="3" w:tplc="187CC1D8">
      <w:start w:val="1"/>
      <w:numFmt w:val="bullet"/>
      <w:lvlText w:val=""/>
      <w:lvlJc w:val="left"/>
      <w:pPr>
        <w:ind w:left="720" w:hanging="360"/>
      </w:pPr>
      <w:rPr>
        <w:rFonts w:ascii="Symbol" w:hAnsi="Symbol"/>
      </w:rPr>
    </w:lvl>
    <w:lvl w:ilvl="4" w:tplc="0C5C6B7C">
      <w:start w:val="1"/>
      <w:numFmt w:val="bullet"/>
      <w:lvlText w:val=""/>
      <w:lvlJc w:val="left"/>
      <w:pPr>
        <w:ind w:left="720" w:hanging="360"/>
      </w:pPr>
      <w:rPr>
        <w:rFonts w:ascii="Symbol" w:hAnsi="Symbol"/>
      </w:rPr>
    </w:lvl>
    <w:lvl w:ilvl="5" w:tplc="EA5EBE3A">
      <w:start w:val="1"/>
      <w:numFmt w:val="bullet"/>
      <w:lvlText w:val=""/>
      <w:lvlJc w:val="left"/>
      <w:pPr>
        <w:ind w:left="720" w:hanging="360"/>
      </w:pPr>
      <w:rPr>
        <w:rFonts w:ascii="Symbol" w:hAnsi="Symbol"/>
      </w:rPr>
    </w:lvl>
    <w:lvl w:ilvl="6" w:tplc="631C871A">
      <w:start w:val="1"/>
      <w:numFmt w:val="bullet"/>
      <w:lvlText w:val=""/>
      <w:lvlJc w:val="left"/>
      <w:pPr>
        <w:ind w:left="720" w:hanging="360"/>
      </w:pPr>
      <w:rPr>
        <w:rFonts w:ascii="Symbol" w:hAnsi="Symbol"/>
      </w:rPr>
    </w:lvl>
    <w:lvl w:ilvl="7" w:tplc="671CF2D2">
      <w:start w:val="1"/>
      <w:numFmt w:val="bullet"/>
      <w:lvlText w:val=""/>
      <w:lvlJc w:val="left"/>
      <w:pPr>
        <w:ind w:left="720" w:hanging="360"/>
      </w:pPr>
      <w:rPr>
        <w:rFonts w:ascii="Symbol" w:hAnsi="Symbol"/>
      </w:rPr>
    </w:lvl>
    <w:lvl w:ilvl="8" w:tplc="20C6D678">
      <w:start w:val="1"/>
      <w:numFmt w:val="bullet"/>
      <w:lvlText w:val=""/>
      <w:lvlJc w:val="left"/>
      <w:pPr>
        <w:ind w:left="720" w:hanging="360"/>
      </w:pPr>
      <w:rPr>
        <w:rFonts w:ascii="Symbol" w:hAnsi="Symbol"/>
      </w:rPr>
    </w:lvl>
  </w:abstractNum>
  <w:abstractNum w:abstractNumId="19" w15:restartNumberingAfterBreak="0">
    <w:nsid w:val="3B6D02F4"/>
    <w:multiLevelType w:val="hybridMultilevel"/>
    <w:tmpl w:val="085E4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E92466"/>
    <w:multiLevelType w:val="hybridMultilevel"/>
    <w:tmpl w:val="39165360"/>
    <w:lvl w:ilvl="0" w:tplc="FAD674CE">
      <w:start w:val="1"/>
      <w:numFmt w:val="bullet"/>
      <w:lvlText w:val="•"/>
      <w:lvlJc w:val="left"/>
      <w:pPr>
        <w:tabs>
          <w:tab w:val="num" w:pos="720"/>
        </w:tabs>
        <w:ind w:left="720" w:hanging="360"/>
      </w:pPr>
      <w:rPr>
        <w:rFonts w:ascii="Arial" w:hAnsi="Arial" w:hint="default"/>
      </w:rPr>
    </w:lvl>
    <w:lvl w:ilvl="1" w:tplc="62967D6E" w:tentative="1">
      <w:start w:val="1"/>
      <w:numFmt w:val="bullet"/>
      <w:lvlText w:val="•"/>
      <w:lvlJc w:val="left"/>
      <w:pPr>
        <w:tabs>
          <w:tab w:val="num" w:pos="1440"/>
        </w:tabs>
        <w:ind w:left="1440" w:hanging="360"/>
      </w:pPr>
      <w:rPr>
        <w:rFonts w:ascii="Arial" w:hAnsi="Arial" w:hint="default"/>
      </w:rPr>
    </w:lvl>
    <w:lvl w:ilvl="2" w:tplc="896440A6" w:tentative="1">
      <w:start w:val="1"/>
      <w:numFmt w:val="bullet"/>
      <w:lvlText w:val="•"/>
      <w:lvlJc w:val="left"/>
      <w:pPr>
        <w:tabs>
          <w:tab w:val="num" w:pos="2160"/>
        </w:tabs>
        <w:ind w:left="2160" w:hanging="360"/>
      </w:pPr>
      <w:rPr>
        <w:rFonts w:ascii="Arial" w:hAnsi="Arial" w:hint="default"/>
      </w:rPr>
    </w:lvl>
    <w:lvl w:ilvl="3" w:tplc="79AEAAF4" w:tentative="1">
      <w:start w:val="1"/>
      <w:numFmt w:val="bullet"/>
      <w:lvlText w:val="•"/>
      <w:lvlJc w:val="left"/>
      <w:pPr>
        <w:tabs>
          <w:tab w:val="num" w:pos="2880"/>
        </w:tabs>
        <w:ind w:left="2880" w:hanging="360"/>
      </w:pPr>
      <w:rPr>
        <w:rFonts w:ascii="Arial" w:hAnsi="Arial" w:hint="default"/>
      </w:rPr>
    </w:lvl>
    <w:lvl w:ilvl="4" w:tplc="D94A93E6" w:tentative="1">
      <w:start w:val="1"/>
      <w:numFmt w:val="bullet"/>
      <w:lvlText w:val="•"/>
      <w:lvlJc w:val="left"/>
      <w:pPr>
        <w:tabs>
          <w:tab w:val="num" w:pos="3600"/>
        </w:tabs>
        <w:ind w:left="3600" w:hanging="360"/>
      </w:pPr>
      <w:rPr>
        <w:rFonts w:ascii="Arial" w:hAnsi="Arial" w:hint="default"/>
      </w:rPr>
    </w:lvl>
    <w:lvl w:ilvl="5" w:tplc="8AAED28A" w:tentative="1">
      <w:start w:val="1"/>
      <w:numFmt w:val="bullet"/>
      <w:lvlText w:val="•"/>
      <w:lvlJc w:val="left"/>
      <w:pPr>
        <w:tabs>
          <w:tab w:val="num" w:pos="4320"/>
        </w:tabs>
        <w:ind w:left="4320" w:hanging="360"/>
      </w:pPr>
      <w:rPr>
        <w:rFonts w:ascii="Arial" w:hAnsi="Arial" w:hint="default"/>
      </w:rPr>
    </w:lvl>
    <w:lvl w:ilvl="6" w:tplc="AF12B634" w:tentative="1">
      <w:start w:val="1"/>
      <w:numFmt w:val="bullet"/>
      <w:lvlText w:val="•"/>
      <w:lvlJc w:val="left"/>
      <w:pPr>
        <w:tabs>
          <w:tab w:val="num" w:pos="5040"/>
        </w:tabs>
        <w:ind w:left="5040" w:hanging="360"/>
      </w:pPr>
      <w:rPr>
        <w:rFonts w:ascii="Arial" w:hAnsi="Arial" w:hint="default"/>
      </w:rPr>
    </w:lvl>
    <w:lvl w:ilvl="7" w:tplc="9E14ED4C" w:tentative="1">
      <w:start w:val="1"/>
      <w:numFmt w:val="bullet"/>
      <w:lvlText w:val="•"/>
      <w:lvlJc w:val="left"/>
      <w:pPr>
        <w:tabs>
          <w:tab w:val="num" w:pos="5760"/>
        </w:tabs>
        <w:ind w:left="5760" w:hanging="360"/>
      </w:pPr>
      <w:rPr>
        <w:rFonts w:ascii="Arial" w:hAnsi="Arial" w:hint="default"/>
      </w:rPr>
    </w:lvl>
    <w:lvl w:ilvl="8" w:tplc="2616806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E533354"/>
    <w:multiLevelType w:val="hybridMultilevel"/>
    <w:tmpl w:val="D46E0938"/>
    <w:lvl w:ilvl="0" w:tplc="299C8B24">
      <w:start w:val="1"/>
      <w:numFmt w:val="bullet"/>
      <w:lvlText w:val="•"/>
      <w:lvlJc w:val="left"/>
      <w:pPr>
        <w:tabs>
          <w:tab w:val="num" w:pos="720"/>
        </w:tabs>
        <w:ind w:left="720" w:hanging="360"/>
      </w:pPr>
      <w:rPr>
        <w:rFonts w:ascii="Arial" w:hAnsi="Arial" w:hint="default"/>
      </w:rPr>
    </w:lvl>
    <w:lvl w:ilvl="1" w:tplc="5524B5FE" w:tentative="1">
      <w:start w:val="1"/>
      <w:numFmt w:val="bullet"/>
      <w:lvlText w:val="•"/>
      <w:lvlJc w:val="left"/>
      <w:pPr>
        <w:tabs>
          <w:tab w:val="num" w:pos="1440"/>
        </w:tabs>
        <w:ind w:left="1440" w:hanging="360"/>
      </w:pPr>
      <w:rPr>
        <w:rFonts w:ascii="Arial" w:hAnsi="Arial" w:hint="default"/>
      </w:rPr>
    </w:lvl>
    <w:lvl w:ilvl="2" w:tplc="6EFC4928" w:tentative="1">
      <w:start w:val="1"/>
      <w:numFmt w:val="bullet"/>
      <w:lvlText w:val="•"/>
      <w:lvlJc w:val="left"/>
      <w:pPr>
        <w:tabs>
          <w:tab w:val="num" w:pos="2160"/>
        </w:tabs>
        <w:ind w:left="2160" w:hanging="360"/>
      </w:pPr>
      <w:rPr>
        <w:rFonts w:ascii="Arial" w:hAnsi="Arial" w:hint="default"/>
      </w:rPr>
    </w:lvl>
    <w:lvl w:ilvl="3" w:tplc="D284ADAC" w:tentative="1">
      <w:start w:val="1"/>
      <w:numFmt w:val="bullet"/>
      <w:lvlText w:val="•"/>
      <w:lvlJc w:val="left"/>
      <w:pPr>
        <w:tabs>
          <w:tab w:val="num" w:pos="2880"/>
        </w:tabs>
        <w:ind w:left="2880" w:hanging="360"/>
      </w:pPr>
      <w:rPr>
        <w:rFonts w:ascii="Arial" w:hAnsi="Arial" w:hint="default"/>
      </w:rPr>
    </w:lvl>
    <w:lvl w:ilvl="4" w:tplc="54B03F0E" w:tentative="1">
      <w:start w:val="1"/>
      <w:numFmt w:val="bullet"/>
      <w:lvlText w:val="•"/>
      <w:lvlJc w:val="left"/>
      <w:pPr>
        <w:tabs>
          <w:tab w:val="num" w:pos="3600"/>
        </w:tabs>
        <w:ind w:left="3600" w:hanging="360"/>
      </w:pPr>
      <w:rPr>
        <w:rFonts w:ascii="Arial" w:hAnsi="Arial" w:hint="default"/>
      </w:rPr>
    </w:lvl>
    <w:lvl w:ilvl="5" w:tplc="7A1858C8" w:tentative="1">
      <w:start w:val="1"/>
      <w:numFmt w:val="bullet"/>
      <w:lvlText w:val="•"/>
      <w:lvlJc w:val="left"/>
      <w:pPr>
        <w:tabs>
          <w:tab w:val="num" w:pos="4320"/>
        </w:tabs>
        <w:ind w:left="4320" w:hanging="360"/>
      </w:pPr>
      <w:rPr>
        <w:rFonts w:ascii="Arial" w:hAnsi="Arial" w:hint="default"/>
      </w:rPr>
    </w:lvl>
    <w:lvl w:ilvl="6" w:tplc="46D4A952" w:tentative="1">
      <w:start w:val="1"/>
      <w:numFmt w:val="bullet"/>
      <w:lvlText w:val="•"/>
      <w:lvlJc w:val="left"/>
      <w:pPr>
        <w:tabs>
          <w:tab w:val="num" w:pos="5040"/>
        </w:tabs>
        <w:ind w:left="5040" w:hanging="360"/>
      </w:pPr>
      <w:rPr>
        <w:rFonts w:ascii="Arial" w:hAnsi="Arial" w:hint="default"/>
      </w:rPr>
    </w:lvl>
    <w:lvl w:ilvl="7" w:tplc="24C63E9E" w:tentative="1">
      <w:start w:val="1"/>
      <w:numFmt w:val="bullet"/>
      <w:lvlText w:val="•"/>
      <w:lvlJc w:val="left"/>
      <w:pPr>
        <w:tabs>
          <w:tab w:val="num" w:pos="5760"/>
        </w:tabs>
        <w:ind w:left="5760" w:hanging="360"/>
      </w:pPr>
      <w:rPr>
        <w:rFonts w:ascii="Arial" w:hAnsi="Arial" w:hint="default"/>
      </w:rPr>
    </w:lvl>
    <w:lvl w:ilvl="8" w:tplc="C10C794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EF32CF0"/>
    <w:multiLevelType w:val="hybridMultilevel"/>
    <w:tmpl w:val="5146571C"/>
    <w:lvl w:ilvl="0" w:tplc="2862921E">
      <w:start w:val="1"/>
      <w:numFmt w:val="bullet"/>
      <w:lvlText w:val=""/>
      <w:lvlJc w:val="left"/>
      <w:pPr>
        <w:ind w:left="720" w:hanging="360"/>
      </w:pPr>
      <w:rPr>
        <w:rFonts w:ascii="Symbol" w:hAnsi="Symbol"/>
      </w:rPr>
    </w:lvl>
    <w:lvl w:ilvl="1" w:tplc="2D8A6484">
      <w:start w:val="1"/>
      <w:numFmt w:val="bullet"/>
      <w:lvlText w:val=""/>
      <w:lvlJc w:val="left"/>
      <w:pPr>
        <w:ind w:left="720" w:hanging="360"/>
      </w:pPr>
      <w:rPr>
        <w:rFonts w:ascii="Symbol" w:hAnsi="Symbol"/>
      </w:rPr>
    </w:lvl>
    <w:lvl w:ilvl="2" w:tplc="782255D2">
      <w:start w:val="1"/>
      <w:numFmt w:val="bullet"/>
      <w:lvlText w:val=""/>
      <w:lvlJc w:val="left"/>
      <w:pPr>
        <w:ind w:left="720" w:hanging="360"/>
      </w:pPr>
      <w:rPr>
        <w:rFonts w:ascii="Symbol" w:hAnsi="Symbol"/>
      </w:rPr>
    </w:lvl>
    <w:lvl w:ilvl="3" w:tplc="EDDA5468">
      <w:start w:val="1"/>
      <w:numFmt w:val="bullet"/>
      <w:lvlText w:val=""/>
      <w:lvlJc w:val="left"/>
      <w:pPr>
        <w:ind w:left="720" w:hanging="360"/>
      </w:pPr>
      <w:rPr>
        <w:rFonts w:ascii="Symbol" w:hAnsi="Symbol"/>
      </w:rPr>
    </w:lvl>
    <w:lvl w:ilvl="4" w:tplc="98DEF348">
      <w:start w:val="1"/>
      <w:numFmt w:val="bullet"/>
      <w:lvlText w:val=""/>
      <w:lvlJc w:val="left"/>
      <w:pPr>
        <w:ind w:left="720" w:hanging="360"/>
      </w:pPr>
      <w:rPr>
        <w:rFonts w:ascii="Symbol" w:hAnsi="Symbol"/>
      </w:rPr>
    </w:lvl>
    <w:lvl w:ilvl="5" w:tplc="DA00C558">
      <w:start w:val="1"/>
      <w:numFmt w:val="bullet"/>
      <w:lvlText w:val=""/>
      <w:lvlJc w:val="left"/>
      <w:pPr>
        <w:ind w:left="720" w:hanging="360"/>
      </w:pPr>
      <w:rPr>
        <w:rFonts w:ascii="Symbol" w:hAnsi="Symbol"/>
      </w:rPr>
    </w:lvl>
    <w:lvl w:ilvl="6" w:tplc="3BC67C42">
      <w:start w:val="1"/>
      <w:numFmt w:val="bullet"/>
      <w:lvlText w:val=""/>
      <w:lvlJc w:val="left"/>
      <w:pPr>
        <w:ind w:left="720" w:hanging="360"/>
      </w:pPr>
      <w:rPr>
        <w:rFonts w:ascii="Symbol" w:hAnsi="Symbol"/>
      </w:rPr>
    </w:lvl>
    <w:lvl w:ilvl="7" w:tplc="71D6BC86">
      <w:start w:val="1"/>
      <w:numFmt w:val="bullet"/>
      <w:lvlText w:val=""/>
      <w:lvlJc w:val="left"/>
      <w:pPr>
        <w:ind w:left="720" w:hanging="360"/>
      </w:pPr>
      <w:rPr>
        <w:rFonts w:ascii="Symbol" w:hAnsi="Symbol"/>
      </w:rPr>
    </w:lvl>
    <w:lvl w:ilvl="8" w:tplc="D472CF60">
      <w:start w:val="1"/>
      <w:numFmt w:val="bullet"/>
      <w:lvlText w:val=""/>
      <w:lvlJc w:val="left"/>
      <w:pPr>
        <w:ind w:left="720" w:hanging="360"/>
      </w:pPr>
      <w:rPr>
        <w:rFonts w:ascii="Symbol" w:hAnsi="Symbol"/>
      </w:rPr>
    </w:lvl>
  </w:abstractNum>
  <w:abstractNum w:abstractNumId="23" w15:restartNumberingAfterBreak="0">
    <w:nsid w:val="405F4939"/>
    <w:multiLevelType w:val="hybridMultilevel"/>
    <w:tmpl w:val="EB6AE8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199595F"/>
    <w:multiLevelType w:val="hybridMultilevel"/>
    <w:tmpl w:val="0A0821F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7095746"/>
    <w:multiLevelType w:val="hybridMultilevel"/>
    <w:tmpl w:val="28BC0FCE"/>
    <w:lvl w:ilvl="0" w:tplc="A26EFB64">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47997294"/>
    <w:multiLevelType w:val="hybridMultilevel"/>
    <w:tmpl w:val="FD704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066891"/>
    <w:multiLevelType w:val="hybridMultilevel"/>
    <w:tmpl w:val="B0461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207E06"/>
    <w:multiLevelType w:val="hybridMultilevel"/>
    <w:tmpl w:val="F270772E"/>
    <w:lvl w:ilvl="0" w:tplc="B39A9EBA">
      <w:start w:val="1"/>
      <w:numFmt w:val="bullet"/>
      <w:lvlText w:val=""/>
      <w:lvlJc w:val="left"/>
      <w:pPr>
        <w:ind w:left="720" w:hanging="360"/>
      </w:pPr>
      <w:rPr>
        <w:rFonts w:ascii="Symbol" w:hAnsi="Symbol"/>
      </w:rPr>
    </w:lvl>
    <w:lvl w:ilvl="1" w:tplc="DEC01022">
      <w:start w:val="1"/>
      <w:numFmt w:val="bullet"/>
      <w:lvlText w:val=""/>
      <w:lvlJc w:val="left"/>
      <w:pPr>
        <w:ind w:left="720" w:hanging="360"/>
      </w:pPr>
      <w:rPr>
        <w:rFonts w:ascii="Symbol" w:hAnsi="Symbol"/>
      </w:rPr>
    </w:lvl>
    <w:lvl w:ilvl="2" w:tplc="5C8CBECC">
      <w:start w:val="1"/>
      <w:numFmt w:val="bullet"/>
      <w:lvlText w:val=""/>
      <w:lvlJc w:val="left"/>
      <w:pPr>
        <w:ind w:left="720" w:hanging="360"/>
      </w:pPr>
      <w:rPr>
        <w:rFonts w:ascii="Symbol" w:hAnsi="Symbol"/>
      </w:rPr>
    </w:lvl>
    <w:lvl w:ilvl="3" w:tplc="25BCF876">
      <w:start w:val="1"/>
      <w:numFmt w:val="bullet"/>
      <w:lvlText w:val=""/>
      <w:lvlJc w:val="left"/>
      <w:pPr>
        <w:ind w:left="720" w:hanging="360"/>
      </w:pPr>
      <w:rPr>
        <w:rFonts w:ascii="Symbol" w:hAnsi="Symbol"/>
      </w:rPr>
    </w:lvl>
    <w:lvl w:ilvl="4" w:tplc="7FA6A6D2">
      <w:start w:val="1"/>
      <w:numFmt w:val="bullet"/>
      <w:lvlText w:val=""/>
      <w:lvlJc w:val="left"/>
      <w:pPr>
        <w:ind w:left="720" w:hanging="360"/>
      </w:pPr>
      <w:rPr>
        <w:rFonts w:ascii="Symbol" w:hAnsi="Symbol"/>
      </w:rPr>
    </w:lvl>
    <w:lvl w:ilvl="5" w:tplc="69F2F22A">
      <w:start w:val="1"/>
      <w:numFmt w:val="bullet"/>
      <w:lvlText w:val=""/>
      <w:lvlJc w:val="left"/>
      <w:pPr>
        <w:ind w:left="720" w:hanging="360"/>
      </w:pPr>
      <w:rPr>
        <w:rFonts w:ascii="Symbol" w:hAnsi="Symbol"/>
      </w:rPr>
    </w:lvl>
    <w:lvl w:ilvl="6" w:tplc="CA1AC772">
      <w:start w:val="1"/>
      <w:numFmt w:val="bullet"/>
      <w:lvlText w:val=""/>
      <w:lvlJc w:val="left"/>
      <w:pPr>
        <w:ind w:left="720" w:hanging="360"/>
      </w:pPr>
      <w:rPr>
        <w:rFonts w:ascii="Symbol" w:hAnsi="Symbol"/>
      </w:rPr>
    </w:lvl>
    <w:lvl w:ilvl="7" w:tplc="176A9BC4">
      <w:start w:val="1"/>
      <w:numFmt w:val="bullet"/>
      <w:lvlText w:val=""/>
      <w:lvlJc w:val="left"/>
      <w:pPr>
        <w:ind w:left="720" w:hanging="360"/>
      </w:pPr>
      <w:rPr>
        <w:rFonts w:ascii="Symbol" w:hAnsi="Symbol"/>
      </w:rPr>
    </w:lvl>
    <w:lvl w:ilvl="8" w:tplc="3B965BB2">
      <w:start w:val="1"/>
      <w:numFmt w:val="bullet"/>
      <w:lvlText w:val=""/>
      <w:lvlJc w:val="left"/>
      <w:pPr>
        <w:ind w:left="720" w:hanging="360"/>
      </w:pPr>
      <w:rPr>
        <w:rFonts w:ascii="Symbol" w:hAnsi="Symbol"/>
      </w:rPr>
    </w:lvl>
  </w:abstractNum>
  <w:abstractNum w:abstractNumId="29" w15:restartNumberingAfterBreak="0">
    <w:nsid w:val="4F663B17"/>
    <w:multiLevelType w:val="hybridMultilevel"/>
    <w:tmpl w:val="5608E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FF0110"/>
    <w:multiLevelType w:val="hybridMultilevel"/>
    <w:tmpl w:val="DBA873F8"/>
    <w:lvl w:ilvl="0" w:tplc="03DA1D4E">
      <w:start w:val="1"/>
      <w:numFmt w:val="bullet"/>
      <w:pStyle w:val="Instructionaltext-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cs="Wingdings" w:hint="default"/>
      </w:rPr>
    </w:lvl>
    <w:lvl w:ilvl="3" w:tplc="0C090001" w:tentative="1">
      <w:start w:val="1"/>
      <w:numFmt w:val="bullet"/>
      <w:lvlText w:val=""/>
      <w:lvlJc w:val="left"/>
      <w:pPr>
        <w:ind w:left="3237" w:hanging="360"/>
      </w:pPr>
      <w:rPr>
        <w:rFonts w:ascii="Symbol" w:hAnsi="Symbol" w:cs="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cs="Wingdings" w:hint="default"/>
      </w:rPr>
    </w:lvl>
    <w:lvl w:ilvl="6" w:tplc="0C090001" w:tentative="1">
      <w:start w:val="1"/>
      <w:numFmt w:val="bullet"/>
      <w:lvlText w:val=""/>
      <w:lvlJc w:val="left"/>
      <w:pPr>
        <w:ind w:left="5397" w:hanging="360"/>
      </w:pPr>
      <w:rPr>
        <w:rFonts w:ascii="Symbol" w:hAnsi="Symbol" w:cs="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cs="Wingdings" w:hint="default"/>
      </w:rPr>
    </w:lvl>
  </w:abstractNum>
  <w:abstractNum w:abstractNumId="31" w15:restartNumberingAfterBreak="0">
    <w:nsid w:val="580D2CE2"/>
    <w:multiLevelType w:val="hybridMultilevel"/>
    <w:tmpl w:val="313E7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0B257F"/>
    <w:multiLevelType w:val="hybridMultilevel"/>
    <w:tmpl w:val="660EA8FE"/>
    <w:lvl w:ilvl="0" w:tplc="9EE2EAE8">
      <w:start w:val="1"/>
      <w:numFmt w:val="bullet"/>
      <w:lvlText w:val=""/>
      <w:lvlJc w:val="left"/>
      <w:pPr>
        <w:ind w:left="720" w:hanging="360"/>
      </w:pPr>
      <w:rPr>
        <w:rFonts w:ascii="Symbol" w:hAnsi="Symbol"/>
      </w:rPr>
    </w:lvl>
    <w:lvl w:ilvl="1" w:tplc="61B4AFA0">
      <w:start w:val="1"/>
      <w:numFmt w:val="bullet"/>
      <w:lvlText w:val=""/>
      <w:lvlJc w:val="left"/>
      <w:pPr>
        <w:ind w:left="720" w:hanging="360"/>
      </w:pPr>
      <w:rPr>
        <w:rFonts w:ascii="Symbol" w:hAnsi="Symbol"/>
      </w:rPr>
    </w:lvl>
    <w:lvl w:ilvl="2" w:tplc="13588CF4">
      <w:start w:val="1"/>
      <w:numFmt w:val="bullet"/>
      <w:lvlText w:val=""/>
      <w:lvlJc w:val="left"/>
      <w:pPr>
        <w:ind w:left="720" w:hanging="360"/>
      </w:pPr>
      <w:rPr>
        <w:rFonts w:ascii="Symbol" w:hAnsi="Symbol"/>
      </w:rPr>
    </w:lvl>
    <w:lvl w:ilvl="3" w:tplc="003E9750">
      <w:start w:val="1"/>
      <w:numFmt w:val="bullet"/>
      <w:lvlText w:val=""/>
      <w:lvlJc w:val="left"/>
      <w:pPr>
        <w:ind w:left="720" w:hanging="360"/>
      </w:pPr>
      <w:rPr>
        <w:rFonts w:ascii="Symbol" w:hAnsi="Symbol"/>
      </w:rPr>
    </w:lvl>
    <w:lvl w:ilvl="4" w:tplc="6F3E2AF8">
      <w:start w:val="1"/>
      <w:numFmt w:val="bullet"/>
      <w:lvlText w:val=""/>
      <w:lvlJc w:val="left"/>
      <w:pPr>
        <w:ind w:left="720" w:hanging="360"/>
      </w:pPr>
      <w:rPr>
        <w:rFonts w:ascii="Symbol" w:hAnsi="Symbol"/>
      </w:rPr>
    </w:lvl>
    <w:lvl w:ilvl="5" w:tplc="F77291F0">
      <w:start w:val="1"/>
      <w:numFmt w:val="bullet"/>
      <w:lvlText w:val=""/>
      <w:lvlJc w:val="left"/>
      <w:pPr>
        <w:ind w:left="720" w:hanging="360"/>
      </w:pPr>
      <w:rPr>
        <w:rFonts w:ascii="Symbol" w:hAnsi="Symbol"/>
      </w:rPr>
    </w:lvl>
    <w:lvl w:ilvl="6" w:tplc="16F05C1C">
      <w:start w:val="1"/>
      <w:numFmt w:val="bullet"/>
      <w:lvlText w:val=""/>
      <w:lvlJc w:val="left"/>
      <w:pPr>
        <w:ind w:left="720" w:hanging="360"/>
      </w:pPr>
      <w:rPr>
        <w:rFonts w:ascii="Symbol" w:hAnsi="Symbol"/>
      </w:rPr>
    </w:lvl>
    <w:lvl w:ilvl="7" w:tplc="034CD21A">
      <w:start w:val="1"/>
      <w:numFmt w:val="bullet"/>
      <w:lvlText w:val=""/>
      <w:lvlJc w:val="left"/>
      <w:pPr>
        <w:ind w:left="720" w:hanging="360"/>
      </w:pPr>
      <w:rPr>
        <w:rFonts w:ascii="Symbol" w:hAnsi="Symbol"/>
      </w:rPr>
    </w:lvl>
    <w:lvl w:ilvl="8" w:tplc="A66E7CAA">
      <w:start w:val="1"/>
      <w:numFmt w:val="bullet"/>
      <w:lvlText w:val=""/>
      <w:lvlJc w:val="left"/>
      <w:pPr>
        <w:ind w:left="720" w:hanging="360"/>
      </w:pPr>
      <w:rPr>
        <w:rFonts w:ascii="Symbol" w:hAnsi="Symbol"/>
      </w:rPr>
    </w:lvl>
  </w:abstractNum>
  <w:abstractNum w:abstractNumId="33" w15:restartNumberingAfterBreak="0">
    <w:nsid w:val="5F076BCF"/>
    <w:multiLevelType w:val="hybridMultilevel"/>
    <w:tmpl w:val="DBEC6D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0C95369"/>
    <w:multiLevelType w:val="hybridMultilevel"/>
    <w:tmpl w:val="5540EFD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612F1A20"/>
    <w:multiLevelType w:val="hybridMultilevel"/>
    <w:tmpl w:val="9D70378A"/>
    <w:lvl w:ilvl="0" w:tplc="5B7E70E6">
      <w:start w:val="1"/>
      <w:numFmt w:val="decimal"/>
      <w:lvlText w:val="%1."/>
      <w:lvlJc w:val="left"/>
      <w:pPr>
        <w:ind w:left="720" w:hanging="360"/>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3806402"/>
    <w:multiLevelType w:val="hybridMultilevel"/>
    <w:tmpl w:val="C9069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B908C9"/>
    <w:multiLevelType w:val="hybridMultilevel"/>
    <w:tmpl w:val="86AE6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ED6362"/>
    <w:multiLevelType w:val="hybridMultilevel"/>
    <w:tmpl w:val="DEB445B6"/>
    <w:lvl w:ilvl="0" w:tplc="AD60C3E2">
      <w:start w:val="1"/>
      <w:numFmt w:val="bullet"/>
      <w:lvlText w:val=""/>
      <w:lvlJc w:val="left"/>
      <w:pPr>
        <w:ind w:left="720" w:hanging="360"/>
      </w:pPr>
      <w:rPr>
        <w:rFonts w:ascii="Symbol" w:hAnsi="Symbol"/>
      </w:rPr>
    </w:lvl>
    <w:lvl w:ilvl="1" w:tplc="3D901DA0">
      <w:start w:val="1"/>
      <w:numFmt w:val="bullet"/>
      <w:lvlText w:val=""/>
      <w:lvlJc w:val="left"/>
      <w:pPr>
        <w:ind w:left="720" w:hanging="360"/>
      </w:pPr>
      <w:rPr>
        <w:rFonts w:ascii="Symbol" w:hAnsi="Symbol"/>
      </w:rPr>
    </w:lvl>
    <w:lvl w:ilvl="2" w:tplc="DD546BC4">
      <w:start w:val="1"/>
      <w:numFmt w:val="bullet"/>
      <w:lvlText w:val=""/>
      <w:lvlJc w:val="left"/>
      <w:pPr>
        <w:ind w:left="720" w:hanging="360"/>
      </w:pPr>
      <w:rPr>
        <w:rFonts w:ascii="Symbol" w:hAnsi="Symbol"/>
      </w:rPr>
    </w:lvl>
    <w:lvl w:ilvl="3" w:tplc="B58C4F94">
      <w:start w:val="1"/>
      <w:numFmt w:val="bullet"/>
      <w:lvlText w:val=""/>
      <w:lvlJc w:val="left"/>
      <w:pPr>
        <w:ind w:left="720" w:hanging="360"/>
      </w:pPr>
      <w:rPr>
        <w:rFonts w:ascii="Symbol" w:hAnsi="Symbol"/>
      </w:rPr>
    </w:lvl>
    <w:lvl w:ilvl="4" w:tplc="74740B50">
      <w:start w:val="1"/>
      <w:numFmt w:val="bullet"/>
      <w:lvlText w:val=""/>
      <w:lvlJc w:val="left"/>
      <w:pPr>
        <w:ind w:left="720" w:hanging="360"/>
      </w:pPr>
      <w:rPr>
        <w:rFonts w:ascii="Symbol" w:hAnsi="Symbol"/>
      </w:rPr>
    </w:lvl>
    <w:lvl w:ilvl="5" w:tplc="4FCA7CF2">
      <w:start w:val="1"/>
      <w:numFmt w:val="bullet"/>
      <w:lvlText w:val=""/>
      <w:lvlJc w:val="left"/>
      <w:pPr>
        <w:ind w:left="720" w:hanging="360"/>
      </w:pPr>
      <w:rPr>
        <w:rFonts w:ascii="Symbol" w:hAnsi="Symbol"/>
      </w:rPr>
    </w:lvl>
    <w:lvl w:ilvl="6" w:tplc="C90698EA">
      <w:start w:val="1"/>
      <w:numFmt w:val="bullet"/>
      <w:lvlText w:val=""/>
      <w:lvlJc w:val="left"/>
      <w:pPr>
        <w:ind w:left="720" w:hanging="360"/>
      </w:pPr>
      <w:rPr>
        <w:rFonts w:ascii="Symbol" w:hAnsi="Symbol"/>
      </w:rPr>
    </w:lvl>
    <w:lvl w:ilvl="7" w:tplc="BD3AFD6C">
      <w:start w:val="1"/>
      <w:numFmt w:val="bullet"/>
      <w:lvlText w:val=""/>
      <w:lvlJc w:val="left"/>
      <w:pPr>
        <w:ind w:left="720" w:hanging="360"/>
      </w:pPr>
      <w:rPr>
        <w:rFonts w:ascii="Symbol" w:hAnsi="Symbol"/>
      </w:rPr>
    </w:lvl>
    <w:lvl w:ilvl="8" w:tplc="AF7CBCCE">
      <w:start w:val="1"/>
      <w:numFmt w:val="bullet"/>
      <w:lvlText w:val=""/>
      <w:lvlJc w:val="left"/>
      <w:pPr>
        <w:ind w:left="720" w:hanging="360"/>
      </w:pPr>
      <w:rPr>
        <w:rFonts w:ascii="Symbol" w:hAnsi="Symbol"/>
      </w:rPr>
    </w:lvl>
  </w:abstractNum>
  <w:abstractNum w:abstractNumId="39" w15:restartNumberingAfterBreak="0">
    <w:nsid w:val="67433AD1"/>
    <w:multiLevelType w:val="hybridMultilevel"/>
    <w:tmpl w:val="3A02A9A8"/>
    <w:lvl w:ilvl="0" w:tplc="0E94ABB2">
      <w:start w:val="1"/>
      <w:numFmt w:val="bullet"/>
      <w:lvlText w:val="•"/>
      <w:lvlJc w:val="left"/>
      <w:pPr>
        <w:tabs>
          <w:tab w:val="num" w:pos="720"/>
        </w:tabs>
        <w:ind w:left="720" w:hanging="360"/>
      </w:pPr>
      <w:rPr>
        <w:rFonts w:ascii="Arial" w:hAnsi="Arial" w:hint="default"/>
      </w:rPr>
    </w:lvl>
    <w:lvl w:ilvl="1" w:tplc="70665D42" w:tentative="1">
      <w:start w:val="1"/>
      <w:numFmt w:val="bullet"/>
      <w:lvlText w:val="•"/>
      <w:lvlJc w:val="left"/>
      <w:pPr>
        <w:tabs>
          <w:tab w:val="num" w:pos="1440"/>
        </w:tabs>
        <w:ind w:left="1440" w:hanging="360"/>
      </w:pPr>
      <w:rPr>
        <w:rFonts w:ascii="Arial" w:hAnsi="Arial" w:hint="default"/>
      </w:rPr>
    </w:lvl>
    <w:lvl w:ilvl="2" w:tplc="1D14FE66" w:tentative="1">
      <w:start w:val="1"/>
      <w:numFmt w:val="bullet"/>
      <w:lvlText w:val="•"/>
      <w:lvlJc w:val="left"/>
      <w:pPr>
        <w:tabs>
          <w:tab w:val="num" w:pos="2160"/>
        </w:tabs>
        <w:ind w:left="2160" w:hanging="360"/>
      </w:pPr>
      <w:rPr>
        <w:rFonts w:ascii="Arial" w:hAnsi="Arial" w:hint="default"/>
      </w:rPr>
    </w:lvl>
    <w:lvl w:ilvl="3" w:tplc="1C16E984" w:tentative="1">
      <w:start w:val="1"/>
      <w:numFmt w:val="bullet"/>
      <w:lvlText w:val="•"/>
      <w:lvlJc w:val="left"/>
      <w:pPr>
        <w:tabs>
          <w:tab w:val="num" w:pos="2880"/>
        </w:tabs>
        <w:ind w:left="2880" w:hanging="360"/>
      </w:pPr>
      <w:rPr>
        <w:rFonts w:ascii="Arial" w:hAnsi="Arial" w:hint="default"/>
      </w:rPr>
    </w:lvl>
    <w:lvl w:ilvl="4" w:tplc="1FD4820E" w:tentative="1">
      <w:start w:val="1"/>
      <w:numFmt w:val="bullet"/>
      <w:lvlText w:val="•"/>
      <w:lvlJc w:val="left"/>
      <w:pPr>
        <w:tabs>
          <w:tab w:val="num" w:pos="3600"/>
        </w:tabs>
        <w:ind w:left="3600" w:hanging="360"/>
      </w:pPr>
      <w:rPr>
        <w:rFonts w:ascii="Arial" w:hAnsi="Arial" w:hint="default"/>
      </w:rPr>
    </w:lvl>
    <w:lvl w:ilvl="5" w:tplc="C98A5564" w:tentative="1">
      <w:start w:val="1"/>
      <w:numFmt w:val="bullet"/>
      <w:lvlText w:val="•"/>
      <w:lvlJc w:val="left"/>
      <w:pPr>
        <w:tabs>
          <w:tab w:val="num" w:pos="4320"/>
        </w:tabs>
        <w:ind w:left="4320" w:hanging="360"/>
      </w:pPr>
      <w:rPr>
        <w:rFonts w:ascii="Arial" w:hAnsi="Arial" w:hint="default"/>
      </w:rPr>
    </w:lvl>
    <w:lvl w:ilvl="6" w:tplc="75BAE144" w:tentative="1">
      <w:start w:val="1"/>
      <w:numFmt w:val="bullet"/>
      <w:lvlText w:val="•"/>
      <w:lvlJc w:val="left"/>
      <w:pPr>
        <w:tabs>
          <w:tab w:val="num" w:pos="5040"/>
        </w:tabs>
        <w:ind w:left="5040" w:hanging="360"/>
      </w:pPr>
      <w:rPr>
        <w:rFonts w:ascii="Arial" w:hAnsi="Arial" w:hint="default"/>
      </w:rPr>
    </w:lvl>
    <w:lvl w:ilvl="7" w:tplc="8A58FB5A" w:tentative="1">
      <w:start w:val="1"/>
      <w:numFmt w:val="bullet"/>
      <w:lvlText w:val="•"/>
      <w:lvlJc w:val="left"/>
      <w:pPr>
        <w:tabs>
          <w:tab w:val="num" w:pos="5760"/>
        </w:tabs>
        <w:ind w:left="5760" w:hanging="360"/>
      </w:pPr>
      <w:rPr>
        <w:rFonts w:ascii="Arial" w:hAnsi="Arial" w:hint="default"/>
      </w:rPr>
    </w:lvl>
    <w:lvl w:ilvl="8" w:tplc="77E4E4C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A010171"/>
    <w:multiLevelType w:val="hybridMultilevel"/>
    <w:tmpl w:val="121402FA"/>
    <w:lvl w:ilvl="0" w:tplc="985EF02E">
      <w:start w:val="1"/>
      <w:numFmt w:val="bullet"/>
      <w:lvlText w:val=""/>
      <w:lvlJc w:val="left"/>
      <w:pPr>
        <w:ind w:left="720" w:hanging="360"/>
      </w:pPr>
      <w:rPr>
        <w:rFonts w:ascii="Symbol" w:hAnsi="Symbol"/>
      </w:rPr>
    </w:lvl>
    <w:lvl w:ilvl="1" w:tplc="B7FA75BA">
      <w:start w:val="1"/>
      <w:numFmt w:val="bullet"/>
      <w:lvlText w:val=""/>
      <w:lvlJc w:val="left"/>
      <w:pPr>
        <w:ind w:left="720" w:hanging="360"/>
      </w:pPr>
      <w:rPr>
        <w:rFonts w:ascii="Symbol" w:hAnsi="Symbol"/>
      </w:rPr>
    </w:lvl>
    <w:lvl w:ilvl="2" w:tplc="EF509A54">
      <w:start w:val="1"/>
      <w:numFmt w:val="bullet"/>
      <w:lvlText w:val=""/>
      <w:lvlJc w:val="left"/>
      <w:pPr>
        <w:ind w:left="720" w:hanging="360"/>
      </w:pPr>
      <w:rPr>
        <w:rFonts w:ascii="Symbol" w:hAnsi="Symbol"/>
      </w:rPr>
    </w:lvl>
    <w:lvl w:ilvl="3" w:tplc="1F6E0330">
      <w:start w:val="1"/>
      <w:numFmt w:val="bullet"/>
      <w:lvlText w:val=""/>
      <w:lvlJc w:val="left"/>
      <w:pPr>
        <w:ind w:left="720" w:hanging="360"/>
      </w:pPr>
      <w:rPr>
        <w:rFonts w:ascii="Symbol" w:hAnsi="Symbol"/>
      </w:rPr>
    </w:lvl>
    <w:lvl w:ilvl="4" w:tplc="A5BE13B0">
      <w:start w:val="1"/>
      <w:numFmt w:val="bullet"/>
      <w:lvlText w:val=""/>
      <w:lvlJc w:val="left"/>
      <w:pPr>
        <w:ind w:left="720" w:hanging="360"/>
      </w:pPr>
      <w:rPr>
        <w:rFonts w:ascii="Symbol" w:hAnsi="Symbol"/>
      </w:rPr>
    </w:lvl>
    <w:lvl w:ilvl="5" w:tplc="A0FEB702">
      <w:start w:val="1"/>
      <w:numFmt w:val="bullet"/>
      <w:lvlText w:val=""/>
      <w:lvlJc w:val="left"/>
      <w:pPr>
        <w:ind w:left="720" w:hanging="360"/>
      </w:pPr>
      <w:rPr>
        <w:rFonts w:ascii="Symbol" w:hAnsi="Symbol"/>
      </w:rPr>
    </w:lvl>
    <w:lvl w:ilvl="6" w:tplc="4260ABC4">
      <w:start w:val="1"/>
      <w:numFmt w:val="bullet"/>
      <w:lvlText w:val=""/>
      <w:lvlJc w:val="left"/>
      <w:pPr>
        <w:ind w:left="720" w:hanging="360"/>
      </w:pPr>
      <w:rPr>
        <w:rFonts w:ascii="Symbol" w:hAnsi="Symbol"/>
      </w:rPr>
    </w:lvl>
    <w:lvl w:ilvl="7" w:tplc="04A69B76">
      <w:start w:val="1"/>
      <w:numFmt w:val="bullet"/>
      <w:lvlText w:val=""/>
      <w:lvlJc w:val="left"/>
      <w:pPr>
        <w:ind w:left="720" w:hanging="360"/>
      </w:pPr>
      <w:rPr>
        <w:rFonts w:ascii="Symbol" w:hAnsi="Symbol"/>
      </w:rPr>
    </w:lvl>
    <w:lvl w:ilvl="8" w:tplc="6B12297E">
      <w:start w:val="1"/>
      <w:numFmt w:val="bullet"/>
      <w:lvlText w:val=""/>
      <w:lvlJc w:val="left"/>
      <w:pPr>
        <w:ind w:left="720" w:hanging="360"/>
      </w:pPr>
      <w:rPr>
        <w:rFonts w:ascii="Symbol" w:hAnsi="Symbol"/>
      </w:rPr>
    </w:lvl>
  </w:abstractNum>
  <w:abstractNum w:abstractNumId="41" w15:restartNumberingAfterBreak="0">
    <w:nsid w:val="6E904830"/>
    <w:multiLevelType w:val="hybridMultilevel"/>
    <w:tmpl w:val="23049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FE231D"/>
    <w:multiLevelType w:val="hybridMultilevel"/>
    <w:tmpl w:val="9DCE5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19A7DB9"/>
    <w:multiLevelType w:val="hybridMultilevel"/>
    <w:tmpl w:val="0AA0E740"/>
    <w:lvl w:ilvl="0" w:tplc="2618E8D2">
      <w:start w:val="1"/>
      <w:numFmt w:val="bullet"/>
      <w:lvlText w:val=""/>
      <w:lvlJc w:val="left"/>
      <w:pPr>
        <w:ind w:left="720" w:hanging="360"/>
      </w:pPr>
      <w:rPr>
        <w:rFonts w:ascii="Symbol" w:hAnsi="Symbol"/>
      </w:rPr>
    </w:lvl>
    <w:lvl w:ilvl="1" w:tplc="4100F5C6">
      <w:start w:val="1"/>
      <w:numFmt w:val="bullet"/>
      <w:lvlText w:val=""/>
      <w:lvlJc w:val="left"/>
      <w:pPr>
        <w:ind w:left="720" w:hanging="360"/>
      </w:pPr>
      <w:rPr>
        <w:rFonts w:ascii="Symbol" w:hAnsi="Symbol"/>
      </w:rPr>
    </w:lvl>
    <w:lvl w:ilvl="2" w:tplc="3F5401A6">
      <w:start w:val="1"/>
      <w:numFmt w:val="bullet"/>
      <w:lvlText w:val=""/>
      <w:lvlJc w:val="left"/>
      <w:pPr>
        <w:ind w:left="720" w:hanging="360"/>
      </w:pPr>
      <w:rPr>
        <w:rFonts w:ascii="Symbol" w:hAnsi="Symbol"/>
      </w:rPr>
    </w:lvl>
    <w:lvl w:ilvl="3" w:tplc="BEECE3BA">
      <w:start w:val="1"/>
      <w:numFmt w:val="bullet"/>
      <w:lvlText w:val=""/>
      <w:lvlJc w:val="left"/>
      <w:pPr>
        <w:ind w:left="720" w:hanging="360"/>
      </w:pPr>
      <w:rPr>
        <w:rFonts w:ascii="Symbol" w:hAnsi="Symbol"/>
      </w:rPr>
    </w:lvl>
    <w:lvl w:ilvl="4" w:tplc="E16EBEA2">
      <w:start w:val="1"/>
      <w:numFmt w:val="bullet"/>
      <w:lvlText w:val=""/>
      <w:lvlJc w:val="left"/>
      <w:pPr>
        <w:ind w:left="720" w:hanging="360"/>
      </w:pPr>
      <w:rPr>
        <w:rFonts w:ascii="Symbol" w:hAnsi="Symbol"/>
      </w:rPr>
    </w:lvl>
    <w:lvl w:ilvl="5" w:tplc="BC7C5506">
      <w:start w:val="1"/>
      <w:numFmt w:val="bullet"/>
      <w:lvlText w:val=""/>
      <w:lvlJc w:val="left"/>
      <w:pPr>
        <w:ind w:left="720" w:hanging="360"/>
      </w:pPr>
      <w:rPr>
        <w:rFonts w:ascii="Symbol" w:hAnsi="Symbol"/>
      </w:rPr>
    </w:lvl>
    <w:lvl w:ilvl="6" w:tplc="5C848D8A">
      <w:start w:val="1"/>
      <w:numFmt w:val="bullet"/>
      <w:lvlText w:val=""/>
      <w:lvlJc w:val="left"/>
      <w:pPr>
        <w:ind w:left="720" w:hanging="360"/>
      </w:pPr>
      <w:rPr>
        <w:rFonts w:ascii="Symbol" w:hAnsi="Symbol"/>
      </w:rPr>
    </w:lvl>
    <w:lvl w:ilvl="7" w:tplc="64B4DC6E">
      <w:start w:val="1"/>
      <w:numFmt w:val="bullet"/>
      <w:lvlText w:val=""/>
      <w:lvlJc w:val="left"/>
      <w:pPr>
        <w:ind w:left="720" w:hanging="360"/>
      </w:pPr>
      <w:rPr>
        <w:rFonts w:ascii="Symbol" w:hAnsi="Symbol"/>
      </w:rPr>
    </w:lvl>
    <w:lvl w:ilvl="8" w:tplc="E77897E2">
      <w:start w:val="1"/>
      <w:numFmt w:val="bullet"/>
      <w:lvlText w:val=""/>
      <w:lvlJc w:val="left"/>
      <w:pPr>
        <w:ind w:left="720" w:hanging="360"/>
      </w:pPr>
      <w:rPr>
        <w:rFonts w:ascii="Symbol" w:hAnsi="Symbol"/>
      </w:rPr>
    </w:lvl>
  </w:abstractNum>
  <w:abstractNum w:abstractNumId="44" w15:restartNumberingAfterBreak="0">
    <w:nsid w:val="73A608E8"/>
    <w:multiLevelType w:val="hybridMultilevel"/>
    <w:tmpl w:val="CBAAD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17520D"/>
    <w:multiLevelType w:val="hybridMultilevel"/>
    <w:tmpl w:val="22E04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A2F2B60"/>
    <w:multiLevelType w:val="hybridMultilevel"/>
    <w:tmpl w:val="6EB6B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2583400">
    <w:abstractNumId w:val="3"/>
  </w:num>
  <w:num w:numId="2" w16cid:durableId="1024792184">
    <w:abstractNumId w:val="31"/>
  </w:num>
  <w:num w:numId="3" w16cid:durableId="2098093375">
    <w:abstractNumId w:val="30"/>
  </w:num>
  <w:num w:numId="4" w16cid:durableId="1911186006">
    <w:abstractNumId w:val="12"/>
  </w:num>
  <w:num w:numId="5" w16cid:durableId="929508997">
    <w:abstractNumId w:val="34"/>
  </w:num>
  <w:num w:numId="6" w16cid:durableId="823394897">
    <w:abstractNumId w:val="25"/>
  </w:num>
  <w:num w:numId="7" w16cid:durableId="1985043683">
    <w:abstractNumId w:val="17"/>
  </w:num>
  <w:num w:numId="8" w16cid:durableId="1138887236">
    <w:abstractNumId w:val="23"/>
  </w:num>
  <w:num w:numId="9" w16cid:durableId="2089647999">
    <w:abstractNumId w:val="4"/>
  </w:num>
  <w:num w:numId="10" w16cid:durableId="1637490485">
    <w:abstractNumId w:val="41"/>
  </w:num>
  <w:num w:numId="11" w16cid:durableId="2073189763">
    <w:abstractNumId w:val="19"/>
  </w:num>
  <w:num w:numId="12" w16cid:durableId="74322046">
    <w:abstractNumId w:val="42"/>
  </w:num>
  <w:num w:numId="13" w16cid:durableId="134416718">
    <w:abstractNumId w:val="6"/>
  </w:num>
  <w:num w:numId="14" w16cid:durableId="1428501288">
    <w:abstractNumId w:val="26"/>
  </w:num>
  <w:num w:numId="15" w16cid:durableId="2032798156">
    <w:abstractNumId w:val="0"/>
  </w:num>
  <w:num w:numId="16" w16cid:durableId="67578377">
    <w:abstractNumId w:val="27"/>
  </w:num>
  <w:num w:numId="17" w16cid:durableId="1697846603">
    <w:abstractNumId w:val="7"/>
  </w:num>
  <w:num w:numId="18" w16cid:durableId="597369749">
    <w:abstractNumId w:val="15"/>
  </w:num>
  <w:num w:numId="19" w16cid:durableId="625702469">
    <w:abstractNumId w:val="46"/>
  </w:num>
  <w:num w:numId="20" w16cid:durableId="61636377">
    <w:abstractNumId w:val="13"/>
  </w:num>
  <w:num w:numId="21" w16cid:durableId="1833328682">
    <w:abstractNumId w:val="45"/>
  </w:num>
  <w:num w:numId="22" w16cid:durableId="1012148859">
    <w:abstractNumId w:val="36"/>
  </w:num>
  <w:num w:numId="23" w16cid:durableId="361974680">
    <w:abstractNumId w:val="29"/>
  </w:num>
  <w:num w:numId="24" w16cid:durableId="1242369598">
    <w:abstractNumId w:val="24"/>
  </w:num>
  <w:num w:numId="25" w16cid:durableId="1538930789">
    <w:abstractNumId w:val="35"/>
  </w:num>
  <w:num w:numId="26" w16cid:durableId="2141344072">
    <w:abstractNumId w:val="33"/>
  </w:num>
  <w:num w:numId="27" w16cid:durableId="851841122">
    <w:abstractNumId w:val="21"/>
  </w:num>
  <w:num w:numId="28" w16cid:durableId="1705709756">
    <w:abstractNumId w:val="39"/>
  </w:num>
  <w:num w:numId="29" w16cid:durableId="284386140">
    <w:abstractNumId w:val="8"/>
  </w:num>
  <w:num w:numId="30" w16cid:durableId="2073849651">
    <w:abstractNumId w:val="5"/>
  </w:num>
  <w:num w:numId="31" w16cid:durableId="405806173">
    <w:abstractNumId w:val="28"/>
  </w:num>
  <w:num w:numId="32" w16cid:durableId="431823124">
    <w:abstractNumId w:val="43"/>
  </w:num>
  <w:num w:numId="33" w16cid:durableId="661159565">
    <w:abstractNumId w:val="22"/>
  </w:num>
  <w:num w:numId="34" w16cid:durableId="1445079880">
    <w:abstractNumId w:val="38"/>
  </w:num>
  <w:num w:numId="35" w16cid:durableId="48497106">
    <w:abstractNumId w:val="32"/>
  </w:num>
  <w:num w:numId="36" w16cid:durableId="676270523">
    <w:abstractNumId w:val="18"/>
  </w:num>
  <w:num w:numId="37" w16cid:durableId="2075007636">
    <w:abstractNumId w:val="2"/>
  </w:num>
  <w:num w:numId="38" w16cid:durableId="1075316711">
    <w:abstractNumId w:val="14"/>
  </w:num>
  <w:num w:numId="39" w16cid:durableId="251477389">
    <w:abstractNumId w:val="40"/>
  </w:num>
  <w:num w:numId="40" w16cid:durableId="157700357">
    <w:abstractNumId w:val="37"/>
  </w:num>
  <w:num w:numId="41" w16cid:durableId="1994792007">
    <w:abstractNumId w:val="44"/>
  </w:num>
  <w:num w:numId="42" w16cid:durableId="1675565822">
    <w:abstractNumId w:val="20"/>
  </w:num>
  <w:num w:numId="43" w16cid:durableId="754546266">
    <w:abstractNumId w:val="16"/>
  </w:num>
  <w:num w:numId="44" w16cid:durableId="1344354995">
    <w:abstractNumId w:val="9"/>
  </w:num>
  <w:num w:numId="45" w16cid:durableId="1550917861">
    <w:abstractNumId w:val="10"/>
  </w:num>
  <w:num w:numId="46" w16cid:durableId="1019425515">
    <w:abstractNumId w:val="11"/>
  </w:num>
  <w:num w:numId="47" w16cid:durableId="13750358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 UofA (Style Manual Australia 6th edn) + DOI&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rdwrvxxvt5dstesdtovsevj50f2z9xw099s&quot;&gt;Marstacimab&lt;record-ids&gt;&lt;item&gt;1&lt;/item&gt;&lt;item&gt;2&lt;/item&gt;&lt;item&gt;4&lt;/item&gt;&lt;item&gt;5&lt;/item&gt;&lt;item&gt;10&lt;/item&gt;&lt;item&gt;12&lt;/item&gt;&lt;item&gt;13&lt;/item&gt;&lt;item&gt;21&lt;/item&gt;&lt;item&gt;23&lt;/item&gt;&lt;item&gt;24&lt;/item&gt;&lt;item&gt;25&lt;/item&gt;&lt;item&gt;26&lt;/item&gt;&lt;item&gt;28&lt;/item&gt;&lt;item&gt;29&lt;/item&gt;&lt;item&gt;32&lt;/item&gt;&lt;item&gt;36&lt;/item&gt;&lt;item&gt;42&lt;/item&gt;&lt;item&gt;44&lt;/item&gt;&lt;item&gt;46&lt;/item&gt;&lt;item&gt;49&lt;/item&gt;&lt;item&gt;50&lt;/item&gt;&lt;item&gt;51&lt;/item&gt;&lt;item&gt;52&lt;/item&gt;&lt;item&gt;53&lt;/item&gt;&lt;item&gt;54&lt;/item&gt;&lt;/record-ids&gt;&lt;/item&gt;&lt;/Libraries&gt;"/>
  </w:docVars>
  <w:rsids>
    <w:rsidRoot w:val="001E5F9C"/>
    <w:rsid w:val="00000D1B"/>
    <w:rsid w:val="00000DEC"/>
    <w:rsid w:val="00001366"/>
    <w:rsid w:val="00001572"/>
    <w:rsid w:val="00001AB2"/>
    <w:rsid w:val="00001BC6"/>
    <w:rsid w:val="00001D7E"/>
    <w:rsid w:val="00001DB3"/>
    <w:rsid w:val="0000214B"/>
    <w:rsid w:val="0000226A"/>
    <w:rsid w:val="000023F3"/>
    <w:rsid w:val="0000283A"/>
    <w:rsid w:val="00002A5E"/>
    <w:rsid w:val="00002A8C"/>
    <w:rsid w:val="00002B7F"/>
    <w:rsid w:val="00002F82"/>
    <w:rsid w:val="00003552"/>
    <w:rsid w:val="000035A7"/>
    <w:rsid w:val="000036A8"/>
    <w:rsid w:val="00003A62"/>
    <w:rsid w:val="00003B24"/>
    <w:rsid w:val="00003B8F"/>
    <w:rsid w:val="00003F2C"/>
    <w:rsid w:val="00003FD4"/>
    <w:rsid w:val="00004998"/>
    <w:rsid w:val="00004A0D"/>
    <w:rsid w:val="00004D7F"/>
    <w:rsid w:val="000052DF"/>
    <w:rsid w:val="000059F0"/>
    <w:rsid w:val="00005A1E"/>
    <w:rsid w:val="00005B93"/>
    <w:rsid w:val="00005C0D"/>
    <w:rsid w:val="0000689C"/>
    <w:rsid w:val="000073AA"/>
    <w:rsid w:val="0000760B"/>
    <w:rsid w:val="00007919"/>
    <w:rsid w:val="000100D6"/>
    <w:rsid w:val="0001024B"/>
    <w:rsid w:val="0001111E"/>
    <w:rsid w:val="00011673"/>
    <w:rsid w:val="00012440"/>
    <w:rsid w:val="00012701"/>
    <w:rsid w:val="00012AA7"/>
    <w:rsid w:val="00013628"/>
    <w:rsid w:val="0001375F"/>
    <w:rsid w:val="00013BAC"/>
    <w:rsid w:val="00013CA2"/>
    <w:rsid w:val="00013FE7"/>
    <w:rsid w:val="000140C8"/>
    <w:rsid w:val="00014434"/>
    <w:rsid w:val="000145DE"/>
    <w:rsid w:val="000147F6"/>
    <w:rsid w:val="000148AD"/>
    <w:rsid w:val="00015236"/>
    <w:rsid w:val="000157C5"/>
    <w:rsid w:val="00015F76"/>
    <w:rsid w:val="000160B1"/>
    <w:rsid w:val="00016741"/>
    <w:rsid w:val="00016826"/>
    <w:rsid w:val="00016D5E"/>
    <w:rsid w:val="000176C4"/>
    <w:rsid w:val="00017763"/>
    <w:rsid w:val="00017BA2"/>
    <w:rsid w:val="00017D88"/>
    <w:rsid w:val="000201FE"/>
    <w:rsid w:val="0002074A"/>
    <w:rsid w:val="00020E57"/>
    <w:rsid w:val="00020F64"/>
    <w:rsid w:val="000210D9"/>
    <w:rsid w:val="00021530"/>
    <w:rsid w:val="00022111"/>
    <w:rsid w:val="0002228F"/>
    <w:rsid w:val="000222C8"/>
    <w:rsid w:val="00022506"/>
    <w:rsid w:val="000225D3"/>
    <w:rsid w:val="00023431"/>
    <w:rsid w:val="000235A7"/>
    <w:rsid w:val="00023A0A"/>
    <w:rsid w:val="00023ED7"/>
    <w:rsid w:val="00023FE6"/>
    <w:rsid w:val="000242BF"/>
    <w:rsid w:val="00024306"/>
    <w:rsid w:val="00024468"/>
    <w:rsid w:val="00024978"/>
    <w:rsid w:val="00024EE4"/>
    <w:rsid w:val="00025839"/>
    <w:rsid w:val="00025A66"/>
    <w:rsid w:val="00025AFA"/>
    <w:rsid w:val="00025FA0"/>
    <w:rsid w:val="00026253"/>
    <w:rsid w:val="0002642B"/>
    <w:rsid w:val="000264E5"/>
    <w:rsid w:val="00026605"/>
    <w:rsid w:val="00026751"/>
    <w:rsid w:val="000267FA"/>
    <w:rsid w:val="00026844"/>
    <w:rsid w:val="00026A36"/>
    <w:rsid w:val="00026BD8"/>
    <w:rsid w:val="00026DC8"/>
    <w:rsid w:val="00027C86"/>
    <w:rsid w:val="00027E0F"/>
    <w:rsid w:val="00027E96"/>
    <w:rsid w:val="00027F0A"/>
    <w:rsid w:val="0003028A"/>
    <w:rsid w:val="00030320"/>
    <w:rsid w:val="00030A44"/>
    <w:rsid w:val="00030CA3"/>
    <w:rsid w:val="00030CB7"/>
    <w:rsid w:val="00030CE2"/>
    <w:rsid w:val="00030E36"/>
    <w:rsid w:val="00030E3B"/>
    <w:rsid w:val="00031269"/>
    <w:rsid w:val="00031481"/>
    <w:rsid w:val="00031D9C"/>
    <w:rsid w:val="00031FB9"/>
    <w:rsid w:val="00032FEB"/>
    <w:rsid w:val="000334AE"/>
    <w:rsid w:val="000336D5"/>
    <w:rsid w:val="000336FB"/>
    <w:rsid w:val="00033708"/>
    <w:rsid w:val="00033747"/>
    <w:rsid w:val="00033EFD"/>
    <w:rsid w:val="00033FCD"/>
    <w:rsid w:val="000340F3"/>
    <w:rsid w:val="00034428"/>
    <w:rsid w:val="000352FC"/>
    <w:rsid w:val="0003530F"/>
    <w:rsid w:val="000355BD"/>
    <w:rsid w:val="000357C1"/>
    <w:rsid w:val="00036138"/>
    <w:rsid w:val="00036168"/>
    <w:rsid w:val="000364A5"/>
    <w:rsid w:val="00036CB9"/>
    <w:rsid w:val="000371B6"/>
    <w:rsid w:val="0003732A"/>
    <w:rsid w:val="000374DB"/>
    <w:rsid w:val="000377A9"/>
    <w:rsid w:val="00037B7C"/>
    <w:rsid w:val="00037D70"/>
    <w:rsid w:val="00037EFA"/>
    <w:rsid w:val="00037FD9"/>
    <w:rsid w:val="000407CE"/>
    <w:rsid w:val="000411C6"/>
    <w:rsid w:val="00041B6C"/>
    <w:rsid w:val="0004227D"/>
    <w:rsid w:val="00042741"/>
    <w:rsid w:val="00042E3D"/>
    <w:rsid w:val="00042FBE"/>
    <w:rsid w:val="00043147"/>
    <w:rsid w:val="00043542"/>
    <w:rsid w:val="000435B4"/>
    <w:rsid w:val="00043705"/>
    <w:rsid w:val="00043774"/>
    <w:rsid w:val="00043F52"/>
    <w:rsid w:val="0004411C"/>
    <w:rsid w:val="00044209"/>
    <w:rsid w:val="0004478D"/>
    <w:rsid w:val="000448C4"/>
    <w:rsid w:val="00044E0F"/>
    <w:rsid w:val="00044E6E"/>
    <w:rsid w:val="00045829"/>
    <w:rsid w:val="000467B6"/>
    <w:rsid w:val="00046884"/>
    <w:rsid w:val="00046B75"/>
    <w:rsid w:val="00046D8C"/>
    <w:rsid w:val="0004701D"/>
    <w:rsid w:val="000474D1"/>
    <w:rsid w:val="000479FB"/>
    <w:rsid w:val="00047C74"/>
    <w:rsid w:val="000504CE"/>
    <w:rsid w:val="0005079C"/>
    <w:rsid w:val="000511DE"/>
    <w:rsid w:val="0005176D"/>
    <w:rsid w:val="00051C81"/>
    <w:rsid w:val="00051E41"/>
    <w:rsid w:val="0005218A"/>
    <w:rsid w:val="00052C60"/>
    <w:rsid w:val="00053B07"/>
    <w:rsid w:val="00053C87"/>
    <w:rsid w:val="00053CE3"/>
    <w:rsid w:val="000542E4"/>
    <w:rsid w:val="00054307"/>
    <w:rsid w:val="00054489"/>
    <w:rsid w:val="000544EA"/>
    <w:rsid w:val="00054A13"/>
    <w:rsid w:val="00054BBC"/>
    <w:rsid w:val="00054C13"/>
    <w:rsid w:val="00054FB6"/>
    <w:rsid w:val="000550E7"/>
    <w:rsid w:val="00055272"/>
    <w:rsid w:val="0005530E"/>
    <w:rsid w:val="000555D9"/>
    <w:rsid w:val="00055735"/>
    <w:rsid w:val="00055E2D"/>
    <w:rsid w:val="000561BE"/>
    <w:rsid w:val="00056D27"/>
    <w:rsid w:val="00057027"/>
    <w:rsid w:val="0005705D"/>
    <w:rsid w:val="00057873"/>
    <w:rsid w:val="00057E3C"/>
    <w:rsid w:val="00060446"/>
    <w:rsid w:val="000607D7"/>
    <w:rsid w:val="00060A9B"/>
    <w:rsid w:val="00060CCE"/>
    <w:rsid w:val="00061C6D"/>
    <w:rsid w:val="00062473"/>
    <w:rsid w:val="000625EF"/>
    <w:rsid w:val="000625F0"/>
    <w:rsid w:val="000628EB"/>
    <w:rsid w:val="00062A3C"/>
    <w:rsid w:val="00062D25"/>
    <w:rsid w:val="00063630"/>
    <w:rsid w:val="00063A87"/>
    <w:rsid w:val="0006443A"/>
    <w:rsid w:val="000645E2"/>
    <w:rsid w:val="0006494B"/>
    <w:rsid w:val="00064D02"/>
    <w:rsid w:val="000657E6"/>
    <w:rsid w:val="00066461"/>
    <w:rsid w:val="000664A2"/>
    <w:rsid w:val="000664C9"/>
    <w:rsid w:val="0006667C"/>
    <w:rsid w:val="0006680D"/>
    <w:rsid w:val="00066E62"/>
    <w:rsid w:val="00066EF0"/>
    <w:rsid w:val="000670A8"/>
    <w:rsid w:val="00067542"/>
    <w:rsid w:val="00067E2C"/>
    <w:rsid w:val="0007008F"/>
    <w:rsid w:val="00070131"/>
    <w:rsid w:val="00070177"/>
    <w:rsid w:val="000701FE"/>
    <w:rsid w:val="000702A9"/>
    <w:rsid w:val="000702CF"/>
    <w:rsid w:val="000705E6"/>
    <w:rsid w:val="00070668"/>
    <w:rsid w:val="0007082D"/>
    <w:rsid w:val="00070ABC"/>
    <w:rsid w:val="000717BA"/>
    <w:rsid w:val="000724A7"/>
    <w:rsid w:val="000727B7"/>
    <w:rsid w:val="00072AE1"/>
    <w:rsid w:val="00072B54"/>
    <w:rsid w:val="0007342F"/>
    <w:rsid w:val="000737CE"/>
    <w:rsid w:val="0007385E"/>
    <w:rsid w:val="00073B02"/>
    <w:rsid w:val="0007412A"/>
    <w:rsid w:val="000741EC"/>
    <w:rsid w:val="000743D8"/>
    <w:rsid w:val="00074736"/>
    <w:rsid w:val="00074A19"/>
    <w:rsid w:val="00074E5E"/>
    <w:rsid w:val="000750C3"/>
    <w:rsid w:val="00075D73"/>
    <w:rsid w:val="00075E88"/>
    <w:rsid w:val="0007635E"/>
    <w:rsid w:val="0007668D"/>
    <w:rsid w:val="00076A2F"/>
    <w:rsid w:val="000770E6"/>
    <w:rsid w:val="00077334"/>
    <w:rsid w:val="000801E4"/>
    <w:rsid w:val="0008032A"/>
    <w:rsid w:val="0008055A"/>
    <w:rsid w:val="000806E1"/>
    <w:rsid w:val="0008074D"/>
    <w:rsid w:val="00080FF1"/>
    <w:rsid w:val="00081E5E"/>
    <w:rsid w:val="00081F54"/>
    <w:rsid w:val="00081FEC"/>
    <w:rsid w:val="00082625"/>
    <w:rsid w:val="00082743"/>
    <w:rsid w:val="00082841"/>
    <w:rsid w:val="00082B0A"/>
    <w:rsid w:val="00082B13"/>
    <w:rsid w:val="00082C51"/>
    <w:rsid w:val="00082D2C"/>
    <w:rsid w:val="00082ED5"/>
    <w:rsid w:val="0008356C"/>
    <w:rsid w:val="00083774"/>
    <w:rsid w:val="00083C16"/>
    <w:rsid w:val="00083DD7"/>
    <w:rsid w:val="00083F40"/>
    <w:rsid w:val="00084246"/>
    <w:rsid w:val="00084306"/>
    <w:rsid w:val="00084A6B"/>
    <w:rsid w:val="00084AEE"/>
    <w:rsid w:val="00084FAC"/>
    <w:rsid w:val="000850D4"/>
    <w:rsid w:val="000853D5"/>
    <w:rsid w:val="000855A2"/>
    <w:rsid w:val="000857F6"/>
    <w:rsid w:val="00085C56"/>
    <w:rsid w:val="0008601E"/>
    <w:rsid w:val="00086292"/>
    <w:rsid w:val="000871A3"/>
    <w:rsid w:val="00087D22"/>
    <w:rsid w:val="000902C3"/>
    <w:rsid w:val="00090F5B"/>
    <w:rsid w:val="000913DB"/>
    <w:rsid w:val="00091556"/>
    <w:rsid w:val="0009265B"/>
    <w:rsid w:val="00092FC5"/>
    <w:rsid w:val="00093135"/>
    <w:rsid w:val="0009351B"/>
    <w:rsid w:val="00093828"/>
    <w:rsid w:val="000939E0"/>
    <w:rsid w:val="00093B2C"/>
    <w:rsid w:val="00093D76"/>
    <w:rsid w:val="00093FBA"/>
    <w:rsid w:val="00094379"/>
    <w:rsid w:val="00094461"/>
    <w:rsid w:val="00094779"/>
    <w:rsid w:val="00094E65"/>
    <w:rsid w:val="000951E4"/>
    <w:rsid w:val="00095DA3"/>
    <w:rsid w:val="0009686F"/>
    <w:rsid w:val="00096986"/>
    <w:rsid w:val="00096E9E"/>
    <w:rsid w:val="000971B1"/>
    <w:rsid w:val="0009793F"/>
    <w:rsid w:val="000979E7"/>
    <w:rsid w:val="000979FE"/>
    <w:rsid w:val="000A0035"/>
    <w:rsid w:val="000A0487"/>
    <w:rsid w:val="000A04F0"/>
    <w:rsid w:val="000A0785"/>
    <w:rsid w:val="000A0818"/>
    <w:rsid w:val="000A0CCA"/>
    <w:rsid w:val="000A11F9"/>
    <w:rsid w:val="000A1568"/>
    <w:rsid w:val="000A1674"/>
    <w:rsid w:val="000A170B"/>
    <w:rsid w:val="000A1D62"/>
    <w:rsid w:val="000A1F0D"/>
    <w:rsid w:val="000A28EB"/>
    <w:rsid w:val="000A2D93"/>
    <w:rsid w:val="000A3242"/>
    <w:rsid w:val="000A3DC4"/>
    <w:rsid w:val="000A3E11"/>
    <w:rsid w:val="000A405C"/>
    <w:rsid w:val="000A5455"/>
    <w:rsid w:val="000A5BB0"/>
    <w:rsid w:val="000A6157"/>
    <w:rsid w:val="000A66B5"/>
    <w:rsid w:val="000A6CB6"/>
    <w:rsid w:val="000A6D6F"/>
    <w:rsid w:val="000A6EF9"/>
    <w:rsid w:val="000A70BC"/>
    <w:rsid w:val="000A7139"/>
    <w:rsid w:val="000A72A9"/>
    <w:rsid w:val="000A7AC8"/>
    <w:rsid w:val="000B019A"/>
    <w:rsid w:val="000B0EC3"/>
    <w:rsid w:val="000B1C05"/>
    <w:rsid w:val="000B1F8D"/>
    <w:rsid w:val="000B250C"/>
    <w:rsid w:val="000B2F10"/>
    <w:rsid w:val="000B3261"/>
    <w:rsid w:val="000B3283"/>
    <w:rsid w:val="000B337D"/>
    <w:rsid w:val="000B34FE"/>
    <w:rsid w:val="000B3747"/>
    <w:rsid w:val="000B3B09"/>
    <w:rsid w:val="000B40D9"/>
    <w:rsid w:val="000B41C5"/>
    <w:rsid w:val="000B4981"/>
    <w:rsid w:val="000B4E71"/>
    <w:rsid w:val="000B5C14"/>
    <w:rsid w:val="000B5DA9"/>
    <w:rsid w:val="000B5F83"/>
    <w:rsid w:val="000B6135"/>
    <w:rsid w:val="000B61ED"/>
    <w:rsid w:val="000B6312"/>
    <w:rsid w:val="000B631A"/>
    <w:rsid w:val="000B681E"/>
    <w:rsid w:val="000B7434"/>
    <w:rsid w:val="000B7D5A"/>
    <w:rsid w:val="000C03F3"/>
    <w:rsid w:val="000C0640"/>
    <w:rsid w:val="000C06AE"/>
    <w:rsid w:val="000C079E"/>
    <w:rsid w:val="000C0AA0"/>
    <w:rsid w:val="000C0B47"/>
    <w:rsid w:val="000C0EC5"/>
    <w:rsid w:val="000C1DF2"/>
    <w:rsid w:val="000C22D4"/>
    <w:rsid w:val="000C2560"/>
    <w:rsid w:val="000C3044"/>
    <w:rsid w:val="000C34B5"/>
    <w:rsid w:val="000C3C11"/>
    <w:rsid w:val="000C3C8C"/>
    <w:rsid w:val="000C4084"/>
    <w:rsid w:val="000C4375"/>
    <w:rsid w:val="000C447A"/>
    <w:rsid w:val="000C4645"/>
    <w:rsid w:val="000C479D"/>
    <w:rsid w:val="000C4974"/>
    <w:rsid w:val="000C49EA"/>
    <w:rsid w:val="000C501B"/>
    <w:rsid w:val="000C50F1"/>
    <w:rsid w:val="000C557D"/>
    <w:rsid w:val="000C57AE"/>
    <w:rsid w:val="000C5DD2"/>
    <w:rsid w:val="000C5E8F"/>
    <w:rsid w:val="000C6195"/>
    <w:rsid w:val="000C62F2"/>
    <w:rsid w:val="000C64F2"/>
    <w:rsid w:val="000C694D"/>
    <w:rsid w:val="000C6AFB"/>
    <w:rsid w:val="000C701A"/>
    <w:rsid w:val="000D0A89"/>
    <w:rsid w:val="000D0BD1"/>
    <w:rsid w:val="000D0F96"/>
    <w:rsid w:val="000D0FEE"/>
    <w:rsid w:val="000D159F"/>
    <w:rsid w:val="000D168E"/>
    <w:rsid w:val="000D17DF"/>
    <w:rsid w:val="000D1FCF"/>
    <w:rsid w:val="000D2528"/>
    <w:rsid w:val="000D324E"/>
    <w:rsid w:val="000D3BF4"/>
    <w:rsid w:val="000D4145"/>
    <w:rsid w:val="000D41BA"/>
    <w:rsid w:val="000D4443"/>
    <w:rsid w:val="000D484B"/>
    <w:rsid w:val="000D486F"/>
    <w:rsid w:val="000D4AFC"/>
    <w:rsid w:val="000D4CC9"/>
    <w:rsid w:val="000D53F7"/>
    <w:rsid w:val="000D5AA9"/>
    <w:rsid w:val="000D5B91"/>
    <w:rsid w:val="000D6296"/>
    <w:rsid w:val="000D63A7"/>
    <w:rsid w:val="000D6544"/>
    <w:rsid w:val="000D682E"/>
    <w:rsid w:val="000D6A4D"/>
    <w:rsid w:val="000D7E2B"/>
    <w:rsid w:val="000E05A6"/>
    <w:rsid w:val="000E1015"/>
    <w:rsid w:val="000E13D4"/>
    <w:rsid w:val="000E17DE"/>
    <w:rsid w:val="000E1BF2"/>
    <w:rsid w:val="000E1CAA"/>
    <w:rsid w:val="000E1FFB"/>
    <w:rsid w:val="000E2B25"/>
    <w:rsid w:val="000E2C0C"/>
    <w:rsid w:val="000E2DA0"/>
    <w:rsid w:val="000E3268"/>
    <w:rsid w:val="000E370F"/>
    <w:rsid w:val="000E4353"/>
    <w:rsid w:val="000E449A"/>
    <w:rsid w:val="000E4ECD"/>
    <w:rsid w:val="000E4F9D"/>
    <w:rsid w:val="000E5192"/>
    <w:rsid w:val="000E5330"/>
    <w:rsid w:val="000E5564"/>
    <w:rsid w:val="000E59B9"/>
    <w:rsid w:val="000E5F37"/>
    <w:rsid w:val="000E623D"/>
    <w:rsid w:val="000E6BFB"/>
    <w:rsid w:val="000E6FC1"/>
    <w:rsid w:val="000E7321"/>
    <w:rsid w:val="000E73BF"/>
    <w:rsid w:val="000E7AA0"/>
    <w:rsid w:val="000E7E3D"/>
    <w:rsid w:val="000F0B60"/>
    <w:rsid w:val="000F191D"/>
    <w:rsid w:val="000F1B2C"/>
    <w:rsid w:val="000F1B88"/>
    <w:rsid w:val="000F1BBA"/>
    <w:rsid w:val="000F22F1"/>
    <w:rsid w:val="000F280E"/>
    <w:rsid w:val="000F2AAC"/>
    <w:rsid w:val="000F3379"/>
    <w:rsid w:val="000F3691"/>
    <w:rsid w:val="000F3DB5"/>
    <w:rsid w:val="000F4215"/>
    <w:rsid w:val="000F4247"/>
    <w:rsid w:val="000F4916"/>
    <w:rsid w:val="000F4BA2"/>
    <w:rsid w:val="000F54AD"/>
    <w:rsid w:val="000F567C"/>
    <w:rsid w:val="000F56BF"/>
    <w:rsid w:val="000F5E07"/>
    <w:rsid w:val="000F5EA0"/>
    <w:rsid w:val="000F5ED2"/>
    <w:rsid w:val="000F69A9"/>
    <w:rsid w:val="000F6B70"/>
    <w:rsid w:val="000F6D63"/>
    <w:rsid w:val="000F6F4A"/>
    <w:rsid w:val="000F745F"/>
    <w:rsid w:val="000F7563"/>
    <w:rsid w:val="000F7A14"/>
    <w:rsid w:val="000F7C35"/>
    <w:rsid w:val="000F7EE7"/>
    <w:rsid w:val="000F7F99"/>
    <w:rsid w:val="001019C8"/>
    <w:rsid w:val="00101A91"/>
    <w:rsid w:val="00102B34"/>
    <w:rsid w:val="00102B9F"/>
    <w:rsid w:val="00102E8A"/>
    <w:rsid w:val="00102ECA"/>
    <w:rsid w:val="00103466"/>
    <w:rsid w:val="00103538"/>
    <w:rsid w:val="00103CFA"/>
    <w:rsid w:val="00103E86"/>
    <w:rsid w:val="001048C8"/>
    <w:rsid w:val="00104917"/>
    <w:rsid w:val="00104944"/>
    <w:rsid w:val="0010579C"/>
    <w:rsid w:val="00105D54"/>
    <w:rsid w:val="00105E2C"/>
    <w:rsid w:val="00106291"/>
    <w:rsid w:val="00106721"/>
    <w:rsid w:val="00107018"/>
    <w:rsid w:val="00107164"/>
    <w:rsid w:val="00107206"/>
    <w:rsid w:val="00107524"/>
    <w:rsid w:val="001076E6"/>
    <w:rsid w:val="0010774B"/>
    <w:rsid w:val="00110604"/>
    <w:rsid w:val="001107B0"/>
    <w:rsid w:val="00110AE7"/>
    <w:rsid w:val="00111322"/>
    <w:rsid w:val="00111B95"/>
    <w:rsid w:val="00111C82"/>
    <w:rsid w:val="00111F7D"/>
    <w:rsid w:val="00112350"/>
    <w:rsid w:val="0011288F"/>
    <w:rsid w:val="00112EA1"/>
    <w:rsid w:val="00112FF0"/>
    <w:rsid w:val="00113119"/>
    <w:rsid w:val="00113705"/>
    <w:rsid w:val="00113F54"/>
    <w:rsid w:val="001140D8"/>
    <w:rsid w:val="00114343"/>
    <w:rsid w:val="0011501A"/>
    <w:rsid w:val="001150C9"/>
    <w:rsid w:val="0011582D"/>
    <w:rsid w:val="0011619D"/>
    <w:rsid w:val="001163A5"/>
    <w:rsid w:val="00116A39"/>
    <w:rsid w:val="00116E46"/>
    <w:rsid w:val="00116EA2"/>
    <w:rsid w:val="001172E7"/>
    <w:rsid w:val="001172E9"/>
    <w:rsid w:val="00117327"/>
    <w:rsid w:val="0011769A"/>
    <w:rsid w:val="00117A2A"/>
    <w:rsid w:val="00117A4A"/>
    <w:rsid w:val="00117C0F"/>
    <w:rsid w:val="00117FB7"/>
    <w:rsid w:val="00120969"/>
    <w:rsid w:val="00120988"/>
    <w:rsid w:val="00120B88"/>
    <w:rsid w:val="00120F8A"/>
    <w:rsid w:val="001211D2"/>
    <w:rsid w:val="00121547"/>
    <w:rsid w:val="00121F8C"/>
    <w:rsid w:val="0012254A"/>
    <w:rsid w:val="00122A84"/>
    <w:rsid w:val="0012311E"/>
    <w:rsid w:val="001231D4"/>
    <w:rsid w:val="00123D25"/>
    <w:rsid w:val="00123D8B"/>
    <w:rsid w:val="00123F39"/>
    <w:rsid w:val="0012433E"/>
    <w:rsid w:val="001244A1"/>
    <w:rsid w:val="0012454C"/>
    <w:rsid w:val="00124A4C"/>
    <w:rsid w:val="00124E78"/>
    <w:rsid w:val="00125545"/>
    <w:rsid w:val="00125594"/>
    <w:rsid w:val="00126728"/>
    <w:rsid w:val="00126ACE"/>
    <w:rsid w:val="001277D3"/>
    <w:rsid w:val="001278F4"/>
    <w:rsid w:val="00130025"/>
    <w:rsid w:val="0013047B"/>
    <w:rsid w:val="00130636"/>
    <w:rsid w:val="0013079E"/>
    <w:rsid w:val="001311FF"/>
    <w:rsid w:val="001312A7"/>
    <w:rsid w:val="001314E9"/>
    <w:rsid w:val="001315E7"/>
    <w:rsid w:val="0013185D"/>
    <w:rsid w:val="00131F0B"/>
    <w:rsid w:val="00132245"/>
    <w:rsid w:val="0013281A"/>
    <w:rsid w:val="001328C2"/>
    <w:rsid w:val="00133B57"/>
    <w:rsid w:val="00133D70"/>
    <w:rsid w:val="00134032"/>
    <w:rsid w:val="00134216"/>
    <w:rsid w:val="00134467"/>
    <w:rsid w:val="001349FE"/>
    <w:rsid w:val="00134B00"/>
    <w:rsid w:val="001350BF"/>
    <w:rsid w:val="001353E0"/>
    <w:rsid w:val="0013590F"/>
    <w:rsid w:val="00135984"/>
    <w:rsid w:val="00135E33"/>
    <w:rsid w:val="00135F7C"/>
    <w:rsid w:val="00135F9D"/>
    <w:rsid w:val="00136110"/>
    <w:rsid w:val="001361C3"/>
    <w:rsid w:val="0013689B"/>
    <w:rsid w:val="001368D2"/>
    <w:rsid w:val="001370CA"/>
    <w:rsid w:val="001376A9"/>
    <w:rsid w:val="001379C3"/>
    <w:rsid w:val="0014000F"/>
    <w:rsid w:val="0014014B"/>
    <w:rsid w:val="001401CB"/>
    <w:rsid w:val="001405D7"/>
    <w:rsid w:val="001406A8"/>
    <w:rsid w:val="001408EB"/>
    <w:rsid w:val="001409B9"/>
    <w:rsid w:val="00140E42"/>
    <w:rsid w:val="001418B2"/>
    <w:rsid w:val="00141923"/>
    <w:rsid w:val="00141968"/>
    <w:rsid w:val="00141ED7"/>
    <w:rsid w:val="00142082"/>
    <w:rsid w:val="00142D42"/>
    <w:rsid w:val="00143391"/>
    <w:rsid w:val="001434D0"/>
    <w:rsid w:val="001437F4"/>
    <w:rsid w:val="00143B8D"/>
    <w:rsid w:val="00143C05"/>
    <w:rsid w:val="0014403C"/>
    <w:rsid w:val="0014440D"/>
    <w:rsid w:val="00144ABF"/>
    <w:rsid w:val="00144E62"/>
    <w:rsid w:val="00145397"/>
    <w:rsid w:val="001453D6"/>
    <w:rsid w:val="00145990"/>
    <w:rsid w:val="00145FC9"/>
    <w:rsid w:val="001477EF"/>
    <w:rsid w:val="00147EB4"/>
    <w:rsid w:val="00147F8F"/>
    <w:rsid w:val="001501B5"/>
    <w:rsid w:val="001506FC"/>
    <w:rsid w:val="00150726"/>
    <w:rsid w:val="00151C47"/>
    <w:rsid w:val="00151DB6"/>
    <w:rsid w:val="00152106"/>
    <w:rsid w:val="00152598"/>
    <w:rsid w:val="001529F7"/>
    <w:rsid w:val="00152BAB"/>
    <w:rsid w:val="00152FEE"/>
    <w:rsid w:val="001533D7"/>
    <w:rsid w:val="0015401E"/>
    <w:rsid w:val="0015422F"/>
    <w:rsid w:val="001542A8"/>
    <w:rsid w:val="0015489B"/>
    <w:rsid w:val="00154EF2"/>
    <w:rsid w:val="001550F5"/>
    <w:rsid w:val="0015510E"/>
    <w:rsid w:val="001551D7"/>
    <w:rsid w:val="001551E6"/>
    <w:rsid w:val="001553CB"/>
    <w:rsid w:val="00155657"/>
    <w:rsid w:val="00155707"/>
    <w:rsid w:val="00155F8A"/>
    <w:rsid w:val="00156142"/>
    <w:rsid w:val="00156FF2"/>
    <w:rsid w:val="00157206"/>
    <w:rsid w:val="001572D3"/>
    <w:rsid w:val="0015732F"/>
    <w:rsid w:val="00157A26"/>
    <w:rsid w:val="00157ABB"/>
    <w:rsid w:val="00157E47"/>
    <w:rsid w:val="001608BE"/>
    <w:rsid w:val="00160CEB"/>
    <w:rsid w:val="00161025"/>
    <w:rsid w:val="001610AC"/>
    <w:rsid w:val="001613F5"/>
    <w:rsid w:val="00161727"/>
    <w:rsid w:val="001618DD"/>
    <w:rsid w:val="00161AB9"/>
    <w:rsid w:val="00161B2B"/>
    <w:rsid w:val="00161BFB"/>
    <w:rsid w:val="00161CB4"/>
    <w:rsid w:val="00161FBC"/>
    <w:rsid w:val="001623C4"/>
    <w:rsid w:val="001629DC"/>
    <w:rsid w:val="00162B42"/>
    <w:rsid w:val="00162B56"/>
    <w:rsid w:val="00162DF7"/>
    <w:rsid w:val="0016315C"/>
    <w:rsid w:val="001643DE"/>
    <w:rsid w:val="00164577"/>
    <w:rsid w:val="00164603"/>
    <w:rsid w:val="00164745"/>
    <w:rsid w:val="00164B8E"/>
    <w:rsid w:val="00164D88"/>
    <w:rsid w:val="00165341"/>
    <w:rsid w:val="00165451"/>
    <w:rsid w:val="00165482"/>
    <w:rsid w:val="00165512"/>
    <w:rsid w:val="001657C1"/>
    <w:rsid w:val="001657D7"/>
    <w:rsid w:val="001667E1"/>
    <w:rsid w:val="00166BE8"/>
    <w:rsid w:val="00167B60"/>
    <w:rsid w:val="00170094"/>
    <w:rsid w:val="00170AD0"/>
    <w:rsid w:val="00170AFF"/>
    <w:rsid w:val="00170C32"/>
    <w:rsid w:val="00170CCE"/>
    <w:rsid w:val="00170F0D"/>
    <w:rsid w:val="00171039"/>
    <w:rsid w:val="001712A0"/>
    <w:rsid w:val="001714A7"/>
    <w:rsid w:val="00171E3B"/>
    <w:rsid w:val="00171EA4"/>
    <w:rsid w:val="001722BA"/>
    <w:rsid w:val="001723C4"/>
    <w:rsid w:val="00172DAD"/>
    <w:rsid w:val="001734C3"/>
    <w:rsid w:val="00173596"/>
    <w:rsid w:val="00173763"/>
    <w:rsid w:val="00173850"/>
    <w:rsid w:val="00173A2B"/>
    <w:rsid w:val="001745DE"/>
    <w:rsid w:val="001747C1"/>
    <w:rsid w:val="0017508F"/>
    <w:rsid w:val="00175632"/>
    <w:rsid w:val="001756C6"/>
    <w:rsid w:val="001758F1"/>
    <w:rsid w:val="00175AD6"/>
    <w:rsid w:val="00175BC9"/>
    <w:rsid w:val="00175C11"/>
    <w:rsid w:val="001761BF"/>
    <w:rsid w:val="0017620D"/>
    <w:rsid w:val="00176949"/>
    <w:rsid w:val="00176AF4"/>
    <w:rsid w:val="0017712A"/>
    <w:rsid w:val="001774FE"/>
    <w:rsid w:val="00177578"/>
    <w:rsid w:val="00177901"/>
    <w:rsid w:val="00177A5E"/>
    <w:rsid w:val="00177A9D"/>
    <w:rsid w:val="00177D65"/>
    <w:rsid w:val="00177DBF"/>
    <w:rsid w:val="001805B0"/>
    <w:rsid w:val="00180617"/>
    <w:rsid w:val="00180CAF"/>
    <w:rsid w:val="00180E68"/>
    <w:rsid w:val="001811B1"/>
    <w:rsid w:val="00181B1A"/>
    <w:rsid w:val="00181F94"/>
    <w:rsid w:val="0018211D"/>
    <w:rsid w:val="001826D0"/>
    <w:rsid w:val="00182DB9"/>
    <w:rsid w:val="00183016"/>
    <w:rsid w:val="00183424"/>
    <w:rsid w:val="00183A16"/>
    <w:rsid w:val="00184CD9"/>
    <w:rsid w:val="00185054"/>
    <w:rsid w:val="001852AF"/>
    <w:rsid w:val="0018539F"/>
    <w:rsid w:val="001858F4"/>
    <w:rsid w:val="001859B6"/>
    <w:rsid w:val="00185F11"/>
    <w:rsid w:val="00186574"/>
    <w:rsid w:val="00186630"/>
    <w:rsid w:val="0018686E"/>
    <w:rsid w:val="00186F7D"/>
    <w:rsid w:val="0018708A"/>
    <w:rsid w:val="0018768C"/>
    <w:rsid w:val="00190522"/>
    <w:rsid w:val="00190A12"/>
    <w:rsid w:val="00190C37"/>
    <w:rsid w:val="00190DAB"/>
    <w:rsid w:val="001914AB"/>
    <w:rsid w:val="001917BA"/>
    <w:rsid w:val="00191DDF"/>
    <w:rsid w:val="00191F0F"/>
    <w:rsid w:val="001926E1"/>
    <w:rsid w:val="00192C25"/>
    <w:rsid w:val="0019300B"/>
    <w:rsid w:val="00193448"/>
    <w:rsid w:val="001938A8"/>
    <w:rsid w:val="00193924"/>
    <w:rsid w:val="0019506E"/>
    <w:rsid w:val="001958B0"/>
    <w:rsid w:val="001966FC"/>
    <w:rsid w:val="001968B1"/>
    <w:rsid w:val="00197006"/>
    <w:rsid w:val="00197034"/>
    <w:rsid w:val="00197265"/>
    <w:rsid w:val="0019742D"/>
    <w:rsid w:val="00197546"/>
    <w:rsid w:val="001979FE"/>
    <w:rsid w:val="00197C0B"/>
    <w:rsid w:val="001A0430"/>
    <w:rsid w:val="001A0617"/>
    <w:rsid w:val="001A0BED"/>
    <w:rsid w:val="001A13C8"/>
    <w:rsid w:val="001A178B"/>
    <w:rsid w:val="001A1917"/>
    <w:rsid w:val="001A1B3F"/>
    <w:rsid w:val="001A1CFD"/>
    <w:rsid w:val="001A1FD6"/>
    <w:rsid w:val="001A2397"/>
    <w:rsid w:val="001A333D"/>
    <w:rsid w:val="001A33A1"/>
    <w:rsid w:val="001A3617"/>
    <w:rsid w:val="001A3775"/>
    <w:rsid w:val="001A3E10"/>
    <w:rsid w:val="001A41CB"/>
    <w:rsid w:val="001A421E"/>
    <w:rsid w:val="001A4E59"/>
    <w:rsid w:val="001A528E"/>
    <w:rsid w:val="001A54AC"/>
    <w:rsid w:val="001A5849"/>
    <w:rsid w:val="001A5CB6"/>
    <w:rsid w:val="001A5D2F"/>
    <w:rsid w:val="001A5DE2"/>
    <w:rsid w:val="001A6165"/>
    <w:rsid w:val="001A6332"/>
    <w:rsid w:val="001A6382"/>
    <w:rsid w:val="001A66D1"/>
    <w:rsid w:val="001A6837"/>
    <w:rsid w:val="001A6EEA"/>
    <w:rsid w:val="001A6F21"/>
    <w:rsid w:val="001A71CB"/>
    <w:rsid w:val="001A7676"/>
    <w:rsid w:val="001A78E3"/>
    <w:rsid w:val="001A7B69"/>
    <w:rsid w:val="001B06C5"/>
    <w:rsid w:val="001B0843"/>
    <w:rsid w:val="001B0A44"/>
    <w:rsid w:val="001B0B09"/>
    <w:rsid w:val="001B1063"/>
    <w:rsid w:val="001B21FF"/>
    <w:rsid w:val="001B2973"/>
    <w:rsid w:val="001B331D"/>
    <w:rsid w:val="001B3B44"/>
    <w:rsid w:val="001B3CD0"/>
    <w:rsid w:val="001B3DF2"/>
    <w:rsid w:val="001B4893"/>
    <w:rsid w:val="001B490C"/>
    <w:rsid w:val="001B51CB"/>
    <w:rsid w:val="001B51D7"/>
    <w:rsid w:val="001B53FE"/>
    <w:rsid w:val="001B549E"/>
    <w:rsid w:val="001B557A"/>
    <w:rsid w:val="001B578B"/>
    <w:rsid w:val="001B5B7B"/>
    <w:rsid w:val="001B62FC"/>
    <w:rsid w:val="001B66D3"/>
    <w:rsid w:val="001B67E5"/>
    <w:rsid w:val="001C039F"/>
    <w:rsid w:val="001C1108"/>
    <w:rsid w:val="001C1533"/>
    <w:rsid w:val="001C16BF"/>
    <w:rsid w:val="001C1FBB"/>
    <w:rsid w:val="001C2422"/>
    <w:rsid w:val="001C270D"/>
    <w:rsid w:val="001C2912"/>
    <w:rsid w:val="001C2AEA"/>
    <w:rsid w:val="001C348C"/>
    <w:rsid w:val="001C34E4"/>
    <w:rsid w:val="001C37F0"/>
    <w:rsid w:val="001C3D5F"/>
    <w:rsid w:val="001C3EA1"/>
    <w:rsid w:val="001C4855"/>
    <w:rsid w:val="001C550D"/>
    <w:rsid w:val="001C57B6"/>
    <w:rsid w:val="001C596F"/>
    <w:rsid w:val="001C5A91"/>
    <w:rsid w:val="001C5F9E"/>
    <w:rsid w:val="001C6A9E"/>
    <w:rsid w:val="001C77C1"/>
    <w:rsid w:val="001C7A6C"/>
    <w:rsid w:val="001C7D4D"/>
    <w:rsid w:val="001D0007"/>
    <w:rsid w:val="001D0A79"/>
    <w:rsid w:val="001D0EF5"/>
    <w:rsid w:val="001D119F"/>
    <w:rsid w:val="001D13CE"/>
    <w:rsid w:val="001D18C0"/>
    <w:rsid w:val="001D1A33"/>
    <w:rsid w:val="001D1ACF"/>
    <w:rsid w:val="001D1AF4"/>
    <w:rsid w:val="001D1CAE"/>
    <w:rsid w:val="001D2095"/>
    <w:rsid w:val="001D2135"/>
    <w:rsid w:val="001D2193"/>
    <w:rsid w:val="001D247E"/>
    <w:rsid w:val="001D2CA6"/>
    <w:rsid w:val="001D358C"/>
    <w:rsid w:val="001D37FC"/>
    <w:rsid w:val="001D3E4A"/>
    <w:rsid w:val="001D44EB"/>
    <w:rsid w:val="001D4E75"/>
    <w:rsid w:val="001D5805"/>
    <w:rsid w:val="001D6114"/>
    <w:rsid w:val="001D628A"/>
    <w:rsid w:val="001D6291"/>
    <w:rsid w:val="001D635F"/>
    <w:rsid w:val="001D6BDC"/>
    <w:rsid w:val="001D6FE1"/>
    <w:rsid w:val="001D73D5"/>
    <w:rsid w:val="001D76D8"/>
    <w:rsid w:val="001D77E9"/>
    <w:rsid w:val="001D784D"/>
    <w:rsid w:val="001D79EC"/>
    <w:rsid w:val="001D7A0C"/>
    <w:rsid w:val="001D7D29"/>
    <w:rsid w:val="001D7EA8"/>
    <w:rsid w:val="001E097C"/>
    <w:rsid w:val="001E09C0"/>
    <w:rsid w:val="001E0F81"/>
    <w:rsid w:val="001E1C2C"/>
    <w:rsid w:val="001E20C3"/>
    <w:rsid w:val="001E24EC"/>
    <w:rsid w:val="001E26D7"/>
    <w:rsid w:val="001E2946"/>
    <w:rsid w:val="001E3016"/>
    <w:rsid w:val="001E3268"/>
    <w:rsid w:val="001E3503"/>
    <w:rsid w:val="001E387C"/>
    <w:rsid w:val="001E3A4E"/>
    <w:rsid w:val="001E4A89"/>
    <w:rsid w:val="001E4B01"/>
    <w:rsid w:val="001E4E0E"/>
    <w:rsid w:val="001E517D"/>
    <w:rsid w:val="001E5935"/>
    <w:rsid w:val="001E5F9C"/>
    <w:rsid w:val="001E6253"/>
    <w:rsid w:val="001E6341"/>
    <w:rsid w:val="001E6608"/>
    <w:rsid w:val="001E675D"/>
    <w:rsid w:val="001E6A56"/>
    <w:rsid w:val="001E6B80"/>
    <w:rsid w:val="001E6CCA"/>
    <w:rsid w:val="001E70F3"/>
    <w:rsid w:val="001E7648"/>
    <w:rsid w:val="001E77FF"/>
    <w:rsid w:val="001E79BC"/>
    <w:rsid w:val="001F026A"/>
    <w:rsid w:val="001F08F3"/>
    <w:rsid w:val="001F0ACF"/>
    <w:rsid w:val="001F0B27"/>
    <w:rsid w:val="001F0EA2"/>
    <w:rsid w:val="001F0F02"/>
    <w:rsid w:val="001F1335"/>
    <w:rsid w:val="001F18B6"/>
    <w:rsid w:val="001F1E5E"/>
    <w:rsid w:val="001F24F7"/>
    <w:rsid w:val="001F26C0"/>
    <w:rsid w:val="001F2896"/>
    <w:rsid w:val="001F2CF3"/>
    <w:rsid w:val="001F342A"/>
    <w:rsid w:val="001F3C03"/>
    <w:rsid w:val="001F5A6B"/>
    <w:rsid w:val="001F5BCC"/>
    <w:rsid w:val="001F626D"/>
    <w:rsid w:val="001F638B"/>
    <w:rsid w:val="001F6E1D"/>
    <w:rsid w:val="001F6E6B"/>
    <w:rsid w:val="001F6EEB"/>
    <w:rsid w:val="001F70CF"/>
    <w:rsid w:val="001F7392"/>
    <w:rsid w:val="001F775E"/>
    <w:rsid w:val="001F78D0"/>
    <w:rsid w:val="0020028C"/>
    <w:rsid w:val="00200698"/>
    <w:rsid w:val="00200747"/>
    <w:rsid w:val="00200967"/>
    <w:rsid w:val="00201988"/>
    <w:rsid w:val="00201D8C"/>
    <w:rsid w:val="0020267D"/>
    <w:rsid w:val="00202716"/>
    <w:rsid w:val="00202BE6"/>
    <w:rsid w:val="00203187"/>
    <w:rsid w:val="002039EF"/>
    <w:rsid w:val="00203E3F"/>
    <w:rsid w:val="00204C84"/>
    <w:rsid w:val="00205277"/>
    <w:rsid w:val="002059AD"/>
    <w:rsid w:val="00205AFB"/>
    <w:rsid w:val="00206790"/>
    <w:rsid w:val="0020694A"/>
    <w:rsid w:val="0020706D"/>
    <w:rsid w:val="0020724A"/>
    <w:rsid w:val="002073AE"/>
    <w:rsid w:val="00207794"/>
    <w:rsid w:val="00207A65"/>
    <w:rsid w:val="00210251"/>
    <w:rsid w:val="00210286"/>
    <w:rsid w:val="00210924"/>
    <w:rsid w:val="00210AF6"/>
    <w:rsid w:val="00210BEE"/>
    <w:rsid w:val="00210F40"/>
    <w:rsid w:val="002112DF"/>
    <w:rsid w:val="00211913"/>
    <w:rsid w:val="00211A3C"/>
    <w:rsid w:val="00211B0D"/>
    <w:rsid w:val="00211B19"/>
    <w:rsid w:val="00211DAB"/>
    <w:rsid w:val="00212CFB"/>
    <w:rsid w:val="00212F14"/>
    <w:rsid w:val="0021348D"/>
    <w:rsid w:val="0021351F"/>
    <w:rsid w:val="0021374D"/>
    <w:rsid w:val="00213867"/>
    <w:rsid w:val="0021395B"/>
    <w:rsid w:val="002142CA"/>
    <w:rsid w:val="00214584"/>
    <w:rsid w:val="0021471D"/>
    <w:rsid w:val="002148F5"/>
    <w:rsid w:val="00214B2F"/>
    <w:rsid w:val="00214FA5"/>
    <w:rsid w:val="002151CC"/>
    <w:rsid w:val="002152BA"/>
    <w:rsid w:val="0021541C"/>
    <w:rsid w:val="00215477"/>
    <w:rsid w:val="002154CE"/>
    <w:rsid w:val="00215DE0"/>
    <w:rsid w:val="00216298"/>
    <w:rsid w:val="00217346"/>
    <w:rsid w:val="00217958"/>
    <w:rsid w:val="00217B00"/>
    <w:rsid w:val="00217B7D"/>
    <w:rsid w:val="00217F81"/>
    <w:rsid w:val="0022096E"/>
    <w:rsid w:val="00220B60"/>
    <w:rsid w:val="0022117C"/>
    <w:rsid w:val="002213A1"/>
    <w:rsid w:val="00221885"/>
    <w:rsid w:val="00221937"/>
    <w:rsid w:val="0022198C"/>
    <w:rsid w:val="00221BCD"/>
    <w:rsid w:val="00221CD7"/>
    <w:rsid w:val="00222126"/>
    <w:rsid w:val="002221E1"/>
    <w:rsid w:val="002223C0"/>
    <w:rsid w:val="0022254A"/>
    <w:rsid w:val="00222A21"/>
    <w:rsid w:val="002232F3"/>
    <w:rsid w:val="002236E5"/>
    <w:rsid w:val="00224DE8"/>
    <w:rsid w:val="00224EC4"/>
    <w:rsid w:val="00224F1C"/>
    <w:rsid w:val="00225221"/>
    <w:rsid w:val="002254A9"/>
    <w:rsid w:val="002254AF"/>
    <w:rsid w:val="00225563"/>
    <w:rsid w:val="00225AFC"/>
    <w:rsid w:val="00225D78"/>
    <w:rsid w:val="00225F73"/>
    <w:rsid w:val="002260B7"/>
    <w:rsid w:val="00226274"/>
    <w:rsid w:val="002262D9"/>
    <w:rsid w:val="00226529"/>
    <w:rsid w:val="00226743"/>
    <w:rsid w:val="00227014"/>
    <w:rsid w:val="00227771"/>
    <w:rsid w:val="00227D95"/>
    <w:rsid w:val="00227E1F"/>
    <w:rsid w:val="0023015F"/>
    <w:rsid w:val="00231324"/>
    <w:rsid w:val="002316A8"/>
    <w:rsid w:val="002321C2"/>
    <w:rsid w:val="002325B9"/>
    <w:rsid w:val="00232B1C"/>
    <w:rsid w:val="00232E3C"/>
    <w:rsid w:val="00232E82"/>
    <w:rsid w:val="00232E83"/>
    <w:rsid w:val="002337FA"/>
    <w:rsid w:val="002339C8"/>
    <w:rsid w:val="00233A06"/>
    <w:rsid w:val="00233D0F"/>
    <w:rsid w:val="002345E9"/>
    <w:rsid w:val="00234C4F"/>
    <w:rsid w:val="00234F23"/>
    <w:rsid w:val="002358B5"/>
    <w:rsid w:val="0023592D"/>
    <w:rsid w:val="00235B21"/>
    <w:rsid w:val="00235C4A"/>
    <w:rsid w:val="00235E37"/>
    <w:rsid w:val="00236236"/>
    <w:rsid w:val="002372C0"/>
    <w:rsid w:val="00237EB1"/>
    <w:rsid w:val="00240024"/>
    <w:rsid w:val="0024060F"/>
    <w:rsid w:val="00240835"/>
    <w:rsid w:val="00241152"/>
    <w:rsid w:val="0024163D"/>
    <w:rsid w:val="0024179D"/>
    <w:rsid w:val="002417DE"/>
    <w:rsid w:val="00241958"/>
    <w:rsid w:val="00242307"/>
    <w:rsid w:val="00242375"/>
    <w:rsid w:val="00242629"/>
    <w:rsid w:val="00243A47"/>
    <w:rsid w:val="00244697"/>
    <w:rsid w:val="00244AAF"/>
    <w:rsid w:val="00244B78"/>
    <w:rsid w:val="00244EF6"/>
    <w:rsid w:val="00244F20"/>
    <w:rsid w:val="00245056"/>
    <w:rsid w:val="00245061"/>
    <w:rsid w:val="002450BD"/>
    <w:rsid w:val="0024532E"/>
    <w:rsid w:val="0024567F"/>
    <w:rsid w:val="00245EE3"/>
    <w:rsid w:val="00246A57"/>
    <w:rsid w:val="00247044"/>
    <w:rsid w:val="00247FD5"/>
    <w:rsid w:val="0025000C"/>
    <w:rsid w:val="0025024E"/>
    <w:rsid w:val="0025083D"/>
    <w:rsid w:val="00250AFA"/>
    <w:rsid w:val="00250BDA"/>
    <w:rsid w:val="00250FC6"/>
    <w:rsid w:val="0025125E"/>
    <w:rsid w:val="002514A7"/>
    <w:rsid w:val="002517E5"/>
    <w:rsid w:val="00251A04"/>
    <w:rsid w:val="00251BBE"/>
    <w:rsid w:val="00251D8E"/>
    <w:rsid w:val="002522EE"/>
    <w:rsid w:val="00252F01"/>
    <w:rsid w:val="002530B7"/>
    <w:rsid w:val="00253600"/>
    <w:rsid w:val="00253B09"/>
    <w:rsid w:val="00253B5F"/>
    <w:rsid w:val="00253FCA"/>
    <w:rsid w:val="00254047"/>
    <w:rsid w:val="00254211"/>
    <w:rsid w:val="002544F1"/>
    <w:rsid w:val="00254659"/>
    <w:rsid w:val="00254A1D"/>
    <w:rsid w:val="00254B7D"/>
    <w:rsid w:val="00254D2A"/>
    <w:rsid w:val="00254D9D"/>
    <w:rsid w:val="00254F04"/>
    <w:rsid w:val="002552A4"/>
    <w:rsid w:val="00255711"/>
    <w:rsid w:val="00255BCE"/>
    <w:rsid w:val="00255C4D"/>
    <w:rsid w:val="002577A5"/>
    <w:rsid w:val="0025781E"/>
    <w:rsid w:val="00257B97"/>
    <w:rsid w:val="002600A2"/>
    <w:rsid w:val="0026020C"/>
    <w:rsid w:val="002602DF"/>
    <w:rsid w:val="002608E1"/>
    <w:rsid w:val="00260A38"/>
    <w:rsid w:val="002614F0"/>
    <w:rsid w:val="00261884"/>
    <w:rsid w:val="00261F97"/>
    <w:rsid w:val="002620F6"/>
    <w:rsid w:val="00262492"/>
    <w:rsid w:val="002627D1"/>
    <w:rsid w:val="00262BF7"/>
    <w:rsid w:val="00263182"/>
    <w:rsid w:val="00263536"/>
    <w:rsid w:val="00263AE0"/>
    <w:rsid w:val="00263B6F"/>
    <w:rsid w:val="00263EB5"/>
    <w:rsid w:val="00264F38"/>
    <w:rsid w:val="00265547"/>
    <w:rsid w:val="0026569F"/>
    <w:rsid w:val="002656B2"/>
    <w:rsid w:val="002656CC"/>
    <w:rsid w:val="00265803"/>
    <w:rsid w:val="002661B5"/>
    <w:rsid w:val="002662BD"/>
    <w:rsid w:val="00266465"/>
    <w:rsid w:val="0026671A"/>
    <w:rsid w:val="00266831"/>
    <w:rsid w:val="0026683A"/>
    <w:rsid w:val="002669C3"/>
    <w:rsid w:val="002676BB"/>
    <w:rsid w:val="00267A87"/>
    <w:rsid w:val="00270881"/>
    <w:rsid w:val="00270DCE"/>
    <w:rsid w:val="002711D7"/>
    <w:rsid w:val="00271217"/>
    <w:rsid w:val="002714FE"/>
    <w:rsid w:val="0027170F"/>
    <w:rsid w:val="00271A5C"/>
    <w:rsid w:val="00271C48"/>
    <w:rsid w:val="002728D2"/>
    <w:rsid w:val="00272CBD"/>
    <w:rsid w:val="002730AE"/>
    <w:rsid w:val="002734C1"/>
    <w:rsid w:val="002735CB"/>
    <w:rsid w:val="00273651"/>
    <w:rsid w:val="00273653"/>
    <w:rsid w:val="00273BDE"/>
    <w:rsid w:val="00273EAD"/>
    <w:rsid w:val="00273FB1"/>
    <w:rsid w:val="002740F3"/>
    <w:rsid w:val="002741CF"/>
    <w:rsid w:val="00275A81"/>
    <w:rsid w:val="00275B59"/>
    <w:rsid w:val="00275B76"/>
    <w:rsid w:val="0027657F"/>
    <w:rsid w:val="00276594"/>
    <w:rsid w:val="00276B72"/>
    <w:rsid w:val="00276D0B"/>
    <w:rsid w:val="00277E4C"/>
    <w:rsid w:val="00277FF2"/>
    <w:rsid w:val="002803AA"/>
    <w:rsid w:val="0028070D"/>
    <w:rsid w:val="00280BC1"/>
    <w:rsid w:val="0028142B"/>
    <w:rsid w:val="0028197D"/>
    <w:rsid w:val="0028251A"/>
    <w:rsid w:val="0028310B"/>
    <w:rsid w:val="002831EC"/>
    <w:rsid w:val="00283527"/>
    <w:rsid w:val="00283B54"/>
    <w:rsid w:val="00283C80"/>
    <w:rsid w:val="002841F3"/>
    <w:rsid w:val="0028433B"/>
    <w:rsid w:val="0028596B"/>
    <w:rsid w:val="002859F3"/>
    <w:rsid w:val="00285ACA"/>
    <w:rsid w:val="002861AD"/>
    <w:rsid w:val="00286389"/>
    <w:rsid w:val="0028679D"/>
    <w:rsid w:val="00286A17"/>
    <w:rsid w:val="00286B6E"/>
    <w:rsid w:val="00286F25"/>
    <w:rsid w:val="00286FF6"/>
    <w:rsid w:val="002873A4"/>
    <w:rsid w:val="002873C3"/>
    <w:rsid w:val="00290C1D"/>
    <w:rsid w:val="00290FD5"/>
    <w:rsid w:val="002911CB"/>
    <w:rsid w:val="0029179B"/>
    <w:rsid w:val="00291932"/>
    <w:rsid w:val="0029212C"/>
    <w:rsid w:val="00292A62"/>
    <w:rsid w:val="00292BA2"/>
    <w:rsid w:val="002930FF"/>
    <w:rsid w:val="00293595"/>
    <w:rsid w:val="0029379F"/>
    <w:rsid w:val="002937DF"/>
    <w:rsid w:val="00293DFC"/>
    <w:rsid w:val="00293E6D"/>
    <w:rsid w:val="002945BC"/>
    <w:rsid w:val="00294689"/>
    <w:rsid w:val="00294C6F"/>
    <w:rsid w:val="002952D2"/>
    <w:rsid w:val="002970A8"/>
    <w:rsid w:val="002970C7"/>
    <w:rsid w:val="002974A2"/>
    <w:rsid w:val="00297EF2"/>
    <w:rsid w:val="002A0155"/>
    <w:rsid w:val="002A04A5"/>
    <w:rsid w:val="002A0E16"/>
    <w:rsid w:val="002A12CE"/>
    <w:rsid w:val="002A1376"/>
    <w:rsid w:val="002A16E1"/>
    <w:rsid w:val="002A18B1"/>
    <w:rsid w:val="002A2734"/>
    <w:rsid w:val="002A27D6"/>
    <w:rsid w:val="002A2CF0"/>
    <w:rsid w:val="002A2DEC"/>
    <w:rsid w:val="002A3007"/>
    <w:rsid w:val="002A326F"/>
    <w:rsid w:val="002A39D8"/>
    <w:rsid w:val="002A43B7"/>
    <w:rsid w:val="002A4BDC"/>
    <w:rsid w:val="002A5238"/>
    <w:rsid w:val="002A58E4"/>
    <w:rsid w:val="002A5B3C"/>
    <w:rsid w:val="002A5BD5"/>
    <w:rsid w:val="002A5D6B"/>
    <w:rsid w:val="002A67BB"/>
    <w:rsid w:val="002A6D90"/>
    <w:rsid w:val="002A7188"/>
    <w:rsid w:val="002A72DD"/>
    <w:rsid w:val="002A74B6"/>
    <w:rsid w:val="002A759B"/>
    <w:rsid w:val="002A767D"/>
    <w:rsid w:val="002A79CA"/>
    <w:rsid w:val="002B008D"/>
    <w:rsid w:val="002B0411"/>
    <w:rsid w:val="002B059C"/>
    <w:rsid w:val="002B0E24"/>
    <w:rsid w:val="002B103E"/>
    <w:rsid w:val="002B127D"/>
    <w:rsid w:val="002B1776"/>
    <w:rsid w:val="002B182C"/>
    <w:rsid w:val="002B1D7A"/>
    <w:rsid w:val="002B1D89"/>
    <w:rsid w:val="002B1F2D"/>
    <w:rsid w:val="002B2060"/>
    <w:rsid w:val="002B24D5"/>
    <w:rsid w:val="002B2AD2"/>
    <w:rsid w:val="002B2C04"/>
    <w:rsid w:val="002B2F08"/>
    <w:rsid w:val="002B316C"/>
    <w:rsid w:val="002B336A"/>
    <w:rsid w:val="002B3A6D"/>
    <w:rsid w:val="002B437E"/>
    <w:rsid w:val="002B447C"/>
    <w:rsid w:val="002B49C9"/>
    <w:rsid w:val="002B4A65"/>
    <w:rsid w:val="002B5186"/>
    <w:rsid w:val="002B53AE"/>
    <w:rsid w:val="002B5D9E"/>
    <w:rsid w:val="002B5E98"/>
    <w:rsid w:val="002B6053"/>
    <w:rsid w:val="002B6185"/>
    <w:rsid w:val="002B61C1"/>
    <w:rsid w:val="002B633E"/>
    <w:rsid w:val="002B70BB"/>
    <w:rsid w:val="002B713D"/>
    <w:rsid w:val="002B7236"/>
    <w:rsid w:val="002B7982"/>
    <w:rsid w:val="002B7A48"/>
    <w:rsid w:val="002B7D6E"/>
    <w:rsid w:val="002B7DB4"/>
    <w:rsid w:val="002B7E2F"/>
    <w:rsid w:val="002C0396"/>
    <w:rsid w:val="002C199A"/>
    <w:rsid w:val="002C1A9C"/>
    <w:rsid w:val="002C1F1D"/>
    <w:rsid w:val="002C23DB"/>
    <w:rsid w:val="002C296B"/>
    <w:rsid w:val="002C3133"/>
    <w:rsid w:val="002C329D"/>
    <w:rsid w:val="002C39F3"/>
    <w:rsid w:val="002C4419"/>
    <w:rsid w:val="002C44CB"/>
    <w:rsid w:val="002C46FC"/>
    <w:rsid w:val="002C47B3"/>
    <w:rsid w:val="002C4C7A"/>
    <w:rsid w:val="002C4FD6"/>
    <w:rsid w:val="002C529A"/>
    <w:rsid w:val="002C5478"/>
    <w:rsid w:val="002C562F"/>
    <w:rsid w:val="002C59A9"/>
    <w:rsid w:val="002C5F97"/>
    <w:rsid w:val="002C6E9A"/>
    <w:rsid w:val="002C6F41"/>
    <w:rsid w:val="002C71E4"/>
    <w:rsid w:val="002C7934"/>
    <w:rsid w:val="002C79B2"/>
    <w:rsid w:val="002C7CF7"/>
    <w:rsid w:val="002C7E4C"/>
    <w:rsid w:val="002D0B8D"/>
    <w:rsid w:val="002D0F5F"/>
    <w:rsid w:val="002D1193"/>
    <w:rsid w:val="002D16E1"/>
    <w:rsid w:val="002D1C3D"/>
    <w:rsid w:val="002D2353"/>
    <w:rsid w:val="002D23FF"/>
    <w:rsid w:val="002D278E"/>
    <w:rsid w:val="002D28FC"/>
    <w:rsid w:val="002D3074"/>
    <w:rsid w:val="002D3328"/>
    <w:rsid w:val="002D38C8"/>
    <w:rsid w:val="002D392F"/>
    <w:rsid w:val="002D39E2"/>
    <w:rsid w:val="002D3F90"/>
    <w:rsid w:val="002D41A0"/>
    <w:rsid w:val="002D4375"/>
    <w:rsid w:val="002D4442"/>
    <w:rsid w:val="002D4784"/>
    <w:rsid w:val="002D4A8C"/>
    <w:rsid w:val="002D4C2A"/>
    <w:rsid w:val="002D511A"/>
    <w:rsid w:val="002D51B8"/>
    <w:rsid w:val="002D5D59"/>
    <w:rsid w:val="002D6150"/>
    <w:rsid w:val="002D67D9"/>
    <w:rsid w:val="002D6C13"/>
    <w:rsid w:val="002D6D49"/>
    <w:rsid w:val="002D6FDC"/>
    <w:rsid w:val="002D708D"/>
    <w:rsid w:val="002D7388"/>
    <w:rsid w:val="002D75D0"/>
    <w:rsid w:val="002D7956"/>
    <w:rsid w:val="002D7E05"/>
    <w:rsid w:val="002E02BC"/>
    <w:rsid w:val="002E045D"/>
    <w:rsid w:val="002E070F"/>
    <w:rsid w:val="002E115D"/>
    <w:rsid w:val="002E11D6"/>
    <w:rsid w:val="002E1852"/>
    <w:rsid w:val="002E1D45"/>
    <w:rsid w:val="002E2578"/>
    <w:rsid w:val="002E2A0D"/>
    <w:rsid w:val="002E2BCF"/>
    <w:rsid w:val="002E2ECE"/>
    <w:rsid w:val="002E311B"/>
    <w:rsid w:val="002E3180"/>
    <w:rsid w:val="002E383A"/>
    <w:rsid w:val="002E3A0E"/>
    <w:rsid w:val="002E3D36"/>
    <w:rsid w:val="002E3F77"/>
    <w:rsid w:val="002E42D4"/>
    <w:rsid w:val="002E45D2"/>
    <w:rsid w:val="002E4625"/>
    <w:rsid w:val="002E4F1F"/>
    <w:rsid w:val="002E5D5D"/>
    <w:rsid w:val="002E636A"/>
    <w:rsid w:val="002E6430"/>
    <w:rsid w:val="002E6655"/>
    <w:rsid w:val="002E6A02"/>
    <w:rsid w:val="002E6A2C"/>
    <w:rsid w:val="002E798E"/>
    <w:rsid w:val="002F0020"/>
    <w:rsid w:val="002F027B"/>
    <w:rsid w:val="002F0524"/>
    <w:rsid w:val="002F06B8"/>
    <w:rsid w:val="002F0740"/>
    <w:rsid w:val="002F0890"/>
    <w:rsid w:val="002F0CF6"/>
    <w:rsid w:val="002F10DD"/>
    <w:rsid w:val="002F11D2"/>
    <w:rsid w:val="002F1383"/>
    <w:rsid w:val="002F166E"/>
    <w:rsid w:val="002F1AD6"/>
    <w:rsid w:val="002F1BF6"/>
    <w:rsid w:val="002F1CCF"/>
    <w:rsid w:val="002F202B"/>
    <w:rsid w:val="002F2C8B"/>
    <w:rsid w:val="002F2D00"/>
    <w:rsid w:val="002F3603"/>
    <w:rsid w:val="002F3686"/>
    <w:rsid w:val="002F3E40"/>
    <w:rsid w:val="002F4179"/>
    <w:rsid w:val="002F4416"/>
    <w:rsid w:val="002F4B35"/>
    <w:rsid w:val="002F5421"/>
    <w:rsid w:val="002F5506"/>
    <w:rsid w:val="002F5577"/>
    <w:rsid w:val="002F61DA"/>
    <w:rsid w:val="002F66D8"/>
    <w:rsid w:val="002F6776"/>
    <w:rsid w:val="002F73DB"/>
    <w:rsid w:val="002F7483"/>
    <w:rsid w:val="002F769A"/>
    <w:rsid w:val="002F77D1"/>
    <w:rsid w:val="00300214"/>
    <w:rsid w:val="003002FB"/>
    <w:rsid w:val="00300341"/>
    <w:rsid w:val="003004EE"/>
    <w:rsid w:val="00300553"/>
    <w:rsid w:val="003009AD"/>
    <w:rsid w:val="00300A61"/>
    <w:rsid w:val="00301177"/>
    <w:rsid w:val="00301356"/>
    <w:rsid w:val="003013F6"/>
    <w:rsid w:val="003016F1"/>
    <w:rsid w:val="00301726"/>
    <w:rsid w:val="00301799"/>
    <w:rsid w:val="00301C73"/>
    <w:rsid w:val="003020E7"/>
    <w:rsid w:val="00302306"/>
    <w:rsid w:val="003029AC"/>
    <w:rsid w:val="00302C0E"/>
    <w:rsid w:val="00302E3C"/>
    <w:rsid w:val="003031EE"/>
    <w:rsid w:val="00303301"/>
    <w:rsid w:val="00303D40"/>
    <w:rsid w:val="003040D6"/>
    <w:rsid w:val="003041E7"/>
    <w:rsid w:val="0030443C"/>
    <w:rsid w:val="00304901"/>
    <w:rsid w:val="00304FE8"/>
    <w:rsid w:val="0030522F"/>
    <w:rsid w:val="00305247"/>
    <w:rsid w:val="00305275"/>
    <w:rsid w:val="003052BD"/>
    <w:rsid w:val="00305756"/>
    <w:rsid w:val="003059BF"/>
    <w:rsid w:val="00305BDE"/>
    <w:rsid w:val="00305C14"/>
    <w:rsid w:val="00306AA9"/>
    <w:rsid w:val="00307A25"/>
    <w:rsid w:val="00307B35"/>
    <w:rsid w:val="00307CEC"/>
    <w:rsid w:val="00310205"/>
    <w:rsid w:val="0031078A"/>
    <w:rsid w:val="00310825"/>
    <w:rsid w:val="003117AC"/>
    <w:rsid w:val="00311C26"/>
    <w:rsid w:val="00311C79"/>
    <w:rsid w:val="00312416"/>
    <w:rsid w:val="003126EA"/>
    <w:rsid w:val="003127FE"/>
    <w:rsid w:val="00312B05"/>
    <w:rsid w:val="00313064"/>
    <w:rsid w:val="003139E2"/>
    <w:rsid w:val="00313CED"/>
    <w:rsid w:val="00313E30"/>
    <w:rsid w:val="00314806"/>
    <w:rsid w:val="003150BE"/>
    <w:rsid w:val="003156B2"/>
    <w:rsid w:val="003156B8"/>
    <w:rsid w:val="00315743"/>
    <w:rsid w:val="0031598C"/>
    <w:rsid w:val="00315ACC"/>
    <w:rsid w:val="00315EFB"/>
    <w:rsid w:val="00316254"/>
    <w:rsid w:val="00316651"/>
    <w:rsid w:val="003178F6"/>
    <w:rsid w:val="00320361"/>
    <w:rsid w:val="00320846"/>
    <w:rsid w:val="00320847"/>
    <w:rsid w:val="00320D17"/>
    <w:rsid w:val="00321318"/>
    <w:rsid w:val="00321536"/>
    <w:rsid w:val="003218F4"/>
    <w:rsid w:val="00321EC0"/>
    <w:rsid w:val="00322E47"/>
    <w:rsid w:val="00323420"/>
    <w:rsid w:val="003235AA"/>
    <w:rsid w:val="00323E84"/>
    <w:rsid w:val="003240C4"/>
    <w:rsid w:val="00324666"/>
    <w:rsid w:val="00324979"/>
    <w:rsid w:val="00324BB9"/>
    <w:rsid w:val="00324C23"/>
    <w:rsid w:val="00324EF8"/>
    <w:rsid w:val="003251A4"/>
    <w:rsid w:val="00325416"/>
    <w:rsid w:val="00325AD5"/>
    <w:rsid w:val="00325DB3"/>
    <w:rsid w:val="00325E91"/>
    <w:rsid w:val="00325E96"/>
    <w:rsid w:val="00326719"/>
    <w:rsid w:val="00326DC5"/>
    <w:rsid w:val="00326DD5"/>
    <w:rsid w:val="00326E05"/>
    <w:rsid w:val="00326FB0"/>
    <w:rsid w:val="00327286"/>
    <w:rsid w:val="00327613"/>
    <w:rsid w:val="00327AB5"/>
    <w:rsid w:val="00327B45"/>
    <w:rsid w:val="00327D91"/>
    <w:rsid w:val="00327FF5"/>
    <w:rsid w:val="0033011E"/>
    <w:rsid w:val="00330363"/>
    <w:rsid w:val="003306D1"/>
    <w:rsid w:val="00330E8C"/>
    <w:rsid w:val="00330F50"/>
    <w:rsid w:val="003315B0"/>
    <w:rsid w:val="003315FD"/>
    <w:rsid w:val="00331947"/>
    <w:rsid w:val="003319BE"/>
    <w:rsid w:val="0033236E"/>
    <w:rsid w:val="003323F8"/>
    <w:rsid w:val="003324B9"/>
    <w:rsid w:val="003328A3"/>
    <w:rsid w:val="003330E6"/>
    <w:rsid w:val="003331A3"/>
    <w:rsid w:val="00333B3A"/>
    <w:rsid w:val="0033480C"/>
    <w:rsid w:val="00334B4C"/>
    <w:rsid w:val="00334B7D"/>
    <w:rsid w:val="00334C19"/>
    <w:rsid w:val="00334CF0"/>
    <w:rsid w:val="00334E3E"/>
    <w:rsid w:val="0033546A"/>
    <w:rsid w:val="00335C31"/>
    <w:rsid w:val="00335D8B"/>
    <w:rsid w:val="003362FE"/>
    <w:rsid w:val="00336F14"/>
    <w:rsid w:val="00337154"/>
    <w:rsid w:val="00337843"/>
    <w:rsid w:val="00337B4B"/>
    <w:rsid w:val="00337C66"/>
    <w:rsid w:val="00337CC6"/>
    <w:rsid w:val="0034003F"/>
    <w:rsid w:val="00340203"/>
    <w:rsid w:val="0034021D"/>
    <w:rsid w:val="003408BC"/>
    <w:rsid w:val="0034094B"/>
    <w:rsid w:val="00340AFF"/>
    <w:rsid w:val="00340CD5"/>
    <w:rsid w:val="0034111A"/>
    <w:rsid w:val="00341541"/>
    <w:rsid w:val="00341FA4"/>
    <w:rsid w:val="00342197"/>
    <w:rsid w:val="00342413"/>
    <w:rsid w:val="00342571"/>
    <w:rsid w:val="003426CE"/>
    <w:rsid w:val="003427A1"/>
    <w:rsid w:val="00342958"/>
    <w:rsid w:val="00342B54"/>
    <w:rsid w:val="00342B5E"/>
    <w:rsid w:val="0034355D"/>
    <w:rsid w:val="00343680"/>
    <w:rsid w:val="00343E83"/>
    <w:rsid w:val="003440BD"/>
    <w:rsid w:val="00344B78"/>
    <w:rsid w:val="00345A78"/>
    <w:rsid w:val="0034665F"/>
    <w:rsid w:val="0034697A"/>
    <w:rsid w:val="003469B1"/>
    <w:rsid w:val="00346F4B"/>
    <w:rsid w:val="0034704A"/>
    <w:rsid w:val="00347340"/>
    <w:rsid w:val="00347389"/>
    <w:rsid w:val="00347652"/>
    <w:rsid w:val="003478BC"/>
    <w:rsid w:val="00350575"/>
    <w:rsid w:val="003505C0"/>
    <w:rsid w:val="00350818"/>
    <w:rsid w:val="00351695"/>
    <w:rsid w:val="003522EE"/>
    <w:rsid w:val="003527D5"/>
    <w:rsid w:val="003528A3"/>
    <w:rsid w:val="00352A9F"/>
    <w:rsid w:val="003530E3"/>
    <w:rsid w:val="003534B2"/>
    <w:rsid w:val="00353961"/>
    <w:rsid w:val="00353A2E"/>
    <w:rsid w:val="0035471C"/>
    <w:rsid w:val="00355158"/>
    <w:rsid w:val="003551F9"/>
    <w:rsid w:val="003559D9"/>
    <w:rsid w:val="00355E37"/>
    <w:rsid w:val="003563AF"/>
    <w:rsid w:val="0035650E"/>
    <w:rsid w:val="003567C5"/>
    <w:rsid w:val="00356908"/>
    <w:rsid w:val="00357312"/>
    <w:rsid w:val="0035752B"/>
    <w:rsid w:val="00357577"/>
    <w:rsid w:val="003576EC"/>
    <w:rsid w:val="003609F2"/>
    <w:rsid w:val="00360C8D"/>
    <w:rsid w:val="00360EA5"/>
    <w:rsid w:val="00360F77"/>
    <w:rsid w:val="00361361"/>
    <w:rsid w:val="00361F38"/>
    <w:rsid w:val="003624C5"/>
    <w:rsid w:val="0036263F"/>
    <w:rsid w:val="003628CB"/>
    <w:rsid w:val="00362ACB"/>
    <w:rsid w:val="00363ACD"/>
    <w:rsid w:val="00363E9E"/>
    <w:rsid w:val="00363F20"/>
    <w:rsid w:val="00363F83"/>
    <w:rsid w:val="003645AD"/>
    <w:rsid w:val="00364B1A"/>
    <w:rsid w:val="00364D31"/>
    <w:rsid w:val="003651CE"/>
    <w:rsid w:val="003657B5"/>
    <w:rsid w:val="0036615F"/>
    <w:rsid w:val="003661DF"/>
    <w:rsid w:val="003663E4"/>
    <w:rsid w:val="00366989"/>
    <w:rsid w:val="00366C28"/>
    <w:rsid w:val="00366EB3"/>
    <w:rsid w:val="00366FF1"/>
    <w:rsid w:val="003677A6"/>
    <w:rsid w:val="00367D1B"/>
    <w:rsid w:val="00367E30"/>
    <w:rsid w:val="00370022"/>
    <w:rsid w:val="00370232"/>
    <w:rsid w:val="003706B0"/>
    <w:rsid w:val="003708C6"/>
    <w:rsid w:val="00370D75"/>
    <w:rsid w:val="00370DE3"/>
    <w:rsid w:val="00370E50"/>
    <w:rsid w:val="003714BA"/>
    <w:rsid w:val="0037152E"/>
    <w:rsid w:val="0037198B"/>
    <w:rsid w:val="00371E99"/>
    <w:rsid w:val="00372066"/>
    <w:rsid w:val="00372156"/>
    <w:rsid w:val="003721EC"/>
    <w:rsid w:val="003723E5"/>
    <w:rsid w:val="00372CB8"/>
    <w:rsid w:val="00372CD1"/>
    <w:rsid w:val="00372E4E"/>
    <w:rsid w:val="003731A7"/>
    <w:rsid w:val="00373992"/>
    <w:rsid w:val="003743C7"/>
    <w:rsid w:val="00374424"/>
    <w:rsid w:val="003746DD"/>
    <w:rsid w:val="003746F6"/>
    <w:rsid w:val="00374984"/>
    <w:rsid w:val="00374A4F"/>
    <w:rsid w:val="00374C22"/>
    <w:rsid w:val="00375240"/>
    <w:rsid w:val="00375BD9"/>
    <w:rsid w:val="00376336"/>
    <w:rsid w:val="00376728"/>
    <w:rsid w:val="00376CA8"/>
    <w:rsid w:val="00376D67"/>
    <w:rsid w:val="00376FB3"/>
    <w:rsid w:val="0037728D"/>
    <w:rsid w:val="003772F5"/>
    <w:rsid w:val="0037754B"/>
    <w:rsid w:val="00380903"/>
    <w:rsid w:val="00380938"/>
    <w:rsid w:val="00380B90"/>
    <w:rsid w:val="00380BD1"/>
    <w:rsid w:val="00380DAD"/>
    <w:rsid w:val="00380E59"/>
    <w:rsid w:val="00380FDC"/>
    <w:rsid w:val="00381037"/>
    <w:rsid w:val="003819E2"/>
    <w:rsid w:val="00381A7E"/>
    <w:rsid w:val="00381ACD"/>
    <w:rsid w:val="00381EA1"/>
    <w:rsid w:val="00381EC9"/>
    <w:rsid w:val="00381FAC"/>
    <w:rsid w:val="003821EB"/>
    <w:rsid w:val="00382415"/>
    <w:rsid w:val="0038278B"/>
    <w:rsid w:val="003829EC"/>
    <w:rsid w:val="003831BD"/>
    <w:rsid w:val="003834E1"/>
    <w:rsid w:val="003836F1"/>
    <w:rsid w:val="0038371D"/>
    <w:rsid w:val="0038389B"/>
    <w:rsid w:val="00383B63"/>
    <w:rsid w:val="00383E24"/>
    <w:rsid w:val="0038417B"/>
    <w:rsid w:val="003843E4"/>
    <w:rsid w:val="003845CD"/>
    <w:rsid w:val="003849D8"/>
    <w:rsid w:val="00384CBD"/>
    <w:rsid w:val="00384EED"/>
    <w:rsid w:val="00384FEC"/>
    <w:rsid w:val="00385912"/>
    <w:rsid w:val="00385CBC"/>
    <w:rsid w:val="00385D91"/>
    <w:rsid w:val="00386133"/>
    <w:rsid w:val="00386392"/>
    <w:rsid w:val="00386927"/>
    <w:rsid w:val="00386AB8"/>
    <w:rsid w:val="00386F03"/>
    <w:rsid w:val="003879BD"/>
    <w:rsid w:val="00390182"/>
    <w:rsid w:val="00391522"/>
    <w:rsid w:val="00391791"/>
    <w:rsid w:val="0039194D"/>
    <w:rsid w:val="00391B21"/>
    <w:rsid w:val="00391F41"/>
    <w:rsid w:val="003921D9"/>
    <w:rsid w:val="003921DB"/>
    <w:rsid w:val="0039266E"/>
    <w:rsid w:val="00392EE4"/>
    <w:rsid w:val="0039300A"/>
    <w:rsid w:val="00393961"/>
    <w:rsid w:val="00393D82"/>
    <w:rsid w:val="0039411A"/>
    <w:rsid w:val="00394D63"/>
    <w:rsid w:val="00394DE3"/>
    <w:rsid w:val="00394FDF"/>
    <w:rsid w:val="003953C6"/>
    <w:rsid w:val="003959F5"/>
    <w:rsid w:val="00395A82"/>
    <w:rsid w:val="00395C56"/>
    <w:rsid w:val="00395E22"/>
    <w:rsid w:val="00396170"/>
    <w:rsid w:val="003965B5"/>
    <w:rsid w:val="00396F46"/>
    <w:rsid w:val="00396F4D"/>
    <w:rsid w:val="003972DD"/>
    <w:rsid w:val="003978D2"/>
    <w:rsid w:val="003A00B9"/>
    <w:rsid w:val="003A015E"/>
    <w:rsid w:val="003A060B"/>
    <w:rsid w:val="003A0B65"/>
    <w:rsid w:val="003A0C01"/>
    <w:rsid w:val="003A1102"/>
    <w:rsid w:val="003A1581"/>
    <w:rsid w:val="003A172A"/>
    <w:rsid w:val="003A1BE2"/>
    <w:rsid w:val="003A1E02"/>
    <w:rsid w:val="003A20CF"/>
    <w:rsid w:val="003A236B"/>
    <w:rsid w:val="003A2444"/>
    <w:rsid w:val="003A3507"/>
    <w:rsid w:val="003A3545"/>
    <w:rsid w:val="003A36A6"/>
    <w:rsid w:val="003A3B9E"/>
    <w:rsid w:val="003A3FE1"/>
    <w:rsid w:val="003A4113"/>
    <w:rsid w:val="003A44EA"/>
    <w:rsid w:val="003A498E"/>
    <w:rsid w:val="003A4B96"/>
    <w:rsid w:val="003A4E38"/>
    <w:rsid w:val="003A567E"/>
    <w:rsid w:val="003A5690"/>
    <w:rsid w:val="003A5ADF"/>
    <w:rsid w:val="003A5BFA"/>
    <w:rsid w:val="003A5FA5"/>
    <w:rsid w:val="003A65DB"/>
    <w:rsid w:val="003A6659"/>
    <w:rsid w:val="003A668C"/>
    <w:rsid w:val="003A6A81"/>
    <w:rsid w:val="003A6B65"/>
    <w:rsid w:val="003A6F4C"/>
    <w:rsid w:val="003A732E"/>
    <w:rsid w:val="003A7B95"/>
    <w:rsid w:val="003A7D94"/>
    <w:rsid w:val="003B0A32"/>
    <w:rsid w:val="003B0F4F"/>
    <w:rsid w:val="003B117D"/>
    <w:rsid w:val="003B1AC5"/>
    <w:rsid w:val="003B238C"/>
    <w:rsid w:val="003B24B2"/>
    <w:rsid w:val="003B24BA"/>
    <w:rsid w:val="003B296F"/>
    <w:rsid w:val="003B324F"/>
    <w:rsid w:val="003B34A7"/>
    <w:rsid w:val="003B398C"/>
    <w:rsid w:val="003B3AEA"/>
    <w:rsid w:val="003B4037"/>
    <w:rsid w:val="003B40B6"/>
    <w:rsid w:val="003B42BA"/>
    <w:rsid w:val="003B4639"/>
    <w:rsid w:val="003B46BF"/>
    <w:rsid w:val="003B486C"/>
    <w:rsid w:val="003B4B5D"/>
    <w:rsid w:val="003B57B5"/>
    <w:rsid w:val="003B5D0E"/>
    <w:rsid w:val="003B6116"/>
    <w:rsid w:val="003B620A"/>
    <w:rsid w:val="003B680B"/>
    <w:rsid w:val="003B68F0"/>
    <w:rsid w:val="003B6908"/>
    <w:rsid w:val="003B6C53"/>
    <w:rsid w:val="003B6D8F"/>
    <w:rsid w:val="003B7813"/>
    <w:rsid w:val="003B7D77"/>
    <w:rsid w:val="003B7DDC"/>
    <w:rsid w:val="003B7EA6"/>
    <w:rsid w:val="003C0601"/>
    <w:rsid w:val="003C0761"/>
    <w:rsid w:val="003C0F4D"/>
    <w:rsid w:val="003C126F"/>
    <w:rsid w:val="003C1527"/>
    <w:rsid w:val="003C16F2"/>
    <w:rsid w:val="003C1CC5"/>
    <w:rsid w:val="003C22D4"/>
    <w:rsid w:val="003C24A7"/>
    <w:rsid w:val="003C2CF5"/>
    <w:rsid w:val="003C2D88"/>
    <w:rsid w:val="003C2E20"/>
    <w:rsid w:val="003C30D5"/>
    <w:rsid w:val="003C3161"/>
    <w:rsid w:val="003C34CD"/>
    <w:rsid w:val="003C3668"/>
    <w:rsid w:val="003C37F7"/>
    <w:rsid w:val="003C3E18"/>
    <w:rsid w:val="003C4116"/>
    <w:rsid w:val="003C43AA"/>
    <w:rsid w:val="003C44CB"/>
    <w:rsid w:val="003C44D7"/>
    <w:rsid w:val="003C49E3"/>
    <w:rsid w:val="003C5095"/>
    <w:rsid w:val="003C5106"/>
    <w:rsid w:val="003C55E0"/>
    <w:rsid w:val="003C5686"/>
    <w:rsid w:val="003C5AE5"/>
    <w:rsid w:val="003C5AF0"/>
    <w:rsid w:val="003C5CCC"/>
    <w:rsid w:val="003C6C8E"/>
    <w:rsid w:val="003C7446"/>
    <w:rsid w:val="003C780E"/>
    <w:rsid w:val="003D014A"/>
    <w:rsid w:val="003D02DA"/>
    <w:rsid w:val="003D0310"/>
    <w:rsid w:val="003D0891"/>
    <w:rsid w:val="003D1B5A"/>
    <w:rsid w:val="003D1FCE"/>
    <w:rsid w:val="003D2034"/>
    <w:rsid w:val="003D22E5"/>
    <w:rsid w:val="003D2BE1"/>
    <w:rsid w:val="003D33A6"/>
    <w:rsid w:val="003D3A2E"/>
    <w:rsid w:val="003D3EE4"/>
    <w:rsid w:val="003D4319"/>
    <w:rsid w:val="003D43B0"/>
    <w:rsid w:val="003D45E7"/>
    <w:rsid w:val="003D4B0C"/>
    <w:rsid w:val="003D4D6A"/>
    <w:rsid w:val="003D5B7C"/>
    <w:rsid w:val="003D5F9E"/>
    <w:rsid w:val="003D626F"/>
    <w:rsid w:val="003D662B"/>
    <w:rsid w:val="003D6673"/>
    <w:rsid w:val="003D6837"/>
    <w:rsid w:val="003D723D"/>
    <w:rsid w:val="003D770C"/>
    <w:rsid w:val="003D780E"/>
    <w:rsid w:val="003D7FA4"/>
    <w:rsid w:val="003E03D7"/>
    <w:rsid w:val="003E052D"/>
    <w:rsid w:val="003E06E5"/>
    <w:rsid w:val="003E1245"/>
    <w:rsid w:val="003E1334"/>
    <w:rsid w:val="003E14D3"/>
    <w:rsid w:val="003E15E8"/>
    <w:rsid w:val="003E1E37"/>
    <w:rsid w:val="003E1F3D"/>
    <w:rsid w:val="003E2036"/>
    <w:rsid w:val="003E213C"/>
    <w:rsid w:val="003E2574"/>
    <w:rsid w:val="003E2F22"/>
    <w:rsid w:val="003E3800"/>
    <w:rsid w:val="003E39D7"/>
    <w:rsid w:val="003E3C8E"/>
    <w:rsid w:val="003E413A"/>
    <w:rsid w:val="003E42A2"/>
    <w:rsid w:val="003E42F9"/>
    <w:rsid w:val="003E4E0C"/>
    <w:rsid w:val="003E5122"/>
    <w:rsid w:val="003E5B69"/>
    <w:rsid w:val="003E5F8E"/>
    <w:rsid w:val="003E6857"/>
    <w:rsid w:val="003E6975"/>
    <w:rsid w:val="003E6DC2"/>
    <w:rsid w:val="003E71F1"/>
    <w:rsid w:val="003E7548"/>
    <w:rsid w:val="003E782D"/>
    <w:rsid w:val="003E7FD0"/>
    <w:rsid w:val="003F01CB"/>
    <w:rsid w:val="003F0847"/>
    <w:rsid w:val="003F08BE"/>
    <w:rsid w:val="003F0A39"/>
    <w:rsid w:val="003F0C46"/>
    <w:rsid w:val="003F1519"/>
    <w:rsid w:val="003F1589"/>
    <w:rsid w:val="003F158D"/>
    <w:rsid w:val="003F1FE0"/>
    <w:rsid w:val="003F256A"/>
    <w:rsid w:val="003F2A49"/>
    <w:rsid w:val="003F32FD"/>
    <w:rsid w:val="003F34EE"/>
    <w:rsid w:val="003F3E7F"/>
    <w:rsid w:val="003F3F6C"/>
    <w:rsid w:val="003F407C"/>
    <w:rsid w:val="003F4088"/>
    <w:rsid w:val="003F42F7"/>
    <w:rsid w:val="003F46DC"/>
    <w:rsid w:val="003F4A5D"/>
    <w:rsid w:val="003F4C19"/>
    <w:rsid w:val="003F4F5D"/>
    <w:rsid w:val="003F5B41"/>
    <w:rsid w:val="003F5DFF"/>
    <w:rsid w:val="003F6274"/>
    <w:rsid w:val="003F642F"/>
    <w:rsid w:val="003F669F"/>
    <w:rsid w:val="003F6895"/>
    <w:rsid w:val="003F69EA"/>
    <w:rsid w:val="003F6DF9"/>
    <w:rsid w:val="003F7079"/>
    <w:rsid w:val="003F79E6"/>
    <w:rsid w:val="003F7D3C"/>
    <w:rsid w:val="003F7EDE"/>
    <w:rsid w:val="00400078"/>
    <w:rsid w:val="0040028F"/>
    <w:rsid w:val="00400415"/>
    <w:rsid w:val="00400631"/>
    <w:rsid w:val="004009F7"/>
    <w:rsid w:val="00400A46"/>
    <w:rsid w:val="00400BF3"/>
    <w:rsid w:val="00401054"/>
    <w:rsid w:val="004011E3"/>
    <w:rsid w:val="004013D9"/>
    <w:rsid w:val="00403414"/>
    <w:rsid w:val="0040371B"/>
    <w:rsid w:val="004039AE"/>
    <w:rsid w:val="00403D92"/>
    <w:rsid w:val="00403DE9"/>
    <w:rsid w:val="00404853"/>
    <w:rsid w:val="004048C3"/>
    <w:rsid w:val="00404B07"/>
    <w:rsid w:val="00405108"/>
    <w:rsid w:val="00405FF7"/>
    <w:rsid w:val="004065A8"/>
    <w:rsid w:val="00406CAC"/>
    <w:rsid w:val="00407086"/>
    <w:rsid w:val="0040770A"/>
    <w:rsid w:val="00407BE0"/>
    <w:rsid w:val="00407E39"/>
    <w:rsid w:val="00410124"/>
    <w:rsid w:val="0041019B"/>
    <w:rsid w:val="00410591"/>
    <w:rsid w:val="004105AC"/>
    <w:rsid w:val="00410764"/>
    <w:rsid w:val="004109D2"/>
    <w:rsid w:val="00410C05"/>
    <w:rsid w:val="00410D46"/>
    <w:rsid w:val="004110A4"/>
    <w:rsid w:val="0041112D"/>
    <w:rsid w:val="00411659"/>
    <w:rsid w:val="0041166A"/>
    <w:rsid w:val="00412419"/>
    <w:rsid w:val="00412FD5"/>
    <w:rsid w:val="0041347E"/>
    <w:rsid w:val="00413532"/>
    <w:rsid w:val="0041365B"/>
    <w:rsid w:val="0041420B"/>
    <w:rsid w:val="00414525"/>
    <w:rsid w:val="004148D5"/>
    <w:rsid w:val="00414971"/>
    <w:rsid w:val="00414CB6"/>
    <w:rsid w:val="004155FF"/>
    <w:rsid w:val="00416C1F"/>
    <w:rsid w:val="00417953"/>
    <w:rsid w:val="00417A33"/>
    <w:rsid w:val="00417A35"/>
    <w:rsid w:val="00420060"/>
    <w:rsid w:val="004200FA"/>
    <w:rsid w:val="004202E6"/>
    <w:rsid w:val="00420472"/>
    <w:rsid w:val="00420C62"/>
    <w:rsid w:val="00420F46"/>
    <w:rsid w:val="0042101B"/>
    <w:rsid w:val="004211DF"/>
    <w:rsid w:val="00421C7A"/>
    <w:rsid w:val="00421FCF"/>
    <w:rsid w:val="0042252E"/>
    <w:rsid w:val="0042264A"/>
    <w:rsid w:val="0042290A"/>
    <w:rsid w:val="00423E24"/>
    <w:rsid w:val="0042441D"/>
    <w:rsid w:val="004245C9"/>
    <w:rsid w:val="00425973"/>
    <w:rsid w:val="004266C3"/>
    <w:rsid w:val="00426B79"/>
    <w:rsid w:val="00426C71"/>
    <w:rsid w:val="00427E7A"/>
    <w:rsid w:val="00427EAE"/>
    <w:rsid w:val="00427FF9"/>
    <w:rsid w:val="00430AC8"/>
    <w:rsid w:val="00430D22"/>
    <w:rsid w:val="0043133C"/>
    <w:rsid w:val="004315C5"/>
    <w:rsid w:val="00431932"/>
    <w:rsid w:val="00431C38"/>
    <w:rsid w:val="00431F52"/>
    <w:rsid w:val="00432154"/>
    <w:rsid w:val="00432223"/>
    <w:rsid w:val="0043250F"/>
    <w:rsid w:val="00432919"/>
    <w:rsid w:val="004329FF"/>
    <w:rsid w:val="00432ADF"/>
    <w:rsid w:val="00432F8E"/>
    <w:rsid w:val="00433D90"/>
    <w:rsid w:val="00433FDF"/>
    <w:rsid w:val="0043443C"/>
    <w:rsid w:val="004344DE"/>
    <w:rsid w:val="0043472C"/>
    <w:rsid w:val="00434731"/>
    <w:rsid w:val="00434902"/>
    <w:rsid w:val="00434DD2"/>
    <w:rsid w:val="00434F78"/>
    <w:rsid w:val="00435141"/>
    <w:rsid w:val="004357D3"/>
    <w:rsid w:val="00435D30"/>
    <w:rsid w:val="00436503"/>
    <w:rsid w:val="00436F8B"/>
    <w:rsid w:val="00437148"/>
    <w:rsid w:val="004373B0"/>
    <w:rsid w:val="004375D6"/>
    <w:rsid w:val="00437DD4"/>
    <w:rsid w:val="0044012B"/>
    <w:rsid w:val="004404AE"/>
    <w:rsid w:val="00440574"/>
    <w:rsid w:val="00440625"/>
    <w:rsid w:val="00440735"/>
    <w:rsid w:val="00440E29"/>
    <w:rsid w:val="00440E69"/>
    <w:rsid w:val="00440F1F"/>
    <w:rsid w:val="00441561"/>
    <w:rsid w:val="004419C5"/>
    <w:rsid w:val="00441FA7"/>
    <w:rsid w:val="00442073"/>
    <w:rsid w:val="004421ED"/>
    <w:rsid w:val="00442240"/>
    <w:rsid w:val="00442B1D"/>
    <w:rsid w:val="00443403"/>
    <w:rsid w:val="0044359A"/>
    <w:rsid w:val="0044414A"/>
    <w:rsid w:val="004441C1"/>
    <w:rsid w:val="0044494C"/>
    <w:rsid w:val="00444DF7"/>
    <w:rsid w:val="00445378"/>
    <w:rsid w:val="00445909"/>
    <w:rsid w:val="00446454"/>
    <w:rsid w:val="00446A50"/>
    <w:rsid w:val="00446B33"/>
    <w:rsid w:val="00446DAA"/>
    <w:rsid w:val="00446F0B"/>
    <w:rsid w:val="00446F48"/>
    <w:rsid w:val="00447089"/>
    <w:rsid w:val="004471F4"/>
    <w:rsid w:val="004473A2"/>
    <w:rsid w:val="00447A5D"/>
    <w:rsid w:val="00447B3E"/>
    <w:rsid w:val="00447D37"/>
    <w:rsid w:val="004502ED"/>
    <w:rsid w:val="004509CD"/>
    <w:rsid w:val="00451BB4"/>
    <w:rsid w:val="00451CAF"/>
    <w:rsid w:val="00451D0E"/>
    <w:rsid w:val="0045213E"/>
    <w:rsid w:val="00452E06"/>
    <w:rsid w:val="00453363"/>
    <w:rsid w:val="00453543"/>
    <w:rsid w:val="0045362D"/>
    <w:rsid w:val="00453671"/>
    <w:rsid w:val="004538F7"/>
    <w:rsid w:val="00453D4A"/>
    <w:rsid w:val="004548ED"/>
    <w:rsid w:val="00454DAF"/>
    <w:rsid w:val="00454E37"/>
    <w:rsid w:val="004555AC"/>
    <w:rsid w:val="00455D15"/>
    <w:rsid w:val="00456091"/>
    <w:rsid w:val="0045666B"/>
    <w:rsid w:val="00456E05"/>
    <w:rsid w:val="00456FB6"/>
    <w:rsid w:val="004572A9"/>
    <w:rsid w:val="004572F1"/>
    <w:rsid w:val="0045756A"/>
    <w:rsid w:val="00457C41"/>
    <w:rsid w:val="00457D34"/>
    <w:rsid w:val="0046040E"/>
    <w:rsid w:val="004604DB"/>
    <w:rsid w:val="00460A98"/>
    <w:rsid w:val="0046146A"/>
    <w:rsid w:val="0046196E"/>
    <w:rsid w:val="00461B8C"/>
    <w:rsid w:val="00461E14"/>
    <w:rsid w:val="00461F04"/>
    <w:rsid w:val="00462493"/>
    <w:rsid w:val="00462CC2"/>
    <w:rsid w:val="00462CF1"/>
    <w:rsid w:val="00462DE1"/>
    <w:rsid w:val="00462E26"/>
    <w:rsid w:val="0046334F"/>
    <w:rsid w:val="0046341F"/>
    <w:rsid w:val="004642A9"/>
    <w:rsid w:val="004645F7"/>
    <w:rsid w:val="00464830"/>
    <w:rsid w:val="00464DF5"/>
    <w:rsid w:val="004652AF"/>
    <w:rsid w:val="00465E1A"/>
    <w:rsid w:val="004669B1"/>
    <w:rsid w:val="00466BBC"/>
    <w:rsid w:val="0046729B"/>
    <w:rsid w:val="004672D0"/>
    <w:rsid w:val="004675A9"/>
    <w:rsid w:val="0046767E"/>
    <w:rsid w:val="004679D0"/>
    <w:rsid w:val="00467A7D"/>
    <w:rsid w:val="00467C5D"/>
    <w:rsid w:val="00470826"/>
    <w:rsid w:val="00470C25"/>
    <w:rsid w:val="00470D9E"/>
    <w:rsid w:val="004710F1"/>
    <w:rsid w:val="0047126B"/>
    <w:rsid w:val="004713E3"/>
    <w:rsid w:val="00471B51"/>
    <w:rsid w:val="004727D3"/>
    <w:rsid w:val="00472A7B"/>
    <w:rsid w:val="00472BC6"/>
    <w:rsid w:val="00472D07"/>
    <w:rsid w:val="00473796"/>
    <w:rsid w:val="004737AF"/>
    <w:rsid w:val="00473ADD"/>
    <w:rsid w:val="00473ED5"/>
    <w:rsid w:val="00474055"/>
    <w:rsid w:val="00474370"/>
    <w:rsid w:val="00474505"/>
    <w:rsid w:val="004745CB"/>
    <w:rsid w:val="004746F6"/>
    <w:rsid w:val="0047472D"/>
    <w:rsid w:val="00474991"/>
    <w:rsid w:val="00475228"/>
    <w:rsid w:val="0047539A"/>
    <w:rsid w:val="0047577B"/>
    <w:rsid w:val="00475B51"/>
    <w:rsid w:val="004763E0"/>
    <w:rsid w:val="00476967"/>
    <w:rsid w:val="00477BBF"/>
    <w:rsid w:val="00477FDE"/>
    <w:rsid w:val="00480011"/>
    <w:rsid w:val="004800FA"/>
    <w:rsid w:val="0048070C"/>
    <w:rsid w:val="004809CE"/>
    <w:rsid w:val="00480EB7"/>
    <w:rsid w:val="00481277"/>
    <w:rsid w:val="004818CD"/>
    <w:rsid w:val="00481CB3"/>
    <w:rsid w:val="00481D74"/>
    <w:rsid w:val="004827EE"/>
    <w:rsid w:val="004829CA"/>
    <w:rsid w:val="00482C65"/>
    <w:rsid w:val="004833D2"/>
    <w:rsid w:val="0048355D"/>
    <w:rsid w:val="00483981"/>
    <w:rsid w:val="00483BAA"/>
    <w:rsid w:val="00483D3E"/>
    <w:rsid w:val="00484062"/>
    <w:rsid w:val="00484397"/>
    <w:rsid w:val="0048456C"/>
    <w:rsid w:val="00484756"/>
    <w:rsid w:val="0048478C"/>
    <w:rsid w:val="004849CA"/>
    <w:rsid w:val="00484FE6"/>
    <w:rsid w:val="004851E9"/>
    <w:rsid w:val="0048544C"/>
    <w:rsid w:val="00485549"/>
    <w:rsid w:val="0048578D"/>
    <w:rsid w:val="004858DF"/>
    <w:rsid w:val="00485922"/>
    <w:rsid w:val="00485B8D"/>
    <w:rsid w:val="00485F0B"/>
    <w:rsid w:val="004864D8"/>
    <w:rsid w:val="00486861"/>
    <w:rsid w:val="00486DC8"/>
    <w:rsid w:val="00486DE0"/>
    <w:rsid w:val="00486FB5"/>
    <w:rsid w:val="004871B5"/>
    <w:rsid w:val="00487C04"/>
    <w:rsid w:val="004904C8"/>
    <w:rsid w:val="00490CE1"/>
    <w:rsid w:val="00490FBB"/>
    <w:rsid w:val="004912FC"/>
    <w:rsid w:val="004915E4"/>
    <w:rsid w:val="00492955"/>
    <w:rsid w:val="00492FF7"/>
    <w:rsid w:val="00493E43"/>
    <w:rsid w:val="00494665"/>
    <w:rsid w:val="00494705"/>
    <w:rsid w:val="004949BF"/>
    <w:rsid w:val="00494B57"/>
    <w:rsid w:val="0049588F"/>
    <w:rsid w:val="00495D13"/>
    <w:rsid w:val="00496826"/>
    <w:rsid w:val="00497323"/>
    <w:rsid w:val="0049735E"/>
    <w:rsid w:val="00497BEF"/>
    <w:rsid w:val="00497F2F"/>
    <w:rsid w:val="004A0317"/>
    <w:rsid w:val="004A04A5"/>
    <w:rsid w:val="004A05BC"/>
    <w:rsid w:val="004A07BF"/>
    <w:rsid w:val="004A0BF9"/>
    <w:rsid w:val="004A0C3C"/>
    <w:rsid w:val="004A1A43"/>
    <w:rsid w:val="004A2C85"/>
    <w:rsid w:val="004A2F05"/>
    <w:rsid w:val="004A3E74"/>
    <w:rsid w:val="004A3E90"/>
    <w:rsid w:val="004A45A6"/>
    <w:rsid w:val="004A4CE7"/>
    <w:rsid w:val="004A4D13"/>
    <w:rsid w:val="004A577D"/>
    <w:rsid w:val="004A648A"/>
    <w:rsid w:val="004A66AA"/>
    <w:rsid w:val="004A690B"/>
    <w:rsid w:val="004A6A1C"/>
    <w:rsid w:val="004A6AEB"/>
    <w:rsid w:val="004A7105"/>
    <w:rsid w:val="004A75B6"/>
    <w:rsid w:val="004A7954"/>
    <w:rsid w:val="004A7A2A"/>
    <w:rsid w:val="004A7A98"/>
    <w:rsid w:val="004B0546"/>
    <w:rsid w:val="004B075A"/>
    <w:rsid w:val="004B0F5C"/>
    <w:rsid w:val="004B126D"/>
    <w:rsid w:val="004B214C"/>
    <w:rsid w:val="004B23BC"/>
    <w:rsid w:val="004B24E1"/>
    <w:rsid w:val="004B2B3A"/>
    <w:rsid w:val="004B2B65"/>
    <w:rsid w:val="004B33AD"/>
    <w:rsid w:val="004B3764"/>
    <w:rsid w:val="004B3CC6"/>
    <w:rsid w:val="004B4170"/>
    <w:rsid w:val="004B42C5"/>
    <w:rsid w:val="004B441A"/>
    <w:rsid w:val="004B4574"/>
    <w:rsid w:val="004B4670"/>
    <w:rsid w:val="004B4768"/>
    <w:rsid w:val="004B4829"/>
    <w:rsid w:val="004B4E34"/>
    <w:rsid w:val="004B5206"/>
    <w:rsid w:val="004B531F"/>
    <w:rsid w:val="004B54B8"/>
    <w:rsid w:val="004B5609"/>
    <w:rsid w:val="004B5A01"/>
    <w:rsid w:val="004B6A91"/>
    <w:rsid w:val="004B6B0B"/>
    <w:rsid w:val="004B6B4B"/>
    <w:rsid w:val="004B6C54"/>
    <w:rsid w:val="004B6D81"/>
    <w:rsid w:val="004B7199"/>
    <w:rsid w:val="004B71E1"/>
    <w:rsid w:val="004B7435"/>
    <w:rsid w:val="004B790A"/>
    <w:rsid w:val="004B7A01"/>
    <w:rsid w:val="004B7A5B"/>
    <w:rsid w:val="004B7B50"/>
    <w:rsid w:val="004B7BF9"/>
    <w:rsid w:val="004B7C5F"/>
    <w:rsid w:val="004B7C64"/>
    <w:rsid w:val="004C02A7"/>
    <w:rsid w:val="004C0ED9"/>
    <w:rsid w:val="004C1A46"/>
    <w:rsid w:val="004C1EF8"/>
    <w:rsid w:val="004C1FF0"/>
    <w:rsid w:val="004C20FE"/>
    <w:rsid w:val="004C2AFD"/>
    <w:rsid w:val="004C2C5E"/>
    <w:rsid w:val="004C3290"/>
    <w:rsid w:val="004C331B"/>
    <w:rsid w:val="004C4736"/>
    <w:rsid w:val="004C4826"/>
    <w:rsid w:val="004C49FD"/>
    <w:rsid w:val="004C4E32"/>
    <w:rsid w:val="004C54E9"/>
    <w:rsid w:val="004C5BC4"/>
    <w:rsid w:val="004C5E55"/>
    <w:rsid w:val="004C7074"/>
    <w:rsid w:val="004C7458"/>
    <w:rsid w:val="004D01D2"/>
    <w:rsid w:val="004D030C"/>
    <w:rsid w:val="004D08F5"/>
    <w:rsid w:val="004D0C06"/>
    <w:rsid w:val="004D0E6F"/>
    <w:rsid w:val="004D0FEC"/>
    <w:rsid w:val="004D14C4"/>
    <w:rsid w:val="004D1545"/>
    <w:rsid w:val="004D16FF"/>
    <w:rsid w:val="004D198B"/>
    <w:rsid w:val="004D2037"/>
    <w:rsid w:val="004D2344"/>
    <w:rsid w:val="004D2F66"/>
    <w:rsid w:val="004D2FDE"/>
    <w:rsid w:val="004D3289"/>
    <w:rsid w:val="004D3681"/>
    <w:rsid w:val="004D3738"/>
    <w:rsid w:val="004D3AED"/>
    <w:rsid w:val="004D47F6"/>
    <w:rsid w:val="004D484B"/>
    <w:rsid w:val="004D49E2"/>
    <w:rsid w:val="004D4FC2"/>
    <w:rsid w:val="004D5409"/>
    <w:rsid w:val="004D57D5"/>
    <w:rsid w:val="004D5DCA"/>
    <w:rsid w:val="004D6167"/>
    <w:rsid w:val="004D668C"/>
    <w:rsid w:val="004D67F9"/>
    <w:rsid w:val="004D6B7E"/>
    <w:rsid w:val="004D6D3C"/>
    <w:rsid w:val="004D6DFD"/>
    <w:rsid w:val="004E04AE"/>
    <w:rsid w:val="004E1108"/>
    <w:rsid w:val="004E1482"/>
    <w:rsid w:val="004E1DDC"/>
    <w:rsid w:val="004E268C"/>
    <w:rsid w:val="004E2B12"/>
    <w:rsid w:val="004E3478"/>
    <w:rsid w:val="004E3ABF"/>
    <w:rsid w:val="004E3C3B"/>
    <w:rsid w:val="004E44FF"/>
    <w:rsid w:val="004E4502"/>
    <w:rsid w:val="004E45EC"/>
    <w:rsid w:val="004E4CEA"/>
    <w:rsid w:val="004E4E87"/>
    <w:rsid w:val="004E500C"/>
    <w:rsid w:val="004E50D4"/>
    <w:rsid w:val="004E525B"/>
    <w:rsid w:val="004E56EA"/>
    <w:rsid w:val="004E57A1"/>
    <w:rsid w:val="004E5A4B"/>
    <w:rsid w:val="004E5E66"/>
    <w:rsid w:val="004E5EEF"/>
    <w:rsid w:val="004E612C"/>
    <w:rsid w:val="004E6204"/>
    <w:rsid w:val="004E67CE"/>
    <w:rsid w:val="004E6FD5"/>
    <w:rsid w:val="004E747E"/>
    <w:rsid w:val="004F0080"/>
    <w:rsid w:val="004F05DF"/>
    <w:rsid w:val="004F0D95"/>
    <w:rsid w:val="004F1092"/>
    <w:rsid w:val="004F14EB"/>
    <w:rsid w:val="004F195E"/>
    <w:rsid w:val="004F1B5C"/>
    <w:rsid w:val="004F22ED"/>
    <w:rsid w:val="004F2334"/>
    <w:rsid w:val="004F2393"/>
    <w:rsid w:val="004F23F0"/>
    <w:rsid w:val="004F298C"/>
    <w:rsid w:val="004F2FC4"/>
    <w:rsid w:val="004F3FBE"/>
    <w:rsid w:val="004F402E"/>
    <w:rsid w:val="004F42AD"/>
    <w:rsid w:val="004F497D"/>
    <w:rsid w:val="004F4CA8"/>
    <w:rsid w:val="004F54C8"/>
    <w:rsid w:val="004F5D9E"/>
    <w:rsid w:val="004F6DC3"/>
    <w:rsid w:val="004F6E69"/>
    <w:rsid w:val="004F757E"/>
    <w:rsid w:val="004F766B"/>
    <w:rsid w:val="0050099A"/>
    <w:rsid w:val="00500F01"/>
    <w:rsid w:val="0050143E"/>
    <w:rsid w:val="00501A3E"/>
    <w:rsid w:val="00502999"/>
    <w:rsid w:val="00502D7C"/>
    <w:rsid w:val="00503C80"/>
    <w:rsid w:val="00504080"/>
    <w:rsid w:val="005049A6"/>
    <w:rsid w:val="00504E10"/>
    <w:rsid w:val="00504E9D"/>
    <w:rsid w:val="00505401"/>
    <w:rsid w:val="005065D3"/>
    <w:rsid w:val="0050709F"/>
    <w:rsid w:val="0050763E"/>
    <w:rsid w:val="00507688"/>
    <w:rsid w:val="00507716"/>
    <w:rsid w:val="00510C16"/>
    <w:rsid w:val="00510DED"/>
    <w:rsid w:val="005112ED"/>
    <w:rsid w:val="00511320"/>
    <w:rsid w:val="005113FF"/>
    <w:rsid w:val="00511A0B"/>
    <w:rsid w:val="00511AB2"/>
    <w:rsid w:val="00511BC7"/>
    <w:rsid w:val="00511DEF"/>
    <w:rsid w:val="00512082"/>
    <w:rsid w:val="00512220"/>
    <w:rsid w:val="005122E0"/>
    <w:rsid w:val="00513214"/>
    <w:rsid w:val="00513345"/>
    <w:rsid w:val="005136BD"/>
    <w:rsid w:val="00514825"/>
    <w:rsid w:val="00514B55"/>
    <w:rsid w:val="005152F2"/>
    <w:rsid w:val="00515522"/>
    <w:rsid w:val="005157AC"/>
    <w:rsid w:val="005159E5"/>
    <w:rsid w:val="00515AA9"/>
    <w:rsid w:val="00515B3D"/>
    <w:rsid w:val="00516052"/>
    <w:rsid w:val="0051648A"/>
    <w:rsid w:val="0051674F"/>
    <w:rsid w:val="00516808"/>
    <w:rsid w:val="0051690F"/>
    <w:rsid w:val="00516A8B"/>
    <w:rsid w:val="00517619"/>
    <w:rsid w:val="00520025"/>
    <w:rsid w:val="0052025C"/>
    <w:rsid w:val="0052068F"/>
    <w:rsid w:val="00520E2A"/>
    <w:rsid w:val="00520E76"/>
    <w:rsid w:val="00520EDA"/>
    <w:rsid w:val="0052101E"/>
    <w:rsid w:val="00521830"/>
    <w:rsid w:val="00521C0F"/>
    <w:rsid w:val="00521E05"/>
    <w:rsid w:val="00521F0C"/>
    <w:rsid w:val="005228B2"/>
    <w:rsid w:val="005229A4"/>
    <w:rsid w:val="0052320D"/>
    <w:rsid w:val="00523A9B"/>
    <w:rsid w:val="00523D2B"/>
    <w:rsid w:val="00524146"/>
    <w:rsid w:val="005241B7"/>
    <w:rsid w:val="00524E50"/>
    <w:rsid w:val="005250C0"/>
    <w:rsid w:val="005251B2"/>
    <w:rsid w:val="0052531F"/>
    <w:rsid w:val="0052558A"/>
    <w:rsid w:val="005255BD"/>
    <w:rsid w:val="00525A43"/>
    <w:rsid w:val="00526797"/>
    <w:rsid w:val="005267E3"/>
    <w:rsid w:val="00526C87"/>
    <w:rsid w:val="00526CA3"/>
    <w:rsid w:val="00526CC6"/>
    <w:rsid w:val="0052703F"/>
    <w:rsid w:val="00527447"/>
    <w:rsid w:val="00527491"/>
    <w:rsid w:val="00527652"/>
    <w:rsid w:val="005278C8"/>
    <w:rsid w:val="00527926"/>
    <w:rsid w:val="00527B87"/>
    <w:rsid w:val="00527C1E"/>
    <w:rsid w:val="0053028F"/>
    <w:rsid w:val="005303DC"/>
    <w:rsid w:val="00530C3E"/>
    <w:rsid w:val="00530D84"/>
    <w:rsid w:val="0053135A"/>
    <w:rsid w:val="00531756"/>
    <w:rsid w:val="00532369"/>
    <w:rsid w:val="005329DE"/>
    <w:rsid w:val="00532C4F"/>
    <w:rsid w:val="00532FE5"/>
    <w:rsid w:val="00533760"/>
    <w:rsid w:val="00533FA7"/>
    <w:rsid w:val="00533FF1"/>
    <w:rsid w:val="00534942"/>
    <w:rsid w:val="00535CA9"/>
    <w:rsid w:val="00535D38"/>
    <w:rsid w:val="00535D62"/>
    <w:rsid w:val="00536084"/>
    <w:rsid w:val="005368BA"/>
    <w:rsid w:val="00536DD2"/>
    <w:rsid w:val="005374C1"/>
    <w:rsid w:val="00537ABE"/>
    <w:rsid w:val="00537B58"/>
    <w:rsid w:val="0054039D"/>
    <w:rsid w:val="005404F3"/>
    <w:rsid w:val="00541104"/>
    <w:rsid w:val="005412FF"/>
    <w:rsid w:val="00541400"/>
    <w:rsid w:val="0054153C"/>
    <w:rsid w:val="00541AAD"/>
    <w:rsid w:val="00541D71"/>
    <w:rsid w:val="00541EAC"/>
    <w:rsid w:val="00542349"/>
    <w:rsid w:val="005427D8"/>
    <w:rsid w:val="00542957"/>
    <w:rsid w:val="0054361E"/>
    <w:rsid w:val="00543739"/>
    <w:rsid w:val="00544354"/>
    <w:rsid w:val="005443EF"/>
    <w:rsid w:val="00544961"/>
    <w:rsid w:val="00544ACF"/>
    <w:rsid w:val="00544BE8"/>
    <w:rsid w:val="00545A06"/>
    <w:rsid w:val="00546018"/>
    <w:rsid w:val="00546C08"/>
    <w:rsid w:val="00547E3F"/>
    <w:rsid w:val="0055097B"/>
    <w:rsid w:val="00550BF4"/>
    <w:rsid w:val="005518EB"/>
    <w:rsid w:val="00551FE5"/>
    <w:rsid w:val="00552104"/>
    <w:rsid w:val="00552AE5"/>
    <w:rsid w:val="00552CE5"/>
    <w:rsid w:val="0055320A"/>
    <w:rsid w:val="0055321F"/>
    <w:rsid w:val="00554245"/>
    <w:rsid w:val="00554490"/>
    <w:rsid w:val="005549BB"/>
    <w:rsid w:val="00554B4E"/>
    <w:rsid w:val="00554BE4"/>
    <w:rsid w:val="00554C25"/>
    <w:rsid w:val="00554DB8"/>
    <w:rsid w:val="00554ED9"/>
    <w:rsid w:val="005550A8"/>
    <w:rsid w:val="005551CA"/>
    <w:rsid w:val="005557C5"/>
    <w:rsid w:val="00555DCF"/>
    <w:rsid w:val="00555EAB"/>
    <w:rsid w:val="00555ED1"/>
    <w:rsid w:val="00556310"/>
    <w:rsid w:val="00556398"/>
    <w:rsid w:val="005569DE"/>
    <w:rsid w:val="00556B35"/>
    <w:rsid w:val="00556D4F"/>
    <w:rsid w:val="00556F90"/>
    <w:rsid w:val="0055711B"/>
    <w:rsid w:val="00557188"/>
    <w:rsid w:val="005575AE"/>
    <w:rsid w:val="0056012B"/>
    <w:rsid w:val="00560141"/>
    <w:rsid w:val="00560245"/>
    <w:rsid w:val="00560468"/>
    <w:rsid w:val="00560F5C"/>
    <w:rsid w:val="005610DA"/>
    <w:rsid w:val="00561195"/>
    <w:rsid w:val="0056147E"/>
    <w:rsid w:val="00561B7F"/>
    <w:rsid w:val="0056222D"/>
    <w:rsid w:val="005636C9"/>
    <w:rsid w:val="005636DF"/>
    <w:rsid w:val="0056384E"/>
    <w:rsid w:val="0056431F"/>
    <w:rsid w:val="0056446A"/>
    <w:rsid w:val="005645B3"/>
    <w:rsid w:val="00564606"/>
    <w:rsid w:val="00564A86"/>
    <w:rsid w:val="00564C94"/>
    <w:rsid w:val="00564F80"/>
    <w:rsid w:val="00565D45"/>
    <w:rsid w:val="00565E4D"/>
    <w:rsid w:val="0056606A"/>
    <w:rsid w:val="00566107"/>
    <w:rsid w:val="005665C1"/>
    <w:rsid w:val="00566F00"/>
    <w:rsid w:val="005672AE"/>
    <w:rsid w:val="005675E9"/>
    <w:rsid w:val="00567899"/>
    <w:rsid w:val="00567D17"/>
    <w:rsid w:val="005702E2"/>
    <w:rsid w:val="00570419"/>
    <w:rsid w:val="0057069A"/>
    <w:rsid w:val="00570D9E"/>
    <w:rsid w:val="005716BD"/>
    <w:rsid w:val="00571A34"/>
    <w:rsid w:val="00571AD4"/>
    <w:rsid w:val="00572800"/>
    <w:rsid w:val="00572D39"/>
    <w:rsid w:val="0057348A"/>
    <w:rsid w:val="005739A9"/>
    <w:rsid w:val="005742CC"/>
    <w:rsid w:val="00574461"/>
    <w:rsid w:val="0057489E"/>
    <w:rsid w:val="00574AD5"/>
    <w:rsid w:val="005754F3"/>
    <w:rsid w:val="00575627"/>
    <w:rsid w:val="00575DFA"/>
    <w:rsid w:val="00576B3B"/>
    <w:rsid w:val="0057704E"/>
    <w:rsid w:val="00577133"/>
    <w:rsid w:val="005771DC"/>
    <w:rsid w:val="0057750A"/>
    <w:rsid w:val="00577F0B"/>
    <w:rsid w:val="005800B7"/>
    <w:rsid w:val="00580187"/>
    <w:rsid w:val="00580308"/>
    <w:rsid w:val="00580A9F"/>
    <w:rsid w:val="00580C1B"/>
    <w:rsid w:val="00580D94"/>
    <w:rsid w:val="00581408"/>
    <w:rsid w:val="00581558"/>
    <w:rsid w:val="005817D6"/>
    <w:rsid w:val="00582535"/>
    <w:rsid w:val="0058268B"/>
    <w:rsid w:val="005828FF"/>
    <w:rsid w:val="00582AF4"/>
    <w:rsid w:val="00582F9E"/>
    <w:rsid w:val="00583022"/>
    <w:rsid w:val="005836BD"/>
    <w:rsid w:val="0058432D"/>
    <w:rsid w:val="0058434C"/>
    <w:rsid w:val="005847F5"/>
    <w:rsid w:val="00584B0D"/>
    <w:rsid w:val="005851AF"/>
    <w:rsid w:val="005853DD"/>
    <w:rsid w:val="0058549C"/>
    <w:rsid w:val="005859B6"/>
    <w:rsid w:val="00585DA5"/>
    <w:rsid w:val="00585E7E"/>
    <w:rsid w:val="00586202"/>
    <w:rsid w:val="00586248"/>
    <w:rsid w:val="005867A9"/>
    <w:rsid w:val="00586C7A"/>
    <w:rsid w:val="00586D01"/>
    <w:rsid w:val="00586EC1"/>
    <w:rsid w:val="00587479"/>
    <w:rsid w:val="00587B83"/>
    <w:rsid w:val="00587CF5"/>
    <w:rsid w:val="00587E3B"/>
    <w:rsid w:val="00590404"/>
    <w:rsid w:val="0059045D"/>
    <w:rsid w:val="005906D0"/>
    <w:rsid w:val="005909BE"/>
    <w:rsid w:val="00590A93"/>
    <w:rsid w:val="00590B3E"/>
    <w:rsid w:val="00590D34"/>
    <w:rsid w:val="00590E99"/>
    <w:rsid w:val="0059156B"/>
    <w:rsid w:val="0059180E"/>
    <w:rsid w:val="005922A6"/>
    <w:rsid w:val="00592719"/>
    <w:rsid w:val="005927BA"/>
    <w:rsid w:val="00592926"/>
    <w:rsid w:val="00592A66"/>
    <w:rsid w:val="00592E07"/>
    <w:rsid w:val="0059342A"/>
    <w:rsid w:val="00593E89"/>
    <w:rsid w:val="0059521C"/>
    <w:rsid w:val="00595227"/>
    <w:rsid w:val="0059533B"/>
    <w:rsid w:val="00595552"/>
    <w:rsid w:val="00595D6D"/>
    <w:rsid w:val="00595E02"/>
    <w:rsid w:val="005A0046"/>
    <w:rsid w:val="005A00BB"/>
    <w:rsid w:val="005A011F"/>
    <w:rsid w:val="005A085B"/>
    <w:rsid w:val="005A08B8"/>
    <w:rsid w:val="005A09FB"/>
    <w:rsid w:val="005A0C40"/>
    <w:rsid w:val="005A0CB3"/>
    <w:rsid w:val="005A0E16"/>
    <w:rsid w:val="005A1523"/>
    <w:rsid w:val="005A1544"/>
    <w:rsid w:val="005A1648"/>
    <w:rsid w:val="005A1705"/>
    <w:rsid w:val="005A1EA3"/>
    <w:rsid w:val="005A1F3C"/>
    <w:rsid w:val="005A246B"/>
    <w:rsid w:val="005A2531"/>
    <w:rsid w:val="005A2591"/>
    <w:rsid w:val="005A32FB"/>
    <w:rsid w:val="005A42DA"/>
    <w:rsid w:val="005A443D"/>
    <w:rsid w:val="005A45D5"/>
    <w:rsid w:val="005A47B7"/>
    <w:rsid w:val="005A4B44"/>
    <w:rsid w:val="005A4CCC"/>
    <w:rsid w:val="005A4F8D"/>
    <w:rsid w:val="005A5730"/>
    <w:rsid w:val="005A5A23"/>
    <w:rsid w:val="005A5FA2"/>
    <w:rsid w:val="005A6756"/>
    <w:rsid w:val="005A6D67"/>
    <w:rsid w:val="005A729F"/>
    <w:rsid w:val="005A78C4"/>
    <w:rsid w:val="005A7C26"/>
    <w:rsid w:val="005B0150"/>
    <w:rsid w:val="005B0DC0"/>
    <w:rsid w:val="005B0F28"/>
    <w:rsid w:val="005B102A"/>
    <w:rsid w:val="005B1079"/>
    <w:rsid w:val="005B1368"/>
    <w:rsid w:val="005B164E"/>
    <w:rsid w:val="005B1942"/>
    <w:rsid w:val="005B1B73"/>
    <w:rsid w:val="005B1B97"/>
    <w:rsid w:val="005B1BF2"/>
    <w:rsid w:val="005B1DFA"/>
    <w:rsid w:val="005B1F28"/>
    <w:rsid w:val="005B202A"/>
    <w:rsid w:val="005B2CFC"/>
    <w:rsid w:val="005B2E10"/>
    <w:rsid w:val="005B2E49"/>
    <w:rsid w:val="005B309E"/>
    <w:rsid w:val="005B3117"/>
    <w:rsid w:val="005B3D03"/>
    <w:rsid w:val="005B4380"/>
    <w:rsid w:val="005B439B"/>
    <w:rsid w:val="005B43D3"/>
    <w:rsid w:val="005B4C41"/>
    <w:rsid w:val="005B4F47"/>
    <w:rsid w:val="005B5049"/>
    <w:rsid w:val="005B5D54"/>
    <w:rsid w:val="005B5DB6"/>
    <w:rsid w:val="005B64DF"/>
    <w:rsid w:val="005B6528"/>
    <w:rsid w:val="005B6574"/>
    <w:rsid w:val="005B6863"/>
    <w:rsid w:val="005B6A5C"/>
    <w:rsid w:val="005B7118"/>
    <w:rsid w:val="005B73DE"/>
    <w:rsid w:val="005B750E"/>
    <w:rsid w:val="005B7673"/>
    <w:rsid w:val="005B7804"/>
    <w:rsid w:val="005B7C92"/>
    <w:rsid w:val="005C08F2"/>
    <w:rsid w:val="005C0C7C"/>
    <w:rsid w:val="005C106D"/>
    <w:rsid w:val="005C1716"/>
    <w:rsid w:val="005C1DE1"/>
    <w:rsid w:val="005C1E1F"/>
    <w:rsid w:val="005C268D"/>
    <w:rsid w:val="005C271D"/>
    <w:rsid w:val="005C30C0"/>
    <w:rsid w:val="005C340B"/>
    <w:rsid w:val="005C3870"/>
    <w:rsid w:val="005C38D3"/>
    <w:rsid w:val="005C3D8E"/>
    <w:rsid w:val="005C413E"/>
    <w:rsid w:val="005C5329"/>
    <w:rsid w:val="005C562C"/>
    <w:rsid w:val="005C570A"/>
    <w:rsid w:val="005C57CA"/>
    <w:rsid w:val="005C5A65"/>
    <w:rsid w:val="005C5C5A"/>
    <w:rsid w:val="005C6336"/>
    <w:rsid w:val="005C65FA"/>
    <w:rsid w:val="005C6FDB"/>
    <w:rsid w:val="005C731D"/>
    <w:rsid w:val="005C73BD"/>
    <w:rsid w:val="005C73F2"/>
    <w:rsid w:val="005C7768"/>
    <w:rsid w:val="005C78A9"/>
    <w:rsid w:val="005D0460"/>
    <w:rsid w:val="005D0690"/>
    <w:rsid w:val="005D09BF"/>
    <w:rsid w:val="005D0C76"/>
    <w:rsid w:val="005D1360"/>
    <w:rsid w:val="005D146E"/>
    <w:rsid w:val="005D170B"/>
    <w:rsid w:val="005D1CAC"/>
    <w:rsid w:val="005D1E06"/>
    <w:rsid w:val="005D1EDC"/>
    <w:rsid w:val="005D1F7D"/>
    <w:rsid w:val="005D20B7"/>
    <w:rsid w:val="005D20E0"/>
    <w:rsid w:val="005D2355"/>
    <w:rsid w:val="005D2619"/>
    <w:rsid w:val="005D2B7F"/>
    <w:rsid w:val="005D2C57"/>
    <w:rsid w:val="005D2D39"/>
    <w:rsid w:val="005D3048"/>
    <w:rsid w:val="005D30C3"/>
    <w:rsid w:val="005D345A"/>
    <w:rsid w:val="005D356D"/>
    <w:rsid w:val="005D358D"/>
    <w:rsid w:val="005D3657"/>
    <w:rsid w:val="005D3CD1"/>
    <w:rsid w:val="005D5449"/>
    <w:rsid w:val="005D5713"/>
    <w:rsid w:val="005D5B96"/>
    <w:rsid w:val="005D5C9C"/>
    <w:rsid w:val="005D5DCA"/>
    <w:rsid w:val="005D60C9"/>
    <w:rsid w:val="005D65F8"/>
    <w:rsid w:val="005D678D"/>
    <w:rsid w:val="005D67A5"/>
    <w:rsid w:val="005D6C8F"/>
    <w:rsid w:val="005D716A"/>
    <w:rsid w:val="005D71AB"/>
    <w:rsid w:val="005D722F"/>
    <w:rsid w:val="005D7437"/>
    <w:rsid w:val="005D7B79"/>
    <w:rsid w:val="005D7FB7"/>
    <w:rsid w:val="005E0074"/>
    <w:rsid w:val="005E05A3"/>
    <w:rsid w:val="005E09AB"/>
    <w:rsid w:val="005E0AE1"/>
    <w:rsid w:val="005E0D85"/>
    <w:rsid w:val="005E11DE"/>
    <w:rsid w:val="005E140D"/>
    <w:rsid w:val="005E14A8"/>
    <w:rsid w:val="005E15D9"/>
    <w:rsid w:val="005E1AC4"/>
    <w:rsid w:val="005E251D"/>
    <w:rsid w:val="005E2D0D"/>
    <w:rsid w:val="005E2D6B"/>
    <w:rsid w:val="005E2E77"/>
    <w:rsid w:val="005E32A0"/>
    <w:rsid w:val="005E352F"/>
    <w:rsid w:val="005E3A83"/>
    <w:rsid w:val="005E3B5B"/>
    <w:rsid w:val="005E3CD2"/>
    <w:rsid w:val="005E3CD8"/>
    <w:rsid w:val="005E3F4F"/>
    <w:rsid w:val="005E4852"/>
    <w:rsid w:val="005E4C8D"/>
    <w:rsid w:val="005E4F38"/>
    <w:rsid w:val="005E5008"/>
    <w:rsid w:val="005E5277"/>
    <w:rsid w:val="005E5600"/>
    <w:rsid w:val="005E5B0F"/>
    <w:rsid w:val="005E5BBF"/>
    <w:rsid w:val="005E5E88"/>
    <w:rsid w:val="005E60DE"/>
    <w:rsid w:val="005E62E0"/>
    <w:rsid w:val="005E649A"/>
    <w:rsid w:val="005E6649"/>
    <w:rsid w:val="005E686F"/>
    <w:rsid w:val="005E7034"/>
    <w:rsid w:val="005E71BD"/>
    <w:rsid w:val="005F0731"/>
    <w:rsid w:val="005F0B27"/>
    <w:rsid w:val="005F0D96"/>
    <w:rsid w:val="005F1632"/>
    <w:rsid w:val="005F1F37"/>
    <w:rsid w:val="005F1FD2"/>
    <w:rsid w:val="005F28D2"/>
    <w:rsid w:val="005F2E23"/>
    <w:rsid w:val="005F2E61"/>
    <w:rsid w:val="005F3142"/>
    <w:rsid w:val="005F33FF"/>
    <w:rsid w:val="005F3405"/>
    <w:rsid w:val="005F34C5"/>
    <w:rsid w:val="005F35D8"/>
    <w:rsid w:val="005F37EF"/>
    <w:rsid w:val="005F3AB6"/>
    <w:rsid w:val="005F4215"/>
    <w:rsid w:val="005F42F9"/>
    <w:rsid w:val="005F504A"/>
    <w:rsid w:val="005F52DE"/>
    <w:rsid w:val="005F5569"/>
    <w:rsid w:val="005F5C01"/>
    <w:rsid w:val="005F63BB"/>
    <w:rsid w:val="005F75C6"/>
    <w:rsid w:val="005F76A2"/>
    <w:rsid w:val="005F76B1"/>
    <w:rsid w:val="005F7E72"/>
    <w:rsid w:val="0060069C"/>
    <w:rsid w:val="006006FB"/>
    <w:rsid w:val="00600A28"/>
    <w:rsid w:val="00600DAB"/>
    <w:rsid w:val="00600DEB"/>
    <w:rsid w:val="00600FC8"/>
    <w:rsid w:val="0060127E"/>
    <w:rsid w:val="006013DE"/>
    <w:rsid w:val="00601645"/>
    <w:rsid w:val="00601DEF"/>
    <w:rsid w:val="00602497"/>
    <w:rsid w:val="006025C8"/>
    <w:rsid w:val="006030B0"/>
    <w:rsid w:val="006031FD"/>
    <w:rsid w:val="0060349A"/>
    <w:rsid w:val="00603526"/>
    <w:rsid w:val="006036A4"/>
    <w:rsid w:val="006038CA"/>
    <w:rsid w:val="00603AF6"/>
    <w:rsid w:val="00603D0D"/>
    <w:rsid w:val="00603FB4"/>
    <w:rsid w:val="0060429B"/>
    <w:rsid w:val="00604B22"/>
    <w:rsid w:val="00604B31"/>
    <w:rsid w:val="0060539E"/>
    <w:rsid w:val="00605413"/>
    <w:rsid w:val="00605592"/>
    <w:rsid w:val="0060586C"/>
    <w:rsid w:val="00605BCD"/>
    <w:rsid w:val="00605C28"/>
    <w:rsid w:val="00605C7F"/>
    <w:rsid w:val="006060EC"/>
    <w:rsid w:val="006061F9"/>
    <w:rsid w:val="006067E7"/>
    <w:rsid w:val="00606993"/>
    <w:rsid w:val="00606D11"/>
    <w:rsid w:val="00607F2B"/>
    <w:rsid w:val="006100BF"/>
    <w:rsid w:val="006101AB"/>
    <w:rsid w:val="0061046A"/>
    <w:rsid w:val="006109B6"/>
    <w:rsid w:val="00610A42"/>
    <w:rsid w:val="00610CD2"/>
    <w:rsid w:val="00610ECA"/>
    <w:rsid w:val="00611246"/>
    <w:rsid w:val="00611936"/>
    <w:rsid w:val="00611938"/>
    <w:rsid w:val="00611B3B"/>
    <w:rsid w:val="00611B5D"/>
    <w:rsid w:val="00611D37"/>
    <w:rsid w:val="00612044"/>
    <w:rsid w:val="00612122"/>
    <w:rsid w:val="006127C0"/>
    <w:rsid w:val="00612993"/>
    <w:rsid w:val="00612E8B"/>
    <w:rsid w:val="00612F3B"/>
    <w:rsid w:val="0061330B"/>
    <w:rsid w:val="006134F3"/>
    <w:rsid w:val="00613A92"/>
    <w:rsid w:val="00613D4D"/>
    <w:rsid w:val="00613E97"/>
    <w:rsid w:val="00613FDE"/>
    <w:rsid w:val="006147CF"/>
    <w:rsid w:val="00614B64"/>
    <w:rsid w:val="006150AD"/>
    <w:rsid w:val="00615334"/>
    <w:rsid w:val="006154C9"/>
    <w:rsid w:val="006154E5"/>
    <w:rsid w:val="006155E2"/>
    <w:rsid w:val="006157E8"/>
    <w:rsid w:val="00615A90"/>
    <w:rsid w:val="006162D7"/>
    <w:rsid w:val="00616485"/>
    <w:rsid w:val="00616CEA"/>
    <w:rsid w:val="00616D27"/>
    <w:rsid w:val="00616D95"/>
    <w:rsid w:val="006171A8"/>
    <w:rsid w:val="006175C6"/>
    <w:rsid w:val="006177D4"/>
    <w:rsid w:val="00617E3A"/>
    <w:rsid w:val="00617F8B"/>
    <w:rsid w:val="006204F7"/>
    <w:rsid w:val="00621382"/>
    <w:rsid w:val="006218A3"/>
    <w:rsid w:val="00621A8F"/>
    <w:rsid w:val="00621CE9"/>
    <w:rsid w:val="00621D3A"/>
    <w:rsid w:val="00621E93"/>
    <w:rsid w:val="006221A9"/>
    <w:rsid w:val="00622270"/>
    <w:rsid w:val="006222D9"/>
    <w:rsid w:val="006225CB"/>
    <w:rsid w:val="00623287"/>
    <w:rsid w:val="006233D6"/>
    <w:rsid w:val="0062344A"/>
    <w:rsid w:val="00623E32"/>
    <w:rsid w:val="00624215"/>
    <w:rsid w:val="00624549"/>
    <w:rsid w:val="00624A81"/>
    <w:rsid w:val="00624B33"/>
    <w:rsid w:val="00624C68"/>
    <w:rsid w:val="006253D6"/>
    <w:rsid w:val="006259BD"/>
    <w:rsid w:val="00625DC2"/>
    <w:rsid w:val="00625DE4"/>
    <w:rsid w:val="00626082"/>
    <w:rsid w:val="006260C6"/>
    <w:rsid w:val="00626778"/>
    <w:rsid w:val="00627114"/>
    <w:rsid w:val="00627373"/>
    <w:rsid w:val="0062794F"/>
    <w:rsid w:val="006279D7"/>
    <w:rsid w:val="00627AE2"/>
    <w:rsid w:val="00627BB7"/>
    <w:rsid w:val="00627D4F"/>
    <w:rsid w:val="00627F25"/>
    <w:rsid w:val="00630A34"/>
    <w:rsid w:val="0063109A"/>
    <w:rsid w:val="006313AF"/>
    <w:rsid w:val="00631540"/>
    <w:rsid w:val="0063160A"/>
    <w:rsid w:val="00631EEC"/>
    <w:rsid w:val="006321C3"/>
    <w:rsid w:val="006327E8"/>
    <w:rsid w:val="00632839"/>
    <w:rsid w:val="00632A38"/>
    <w:rsid w:val="00632B45"/>
    <w:rsid w:val="00632C1F"/>
    <w:rsid w:val="00633282"/>
    <w:rsid w:val="006333E2"/>
    <w:rsid w:val="00633934"/>
    <w:rsid w:val="00633B47"/>
    <w:rsid w:val="00633D93"/>
    <w:rsid w:val="00633EA7"/>
    <w:rsid w:val="00634118"/>
    <w:rsid w:val="00634A72"/>
    <w:rsid w:val="00634CB1"/>
    <w:rsid w:val="00634D61"/>
    <w:rsid w:val="006352A1"/>
    <w:rsid w:val="00635AC9"/>
    <w:rsid w:val="00635C82"/>
    <w:rsid w:val="006368B6"/>
    <w:rsid w:val="00636940"/>
    <w:rsid w:val="00637008"/>
    <w:rsid w:val="006373D1"/>
    <w:rsid w:val="006375CD"/>
    <w:rsid w:val="006379C0"/>
    <w:rsid w:val="00640006"/>
    <w:rsid w:val="00640816"/>
    <w:rsid w:val="00641159"/>
    <w:rsid w:val="00641329"/>
    <w:rsid w:val="006415F6"/>
    <w:rsid w:val="00641848"/>
    <w:rsid w:val="00642741"/>
    <w:rsid w:val="006428B8"/>
    <w:rsid w:val="00642C2E"/>
    <w:rsid w:val="0064354F"/>
    <w:rsid w:val="00643A1A"/>
    <w:rsid w:val="00643B79"/>
    <w:rsid w:val="006446C7"/>
    <w:rsid w:val="0064507C"/>
    <w:rsid w:val="006457B3"/>
    <w:rsid w:val="00645874"/>
    <w:rsid w:val="00645BEC"/>
    <w:rsid w:val="00645C5C"/>
    <w:rsid w:val="00645CD2"/>
    <w:rsid w:val="00645E30"/>
    <w:rsid w:val="00646651"/>
    <w:rsid w:val="006466F1"/>
    <w:rsid w:val="006467DC"/>
    <w:rsid w:val="00646FA5"/>
    <w:rsid w:val="006478E7"/>
    <w:rsid w:val="00647A26"/>
    <w:rsid w:val="00647AC9"/>
    <w:rsid w:val="0065004E"/>
    <w:rsid w:val="00650072"/>
    <w:rsid w:val="006511DC"/>
    <w:rsid w:val="006511E2"/>
    <w:rsid w:val="00651307"/>
    <w:rsid w:val="006514BA"/>
    <w:rsid w:val="00651A2A"/>
    <w:rsid w:val="00651BAB"/>
    <w:rsid w:val="00651C94"/>
    <w:rsid w:val="0065205D"/>
    <w:rsid w:val="0065210C"/>
    <w:rsid w:val="00652C41"/>
    <w:rsid w:val="00652FF4"/>
    <w:rsid w:val="006530C5"/>
    <w:rsid w:val="00653893"/>
    <w:rsid w:val="00653CF9"/>
    <w:rsid w:val="006543D2"/>
    <w:rsid w:val="00654605"/>
    <w:rsid w:val="00654746"/>
    <w:rsid w:val="00654FD2"/>
    <w:rsid w:val="006553CF"/>
    <w:rsid w:val="0065569F"/>
    <w:rsid w:val="00655B22"/>
    <w:rsid w:val="006562D5"/>
    <w:rsid w:val="0065656A"/>
    <w:rsid w:val="00656F2C"/>
    <w:rsid w:val="0065708D"/>
    <w:rsid w:val="006574B4"/>
    <w:rsid w:val="00657CB0"/>
    <w:rsid w:val="00657DC9"/>
    <w:rsid w:val="00657F04"/>
    <w:rsid w:val="006610C1"/>
    <w:rsid w:val="006615A3"/>
    <w:rsid w:val="0066164A"/>
    <w:rsid w:val="00661BD4"/>
    <w:rsid w:val="00661F3C"/>
    <w:rsid w:val="0066220C"/>
    <w:rsid w:val="00662F7F"/>
    <w:rsid w:val="0066324E"/>
    <w:rsid w:val="006633DC"/>
    <w:rsid w:val="00663654"/>
    <w:rsid w:val="006637C4"/>
    <w:rsid w:val="00663BDD"/>
    <w:rsid w:val="00663C9D"/>
    <w:rsid w:val="006642B6"/>
    <w:rsid w:val="00664420"/>
    <w:rsid w:val="00664572"/>
    <w:rsid w:val="00664A93"/>
    <w:rsid w:val="00664DC7"/>
    <w:rsid w:val="00664EB7"/>
    <w:rsid w:val="00665193"/>
    <w:rsid w:val="00665260"/>
    <w:rsid w:val="0066533A"/>
    <w:rsid w:val="006659C7"/>
    <w:rsid w:val="00665C7C"/>
    <w:rsid w:val="006664BB"/>
    <w:rsid w:val="00666567"/>
    <w:rsid w:val="00666989"/>
    <w:rsid w:val="00667042"/>
    <w:rsid w:val="0066734F"/>
    <w:rsid w:val="006675F0"/>
    <w:rsid w:val="006678B0"/>
    <w:rsid w:val="0066796D"/>
    <w:rsid w:val="00667C47"/>
    <w:rsid w:val="00670061"/>
    <w:rsid w:val="0067013F"/>
    <w:rsid w:val="006704C1"/>
    <w:rsid w:val="006707FA"/>
    <w:rsid w:val="00670DD3"/>
    <w:rsid w:val="00671495"/>
    <w:rsid w:val="00671B1F"/>
    <w:rsid w:val="00671D24"/>
    <w:rsid w:val="006727E5"/>
    <w:rsid w:val="00672C66"/>
    <w:rsid w:val="006734CE"/>
    <w:rsid w:val="006739DE"/>
    <w:rsid w:val="00674071"/>
    <w:rsid w:val="0067407F"/>
    <w:rsid w:val="00674982"/>
    <w:rsid w:val="00674B2D"/>
    <w:rsid w:val="00674C00"/>
    <w:rsid w:val="0067519E"/>
    <w:rsid w:val="00675F9B"/>
    <w:rsid w:val="006760CE"/>
    <w:rsid w:val="00676C0A"/>
    <w:rsid w:val="00676DB4"/>
    <w:rsid w:val="00677629"/>
    <w:rsid w:val="00677AE3"/>
    <w:rsid w:val="0068011E"/>
    <w:rsid w:val="006804A2"/>
    <w:rsid w:val="0068051C"/>
    <w:rsid w:val="00680785"/>
    <w:rsid w:val="00680895"/>
    <w:rsid w:val="00680C1D"/>
    <w:rsid w:val="00680DB6"/>
    <w:rsid w:val="00681523"/>
    <w:rsid w:val="00681565"/>
    <w:rsid w:val="00681ACD"/>
    <w:rsid w:val="00681C0E"/>
    <w:rsid w:val="00682209"/>
    <w:rsid w:val="00682224"/>
    <w:rsid w:val="0068246D"/>
    <w:rsid w:val="006825FA"/>
    <w:rsid w:val="00682696"/>
    <w:rsid w:val="00682C6B"/>
    <w:rsid w:val="00682D2D"/>
    <w:rsid w:val="00682DBE"/>
    <w:rsid w:val="00682EA5"/>
    <w:rsid w:val="00682F6B"/>
    <w:rsid w:val="00683056"/>
    <w:rsid w:val="00683698"/>
    <w:rsid w:val="006840DD"/>
    <w:rsid w:val="006842CF"/>
    <w:rsid w:val="006843AE"/>
    <w:rsid w:val="00684652"/>
    <w:rsid w:val="006848C5"/>
    <w:rsid w:val="00685044"/>
    <w:rsid w:val="0068517E"/>
    <w:rsid w:val="00685355"/>
    <w:rsid w:val="0068555B"/>
    <w:rsid w:val="00685F78"/>
    <w:rsid w:val="00686363"/>
    <w:rsid w:val="006865BB"/>
    <w:rsid w:val="00686757"/>
    <w:rsid w:val="00686A3E"/>
    <w:rsid w:val="00686DF5"/>
    <w:rsid w:val="00686EED"/>
    <w:rsid w:val="00686F34"/>
    <w:rsid w:val="00687665"/>
    <w:rsid w:val="006877F3"/>
    <w:rsid w:val="00690681"/>
    <w:rsid w:val="00690884"/>
    <w:rsid w:val="00691210"/>
    <w:rsid w:val="0069199B"/>
    <w:rsid w:val="00692402"/>
    <w:rsid w:val="00692711"/>
    <w:rsid w:val="00692EFD"/>
    <w:rsid w:val="00693223"/>
    <w:rsid w:val="006934F5"/>
    <w:rsid w:val="006938A8"/>
    <w:rsid w:val="006939B7"/>
    <w:rsid w:val="00693E93"/>
    <w:rsid w:val="0069415F"/>
    <w:rsid w:val="006943A2"/>
    <w:rsid w:val="00694416"/>
    <w:rsid w:val="0069458C"/>
    <w:rsid w:val="00694B56"/>
    <w:rsid w:val="00694DC6"/>
    <w:rsid w:val="00695520"/>
    <w:rsid w:val="006960F0"/>
    <w:rsid w:val="00696151"/>
    <w:rsid w:val="00696AB2"/>
    <w:rsid w:val="006976FF"/>
    <w:rsid w:val="00697A13"/>
    <w:rsid w:val="006A0498"/>
    <w:rsid w:val="006A0DCB"/>
    <w:rsid w:val="006A106A"/>
    <w:rsid w:val="006A1BDA"/>
    <w:rsid w:val="006A1C4E"/>
    <w:rsid w:val="006A1FEA"/>
    <w:rsid w:val="006A21AF"/>
    <w:rsid w:val="006A23FD"/>
    <w:rsid w:val="006A2540"/>
    <w:rsid w:val="006A3231"/>
    <w:rsid w:val="006A40D8"/>
    <w:rsid w:val="006A467F"/>
    <w:rsid w:val="006A4DFB"/>
    <w:rsid w:val="006A51E4"/>
    <w:rsid w:val="006A56D7"/>
    <w:rsid w:val="006A5900"/>
    <w:rsid w:val="006A5B4A"/>
    <w:rsid w:val="006A5D29"/>
    <w:rsid w:val="006A64B0"/>
    <w:rsid w:val="006A6BB3"/>
    <w:rsid w:val="006A6CF3"/>
    <w:rsid w:val="006A6FF4"/>
    <w:rsid w:val="006A754F"/>
    <w:rsid w:val="006A7AE1"/>
    <w:rsid w:val="006A7E1E"/>
    <w:rsid w:val="006B02C1"/>
    <w:rsid w:val="006B02EC"/>
    <w:rsid w:val="006B0804"/>
    <w:rsid w:val="006B0A25"/>
    <w:rsid w:val="006B0E05"/>
    <w:rsid w:val="006B135F"/>
    <w:rsid w:val="006B146A"/>
    <w:rsid w:val="006B1724"/>
    <w:rsid w:val="006B1F1E"/>
    <w:rsid w:val="006B23E3"/>
    <w:rsid w:val="006B2861"/>
    <w:rsid w:val="006B2AC1"/>
    <w:rsid w:val="006B2BF8"/>
    <w:rsid w:val="006B2C4A"/>
    <w:rsid w:val="006B2F51"/>
    <w:rsid w:val="006B302A"/>
    <w:rsid w:val="006B3631"/>
    <w:rsid w:val="006B3923"/>
    <w:rsid w:val="006B3B27"/>
    <w:rsid w:val="006B3BAF"/>
    <w:rsid w:val="006B4207"/>
    <w:rsid w:val="006B4649"/>
    <w:rsid w:val="006B4DD8"/>
    <w:rsid w:val="006B53A7"/>
    <w:rsid w:val="006B56D8"/>
    <w:rsid w:val="006B59B3"/>
    <w:rsid w:val="006B5B7C"/>
    <w:rsid w:val="006B5C0E"/>
    <w:rsid w:val="006B610A"/>
    <w:rsid w:val="006B66AB"/>
    <w:rsid w:val="006B69A2"/>
    <w:rsid w:val="006B6AA7"/>
    <w:rsid w:val="006B6BC9"/>
    <w:rsid w:val="006B7283"/>
    <w:rsid w:val="006B7330"/>
    <w:rsid w:val="006B7433"/>
    <w:rsid w:val="006B7A73"/>
    <w:rsid w:val="006B7B06"/>
    <w:rsid w:val="006C00B8"/>
    <w:rsid w:val="006C0C39"/>
    <w:rsid w:val="006C0FAD"/>
    <w:rsid w:val="006C10AA"/>
    <w:rsid w:val="006C1F2A"/>
    <w:rsid w:val="006C22BD"/>
    <w:rsid w:val="006C22C1"/>
    <w:rsid w:val="006C2A5A"/>
    <w:rsid w:val="006C3401"/>
    <w:rsid w:val="006C3829"/>
    <w:rsid w:val="006C3A09"/>
    <w:rsid w:val="006C4135"/>
    <w:rsid w:val="006C41E6"/>
    <w:rsid w:val="006C4390"/>
    <w:rsid w:val="006C45C3"/>
    <w:rsid w:val="006C4617"/>
    <w:rsid w:val="006C50D4"/>
    <w:rsid w:val="006C5148"/>
    <w:rsid w:val="006C550F"/>
    <w:rsid w:val="006C58A1"/>
    <w:rsid w:val="006C598F"/>
    <w:rsid w:val="006C5EF0"/>
    <w:rsid w:val="006C5F8E"/>
    <w:rsid w:val="006C6029"/>
    <w:rsid w:val="006C6130"/>
    <w:rsid w:val="006C62FD"/>
    <w:rsid w:val="006C639A"/>
    <w:rsid w:val="006C63F3"/>
    <w:rsid w:val="006C6C09"/>
    <w:rsid w:val="006C6EBB"/>
    <w:rsid w:val="006C703B"/>
    <w:rsid w:val="006C711C"/>
    <w:rsid w:val="006C7262"/>
    <w:rsid w:val="006C73C4"/>
    <w:rsid w:val="006C76CD"/>
    <w:rsid w:val="006C776A"/>
    <w:rsid w:val="006C7AFC"/>
    <w:rsid w:val="006C7FC1"/>
    <w:rsid w:val="006C7FEB"/>
    <w:rsid w:val="006D05E0"/>
    <w:rsid w:val="006D0ABC"/>
    <w:rsid w:val="006D0F27"/>
    <w:rsid w:val="006D1096"/>
    <w:rsid w:val="006D1B3E"/>
    <w:rsid w:val="006D1FA9"/>
    <w:rsid w:val="006D29DB"/>
    <w:rsid w:val="006D2E26"/>
    <w:rsid w:val="006D3234"/>
    <w:rsid w:val="006D389C"/>
    <w:rsid w:val="006D391A"/>
    <w:rsid w:val="006D3B92"/>
    <w:rsid w:val="006D409A"/>
    <w:rsid w:val="006D426C"/>
    <w:rsid w:val="006D46AE"/>
    <w:rsid w:val="006D4B6E"/>
    <w:rsid w:val="006D4EE3"/>
    <w:rsid w:val="006D5059"/>
    <w:rsid w:val="006D50D1"/>
    <w:rsid w:val="006D57C3"/>
    <w:rsid w:val="006D5B78"/>
    <w:rsid w:val="006D5F50"/>
    <w:rsid w:val="006D62EF"/>
    <w:rsid w:val="006D6532"/>
    <w:rsid w:val="006D6573"/>
    <w:rsid w:val="006D66C3"/>
    <w:rsid w:val="006D6749"/>
    <w:rsid w:val="006D6A15"/>
    <w:rsid w:val="006D7338"/>
    <w:rsid w:val="006D73BF"/>
    <w:rsid w:val="006D73F5"/>
    <w:rsid w:val="006D7A35"/>
    <w:rsid w:val="006D7B0F"/>
    <w:rsid w:val="006E0401"/>
    <w:rsid w:val="006E0429"/>
    <w:rsid w:val="006E0A52"/>
    <w:rsid w:val="006E0DD8"/>
    <w:rsid w:val="006E0E30"/>
    <w:rsid w:val="006E0F49"/>
    <w:rsid w:val="006E10FB"/>
    <w:rsid w:val="006E123E"/>
    <w:rsid w:val="006E124A"/>
    <w:rsid w:val="006E135B"/>
    <w:rsid w:val="006E13FA"/>
    <w:rsid w:val="006E17DF"/>
    <w:rsid w:val="006E2565"/>
    <w:rsid w:val="006E2A9F"/>
    <w:rsid w:val="006E37DF"/>
    <w:rsid w:val="006E3BC1"/>
    <w:rsid w:val="006E45CE"/>
    <w:rsid w:val="006E4626"/>
    <w:rsid w:val="006E49C2"/>
    <w:rsid w:val="006E4A8C"/>
    <w:rsid w:val="006E540A"/>
    <w:rsid w:val="006E5BC1"/>
    <w:rsid w:val="006E5D5B"/>
    <w:rsid w:val="006E5D84"/>
    <w:rsid w:val="006E5E99"/>
    <w:rsid w:val="006E6552"/>
    <w:rsid w:val="006E676A"/>
    <w:rsid w:val="006E6A09"/>
    <w:rsid w:val="006E6BAE"/>
    <w:rsid w:val="006E6BD1"/>
    <w:rsid w:val="006E6C05"/>
    <w:rsid w:val="006E6CC2"/>
    <w:rsid w:val="006E73A7"/>
    <w:rsid w:val="006E74A6"/>
    <w:rsid w:val="006E7A5D"/>
    <w:rsid w:val="006E7A78"/>
    <w:rsid w:val="006E7EE1"/>
    <w:rsid w:val="006F019C"/>
    <w:rsid w:val="006F01C4"/>
    <w:rsid w:val="006F0236"/>
    <w:rsid w:val="006F09AC"/>
    <w:rsid w:val="006F0BEB"/>
    <w:rsid w:val="006F13FD"/>
    <w:rsid w:val="006F16EC"/>
    <w:rsid w:val="006F1CD1"/>
    <w:rsid w:val="006F1D47"/>
    <w:rsid w:val="006F1F26"/>
    <w:rsid w:val="006F26E9"/>
    <w:rsid w:val="006F28F0"/>
    <w:rsid w:val="006F2BE1"/>
    <w:rsid w:val="006F2DE0"/>
    <w:rsid w:val="006F34C4"/>
    <w:rsid w:val="006F3E6D"/>
    <w:rsid w:val="006F43BE"/>
    <w:rsid w:val="006F5035"/>
    <w:rsid w:val="006F55B9"/>
    <w:rsid w:val="006F5931"/>
    <w:rsid w:val="006F61D3"/>
    <w:rsid w:val="006F66B1"/>
    <w:rsid w:val="006F6AF2"/>
    <w:rsid w:val="006F6D5C"/>
    <w:rsid w:val="006F7255"/>
    <w:rsid w:val="006F7296"/>
    <w:rsid w:val="006F7E35"/>
    <w:rsid w:val="00700A9D"/>
    <w:rsid w:val="00700F69"/>
    <w:rsid w:val="007010C4"/>
    <w:rsid w:val="00701D11"/>
    <w:rsid w:val="00701D16"/>
    <w:rsid w:val="00701E24"/>
    <w:rsid w:val="00702689"/>
    <w:rsid w:val="007026CF"/>
    <w:rsid w:val="0070272E"/>
    <w:rsid w:val="007027CF"/>
    <w:rsid w:val="00703088"/>
    <w:rsid w:val="007031B8"/>
    <w:rsid w:val="007032E5"/>
    <w:rsid w:val="00703482"/>
    <w:rsid w:val="0070366D"/>
    <w:rsid w:val="00703F24"/>
    <w:rsid w:val="00704142"/>
    <w:rsid w:val="00704216"/>
    <w:rsid w:val="007053DF"/>
    <w:rsid w:val="0070543B"/>
    <w:rsid w:val="0070548A"/>
    <w:rsid w:val="00705FD7"/>
    <w:rsid w:val="00706415"/>
    <w:rsid w:val="00706719"/>
    <w:rsid w:val="00706E33"/>
    <w:rsid w:val="0070749D"/>
    <w:rsid w:val="00707B29"/>
    <w:rsid w:val="00710135"/>
    <w:rsid w:val="007102E6"/>
    <w:rsid w:val="0071077D"/>
    <w:rsid w:val="00710928"/>
    <w:rsid w:val="00710A0E"/>
    <w:rsid w:val="00710FD7"/>
    <w:rsid w:val="00711138"/>
    <w:rsid w:val="007114D3"/>
    <w:rsid w:val="00711B3C"/>
    <w:rsid w:val="007120C3"/>
    <w:rsid w:val="007125C7"/>
    <w:rsid w:val="007125D1"/>
    <w:rsid w:val="007129B9"/>
    <w:rsid w:val="00713214"/>
    <w:rsid w:val="00713728"/>
    <w:rsid w:val="00713803"/>
    <w:rsid w:val="00714043"/>
    <w:rsid w:val="00714152"/>
    <w:rsid w:val="00714B34"/>
    <w:rsid w:val="00715192"/>
    <w:rsid w:val="0071582C"/>
    <w:rsid w:val="007159BF"/>
    <w:rsid w:val="00715D12"/>
    <w:rsid w:val="0071612C"/>
    <w:rsid w:val="00716407"/>
    <w:rsid w:val="00717443"/>
    <w:rsid w:val="007179C5"/>
    <w:rsid w:val="00720981"/>
    <w:rsid w:val="00720FA0"/>
    <w:rsid w:val="0072238C"/>
    <w:rsid w:val="0072241C"/>
    <w:rsid w:val="00722733"/>
    <w:rsid w:val="0072273A"/>
    <w:rsid w:val="00722AF1"/>
    <w:rsid w:val="007239C7"/>
    <w:rsid w:val="00723A96"/>
    <w:rsid w:val="00723CC3"/>
    <w:rsid w:val="00723D77"/>
    <w:rsid w:val="00724077"/>
    <w:rsid w:val="00724534"/>
    <w:rsid w:val="00724677"/>
    <w:rsid w:val="00724828"/>
    <w:rsid w:val="00724862"/>
    <w:rsid w:val="00725136"/>
    <w:rsid w:val="007256D3"/>
    <w:rsid w:val="00726079"/>
    <w:rsid w:val="007262FB"/>
    <w:rsid w:val="00726647"/>
    <w:rsid w:val="00726980"/>
    <w:rsid w:val="00726985"/>
    <w:rsid w:val="0072699F"/>
    <w:rsid w:val="00726BA8"/>
    <w:rsid w:val="00726CE4"/>
    <w:rsid w:val="007272D2"/>
    <w:rsid w:val="00727613"/>
    <w:rsid w:val="0072769B"/>
    <w:rsid w:val="0072788B"/>
    <w:rsid w:val="007302F1"/>
    <w:rsid w:val="00730A00"/>
    <w:rsid w:val="00730F6F"/>
    <w:rsid w:val="007318DA"/>
    <w:rsid w:val="00731B1D"/>
    <w:rsid w:val="007320AE"/>
    <w:rsid w:val="007321B8"/>
    <w:rsid w:val="00732230"/>
    <w:rsid w:val="0073225F"/>
    <w:rsid w:val="00732624"/>
    <w:rsid w:val="00732720"/>
    <w:rsid w:val="00732A5F"/>
    <w:rsid w:val="00732B57"/>
    <w:rsid w:val="0073305A"/>
    <w:rsid w:val="007331B2"/>
    <w:rsid w:val="007332CB"/>
    <w:rsid w:val="00733B5D"/>
    <w:rsid w:val="00733CB7"/>
    <w:rsid w:val="00734128"/>
    <w:rsid w:val="007345DE"/>
    <w:rsid w:val="00734908"/>
    <w:rsid w:val="00734F5F"/>
    <w:rsid w:val="00735021"/>
    <w:rsid w:val="00735778"/>
    <w:rsid w:val="00735F29"/>
    <w:rsid w:val="0073681C"/>
    <w:rsid w:val="00736C3F"/>
    <w:rsid w:val="0073728A"/>
    <w:rsid w:val="00737549"/>
    <w:rsid w:val="0073757B"/>
    <w:rsid w:val="00737584"/>
    <w:rsid w:val="00737CE5"/>
    <w:rsid w:val="007405D8"/>
    <w:rsid w:val="00740623"/>
    <w:rsid w:val="00740B75"/>
    <w:rsid w:val="00740FA7"/>
    <w:rsid w:val="00741135"/>
    <w:rsid w:val="00741641"/>
    <w:rsid w:val="007419EB"/>
    <w:rsid w:val="00741EEF"/>
    <w:rsid w:val="00741F38"/>
    <w:rsid w:val="00742217"/>
    <w:rsid w:val="007426CD"/>
    <w:rsid w:val="00742942"/>
    <w:rsid w:val="007432B3"/>
    <w:rsid w:val="00743871"/>
    <w:rsid w:val="00743E8C"/>
    <w:rsid w:val="00744D1D"/>
    <w:rsid w:val="00745621"/>
    <w:rsid w:val="00745EF3"/>
    <w:rsid w:val="00746726"/>
    <w:rsid w:val="007468C0"/>
    <w:rsid w:val="00746B31"/>
    <w:rsid w:val="00746BA2"/>
    <w:rsid w:val="00746D31"/>
    <w:rsid w:val="0074799E"/>
    <w:rsid w:val="00747A53"/>
    <w:rsid w:val="00747DE3"/>
    <w:rsid w:val="00747F06"/>
    <w:rsid w:val="007502FF"/>
    <w:rsid w:val="007512EF"/>
    <w:rsid w:val="007515CC"/>
    <w:rsid w:val="007515DC"/>
    <w:rsid w:val="0075162E"/>
    <w:rsid w:val="00753456"/>
    <w:rsid w:val="007537CA"/>
    <w:rsid w:val="00753927"/>
    <w:rsid w:val="007540A6"/>
    <w:rsid w:val="007545B5"/>
    <w:rsid w:val="00754895"/>
    <w:rsid w:val="007549C0"/>
    <w:rsid w:val="00754DA7"/>
    <w:rsid w:val="00754EAE"/>
    <w:rsid w:val="007553C4"/>
    <w:rsid w:val="00755F6B"/>
    <w:rsid w:val="00756307"/>
    <w:rsid w:val="00756799"/>
    <w:rsid w:val="00756926"/>
    <w:rsid w:val="00756D66"/>
    <w:rsid w:val="007573D4"/>
    <w:rsid w:val="007573D6"/>
    <w:rsid w:val="0075779C"/>
    <w:rsid w:val="00757949"/>
    <w:rsid w:val="00757C2D"/>
    <w:rsid w:val="00757E90"/>
    <w:rsid w:val="00760352"/>
    <w:rsid w:val="007606A1"/>
    <w:rsid w:val="0076106B"/>
    <w:rsid w:val="007614B1"/>
    <w:rsid w:val="00761A4F"/>
    <w:rsid w:val="00761F83"/>
    <w:rsid w:val="007621C1"/>
    <w:rsid w:val="007626C0"/>
    <w:rsid w:val="007628E9"/>
    <w:rsid w:val="00762BEA"/>
    <w:rsid w:val="00762EFB"/>
    <w:rsid w:val="00763686"/>
    <w:rsid w:val="00763B55"/>
    <w:rsid w:val="0076436C"/>
    <w:rsid w:val="00764BAE"/>
    <w:rsid w:val="00765708"/>
    <w:rsid w:val="007658DE"/>
    <w:rsid w:val="007659D2"/>
    <w:rsid w:val="00765AFE"/>
    <w:rsid w:val="00765FD5"/>
    <w:rsid w:val="00766216"/>
    <w:rsid w:val="00767050"/>
    <w:rsid w:val="0076740E"/>
    <w:rsid w:val="007674F9"/>
    <w:rsid w:val="00767D46"/>
    <w:rsid w:val="00767F3D"/>
    <w:rsid w:val="00770469"/>
    <w:rsid w:val="00770516"/>
    <w:rsid w:val="007707CD"/>
    <w:rsid w:val="00771638"/>
    <w:rsid w:val="007719EB"/>
    <w:rsid w:val="00771AEB"/>
    <w:rsid w:val="00771B8A"/>
    <w:rsid w:val="00771D28"/>
    <w:rsid w:val="00772619"/>
    <w:rsid w:val="00772A1C"/>
    <w:rsid w:val="00772EB6"/>
    <w:rsid w:val="007732BC"/>
    <w:rsid w:val="007733AA"/>
    <w:rsid w:val="007733E1"/>
    <w:rsid w:val="00773C4D"/>
    <w:rsid w:val="00773E5E"/>
    <w:rsid w:val="0077437E"/>
    <w:rsid w:val="007746EE"/>
    <w:rsid w:val="00774AF2"/>
    <w:rsid w:val="00774E54"/>
    <w:rsid w:val="00775410"/>
    <w:rsid w:val="00775F0A"/>
    <w:rsid w:val="00775F34"/>
    <w:rsid w:val="00776194"/>
    <w:rsid w:val="00776296"/>
    <w:rsid w:val="00776981"/>
    <w:rsid w:val="00776A70"/>
    <w:rsid w:val="00776FFB"/>
    <w:rsid w:val="00777037"/>
    <w:rsid w:val="00777AAE"/>
    <w:rsid w:val="00777EB2"/>
    <w:rsid w:val="00780400"/>
    <w:rsid w:val="007814D7"/>
    <w:rsid w:val="007815FA"/>
    <w:rsid w:val="00781879"/>
    <w:rsid w:val="00781AE9"/>
    <w:rsid w:val="00781C49"/>
    <w:rsid w:val="00781CEB"/>
    <w:rsid w:val="0078275C"/>
    <w:rsid w:val="00782CAA"/>
    <w:rsid w:val="00782DE1"/>
    <w:rsid w:val="00782EB9"/>
    <w:rsid w:val="00782F44"/>
    <w:rsid w:val="007838CF"/>
    <w:rsid w:val="00783AD5"/>
    <w:rsid w:val="00783D93"/>
    <w:rsid w:val="007843D9"/>
    <w:rsid w:val="00784887"/>
    <w:rsid w:val="00784A73"/>
    <w:rsid w:val="00785146"/>
    <w:rsid w:val="00785375"/>
    <w:rsid w:val="007855A5"/>
    <w:rsid w:val="0078560E"/>
    <w:rsid w:val="00785E2D"/>
    <w:rsid w:val="00786278"/>
    <w:rsid w:val="0078650C"/>
    <w:rsid w:val="00786E76"/>
    <w:rsid w:val="00787054"/>
    <w:rsid w:val="0078706A"/>
    <w:rsid w:val="00787270"/>
    <w:rsid w:val="007903AF"/>
    <w:rsid w:val="0079044E"/>
    <w:rsid w:val="00791229"/>
    <w:rsid w:val="0079163A"/>
    <w:rsid w:val="00791909"/>
    <w:rsid w:val="00791B59"/>
    <w:rsid w:val="00791BDE"/>
    <w:rsid w:val="00791D89"/>
    <w:rsid w:val="00791E0F"/>
    <w:rsid w:val="00791E35"/>
    <w:rsid w:val="00791EA4"/>
    <w:rsid w:val="00792038"/>
    <w:rsid w:val="007921D8"/>
    <w:rsid w:val="00792B1F"/>
    <w:rsid w:val="00792C7B"/>
    <w:rsid w:val="007933D9"/>
    <w:rsid w:val="00793ADF"/>
    <w:rsid w:val="00793E70"/>
    <w:rsid w:val="00794086"/>
    <w:rsid w:val="00794665"/>
    <w:rsid w:val="00795075"/>
    <w:rsid w:val="007954B2"/>
    <w:rsid w:val="00795B4A"/>
    <w:rsid w:val="00795F62"/>
    <w:rsid w:val="00795FDE"/>
    <w:rsid w:val="00796279"/>
    <w:rsid w:val="007962DA"/>
    <w:rsid w:val="00796728"/>
    <w:rsid w:val="00797022"/>
    <w:rsid w:val="00797774"/>
    <w:rsid w:val="007977E8"/>
    <w:rsid w:val="00797CBE"/>
    <w:rsid w:val="00797D64"/>
    <w:rsid w:val="00797DD6"/>
    <w:rsid w:val="00797DF7"/>
    <w:rsid w:val="007A0496"/>
    <w:rsid w:val="007A0F89"/>
    <w:rsid w:val="007A1005"/>
    <w:rsid w:val="007A13A2"/>
    <w:rsid w:val="007A143D"/>
    <w:rsid w:val="007A15A7"/>
    <w:rsid w:val="007A167E"/>
    <w:rsid w:val="007A1781"/>
    <w:rsid w:val="007A2499"/>
    <w:rsid w:val="007A31EC"/>
    <w:rsid w:val="007A41E5"/>
    <w:rsid w:val="007A4367"/>
    <w:rsid w:val="007A4888"/>
    <w:rsid w:val="007A4944"/>
    <w:rsid w:val="007A4B04"/>
    <w:rsid w:val="007A4F4E"/>
    <w:rsid w:val="007A54AD"/>
    <w:rsid w:val="007A57AF"/>
    <w:rsid w:val="007A5947"/>
    <w:rsid w:val="007A5B1C"/>
    <w:rsid w:val="007A5EBB"/>
    <w:rsid w:val="007A5FC6"/>
    <w:rsid w:val="007A5FE5"/>
    <w:rsid w:val="007A655D"/>
    <w:rsid w:val="007A65B5"/>
    <w:rsid w:val="007A66C8"/>
    <w:rsid w:val="007A689A"/>
    <w:rsid w:val="007A6D96"/>
    <w:rsid w:val="007A7013"/>
    <w:rsid w:val="007A76FF"/>
    <w:rsid w:val="007B067E"/>
    <w:rsid w:val="007B0857"/>
    <w:rsid w:val="007B093A"/>
    <w:rsid w:val="007B09D0"/>
    <w:rsid w:val="007B1578"/>
    <w:rsid w:val="007B1A16"/>
    <w:rsid w:val="007B1DA6"/>
    <w:rsid w:val="007B1FEB"/>
    <w:rsid w:val="007B202E"/>
    <w:rsid w:val="007B2466"/>
    <w:rsid w:val="007B28FE"/>
    <w:rsid w:val="007B2D20"/>
    <w:rsid w:val="007B3A3D"/>
    <w:rsid w:val="007B41A8"/>
    <w:rsid w:val="007B41AF"/>
    <w:rsid w:val="007B44F7"/>
    <w:rsid w:val="007B5078"/>
    <w:rsid w:val="007B556E"/>
    <w:rsid w:val="007B58B1"/>
    <w:rsid w:val="007B5E19"/>
    <w:rsid w:val="007B5FB8"/>
    <w:rsid w:val="007B700E"/>
    <w:rsid w:val="007B7072"/>
    <w:rsid w:val="007B7133"/>
    <w:rsid w:val="007B7F3A"/>
    <w:rsid w:val="007C006E"/>
    <w:rsid w:val="007C067A"/>
    <w:rsid w:val="007C06EC"/>
    <w:rsid w:val="007C0834"/>
    <w:rsid w:val="007C11ED"/>
    <w:rsid w:val="007C17A6"/>
    <w:rsid w:val="007C218F"/>
    <w:rsid w:val="007C2262"/>
    <w:rsid w:val="007C244E"/>
    <w:rsid w:val="007C2637"/>
    <w:rsid w:val="007C263F"/>
    <w:rsid w:val="007C2AED"/>
    <w:rsid w:val="007C2B10"/>
    <w:rsid w:val="007C2E41"/>
    <w:rsid w:val="007C2EBB"/>
    <w:rsid w:val="007C2FC6"/>
    <w:rsid w:val="007C32F8"/>
    <w:rsid w:val="007C34A6"/>
    <w:rsid w:val="007C35A4"/>
    <w:rsid w:val="007C37F6"/>
    <w:rsid w:val="007C389D"/>
    <w:rsid w:val="007C3AFA"/>
    <w:rsid w:val="007C3B2A"/>
    <w:rsid w:val="007C3E46"/>
    <w:rsid w:val="007C4181"/>
    <w:rsid w:val="007C4D18"/>
    <w:rsid w:val="007C540A"/>
    <w:rsid w:val="007C5DC8"/>
    <w:rsid w:val="007C5EB6"/>
    <w:rsid w:val="007C6B29"/>
    <w:rsid w:val="007C6FE6"/>
    <w:rsid w:val="007C75E4"/>
    <w:rsid w:val="007C7625"/>
    <w:rsid w:val="007C7DC2"/>
    <w:rsid w:val="007D0692"/>
    <w:rsid w:val="007D06B3"/>
    <w:rsid w:val="007D12D7"/>
    <w:rsid w:val="007D151D"/>
    <w:rsid w:val="007D17A6"/>
    <w:rsid w:val="007D1BB5"/>
    <w:rsid w:val="007D20B6"/>
    <w:rsid w:val="007D288B"/>
    <w:rsid w:val="007D2B6F"/>
    <w:rsid w:val="007D2D17"/>
    <w:rsid w:val="007D2E75"/>
    <w:rsid w:val="007D31CA"/>
    <w:rsid w:val="007D33D8"/>
    <w:rsid w:val="007D3402"/>
    <w:rsid w:val="007D426E"/>
    <w:rsid w:val="007D4C76"/>
    <w:rsid w:val="007D4E75"/>
    <w:rsid w:val="007D4F0A"/>
    <w:rsid w:val="007D56E5"/>
    <w:rsid w:val="007D5B7A"/>
    <w:rsid w:val="007D5F3E"/>
    <w:rsid w:val="007D5FAD"/>
    <w:rsid w:val="007D6613"/>
    <w:rsid w:val="007D6B83"/>
    <w:rsid w:val="007D71A7"/>
    <w:rsid w:val="007D7294"/>
    <w:rsid w:val="007D72C8"/>
    <w:rsid w:val="007D74BA"/>
    <w:rsid w:val="007D7D41"/>
    <w:rsid w:val="007E0493"/>
    <w:rsid w:val="007E05C0"/>
    <w:rsid w:val="007E0BDD"/>
    <w:rsid w:val="007E1566"/>
    <w:rsid w:val="007E1948"/>
    <w:rsid w:val="007E1F1E"/>
    <w:rsid w:val="007E297C"/>
    <w:rsid w:val="007E2CBA"/>
    <w:rsid w:val="007E2D35"/>
    <w:rsid w:val="007E2D89"/>
    <w:rsid w:val="007E2ECF"/>
    <w:rsid w:val="007E3032"/>
    <w:rsid w:val="007E35DE"/>
    <w:rsid w:val="007E3D79"/>
    <w:rsid w:val="007E429C"/>
    <w:rsid w:val="007E4BD0"/>
    <w:rsid w:val="007E4BDB"/>
    <w:rsid w:val="007E4E2A"/>
    <w:rsid w:val="007E4EE3"/>
    <w:rsid w:val="007E5805"/>
    <w:rsid w:val="007E5A4A"/>
    <w:rsid w:val="007E5DC3"/>
    <w:rsid w:val="007E5ED9"/>
    <w:rsid w:val="007E6546"/>
    <w:rsid w:val="007E67CD"/>
    <w:rsid w:val="007E685F"/>
    <w:rsid w:val="007E6CF4"/>
    <w:rsid w:val="007E7126"/>
    <w:rsid w:val="007E71BE"/>
    <w:rsid w:val="007E7297"/>
    <w:rsid w:val="007E72D9"/>
    <w:rsid w:val="007E745C"/>
    <w:rsid w:val="007E74A0"/>
    <w:rsid w:val="007E76AE"/>
    <w:rsid w:val="007F002E"/>
    <w:rsid w:val="007F00D6"/>
    <w:rsid w:val="007F0456"/>
    <w:rsid w:val="007F1236"/>
    <w:rsid w:val="007F1725"/>
    <w:rsid w:val="007F1744"/>
    <w:rsid w:val="007F184A"/>
    <w:rsid w:val="007F1861"/>
    <w:rsid w:val="007F1988"/>
    <w:rsid w:val="007F240D"/>
    <w:rsid w:val="007F26D1"/>
    <w:rsid w:val="007F26F7"/>
    <w:rsid w:val="007F2C11"/>
    <w:rsid w:val="007F423D"/>
    <w:rsid w:val="007F4801"/>
    <w:rsid w:val="007F4B0D"/>
    <w:rsid w:val="007F4B44"/>
    <w:rsid w:val="007F59B9"/>
    <w:rsid w:val="007F65C2"/>
    <w:rsid w:val="007F6683"/>
    <w:rsid w:val="007F669A"/>
    <w:rsid w:val="007F6AEE"/>
    <w:rsid w:val="007F7683"/>
    <w:rsid w:val="007F7978"/>
    <w:rsid w:val="007F7AFC"/>
    <w:rsid w:val="007F7B92"/>
    <w:rsid w:val="007F7D17"/>
    <w:rsid w:val="008000DF"/>
    <w:rsid w:val="00800540"/>
    <w:rsid w:val="00800A4A"/>
    <w:rsid w:val="00800A65"/>
    <w:rsid w:val="00800E11"/>
    <w:rsid w:val="0080128C"/>
    <w:rsid w:val="00801355"/>
    <w:rsid w:val="00801835"/>
    <w:rsid w:val="00801D75"/>
    <w:rsid w:val="008025FA"/>
    <w:rsid w:val="00802CCB"/>
    <w:rsid w:val="00803041"/>
    <w:rsid w:val="008032C1"/>
    <w:rsid w:val="008033E2"/>
    <w:rsid w:val="008039E4"/>
    <w:rsid w:val="00803D7F"/>
    <w:rsid w:val="00804482"/>
    <w:rsid w:val="00804F22"/>
    <w:rsid w:val="00805013"/>
    <w:rsid w:val="00805114"/>
    <w:rsid w:val="008054D0"/>
    <w:rsid w:val="00805CAB"/>
    <w:rsid w:val="00805FB3"/>
    <w:rsid w:val="00806A16"/>
    <w:rsid w:val="008073AC"/>
    <w:rsid w:val="008074D8"/>
    <w:rsid w:val="00807643"/>
    <w:rsid w:val="00807730"/>
    <w:rsid w:val="008077C7"/>
    <w:rsid w:val="00810110"/>
    <w:rsid w:val="0081042E"/>
    <w:rsid w:val="00810434"/>
    <w:rsid w:val="00810561"/>
    <w:rsid w:val="00810941"/>
    <w:rsid w:val="00810D6E"/>
    <w:rsid w:val="0081141E"/>
    <w:rsid w:val="00811686"/>
    <w:rsid w:val="0081282C"/>
    <w:rsid w:val="00812FE1"/>
    <w:rsid w:val="00813572"/>
    <w:rsid w:val="008135D1"/>
    <w:rsid w:val="00813B18"/>
    <w:rsid w:val="00813CAB"/>
    <w:rsid w:val="00813D03"/>
    <w:rsid w:val="0081408C"/>
    <w:rsid w:val="00814551"/>
    <w:rsid w:val="00814ADF"/>
    <w:rsid w:val="0081540E"/>
    <w:rsid w:val="00815614"/>
    <w:rsid w:val="0081576A"/>
    <w:rsid w:val="00815BBA"/>
    <w:rsid w:val="00815CAB"/>
    <w:rsid w:val="00815D03"/>
    <w:rsid w:val="0081602B"/>
    <w:rsid w:val="00816864"/>
    <w:rsid w:val="00816B04"/>
    <w:rsid w:val="00816D30"/>
    <w:rsid w:val="00816D99"/>
    <w:rsid w:val="00816EEA"/>
    <w:rsid w:val="008171C3"/>
    <w:rsid w:val="00817206"/>
    <w:rsid w:val="00817A40"/>
    <w:rsid w:val="00817A4B"/>
    <w:rsid w:val="008202A5"/>
    <w:rsid w:val="00820374"/>
    <w:rsid w:val="0082040A"/>
    <w:rsid w:val="00820C09"/>
    <w:rsid w:val="00820C54"/>
    <w:rsid w:val="00820F25"/>
    <w:rsid w:val="00821035"/>
    <w:rsid w:val="00821397"/>
    <w:rsid w:val="0082161D"/>
    <w:rsid w:val="008217AC"/>
    <w:rsid w:val="00822885"/>
    <w:rsid w:val="00822918"/>
    <w:rsid w:val="00823172"/>
    <w:rsid w:val="00823176"/>
    <w:rsid w:val="0082354C"/>
    <w:rsid w:val="008238ED"/>
    <w:rsid w:val="00823C42"/>
    <w:rsid w:val="0082409D"/>
    <w:rsid w:val="008240D4"/>
    <w:rsid w:val="008246C9"/>
    <w:rsid w:val="00824B30"/>
    <w:rsid w:val="008250F1"/>
    <w:rsid w:val="00825141"/>
    <w:rsid w:val="008251DE"/>
    <w:rsid w:val="00825431"/>
    <w:rsid w:val="00825927"/>
    <w:rsid w:val="00825DCD"/>
    <w:rsid w:val="0082604A"/>
    <w:rsid w:val="00826687"/>
    <w:rsid w:val="00826C5D"/>
    <w:rsid w:val="00827E70"/>
    <w:rsid w:val="00827ED5"/>
    <w:rsid w:val="008306A2"/>
    <w:rsid w:val="00830C62"/>
    <w:rsid w:val="00830F22"/>
    <w:rsid w:val="00830FCF"/>
    <w:rsid w:val="00831BAE"/>
    <w:rsid w:val="00831FFA"/>
    <w:rsid w:val="0083228C"/>
    <w:rsid w:val="008322C0"/>
    <w:rsid w:val="0083240A"/>
    <w:rsid w:val="00832552"/>
    <w:rsid w:val="0083265E"/>
    <w:rsid w:val="00832819"/>
    <w:rsid w:val="00832934"/>
    <w:rsid w:val="008338FA"/>
    <w:rsid w:val="00834090"/>
    <w:rsid w:val="00834282"/>
    <w:rsid w:val="00834599"/>
    <w:rsid w:val="00834D5F"/>
    <w:rsid w:val="00834EAC"/>
    <w:rsid w:val="00834F72"/>
    <w:rsid w:val="00834FD8"/>
    <w:rsid w:val="00835BA9"/>
    <w:rsid w:val="00835D7B"/>
    <w:rsid w:val="00836566"/>
    <w:rsid w:val="00836789"/>
    <w:rsid w:val="00836B1E"/>
    <w:rsid w:val="00837468"/>
    <w:rsid w:val="00837999"/>
    <w:rsid w:val="00837ADD"/>
    <w:rsid w:val="008401A3"/>
    <w:rsid w:val="00840C7A"/>
    <w:rsid w:val="00840EFD"/>
    <w:rsid w:val="00841484"/>
    <w:rsid w:val="0084154F"/>
    <w:rsid w:val="008415FB"/>
    <w:rsid w:val="00841C9F"/>
    <w:rsid w:val="008421A3"/>
    <w:rsid w:val="00842505"/>
    <w:rsid w:val="008426A1"/>
    <w:rsid w:val="00842D92"/>
    <w:rsid w:val="00843567"/>
    <w:rsid w:val="008436C5"/>
    <w:rsid w:val="0084397D"/>
    <w:rsid w:val="0084431D"/>
    <w:rsid w:val="008445B0"/>
    <w:rsid w:val="0084491C"/>
    <w:rsid w:val="00844ABC"/>
    <w:rsid w:val="00844CE3"/>
    <w:rsid w:val="00845397"/>
    <w:rsid w:val="00845666"/>
    <w:rsid w:val="00845801"/>
    <w:rsid w:val="00845AA6"/>
    <w:rsid w:val="00845CE6"/>
    <w:rsid w:val="00845F13"/>
    <w:rsid w:val="0084646A"/>
    <w:rsid w:val="00846697"/>
    <w:rsid w:val="00846867"/>
    <w:rsid w:val="008469AF"/>
    <w:rsid w:val="00846AE4"/>
    <w:rsid w:val="00846BF5"/>
    <w:rsid w:val="00847053"/>
    <w:rsid w:val="00847200"/>
    <w:rsid w:val="008475BC"/>
    <w:rsid w:val="00847B65"/>
    <w:rsid w:val="00847CA9"/>
    <w:rsid w:val="00847F02"/>
    <w:rsid w:val="0085077D"/>
    <w:rsid w:val="00850E84"/>
    <w:rsid w:val="00851255"/>
    <w:rsid w:val="0085133F"/>
    <w:rsid w:val="0085154E"/>
    <w:rsid w:val="00851EA8"/>
    <w:rsid w:val="00851F89"/>
    <w:rsid w:val="00851FE0"/>
    <w:rsid w:val="0085235A"/>
    <w:rsid w:val="00852A62"/>
    <w:rsid w:val="00852CCE"/>
    <w:rsid w:val="0085302D"/>
    <w:rsid w:val="008538CA"/>
    <w:rsid w:val="00853AEE"/>
    <w:rsid w:val="0085427B"/>
    <w:rsid w:val="008550A3"/>
    <w:rsid w:val="008555B6"/>
    <w:rsid w:val="00855AC1"/>
    <w:rsid w:val="00855D51"/>
    <w:rsid w:val="00856B50"/>
    <w:rsid w:val="00856BA0"/>
    <w:rsid w:val="00856D3E"/>
    <w:rsid w:val="00856FDE"/>
    <w:rsid w:val="00857290"/>
    <w:rsid w:val="0085729C"/>
    <w:rsid w:val="008572EF"/>
    <w:rsid w:val="00857330"/>
    <w:rsid w:val="00857B06"/>
    <w:rsid w:val="00857BDF"/>
    <w:rsid w:val="00857C35"/>
    <w:rsid w:val="00857FCE"/>
    <w:rsid w:val="00860025"/>
    <w:rsid w:val="00860109"/>
    <w:rsid w:val="0086074C"/>
    <w:rsid w:val="00860A20"/>
    <w:rsid w:val="00860E0C"/>
    <w:rsid w:val="00861BA2"/>
    <w:rsid w:val="00863850"/>
    <w:rsid w:val="00863A61"/>
    <w:rsid w:val="00863AA4"/>
    <w:rsid w:val="00864CD4"/>
    <w:rsid w:val="00864CFB"/>
    <w:rsid w:val="0086514E"/>
    <w:rsid w:val="00865185"/>
    <w:rsid w:val="008652B4"/>
    <w:rsid w:val="00865561"/>
    <w:rsid w:val="0086595A"/>
    <w:rsid w:val="00865C4D"/>
    <w:rsid w:val="0086605A"/>
    <w:rsid w:val="00866699"/>
    <w:rsid w:val="00866AD8"/>
    <w:rsid w:val="00866C1D"/>
    <w:rsid w:val="008672CF"/>
    <w:rsid w:val="00867418"/>
    <w:rsid w:val="008674F2"/>
    <w:rsid w:val="00867747"/>
    <w:rsid w:val="00867BA7"/>
    <w:rsid w:val="00870110"/>
    <w:rsid w:val="00870686"/>
    <w:rsid w:val="008708E1"/>
    <w:rsid w:val="00870A61"/>
    <w:rsid w:val="00870A86"/>
    <w:rsid w:val="00870C99"/>
    <w:rsid w:val="008710DC"/>
    <w:rsid w:val="008716BC"/>
    <w:rsid w:val="00871CD5"/>
    <w:rsid w:val="00871EFD"/>
    <w:rsid w:val="008721EA"/>
    <w:rsid w:val="0087244C"/>
    <w:rsid w:val="00872875"/>
    <w:rsid w:val="00873337"/>
    <w:rsid w:val="0087386A"/>
    <w:rsid w:val="00873A0D"/>
    <w:rsid w:val="00873A43"/>
    <w:rsid w:val="00873F8D"/>
    <w:rsid w:val="00874A31"/>
    <w:rsid w:val="0087503F"/>
    <w:rsid w:val="00875334"/>
    <w:rsid w:val="00875370"/>
    <w:rsid w:val="008758F5"/>
    <w:rsid w:val="008759D4"/>
    <w:rsid w:val="00875A2E"/>
    <w:rsid w:val="00875AB3"/>
    <w:rsid w:val="00875AF8"/>
    <w:rsid w:val="00875EDF"/>
    <w:rsid w:val="008762EF"/>
    <w:rsid w:val="00876392"/>
    <w:rsid w:val="008774B9"/>
    <w:rsid w:val="008774DF"/>
    <w:rsid w:val="00877844"/>
    <w:rsid w:val="008801E8"/>
    <w:rsid w:val="008802F0"/>
    <w:rsid w:val="008803FB"/>
    <w:rsid w:val="008805BA"/>
    <w:rsid w:val="00880852"/>
    <w:rsid w:val="008812D2"/>
    <w:rsid w:val="00881545"/>
    <w:rsid w:val="0088158E"/>
    <w:rsid w:val="00881993"/>
    <w:rsid w:val="008820FA"/>
    <w:rsid w:val="0088258C"/>
    <w:rsid w:val="00882A58"/>
    <w:rsid w:val="008830E5"/>
    <w:rsid w:val="00883407"/>
    <w:rsid w:val="00883698"/>
    <w:rsid w:val="008836AE"/>
    <w:rsid w:val="008839B3"/>
    <w:rsid w:val="00883C0F"/>
    <w:rsid w:val="00883EB1"/>
    <w:rsid w:val="0088407E"/>
    <w:rsid w:val="00885568"/>
    <w:rsid w:val="00885714"/>
    <w:rsid w:val="00885A42"/>
    <w:rsid w:val="00885BB0"/>
    <w:rsid w:val="00885D4A"/>
    <w:rsid w:val="00885D94"/>
    <w:rsid w:val="00886159"/>
    <w:rsid w:val="008866AA"/>
    <w:rsid w:val="00886803"/>
    <w:rsid w:val="00886DC0"/>
    <w:rsid w:val="00887896"/>
    <w:rsid w:val="00887D67"/>
    <w:rsid w:val="00887E7E"/>
    <w:rsid w:val="0089062B"/>
    <w:rsid w:val="00890930"/>
    <w:rsid w:val="00890C4F"/>
    <w:rsid w:val="0089142D"/>
    <w:rsid w:val="00891447"/>
    <w:rsid w:val="00891488"/>
    <w:rsid w:val="00891554"/>
    <w:rsid w:val="0089161C"/>
    <w:rsid w:val="008916D1"/>
    <w:rsid w:val="008917A1"/>
    <w:rsid w:val="008919EF"/>
    <w:rsid w:val="00891B2D"/>
    <w:rsid w:val="00891F9A"/>
    <w:rsid w:val="0089247F"/>
    <w:rsid w:val="00892933"/>
    <w:rsid w:val="008929B9"/>
    <w:rsid w:val="00892FAA"/>
    <w:rsid w:val="0089353C"/>
    <w:rsid w:val="0089372A"/>
    <w:rsid w:val="00893963"/>
    <w:rsid w:val="00893EA7"/>
    <w:rsid w:val="00894163"/>
    <w:rsid w:val="0089431A"/>
    <w:rsid w:val="00894657"/>
    <w:rsid w:val="008948C2"/>
    <w:rsid w:val="00894AA9"/>
    <w:rsid w:val="00894BB3"/>
    <w:rsid w:val="008950CD"/>
    <w:rsid w:val="0089523C"/>
    <w:rsid w:val="00895394"/>
    <w:rsid w:val="00895485"/>
    <w:rsid w:val="00895797"/>
    <w:rsid w:val="008959B6"/>
    <w:rsid w:val="00895A66"/>
    <w:rsid w:val="00896846"/>
    <w:rsid w:val="00896927"/>
    <w:rsid w:val="00896A64"/>
    <w:rsid w:val="00896D4E"/>
    <w:rsid w:val="0089769C"/>
    <w:rsid w:val="008A0F60"/>
    <w:rsid w:val="008A1C91"/>
    <w:rsid w:val="008A244F"/>
    <w:rsid w:val="008A38DC"/>
    <w:rsid w:val="008A39D2"/>
    <w:rsid w:val="008A3EF4"/>
    <w:rsid w:val="008A432B"/>
    <w:rsid w:val="008A4698"/>
    <w:rsid w:val="008A4A0A"/>
    <w:rsid w:val="008A4B02"/>
    <w:rsid w:val="008A4D0A"/>
    <w:rsid w:val="008A4D33"/>
    <w:rsid w:val="008A4DF1"/>
    <w:rsid w:val="008A4E6A"/>
    <w:rsid w:val="008A523C"/>
    <w:rsid w:val="008A5B37"/>
    <w:rsid w:val="008A5EB0"/>
    <w:rsid w:val="008A62F9"/>
    <w:rsid w:val="008A6877"/>
    <w:rsid w:val="008A6BA4"/>
    <w:rsid w:val="008A6E71"/>
    <w:rsid w:val="008A7B29"/>
    <w:rsid w:val="008A7DC6"/>
    <w:rsid w:val="008B09D2"/>
    <w:rsid w:val="008B0A3F"/>
    <w:rsid w:val="008B0E26"/>
    <w:rsid w:val="008B1369"/>
    <w:rsid w:val="008B18C5"/>
    <w:rsid w:val="008B19D9"/>
    <w:rsid w:val="008B1A32"/>
    <w:rsid w:val="008B1E2F"/>
    <w:rsid w:val="008B207C"/>
    <w:rsid w:val="008B2A73"/>
    <w:rsid w:val="008B2B2A"/>
    <w:rsid w:val="008B2B41"/>
    <w:rsid w:val="008B2F6C"/>
    <w:rsid w:val="008B320C"/>
    <w:rsid w:val="008B35E6"/>
    <w:rsid w:val="008B3886"/>
    <w:rsid w:val="008B38E8"/>
    <w:rsid w:val="008B3EC6"/>
    <w:rsid w:val="008B4711"/>
    <w:rsid w:val="008B4A68"/>
    <w:rsid w:val="008B4E4B"/>
    <w:rsid w:val="008B52FE"/>
    <w:rsid w:val="008B55AC"/>
    <w:rsid w:val="008B5752"/>
    <w:rsid w:val="008B5F54"/>
    <w:rsid w:val="008B63F6"/>
    <w:rsid w:val="008B6451"/>
    <w:rsid w:val="008B6AA9"/>
    <w:rsid w:val="008B6B24"/>
    <w:rsid w:val="008B6BF9"/>
    <w:rsid w:val="008B6E83"/>
    <w:rsid w:val="008B7404"/>
    <w:rsid w:val="008B75B0"/>
    <w:rsid w:val="008B764B"/>
    <w:rsid w:val="008B771B"/>
    <w:rsid w:val="008C0304"/>
    <w:rsid w:val="008C0926"/>
    <w:rsid w:val="008C0CDE"/>
    <w:rsid w:val="008C16D5"/>
    <w:rsid w:val="008C1D45"/>
    <w:rsid w:val="008C1E14"/>
    <w:rsid w:val="008C1E51"/>
    <w:rsid w:val="008C2652"/>
    <w:rsid w:val="008C2966"/>
    <w:rsid w:val="008C2AE0"/>
    <w:rsid w:val="008C2B7C"/>
    <w:rsid w:val="008C3284"/>
    <w:rsid w:val="008C35F2"/>
    <w:rsid w:val="008C35FD"/>
    <w:rsid w:val="008C3759"/>
    <w:rsid w:val="008C39ED"/>
    <w:rsid w:val="008C4201"/>
    <w:rsid w:val="008C4515"/>
    <w:rsid w:val="008C46BC"/>
    <w:rsid w:val="008C4B3C"/>
    <w:rsid w:val="008C4CDA"/>
    <w:rsid w:val="008C552E"/>
    <w:rsid w:val="008C56E8"/>
    <w:rsid w:val="008C5931"/>
    <w:rsid w:val="008C6255"/>
    <w:rsid w:val="008C68EA"/>
    <w:rsid w:val="008C7025"/>
    <w:rsid w:val="008C7859"/>
    <w:rsid w:val="008C79A9"/>
    <w:rsid w:val="008D005D"/>
    <w:rsid w:val="008D006C"/>
    <w:rsid w:val="008D00E1"/>
    <w:rsid w:val="008D01C0"/>
    <w:rsid w:val="008D06B5"/>
    <w:rsid w:val="008D0759"/>
    <w:rsid w:val="008D0784"/>
    <w:rsid w:val="008D07F7"/>
    <w:rsid w:val="008D089A"/>
    <w:rsid w:val="008D0AF0"/>
    <w:rsid w:val="008D1072"/>
    <w:rsid w:val="008D113D"/>
    <w:rsid w:val="008D12E6"/>
    <w:rsid w:val="008D1652"/>
    <w:rsid w:val="008D18CB"/>
    <w:rsid w:val="008D18FA"/>
    <w:rsid w:val="008D19F8"/>
    <w:rsid w:val="008D1DF8"/>
    <w:rsid w:val="008D34F3"/>
    <w:rsid w:val="008D36B6"/>
    <w:rsid w:val="008D3A87"/>
    <w:rsid w:val="008D3C9E"/>
    <w:rsid w:val="008D50CB"/>
    <w:rsid w:val="008D5443"/>
    <w:rsid w:val="008D54BD"/>
    <w:rsid w:val="008D55E1"/>
    <w:rsid w:val="008D5690"/>
    <w:rsid w:val="008D571B"/>
    <w:rsid w:val="008D58AE"/>
    <w:rsid w:val="008D5A2C"/>
    <w:rsid w:val="008D5C35"/>
    <w:rsid w:val="008D5CA8"/>
    <w:rsid w:val="008D634C"/>
    <w:rsid w:val="008D63C1"/>
    <w:rsid w:val="008D6A98"/>
    <w:rsid w:val="008D7073"/>
    <w:rsid w:val="008D71A4"/>
    <w:rsid w:val="008D7BE3"/>
    <w:rsid w:val="008D7CFE"/>
    <w:rsid w:val="008E06FA"/>
    <w:rsid w:val="008E0A89"/>
    <w:rsid w:val="008E0F26"/>
    <w:rsid w:val="008E1175"/>
    <w:rsid w:val="008E120E"/>
    <w:rsid w:val="008E17C8"/>
    <w:rsid w:val="008E1E06"/>
    <w:rsid w:val="008E1E89"/>
    <w:rsid w:val="008E2638"/>
    <w:rsid w:val="008E268A"/>
    <w:rsid w:val="008E2E70"/>
    <w:rsid w:val="008E3867"/>
    <w:rsid w:val="008E3919"/>
    <w:rsid w:val="008E43F8"/>
    <w:rsid w:val="008E44AF"/>
    <w:rsid w:val="008E48BD"/>
    <w:rsid w:val="008E49BF"/>
    <w:rsid w:val="008E4AD8"/>
    <w:rsid w:val="008E4BFC"/>
    <w:rsid w:val="008E59DE"/>
    <w:rsid w:val="008E5ABF"/>
    <w:rsid w:val="008E5B86"/>
    <w:rsid w:val="008E6142"/>
    <w:rsid w:val="008E6208"/>
    <w:rsid w:val="008E633D"/>
    <w:rsid w:val="008E66ED"/>
    <w:rsid w:val="008E66F7"/>
    <w:rsid w:val="008E6860"/>
    <w:rsid w:val="008E6C48"/>
    <w:rsid w:val="008E7019"/>
    <w:rsid w:val="008E7B6C"/>
    <w:rsid w:val="008E7E0A"/>
    <w:rsid w:val="008F072B"/>
    <w:rsid w:val="008F0926"/>
    <w:rsid w:val="008F1167"/>
    <w:rsid w:val="008F1532"/>
    <w:rsid w:val="008F1536"/>
    <w:rsid w:val="008F1921"/>
    <w:rsid w:val="008F1B99"/>
    <w:rsid w:val="008F1D39"/>
    <w:rsid w:val="008F1F42"/>
    <w:rsid w:val="008F212B"/>
    <w:rsid w:val="008F36E7"/>
    <w:rsid w:val="008F388F"/>
    <w:rsid w:val="008F38FA"/>
    <w:rsid w:val="008F3A94"/>
    <w:rsid w:val="008F3D07"/>
    <w:rsid w:val="008F4583"/>
    <w:rsid w:val="008F59E5"/>
    <w:rsid w:val="008F5D36"/>
    <w:rsid w:val="008F5F7C"/>
    <w:rsid w:val="008F5F94"/>
    <w:rsid w:val="008F6140"/>
    <w:rsid w:val="008F6294"/>
    <w:rsid w:val="008F6705"/>
    <w:rsid w:val="008F6BC9"/>
    <w:rsid w:val="008F6C9D"/>
    <w:rsid w:val="008F6DE0"/>
    <w:rsid w:val="008F6F2A"/>
    <w:rsid w:val="008F7321"/>
    <w:rsid w:val="008F799A"/>
    <w:rsid w:val="008F7D96"/>
    <w:rsid w:val="00900059"/>
    <w:rsid w:val="0090039E"/>
    <w:rsid w:val="009007E9"/>
    <w:rsid w:val="00900DB6"/>
    <w:rsid w:val="00900F23"/>
    <w:rsid w:val="009010A0"/>
    <w:rsid w:val="00901623"/>
    <w:rsid w:val="00901A0F"/>
    <w:rsid w:val="00901BE9"/>
    <w:rsid w:val="009020E0"/>
    <w:rsid w:val="009024EB"/>
    <w:rsid w:val="009027EA"/>
    <w:rsid w:val="00902D84"/>
    <w:rsid w:val="00903231"/>
    <w:rsid w:val="00903328"/>
    <w:rsid w:val="0090353D"/>
    <w:rsid w:val="00903D7B"/>
    <w:rsid w:val="00904608"/>
    <w:rsid w:val="009046C5"/>
    <w:rsid w:val="00904F00"/>
    <w:rsid w:val="00904FB0"/>
    <w:rsid w:val="009054CD"/>
    <w:rsid w:val="00906589"/>
    <w:rsid w:val="009069A6"/>
    <w:rsid w:val="00907481"/>
    <w:rsid w:val="009100ED"/>
    <w:rsid w:val="009101B8"/>
    <w:rsid w:val="0091038C"/>
    <w:rsid w:val="0091040E"/>
    <w:rsid w:val="0091079B"/>
    <w:rsid w:val="0091082E"/>
    <w:rsid w:val="00910B3E"/>
    <w:rsid w:val="00910DA4"/>
    <w:rsid w:val="00910E1E"/>
    <w:rsid w:val="00910EEA"/>
    <w:rsid w:val="00911181"/>
    <w:rsid w:val="0091145D"/>
    <w:rsid w:val="00911968"/>
    <w:rsid w:val="00911B6A"/>
    <w:rsid w:val="00911E5E"/>
    <w:rsid w:val="009122CA"/>
    <w:rsid w:val="00912331"/>
    <w:rsid w:val="00912657"/>
    <w:rsid w:val="00912660"/>
    <w:rsid w:val="00912B84"/>
    <w:rsid w:val="00912CE7"/>
    <w:rsid w:val="00913A01"/>
    <w:rsid w:val="00913CFB"/>
    <w:rsid w:val="00914093"/>
    <w:rsid w:val="009142A4"/>
    <w:rsid w:val="00914AE9"/>
    <w:rsid w:val="00914D11"/>
    <w:rsid w:val="009152FC"/>
    <w:rsid w:val="00915B0C"/>
    <w:rsid w:val="0091646F"/>
    <w:rsid w:val="00917897"/>
    <w:rsid w:val="009179ED"/>
    <w:rsid w:val="00920606"/>
    <w:rsid w:val="0092069E"/>
    <w:rsid w:val="00920A8F"/>
    <w:rsid w:val="00920AC6"/>
    <w:rsid w:val="009219C3"/>
    <w:rsid w:val="009219FC"/>
    <w:rsid w:val="00921AA3"/>
    <w:rsid w:val="00921D14"/>
    <w:rsid w:val="00921ED9"/>
    <w:rsid w:val="00921FAD"/>
    <w:rsid w:val="00922238"/>
    <w:rsid w:val="009229AE"/>
    <w:rsid w:val="00922ED3"/>
    <w:rsid w:val="009231A7"/>
    <w:rsid w:val="0092350B"/>
    <w:rsid w:val="009235C9"/>
    <w:rsid w:val="00923D0E"/>
    <w:rsid w:val="00924E74"/>
    <w:rsid w:val="00924FA7"/>
    <w:rsid w:val="00924FB1"/>
    <w:rsid w:val="009253D1"/>
    <w:rsid w:val="0092548D"/>
    <w:rsid w:val="0092581D"/>
    <w:rsid w:val="009263D4"/>
    <w:rsid w:val="0092705B"/>
    <w:rsid w:val="00927F19"/>
    <w:rsid w:val="009300C6"/>
    <w:rsid w:val="009306B6"/>
    <w:rsid w:val="009308A3"/>
    <w:rsid w:val="00930A91"/>
    <w:rsid w:val="00930F6E"/>
    <w:rsid w:val="00931105"/>
    <w:rsid w:val="009312BA"/>
    <w:rsid w:val="00931B71"/>
    <w:rsid w:val="00931C35"/>
    <w:rsid w:val="00931E5B"/>
    <w:rsid w:val="00931F39"/>
    <w:rsid w:val="00932049"/>
    <w:rsid w:val="00932C2F"/>
    <w:rsid w:val="00932C99"/>
    <w:rsid w:val="00932F7B"/>
    <w:rsid w:val="00933860"/>
    <w:rsid w:val="00933C29"/>
    <w:rsid w:val="00933F53"/>
    <w:rsid w:val="009340E0"/>
    <w:rsid w:val="0093410F"/>
    <w:rsid w:val="00934136"/>
    <w:rsid w:val="009341AD"/>
    <w:rsid w:val="00934EFD"/>
    <w:rsid w:val="009355CD"/>
    <w:rsid w:val="00935682"/>
    <w:rsid w:val="00935A2A"/>
    <w:rsid w:val="00935A39"/>
    <w:rsid w:val="009369DA"/>
    <w:rsid w:val="00937179"/>
    <w:rsid w:val="00937A50"/>
    <w:rsid w:val="00937D01"/>
    <w:rsid w:val="00937FF1"/>
    <w:rsid w:val="00937FF4"/>
    <w:rsid w:val="0094008D"/>
    <w:rsid w:val="009400F5"/>
    <w:rsid w:val="009403D7"/>
    <w:rsid w:val="009403E9"/>
    <w:rsid w:val="009404D7"/>
    <w:rsid w:val="009409F4"/>
    <w:rsid w:val="00940D68"/>
    <w:rsid w:val="009410CA"/>
    <w:rsid w:val="00941281"/>
    <w:rsid w:val="00941942"/>
    <w:rsid w:val="00941E0C"/>
    <w:rsid w:val="00941E7C"/>
    <w:rsid w:val="0094203F"/>
    <w:rsid w:val="00942497"/>
    <w:rsid w:val="00942978"/>
    <w:rsid w:val="00942D34"/>
    <w:rsid w:val="00943588"/>
    <w:rsid w:val="00943659"/>
    <w:rsid w:val="00943689"/>
    <w:rsid w:val="00943C60"/>
    <w:rsid w:val="00943CB9"/>
    <w:rsid w:val="0094417B"/>
    <w:rsid w:val="009445C6"/>
    <w:rsid w:val="00944601"/>
    <w:rsid w:val="00944779"/>
    <w:rsid w:val="00945192"/>
    <w:rsid w:val="0094532B"/>
    <w:rsid w:val="009455B0"/>
    <w:rsid w:val="009456E2"/>
    <w:rsid w:val="00945C6C"/>
    <w:rsid w:val="0094626B"/>
    <w:rsid w:val="00946399"/>
    <w:rsid w:val="00946570"/>
    <w:rsid w:val="009467A5"/>
    <w:rsid w:val="00946832"/>
    <w:rsid w:val="009468DF"/>
    <w:rsid w:val="00947203"/>
    <w:rsid w:val="00947836"/>
    <w:rsid w:val="00950368"/>
    <w:rsid w:val="00950F62"/>
    <w:rsid w:val="0095176F"/>
    <w:rsid w:val="00951AAB"/>
    <w:rsid w:val="00952C21"/>
    <w:rsid w:val="00952D87"/>
    <w:rsid w:val="00953621"/>
    <w:rsid w:val="009543BD"/>
    <w:rsid w:val="009544C9"/>
    <w:rsid w:val="009544DF"/>
    <w:rsid w:val="00954567"/>
    <w:rsid w:val="009545DB"/>
    <w:rsid w:val="0095556B"/>
    <w:rsid w:val="0095583D"/>
    <w:rsid w:val="00955BC3"/>
    <w:rsid w:val="00955ECE"/>
    <w:rsid w:val="009561BB"/>
    <w:rsid w:val="00956470"/>
    <w:rsid w:val="009569F0"/>
    <w:rsid w:val="009570EB"/>
    <w:rsid w:val="00957197"/>
    <w:rsid w:val="0095725D"/>
    <w:rsid w:val="00957956"/>
    <w:rsid w:val="00957C7A"/>
    <w:rsid w:val="00957E63"/>
    <w:rsid w:val="00960CEA"/>
    <w:rsid w:val="0096103B"/>
    <w:rsid w:val="009610B3"/>
    <w:rsid w:val="00961185"/>
    <w:rsid w:val="009613D0"/>
    <w:rsid w:val="009615D5"/>
    <w:rsid w:val="009622B9"/>
    <w:rsid w:val="0096283F"/>
    <w:rsid w:val="00962953"/>
    <w:rsid w:val="00962F6E"/>
    <w:rsid w:val="0096306C"/>
    <w:rsid w:val="0096326B"/>
    <w:rsid w:val="00963501"/>
    <w:rsid w:val="009639B3"/>
    <w:rsid w:val="00963AB1"/>
    <w:rsid w:val="00963CB6"/>
    <w:rsid w:val="00963E76"/>
    <w:rsid w:val="009641D9"/>
    <w:rsid w:val="00964320"/>
    <w:rsid w:val="00964586"/>
    <w:rsid w:val="00964636"/>
    <w:rsid w:val="00964968"/>
    <w:rsid w:val="009649B6"/>
    <w:rsid w:val="00964BEF"/>
    <w:rsid w:val="00964D64"/>
    <w:rsid w:val="00964E31"/>
    <w:rsid w:val="00966253"/>
    <w:rsid w:val="00966BF6"/>
    <w:rsid w:val="00966D0A"/>
    <w:rsid w:val="00966D4C"/>
    <w:rsid w:val="00967BB1"/>
    <w:rsid w:val="00967CD2"/>
    <w:rsid w:val="00967DAB"/>
    <w:rsid w:val="009700F5"/>
    <w:rsid w:val="0097049F"/>
    <w:rsid w:val="00970D3F"/>
    <w:rsid w:val="009715E3"/>
    <w:rsid w:val="009717B1"/>
    <w:rsid w:val="00971A39"/>
    <w:rsid w:val="00972292"/>
    <w:rsid w:val="00972390"/>
    <w:rsid w:val="00972752"/>
    <w:rsid w:val="00972C8F"/>
    <w:rsid w:val="00972CF3"/>
    <w:rsid w:val="009731DA"/>
    <w:rsid w:val="00973A32"/>
    <w:rsid w:val="00973BA1"/>
    <w:rsid w:val="00974490"/>
    <w:rsid w:val="00974787"/>
    <w:rsid w:val="00974805"/>
    <w:rsid w:val="009748E1"/>
    <w:rsid w:val="00974D0A"/>
    <w:rsid w:val="00975989"/>
    <w:rsid w:val="009762AC"/>
    <w:rsid w:val="0097636F"/>
    <w:rsid w:val="0097642D"/>
    <w:rsid w:val="00976453"/>
    <w:rsid w:val="00976F12"/>
    <w:rsid w:val="00977126"/>
    <w:rsid w:val="009774E8"/>
    <w:rsid w:val="00977652"/>
    <w:rsid w:val="00977756"/>
    <w:rsid w:val="009778D4"/>
    <w:rsid w:val="00977CC6"/>
    <w:rsid w:val="00977EC5"/>
    <w:rsid w:val="00977F40"/>
    <w:rsid w:val="00977FFC"/>
    <w:rsid w:val="00980113"/>
    <w:rsid w:val="0098176E"/>
    <w:rsid w:val="00981785"/>
    <w:rsid w:val="00981E9E"/>
    <w:rsid w:val="009822A9"/>
    <w:rsid w:val="00982606"/>
    <w:rsid w:val="00982957"/>
    <w:rsid w:val="00982AB3"/>
    <w:rsid w:val="00982AD5"/>
    <w:rsid w:val="00982E20"/>
    <w:rsid w:val="009834A5"/>
    <w:rsid w:val="0098375A"/>
    <w:rsid w:val="009839EF"/>
    <w:rsid w:val="00983A7F"/>
    <w:rsid w:val="00983AA9"/>
    <w:rsid w:val="009844B8"/>
    <w:rsid w:val="0098450E"/>
    <w:rsid w:val="00984D66"/>
    <w:rsid w:val="00984DFA"/>
    <w:rsid w:val="00984E01"/>
    <w:rsid w:val="00985287"/>
    <w:rsid w:val="0098557F"/>
    <w:rsid w:val="009857B0"/>
    <w:rsid w:val="00985956"/>
    <w:rsid w:val="00986183"/>
    <w:rsid w:val="00986553"/>
    <w:rsid w:val="00986AAC"/>
    <w:rsid w:val="00986EE4"/>
    <w:rsid w:val="00987DF5"/>
    <w:rsid w:val="009903D7"/>
    <w:rsid w:val="0099190C"/>
    <w:rsid w:val="00991F02"/>
    <w:rsid w:val="009921C1"/>
    <w:rsid w:val="0099264F"/>
    <w:rsid w:val="009932A7"/>
    <w:rsid w:val="00993538"/>
    <w:rsid w:val="00994C75"/>
    <w:rsid w:val="009951F3"/>
    <w:rsid w:val="00996310"/>
    <w:rsid w:val="0099684E"/>
    <w:rsid w:val="00996DBC"/>
    <w:rsid w:val="00997169"/>
    <w:rsid w:val="009972A7"/>
    <w:rsid w:val="00997AC6"/>
    <w:rsid w:val="00997CA9"/>
    <w:rsid w:val="00997D19"/>
    <w:rsid w:val="009A0084"/>
    <w:rsid w:val="009A07E7"/>
    <w:rsid w:val="009A09BE"/>
    <w:rsid w:val="009A0EE6"/>
    <w:rsid w:val="009A0F47"/>
    <w:rsid w:val="009A0F48"/>
    <w:rsid w:val="009A123C"/>
    <w:rsid w:val="009A1307"/>
    <w:rsid w:val="009A148A"/>
    <w:rsid w:val="009A1615"/>
    <w:rsid w:val="009A19FB"/>
    <w:rsid w:val="009A1A3B"/>
    <w:rsid w:val="009A20FB"/>
    <w:rsid w:val="009A260A"/>
    <w:rsid w:val="009A2B64"/>
    <w:rsid w:val="009A2D72"/>
    <w:rsid w:val="009A2E65"/>
    <w:rsid w:val="009A303D"/>
    <w:rsid w:val="009A34CB"/>
    <w:rsid w:val="009A36B6"/>
    <w:rsid w:val="009A3DFC"/>
    <w:rsid w:val="009A3FD1"/>
    <w:rsid w:val="009A435C"/>
    <w:rsid w:val="009A43F5"/>
    <w:rsid w:val="009A4537"/>
    <w:rsid w:val="009A47A7"/>
    <w:rsid w:val="009A4BBA"/>
    <w:rsid w:val="009A4D4A"/>
    <w:rsid w:val="009A4E86"/>
    <w:rsid w:val="009A4EA1"/>
    <w:rsid w:val="009A4FFB"/>
    <w:rsid w:val="009A5A59"/>
    <w:rsid w:val="009A62C1"/>
    <w:rsid w:val="009A6415"/>
    <w:rsid w:val="009A643D"/>
    <w:rsid w:val="009A662F"/>
    <w:rsid w:val="009A66A2"/>
    <w:rsid w:val="009A69CD"/>
    <w:rsid w:val="009A722B"/>
    <w:rsid w:val="009A745D"/>
    <w:rsid w:val="009A781F"/>
    <w:rsid w:val="009A7B6C"/>
    <w:rsid w:val="009A7CA8"/>
    <w:rsid w:val="009A7D58"/>
    <w:rsid w:val="009A7E6A"/>
    <w:rsid w:val="009B003B"/>
    <w:rsid w:val="009B01E1"/>
    <w:rsid w:val="009B0DE4"/>
    <w:rsid w:val="009B13B8"/>
    <w:rsid w:val="009B17CA"/>
    <w:rsid w:val="009B194D"/>
    <w:rsid w:val="009B21B9"/>
    <w:rsid w:val="009B29D6"/>
    <w:rsid w:val="009B2B34"/>
    <w:rsid w:val="009B2F99"/>
    <w:rsid w:val="009B31CC"/>
    <w:rsid w:val="009B3237"/>
    <w:rsid w:val="009B328F"/>
    <w:rsid w:val="009B3510"/>
    <w:rsid w:val="009B36D8"/>
    <w:rsid w:val="009B381B"/>
    <w:rsid w:val="009B38E9"/>
    <w:rsid w:val="009B46F4"/>
    <w:rsid w:val="009B4939"/>
    <w:rsid w:val="009B555B"/>
    <w:rsid w:val="009B5D40"/>
    <w:rsid w:val="009B5E53"/>
    <w:rsid w:val="009B616D"/>
    <w:rsid w:val="009B6315"/>
    <w:rsid w:val="009B6ABB"/>
    <w:rsid w:val="009B76CC"/>
    <w:rsid w:val="009B76F1"/>
    <w:rsid w:val="009B780E"/>
    <w:rsid w:val="009B79C3"/>
    <w:rsid w:val="009B7A16"/>
    <w:rsid w:val="009B7E48"/>
    <w:rsid w:val="009C0265"/>
    <w:rsid w:val="009C0409"/>
    <w:rsid w:val="009C05B6"/>
    <w:rsid w:val="009C0DD5"/>
    <w:rsid w:val="009C0F64"/>
    <w:rsid w:val="009C10D3"/>
    <w:rsid w:val="009C11C8"/>
    <w:rsid w:val="009C154C"/>
    <w:rsid w:val="009C15CB"/>
    <w:rsid w:val="009C184E"/>
    <w:rsid w:val="009C18E6"/>
    <w:rsid w:val="009C19BE"/>
    <w:rsid w:val="009C1A20"/>
    <w:rsid w:val="009C20CD"/>
    <w:rsid w:val="009C21CF"/>
    <w:rsid w:val="009C2766"/>
    <w:rsid w:val="009C2C75"/>
    <w:rsid w:val="009C2EC1"/>
    <w:rsid w:val="009C3125"/>
    <w:rsid w:val="009C467A"/>
    <w:rsid w:val="009C4AF2"/>
    <w:rsid w:val="009C4B58"/>
    <w:rsid w:val="009C4EC5"/>
    <w:rsid w:val="009C4F19"/>
    <w:rsid w:val="009C5C4A"/>
    <w:rsid w:val="009C5DFB"/>
    <w:rsid w:val="009C5FD0"/>
    <w:rsid w:val="009C69D8"/>
    <w:rsid w:val="009C73BB"/>
    <w:rsid w:val="009C7C71"/>
    <w:rsid w:val="009C7E89"/>
    <w:rsid w:val="009D043E"/>
    <w:rsid w:val="009D07D4"/>
    <w:rsid w:val="009D07FE"/>
    <w:rsid w:val="009D0874"/>
    <w:rsid w:val="009D0ABB"/>
    <w:rsid w:val="009D0BBD"/>
    <w:rsid w:val="009D0FDD"/>
    <w:rsid w:val="009D1402"/>
    <w:rsid w:val="009D15A0"/>
    <w:rsid w:val="009D1671"/>
    <w:rsid w:val="009D20F6"/>
    <w:rsid w:val="009D22E0"/>
    <w:rsid w:val="009D2407"/>
    <w:rsid w:val="009D25E7"/>
    <w:rsid w:val="009D2F3B"/>
    <w:rsid w:val="009D33B2"/>
    <w:rsid w:val="009D3B1A"/>
    <w:rsid w:val="009D494A"/>
    <w:rsid w:val="009D4979"/>
    <w:rsid w:val="009D4BB2"/>
    <w:rsid w:val="009D4EA6"/>
    <w:rsid w:val="009D5295"/>
    <w:rsid w:val="009D54FC"/>
    <w:rsid w:val="009D5A1E"/>
    <w:rsid w:val="009D5A37"/>
    <w:rsid w:val="009D5B35"/>
    <w:rsid w:val="009D6279"/>
    <w:rsid w:val="009D68B6"/>
    <w:rsid w:val="009D6F13"/>
    <w:rsid w:val="009D7357"/>
    <w:rsid w:val="009D73A0"/>
    <w:rsid w:val="009D7952"/>
    <w:rsid w:val="009D7B37"/>
    <w:rsid w:val="009D7BBD"/>
    <w:rsid w:val="009D7C38"/>
    <w:rsid w:val="009E0183"/>
    <w:rsid w:val="009E0D26"/>
    <w:rsid w:val="009E1138"/>
    <w:rsid w:val="009E137A"/>
    <w:rsid w:val="009E1D4D"/>
    <w:rsid w:val="009E1D70"/>
    <w:rsid w:val="009E2197"/>
    <w:rsid w:val="009E27CF"/>
    <w:rsid w:val="009E2E80"/>
    <w:rsid w:val="009E32E6"/>
    <w:rsid w:val="009E349E"/>
    <w:rsid w:val="009E3A13"/>
    <w:rsid w:val="009E4A70"/>
    <w:rsid w:val="009E5158"/>
    <w:rsid w:val="009E566C"/>
    <w:rsid w:val="009E596B"/>
    <w:rsid w:val="009E5AD5"/>
    <w:rsid w:val="009E5DC2"/>
    <w:rsid w:val="009E605D"/>
    <w:rsid w:val="009E60AA"/>
    <w:rsid w:val="009E6277"/>
    <w:rsid w:val="009E6663"/>
    <w:rsid w:val="009E66E8"/>
    <w:rsid w:val="009E68BB"/>
    <w:rsid w:val="009E6E00"/>
    <w:rsid w:val="009E7232"/>
    <w:rsid w:val="009E76C6"/>
    <w:rsid w:val="009E7BBC"/>
    <w:rsid w:val="009E7C60"/>
    <w:rsid w:val="009E7C91"/>
    <w:rsid w:val="009E7F8E"/>
    <w:rsid w:val="009F0370"/>
    <w:rsid w:val="009F06F6"/>
    <w:rsid w:val="009F0829"/>
    <w:rsid w:val="009F1173"/>
    <w:rsid w:val="009F141C"/>
    <w:rsid w:val="009F1C77"/>
    <w:rsid w:val="009F1DEB"/>
    <w:rsid w:val="009F2293"/>
    <w:rsid w:val="009F22C7"/>
    <w:rsid w:val="009F2C1B"/>
    <w:rsid w:val="009F2C22"/>
    <w:rsid w:val="009F2DFE"/>
    <w:rsid w:val="009F323F"/>
    <w:rsid w:val="009F353D"/>
    <w:rsid w:val="009F36AF"/>
    <w:rsid w:val="009F3C32"/>
    <w:rsid w:val="009F4399"/>
    <w:rsid w:val="009F4DCD"/>
    <w:rsid w:val="009F4E9E"/>
    <w:rsid w:val="009F51D0"/>
    <w:rsid w:val="009F5622"/>
    <w:rsid w:val="009F598C"/>
    <w:rsid w:val="009F5F45"/>
    <w:rsid w:val="009F61B1"/>
    <w:rsid w:val="009F6487"/>
    <w:rsid w:val="009F64B4"/>
    <w:rsid w:val="009F6529"/>
    <w:rsid w:val="009F6AB5"/>
    <w:rsid w:val="009F6D79"/>
    <w:rsid w:val="009F6DD1"/>
    <w:rsid w:val="009F6DF9"/>
    <w:rsid w:val="009F6E57"/>
    <w:rsid w:val="009F7F61"/>
    <w:rsid w:val="00A00121"/>
    <w:rsid w:val="00A00191"/>
    <w:rsid w:val="00A00BCB"/>
    <w:rsid w:val="00A01621"/>
    <w:rsid w:val="00A01B8E"/>
    <w:rsid w:val="00A02682"/>
    <w:rsid w:val="00A028F4"/>
    <w:rsid w:val="00A029C9"/>
    <w:rsid w:val="00A02DC4"/>
    <w:rsid w:val="00A02FCE"/>
    <w:rsid w:val="00A0338C"/>
    <w:rsid w:val="00A03D49"/>
    <w:rsid w:val="00A03E16"/>
    <w:rsid w:val="00A03F81"/>
    <w:rsid w:val="00A040FE"/>
    <w:rsid w:val="00A043F1"/>
    <w:rsid w:val="00A04CBE"/>
    <w:rsid w:val="00A05013"/>
    <w:rsid w:val="00A054B7"/>
    <w:rsid w:val="00A05890"/>
    <w:rsid w:val="00A05AC9"/>
    <w:rsid w:val="00A06E1E"/>
    <w:rsid w:val="00A06F51"/>
    <w:rsid w:val="00A06FBE"/>
    <w:rsid w:val="00A07984"/>
    <w:rsid w:val="00A07A8B"/>
    <w:rsid w:val="00A07FB4"/>
    <w:rsid w:val="00A10313"/>
    <w:rsid w:val="00A10C5D"/>
    <w:rsid w:val="00A11471"/>
    <w:rsid w:val="00A11B87"/>
    <w:rsid w:val="00A11C23"/>
    <w:rsid w:val="00A11FC4"/>
    <w:rsid w:val="00A120B7"/>
    <w:rsid w:val="00A120D5"/>
    <w:rsid w:val="00A1240A"/>
    <w:rsid w:val="00A12518"/>
    <w:rsid w:val="00A12B69"/>
    <w:rsid w:val="00A134C0"/>
    <w:rsid w:val="00A13D51"/>
    <w:rsid w:val="00A14406"/>
    <w:rsid w:val="00A14A36"/>
    <w:rsid w:val="00A14CC9"/>
    <w:rsid w:val="00A1505B"/>
    <w:rsid w:val="00A15363"/>
    <w:rsid w:val="00A153F0"/>
    <w:rsid w:val="00A158AE"/>
    <w:rsid w:val="00A15B6A"/>
    <w:rsid w:val="00A15E51"/>
    <w:rsid w:val="00A1616E"/>
    <w:rsid w:val="00A161FD"/>
    <w:rsid w:val="00A1631A"/>
    <w:rsid w:val="00A165CF"/>
    <w:rsid w:val="00A167BD"/>
    <w:rsid w:val="00A16B64"/>
    <w:rsid w:val="00A175AA"/>
    <w:rsid w:val="00A175ED"/>
    <w:rsid w:val="00A176C5"/>
    <w:rsid w:val="00A17A57"/>
    <w:rsid w:val="00A17C0B"/>
    <w:rsid w:val="00A20453"/>
    <w:rsid w:val="00A204F1"/>
    <w:rsid w:val="00A20C25"/>
    <w:rsid w:val="00A20CF9"/>
    <w:rsid w:val="00A2116B"/>
    <w:rsid w:val="00A211F4"/>
    <w:rsid w:val="00A2199D"/>
    <w:rsid w:val="00A21BC0"/>
    <w:rsid w:val="00A223A9"/>
    <w:rsid w:val="00A2285E"/>
    <w:rsid w:val="00A23338"/>
    <w:rsid w:val="00A233AF"/>
    <w:rsid w:val="00A23416"/>
    <w:rsid w:val="00A245FC"/>
    <w:rsid w:val="00A2466A"/>
    <w:rsid w:val="00A24CE8"/>
    <w:rsid w:val="00A24E4E"/>
    <w:rsid w:val="00A251B9"/>
    <w:rsid w:val="00A251E0"/>
    <w:rsid w:val="00A254D6"/>
    <w:rsid w:val="00A255C5"/>
    <w:rsid w:val="00A25D6E"/>
    <w:rsid w:val="00A26101"/>
    <w:rsid w:val="00A26117"/>
    <w:rsid w:val="00A26182"/>
    <w:rsid w:val="00A267F1"/>
    <w:rsid w:val="00A26E79"/>
    <w:rsid w:val="00A275B2"/>
    <w:rsid w:val="00A27894"/>
    <w:rsid w:val="00A278F5"/>
    <w:rsid w:val="00A27AD2"/>
    <w:rsid w:val="00A27BBE"/>
    <w:rsid w:val="00A30490"/>
    <w:rsid w:val="00A305DE"/>
    <w:rsid w:val="00A30DD9"/>
    <w:rsid w:val="00A312C7"/>
    <w:rsid w:val="00A31F38"/>
    <w:rsid w:val="00A31F3E"/>
    <w:rsid w:val="00A32C8C"/>
    <w:rsid w:val="00A32D7E"/>
    <w:rsid w:val="00A33126"/>
    <w:rsid w:val="00A332C2"/>
    <w:rsid w:val="00A34159"/>
    <w:rsid w:val="00A34E38"/>
    <w:rsid w:val="00A34EB1"/>
    <w:rsid w:val="00A34FC5"/>
    <w:rsid w:val="00A356FC"/>
    <w:rsid w:val="00A36C13"/>
    <w:rsid w:val="00A36C21"/>
    <w:rsid w:val="00A36D86"/>
    <w:rsid w:val="00A3774F"/>
    <w:rsid w:val="00A400B3"/>
    <w:rsid w:val="00A40147"/>
    <w:rsid w:val="00A402E8"/>
    <w:rsid w:val="00A404BE"/>
    <w:rsid w:val="00A404CC"/>
    <w:rsid w:val="00A406D5"/>
    <w:rsid w:val="00A4082A"/>
    <w:rsid w:val="00A408AD"/>
    <w:rsid w:val="00A40B2B"/>
    <w:rsid w:val="00A40B51"/>
    <w:rsid w:val="00A40DCB"/>
    <w:rsid w:val="00A40DED"/>
    <w:rsid w:val="00A414C0"/>
    <w:rsid w:val="00A41B78"/>
    <w:rsid w:val="00A41CB9"/>
    <w:rsid w:val="00A42364"/>
    <w:rsid w:val="00A423E1"/>
    <w:rsid w:val="00A42B6D"/>
    <w:rsid w:val="00A42DC6"/>
    <w:rsid w:val="00A42EC1"/>
    <w:rsid w:val="00A43661"/>
    <w:rsid w:val="00A43A47"/>
    <w:rsid w:val="00A44049"/>
    <w:rsid w:val="00A4408E"/>
    <w:rsid w:val="00A443BE"/>
    <w:rsid w:val="00A449B2"/>
    <w:rsid w:val="00A44DDD"/>
    <w:rsid w:val="00A453C6"/>
    <w:rsid w:val="00A4555F"/>
    <w:rsid w:val="00A456F4"/>
    <w:rsid w:val="00A457D2"/>
    <w:rsid w:val="00A4594D"/>
    <w:rsid w:val="00A45A46"/>
    <w:rsid w:val="00A45A4B"/>
    <w:rsid w:val="00A45DC4"/>
    <w:rsid w:val="00A46649"/>
    <w:rsid w:val="00A46A1A"/>
    <w:rsid w:val="00A46F05"/>
    <w:rsid w:val="00A47BBC"/>
    <w:rsid w:val="00A5073D"/>
    <w:rsid w:val="00A50AAE"/>
    <w:rsid w:val="00A50E6C"/>
    <w:rsid w:val="00A50F90"/>
    <w:rsid w:val="00A513BF"/>
    <w:rsid w:val="00A51F4B"/>
    <w:rsid w:val="00A52263"/>
    <w:rsid w:val="00A523CA"/>
    <w:rsid w:val="00A52956"/>
    <w:rsid w:val="00A53579"/>
    <w:rsid w:val="00A5378E"/>
    <w:rsid w:val="00A53AEE"/>
    <w:rsid w:val="00A549B0"/>
    <w:rsid w:val="00A55C58"/>
    <w:rsid w:val="00A56000"/>
    <w:rsid w:val="00A560F0"/>
    <w:rsid w:val="00A56705"/>
    <w:rsid w:val="00A568EB"/>
    <w:rsid w:val="00A57398"/>
    <w:rsid w:val="00A577D6"/>
    <w:rsid w:val="00A5781F"/>
    <w:rsid w:val="00A578F0"/>
    <w:rsid w:val="00A60366"/>
    <w:rsid w:val="00A60702"/>
    <w:rsid w:val="00A6094E"/>
    <w:rsid w:val="00A60C41"/>
    <w:rsid w:val="00A61076"/>
    <w:rsid w:val="00A61611"/>
    <w:rsid w:val="00A61BCE"/>
    <w:rsid w:val="00A61E0C"/>
    <w:rsid w:val="00A61F8E"/>
    <w:rsid w:val="00A620A1"/>
    <w:rsid w:val="00A62163"/>
    <w:rsid w:val="00A62276"/>
    <w:rsid w:val="00A62441"/>
    <w:rsid w:val="00A625B0"/>
    <w:rsid w:val="00A62699"/>
    <w:rsid w:val="00A62A40"/>
    <w:rsid w:val="00A62EB0"/>
    <w:rsid w:val="00A62FD6"/>
    <w:rsid w:val="00A634CF"/>
    <w:rsid w:val="00A63AAF"/>
    <w:rsid w:val="00A63CDF"/>
    <w:rsid w:val="00A64872"/>
    <w:rsid w:val="00A64D20"/>
    <w:rsid w:val="00A65446"/>
    <w:rsid w:val="00A65A33"/>
    <w:rsid w:val="00A65ADE"/>
    <w:rsid w:val="00A65B04"/>
    <w:rsid w:val="00A65B2C"/>
    <w:rsid w:val="00A65BE0"/>
    <w:rsid w:val="00A6620B"/>
    <w:rsid w:val="00A6645C"/>
    <w:rsid w:val="00A6774B"/>
    <w:rsid w:val="00A67923"/>
    <w:rsid w:val="00A70084"/>
    <w:rsid w:val="00A700C8"/>
    <w:rsid w:val="00A70216"/>
    <w:rsid w:val="00A705A9"/>
    <w:rsid w:val="00A71493"/>
    <w:rsid w:val="00A71C1A"/>
    <w:rsid w:val="00A72A45"/>
    <w:rsid w:val="00A72BA3"/>
    <w:rsid w:val="00A72D81"/>
    <w:rsid w:val="00A72F0D"/>
    <w:rsid w:val="00A7323C"/>
    <w:rsid w:val="00A734C3"/>
    <w:rsid w:val="00A73790"/>
    <w:rsid w:val="00A73891"/>
    <w:rsid w:val="00A73DE4"/>
    <w:rsid w:val="00A73FBB"/>
    <w:rsid w:val="00A7403F"/>
    <w:rsid w:val="00A7416C"/>
    <w:rsid w:val="00A74427"/>
    <w:rsid w:val="00A74A68"/>
    <w:rsid w:val="00A74C26"/>
    <w:rsid w:val="00A74E96"/>
    <w:rsid w:val="00A75575"/>
    <w:rsid w:val="00A75745"/>
    <w:rsid w:val="00A759D0"/>
    <w:rsid w:val="00A75C2B"/>
    <w:rsid w:val="00A76086"/>
    <w:rsid w:val="00A762A4"/>
    <w:rsid w:val="00A7630B"/>
    <w:rsid w:val="00A765BA"/>
    <w:rsid w:val="00A7671B"/>
    <w:rsid w:val="00A772C3"/>
    <w:rsid w:val="00A774E5"/>
    <w:rsid w:val="00A77583"/>
    <w:rsid w:val="00A77706"/>
    <w:rsid w:val="00A77820"/>
    <w:rsid w:val="00A77C3F"/>
    <w:rsid w:val="00A77D38"/>
    <w:rsid w:val="00A80258"/>
    <w:rsid w:val="00A80717"/>
    <w:rsid w:val="00A8089A"/>
    <w:rsid w:val="00A809AD"/>
    <w:rsid w:val="00A80ACB"/>
    <w:rsid w:val="00A80C87"/>
    <w:rsid w:val="00A8117C"/>
    <w:rsid w:val="00A81F3B"/>
    <w:rsid w:val="00A82987"/>
    <w:rsid w:val="00A82A7E"/>
    <w:rsid w:val="00A83179"/>
    <w:rsid w:val="00A83901"/>
    <w:rsid w:val="00A839A6"/>
    <w:rsid w:val="00A83A96"/>
    <w:rsid w:val="00A85249"/>
    <w:rsid w:val="00A85565"/>
    <w:rsid w:val="00A8580A"/>
    <w:rsid w:val="00A85CEF"/>
    <w:rsid w:val="00A85EFF"/>
    <w:rsid w:val="00A8673E"/>
    <w:rsid w:val="00A86CCA"/>
    <w:rsid w:val="00A86D94"/>
    <w:rsid w:val="00A8725F"/>
    <w:rsid w:val="00A8769E"/>
    <w:rsid w:val="00A87AB3"/>
    <w:rsid w:val="00A9043F"/>
    <w:rsid w:val="00A90999"/>
    <w:rsid w:val="00A91118"/>
    <w:rsid w:val="00A9135C"/>
    <w:rsid w:val="00A91644"/>
    <w:rsid w:val="00A92247"/>
    <w:rsid w:val="00A927A6"/>
    <w:rsid w:val="00A92D6C"/>
    <w:rsid w:val="00A92DCC"/>
    <w:rsid w:val="00A930F0"/>
    <w:rsid w:val="00A93138"/>
    <w:rsid w:val="00A9393E"/>
    <w:rsid w:val="00A939FB"/>
    <w:rsid w:val="00A93E7F"/>
    <w:rsid w:val="00A94191"/>
    <w:rsid w:val="00A941BB"/>
    <w:rsid w:val="00A94347"/>
    <w:rsid w:val="00A94B2C"/>
    <w:rsid w:val="00A94CBC"/>
    <w:rsid w:val="00A950C9"/>
    <w:rsid w:val="00A950D2"/>
    <w:rsid w:val="00A95BC0"/>
    <w:rsid w:val="00A97816"/>
    <w:rsid w:val="00A979D6"/>
    <w:rsid w:val="00AA04D1"/>
    <w:rsid w:val="00AA0680"/>
    <w:rsid w:val="00AA09C8"/>
    <w:rsid w:val="00AA0E99"/>
    <w:rsid w:val="00AA144C"/>
    <w:rsid w:val="00AA1451"/>
    <w:rsid w:val="00AA15AA"/>
    <w:rsid w:val="00AA1826"/>
    <w:rsid w:val="00AA1AB7"/>
    <w:rsid w:val="00AA1C6E"/>
    <w:rsid w:val="00AA1EE0"/>
    <w:rsid w:val="00AA1F7B"/>
    <w:rsid w:val="00AA21DB"/>
    <w:rsid w:val="00AA23FC"/>
    <w:rsid w:val="00AA327F"/>
    <w:rsid w:val="00AA3513"/>
    <w:rsid w:val="00AA3DAB"/>
    <w:rsid w:val="00AA3EF0"/>
    <w:rsid w:val="00AA44DF"/>
    <w:rsid w:val="00AA4583"/>
    <w:rsid w:val="00AA48AB"/>
    <w:rsid w:val="00AA4D22"/>
    <w:rsid w:val="00AA4D55"/>
    <w:rsid w:val="00AA5017"/>
    <w:rsid w:val="00AA50DC"/>
    <w:rsid w:val="00AA5206"/>
    <w:rsid w:val="00AA5221"/>
    <w:rsid w:val="00AA59DC"/>
    <w:rsid w:val="00AA5BAA"/>
    <w:rsid w:val="00AA5BF7"/>
    <w:rsid w:val="00AA5C58"/>
    <w:rsid w:val="00AA603E"/>
    <w:rsid w:val="00AA6317"/>
    <w:rsid w:val="00AA6438"/>
    <w:rsid w:val="00AA64F8"/>
    <w:rsid w:val="00AA65BE"/>
    <w:rsid w:val="00AA7733"/>
    <w:rsid w:val="00AA7A6E"/>
    <w:rsid w:val="00AA7C67"/>
    <w:rsid w:val="00AA7D6B"/>
    <w:rsid w:val="00AA7DBD"/>
    <w:rsid w:val="00AB00AA"/>
    <w:rsid w:val="00AB02F4"/>
    <w:rsid w:val="00AB03AB"/>
    <w:rsid w:val="00AB0676"/>
    <w:rsid w:val="00AB08DD"/>
    <w:rsid w:val="00AB128C"/>
    <w:rsid w:val="00AB1FE9"/>
    <w:rsid w:val="00AB21F1"/>
    <w:rsid w:val="00AB2269"/>
    <w:rsid w:val="00AB263F"/>
    <w:rsid w:val="00AB2A8E"/>
    <w:rsid w:val="00AB32A7"/>
    <w:rsid w:val="00AB3870"/>
    <w:rsid w:val="00AB3E20"/>
    <w:rsid w:val="00AB3E48"/>
    <w:rsid w:val="00AB3FAC"/>
    <w:rsid w:val="00AB413D"/>
    <w:rsid w:val="00AB4183"/>
    <w:rsid w:val="00AB44AC"/>
    <w:rsid w:val="00AB4AA8"/>
    <w:rsid w:val="00AB5537"/>
    <w:rsid w:val="00AB5BB1"/>
    <w:rsid w:val="00AB5BC0"/>
    <w:rsid w:val="00AB69C4"/>
    <w:rsid w:val="00AB6CC3"/>
    <w:rsid w:val="00AB6D68"/>
    <w:rsid w:val="00AB6F2D"/>
    <w:rsid w:val="00AB743A"/>
    <w:rsid w:val="00AB7516"/>
    <w:rsid w:val="00AB7A47"/>
    <w:rsid w:val="00AB7E82"/>
    <w:rsid w:val="00AB7F76"/>
    <w:rsid w:val="00AC0902"/>
    <w:rsid w:val="00AC119F"/>
    <w:rsid w:val="00AC1FB8"/>
    <w:rsid w:val="00AC20E1"/>
    <w:rsid w:val="00AC2D07"/>
    <w:rsid w:val="00AC2EFC"/>
    <w:rsid w:val="00AC3CA1"/>
    <w:rsid w:val="00AC3FC5"/>
    <w:rsid w:val="00AC4058"/>
    <w:rsid w:val="00AC4CE4"/>
    <w:rsid w:val="00AC576D"/>
    <w:rsid w:val="00AC658E"/>
    <w:rsid w:val="00AC6CC9"/>
    <w:rsid w:val="00AC718C"/>
    <w:rsid w:val="00AC7618"/>
    <w:rsid w:val="00AC79DF"/>
    <w:rsid w:val="00AD0157"/>
    <w:rsid w:val="00AD024B"/>
    <w:rsid w:val="00AD03B5"/>
    <w:rsid w:val="00AD089A"/>
    <w:rsid w:val="00AD08EF"/>
    <w:rsid w:val="00AD0A65"/>
    <w:rsid w:val="00AD0EBC"/>
    <w:rsid w:val="00AD15A0"/>
    <w:rsid w:val="00AD178B"/>
    <w:rsid w:val="00AD20F3"/>
    <w:rsid w:val="00AD276B"/>
    <w:rsid w:val="00AD2E79"/>
    <w:rsid w:val="00AD311D"/>
    <w:rsid w:val="00AD3389"/>
    <w:rsid w:val="00AD33AC"/>
    <w:rsid w:val="00AD363C"/>
    <w:rsid w:val="00AD36EA"/>
    <w:rsid w:val="00AD3A31"/>
    <w:rsid w:val="00AD3DE4"/>
    <w:rsid w:val="00AD4308"/>
    <w:rsid w:val="00AD4C82"/>
    <w:rsid w:val="00AD4E88"/>
    <w:rsid w:val="00AD5489"/>
    <w:rsid w:val="00AD57EC"/>
    <w:rsid w:val="00AD5E1F"/>
    <w:rsid w:val="00AD618A"/>
    <w:rsid w:val="00AD6224"/>
    <w:rsid w:val="00AD670F"/>
    <w:rsid w:val="00AD6B44"/>
    <w:rsid w:val="00AD6CF8"/>
    <w:rsid w:val="00AD79A2"/>
    <w:rsid w:val="00AE0335"/>
    <w:rsid w:val="00AE06BE"/>
    <w:rsid w:val="00AE0C7A"/>
    <w:rsid w:val="00AE0F3D"/>
    <w:rsid w:val="00AE102A"/>
    <w:rsid w:val="00AE11B4"/>
    <w:rsid w:val="00AE1786"/>
    <w:rsid w:val="00AE18E3"/>
    <w:rsid w:val="00AE19E9"/>
    <w:rsid w:val="00AE1B1B"/>
    <w:rsid w:val="00AE211A"/>
    <w:rsid w:val="00AE22A9"/>
    <w:rsid w:val="00AE2363"/>
    <w:rsid w:val="00AE2CBD"/>
    <w:rsid w:val="00AE3156"/>
    <w:rsid w:val="00AE3853"/>
    <w:rsid w:val="00AE3875"/>
    <w:rsid w:val="00AE38AC"/>
    <w:rsid w:val="00AE38EC"/>
    <w:rsid w:val="00AE3DC6"/>
    <w:rsid w:val="00AE4852"/>
    <w:rsid w:val="00AE5435"/>
    <w:rsid w:val="00AE54C6"/>
    <w:rsid w:val="00AE5C6D"/>
    <w:rsid w:val="00AE62EF"/>
    <w:rsid w:val="00AE64D1"/>
    <w:rsid w:val="00AE6604"/>
    <w:rsid w:val="00AE6A9E"/>
    <w:rsid w:val="00AE6B2C"/>
    <w:rsid w:val="00AE6CD8"/>
    <w:rsid w:val="00AE6F67"/>
    <w:rsid w:val="00AE6FE0"/>
    <w:rsid w:val="00AE7843"/>
    <w:rsid w:val="00AE7C75"/>
    <w:rsid w:val="00AF0230"/>
    <w:rsid w:val="00AF0FAB"/>
    <w:rsid w:val="00AF1130"/>
    <w:rsid w:val="00AF17B8"/>
    <w:rsid w:val="00AF2234"/>
    <w:rsid w:val="00AF262F"/>
    <w:rsid w:val="00AF297E"/>
    <w:rsid w:val="00AF3118"/>
    <w:rsid w:val="00AF354C"/>
    <w:rsid w:val="00AF3716"/>
    <w:rsid w:val="00AF435E"/>
    <w:rsid w:val="00AF449B"/>
    <w:rsid w:val="00AF44F8"/>
    <w:rsid w:val="00AF4766"/>
    <w:rsid w:val="00AF47FB"/>
    <w:rsid w:val="00AF4F38"/>
    <w:rsid w:val="00AF4FF7"/>
    <w:rsid w:val="00AF5152"/>
    <w:rsid w:val="00AF5348"/>
    <w:rsid w:val="00AF587D"/>
    <w:rsid w:val="00AF615A"/>
    <w:rsid w:val="00AF6211"/>
    <w:rsid w:val="00AF621E"/>
    <w:rsid w:val="00AF6864"/>
    <w:rsid w:val="00AF69E2"/>
    <w:rsid w:val="00AF6A47"/>
    <w:rsid w:val="00AF6B6C"/>
    <w:rsid w:val="00AF6D50"/>
    <w:rsid w:val="00AF6E5A"/>
    <w:rsid w:val="00AF7206"/>
    <w:rsid w:val="00AF745C"/>
    <w:rsid w:val="00AF7AEB"/>
    <w:rsid w:val="00AF7EC5"/>
    <w:rsid w:val="00B0048C"/>
    <w:rsid w:val="00B00570"/>
    <w:rsid w:val="00B0064E"/>
    <w:rsid w:val="00B00704"/>
    <w:rsid w:val="00B0078D"/>
    <w:rsid w:val="00B008A3"/>
    <w:rsid w:val="00B0098F"/>
    <w:rsid w:val="00B00DE5"/>
    <w:rsid w:val="00B010DF"/>
    <w:rsid w:val="00B017B2"/>
    <w:rsid w:val="00B031C8"/>
    <w:rsid w:val="00B03632"/>
    <w:rsid w:val="00B03695"/>
    <w:rsid w:val="00B03881"/>
    <w:rsid w:val="00B039C5"/>
    <w:rsid w:val="00B0448C"/>
    <w:rsid w:val="00B044DF"/>
    <w:rsid w:val="00B04A3B"/>
    <w:rsid w:val="00B0507E"/>
    <w:rsid w:val="00B0545E"/>
    <w:rsid w:val="00B05488"/>
    <w:rsid w:val="00B054B0"/>
    <w:rsid w:val="00B05810"/>
    <w:rsid w:val="00B0602F"/>
    <w:rsid w:val="00B06035"/>
    <w:rsid w:val="00B06B33"/>
    <w:rsid w:val="00B06C98"/>
    <w:rsid w:val="00B06CA3"/>
    <w:rsid w:val="00B0705A"/>
    <w:rsid w:val="00B073DB"/>
    <w:rsid w:val="00B078B6"/>
    <w:rsid w:val="00B07C77"/>
    <w:rsid w:val="00B07D41"/>
    <w:rsid w:val="00B07EB8"/>
    <w:rsid w:val="00B07FB4"/>
    <w:rsid w:val="00B103BC"/>
    <w:rsid w:val="00B10536"/>
    <w:rsid w:val="00B108FE"/>
    <w:rsid w:val="00B10C6E"/>
    <w:rsid w:val="00B11FB4"/>
    <w:rsid w:val="00B131C5"/>
    <w:rsid w:val="00B132DD"/>
    <w:rsid w:val="00B13420"/>
    <w:rsid w:val="00B13518"/>
    <w:rsid w:val="00B1360A"/>
    <w:rsid w:val="00B1381C"/>
    <w:rsid w:val="00B13899"/>
    <w:rsid w:val="00B13B4E"/>
    <w:rsid w:val="00B13C5C"/>
    <w:rsid w:val="00B13F40"/>
    <w:rsid w:val="00B14009"/>
    <w:rsid w:val="00B1595C"/>
    <w:rsid w:val="00B15B16"/>
    <w:rsid w:val="00B15D98"/>
    <w:rsid w:val="00B1612A"/>
    <w:rsid w:val="00B16789"/>
    <w:rsid w:val="00B1698F"/>
    <w:rsid w:val="00B16C83"/>
    <w:rsid w:val="00B17084"/>
    <w:rsid w:val="00B17740"/>
    <w:rsid w:val="00B177B6"/>
    <w:rsid w:val="00B17A44"/>
    <w:rsid w:val="00B17B75"/>
    <w:rsid w:val="00B201FF"/>
    <w:rsid w:val="00B20203"/>
    <w:rsid w:val="00B204A6"/>
    <w:rsid w:val="00B20CAA"/>
    <w:rsid w:val="00B21069"/>
    <w:rsid w:val="00B210F5"/>
    <w:rsid w:val="00B2174A"/>
    <w:rsid w:val="00B22898"/>
    <w:rsid w:val="00B22B6D"/>
    <w:rsid w:val="00B23816"/>
    <w:rsid w:val="00B23879"/>
    <w:rsid w:val="00B23915"/>
    <w:rsid w:val="00B23BA1"/>
    <w:rsid w:val="00B25052"/>
    <w:rsid w:val="00B256CA"/>
    <w:rsid w:val="00B25CA4"/>
    <w:rsid w:val="00B2693A"/>
    <w:rsid w:val="00B269D5"/>
    <w:rsid w:val="00B26ABE"/>
    <w:rsid w:val="00B273DA"/>
    <w:rsid w:val="00B27B7C"/>
    <w:rsid w:val="00B27BBF"/>
    <w:rsid w:val="00B30047"/>
    <w:rsid w:val="00B3011C"/>
    <w:rsid w:val="00B308D6"/>
    <w:rsid w:val="00B30E77"/>
    <w:rsid w:val="00B314F7"/>
    <w:rsid w:val="00B3171D"/>
    <w:rsid w:val="00B3185F"/>
    <w:rsid w:val="00B31C9A"/>
    <w:rsid w:val="00B320A6"/>
    <w:rsid w:val="00B3308C"/>
    <w:rsid w:val="00B337D1"/>
    <w:rsid w:val="00B337D9"/>
    <w:rsid w:val="00B337F3"/>
    <w:rsid w:val="00B33DE3"/>
    <w:rsid w:val="00B34580"/>
    <w:rsid w:val="00B345C7"/>
    <w:rsid w:val="00B34B60"/>
    <w:rsid w:val="00B34D72"/>
    <w:rsid w:val="00B35281"/>
    <w:rsid w:val="00B359AC"/>
    <w:rsid w:val="00B368BF"/>
    <w:rsid w:val="00B36B9D"/>
    <w:rsid w:val="00B37104"/>
    <w:rsid w:val="00B37C45"/>
    <w:rsid w:val="00B4013F"/>
    <w:rsid w:val="00B403DF"/>
    <w:rsid w:val="00B408CC"/>
    <w:rsid w:val="00B408EB"/>
    <w:rsid w:val="00B40ABF"/>
    <w:rsid w:val="00B40C66"/>
    <w:rsid w:val="00B40DD4"/>
    <w:rsid w:val="00B413E1"/>
    <w:rsid w:val="00B4150B"/>
    <w:rsid w:val="00B41A0B"/>
    <w:rsid w:val="00B41CC7"/>
    <w:rsid w:val="00B422AC"/>
    <w:rsid w:val="00B42B8D"/>
    <w:rsid w:val="00B433CB"/>
    <w:rsid w:val="00B433FC"/>
    <w:rsid w:val="00B43525"/>
    <w:rsid w:val="00B43947"/>
    <w:rsid w:val="00B43B72"/>
    <w:rsid w:val="00B43FE3"/>
    <w:rsid w:val="00B44242"/>
    <w:rsid w:val="00B44297"/>
    <w:rsid w:val="00B4470E"/>
    <w:rsid w:val="00B44B05"/>
    <w:rsid w:val="00B44EDF"/>
    <w:rsid w:val="00B45135"/>
    <w:rsid w:val="00B457CF"/>
    <w:rsid w:val="00B4580F"/>
    <w:rsid w:val="00B45D4F"/>
    <w:rsid w:val="00B460D5"/>
    <w:rsid w:val="00B466C3"/>
    <w:rsid w:val="00B46976"/>
    <w:rsid w:val="00B46C11"/>
    <w:rsid w:val="00B46DFA"/>
    <w:rsid w:val="00B46ECE"/>
    <w:rsid w:val="00B46ED8"/>
    <w:rsid w:val="00B46FF8"/>
    <w:rsid w:val="00B47EA0"/>
    <w:rsid w:val="00B5014C"/>
    <w:rsid w:val="00B51088"/>
    <w:rsid w:val="00B51583"/>
    <w:rsid w:val="00B51C20"/>
    <w:rsid w:val="00B524C0"/>
    <w:rsid w:val="00B52E27"/>
    <w:rsid w:val="00B52ED6"/>
    <w:rsid w:val="00B53474"/>
    <w:rsid w:val="00B53856"/>
    <w:rsid w:val="00B538FB"/>
    <w:rsid w:val="00B5396B"/>
    <w:rsid w:val="00B5434C"/>
    <w:rsid w:val="00B54689"/>
    <w:rsid w:val="00B54828"/>
    <w:rsid w:val="00B54A33"/>
    <w:rsid w:val="00B5505C"/>
    <w:rsid w:val="00B55500"/>
    <w:rsid w:val="00B5572E"/>
    <w:rsid w:val="00B5654A"/>
    <w:rsid w:val="00B56898"/>
    <w:rsid w:val="00B56B4D"/>
    <w:rsid w:val="00B578A2"/>
    <w:rsid w:val="00B57E22"/>
    <w:rsid w:val="00B603A7"/>
    <w:rsid w:val="00B610F0"/>
    <w:rsid w:val="00B61173"/>
    <w:rsid w:val="00B6136E"/>
    <w:rsid w:val="00B61427"/>
    <w:rsid w:val="00B61C04"/>
    <w:rsid w:val="00B61F83"/>
    <w:rsid w:val="00B61FF8"/>
    <w:rsid w:val="00B6254E"/>
    <w:rsid w:val="00B62977"/>
    <w:rsid w:val="00B62F48"/>
    <w:rsid w:val="00B632B8"/>
    <w:rsid w:val="00B63962"/>
    <w:rsid w:val="00B63DFA"/>
    <w:rsid w:val="00B64718"/>
    <w:rsid w:val="00B64BF0"/>
    <w:rsid w:val="00B64E17"/>
    <w:rsid w:val="00B65BF0"/>
    <w:rsid w:val="00B65E94"/>
    <w:rsid w:val="00B6641A"/>
    <w:rsid w:val="00B6687D"/>
    <w:rsid w:val="00B67412"/>
    <w:rsid w:val="00B67755"/>
    <w:rsid w:val="00B703D3"/>
    <w:rsid w:val="00B70CC4"/>
    <w:rsid w:val="00B70DA5"/>
    <w:rsid w:val="00B70F04"/>
    <w:rsid w:val="00B716AA"/>
    <w:rsid w:val="00B71784"/>
    <w:rsid w:val="00B717CB"/>
    <w:rsid w:val="00B71A7B"/>
    <w:rsid w:val="00B71D4A"/>
    <w:rsid w:val="00B7214E"/>
    <w:rsid w:val="00B72C77"/>
    <w:rsid w:val="00B72E9E"/>
    <w:rsid w:val="00B72FA3"/>
    <w:rsid w:val="00B73280"/>
    <w:rsid w:val="00B7353F"/>
    <w:rsid w:val="00B73E6D"/>
    <w:rsid w:val="00B73E78"/>
    <w:rsid w:val="00B74398"/>
    <w:rsid w:val="00B74405"/>
    <w:rsid w:val="00B74C69"/>
    <w:rsid w:val="00B74F4E"/>
    <w:rsid w:val="00B7519D"/>
    <w:rsid w:val="00B7596D"/>
    <w:rsid w:val="00B760AE"/>
    <w:rsid w:val="00B76387"/>
    <w:rsid w:val="00B76579"/>
    <w:rsid w:val="00B765A4"/>
    <w:rsid w:val="00B76C33"/>
    <w:rsid w:val="00B76C43"/>
    <w:rsid w:val="00B77F2B"/>
    <w:rsid w:val="00B80068"/>
    <w:rsid w:val="00B80525"/>
    <w:rsid w:val="00B807B5"/>
    <w:rsid w:val="00B80B85"/>
    <w:rsid w:val="00B80E3A"/>
    <w:rsid w:val="00B81C61"/>
    <w:rsid w:val="00B81E30"/>
    <w:rsid w:val="00B8251D"/>
    <w:rsid w:val="00B8289E"/>
    <w:rsid w:val="00B82A03"/>
    <w:rsid w:val="00B82D5B"/>
    <w:rsid w:val="00B8309E"/>
    <w:rsid w:val="00B830F3"/>
    <w:rsid w:val="00B832EB"/>
    <w:rsid w:val="00B834DF"/>
    <w:rsid w:val="00B8355D"/>
    <w:rsid w:val="00B84429"/>
    <w:rsid w:val="00B84645"/>
    <w:rsid w:val="00B85295"/>
    <w:rsid w:val="00B85337"/>
    <w:rsid w:val="00B85430"/>
    <w:rsid w:val="00B859AF"/>
    <w:rsid w:val="00B85A7C"/>
    <w:rsid w:val="00B85F2F"/>
    <w:rsid w:val="00B86368"/>
    <w:rsid w:val="00B86861"/>
    <w:rsid w:val="00B86A35"/>
    <w:rsid w:val="00B86B20"/>
    <w:rsid w:val="00B8772D"/>
    <w:rsid w:val="00B879BB"/>
    <w:rsid w:val="00B87CF3"/>
    <w:rsid w:val="00B87D99"/>
    <w:rsid w:val="00B90FE2"/>
    <w:rsid w:val="00B9159D"/>
    <w:rsid w:val="00B91922"/>
    <w:rsid w:val="00B92149"/>
    <w:rsid w:val="00B92182"/>
    <w:rsid w:val="00B92689"/>
    <w:rsid w:val="00B9270C"/>
    <w:rsid w:val="00B92C59"/>
    <w:rsid w:val="00B92E86"/>
    <w:rsid w:val="00B93229"/>
    <w:rsid w:val="00B933EC"/>
    <w:rsid w:val="00B93A08"/>
    <w:rsid w:val="00B93C41"/>
    <w:rsid w:val="00B93C70"/>
    <w:rsid w:val="00B93C77"/>
    <w:rsid w:val="00B9417E"/>
    <w:rsid w:val="00B947AA"/>
    <w:rsid w:val="00B94D4A"/>
    <w:rsid w:val="00B94E4C"/>
    <w:rsid w:val="00B95056"/>
    <w:rsid w:val="00B95604"/>
    <w:rsid w:val="00B958A9"/>
    <w:rsid w:val="00B95CFB"/>
    <w:rsid w:val="00B960FA"/>
    <w:rsid w:val="00B9670E"/>
    <w:rsid w:val="00B9679B"/>
    <w:rsid w:val="00B96B8C"/>
    <w:rsid w:val="00B9716D"/>
    <w:rsid w:val="00B9736C"/>
    <w:rsid w:val="00B97495"/>
    <w:rsid w:val="00BA006C"/>
    <w:rsid w:val="00BA0258"/>
    <w:rsid w:val="00BA0306"/>
    <w:rsid w:val="00BA0325"/>
    <w:rsid w:val="00BA0647"/>
    <w:rsid w:val="00BA070E"/>
    <w:rsid w:val="00BA0792"/>
    <w:rsid w:val="00BA0967"/>
    <w:rsid w:val="00BA1398"/>
    <w:rsid w:val="00BA1BD6"/>
    <w:rsid w:val="00BA1DC8"/>
    <w:rsid w:val="00BA209A"/>
    <w:rsid w:val="00BA28E3"/>
    <w:rsid w:val="00BA2EB6"/>
    <w:rsid w:val="00BA2FF0"/>
    <w:rsid w:val="00BA3457"/>
    <w:rsid w:val="00BA3974"/>
    <w:rsid w:val="00BA3A98"/>
    <w:rsid w:val="00BA3D2A"/>
    <w:rsid w:val="00BA4459"/>
    <w:rsid w:val="00BA4664"/>
    <w:rsid w:val="00BA4DCA"/>
    <w:rsid w:val="00BA51F8"/>
    <w:rsid w:val="00BA531B"/>
    <w:rsid w:val="00BA5ACB"/>
    <w:rsid w:val="00BA5B06"/>
    <w:rsid w:val="00BA5B11"/>
    <w:rsid w:val="00BA5B7B"/>
    <w:rsid w:val="00BA65DF"/>
    <w:rsid w:val="00BA67DE"/>
    <w:rsid w:val="00BA690B"/>
    <w:rsid w:val="00BA6938"/>
    <w:rsid w:val="00BA6ED4"/>
    <w:rsid w:val="00BB00B3"/>
    <w:rsid w:val="00BB053B"/>
    <w:rsid w:val="00BB058B"/>
    <w:rsid w:val="00BB0776"/>
    <w:rsid w:val="00BB0FFB"/>
    <w:rsid w:val="00BB124C"/>
    <w:rsid w:val="00BB1698"/>
    <w:rsid w:val="00BB16FF"/>
    <w:rsid w:val="00BB1855"/>
    <w:rsid w:val="00BB1C72"/>
    <w:rsid w:val="00BB2370"/>
    <w:rsid w:val="00BB2378"/>
    <w:rsid w:val="00BB2A5B"/>
    <w:rsid w:val="00BB2D53"/>
    <w:rsid w:val="00BB3207"/>
    <w:rsid w:val="00BB3A1A"/>
    <w:rsid w:val="00BB3A82"/>
    <w:rsid w:val="00BB429C"/>
    <w:rsid w:val="00BB43A1"/>
    <w:rsid w:val="00BB4749"/>
    <w:rsid w:val="00BB4A5F"/>
    <w:rsid w:val="00BB4A88"/>
    <w:rsid w:val="00BB4EED"/>
    <w:rsid w:val="00BB52B6"/>
    <w:rsid w:val="00BB55D9"/>
    <w:rsid w:val="00BB594F"/>
    <w:rsid w:val="00BB5F1A"/>
    <w:rsid w:val="00BB60AC"/>
    <w:rsid w:val="00BB61C5"/>
    <w:rsid w:val="00BB7497"/>
    <w:rsid w:val="00BB7551"/>
    <w:rsid w:val="00BC00B3"/>
    <w:rsid w:val="00BC01E0"/>
    <w:rsid w:val="00BC0248"/>
    <w:rsid w:val="00BC0287"/>
    <w:rsid w:val="00BC0CCC"/>
    <w:rsid w:val="00BC1847"/>
    <w:rsid w:val="00BC1C54"/>
    <w:rsid w:val="00BC1CD7"/>
    <w:rsid w:val="00BC224B"/>
    <w:rsid w:val="00BC2C65"/>
    <w:rsid w:val="00BC2CE8"/>
    <w:rsid w:val="00BC3194"/>
    <w:rsid w:val="00BC3456"/>
    <w:rsid w:val="00BC3CB5"/>
    <w:rsid w:val="00BC40B8"/>
    <w:rsid w:val="00BC40DF"/>
    <w:rsid w:val="00BC449A"/>
    <w:rsid w:val="00BC4533"/>
    <w:rsid w:val="00BC4BD7"/>
    <w:rsid w:val="00BC52B9"/>
    <w:rsid w:val="00BC5A28"/>
    <w:rsid w:val="00BC5B35"/>
    <w:rsid w:val="00BC5E2A"/>
    <w:rsid w:val="00BC6A2A"/>
    <w:rsid w:val="00BC6A9B"/>
    <w:rsid w:val="00BC6ACC"/>
    <w:rsid w:val="00BC6C6E"/>
    <w:rsid w:val="00BC71F7"/>
    <w:rsid w:val="00BC727B"/>
    <w:rsid w:val="00BC7651"/>
    <w:rsid w:val="00BC7DD4"/>
    <w:rsid w:val="00BD02E4"/>
    <w:rsid w:val="00BD083E"/>
    <w:rsid w:val="00BD19D0"/>
    <w:rsid w:val="00BD1C58"/>
    <w:rsid w:val="00BD1F69"/>
    <w:rsid w:val="00BD2219"/>
    <w:rsid w:val="00BD366D"/>
    <w:rsid w:val="00BD3ADB"/>
    <w:rsid w:val="00BD4F1A"/>
    <w:rsid w:val="00BD4F43"/>
    <w:rsid w:val="00BD4F75"/>
    <w:rsid w:val="00BD5026"/>
    <w:rsid w:val="00BD5505"/>
    <w:rsid w:val="00BD5522"/>
    <w:rsid w:val="00BD556B"/>
    <w:rsid w:val="00BD5573"/>
    <w:rsid w:val="00BD5814"/>
    <w:rsid w:val="00BD5893"/>
    <w:rsid w:val="00BD5CFA"/>
    <w:rsid w:val="00BD64BD"/>
    <w:rsid w:val="00BD6F03"/>
    <w:rsid w:val="00BD7143"/>
    <w:rsid w:val="00BD716C"/>
    <w:rsid w:val="00BD7743"/>
    <w:rsid w:val="00BD7888"/>
    <w:rsid w:val="00BD7DCE"/>
    <w:rsid w:val="00BE00A0"/>
    <w:rsid w:val="00BE0C27"/>
    <w:rsid w:val="00BE1386"/>
    <w:rsid w:val="00BE1A59"/>
    <w:rsid w:val="00BE1B13"/>
    <w:rsid w:val="00BE2058"/>
    <w:rsid w:val="00BE2309"/>
    <w:rsid w:val="00BE2C5B"/>
    <w:rsid w:val="00BE3436"/>
    <w:rsid w:val="00BE34F1"/>
    <w:rsid w:val="00BE365B"/>
    <w:rsid w:val="00BE36BA"/>
    <w:rsid w:val="00BE3BF2"/>
    <w:rsid w:val="00BE3CC4"/>
    <w:rsid w:val="00BE4F0D"/>
    <w:rsid w:val="00BE5053"/>
    <w:rsid w:val="00BE530C"/>
    <w:rsid w:val="00BE5F79"/>
    <w:rsid w:val="00BE6784"/>
    <w:rsid w:val="00BE68A7"/>
    <w:rsid w:val="00BE68E5"/>
    <w:rsid w:val="00BE6937"/>
    <w:rsid w:val="00BE6C15"/>
    <w:rsid w:val="00BE6C30"/>
    <w:rsid w:val="00BE6C7F"/>
    <w:rsid w:val="00BE6C96"/>
    <w:rsid w:val="00BE7201"/>
    <w:rsid w:val="00BE7574"/>
    <w:rsid w:val="00BE788C"/>
    <w:rsid w:val="00BF08C5"/>
    <w:rsid w:val="00BF0D68"/>
    <w:rsid w:val="00BF0F5F"/>
    <w:rsid w:val="00BF24F1"/>
    <w:rsid w:val="00BF258C"/>
    <w:rsid w:val="00BF259C"/>
    <w:rsid w:val="00BF2B5B"/>
    <w:rsid w:val="00BF2EDD"/>
    <w:rsid w:val="00BF345D"/>
    <w:rsid w:val="00BF3818"/>
    <w:rsid w:val="00BF3EB0"/>
    <w:rsid w:val="00BF43D4"/>
    <w:rsid w:val="00BF47FA"/>
    <w:rsid w:val="00BF48E9"/>
    <w:rsid w:val="00BF4D8B"/>
    <w:rsid w:val="00BF5160"/>
    <w:rsid w:val="00BF5A09"/>
    <w:rsid w:val="00BF5D5F"/>
    <w:rsid w:val="00BF6178"/>
    <w:rsid w:val="00BF6901"/>
    <w:rsid w:val="00BF6BE2"/>
    <w:rsid w:val="00BF7356"/>
    <w:rsid w:val="00BF7538"/>
    <w:rsid w:val="00BF760B"/>
    <w:rsid w:val="00BF7744"/>
    <w:rsid w:val="00BF7905"/>
    <w:rsid w:val="00BF798F"/>
    <w:rsid w:val="00BF7CE5"/>
    <w:rsid w:val="00C00C2A"/>
    <w:rsid w:val="00C00D30"/>
    <w:rsid w:val="00C01727"/>
    <w:rsid w:val="00C02065"/>
    <w:rsid w:val="00C0213C"/>
    <w:rsid w:val="00C0247F"/>
    <w:rsid w:val="00C02686"/>
    <w:rsid w:val="00C027F1"/>
    <w:rsid w:val="00C0292A"/>
    <w:rsid w:val="00C02D4E"/>
    <w:rsid w:val="00C02EDB"/>
    <w:rsid w:val="00C02FB3"/>
    <w:rsid w:val="00C0318C"/>
    <w:rsid w:val="00C034D4"/>
    <w:rsid w:val="00C04161"/>
    <w:rsid w:val="00C04254"/>
    <w:rsid w:val="00C045B3"/>
    <w:rsid w:val="00C04769"/>
    <w:rsid w:val="00C04A80"/>
    <w:rsid w:val="00C04C71"/>
    <w:rsid w:val="00C04C76"/>
    <w:rsid w:val="00C04C82"/>
    <w:rsid w:val="00C04CBB"/>
    <w:rsid w:val="00C04DAF"/>
    <w:rsid w:val="00C05854"/>
    <w:rsid w:val="00C0588C"/>
    <w:rsid w:val="00C0589B"/>
    <w:rsid w:val="00C05D42"/>
    <w:rsid w:val="00C05F74"/>
    <w:rsid w:val="00C06117"/>
    <w:rsid w:val="00C0643D"/>
    <w:rsid w:val="00C066D9"/>
    <w:rsid w:val="00C06DA0"/>
    <w:rsid w:val="00C06E70"/>
    <w:rsid w:val="00C070BB"/>
    <w:rsid w:val="00C0796F"/>
    <w:rsid w:val="00C07C23"/>
    <w:rsid w:val="00C07E5D"/>
    <w:rsid w:val="00C1042B"/>
    <w:rsid w:val="00C107F2"/>
    <w:rsid w:val="00C10F42"/>
    <w:rsid w:val="00C1175B"/>
    <w:rsid w:val="00C11B5A"/>
    <w:rsid w:val="00C11D1F"/>
    <w:rsid w:val="00C126D4"/>
    <w:rsid w:val="00C129A1"/>
    <w:rsid w:val="00C12D6E"/>
    <w:rsid w:val="00C134B5"/>
    <w:rsid w:val="00C13756"/>
    <w:rsid w:val="00C1384E"/>
    <w:rsid w:val="00C13EAE"/>
    <w:rsid w:val="00C14351"/>
    <w:rsid w:val="00C1456E"/>
    <w:rsid w:val="00C15AF2"/>
    <w:rsid w:val="00C17401"/>
    <w:rsid w:val="00C17476"/>
    <w:rsid w:val="00C1779E"/>
    <w:rsid w:val="00C2041A"/>
    <w:rsid w:val="00C207B2"/>
    <w:rsid w:val="00C20D07"/>
    <w:rsid w:val="00C20F88"/>
    <w:rsid w:val="00C21891"/>
    <w:rsid w:val="00C21A46"/>
    <w:rsid w:val="00C21A63"/>
    <w:rsid w:val="00C21E12"/>
    <w:rsid w:val="00C2223F"/>
    <w:rsid w:val="00C22562"/>
    <w:rsid w:val="00C22986"/>
    <w:rsid w:val="00C22D56"/>
    <w:rsid w:val="00C22EEF"/>
    <w:rsid w:val="00C23465"/>
    <w:rsid w:val="00C23B2D"/>
    <w:rsid w:val="00C23C90"/>
    <w:rsid w:val="00C23D07"/>
    <w:rsid w:val="00C23F12"/>
    <w:rsid w:val="00C2411D"/>
    <w:rsid w:val="00C242C9"/>
    <w:rsid w:val="00C24A2F"/>
    <w:rsid w:val="00C24A87"/>
    <w:rsid w:val="00C250A4"/>
    <w:rsid w:val="00C256E7"/>
    <w:rsid w:val="00C25B74"/>
    <w:rsid w:val="00C25BF6"/>
    <w:rsid w:val="00C25EAF"/>
    <w:rsid w:val="00C266F5"/>
    <w:rsid w:val="00C267D6"/>
    <w:rsid w:val="00C26D31"/>
    <w:rsid w:val="00C27544"/>
    <w:rsid w:val="00C277F7"/>
    <w:rsid w:val="00C27CA3"/>
    <w:rsid w:val="00C27EB8"/>
    <w:rsid w:val="00C303A0"/>
    <w:rsid w:val="00C30B3F"/>
    <w:rsid w:val="00C3126E"/>
    <w:rsid w:val="00C31270"/>
    <w:rsid w:val="00C31691"/>
    <w:rsid w:val="00C31721"/>
    <w:rsid w:val="00C317C2"/>
    <w:rsid w:val="00C31BE8"/>
    <w:rsid w:val="00C31DAF"/>
    <w:rsid w:val="00C32496"/>
    <w:rsid w:val="00C327BC"/>
    <w:rsid w:val="00C32D44"/>
    <w:rsid w:val="00C32DB6"/>
    <w:rsid w:val="00C32F1B"/>
    <w:rsid w:val="00C3348A"/>
    <w:rsid w:val="00C33843"/>
    <w:rsid w:val="00C3402A"/>
    <w:rsid w:val="00C34071"/>
    <w:rsid w:val="00C345D5"/>
    <w:rsid w:val="00C34C2F"/>
    <w:rsid w:val="00C354C0"/>
    <w:rsid w:val="00C36535"/>
    <w:rsid w:val="00C37464"/>
    <w:rsid w:val="00C403D8"/>
    <w:rsid w:val="00C40CC4"/>
    <w:rsid w:val="00C40F21"/>
    <w:rsid w:val="00C40F53"/>
    <w:rsid w:val="00C411A4"/>
    <w:rsid w:val="00C41C59"/>
    <w:rsid w:val="00C41CDB"/>
    <w:rsid w:val="00C4214F"/>
    <w:rsid w:val="00C426B6"/>
    <w:rsid w:val="00C4295B"/>
    <w:rsid w:val="00C432B7"/>
    <w:rsid w:val="00C4343A"/>
    <w:rsid w:val="00C436A1"/>
    <w:rsid w:val="00C4395B"/>
    <w:rsid w:val="00C43C11"/>
    <w:rsid w:val="00C43FD9"/>
    <w:rsid w:val="00C444EC"/>
    <w:rsid w:val="00C44940"/>
    <w:rsid w:val="00C45F6B"/>
    <w:rsid w:val="00C4602E"/>
    <w:rsid w:val="00C465D0"/>
    <w:rsid w:val="00C46B35"/>
    <w:rsid w:val="00C5110D"/>
    <w:rsid w:val="00C515A4"/>
    <w:rsid w:val="00C51EA7"/>
    <w:rsid w:val="00C5201F"/>
    <w:rsid w:val="00C5202B"/>
    <w:rsid w:val="00C523A3"/>
    <w:rsid w:val="00C52792"/>
    <w:rsid w:val="00C52B8A"/>
    <w:rsid w:val="00C5303D"/>
    <w:rsid w:val="00C53079"/>
    <w:rsid w:val="00C53485"/>
    <w:rsid w:val="00C536F5"/>
    <w:rsid w:val="00C53B91"/>
    <w:rsid w:val="00C53F80"/>
    <w:rsid w:val="00C53FFC"/>
    <w:rsid w:val="00C5414C"/>
    <w:rsid w:val="00C541B7"/>
    <w:rsid w:val="00C54349"/>
    <w:rsid w:val="00C5492A"/>
    <w:rsid w:val="00C54A55"/>
    <w:rsid w:val="00C54B63"/>
    <w:rsid w:val="00C561E9"/>
    <w:rsid w:val="00C56656"/>
    <w:rsid w:val="00C56DB3"/>
    <w:rsid w:val="00C56F08"/>
    <w:rsid w:val="00C56F8B"/>
    <w:rsid w:val="00C57110"/>
    <w:rsid w:val="00C57863"/>
    <w:rsid w:val="00C578C3"/>
    <w:rsid w:val="00C57B77"/>
    <w:rsid w:val="00C6019D"/>
    <w:rsid w:val="00C60EA9"/>
    <w:rsid w:val="00C61367"/>
    <w:rsid w:val="00C6164A"/>
    <w:rsid w:val="00C619DD"/>
    <w:rsid w:val="00C61A46"/>
    <w:rsid w:val="00C61A50"/>
    <w:rsid w:val="00C61DEE"/>
    <w:rsid w:val="00C6225E"/>
    <w:rsid w:val="00C626E8"/>
    <w:rsid w:val="00C6297B"/>
    <w:rsid w:val="00C62E04"/>
    <w:rsid w:val="00C62FE2"/>
    <w:rsid w:val="00C639C9"/>
    <w:rsid w:val="00C63E00"/>
    <w:rsid w:val="00C64382"/>
    <w:rsid w:val="00C64697"/>
    <w:rsid w:val="00C64764"/>
    <w:rsid w:val="00C649AA"/>
    <w:rsid w:val="00C64CA1"/>
    <w:rsid w:val="00C64F64"/>
    <w:rsid w:val="00C6501A"/>
    <w:rsid w:val="00C65ADE"/>
    <w:rsid w:val="00C65CAA"/>
    <w:rsid w:val="00C65EF6"/>
    <w:rsid w:val="00C66D0C"/>
    <w:rsid w:val="00C66FDF"/>
    <w:rsid w:val="00C67242"/>
    <w:rsid w:val="00C672DA"/>
    <w:rsid w:val="00C67B95"/>
    <w:rsid w:val="00C709F5"/>
    <w:rsid w:val="00C70D4F"/>
    <w:rsid w:val="00C70FEE"/>
    <w:rsid w:val="00C711EA"/>
    <w:rsid w:val="00C71A43"/>
    <w:rsid w:val="00C71B33"/>
    <w:rsid w:val="00C71B96"/>
    <w:rsid w:val="00C72332"/>
    <w:rsid w:val="00C725C9"/>
    <w:rsid w:val="00C726DE"/>
    <w:rsid w:val="00C729AA"/>
    <w:rsid w:val="00C72E1C"/>
    <w:rsid w:val="00C72F24"/>
    <w:rsid w:val="00C73001"/>
    <w:rsid w:val="00C73226"/>
    <w:rsid w:val="00C73BE5"/>
    <w:rsid w:val="00C73E43"/>
    <w:rsid w:val="00C74CDD"/>
    <w:rsid w:val="00C74F57"/>
    <w:rsid w:val="00C7545B"/>
    <w:rsid w:val="00C75CF1"/>
    <w:rsid w:val="00C75E50"/>
    <w:rsid w:val="00C7652A"/>
    <w:rsid w:val="00C766EE"/>
    <w:rsid w:val="00C76877"/>
    <w:rsid w:val="00C77034"/>
    <w:rsid w:val="00C771FC"/>
    <w:rsid w:val="00C77215"/>
    <w:rsid w:val="00C775AE"/>
    <w:rsid w:val="00C77A74"/>
    <w:rsid w:val="00C80007"/>
    <w:rsid w:val="00C80382"/>
    <w:rsid w:val="00C80385"/>
    <w:rsid w:val="00C803A5"/>
    <w:rsid w:val="00C80572"/>
    <w:rsid w:val="00C80988"/>
    <w:rsid w:val="00C80CF2"/>
    <w:rsid w:val="00C81897"/>
    <w:rsid w:val="00C81AE0"/>
    <w:rsid w:val="00C81DDD"/>
    <w:rsid w:val="00C820BE"/>
    <w:rsid w:val="00C82174"/>
    <w:rsid w:val="00C82C57"/>
    <w:rsid w:val="00C8380C"/>
    <w:rsid w:val="00C844B4"/>
    <w:rsid w:val="00C84732"/>
    <w:rsid w:val="00C848A2"/>
    <w:rsid w:val="00C84E1A"/>
    <w:rsid w:val="00C8524E"/>
    <w:rsid w:val="00C8578C"/>
    <w:rsid w:val="00C8600E"/>
    <w:rsid w:val="00C86343"/>
    <w:rsid w:val="00C86729"/>
    <w:rsid w:val="00C86A15"/>
    <w:rsid w:val="00C86A8D"/>
    <w:rsid w:val="00C86B34"/>
    <w:rsid w:val="00C86ED6"/>
    <w:rsid w:val="00C8700E"/>
    <w:rsid w:val="00C87CFD"/>
    <w:rsid w:val="00C87E20"/>
    <w:rsid w:val="00C901EA"/>
    <w:rsid w:val="00C904DD"/>
    <w:rsid w:val="00C90775"/>
    <w:rsid w:val="00C907F6"/>
    <w:rsid w:val="00C90946"/>
    <w:rsid w:val="00C90D68"/>
    <w:rsid w:val="00C910AF"/>
    <w:rsid w:val="00C91368"/>
    <w:rsid w:val="00C917B9"/>
    <w:rsid w:val="00C9182B"/>
    <w:rsid w:val="00C91B46"/>
    <w:rsid w:val="00C91BF0"/>
    <w:rsid w:val="00C91EBA"/>
    <w:rsid w:val="00C91F6D"/>
    <w:rsid w:val="00C9233E"/>
    <w:rsid w:val="00C926F2"/>
    <w:rsid w:val="00C92785"/>
    <w:rsid w:val="00C927C9"/>
    <w:rsid w:val="00C92931"/>
    <w:rsid w:val="00C92A6A"/>
    <w:rsid w:val="00C92F1E"/>
    <w:rsid w:val="00C93F18"/>
    <w:rsid w:val="00C93F21"/>
    <w:rsid w:val="00C93FE6"/>
    <w:rsid w:val="00C94388"/>
    <w:rsid w:val="00C9477D"/>
    <w:rsid w:val="00C94796"/>
    <w:rsid w:val="00C94C48"/>
    <w:rsid w:val="00C95013"/>
    <w:rsid w:val="00C95707"/>
    <w:rsid w:val="00C95B7E"/>
    <w:rsid w:val="00C95F26"/>
    <w:rsid w:val="00C95F28"/>
    <w:rsid w:val="00C96683"/>
    <w:rsid w:val="00C969B1"/>
    <w:rsid w:val="00C96BE4"/>
    <w:rsid w:val="00C96C87"/>
    <w:rsid w:val="00C96DF3"/>
    <w:rsid w:val="00C97430"/>
    <w:rsid w:val="00C976C5"/>
    <w:rsid w:val="00C9784F"/>
    <w:rsid w:val="00C97FA3"/>
    <w:rsid w:val="00C97FBB"/>
    <w:rsid w:val="00CA000D"/>
    <w:rsid w:val="00CA0069"/>
    <w:rsid w:val="00CA052F"/>
    <w:rsid w:val="00CA0887"/>
    <w:rsid w:val="00CA0E14"/>
    <w:rsid w:val="00CA1554"/>
    <w:rsid w:val="00CA16AF"/>
    <w:rsid w:val="00CA18A3"/>
    <w:rsid w:val="00CA198E"/>
    <w:rsid w:val="00CA236C"/>
    <w:rsid w:val="00CA257F"/>
    <w:rsid w:val="00CA2946"/>
    <w:rsid w:val="00CA3057"/>
    <w:rsid w:val="00CA332F"/>
    <w:rsid w:val="00CA413E"/>
    <w:rsid w:val="00CA484E"/>
    <w:rsid w:val="00CA4922"/>
    <w:rsid w:val="00CA4DB1"/>
    <w:rsid w:val="00CA4DD6"/>
    <w:rsid w:val="00CA4E30"/>
    <w:rsid w:val="00CA515F"/>
    <w:rsid w:val="00CA5718"/>
    <w:rsid w:val="00CA65D7"/>
    <w:rsid w:val="00CA677D"/>
    <w:rsid w:val="00CA68F7"/>
    <w:rsid w:val="00CA6984"/>
    <w:rsid w:val="00CA708A"/>
    <w:rsid w:val="00CB0281"/>
    <w:rsid w:val="00CB0407"/>
    <w:rsid w:val="00CB111D"/>
    <w:rsid w:val="00CB15DB"/>
    <w:rsid w:val="00CB17B2"/>
    <w:rsid w:val="00CB287F"/>
    <w:rsid w:val="00CB28DB"/>
    <w:rsid w:val="00CB2BD7"/>
    <w:rsid w:val="00CB3040"/>
    <w:rsid w:val="00CB3107"/>
    <w:rsid w:val="00CB384F"/>
    <w:rsid w:val="00CB3C7E"/>
    <w:rsid w:val="00CB3D8A"/>
    <w:rsid w:val="00CB441D"/>
    <w:rsid w:val="00CB4B33"/>
    <w:rsid w:val="00CB4F07"/>
    <w:rsid w:val="00CB4FC2"/>
    <w:rsid w:val="00CB514A"/>
    <w:rsid w:val="00CB520F"/>
    <w:rsid w:val="00CB52A6"/>
    <w:rsid w:val="00CB52FB"/>
    <w:rsid w:val="00CB58C7"/>
    <w:rsid w:val="00CB5911"/>
    <w:rsid w:val="00CB66BF"/>
    <w:rsid w:val="00CB7249"/>
    <w:rsid w:val="00CB7330"/>
    <w:rsid w:val="00CB7584"/>
    <w:rsid w:val="00CB7F69"/>
    <w:rsid w:val="00CC086C"/>
    <w:rsid w:val="00CC094F"/>
    <w:rsid w:val="00CC0AAC"/>
    <w:rsid w:val="00CC14D2"/>
    <w:rsid w:val="00CC16A1"/>
    <w:rsid w:val="00CC2204"/>
    <w:rsid w:val="00CC239E"/>
    <w:rsid w:val="00CC2571"/>
    <w:rsid w:val="00CC2DEC"/>
    <w:rsid w:val="00CC2F9F"/>
    <w:rsid w:val="00CC300F"/>
    <w:rsid w:val="00CC3233"/>
    <w:rsid w:val="00CC36C3"/>
    <w:rsid w:val="00CC3E46"/>
    <w:rsid w:val="00CC4047"/>
    <w:rsid w:val="00CC41D9"/>
    <w:rsid w:val="00CC4862"/>
    <w:rsid w:val="00CC48E1"/>
    <w:rsid w:val="00CC5A50"/>
    <w:rsid w:val="00CC6FAD"/>
    <w:rsid w:val="00CC7796"/>
    <w:rsid w:val="00CC79B0"/>
    <w:rsid w:val="00CC7AD3"/>
    <w:rsid w:val="00CC7C82"/>
    <w:rsid w:val="00CD06E2"/>
    <w:rsid w:val="00CD078D"/>
    <w:rsid w:val="00CD0CAF"/>
    <w:rsid w:val="00CD0FDB"/>
    <w:rsid w:val="00CD0FE2"/>
    <w:rsid w:val="00CD1347"/>
    <w:rsid w:val="00CD23B7"/>
    <w:rsid w:val="00CD24C4"/>
    <w:rsid w:val="00CD28DA"/>
    <w:rsid w:val="00CD2FCF"/>
    <w:rsid w:val="00CD351F"/>
    <w:rsid w:val="00CD3525"/>
    <w:rsid w:val="00CD36AC"/>
    <w:rsid w:val="00CD38B4"/>
    <w:rsid w:val="00CD3D53"/>
    <w:rsid w:val="00CD405F"/>
    <w:rsid w:val="00CD4FDB"/>
    <w:rsid w:val="00CD5202"/>
    <w:rsid w:val="00CD54EF"/>
    <w:rsid w:val="00CD5C18"/>
    <w:rsid w:val="00CD5C1F"/>
    <w:rsid w:val="00CD5C2E"/>
    <w:rsid w:val="00CD5D5F"/>
    <w:rsid w:val="00CD6412"/>
    <w:rsid w:val="00CD6C31"/>
    <w:rsid w:val="00CD6C44"/>
    <w:rsid w:val="00CD6D9C"/>
    <w:rsid w:val="00CD6DAA"/>
    <w:rsid w:val="00CD7426"/>
    <w:rsid w:val="00CE02FD"/>
    <w:rsid w:val="00CE0B94"/>
    <w:rsid w:val="00CE12D4"/>
    <w:rsid w:val="00CE1314"/>
    <w:rsid w:val="00CE1508"/>
    <w:rsid w:val="00CE1B13"/>
    <w:rsid w:val="00CE1C65"/>
    <w:rsid w:val="00CE1CC4"/>
    <w:rsid w:val="00CE1E35"/>
    <w:rsid w:val="00CE2182"/>
    <w:rsid w:val="00CE2266"/>
    <w:rsid w:val="00CE32C0"/>
    <w:rsid w:val="00CE3856"/>
    <w:rsid w:val="00CE453C"/>
    <w:rsid w:val="00CE48AE"/>
    <w:rsid w:val="00CE48C1"/>
    <w:rsid w:val="00CE53FA"/>
    <w:rsid w:val="00CE5A25"/>
    <w:rsid w:val="00CE5A90"/>
    <w:rsid w:val="00CE5C37"/>
    <w:rsid w:val="00CE6291"/>
    <w:rsid w:val="00CE6435"/>
    <w:rsid w:val="00CE683B"/>
    <w:rsid w:val="00CE6B52"/>
    <w:rsid w:val="00CE6C0F"/>
    <w:rsid w:val="00CE779D"/>
    <w:rsid w:val="00CE7C01"/>
    <w:rsid w:val="00CF0098"/>
    <w:rsid w:val="00CF0A5B"/>
    <w:rsid w:val="00CF108A"/>
    <w:rsid w:val="00CF213D"/>
    <w:rsid w:val="00CF26C1"/>
    <w:rsid w:val="00CF2B4F"/>
    <w:rsid w:val="00CF32E1"/>
    <w:rsid w:val="00CF3BC6"/>
    <w:rsid w:val="00CF3CEF"/>
    <w:rsid w:val="00CF3F4B"/>
    <w:rsid w:val="00CF4212"/>
    <w:rsid w:val="00CF42A3"/>
    <w:rsid w:val="00CF43E7"/>
    <w:rsid w:val="00CF4735"/>
    <w:rsid w:val="00CF518C"/>
    <w:rsid w:val="00CF54F3"/>
    <w:rsid w:val="00CF556D"/>
    <w:rsid w:val="00CF589E"/>
    <w:rsid w:val="00CF5B19"/>
    <w:rsid w:val="00CF644E"/>
    <w:rsid w:val="00CF6E7D"/>
    <w:rsid w:val="00CF6ED6"/>
    <w:rsid w:val="00CF7066"/>
    <w:rsid w:val="00CF725A"/>
    <w:rsid w:val="00CF726B"/>
    <w:rsid w:val="00CF72F8"/>
    <w:rsid w:val="00CF746D"/>
    <w:rsid w:val="00CF74E7"/>
    <w:rsid w:val="00CF7554"/>
    <w:rsid w:val="00D001D6"/>
    <w:rsid w:val="00D002E0"/>
    <w:rsid w:val="00D00A46"/>
    <w:rsid w:val="00D01067"/>
    <w:rsid w:val="00D01780"/>
    <w:rsid w:val="00D01BB8"/>
    <w:rsid w:val="00D01BFE"/>
    <w:rsid w:val="00D01C19"/>
    <w:rsid w:val="00D01DB6"/>
    <w:rsid w:val="00D0237B"/>
    <w:rsid w:val="00D03036"/>
    <w:rsid w:val="00D03B0A"/>
    <w:rsid w:val="00D03C2F"/>
    <w:rsid w:val="00D03FE5"/>
    <w:rsid w:val="00D04613"/>
    <w:rsid w:val="00D0468F"/>
    <w:rsid w:val="00D047C8"/>
    <w:rsid w:val="00D047EB"/>
    <w:rsid w:val="00D0481A"/>
    <w:rsid w:val="00D050E0"/>
    <w:rsid w:val="00D05200"/>
    <w:rsid w:val="00D054BE"/>
    <w:rsid w:val="00D05B12"/>
    <w:rsid w:val="00D05E44"/>
    <w:rsid w:val="00D05FC0"/>
    <w:rsid w:val="00D061BD"/>
    <w:rsid w:val="00D06689"/>
    <w:rsid w:val="00D0668D"/>
    <w:rsid w:val="00D06872"/>
    <w:rsid w:val="00D069A4"/>
    <w:rsid w:val="00D06A7B"/>
    <w:rsid w:val="00D07089"/>
    <w:rsid w:val="00D071DB"/>
    <w:rsid w:val="00D072AC"/>
    <w:rsid w:val="00D078BA"/>
    <w:rsid w:val="00D078CC"/>
    <w:rsid w:val="00D10361"/>
    <w:rsid w:val="00D10371"/>
    <w:rsid w:val="00D10575"/>
    <w:rsid w:val="00D1071B"/>
    <w:rsid w:val="00D116A1"/>
    <w:rsid w:val="00D11CD9"/>
    <w:rsid w:val="00D11D3B"/>
    <w:rsid w:val="00D11D5E"/>
    <w:rsid w:val="00D11F67"/>
    <w:rsid w:val="00D12295"/>
    <w:rsid w:val="00D12713"/>
    <w:rsid w:val="00D127A0"/>
    <w:rsid w:val="00D12955"/>
    <w:rsid w:val="00D129C5"/>
    <w:rsid w:val="00D138CE"/>
    <w:rsid w:val="00D13B4E"/>
    <w:rsid w:val="00D1447C"/>
    <w:rsid w:val="00D144C3"/>
    <w:rsid w:val="00D14A7D"/>
    <w:rsid w:val="00D14B5A"/>
    <w:rsid w:val="00D14BF2"/>
    <w:rsid w:val="00D14BFA"/>
    <w:rsid w:val="00D153CC"/>
    <w:rsid w:val="00D15B38"/>
    <w:rsid w:val="00D161C5"/>
    <w:rsid w:val="00D16427"/>
    <w:rsid w:val="00D1653A"/>
    <w:rsid w:val="00D165D6"/>
    <w:rsid w:val="00D167F5"/>
    <w:rsid w:val="00D16954"/>
    <w:rsid w:val="00D16AAB"/>
    <w:rsid w:val="00D16DFF"/>
    <w:rsid w:val="00D175E4"/>
    <w:rsid w:val="00D1763C"/>
    <w:rsid w:val="00D17A2E"/>
    <w:rsid w:val="00D20ACD"/>
    <w:rsid w:val="00D211A9"/>
    <w:rsid w:val="00D22054"/>
    <w:rsid w:val="00D220AB"/>
    <w:rsid w:val="00D220D0"/>
    <w:rsid w:val="00D2230C"/>
    <w:rsid w:val="00D22C5A"/>
    <w:rsid w:val="00D22E74"/>
    <w:rsid w:val="00D232F0"/>
    <w:rsid w:val="00D235A7"/>
    <w:rsid w:val="00D237F0"/>
    <w:rsid w:val="00D23DD8"/>
    <w:rsid w:val="00D242B1"/>
    <w:rsid w:val="00D2431E"/>
    <w:rsid w:val="00D24398"/>
    <w:rsid w:val="00D24444"/>
    <w:rsid w:val="00D2473B"/>
    <w:rsid w:val="00D2476B"/>
    <w:rsid w:val="00D24ABF"/>
    <w:rsid w:val="00D24ED0"/>
    <w:rsid w:val="00D259A1"/>
    <w:rsid w:val="00D25D1E"/>
    <w:rsid w:val="00D25DE7"/>
    <w:rsid w:val="00D26161"/>
    <w:rsid w:val="00D2670B"/>
    <w:rsid w:val="00D26993"/>
    <w:rsid w:val="00D26A9A"/>
    <w:rsid w:val="00D271D1"/>
    <w:rsid w:val="00D27B06"/>
    <w:rsid w:val="00D27B95"/>
    <w:rsid w:val="00D303B5"/>
    <w:rsid w:val="00D3046C"/>
    <w:rsid w:val="00D308D5"/>
    <w:rsid w:val="00D30C16"/>
    <w:rsid w:val="00D30DBE"/>
    <w:rsid w:val="00D31296"/>
    <w:rsid w:val="00D32707"/>
    <w:rsid w:val="00D329BE"/>
    <w:rsid w:val="00D33819"/>
    <w:rsid w:val="00D338DD"/>
    <w:rsid w:val="00D33ACB"/>
    <w:rsid w:val="00D33E88"/>
    <w:rsid w:val="00D350BB"/>
    <w:rsid w:val="00D35599"/>
    <w:rsid w:val="00D358A2"/>
    <w:rsid w:val="00D35A70"/>
    <w:rsid w:val="00D35BD9"/>
    <w:rsid w:val="00D35C8D"/>
    <w:rsid w:val="00D35CF9"/>
    <w:rsid w:val="00D35EF3"/>
    <w:rsid w:val="00D36588"/>
    <w:rsid w:val="00D36E4A"/>
    <w:rsid w:val="00D37401"/>
    <w:rsid w:val="00D37864"/>
    <w:rsid w:val="00D37A3F"/>
    <w:rsid w:val="00D37C42"/>
    <w:rsid w:val="00D37D6A"/>
    <w:rsid w:val="00D40B8C"/>
    <w:rsid w:val="00D41516"/>
    <w:rsid w:val="00D41A98"/>
    <w:rsid w:val="00D41E3E"/>
    <w:rsid w:val="00D41F37"/>
    <w:rsid w:val="00D422C3"/>
    <w:rsid w:val="00D4231A"/>
    <w:rsid w:val="00D423D0"/>
    <w:rsid w:val="00D42A55"/>
    <w:rsid w:val="00D430E8"/>
    <w:rsid w:val="00D43588"/>
    <w:rsid w:val="00D43AD9"/>
    <w:rsid w:val="00D43B1E"/>
    <w:rsid w:val="00D43D51"/>
    <w:rsid w:val="00D44078"/>
    <w:rsid w:val="00D441CC"/>
    <w:rsid w:val="00D44261"/>
    <w:rsid w:val="00D4436E"/>
    <w:rsid w:val="00D44419"/>
    <w:rsid w:val="00D44516"/>
    <w:rsid w:val="00D44A30"/>
    <w:rsid w:val="00D44E40"/>
    <w:rsid w:val="00D45310"/>
    <w:rsid w:val="00D45429"/>
    <w:rsid w:val="00D45739"/>
    <w:rsid w:val="00D4586E"/>
    <w:rsid w:val="00D45ACB"/>
    <w:rsid w:val="00D45D03"/>
    <w:rsid w:val="00D45E80"/>
    <w:rsid w:val="00D45FA2"/>
    <w:rsid w:val="00D46459"/>
    <w:rsid w:val="00D46AB5"/>
    <w:rsid w:val="00D472AC"/>
    <w:rsid w:val="00D47388"/>
    <w:rsid w:val="00D475D3"/>
    <w:rsid w:val="00D50587"/>
    <w:rsid w:val="00D50B32"/>
    <w:rsid w:val="00D50B8A"/>
    <w:rsid w:val="00D51789"/>
    <w:rsid w:val="00D51B6D"/>
    <w:rsid w:val="00D51C77"/>
    <w:rsid w:val="00D51F85"/>
    <w:rsid w:val="00D528B3"/>
    <w:rsid w:val="00D528E2"/>
    <w:rsid w:val="00D52956"/>
    <w:rsid w:val="00D5316E"/>
    <w:rsid w:val="00D53797"/>
    <w:rsid w:val="00D53821"/>
    <w:rsid w:val="00D5395A"/>
    <w:rsid w:val="00D53BCF"/>
    <w:rsid w:val="00D53C3D"/>
    <w:rsid w:val="00D53D95"/>
    <w:rsid w:val="00D53E7B"/>
    <w:rsid w:val="00D53FF3"/>
    <w:rsid w:val="00D5488B"/>
    <w:rsid w:val="00D5564A"/>
    <w:rsid w:val="00D557F1"/>
    <w:rsid w:val="00D55941"/>
    <w:rsid w:val="00D55985"/>
    <w:rsid w:val="00D55CB2"/>
    <w:rsid w:val="00D55E29"/>
    <w:rsid w:val="00D57134"/>
    <w:rsid w:val="00D5742A"/>
    <w:rsid w:val="00D579B7"/>
    <w:rsid w:val="00D60127"/>
    <w:rsid w:val="00D6055C"/>
    <w:rsid w:val="00D60869"/>
    <w:rsid w:val="00D60870"/>
    <w:rsid w:val="00D60B49"/>
    <w:rsid w:val="00D60CC7"/>
    <w:rsid w:val="00D60D3D"/>
    <w:rsid w:val="00D614E7"/>
    <w:rsid w:val="00D6155D"/>
    <w:rsid w:val="00D62957"/>
    <w:rsid w:val="00D63018"/>
    <w:rsid w:val="00D63077"/>
    <w:rsid w:val="00D632D2"/>
    <w:rsid w:val="00D635A1"/>
    <w:rsid w:val="00D6372B"/>
    <w:rsid w:val="00D6392B"/>
    <w:rsid w:val="00D63D5E"/>
    <w:rsid w:val="00D63D7F"/>
    <w:rsid w:val="00D63E02"/>
    <w:rsid w:val="00D64CD9"/>
    <w:rsid w:val="00D64DED"/>
    <w:rsid w:val="00D64FFC"/>
    <w:rsid w:val="00D65281"/>
    <w:rsid w:val="00D652CA"/>
    <w:rsid w:val="00D65F9B"/>
    <w:rsid w:val="00D66EFC"/>
    <w:rsid w:val="00D67148"/>
    <w:rsid w:val="00D6726B"/>
    <w:rsid w:val="00D676B5"/>
    <w:rsid w:val="00D6793B"/>
    <w:rsid w:val="00D6795B"/>
    <w:rsid w:val="00D67C99"/>
    <w:rsid w:val="00D701C8"/>
    <w:rsid w:val="00D70889"/>
    <w:rsid w:val="00D708E9"/>
    <w:rsid w:val="00D70C7E"/>
    <w:rsid w:val="00D70DCD"/>
    <w:rsid w:val="00D70E66"/>
    <w:rsid w:val="00D711A1"/>
    <w:rsid w:val="00D7128C"/>
    <w:rsid w:val="00D7239A"/>
    <w:rsid w:val="00D72610"/>
    <w:rsid w:val="00D72DE0"/>
    <w:rsid w:val="00D7311E"/>
    <w:rsid w:val="00D73332"/>
    <w:rsid w:val="00D73651"/>
    <w:rsid w:val="00D7389E"/>
    <w:rsid w:val="00D738FC"/>
    <w:rsid w:val="00D73ADE"/>
    <w:rsid w:val="00D73D3D"/>
    <w:rsid w:val="00D73F08"/>
    <w:rsid w:val="00D73FA2"/>
    <w:rsid w:val="00D743E0"/>
    <w:rsid w:val="00D752A9"/>
    <w:rsid w:val="00D75339"/>
    <w:rsid w:val="00D75447"/>
    <w:rsid w:val="00D7546E"/>
    <w:rsid w:val="00D75512"/>
    <w:rsid w:val="00D75ABA"/>
    <w:rsid w:val="00D75C0E"/>
    <w:rsid w:val="00D75DD7"/>
    <w:rsid w:val="00D76BBD"/>
    <w:rsid w:val="00D76C8B"/>
    <w:rsid w:val="00D76CBD"/>
    <w:rsid w:val="00D76D6A"/>
    <w:rsid w:val="00D775E3"/>
    <w:rsid w:val="00D77B88"/>
    <w:rsid w:val="00D77C4F"/>
    <w:rsid w:val="00D77CD2"/>
    <w:rsid w:val="00D77F6D"/>
    <w:rsid w:val="00D80671"/>
    <w:rsid w:val="00D813DE"/>
    <w:rsid w:val="00D81679"/>
    <w:rsid w:val="00D81924"/>
    <w:rsid w:val="00D819B7"/>
    <w:rsid w:val="00D8200F"/>
    <w:rsid w:val="00D82869"/>
    <w:rsid w:val="00D82A89"/>
    <w:rsid w:val="00D82B27"/>
    <w:rsid w:val="00D82B9C"/>
    <w:rsid w:val="00D82C9F"/>
    <w:rsid w:val="00D83062"/>
    <w:rsid w:val="00D83281"/>
    <w:rsid w:val="00D83467"/>
    <w:rsid w:val="00D83AE5"/>
    <w:rsid w:val="00D83DB2"/>
    <w:rsid w:val="00D8405A"/>
    <w:rsid w:val="00D84E12"/>
    <w:rsid w:val="00D85150"/>
    <w:rsid w:val="00D85FFB"/>
    <w:rsid w:val="00D86732"/>
    <w:rsid w:val="00D867D5"/>
    <w:rsid w:val="00D877B6"/>
    <w:rsid w:val="00D87D6A"/>
    <w:rsid w:val="00D87FB1"/>
    <w:rsid w:val="00D9012C"/>
    <w:rsid w:val="00D90A0B"/>
    <w:rsid w:val="00D90C4F"/>
    <w:rsid w:val="00D91727"/>
    <w:rsid w:val="00D91A7C"/>
    <w:rsid w:val="00D91EED"/>
    <w:rsid w:val="00D92026"/>
    <w:rsid w:val="00D9214B"/>
    <w:rsid w:val="00D92845"/>
    <w:rsid w:val="00D92A40"/>
    <w:rsid w:val="00D92B0B"/>
    <w:rsid w:val="00D9332C"/>
    <w:rsid w:val="00D93741"/>
    <w:rsid w:val="00D93757"/>
    <w:rsid w:val="00D93F12"/>
    <w:rsid w:val="00D94490"/>
    <w:rsid w:val="00D94B1B"/>
    <w:rsid w:val="00D95A4D"/>
    <w:rsid w:val="00D95E6D"/>
    <w:rsid w:val="00D9715B"/>
    <w:rsid w:val="00D971AF"/>
    <w:rsid w:val="00D9793A"/>
    <w:rsid w:val="00DA031C"/>
    <w:rsid w:val="00DA055B"/>
    <w:rsid w:val="00DA072B"/>
    <w:rsid w:val="00DA073D"/>
    <w:rsid w:val="00DA0DBB"/>
    <w:rsid w:val="00DA0E9F"/>
    <w:rsid w:val="00DA0F78"/>
    <w:rsid w:val="00DA10BB"/>
    <w:rsid w:val="00DA125F"/>
    <w:rsid w:val="00DA146B"/>
    <w:rsid w:val="00DA14AB"/>
    <w:rsid w:val="00DA18B2"/>
    <w:rsid w:val="00DA1D5D"/>
    <w:rsid w:val="00DA23D9"/>
    <w:rsid w:val="00DA273E"/>
    <w:rsid w:val="00DA2C4F"/>
    <w:rsid w:val="00DA2E0B"/>
    <w:rsid w:val="00DA2FA9"/>
    <w:rsid w:val="00DA3236"/>
    <w:rsid w:val="00DA333E"/>
    <w:rsid w:val="00DA3520"/>
    <w:rsid w:val="00DA35C1"/>
    <w:rsid w:val="00DA3B4F"/>
    <w:rsid w:val="00DA49CD"/>
    <w:rsid w:val="00DA4E25"/>
    <w:rsid w:val="00DA4EC6"/>
    <w:rsid w:val="00DA5343"/>
    <w:rsid w:val="00DA559E"/>
    <w:rsid w:val="00DA55CA"/>
    <w:rsid w:val="00DA57CA"/>
    <w:rsid w:val="00DA599E"/>
    <w:rsid w:val="00DA5DE0"/>
    <w:rsid w:val="00DA636C"/>
    <w:rsid w:val="00DA6462"/>
    <w:rsid w:val="00DA64D9"/>
    <w:rsid w:val="00DA653B"/>
    <w:rsid w:val="00DA6761"/>
    <w:rsid w:val="00DA73BF"/>
    <w:rsid w:val="00DA7548"/>
    <w:rsid w:val="00DA7558"/>
    <w:rsid w:val="00DA7BD7"/>
    <w:rsid w:val="00DA7FA9"/>
    <w:rsid w:val="00DB06FB"/>
    <w:rsid w:val="00DB08D2"/>
    <w:rsid w:val="00DB09E0"/>
    <w:rsid w:val="00DB0D26"/>
    <w:rsid w:val="00DB1B59"/>
    <w:rsid w:val="00DB2533"/>
    <w:rsid w:val="00DB2887"/>
    <w:rsid w:val="00DB2A21"/>
    <w:rsid w:val="00DB2F43"/>
    <w:rsid w:val="00DB3141"/>
    <w:rsid w:val="00DB370F"/>
    <w:rsid w:val="00DB384C"/>
    <w:rsid w:val="00DB3B08"/>
    <w:rsid w:val="00DB3EDD"/>
    <w:rsid w:val="00DB4356"/>
    <w:rsid w:val="00DB5087"/>
    <w:rsid w:val="00DB55BB"/>
    <w:rsid w:val="00DB58BF"/>
    <w:rsid w:val="00DB5BF3"/>
    <w:rsid w:val="00DB5EB9"/>
    <w:rsid w:val="00DB712C"/>
    <w:rsid w:val="00DB742E"/>
    <w:rsid w:val="00DB787D"/>
    <w:rsid w:val="00DC0330"/>
    <w:rsid w:val="00DC038E"/>
    <w:rsid w:val="00DC05D4"/>
    <w:rsid w:val="00DC09B1"/>
    <w:rsid w:val="00DC0BAB"/>
    <w:rsid w:val="00DC0C86"/>
    <w:rsid w:val="00DC1230"/>
    <w:rsid w:val="00DC128E"/>
    <w:rsid w:val="00DC1376"/>
    <w:rsid w:val="00DC1484"/>
    <w:rsid w:val="00DC15DB"/>
    <w:rsid w:val="00DC1797"/>
    <w:rsid w:val="00DC1BEC"/>
    <w:rsid w:val="00DC27D3"/>
    <w:rsid w:val="00DC2B6D"/>
    <w:rsid w:val="00DC2BB2"/>
    <w:rsid w:val="00DC2BCF"/>
    <w:rsid w:val="00DC3260"/>
    <w:rsid w:val="00DC3582"/>
    <w:rsid w:val="00DC3CB9"/>
    <w:rsid w:val="00DC3DE9"/>
    <w:rsid w:val="00DC4185"/>
    <w:rsid w:val="00DC4276"/>
    <w:rsid w:val="00DC42AD"/>
    <w:rsid w:val="00DC5359"/>
    <w:rsid w:val="00DC5469"/>
    <w:rsid w:val="00DC60A2"/>
    <w:rsid w:val="00DC616A"/>
    <w:rsid w:val="00DC636A"/>
    <w:rsid w:val="00DC66C7"/>
    <w:rsid w:val="00DC68E1"/>
    <w:rsid w:val="00DC6C50"/>
    <w:rsid w:val="00DC6DA2"/>
    <w:rsid w:val="00DC72E9"/>
    <w:rsid w:val="00DD032B"/>
    <w:rsid w:val="00DD0393"/>
    <w:rsid w:val="00DD0705"/>
    <w:rsid w:val="00DD0870"/>
    <w:rsid w:val="00DD09F1"/>
    <w:rsid w:val="00DD0C12"/>
    <w:rsid w:val="00DD0C6C"/>
    <w:rsid w:val="00DD1370"/>
    <w:rsid w:val="00DD1586"/>
    <w:rsid w:val="00DD289D"/>
    <w:rsid w:val="00DD2B9E"/>
    <w:rsid w:val="00DD2C03"/>
    <w:rsid w:val="00DD2F22"/>
    <w:rsid w:val="00DD3602"/>
    <w:rsid w:val="00DD4600"/>
    <w:rsid w:val="00DD48D4"/>
    <w:rsid w:val="00DD5129"/>
    <w:rsid w:val="00DD5885"/>
    <w:rsid w:val="00DD600B"/>
    <w:rsid w:val="00DD7101"/>
    <w:rsid w:val="00DD73D6"/>
    <w:rsid w:val="00DE0022"/>
    <w:rsid w:val="00DE06BB"/>
    <w:rsid w:val="00DE071E"/>
    <w:rsid w:val="00DE07D3"/>
    <w:rsid w:val="00DE0896"/>
    <w:rsid w:val="00DE09D7"/>
    <w:rsid w:val="00DE16F5"/>
    <w:rsid w:val="00DE17FA"/>
    <w:rsid w:val="00DE1C4A"/>
    <w:rsid w:val="00DE2F71"/>
    <w:rsid w:val="00DE3471"/>
    <w:rsid w:val="00DE3CB6"/>
    <w:rsid w:val="00DE40FD"/>
    <w:rsid w:val="00DE4486"/>
    <w:rsid w:val="00DE48D7"/>
    <w:rsid w:val="00DE4EC2"/>
    <w:rsid w:val="00DE57EE"/>
    <w:rsid w:val="00DE5C64"/>
    <w:rsid w:val="00DE5D1C"/>
    <w:rsid w:val="00DE6EA7"/>
    <w:rsid w:val="00DE7156"/>
    <w:rsid w:val="00DE73C0"/>
    <w:rsid w:val="00DE74EC"/>
    <w:rsid w:val="00DE762F"/>
    <w:rsid w:val="00DE7827"/>
    <w:rsid w:val="00DE7BC3"/>
    <w:rsid w:val="00DF06D1"/>
    <w:rsid w:val="00DF093E"/>
    <w:rsid w:val="00DF0BDD"/>
    <w:rsid w:val="00DF23E4"/>
    <w:rsid w:val="00DF3368"/>
    <w:rsid w:val="00DF3703"/>
    <w:rsid w:val="00DF3BDC"/>
    <w:rsid w:val="00DF4E0F"/>
    <w:rsid w:val="00DF4EFF"/>
    <w:rsid w:val="00DF56E2"/>
    <w:rsid w:val="00DF5E1E"/>
    <w:rsid w:val="00DF71CA"/>
    <w:rsid w:val="00DF769D"/>
    <w:rsid w:val="00DF7743"/>
    <w:rsid w:val="00DF7DEA"/>
    <w:rsid w:val="00E005A5"/>
    <w:rsid w:val="00E01125"/>
    <w:rsid w:val="00E01349"/>
    <w:rsid w:val="00E013F4"/>
    <w:rsid w:val="00E019D7"/>
    <w:rsid w:val="00E01E42"/>
    <w:rsid w:val="00E01E8C"/>
    <w:rsid w:val="00E02032"/>
    <w:rsid w:val="00E02664"/>
    <w:rsid w:val="00E027FC"/>
    <w:rsid w:val="00E0295F"/>
    <w:rsid w:val="00E02A15"/>
    <w:rsid w:val="00E02A9A"/>
    <w:rsid w:val="00E03050"/>
    <w:rsid w:val="00E03083"/>
    <w:rsid w:val="00E03373"/>
    <w:rsid w:val="00E03982"/>
    <w:rsid w:val="00E039CE"/>
    <w:rsid w:val="00E03E60"/>
    <w:rsid w:val="00E0400A"/>
    <w:rsid w:val="00E04682"/>
    <w:rsid w:val="00E048E1"/>
    <w:rsid w:val="00E05613"/>
    <w:rsid w:val="00E05AA5"/>
    <w:rsid w:val="00E06374"/>
    <w:rsid w:val="00E066FC"/>
    <w:rsid w:val="00E06DD4"/>
    <w:rsid w:val="00E06FED"/>
    <w:rsid w:val="00E071AE"/>
    <w:rsid w:val="00E071C5"/>
    <w:rsid w:val="00E0793F"/>
    <w:rsid w:val="00E07A1F"/>
    <w:rsid w:val="00E07ADD"/>
    <w:rsid w:val="00E07DAF"/>
    <w:rsid w:val="00E07EA6"/>
    <w:rsid w:val="00E10C8D"/>
    <w:rsid w:val="00E10D2B"/>
    <w:rsid w:val="00E11673"/>
    <w:rsid w:val="00E1239D"/>
    <w:rsid w:val="00E123A3"/>
    <w:rsid w:val="00E12EA2"/>
    <w:rsid w:val="00E137B5"/>
    <w:rsid w:val="00E137F4"/>
    <w:rsid w:val="00E13C6A"/>
    <w:rsid w:val="00E13DD8"/>
    <w:rsid w:val="00E1425E"/>
    <w:rsid w:val="00E14B74"/>
    <w:rsid w:val="00E14D0A"/>
    <w:rsid w:val="00E15211"/>
    <w:rsid w:val="00E15B13"/>
    <w:rsid w:val="00E15E53"/>
    <w:rsid w:val="00E165DD"/>
    <w:rsid w:val="00E16619"/>
    <w:rsid w:val="00E169B0"/>
    <w:rsid w:val="00E16E15"/>
    <w:rsid w:val="00E178A4"/>
    <w:rsid w:val="00E17E81"/>
    <w:rsid w:val="00E20EF3"/>
    <w:rsid w:val="00E2116E"/>
    <w:rsid w:val="00E21B2F"/>
    <w:rsid w:val="00E21C79"/>
    <w:rsid w:val="00E2294C"/>
    <w:rsid w:val="00E2296E"/>
    <w:rsid w:val="00E22A00"/>
    <w:rsid w:val="00E22D75"/>
    <w:rsid w:val="00E23027"/>
    <w:rsid w:val="00E23054"/>
    <w:rsid w:val="00E23333"/>
    <w:rsid w:val="00E24297"/>
    <w:rsid w:val="00E2450E"/>
    <w:rsid w:val="00E24A5E"/>
    <w:rsid w:val="00E24AAF"/>
    <w:rsid w:val="00E24ABA"/>
    <w:rsid w:val="00E24C2E"/>
    <w:rsid w:val="00E24D68"/>
    <w:rsid w:val="00E25298"/>
    <w:rsid w:val="00E25429"/>
    <w:rsid w:val="00E2590C"/>
    <w:rsid w:val="00E2593B"/>
    <w:rsid w:val="00E259BD"/>
    <w:rsid w:val="00E25ADA"/>
    <w:rsid w:val="00E25C03"/>
    <w:rsid w:val="00E25E2F"/>
    <w:rsid w:val="00E25E41"/>
    <w:rsid w:val="00E260D5"/>
    <w:rsid w:val="00E26409"/>
    <w:rsid w:val="00E2672E"/>
    <w:rsid w:val="00E26B93"/>
    <w:rsid w:val="00E26D2E"/>
    <w:rsid w:val="00E2729D"/>
    <w:rsid w:val="00E27E70"/>
    <w:rsid w:val="00E27EED"/>
    <w:rsid w:val="00E30041"/>
    <w:rsid w:val="00E30366"/>
    <w:rsid w:val="00E303A8"/>
    <w:rsid w:val="00E30525"/>
    <w:rsid w:val="00E30862"/>
    <w:rsid w:val="00E3089D"/>
    <w:rsid w:val="00E30BC8"/>
    <w:rsid w:val="00E30EE7"/>
    <w:rsid w:val="00E30F96"/>
    <w:rsid w:val="00E312AF"/>
    <w:rsid w:val="00E3174C"/>
    <w:rsid w:val="00E3191F"/>
    <w:rsid w:val="00E31B75"/>
    <w:rsid w:val="00E32E2B"/>
    <w:rsid w:val="00E32F09"/>
    <w:rsid w:val="00E33132"/>
    <w:rsid w:val="00E33676"/>
    <w:rsid w:val="00E33D15"/>
    <w:rsid w:val="00E33EFC"/>
    <w:rsid w:val="00E34726"/>
    <w:rsid w:val="00E34BE5"/>
    <w:rsid w:val="00E34CDB"/>
    <w:rsid w:val="00E356C4"/>
    <w:rsid w:val="00E35C26"/>
    <w:rsid w:val="00E3694E"/>
    <w:rsid w:val="00E36B38"/>
    <w:rsid w:val="00E371F0"/>
    <w:rsid w:val="00E37950"/>
    <w:rsid w:val="00E37EE4"/>
    <w:rsid w:val="00E37F86"/>
    <w:rsid w:val="00E41C1B"/>
    <w:rsid w:val="00E41CAB"/>
    <w:rsid w:val="00E41CE9"/>
    <w:rsid w:val="00E41F58"/>
    <w:rsid w:val="00E421A5"/>
    <w:rsid w:val="00E42332"/>
    <w:rsid w:val="00E42517"/>
    <w:rsid w:val="00E429CA"/>
    <w:rsid w:val="00E42B70"/>
    <w:rsid w:val="00E42D0A"/>
    <w:rsid w:val="00E439E9"/>
    <w:rsid w:val="00E4408B"/>
    <w:rsid w:val="00E443D3"/>
    <w:rsid w:val="00E44792"/>
    <w:rsid w:val="00E44C6D"/>
    <w:rsid w:val="00E44C9B"/>
    <w:rsid w:val="00E44DA0"/>
    <w:rsid w:val="00E45F64"/>
    <w:rsid w:val="00E4608F"/>
    <w:rsid w:val="00E46431"/>
    <w:rsid w:val="00E470B0"/>
    <w:rsid w:val="00E4728A"/>
    <w:rsid w:val="00E4789B"/>
    <w:rsid w:val="00E478E5"/>
    <w:rsid w:val="00E47AF0"/>
    <w:rsid w:val="00E47CCC"/>
    <w:rsid w:val="00E47D65"/>
    <w:rsid w:val="00E5032A"/>
    <w:rsid w:val="00E50762"/>
    <w:rsid w:val="00E507CF"/>
    <w:rsid w:val="00E507E5"/>
    <w:rsid w:val="00E508A4"/>
    <w:rsid w:val="00E50E43"/>
    <w:rsid w:val="00E51278"/>
    <w:rsid w:val="00E51301"/>
    <w:rsid w:val="00E51329"/>
    <w:rsid w:val="00E5157D"/>
    <w:rsid w:val="00E517BC"/>
    <w:rsid w:val="00E51B82"/>
    <w:rsid w:val="00E52B87"/>
    <w:rsid w:val="00E534A6"/>
    <w:rsid w:val="00E536CC"/>
    <w:rsid w:val="00E53BD3"/>
    <w:rsid w:val="00E53D84"/>
    <w:rsid w:val="00E54347"/>
    <w:rsid w:val="00E545A7"/>
    <w:rsid w:val="00E546A9"/>
    <w:rsid w:val="00E5534F"/>
    <w:rsid w:val="00E55B4D"/>
    <w:rsid w:val="00E560BF"/>
    <w:rsid w:val="00E56154"/>
    <w:rsid w:val="00E562F0"/>
    <w:rsid w:val="00E56A29"/>
    <w:rsid w:val="00E56BFD"/>
    <w:rsid w:val="00E56E49"/>
    <w:rsid w:val="00E56FE9"/>
    <w:rsid w:val="00E5783A"/>
    <w:rsid w:val="00E579C7"/>
    <w:rsid w:val="00E57BBD"/>
    <w:rsid w:val="00E57D81"/>
    <w:rsid w:val="00E6023E"/>
    <w:rsid w:val="00E6070F"/>
    <w:rsid w:val="00E607F3"/>
    <w:rsid w:val="00E60814"/>
    <w:rsid w:val="00E60B4E"/>
    <w:rsid w:val="00E61645"/>
    <w:rsid w:val="00E617F0"/>
    <w:rsid w:val="00E625DE"/>
    <w:rsid w:val="00E62759"/>
    <w:rsid w:val="00E62B2B"/>
    <w:rsid w:val="00E62E11"/>
    <w:rsid w:val="00E62E76"/>
    <w:rsid w:val="00E6331D"/>
    <w:rsid w:val="00E63590"/>
    <w:rsid w:val="00E639F4"/>
    <w:rsid w:val="00E64095"/>
    <w:rsid w:val="00E64158"/>
    <w:rsid w:val="00E6426E"/>
    <w:rsid w:val="00E6496A"/>
    <w:rsid w:val="00E64CCE"/>
    <w:rsid w:val="00E65236"/>
    <w:rsid w:val="00E65418"/>
    <w:rsid w:val="00E65BFF"/>
    <w:rsid w:val="00E65D59"/>
    <w:rsid w:val="00E65F95"/>
    <w:rsid w:val="00E66579"/>
    <w:rsid w:val="00E66AA7"/>
    <w:rsid w:val="00E67238"/>
    <w:rsid w:val="00E67353"/>
    <w:rsid w:val="00E6741B"/>
    <w:rsid w:val="00E674B0"/>
    <w:rsid w:val="00E674EC"/>
    <w:rsid w:val="00E704BB"/>
    <w:rsid w:val="00E705C4"/>
    <w:rsid w:val="00E707B2"/>
    <w:rsid w:val="00E712AE"/>
    <w:rsid w:val="00E71574"/>
    <w:rsid w:val="00E71C73"/>
    <w:rsid w:val="00E72228"/>
    <w:rsid w:val="00E7245A"/>
    <w:rsid w:val="00E728F3"/>
    <w:rsid w:val="00E72DB9"/>
    <w:rsid w:val="00E733E3"/>
    <w:rsid w:val="00E73436"/>
    <w:rsid w:val="00E73C0B"/>
    <w:rsid w:val="00E74630"/>
    <w:rsid w:val="00E748D3"/>
    <w:rsid w:val="00E74BD2"/>
    <w:rsid w:val="00E75499"/>
    <w:rsid w:val="00E7556A"/>
    <w:rsid w:val="00E755EA"/>
    <w:rsid w:val="00E75818"/>
    <w:rsid w:val="00E75C80"/>
    <w:rsid w:val="00E764BD"/>
    <w:rsid w:val="00E7650F"/>
    <w:rsid w:val="00E76834"/>
    <w:rsid w:val="00E7685D"/>
    <w:rsid w:val="00E77264"/>
    <w:rsid w:val="00E80118"/>
    <w:rsid w:val="00E803B5"/>
    <w:rsid w:val="00E80BB5"/>
    <w:rsid w:val="00E80CA8"/>
    <w:rsid w:val="00E81304"/>
    <w:rsid w:val="00E81D75"/>
    <w:rsid w:val="00E82265"/>
    <w:rsid w:val="00E82348"/>
    <w:rsid w:val="00E8243C"/>
    <w:rsid w:val="00E828EE"/>
    <w:rsid w:val="00E82A31"/>
    <w:rsid w:val="00E82EE7"/>
    <w:rsid w:val="00E83CD0"/>
    <w:rsid w:val="00E83CE2"/>
    <w:rsid w:val="00E85618"/>
    <w:rsid w:val="00E8587C"/>
    <w:rsid w:val="00E85DF3"/>
    <w:rsid w:val="00E86720"/>
    <w:rsid w:val="00E86A15"/>
    <w:rsid w:val="00E86A44"/>
    <w:rsid w:val="00E86F04"/>
    <w:rsid w:val="00E87618"/>
    <w:rsid w:val="00E87945"/>
    <w:rsid w:val="00E90C95"/>
    <w:rsid w:val="00E913DF"/>
    <w:rsid w:val="00E9155A"/>
    <w:rsid w:val="00E91CD8"/>
    <w:rsid w:val="00E91D5A"/>
    <w:rsid w:val="00E92F14"/>
    <w:rsid w:val="00E93330"/>
    <w:rsid w:val="00E937AA"/>
    <w:rsid w:val="00E93BEE"/>
    <w:rsid w:val="00E93C4D"/>
    <w:rsid w:val="00E94988"/>
    <w:rsid w:val="00E951DA"/>
    <w:rsid w:val="00E9587D"/>
    <w:rsid w:val="00E9588E"/>
    <w:rsid w:val="00E95938"/>
    <w:rsid w:val="00E9606B"/>
    <w:rsid w:val="00E963A7"/>
    <w:rsid w:val="00E966A3"/>
    <w:rsid w:val="00E9677D"/>
    <w:rsid w:val="00E96966"/>
    <w:rsid w:val="00E96986"/>
    <w:rsid w:val="00E96F58"/>
    <w:rsid w:val="00E9731D"/>
    <w:rsid w:val="00E9733B"/>
    <w:rsid w:val="00E973B6"/>
    <w:rsid w:val="00E97AD3"/>
    <w:rsid w:val="00EA00B7"/>
    <w:rsid w:val="00EA03CB"/>
    <w:rsid w:val="00EA040D"/>
    <w:rsid w:val="00EA051A"/>
    <w:rsid w:val="00EA05B1"/>
    <w:rsid w:val="00EA07DD"/>
    <w:rsid w:val="00EA0852"/>
    <w:rsid w:val="00EA08FC"/>
    <w:rsid w:val="00EA102C"/>
    <w:rsid w:val="00EA10FF"/>
    <w:rsid w:val="00EA14C9"/>
    <w:rsid w:val="00EA15C6"/>
    <w:rsid w:val="00EA16E9"/>
    <w:rsid w:val="00EA19AE"/>
    <w:rsid w:val="00EA1E39"/>
    <w:rsid w:val="00EA271E"/>
    <w:rsid w:val="00EA2C05"/>
    <w:rsid w:val="00EA2FBD"/>
    <w:rsid w:val="00EA3525"/>
    <w:rsid w:val="00EA39ED"/>
    <w:rsid w:val="00EA3CBD"/>
    <w:rsid w:val="00EA3F8F"/>
    <w:rsid w:val="00EA42DD"/>
    <w:rsid w:val="00EA435C"/>
    <w:rsid w:val="00EA46DB"/>
    <w:rsid w:val="00EA4750"/>
    <w:rsid w:val="00EA488B"/>
    <w:rsid w:val="00EA4CD8"/>
    <w:rsid w:val="00EA5075"/>
    <w:rsid w:val="00EA50B5"/>
    <w:rsid w:val="00EA5AA9"/>
    <w:rsid w:val="00EA5FDD"/>
    <w:rsid w:val="00EA620B"/>
    <w:rsid w:val="00EA66EF"/>
    <w:rsid w:val="00EA6C4C"/>
    <w:rsid w:val="00EA7A17"/>
    <w:rsid w:val="00EB00A2"/>
    <w:rsid w:val="00EB027E"/>
    <w:rsid w:val="00EB02B7"/>
    <w:rsid w:val="00EB0346"/>
    <w:rsid w:val="00EB06C6"/>
    <w:rsid w:val="00EB0A02"/>
    <w:rsid w:val="00EB174C"/>
    <w:rsid w:val="00EB2297"/>
    <w:rsid w:val="00EB24F1"/>
    <w:rsid w:val="00EB2F9A"/>
    <w:rsid w:val="00EB34C6"/>
    <w:rsid w:val="00EB3EA6"/>
    <w:rsid w:val="00EB423E"/>
    <w:rsid w:val="00EB4932"/>
    <w:rsid w:val="00EB4C5F"/>
    <w:rsid w:val="00EB5176"/>
    <w:rsid w:val="00EB5267"/>
    <w:rsid w:val="00EB534A"/>
    <w:rsid w:val="00EB5958"/>
    <w:rsid w:val="00EB5C68"/>
    <w:rsid w:val="00EB6477"/>
    <w:rsid w:val="00EB68C1"/>
    <w:rsid w:val="00EB6F72"/>
    <w:rsid w:val="00EB783A"/>
    <w:rsid w:val="00EB7EED"/>
    <w:rsid w:val="00EC057F"/>
    <w:rsid w:val="00EC0698"/>
    <w:rsid w:val="00EC06C2"/>
    <w:rsid w:val="00EC0E7A"/>
    <w:rsid w:val="00EC14DC"/>
    <w:rsid w:val="00EC17A0"/>
    <w:rsid w:val="00EC1CEC"/>
    <w:rsid w:val="00EC1D94"/>
    <w:rsid w:val="00EC2382"/>
    <w:rsid w:val="00EC2863"/>
    <w:rsid w:val="00EC28C1"/>
    <w:rsid w:val="00EC2CEE"/>
    <w:rsid w:val="00EC2FB9"/>
    <w:rsid w:val="00EC3136"/>
    <w:rsid w:val="00EC32F0"/>
    <w:rsid w:val="00EC34E9"/>
    <w:rsid w:val="00EC3518"/>
    <w:rsid w:val="00EC3BCD"/>
    <w:rsid w:val="00EC401D"/>
    <w:rsid w:val="00EC44EF"/>
    <w:rsid w:val="00EC4F26"/>
    <w:rsid w:val="00EC4F28"/>
    <w:rsid w:val="00EC510A"/>
    <w:rsid w:val="00EC5545"/>
    <w:rsid w:val="00EC55DC"/>
    <w:rsid w:val="00EC59C5"/>
    <w:rsid w:val="00EC5B8F"/>
    <w:rsid w:val="00EC5E3D"/>
    <w:rsid w:val="00EC6276"/>
    <w:rsid w:val="00EC75AD"/>
    <w:rsid w:val="00EC75E5"/>
    <w:rsid w:val="00EC767F"/>
    <w:rsid w:val="00EC7840"/>
    <w:rsid w:val="00EC7AA0"/>
    <w:rsid w:val="00EC7B34"/>
    <w:rsid w:val="00EC7BA0"/>
    <w:rsid w:val="00EC7C51"/>
    <w:rsid w:val="00ED001A"/>
    <w:rsid w:val="00ED0205"/>
    <w:rsid w:val="00ED0A21"/>
    <w:rsid w:val="00ED0E85"/>
    <w:rsid w:val="00ED0FA6"/>
    <w:rsid w:val="00ED111B"/>
    <w:rsid w:val="00ED1618"/>
    <w:rsid w:val="00ED1C62"/>
    <w:rsid w:val="00ED1F43"/>
    <w:rsid w:val="00ED21DE"/>
    <w:rsid w:val="00ED3506"/>
    <w:rsid w:val="00ED3700"/>
    <w:rsid w:val="00ED3913"/>
    <w:rsid w:val="00ED3AFD"/>
    <w:rsid w:val="00ED3CB8"/>
    <w:rsid w:val="00ED4202"/>
    <w:rsid w:val="00ED4A38"/>
    <w:rsid w:val="00ED52D0"/>
    <w:rsid w:val="00ED5461"/>
    <w:rsid w:val="00ED5ECF"/>
    <w:rsid w:val="00ED62AC"/>
    <w:rsid w:val="00ED67E7"/>
    <w:rsid w:val="00ED6903"/>
    <w:rsid w:val="00ED721D"/>
    <w:rsid w:val="00ED75EB"/>
    <w:rsid w:val="00ED77D0"/>
    <w:rsid w:val="00ED7E3E"/>
    <w:rsid w:val="00EE0206"/>
    <w:rsid w:val="00EE06E0"/>
    <w:rsid w:val="00EE0D7A"/>
    <w:rsid w:val="00EE184C"/>
    <w:rsid w:val="00EE2C41"/>
    <w:rsid w:val="00EE3108"/>
    <w:rsid w:val="00EE3C48"/>
    <w:rsid w:val="00EE3FD7"/>
    <w:rsid w:val="00EE4525"/>
    <w:rsid w:val="00EE4C69"/>
    <w:rsid w:val="00EE4D5E"/>
    <w:rsid w:val="00EE4E5B"/>
    <w:rsid w:val="00EE5435"/>
    <w:rsid w:val="00EE5BE5"/>
    <w:rsid w:val="00EE5F77"/>
    <w:rsid w:val="00EE6C33"/>
    <w:rsid w:val="00EE6E47"/>
    <w:rsid w:val="00EE715A"/>
    <w:rsid w:val="00EE7DF4"/>
    <w:rsid w:val="00EE7F65"/>
    <w:rsid w:val="00EF09A1"/>
    <w:rsid w:val="00EF115D"/>
    <w:rsid w:val="00EF12BA"/>
    <w:rsid w:val="00EF15BD"/>
    <w:rsid w:val="00EF1696"/>
    <w:rsid w:val="00EF19C4"/>
    <w:rsid w:val="00EF1B80"/>
    <w:rsid w:val="00EF2043"/>
    <w:rsid w:val="00EF3F2E"/>
    <w:rsid w:val="00EF3F76"/>
    <w:rsid w:val="00EF44F7"/>
    <w:rsid w:val="00EF4B71"/>
    <w:rsid w:val="00EF4CEA"/>
    <w:rsid w:val="00EF4D53"/>
    <w:rsid w:val="00EF51C1"/>
    <w:rsid w:val="00EF5819"/>
    <w:rsid w:val="00EF5BB2"/>
    <w:rsid w:val="00EF63A0"/>
    <w:rsid w:val="00EF65D5"/>
    <w:rsid w:val="00EF6770"/>
    <w:rsid w:val="00EF68D2"/>
    <w:rsid w:val="00EF6F92"/>
    <w:rsid w:val="00EF7365"/>
    <w:rsid w:val="00EF75D1"/>
    <w:rsid w:val="00EF7CDF"/>
    <w:rsid w:val="00EF7EA5"/>
    <w:rsid w:val="00F0064D"/>
    <w:rsid w:val="00F006C4"/>
    <w:rsid w:val="00F006DA"/>
    <w:rsid w:val="00F00CB1"/>
    <w:rsid w:val="00F00D40"/>
    <w:rsid w:val="00F01229"/>
    <w:rsid w:val="00F0179B"/>
    <w:rsid w:val="00F021E6"/>
    <w:rsid w:val="00F02204"/>
    <w:rsid w:val="00F02585"/>
    <w:rsid w:val="00F029E8"/>
    <w:rsid w:val="00F02A40"/>
    <w:rsid w:val="00F02BCC"/>
    <w:rsid w:val="00F02C21"/>
    <w:rsid w:val="00F03663"/>
    <w:rsid w:val="00F03C18"/>
    <w:rsid w:val="00F03D1E"/>
    <w:rsid w:val="00F0421F"/>
    <w:rsid w:val="00F044AB"/>
    <w:rsid w:val="00F0451C"/>
    <w:rsid w:val="00F053FC"/>
    <w:rsid w:val="00F054C6"/>
    <w:rsid w:val="00F056D3"/>
    <w:rsid w:val="00F0582E"/>
    <w:rsid w:val="00F060E5"/>
    <w:rsid w:val="00F06205"/>
    <w:rsid w:val="00F068DB"/>
    <w:rsid w:val="00F06E09"/>
    <w:rsid w:val="00F0736F"/>
    <w:rsid w:val="00F0797C"/>
    <w:rsid w:val="00F1105E"/>
    <w:rsid w:val="00F115F7"/>
    <w:rsid w:val="00F11C1D"/>
    <w:rsid w:val="00F12361"/>
    <w:rsid w:val="00F124C5"/>
    <w:rsid w:val="00F126B5"/>
    <w:rsid w:val="00F12B13"/>
    <w:rsid w:val="00F12B31"/>
    <w:rsid w:val="00F12B62"/>
    <w:rsid w:val="00F12D68"/>
    <w:rsid w:val="00F131A5"/>
    <w:rsid w:val="00F13CD8"/>
    <w:rsid w:val="00F13F44"/>
    <w:rsid w:val="00F1442A"/>
    <w:rsid w:val="00F1450D"/>
    <w:rsid w:val="00F14587"/>
    <w:rsid w:val="00F14591"/>
    <w:rsid w:val="00F146B5"/>
    <w:rsid w:val="00F14D81"/>
    <w:rsid w:val="00F150DE"/>
    <w:rsid w:val="00F15501"/>
    <w:rsid w:val="00F156B6"/>
    <w:rsid w:val="00F158B2"/>
    <w:rsid w:val="00F15F01"/>
    <w:rsid w:val="00F16367"/>
    <w:rsid w:val="00F16724"/>
    <w:rsid w:val="00F168E5"/>
    <w:rsid w:val="00F16E6D"/>
    <w:rsid w:val="00F17105"/>
    <w:rsid w:val="00F1743D"/>
    <w:rsid w:val="00F176B7"/>
    <w:rsid w:val="00F177F9"/>
    <w:rsid w:val="00F204EF"/>
    <w:rsid w:val="00F2073A"/>
    <w:rsid w:val="00F20808"/>
    <w:rsid w:val="00F208E6"/>
    <w:rsid w:val="00F20EE2"/>
    <w:rsid w:val="00F210CD"/>
    <w:rsid w:val="00F211F2"/>
    <w:rsid w:val="00F212B5"/>
    <w:rsid w:val="00F214FD"/>
    <w:rsid w:val="00F21ABA"/>
    <w:rsid w:val="00F21B73"/>
    <w:rsid w:val="00F21F88"/>
    <w:rsid w:val="00F222C5"/>
    <w:rsid w:val="00F23259"/>
    <w:rsid w:val="00F2376D"/>
    <w:rsid w:val="00F2399F"/>
    <w:rsid w:val="00F23BB6"/>
    <w:rsid w:val="00F23F9C"/>
    <w:rsid w:val="00F240B9"/>
    <w:rsid w:val="00F241E6"/>
    <w:rsid w:val="00F24CAA"/>
    <w:rsid w:val="00F24E3B"/>
    <w:rsid w:val="00F256A3"/>
    <w:rsid w:val="00F25CD5"/>
    <w:rsid w:val="00F25FE5"/>
    <w:rsid w:val="00F26ABA"/>
    <w:rsid w:val="00F26E1E"/>
    <w:rsid w:val="00F27649"/>
    <w:rsid w:val="00F27AB1"/>
    <w:rsid w:val="00F3036A"/>
    <w:rsid w:val="00F305EC"/>
    <w:rsid w:val="00F30D0B"/>
    <w:rsid w:val="00F311E9"/>
    <w:rsid w:val="00F31919"/>
    <w:rsid w:val="00F31A9C"/>
    <w:rsid w:val="00F31D7A"/>
    <w:rsid w:val="00F3208A"/>
    <w:rsid w:val="00F321AE"/>
    <w:rsid w:val="00F321D8"/>
    <w:rsid w:val="00F32396"/>
    <w:rsid w:val="00F32ADD"/>
    <w:rsid w:val="00F32D20"/>
    <w:rsid w:val="00F33AD4"/>
    <w:rsid w:val="00F3446B"/>
    <w:rsid w:val="00F34AA7"/>
    <w:rsid w:val="00F34CFD"/>
    <w:rsid w:val="00F34F9E"/>
    <w:rsid w:val="00F350FC"/>
    <w:rsid w:val="00F352A4"/>
    <w:rsid w:val="00F3568E"/>
    <w:rsid w:val="00F358C2"/>
    <w:rsid w:val="00F35C68"/>
    <w:rsid w:val="00F35CDC"/>
    <w:rsid w:val="00F35D1F"/>
    <w:rsid w:val="00F35DC2"/>
    <w:rsid w:val="00F35E43"/>
    <w:rsid w:val="00F35FC3"/>
    <w:rsid w:val="00F3603B"/>
    <w:rsid w:val="00F3613C"/>
    <w:rsid w:val="00F36861"/>
    <w:rsid w:val="00F36ABE"/>
    <w:rsid w:val="00F36B3A"/>
    <w:rsid w:val="00F37083"/>
    <w:rsid w:val="00F37144"/>
    <w:rsid w:val="00F371EF"/>
    <w:rsid w:val="00F37827"/>
    <w:rsid w:val="00F37E28"/>
    <w:rsid w:val="00F40139"/>
    <w:rsid w:val="00F405FF"/>
    <w:rsid w:val="00F40D3B"/>
    <w:rsid w:val="00F41416"/>
    <w:rsid w:val="00F41729"/>
    <w:rsid w:val="00F41E88"/>
    <w:rsid w:val="00F42B41"/>
    <w:rsid w:val="00F42DD6"/>
    <w:rsid w:val="00F435FC"/>
    <w:rsid w:val="00F43EE1"/>
    <w:rsid w:val="00F44171"/>
    <w:rsid w:val="00F44330"/>
    <w:rsid w:val="00F444FD"/>
    <w:rsid w:val="00F450DC"/>
    <w:rsid w:val="00F455F7"/>
    <w:rsid w:val="00F45AE6"/>
    <w:rsid w:val="00F461C7"/>
    <w:rsid w:val="00F46503"/>
    <w:rsid w:val="00F47551"/>
    <w:rsid w:val="00F47B59"/>
    <w:rsid w:val="00F500A6"/>
    <w:rsid w:val="00F50250"/>
    <w:rsid w:val="00F50398"/>
    <w:rsid w:val="00F50467"/>
    <w:rsid w:val="00F508B1"/>
    <w:rsid w:val="00F51931"/>
    <w:rsid w:val="00F519DE"/>
    <w:rsid w:val="00F51C28"/>
    <w:rsid w:val="00F51D86"/>
    <w:rsid w:val="00F5222F"/>
    <w:rsid w:val="00F5247F"/>
    <w:rsid w:val="00F52957"/>
    <w:rsid w:val="00F5337B"/>
    <w:rsid w:val="00F535C4"/>
    <w:rsid w:val="00F53863"/>
    <w:rsid w:val="00F53B2D"/>
    <w:rsid w:val="00F53E31"/>
    <w:rsid w:val="00F53EF8"/>
    <w:rsid w:val="00F54021"/>
    <w:rsid w:val="00F545B0"/>
    <w:rsid w:val="00F54685"/>
    <w:rsid w:val="00F54E61"/>
    <w:rsid w:val="00F54FC5"/>
    <w:rsid w:val="00F5520B"/>
    <w:rsid w:val="00F555F4"/>
    <w:rsid w:val="00F557AC"/>
    <w:rsid w:val="00F56122"/>
    <w:rsid w:val="00F5657D"/>
    <w:rsid w:val="00F56E1B"/>
    <w:rsid w:val="00F5710D"/>
    <w:rsid w:val="00F573C6"/>
    <w:rsid w:val="00F57ABC"/>
    <w:rsid w:val="00F57D90"/>
    <w:rsid w:val="00F57E20"/>
    <w:rsid w:val="00F57EEF"/>
    <w:rsid w:val="00F60EC9"/>
    <w:rsid w:val="00F614BB"/>
    <w:rsid w:val="00F61850"/>
    <w:rsid w:val="00F61D27"/>
    <w:rsid w:val="00F61D4F"/>
    <w:rsid w:val="00F622D8"/>
    <w:rsid w:val="00F62476"/>
    <w:rsid w:val="00F626D7"/>
    <w:rsid w:val="00F62741"/>
    <w:rsid w:val="00F62D61"/>
    <w:rsid w:val="00F63310"/>
    <w:rsid w:val="00F63410"/>
    <w:rsid w:val="00F634D7"/>
    <w:rsid w:val="00F63635"/>
    <w:rsid w:val="00F640FE"/>
    <w:rsid w:val="00F641F4"/>
    <w:rsid w:val="00F642C1"/>
    <w:rsid w:val="00F645CF"/>
    <w:rsid w:val="00F64827"/>
    <w:rsid w:val="00F64EF8"/>
    <w:rsid w:val="00F64F48"/>
    <w:rsid w:val="00F65ADD"/>
    <w:rsid w:val="00F65F95"/>
    <w:rsid w:val="00F66053"/>
    <w:rsid w:val="00F660E8"/>
    <w:rsid w:val="00F66146"/>
    <w:rsid w:val="00F6615C"/>
    <w:rsid w:val="00F662AE"/>
    <w:rsid w:val="00F6662F"/>
    <w:rsid w:val="00F666E6"/>
    <w:rsid w:val="00F66707"/>
    <w:rsid w:val="00F66EC5"/>
    <w:rsid w:val="00F675F9"/>
    <w:rsid w:val="00F677D4"/>
    <w:rsid w:val="00F678B8"/>
    <w:rsid w:val="00F678DB"/>
    <w:rsid w:val="00F70072"/>
    <w:rsid w:val="00F70808"/>
    <w:rsid w:val="00F70D33"/>
    <w:rsid w:val="00F70E02"/>
    <w:rsid w:val="00F70F53"/>
    <w:rsid w:val="00F713C4"/>
    <w:rsid w:val="00F716F0"/>
    <w:rsid w:val="00F71B4B"/>
    <w:rsid w:val="00F71BA3"/>
    <w:rsid w:val="00F71FBC"/>
    <w:rsid w:val="00F71FFE"/>
    <w:rsid w:val="00F72988"/>
    <w:rsid w:val="00F72A33"/>
    <w:rsid w:val="00F72EF5"/>
    <w:rsid w:val="00F738A0"/>
    <w:rsid w:val="00F738E3"/>
    <w:rsid w:val="00F749FC"/>
    <w:rsid w:val="00F74E32"/>
    <w:rsid w:val="00F755F7"/>
    <w:rsid w:val="00F756FD"/>
    <w:rsid w:val="00F75795"/>
    <w:rsid w:val="00F75950"/>
    <w:rsid w:val="00F75B6E"/>
    <w:rsid w:val="00F75C37"/>
    <w:rsid w:val="00F76440"/>
    <w:rsid w:val="00F76473"/>
    <w:rsid w:val="00F766A1"/>
    <w:rsid w:val="00F76C7E"/>
    <w:rsid w:val="00F771A6"/>
    <w:rsid w:val="00F7747F"/>
    <w:rsid w:val="00F77B01"/>
    <w:rsid w:val="00F80480"/>
    <w:rsid w:val="00F80584"/>
    <w:rsid w:val="00F80771"/>
    <w:rsid w:val="00F80CBC"/>
    <w:rsid w:val="00F81AC4"/>
    <w:rsid w:val="00F81EF2"/>
    <w:rsid w:val="00F82020"/>
    <w:rsid w:val="00F82588"/>
    <w:rsid w:val="00F82B66"/>
    <w:rsid w:val="00F82F09"/>
    <w:rsid w:val="00F82F65"/>
    <w:rsid w:val="00F8361B"/>
    <w:rsid w:val="00F839DC"/>
    <w:rsid w:val="00F83B5C"/>
    <w:rsid w:val="00F83D69"/>
    <w:rsid w:val="00F83EB6"/>
    <w:rsid w:val="00F8408C"/>
    <w:rsid w:val="00F84730"/>
    <w:rsid w:val="00F849A9"/>
    <w:rsid w:val="00F853F4"/>
    <w:rsid w:val="00F863E9"/>
    <w:rsid w:val="00F86997"/>
    <w:rsid w:val="00F87772"/>
    <w:rsid w:val="00F87E67"/>
    <w:rsid w:val="00F87E9F"/>
    <w:rsid w:val="00F87F4B"/>
    <w:rsid w:val="00F900B6"/>
    <w:rsid w:val="00F90301"/>
    <w:rsid w:val="00F9052D"/>
    <w:rsid w:val="00F90812"/>
    <w:rsid w:val="00F90E1C"/>
    <w:rsid w:val="00F910E2"/>
    <w:rsid w:val="00F918AE"/>
    <w:rsid w:val="00F91A5F"/>
    <w:rsid w:val="00F91BFC"/>
    <w:rsid w:val="00F91C35"/>
    <w:rsid w:val="00F92553"/>
    <w:rsid w:val="00F9298A"/>
    <w:rsid w:val="00F929BE"/>
    <w:rsid w:val="00F92BA7"/>
    <w:rsid w:val="00F92FC6"/>
    <w:rsid w:val="00F9346D"/>
    <w:rsid w:val="00F93950"/>
    <w:rsid w:val="00F9410F"/>
    <w:rsid w:val="00F945B3"/>
    <w:rsid w:val="00F9498C"/>
    <w:rsid w:val="00F95142"/>
    <w:rsid w:val="00F957D1"/>
    <w:rsid w:val="00F9586E"/>
    <w:rsid w:val="00F95926"/>
    <w:rsid w:val="00F95B51"/>
    <w:rsid w:val="00F95BE4"/>
    <w:rsid w:val="00F95C24"/>
    <w:rsid w:val="00F95DAE"/>
    <w:rsid w:val="00F95E0D"/>
    <w:rsid w:val="00F96AEB"/>
    <w:rsid w:val="00F96C6D"/>
    <w:rsid w:val="00F96F01"/>
    <w:rsid w:val="00F9771D"/>
    <w:rsid w:val="00F97B88"/>
    <w:rsid w:val="00F97C29"/>
    <w:rsid w:val="00FA0516"/>
    <w:rsid w:val="00FA06E3"/>
    <w:rsid w:val="00FA076C"/>
    <w:rsid w:val="00FA07B8"/>
    <w:rsid w:val="00FA0826"/>
    <w:rsid w:val="00FA0CDE"/>
    <w:rsid w:val="00FA0EA7"/>
    <w:rsid w:val="00FA1063"/>
    <w:rsid w:val="00FA11E5"/>
    <w:rsid w:val="00FA1B8F"/>
    <w:rsid w:val="00FA1D2C"/>
    <w:rsid w:val="00FA217B"/>
    <w:rsid w:val="00FA30E3"/>
    <w:rsid w:val="00FA364F"/>
    <w:rsid w:val="00FA418C"/>
    <w:rsid w:val="00FA4549"/>
    <w:rsid w:val="00FA4710"/>
    <w:rsid w:val="00FA4E58"/>
    <w:rsid w:val="00FA4E96"/>
    <w:rsid w:val="00FA512B"/>
    <w:rsid w:val="00FA53A5"/>
    <w:rsid w:val="00FA53B4"/>
    <w:rsid w:val="00FA590C"/>
    <w:rsid w:val="00FA5E54"/>
    <w:rsid w:val="00FA66D0"/>
    <w:rsid w:val="00FA6786"/>
    <w:rsid w:val="00FA680C"/>
    <w:rsid w:val="00FA697A"/>
    <w:rsid w:val="00FA7006"/>
    <w:rsid w:val="00FA7475"/>
    <w:rsid w:val="00FA79A8"/>
    <w:rsid w:val="00FA7F78"/>
    <w:rsid w:val="00FB07D1"/>
    <w:rsid w:val="00FB0F7A"/>
    <w:rsid w:val="00FB0FBC"/>
    <w:rsid w:val="00FB110C"/>
    <w:rsid w:val="00FB16D1"/>
    <w:rsid w:val="00FB190E"/>
    <w:rsid w:val="00FB1E8C"/>
    <w:rsid w:val="00FB24B2"/>
    <w:rsid w:val="00FB2754"/>
    <w:rsid w:val="00FB28F3"/>
    <w:rsid w:val="00FB2DEE"/>
    <w:rsid w:val="00FB3018"/>
    <w:rsid w:val="00FB3B02"/>
    <w:rsid w:val="00FB3C39"/>
    <w:rsid w:val="00FB47E2"/>
    <w:rsid w:val="00FB4A5E"/>
    <w:rsid w:val="00FB4D6B"/>
    <w:rsid w:val="00FB51A8"/>
    <w:rsid w:val="00FB56FC"/>
    <w:rsid w:val="00FB5DC6"/>
    <w:rsid w:val="00FB5E54"/>
    <w:rsid w:val="00FB5FFF"/>
    <w:rsid w:val="00FB6251"/>
    <w:rsid w:val="00FB62AF"/>
    <w:rsid w:val="00FB6A8B"/>
    <w:rsid w:val="00FB6D7F"/>
    <w:rsid w:val="00FB6FE0"/>
    <w:rsid w:val="00FB7116"/>
    <w:rsid w:val="00FB7267"/>
    <w:rsid w:val="00FB7BE2"/>
    <w:rsid w:val="00FB7E8B"/>
    <w:rsid w:val="00FC0603"/>
    <w:rsid w:val="00FC073B"/>
    <w:rsid w:val="00FC0AD1"/>
    <w:rsid w:val="00FC0C78"/>
    <w:rsid w:val="00FC0D9C"/>
    <w:rsid w:val="00FC1223"/>
    <w:rsid w:val="00FC1724"/>
    <w:rsid w:val="00FC29CA"/>
    <w:rsid w:val="00FC2F79"/>
    <w:rsid w:val="00FC2FA3"/>
    <w:rsid w:val="00FC3217"/>
    <w:rsid w:val="00FC3222"/>
    <w:rsid w:val="00FC3727"/>
    <w:rsid w:val="00FC3EBF"/>
    <w:rsid w:val="00FC3EFB"/>
    <w:rsid w:val="00FC3FB4"/>
    <w:rsid w:val="00FC41C7"/>
    <w:rsid w:val="00FC42FA"/>
    <w:rsid w:val="00FC48C8"/>
    <w:rsid w:val="00FC4961"/>
    <w:rsid w:val="00FC509C"/>
    <w:rsid w:val="00FC5C47"/>
    <w:rsid w:val="00FC6333"/>
    <w:rsid w:val="00FC63C0"/>
    <w:rsid w:val="00FC6513"/>
    <w:rsid w:val="00FC6D29"/>
    <w:rsid w:val="00FC70B1"/>
    <w:rsid w:val="00FC7294"/>
    <w:rsid w:val="00FC72CA"/>
    <w:rsid w:val="00FD0A47"/>
    <w:rsid w:val="00FD0AE9"/>
    <w:rsid w:val="00FD0AEC"/>
    <w:rsid w:val="00FD14A7"/>
    <w:rsid w:val="00FD1764"/>
    <w:rsid w:val="00FD1954"/>
    <w:rsid w:val="00FD1A0F"/>
    <w:rsid w:val="00FD1B0F"/>
    <w:rsid w:val="00FD2065"/>
    <w:rsid w:val="00FD29E1"/>
    <w:rsid w:val="00FD2B6E"/>
    <w:rsid w:val="00FD3089"/>
    <w:rsid w:val="00FD316E"/>
    <w:rsid w:val="00FD34F4"/>
    <w:rsid w:val="00FD3FE6"/>
    <w:rsid w:val="00FD403F"/>
    <w:rsid w:val="00FD4928"/>
    <w:rsid w:val="00FD4C37"/>
    <w:rsid w:val="00FD4C65"/>
    <w:rsid w:val="00FD4E33"/>
    <w:rsid w:val="00FD54C6"/>
    <w:rsid w:val="00FD595A"/>
    <w:rsid w:val="00FD65F0"/>
    <w:rsid w:val="00FD6A23"/>
    <w:rsid w:val="00FD6AA1"/>
    <w:rsid w:val="00FD74E2"/>
    <w:rsid w:val="00FD7EAB"/>
    <w:rsid w:val="00FE0051"/>
    <w:rsid w:val="00FE0214"/>
    <w:rsid w:val="00FE06F7"/>
    <w:rsid w:val="00FE1073"/>
    <w:rsid w:val="00FE12AA"/>
    <w:rsid w:val="00FE18EA"/>
    <w:rsid w:val="00FE1EDA"/>
    <w:rsid w:val="00FE2409"/>
    <w:rsid w:val="00FE29AA"/>
    <w:rsid w:val="00FE2EA3"/>
    <w:rsid w:val="00FE325F"/>
    <w:rsid w:val="00FE3748"/>
    <w:rsid w:val="00FE3984"/>
    <w:rsid w:val="00FE42AF"/>
    <w:rsid w:val="00FE4BB9"/>
    <w:rsid w:val="00FE4CDD"/>
    <w:rsid w:val="00FE4D91"/>
    <w:rsid w:val="00FE5E65"/>
    <w:rsid w:val="00FE66EC"/>
    <w:rsid w:val="00FE6B5D"/>
    <w:rsid w:val="00FE6F23"/>
    <w:rsid w:val="00FE726C"/>
    <w:rsid w:val="00FE73CA"/>
    <w:rsid w:val="00FE7550"/>
    <w:rsid w:val="00FE7ABE"/>
    <w:rsid w:val="00FE7ECE"/>
    <w:rsid w:val="00FE7ED2"/>
    <w:rsid w:val="00FE7F55"/>
    <w:rsid w:val="00FF0803"/>
    <w:rsid w:val="00FF1446"/>
    <w:rsid w:val="00FF1908"/>
    <w:rsid w:val="00FF1A35"/>
    <w:rsid w:val="00FF1A72"/>
    <w:rsid w:val="00FF1B06"/>
    <w:rsid w:val="00FF1D60"/>
    <w:rsid w:val="00FF3251"/>
    <w:rsid w:val="00FF34C0"/>
    <w:rsid w:val="00FF3635"/>
    <w:rsid w:val="00FF3731"/>
    <w:rsid w:val="00FF3AB2"/>
    <w:rsid w:val="00FF3C9F"/>
    <w:rsid w:val="00FF3D3E"/>
    <w:rsid w:val="00FF3DED"/>
    <w:rsid w:val="00FF46A8"/>
    <w:rsid w:val="00FF4851"/>
    <w:rsid w:val="00FF4CED"/>
    <w:rsid w:val="00FF4EA9"/>
    <w:rsid w:val="00FF55B5"/>
    <w:rsid w:val="00FF5618"/>
    <w:rsid w:val="00FF5AE2"/>
    <w:rsid w:val="00FF62D8"/>
    <w:rsid w:val="00FF6C14"/>
    <w:rsid w:val="00FF6DB2"/>
    <w:rsid w:val="00FF72B9"/>
    <w:rsid w:val="00FF789D"/>
    <w:rsid w:val="00FF789E"/>
    <w:rsid w:val="00FF7AB5"/>
    <w:rsid w:val="00FF7D4E"/>
    <w:rsid w:val="00FF7F6D"/>
    <w:rsid w:val="02021C0E"/>
    <w:rsid w:val="0259AB3F"/>
    <w:rsid w:val="03910908"/>
    <w:rsid w:val="08F72FDD"/>
    <w:rsid w:val="0970B293"/>
    <w:rsid w:val="0A0D2DF3"/>
    <w:rsid w:val="0A338B51"/>
    <w:rsid w:val="0C33A6A8"/>
    <w:rsid w:val="0CB3E539"/>
    <w:rsid w:val="0D4CBC3B"/>
    <w:rsid w:val="0E3891A8"/>
    <w:rsid w:val="0EE09F16"/>
    <w:rsid w:val="100847C5"/>
    <w:rsid w:val="111B1091"/>
    <w:rsid w:val="11CDAB6C"/>
    <w:rsid w:val="12BFAEAD"/>
    <w:rsid w:val="12E9D56A"/>
    <w:rsid w:val="13E9A40F"/>
    <w:rsid w:val="1405E538"/>
    <w:rsid w:val="142DCC2B"/>
    <w:rsid w:val="14C6B26D"/>
    <w:rsid w:val="17B478AB"/>
    <w:rsid w:val="180E877C"/>
    <w:rsid w:val="196C25ED"/>
    <w:rsid w:val="1A2B3F43"/>
    <w:rsid w:val="1AF108EC"/>
    <w:rsid w:val="1D62E005"/>
    <w:rsid w:val="1DA5F64A"/>
    <w:rsid w:val="208ADCAA"/>
    <w:rsid w:val="209A80C7"/>
    <w:rsid w:val="20E226BE"/>
    <w:rsid w:val="22521029"/>
    <w:rsid w:val="23240531"/>
    <w:rsid w:val="23D22F05"/>
    <w:rsid w:val="24368CD0"/>
    <w:rsid w:val="244F68A6"/>
    <w:rsid w:val="248F52AE"/>
    <w:rsid w:val="26EB0899"/>
    <w:rsid w:val="28483CF7"/>
    <w:rsid w:val="28721D4C"/>
    <w:rsid w:val="28B3FCCC"/>
    <w:rsid w:val="28E95AAB"/>
    <w:rsid w:val="298E99A6"/>
    <w:rsid w:val="29A13E36"/>
    <w:rsid w:val="2B1BFDA3"/>
    <w:rsid w:val="2CBDE666"/>
    <w:rsid w:val="2CD8E024"/>
    <w:rsid w:val="2EABC930"/>
    <w:rsid w:val="2F0DA970"/>
    <w:rsid w:val="3136DE18"/>
    <w:rsid w:val="318B3F27"/>
    <w:rsid w:val="321E3A4D"/>
    <w:rsid w:val="330DE72B"/>
    <w:rsid w:val="33B07467"/>
    <w:rsid w:val="33CD9389"/>
    <w:rsid w:val="34C2DFE9"/>
    <w:rsid w:val="3718EA0D"/>
    <w:rsid w:val="376A3556"/>
    <w:rsid w:val="381F81B1"/>
    <w:rsid w:val="39E40646"/>
    <w:rsid w:val="3AA64138"/>
    <w:rsid w:val="43F50BEB"/>
    <w:rsid w:val="46AFF174"/>
    <w:rsid w:val="4BA1C5F2"/>
    <w:rsid w:val="4C59D0E9"/>
    <w:rsid w:val="4C5B8193"/>
    <w:rsid w:val="4CD0EB27"/>
    <w:rsid w:val="4DBF21F8"/>
    <w:rsid w:val="4DEA1361"/>
    <w:rsid w:val="4E6A21AB"/>
    <w:rsid w:val="4F8DE2AD"/>
    <w:rsid w:val="50E6BEB6"/>
    <w:rsid w:val="511693E5"/>
    <w:rsid w:val="5197EE95"/>
    <w:rsid w:val="545B6F7C"/>
    <w:rsid w:val="55C0B348"/>
    <w:rsid w:val="576C3BD5"/>
    <w:rsid w:val="580B098E"/>
    <w:rsid w:val="588B59B1"/>
    <w:rsid w:val="5AB31E67"/>
    <w:rsid w:val="5C13DEA3"/>
    <w:rsid w:val="5C88639F"/>
    <w:rsid w:val="5EA1F6B4"/>
    <w:rsid w:val="60009B8A"/>
    <w:rsid w:val="62165510"/>
    <w:rsid w:val="628F6C62"/>
    <w:rsid w:val="62970A44"/>
    <w:rsid w:val="63AFF782"/>
    <w:rsid w:val="68462367"/>
    <w:rsid w:val="6AFFAC32"/>
    <w:rsid w:val="6D759644"/>
    <w:rsid w:val="6E937BD0"/>
    <w:rsid w:val="72361B8F"/>
    <w:rsid w:val="73A0F101"/>
    <w:rsid w:val="78C20D5B"/>
    <w:rsid w:val="7D2985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435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110"/>
    <w:pPr>
      <w:spacing w:before="120" w:after="200" w:line="276" w:lineRule="auto"/>
    </w:pPr>
    <w:rPr>
      <w:rFonts w:ascii="Calibri" w:eastAsia="Calibri" w:hAnsi="Calibri" w:cs="Times New Roman"/>
    </w:rPr>
  </w:style>
  <w:style w:type="paragraph" w:styleId="Heading1">
    <w:name w:val="heading 1"/>
    <w:basedOn w:val="Heading10"/>
    <w:next w:val="Normal"/>
    <w:link w:val="Heading1Char"/>
    <w:uiPriority w:val="9"/>
    <w:qFormat/>
    <w:rsid w:val="008C4B3C"/>
    <w:pPr>
      <w:spacing w:before="1000"/>
      <w:jc w:val="center"/>
      <w:outlineLvl w:val="0"/>
    </w:pPr>
    <w:rPr>
      <w:sz w:val="72"/>
      <w:szCs w:val="72"/>
    </w:rPr>
  </w:style>
  <w:style w:type="paragraph" w:styleId="Heading2">
    <w:name w:val="heading 2"/>
    <w:basedOn w:val="Normal"/>
    <w:next w:val="Normal"/>
    <w:link w:val="Heading2Char"/>
    <w:uiPriority w:val="9"/>
    <w:unhideWhenUsed/>
    <w:qFormat/>
    <w:rsid w:val="004C7458"/>
    <w:pPr>
      <w:keepNext/>
      <w:keepLines/>
      <w:tabs>
        <w:tab w:val="left" w:pos="1701"/>
      </w:tabs>
      <w:spacing w:before="360" w:after="12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Heading2"/>
    <w:next w:val="Normal"/>
    <w:link w:val="Heading3Char"/>
    <w:uiPriority w:val="9"/>
    <w:unhideWhenUsed/>
    <w:qFormat/>
    <w:rsid w:val="00713728"/>
    <w:pPr>
      <w:tabs>
        <w:tab w:val="clear" w:pos="1701"/>
      </w:tabs>
      <w:spacing w:line="276" w:lineRule="auto"/>
      <w:outlineLvl w:val="2"/>
    </w:pPr>
    <w:rPr>
      <w:rFonts w:ascii="Calibri" w:eastAsia="MS Gothic" w:hAnsi="Calibri" w:cs="Times New Roman"/>
      <w:b/>
      <w:bCs/>
      <w:i/>
      <w:color w:val="auto"/>
      <w:sz w:val="24"/>
      <w:szCs w:val="24"/>
    </w:rPr>
  </w:style>
  <w:style w:type="paragraph" w:styleId="Heading4">
    <w:name w:val="heading 4"/>
    <w:basedOn w:val="Normal"/>
    <w:next w:val="Normal"/>
    <w:link w:val="Heading4Char"/>
    <w:uiPriority w:val="9"/>
    <w:unhideWhenUsed/>
    <w:qFormat/>
    <w:rsid w:val="00FE12A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E12A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8E7"/>
    <w:rPr>
      <w:rFonts w:ascii="Times New Roman" w:hAnsi="Times New Roman" w:cs="Times New Roman" w:hint="default"/>
      <w:color w:val="0000FF"/>
      <w:u w:val="single"/>
    </w:rPr>
  </w:style>
  <w:style w:type="paragraph" w:customStyle="1" w:styleId="Heading10">
    <w:name w:val="Heading1"/>
    <w:rsid w:val="006478E7"/>
    <w:pPr>
      <w:spacing w:after="200" w:line="240" w:lineRule="auto"/>
    </w:pPr>
    <w:rPr>
      <w:rFonts w:ascii="Calibri" w:eastAsia="Calibri" w:hAnsi="Calibri" w:cs="Calibri"/>
      <w:b/>
      <w:bCs/>
      <w:color w:val="000000"/>
      <w:sz w:val="36"/>
      <w:szCs w:val="36"/>
      <w:u w:color="000000"/>
      <w:lang w:val="en-US" w:eastAsia="en-AU"/>
    </w:rPr>
  </w:style>
  <w:style w:type="character" w:customStyle="1" w:styleId="Heading2Char">
    <w:name w:val="Heading 2 Char"/>
    <w:basedOn w:val="DefaultParagraphFont"/>
    <w:link w:val="Heading2"/>
    <w:uiPriority w:val="9"/>
    <w:rsid w:val="004C7458"/>
    <w:rPr>
      <w:rFonts w:ascii="Franklin Gothic Medium" w:eastAsiaTheme="majorEastAsia" w:hAnsi="Franklin Gothic Medium" w:cstheme="majorBidi"/>
      <w:color w:val="000000" w:themeColor="text1"/>
      <w:sz w:val="32"/>
      <w:szCs w:val="26"/>
    </w:rPr>
  </w:style>
  <w:style w:type="table" w:customStyle="1" w:styleId="TableGrid1">
    <w:name w:val="Table Grid1"/>
    <w:basedOn w:val="TableNormal"/>
    <w:uiPriority w:val="59"/>
    <w:rsid w:val="006478E7"/>
    <w:pPr>
      <w:spacing w:after="240" w:line="240" w:lineRule="auto"/>
      <w:ind w:left="72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478E7"/>
    <w:pPr>
      <w:ind w:left="720"/>
      <w:contextualSpacing/>
    </w:pPr>
  </w:style>
  <w:style w:type="table" w:styleId="TableGrid">
    <w:name w:val="Table Grid"/>
    <w:aliases w:val="Summary box,Table Gridbeth,RTI AMCP Table,new style,ASD Table,HealthConsult"/>
    <w:basedOn w:val="TableNormal"/>
    <w:uiPriority w:val="59"/>
    <w:rsid w:val="002F3E4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PRIMA,Caption SYNEVi,Bayer Caption,IB Caption,Medical Caption,Bayer,Bayer Caption1,IB Caption1,Medical Caption1,Bayer Caption2,IB Caption2,Medical Caption2,Bayer Caption3,IB Caption3,Medical Caption3,Bayer Caption4,IB Caption4,Bayer1,c"/>
    <w:basedOn w:val="Normal"/>
    <w:next w:val="Normal"/>
    <w:link w:val="CaptionChar"/>
    <w:uiPriority w:val="35"/>
    <w:qFormat/>
    <w:rsid w:val="00E01349"/>
    <w:pPr>
      <w:keepNext/>
      <w:spacing w:before="360" w:after="120" w:line="240" w:lineRule="auto"/>
      <w:ind w:left="709" w:hanging="709"/>
    </w:pPr>
    <w:rPr>
      <w:rFonts w:ascii="Arial Narrow" w:eastAsia="Times New Roman" w:hAnsi="Arial Narrow" w:cs="Tahoma"/>
      <w:b/>
      <w:sz w:val="20"/>
      <w:szCs w:val="20"/>
      <w:lang w:val="en-GB" w:eastAsia="ja-JP"/>
    </w:rPr>
  </w:style>
  <w:style w:type="paragraph" w:customStyle="1" w:styleId="TableHeading">
    <w:name w:val="TableHeading"/>
    <w:basedOn w:val="Normal"/>
    <w:link w:val="TableHeadingChar"/>
    <w:qFormat/>
    <w:rsid w:val="000939E0"/>
    <w:pPr>
      <w:keepNext/>
      <w:spacing w:before="40" w:after="40" w:line="240" w:lineRule="auto"/>
    </w:pPr>
    <w:rPr>
      <w:rFonts w:ascii="Arial Narrow" w:eastAsia="Times New Roman" w:hAnsi="Arial Narrow" w:cs="Tahoma"/>
      <w:b/>
      <w:sz w:val="20"/>
      <w:szCs w:val="20"/>
      <w:lang w:eastAsia="en-AU"/>
    </w:rPr>
  </w:style>
  <w:style w:type="character" w:customStyle="1" w:styleId="TableHeadingChar">
    <w:name w:val="TableHeading Char"/>
    <w:link w:val="TableHeading"/>
    <w:rsid w:val="000939E0"/>
    <w:rPr>
      <w:rFonts w:ascii="Arial Narrow" w:eastAsia="Times New Roman" w:hAnsi="Arial Narrow" w:cs="Tahoma"/>
      <w:b/>
      <w:sz w:val="20"/>
      <w:szCs w:val="20"/>
      <w:lang w:eastAsia="en-AU"/>
    </w:rPr>
  </w:style>
  <w:style w:type="paragraph" w:customStyle="1" w:styleId="Tabletext">
    <w:name w:val="Table text"/>
    <w:basedOn w:val="Normal"/>
    <w:link w:val="TabletextChar"/>
    <w:qFormat/>
    <w:rsid w:val="000939E0"/>
    <w:pPr>
      <w:spacing w:before="40" w:after="40" w:line="240" w:lineRule="auto"/>
    </w:pPr>
    <w:rPr>
      <w:rFonts w:ascii="Arial Narrow" w:eastAsia="Times New Roman" w:hAnsi="Arial Narrow" w:cs="Tahoma"/>
      <w:sz w:val="20"/>
      <w:szCs w:val="20"/>
      <w:lang w:eastAsia="en-AU"/>
    </w:rPr>
  </w:style>
  <w:style w:type="character" w:customStyle="1" w:styleId="TabletextChar">
    <w:name w:val="Table text Char"/>
    <w:link w:val="Tabletext"/>
    <w:rsid w:val="000939E0"/>
    <w:rPr>
      <w:rFonts w:ascii="Arial Narrow" w:eastAsia="Times New Roman" w:hAnsi="Arial Narrow" w:cs="Tahoma"/>
      <w:sz w:val="20"/>
      <w:szCs w:val="20"/>
      <w:lang w:eastAsia="en-AU"/>
    </w:rPr>
  </w:style>
  <w:style w:type="paragraph" w:customStyle="1" w:styleId="Tablenotes">
    <w:name w:val="Tablenotes"/>
    <w:basedOn w:val="Normal"/>
    <w:link w:val="TablenotesChar"/>
    <w:qFormat/>
    <w:rsid w:val="00E87618"/>
    <w:pPr>
      <w:widowControl w:val="0"/>
      <w:spacing w:before="0" w:after="0" w:line="240" w:lineRule="auto"/>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E87618"/>
    <w:rPr>
      <w:rFonts w:ascii="Arial Narrow" w:eastAsia="Times New Roman" w:hAnsi="Arial Narrow" w:cs="Arial"/>
      <w:snapToGrid w:val="0"/>
      <w:sz w:val="18"/>
      <w:szCs w:val="20"/>
    </w:rPr>
  </w:style>
  <w:style w:type="paragraph" w:customStyle="1" w:styleId="TableName">
    <w:name w:val="TableName"/>
    <w:basedOn w:val="Normal"/>
    <w:qFormat/>
    <w:rsid w:val="00891488"/>
    <w:pPr>
      <w:keepNext/>
      <w:spacing w:after="240" w:line="240" w:lineRule="auto"/>
      <w:ind w:left="1134" w:hanging="1134"/>
    </w:pPr>
    <w:rPr>
      <w:rFonts w:ascii="Franklin Gothic Medium" w:eastAsiaTheme="minorHAnsi" w:hAnsi="Franklin Gothic Medium" w:cstheme="minorBidi"/>
    </w:rPr>
  </w:style>
  <w:style w:type="character" w:customStyle="1" w:styleId="ListParagraphChar">
    <w:name w:val="List Paragraph Char"/>
    <w:basedOn w:val="DefaultParagraphFont"/>
    <w:link w:val="ListParagraph"/>
    <w:uiPriority w:val="34"/>
    <w:rsid w:val="00D867D5"/>
    <w:rPr>
      <w:rFonts w:ascii="Calibri" w:eastAsia="Calibri" w:hAnsi="Calibri" w:cs="Times New Roman"/>
    </w:rPr>
  </w:style>
  <w:style w:type="paragraph" w:styleId="Header">
    <w:name w:val="header"/>
    <w:basedOn w:val="Normal"/>
    <w:link w:val="HeaderChar"/>
    <w:uiPriority w:val="99"/>
    <w:unhideWhenUsed/>
    <w:rsid w:val="001631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5C"/>
    <w:rPr>
      <w:rFonts w:ascii="Calibri" w:eastAsia="Calibri" w:hAnsi="Calibri" w:cs="Times New Roman"/>
    </w:rPr>
  </w:style>
  <w:style w:type="paragraph" w:styleId="Footer">
    <w:name w:val="footer"/>
    <w:basedOn w:val="Normal"/>
    <w:link w:val="FooterChar"/>
    <w:uiPriority w:val="99"/>
    <w:unhideWhenUsed/>
    <w:rsid w:val="001631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5C"/>
    <w:rPr>
      <w:rFonts w:ascii="Calibri" w:eastAsia="Calibri" w:hAnsi="Calibri" w:cs="Times New Roman"/>
    </w:rPr>
  </w:style>
  <w:style w:type="paragraph" w:styleId="Subtitle">
    <w:name w:val="Subtitle"/>
    <w:basedOn w:val="Normal"/>
    <w:next w:val="Normal"/>
    <w:link w:val="SubtitleChar"/>
    <w:uiPriority w:val="11"/>
    <w:qFormat/>
    <w:rsid w:val="006F01C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F01C4"/>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A33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126"/>
    <w:rPr>
      <w:rFonts w:ascii="Segoe UI" w:eastAsia="Calibri" w:hAnsi="Segoe UI" w:cs="Segoe UI"/>
      <w:sz w:val="18"/>
      <w:szCs w:val="18"/>
    </w:rPr>
  </w:style>
  <w:style w:type="character" w:styleId="CommentReference">
    <w:name w:val="annotation reference"/>
    <w:aliases w:val="Table Title"/>
    <w:basedOn w:val="DefaultParagraphFont"/>
    <w:uiPriority w:val="99"/>
    <w:unhideWhenUsed/>
    <w:qFormat/>
    <w:rsid w:val="00D84E12"/>
    <w:rPr>
      <w:sz w:val="16"/>
      <w:szCs w:val="16"/>
    </w:rPr>
  </w:style>
  <w:style w:type="paragraph" w:styleId="CommentText">
    <w:name w:val="annotation text"/>
    <w:basedOn w:val="Normal"/>
    <w:link w:val="CommentTextChar"/>
    <w:uiPriority w:val="99"/>
    <w:unhideWhenUsed/>
    <w:rsid w:val="00D84E12"/>
    <w:pPr>
      <w:spacing w:line="240" w:lineRule="auto"/>
    </w:pPr>
    <w:rPr>
      <w:sz w:val="20"/>
      <w:szCs w:val="20"/>
    </w:rPr>
  </w:style>
  <w:style w:type="character" w:customStyle="1" w:styleId="CommentTextChar">
    <w:name w:val="Comment Text Char"/>
    <w:basedOn w:val="DefaultParagraphFont"/>
    <w:link w:val="CommentText"/>
    <w:uiPriority w:val="99"/>
    <w:rsid w:val="00D84E1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4E12"/>
    <w:rPr>
      <w:b/>
      <w:bCs/>
    </w:rPr>
  </w:style>
  <w:style w:type="character" w:customStyle="1" w:styleId="CommentSubjectChar">
    <w:name w:val="Comment Subject Char"/>
    <w:basedOn w:val="CommentTextChar"/>
    <w:link w:val="CommentSubject"/>
    <w:uiPriority w:val="99"/>
    <w:semiHidden/>
    <w:rsid w:val="00D84E12"/>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8C4B3C"/>
    <w:rPr>
      <w:color w:val="954F72" w:themeColor="followedHyperlink"/>
      <w:u w:val="single"/>
    </w:rPr>
  </w:style>
  <w:style w:type="character" w:customStyle="1" w:styleId="Heading1Char">
    <w:name w:val="Heading 1 Char"/>
    <w:basedOn w:val="DefaultParagraphFont"/>
    <w:link w:val="Heading1"/>
    <w:uiPriority w:val="9"/>
    <w:rsid w:val="008C4B3C"/>
    <w:rPr>
      <w:rFonts w:ascii="Calibri" w:eastAsia="Calibri" w:hAnsi="Calibri" w:cs="Calibri"/>
      <w:b/>
      <w:bCs/>
      <w:color w:val="000000"/>
      <w:sz w:val="72"/>
      <w:szCs w:val="72"/>
      <w:u w:color="000000"/>
      <w:lang w:val="en-US" w:eastAsia="en-AU"/>
    </w:rPr>
  </w:style>
  <w:style w:type="paragraph" w:customStyle="1" w:styleId="Instructionaltext">
    <w:name w:val="Instructional text"/>
    <w:basedOn w:val="Normal"/>
    <w:link w:val="InstructionaltextChar"/>
    <w:qFormat/>
    <w:rsid w:val="006A467F"/>
    <w:pPr>
      <w:spacing w:after="160" w:line="259" w:lineRule="auto"/>
    </w:pPr>
    <w:rPr>
      <w:rFonts w:eastAsiaTheme="minorHAnsi" w:cstheme="minorBidi"/>
      <w:color w:val="258221"/>
    </w:rPr>
  </w:style>
  <w:style w:type="character" w:customStyle="1" w:styleId="InstructionaltextChar">
    <w:name w:val="Instructional text Char"/>
    <w:basedOn w:val="DefaultParagraphFont"/>
    <w:link w:val="Instructionaltext"/>
    <w:rsid w:val="006A467F"/>
    <w:rPr>
      <w:rFonts w:ascii="Calibri" w:hAnsi="Calibri"/>
      <w:color w:val="258221"/>
    </w:rPr>
  </w:style>
  <w:style w:type="character" w:customStyle="1" w:styleId="Heading3Char">
    <w:name w:val="Heading 3 Char"/>
    <w:basedOn w:val="DefaultParagraphFont"/>
    <w:link w:val="Heading3"/>
    <w:uiPriority w:val="9"/>
    <w:rsid w:val="00713728"/>
    <w:rPr>
      <w:rFonts w:ascii="Calibri" w:eastAsia="MS Gothic" w:hAnsi="Calibri" w:cs="Times New Roman"/>
      <w:b/>
      <w:bCs/>
      <w:i/>
      <w:sz w:val="24"/>
      <w:szCs w:val="24"/>
    </w:rPr>
  </w:style>
  <w:style w:type="paragraph" w:customStyle="1" w:styleId="Instructionaltext-bullet">
    <w:name w:val="Instructional text - bullet"/>
    <w:basedOn w:val="Instructionaltext"/>
    <w:qFormat/>
    <w:rsid w:val="006A467F"/>
    <w:pPr>
      <w:numPr>
        <w:numId w:val="3"/>
      </w:numPr>
      <w:spacing w:before="0" w:after="0"/>
    </w:pPr>
  </w:style>
  <w:style w:type="paragraph" w:customStyle="1" w:styleId="Guidelinescross-ref">
    <w:name w:val="Guidelines cross-ref"/>
    <w:basedOn w:val="Normal"/>
    <w:qFormat/>
    <w:rsid w:val="00E01349"/>
    <w:pPr>
      <w:keepNext/>
      <w:spacing w:before="240" w:after="240" w:line="259" w:lineRule="auto"/>
    </w:pPr>
    <w:rPr>
      <w:rFonts w:eastAsiaTheme="minorHAnsi" w:cstheme="minorBidi"/>
      <w:b/>
      <w:color w:val="0070C0"/>
      <w:sz w:val="24"/>
    </w:rPr>
  </w:style>
  <w:style w:type="paragraph" w:customStyle="1" w:styleId="Instructionaltext-afterfiguretable">
    <w:name w:val="Instructional text - after figure/table"/>
    <w:basedOn w:val="Instructionaltext"/>
    <w:qFormat/>
    <w:rsid w:val="00E01349"/>
    <w:pPr>
      <w:spacing w:before="360"/>
    </w:pPr>
  </w:style>
  <w:style w:type="paragraph" w:styleId="Revision">
    <w:name w:val="Revision"/>
    <w:hidden/>
    <w:uiPriority w:val="99"/>
    <w:semiHidden/>
    <w:rsid w:val="004E3ABF"/>
    <w:pPr>
      <w:spacing w:after="0" w:line="240" w:lineRule="auto"/>
    </w:pPr>
    <w:rPr>
      <w:rFonts w:ascii="Calibri" w:eastAsia="Calibri" w:hAnsi="Calibri" w:cs="Times New Roman"/>
    </w:rPr>
  </w:style>
  <w:style w:type="paragraph" w:customStyle="1" w:styleId="TableText0">
    <w:name w:val="Table Text"/>
    <w:basedOn w:val="Normal"/>
    <w:link w:val="TableTextChar0"/>
    <w:qFormat/>
    <w:rsid w:val="000D1FCF"/>
    <w:pPr>
      <w:spacing w:before="40" w:after="40" w:line="240" w:lineRule="auto"/>
    </w:pPr>
    <w:rPr>
      <w:rFonts w:ascii="Arial Narrow" w:eastAsiaTheme="minorHAnsi" w:hAnsi="Arial Narrow" w:cstheme="minorBidi"/>
      <w:sz w:val="20"/>
    </w:rPr>
  </w:style>
  <w:style w:type="character" w:customStyle="1" w:styleId="TableTextChar0">
    <w:name w:val="Table Text Char"/>
    <w:basedOn w:val="DefaultParagraphFont"/>
    <w:link w:val="TableText0"/>
    <w:rsid w:val="000D1FCF"/>
    <w:rPr>
      <w:rFonts w:ascii="Arial Narrow" w:hAnsi="Arial Narrow"/>
      <w:sz w:val="20"/>
    </w:rPr>
  </w:style>
  <w:style w:type="character" w:styleId="PageNumber">
    <w:name w:val="page number"/>
    <w:basedOn w:val="DefaultParagraphFont"/>
    <w:uiPriority w:val="99"/>
    <w:semiHidden/>
    <w:unhideWhenUsed/>
    <w:rsid w:val="00685355"/>
  </w:style>
  <w:style w:type="character" w:styleId="UnresolvedMention">
    <w:name w:val="Unresolved Mention"/>
    <w:basedOn w:val="DefaultParagraphFont"/>
    <w:uiPriority w:val="99"/>
    <w:unhideWhenUsed/>
    <w:rsid w:val="00BB0FFB"/>
    <w:rPr>
      <w:color w:val="605E5C"/>
      <w:shd w:val="clear" w:color="auto" w:fill="E1DFDD"/>
    </w:rPr>
  </w:style>
  <w:style w:type="table" w:customStyle="1" w:styleId="TableGrid11">
    <w:name w:val="Table Grid11"/>
    <w:basedOn w:val="TableNormal"/>
    <w:uiPriority w:val="59"/>
    <w:rsid w:val="00E03083"/>
    <w:pPr>
      <w:spacing w:after="240" w:line="240" w:lineRule="auto"/>
      <w:ind w:left="720" w:hanging="36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807730"/>
    <w:rPr>
      <w:color w:val="2B579A"/>
      <w:shd w:val="clear" w:color="auto" w:fill="E1DFDD"/>
    </w:rPr>
  </w:style>
  <w:style w:type="paragraph" w:customStyle="1" w:styleId="Default">
    <w:name w:val="Default"/>
    <w:rsid w:val="00EF5819"/>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uiPriority w:val="9"/>
    <w:rsid w:val="00FE12A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E12AA"/>
    <w:rPr>
      <w:rFonts w:asciiTheme="majorHAnsi" w:eastAsiaTheme="majorEastAsia" w:hAnsiTheme="majorHAnsi" w:cstheme="majorBidi"/>
      <w:color w:val="2E74B5" w:themeColor="accent1" w:themeShade="BF"/>
    </w:rPr>
  </w:style>
  <w:style w:type="paragraph" w:customStyle="1" w:styleId="EndNoteBibliographyTitle">
    <w:name w:val="EndNote Bibliography Title"/>
    <w:basedOn w:val="Normal"/>
    <w:link w:val="EndNoteBibliographyTitleChar"/>
    <w:rsid w:val="0091040E"/>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91040E"/>
    <w:rPr>
      <w:rFonts w:ascii="Calibri" w:eastAsia="Calibri" w:hAnsi="Calibri" w:cs="Calibri"/>
      <w:noProof/>
      <w:lang w:val="en-US"/>
    </w:rPr>
  </w:style>
  <w:style w:type="paragraph" w:customStyle="1" w:styleId="EndNoteBibliography">
    <w:name w:val="EndNote Bibliography"/>
    <w:basedOn w:val="Normal"/>
    <w:link w:val="EndNoteBibliographyChar"/>
    <w:rsid w:val="0091040E"/>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91040E"/>
    <w:rPr>
      <w:rFonts w:ascii="Calibri" w:eastAsia="Calibri" w:hAnsi="Calibri" w:cs="Calibri"/>
      <w:noProof/>
      <w:lang w:val="en-US"/>
    </w:rPr>
  </w:style>
  <w:style w:type="paragraph" w:styleId="FootnoteText">
    <w:name w:val="footnote text"/>
    <w:basedOn w:val="Normal"/>
    <w:link w:val="FootnoteTextChar"/>
    <w:uiPriority w:val="99"/>
    <w:semiHidden/>
    <w:unhideWhenUsed/>
    <w:rsid w:val="004F40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402E"/>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4F402E"/>
    <w:rPr>
      <w:vertAlign w:val="superscript"/>
    </w:rPr>
  </w:style>
  <w:style w:type="paragraph" w:customStyle="1" w:styleId="MainBodyText">
    <w:name w:val="Main Body Text"/>
    <w:basedOn w:val="Normal"/>
    <w:link w:val="MainBodyTextChar"/>
    <w:rsid w:val="009B21B9"/>
    <w:pPr>
      <w:spacing w:after="240"/>
      <w:jc w:val="both"/>
    </w:pPr>
    <w:rPr>
      <w:rFonts w:ascii="Arial" w:eastAsia="Times New Roman" w:hAnsi="Arial"/>
      <w:lang w:eastAsia="en-AU"/>
    </w:rPr>
  </w:style>
  <w:style w:type="character" w:customStyle="1" w:styleId="MainBodyTextChar">
    <w:name w:val="Main Body Text Char"/>
    <w:link w:val="MainBodyText"/>
    <w:rsid w:val="009B21B9"/>
    <w:rPr>
      <w:rFonts w:ascii="Arial" w:eastAsia="Times New Roman" w:hAnsi="Arial" w:cs="Times New Roman"/>
      <w:lang w:eastAsia="en-AU"/>
    </w:rPr>
  </w:style>
  <w:style w:type="character" w:customStyle="1" w:styleId="CaptionChar">
    <w:name w:val="Caption Char"/>
    <w:aliases w:val="Caption PRIMA Char,Caption SYNEVi Char,Bayer Caption Char,IB Caption Char,Medical Caption Char,Bayer Char,Bayer Caption1 Char,IB Caption1 Char,Medical Caption1 Char,Bayer Caption2 Char,IB Caption2 Char,Medical Caption2 Char,IB Caption3 Char"/>
    <w:basedOn w:val="DefaultParagraphFont"/>
    <w:link w:val="Caption"/>
    <w:uiPriority w:val="35"/>
    <w:locked/>
    <w:rsid w:val="009B21B9"/>
    <w:rPr>
      <w:rFonts w:ascii="Arial Narrow" w:eastAsia="Times New Roman" w:hAnsi="Arial Narrow" w:cs="Tahoma"/>
      <w:b/>
      <w:sz w:val="20"/>
      <w:szCs w:val="20"/>
      <w:lang w:val="en-GB" w:eastAsia="ja-JP"/>
    </w:rPr>
  </w:style>
  <w:style w:type="character" w:customStyle="1" w:styleId="apple-converted-space">
    <w:name w:val="apple-converted-space"/>
    <w:basedOn w:val="DefaultParagraphFont"/>
    <w:rsid w:val="007F4801"/>
  </w:style>
  <w:style w:type="table" w:customStyle="1" w:styleId="TableGrid2">
    <w:name w:val="Table Grid2"/>
    <w:basedOn w:val="TableNormal"/>
    <w:next w:val="TableGrid"/>
    <w:uiPriority w:val="39"/>
    <w:rsid w:val="005E09A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ary">
    <w:name w:val="Commentary"/>
    <w:basedOn w:val="Normal"/>
    <w:qFormat/>
    <w:rsid w:val="004E5EEF"/>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400520">
      <w:bodyDiv w:val="1"/>
      <w:marLeft w:val="0"/>
      <w:marRight w:val="0"/>
      <w:marTop w:val="0"/>
      <w:marBottom w:val="0"/>
      <w:divBdr>
        <w:top w:val="none" w:sz="0" w:space="0" w:color="auto"/>
        <w:left w:val="none" w:sz="0" w:space="0" w:color="auto"/>
        <w:bottom w:val="none" w:sz="0" w:space="0" w:color="auto"/>
        <w:right w:val="none" w:sz="0" w:space="0" w:color="auto"/>
      </w:divBdr>
    </w:div>
    <w:div w:id="58208485">
      <w:bodyDiv w:val="1"/>
      <w:marLeft w:val="0"/>
      <w:marRight w:val="0"/>
      <w:marTop w:val="0"/>
      <w:marBottom w:val="0"/>
      <w:divBdr>
        <w:top w:val="none" w:sz="0" w:space="0" w:color="auto"/>
        <w:left w:val="none" w:sz="0" w:space="0" w:color="auto"/>
        <w:bottom w:val="none" w:sz="0" w:space="0" w:color="auto"/>
        <w:right w:val="none" w:sz="0" w:space="0" w:color="auto"/>
      </w:divBdr>
    </w:div>
    <w:div w:id="60645241">
      <w:bodyDiv w:val="1"/>
      <w:marLeft w:val="0"/>
      <w:marRight w:val="0"/>
      <w:marTop w:val="0"/>
      <w:marBottom w:val="0"/>
      <w:divBdr>
        <w:top w:val="none" w:sz="0" w:space="0" w:color="auto"/>
        <w:left w:val="none" w:sz="0" w:space="0" w:color="auto"/>
        <w:bottom w:val="none" w:sz="0" w:space="0" w:color="auto"/>
        <w:right w:val="none" w:sz="0" w:space="0" w:color="auto"/>
      </w:divBdr>
    </w:div>
    <w:div w:id="116920213">
      <w:bodyDiv w:val="1"/>
      <w:marLeft w:val="0"/>
      <w:marRight w:val="0"/>
      <w:marTop w:val="0"/>
      <w:marBottom w:val="0"/>
      <w:divBdr>
        <w:top w:val="none" w:sz="0" w:space="0" w:color="auto"/>
        <w:left w:val="none" w:sz="0" w:space="0" w:color="auto"/>
        <w:bottom w:val="none" w:sz="0" w:space="0" w:color="auto"/>
        <w:right w:val="none" w:sz="0" w:space="0" w:color="auto"/>
      </w:divBdr>
    </w:div>
    <w:div w:id="143475276">
      <w:bodyDiv w:val="1"/>
      <w:marLeft w:val="0"/>
      <w:marRight w:val="0"/>
      <w:marTop w:val="0"/>
      <w:marBottom w:val="0"/>
      <w:divBdr>
        <w:top w:val="none" w:sz="0" w:space="0" w:color="auto"/>
        <w:left w:val="none" w:sz="0" w:space="0" w:color="auto"/>
        <w:bottom w:val="none" w:sz="0" w:space="0" w:color="auto"/>
        <w:right w:val="none" w:sz="0" w:space="0" w:color="auto"/>
      </w:divBdr>
    </w:div>
    <w:div w:id="153229237">
      <w:bodyDiv w:val="1"/>
      <w:marLeft w:val="0"/>
      <w:marRight w:val="0"/>
      <w:marTop w:val="0"/>
      <w:marBottom w:val="0"/>
      <w:divBdr>
        <w:top w:val="none" w:sz="0" w:space="0" w:color="auto"/>
        <w:left w:val="none" w:sz="0" w:space="0" w:color="auto"/>
        <w:bottom w:val="none" w:sz="0" w:space="0" w:color="auto"/>
        <w:right w:val="none" w:sz="0" w:space="0" w:color="auto"/>
      </w:divBdr>
    </w:div>
    <w:div w:id="244874552">
      <w:bodyDiv w:val="1"/>
      <w:marLeft w:val="0"/>
      <w:marRight w:val="0"/>
      <w:marTop w:val="0"/>
      <w:marBottom w:val="0"/>
      <w:divBdr>
        <w:top w:val="none" w:sz="0" w:space="0" w:color="auto"/>
        <w:left w:val="none" w:sz="0" w:space="0" w:color="auto"/>
        <w:bottom w:val="none" w:sz="0" w:space="0" w:color="auto"/>
        <w:right w:val="none" w:sz="0" w:space="0" w:color="auto"/>
      </w:divBdr>
    </w:div>
    <w:div w:id="275215574">
      <w:bodyDiv w:val="1"/>
      <w:marLeft w:val="0"/>
      <w:marRight w:val="0"/>
      <w:marTop w:val="0"/>
      <w:marBottom w:val="0"/>
      <w:divBdr>
        <w:top w:val="none" w:sz="0" w:space="0" w:color="auto"/>
        <w:left w:val="none" w:sz="0" w:space="0" w:color="auto"/>
        <w:bottom w:val="none" w:sz="0" w:space="0" w:color="auto"/>
        <w:right w:val="none" w:sz="0" w:space="0" w:color="auto"/>
      </w:divBdr>
    </w:div>
    <w:div w:id="313415367">
      <w:bodyDiv w:val="1"/>
      <w:marLeft w:val="0"/>
      <w:marRight w:val="0"/>
      <w:marTop w:val="0"/>
      <w:marBottom w:val="0"/>
      <w:divBdr>
        <w:top w:val="none" w:sz="0" w:space="0" w:color="auto"/>
        <w:left w:val="none" w:sz="0" w:space="0" w:color="auto"/>
        <w:bottom w:val="none" w:sz="0" w:space="0" w:color="auto"/>
        <w:right w:val="none" w:sz="0" w:space="0" w:color="auto"/>
      </w:divBdr>
    </w:div>
    <w:div w:id="378169523">
      <w:bodyDiv w:val="1"/>
      <w:marLeft w:val="0"/>
      <w:marRight w:val="0"/>
      <w:marTop w:val="0"/>
      <w:marBottom w:val="0"/>
      <w:divBdr>
        <w:top w:val="none" w:sz="0" w:space="0" w:color="auto"/>
        <w:left w:val="none" w:sz="0" w:space="0" w:color="auto"/>
        <w:bottom w:val="none" w:sz="0" w:space="0" w:color="auto"/>
        <w:right w:val="none" w:sz="0" w:space="0" w:color="auto"/>
      </w:divBdr>
    </w:div>
    <w:div w:id="402030214">
      <w:bodyDiv w:val="1"/>
      <w:marLeft w:val="0"/>
      <w:marRight w:val="0"/>
      <w:marTop w:val="0"/>
      <w:marBottom w:val="0"/>
      <w:divBdr>
        <w:top w:val="none" w:sz="0" w:space="0" w:color="auto"/>
        <w:left w:val="none" w:sz="0" w:space="0" w:color="auto"/>
        <w:bottom w:val="none" w:sz="0" w:space="0" w:color="auto"/>
        <w:right w:val="none" w:sz="0" w:space="0" w:color="auto"/>
      </w:divBdr>
    </w:div>
    <w:div w:id="414909182">
      <w:bodyDiv w:val="1"/>
      <w:marLeft w:val="0"/>
      <w:marRight w:val="0"/>
      <w:marTop w:val="0"/>
      <w:marBottom w:val="0"/>
      <w:divBdr>
        <w:top w:val="none" w:sz="0" w:space="0" w:color="auto"/>
        <w:left w:val="none" w:sz="0" w:space="0" w:color="auto"/>
        <w:bottom w:val="none" w:sz="0" w:space="0" w:color="auto"/>
        <w:right w:val="none" w:sz="0" w:space="0" w:color="auto"/>
      </w:divBdr>
    </w:div>
    <w:div w:id="428740946">
      <w:bodyDiv w:val="1"/>
      <w:marLeft w:val="0"/>
      <w:marRight w:val="0"/>
      <w:marTop w:val="0"/>
      <w:marBottom w:val="0"/>
      <w:divBdr>
        <w:top w:val="none" w:sz="0" w:space="0" w:color="auto"/>
        <w:left w:val="none" w:sz="0" w:space="0" w:color="auto"/>
        <w:bottom w:val="none" w:sz="0" w:space="0" w:color="auto"/>
        <w:right w:val="none" w:sz="0" w:space="0" w:color="auto"/>
      </w:divBdr>
    </w:div>
    <w:div w:id="438717354">
      <w:bodyDiv w:val="1"/>
      <w:marLeft w:val="0"/>
      <w:marRight w:val="0"/>
      <w:marTop w:val="0"/>
      <w:marBottom w:val="0"/>
      <w:divBdr>
        <w:top w:val="none" w:sz="0" w:space="0" w:color="auto"/>
        <w:left w:val="none" w:sz="0" w:space="0" w:color="auto"/>
        <w:bottom w:val="none" w:sz="0" w:space="0" w:color="auto"/>
        <w:right w:val="none" w:sz="0" w:space="0" w:color="auto"/>
      </w:divBdr>
    </w:div>
    <w:div w:id="496959929">
      <w:bodyDiv w:val="1"/>
      <w:marLeft w:val="0"/>
      <w:marRight w:val="0"/>
      <w:marTop w:val="0"/>
      <w:marBottom w:val="0"/>
      <w:divBdr>
        <w:top w:val="none" w:sz="0" w:space="0" w:color="auto"/>
        <w:left w:val="none" w:sz="0" w:space="0" w:color="auto"/>
        <w:bottom w:val="none" w:sz="0" w:space="0" w:color="auto"/>
        <w:right w:val="none" w:sz="0" w:space="0" w:color="auto"/>
      </w:divBdr>
    </w:div>
    <w:div w:id="508905564">
      <w:bodyDiv w:val="1"/>
      <w:marLeft w:val="0"/>
      <w:marRight w:val="0"/>
      <w:marTop w:val="0"/>
      <w:marBottom w:val="0"/>
      <w:divBdr>
        <w:top w:val="none" w:sz="0" w:space="0" w:color="auto"/>
        <w:left w:val="none" w:sz="0" w:space="0" w:color="auto"/>
        <w:bottom w:val="none" w:sz="0" w:space="0" w:color="auto"/>
        <w:right w:val="none" w:sz="0" w:space="0" w:color="auto"/>
      </w:divBdr>
    </w:div>
    <w:div w:id="509837186">
      <w:bodyDiv w:val="1"/>
      <w:marLeft w:val="0"/>
      <w:marRight w:val="0"/>
      <w:marTop w:val="0"/>
      <w:marBottom w:val="0"/>
      <w:divBdr>
        <w:top w:val="none" w:sz="0" w:space="0" w:color="auto"/>
        <w:left w:val="none" w:sz="0" w:space="0" w:color="auto"/>
        <w:bottom w:val="none" w:sz="0" w:space="0" w:color="auto"/>
        <w:right w:val="none" w:sz="0" w:space="0" w:color="auto"/>
      </w:divBdr>
    </w:div>
    <w:div w:id="510267069">
      <w:bodyDiv w:val="1"/>
      <w:marLeft w:val="0"/>
      <w:marRight w:val="0"/>
      <w:marTop w:val="0"/>
      <w:marBottom w:val="0"/>
      <w:divBdr>
        <w:top w:val="none" w:sz="0" w:space="0" w:color="auto"/>
        <w:left w:val="none" w:sz="0" w:space="0" w:color="auto"/>
        <w:bottom w:val="none" w:sz="0" w:space="0" w:color="auto"/>
        <w:right w:val="none" w:sz="0" w:space="0" w:color="auto"/>
      </w:divBdr>
    </w:div>
    <w:div w:id="555049954">
      <w:bodyDiv w:val="1"/>
      <w:marLeft w:val="0"/>
      <w:marRight w:val="0"/>
      <w:marTop w:val="0"/>
      <w:marBottom w:val="0"/>
      <w:divBdr>
        <w:top w:val="none" w:sz="0" w:space="0" w:color="auto"/>
        <w:left w:val="none" w:sz="0" w:space="0" w:color="auto"/>
        <w:bottom w:val="none" w:sz="0" w:space="0" w:color="auto"/>
        <w:right w:val="none" w:sz="0" w:space="0" w:color="auto"/>
      </w:divBdr>
    </w:div>
    <w:div w:id="557087695">
      <w:bodyDiv w:val="1"/>
      <w:marLeft w:val="0"/>
      <w:marRight w:val="0"/>
      <w:marTop w:val="0"/>
      <w:marBottom w:val="0"/>
      <w:divBdr>
        <w:top w:val="none" w:sz="0" w:space="0" w:color="auto"/>
        <w:left w:val="none" w:sz="0" w:space="0" w:color="auto"/>
        <w:bottom w:val="none" w:sz="0" w:space="0" w:color="auto"/>
        <w:right w:val="none" w:sz="0" w:space="0" w:color="auto"/>
      </w:divBdr>
    </w:div>
    <w:div w:id="664288602">
      <w:bodyDiv w:val="1"/>
      <w:marLeft w:val="0"/>
      <w:marRight w:val="0"/>
      <w:marTop w:val="0"/>
      <w:marBottom w:val="0"/>
      <w:divBdr>
        <w:top w:val="none" w:sz="0" w:space="0" w:color="auto"/>
        <w:left w:val="none" w:sz="0" w:space="0" w:color="auto"/>
        <w:bottom w:val="none" w:sz="0" w:space="0" w:color="auto"/>
        <w:right w:val="none" w:sz="0" w:space="0" w:color="auto"/>
      </w:divBdr>
    </w:div>
    <w:div w:id="688532201">
      <w:bodyDiv w:val="1"/>
      <w:marLeft w:val="0"/>
      <w:marRight w:val="0"/>
      <w:marTop w:val="0"/>
      <w:marBottom w:val="0"/>
      <w:divBdr>
        <w:top w:val="none" w:sz="0" w:space="0" w:color="auto"/>
        <w:left w:val="none" w:sz="0" w:space="0" w:color="auto"/>
        <w:bottom w:val="none" w:sz="0" w:space="0" w:color="auto"/>
        <w:right w:val="none" w:sz="0" w:space="0" w:color="auto"/>
      </w:divBdr>
    </w:div>
    <w:div w:id="695037421">
      <w:bodyDiv w:val="1"/>
      <w:marLeft w:val="0"/>
      <w:marRight w:val="0"/>
      <w:marTop w:val="0"/>
      <w:marBottom w:val="0"/>
      <w:divBdr>
        <w:top w:val="none" w:sz="0" w:space="0" w:color="auto"/>
        <w:left w:val="none" w:sz="0" w:space="0" w:color="auto"/>
        <w:bottom w:val="none" w:sz="0" w:space="0" w:color="auto"/>
        <w:right w:val="none" w:sz="0" w:space="0" w:color="auto"/>
      </w:divBdr>
    </w:div>
    <w:div w:id="735012261">
      <w:bodyDiv w:val="1"/>
      <w:marLeft w:val="0"/>
      <w:marRight w:val="0"/>
      <w:marTop w:val="0"/>
      <w:marBottom w:val="0"/>
      <w:divBdr>
        <w:top w:val="none" w:sz="0" w:space="0" w:color="auto"/>
        <w:left w:val="none" w:sz="0" w:space="0" w:color="auto"/>
        <w:bottom w:val="none" w:sz="0" w:space="0" w:color="auto"/>
        <w:right w:val="none" w:sz="0" w:space="0" w:color="auto"/>
      </w:divBdr>
    </w:div>
    <w:div w:id="760414827">
      <w:bodyDiv w:val="1"/>
      <w:marLeft w:val="0"/>
      <w:marRight w:val="0"/>
      <w:marTop w:val="0"/>
      <w:marBottom w:val="0"/>
      <w:divBdr>
        <w:top w:val="none" w:sz="0" w:space="0" w:color="auto"/>
        <w:left w:val="none" w:sz="0" w:space="0" w:color="auto"/>
        <w:bottom w:val="none" w:sz="0" w:space="0" w:color="auto"/>
        <w:right w:val="none" w:sz="0" w:space="0" w:color="auto"/>
      </w:divBdr>
    </w:div>
    <w:div w:id="803162121">
      <w:bodyDiv w:val="1"/>
      <w:marLeft w:val="0"/>
      <w:marRight w:val="0"/>
      <w:marTop w:val="0"/>
      <w:marBottom w:val="0"/>
      <w:divBdr>
        <w:top w:val="none" w:sz="0" w:space="0" w:color="auto"/>
        <w:left w:val="none" w:sz="0" w:space="0" w:color="auto"/>
        <w:bottom w:val="none" w:sz="0" w:space="0" w:color="auto"/>
        <w:right w:val="none" w:sz="0" w:space="0" w:color="auto"/>
      </w:divBdr>
    </w:div>
    <w:div w:id="949240044">
      <w:bodyDiv w:val="1"/>
      <w:marLeft w:val="0"/>
      <w:marRight w:val="0"/>
      <w:marTop w:val="0"/>
      <w:marBottom w:val="0"/>
      <w:divBdr>
        <w:top w:val="none" w:sz="0" w:space="0" w:color="auto"/>
        <w:left w:val="none" w:sz="0" w:space="0" w:color="auto"/>
        <w:bottom w:val="none" w:sz="0" w:space="0" w:color="auto"/>
        <w:right w:val="none" w:sz="0" w:space="0" w:color="auto"/>
      </w:divBdr>
    </w:div>
    <w:div w:id="1021973875">
      <w:bodyDiv w:val="1"/>
      <w:marLeft w:val="0"/>
      <w:marRight w:val="0"/>
      <w:marTop w:val="0"/>
      <w:marBottom w:val="0"/>
      <w:divBdr>
        <w:top w:val="none" w:sz="0" w:space="0" w:color="auto"/>
        <w:left w:val="none" w:sz="0" w:space="0" w:color="auto"/>
        <w:bottom w:val="none" w:sz="0" w:space="0" w:color="auto"/>
        <w:right w:val="none" w:sz="0" w:space="0" w:color="auto"/>
      </w:divBdr>
    </w:div>
    <w:div w:id="1023242140">
      <w:bodyDiv w:val="1"/>
      <w:marLeft w:val="0"/>
      <w:marRight w:val="0"/>
      <w:marTop w:val="0"/>
      <w:marBottom w:val="0"/>
      <w:divBdr>
        <w:top w:val="none" w:sz="0" w:space="0" w:color="auto"/>
        <w:left w:val="none" w:sz="0" w:space="0" w:color="auto"/>
        <w:bottom w:val="none" w:sz="0" w:space="0" w:color="auto"/>
        <w:right w:val="none" w:sz="0" w:space="0" w:color="auto"/>
      </w:divBdr>
    </w:div>
    <w:div w:id="1030567308">
      <w:bodyDiv w:val="1"/>
      <w:marLeft w:val="0"/>
      <w:marRight w:val="0"/>
      <w:marTop w:val="0"/>
      <w:marBottom w:val="0"/>
      <w:divBdr>
        <w:top w:val="none" w:sz="0" w:space="0" w:color="auto"/>
        <w:left w:val="none" w:sz="0" w:space="0" w:color="auto"/>
        <w:bottom w:val="none" w:sz="0" w:space="0" w:color="auto"/>
        <w:right w:val="none" w:sz="0" w:space="0" w:color="auto"/>
      </w:divBdr>
    </w:div>
    <w:div w:id="1107122393">
      <w:bodyDiv w:val="1"/>
      <w:marLeft w:val="0"/>
      <w:marRight w:val="0"/>
      <w:marTop w:val="0"/>
      <w:marBottom w:val="0"/>
      <w:divBdr>
        <w:top w:val="none" w:sz="0" w:space="0" w:color="auto"/>
        <w:left w:val="none" w:sz="0" w:space="0" w:color="auto"/>
        <w:bottom w:val="none" w:sz="0" w:space="0" w:color="auto"/>
        <w:right w:val="none" w:sz="0" w:space="0" w:color="auto"/>
      </w:divBdr>
    </w:div>
    <w:div w:id="1258444929">
      <w:bodyDiv w:val="1"/>
      <w:marLeft w:val="0"/>
      <w:marRight w:val="0"/>
      <w:marTop w:val="0"/>
      <w:marBottom w:val="0"/>
      <w:divBdr>
        <w:top w:val="none" w:sz="0" w:space="0" w:color="auto"/>
        <w:left w:val="none" w:sz="0" w:space="0" w:color="auto"/>
        <w:bottom w:val="none" w:sz="0" w:space="0" w:color="auto"/>
        <w:right w:val="none" w:sz="0" w:space="0" w:color="auto"/>
      </w:divBdr>
    </w:div>
    <w:div w:id="1301770086">
      <w:bodyDiv w:val="1"/>
      <w:marLeft w:val="0"/>
      <w:marRight w:val="0"/>
      <w:marTop w:val="0"/>
      <w:marBottom w:val="0"/>
      <w:divBdr>
        <w:top w:val="none" w:sz="0" w:space="0" w:color="auto"/>
        <w:left w:val="none" w:sz="0" w:space="0" w:color="auto"/>
        <w:bottom w:val="none" w:sz="0" w:space="0" w:color="auto"/>
        <w:right w:val="none" w:sz="0" w:space="0" w:color="auto"/>
      </w:divBdr>
    </w:div>
    <w:div w:id="1364134438">
      <w:bodyDiv w:val="1"/>
      <w:marLeft w:val="0"/>
      <w:marRight w:val="0"/>
      <w:marTop w:val="0"/>
      <w:marBottom w:val="0"/>
      <w:divBdr>
        <w:top w:val="none" w:sz="0" w:space="0" w:color="auto"/>
        <w:left w:val="none" w:sz="0" w:space="0" w:color="auto"/>
        <w:bottom w:val="none" w:sz="0" w:space="0" w:color="auto"/>
        <w:right w:val="none" w:sz="0" w:space="0" w:color="auto"/>
      </w:divBdr>
    </w:div>
    <w:div w:id="1416589347">
      <w:bodyDiv w:val="1"/>
      <w:marLeft w:val="0"/>
      <w:marRight w:val="0"/>
      <w:marTop w:val="0"/>
      <w:marBottom w:val="0"/>
      <w:divBdr>
        <w:top w:val="none" w:sz="0" w:space="0" w:color="auto"/>
        <w:left w:val="none" w:sz="0" w:space="0" w:color="auto"/>
        <w:bottom w:val="none" w:sz="0" w:space="0" w:color="auto"/>
        <w:right w:val="none" w:sz="0" w:space="0" w:color="auto"/>
      </w:divBdr>
    </w:div>
    <w:div w:id="1459104338">
      <w:bodyDiv w:val="1"/>
      <w:marLeft w:val="0"/>
      <w:marRight w:val="0"/>
      <w:marTop w:val="0"/>
      <w:marBottom w:val="0"/>
      <w:divBdr>
        <w:top w:val="none" w:sz="0" w:space="0" w:color="auto"/>
        <w:left w:val="none" w:sz="0" w:space="0" w:color="auto"/>
        <w:bottom w:val="none" w:sz="0" w:space="0" w:color="auto"/>
        <w:right w:val="none" w:sz="0" w:space="0" w:color="auto"/>
      </w:divBdr>
    </w:div>
    <w:div w:id="1479883528">
      <w:bodyDiv w:val="1"/>
      <w:marLeft w:val="0"/>
      <w:marRight w:val="0"/>
      <w:marTop w:val="0"/>
      <w:marBottom w:val="0"/>
      <w:divBdr>
        <w:top w:val="none" w:sz="0" w:space="0" w:color="auto"/>
        <w:left w:val="none" w:sz="0" w:space="0" w:color="auto"/>
        <w:bottom w:val="none" w:sz="0" w:space="0" w:color="auto"/>
        <w:right w:val="none" w:sz="0" w:space="0" w:color="auto"/>
      </w:divBdr>
    </w:div>
    <w:div w:id="1511987132">
      <w:bodyDiv w:val="1"/>
      <w:marLeft w:val="0"/>
      <w:marRight w:val="0"/>
      <w:marTop w:val="0"/>
      <w:marBottom w:val="0"/>
      <w:divBdr>
        <w:top w:val="none" w:sz="0" w:space="0" w:color="auto"/>
        <w:left w:val="none" w:sz="0" w:space="0" w:color="auto"/>
        <w:bottom w:val="none" w:sz="0" w:space="0" w:color="auto"/>
        <w:right w:val="none" w:sz="0" w:space="0" w:color="auto"/>
      </w:divBdr>
    </w:div>
    <w:div w:id="1559246317">
      <w:bodyDiv w:val="1"/>
      <w:marLeft w:val="0"/>
      <w:marRight w:val="0"/>
      <w:marTop w:val="0"/>
      <w:marBottom w:val="0"/>
      <w:divBdr>
        <w:top w:val="none" w:sz="0" w:space="0" w:color="auto"/>
        <w:left w:val="none" w:sz="0" w:space="0" w:color="auto"/>
        <w:bottom w:val="none" w:sz="0" w:space="0" w:color="auto"/>
        <w:right w:val="none" w:sz="0" w:space="0" w:color="auto"/>
      </w:divBdr>
    </w:div>
    <w:div w:id="1624655444">
      <w:bodyDiv w:val="1"/>
      <w:marLeft w:val="0"/>
      <w:marRight w:val="0"/>
      <w:marTop w:val="0"/>
      <w:marBottom w:val="0"/>
      <w:divBdr>
        <w:top w:val="none" w:sz="0" w:space="0" w:color="auto"/>
        <w:left w:val="none" w:sz="0" w:space="0" w:color="auto"/>
        <w:bottom w:val="none" w:sz="0" w:space="0" w:color="auto"/>
        <w:right w:val="none" w:sz="0" w:space="0" w:color="auto"/>
      </w:divBdr>
    </w:div>
    <w:div w:id="1673297193">
      <w:bodyDiv w:val="1"/>
      <w:marLeft w:val="0"/>
      <w:marRight w:val="0"/>
      <w:marTop w:val="0"/>
      <w:marBottom w:val="0"/>
      <w:divBdr>
        <w:top w:val="none" w:sz="0" w:space="0" w:color="auto"/>
        <w:left w:val="none" w:sz="0" w:space="0" w:color="auto"/>
        <w:bottom w:val="none" w:sz="0" w:space="0" w:color="auto"/>
        <w:right w:val="none" w:sz="0" w:space="0" w:color="auto"/>
      </w:divBdr>
    </w:div>
    <w:div w:id="1689982625">
      <w:bodyDiv w:val="1"/>
      <w:marLeft w:val="0"/>
      <w:marRight w:val="0"/>
      <w:marTop w:val="0"/>
      <w:marBottom w:val="0"/>
      <w:divBdr>
        <w:top w:val="none" w:sz="0" w:space="0" w:color="auto"/>
        <w:left w:val="none" w:sz="0" w:space="0" w:color="auto"/>
        <w:bottom w:val="none" w:sz="0" w:space="0" w:color="auto"/>
        <w:right w:val="none" w:sz="0" w:space="0" w:color="auto"/>
      </w:divBdr>
    </w:div>
    <w:div w:id="1745375870">
      <w:bodyDiv w:val="1"/>
      <w:marLeft w:val="0"/>
      <w:marRight w:val="0"/>
      <w:marTop w:val="0"/>
      <w:marBottom w:val="0"/>
      <w:divBdr>
        <w:top w:val="none" w:sz="0" w:space="0" w:color="auto"/>
        <w:left w:val="none" w:sz="0" w:space="0" w:color="auto"/>
        <w:bottom w:val="none" w:sz="0" w:space="0" w:color="auto"/>
        <w:right w:val="none" w:sz="0" w:space="0" w:color="auto"/>
      </w:divBdr>
    </w:div>
    <w:div w:id="1776095209">
      <w:bodyDiv w:val="1"/>
      <w:marLeft w:val="0"/>
      <w:marRight w:val="0"/>
      <w:marTop w:val="0"/>
      <w:marBottom w:val="0"/>
      <w:divBdr>
        <w:top w:val="none" w:sz="0" w:space="0" w:color="auto"/>
        <w:left w:val="none" w:sz="0" w:space="0" w:color="auto"/>
        <w:bottom w:val="none" w:sz="0" w:space="0" w:color="auto"/>
        <w:right w:val="none" w:sz="0" w:space="0" w:color="auto"/>
      </w:divBdr>
    </w:div>
    <w:div w:id="1815174572">
      <w:bodyDiv w:val="1"/>
      <w:marLeft w:val="0"/>
      <w:marRight w:val="0"/>
      <w:marTop w:val="0"/>
      <w:marBottom w:val="0"/>
      <w:divBdr>
        <w:top w:val="none" w:sz="0" w:space="0" w:color="auto"/>
        <w:left w:val="none" w:sz="0" w:space="0" w:color="auto"/>
        <w:bottom w:val="none" w:sz="0" w:space="0" w:color="auto"/>
        <w:right w:val="none" w:sz="0" w:space="0" w:color="auto"/>
      </w:divBdr>
    </w:div>
    <w:div w:id="1977950375">
      <w:bodyDiv w:val="1"/>
      <w:marLeft w:val="0"/>
      <w:marRight w:val="0"/>
      <w:marTop w:val="0"/>
      <w:marBottom w:val="0"/>
      <w:divBdr>
        <w:top w:val="none" w:sz="0" w:space="0" w:color="auto"/>
        <w:left w:val="none" w:sz="0" w:space="0" w:color="auto"/>
        <w:bottom w:val="none" w:sz="0" w:space="0" w:color="auto"/>
        <w:right w:val="none" w:sz="0" w:space="0" w:color="auto"/>
      </w:divBdr>
    </w:div>
    <w:div w:id="2032880099">
      <w:bodyDiv w:val="1"/>
      <w:marLeft w:val="0"/>
      <w:marRight w:val="0"/>
      <w:marTop w:val="0"/>
      <w:marBottom w:val="0"/>
      <w:divBdr>
        <w:top w:val="none" w:sz="0" w:space="0" w:color="auto"/>
        <w:left w:val="none" w:sz="0" w:space="0" w:color="auto"/>
        <w:bottom w:val="none" w:sz="0" w:space="0" w:color="auto"/>
        <w:right w:val="none" w:sz="0" w:space="0" w:color="auto"/>
      </w:divBdr>
    </w:div>
    <w:div w:id="2049913389">
      <w:bodyDiv w:val="1"/>
      <w:marLeft w:val="0"/>
      <w:marRight w:val="0"/>
      <w:marTop w:val="0"/>
      <w:marBottom w:val="0"/>
      <w:divBdr>
        <w:top w:val="none" w:sz="0" w:space="0" w:color="auto"/>
        <w:left w:val="none" w:sz="0" w:space="0" w:color="auto"/>
        <w:bottom w:val="none" w:sz="0" w:space="0" w:color="auto"/>
        <w:right w:val="none" w:sz="0" w:space="0" w:color="auto"/>
      </w:divBdr>
    </w:div>
    <w:div w:id="2058505633">
      <w:bodyDiv w:val="1"/>
      <w:marLeft w:val="0"/>
      <w:marRight w:val="0"/>
      <w:marTop w:val="0"/>
      <w:marBottom w:val="0"/>
      <w:divBdr>
        <w:top w:val="none" w:sz="0" w:space="0" w:color="auto"/>
        <w:left w:val="none" w:sz="0" w:space="0" w:color="auto"/>
        <w:bottom w:val="none" w:sz="0" w:space="0" w:color="auto"/>
        <w:right w:val="none" w:sz="0" w:space="0" w:color="auto"/>
      </w:divBdr>
    </w:div>
    <w:div w:id="2069913054">
      <w:bodyDiv w:val="1"/>
      <w:marLeft w:val="0"/>
      <w:marRight w:val="0"/>
      <w:marTop w:val="0"/>
      <w:marBottom w:val="0"/>
      <w:divBdr>
        <w:top w:val="none" w:sz="0" w:space="0" w:color="auto"/>
        <w:left w:val="none" w:sz="0" w:space="0" w:color="auto"/>
        <w:bottom w:val="none" w:sz="0" w:space="0" w:color="auto"/>
        <w:right w:val="none" w:sz="0" w:space="0" w:color="auto"/>
      </w:divBdr>
    </w:div>
    <w:div w:id="2112511747">
      <w:bodyDiv w:val="1"/>
      <w:marLeft w:val="0"/>
      <w:marRight w:val="0"/>
      <w:marTop w:val="0"/>
      <w:marBottom w:val="0"/>
      <w:divBdr>
        <w:top w:val="none" w:sz="0" w:space="0" w:color="auto"/>
        <w:left w:val="none" w:sz="0" w:space="0" w:color="auto"/>
        <w:bottom w:val="none" w:sz="0" w:space="0" w:color="auto"/>
        <w:right w:val="none" w:sz="0" w:space="0" w:color="auto"/>
      </w:divBdr>
    </w:div>
    <w:div w:id="2123262153">
      <w:bodyDiv w:val="1"/>
      <w:marLeft w:val="0"/>
      <w:marRight w:val="0"/>
      <w:marTop w:val="0"/>
      <w:marBottom w:val="0"/>
      <w:divBdr>
        <w:top w:val="none" w:sz="0" w:space="0" w:color="auto"/>
        <w:left w:val="none" w:sz="0" w:space="0" w:color="auto"/>
        <w:bottom w:val="none" w:sz="0" w:space="0" w:color="auto"/>
        <w:right w:val="none" w:sz="0" w:space="0" w:color="auto"/>
      </w:divBdr>
      <w:divsChild>
        <w:div w:id="623273347">
          <w:marLeft w:val="0"/>
          <w:marRight w:val="0"/>
          <w:marTop w:val="0"/>
          <w:marBottom w:val="0"/>
          <w:divBdr>
            <w:top w:val="none" w:sz="0" w:space="0" w:color="auto"/>
            <w:left w:val="none" w:sz="0" w:space="0" w:color="auto"/>
            <w:bottom w:val="none" w:sz="0" w:space="0" w:color="auto"/>
            <w:right w:val="none" w:sz="0" w:space="0" w:color="auto"/>
          </w:divBdr>
          <w:divsChild>
            <w:div w:id="821772447">
              <w:marLeft w:val="0"/>
              <w:marRight w:val="0"/>
              <w:marTop w:val="0"/>
              <w:marBottom w:val="0"/>
              <w:divBdr>
                <w:top w:val="none" w:sz="0" w:space="0" w:color="auto"/>
                <w:left w:val="none" w:sz="0" w:space="0" w:color="auto"/>
                <w:bottom w:val="none" w:sz="0" w:space="0" w:color="auto"/>
                <w:right w:val="none" w:sz="0" w:space="0" w:color="auto"/>
              </w:divBdr>
              <w:divsChild>
                <w:div w:id="7563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blood.gov.au/data-analysis-reporting"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blood.gov.au/sites/default/files/documents/2024-07/Eptacog%20alfa%20%28NovoSeven%20RT%29%20Utilisation%20Review.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1111/hae.14524"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1111/hae.14102" TargetMode="External"/><Relationship Id="rId20" Type="http://schemas.openxmlformats.org/officeDocument/2006/relationships/hyperlink" Target="https://www.blood.gov.au/australian-bleeding-disorders-registryannual-repor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blood.gov.au/data-analysis-reporting" TargetMode="Externa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sites/default/files/2024-10/guidelines-for-preparing-assessments-for-msac.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Nat16</b:Tag>
    <b:SourceType>Report</b:SourceType>
    <b:Guid>{654F69A0-5196-4A72-B042-9D430B550D65}</b:Guid>
    <b:Title>Guidelines for the managment of haemophilia in Australia</b:Title>
    <b:Year>2016</b:Year>
    <b:Author>
      <b:Author>
        <b:Corporate>National Blood Authority</b:Corporate>
      </b:Author>
    </b:Author>
    <b:Publisher>Australian Haemophilia Centre Directros' Organisation</b:Publisher>
    <b:City>Malvern East, VIC</b:City>
    <b:RefOrder>1</b:RefOrder>
  </b:Source>
  <b:Source>
    <b:Tag>NOR15</b:Tag>
    <b:SourceType>Report</b:SourceType>
    <b:Guid>{3A5AFD42-3623-4E67-947D-47BEC9C9F62E}</b:Guid>
    <b:Title>Hemophilia A: Rare Disease Database</b:Title>
    <b:Year>2015</b:Year>
    <b:Author>
      <b:Author>
        <b:Corporate>NORD</b:Corporate>
      </b:Author>
    </b:Author>
    <b:Publisher>National Organization for Rare Disorders</b:Publisher>
    <b:RefOrder>2</b:RefOrder>
  </b:Source>
  <b:Source>
    <b:Tag>Nat18</b:Tag>
    <b:SourceType>Report</b:SourceType>
    <b:Guid>{878932AD-A982-42FE-B86F-F5F7B1FD27C1}</b:Guid>
    <b:Author>
      <b:Author>
        <b:Corporate>NORD</b:Corporate>
      </b:Author>
    </b:Author>
    <b:Title>Hemophilia B: Rare Disease Database</b:Title>
    <b:Year>2018</b:Year>
    <b:Publisher>National Organization for Rare Disorders</b:Publisher>
    <b:RefOrder>3</b:RefOrder>
  </b:Source>
  <b:Source>
    <b:Tag>Kiz19</b:Tag>
    <b:SourceType>JournalArticle</b:SourceType>
    <b:Guid>{BA5078E7-7C89-4F01-B375-704D9C37E3FE}</b:Guid>
    <b:Title>Diagnosis and treatment of hemophilia</b:Title>
    <b:Year>2019</b:Year>
    <b:Author>
      <b:Author>
        <b:NameList>
          <b:Person>
            <b:Last>Kizilocak</b:Last>
            <b:First>H.</b:First>
          </b:Person>
          <b:Person>
            <b:Last>Young</b:Last>
            <b:First>G.</b:First>
          </b:Person>
        </b:NameList>
      </b:Author>
    </b:Author>
    <b:JournalName>Clin Adv Hematol Oncol</b:JournalName>
    <b:Pages>344-351</b:Pages>
    <b:Volume>17</b:Volume>
    <b:Issue>6</b:Issue>
    <b:RefOrder>4</b:RefOrder>
  </b:Source>
  <b:Source>
    <b:Tag>Has21</b:Tag>
    <b:SourceType>JournalArticle</b:SourceType>
    <b:Guid>{ABA9863A-D98B-4E3D-9146-D410A1DED0A9}</b:Guid>
    <b:Author>
      <b:Author>
        <b:NameList>
          <b:Person>
            <b:Last>Hassan</b:Last>
            <b:First>S.</b:First>
          </b:Person>
          <b:Person>
            <b:Last>Monahan</b:Last>
            <b:First>R.C.</b:First>
          </b:Person>
          <b:Person>
            <b:Last>Mauser-Bunschoten</b:Last>
            <b:First>E.P.</b:First>
          </b:Person>
        </b:NameList>
      </b:Author>
    </b:Author>
    <b:Title>Mortality, life expectancy, and causes of death of persons with hemophilia in the Netherlands 2001-2018</b:Title>
    <b:JournalName>J Thromb Haemost</b:JournalName>
    <b:Year>2021</b:Year>
    <b:Pages>645-653</b:Pages>
    <b:Volume>19</b:Volume>
    <b:Issue>3</b:Issue>
    <b:RefOrder>5</b:RefOrder>
  </b:Source>
  <b:Source>
    <b:Tag>Sir20</b:Tag>
    <b:SourceType>JournalArticle</b:SourceType>
    <b:Guid>{51D5EBAA-66CB-413F-84C5-B3244C16EEC6}</b:Guid>
    <b:Title>WFH Guidelines for the Management of Hemophilia, 3rd edition</b:Title>
    <b:Year>2020</b:Year>
    <b:Author>
      <b:Author>
        <b:NameList>
          <b:Person>
            <b:Last>Srivastava</b:Last>
            <b:First>A.</b:First>
          </b:Person>
          <b:Person>
            <b:Last>Santagostino</b:Last>
            <b:First>E.</b:First>
          </b:Person>
          <b:Person>
            <b:Last>Dougall</b:Last>
            <b:First>A.</b:First>
          </b:Person>
        </b:NameList>
      </b:Author>
    </b:Author>
    <b:JournalName>Haemophilia</b:JournalName>
    <b:Pages>1-158</b:Pages>
    <b:Volume>26</b:Volume>
    <b:Issue>Suppl 6</b:Issue>
    <b:RefOrder>6</b:RefOrder>
  </b:Source>
  <b:Source>
    <b:Tag>Tho17</b:Tag>
    <b:SourceType>JournalArticle</b:SourceType>
    <b:Guid>{3E1D09E1-7B63-4899-A67E-78DBDAC69B51}</b:Guid>
    <b:Author>
      <b:Author>
        <b:NameList>
          <b:Person>
            <b:Last>Thornburg</b:Last>
            <b:First>C.D.</b:First>
          </b:Person>
          <b:Person>
            <b:Last>Duncan</b:Last>
            <b:First>N.A.</b:First>
          </b:Person>
        </b:NameList>
      </b:Author>
    </b:Author>
    <b:Title>Treatment adherence in hemophilia</b:Title>
    <b:JournalName>Patient Preference and Adherence</b:JournalName>
    <b:Year>2017</b:Year>
    <b:Pages>1677-86</b:Pages>
    <b:Volume>11</b:Volume>
    <b:RefOrder>17</b:RefOrder>
  </b:Source>
  <b:Source>
    <b:Tag>Kha25</b:Tag>
    <b:SourceType>JournalArticle</b:SourceType>
    <b:Guid>{E038BCA0-2D16-4CA7-B4BB-9CD97587EB4B}</b:Guid>
    <b:Author>
      <b:Author>
        <b:NameList>
          <b:Person>
            <b:Last>Khanji</b:Last>
            <b:First>C.</b:First>
          </b:Person>
          <b:Person>
            <b:Last>Nuabor</b:Last>
            <b:First>W.</b:First>
          </b:Person>
          <b:Person>
            <b:Last>Gould</b:Last>
            <b:First>T.</b:First>
          </b:Person>
        </b:NameList>
      </b:Author>
    </b:Author>
    <b:Title>Systematic Literature Review of Outcomes Associated With Adherenece to Haemophilia Drug Therapy</b:Title>
    <b:JournalName>Haemophilia</b:JournalName>
    <b:Year>2025</b:Year>
    <b:Pages>1-20</b:Pages>
    <b:RefOrder>18</b:RefOrder>
  </b:Source>
  <b:Source>
    <b:Tag>AHC24</b:Tag>
    <b:SourceType>Report</b:SourceType>
    <b:Guid>{BDA43A86-04E6-4EFB-9D68-876882B88CB5}</b:Guid>
    <b:Author>
      <b:Author>
        <b:Corporate>AHCDO</b:Corporate>
      </b:Author>
    </b:Author>
    <b:Title>Position Statement: Guidelines for the Management of Haemophilia in Australia</b:Title>
    <b:Year>2024</b:Year>
    <b:Publisher>AHCDO</b:Publisher>
    <b:City>Malvern East, VIC</b:City>
    <b:RefOrder>22</b:RefOrder>
  </b:Source>
  <b:Source>
    <b:Tag>Nat25</b:Tag>
    <b:SourceType>Report</b:SourceType>
    <b:Guid>{8C1B6BF2-0568-454F-90A5-B5678E2EF255}</b:Guid>
    <b:Author>
      <b:Author>
        <b:Corporate>National Blood Authority</b:Corporate>
      </b:Author>
    </b:Author>
    <b:Title>The framework for the management of bleeding disorders in Australia</b:Title>
    <b:Year>2025</b:Year>
    <b:Publisher>NBA</b:Publisher>
    <b:City>Canberra</b:City>
    <b:RefOrder>13</b:RefOrder>
  </b:Source>
</b:Sources>
</file>

<file path=customXml/itemProps1.xml><?xml version="1.0" encoding="utf-8"?>
<ds:datastoreItem xmlns:ds="http://schemas.openxmlformats.org/officeDocument/2006/customXml" ds:itemID="{A420763D-A372-4150-A64B-82916A6F3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14014</Words>
  <Characters>79883</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93710</CharactersWithSpaces>
  <SharedDoc>false</SharedDoc>
  <HLinks>
    <vt:vector size="72" baseType="variant">
      <vt:variant>
        <vt:i4>1507421</vt:i4>
      </vt:variant>
      <vt:variant>
        <vt:i4>253</vt:i4>
      </vt:variant>
      <vt:variant>
        <vt:i4>0</vt:i4>
      </vt:variant>
      <vt:variant>
        <vt:i4>5</vt:i4>
      </vt:variant>
      <vt:variant>
        <vt:lpwstr>https://www.blood.gov.au/sites/default/files/documents/2024-07/Eptacog alfa %28NovoSeven RT%29 Utilisation Review.pdf</vt:lpwstr>
      </vt:variant>
      <vt:variant>
        <vt:lpwstr/>
      </vt:variant>
      <vt:variant>
        <vt:i4>4980746</vt:i4>
      </vt:variant>
      <vt:variant>
        <vt:i4>250</vt:i4>
      </vt:variant>
      <vt:variant>
        <vt:i4>0</vt:i4>
      </vt:variant>
      <vt:variant>
        <vt:i4>5</vt:i4>
      </vt:variant>
      <vt:variant>
        <vt:lpwstr>https://www.blood.gov.au/australian-bleeding-disorders-registryannual-report</vt:lpwstr>
      </vt:variant>
      <vt:variant>
        <vt:lpwstr/>
      </vt:variant>
      <vt:variant>
        <vt:i4>3145839</vt:i4>
      </vt:variant>
      <vt:variant>
        <vt:i4>247</vt:i4>
      </vt:variant>
      <vt:variant>
        <vt:i4>0</vt:i4>
      </vt:variant>
      <vt:variant>
        <vt:i4>5</vt:i4>
      </vt:variant>
      <vt:variant>
        <vt:lpwstr>http://www.blood.gov.au/data-analysis-reporting</vt:lpwstr>
      </vt:variant>
      <vt:variant>
        <vt:lpwstr/>
      </vt:variant>
      <vt:variant>
        <vt:i4>3145839</vt:i4>
      </vt:variant>
      <vt:variant>
        <vt:i4>244</vt:i4>
      </vt:variant>
      <vt:variant>
        <vt:i4>0</vt:i4>
      </vt:variant>
      <vt:variant>
        <vt:i4>5</vt:i4>
      </vt:variant>
      <vt:variant>
        <vt:lpwstr>http://www.blood.gov.au/data-analysis-reporting</vt:lpwstr>
      </vt:variant>
      <vt:variant>
        <vt:lpwstr/>
      </vt:variant>
      <vt:variant>
        <vt:i4>5963859</vt:i4>
      </vt:variant>
      <vt:variant>
        <vt:i4>241</vt:i4>
      </vt:variant>
      <vt:variant>
        <vt:i4>0</vt:i4>
      </vt:variant>
      <vt:variant>
        <vt:i4>5</vt:i4>
      </vt:variant>
      <vt:variant>
        <vt:lpwstr>https://doi.org/10.1111/hae.14524</vt:lpwstr>
      </vt:variant>
      <vt:variant>
        <vt:lpwstr/>
      </vt:variant>
      <vt:variant>
        <vt:i4>5832791</vt:i4>
      </vt:variant>
      <vt:variant>
        <vt:i4>238</vt:i4>
      </vt:variant>
      <vt:variant>
        <vt:i4>0</vt:i4>
      </vt:variant>
      <vt:variant>
        <vt:i4>5</vt:i4>
      </vt:variant>
      <vt:variant>
        <vt:lpwstr>https://doi.org/10.1111/hae.14102</vt:lpwstr>
      </vt:variant>
      <vt:variant>
        <vt:lpwstr/>
      </vt:variant>
      <vt:variant>
        <vt:i4>5308424</vt:i4>
      </vt:variant>
      <vt:variant>
        <vt:i4>131</vt:i4>
      </vt:variant>
      <vt:variant>
        <vt:i4>0</vt:i4>
      </vt:variant>
      <vt:variant>
        <vt:i4>5</vt:i4>
      </vt:variant>
      <vt:variant>
        <vt:lpwstr>https://creativecommons.org/licenses/by/4.0/</vt:lpwstr>
      </vt:variant>
      <vt:variant>
        <vt:lpwstr/>
      </vt:variant>
      <vt:variant>
        <vt:i4>5308424</vt:i4>
      </vt:variant>
      <vt:variant>
        <vt:i4>12</vt:i4>
      </vt:variant>
      <vt:variant>
        <vt:i4>0</vt:i4>
      </vt:variant>
      <vt:variant>
        <vt:i4>5</vt:i4>
      </vt:variant>
      <vt:variant>
        <vt:lpwstr>https://creativecommons.org/licenses/by/4.0/</vt:lpwstr>
      </vt:variant>
      <vt:variant>
        <vt:lpwstr/>
      </vt:variant>
      <vt:variant>
        <vt:i4>1507333</vt:i4>
      </vt:variant>
      <vt:variant>
        <vt:i4>0</vt:i4>
      </vt:variant>
      <vt:variant>
        <vt:i4>0</vt:i4>
      </vt:variant>
      <vt:variant>
        <vt:i4>5</vt:i4>
      </vt:variant>
      <vt:variant>
        <vt:lpwstr>https://www.msac.gov.au/sites/default/files/2024-10/guidelines-for-preparing-assessments-for-msac.pdf</vt:lpwstr>
      </vt:variant>
      <vt:variant>
        <vt:lpwstr/>
      </vt:variant>
      <vt:variant>
        <vt:i4>2752530</vt:i4>
      </vt:variant>
      <vt:variant>
        <vt:i4>6</vt:i4>
      </vt:variant>
      <vt:variant>
        <vt:i4>0</vt:i4>
      </vt:variant>
      <vt:variant>
        <vt:i4>5</vt:i4>
      </vt:variant>
      <vt:variant>
        <vt:lpwstr>mailto:Sanduni.Hapuarachchi@Health.gov.au</vt:lpwstr>
      </vt:variant>
      <vt:variant>
        <vt:lpwstr/>
      </vt:variant>
      <vt:variant>
        <vt:i4>5636223</vt:i4>
      </vt:variant>
      <vt:variant>
        <vt:i4>3</vt:i4>
      </vt:variant>
      <vt:variant>
        <vt:i4>0</vt:i4>
      </vt:variant>
      <vt:variant>
        <vt:i4>5</vt:i4>
      </vt:variant>
      <vt:variant>
        <vt:lpwstr>mailto:Harriet.TAYLOR@Health.gov.au</vt:lpwstr>
      </vt:variant>
      <vt:variant>
        <vt:lpwstr/>
      </vt:variant>
      <vt:variant>
        <vt:i4>393290</vt:i4>
      </vt:variant>
      <vt:variant>
        <vt:i4>0</vt:i4>
      </vt:variant>
      <vt:variant>
        <vt:i4>0</vt:i4>
      </vt:variant>
      <vt:variant>
        <vt:i4>5</vt:i4>
      </vt:variant>
      <vt:variant>
        <vt:lpwstr>https://www1.wfh.org/publications/files/pdf-1870.pdf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2025-09-24T23:32:00Z</dcterms:created>
  <dcterms:modified xsi:type="dcterms:W3CDTF">2025-10-14T04:06:00Z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46a72f8d,6a5906b1,11b5632d</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d0e905,7989e81e,14266a4</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2025-10-14T04:06:20Z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a81acaec-8036-452c-bbe1-84b023f597de</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