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DF91" w14:textId="3609B39F" w:rsidR="00100677" w:rsidRPr="00CC5607" w:rsidRDefault="00100677" w:rsidP="00491603">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7A128FDE" w14:textId="69C419E7" w:rsidR="00772829" w:rsidRPr="00CE28E3" w:rsidRDefault="00772829" w:rsidP="00491603">
      <w:pPr>
        <w:pStyle w:val="Subtitle"/>
      </w:pPr>
      <w:r w:rsidRPr="00CE28E3">
        <w:t>Applica</w:t>
      </w:r>
      <w:r w:rsidRPr="00AD2BCF">
        <w:t xml:space="preserve">tion No. </w:t>
      </w:r>
      <w:r w:rsidR="007E3483">
        <w:t>1808</w:t>
      </w:r>
      <w:r w:rsidRPr="004553E4">
        <w:t xml:space="preserve"> – </w:t>
      </w:r>
      <w:r w:rsidR="004553E4" w:rsidRPr="004553E4">
        <w:t xml:space="preserve">IncobotulinumtoxinA (XEOMIN) injection for </w:t>
      </w:r>
      <w:r w:rsidR="00451CCD">
        <w:t xml:space="preserve">lower- and upper-limb </w:t>
      </w:r>
      <w:r w:rsidR="00101BFC">
        <w:t xml:space="preserve">spasticity </w:t>
      </w:r>
      <w:r w:rsidR="00451CCD">
        <w:t xml:space="preserve">associated with cerebral palsy </w:t>
      </w:r>
      <w:r w:rsidR="00101BFC">
        <w:t xml:space="preserve">in </w:t>
      </w:r>
      <w:r w:rsidR="00451CCD">
        <w:t xml:space="preserve">patients </w:t>
      </w:r>
      <w:r w:rsidR="00101BFC">
        <w:t>2 years and older</w:t>
      </w:r>
    </w:p>
    <w:p w14:paraId="35263561" w14:textId="1A2726C7" w:rsidR="00772829" w:rsidRPr="00CE28E3" w:rsidRDefault="00772829" w:rsidP="00491603">
      <w:pPr>
        <w:tabs>
          <w:tab w:val="left" w:pos="3686"/>
          <w:tab w:val="left" w:pos="6240"/>
        </w:tabs>
        <w:spacing w:after="240" w:line="240" w:lineRule="auto"/>
        <w:rPr>
          <w:rFonts w:ascii="Arial" w:hAnsi="Arial" w:cs="Arial"/>
          <w:b/>
          <w:szCs w:val="24"/>
        </w:rPr>
      </w:pPr>
      <w:r w:rsidRPr="00CE28E3">
        <w:rPr>
          <w:rFonts w:ascii="Arial" w:hAnsi="Arial" w:cs="Arial"/>
          <w:b/>
          <w:szCs w:val="24"/>
        </w:rPr>
        <w:t>Applicant:</w:t>
      </w:r>
      <w:r w:rsidRPr="00CE28E3">
        <w:rPr>
          <w:rFonts w:ascii="Arial" w:hAnsi="Arial" w:cs="Arial"/>
          <w:b/>
          <w:szCs w:val="24"/>
        </w:rPr>
        <w:tab/>
      </w:r>
      <w:r w:rsidR="00CC0060">
        <w:rPr>
          <w:rFonts w:ascii="Arial" w:hAnsi="Arial" w:cs="Arial"/>
          <w:b/>
          <w:szCs w:val="24"/>
        </w:rPr>
        <w:t>Merz Australia</w:t>
      </w:r>
    </w:p>
    <w:p w14:paraId="2CF89A21" w14:textId="7DDD9364" w:rsidR="00CE4D9C" w:rsidRDefault="00772829" w:rsidP="00491603">
      <w:pPr>
        <w:tabs>
          <w:tab w:val="left" w:pos="3686"/>
        </w:tabs>
        <w:spacing w:after="360" w:line="240" w:lineRule="auto"/>
        <w:rPr>
          <w:rFonts w:ascii="Arial" w:hAnsi="Arial" w:cs="Arial"/>
          <w:b/>
          <w:szCs w:val="24"/>
        </w:rPr>
      </w:pPr>
      <w:r w:rsidRPr="00CE28E3">
        <w:rPr>
          <w:rFonts w:ascii="Arial" w:hAnsi="Arial" w:cs="Arial"/>
          <w:b/>
          <w:szCs w:val="24"/>
        </w:rPr>
        <w:t>Date of MSAC consideration:</w:t>
      </w:r>
      <w:r w:rsidRPr="00CE28E3">
        <w:rPr>
          <w:rFonts w:ascii="Arial" w:hAnsi="Arial" w:cs="Arial"/>
          <w:b/>
          <w:szCs w:val="24"/>
        </w:rPr>
        <w:tab/>
      </w:r>
      <w:r w:rsidR="00391325">
        <w:rPr>
          <w:rFonts w:ascii="Arial" w:hAnsi="Arial" w:cs="Arial"/>
          <w:b/>
          <w:szCs w:val="24"/>
        </w:rPr>
        <w:t xml:space="preserve">31 July </w:t>
      </w:r>
      <w:r w:rsidR="008551B8" w:rsidRPr="008551B8">
        <w:rPr>
          <w:rFonts w:ascii="Arial" w:hAnsi="Arial" w:cs="Arial"/>
          <w:b/>
          <w:szCs w:val="24"/>
        </w:rPr>
        <w:t>2025</w:t>
      </w:r>
    </w:p>
    <w:p w14:paraId="1202DD44" w14:textId="4D321D20" w:rsidR="00F321B4" w:rsidRPr="00F321B4" w:rsidRDefault="00FC20D7" w:rsidP="00491603">
      <w:pPr>
        <w:spacing w:after="240" w:line="240" w:lineRule="auto"/>
        <w:rPr>
          <w:highlight w:val="cyan"/>
        </w:rPr>
      </w:pPr>
      <w:bookmarkStart w:id="0" w:name="_Hlk194308493"/>
      <w:r w:rsidRPr="00333EDF">
        <w:t xml:space="preserve">Context for decision: MSAC makes its advice in accordance with its Terms of Reference, </w:t>
      </w:r>
      <w:hyperlink r:id="rId8" w:tooltip="Link to Medical Services Advisory Committee website" w:history="1">
        <w:r w:rsidRPr="000D2098">
          <w:rPr>
            <w:rStyle w:val="Hyperlink"/>
            <w:color w:val="007BB8"/>
          </w:rPr>
          <w:t>visit the MSAC website</w:t>
        </w:r>
      </w:hyperlink>
      <w:bookmarkEnd w:id="0"/>
    </w:p>
    <w:p w14:paraId="7EAA7262" w14:textId="084E3D9A" w:rsidR="00772829" w:rsidRPr="00CE28E3" w:rsidRDefault="00772829" w:rsidP="00045C5D">
      <w:pPr>
        <w:pStyle w:val="Heading2"/>
        <w:numPr>
          <w:ilvl w:val="0"/>
          <w:numId w:val="29"/>
        </w:numPr>
      </w:pPr>
      <w:bookmarkStart w:id="1" w:name="_Toc69491415"/>
      <w:r w:rsidRPr="00FC3CE1">
        <w:t xml:space="preserve">Purpose </w:t>
      </w:r>
      <w:r w:rsidRPr="00FC3CE1">
        <w:rPr>
          <w:szCs w:val="32"/>
        </w:rPr>
        <w:t>of</w:t>
      </w:r>
      <w:r w:rsidRPr="00FC3CE1">
        <w:t xml:space="preserve"> application</w:t>
      </w:r>
      <w:bookmarkEnd w:id="1"/>
    </w:p>
    <w:p w14:paraId="2B03B099" w14:textId="3507633E" w:rsidR="00772829" w:rsidRPr="009A3778" w:rsidRDefault="00772829" w:rsidP="003B228A">
      <w:pPr>
        <w:spacing w:after="120" w:line="240" w:lineRule="auto"/>
        <w:rPr>
          <w:iCs/>
          <w:szCs w:val="24"/>
        </w:rPr>
      </w:pPr>
      <w:bookmarkStart w:id="2" w:name="_Hlk69734469"/>
      <w:r w:rsidRPr="009A3778">
        <w:rPr>
          <w:iCs/>
          <w:szCs w:val="24"/>
        </w:rPr>
        <w:t>Th</w:t>
      </w:r>
      <w:r w:rsidR="00FA0229">
        <w:rPr>
          <w:iCs/>
          <w:szCs w:val="24"/>
        </w:rPr>
        <w:t>is</w:t>
      </w:r>
      <w:r w:rsidRPr="009A3778">
        <w:rPr>
          <w:iCs/>
          <w:szCs w:val="24"/>
        </w:rPr>
        <w:t xml:space="preserve"> codependent application </w:t>
      </w:r>
      <w:r w:rsidR="003169D5" w:rsidRPr="009A3778">
        <w:rPr>
          <w:iCs/>
          <w:szCs w:val="24"/>
        </w:rPr>
        <w:t>reques</w:t>
      </w:r>
      <w:r w:rsidR="003169D5">
        <w:rPr>
          <w:iCs/>
          <w:szCs w:val="24"/>
        </w:rPr>
        <w:t>t</w:t>
      </w:r>
      <w:r w:rsidR="00390238">
        <w:rPr>
          <w:iCs/>
          <w:szCs w:val="24"/>
        </w:rPr>
        <w:t>ed</w:t>
      </w:r>
      <w:r w:rsidRPr="009A3778">
        <w:rPr>
          <w:iCs/>
          <w:szCs w:val="24"/>
        </w:rPr>
        <w:t>:</w:t>
      </w:r>
    </w:p>
    <w:p w14:paraId="479AA703" w14:textId="2AE88949" w:rsidR="00772829" w:rsidRPr="007A50D2" w:rsidRDefault="007A50D2" w:rsidP="003B228A">
      <w:pPr>
        <w:pStyle w:val="Instructionaltext"/>
        <w:numPr>
          <w:ilvl w:val="0"/>
          <w:numId w:val="28"/>
        </w:numPr>
        <w:spacing w:before="0" w:after="0" w:line="240" w:lineRule="auto"/>
        <w:rPr>
          <w:color w:val="000000" w:themeColor="text1"/>
        </w:rPr>
      </w:pPr>
      <w:r w:rsidRPr="007A50D2">
        <w:rPr>
          <w:iCs/>
          <w:color w:val="000000" w:themeColor="text1"/>
          <w:szCs w:val="24"/>
        </w:rPr>
        <w:t xml:space="preserve">Amendment of existing </w:t>
      </w:r>
      <w:r w:rsidR="00772829" w:rsidRPr="007A50D2">
        <w:rPr>
          <w:iCs/>
          <w:color w:val="000000" w:themeColor="text1"/>
          <w:szCs w:val="24"/>
        </w:rPr>
        <w:t xml:space="preserve">Medicare Benefits Schedule (MBS) </w:t>
      </w:r>
      <w:r w:rsidR="004F7B83">
        <w:rPr>
          <w:iCs/>
          <w:color w:val="000000" w:themeColor="text1"/>
          <w:szCs w:val="24"/>
        </w:rPr>
        <w:t>items</w:t>
      </w:r>
      <w:r w:rsidR="004F7B83" w:rsidRPr="007A50D2">
        <w:rPr>
          <w:iCs/>
          <w:color w:val="000000" w:themeColor="text1"/>
          <w:szCs w:val="24"/>
        </w:rPr>
        <w:t xml:space="preserve"> </w:t>
      </w:r>
      <w:hyperlink r:id="rId9" w:history="1">
        <w:r w:rsidRPr="004A5CFE">
          <w:rPr>
            <w:rStyle w:val="Hyperlink"/>
            <w:color w:val="4472C4" w:themeColor="accent5"/>
          </w:rPr>
          <w:t>18354</w:t>
        </w:r>
      </w:hyperlink>
      <w:r w:rsidRPr="004A5CFE">
        <w:rPr>
          <w:color w:val="4472C4" w:themeColor="accent5"/>
        </w:rPr>
        <w:t xml:space="preserve"> </w:t>
      </w:r>
      <w:r w:rsidRPr="007A50D2">
        <w:rPr>
          <w:color w:val="000000" w:themeColor="text1"/>
        </w:rPr>
        <w:t xml:space="preserve">and </w:t>
      </w:r>
      <w:hyperlink r:id="rId10" w:history="1">
        <w:r w:rsidRPr="004A5CFE">
          <w:rPr>
            <w:rStyle w:val="Hyperlink"/>
            <w:color w:val="4472C4" w:themeColor="accent5"/>
          </w:rPr>
          <w:t>18361</w:t>
        </w:r>
      </w:hyperlink>
      <w:r w:rsidRPr="00535ADE">
        <w:rPr>
          <w:color w:val="000000" w:themeColor="text1"/>
        </w:rPr>
        <w:t> </w:t>
      </w:r>
      <w:r w:rsidR="00535ADE" w:rsidRPr="00535ADE">
        <w:rPr>
          <w:color w:val="000000" w:themeColor="text1"/>
        </w:rPr>
        <w:t xml:space="preserve">to include </w:t>
      </w:r>
      <w:r w:rsidR="00322BC3">
        <w:rPr>
          <w:color w:val="000000" w:themeColor="text1"/>
        </w:rPr>
        <w:t xml:space="preserve">injection of </w:t>
      </w:r>
      <w:r w:rsidR="00C616C0" w:rsidRPr="00535ADE">
        <w:rPr>
          <w:iCs/>
          <w:color w:val="000000" w:themeColor="text1"/>
          <w:szCs w:val="24"/>
        </w:rPr>
        <w:t>i</w:t>
      </w:r>
      <w:r w:rsidR="00C616C0" w:rsidRPr="007A50D2">
        <w:rPr>
          <w:iCs/>
          <w:color w:val="000000" w:themeColor="text1"/>
          <w:szCs w:val="24"/>
        </w:rPr>
        <w:t>ncobotulinumtoxinA</w:t>
      </w:r>
      <w:r w:rsidR="000251A4" w:rsidRPr="007A50D2">
        <w:rPr>
          <w:iCs/>
          <w:color w:val="000000" w:themeColor="text1"/>
          <w:szCs w:val="24"/>
        </w:rPr>
        <w:t xml:space="preserve"> (</w:t>
      </w:r>
      <w:proofErr w:type="spellStart"/>
      <w:r w:rsidR="000251A4" w:rsidRPr="007A50D2">
        <w:rPr>
          <w:iCs/>
          <w:color w:val="000000" w:themeColor="text1"/>
          <w:szCs w:val="24"/>
        </w:rPr>
        <w:t>Xeomin</w:t>
      </w:r>
      <w:proofErr w:type="spellEnd"/>
      <w:r w:rsidR="000251A4" w:rsidRPr="007A50D2">
        <w:rPr>
          <w:iCs/>
          <w:color w:val="000000" w:themeColor="text1"/>
          <w:szCs w:val="24"/>
        </w:rPr>
        <w:t>®)</w:t>
      </w:r>
      <w:r w:rsidR="00B01E44" w:rsidRPr="007A50D2">
        <w:rPr>
          <w:iCs/>
          <w:color w:val="000000" w:themeColor="text1"/>
          <w:szCs w:val="24"/>
        </w:rPr>
        <w:t xml:space="preserve"> </w:t>
      </w:r>
      <w:r w:rsidR="006A2248">
        <w:rPr>
          <w:iCs/>
          <w:color w:val="000000" w:themeColor="text1"/>
          <w:szCs w:val="24"/>
        </w:rPr>
        <w:t xml:space="preserve">along with </w:t>
      </w:r>
      <w:r w:rsidR="001A4F89" w:rsidRPr="001A4F89">
        <w:rPr>
          <w:iCs/>
          <w:color w:val="000000" w:themeColor="text1"/>
          <w:szCs w:val="24"/>
        </w:rPr>
        <w:t>Botulinum Toxin Type A Purified Neurot</w:t>
      </w:r>
      <w:r w:rsidR="001A4F89">
        <w:rPr>
          <w:iCs/>
          <w:color w:val="000000" w:themeColor="text1"/>
          <w:szCs w:val="24"/>
        </w:rPr>
        <w:t>o</w:t>
      </w:r>
      <w:r w:rsidR="001A4F89" w:rsidRPr="001A4F89">
        <w:rPr>
          <w:iCs/>
          <w:color w:val="000000" w:themeColor="text1"/>
          <w:szCs w:val="24"/>
        </w:rPr>
        <w:t>xin Complex (Botox</w:t>
      </w:r>
      <w:r w:rsidR="002405B3" w:rsidRPr="00762BCF">
        <w:rPr>
          <w:color w:val="auto"/>
        </w:rPr>
        <w:t>®</w:t>
      </w:r>
      <w:r w:rsidR="001A4F89" w:rsidRPr="001A4F89">
        <w:rPr>
          <w:iCs/>
          <w:color w:val="000000" w:themeColor="text1"/>
          <w:szCs w:val="24"/>
        </w:rPr>
        <w:t>) or Clostridium Botulinum Type A Toxin-Haemagglutinin Complex (Dysport</w:t>
      </w:r>
      <w:r w:rsidR="002405B3" w:rsidRPr="00762BCF">
        <w:rPr>
          <w:color w:val="auto"/>
        </w:rPr>
        <w:t>®</w:t>
      </w:r>
      <w:r w:rsidR="001A4F89" w:rsidRPr="001A4F89">
        <w:rPr>
          <w:iCs/>
          <w:color w:val="000000" w:themeColor="text1"/>
          <w:szCs w:val="24"/>
        </w:rPr>
        <w:t>)</w:t>
      </w:r>
      <w:r w:rsidR="00772829" w:rsidRPr="007A50D2">
        <w:rPr>
          <w:iCs/>
          <w:color w:val="000000" w:themeColor="text1"/>
          <w:szCs w:val="24"/>
        </w:rPr>
        <w:t>; and</w:t>
      </w:r>
    </w:p>
    <w:p w14:paraId="305ABE72" w14:textId="7FA3E01A" w:rsidR="00AF0732" w:rsidRPr="00AF0732" w:rsidDel="002D5B54" w:rsidRDefault="00772829" w:rsidP="003B228A">
      <w:pPr>
        <w:pStyle w:val="ListParagraph"/>
        <w:numPr>
          <w:ilvl w:val="0"/>
          <w:numId w:val="7"/>
        </w:numPr>
        <w:spacing w:before="0" w:after="0" w:line="240" w:lineRule="auto"/>
        <w:rPr>
          <w:iCs/>
          <w:szCs w:val="24"/>
        </w:rPr>
      </w:pPr>
      <w:r w:rsidRPr="009A3778">
        <w:rPr>
          <w:iCs/>
          <w:szCs w:val="24"/>
        </w:rPr>
        <w:t xml:space="preserve">Pharmaceutical Benefits Scheme (PBS) Authority Required listing of </w:t>
      </w:r>
      <w:r w:rsidR="00C616C0">
        <w:rPr>
          <w:iCs/>
          <w:szCs w:val="24"/>
        </w:rPr>
        <w:t>incobotulinumtoxinA (</w:t>
      </w:r>
      <w:proofErr w:type="spellStart"/>
      <w:r w:rsidR="00C616C0">
        <w:rPr>
          <w:iCs/>
          <w:szCs w:val="24"/>
        </w:rPr>
        <w:t>Xeomin</w:t>
      </w:r>
      <w:proofErr w:type="spellEnd"/>
      <w:r w:rsidR="00C616C0">
        <w:rPr>
          <w:iCs/>
          <w:szCs w:val="24"/>
        </w:rPr>
        <w:t xml:space="preserve">®) for treatment of </w:t>
      </w:r>
      <w:r w:rsidR="007A50D2">
        <w:rPr>
          <w:iCs/>
          <w:szCs w:val="24"/>
        </w:rPr>
        <w:t>spasticity of the upper and/or lower limbs associated with cerebral palsy</w:t>
      </w:r>
      <w:r w:rsidR="002405B3">
        <w:rPr>
          <w:iCs/>
          <w:szCs w:val="24"/>
        </w:rPr>
        <w:t xml:space="preserve"> (CP)</w:t>
      </w:r>
      <w:r w:rsidR="007A50D2">
        <w:rPr>
          <w:iCs/>
          <w:szCs w:val="24"/>
        </w:rPr>
        <w:t xml:space="preserve"> in patients 2 years and older.</w:t>
      </w:r>
    </w:p>
    <w:p w14:paraId="085292C2" w14:textId="19A25B8D" w:rsidR="00AB073A" w:rsidRPr="002D5B54" w:rsidRDefault="00AB073A" w:rsidP="003B228A">
      <w:pPr>
        <w:pStyle w:val="ListParagraph"/>
        <w:numPr>
          <w:ilvl w:val="0"/>
          <w:numId w:val="7"/>
        </w:numPr>
        <w:spacing w:before="0" w:after="0" w:line="240" w:lineRule="auto"/>
      </w:pPr>
      <w:r w:rsidDel="00064E2A">
        <w:t xml:space="preserve">This </w:t>
      </w:r>
      <w:r w:rsidDel="00152A69">
        <w:t xml:space="preserve">streamlined ADAR </w:t>
      </w:r>
      <w:r w:rsidR="00BC1D5B">
        <w:t>was</w:t>
      </w:r>
      <w:r w:rsidDel="00152A69">
        <w:t xml:space="preserve"> eligible for</w:t>
      </w:r>
      <w:r w:rsidDel="00064E2A">
        <w:t xml:space="preserve"> </w:t>
      </w:r>
      <w:r w:rsidR="00BE376D" w:rsidDel="00064E2A">
        <w:t xml:space="preserve">direct consideration </w:t>
      </w:r>
      <w:r w:rsidR="00BC1D5B">
        <w:t xml:space="preserve">by </w:t>
      </w:r>
      <w:r w:rsidR="00BE376D" w:rsidDel="00064E2A">
        <w:t xml:space="preserve">MSAC </w:t>
      </w:r>
      <w:r w:rsidR="00BC1D5B">
        <w:t xml:space="preserve">and </w:t>
      </w:r>
      <w:r w:rsidR="004E1318">
        <w:t xml:space="preserve">therefore </w:t>
      </w:r>
      <w:r w:rsidR="00BC1D5B">
        <w:t>bypassed PASC and ESC</w:t>
      </w:r>
      <w:r w:rsidR="00BE376D">
        <w:t>.</w:t>
      </w:r>
      <w:r w:rsidR="00BE376D" w:rsidDel="00064E2A">
        <w:t xml:space="preserve"> </w:t>
      </w:r>
    </w:p>
    <w:p w14:paraId="25892D9E" w14:textId="3E25881B" w:rsidR="005B6E10" w:rsidRPr="00D155C0" w:rsidRDefault="005B6E10" w:rsidP="003B228A">
      <w:pPr>
        <w:pStyle w:val="Heading2"/>
        <w:keepNext w:val="0"/>
        <w:keepLines w:val="0"/>
        <w:numPr>
          <w:ilvl w:val="0"/>
          <w:numId w:val="29"/>
        </w:numPr>
        <w:tabs>
          <w:tab w:val="num" w:pos="1134"/>
        </w:tabs>
      </w:pPr>
      <w:bookmarkStart w:id="3" w:name="_Hlk193982496"/>
      <w:bookmarkStart w:id="4" w:name="_Hlk194308564"/>
      <w:bookmarkStart w:id="5" w:name="_Toc69491416"/>
      <w:bookmarkEnd w:id="2"/>
      <w:r w:rsidRPr="00D155C0">
        <w:t>MSAC’s advice to the Minister</w:t>
      </w:r>
    </w:p>
    <w:p w14:paraId="4C3FCB6D" w14:textId="52C3B843" w:rsidR="008A51C8" w:rsidRPr="00762BCF" w:rsidRDefault="005B6E10" w:rsidP="003B228A">
      <w:pPr>
        <w:pStyle w:val="TableFooter"/>
        <w:contextualSpacing w:val="0"/>
        <w:jc w:val="left"/>
        <w:rPr>
          <w:rFonts w:ascii="Franklin Gothic Book" w:eastAsia="Franklin Gothic Book" w:hAnsi="Franklin Gothic Book"/>
          <w:sz w:val="22"/>
          <w:szCs w:val="22"/>
        </w:rPr>
      </w:pPr>
      <w:r w:rsidRPr="00333EDF">
        <w:rPr>
          <w:rFonts w:ascii="Franklin Gothic Book" w:hAnsi="Franklin Gothic Book"/>
          <w:sz w:val="22"/>
          <w:szCs w:val="22"/>
        </w:rPr>
        <w:t xml:space="preserve">After considering the strength of the available evidence in relation to comparative safety, clinical effectiveness, cost-effectiveness and total cost, </w:t>
      </w:r>
      <w:r w:rsidRPr="00333EDF">
        <w:rPr>
          <w:rFonts w:ascii="Franklin Gothic Book" w:eastAsia="Franklin Gothic Book" w:hAnsi="Franklin Gothic Book"/>
          <w:sz w:val="22"/>
          <w:szCs w:val="22"/>
        </w:rPr>
        <w:t>MSAC</w:t>
      </w:r>
      <w:r w:rsidR="00D35D54">
        <w:rPr>
          <w:rFonts w:ascii="Franklin Gothic Book" w:eastAsia="Franklin Gothic Book" w:hAnsi="Franklin Gothic Book"/>
          <w:sz w:val="22"/>
          <w:szCs w:val="22"/>
        </w:rPr>
        <w:t xml:space="preserve"> </w:t>
      </w:r>
      <w:r w:rsidR="008A51C8" w:rsidRPr="00762BCF">
        <w:rPr>
          <w:rFonts w:ascii="Franklin Gothic Book" w:eastAsia="Franklin Gothic Book" w:hAnsi="Franklin Gothic Book"/>
          <w:sz w:val="22"/>
          <w:szCs w:val="22"/>
        </w:rPr>
        <w:t xml:space="preserve">supported the amendment of existing MBS items 18354 and 18361 to include the injection of </w:t>
      </w:r>
      <w:proofErr w:type="spellStart"/>
      <w:r w:rsidR="008A51C8" w:rsidRPr="00762BCF">
        <w:rPr>
          <w:rFonts w:ascii="Franklin Gothic Book" w:eastAsia="Franklin Gothic Book" w:hAnsi="Franklin Gothic Book"/>
          <w:sz w:val="22"/>
          <w:szCs w:val="22"/>
        </w:rPr>
        <w:t>Xeomin</w:t>
      </w:r>
      <w:proofErr w:type="spellEnd"/>
      <w:r w:rsidR="008A51C8" w:rsidRPr="00762BCF">
        <w:rPr>
          <w:rFonts w:ascii="Franklin Gothic Book" w:eastAsia="Franklin Gothic Book" w:hAnsi="Franklin Gothic Book"/>
          <w:sz w:val="22"/>
          <w:szCs w:val="22"/>
        </w:rPr>
        <w:t xml:space="preserve">® for the treatment of upper and lower limb spasticity in patients with </w:t>
      </w:r>
      <w:r w:rsidR="00CF1BEE">
        <w:rPr>
          <w:rFonts w:ascii="Franklin Gothic Book" w:eastAsia="Franklin Gothic Book" w:hAnsi="Franklin Gothic Book"/>
          <w:sz w:val="22"/>
          <w:szCs w:val="22"/>
        </w:rPr>
        <w:t>cerebral palsy (</w:t>
      </w:r>
      <w:r w:rsidR="00082796" w:rsidRPr="00762BCF">
        <w:rPr>
          <w:rFonts w:ascii="Franklin Gothic Book" w:eastAsia="Franklin Gothic Book" w:hAnsi="Franklin Gothic Book"/>
          <w:sz w:val="22"/>
          <w:szCs w:val="22"/>
        </w:rPr>
        <w:t>CP</w:t>
      </w:r>
      <w:r w:rsidR="00CF1BEE">
        <w:rPr>
          <w:rFonts w:ascii="Franklin Gothic Book" w:eastAsia="Franklin Gothic Book" w:hAnsi="Franklin Gothic Book"/>
          <w:sz w:val="22"/>
          <w:szCs w:val="22"/>
        </w:rPr>
        <w:t>)</w:t>
      </w:r>
      <w:r w:rsidR="00082796" w:rsidRPr="00762BCF">
        <w:rPr>
          <w:rFonts w:ascii="Franklin Gothic Book" w:eastAsia="Franklin Gothic Book" w:hAnsi="Franklin Gothic Book"/>
          <w:sz w:val="22"/>
          <w:szCs w:val="22"/>
        </w:rPr>
        <w:t xml:space="preserve"> </w:t>
      </w:r>
      <w:r w:rsidR="008A51C8" w:rsidRPr="00762BCF">
        <w:rPr>
          <w:rFonts w:ascii="Franklin Gothic Book" w:eastAsia="Franklin Gothic Book" w:hAnsi="Franklin Gothic Book"/>
          <w:sz w:val="22"/>
          <w:szCs w:val="22"/>
        </w:rPr>
        <w:t xml:space="preserve">aged 2 years and older. MSAC noted at its July 2025 meeting, </w:t>
      </w:r>
      <w:r w:rsidR="00AC6CA0" w:rsidRPr="00762BCF">
        <w:rPr>
          <w:rFonts w:ascii="Franklin Gothic Book" w:eastAsia="Franklin Gothic Book" w:hAnsi="Franklin Gothic Book"/>
          <w:sz w:val="22"/>
          <w:szCs w:val="22"/>
        </w:rPr>
        <w:t xml:space="preserve">the </w:t>
      </w:r>
      <w:r w:rsidR="008A51C8" w:rsidRPr="00762BCF">
        <w:rPr>
          <w:rFonts w:ascii="Franklin Gothic Book" w:eastAsia="Franklin Gothic Book" w:hAnsi="Franklin Gothic Book"/>
          <w:sz w:val="22"/>
          <w:szCs w:val="22"/>
        </w:rPr>
        <w:t>P</w:t>
      </w:r>
      <w:r w:rsidR="00AC6CA0" w:rsidRPr="00762BCF">
        <w:rPr>
          <w:rFonts w:ascii="Franklin Gothic Book" w:eastAsia="Franklin Gothic Book" w:hAnsi="Franklin Gothic Book"/>
          <w:sz w:val="22"/>
          <w:szCs w:val="22"/>
        </w:rPr>
        <w:t xml:space="preserve">harmaceutical </w:t>
      </w:r>
      <w:r w:rsidR="008A51C8" w:rsidRPr="00762BCF">
        <w:rPr>
          <w:rFonts w:ascii="Franklin Gothic Book" w:eastAsia="Franklin Gothic Book" w:hAnsi="Franklin Gothic Book"/>
          <w:sz w:val="22"/>
          <w:szCs w:val="22"/>
        </w:rPr>
        <w:t>B</w:t>
      </w:r>
      <w:r w:rsidR="00AC6CA0" w:rsidRPr="00762BCF">
        <w:rPr>
          <w:rFonts w:ascii="Franklin Gothic Book" w:eastAsia="Franklin Gothic Book" w:hAnsi="Franklin Gothic Book"/>
          <w:sz w:val="22"/>
          <w:szCs w:val="22"/>
        </w:rPr>
        <w:t xml:space="preserve">enefits </w:t>
      </w:r>
      <w:r w:rsidR="008A51C8" w:rsidRPr="00762BCF">
        <w:rPr>
          <w:rFonts w:ascii="Franklin Gothic Book" w:eastAsia="Franklin Gothic Book" w:hAnsi="Franklin Gothic Book"/>
          <w:sz w:val="22"/>
          <w:szCs w:val="22"/>
        </w:rPr>
        <w:t>A</w:t>
      </w:r>
      <w:r w:rsidR="00AC6CA0" w:rsidRPr="00762BCF">
        <w:rPr>
          <w:rFonts w:ascii="Franklin Gothic Book" w:eastAsia="Franklin Gothic Book" w:hAnsi="Franklin Gothic Book"/>
          <w:sz w:val="22"/>
          <w:szCs w:val="22"/>
        </w:rPr>
        <w:t xml:space="preserve">dvisory </w:t>
      </w:r>
      <w:r w:rsidR="008A51C8" w:rsidRPr="00762BCF">
        <w:rPr>
          <w:rFonts w:ascii="Franklin Gothic Book" w:eastAsia="Franklin Gothic Book" w:hAnsi="Franklin Gothic Book"/>
          <w:sz w:val="22"/>
          <w:szCs w:val="22"/>
        </w:rPr>
        <w:t>C</w:t>
      </w:r>
      <w:r w:rsidR="00AC6CA0" w:rsidRPr="00762BCF">
        <w:rPr>
          <w:rFonts w:ascii="Franklin Gothic Book" w:eastAsia="Franklin Gothic Book" w:hAnsi="Franklin Gothic Book"/>
          <w:sz w:val="22"/>
          <w:szCs w:val="22"/>
        </w:rPr>
        <w:t>ommittee (PBAC)</w:t>
      </w:r>
      <w:r w:rsidR="008A51C8" w:rsidRPr="00762BCF">
        <w:rPr>
          <w:rFonts w:ascii="Franklin Gothic Book" w:eastAsia="Franklin Gothic Book" w:hAnsi="Franklin Gothic Book"/>
          <w:sz w:val="22"/>
          <w:szCs w:val="22"/>
        </w:rPr>
        <w:t xml:space="preserve"> recommended PBS listing of </w:t>
      </w:r>
      <w:proofErr w:type="spellStart"/>
      <w:r w:rsidR="008A51C8" w:rsidRPr="00762BCF">
        <w:rPr>
          <w:rFonts w:ascii="Franklin Gothic Book" w:eastAsia="Franklin Gothic Book" w:hAnsi="Franklin Gothic Book"/>
          <w:sz w:val="22"/>
          <w:szCs w:val="22"/>
        </w:rPr>
        <w:t>Xeomin</w:t>
      </w:r>
      <w:proofErr w:type="spellEnd"/>
      <w:r w:rsidR="008A51C8" w:rsidRPr="00762BCF">
        <w:rPr>
          <w:rFonts w:ascii="Franklin Gothic Book" w:eastAsia="Franklin Gothic Book" w:hAnsi="Franklin Gothic Book"/>
          <w:sz w:val="22"/>
          <w:szCs w:val="22"/>
        </w:rPr>
        <w:t xml:space="preserve">® for the treatment of moderate to severe spasticity of the upper limb and dynamic </w:t>
      </w:r>
      <w:proofErr w:type="spellStart"/>
      <w:r w:rsidR="008A51C8" w:rsidRPr="00762BCF">
        <w:rPr>
          <w:rFonts w:ascii="Franklin Gothic Book" w:eastAsia="Franklin Gothic Book" w:hAnsi="Franklin Gothic Book"/>
          <w:sz w:val="22"/>
          <w:szCs w:val="22"/>
        </w:rPr>
        <w:t>equinus</w:t>
      </w:r>
      <w:proofErr w:type="spellEnd"/>
      <w:r w:rsidR="008A51C8" w:rsidRPr="00762BCF">
        <w:rPr>
          <w:rFonts w:ascii="Franklin Gothic Book" w:eastAsia="Franklin Gothic Book" w:hAnsi="Franklin Gothic Book"/>
          <w:sz w:val="22"/>
          <w:szCs w:val="22"/>
        </w:rPr>
        <w:t xml:space="preserve"> foot deformity due to spasticity, in patients with </w:t>
      </w:r>
      <w:r w:rsidR="00082796" w:rsidRPr="00762BCF">
        <w:rPr>
          <w:rFonts w:ascii="Franklin Gothic Book" w:eastAsia="Franklin Gothic Book" w:hAnsi="Franklin Gothic Book"/>
          <w:sz w:val="22"/>
          <w:szCs w:val="22"/>
        </w:rPr>
        <w:t>CP</w:t>
      </w:r>
      <w:r w:rsidR="008A51C8" w:rsidRPr="00762BCF">
        <w:rPr>
          <w:rFonts w:ascii="Franklin Gothic Book" w:eastAsia="Franklin Gothic Book" w:hAnsi="Franklin Gothic Book"/>
          <w:sz w:val="22"/>
          <w:szCs w:val="22"/>
        </w:rPr>
        <w:t xml:space="preserve"> aged 2 years and older. MSAC noted PBAC was satisfied that </w:t>
      </w:r>
      <w:proofErr w:type="spellStart"/>
      <w:r w:rsidR="008A51C8" w:rsidRPr="00762BCF">
        <w:rPr>
          <w:rFonts w:ascii="Franklin Gothic Book" w:eastAsia="Franklin Gothic Book" w:hAnsi="Franklin Gothic Book"/>
          <w:sz w:val="22"/>
          <w:szCs w:val="22"/>
        </w:rPr>
        <w:t>Xeomin</w:t>
      </w:r>
      <w:proofErr w:type="spellEnd"/>
      <w:r w:rsidR="008A51C8" w:rsidRPr="00762BCF">
        <w:rPr>
          <w:rFonts w:ascii="Franklin Gothic Book" w:eastAsia="Franklin Gothic Book" w:hAnsi="Franklin Gothic Book"/>
          <w:sz w:val="22"/>
          <w:szCs w:val="22"/>
        </w:rPr>
        <w:t>® was non-inferior to the nominated comparator Botox® in terms of efficacy and safety. The existing MBS items already allow the botulinum toxin products Botox® and Dysport® to be used for this purpose.</w:t>
      </w:r>
    </w:p>
    <w:p w14:paraId="466BEB4A" w14:textId="77777777" w:rsidR="008A51C8" w:rsidRPr="00762BCF" w:rsidRDefault="008A51C8" w:rsidP="003B228A">
      <w:pPr>
        <w:pStyle w:val="TableFooter"/>
        <w:jc w:val="left"/>
        <w:rPr>
          <w:rFonts w:ascii="Franklin Gothic Book" w:eastAsia="Franklin Gothic Book" w:hAnsi="Franklin Gothic Book"/>
          <w:sz w:val="22"/>
          <w:szCs w:val="22"/>
        </w:rPr>
      </w:pPr>
      <w:r w:rsidRPr="00762BCF">
        <w:rPr>
          <w:rFonts w:ascii="Franklin Gothic Book" w:eastAsia="Franklin Gothic Book" w:hAnsi="Franklin Gothic Book"/>
          <w:sz w:val="22"/>
          <w:szCs w:val="22"/>
        </w:rPr>
        <w:t xml:space="preserve">MSAC noted the amendment would not result in a change in associated management as there would be no change to either MBS item </w:t>
      </w:r>
      <w:proofErr w:type="gramStart"/>
      <w:r w:rsidRPr="00762BCF">
        <w:rPr>
          <w:rFonts w:ascii="Franklin Gothic Book" w:eastAsia="Franklin Gothic Book" w:hAnsi="Franklin Gothic Book"/>
          <w:sz w:val="22"/>
          <w:szCs w:val="22"/>
        </w:rPr>
        <w:t>with regard to</w:t>
      </w:r>
      <w:proofErr w:type="gramEnd"/>
      <w:r w:rsidRPr="00762BCF">
        <w:rPr>
          <w:rFonts w:ascii="Franklin Gothic Book" w:eastAsia="Franklin Gothic Book" w:hAnsi="Franklin Gothic Book"/>
          <w:sz w:val="22"/>
          <w:szCs w:val="22"/>
        </w:rPr>
        <w:t xml:space="preserve"> the practitioners, item fee, item category or use of anaesthesia and ultrasound where required.  </w:t>
      </w:r>
    </w:p>
    <w:p w14:paraId="697AA42E" w14:textId="4CD53734" w:rsidR="00215670" w:rsidRDefault="00215670" w:rsidP="003B228A">
      <w:pPr>
        <w:keepNext/>
        <w:keepLines/>
        <w:rPr>
          <w:szCs w:val="24"/>
        </w:rPr>
      </w:pPr>
      <w:r>
        <w:rPr>
          <w:szCs w:val="24"/>
        </w:rPr>
        <w:lastRenderedPageBreak/>
        <w:t xml:space="preserve">MSAC </w:t>
      </w:r>
      <w:r w:rsidR="002405B3">
        <w:rPr>
          <w:szCs w:val="24"/>
        </w:rPr>
        <w:t xml:space="preserve">supported </w:t>
      </w:r>
      <w:r>
        <w:rPr>
          <w:szCs w:val="24"/>
        </w:rPr>
        <w:t xml:space="preserve">the following </w:t>
      </w:r>
      <w:r w:rsidR="002405B3">
        <w:rPr>
          <w:szCs w:val="24"/>
        </w:rPr>
        <w:t xml:space="preserve">MBS item </w:t>
      </w:r>
      <w:r>
        <w:rPr>
          <w:szCs w:val="24"/>
        </w:rPr>
        <w:t>descriptor</w:t>
      </w:r>
      <w:r w:rsidR="002405B3">
        <w:rPr>
          <w:szCs w:val="24"/>
        </w:rPr>
        <w:t xml:space="preserve"> amendment</w:t>
      </w:r>
      <w:r>
        <w:rPr>
          <w:szCs w:val="24"/>
        </w:rPr>
        <w:t>s (in red and bold):</w:t>
      </w:r>
    </w:p>
    <w:tbl>
      <w:tblPr>
        <w:tblStyle w:val="TableGrid"/>
        <w:tblW w:w="0" w:type="auto"/>
        <w:tblLook w:val="04A0" w:firstRow="1" w:lastRow="0" w:firstColumn="1" w:lastColumn="0" w:noHBand="0" w:noVBand="1"/>
      </w:tblPr>
      <w:tblGrid>
        <w:gridCol w:w="9016"/>
      </w:tblGrid>
      <w:tr w:rsidR="00215670" w:rsidRPr="00215670" w14:paraId="1ACC1B46" w14:textId="77777777" w:rsidTr="28C91E9B">
        <w:tc>
          <w:tcPr>
            <w:tcW w:w="9016" w:type="dxa"/>
          </w:tcPr>
          <w:p w14:paraId="20F96609" w14:textId="77777777" w:rsidR="00215670" w:rsidRPr="00215670" w:rsidRDefault="00215670" w:rsidP="003B228A">
            <w:pPr>
              <w:keepNext/>
              <w:keepLines/>
              <w:rPr>
                <w:rFonts w:ascii="Arial Narrow" w:hAnsi="Arial Narrow"/>
                <w:sz w:val="20"/>
                <w:szCs w:val="20"/>
              </w:rPr>
            </w:pPr>
            <w:r w:rsidRPr="00215670">
              <w:rPr>
                <w:rFonts w:ascii="Arial Narrow" w:hAnsi="Arial Narrow"/>
                <w:sz w:val="20"/>
                <w:szCs w:val="20"/>
              </w:rPr>
              <w:t>Category 3 – THERAPEUTIC PROCEDURES</w:t>
            </w:r>
          </w:p>
        </w:tc>
      </w:tr>
      <w:tr w:rsidR="00215670" w:rsidRPr="00215670" w14:paraId="1649160F" w14:textId="77777777" w:rsidTr="28C91E9B">
        <w:tc>
          <w:tcPr>
            <w:tcW w:w="9016" w:type="dxa"/>
          </w:tcPr>
          <w:p w14:paraId="233F0228" w14:textId="77777777" w:rsidR="00215670" w:rsidRPr="00215670" w:rsidRDefault="00215670" w:rsidP="003B228A">
            <w:pPr>
              <w:keepNext/>
              <w:keepLines/>
              <w:spacing w:after="160" w:line="259" w:lineRule="auto"/>
              <w:rPr>
                <w:rFonts w:ascii="Arial Narrow" w:hAnsi="Arial Narrow"/>
                <w:sz w:val="20"/>
                <w:szCs w:val="20"/>
              </w:rPr>
            </w:pPr>
            <w:r w:rsidRPr="00215670">
              <w:rPr>
                <w:rFonts w:ascii="Arial Narrow" w:hAnsi="Arial Narrow"/>
                <w:sz w:val="20"/>
                <w:szCs w:val="20"/>
                <w:lang w:val="en-US"/>
              </w:rPr>
              <w:t xml:space="preserve">MBS item </w:t>
            </w:r>
            <w:r w:rsidRPr="00215670">
              <w:rPr>
                <w:rFonts w:ascii="Arial Narrow" w:hAnsi="Arial Narrow"/>
                <w:b/>
                <w:bCs/>
                <w:sz w:val="20"/>
                <w:szCs w:val="20"/>
                <w:lang w:val="en-US"/>
              </w:rPr>
              <w:t>18354</w:t>
            </w:r>
          </w:p>
          <w:p w14:paraId="43427513" w14:textId="2E50D704" w:rsidR="00215670" w:rsidRPr="00215670" w:rsidRDefault="00215670" w:rsidP="003B228A">
            <w:pPr>
              <w:keepNext/>
              <w:keepLines/>
              <w:spacing w:after="160" w:line="259" w:lineRule="auto"/>
              <w:rPr>
                <w:rFonts w:ascii="Arial Narrow" w:hAnsi="Arial Narrow"/>
                <w:sz w:val="20"/>
                <w:szCs w:val="20"/>
              </w:rPr>
            </w:pPr>
            <w:r w:rsidRPr="28C91E9B">
              <w:rPr>
                <w:rFonts w:ascii="Arial Narrow" w:hAnsi="Arial Narrow"/>
                <w:sz w:val="20"/>
                <w:szCs w:val="20"/>
              </w:rPr>
              <w:t xml:space="preserve">Botulinum Toxin Type </w:t>
            </w:r>
            <w:proofErr w:type="gramStart"/>
            <w:r w:rsidRPr="28C91E9B">
              <w:rPr>
                <w:rFonts w:ascii="Arial Narrow" w:hAnsi="Arial Narrow"/>
                <w:sz w:val="20"/>
                <w:szCs w:val="20"/>
              </w:rPr>
              <w:t>A</w:t>
            </w:r>
            <w:proofErr w:type="gramEnd"/>
            <w:r w:rsidRPr="28C91E9B">
              <w:rPr>
                <w:rFonts w:ascii="Arial Narrow" w:hAnsi="Arial Narrow"/>
                <w:sz w:val="20"/>
                <w:szCs w:val="20"/>
              </w:rPr>
              <w:t xml:space="preserve"> Purified Neurot</w:t>
            </w:r>
            <w:r w:rsidRPr="28C91E9B">
              <w:rPr>
                <w:rFonts w:ascii="Arial Narrow" w:hAnsi="Arial Narrow"/>
                <w:b/>
                <w:bCs/>
                <w:color w:val="EE0000"/>
                <w:sz w:val="20"/>
                <w:szCs w:val="20"/>
              </w:rPr>
              <w:t>o</w:t>
            </w:r>
            <w:r w:rsidRPr="28C91E9B">
              <w:rPr>
                <w:rFonts w:ascii="Arial Narrow" w:hAnsi="Arial Narrow"/>
                <w:sz w:val="20"/>
                <w:szCs w:val="20"/>
              </w:rPr>
              <w:t xml:space="preserve">xin Complex (Botox), Clostridium Botulinum Type A Toxin-Haemagglutinin Complex (Dysport), </w:t>
            </w:r>
            <w:r w:rsidRPr="28C91E9B">
              <w:rPr>
                <w:rFonts w:ascii="Arial Narrow" w:hAnsi="Arial Narrow"/>
                <w:b/>
                <w:bCs/>
                <w:color w:val="EE0000"/>
                <w:sz w:val="20"/>
                <w:szCs w:val="20"/>
              </w:rPr>
              <w:t>or incobotulinumtoxinA (</w:t>
            </w:r>
            <w:proofErr w:type="spellStart"/>
            <w:r w:rsidRPr="28C91E9B">
              <w:rPr>
                <w:rFonts w:ascii="Arial Narrow" w:hAnsi="Arial Narrow"/>
                <w:b/>
                <w:bCs/>
                <w:color w:val="EE0000"/>
                <w:sz w:val="20"/>
                <w:szCs w:val="20"/>
              </w:rPr>
              <w:t>Xeomin</w:t>
            </w:r>
            <w:proofErr w:type="spellEnd"/>
            <w:r w:rsidRPr="28C91E9B">
              <w:rPr>
                <w:rFonts w:ascii="Arial Narrow" w:hAnsi="Arial Narrow"/>
                <w:b/>
                <w:bCs/>
                <w:color w:val="EE0000"/>
                <w:sz w:val="20"/>
                <w:szCs w:val="20"/>
              </w:rPr>
              <w:t>)</w:t>
            </w:r>
            <w:r w:rsidRPr="28C91E9B">
              <w:rPr>
                <w:rFonts w:ascii="Arial Narrow" w:hAnsi="Arial Narrow"/>
                <w:sz w:val="20"/>
                <w:szCs w:val="20"/>
              </w:rPr>
              <w:t xml:space="preserve">, injection of, for the treatment of dynamic </w:t>
            </w:r>
            <w:proofErr w:type="spellStart"/>
            <w:r w:rsidRPr="28C91E9B">
              <w:rPr>
                <w:rFonts w:ascii="Arial Narrow" w:hAnsi="Arial Narrow"/>
                <w:sz w:val="20"/>
                <w:szCs w:val="20"/>
              </w:rPr>
              <w:t>equinus</w:t>
            </w:r>
            <w:proofErr w:type="spellEnd"/>
            <w:r w:rsidRPr="28C91E9B">
              <w:rPr>
                <w:rFonts w:ascii="Arial Narrow" w:hAnsi="Arial Narrow"/>
                <w:sz w:val="20"/>
                <w:szCs w:val="20"/>
              </w:rPr>
              <w:t xml:space="preserve"> foot deformity (including equinovarus and </w:t>
            </w:r>
            <w:proofErr w:type="spellStart"/>
            <w:r w:rsidRPr="28C91E9B">
              <w:rPr>
                <w:rFonts w:ascii="Arial Narrow" w:hAnsi="Arial Narrow"/>
                <w:sz w:val="20"/>
                <w:szCs w:val="20"/>
              </w:rPr>
              <w:t>equinovalgus</w:t>
            </w:r>
            <w:proofErr w:type="spellEnd"/>
            <w:r w:rsidRPr="28C91E9B">
              <w:rPr>
                <w:rFonts w:ascii="Arial Narrow" w:hAnsi="Arial Narrow"/>
                <w:sz w:val="20"/>
                <w:szCs w:val="20"/>
              </w:rPr>
              <w:t>) due to</w:t>
            </w:r>
            <w:r w:rsidRPr="00BB5557">
              <w:rPr>
                <w:rFonts w:ascii="Arial Narrow" w:hAnsi="Arial Narrow"/>
                <w:color w:val="FF0000"/>
                <w:sz w:val="20"/>
                <w:szCs w:val="20"/>
              </w:rPr>
              <w:t xml:space="preserve"> </w:t>
            </w:r>
            <w:r w:rsidRPr="28C91E9B">
              <w:rPr>
                <w:rFonts w:ascii="Arial Narrow" w:hAnsi="Arial Narrow"/>
                <w:sz w:val="20"/>
                <w:szCs w:val="20"/>
              </w:rPr>
              <w:t xml:space="preserve">spasticity </w:t>
            </w:r>
            <w:r w:rsidR="000324F5" w:rsidRPr="00411823">
              <w:rPr>
                <w:rFonts w:ascii="Arial Narrow" w:hAnsi="Arial Narrow"/>
                <w:b/>
                <w:bCs/>
                <w:color w:val="ED0000"/>
                <w:sz w:val="20"/>
                <w:szCs w:val="20"/>
              </w:rPr>
              <w:t>from</w:t>
            </w:r>
            <w:r w:rsidRPr="28C91E9B">
              <w:rPr>
                <w:rFonts w:ascii="Arial Narrow" w:hAnsi="Arial Narrow"/>
                <w:sz w:val="20"/>
                <w:szCs w:val="20"/>
              </w:rPr>
              <w:t xml:space="preserve"> cerebral palsy, if:</w:t>
            </w:r>
          </w:p>
          <w:p w14:paraId="67922ABF" w14:textId="77777777" w:rsidR="00215670" w:rsidRPr="00215670" w:rsidRDefault="00215670" w:rsidP="003B228A">
            <w:pPr>
              <w:keepNext/>
              <w:keepLines/>
              <w:spacing w:after="160" w:line="259" w:lineRule="auto"/>
              <w:rPr>
                <w:rFonts w:ascii="Arial Narrow" w:hAnsi="Arial Narrow"/>
                <w:sz w:val="20"/>
                <w:szCs w:val="20"/>
              </w:rPr>
            </w:pPr>
            <w:r w:rsidRPr="00215670">
              <w:rPr>
                <w:rFonts w:ascii="Arial Narrow" w:hAnsi="Arial Narrow"/>
                <w:sz w:val="20"/>
                <w:szCs w:val="20"/>
              </w:rPr>
              <w:t>(a)    the patient is at least 2 years of age; and</w:t>
            </w:r>
          </w:p>
          <w:p w14:paraId="6D7EE136" w14:textId="77777777" w:rsidR="00215670" w:rsidRPr="00215670" w:rsidRDefault="00215670" w:rsidP="003B228A">
            <w:pPr>
              <w:keepNext/>
              <w:keepLines/>
              <w:spacing w:after="160" w:line="259" w:lineRule="auto"/>
              <w:rPr>
                <w:rFonts w:ascii="Arial Narrow" w:hAnsi="Arial Narrow"/>
                <w:sz w:val="20"/>
                <w:szCs w:val="20"/>
              </w:rPr>
            </w:pPr>
            <w:r w:rsidRPr="00215670">
              <w:rPr>
                <w:rFonts w:ascii="Arial Narrow" w:hAnsi="Arial Narrow"/>
                <w:sz w:val="20"/>
                <w:szCs w:val="20"/>
              </w:rPr>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w:t>
            </w:r>
          </w:p>
          <w:p w14:paraId="3792D02D" w14:textId="77777777" w:rsidR="00215670" w:rsidRPr="00215670" w:rsidRDefault="00215670" w:rsidP="003B228A">
            <w:pPr>
              <w:keepNext/>
              <w:keepLines/>
              <w:rPr>
                <w:rFonts w:ascii="Arial Narrow" w:hAnsi="Arial Narrow"/>
                <w:sz w:val="20"/>
                <w:szCs w:val="20"/>
              </w:rPr>
            </w:pPr>
            <w:r w:rsidRPr="00215670">
              <w:rPr>
                <w:rFonts w:ascii="Arial Narrow" w:hAnsi="Arial Narrow"/>
                <w:sz w:val="20"/>
                <w:szCs w:val="20"/>
              </w:rPr>
              <w:t>(Anaes.)</w:t>
            </w:r>
          </w:p>
        </w:tc>
      </w:tr>
      <w:tr w:rsidR="00215670" w:rsidRPr="00215670" w14:paraId="05307106" w14:textId="77777777" w:rsidTr="28C91E9B">
        <w:tc>
          <w:tcPr>
            <w:tcW w:w="9016" w:type="dxa"/>
          </w:tcPr>
          <w:p w14:paraId="0CDFEA69" w14:textId="694E4B60" w:rsidR="00215670" w:rsidRPr="00215670" w:rsidRDefault="00215670" w:rsidP="003B228A">
            <w:pPr>
              <w:keepNext/>
              <w:keepLines/>
              <w:rPr>
                <w:rFonts w:ascii="Arial Narrow" w:hAnsi="Arial Narrow"/>
                <w:sz w:val="20"/>
                <w:szCs w:val="20"/>
              </w:rPr>
            </w:pPr>
            <w:r w:rsidRPr="00215670">
              <w:rPr>
                <w:rFonts w:ascii="Arial Narrow" w:hAnsi="Arial Narrow"/>
                <w:sz w:val="20"/>
                <w:szCs w:val="20"/>
                <w:lang w:val="en-US"/>
              </w:rPr>
              <w:t>Fee: $14</w:t>
            </w:r>
            <w:r w:rsidR="009432CA">
              <w:rPr>
                <w:rFonts w:ascii="Arial Narrow" w:hAnsi="Arial Narrow"/>
                <w:sz w:val="20"/>
                <w:szCs w:val="20"/>
                <w:lang w:val="en-US"/>
              </w:rPr>
              <w:t>5</w:t>
            </w:r>
            <w:r w:rsidRPr="00215670">
              <w:rPr>
                <w:rFonts w:ascii="Arial Narrow" w:hAnsi="Arial Narrow"/>
                <w:sz w:val="20"/>
                <w:szCs w:val="20"/>
                <w:lang w:val="en-US"/>
              </w:rPr>
              <w:t>.</w:t>
            </w:r>
            <w:r w:rsidR="009432CA">
              <w:rPr>
                <w:rFonts w:ascii="Arial Narrow" w:hAnsi="Arial Narrow"/>
                <w:sz w:val="20"/>
                <w:szCs w:val="20"/>
                <w:lang w:val="en-US"/>
              </w:rPr>
              <w:t>6</w:t>
            </w:r>
            <w:r w:rsidRPr="00215670">
              <w:rPr>
                <w:rFonts w:ascii="Arial Narrow" w:hAnsi="Arial Narrow"/>
                <w:sz w:val="20"/>
                <w:szCs w:val="20"/>
                <w:lang w:val="en-US"/>
              </w:rPr>
              <w:t>5 Benefit: 75% = $10</w:t>
            </w:r>
            <w:r w:rsidR="00554DA4">
              <w:rPr>
                <w:rFonts w:ascii="Arial Narrow" w:hAnsi="Arial Narrow"/>
                <w:sz w:val="20"/>
                <w:szCs w:val="20"/>
                <w:lang w:val="en-US"/>
              </w:rPr>
              <w:t>9</w:t>
            </w:r>
            <w:r w:rsidRPr="00215670">
              <w:rPr>
                <w:rFonts w:ascii="Arial Narrow" w:hAnsi="Arial Narrow"/>
                <w:sz w:val="20"/>
                <w:szCs w:val="20"/>
                <w:lang w:val="en-US"/>
              </w:rPr>
              <w:t>.</w:t>
            </w:r>
            <w:r w:rsidR="00554DA4">
              <w:rPr>
                <w:rFonts w:ascii="Arial Narrow" w:hAnsi="Arial Narrow"/>
                <w:sz w:val="20"/>
                <w:szCs w:val="20"/>
                <w:lang w:val="en-US"/>
              </w:rPr>
              <w:t>25</w:t>
            </w:r>
            <w:r w:rsidRPr="00215670">
              <w:rPr>
                <w:rFonts w:ascii="Arial Narrow" w:hAnsi="Arial Narrow"/>
                <w:sz w:val="20"/>
                <w:szCs w:val="20"/>
                <w:lang w:val="en-US"/>
              </w:rPr>
              <w:t xml:space="preserve"> 85% = $12</w:t>
            </w:r>
            <w:r w:rsidR="00554DA4">
              <w:rPr>
                <w:rFonts w:ascii="Arial Narrow" w:hAnsi="Arial Narrow"/>
                <w:sz w:val="20"/>
                <w:szCs w:val="20"/>
                <w:lang w:val="en-US"/>
              </w:rPr>
              <w:t>3</w:t>
            </w:r>
            <w:r w:rsidRPr="00215670">
              <w:rPr>
                <w:rFonts w:ascii="Arial Narrow" w:hAnsi="Arial Narrow"/>
                <w:sz w:val="20"/>
                <w:szCs w:val="20"/>
                <w:lang w:val="en-US"/>
              </w:rPr>
              <w:t>.</w:t>
            </w:r>
            <w:r w:rsidR="00554DA4">
              <w:rPr>
                <w:rFonts w:ascii="Arial Narrow" w:hAnsi="Arial Narrow"/>
                <w:sz w:val="20"/>
                <w:szCs w:val="20"/>
                <w:lang w:val="en-US"/>
              </w:rPr>
              <w:t>8</w:t>
            </w:r>
            <w:r w:rsidRPr="00215670">
              <w:rPr>
                <w:rFonts w:ascii="Arial Narrow" w:hAnsi="Arial Narrow"/>
                <w:sz w:val="20"/>
                <w:szCs w:val="20"/>
                <w:lang w:val="en-US"/>
              </w:rPr>
              <w:t>5</w:t>
            </w:r>
          </w:p>
        </w:tc>
      </w:tr>
    </w:tbl>
    <w:p w14:paraId="2E6CB378" w14:textId="77777777" w:rsidR="00215670" w:rsidRDefault="00215670" w:rsidP="00215670">
      <w:pPr>
        <w:rPr>
          <w:szCs w:val="24"/>
        </w:rPr>
      </w:pPr>
    </w:p>
    <w:tbl>
      <w:tblPr>
        <w:tblStyle w:val="TableGrid"/>
        <w:tblW w:w="0" w:type="auto"/>
        <w:tblLook w:val="04A0" w:firstRow="1" w:lastRow="0" w:firstColumn="1" w:lastColumn="0" w:noHBand="0" w:noVBand="1"/>
      </w:tblPr>
      <w:tblGrid>
        <w:gridCol w:w="9016"/>
      </w:tblGrid>
      <w:tr w:rsidR="00215670" w:rsidRPr="00215670" w14:paraId="488E2A15" w14:textId="77777777">
        <w:tc>
          <w:tcPr>
            <w:tcW w:w="9016" w:type="dxa"/>
          </w:tcPr>
          <w:p w14:paraId="1B2DD697" w14:textId="77777777" w:rsidR="00215670" w:rsidRPr="00215670" w:rsidRDefault="00215670">
            <w:pPr>
              <w:rPr>
                <w:rFonts w:ascii="Arial Narrow" w:hAnsi="Arial Narrow"/>
                <w:sz w:val="20"/>
                <w:szCs w:val="20"/>
              </w:rPr>
            </w:pPr>
            <w:r w:rsidRPr="00215670">
              <w:rPr>
                <w:rFonts w:ascii="Arial Narrow" w:hAnsi="Arial Narrow"/>
                <w:sz w:val="20"/>
                <w:szCs w:val="20"/>
              </w:rPr>
              <w:t>Category 3 – THERAPEUTIC PROCEDURES</w:t>
            </w:r>
          </w:p>
        </w:tc>
      </w:tr>
      <w:tr w:rsidR="00215670" w:rsidRPr="00215670" w14:paraId="5B72D382" w14:textId="77777777">
        <w:tc>
          <w:tcPr>
            <w:tcW w:w="9016" w:type="dxa"/>
          </w:tcPr>
          <w:p w14:paraId="10F14F8F" w14:textId="77777777" w:rsidR="00215670" w:rsidRPr="00215670" w:rsidRDefault="00215670">
            <w:pPr>
              <w:rPr>
                <w:rFonts w:ascii="Arial Narrow" w:hAnsi="Arial Narrow"/>
                <w:sz w:val="20"/>
                <w:szCs w:val="20"/>
              </w:rPr>
            </w:pPr>
            <w:r w:rsidRPr="00215670">
              <w:rPr>
                <w:rFonts w:ascii="Arial Narrow" w:hAnsi="Arial Narrow"/>
                <w:sz w:val="20"/>
                <w:szCs w:val="20"/>
              </w:rPr>
              <w:t>MBS item 18361</w:t>
            </w:r>
          </w:p>
          <w:p w14:paraId="1485D1F5" w14:textId="77777777" w:rsidR="00215670" w:rsidRPr="00215670" w:rsidRDefault="00215670">
            <w:pPr>
              <w:rPr>
                <w:rFonts w:ascii="Arial Narrow" w:hAnsi="Arial Narrow"/>
                <w:sz w:val="20"/>
                <w:szCs w:val="20"/>
              </w:rPr>
            </w:pPr>
            <w:r w:rsidRPr="00215670">
              <w:rPr>
                <w:rFonts w:ascii="Arial Narrow" w:hAnsi="Arial Narrow"/>
                <w:sz w:val="20"/>
                <w:szCs w:val="20"/>
              </w:rPr>
              <w:t xml:space="preserve">Clostridium Botulinum Type A Toxin-Haemagglutinin Complex (Dysport), Botulinum Toxin Type </w:t>
            </w:r>
            <w:proofErr w:type="gramStart"/>
            <w:r w:rsidRPr="00215670">
              <w:rPr>
                <w:rFonts w:ascii="Arial Narrow" w:hAnsi="Arial Narrow"/>
                <w:sz w:val="20"/>
                <w:szCs w:val="20"/>
              </w:rPr>
              <w:t>A</w:t>
            </w:r>
            <w:proofErr w:type="gramEnd"/>
            <w:r w:rsidRPr="00215670">
              <w:rPr>
                <w:rFonts w:ascii="Arial Narrow" w:hAnsi="Arial Narrow"/>
                <w:sz w:val="20"/>
                <w:szCs w:val="20"/>
              </w:rPr>
              <w:t xml:space="preserve"> Purified Neurotoxin Complex (Botox), or </w:t>
            </w:r>
            <w:r w:rsidRPr="00215670">
              <w:rPr>
                <w:rFonts w:ascii="Arial Narrow" w:hAnsi="Arial Narrow"/>
                <w:b/>
                <w:bCs/>
                <w:color w:val="EE0000"/>
                <w:sz w:val="20"/>
                <w:szCs w:val="20"/>
              </w:rPr>
              <w:t>incobotulinumtoxinA (</w:t>
            </w:r>
            <w:proofErr w:type="spellStart"/>
            <w:r w:rsidRPr="00215670">
              <w:rPr>
                <w:rFonts w:ascii="Arial Narrow" w:hAnsi="Arial Narrow"/>
                <w:b/>
                <w:bCs/>
                <w:color w:val="EE0000"/>
                <w:sz w:val="20"/>
                <w:szCs w:val="20"/>
              </w:rPr>
              <w:t>Xeomin</w:t>
            </w:r>
            <w:proofErr w:type="spellEnd"/>
            <w:r w:rsidRPr="00215670">
              <w:rPr>
                <w:rFonts w:ascii="Arial Narrow" w:hAnsi="Arial Narrow"/>
                <w:b/>
                <w:bCs/>
                <w:color w:val="EE0000"/>
                <w:sz w:val="20"/>
                <w:szCs w:val="20"/>
              </w:rPr>
              <w:t>)</w:t>
            </w:r>
            <w:r w:rsidRPr="00215670">
              <w:rPr>
                <w:rFonts w:ascii="Arial Narrow" w:hAnsi="Arial Narrow"/>
                <w:sz w:val="20"/>
                <w:szCs w:val="20"/>
              </w:rPr>
              <w:t>, injection of, for the treatment of moderate to severe upper limb spasticity due to cerebral palsy if:</w:t>
            </w:r>
          </w:p>
          <w:p w14:paraId="6CD44F89" w14:textId="77777777" w:rsidR="00215670" w:rsidRPr="00215670" w:rsidRDefault="00215670">
            <w:pPr>
              <w:rPr>
                <w:rFonts w:ascii="Arial Narrow" w:hAnsi="Arial Narrow"/>
                <w:sz w:val="20"/>
                <w:szCs w:val="20"/>
              </w:rPr>
            </w:pPr>
            <w:r w:rsidRPr="00215670">
              <w:rPr>
                <w:rFonts w:ascii="Arial Narrow" w:hAnsi="Arial Narrow"/>
                <w:sz w:val="20"/>
                <w:szCs w:val="20"/>
              </w:rPr>
              <w:t>(a) the patient is at least 2 years of age; and</w:t>
            </w:r>
          </w:p>
          <w:p w14:paraId="27FC2911" w14:textId="77777777" w:rsidR="00215670" w:rsidRPr="00215670" w:rsidRDefault="00215670">
            <w:pPr>
              <w:rPr>
                <w:rFonts w:ascii="Arial Narrow" w:hAnsi="Arial Narrow"/>
                <w:sz w:val="20"/>
                <w:szCs w:val="20"/>
              </w:rPr>
            </w:pPr>
            <w:r w:rsidRPr="00215670">
              <w:rPr>
                <w:rFonts w:ascii="Arial Narrow" w:hAnsi="Arial Narrow"/>
                <w:sz w:val="20"/>
                <w:szCs w:val="20"/>
              </w:rPr>
              <w:t>(b) the treatment is for all or any of the muscles subserving one functional activity and supplied by one motor nerve, with a maximum of 4 sets of injections for the patient on any one day (with a maximum of 2 sets of injections for each upper limb), including all injections per set</w:t>
            </w:r>
          </w:p>
          <w:p w14:paraId="0FC0330B" w14:textId="77777777" w:rsidR="00215670" w:rsidRPr="00215670" w:rsidRDefault="00215670">
            <w:pPr>
              <w:rPr>
                <w:rFonts w:ascii="Arial Narrow" w:hAnsi="Arial Narrow"/>
                <w:sz w:val="20"/>
                <w:szCs w:val="20"/>
              </w:rPr>
            </w:pPr>
            <w:r w:rsidRPr="00215670">
              <w:rPr>
                <w:rFonts w:ascii="Arial Narrow" w:hAnsi="Arial Narrow"/>
                <w:sz w:val="20"/>
                <w:szCs w:val="20"/>
              </w:rPr>
              <w:t>(Anaes.)</w:t>
            </w:r>
          </w:p>
        </w:tc>
      </w:tr>
      <w:tr w:rsidR="00215670" w:rsidRPr="00215670" w14:paraId="447191CB" w14:textId="77777777">
        <w:tc>
          <w:tcPr>
            <w:tcW w:w="9016" w:type="dxa"/>
          </w:tcPr>
          <w:p w14:paraId="5F290A00" w14:textId="63DE4031" w:rsidR="00215670" w:rsidRPr="00215670" w:rsidRDefault="00215670">
            <w:pPr>
              <w:rPr>
                <w:rFonts w:ascii="Arial Narrow" w:hAnsi="Arial Narrow"/>
                <w:sz w:val="20"/>
                <w:szCs w:val="20"/>
              </w:rPr>
            </w:pPr>
            <w:r w:rsidRPr="00215670">
              <w:rPr>
                <w:rFonts w:ascii="Arial Narrow" w:hAnsi="Arial Narrow"/>
                <w:sz w:val="20"/>
                <w:szCs w:val="20"/>
              </w:rPr>
              <w:t>Fee: $14</w:t>
            </w:r>
            <w:r w:rsidR="000053D3">
              <w:rPr>
                <w:rFonts w:ascii="Arial Narrow" w:hAnsi="Arial Narrow"/>
                <w:sz w:val="20"/>
                <w:szCs w:val="20"/>
              </w:rPr>
              <w:t>5</w:t>
            </w:r>
            <w:r w:rsidRPr="00215670">
              <w:rPr>
                <w:rFonts w:ascii="Arial Narrow" w:hAnsi="Arial Narrow"/>
                <w:sz w:val="20"/>
                <w:szCs w:val="20"/>
              </w:rPr>
              <w:t>.</w:t>
            </w:r>
            <w:r w:rsidR="000053D3">
              <w:rPr>
                <w:rFonts w:ascii="Arial Narrow" w:hAnsi="Arial Narrow"/>
                <w:sz w:val="20"/>
                <w:szCs w:val="20"/>
              </w:rPr>
              <w:t>65</w:t>
            </w:r>
            <w:r w:rsidRPr="00215670">
              <w:rPr>
                <w:rFonts w:ascii="Arial Narrow" w:hAnsi="Arial Narrow"/>
                <w:sz w:val="20"/>
                <w:szCs w:val="20"/>
              </w:rPr>
              <w:t xml:space="preserve"> Benefit: 75% = $10</w:t>
            </w:r>
            <w:r w:rsidR="000053D3">
              <w:rPr>
                <w:rFonts w:ascii="Arial Narrow" w:hAnsi="Arial Narrow"/>
                <w:sz w:val="20"/>
                <w:szCs w:val="20"/>
              </w:rPr>
              <w:t>9</w:t>
            </w:r>
            <w:r w:rsidRPr="00215670">
              <w:rPr>
                <w:rFonts w:ascii="Arial Narrow" w:hAnsi="Arial Narrow"/>
                <w:sz w:val="20"/>
                <w:szCs w:val="20"/>
              </w:rPr>
              <w:t>.</w:t>
            </w:r>
            <w:r w:rsidR="000053D3">
              <w:rPr>
                <w:rFonts w:ascii="Arial Narrow" w:hAnsi="Arial Narrow"/>
                <w:sz w:val="20"/>
                <w:szCs w:val="20"/>
              </w:rPr>
              <w:t>25</w:t>
            </w:r>
            <w:r w:rsidRPr="00215670">
              <w:rPr>
                <w:rFonts w:ascii="Arial Narrow" w:hAnsi="Arial Narrow"/>
                <w:sz w:val="20"/>
                <w:szCs w:val="20"/>
              </w:rPr>
              <w:t xml:space="preserve"> 85% = $12</w:t>
            </w:r>
            <w:r w:rsidR="000053D3">
              <w:rPr>
                <w:rFonts w:ascii="Arial Narrow" w:hAnsi="Arial Narrow"/>
                <w:sz w:val="20"/>
                <w:szCs w:val="20"/>
              </w:rPr>
              <w:t>3</w:t>
            </w:r>
            <w:r w:rsidRPr="00215670">
              <w:rPr>
                <w:rFonts w:ascii="Arial Narrow" w:hAnsi="Arial Narrow"/>
                <w:sz w:val="20"/>
                <w:szCs w:val="20"/>
              </w:rPr>
              <w:t>.</w:t>
            </w:r>
            <w:r w:rsidR="000053D3">
              <w:rPr>
                <w:rFonts w:ascii="Arial Narrow" w:hAnsi="Arial Narrow"/>
                <w:sz w:val="20"/>
                <w:szCs w:val="20"/>
              </w:rPr>
              <w:t>8</w:t>
            </w:r>
            <w:r w:rsidRPr="00215670">
              <w:rPr>
                <w:rFonts w:ascii="Arial Narrow" w:hAnsi="Arial Narrow"/>
                <w:sz w:val="20"/>
                <w:szCs w:val="20"/>
              </w:rPr>
              <w:t>5</w:t>
            </w:r>
          </w:p>
        </w:tc>
      </w:tr>
    </w:tbl>
    <w:p w14:paraId="6E8117CA" w14:textId="77777777" w:rsidR="00215670" w:rsidRDefault="00215670" w:rsidP="00491603">
      <w:pPr>
        <w:pStyle w:val="TableFooter"/>
        <w:keepNext/>
        <w:keepLines/>
        <w:rPr>
          <w:rFonts w:ascii="Franklin Gothic Book" w:eastAsia="Franklin Gothic Book" w:hAnsi="Franklin Gothic Book"/>
          <w:sz w:val="22"/>
          <w:szCs w:val="22"/>
        </w:rPr>
      </w:pPr>
    </w:p>
    <w:tbl>
      <w:tblPr>
        <w:tblStyle w:val="Section3-footnot1"/>
        <w:tblW w:w="0" w:type="auto"/>
        <w:tblLook w:val="04A0" w:firstRow="1" w:lastRow="0" w:firstColumn="1" w:lastColumn="0" w:noHBand="0" w:noVBand="1"/>
        <w:tblDescription w:val="Consumer summary of MSAC consideration"/>
      </w:tblPr>
      <w:tblGrid>
        <w:gridCol w:w="9016"/>
      </w:tblGrid>
      <w:tr w:rsidR="005B6E10" w:rsidRPr="00F91D6E" w14:paraId="2968A5E6" w14:textId="77777777" w:rsidTr="0F342885">
        <w:trPr>
          <w:tblHeader/>
        </w:trPr>
        <w:tc>
          <w:tcPr>
            <w:tcW w:w="9016" w:type="dxa"/>
          </w:tcPr>
          <w:p w14:paraId="19FA10F1" w14:textId="5CD2B320" w:rsidR="005B6E10" w:rsidRPr="00F91D6E" w:rsidRDefault="005B6E10" w:rsidP="00982EC2">
            <w:pPr>
              <w:keepNext/>
              <w:keepLines/>
              <w:spacing w:after="120"/>
              <w:rPr>
                <w:rFonts w:eastAsia="Calibri"/>
                <w:b/>
                <w:bCs/>
              </w:rPr>
            </w:pPr>
            <w:r w:rsidRPr="00F91D6E">
              <w:rPr>
                <w:b/>
                <w:bCs/>
              </w:rPr>
              <w:t>Consumer summary</w:t>
            </w:r>
          </w:p>
        </w:tc>
      </w:tr>
      <w:tr w:rsidR="005B6E10" w:rsidRPr="00F91D6E" w14:paraId="02C04567" w14:textId="77777777" w:rsidTr="0F342885">
        <w:tc>
          <w:tcPr>
            <w:tcW w:w="9016" w:type="dxa"/>
          </w:tcPr>
          <w:p w14:paraId="6CB5D3A9" w14:textId="3B7A2D7A" w:rsidR="00982EC2" w:rsidRDefault="00982EC2" w:rsidP="00982EC2">
            <w:r w:rsidRPr="00AF46D8">
              <w:t>Thi</w:t>
            </w:r>
            <w:r w:rsidR="00882A44">
              <w:t>s</w:t>
            </w:r>
            <w:r>
              <w:t xml:space="preserve"> co-dependent </w:t>
            </w:r>
            <w:r w:rsidRPr="00AF46D8">
              <w:t xml:space="preserve">application from </w:t>
            </w:r>
            <w:r w:rsidRPr="00327E55">
              <w:t xml:space="preserve">Merz Australia Pty Ltd </w:t>
            </w:r>
            <w:r w:rsidR="008E7CB2">
              <w:t xml:space="preserve">that </w:t>
            </w:r>
            <w:r w:rsidRPr="00AF46D8">
              <w:t>request</w:t>
            </w:r>
            <w:r w:rsidR="00882A44">
              <w:t>ed</w:t>
            </w:r>
            <w:r w:rsidRPr="00AF46D8">
              <w:t xml:space="preserve"> </w:t>
            </w:r>
            <w:r w:rsidR="006068CA">
              <w:t xml:space="preserve">amendment </w:t>
            </w:r>
            <w:r w:rsidR="008901F8">
              <w:t>of</w:t>
            </w:r>
            <w:r w:rsidR="006068CA">
              <w:t xml:space="preserve"> </w:t>
            </w:r>
            <w:r w:rsidRPr="00AF46D8">
              <w:t xml:space="preserve">MBS </w:t>
            </w:r>
            <w:r>
              <w:t xml:space="preserve">items </w:t>
            </w:r>
            <w:hyperlink r:id="rId11" w:history="1">
              <w:r w:rsidRPr="00F7062B">
                <w:rPr>
                  <w:rStyle w:val="Hyperlink"/>
                </w:rPr>
                <w:t>18354</w:t>
              </w:r>
            </w:hyperlink>
            <w:r w:rsidRPr="002F6AC3">
              <w:t xml:space="preserve"> and </w:t>
            </w:r>
            <w:hyperlink r:id="rId12" w:history="1">
              <w:r w:rsidRPr="00F7062B">
                <w:rPr>
                  <w:rStyle w:val="Hyperlink"/>
                </w:rPr>
                <w:t>18361</w:t>
              </w:r>
            </w:hyperlink>
            <w:r>
              <w:t xml:space="preserve"> to include </w:t>
            </w:r>
            <w:r w:rsidRPr="000861DE">
              <w:t>incobotulinumtoxinA (</w:t>
            </w:r>
            <w:proofErr w:type="spellStart"/>
            <w:r w:rsidRPr="000861DE">
              <w:t>Xeomin</w:t>
            </w:r>
            <w:proofErr w:type="spellEnd"/>
            <w:r>
              <w:t xml:space="preserve">®) injections for </w:t>
            </w:r>
            <w:r w:rsidR="00EB6FB0">
              <w:t xml:space="preserve">patients </w:t>
            </w:r>
            <w:r>
              <w:t xml:space="preserve">aged 2 years and older with </w:t>
            </w:r>
            <w:r w:rsidR="00BF164E">
              <w:t>cerebral palsy (</w:t>
            </w:r>
            <w:r w:rsidR="00082796">
              <w:t>CP</w:t>
            </w:r>
            <w:r w:rsidR="00BF164E">
              <w:t>)</w:t>
            </w:r>
            <w:r>
              <w:t xml:space="preserve"> who have </w:t>
            </w:r>
            <w:r w:rsidR="00483E6B">
              <w:t xml:space="preserve">moderate to severe spasticity </w:t>
            </w:r>
            <w:r w:rsidR="00014EE8">
              <w:t xml:space="preserve">(stiffness) </w:t>
            </w:r>
            <w:r w:rsidR="00483E6B">
              <w:t xml:space="preserve">of their </w:t>
            </w:r>
            <w:r>
              <w:t xml:space="preserve">upper or lower limb. The PBAC recommended listing </w:t>
            </w:r>
            <w:r w:rsidR="009C64D8">
              <w:t xml:space="preserve">of </w:t>
            </w:r>
            <w:proofErr w:type="spellStart"/>
            <w:r w:rsidR="00974DBD" w:rsidRPr="000861DE">
              <w:t>Xeomin</w:t>
            </w:r>
            <w:proofErr w:type="spellEnd"/>
            <w:r w:rsidR="00974DBD">
              <w:t>®</w:t>
            </w:r>
            <w:r>
              <w:t xml:space="preserve"> on the PBS at its July 2025 meeting, having considered the drug to be safe and effective.</w:t>
            </w:r>
          </w:p>
          <w:p w14:paraId="1685E6E5" w14:textId="4722B6C5" w:rsidR="00982EC2" w:rsidRDefault="002405B3" w:rsidP="00982EC2">
            <w:r>
              <w:t>CP</w:t>
            </w:r>
            <w:r w:rsidR="00982EC2" w:rsidRPr="002D75C0">
              <w:t xml:space="preserve"> is a group of </w:t>
            </w:r>
            <w:r w:rsidR="00982EC2">
              <w:t>nervous system (</w:t>
            </w:r>
            <w:r w:rsidR="00982EC2" w:rsidRPr="002D75C0">
              <w:t>neurologica</w:t>
            </w:r>
            <w:r w:rsidR="00982EC2">
              <w:t xml:space="preserve">l) </w:t>
            </w:r>
            <w:r w:rsidR="00982EC2" w:rsidRPr="002D75C0">
              <w:t xml:space="preserve">disorders that </w:t>
            </w:r>
            <w:r w:rsidR="00982EC2">
              <w:t xml:space="preserve">first </w:t>
            </w:r>
            <w:r w:rsidR="00982EC2" w:rsidRPr="002D75C0">
              <w:t>appear</w:t>
            </w:r>
            <w:r w:rsidR="00982EC2">
              <w:t xml:space="preserve"> in babies or young children. </w:t>
            </w:r>
            <w:r>
              <w:t>CP</w:t>
            </w:r>
            <w:r w:rsidR="00982EC2">
              <w:t xml:space="preserve"> affects a person’s ability to control body movement and </w:t>
            </w:r>
            <w:r w:rsidR="00982EC2" w:rsidRPr="002D75C0">
              <w:t>coordination. Spasticity</w:t>
            </w:r>
            <w:r w:rsidR="008A64BA">
              <w:t xml:space="preserve">, </w:t>
            </w:r>
            <w:r w:rsidR="00982EC2">
              <w:t>or stiffness</w:t>
            </w:r>
            <w:r w:rsidR="008A64BA">
              <w:t xml:space="preserve">, </w:t>
            </w:r>
            <w:r w:rsidR="00982EC2" w:rsidRPr="002D75C0">
              <w:t xml:space="preserve">affects </w:t>
            </w:r>
            <w:r w:rsidR="00982EC2">
              <w:t>approximately</w:t>
            </w:r>
            <w:r w:rsidR="00982EC2" w:rsidRPr="002D75C0">
              <w:t xml:space="preserve"> 70–90% of children with </w:t>
            </w:r>
            <w:r>
              <w:t>CP</w:t>
            </w:r>
            <w:r w:rsidR="00982EC2">
              <w:t>. Spasticity can affect the upper limbs (arms) or lower limbs (legs)</w:t>
            </w:r>
            <w:r w:rsidR="00CA1987">
              <w:t xml:space="preserve"> and can </w:t>
            </w:r>
            <w:r w:rsidR="00A3247B">
              <w:t>cause problems with pain and movement</w:t>
            </w:r>
            <w:r w:rsidR="00982EC2">
              <w:t>.</w:t>
            </w:r>
          </w:p>
          <w:p w14:paraId="321873BA" w14:textId="6606FBF3" w:rsidR="00241932" w:rsidRDefault="00AF0732" w:rsidP="00982EC2">
            <w:proofErr w:type="spellStart"/>
            <w:r w:rsidRPr="000861DE">
              <w:t>Xeomin</w:t>
            </w:r>
            <w:proofErr w:type="spellEnd"/>
            <w:r>
              <w:t>®</w:t>
            </w:r>
            <w:r w:rsidR="007619CC">
              <w:t xml:space="preserve"> i</w:t>
            </w:r>
            <w:r w:rsidR="00161B7D">
              <w:t>s a</w:t>
            </w:r>
            <w:r w:rsidR="00AC6DA5">
              <w:t xml:space="preserve"> medication that</w:t>
            </w:r>
            <w:r w:rsidR="007619CC">
              <w:t xml:space="preserve"> i</w:t>
            </w:r>
            <w:r w:rsidR="00161B7D">
              <w:t xml:space="preserve">s a form of botulinum </w:t>
            </w:r>
            <w:r w:rsidR="007B6FD3">
              <w:t>toxin</w:t>
            </w:r>
            <w:r w:rsidR="00596918">
              <w:t xml:space="preserve">, that is </w:t>
            </w:r>
            <w:proofErr w:type="gramStart"/>
            <w:r w:rsidR="00596918">
              <w:t>sim</w:t>
            </w:r>
            <w:r w:rsidR="00F62A7D">
              <w:t>ilar</w:t>
            </w:r>
            <w:r w:rsidR="00596918">
              <w:t xml:space="preserve"> to</w:t>
            </w:r>
            <w:proofErr w:type="gramEnd"/>
            <w:r w:rsidR="00596918">
              <w:t xml:space="preserve"> </w:t>
            </w:r>
            <w:r w:rsidR="00F62A7D">
              <w:t>medications such as Botox® and Dysport®</w:t>
            </w:r>
            <w:r w:rsidR="00E7184C">
              <w:t>,</w:t>
            </w:r>
            <w:r w:rsidR="00F62A7D">
              <w:t xml:space="preserve"> </w:t>
            </w:r>
            <w:r w:rsidR="00490C85">
              <w:t xml:space="preserve">that are also </w:t>
            </w:r>
            <w:r w:rsidR="00DA4785">
              <w:t xml:space="preserve">botulinum toxin products. </w:t>
            </w:r>
            <w:r w:rsidR="002B5144">
              <w:t>Botox® and Dysport® all work to reduce spasticity</w:t>
            </w:r>
            <w:r w:rsidR="003244D7">
              <w:t xml:space="preserve"> (stiffness)</w:t>
            </w:r>
            <w:r w:rsidR="002B5144">
              <w:t xml:space="preserve">. </w:t>
            </w:r>
            <w:r w:rsidR="00756617">
              <w:t>W</w:t>
            </w:r>
            <w:r w:rsidR="00A21276">
              <w:t>hen</w:t>
            </w:r>
            <w:r w:rsidR="00756617" w:rsidRPr="000861DE">
              <w:t xml:space="preserve"> </w:t>
            </w:r>
            <w:proofErr w:type="spellStart"/>
            <w:r w:rsidR="00756617" w:rsidRPr="000861DE">
              <w:t>Xeomin</w:t>
            </w:r>
            <w:proofErr w:type="spellEnd"/>
            <w:r w:rsidR="00756617">
              <w:t>® is</w:t>
            </w:r>
            <w:r w:rsidR="00A21276">
              <w:t xml:space="preserve"> injected into </w:t>
            </w:r>
            <w:r w:rsidR="00F72C9E">
              <w:t xml:space="preserve">muscles </w:t>
            </w:r>
            <w:r w:rsidR="00863CF3">
              <w:t>that are affected by spasticity, it helps the</w:t>
            </w:r>
            <w:r w:rsidR="009112B5">
              <w:t xml:space="preserve"> </w:t>
            </w:r>
            <w:r w:rsidR="00863CF3">
              <w:t>m</w:t>
            </w:r>
            <w:r w:rsidR="009112B5">
              <w:t>uscles</w:t>
            </w:r>
            <w:r w:rsidR="00863CF3">
              <w:t xml:space="preserve"> to relax</w:t>
            </w:r>
            <w:r w:rsidR="00F72C9E">
              <w:t xml:space="preserve"> </w:t>
            </w:r>
            <w:r w:rsidR="000E34FE">
              <w:t xml:space="preserve">by </w:t>
            </w:r>
            <w:r w:rsidR="00F72C9E">
              <w:t>block</w:t>
            </w:r>
            <w:r w:rsidR="009849CF">
              <w:t>ing</w:t>
            </w:r>
            <w:r w:rsidR="00F72C9E">
              <w:t xml:space="preserve"> </w:t>
            </w:r>
            <w:r w:rsidR="00D64569">
              <w:t xml:space="preserve">the </w:t>
            </w:r>
            <w:r w:rsidR="00F72C9E">
              <w:t xml:space="preserve">chemical signals that </w:t>
            </w:r>
            <w:r w:rsidR="000E34FE">
              <w:t xml:space="preserve">cause muscles to </w:t>
            </w:r>
            <w:r w:rsidR="00D64569">
              <w:t>stiffen</w:t>
            </w:r>
            <w:r w:rsidR="000E34FE">
              <w:t>.</w:t>
            </w:r>
            <w:r w:rsidR="00A21276">
              <w:t xml:space="preserve"> </w:t>
            </w:r>
            <w:r w:rsidR="00CA50F3">
              <w:t xml:space="preserve">MBS items 18354 and 18361 already exist for the injection of </w:t>
            </w:r>
            <w:r w:rsidR="00F97FDB">
              <w:t xml:space="preserve">Botox® and Dysport® </w:t>
            </w:r>
            <w:r w:rsidR="00CA50F3">
              <w:t>to treat spasticity in</w:t>
            </w:r>
            <w:r w:rsidR="00084F85">
              <w:t xml:space="preserve"> patients aged 2 years and older with upper and/or lower limb spasticity. </w:t>
            </w:r>
            <w:r w:rsidR="00566E6C">
              <w:t xml:space="preserve">This application </w:t>
            </w:r>
            <w:r w:rsidR="00650AEA">
              <w:t xml:space="preserve">proposes to </w:t>
            </w:r>
            <w:r w:rsidR="00E14E0B">
              <w:t xml:space="preserve">add </w:t>
            </w:r>
            <w:proofErr w:type="spellStart"/>
            <w:r w:rsidRPr="000861DE">
              <w:t>Xeomin</w:t>
            </w:r>
            <w:proofErr w:type="spellEnd"/>
            <w:r>
              <w:t>®</w:t>
            </w:r>
            <w:r w:rsidR="00D01808">
              <w:t xml:space="preserve"> </w:t>
            </w:r>
            <w:r w:rsidR="007B3196">
              <w:t xml:space="preserve">to </w:t>
            </w:r>
            <w:r w:rsidR="00FA0F68">
              <w:t xml:space="preserve">these MBS items, </w:t>
            </w:r>
            <w:r w:rsidR="0016475E">
              <w:t>to provide</w:t>
            </w:r>
            <w:r w:rsidR="006E7796">
              <w:t xml:space="preserve"> another </w:t>
            </w:r>
            <w:r w:rsidR="004E767C">
              <w:t xml:space="preserve">choice </w:t>
            </w:r>
            <w:r w:rsidR="002361CD">
              <w:t>of medication that can used</w:t>
            </w:r>
            <w:r w:rsidR="00F5700F">
              <w:t>.</w:t>
            </w:r>
          </w:p>
          <w:p w14:paraId="1CB56A4B" w14:textId="7237A48F" w:rsidR="00F07670" w:rsidRDefault="00982EC2" w:rsidP="00982EC2">
            <w:r>
              <w:lastRenderedPageBreak/>
              <w:t>MSAC noted that th</w:t>
            </w:r>
            <w:r w:rsidR="009923D3">
              <w:t>is</w:t>
            </w:r>
            <w:r>
              <w:t xml:space="preserve"> application included evidence </w:t>
            </w:r>
            <w:r w:rsidR="00F86E93">
              <w:t xml:space="preserve">for </w:t>
            </w:r>
            <w:proofErr w:type="spellStart"/>
            <w:r w:rsidR="00AF0732" w:rsidRPr="000861DE">
              <w:t>Xeomin</w:t>
            </w:r>
            <w:proofErr w:type="spellEnd"/>
            <w:r w:rsidR="00AF0732">
              <w:t>®</w:t>
            </w:r>
            <w:r>
              <w:t xml:space="preserve"> use in children only. MSAC </w:t>
            </w:r>
            <w:r w:rsidR="000F7E3B">
              <w:t xml:space="preserve">agreed with PBAC </w:t>
            </w:r>
            <w:r w:rsidR="00B60179">
              <w:t xml:space="preserve">and </w:t>
            </w:r>
            <w:r>
              <w:t>considered it appropriate for the treatment to</w:t>
            </w:r>
            <w:r w:rsidR="00F86E93">
              <w:t xml:space="preserve"> also</w:t>
            </w:r>
            <w:r>
              <w:t xml:space="preserve"> be available for adults as well, as there are no safety or effectiveness issues in the adult population. </w:t>
            </w:r>
          </w:p>
          <w:p w14:paraId="19D97AC3" w14:textId="55D5160D" w:rsidR="005B6E10" w:rsidRDefault="00982EC2" w:rsidP="00982EC2">
            <w:r>
              <w:t>MSAC noted th</w:t>
            </w:r>
            <w:r w:rsidR="009923D3">
              <w:t>is</w:t>
            </w:r>
            <w:r>
              <w:t xml:space="preserve"> application limited </w:t>
            </w:r>
            <w:proofErr w:type="spellStart"/>
            <w:r w:rsidR="00AF0732" w:rsidRPr="000861DE">
              <w:t>Xeomin</w:t>
            </w:r>
            <w:proofErr w:type="spellEnd"/>
            <w:r w:rsidR="00AF0732">
              <w:t>®</w:t>
            </w:r>
            <w:r>
              <w:t xml:space="preserve"> injections to once every 12 weeks</w:t>
            </w:r>
            <w:r w:rsidR="002405B3">
              <w:t>.</w:t>
            </w:r>
            <w:r w:rsidR="00FF09C1">
              <w:t xml:space="preserve"> </w:t>
            </w:r>
            <w:r>
              <w:t>MSAC noted that Botox</w:t>
            </w:r>
            <w:r w:rsidR="00830EC7">
              <w:t>®</w:t>
            </w:r>
            <w:r>
              <w:t xml:space="preserve"> and Dysport</w:t>
            </w:r>
            <w:r w:rsidR="00830EC7">
              <w:t>®</w:t>
            </w:r>
            <w:r>
              <w:t xml:space="preserve"> </w:t>
            </w:r>
            <w:r w:rsidR="00FE2355">
              <w:t>d</w:t>
            </w:r>
            <w:r w:rsidR="00802B58">
              <w:t>o</w:t>
            </w:r>
            <w:r w:rsidR="00FE2355">
              <w:t xml:space="preserve"> not have frequency restrictions</w:t>
            </w:r>
            <w:r w:rsidR="00FF09C1">
              <w:t xml:space="preserve"> </w:t>
            </w:r>
            <w:r w:rsidR="002405B3">
              <w:t>and</w:t>
            </w:r>
            <w:r>
              <w:t xml:space="preserve"> thus considered </w:t>
            </w:r>
            <w:r w:rsidR="008B42B8">
              <w:t xml:space="preserve">that frequency restrictions for </w:t>
            </w:r>
            <w:proofErr w:type="spellStart"/>
            <w:r w:rsidR="00AF0732" w:rsidRPr="000861DE">
              <w:t>Xeomin</w:t>
            </w:r>
            <w:proofErr w:type="spellEnd"/>
            <w:r w:rsidR="00AF0732">
              <w:t>®</w:t>
            </w:r>
            <w:r>
              <w:t xml:space="preserve"> injections </w:t>
            </w:r>
            <w:r w:rsidR="008B42B8">
              <w:t>are not required</w:t>
            </w:r>
            <w:r>
              <w:t>.</w:t>
            </w:r>
          </w:p>
          <w:p w14:paraId="471BE4B7" w14:textId="48F1C2C3" w:rsidR="000B6996" w:rsidRDefault="00F07670" w:rsidP="000B6996">
            <w:r>
              <w:t xml:space="preserve">MSAC noted that </w:t>
            </w:r>
            <w:r w:rsidR="000B6996">
              <w:t xml:space="preserve">MBS items 18354 and 18361 already exist for the </w:t>
            </w:r>
            <w:r w:rsidR="008B42B8">
              <w:t>injection</w:t>
            </w:r>
            <w:r w:rsidR="000B6996">
              <w:t xml:space="preserve"> of the drugs Botox® and Dysport® for spasticity in CP. </w:t>
            </w:r>
            <w:r w:rsidR="007F3AA1">
              <w:t xml:space="preserve">MSAC considered that including </w:t>
            </w:r>
            <w:proofErr w:type="spellStart"/>
            <w:r w:rsidR="00AF0732">
              <w:t>Xeomin</w:t>
            </w:r>
            <w:proofErr w:type="spellEnd"/>
            <w:r w:rsidR="00AF0732">
              <w:t>®</w:t>
            </w:r>
            <w:r w:rsidR="000B6996">
              <w:t xml:space="preserve"> in these existing MBS items would not </w:t>
            </w:r>
            <w:r w:rsidR="00BF5E77">
              <w:t>change</w:t>
            </w:r>
            <w:r w:rsidR="000B6996">
              <w:t xml:space="preserve"> the overall cost of the service</w:t>
            </w:r>
            <w:r w:rsidR="00BF5E77">
              <w:t xml:space="preserve"> which would remain the same</w:t>
            </w:r>
            <w:r w:rsidR="000B6996">
              <w:t xml:space="preserve">, as </w:t>
            </w:r>
            <w:proofErr w:type="spellStart"/>
            <w:r w:rsidR="00AF0732">
              <w:t>Xeomin</w:t>
            </w:r>
            <w:proofErr w:type="spellEnd"/>
            <w:r w:rsidR="00AF0732">
              <w:t>®</w:t>
            </w:r>
            <w:r w:rsidR="000B6996">
              <w:t xml:space="preserve"> is expected to be used instead of, not in addition to, Botox® or Dysport®</w:t>
            </w:r>
            <w:r w:rsidR="007F3AA1">
              <w:t xml:space="preserve"> by allowing doctors and patients to have a choice of 3 medications to use</w:t>
            </w:r>
            <w:r w:rsidR="000B6996">
              <w:t xml:space="preserve">. For this same reason, </w:t>
            </w:r>
            <w:r w:rsidR="007F3AA1">
              <w:t xml:space="preserve">MSAC considered </w:t>
            </w:r>
            <w:r w:rsidR="000B6996">
              <w:t>it would also not increase the overall use of this service and associated services (which include</w:t>
            </w:r>
            <w:r w:rsidR="4A40BA57">
              <w:t>s</w:t>
            </w:r>
            <w:r w:rsidR="000B6996">
              <w:t xml:space="preserve"> anaesthesia and ultrasounds</w:t>
            </w:r>
            <w:r w:rsidR="3CA35003">
              <w:t xml:space="preserve"> when needed</w:t>
            </w:r>
            <w:r w:rsidR="000B6996">
              <w:t xml:space="preserve">). </w:t>
            </w:r>
          </w:p>
          <w:p w14:paraId="47474343" w14:textId="77777777" w:rsidR="005B6E10" w:rsidRPr="00AF46D8" w:rsidRDefault="005B6E10" w:rsidP="00982EC2">
            <w:pPr>
              <w:pStyle w:val="Heading3"/>
              <w:spacing w:before="240" w:after="120"/>
            </w:pPr>
            <w:r w:rsidRPr="00AF46D8">
              <w:t xml:space="preserve">MSAC’s advice to the </w:t>
            </w:r>
            <w:proofErr w:type="gramStart"/>
            <w:r w:rsidRPr="00AF46D8">
              <w:t>Commonwealth Minister</w:t>
            </w:r>
            <w:proofErr w:type="gramEnd"/>
            <w:r w:rsidRPr="00AF46D8">
              <w:t xml:space="preserve"> for </w:t>
            </w:r>
            <w:r w:rsidR="00045C5D" w:rsidRPr="00AF46D8">
              <w:t>Health</w:t>
            </w:r>
            <w:r w:rsidR="00045C5D">
              <w:t>, Disability and Ageing</w:t>
            </w:r>
          </w:p>
          <w:p w14:paraId="462B35EB" w14:textId="43D7AC75" w:rsidR="005B6E10" w:rsidRPr="00F91D6E" w:rsidRDefault="00982EC2" w:rsidP="00982EC2">
            <w:pPr>
              <w:spacing w:after="120"/>
            </w:pPr>
            <w:r>
              <w:t xml:space="preserve">MSAC supported amending MBS items 18354 and 18361 to include </w:t>
            </w:r>
            <w:proofErr w:type="spellStart"/>
            <w:r w:rsidR="00AF0732">
              <w:t>Xeomin</w:t>
            </w:r>
            <w:proofErr w:type="spellEnd"/>
            <w:r w:rsidR="00AF0732">
              <w:t>®</w:t>
            </w:r>
            <w:r>
              <w:t>. The PBAC considered the drug to be safe and effective. MSAC considered that there would be</w:t>
            </w:r>
            <w:r w:rsidR="388D0553">
              <w:t xml:space="preserve"> no to</w:t>
            </w:r>
            <w:r>
              <w:t xml:space="preserve"> </w:t>
            </w:r>
            <w:r w:rsidR="00D3205F">
              <w:t>minimal</w:t>
            </w:r>
            <w:r w:rsidR="00FA0674">
              <w:t xml:space="preserve"> financial impact and no change</w:t>
            </w:r>
            <w:r w:rsidR="00D3205F">
              <w:t xml:space="preserve"> </w:t>
            </w:r>
            <w:r w:rsidR="00FA0674">
              <w:t xml:space="preserve">to </w:t>
            </w:r>
            <w:r>
              <w:t xml:space="preserve">resources if </w:t>
            </w:r>
            <w:proofErr w:type="spellStart"/>
            <w:r w:rsidR="00AF0732">
              <w:t>Xeomin</w:t>
            </w:r>
            <w:proofErr w:type="spellEnd"/>
            <w:r w:rsidR="00AF0732">
              <w:t>®</w:t>
            </w:r>
            <w:r>
              <w:t xml:space="preserve"> were included in MBS items 18354 and 18361.</w:t>
            </w:r>
          </w:p>
        </w:tc>
      </w:tr>
    </w:tbl>
    <w:p w14:paraId="25332968" w14:textId="6445CCA2" w:rsidR="005B6E10" w:rsidRDefault="005B6E10" w:rsidP="00045C5D">
      <w:pPr>
        <w:pStyle w:val="Heading2"/>
        <w:numPr>
          <w:ilvl w:val="0"/>
          <w:numId w:val="29"/>
        </w:numPr>
        <w:tabs>
          <w:tab w:val="num" w:pos="1134"/>
        </w:tabs>
      </w:pPr>
      <w:r w:rsidRPr="003A793E">
        <w:lastRenderedPageBreak/>
        <w:t>Summary of consideration and rationale for MSAC’s advice</w:t>
      </w:r>
    </w:p>
    <w:p w14:paraId="213A40DE" w14:textId="6E0047B7" w:rsidR="004974A9" w:rsidRDefault="004974A9" w:rsidP="004974A9">
      <w:r>
        <w:t xml:space="preserve">MSAC noted that this </w:t>
      </w:r>
      <w:r w:rsidR="004D39D2">
        <w:t>i</w:t>
      </w:r>
      <w:r>
        <w:t xml:space="preserve">s a co-dependent application from </w:t>
      </w:r>
      <w:r w:rsidRPr="00327E55">
        <w:t xml:space="preserve">Merz Australia Pty Ltd </w:t>
      </w:r>
      <w:r>
        <w:t xml:space="preserve">for the amendment of </w:t>
      </w:r>
      <w:r w:rsidDel="00830EC7">
        <w:t>Medicare Benefits Schedule (</w:t>
      </w:r>
      <w:r>
        <w:t>MBS</w:t>
      </w:r>
      <w:r w:rsidDel="00830EC7">
        <w:t>)</w:t>
      </w:r>
      <w:r>
        <w:t xml:space="preserve"> items </w:t>
      </w:r>
      <w:hyperlink r:id="rId13" w:history="1">
        <w:r w:rsidRPr="00F7062B">
          <w:rPr>
            <w:rStyle w:val="Hyperlink"/>
          </w:rPr>
          <w:t>18354</w:t>
        </w:r>
      </w:hyperlink>
      <w:r w:rsidRPr="002F6AC3">
        <w:t xml:space="preserve"> and </w:t>
      </w:r>
      <w:hyperlink r:id="rId14" w:history="1">
        <w:r w:rsidRPr="00F7062B">
          <w:rPr>
            <w:rStyle w:val="Hyperlink"/>
          </w:rPr>
          <w:t>18361</w:t>
        </w:r>
      </w:hyperlink>
      <w:r w:rsidRPr="002F6AC3">
        <w:t xml:space="preserve"> </w:t>
      </w:r>
      <w:r>
        <w:t xml:space="preserve">to include </w:t>
      </w:r>
      <w:r w:rsidRPr="002F6AC3" w:rsidDel="002405B3">
        <w:t>incobotulinumtoxinA (</w:t>
      </w:r>
      <w:proofErr w:type="spellStart"/>
      <w:r w:rsidRPr="002F6AC3">
        <w:t>Xeomin</w:t>
      </w:r>
      <w:proofErr w:type="spellEnd"/>
      <w:r w:rsidRPr="002F6AC3">
        <w:t>®</w:t>
      </w:r>
      <w:r w:rsidRPr="002F6AC3" w:rsidDel="002405B3">
        <w:t>)</w:t>
      </w:r>
      <w:r w:rsidRPr="002F6AC3">
        <w:t xml:space="preserve"> along</w:t>
      </w:r>
      <w:r w:rsidR="00DB4606">
        <w:t>side</w:t>
      </w:r>
      <w:r w:rsidRPr="002F6AC3">
        <w:t xml:space="preserve"> </w:t>
      </w:r>
      <w:r>
        <w:t>b</w:t>
      </w:r>
      <w:r w:rsidRPr="002F6AC3">
        <w:t xml:space="preserve">otulinum </w:t>
      </w:r>
      <w:r>
        <w:t>t</w:t>
      </w:r>
      <w:r w:rsidRPr="002F6AC3">
        <w:t xml:space="preserve">oxin </w:t>
      </w:r>
      <w:r>
        <w:t>t</w:t>
      </w:r>
      <w:r w:rsidRPr="002F6AC3">
        <w:t xml:space="preserve">ype A </w:t>
      </w:r>
      <w:r>
        <w:t>p</w:t>
      </w:r>
      <w:r w:rsidRPr="002F6AC3">
        <w:t xml:space="preserve">urified </w:t>
      </w:r>
      <w:r>
        <w:t>n</w:t>
      </w:r>
      <w:r w:rsidRPr="002F6AC3">
        <w:t xml:space="preserve">eurotoxin </w:t>
      </w:r>
      <w:r>
        <w:t>c</w:t>
      </w:r>
      <w:r w:rsidRPr="002F6AC3">
        <w:t>omplex (Botox</w:t>
      </w:r>
      <w:r>
        <w:t>®</w:t>
      </w:r>
      <w:r w:rsidRPr="002F6AC3">
        <w:t xml:space="preserve">) </w:t>
      </w:r>
      <w:r>
        <w:t>and</w:t>
      </w:r>
      <w:r w:rsidRPr="002F6AC3">
        <w:t xml:space="preserve"> </w:t>
      </w:r>
      <w:r>
        <w:t>c</w:t>
      </w:r>
      <w:r w:rsidRPr="002F6AC3">
        <w:t xml:space="preserve">lostridium </w:t>
      </w:r>
      <w:r>
        <w:t>b</w:t>
      </w:r>
      <w:r w:rsidRPr="002F6AC3">
        <w:t xml:space="preserve">otulinum </w:t>
      </w:r>
      <w:r>
        <w:t>t</w:t>
      </w:r>
      <w:r w:rsidRPr="002F6AC3">
        <w:t xml:space="preserve">ype A </w:t>
      </w:r>
      <w:r>
        <w:t>t</w:t>
      </w:r>
      <w:r w:rsidRPr="002F6AC3">
        <w:t>oxin-</w:t>
      </w:r>
      <w:r>
        <w:t>h</w:t>
      </w:r>
      <w:r w:rsidRPr="002F6AC3">
        <w:t xml:space="preserve">aemagglutinin </w:t>
      </w:r>
      <w:r>
        <w:t>c</w:t>
      </w:r>
      <w:r w:rsidRPr="002F6AC3">
        <w:t>omplex (Dysport</w:t>
      </w:r>
      <w:r>
        <w:t>®</w:t>
      </w:r>
      <w:r w:rsidRPr="002F6AC3">
        <w:t>)</w:t>
      </w:r>
      <w:r>
        <w:t xml:space="preserve"> to treat </w:t>
      </w:r>
      <w:r w:rsidRPr="00A01500">
        <w:t xml:space="preserve">spasticity of the upper and/or lower limbs associated with </w:t>
      </w:r>
      <w:r>
        <w:t>CP</w:t>
      </w:r>
      <w:r w:rsidRPr="00A01500">
        <w:t xml:space="preserve"> in patients </w:t>
      </w:r>
      <w:r>
        <w:t xml:space="preserve">aged </w:t>
      </w:r>
      <w:r w:rsidRPr="00A01500">
        <w:t>2</w:t>
      </w:r>
      <w:r>
        <w:t> </w:t>
      </w:r>
      <w:r w:rsidRPr="00A01500">
        <w:t>years and older</w:t>
      </w:r>
      <w:r>
        <w:t xml:space="preserve">. </w:t>
      </w:r>
    </w:p>
    <w:p w14:paraId="52D73906" w14:textId="170A9B2B" w:rsidR="004974A9" w:rsidRPr="002D75C0" w:rsidRDefault="004974A9" w:rsidP="004974A9">
      <w:r w:rsidRPr="002D75C0">
        <w:t xml:space="preserve">CP is a group of neurological disorders that appear in infancy or early childhood and permanently affect body movement and muscle coordination. Spasticity affects </w:t>
      </w:r>
      <w:r>
        <w:t>approximately</w:t>
      </w:r>
      <w:r w:rsidRPr="002D75C0">
        <w:t xml:space="preserve"> 70–90% of children with the disorder</w:t>
      </w:r>
      <w:r>
        <w:t xml:space="preserve">. </w:t>
      </w:r>
    </w:p>
    <w:p w14:paraId="25B373BF" w14:textId="43F5656F" w:rsidR="004974A9" w:rsidRDefault="004974A9" w:rsidP="004974A9">
      <w:r>
        <w:t xml:space="preserve">MSAC noted that </w:t>
      </w:r>
      <w:r w:rsidR="006102FB">
        <w:t xml:space="preserve">at its July 2025 meeting, </w:t>
      </w:r>
      <w:r>
        <w:t xml:space="preserve">the </w:t>
      </w:r>
      <w:r w:rsidDel="00082796">
        <w:t>Pharmaceutical Benefits Advisory Committee (</w:t>
      </w:r>
      <w:r>
        <w:t>PBAC</w:t>
      </w:r>
      <w:r w:rsidDel="00082796">
        <w:t>)</w:t>
      </w:r>
      <w:r>
        <w:t xml:space="preserve"> </w:t>
      </w:r>
      <w:r w:rsidRPr="006075A7">
        <w:t xml:space="preserve">recommended listing of </w:t>
      </w:r>
      <w:proofErr w:type="spellStart"/>
      <w:r w:rsidR="00954609" w:rsidRPr="000861DE">
        <w:t>Xeomin</w:t>
      </w:r>
      <w:proofErr w:type="spellEnd"/>
      <w:r w:rsidR="00954609">
        <w:t xml:space="preserve">® </w:t>
      </w:r>
      <w:r>
        <w:t xml:space="preserve">on the </w:t>
      </w:r>
      <w:r w:rsidDel="00082796">
        <w:t>Pharmaceutical Benefits Scheme (</w:t>
      </w:r>
      <w:r>
        <w:t>PBS</w:t>
      </w:r>
      <w:r w:rsidDel="00082796">
        <w:t>)</w:t>
      </w:r>
      <w:r>
        <w:t xml:space="preserve"> </w:t>
      </w:r>
      <w:r w:rsidRPr="006075A7">
        <w:t xml:space="preserve">for the treatment of moderate to severe spasticity of the upper limb and dynamic </w:t>
      </w:r>
      <w:proofErr w:type="spellStart"/>
      <w:r w:rsidRPr="006075A7">
        <w:t>equinus</w:t>
      </w:r>
      <w:proofErr w:type="spellEnd"/>
      <w:r w:rsidRPr="006075A7">
        <w:t xml:space="preserve"> foot deformity due to spasticity in patients with </w:t>
      </w:r>
      <w:r>
        <w:t>CP</w:t>
      </w:r>
      <w:r w:rsidRPr="006075A7">
        <w:t xml:space="preserve"> aged 2</w:t>
      </w:r>
      <w:r>
        <w:t> </w:t>
      </w:r>
      <w:r w:rsidRPr="006075A7">
        <w:t xml:space="preserve">years and older. </w:t>
      </w:r>
      <w:r>
        <w:t xml:space="preserve">The </w:t>
      </w:r>
      <w:r w:rsidRPr="006075A7">
        <w:t xml:space="preserve">PBAC was satisfied that </w:t>
      </w:r>
      <w:proofErr w:type="spellStart"/>
      <w:r w:rsidR="00954609" w:rsidRPr="000861DE">
        <w:t>Xeomin</w:t>
      </w:r>
      <w:proofErr w:type="spellEnd"/>
      <w:r w:rsidR="00954609">
        <w:t>®</w:t>
      </w:r>
      <w:r w:rsidRPr="006075A7">
        <w:t xml:space="preserve"> was non-inferior to the nominated comparator Botox</w:t>
      </w:r>
      <w:r w:rsidR="00830EC7">
        <w:t>®</w:t>
      </w:r>
      <w:r w:rsidRPr="006075A7">
        <w:t xml:space="preserve"> in terms of efficacy and safety</w:t>
      </w:r>
      <w:r>
        <w:t xml:space="preserve">. The </w:t>
      </w:r>
      <w:r w:rsidRPr="006075A7">
        <w:t xml:space="preserve">PBAC considered that </w:t>
      </w:r>
      <w:r>
        <w:t>although</w:t>
      </w:r>
      <w:r w:rsidRPr="006075A7">
        <w:t xml:space="preserve"> the </w:t>
      </w:r>
      <w:proofErr w:type="spellStart"/>
      <w:r w:rsidR="00AA7596" w:rsidRPr="000861DE">
        <w:t>Xeomin</w:t>
      </w:r>
      <w:proofErr w:type="spellEnd"/>
      <w:r w:rsidR="00AA7596">
        <w:t xml:space="preserve">® </w:t>
      </w:r>
      <w:r w:rsidRPr="006075A7">
        <w:t xml:space="preserve">trials were conducted in the paediatric population, provided </w:t>
      </w:r>
      <w:r>
        <w:t xml:space="preserve">that </w:t>
      </w:r>
      <w:r w:rsidRPr="006075A7">
        <w:t>fixed contractures had not developed, there would be no clinical reason to expect a lack of effectiveness in adults</w:t>
      </w:r>
      <w:r>
        <w:t>.</w:t>
      </w:r>
      <w:r w:rsidRPr="006075A7">
        <w:t xml:space="preserve"> </w:t>
      </w:r>
      <w:r>
        <w:t>G</w:t>
      </w:r>
      <w:r w:rsidRPr="006075A7">
        <w:t>iven the nature of the therapy, treatment was unlikely to be continued if no effect was observed</w:t>
      </w:r>
      <w:r>
        <w:t xml:space="preserve">. The </w:t>
      </w:r>
      <w:r w:rsidRPr="006075A7">
        <w:t>PBAC considered Dysport</w:t>
      </w:r>
      <w:r w:rsidR="00830EC7">
        <w:t>®</w:t>
      </w:r>
      <w:r w:rsidRPr="006075A7">
        <w:t xml:space="preserve"> was also a relevant comparator</w:t>
      </w:r>
      <w:r>
        <w:t xml:space="preserve"> and </w:t>
      </w:r>
      <w:r w:rsidRPr="006075A7">
        <w:t>recommended listing on a cost-minimisation basis</w:t>
      </w:r>
      <w:r>
        <w:t>. The P</w:t>
      </w:r>
      <w:r w:rsidRPr="006075A7">
        <w:t xml:space="preserve">BAC considered </w:t>
      </w:r>
      <w:r>
        <w:t xml:space="preserve">the </w:t>
      </w:r>
      <w:proofErr w:type="spellStart"/>
      <w:r w:rsidRPr="006075A7">
        <w:t>equi</w:t>
      </w:r>
      <w:proofErr w:type="spellEnd"/>
      <w:r w:rsidRPr="006075A7">
        <w:t>-effective doses</w:t>
      </w:r>
      <w:r>
        <w:t xml:space="preserve"> of </w:t>
      </w:r>
      <w:r w:rsidRPr="00F34FAB">
        <w:t>1</w:t>
      </w:r>
      <w:r>
        <w:t> </w:t>
      </w:r>
      <w:r w:rsidRPr="00F34FAB">
        <w:t xml:space="preserve">U </w:t>
      </w:r>
      <w:proofErr w:type="spellStart"/>
      <w:r w:rsidR="00AA7596" w:rsidRPr="000861DE">
        <w:t>Xeomin</w:t>
      </w:r>
      <w:proofErr w:type="spellEnd"/>
      <w:r w:rsidR="00AA7596">
        <w:t>®</w:t>
      </w:r>
      <w:r w:rsidR="00AA7596" w:rsidRPr="006075A7">
        <w:t xml:space="preserve"> </w:t>
      </w:r>
      <w:r w:rsidRPr="00F34FAB">
        <w:t>= 1</w:t>
      </w:r>
      <w:r>
        <w:t> </w:t>
      </w:r>
      <w:r w:rsidRPr="00F34FAB">
        <w:t>U Botox</w:t>
      </w:r>
      <w:r w:rsidR="00830EC7">
        <w:t>®</w:t>
      </w:r>
      <w:r w:rsidRPr="00F34FAB">
        <w:t xml:space="preserve"> and 1</w:t>
      </w:r>
      <w:r>
        <w:t> </w:t>
      </w:r>
      <w:r w:rsidRPr="00F34FAB">
        <w:t xml:space="preserve">U </w:t>
      </w:r>
      <w:proofErr w:type="spellStart"/>
      <w:r w:rsidRPr="00F34FAB">
        <w:t>Xeomin</w:t>
      </w:r>
      <w:proofErr w:type="spellEnd"/>
      <w:r w:rsidR="00830EC7">
        <w:t>®</w:t>
      </w:r>
      <w:r w:rsidRPr="00F34FAB">
        <w:t xml:space="preserve"> = 2.5</w:t>
      </w:r>
      <w:r>
        <w:t> </w:t>
      </w:r>
      <w:r w:rsidRPr="00F34FAB">
        <w:t>U Dysport</w:t>
      </w:r>
      <w:r w:rsidR="00830EC7">
        <w:t>®</w:t>
      </w:r>
      <w:r>
        <w:t>.</w:t>
      </w:r>
    </w:p>
    <w:p w14:paraId="706C34AF" w14:textId="64CA7E22" w:rsidR="004974A9" w:rsidRDefault="004974A9" w:rsidP="004974A9">
      <w:r>
        <w:t xml:space="preserve">MSAC noted and welcomed the public consultation input, which was supportive of listing </w:t>
      </w:r>
      <w:proofErr w:type="spellStart"/>
      <w:r w:rsidR="00AA7596">
        <w:t>Xeomin</w:t>
      </w:r>
      <w:proofErr w:type="spellEnd"/>
      <w:r w:rsidR="00AA7596">
        <w:t>®</w:t>
      </w:r>
      <w:r>
        <w:t xml:space="preserve">. The Rehabilitation Medicine Society of Australia and New Zealand (RMSANZ) noted the various clinical specialty areas that currently provide this service. Cerebral Palsy Alliance </w:t>
      </w:r>
      <w:r w:rsidR="006E7ECC">
        <w:t xml:space="preserve">(CPA) </w:t>
      </w:r>
      <w:r>
        <w:lastRenderedPageBreak/>
        <w:t xml:space="preserve">queried including ‘ambulant’ in the MBS descriptor, which MSAC </w:t>
      </w:r>
      <w:r w:rsidR="5929922E">
        <w:t xml:space="preserve">noted </w:t>
      </w:r>
      <w:r w:rsidR="00826193">
        <w:t xml:space="preserve">was in the requested </w:t>
      </w:r>
      <w:r w:rsidR="5929922E">
        <w:t xml:space="preserve">PBS </w:t>
      </w:r>
      <w:r w:rsidR="00826193">
        <w:t>restriction</w:t>
      </w:r>
      <w:r w:rsidR="5929922E">
        <w:t xml:space="preserve"> and </w:t>
      </w:r>
      <w:r>
        <w:t xml:space="preserve">advised </w:t>
      </w:r>
      <w:r w:rsidR="006B761E">
        <w:t xml:space="preserve">that it </w:t>
      </w:r>
      <w:r>
        <w:t xml:space="preserve">should be considered by the department during implementation. </w:t>
      </w:r>
    </w:p>
    <w:p w14:paraId="363D3EF9" w14:textId="226354C6" w:rsidR="00B366F6" w:rsidRPr="004974A9" w:rsidRDefault="00B366F6" w:rsidP="00B366F6">
      <w:r w:rsidRPr="004974A9">
        <w:t>MSAC noted the population was patients with CP aged 2 years and older with both or either:</w:t>
      </w:r>
    </w:p>
    <w:p w14:paraId="66A5AAAD" w14:textId="77777777" w:rsidR="00B366F6" w:rsidRPr="004974A9" w:rsidRDefault="00B366F6" w:rsidP="00B366F6">
      <w:pPr>
        <w:pStyle w:val="Bullet"/>
        <w:numPr>
          <w:ilvl w:val="0"/>
          <w:numId w:val="32"/>
        </w:numPr>
        <w:spacing w:before="0"/>
        <w:ind w:left="720"/>
        <w:rPr>
          <w:rFonts w:ascii="Franklin Gothic Book" w:hAnsi="Franklin Gothic Book"/>
        </w:rPr>
      </w:pPr>
      <w:r w:rsidRPr="004974A9">
        <w:rPr>
          <w:rFonts w:ascii="Franklin Gothic Book" w:hAnsi="Franklin Gothic Book"/>
        </w:rPr>
        <w:t>moderate to severe spasticity of the upper limb</w:t>
      </w:r>
    </w:p>
    <w:p w14:paraId="7C918EFA" w14:textId="77777777" w:rsidR="00B366F6" w:rsidRPr="004974A9" w:rsidRDefault="00B366F6" w:rsidP="00B366F6">
      <w:pPr>
        <w:pStyle w:val="Bullet"/>
        <w:numPr>
          <w:ilvl w:val="0"/>
          <w:numId w:val="32"/>
        </w:numPr>
        <w:spacing w:before="0"/>
        <w:ind w:left="720"/>
        <w:rPr>
          <w:rFonts w:ascii="Franklin Gothic Book" w:hAnsi="Franklin Gothic Book"/>
        </w:rPr>
      </w:pPr>
      <w:r w:rsidRPr="004974A9">
        <w:rPr>
          <w:rFonts w:ascii="Franklin Gothic Book" w:hAnsi="Franklin Gothic Book"/>
        </w:rPr>
        <w:t xml:space="preserve">dynamic </w:t>
      </w:r>
      <w:proofErr w:type="spellStart"/>
      <w:r w:rsidRPr="004974A9">
        <w:rPr>
          <w:rFonts w:ascii="Franklin Gothic Book" w:hAnsi="Franklin Gothic Book"/>
        </w:rPr>
        <w:t>equinus</w:t>
      </w:r>
      <w:proofErr w:type="spellEnd"/>
      <w:r w:rsidRPr="004974A9">
        <w:rPr>
          <w:rFonts w:ascii="Franklin Gothic Book" w:hAnsi="Franklin Gothic Book"/>
        </w:rPr>
        <w:t xml:space="preserve"> foot deformity due to spasticity.</w:t>
      </w:r>
    </w:p>
    <w:p w14:paraId="7CBFF1C6" w14:textId="258CF6BF" w:rsidR="00AD4ABE" w:rsidRDefault="003420A9" w:rsidP="00B366F6">
      <w:r>
        <w:t xml:space="preserve">MSAC noted that </w:t>
      </w:r>
      <w:proofErr w:type="spellStart"/>
      <w:r w:rsidR="00AA7596" w:rsidRPr="000861DE">
        <w:t>Xeomin</w:t>
      </w:r>
      <w:proofErr w:type="spellEnd"/>
      <w:r w:rsidR="00AA7596">
        <w:t>®</w:t>
      </w:r>
      <w:r w:rsidR="00B366F6">
        <w:t xml:space="preserve"> was compared to Botox® and Dysport®</w:t>
      </w:r>
      <w:r>
        <w:t xml:space="preserve"> with </w:t>
      </w:r>
      <w:r w:rsidR="00B366F6" w:rsidRPr="0081549B">
        <w:t>Botox</w:t>
      </w:r>
      <w:r w:rsidR="00B366F6">
        <w:t>®</w:t>
      </w:r>
      <w:r w:rsidR="00B366F6" w:rsidRPr="0081549B">
        <w:t xml:space="preserve"> the nominated comparator as it is the market</w:t>
      </w:r>
      <w:r w:rsidR="00B366F6">
        <w:t>-</w:t>
      </w:r>
      <w:r w:rsidR="00B366F6" w:rsidRPr="0081549B">
        <w:t xml:space="preserve">leading injectable toxin for the indications sought and has a 1:1 dose equivalence with </w:t>
      </w:r>
      <w:proofErr w:type="spellStart"/>
      <w:r w:rsidR="00AA7596" w:rsidRPr="000861DE">
        <w:t>Xeomin</w:t>
      </w:r>
      <w:proofErr w:type="spellEnd"/>
      <w:r w:rsidR="00AA7596">
        <w:t>®</w:t>
      </w:r>
      <w:r w:rsidR="00B366F6" w:rsidRPr="0081549B">
        <w:t>. The pattern of substitution w</w:t>
      </w:r>
      <w:r w:rsidR="00B93AB7">
        <w:t>ould</w:t>
      </w:r>
      <w:r w:rsidR="00B366F6" w:rsidRPr="0081549B">
        <w:t xml:space="preserve"> be partial</w:t>
      </w:r>
      <w:r w:rsidR="00B366F6">
        <w:t>, with</w:t>
      </w:r>
      <w:r w:rsidR="00B366F6" w:rsidRPr="0081549B">
        <w:t xml:space="preserve"> Botox</w:t>
      </w:r>
      <w:r w:rsidR="00B366F6">
        <w:t>®</w:t>
      </w:r>
      <w:r w:rsidR="00B366F6" w:rsidRPr="0081549B">
        <w:t xml:space="preserve"> substituted at the uptake rate for </w:t>
      </w:r>
      <w:proofErr w:type="spellStart"/>
      <w:r w:rsidR="00AA7596" w:rsidRPr="000861DE">
        <w:t>Xeomin</w:t>
      </w:r>
      <w:proofErr w:type="spellEnd"/>
      <w:r w:rsidR="00AA7596">
        <w:t>®</w:t>
      </w:r>
      <w:r w:rsidR="00FB4748">
        <w:t xml:space="preserve"> of</w:t>
      </w:r>
      <w:r w:rsidR="00B366F6" w:rsidRPr="0081549B">
        <w:t xml:space="preserve"> </w:t>
      </w:r>
      <w:r w:rsidR="00180840" w:rsidRPr="00C31BB1">
        <w:rPr>
          <w:b/>
          <w:bCs/>
        </w:rPr>
        <w:t>redacted</w:t>
      </w:r>
      <w:r w:rsidR="00B366F6" w:rsidRPr="0081549B">
        <w:t>% in year</w:t>
      </w:r>
      <w:r w:rsidR="00B366F6">
        <w:t> </w:t>
      </w:r>
      <w:r w:rsidR="00B366F6" w:rsidRPr="0081549B">
        <w:t xml:space="preserve">1, </w:t>
      </w:r>
      <w:r w:rsidR="00180840" w:rsidRPr="00C31BB1">
        <w:rPr>
          <w:b/>
          <w:bCs/>
        </w:rPr>
        <w:t>redacted</w:t>
      </w:r>
      <w:r w:rsidR="00B366F6" w:rsidRPr="0081549B">
        <w:t>% in year</w:t>
      </w:r>
      <w:r w:rsidR="00B366F6">
        <w:t> </w:t>
      </w:r>
      <w:r w:rsidR="00B366F6" w:rsidRPr="0081549B">
        <w:t xml:space="preserve">2 and </w:t>
      </w:r>
      <w:r w:rsidR="00180840" w:rsidRPr="00C31BB1">
        <w:rPr>
          <w:b/>
          <w:bCs/>
        </w:rPr>
        <w:t>redacted</w:t>
      </w:r>
      <w:r w:rsidR="00B366F6" w:rsidRPr="0081549B">
        <w:t>% in years</w:t>
      </w:r>
      <w:r w:rsidR="00B366F6">
        <w:t> </w:t>
      </w:r>
      <w:r w:rsidR="00B366F6" w:rsidRPr="0081549B">
        <w:t>3</w:t>
      </w:r>
      <w:r w:rsidR="00B366F6">
        <w:t> </w:t>
      </w:r>
      <w:r w:rsidR="00B366F6" w:rsidRPr="0081549B">
        <w:t>and</w:t>
      </w:r>
      <w:r w:rsidR="00B366F6">
        <w:t> </w:t>
      </w:r>
      <w:r w:rsidR="00B366F6" w:rsidRPr="0081549B">
        <w:t xml:space="preserve">4. </w:t>
      </w:r>
      <w:r w:rsidR="00B366F6">
        <w:t xml:space="preserve">MSAC noted that </w:t>
      </w:r>
      <w:proofErr w:type="gramStart"/>
      <w:r w:rsidR="00B366F6">
        <w:t>t</w:t>
      </w:r>
      <w:r w:rsidR="00B366F6" w:rsidRPr="0081549B">
        <w:t>he vast majority of</w:t>
      </w:r>
      <w:proofErr w:type="gramEnd"/>
      <w:r w:rsidR="00B366F6" w:rsidRPr="0081549B">
        <w:t xml:space="preserve"> the substitution w</w:t>
      </w:r>
      <w:r w:rsidR="00B93AB7">
        <w:t>ould</w:t>
      </w:r>
      <w:r w:rsidR="00B366F6" w:rsidRPr="0081549B">
        <w:t xml:space="preserve"> be of Botox</w:t>
      </w:r>
      <w:r w:rsidR="00B366F6">
        <w:t>®</w:t>
      </w:r>
      <w:r w:rsidR="00B366F6" w:rsidRPr="0081549B">
        <w:t>, but a small fraction of Dysport</w:t>
      </w:r>
      <w:r w:rsidR="00B366F6">
        <w:t>®</w:t>
      </w:r>
      <w:r w:rsidR="00B366F6" w:rsidRPr="0081549B">
        <w:t xml:space="preserve"> may also be substituted</w:t>
      </w:r>
      <w:r w:rsidR="00FB4748">
        <w:t>.</w:t>
      </w:r>
    </w:p>
    <w:p w14:paraId="77270EBE" w14:textId="73617484" w:rsidR="00B366F6" w:rsidRDefault="00B366F6" w:rsidP="00B366F6">
      <w:r>
        <w:t>MSAC noted that the o</w:t>
      </w:r>
      <w:r w:rsidRPr="0078225F">
        <w:t>utcomes</w:t>
      </w:r>
      <w:r>
        <w:t xml:space="preserve"> were </w:t>
      </w:r>
      <w:r w:rsidRPr="0078225F">
        <w:t xml:space="preserve">improvement in muscle tone and motor function for children with </w:t>
      </w:r>
      <w:r>
        <w:t>CP</w:t>
      </w:r>
      <w:r w:rsidRPr="0078225F">
        <w:t xml:space="preserve"> spasticity in lower and/or upper limb(s)</w:t>
      </w:r>
      <w:r>
        <w:t xml:space="preserve">; and adverse events (AEs). </w:t>
      </w:r>
    </w:p>
    <w:p w14:paraId="306D8E07" w14:textId="20E847BA" w:rsidR="00B366F6" w:rsidRPr="0096331C" w:rsidRDefault="00B366F6" w:rsidP="00B366F6">
      <w:r>
        <w:t xml:space="preserve">MSAC noted the clinical evidence </w:t>
      </w:r>
      <w:r w:rsidR="00F979DD">
        <w:t xml:space="preserve">was considered by </w:t>
      </w:r>
      <w:r>
        <w:t xml:space="preserve">PBAC, which comprised the TIM/TIMO phase 3 studies. These studies revealed a </w:t>
      </w:r>
      <w:r w:rsidRPr="002A23F4">
        <w:t>favourable safety</w:t>
      </w:r>
      <w:r>
        <w:t xml:space="preserve"> and </w:t>
      </w:r>
      <w:r w:rsidRPr="002A23F4">
        <w:t>tolerability profile</w:t>
      </w:r>
      <w:r>
        <w:t>,</w:t>
      </w:r>
      <w:r w:rsidRPr="002A23F4">
        <w:t xml:space="preserve"> with high retention rates</w:t>
      </w:r>
      <w:r w:rsidRPr="0096331C">
        <w:t xml:space="preserve">. </w:t>
      </w:r>
    </w:p>
    <w:p w14:paraId="75EE77E2" w14:textId="584F445F" w:rsidR="00B366F6" w:rsidRDefault="00B366F6" w:rsidP="00B366F6">
      <w:r>
        <w:t xml:space="preserve">MSAC noted that, in a comparative safety study, </w:t>
      </w:r>
      <w:proofErr w:type="spellStart"/>
      <w:r w:rsidRPr="0096331C">
        <w:t>Xeomin</w:t>
      </w:r>
      <w:proofErr w:type="spellEnd"/>
      <w:r>
        <w:t xml:space="preserve">® and </w:t>
      </w:r>
      <w:r w:rsidRPr="0096331C">
        <w:t>Botox</w:t>
      </w:r>
      <w:r>
        <w:t>®</w:t>
      </w:r>
      <w:r w:rsidRPr="0096331C">
        <w:t xml:space="preserve"> safety w</w:t>
      </w:r>
      <w:r>
        <w:t>ere</w:t>
      </w:r>
      <w:r w:rsidRPr="0096331C">
        <w:t xml:space="preserve"> comparable. All AEs were mild to moderate, and all events resolved. No study discontinuations in either treatment group were due to </w:t>
      </w:r>
      <w:r>
        <w:t xml:space="preserve">AEs. </w:t>
      </w:r>
    </w:p>
    <w:p w14:paraId="587A1508" w14:textId="0A147A26" w:rsidR="00B366F6" w:rsidRDefault="00B366F6" w:rsidP="00B366F6">
      <w:r>
        <w:t>MSAC noted that the p</w:t>
      </w:r>
      <w:r w:rsidRPr="00040BC1">
        <w:t>hase</w:t>
      </w:r>
      <w:r>
        <w:t> 3</w:t>
      </w:r>
      <w:r w:rsidRPr="00040BC1">
        <w:t xml:space="preserve"> clinical trials</w:t>
      </w:r>
      <w:r>
        <w:t xml:space="preserve"> demonstrated </w:t>
      </w:r>
      <w:r w:rsidRPr="00040BC1">
        <w:t xml:space="preserve">that treatment with </w:t>
      </w:r>
      <w:proofErr w:type="spellStart"/>
      <w:r w:rsidRPr="00040BC1">
        <w:t>Xeomin</w:t>
      </w:r>
      <w:proofErr w:type="spellEnd"/>
      <w:r>
        <w:t>®</w:t>
      </w:r>
      <w:r w:rsidRPr="00040BC1">
        <w:t xml:space="preserve"> offers significant and consistent improvement in muscle tone and motor function for children with </w:t>
      </w:r>
      <w:r>
        <w:t>CP</w:t>
      </w:r>
      <w:r w:rsidRPr="00040BC1">
        <w:t xml:space="preserve"> spasticity in lower and/or upper limb(s).</w:t>
      </w:r>
      <w:r>
        <w:t xml:space="preserve"> </w:t>
      </w:r>
    </w:p>
    <w:p w14:paraId="468EB6E8" w14:textId="24B5245A" w:rsidR="00B366F6" w:rsidRDefault="00B366F6" w:rsidP="004974A9">
      <w:r>
        <w:t>Although the trials on which the evidence was based used a paediatric population, MSAC agreed with the PBAC and considered it appropriate for this service to be available to both paediatric and adult patients. MSAC considered it unlikely that this treatment would be used inappropriately in adults, and there would be no additional safety issues for adults.</w:t>
      </w:r>
    </w:p>
    <w:p w14:paraId="0046483A" w14:textId="5AB9EDDF" w:rsidR="00877670" w:rsidRDefault="001D4893" w:rsidP="004974A9">
      <w:r>
        <w:t xml:space="preserve">MSAC noted the economic evaluation used a cost-minimisation approach, with Botox® as the main comparator. </w:t>
      </w:r>
      <w:r w:rsidR="00FA0674">
        <w:t xml:space="preserve">MSAC considered that </w:t>
      </w:r>
      <w:proofErr w:type="spellStart"/>
      <w:r w:rsidRPr="00F53E5C">
        <w:t>Xeomin</w:t>
      </w:r>
      <w:proofErr w:type="spellEnd"/>
      <w:r>
        <w:t>®</w:t>
      </w:r>
      <w:r w:rsidRPr="00F53E5C">
        <w:t xml:space="preserve"> w</w:t>
      </w:r>
      <w:r>
        <w:t>ould</w:t>
      </w:r>
      <w:r w:rsidRPr="00F53E5C">
        <w:t xml:space="preserve"> provide an alternate option to the currently listed botulinum toxin treatments</w:t>
      </w:r>
      <w:r w:rsidR="00446746">
        <w:t xml:space="preserve"> and as such</w:t>
      </w:r>
      <w:r w:rsidRPr="00F53E5C">
        <w:t xml:space="preserve"> w</w:t>
      </w:r>
      <w:r>
        <w:t>ould</w:t>
      </w:r>
      <w:r w:rsidRPr="00F53E5C">
        <w:t xml:space="preserve"> not increase the MBS utilisation of items 18354 and 18361 as these items w</w:t>
      </w:r>
      <w:r>
        <w:t>ould</w:t>
      </w:r>
      <w:r w:rsidRPr="00F53E5C">
        <w:t xml:space="preserve"> still be claimed regardless of the prescribed PBS treatment</w:t>
      </w:r>
      <w:r>
        <w:t xml:space="preserve">. </w:t>
      </w:r>
    </w:p>
    <w:p w14:paraId="022E16AA" w14:textId="6BB8F267" w:rsidR="004974A9" w:rsidRDefault="004974A9" w:rsidP="004974A9">
      <w:r>
        <w:t>MSAC noted the existing MBS items were for injections of Botox</w:t>
      </w:r>
      <w:r w:rsidR="00F71B62">
        <w:t>®</w:t>
      </w:r>
      <w:r>
        <w:t xml:space="preserve"> or Dysport</w:t>
      </w:r>
      <w:r w:rsidR="00F71B62">
        <w:t>®</w:t>
      </w:r>
      <w:r>
        <w:t xml:space="preserve"> in the lower limb (MBS item 18354) and upper limb (MBS item 18361)</w:t>
      </w:r>
      <w:r w:rsidR="00FA0674">
        <w:t xml:space="preserve"> and that t</w:t>
      </w:r>
      <w:r w:rsidR="00D91B7B">
        <w:t>he only amendment</w:t>
      </w:r>
      <w:r>
        <w:t xml:space="preserve"> </w:t>
      </w:r>
      <w:r w:rsidR="000130C7">
        <w:t xml:space="preserve">would be to the item descriptor to </w:t>
      </w:r>
      <w:r>
        <w:t xml:space="preserve">include </w:t>
      </w:r>
      <w:proofErr w:type="spellStart"/>
      <w:r>
        <w:t>Xeomin</w:t>
      </w:r>
      <w:proofErr w:type="spellEnd"/>
      <w:r w:rsidR="003C06E9">
        <w:t>®</w:t>
      </w:r>
      <w:r>
        <w:t xml:space="preserve"> </w:t>
      </w:r>
      <w:r w:rsidR="00D91B7B">
        <w:t>w</w:t>
      </w:r>
      <w:r w:rsidR="000130C7">
        <w:t>hich w</w:t>
      </w:r>
      <w:r w:rsidR="00D91B7B">
        <w:t xml:space="preserve">ould not change the associated </w:t>
      </w:r>
      <w:r>
        <w:t xml:space="preserve">fees ($145.65). MSAC also noted </w:t>
      </w:r>
      <w:r w:rsidR="009E07BD">
        <w:t>that the</w:t>
      </w:r>
      <w:r>
        <w:t xml:space="preserve"> MBS item descriptor 18354 that should be corrected </w:t>
      </w:r>
      <w:r w:rsidR="00A82707">
        <w:t>to refer to a ‘n</w:t>
      </w:r>
      <w:r w:rsidRPr="00017DF5">
        <w:t>eurot</w:t>
      </w:r>
      <w:r>
        <w:t>o</w:t>
      </w:r>
      <w:r w:rsidRPr="00017DF5">
        <w:t>xin</w:t>
      </w:r>
      <w:r w:rsidR="00A82707">
        <w:t>’</w:t>
      </w:r>
      <w:r>
        <w:t xml:space="preserve">. </w:t>
      </w:r>
    </w:p>
    <w:p w14:paraId="3D281940" w14:textId="39BBB36C" w:rsidR="004974A9" w:rsidRDefault="00771BD8" w:rsidP="004974A9">
      <w:r>
        <w:t>MSAC noted that li</w:t>
      </w:r>
      <w:r w:rsidRPr="00F53E5C">
        <w:t xml:space="preserve">sting </w:t>
      </w:r>
      <w:proofErr w:type="spellStart"/>
      <w:r w:rsidRPr="00F53E5C">
        <w:t>Xeomin</w:t>
      </w:r>
      <w:proofErr w:type="spellEnd"/>
      <w:r>
        <w:t>®</w:t>
      </w:r>
      <w:r w:rsidRPr="00F53E5C">
        <w:t xml:space="preserve"> on the PBS w</w:t>
      </w:r>
      <w:r>
        <w:t>ould</w:t>
      </w:r>
      <w:r w:rsidRPr="00F53E5C">
        <w:t xml:space="preserve"> not change the current clinical management algorithm</w:t>
      </w:r>
      <w:r>
        <w:t xml:space="preserve"> as</w:t>
      </w:r>
      <w:r w:rsidR="004974A9">
        <w:t xml:space="preserve"> there would be no change to resources or practitioners providing the service if </w:t>
      </w:r>
      <w:proofErr w:type="spellStart"/>
      <w:r w:rsidR="004974A9">
        <w:t>Xeomin</w:t>
      </w:r>
      <w:proofErr w:type="spellEnd"/>
      <w:r w:rsidR="00F71B62">
        <w:t>®</w:t>
      </w:r>
      <w:r w:rsidR="004974A9">
        <w:t xml:space="preserve"> is substituted, including </w:t>
      </w:r>
      <w:r w:rsidR="004974A9" w:rsidRPr="007C7F07">
        <w:t>no change in use of anaesthesia</w:t>
      </w:r>
      <w:r w:rsidR="004974A9">
        <w:t xml:space="preserve"> or ultrasound</w:t>
      </w:r>
      <w:r w:rsidR="00CE38A6">
        <w:t xml:space="preserve"> where required</w:t>
      </w:r>
      <w:r w:rsidR="004974A9">
        <w:t xml:space="preserve">. The service would remain a </w:t>
      </w:r>
      <w:r w:rsidR="004974A9" w:rsidRPr="007C7F07">
        <w:t>Type C procedure</w:t>
      </w:r>
      <w:r w:rsidR="004974A9">
        <w:t xml:space="preserve">. As noted by the </w:t>
      </w:r>
      <w:r w:rsidR="004974A9" w:rsidRPr="00A00539">
        <w:t>RMSANZ</w:t>
      </w:r>
      <w:r w:rsidR="004974A9">
        <w:t>, various specialists provide this service, including n</w:t>
      </w:r>
      <w:r w:rsidR="004974A9" w:rsidRPr="008F1D06">
        <w:t>eurologists, rehabilitation specialists, paediatricians and orthopaedic surgeons</w:t>
      </w:r>
      <w:r w:rsidR="004974A9">
        <w:t>, as well as plastic surgeon</w:t>
      </w:r>
      <w:r w:rsidR="008670B0">
        <w:t xml:space="preserve">s and MSAC considered it appropriate to allow access to all eligible medical specialists. </w:t>
      </w:r>
    </w:p>
    <w:p w14:paraId="465D8D82" w14:textId="0CFABE74" w:rsidR="004974A9" w:rsidRDefault="004974A9" w:rsidP="004974A9">
      <w:r>
        <w:lastRenderedPageBreak/>
        <w:t>MSAC recalled its preference for agnostic MBS items. However, Botox</w:t>
      </w:r>
      <w:r w:rsidR="00F71B62">
        <w:t>®</w:t>
      </w:r>
      <w:r>
        <w:t>, Dysport</w:t>
      </w:r>
      <w:r w:rsidR="00F71B62">
        <w:t>®</w:t>
      </w:r>
      <w:r>
        <w:t xml:space="preserve"> and </w:t>
      </w:r>
      <w:proofErr w:type="spellStart"/>
      <w:r>
        <w:t>Xeomin</w:t>
      </w:r>
      <w:proofErr w:type="spellEnd"/>
      <w:r w:rsidR="00F71B62">
        <w:t>®</w:t>
      </w:r>
      <w:r>
        <w:t xml:space="preserve"> are </w:t>
      </w:r>
      <w:r w:rsidRPr="006A2071">
        <w:t>Section 100 access products</w:t>
      </w:r>
      <w:r>
        <w:t xml:space="preserve">. Under the </w:t>
      </w:r>
      <w:r w:rsidRPr="006A2071">
        <w:rPr>
          <w:i/>
          <w:iCs/>
        </w:rPr>
        <w:t>National Health Act 1953</w:t>
      </w:r>
      <w:r>
        <w:t>, such products must</w:t>
      </w:r>
      <w:r w:rsidRPr="006A2071">
        <w:t xml:space="preserve"> be specified</w:t>
      </w:r>
      <w:r>
        <w:t xml:space="preserve"> in MBS descriptors, meaning an </w:t>
      </w:r>
      <w:r w:rsidRPr="006A2071">
        <w:t xml:space="preserve">agnostic approach </w:t>
      </w:r>
      <w:r>
        <w:t>is not appropriate for these MBS items.</w:t>
      </w:r>
    </w:p>
    <w:p w14:paraId="0E0A9C3B" w14:textId="44A4A145" w:rsidR="004974A9" w:rsidRDefault="004974A9" w:rsidP="004974A9">
      <w:r>
        <w:t xml:space="preserve">MSAC </w:t>
      </w:r>
      <w:r w:rsidR="00045807">
        <w:t>consider</w:t>
      </w:r>
      <w:r w:rsidR="003135E2">
        <w:t xml:space="preserve">ed </w:t>
      </w:r>
      <w:r>
        <w:t xml:space="preserve">that </w:t>
      </w:r>
      <w:r w:rsidR="00771BD8">
        <w:t xml:space="preserve">as </w:t>
      </w:r>
      <w:r w:rsidRPr="0043536B">
        <w:t>practice varies</w:t>
      </w:r>
      <w:r>
        <w:t xml:space="preserve">, and there are no </w:t>
      </w:r>
      <w:r w:rsidR="00BF662E">
        <w:t xml:space="preserve">frequency </w:t>
      </w:r>
      <w:r>
        <w:t>restrictions</w:t>
      </w:r>
      <w:r w:rsidR="00BF662E">
        <w:t xml:space="preserve"> between injections</w:t>
      </w:r>
      <w:r>
        <w:t xml:space="preserve"> in the corresponding </w:t>
      </w:r>
      <w:r w:rsidRPr="0043536B">
        <w:t xml:space="preserve">PBS </w:t>
      </w:r>
      <w:r>
        <w:t xml:space="preserve">listings </w:t>
      </w:r>
      <w:r w:rsidRPr="0043536B">
        <w:t xml:space="preserve">nor </w:t>
      </w:r>
      <w:r>
        <w:t xml:space="preserve">the </w:t>
      </w:r>
      <w:r w:rsidRPr="0043536B">
        <w:t>existing MBS item</w:t>
      </w:r>
      <w:r>
        <w:t>s</w:t>
      </w:r>
      <w:r w:rsidR="00771BD8">
        <w:t xml:space="preserve">, MSAC </w:t>
      </w:r>
      <w:r>
        <w:t>re</w:t>
      </w:r>
      <w:r w:rsidRPr="0043536B">
        <w:t>commend</w:t>
      </w:r>
      <w:r>
        <w:t>ed</w:t>
      </w:r>
      <w:r w:rsidRPr="0043536B">
        <w:t xml:space="preserve"> </w:t>
      </w:r>
      <w:r w:rsidR="006C53DD">
        <w:t xml:space="preserve">that </w:t>
      </w:r>
      <w:r w:rsidR="004055E2">
        <w:t>there should be no</w:t>
      </w:r>
      <w:r w:rsidRPr="0043536B">
        <w:t xml:space="preserve"> </w:t>
      </w:r>
      <w:r w:rsidR="00BF662E">
        <w:t>frequency</w:t>
      </w:r>
      <w:r w:rsidR="00BF662E" w:rsidRPr="0043536B">
        <w:t xml:space="preserve"> </w:t>
      </w:r>
      <w:r w:rsidRPr="0043536B">
        <w:t>restriction</w:t>
      </w:r>
      <w:r>
        <w:t xml:space="preserve"> for </w:t>
      </w:r>
      <w:proofErr w:type="spellStart"/>
      <w:r>
        <w:t>Xeomin</w:t>
      </w:r>
      <w:proofErr w:type="spellEnd"/>
      <w:r w:rsidR="00F71B62">
        <w:t>®</w:t>
      </w:r>
      <w:r>
        <w:t xml:space="preserve"> injections.</w:t>
      </w:r>
    </w:p>
    <w:p w14:paraId="1C70C91F" w14:textId="5740DA7C" w:rsidR="004974A9" w:rsidRPr="00F34FAB" w:rsidRDefault="00D0439D" w:rsidP="004974A9">
      <w:r>
        <w:t xml:space="preserve">Regarding the financial impact, </w:t>
      </w:r>
      <w:r w:rsidR="004974A9">
        <w:t xml:space="preserve">MSAC noted </w:t>
      </w:r>
      <w:r>
        <w:t xml:space="preserve">that </w:t>
      </w:r>
      <w:proofErr w:type="spellStart"/>
      <w:r w:rsidR="004974A9" w:rsidRPr="00FA0717">
        <w:t>Xeomin</w:t>
      </w:r>
      <w:proofErr w:type="spellEnd"/>
      <w:r w:rsidR="0040710A">
        <w:t>®</w:t>
      </w:r>
      <w:r>
        <w:t xml:space="preserve"> </w:t>
      </w:r>
      <w:r w:rsidR="004974A9" w:rsidRPr="00FA0717">
        <w:t>w</w:t>
      </w:r>
      <w:r>
        <w:t>ould</w:t>
      </w:r>
      <w:r w:rsidR="004974A9" w:rsidRPr="00FA0717">
        <w:t xml:space="preserve"> replace Botox</w:t>
      </w:r>
      <w:r w:rsidR="0040710A">
        <w:t>®</w:t>
      </w:r>
      <w:r w:rsidR="004974A9" w:rsidRPr="00FA0717">
        <w:t xml:space="preserve"> at a 1:1 ratio</w:t>
      </w:r>
      <w:r w:rsidR="007624A9">
        <w:t xml:space="preserve"> (dosage units)</w:t>
      </w:r>
      <w:r w:rsidR="004974A9">
        <w:t>, so</w:t>
      </w:r>
      <w:r w:rsidR="004974A9" w:rsidRPr="00FA0717">
        <w:t xml:space="preserve"> the net impact to the MBS w</w:t>
      </w:r>
      <w:r>
        <w:t>ould</w:t>
      </w:r>
      <w:r w:rsidR="004974A9" w:rsidRPr="00FA0717">
        <w:t xml:space="preserve"> be neutral.</w:t>
      </w:r>
      <w:r w:rsidR="00744690">
        <w:t xml:space="preserve"> MSAC considered it unlikely that cost saving would be realised if Dysport</w:t>
      </w:r>
      <w:r w:rsidR="0040710A">
        <w:t>®</w:t>
      </w:r>
      <w:r w:rsidR="004974A9" w:rsidRPr="00FA0717">
        <w:t xml:space="preserve"> </w:t>
      </w:r>
      <w:r w:rsidR="00744690">
        <w:t xml:space="preserve">is </w:t>
      </w:r>
      <w:r w:rsidR="004974A9">
        <w:t>re</w:t>
      </w:r>
      <w:r w:rsidR="004974A9" w:rsidRPr="00FA0717">
        <w:t xml:space="preserve">placed by </w:t>
      </w:r>
      <w:proofErr w:type="spellStart"/>
      <w:r w:rsidR="004974A9" w:rsidRPr="00FA0717">
        <w:t>Xeomin</w:t>
      </w:r>
      <w:proofErr w:type="spellEnd"/>
      <w:r w:rsidR="0040710A">
        <w:t>®</w:t>
      </w:r>
      <w:r w:rsidR="004974A9" w:rsidRPr="00FA0717">
        <w:t xml:space="preserve"> at a 2.5:1 ratio given </w:t>
      </w:r>
      <w:r w:rsidR="004974A9">
        <w:t xml:space="preserve">the </w:t>
      </w:r>
      <w:r w:rsidR="004974A9" w:rsidRPr="00FA0717">
        <w:t>small market share</w:t>
      </w:r>
      <w:r w:rsidR="004974A9">
        <w:t xml:space="preserve"> of Dysport</w:t>
      </w:r>
      <w:r w:rsidR="0040710A">
        <w:t>®</w:t>
      </w:r>
      <w:r w:rsidR="004974A9">
        <w:t xml:space="preserve">. </w:t>
      </w:r>
    </w:p>
    <w:p w14:paraId="70BD6C9A" w14:textId="5BD35EF2" w:rsidR="00896416" w:rsidRPr="00896416" w:rsidRDefault="004974A9" w:rsidP="00896416">
      <w:r>
        <w:t xml:space="preserve">MSAC supported amending MBS items </w:t>
      </w:r>
      <w:r w:rsidRPr="00A94BBB">
        <w:t>18354 and 18361</w:t>
      </w:r>
      <w:r>
        <w:t xml:space="preserve"> to include </w:t>
      </w:r>
      <w:proofErr w:type="spellStart"/>
      <w:r>
        <w:t>Xeomin</w:t>
      </w:r>
      <w:proofErr w:type="spellEnd"/>
      <w:r w:rsidR="00F71B62">
        <w:t>®</w:t>
      </w:r>
      <w:r w:rsidR="00961DFC">
        <w:t xml:space="preserve"> as</w:t>
      </w:r>
      <w:r>
        <w:t xml:space="preserve"> MSAC considered the injection to be safe and effective, with </w:t>
      </w:r>
      <w:r w:rsidR="00F953CE">
        <w:t>minimal</w:t>
      </w:r>
      <w:r>
        <w:t xml:space="preserve"> economic and financial impact. </w:t>
      </w:r>
    </w:p>
    <w:bookmarkEnd w:id="3"/>
    <w:bookmarkEnd w:id="4"/>
    <w:p w14:paraId="6710B69D" w14:textId="36C83BF9" w:rsidR="00772829" w:rsidRPr="00CE28E3" w:rsidRDefault="00772829" w:rsidP="00045C5D">
      <w:pPr>
        <w:pStyle w:val="Heading2"/>
        <w:numPr>
          <w:ilvl w:val="0"/>
          <w:numId w:val="29"/>
        </w:numPr>
        <w:tabs>
          <w:tab w:val="num" w:pos="1134"/>
        </w:tabs>
      </w:pPr>
      <w:r w:rsidRPr="009C221C">
        <w:t>Background</w:t>
      </w:r>
      <w:bookmarkEnd w:id="5"/>
    </w:p>
    <w:p w14:paraId="6BD1B2F4" w14:textId="7AB5DD0E" w:rsidR="00AF6C6A" w:rsidRDefault="00C26814" w:rsidP="003B228A">
      <w:pPr>
        <w:spacing w:before="0" w:line="240" w:lineRule="auto"/>
      </w:pPr>
      <w:bookmarkStart w:id="6" w:name="ColumnTitle_Table1"/>
      <w:bookmarkStart w:id="7" w:name="_Hlk69734557"/>
      <w:bookmarkStart w:id="8" w:name="_Hlk68275617"/>
      <w:bookmarkEnd w:id="6"/>
      <w:r>
        <w:t xml:space="preserve">This is the first time that </w:t>
      </w:r>
      <w:r w:rsidR="00AF6C6A">
        <w:t xml:space="preserve">MSAC considered </w:t>
      </w:r>
      <w:proofErr w:type="spellStart"/>
      <w:r w:rsidR="000D76BD">
        <w:t>Xeomin</w:t>
      </w:r>
      <w:proofErr w:type="spellEnd"/>
      <w:r w:rsidR="000D76BD">
        <w:t xml:space="preserve">® </w:t>
      </w:r>
      <w:r w:rsidR="00AF6C6A">
        <w:t xml:space="preserve">for </w:t>
      </w:r>
      <w:r w:rsidR="007225BF">
        <w:t xml:space="preserve">treatment of </w:t>
      </w:r>
      <w:r w:rsidR="00986316">
        <w:t>CP</w:t>
      </w:r>
      <w:r w:rsidR="007225BF">
        <w:t xml:space="preserve"> associated spasticity</w:t>
      </w:r>
      <w:r w:rsidR="00AF6C6A">
        <w:t xml:space="preserve">. </w:t>
      </w:r>
      <w:r>
        <w:t xml:space="preserve">MSAC has previously </w:t>
      </w:r>
      <w:r w:rsidR="0084154A">
        <w:t xml:space="preserve">considered and </w:t>
      </w:r>
      <w:r>
        <w:t>recommended</w:t>
      </w:r>
      <w:r w:rsidR="0084154A">
        <w:t xml:space="preserve"> </w:t>
      </w:r>
      <w:r w:rsidR="00AF6C6A">
        <w:t xml:space="preserve">injection services for </w:t>
      </w:r>
      <w:proofErr w:type="spellStart"/>
      <w:r w:rsidR="00986316">
        <w:t>Xeomin</w:t>
      </w:r>
      <w:proofErr w:type="spellEnd"/>
      <w:r w:rsidR="00986316">
        <w:t xml:space="preserve">® </w:t>
      </w:r>
      <w:r w:rsidR="00AF6C6A">
        <w:t xml:space="preserve"> in other clinical indications (Application </w:t>
      </w:r>
      <w:r w:rsidR="00AF6C6A" w:rsidRPr="00D162D5">
        <w:t>1379 – IncobotulinumtoxinA, injection of, for blepharospasm, cervical dystonia (spasmodic torticollis) and post-stroke spasticity of the upper limb</w:t>
      </w:r>
      <w:r w:rsidR="00AF6C6A">
        <w:t xml:space="preserve">) and are currently listed on the MBS alongside comparators Botox® and Dysport® (MBS Items: </w:t>
      </w:r>
      <w:hyperlink r:id="rId15" w:history="1">
        <w:r w:rsidR="00AF6C6A" w:rsidRPr="004E6251">
          <w:rPr>
            <w:rStyle w:val="Hyperlink"/>
          </w:rPr>
          <w:t>18353</w:t>
        </w:r>
      </w:hyperlink>
      <w:r w:rsidR="00AF6C6A">
        <w:t xml:space="preserve">, </w:t>
      </w:r>
      <w:hyperlink r:id="rId16" w:history="1">
        <w:r w:rsidR="00AF6C6A" w:rsidRPr="00E10490">
          <w:rPr>
            <w:rStyle w:val="Hyperlink"/>
          </w:rPr>
          <w:t>18365</w:t>
        </w:r>
      </w:hyperlink>
      <w:r w:rsidR="00AF6C6A">
        <w:t xml:space="preserve">, </w:t>
      </w:r>
      <w:hyperlink r:id="rId17" w:history="1">
        <w:r w:rsidR="00AF6C6A" w:rsidRPr="00E10490">
          <w:rPr>
            <w:rStyle w:val="Hyperlink"/>
          </w:rPr>
          <w:t>18369</w:t>
        </w:r>
      </w:hyperlink>
      <w:r w:rsidR="00AF6C6A">
        <w:t xml:space="preserve">, and </w:t>
      </w:r>
      <w:hyperlink r:id="rId18" w:history="1">
        <w:r w:rsidR="00AF6C6A" w:rsidRPr="00E10490">
          <w:rPr>
            <w:rStyle w:val="Hyperlink"/>
          </w:rPr>
          <w:t>18374</w:t>
        </w:r>
      </w:hyperlink>
      <w:r w:rsidR="00AF6C6A">
        <w:t xml:space="preserve">). </w:t>
      </w:r>
      <w:r w:rsidR="007225BF">
        <w:t xml:space="preserve">MSAC also </w:t>
      </w:r>
      <w:r w:rsidR="002C00EF">
        <w:t xml:space="preserve">supported </w:t>
      </w:r>
      <w:proofErr w:type="spellStart"/>
      <w:r w:rsidR="0084154A">
        <w:t>Xeomin</w:t>
      </w:r>
      <w:proofErr w:type="spellEnd"/>
      <w:r w:rsidR="0084154A">
        <w:t xml:space="preserve">® </w:t>
      </w:r>
      <w:r w:rsidR="00A204F2">
        <w:t>for treatment of c</w:t>
      </w:r>
      <w:r w:rsidR="007225BF">
        <w:t xml:space="preserve">hronic sialorrhea </w:t>
      </w:r>
      <w:r w:rsidR="00A204F2">
        <w:t xml:space="preserve">in its April 2025 </w:t>
      </w:r>
      <w:r w:rsidR="00F077C4">
        <w:t>meeting</w:t>
      </w:r>
      <w:r w:rsidR="0084154A">
        <w:t xml:space="preserve"> (Application 1800)</w:t>
      </w:r>
      <w:r w:rsidR="00F077C4">
        <w:t>,</w:t>
      </w:r>
      <w:r w:rsidR="007A05C2">
        <w:t xml:space="preserve"> but it is not yet listed on the schedule</w:t>
      </w:r>
      <w:r w:rsidR="00A204F2">
        <w:t>.</w:t>
      </w:r>
    </w:p>
    <w:p w14:paraId="61EB6CFA" w14:textId="0A162827" w:rsidR="001C502B" w:rsidRDefault="000F2130" w:rsidP="003B228A">
      <w:pPr>
        <w:spacing w:line="240" w:lineRule="auto"/>
        <w:rPr>
          <w:rFonts w:cs="Segoe UI"/>
        </w:rPr>
      </w:pPr>
      <w:proofErr w:type="spellStart"/>
      <w:r w:rsidRPr="00E548F2">
        <w:rPr>
          <w:rFonts w:eastAsia="Segoe UI" w:cs="Segoe UI"/>
          <w:color w:val="000000"/>
        </w:rPr>
        <w:t>Xeom</w:t>
      </w:r>
      <w:r w:rsidR="00AD54CD">
        <w:rPr>
          <w:rFonts w:eastAsia="Segoe UI" w:cs="Segoe UI"/>
          <w:color w:val="000000"/>
        </w:rPr>
        <w:t>i</w:t>
      </w:r>
      <w:r>
        <w:rPr>
          <w:rFonts w:eastAsia="Segoe UI" w:cs="Segoe UI"/>
          <w:color w:val="000000"/>
        </w:rPr>
        <w:t>n</w:t>
      </w:r>
      <w:proofErr w:type="spellEnd"/>
      <w:r w:rsidR="00986316">
        <w:t>®</w:t>
      </w:r>
      <w:r w:rsidRPr="00E548F2">
        <w:rPr>
          <w:rFonts w:eastAsia="Segoe UI" w:cs="Segoe UI"/>
          <w:color w:val="000000"/>
        </w:rPr>
        <w:t xml:space="preserve"> consists of a white to off-white powder for solution for injection. Each vial of </w:t>
      </w:r>
      <w:proofErr w:type="spellStart"/>
      <w:r w:rsidRPr="00E548F2">
        <w:rPr>
          <w:rFonts w:eastAsia="Segoe UI" w:cs="Segoe UI"/>
          <w:color w:val="000000"/>
        </w:rPr>
        <w:t>Xeomin</w:t>
      </w:r>
      <w:proofErr w:type="spellEnd"/>
      <w:r w:rsidR="00986316">
        <w:t>®</w:t>
      </w:r>
      <w:r w:rsidRPr="00E548F2">
        <w:rPr>
          <w:rFonts w:eastAsia="Segoe UI" w:cs="Segoe UI"/>
          <w:color w:val="000000"/>
        </w:rPr>
        <w:t xml:space="preserve"> powder for solution for injection contains 50 or 100 units of incobotulinumtoxinA. </w:t>
      </w:r>
      <w:proofErr w:type="spellStart"/>
      <w:r w:rsidRPr="00E548F2">
        <w:rPr>
          <w:rFonts w:eastAsia="Segoe UI" w:cs="Segoe UI"/>
          <w:color w:val="000000"/>
        </w:rPr>
        <w:t>Xeomin</w:t>
      </w:r>
      <w:proofErr w:type="spellEnd"/>
      <w:r w:rsidR="00986316">
        <w:t>®</w:t>
      </w:r>
      <w:r w:rsidRPr="00E548F2">
        <w:rPr>
          <w:rFonts w:eastAsia="Segoe UI" w:cs="Segoe UI"/>
          <w:color w:val="000000"/>
        </w:rPr>
        <w:t xml:space="preserve"> is reconstituted prior to use with sodium chloride 9 mg/mL (0.9%) solution for injection. </w:t>
      </w:r>
      <w:r w:rsidRPr="00E548F2">
        <w:rPr>
          <w:rFonts w:cs="Segoe UI"/>
        </w:rPr>
        <w:t xml:space="preserve">Reconstituted </w:t>
      </w:r>
      <w:proofErr w:type="spellStart"/>
      <w:r w:rsidRPr="00E548F2">
        <w:rPr>
          <w:rFonts w:cs="Segoe UI"/>
        </w:rPr>
        <w:t>Xeomin</w:t>
      </w:r>
      <w:proofErr w:type="spellEnd"/>
      <w:r w:rsidR="00986316">
        <w:t>®</w:t>
      </w:r>
      <w:r w:rsidRPr="00E548F2">
        <w:rPr>
          <w:rFonts w:cs="Segoe UI"/>
        </w:rPr>
        <w:t xml:space="preserve"> is injected </w:t>
      </w:r>
      <w:proofErr w:type="spellStart"/>
      <w:r w:rsidRPr="00E548F2">
        <w:rPr>
          <w:rFonts w:cs="Segoe UI"/>
        </w:rPr>
        <w:t>intraglandularly</w:t>
      </w:r>
      <w:proofErr w:type="spellEnd"/>
      <w:r w:rsidRPr="00E548F2">
        <w:rPr>
          <w:rFonts w:cs="Segoe UI"/>
        </w:rPr>
        <w:t xml:space="preserve"> using a suitable sterile needle (e.g. 27-30 gauge/0.30-0.40 mm diameter/12.5 mm length).</w:t>
      </w:r>
    </w:p>
    <w:p w14:paraId="099A8D25" w14:textId="24C113F5" w:rsidR="00AD54CD" w:rsidRDefault="00AD54CD" w:rsidP="003B228A">
      <w:pPr>
        <w:spacing w:line="240" w:lineRule="auto"/>
        <w:rPr>
          <w:rFonts w:cs="Segoe UI"/>
        </w:rPr>
      </w:pPr>
      <w:r>
        <w:rPr>
          <w:rFonts w:cs="Segoe UI"/>
        </w:rPr>
        <w:t xml:space="preserve">Injections can only be delivered once every </w:t>
      </w:r>
      <w:r w:rsidR="00B9552E">
        <w:rPr>
          <w:rFonts w:cs="Segoe UI"/>
        </w:rPr>
        <w:t>12</w:t>
      </w:r>
      <w:r>
        <w:rPr>
          <w:rFonts w:cs="Segoe UI"/>
        </w:rPr>
        <w:t xml:space="preserve"> weeks. </w:t>
      </w:r>
    </w:p>
    <w:p w14:paraId="2CC9F1AD" w14:textId="49B5A474" w:rsidR="00FB4DFA" w:rsidRPr="006104A1" w:rsidRDefault="00FB4DFA" w:rsidP="003B228A">
      <w:pPr>
        <w:spacing w:line="240" w:lineRule="auto"/>
        <w:rPr>
          <w:rFonts w:eastAsia="Segoe UI" w:cs="Segoe UI"/>
          <w:color w:val="000000"/>
        </w:rPr>
      </w:pPr>
      <w:r w:rsidRPr="006104A1">
        <w:rPr>
          <w:rFonts w:eastAsia="Segoe UI" w:cs="Segoe UI"/>
          <w:color w:val="000000"/>
        </w:rPr>
        <w:t xml:space="preserve">Neurologists, rehabilitation specialists, </w:t>
      </w:r>
      <w:r w:rsidR="00A7414D">
        <w:rPr>
          <w:rFonts w:eastAsia="Segoe UI" w:cs="Segoe UI"/>
          <w:color w:val="000000"/>
        </w:rPr>
        <w:t xml:space="preserve">paediatricians, </w:t>
      </w:r>
      <w:r w:rsidR="009C221C">
        <w:rPr>
          <w:rFonts w:eastAsia="Segoe UI" w:cs="Segoe UI"/>
          <w:color w:val="000000"/>
        </w:rPr>
        <w:t xml:space="preserve">and </w:t>
      </w:r>
      <w:r w:rsidR="00A7414D">
        <w:rPr>
          <w:rFonts w:eastAsia="Segoe UI" w:cs="Segoe UI"/>
          <w:color w:val="000000"/>
        </w:rPr>
        <w:t>orthopaedic surgeons</w:t>
      </w:r>
      <w:r w:rsidRPr="006104A1">
        <w:rPr>
          <w:rFonts w:eastAsia="Segoe UI" w:cs="Segoe UI"/>
          <w:color w:val="000000"/>
        </w:rPr>
        <w:t xml:space="preserve"> provide the service to both adult and paediatric populations, in addition to </w:t>
      </w:r>
      <w:r w:rsidR="009C221C">
        <w:rPr>
          <w:rFonts w:eastAsia="Segoe UI" w:cs="Segoe UI"/>
          <w:color w:val="000000"/>
        </w:rPr>
        <w:t>plastic surgeons</w:t>
      </w:r>
      <w:r w:rsidRPr="006104A1">
        <w:rPr>
          <w:rFonts w:eastAsia="Segoe UI" w:cs="Segoe UI"/>
          <w:color w:val="000000"/>
        </w:rPr>
        <w:t xml:space="preserve"> </w:t>
      </w:r>
      <w:r>
        <w:rPr>
          <w:rFonts w:eastAsia="Segoe UI" w:cs="Segoe UI"/>
          <w:color w:val="000000"/>
        </w:rPr>
        <w:t>for</w:t>
      </w:r>
      <w:r w:rsidRPr="006104A1">
        <w:rPr>
          <w:rFonts w:eastAsia="Segoe UI" w:cs="Segoe UI"/>
          <w:color w:val="000000"/>
        </w:rPr>
        <w:t xml:space="preserve"> the adult population. </w:t>
      </w:r>
    </w:p>
    <w:p w14:paraId="49E2DB32" w14:textId="4FF1FB1C" w:rsidR="00FB4DFA" w:rsidRDefault="00FB4DFA" w:rsidP="003B228A">
      <w:pPr>
        <w:spacing w:line="240" w:lineRule="auto"/>
        <w:rPr>
          <w:rFonts w:cs="Segoe UI"/>
        </w:rPr>
      </w:pPr>
      <w:r w:rsidRPr="006104A1">
        <w:rPr>
          <w:rFonts w:cs="Segoe UI"/>
        </w:rPr>
        <w:t xml:space="preserve">Merz Australia provide training workshops throughout the year in injections and ultrasound use with the aid of a sonographer. Workshops are provided for a range of existing indications which </w:t>
      </w:r>
      <w:proofErr w:type="spellStart"/>
      <w:r w:rsidR="0084154A" w:rsidRPr="00E548F2">
        <w:rPr>
          <w:rFonts w:cs="Segoe UI"/>
        </w:rPr>
        <w:t>Xeomin</w:t>
      </w:r>
      <w:proofErr w:type="spellEnd"/>
      <w:r w:rsidR="0084154A">
        <w:t>®</w:t>
      </w:r>
      <w:r w:rsidRPr="006104A1">
        <w:rPr>
          <w:rFonts w:cs="Segoe UI"/>
        </w:rPr>
        <w:t xml:space="preserve"> treats.</w:t>
      </w:r>
    </w:p>
    <w:p w14:paraId="6F52500A" w14:textId="0B00BF73" w:rsidR="00772829" w:rsidRPr="00CE28E3" w:rsidRDefault="00772829" w:rsidP="00045C5D">
      <w:pPr>
        <w:pStyle w:val="Heading2"/>
        <w:numPr>
          <w:ilvl w:val="0"/>
          <w:numId w:val="29"/>
        </w:numPr>
        <w:tabs>
          <w:tab w:val="num" w:pos="1134"/>
        </w:tabs>
      </w:pPr>
      <w:bookmarkStart w:id="9" w:name="_Toc69491417"/>
      <w:bookmarkEnd w:id="7"/>
      <w:bookmarkEnd w:id="8"/>
      <w:r w:rsidRPr="001B28F2">
        <w:t>Prerequisites to implementation of any funding advice</w:t>
      </w:r>
      <w:bookmarkEnd w:id="9"/>
    </w:p>
    <w:p w14:paraId="19D6DBB2" w14:textId="2379EB89" w:rsidR="00E279B5" w:rsidRDefault="00DD4E5A" w:rsidP="003B228A">
      <w:pPr>
        <w:pStyle w:val="Instructionaltext"/>
        <w:spacing w:line="240" w:lineRule="auto"/>
        <w:rPr>
          <w:color w:val="000000" w:themeColor="text1"/>
        </w:rPr>
      </w:pPr>
      <w:proofErr w:type="spellStart"/>
      <w:r w:rsidRPr="00DD4E5A">
        <w:rPr>
          <w:color w:val="000000" w:themeColor="text1"/>
        </w:rPr>
        <w:t>Xeomin</w:t>
      </w:r>
      <w:proofErr w:type="spellEnd"/>
      <w:r w:rsidR="00986316" w:rsidRPr="00762BCF">
        <w:rPr>
          <w:color w:val="auto"/>
        </w:rPr>
        <w:t>®</w:t>
      </w:r>
      <w:r w:rsidRPr="00DD4E5A">
        <w:rPr>
          <w:color w:val="000000" w:themeColor="text1"/>
        </w:rPr>
        <w:t xml:space="preserve"> was first registered on the Australian Register of Therapeutic Goods (ARTG</w:t>
      </w:r>
      <w:r w:rsidR="00D97635">
        <w:rPr>
          <w:color w:val="000000" w:themeColor="text1"/>
        </w:rPr>
        <w:t xml:space="preserve">: </w:t>
      </w:r>
      <w:r w:rsidR="00D97635" w:rsidRPr="00A21167">
        <w:rPr>
          <w:color w:val="000000" w:themeColor="text1"/>
        </w:rPr>
        <w:t>ID 205508</w:t>
      </w:r>
      <w:r w:rsidRPr="00DD4E5A">
        <w:rPr>
          <w:color w:val="000000" w:themeColor="text1"/>
        </w:rPr>
        <w:t xml:space="preserve">) on the </w:t>
      </w:r>
      <w:r w:rsidR="008033C3" w:rsidRPr="00DD4E5A">
        <w:rPr>
          <w:color w:val="000000" w:themeColor="text1"/>
        </w:rPr>
        <w:t>21st of</w:t>
      </w:r>
      <w:r w:rsidRPr="00DD4E5A">
        <w:rPr>
          <w:color w:val="000000" w:themeColor="text1"/>
        </w:rPr>
        <w:t xml:space="preserve"> March 2014. </w:t>
      </w:r>
      <w:r w:rsidR="001F54B8">
        <w:rPr>
          <w:color w:val="000000" w:themeColor="text1"/>
        </w:rPr>
        <w:t>It i</w:t>
      </w:r>
      <w:r w:rsidR="00FA1194">
        <w:rPr>
          <w:color w:val="000000" w:themeColor="text1"/>
        </w:rPr>
        <w:t xml:space="preserve">s indicated for the symptomatic treatment of spasticity of the lower and/or upper limbs in children and adolescents aged 2 to 17 years, as well as spasticity of the </w:t>
      </w:r>
      <w:r w:rsidR="00E6727A">
        <w:rPr>
          <w:color w:val="000000" w:themeColor="text1"/>
        </w:rPr>
        <w:t xml:space="preserve">upper limb in adults. </w:t>
      </w:r>
      <w:r w:rsidRPr="00DD4E5A">
        <w:rPr>
          <w:color w:val="000000" w:themeColor="text1"/>
        </w:rPr>
        <w:t xml:space="preserve">In </w:t>
      </w:r>
      <w:r w:rsidR="007956EB">
        <w:rPr>
          <w:color w:val="000000" w:themeColor="text1"/>
        </w:rPr>
        <w:t>May</w:t>
      </w:r>
      <w:r w:rsidRPr="00DD4E5A">
        <w:rPr>
          <w:color w:val="000000" w:themeColor="text1"/>
        </w:rPr>
        <w:t xml:space="preserve"> 202</w:t>
      </w:r>
      <w:r w:rsidR="007956EB">
        <w:rPr>
          <w:color w:val="000000" w:themeColor="text1"/>
        </w:rPr>
        <w:t>5</w:t>
      </w:r>
      <w:r w:rsidRPr="00DD4E5A">
        <w:rPr>
          <w:color w:val="000000" w:themeColor="text1"/>
        </w:rPr>
        <w:t xml:space="preserve"> </w:t>
      </w:r>
      <w:r w:rsidR="00534F3C">
        <w:rPr>
          <w:color w:val="000000" w:themeColor="text1"/>
        </w:rPr>
        <w:t>the approved P</w:t>
      </w:r>
      <w:r w:rsidR="00CD261C">
        <w:rPr>
          <w:color w:val="000000" w:themeColor="text1"/>
        </w:rPr>
        <w:t xml:space="preserve">roduct </w:t>
      </w:r>
      <w:r w:rsidR="00534F3C">
        <w:rPr>
          <w:color w:val="000000" w:themeColor="text1"/>
        </w:rPr>
        <w:t>I</w:t>
      </w:r>
      <w:r w:rsidR="00CD261C">
        <w:rPr>
          <w:color w:val="000000" w:themeColor="text1"/>
        </w:rPr>
        <w:t>nformation (PI)</w:t>
      </w:r>
      <w:r w:rsidR="00534F3C">
        <w:rPr>
          <w:color w:val="000000" w:themeColor="text1"/>
        </w:rPr>
        <w:t xml:space="preserve"> was updated to include </w:t>
      </w:r>
      <w:r w:rsidR="00ED00A5">
        <w:rPr>
          <w:color w:val="000000" w:themeColor="text1"/>
        </w:rPr>
        <w:t>treatment of spasticity of the lower limb affecting the ankle joint in adults</w:t>
      </w:r>
      <w:r w:rsidR="00E6727A">
        <w:rPr>
          <w:color w:val="000000" w:themeColor="text1"/>
        </w:rPr>
        <w:t xml:space="preserve"> as well</w:t>
      </w:r>
      <w:r w:rsidR="005062B4">
        <w:rPr>
          <w:rStyle w:val="FootnoteReference"/>
          <w:color w:val="000000" w:themeColor="text1"/>
        </w:rPr>
        <w:footnoteReference w:id="2"/>
      </w:r>
      <w:r w:rsidR="00ED00A5">
        <w:rPr>
          <w:color w:val="000000" w:themeColor="text1"/>
        </w:rPr>
        <w:t xml:space="preserve">. </w:t>
      </w:r>
      <w:bookmarkStart w:id="10" w:name="_Toc69491418"/>
    </w:p>
    <w:p w14:paraId="44C3B242" w14:textId="1F347CFC" w:rsidR="00772829" w:rsidRPr="00CE28E3" w:rsidRDefault="00772829" w:rsidP="003B228A">
      <w:pPr>
        <w:pStyle w:val="Heading2"/>
        <w:numPr>
          <w:ilvl w:val="0"/>
          <w:numId w:val="29"/>
        </w:numPr>
        <w:tabs>
          <w:tab w:val="num" w:pos="1134"/>
        </w:tabs>
      </w:pPr>
      <w:r w:rsidRPr="007169E9">
        <w:lastRenderedPageBreak/>
        <w:t>Proposal for public funding</w:t>
      </w:r>
      <w:bookmarkEnd w:id="10"/>
    </w:p>
    <w:p w14:paraId="501730FE" w14:textId="0DDF2F5B" w:rsidR="00B42CAE" w:rsidRDefault="00404C07" w:rsidP="003B228A">
      <w:pPr>
        <w:pStyle w:val="Instructionaltext"/>
        <w:spacing w:line="240" w:lineRule="auto"/>
        <w:rPr>
          <w:color w:val="000000" w:themeColor="text1"/>
        </w:rPr>
      </w:pPr>
      <w:r>
        <w:rPr>
          <w:color w:val="000000" w:themeColor="text1"/>
        </w:rPr>
        <w:t>The amendment of existing MBS items</w:t>
      </w:r>
      <w:r w:rsidR="00644532">
        <w:rPr>
          <w:color w:val="000000" w:themeColor="text1"/>
        </w:rPr>
        <w:t xml:space="preserve"> 18354 and 18361</w:t>
      </w:r>
      <w:r>
        <w:rPr>
          <w:color w:val="000000" w:themeColor="text1"/>
        </w:rPr>
        <w:t xml:space="preserve"> is requested to utilise </w:t>
      </w:r>
      <w:proofErr w:type="spellStart"/>
      <w:r>
        <w:rPr>
          <w:color w:val="000000" w:themeColor="text1"/>
        </w:rPr>
        <w:t>Xeomin</w:t>
      </w:r>
      <w:proofErr w:type="spellEnd"/>
      <w:r w:rsidR="00B10C27" w:rsidRPr="00762BCF">
        <w:rPr>
          <w:color w:val="auto"/>
        </w:rPr>
        <w:t>®</w:t>
      </w:r>
      <w:r>
        <w:rPr>
          <w:color w:val="000000" w:themeColor="text1"/>
        </w:rPr>
        <w:t xml:space="preserve"> injection services</w:t>
      </w:r>
      <w:r w:rsidR="00970383">
        <w:rPr>
          <w:color w:val="000000" w:themeColor="text1"/>
        </w:rPr>
        <w:t xml:space="preserve"> for lower-limb </w:t>
      </w:r>
      <w:r w:rsidR="00B42CAE" w:rsidRPr="00E12517">
        <w:rPr>
          <w:color w:val="000000" w:themeColor="text1"/>
        </w:rPr>
        <w:t>(</w:t>
      </w:r>
      <w:r w:rsidR="00B42CAE" w:rsidRPr="00E12517">
        <w:rPr>
          <w:color w:val="000000" w:themeColor="text1"/>
        </w:rPr>
        <w:fldChar w:fldCharType="begin"/>
      </w:r>
      <w:r w:rsidR="00B42CAE" w:rsidRPr="007F4514">
        <w:rPr>
          <w:color w:val="000000" w:themeColor="text1"/>
        </w:rPr>
        <w:instrText xml:space="preserve"> REF _Ref69481033 \h </w:instrText>
      </w:r>
      <w:r w:rsidR="00B42CAE" w:rsidRPr="00AA7407">
        <w:rPr>
          <w:color w:val="000000" w:themeColor="text1"/>
        </w:rPr>
        <w:instrText xml:space="preserve"> \* MERGEFORMAT </w:instrText>
      </w:r>
      <w:r w:rsidR="00B42CAE" w:rsidRPr="00E12517">
        <w:rPr>
          <w:color w:val="000000" w:themeColor="text1"/>
        </w:rPr>
      </w:r>
      <w:r w:rsidR="00B42CAE" w:rsidRPr="00E12517">
        <w:rPr>
          <w:color w:val="000000" w:themeColor="text1"/>
        </w:rPr>
        <w:fldChar w:fldCharType="separate"/>
      </w:r>
      <w:r w:rsidR="00913AD6" w:rsidRPr="00762BCF">
        <w:rPr>
          <w:color w:val="000000" w:themeColor="text1"/>
        </w:rPr>
        <w:t>Table 1</w:t>
      </w:r>
      <w:r w:rsidR="00B42CAE" w:rsidRPr="00E12517">
        <w:rPr>
          <w:color w:val="000000" w:themeColor="text1"/>
        </w:rPr>
        <w:fldChar w:fldCharType="end"/>
      </w:r>
      <w:r w:rsidR="00B42CAE" w:rsidRPr="00E12517">
        <w:rPr>
          <w:color w:val="000000" w:themeColor="text1"/>
        </w:rPr>
        <w:t>)</w:t>
      </w:r>
      <w:r w:rsidR="00B42CAE" w:rsidRPr="00AA7407">
        <w:rPr>
          <w:color w:val="000000" w:themeColor="text1"/>
        </w:rPr>
        <w:t xml:space="preserve"> </w:t>
      </w:r>
      <w:r w:rsidR="00970383">
        <w:rPr>
          <w:color w:val="000000" w:themeColor="text1"/>
        </w:rPr>
        <w:t xml:space="preserve">and upper-limb </w:t>
      </w:r>
      <w:r w:rsidR="00B42CAE" w:rsidRPr="00E45D8B">
        <w:rPr>
          <w:color w:val="000000" w:themeColor="text1"/>
        </w:rPr>
        <w:t>(</w:t>
      </w:r>
      <w:r w:rsidR="00B42CAE" w:rsidRPr="00E45D8B">
        <w:rPr>
          <w:color w:val="000000" w:themeColor="text1"/>
        </w:rPr>
        <w:fldChar w:fldCharType="begin"/>
      </w:r>
      <w:r w:rsidR="00B42CAE" w:rsidRPr="00E45D8B">
        <w:rPr>
          <w:color w:val="000000" w:themeColor="text1"/>
        </w:rPr>
        <w:instrText xml:space="preserve"> REF _Ref190127255 \h </w:instrText>
      </w:r>
      <w:r w:rsidR="00491603">
        <w:rPr>
          <w:color w:val="000000" w:themeColor="text1"/>
        </w:rPr>
        <w:instrText xml:space="preserve"> \* MERGEFORMAT </w:instrText>
      </w:r>
      <w:r w:rsidR="00B42CAE" w:rsidRPr="00E45D8B">
        <w:rPr>
          <w:color w:val="000000" w:themeColor="text1"/>
        </w:rPr>
      </w:r>
      <w:r w:rsidR="00B42CAE" w:rsidRPr="00E45D8B">
        <w:rPr>
          <w:color w:val="000000" w:themeColor="text1"/>
        </w:rPr>
        <w:fldChar w:fldCharType="separate"/>
      </w:r>
      <w:r w:rsidR="00913AD6" w:rsidRPr="00762BCF">
        <w:rPr>
          <w:color w:val="000000" w:themeColor="text1"/>
        </w:rPr>
        <w:t>Table 2</w:t>
      </w:r>
      <w:r w:rsidR="00B42CAE" w:rsidRPr="00E45D8B">
        <w:rPr>
          <w:color w:val="000000" w:themeColor="text1"/>
        </w:rPr>
        <w:fldChar w:fldCharType="end"/>
      </w:r>
      <w:r w:rsidR="00B42CAE" w:rsidRPr="00E45D8B">
        <w:rPr>
          <w:color w:val="000000" w:themeColor="text1"/>
        </w:rPr>
        <w:t xml:space="preserve">) </w:t>
      </w:r>
      <w:r w:rsidR="00970383">
        <w:rPr>
          <w:color w:val="000000" w:themeColor="text1"/>
        </w:rPr>
        <w:t xml:space="preserve">spasticity associated with </w:t>
      </w:r>
      <w:r w:rsidR="005062B4">
        <w:rPr>
          <w:color w:val="000000" w:themeColor="text1"/>
        </w:rPr>
        <w:t>CP in patients 2 years and older</w:t>
      </w:r>
      <w:r>
        <w:rPr>
          <w:color w:val="000000" w:themeColor="text1"/>
        </w:rPr>
        <w:t>.</w:t>
      </w:r>
      <w:r w:rsidR="005F0A23">
        <w:rPr>
          <w:color w:val="000000" w:themeColor="text1"/>
        </w:rPr>
        <w:t xml:space="preserve"> </w:t>
      </w:r>
      <w:r w:rsidR="005C44A4">
        <w:rPr>
          <w:color w:val="000000" w:themeColor="text1"/>
        </w:rPr>
        <w:t xml:space="preserve">The inclusion of </w:t>
      </w:r>
      <w:proofErr w:type="spellStart"/>
      <w:r w:rsidR="005C44A4">
        <w:rPr>
          <w:color w:val="000000" w:themeColor="text1"/>
        </w:rPr>
        <w:t>Xeomin</w:t>
      </w:r>
      <w:proofErr w:type="spellEnd"/>
      <w:r w:rsidR="00185A2A" w:rsidRPr="006166A0">
        <w:rPr>
          <w:color w:val="auto"/>
        </w:rPr>
        <w:t>®</w:t>
      </w:r>
      <w:r w:rsidR="005C44A4">
        <w:rPr>
          <w:color w:val="000000" w:themeColor="text1"/>
        </w:rPr>
        <w:t xml:space="preserve"> is the only amendment necessary, with all other details of the service (including the fee) remaining unchanged. </w:t>
      </w:r>
    </w:p>
    <w:p w14:paraId="39392CFD" w14:textId="5BD72E3D" w:rsidR="003328A9" w:rsidRPr="00CE28E3" w:rsidRDefault="00310C3F" w:rsidP="00491603">
      <w:pPr>
        <w:pStyle w:val="Caption"/>
        <w:ind w:left="720" w:hanging="720"/>
        <w:rPr>
          <w:rFonts w:cs="Arial"/>
        </w:rPr>
      </w:pPr>
      <w:bookmarkStart w:id="11" w:name="_Ref69481033"/>
      <w:r w:rsidRPr="005F0A23">
        <w:t>Table</w:t>
      </w:r>
      <w:r w:rsidR="004A4FDF" w:rsidRPr="005F0A23">
        <w:t> </w:t>
      </w:r>
      <w:r w:rsidR="00913AD6">
        <w:fldChar w:fldCharType="begin"/>
      </w:r>
      <w:r w:rsidR="00913AD6">
        <w:instrText xml:space="preserve"> SEQ Table \* ARABIC </w:instrText>
      </w:r>
      <w:r w:rsidR="00913AD6">
        <w:fldChar w:fldCharType="separate"/>
      </w:r>
      <w:r w:rsidR="00913AD6">
        <w:rPr>
          <w:noProof/>
        </w:rPr>
        <w:t>1</w:t>
      </w:r>
      <w:r w:rsidR="00913AD6">
        <w:rPr>
          <w:noProof/>
        </w:rPr>
        <w:fldChar w:fldCharType="end"/>
      </w:r>
      <w:bookmarkEnd w:id="11"/>
      <w:r w:rsidR="003328A9" w:rsidRPr="005F0A23">
        <w:rPr>
          <w:rFonts w:cs="Arial"/>
        </w:rPr>
        <w:tab/>
      </w:r>
      <w:r w:rsidR="004F1EBB" w:rsidRPr="005F0A23">
        <w:rPr>
          <w:rFonts w:cs="Arial"/>
        </w:rPr>
        <w:t xml:space="preserve">Amendment of MBS Item 18354 </w:t>
      </w:r>
      <w:r w:rsidR="005F0A23" w:rsidRPr="005F0A23">
        <w:rPr>
          <w:rFonts w:cs="Arial"/>
        </w:rPr>
        <w:t xml:space="preserve">to include incobotulinumtoxinA </w:t>
      </w:r>
      <w:r w:rsidR="005F0A23">
        <w:rPr>
          <w:rFonts w:cs="Arial"/>
        </w:rPr>
        <w:t>(</w:t>
      </w:r>
      <w:proofErr w:type="spellStart"/>
      <w:r w:rsidR="005F0A23">
        <w:rPr>
          <w:rFonts w:cs="Arial"/>
        </w:rPr>
        <w:t>Xeomin</w:t>
      </w:r>
      <w:proofErr w:type="spellEnd"/>
      <w:r w:rsidR="005F0A23">
        <w:rPr>
          <w:rFonts w:cs="Arial"/>
        </w:rPr>
        <w:t xml:space="preserve">) </w:t>
      </w:r>
      <w:r w:rsidR="005F0A23" w:rsidRPr="005F0A23">
        <w:rPr>
          <w:rFonts w:cs="Arial"/>
        </w:rPr>
        <w:t>for treatment of cerebral palsy lower-limb spasticity</w:t>
      </w:r>
      <w:r w:rsidR="00564981">
        <w:rPr>
          <w:rFonts w:cs="Arial"/>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328A9" w:rsidRPr="00CE28E3" w14:paraId="7A70B700" w14:textId="77777777" w:rsidTr="3AB00BF2">
        <w:trPr>
          <w:trHeight w:val="351"/>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FAF30" w14:textId="10943FD8" w:rsidR="003328A9" w:rsidRPr="00CE28E3" w:rsidRDefault="003328A9" w:rsidP="00491603">
            <w:pPr>
              <w:pStyle w:val="TableText"/>
              <w:rPr>
                <w:sz w:val="24"/>
              </w:rPr>
            </w:pPr>
            <w:r w:rsidRPr="00CE28E3">
              <w:t xml:space="preserve">Category </w:t>
            </w:r>
            <w:r w:rsidR="00396DD5">
              <w:t>3</w:t>
            </w:r>
            <w:r w:rsidRPr="00CE28E3">
              <w:t xml:space="preserve"> – </w:t>
            </w:r>
            <w:r w:rsidR="00396DD5">
              <w:t>THERAPEUTIC PROCEDURES</w:t>
            </w:r>
          </w:p>
        </w:tc>
      </w:tr>
      <w:tr w:rsidR="003328A9" w:rsidRPr="00CE28E3" w14:paraId="05A9B76F" w14:textId="77777777" w:rsidTr="3AB00BF2">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D428" w14:textId="27683346" w:rsidR="00E3330E" w:rsidRPr="00170D5B" w:rsidRDefault="00E3330E" w:rsidP="00491603">
            <w:pPr>
              <w:spacing w:after="120" w:line="240" w:lineRule="auto"/>
              <w:rPr>
                <w:rFonts w:ascii="Arial Narrow" w:hAnsi="Arial Narrow"/>
                <w:sz w:val="20"/>
                <w:szCs w:val="20"/>
                <w:lang w:val="en-US" w:eastAsia="ja-JP"/>
              </w:rPr>
            </w:pPr>
            <w:r w:rsidRPr="00170D5B">
              <w:rPr>
                <w:rFonts w:ascii="Arial Narrow" w:hAnsi="Arial Narrow"/>
                <w:sz w:val="20"/>
                <w:szCs w:val="20"/>
                <w:lang w:val="en-US" w:eastAsia="ja-JP"/>
              </w:rPr>
              <w:t xml:space="preserve">MBS item </w:t>
            </w:r>
            <w:r w:rsidR="005B1C74">
              <w:rPr>
                <w:rFonts w:ascii="Arial Narrow" w:hAnsi="Arial Narrow"/>
                <w:sz w:val="20"/>
                <w:szCs w:val="20"/>
                <w:lang w:val="en-US" w:eastAsia="ja-JP"/>
              </w:rPr>
              <w:t>18354</w:t>
            </w:r>
          </w:p>
          <w:p w14:paraId="67A8F7F4" w14:textId="7480D8C0" w:rsidR="001D66C3" w:rsidRPr="001D66C3" w:rsidRDefault="001D66C3" w:rsidP="00491603">
            <w:pPr>
              <w:spacing w:after="120" w:line="240" w:lineRule="auto"/>
              <w:rPr>
                <w:rFonts w:ascii="Arial Narrow" w:hAnsi="Arial Narrow"/>
                <w:sz w:val="20"/>
                <w:szCs w:val="20"/>
                <w:lang w:eastAsia="ja-JP"/>
              </w:rPr>
            </w:pPr>
            <w:r w:rsidRPr="001D66C3">
              <w:rPr>
                <w:rFonts w:ascii="Arial Narrow" w:hAnsi="Arial Narrow"/>
                <w:sz w:val="20"/>
                <w:szCs w:val="20"/>
                <w:lang w:eastAsia="ja-JP"/>
              </w:rPr>
              <w:t xml:space="preserve">Botulinum Toxin Type </w:t>
            </w:r>
            <w:proofErr w:type="gramStart"/>
            <w:r w:rsidRPr="001D66C3">
              <w:rPr>
                <w:rFonts w:ascii="Arial Narrow" w:hAnsi="Arial Narrow"/>
                <w:sz w:val="20"/>
                <w:szCs w:val="20"/>
                <w:lang w:eastAsia="ja-JP"/>
              </w:rPr>
              <w:t>A</w:t>
            </w:r>
            <w:proofErr w:type="gramEnd"/>
            <w:r w:rsidRPr="001D66C3">
              <w:rPr>
                <w:rFonts w:ascii="Arial Narrow" w:hAnsi="Arial Narrow"/>
                <w:sz w:val="20"/>
                <w:szCs w:val="20"/>
                <w:lang w:eastAsia="ja-JP"/>
              </w:rPr>
              <w:t xml:space="preserve"> Purified </w:t>
            </w:r>
            <w:proofErr w:type="spellStart"/>
            <w:r w:rsidRPr="001D66C3">
              <w:rPr>
                <w:rFonts w:ascii="Arial Narrow" w:hAnsi="Arial Narrow"/>
                <w:sz w:val="20"/>
                <w:szCs w:val="20"/>
                <w:lang w:eastAsia="ja-JP"/>
              </w:rPr>
              <w:t>Neurot</w:t>
            </w:r>
            <w:r w:rsidRPr="00191CAA">
              <w:rPr>
                <w:rFonts w:ascii="Arial Narrow" w:hAnsi="Arial Narrow"/>
                <w:strike/>
                <w:sz w:val="20"/>
                <w:szCs w:val="20"/>
                <w:lang w:eastAsia="ja-JP"/>
              </w:rPr>
              <w:t>i</w:t>
            </w:r>
            <w:r w:rsidR="00125F9A" w:rsidRPr="00125F9A">
              <w:rPr>
                <w:rFonts w:ascii="Arial Narrow" w:hAnsi="Arial Narrow"/>
                <w:i/>
                <w:iCs/>
                <w:sz w:val="20"/>
                <w:szCs w:val="20"/>
                <w:lang w:eastAsia="ja-JP"/>
              </w:rPr>
              <w:t>o</w:t>
            </w:r>
            <w:r w:rsidRPr="001D66C3">
              <w:rPr>
                <w:rFonts w:ascii="Arial Narrow" w:hAnsi="Arial Narrow"/>
                <w:sz w:val="20"/>
                <w:szCs w:val="20"/>
                <w:lang w:eastAsia="ja-JP"/>
              </w:rPr>
              <w:t>xin</w:t>
            </w:r>
            <w:proofErr w:type="spellEnd"/>
            <w:r w:rsidRPr="001D66C3">
              <w:rPr>
                <w:rFonts w:ascii="Arial Narrow" w:hAnsi="Arial Narrow"/>
                <w:sz w:val="20"/>
                <w:szCs w:val="20"/>
                <w:lang w:eastAsia="ja-JP"/>
              </w:rPr>
              <w:t xml:space="preserve"> Complex (Botox)</w:t>
            </w:r>
            <w:r w:rsidR="007169E9">
              <w:rPr>
                <w:rFonts w:ascii="Arial Narrow" w:hAnsi="Arial Narrow"/>
                <w:sz w:val="20"/>
                <w:szCs w:val="20"/>
                <w:lang w:eastAsia="ja-JP"/>
              </w:rPr>
              <w:t xml:space="preserve">, </w:t>
            </w:r>
            <w:r w:rsidRPr="001D66C3">
              <w:rPr>
                <w:rFonts w:ascii="Arial Narrow" w:hAnsi="Arial Narrow"/>
                <w:sz w:val="20"/>
                <w:szCs w:val="20"/>
                <w:lang w:eastAsia="ja-JP"/>
              </w:rPr>
              <w:t xml:space="preserve">Clostridium Botulinum Type A Toxin-Haemagglutinin Complex (Dysport), </w:t>
            </w:r>
            <w:r w:rsidR="007169E9" w:rsidRPr="007169E9">
              <w:rPr>
                <w:rFonts w:ascii="Arial Narrow" w:hAnsi="Arial Narrow"/>
                <w:b/>
                <w:bCs/>
                <w:sz w:val="20"/>
                <w:szCs w:val="20"/>
                <w:lang w:eastAsia="ja-JP"/>
              </w:rPr>
              <w:t>or in</w:t>
            </w:r>
            <w:r w:rsidR="00BC0984">
              <w:rPr>
                <w:rFonts w:ascii="Arial Narrow" w:hAnsi="Arial Narrow"/>
                <w:b/>
                <w:bCs/>
                <w:sz w:val="20"/>
                <w:szCs w:val="20"/>
                <w:lang w:eastAsia="ja-JP"/>
              </w:rPr>
              <w:t>co</w:t>
            </w:r>
            <w:r w:rsidR="007169E9" w:rsidRPr="007169E9">
              <w:rPr>
                <w:rFonts w:ascii="Arial Narrow" w:hAnsi="Arial Narrow"/>
                <w:b/>
                <w:bCs/>
                <w:sz w:val="20"/>
                <w:szCs w:val="20"/>
                <w:lang w:eastAsia="ja-JP"/>
              </w:rPr>
              <w:t>botulinumtoxinA (</w:t>
            </w:r>
            <w:proofErr w:type="spellStart"/>
            <w:r w:rsidR="007169E9" w:rsidRPr="007169E9">
              <w:rPr>
                <w:rFonts w:ascii="Arial Narrow" w:hAnsi="Arial Narrow"/>
                <w:b/>
                <w:bCs/>
                <w:sz w:val="20"/>
                <w:szCs w:val="20"/>
                <w:lang w:eastAsia="ja-JP"/>
              </w:rPr>
              <w:t>Xeomin</w:t>
            </w:r>
            <w:proofErr w:type="spellEnd"/>
            <w:r w:rsidR="007169E9" w:rsidRPr="007169E9">
              <w:rPr>
                <w:rFonts w:ascii="Arial Narrow" w:hAnsi="Arial Narrow"/>
                <w:b/>
                <w:bCs/>
                <w:sz w:val="20"/>
                <w:szCs w:val="20"/>
                <w:lang w:eastAsia="ja-JP"/>
              </w:rPr>
              <w:t>)</w:t>
            </w:r>
            <w:r w:rsidR="007169E9">
              <w:rPr>
                <w:rFonts w:ascii="Arial Narrow" w:hAnsi="Arial Narrow"/>
                <w:sz w:val="20"/>
                <w:szCs w:val="20"/>
                <w:lang w:eastAsia="ja-JP"/>
              </w:rPr>
              <w:t xml:space="preserve">, </w:t>
            </w:r>
            <w:r w:rsidRPr="001D66C3">
              <w:rPr>
                <w:rFonts w:ascii="Arial Narrow" w:hAnsi="Arial Narrow"/>
                <w:sz w:val="20"/>
                <w:szCs w:val="20"/>
                <w:lang w:eastAsia="ja-JP"/>
              </w:rPr>
              <w:t xml:space="preserve">injection of, for the treatment of dynamic </w:t>
            </w:r>
            <w:proofErr w:type="spellStart"/>
            <w:r w:rsidRPr="001D66C3">
              <w:rPr>
                <w:rFonts w:ascii="Arial Narrow" w:hAnsi="Arial Narrow"/>
                <w:sz w:val="20"/>
                <w:szCs w:val="20"/>
                <w:lang w:eastAsia="ja-JP"/>
              </w:rPr>
              <w:t>equinus</w:t>
            </w:r>
            <w:proofErr w:type="spellEnd"/>
            <w:r w:rsidRPr="001D66C3">
              <w:rPr>
                <w:rFonts w:ascii="Arial Narrow" w:hAnsi="Arial Narrow"/>
                <w:sz w:val="20"/>
                <w:szCs w:val="20"/>
                <w:lang w:eastAsia="ja-JP"/>
              </w:rPr>
              <w:t xml:space="preserve"> foot deformity (including equinovarus and </w:t>
            </w:r>
            <w:proofErr w:type="spellStart"/>
            <w:r w:rsidRPr="001D66C3">
              <w:rPr>
                <w:rFonts w:ascii="Arial Narrow" w:hAnsi="Arial Narrow"/>
                <w:sz w:val="20"/>
                <w:szCs w:val="20"/>
                <w:lang w:eastAsia="ja-JP"/>
              </w:rPr>
              <w:t>equinovalgus</w:t>
            </w:r>
            <w:proofErr w:type="spellEnd"/>
            <w:r w:rsidRPr="001D66C3">
              <w:rPr>
                <w:rFonts w:ascii="Arial Narrow" w:hAnsi="Arial Narrow"/>
                <w:sz w:val="20"/>
                <w:szCs w:val="20"/>
                <w:lang w:eastAsia="ja-JP"/>
              </w:rPr>
              <w:t>) due to spasticity in an ambulant cerebral palsy patient, if:</w:t>
            </w:r>
          </w:p>
          <w:p w14:paraId="583D4420" w14:textId="77777777" w:rsidR="001D66C3" w:rsidRPr="001D66C3" w:rsidRDefault="001D66C3" w:rsidP="00491603">
            <w:pPr>
              <w:spacing w:after="120" w:line="240" w:lineRule="auto"/>
              <w:rPr>
                <w:rFonts w:ascii="Arial Narrow" w:hAnsi="Arial Narrow"/>
                <w:sz w:val="20"/>
                <w:szCs w:val="20"/>
                <w:lang w:eastAsia="ja-JP"/>
              </w:rPr>
            </w:pPr>
            <w:r w:rsidRPr="001D66C3">
              <w:rPr>
                <w:rFonts w:ascii="Arial Narrow" w:hAnsi="Arial Narrow"/>
                <w:sz w:val="20"/>
                <w:szCs w:val="20"/>
                <w:lang w:eastAsia="ja-JP"/>
              </w:rPr>
              <w:t>(a)    the patient is at least 2 years of age; and</w:t>
            </w:r>
          </w:p>
          <w:p w14:paraId="416B5C76" w14:textId="462873B9" w:rsidR="001D66C3" w:rsidRPr="001D66C3" w:rsidRDefault="001D66C3" w:rsidP="00491603">
            <w:pPr>
              <w:spacing w:after="120" w:line="240" w:lineRule="auto"/>
              <w:rPr>
                <w:rFonts w:ascii="Arial Narrow" w:hAnsi="Arial Narrow"/>
                <w:sz w:val="20"/>
                <w:szCs w:val="20"/>
                <w:lang w:eastAsia="ja-JP"/>
              </w:rPr>
            </w:pPr>
            <w:r w:rsidRPr="001D66C3">
              <w:rPr>
                <w:rFonts w:ascii="Arial Narrow" w:hAnsi="Arial Narrow"/>
                <w:sz w:val="20"/>
                <w:szCs w:val="20"/>
                <w:lang w:eastAsia="ja-JP"/>
              </w:rPr>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w:t>
            </w:r>
          </w:p>
          <w:p w14:paraId="3EEC2DE6" w14:textId="1AA4B2B7" w:rsidR="003328A9" w:rsidRPr="007169E9" w:rsidRDefault="001D66C3" w:rsidP="00491603">
            <w:pPr>
              <w:spacing w:after="120" w:line="240" w:lineRule="auto"/>
              <w:rPr>
                <w:rFonts w:ascii="Arial Narrow" w:hAnsi="Arial Narrow"/>
                <w:sz w:val="20"/>
                <w:szCs w:val="20"/>
                <w:lang w:eastAsia="ja-JP"/>
              </w:rPr>
            </w:pPr>
            <w:r w:rsidRPr="001D66C3">
              <w:rPr>
                <w:rFonts w:ascii="Arial Narrow" w:hAnsi="Arial Narrow"/>
                <w:sz w:val="20"/>
                <w:szCs w:val="20"/>
                <w:lang w:eastAsia="ja-JP"/>
              </w:rPr>
              <w:t xml:space="preserve">(Anaes.) </w:t>
            </w:r>
          </w:p>
        </w:tc>
      </w:tr>
      <w:tr w:rsidR="003328A9" w:rsidRPr="005D749D" w14:paraId="190EE027" w14:textId="77777777" w:rsidTr="3AB00BF2">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EEDFDC" w14:textId="5471CC5B" w:rsidR="003328A9" w:rsidRPr="005D749D" w:rsidRDefault="00FE30CB" w:rsidP="00491603">
            <w:pPr>
              <w:spacing w:after="120" w:line="240" w:lineRule="auto"/>
            </w:pPr>
            <w:r w:rsidRPr="00FE30CB">
              <w:rPr>
                <w:rFonts w:ascii="Arial Narrow" w:hAnsi="Arial Narrow"/>
                <w:sz w:val="20"/>
                <w:szCs w:val="20"/>
                <w:lang w:val="en-US" w:eastAsia="ja-JP"/>
              </w:rPr>
              <w:t>Fee: $142.25 Benefit: 75% = $106.70 85% = $120.95</w:t>
            </w:r>
            <w:r w:rsidR="008F4684">
              <w:rPr>
                <w:rStyle w:val="FootnoteReference"/>
                <w:rFonts w:ascii="Arial Narrow" w:hAnsi="Arial Narrow"/>
                <w:sz w:val="20"/>
                <w:szCs w:val="20"/>
                <w:lang w:val="en-US" w:eastAsia="ja-JP"/>
              </w:rPr>
              <w:footnoteReference w:id="3"/>
            </w:r>
          </w:p>
        </w:tc>
      </w:tr>
    </w:tbl>
    <w:p w14:paraId="7AE06A18" w14:textId="6BB6A86A" w:rsidR="00984292" w:rsidRPr="002D5FB9" w:rsidRDefault="00191CAA" w:rsidP="00984292">
      <w:pPr>
        <w:pStyle w:val="Caption"/>
        <w:spacing w:before="0"/>
        <w:ind w:left="720" w:hanging="720"/>
        <w:rPr>
          <w:b w:val="0"/>
          <w:bCs w:val="0"/>
          <w:sz w:val="18"/>
          <w:szCs w:val="18"/>
        </w:rPr>
      </w:pPr>
      <w:bookmarkStart w:id="12" w:name="_Ref190127255"/>
      <w:r w:rsidRPr="002D5FB9">
        <w:rPr>
          <w:b w:val="0"/>
          <w:bCs w:val="0"/>
          <w:sz w:val="18"/>
          <w:szCs w:val="18"/>
        </w:rPr>
        <w:t xml:space="preserve">Typographical error corrected in </w:t>
      </w:r>
      <w:r w:rsidRPr="002D5FB9">
        <w:rPr>
          <w:b w:val="0"/>
          <w:bCs w:val="0"/>
          <w:strike/>
          <w:sz w:val="18"/>
          <w:szCs w:val="18"/>
        </w:rPr>
        <w:t>strikethrough text</w:t>
      </w:r>
      <w:r w:rsidRPr="002D5FB9">
        <w:rPr>
          <w:b w:val="0"/>
          <w:bCs w:val="0"/>
          <w:sz w:val="18"/>
          <w:szCs w:val="18"/>
        </w:rPr>
        <w:t xml:space="preserve"> and </w:t>
      </w:r>
      <w:r w:rsidRPr="002D5FB9">
        <w:rPr>
          <w:b w:val="0"/>
          <w:bCs w:val="0"/>
          <w:i/>
          <w:iCs/>
          <w:sz w:val="18"/>
          <w:szCs w:val="18"/>
        </w:rPr>
        <w:t>italics</w:t>
      </w:r>
      <w:r w:rsidRPr="002D5FB9">
        <w:rPr>
          <w:b w:val="0"/>
          <w:bCs w:val="0"/>
          <w:sz w:val="18"/>
          <w:szCs w:val="18"/>
        </w:rPr>
        <w:t xml:space="preserve"> </w:t>
      </w:r>
    </w:p>
    <w:p w14:paraId="5E481389" w14:textId="0BD16370" w:rsidR="00CC0AA5" w:rsidRPr="009923EE" w:rsidRDefault="009923EE" w:rsidP="00491603">
      <w:pPr>
        <w:pStyle w:val="Caption"/>
        <w:ind w:left="720" w:hanging="720"/>
        <w:rPr>
          <w:rFonts w:cs="Arial"/>
        </w:rPr>
      </w:pPr>
      <w:r w:rsidRPr="005F0A23">
        <w:t>Table </w:t>
      </w:r>
      <w:r w:rsidR="00913AD6">
        <w:fldChar w:fldCharType="begin"/>
      </w:r>
      <w:r w:rsidR="00913AD6">
        <w:instrText xml:space="preserve"> SEQ Table \* ARABIC </w:instrText>
      </w:r>
      <w:r w:rsidR="00913AD6">
        <w:fldChar w:fldCharType="separate"/>
      </w:r>
      <w:r w:rsidR="00913AD6">
        <w:rPr>
          <w:noProof/>
        </w:rPr>
        <w:t>2</w:t>
      </w:r>
      <w:r w:rsidR="00913AD6">
        <w:rPr>
          <w:noProof/>
        </w:rPr>
        <w:fldChar w:fldCharType="end"/>
      </w:r>
      <w:bookmarkEnd w:id="12"/>
      <w:r w:rsidRPr="005F0A23">
        <w:rPr>
          <w:rFonts w:cs="Arial"/>
        </w:rPr>
        <w:tab/>
      </w:r>
      <w:r w:rsidR="005F0A23" w:rsidRPr="005F0A23">
        <w:rPr>
          <w:rFonts w:cs="Arial"/>
        </w:rPr>
        <w:t>Amendment of MBS Item 18361 to include incobotulinumtoxinA</w:t>
      </w:r>
      <w:r w:rsidR="005F0A23">
        <w:rPr>
          <w:rFonts w:cs="Arial"/>
        </w:rPr>
        <w:t xml:space="preserve"> (</w:t>
      </w:r>
      <w:proofErr w:type="spellStart"/>
      <w:r w:rsidR="005F0A23">
        <w:rPr>
          <w:rFonts w:cs="Arial"/>
        </w:rPr>
        <w:t>Xeomin</w:t>
      </w:r>
      <w:proofErr w:type="spellEnd"/>
      <w:r w:rsidR="005F0A23">
        <w:rPr>
          <w:rFonts w:cs="Arial"/>
        </w:rPr>
        <w:t>)</w:t>
      </w:r>
      <w:r w:rsidR="005F0A23" w:rsidRPr="005F0A23">
        <w:rPr>
          <w:rFonts w:cs="Arial"/>
        </w:rPr>
        <w:t xml:space="preserve"> for treatment of cerebral palsy upper-limb spasticity</w:t>
      </w:r>
      <w:r w:rsidR="005F0A23">
        <w:rPr>
          <w:rFonts w:cs="Arial"/>
        </w:rPr>
        <w:t xml:space="preserve"> </w:t>
      </w:r>
      <w:r w:rsidR="005F0A23" w:rsidRPr="00CE28E3">
        <w:rPr>
          <w:rFonts w:cs="Arial"/>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CC0AA5" w:rsidRPr="00CE28E3" w14:paraId="0D3910D8" w14:textId="77777777">
        <w:trPr>
          <w:trHeight w:val="351"/>
          <w:tblHeader/>
        </w:trPr>
        <w:tc>
          <w:tcPr>
            <w:tcW w:w="5000" w:type="pct"/>
            <w:tcBorders>
              <w:top w:val="single" w:sz="4" w:space="0" w:color="000000"/>
              <w:left w:val="single" w:sz="4" w:space="0" w:color="000000"/>
              <w:bottom w:val="single" w:sz="4" w:space="0" w:color="000000"/>
              <w:right w:val="single" w:sz="4" w:space="0" w:color="000000"/>
            </w:tcBorders>
            <w:hideMark/>
          </w:tcPr>
          <w:p w14:paraId="7EBF5551" w14:textId="42EA1C5D" w:rsidR="00CC0AA5" w:rsidRPr="00CE28E3" w:rsidRDefault="00396DD5" w:rsidP="00491603">
            <w:pPr>
              <w:pStyle w:val="TableText"/>
              <w:rPr>
                <w:sz w:val="24"/>
              </w:rPr>
            </w:pPr>
            <w:r w:rsidRPr="00CE28E3">
              <w:t xml:space="preserve">Category </w:t>
            </w:r>
            <w:r>
              <w:t>3</w:t>
            </w:r>
            <w:r w:rsidRPr="00CE28E3">
              <w:t xml:space="preserve"> – </w:t>
            </w:r>
            <w:r>
              <w:t>THERAPEUTIC PROCEDURES</w:t>
            </w:r>
          </w:p>
        </w:tc>
      </w:tr>
      <w:tr w:rsidR="00CC0AA5" w:rsidRPr="00CE28E3" w14:paraId="0F0D30A6" w14:textId="77777777">
        <w:tc>
          <w:tcPr>
            <w:tcW w:w="5000" w:type="pct"/>
            <w:tcBorders>
              <w:top w:val="single" w:sz="4" w:space="0" w:color="000000"/>
              <w:left w:val="single" w:sz="4" w:space="0" w:color="000000"/>
              <w:bottom w:val="single" w:sz="4" w:space="0" w:color="000000"/>
              <w:right w:val="single" w:sz="4" w:space="0" w:color="000000"/>
            </w:tcBorders>
            <w:hideMark/>
          </w:tcPr>
          <w:p w14:paraId="6147F13A" w14:textId="48209077" w:rsidR="00CC0AA5" w:rsidRPr="00170D5B" w:rsidRDefault="00CC0AA5" w:rsidP="00491603">
            <w:pPr>
              <w:spacing w:after="120" w:line="240" w:lineRule="auto"/>
              <w:rPr>
                <w:rFonts w:ascii="Arial Narrow" w:hAnsi="Arial Narrow"/>
                <w:sz w:val="20"/>
                <w:szCs w:val="20"/>
                <w:lang w:val="en-US" w:eastAsia="ja-JP"/>
              </w:rPr>
            </w:pPr>
            <w:r w:rsidRPr="00170D5B">
              <w:rPr>
                <w:rFonts w:ascii="Arial Narrow" w:hAnsi="Arial Narrow"/>
                <w:sz w:val="20"/>
                <w:szCs w:val="20"/>
                <w:lang w:val="en-US" w:eastAsia="ja-JP"/>
              </w:rPr>
              <w:t xml:space="preserve">MBS item </w:t>
            </w:r>
            <w:r w:rsidR="005B1C74">
              <w:rPr>
                <w:rFonts w:ascii="Arial Narrow" w:hAnsi="Arial Narrow"/>
                <w:sz w:val="20"/>
                <w:szCs w:val="20"/>
                <w:lang w:val="en-US" w:eastAsia="ja-JP"/>
              </w:rPr>
              <w:t>18361</w:t>
            </w:r>
          </w:p>
          <w:p w14:paraId="372E44DB" w14:textId="32C2C70C" w:rsidR="00BC0984" w:rsidRPr="00BC0984" w:rsidRDefault="00BC0984" w:rsidP="00491603">
            <w:pPr>
              <w:spacing w:after="120" w:line="240" w:lineRule="auto"/>
              <w:rPr>
                <w:rFonts w:ascii="Arial Narrow" w:hAnsi="Arial Narrow"/>
                <w:sz w:val="20"/>
                <w:szCs w:val="20"/>
                <w:lang w:eastAsia="ja-JP"/>
              </w:rPr>
            </w:pPr>
            <w:r w:rsidRPr="00BC0984">
              <w:rPr>
                <w:rFonts w:ascii="Arial Narrow" w:hAnsi="Arial Narrow"/>
                <w:sz w:val="20"/>
                <w:szCs w:val="20"/>
                <w:lang w:eastAsia="ja-JP"/>
              </w:rPr>
              <w:t>Clostridium Botulinum Type A Toxin-Haemagglutinin Complex (Dysport)</w:t>
            </w:r>
            <w:r>
              <w:rPr>
                <w:rFonts w:ascii="Arial Narrow" w:hAnsi="Arial Narrow"/>
                <w:sz w:val="20"/>
                <w:szCs w:val="20"/>
                <w:lang w:eastAsia="ja-JP"/>
              </w:rPr>
              <w:t>,</w:t>
            </w:r>
            <w:r w:rsidRPr="00BC0984">
              <w:rPr>
                <w:rFonts w:ascii="Arial Narrow" w:hAnsi="Arial Narrow"/>
                <w:sz w:val="20"/>
                <w:szCs w:val="20"/>
                <w:lang w:eastAsia="ja-JP"/>
              </w:rPr>
              <w:t xml:space="preserve"> Botulinum Toxin Type </w:t>
            </w:r>
            <w:proofErr w:type="gramStart"/>
            <w:r w:rsidRPr="00BC0984">
              <w:rPr>
                <w:rFonts w:ascii="Arial Narrow" w:hAnsi="Arial Narrow"/>
                <w:sz w:val="20"/>
                <w:szCs w:val="20"/>
                <w:lang w:eastAsia="ja-JP"/>
              </w:rPr>
              <w:t>A</w:t>
            </w:r>
            <w:proofErr w:type="gramEnd"/>
            <w:r w:rsidRPr="00BC0984">
              <w:rPr>
                <w:rFonts w:ascii="Arial Narrow" w:hAnsi="Arial Narrow"/>
                <w:sz w:val="20"/>
                <w:szCs w:val="20"/>
                <w:lang w:eastAsia="ja-JP"/>
              </w:rPr>
              <w:t xml:space="preserve"> Purified Neurotoxin Complex (Botox), </w:t>
            </w:r>
            <w:r w:rsidRPr="00BC0984">
              <w:rPr>
                <w:rFonts w:ascii="Arial Narrow" w:hAnsi="Arial Narrow"/>
                <w:b/>
                <w:bCs/>
                <w:sz w:val="20"/>
                <w:szCs w:val="20"/>
                <w:lang w:eastAsia="ja-JP"/>
              </w:rPr>
              <w:t>or incobotulinumtoxinA (</w:t>
            </w:r>
            <w:proofErr w:type="spellStart"/>
            <w:r w:rsidRPr="00BC0984">
              <w:rPr>
                <w:rFonts w:ascii="Arial Narrow" w:hAnsi="Arial Narrow"/>
                <w:b/>
                <w:bCs/>
                <w:sz w:val="20"/>
                <w:szCs w:val="20"/>
                <w:lang w:eastAsia="ja-JP"/>
              </w:rPr>
              <w:t>Xeomin</w:t>
            </w:r>
            <w:proofErr w:type="spellEnd"/>
            <w:r w:rsidRPr="00BC0984">
              <w:rPr>
                <w:rFonts w:ascii="Arial Narrow" w:hAnsi="Arial Narrow"/>
                <w:b/>
                <w:bCs/>
                <w:sz w:val="20"/>
                <w:szCs w:val="20"/>
                <w:lang w:eastAsia="ja-JP"/>
              </w:rPr>
              <w:t>)</w:t>
            </w:r>
            <w:r>
              <w:rPr>
                <w:rFonts w:ascii="Arial Narrow" w:hAnsi="Arial Narrow"/>
                <w:sz w:val="20"/>
                <w:szCs w:val="20"/>
                <w:lang w:eastAsia="ja-JP"/>
              </w:rPr>
              <w:t xml:space="preserve">, </w:t>
            </w:r>
            <w:r w:rsidRPr="00BC0984">
              <w:rPr>
                <w:rFonts w:ascii="Arial Narrow" w:hAnsi="Arial Narrow"/>
                <w:sz w:val="20"/>
                <w:szCs w:val="20"/>
                <w:lang w:eastAsia="ja-JP"/>
              </w:rPr>
              <w:t>injection of, for the treatment of moderate to severe upper limb spasticity due to cerebral palsy if:</w:t>
            </w:r>
          </w:p>
          <w:p w14:paraId="051450B7" w14:textId="77777777" w:rsidR="00BC0984" w:rsidRPr="00BC0984" w:rsidRDefault="00BC0984" w:rsidP="00491603">
            <w:pPr>
              <w:spacing w:after="120" w:line="240" w:lineRule="auto"/>
              <w:rPr>
                <w:rFonts w:ascii="Arial Narrow" w:hAnsi="Arial Narrow"/>
                <w:sz w:val="20"/>
                <w:szCs w:val="20"/>
                <w:lang w:eastAsia="ja-JP"/>
              </w:rPr>
            </w:pPr>
            <w:r w:rsidRPr="00BC0984">
              <w:rPr>
                <w:rFonts w:ascii="Arial Narrow" w:hAnsi="Arial Narrow"/>
                <w:sz w:val="20"/>
                <w:szCs w:val="20"/>
                <w:lang w:eastAsia="ja-JP"/>
              </w:rPr>
              <w:t>(a) the patient is at least 2 years of age; and</w:t>
            </w:r>
          </w:p>
          <w:p w14:paraId="77693712" w14:textId="77777777" w:rsidR="00BC0984" w:rsidRPr="00BC0984" w:rsidRDefault="00BC0984" w:rsidP="00491603">
            <w:pPr>
              <w:spacing w:after="120" w:line="240" w:lineRule="auto"/>
              <w:rPr>
                <w:rFonts w:ascii="Arial Narrow" w:hAnsi="Arial Narrow"/>
                <w:sz w:val="20"/>
                <w:szCs w:val="20"/>
                <w:lang w:eastAsia="ja-JP"/>
              </w:rPr>
            </w:pPr>
            <w:r w:rsidRPr="00BC0984">
              <w:rPr>
                <w:rFonts w:ascii="Arial Narrow" w:hAnsi="Arial Narrow"/>
                <w:sz w:val="20"/>
                <w:szCs w:val="20"/>
                <w:lang w:eastAsia="ja-JP"/>
              </w:rPr>
              <w:t>(b) the treatment is for all or any of the muscles subserving one functional activity and supplied by one motor nerve, with a maximum of 4 sets of injections for the patient on any one day (with a maximum of 2 sets of injections for each upper limb), including all injections per set</w:t>
            </w:r>
          </w:p>
          <w:p w14:paraId="62AFD863" w14:textId="2BEAA03B" w:rsidR="00CC0AA5" w:rsidRPr="00BC0984" w:rsidRDefault="00BC0984" w:rsidP="00491603">
            <w:pPr>
              <w:spacing w:after="120" w:line="240" w:lineRule="auto"/>
              <w:rPr>
                <w:rFonts w:ascii="Arial Narrow" w:hAnsi="Arial Narrow"/>
                <w:sz w:val="20"/>
                <w:szCs w:val="20"/>
                <w:lang w:eastAsia="ja-JP"/>
              </w:rPr>
            </w:pPr>
            <w:r w:rsidRPr="00BC0984">
              <w:rPr>
                <w:rFonts w:ascii="Arial Narrow" w:hAnsi="Arial Narrow"/>
                <w:sz w:val="20"/>
                <w:szCs w:val="20"/>
                <w:lang w:eastAsia="ja-JP"/>
              </w:rPr>
              <w:t xml:space="preserve">(Anaes.) </w:t>
            </w:r>
          </w:p>
        </w:tc>
      </w:tr>
      <w:tr w:rsidR="00CC0AA5" w:rsidRPr="005D749D" w14:paraId="6AB2B2B6" w14:textId="77777777">
        <w:tc>
          <w:tcPr>
            <w:tcW w:w="5000" w:type="pct"/>
            <w:tcBorders>
              <w:top w:val="single" w:sz="4" w:space="0" w:color="000000"/>
              <w:left w:val="single" w:sz="4" w:space="0" w:color="000000"/>
              <w:bottom w:val="single" w:sz="4" w:space="0" w:color="000000"/>
              <w:right w:val="single" w:sz="4" w:space="0" w:color="000000"/>
            </w:tcBorders>
            <w:vAlign w:val="center"/>
            <w:hideMark/>
          </w:tcPr>
          <w:p w14:paraId="08100C40" w14:textId="4FDE1926" w:rsidR="00CC0AA5" w:rsidRPr="00FE30CB" w:rsidRDefault="00FE30CB" w:rsidP="00491603">
            <w:pPr>
              <w:spacing w:after="120" w:line="240" w:lineRule="auto"/>
              <w:rPr>
                <w:rFonts w:ascii="Arial Narrow" w:hAnsi="Arial Narrow"/>
                <w:sz w:val="20"/>
                <w:szCs w:val="20"/>
                <w:lang w:val="en-US" w:eastAsia="ja-JP"/>
              </w:rPr>
            </w:pPr>
            <w:r w:rsidRPr="00FE30CB">
              <w:rPr>
                <w:rFonts w:ascii="Arial Narrow" w:hAnsi="Arial Narrow"/>
                <w:sz w:val="20"/>
                <w:szCs w:val="20"/>
                <w:lang w:val="en-US" w:eastAsia="ja-JP"/>
              </w:rPr>
              <w:t>Fee: $142.25 Benefit: 75% = $106.70 85% = $120.95</w:t>
            </w:r>
            <w:r w:rsidR="00025A5B">
              <w:rPr>
                <w:rStyle w:val="FootnoteReference"/>
                <w:rFonts w:ascii="Arial Narrow" w:hAnsi="Arial Narrow"/>
                <w:sz w:val="20"/>
                <w:szCs w:val="20"/>
                <w:lang w:val="en-US" w:eastAsia="ja-JP"/>
              </w:rPr>
              <w:footnoteReference w:id="4"/>
            </w:r>
          </w:p>
        </w:tc>
      </w:tr>
    </w:tbl>
    <w:p w14:paraId="34E0B08F" w14:textId="18BB4395" w:rsidR="00772829" w:rsidRPr="00CE28E3" w:rsidRDefault="00772829" w:rsidP="0060778C">
      <w:pPr>
        <w:pStyle w:val="Heading2"/>
        <w:numPr>
          <w:ilvl w:val="0"/>
          <w:numId w:val="29"/>
        </w:numPr>
        <w:tabs>
          <w:tab w:val="num" w:pos="1134"/>
        </w:tabs>
      </w:pPr>
      <w:bookmarkStart w:id="13" w:name="_Toc69491419"/>
      <w:r w:rsidRPr="00CE28E3">
        <w:lastRenderedPageBreak/>
        <w:t>Population</w:t>
      </w:r>
      <w:bookmarkEnd w:id="13"/>
      <w:r w:rsidRPr="00CE28E3">
        <w:t xml:space="preserve"> </w:t>
      </w:r>
    </w:p>
    <w:p w14:paraId="249670E1" w14:textId="241E66B1" w:rsidR="005361C9" w:rsidRPr="00E279B5" w:rsidRDefault="00483319" w:rsidP="0060778C">
      <w:pPr>
        <w:keepNext/>
        <w:keepLines/>
        <w:spacing w:line="240" w:lineRule="auto"/>
        <w:jc w:val="both"/>
        <w:rPr>
          <w:rFonts w:cs="Segoe UI"/>
        </w:rPr>
      </w:pPr>
      <w:r>
        <w:rPr>
          <w:rFonts w:cs="Segoe UI"/>
        </w:rPr>
        <w:t xml:space="preserve">The requested population </w:t>
      </w:r>
      <w:r w:rsidR="00F16BCB">
        <w:rPr>
          <w:rFonts w:cs="Segoe UI"/>
        </w:rPr>
        <w:t>is p</w:t>
      </w:r>
      <w:r w:rsidR="005361C9" w:rsidRPr="00E279B5">
        <w:rPr>
          <w:rFonts w:cs="Segoe UI"/>
        </w:rPr>
        <w:t>atients with cerebral palsy aged 2 years and older with:</w:t>
      </w:r>
    </w:p>
    <w:p w14:paraId="6D07C182" w14:textId="77777777" w:rsidR="00E279B5" w:rsidRDefault="005361C9" w:rsidP="0060778C">
      <w:pPr>
        <w:pStyle w:val="ListParagraph"/>
        <w:keepNext/>
        <w:keepLines/>
        <w:numPr>
          <w:ilvl w:val="0"/>
          <w:numId w:val="27"/>
        </w:numPr>
        <w:spacing w:line="240" w:lineRule="auto"/>
        <w:jc w:val="both"/>
        <w:rPr>
          <w:rFonts w:cs="Segoe UI"/>
        </w:rPr>
      </w:pPr>
      <w:r w:rsidRPr="00E279B5">
        <w:rPr>
          <w:rFonts w:cs="Segoe UI"/>
        </w:rPr>
        <w:t>Moderate to severe spasticity of the upper limb.</w:t>
      </w:r>
    </w:p>
    <w:p w14:paraId="3C707E52" w14:textId="104CCAAB" w:rsidR="005361C9" w:rsidRPr="00E279B5" w:rsidRDefault="005361C9" w:rsidP="0060778C">
      <w:pPr>
        <w:pStyle w:val="ListParagraph"/>
        <w:keepNext/>
        <w:keepLines/>
        <w:numPr>
          <w:ilvl w:val="0"/>
          <w:numId w:val="27"/>
        </w:numPr>
        <w:spacing w:line="240" w:lineRule="auto"/>
        <w:rPr>
          <w:rFonts w:cs="Segoe UI"/>
        </w:rPr>
      </w:pPr>
      <w:r w:rsidRPr="00E279B5">
        <w:rPr>
          <w:rFonts w:cs="Segoe UI"/>
        </w:rPr>
        <w:t xml:space="preserve">Dynamic </w:t>
      </w:r>
      <w:proofErr w:type="spellStart"/>
      <w:r w:rsidRPr="00E279B5">
        <w:rPr>
          <w:rFonts w:cs="Segoe UI"/>
        </w:rPr>
        <w:t>equinus</w:t>
      </w:r>
      <w:proofErr w:type="spellEnd"/>
      <w:r w:rsidRPr="00E279B5">
        <w:rPr>
          <w:rFonts w:cs="Segoe UI"/>
        </w:rPr>
        <w:t xml:space="preserve"> foot deformity due to spasticity.</w:t>
      </w:r>
    </w:p>
    <w:p w14:paraId="43C99E93" w14:textId="3EFD4714" w:rsidR="008C38F1" w:rsidRDefault="008C38F1" w:rsidP="0060778C">
      <w:pPr>
        <w:keepNext/>
        <w:keepLines/>
        <w:spacing w:line="240" w:lineRule="auto"/>
        <w:rPr>
          <w:rFonts w:cs="Segoe UI"/>
        </w:rPr>
      </w:pPr>
      <w:r w:rsidRPr="008C38F1">
        <w:rPr>
          <w:rFonts w:cs="Segoe UI"/>
        </w:rPr>
        <w:t>CP refers to a group of neurological disorders that appear in infancy or early childhood and permanently affect body movement and muscle coordination. Spasticity, where muscles stiffen or tighten, affects approximately 70–90% of children with the disorder</w:t>
      </w:r>
      <w:r w:rsidR="00C66FDD">
        <w:rPr>
          <w:rStyle w:val="FootnoteReference"/>
          <w:rFonts w:cs="Segoe UI"/>
        </w:rPr>
        <w:footnoteReference w:id="5"/>
      </w:r>
      <w:r w:rsidR="00C66FDD">
        <w:rPr>
          <w:rFonts w:cs="Segoe UI"/>
          <w:vertAlign w:val="superscript"/>
        </w:rPr>
        <w:t>,</w:t>
      </w:r>
      <w:r w:rsidR="00040E79">
        <w:rPr>
          <w:rStyle w:val="FootnoteReference"/>
          <w:rFonts w:cs="Segoe UI"/>
        </w:rPr>
        <w:footnoteReference w:id="6"/>
      </w:r>
      <w:r w:rsidRPr="008C38F1">
        <w:rPr>
          <w:rFonts w:cs="Segoe UI"/>
        </w:rPr>
        <w:fldChar w:fldCharType="begin">
          <w:fldData xml:space="preserve">PEVuZE5vdGU+PENpdGU+PEF1dGhvcj5Iw6RnZ2x1bmQ8L0F1dGhvcj48WWVhcj4yMDA4PC9ZZWFy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</w:fldData>
        </w:fldChar>
      </w:r>
      <w:r w:rsidR="00293A45">
        <w:rPr>
          <w:rFonts w:cs="Segoe UI"/>
        </w:rPr>
        <w:instrText xml:space="preserve"> ADDIN EN.CITE </w:instrText>
      </w:r>
      <w:r w:rsidR="00293A45">
        <w:rPr>
          <w:rFonts w:cs="Segoe UI"/>
        </w:rPr>
        <w:fldChar w:fldCharType="begin">
          <w:fldData xml:space="preserve">PEVuZE5vdGU+PENpdGU+PEF1dGhvcj5Iw6RnZ2x1bmQ8L0F1dGhvcj48WWVhcj4yMDA4PC9ZZWFy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</w:fldData>
        </w:fldChar>
      </w:r>
      <w:r w:rsidR="00293A45">
        <w:rPr>
          <w:rFonts w:cs="Segoe UI"/>
        </w:rPr>
        <w:instrText xml:space="preserve"> ADDIN EN.CITE.DATA </w:instrText>
      </w:r>
      <w:r w:rsidR="00293A45">
        <w:rPr>
          <w:rFonts w:cs="Segoe UI"/>
        </w:rPr>
      </w:r>
      <w:r w:rsidR="00293A45">
        <w:rPr>
          <w:rFonts w:cs="Segoe UI"/>
        </w:rPr>
        <w:fldChar w:fldCharType="end"/>
      </w:r>
      <w:r w:rsidRPr="008C38F1">
        <w:rPr>
          <w:rFonts w:cs="Segoe UI"/>
        </w:rPr>
      </w:r>
      <w:r w:rsidRPr="008C38F1">
        <w:rPr>
          <w:rFonts w:cs="Segoe UI"/>
        </w:rPr>
        <w:fldChar w:fldCharType="separate"/>
      </w:r>
      <w:r w:rsidRPr="008C38F1">
        <w:rPr>
          <w:rFonts w:cs="Segoe UI"/>
        </w:rPr>
        <w:fldChar w:fldCharType="end"/>
      </w:r>
      <w:r w:rsidRPr="008C38F1">
        <w:rPr>
          <w:rFonts w:cs="Segoe UI"/>
        </w:rPr>
        <w:t xml:space="preserve">. The increased muscle tone due to spasticity results in a limited range of passive and active motion in joints and contributes to development of joint contractures, poor muscular control, and hyperactive reflexes. </w:t>
      </w:r>
    </w:p>
    <w:p w14:paraId="6CD9D6B5" w14:textId="6455C12C" w:rsidR="007E54A6" w:rsidRPr="008C38F1" w:rsidRDefault="007E54A6" w:rsidP="003B228A">
      <w:pPr>
        <w:spacing w:line="240" w:lineRule="auto"/>
        <w:rPr>
          <w:rFonts w:cs="Segoe UI"/>
        </w:rPr>
      </w:pPr>
      <w:r w:rsidRPr="008C38F1">
        <w:rPr>
          <w:rFonts w:cs="Segoe UI"/>
        </w:rPr>
        <w:t>Spasticity has been associated with reduced health-related quality of life</w:t>
      </w:r>
      <w:r w:rsidR="00040E79">
        <w:rPr>
          <w:rStyle w:val="FootnoteReference"/>
          <w:rFonts w:cs="Segoe UI"/>
        </w:rPr>
        <w:footnoteReference w:id="7"/>
      </w:r>
      <w:r w:rsidR="00AA20AB">
        <w:rPr>
          <w:rFonts w:cs="Segoe UI"/>
          <w:vertAlign w:val="superscript"/>
        </w:rPr>
        <w:t>,</w:t>
      </w:r>
      <w:r w:rsidR="00AA20AB">
        <w:rPr>
          <w:rStyle w:val="FootnoteReference"/>
          <w:rFonts w:cs="Segoe UI"/>
        </w:rPr>
        <w:footnoteReference w:id="8"/>
      </w:r>
      <w:r w:rsidRPr="008C38F1">
        <w:rPr>
          <w:rFonts w:cs="Segoe UI"/>
        </w:rPr>
        <w:t xml:space="preserve"> which may be attributed in part to factors such as reduced mobility</w:t>
      </w:r>
      <w:r w:rsidR="00040E79">
        <w:rPr>
          <w:rStyle w:val="FootnoteReference"/>
          <w:rFonts w:cs="Segoe UI"/>
        </w:rPr>
        <w:footnoteReference w:id="9"/>
      </w:r>
      <w:r w:rsidRPr="008C38F1">
        <w:rPr>
          <w:rFonts w:cs="Segoe UI"/>
          <w:noProof/>
        </w:rPr>
        <w:t xml:space="preserve">, </w:t>
      </w:r>
      <w:r w:rsidRPr="008C38F1">
        <w:rPr>
          <w:rFonts w:cs="Segoe UI"/>
        </w:rPr>
        <w:t>inability to self-care</w:t>
      </w:r>
      <w:r w:rsidR="00AA20AB">
        <w:rPr>
          <w:rStyle w:val="FootnoteReference"/>
          <w:rFonts w:cs="Segoe UI"/>
        </w:rPr>
        <w:footnoteReference w:id="10"/>
      </w:r>
      <w:r w:rsidRPr="008C38F1">
        <w:rPr>
          <w:rFonts w:cs="Segoe UI"/>
        </w:rPr>
        <w:t>, and pain</w:t>
      </w:r>
      <w:r w:rsidR="001034CA">
        <w:rPr>
          <w:rStyle w:val="FootnoteReference"/>
          <w:rFonts w:cs="Segoe UI"/>
        </w:rPr>
        <w:footnoteReference w:id="11"/>
      </w:r>
      <w:r w:rsidR="00AA20AB">
        <w:rPr>
          <w:rFonts w:cs="Segoe UI"/>
          <w:vertAlign w:val="superscript"/>
        </w:rPr>
        <w:t>,</w:t>
      </w:r>
      <w:r w:rsidR="00AA20AB">
        <w:rPr>
          <w:rStyle w:val="FootnoteReference"/>
          <w:rFonts w:cs="Segoe UI"/>
        </w:rPr>
        <w:footnoteReference w:id="12"/>
      </w:r>
      <w:r w:rsidR="0090207D">
        <w:rPr>
          <w:rFonts w:cs="Segoe UI"/>
          <w:vertAlign w:val="superscript"/>
        </w:rPr>
        <w:t>,</w:t>
      </w:r>
      <w:r w:rsidR="00AA20AB">
        <w:rPr>
          <w:rStyle w:val="FootnoteReference"/>
          <w:rFonts w:cs="Segoe UI"/>
        </w:rPr>
        <w:footnoteReference w:id="13"/>
      </w:r>
      <w:r w:rsidRPr="008C38F1">
        <w:rPr>
          <w:rFonts w:cs="Segoe UI"/>
        </w:rPr>
        <w:fldChar w:fldCharType="begin">
          <w:fldData xml:space="preserve">PEVuZE5vdGU+PENpdGU+PEF1dGhvcj5HZWlzdGVyPC9BdXRob3I+PFllYXI+MjAxNDwvWWVhcj48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=
</w:fldData>
        </w:fldChar>
      </w:r>
      <w:r>
        <w:rPr>
          <w:rFonts w:cs="Segoe UI"/>
        </w:rPr>
        <w:instrText xml:space="preserve"> ADDIN EN.CITE </w:instrText>
      </w:r>
      <w:r>
        <w:rPr>
          <w:rFonts w:cs="Segoe UI"/>
        </w:rPr>
        <w:fldChar w:fldCharType="begin">
          <w:fldData xml:space="preserve">PEVuZE5vdGU+PENpdGU+PEF1dGhvcj5HZWlzdGVyPC9BdXRob3I+PFllYXI+MjAxNDwvWWVhcj48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=
</w:fldData>
        </w:fldChar>
      </w:r>
      <w:r>
        <w:rPr>
          <w:rFonts w:cs="Segoe UI"/>
        </w:rPr>
        <w:instrText xml:space="preserve"> ADDIN EN.CITE.DATA </w:instrText>
      </w:r>
      <w:r>
        <w:rPr>
          <w:rFonts w:cs="Segoe UI"/>
        </w:rPr>
      </w:r>
      <w:r>
        <w:rPr>
          <w:rFonts w:cs="Segoe UI"/>
        </w:rPr>
        <w:fldChar w:fldCharType="end"/>
      </w:r>
      <w:r w:rsidRPr="008C38F1">
        <w:rPr>
          <w:rFonts w:cs="Segoe UI"/>
        </w:rPr>
      </w:r>
      <w:r w:rsidRPr="008C38F1">
        <w:rPr>
          <w:rFonts w:cs="Segoe UI"/>
        </w:rPr>
        <w:fldChar w:fldCharType="separate"/>
      </w:r>
      <w:r w:rsidRPr="008C38F1">
        <w:rPr>
          <w:rFonts w:cs="Segoe UI"/>
        </w:rPr>
        <w:fldChar w:fldCharType="end"/>
      </w:r>
      <w:r w:rsidRPr="008C38F1">
        <w:rPr>
          <w:rFonts w:cs="Segoe UI"/>
        </w:rPr>
        <w:t>. Goals of spasticity treatments include reducing muscle spasms, facilitating mobility and dexterity, improving patient ease of care as well as hygiene/selfcare, facilitating brace use, improving posture, minimizing contractures and deformity as well as reducing pain.</w:t>
      </w:r>
    </w:p>
    <w:p w14:paraId="66BDFCC1" w14:textId="43694AA4" w:rsidR="00772829" w:rsidRPr="00CE28E3" w:rsidRDefault="00772829" w:rsidP="00045C5D">
      <w:pPr>
        <w:pStyle w:val="Heading2"/>
        <w:numPr>
          <w:ilvl w:val="0"/>
          <w:numId w:val="29"/>
        </w:numPr>
        <w:tabs>
          <w:tab w:val="num" w:pos="1134"/>
        </w:tabs>
      </w:pPr>
      <w:bookmarkStart w:id="14" w:name="_Toc69491420"/>
      <w:r w:rsidRPr="00CE28E3">
        <w:t>Comparator</w:t>
      </w:r>
      <w:bookmarkEnd w:id="14"/>
    </w:p>
    <w:p w14:paraId="6706AAB3" w14:textId="5902C433" w:rsidR="00CB69CD" w:rsidRDefault="00CB69CD" w:rsidP="003B228A">
      <w:pPr>
        <w:pStyle w:val="Instructionaltext"/>
        <w:spacing w:after="120" w:line="240" w:lineRule="auto"/>
        <w:rPr>
          <w:rFonts w:cs="Segoe UI"/>
          <w:color w:val="000000" w:themeColor="text1"/>
        </w:rPr>
      </w:pPr>
      <w:r w:rsidRPr="009C1504">
        <w:rPr>
          <w:rFonts w:cs="Segoe UI"/>
          <w:color w:val="000000" w:themeColor="text1"/>
        </w:rPr>
        <w:t>Botox</w:t>
      </w:r>
      <w:r>
        <w:rPr>
          <w:rFonts w:cs="Segoe UI"/>
          <w:color w:val="000000" w:themeColor="text1"/>
        </w:rPr>
        <w:t>®</w:t>
      </w:r>
      <w:r w:rsidRPr="009C1504">
        <w:rPr>
          <w:rFonts w:cs="Segoe UI"/>
          <w:color w:val="000000" w:themeColor="text1"/>
        </w:rPr>
        <w:t xml:space="preserve"> is the nominated comparator as it is the market leading injectable toxin for the indications sought and has a 1:1 dose equivalence with </w:t>
      </w:r>
      <w:proofErr w:type="spellStart"/>
      <w:r>
        <w:rPr>
          <w:rFonts w:cs="Segoe UI"/>
          <w:color w:val="000000" w:themeColor="text1"/>
        </w:rPr>
        <w:t>Xeomin</w:t>
      </w:r>
      <w:proofErr w:type="spellEnd"/>
      <w:r w:rsidRPr="009C1504">
        <w:rPr>
          <w:rFonts w:cs="Segoe UI"/>
          <w:color w:val="000000" w:themeColor="text1"/>
        </w:rPr>
        <w:t xml:space="preserve">®. </w:t>
      </w:r>
    </w:p>
    <w:p w14:paraId="20286D9F" w14:textId="274E76C8" w:rsidR="00E279B5" w:rsidRDefault="008C4F47" w:rsidP="003B228A">
      <w:pPr>
        <w:spacing w:line="240" w:lineRule="auto"/>
        <w:rPr>
          <w:rFonts w:ascii="Franklin Gothic Medium" w:eastAsiaTheme="majorEastAsia" w:hAnsi="Franklin Gothic Medium" w:cstheme="majorBidi"/>
          <w:color w:val="000000" w:themeColor="text1"/>
          <w:sz w:val="32"/>
          <w:szCs w:val="26"/>
        </w:rPr>
      </w:pPr>
      <w:r>
        <w:rPr>
          <w:rFonts w:cs="Segoe UI"/>
        </w:rPr>
        <w:t>The pattern of substitution will be partial</w:t>
      </w:r>
      <w:r w:rsidR="00AB6200">
        <w:rPr>
          <w:rFonts w:cs="Segoe UI"/>
        </w:rPr>
        <w:t xml:space="preserve"> </w:t>
      </w:r>
      <w:r w:rsidR="00FA2B2F">
        <w:rPr>
          <w:rFonts w:cs="Segoe UI"/>
        </w:rPr>
        <w:t>as</w:t>
      </w:r>
      <w:r w:rsidR="005062B4">
        <w:rPr>
          <w:rFonts w:cs="Segoe UI"/>
        </w:rPr>
        <w:t xml:space="preserve"> </w:t>
      </w:r>
      <w:r w:rsidR="00AB6200" w:rsidRPr="00AB6200">
        <w:rPr>
          <w:rFonts w:cs="Segoe UI"/>
        </w:rPr>
        <w:t xml:space="preserve">in some cases, </w:t>
      </w:r>
      <w:proofErr w:type="spellStart"/>
      <w:r w:rsidR="002E2015">
        <w:rPr>
          <w:rFonts w:cs="Segoe UI"/>
          <w:color w:val="000000" w:themeColor="text1"/>
        </w:rPr>
        <w:t>Xeomin</w:t>
      </w:r>
      <w:proofErr w:type="spellEnd"/>
      <w:r w:rsidR="002E2015" w:rsidRPr="009C1504">
        <w:rPr>
          <w:rFonts w:cs="Segoe UI"/>
          <w:color w:val="000000" w:themeColor="text1"/>
        </w:rPr>
        <w:t>®</w:t>
      </w:r>
      <w:r w:rsidR="002E2015">
        <w:rPr>
          <w:rFonts w:cs="Segoe UI"/>
          <w:color w:val="000000" w:themeColor="text1"/>
        </w:rPr>
        <w:t xml:space="preserve"> </w:t>
      </w:r>
      <w:r w:rsidR="00AB6200" w:rsidRPr="00AB6200">
        <w:rPr>
          <w:rFonts w:cs="Segoe UI"/>
        </w:rPr>
        <w:t>w</w:t>
      </w:r>
      <w:r w:rsidR="002E2015">
        <w:rPr>
          <w:rFonts w:cs="Segoe UI"/>
        </w:rPr>
        <w:t>ould</w:t>
      </w:r>
      <w:r w:rsidR="00AB6200" w:rsidRPr="00AB6200">
        <w:rPr>
          <w:rFonts w:cs="Segoe UI"/>
        </w:rPr>
        <w:t xml:space="preserve"> replace the use of the comparator, but not all</w:t>
      </w:r>
      <w:r>
        <w:rPr>
          <w:rFonts w:cs="Segoe UI"/>
        </w:rPr>
        <w:t>. Botox</w:t>
      </w:r>
      <w:r w:rsidR="00D74257">
        <w:t>®</w:t>
      </w:r>
      <w:r>
        <w:rPr>
          <w:rFonts w:cs="Segoe UI"/>
        </w:rPr>
        <w:t xml:space="preserve"> </w:t>
      </w:r>
      <w:r w:rsidR="00532D5F" w:rsidRPr="00E279B5">
        <w:rPr>
          <w:rFonts w:cs="Segoe UI"/>
        </w:rPr>
        <w:t>w</w:t>
      </w:r>
      <w:r w:rsidR="00061C6D">
        <w:rPr>
          <w:rFonts w:cs="Segoe UI"/>
        </w:rPr>
        <w:t>ould</w:t>
      </w:r>
      <w:r w:rsidR="00532D5F" w:rsidRPr="00E279B5">
        <w:rPr>
          <w:rFonts w:cs="Segoe UI"/>
        </w:rPr>
        <w:t xml:space="preserve"> be substituted at the uptake rate for </w:t>
      </w:r>
      <w:proofErr w:type="spellStart"/>
      <w:r w:rsidR="00532D5F" w:rsidRPr="00E279B5">
        <w:rPr>
          <w:rFonts w:cs="Segoe UI"/>
        </w:rPr>
        <w:t>Xeomin</w:t>
      </w:r>
      <w:proofErr w:type="spellEnd"/>
      <w:r w:rsidR="00D74257">
        <w:t>®</w:t>
      </w:r>
      <w:r w:rsidR="00532D5F" w:rsidRPr="00E279B5">
        <w:rPr>
          <w:rFonts w:cs="Segoe UI"/>
        </w:rPr>
        <w:t xml:space="preserve">, which is </w:t>
      </w:r>
      <w:r w:rsidR="003B4C4E" w:rsidRPr="00A47AEA">
        <w:rPr>
          <w:rFonts w:cs="Segoe UI"/>
          <w:b/>
          <w:bCs/>
        </w:rPr>
        <w:t>redacted</w:t>
      </w:r>
      <w:r w:rsidR="00532D5F" w:rsidRPr="00E279B5">
        <w:rPr>
          <w:rFonts w:cs="Segoe UI"/>
        </w:rPr>
        <w:t xml:space="preserve">% in year 1, </w:t>
      </w:r>
      <w:r w:rsidR="003B4C4E" w:rsidRPr="00A47AEA">
        <w:rPr>
          <w:rFonts w:cs="Segoe UI"/>
          <w:b/>
          <w:bCs/>
        </w:rPr>
        <w:t>redacted</w:t>
      </w:r>
      <w:r w:rsidR="00532D5F" w:rsidRPr="00E279B5">
        <w:rPr>
          <w:rFonts w:cs="Segoe UI"/>
        </w:rPr>
        <w:t xml:space="preserve">% in year 2, and </w:t>
      </w:r>
      <w:r w:rsidR="003B4C4E" w:rsidRPr="00A47AEA">
        <w:rPr>
          <w:rFonts w:cs="Segoe UI"/>
          <w:b/>
          <w:bCs/>
        </w:rPr>
        <w:t>redacted</w:t>
      </w:r>
      <w:r w:rsidR="00532D5F" w:rsidRPr="00E279B5">
        <w:rPr>
          <w:rFonts w:cs="Segoe UI"/>
        </w:rPr>
        <w:t xml:space="preserve">% in years 3 and 4. </w:t>
      </w:r>
      <w:proofErr w:type="gramStart"/>
      <w:r w:rsidR="00532D5F" w:rsidRPr="00E279B5">
        <w:rPr>
          <w:rFonts w:cs="Segoe UI"/>
        </w:rPr>
        <w:t>The vast majority of</w:t>
      </w:r>
      <w:proofErr w:type="gramEnd"/>
      <w:r w:rsidR="00532D5F" w:rsidRPr="00E279B5">
        <w:rPr>
          <w:rFonts w:cs="Segoe UI"/>
        </w:rPr>
        <w:t xml:space="preserve"> the substitution w</w:t>
      </w:r>
      <w:r w:rsidR="00061C6D">
        <w:rPr>
          <w:rFonts w:cs="Segoe UI"/>
        </w:rPr>
        <w:t>ould</w:t>
      </w:r>
      <w:r w:rsidR="00532D5F" w:rsidRPr="00E279B5">
        <w:rPr>
          <w:rFonts w:cs="Segoe UI"/>
        </w:rPr>
        <w:t xml:space="preserve"> be of Botox</w:t>
      </w:r>
      <w:r w:rsidR="00D74257">
        <w:t>®</w:t>
      </w:r>
      <w:r w:rsidR="00532D5F" w:rsidRPr="00E279B5">
        <w:rPr>
          <w:rFonts w:cs="Segoe UI"/>
        </w:rPr>
        <w:t>, but a small fraction of Dysport</w:t>
      </w:r>
      <w:r w:rsidR="00D74257">
        <w:t>®</w:t>
      </w:r>
      <w:r w:rsidR="00532D5F" w:rsidRPr="00E279B5">
        <w:rPr>
          <w:rFonts w:cs="Segoe UI"/>
        </w:rPr>
        <w:t xml:space="preserve"> may also be substituted.</w:t>
      </w:r>
      <w:bookmarkStart w:id="15" w:name="_Toc69491422"/>
    </w:p>
    <w:p w14:paraId="14215C2E" w14:textId="77777777" w:rsidR="00421301" w:rsidRDefault="00421301" w:rsidP="0060778C">
      <w:pPr>
        <w:pStyle w:val="Heading2"/>
        <w:numPr>
          <w:ilvl w:val="0"/>
          <w:numId w:val="29"/>
        </w:numPr>
        <w:tabs>
          <w:tab w:val="num" w:pos="1134"/>
        </w:tabs>
      </w:pPr>
      <w:bookmarkStart w:id="16" w:name="_Toc69491421"/>
      <w:bookmarkStart w:id="17" w:name="_Hlk193982804"/>
      <w:r w:rsidRPr="003A793E">
        <w:lastRenderedPageBreak/>
        <w:t>Summary of public consultation input</w:t>
      </w:r>
      <w:bookmarkEnd w:id="16"/>
    </w:p>
    <w:p w14:paraId="482D7B1E" w14:textId="77777777" w:rsidR="002D3AB8" w:rsidRDefault="002D3AB8" w:rsidP="0060778C">
      <w:pPr>
        <w:keepNext/>
        <w:keepLines/>
        <w:tabs>
          <w:tab w:val="left" w:pos="3686"/>
        </w:tabs>
        <w:spacing w:line="256" w:lineRule="auto"/>
        <w:rPr>
          <w:rFonts w:eastAsia="Franklin Gothic Book" w:cs="Franklin Gothic Book"/>
        </w:rPr>
      </w:pPr>
      <w:r w:rsidRPr="002D3AB8">
        <w:rPr>
          <w:rFonts w:eastAsia="Franklin Gothic Book" w:cs="Franklin Gothic Book"/>
        </w:rPr>
        <w:t>Consultation input was welcomed from:</w:t>
      </w:r>
    </w:p>
    <w:p w14:paraId="421D886C" w14:textId="77777777" w:rsidR="005018AB" w:rsidRDefault="005018AB" w:rsidP="0060778C">
      <w:pPr>
        <w:pStyle w:val="ListParagraph"/>
        <w:keepNext/>
        <w:keepLines/>
        <w:numPr>
          <w:ilvl w:val="0"/>
          <w:numId w:val="30"/>
        </w:numPr>
        <w:spacing w:before="0" w:line="240" w:lineRule="auto"/>
        <w:jc w:val="both"/>
        <w:rPr>
          <w:rFonts w:eastAsia="Franklin Gothic Book" w:cs="Franklin Gothic Book"/>
        </w:rPr>
      </w:pPr>
      <w:r w:rsidRPr="002A570E">
        <w:rPr>
          <w:rFonts w:eastAsia="Franklin Gothic Book" w:cs="Franklin Gothic Book"/>
        </w:rPr>
        <w:t>Cerebral Palsy Alliance</w:t>
      </w:r>
      <w:r>
        <w:rPr>
          <w:rFonts w:eastAsia="Franklin Gothic Book" w:cs="Franklin Gothic Book"/>
        </w:rPr>
        <w:t xml:space="preserve"> (CPA)</w:t>
      </w:r>
    </w:p>
    <w:p w14:paraId="02075F78" w14:textId="3B95B3EC" w:rsidR="005018AB" w:rsidRDefault="005018AB" w:rsidP="0060778C">
      <w:pPr>
        <w:pStyle w:val="ListParagraph"/>
        <w:keepNext/>
        <w:keepLines/>
        <w:numPr>
          <w:ilvl w:val="0"/>
          <w:numId w:val="30"/>
        </w:numPr>
        <w:spacing w:before="0" w:line="240" w:lineRule="auto"/>
        <w:jc w:val="both"/>
        <w:rPr>
          <w:rFonts w:eastAsia="Franklin Gothic Book" w:cs="Franklin Gothic Book"/>
        </w:rPr>
      </w:pPr>
      <w:r w:rsidRPr="002A570E">
        <w:rPr>
          <w:rFonts w:eastAsia="Franklin Gothic Book" w:cs="Franklin Gothic Book"/>
        </w:rPr>
        <w:t>Rehabilitation Medicine Society of Australia and New Zealand</w:t>
      </w:r>
      <w:r>
        <w:rPr>
          <w:rFonts w:eastAsia="Franklin Gothic Book" w:cs="Franklin Gothic Book"/>
        </w:rPr>
        <w:t xml:space="preserve"> (RMSANZ).</w:t>
      </w:r>
    </w:p>
    <w:p w14:paraId="6FE635F7" w14:textId="77777777" w:rsidR="005018AB" w:rsidRPr="00CB2403" w:rsidRDefault="005018AB" w:rsidP="0060778C">
      <w:pPr>
        <w:pStyle w:val="Heading3"/>
        <w:jc w:val="both"/>
      </w:pPr>
      <w:r w:rsidRPr="00CB2403">
        <w:t xml:space="preserve">Level of support for public funding </w:t>
      </w:r>
    </w:p>
    <w:p w14:paraId="6DB1277C" w14:textId="77777777" w:rsidR="005018AB" w:rsidRDefault="005018AB" w:rsidP="00005F38">
      <w:pPr>
        <w:tabs>
          <w:tab w:val="left" w:pos="3686"/>
        </w:tabs>
        <w:spacing w:line="240" w:lineRule="auto"/>
        <w:jc w:val="both"/>
        <w:rPr>
          <w:rFonts w:eastAsia="Franklin Gothic Book" w:cs="Franklin Gothic Book"/>
        </w:rPr>
      </w:pPr>
      <w:r>
        <w:rPr>
          <w:rFonts w:eastAsia="Franklin Gothic Book" w:cs="Franklin Gothic Book"/>
        </w:rPr>
        <w:t>Both CPA and RMSANZ expressed support at the public funding of this application.</w:t>
      </w:r>
    </w:p>
    <w:p w14:paraId="1A0E72C7" w14:textId="77777777" w:rsidR="005018AB" w:rsidRPr="00CB2403" w:rsidRDefault="005018AB" w:rsidP="003B228A">
      <w:pPr>
        <w:pStyle w:val="Heading3"/>
      </w:pPr>
      <w:r w:rsidRPr="00CB2403">
        <w:t xml:space="preserve">Comments on PICO </w:t>
      </w:r>
    </w:p>
    <w:p w14:paraId="37560726" w14:textId="6E5352CE" w:rsidR="005018AB" w:rsidRPr="00FA51C0"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 xml:space="preserve">CPA noted adding </w:t>
      </w:r>
      <w:proofErr w:type="spellStart"/>
      <w:r w:rsidR="002F1084">
        <w:rPr>
          <w:rFonts w:cs="Segoe UI"/>
          <w:color w:val="000000" w:themeColor="text1"/>
        </w:rPr>
        <w:t>Xeomin</w:t>
      </w:r>
      <w:proofErr w:type="spellEnd"/>
      <w:r w:rsidR="002F1084" w:rsidRPr="009C1504">
        <w:rPr>
          <w:rFonts w:cs="Segoe UI"/>
          <w:color w:val="000000" w:themeColor="text1"/>
        </w:rPr>
        <w:t>®</w:t>
      </w:r>
      <w:r w:rsidRPr="00EE333E">
        <w:rPr>
          <w:rFonts w:eastAsia="Franklin Gothic Book" w:cs="Franklin Gothic Book"/>
        </w:rPr>
        <w:t xml:space="preserve"> to the existing MBS items for botulinum toxin </w:t>
      </w:r>
      <w:r>
        <w:rPr>
          <w:rFonts w:eastAsia="Franklin Gothic Book" w:cs="Franklin Gothic Book"/>
        </w:rPr>
        <w:t>as</w:t>
      </w:r>
      <w:r w:rsidRPr="00EE333E">
        <w:rPr>
          <w:rFonts w:eastAsia="Franklin Gothic Book" w:cs="Franklin Gothic Book"/>
        </w:rPr>
        <w:t xml:space="preserve"> </w:t>
      </w:r>
      <w:proofErr w:type="gramStart"/>
      <w:r w:rsidRPr="00EE333E">
        <w:rPr>
          <w:rFonts w:eastAsia="Franklin Gothic Book" w:cs="Franklin Gothic Book"/>
        </w:rPr>
        <w:t>appropriate</w:t>
      </w:r>
      <w:r>
        <w:rPr>
          <w:rFonts w:eastAsia="Franklin Gothic Book" w:cs="Franklin Gothic Book"/>
        </w:rPr>
        <w:t>, and</w:t>
      </w:r>
      <w:proofErr w:type="gramEnd"/>
      <w:r>
        <w:rPr>
          <w:rFonts w:eastAsia="Franklin Gothic Book" w:cs="Franklin Gothic Book"/>
        </w:rPr>
        <w:t xml:space="preserve"> </w:t>
      </w:r>
      <w:r w:rsidR="00C33B2C">
        <w:rPr>
          <w:rFonts w:eastAsia="Franklin Gothic Book" w:cs="Franklin Gothic Book"/>
        </w:rPr>
        <w:t xml:space="preserve">agreed with </w:t>
      </w:r>
      <w:r>
        <w:rPr>
          <w:rFonts w:eastAsia="Franklin Gothic Book" w:cs="Franklin Gothic Book"/>
        </w:rPr>
        <w:t xml:space="preserve">the </w:t>
      </w:r>
      <w:r w:rsidR="00C33B2C">
        <w:rPr>
          <w:rFonts w:eastAsia="Franklin Gothic Book" w:cs="Franklin Gothic Book"/>
        </w:rPr>
        <w:t xml:space="preserve">proposed </w:t>
      </w:r>
      <w:r>
        <w:rPr>
          <w:rFonts w:eastAsia="Franklin Gothic Book" w:cs="Franklin Gothic Book"/>
        </w:rPr>
        <w:t xml:space="preserve">population </w:t>
      </w:r>
      <w:r w:rsidR="00C33B2C">
        <w:rPr>
          <w:rFonts w:eastAsia="Franklin Gothic Book" w:cs="Franklin Gothic Book"/>
        </w:rPr>
        <w:t xml:space="preserve">to </w:t>
      </w:r>
      <w:r>
        <w:rPr>
          <w:rFonts w:eastAsia="Franklin Gothic Book" w:cs="Franklin Gothic Book"/>
        </w:rPr>
        <w:t xml:space="preserve">include adults as well as children. </w:t>
      </w:r>
      <w:r w:rsidRPr="00FA51C0">
        <w:rPr>
          <w:rFonts w:eastAsia="Franklin Gothic Book" w:cs="Franklin Gothic Book"/>
        </w:rPr>
        <w:t>RMSANZ noted the proposed eligibility criteria and population as appropriate.</w:t>
      </w:r>
    </w:p>
    <w:p w14:paraId="7A5D01E3" w14:textId="0D9C9FC0" w:rsidR="005018AB"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 xml:space="preserve">CPA noted that the proposed approach to delivery is in line with current practice. RMSANZ </w:t>
      </w:r>
      <w:proofErr w:type="gramStart"/>
      <w:r>
        <w:rPr>
          <w:rFonts w:eastAsia="Franklin Gothic Book" w:cs="Franklin Gothic Book"/>
        </w:rPr>
        <w:t>agreed, and</w:t>
      </w:r>
      <w:proofErr w:type="gramEnd"/>
      <w:r>
        <w:rPr>
          <w:rFonts w:eastAsia="Franklin Gothic Book" w:cs="Franklin Gothic Book"/>
        </w:rPr>
        <w:t xml:space="preserve"> suggested that delivery of this service be limited to specialists trained in spasticity assessment and management technique. RMSANZ also noted a maximum of </w:t>
      </w:r>
      <w:r w:rsidR="002F1084">
        <w:rPr>
          <w:rFonts w:eastAsia="Franklin Gothic Book" w:cs="Franklin Gothic Book"/>
        </w:rPr>
        <w:t xml:space="preserve">4 </w:t>
      </w:r>
      <w:r>
        <w:rPr>
          <w:rFonts w:eastAsia="Franklin Gothic Book" w:cs="Franklin Gothic Book"/>
        </w:rPr>
        <w:t>episodes of injections within one year, and suggested that, where appropriate, multidisciplinary rehabilitation should be available to maximise the benefits associated with injections.</w:t>
      </w:r>
    </w:p>
    <w:p w14:paraId="5D1E4D6F" w14:textId="77777777" w:rsidR="005018AB"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 xml:space="preserve">Both CPA and RMSANZ agreed with the proposed comparator, with RMSANZ noting the comparator meets the standard of care, captures current practice, is applicable for all areas and populations, and is effective in practice. </w:t>
      </w:r>
    </w:p>
    <w:p w14:paraId="6E8D91C9" w14:textId="77777777" w:rsidR="005018AB"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Both CPA and RMSANZ agreed with proposed outcomes, with RMSANZ noting no concerns about the sustainability of proposed outcomes and no other potential outcomes anticipated.</w:t>
      </w:r>
    </w:p>
    <w:p w14:paraId="481EAC87" w14:textId="21BC7A08" w:rsidR="005018AB"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 xml:space="preserve">CPA noted the proposed item descriptors as broadly appropriate, outlining that MBS 18354 is ‘somewhat restrictive’ as it excludes those who have non-ambulant </w:t>
      </w:r>
      <w:r w:rsidR="002B4ABA">
        <w:rPr>
          <w:rFonts w:eastAsia="Franklin Gothic Book" w:cs="Franklin Gothic Book"/>
        </w:rPr>
        <w:t>CP</w:t>
      </w:r>
      <w:r>
        <w:rPr>
          <w:rFonts w:eastAsia="Franklin Gothic Book" w:cs="Franklin Gothic Book"/>
        </w:rPr>
        <w:t xml:space="preserve">. RMSANZ noted the descriptor limits the use to specialists trained in and involved in the management of the individual with </w:t>
      </w:r>
      <w:r w:rsidR="002B4ABA">
        <w:rPr>
          <w:rFonts w:eastAsia="Franklin Gothic Book" w:cs="Franklin Gothic Book"/>
        </w:rPr>
        <w:t>CP</w:t>
      </w:r>
      <w:r>
        <w:rPr>
          <w:rFonts w:eastAsia="Franklin Gothic Book" w:cs="Franklin Gothic Book"/>
        </w:rPr>
        <w:t xml:space="preserve">, </w:t>
      </w:r>
      <w:r w:rsidR="003B63A3">
        <w:rPr>
          <w:rFonts w:eastAsia="Franklin Gothic Book" w:cs="Franklin Gothic Book"/>
        </w:rPr>
        <w:t>and</w:t>
      </w:r>
      <w:r>
        <w:rPr>
          <w:rFonts w:eastAsia="Franklin Gothic Book" w:cs="Franklin Gothic Book"/>
        </w:rPr>
        <w:t xml:space="preserve"> defines patient access and suitability. RMSANZ noted </w:t>
      </w:r>
      <w:r w:rsidR="00CC7157">
        <w:rPr>
          <w:rFonts w:eastAsia="Franklin Gothic Book" w:cs="Franklin Gothic Book"/>
        </w:rPr>
        <w:t xml:space="preserve">clinical </w:t>
      </w:r>
      <w:r>
        <w:rPr>
          <w:rFonts w:eastAsia="Franklin Gothic Book" w:cs="Franklin Gothic Book"/>
        </w:rPr>
        <w:t xml:space="preserve">practice recommends </w:t>
      </w:r>
      <w:proofErr w:type="spellStart"/>
      <w:r w:rsidR="00600FB9">
        <w:rPr>
          <w:rFonts w:eastAsia="Franklin Gothic Book" w:cs="Franklin Gothic Book"/>
        </w:rPr>
        <w:t>Xeomin</w:t>
      </w:r>
      <w:proofErr w:type="spellEnd"/>
      <w:r w:rsidR="00600FB9" w:rsidRPr="009C1504">
        <w:rPr>
          <w:rFonts w:cs="Segoe UI"/>
          <w:color w:val="000000" w:themeColor="text1"/>
        </w:rPr>
        <w:t>®</w:t>
      </w:r>
      <w:r w:rsidR="00600FB9">
        <w:rPr>
          <w:rFonts w:eastAsia="Franklin Gothic Book" w:cs="Franklin Gothic Book"/>
        </w:rPr>
        <w:t xml:space="preserve"> </w:t>
      </w:r>
      <w:proofErr w:type="gramStart"/>
      <w:r w:rsidR="00600FB9">
        <w:rPr>
          <w:rFonts w:eastAsia="Franklin Gothic Book" w:cs="Franklin Gothic Book"/>
        </w:rPr>
        <w:t>is able to</w:t>
      </w:r>
      <w:proofErr w:type="gramEnd"/>
      <w:r w:rsidR="00600FB9">
        <w:rPr>
          <w:rFonts w:eastAsia="Franklin Gothic Book" w:cs="Franklin Gothic Book"/>
        </w:rPr>
        <w:t xml:space="preserve"> be accessed </w:t>
      </w:r>
      <w:r>
        <w:rPr>
          <w:rFonts w:eastAsia="Franklin Gothic Book" w:cs="Franklin Gothic Book"/>
        </w:rPr>
        <w:t xml:space="preserve">a maximum of </w:t>
      </w:r>
      <w:r w:rsidR="00B17CA2">
        <w:rPr>
          <w:rFonts w:eastAsia="Franklin Gothic Book" w:cs="Franklin Gothic Book"/>
        </w:rPr>
        <w:t xml:space="preserve">4 </w:t>
      </w:r>
      <w:r>
        <w:rPr>
          <w:rFonts w:eastAsia="Franklin Gothic Book" w:cs="Franklin Gothic Book"/>
        </w:rPr>
        <w:t xml:space="preserve">times a year, instead of </w:t>
      </w:r>
      <w:r w:rsidR="00B17CA2">
        <w:rPr>
          <w:rFonts w:eastAsia="Franklin Gothic Book" w:cs="Franklin Gothic Book"/>
        </w:rPr>
        <w:t xml:space="preserve">3 </w:t>
      </w:r>
      <w:r>
        <w:rPr>
          <w:rFonts w:eastAsia="Franklin Gothic Book" w:cs="Franklin Gothic Book"/>
        </w:rPr>
        <w:t>as proposed.</w:t>
      </w:r>
    </w:p>
    <w:p w14:paraId="5BCD8F15" w14:textId="77777777" w:rsidR="005018AB" w:rsidRPr="00393EFD" w:rsidRDefault="005018AB" w:rsidP="003B228A">
      <w:pPr>
        <w:pStyle w:val="ListParagraph"/>
        <w:numPr>
          <w:ilvl w:val="0"/>
          <w:numId w:val="30"/>
        </w:numPr>
        <w:spacing w:before="0" w:line="240" w:lineRule="auto"/>
        <w:rPr>
          <w:rFonts w:eastAsia="Franklin Gothic Book" w:cs="Franklin Gothic Book"/>
        </w:rPr>
      </w:pPr>
      <w:r>
        <w:rPr>
          <w:rFonts w:eastAsia="Franklin Gothic Book" w:cs="Franklin Gothic Book"/>
        </w:rPr>
        <w:t xml:space="preserve">CPA supported the proposed fee, and RMSANZ noted it is consistent with similar health services and technologies. RMSANZ also stated that decisions regarding out-of-pocket expenses remains the responsibility of the providing medical practitioner. </w:t>
      </w:r>
    </w:p>
    <w:p w14:paraId="5A363AF1" w14:textId="77777777" w:rsidR="005018AB" w:rsidRPr="00CB2403" w:rsidRDefault="005018AB" w:rsidP="003B228A">
      <w:pPr>
        <w:pStyle w:val="Heading3"/>
      </w:pPr>
      <w:r w:rsidRPr="00CB2403">
        <w:t xml:space="preserve">Support for Implementation and Issues </w:t>
      </w:r>
    </w:p>
    <w:p w14:paraId="6D801B38" w14:textId="676C3A3B" w:rsidR="005018AB" w:rsidRDefault="005018AB" w:rsidP="003B228A">
      <w:pPr>
        <w:pStyle w:val="ListParagraph"/>
        <w:numPr>
          <w:ilvl w:val="0"/>
          <w:numId w:val="31"/>
        </w:numPr>
        <w:spacing w:before="0" w:line="240" w:lineRule="auto"/>
        <w:rPr>
          <w:rFonts w:eastAsia="Franklin Gothic Book" w:cs="Franklin Gothic Book"/>
        </w:rPr>
      </w:pPr>
      <w:r>
        <w:rPr>
          <w:rFonts w:eastAsia="Franklin Gothic Book" w:cs="Franklin Gothic Book"/>
        </w:rPr>
        <w:t xml:space="preserve">RMSANZ expressed its support for the implementation of </w:t>
      </w:r>
      <w:proofErr w:type="spellStart"/>
      <w:r w:rsidR="00F04395">
        <w:rPr>
          <w:rFonts w:cs="Segoe UI"/>
          <w:color w:val="000000" w:themeColor="text1"/>
        </w:rPr>
        <w:t>Xeomin</w:t>
      </w:r>
      <w:proofErr w:type="spellEnd"/>
      <w:r w:rsidR="00F04395" w:rsidRPr="009C1504">
        <w:rPr>
          <w:rFonts w:cs="Segoe UI"/>
          <w:color w:val="000000" w:themeColor="text1"/>
        </w:rPr>
        <w:t>®</w:t>
      </w:r>
      <w:r>
        <w:rPr>
          <w:rFonts w:eastAsia="Franklin Gothic Book" w:cs="Franklin Gothic Book"/>
        </w:rPr>
        <w:t xml:space="preserve"> into the management of spasticity related to </w:t>
      </w:r>
      <w:r w:rsidR="009F3ED6">
        <w:rPr>
          <w:rFonts w:eastAsia="Franklin Gothic Book" w:cs="Franklin Gothic Book"/>
        </w:rPr>
        <w:t>CP</w:t>
      </w:r>
      <w:r>
        <w:rPr>
          <w:rFonts w:eastAsia="Franklin Gothic Book" w:cs="Franklin Gothic Book"/>
        </w:rPr>
        <w:t>, noting that any potential barriers can be easily addressed by following the same protocols associated with Botulinum Toxin A treatment.</w:t>
      </w:r>
    </w:p>
    <w:p w14:paraId="6D1ADF87" w14:textId="2F970DC8" w:rsidR="005018AB" w:rsidRPr="00005F38" w:rsidRDefault="005018AB" w:rsidP="003B228A">
      <w:pPr>
        <w:pStyle w:val="ListParagraph"/>
        <w:numPr>
          <w:ilvl w:val="0"/>
          <w:numId w:val="31"/>
        </w:numPr>
        <w:spacing w:before="0" w:line="240" w:lineRule="auto"/>
        <w:rPr>
          <w:rFonts w:eastAsia="Franklin Gothic Book" w:cs="Franklin Gothic Book"/>
        </w:rPr>
      </w:pPr>
      <w:r>
        <w:rPr>
          <w:rFonts w:eastAsia="Franklin Gothic Book" w:cs="Franklin Gothic Book"/>
        </w:rPr>
        <w:t xml:space="preserve">RMSANZ noted that training for specialties </w:t>
      </w:r>
      <w:proofErr w:type="gramStart"/>
      <w:r>
        <w:rPr>
          <w:rFonts w:eastAsia="Franklin Gothic Book" w:cs="Franklin Gothic Book"/>
        </w:rPr>
        <w:t>are</w:t>
      </w:r>
      <w:proofErr w:type="gramEnd"/>
      <w:r>
        <w:rPr>
          <w:rFonts w:eastAsia="Franklin Gothic Book" w:cs="Franklin Gothic Book"/>
        </w:rPr>
        <w:t xml:space="preserve"> </w:t>
      </w:r>
      <w:proofErr w:type="gramStart"/>
      <w:r>
        <w:rPr>
          <w:rFonts w:eastAsia="Franklin Gothic Book" w:cs="Franklin Gothic Book"/>
        </w:rPr>
        <w:t>available,</w:t>
      </w:r>
      <w:r w:rsidR="00C66231">
        <w:rPr>
          <w:rFonts w:eastAsia="Franklin Gothic Book" w:cs="Franklin Gothic Book"/>
        </w:rPr>
        <w:t xml:space="preserve"> </w:t>
      </w:r>
      <w:r>
        <w:rPr>
          <w:rFonts w:eastAsia="Franklin Gothic Book" w:cs="Franklin Gothic Book"/>
        </w:rPr>
        <w:t>and</w:t>
      </w:r>
      <w:proofErr w:type="gramEnd"/>
      <w:r>
        <w:rPr>
          <w:rFonts w:eastAsia="Franklin Gothic Book" w:cs="Franklin Gothic Book"/>
        </w:rPr>
        <w:t xml:space="preserve"> highlighted that data collection can be undertaken </w:t>
      </w:r>
      <w:r w:rsidR="00A34E07">
        <w:rPr>
          <w:rFonts w:eastAsia="Franklin Gothic Book" w:cs="Franklin Gothic Book"/>
        </w:rPr>
        <w:t xml:space="preserve">as part of </w:t>
      </w:r>
      <w:r>
        <w:rPr>
          <w:rFonts w:eastAsia="Franklin Gothic Book" w:cs="Franklin Gothic Book"/>
        </w:rPr>
        <w:t xml:space="preserve">the medical practitioner’s Continuing Professional Development (CPD) program and accreditation requirements. </w:t>
      </w:r>
    </w:p>
    <w:bookmarkEnd w:id="17"/>
    <w:p w14:paraId="03C7A1F1" w14:textId="4759F409" w:rsidR="00772829" w:rsidRPr="00CE28E3" w:rsidRDefault="00772829" w:rsidP="00242181">
      <w:pPr>
        <w:pStyle w:val="Heading2"/>
        <w:numPr>
          <w:ilvl w:val="0"/>
          <w:numId w:val="29"/>
        </w:numPr>
        <w:tabs>
          <w:tab w:val="num" w:pos="1134"/>
        </w:tabs>
      </w:pPr>
      <w:r w:rsidRPr="00CE28E3">
        <w:lastRenderedPageBreak/>
        <w:t>Characteristics of the evidence base</w:t>
      </w:r>
      <w:bookmarkEnd w:id="15"/>
    </w:p>
    <w:p w14:paraId="71A82BB4" w14:textId="1C4B28A7" w:rsidR="00FA2B2F" w:rsidRPr="00762BCF" w:rsidRDefault="00FA2B2F" w:rsidP="00242181">
      <w:pPr>
        <w:keepNext/>
        <w:keepLines/>
        <w:spacing w:line="240" w:lineRule="auto"/>
        <w:rPr>
          <w:rFonts w:eastAsia="Segoe UI" w:cs="Segoe UI"/>
          <w:color w:val="000000"/>
        </w:rPr>
      </w:pPr>
      <w:r w:rsidRPr="00762BCF">
        <w:rPr>
          <w:rFonts w:eastAsia="Segoe UI" w:cs="Segoe UI"/>
          <w:color w:val="000000"/>
        </w:rPr>
        <w:t xml:space="preserve">The evidence base for the safety and efficacy of </w:t>
      </w:r>
      <w:proofErr w:type="spellStart"/>
      <w:r w:rsidR="005062B4">
        <w:rPr>
          <w:rFonts w:cs="Segoe UI"/>
          <w:color w:val="000000" w:themeColor="text1"/>
        </w:rPr>
        <w:t>Xeomin</w:t>
      </w:r>
      <w:proofErr w:type="spellEnd"/>
      <w:r w:rsidR="005062B4" w:rsidRPr="009C1504">
        <w:rPr>
          <w:rFonts w:cs="Segoe UI"/>
          <w:color w:val="000000" w:themeColor="text1"/>
        </w:rPr>
        <w:t>®</w:t>
      </w:r>
      <w:r w:rsidR="005062B4">
        <w:rPr>
          <w:rFonts w:eastAsia="Franklin Gothic Book" w:cs="Franklin Gothic Book"/>
        </w:rPr>
        <w:t xml:space="preserve"> </w:t>
      </w:r>
      <w:r w:rsidRPr="00FA2B2F">
        <w:rPr>
          <w:rStyle w:val="fontstyle01"/>
          <w:rFonts w:ascii="Franklin Gothic Book" w:hAnsi="Franklin Gothic Book" w:cs="Segoe UI"/>
          <w:sz w:val="22"/>
          <w:szCs w:val="22"/>
        </w:rPr>
        <w:t>has been established in paediatric populations with CP however, CP does not stop at adulthood. Knowing this, the PBAC has previously shown pragmatism by recommending Botox</w:t>
      </w:r>
      <w:r w:rsidR="005062B4" w:rsidRPr="009C1504">
        <w:rPr>
          <w:rFonts w:cs="Segoe UI"/>
          <w:color w:val="000000" w:themeColor="text1"/>
        </w:rPr>
        <w:t>®</w:t>
      </w:r>
      <w:r w:rsidRPr="00FA2B2F">
        <w:rPr>
          <w:rStyle w:val="fontstyle01"/>
          <w:rFonts w:ascii="Franklin Gothic Book" w:hAnsi="Franklin Gothic Book" w:cs="Segoe UI"/>
          <w:sz w:val="22"/>
          <w:szCs w:val="22"/>
        </w:rPr>
        <w:t xml:space="preserve"> and Dysport</w:t>
      </w:r>
      <w:r w:rsidR="005062B4" w:rsidRPr="009C1504">
        <w:rPr>
          <w:rFonts w:cs="Segoe UI"/>
          <w:color w:val="000000" w:themeColor="text1"/>
        </w:rPr>
        <w:t>®</w:t>
      </w:r>
      <w:r w:rsidRPr="00FA2B2F">
        <w:rPr>
          <w:rStyle w:val="fontstyle01"/>
          <w:rFonts w:ascii="Franklin Gothic Book" w:hAnsi="Franklin Gothic Book" w:cs="Segoe UI"/>
          <w:sz w:val="22"/>
          <w:szCs w:val="22"/>
        </w:rPr>
        <w:t xml:space="preserve"> for treatment in adult CP patients as well, despite their respective trials being conducted exclusively in paediatric populations. </w:t>
      </w:r>
    </w:p>
    <w:p w14:paraId="31947CB2" w14:textId="0D490B02" w:rsidR="00D759B3" w:rsidRPr="0014563F" w:rsidRDefault="00B31E79" w:rsidP="00242181">
      <w:pPr>
        <w:keepNext/>
        <w:keepLines/>
        <w:spacing w:before="240" w:after="120" w:line="240" w:lineRule="auto"/>
        <w:rPr>
          <w:rFonts w:cs="Calibri"/>
        </w:rPr>
      </w:pPr>
      <w:r>
        <w:rPr>
          <w:rFonts w:cs="Calibri"/>
        </w:rPr>
        <w:t>Two (</w:t>
      </w:r>
      <w:r w:rsidR="0037646D">
        <w:rPr>
          <w:rFonts w:cs="Calibri"/>
        </w:rPr>
        <w:t>2</w:t>
      </w:r>
      <w:r>
        <w:rPr>
          <w:rFonts w:cs="Calibri"/>
        </w:rPr>
        <w:t>)</w:t>
      </w:r>
      <w:r w:rsidR="00D759B3" w:rsidRPr="0014563F">
        <w:rPr>
          <w:rFonts w:cs="Calibri"/>
        </w:rPr>
        <w:t xml:space="preserve"> pivotal trials demonstrate</w:t>
      </w:r>
      <w:r w:rsidR="005062B4">
        <w:rPr>
          <w:rFonts w:cs="Calibri"/>
        </w:rPr>
        <w:t>d</w:t>
      </w:r>
      <w:r w:rsidR="00D759B3" w:rsidRPr="0014563F">
        <w:rPr>
          <w:rFonts w:cs="Calibri"/>
        </w:rPr>
        <w:t xml:space="preserve"> the safety and efficacy of </w:t>
      </w:r>
      <w:proofErr w:type="spellStart"/>
      <w:r w:rsidR="009F3ED6">
        <w:rPr>
          <w:rFonts w:cs="Segoe UI"/>
          <w:color w:val="000000" w:themeColor="text1"/>
        </w:rPr>
        <w:t>Xeomin</w:t>
      </w:r>
      <w:proofErr w:type="spellEnd"/>
      <w:r w:rsidR="009F3ED6" w:rsidRPr="009C1504">
        <w:rPr>
          <w:rFonts w:cs="Segoe UI"/>
          <w:color w:val="000000" w:themeColor="text1"/>
        </w:rPr>
        <w:t>®</w:t>
      </w:r>
      <w:r w:rsidR="00D759B3" w:rsidRPr="0014563F">
        <w:rPr>
          <w:rFonts w:cs="Calibri"/>
        </w:rPr>
        <w:t xml:space="preserve"> in the treatment of upper and lower limb spasticity in children and adolescents (aged 2-17 years) with </w:t>
      </w:r>
      <w:r w:rsidR="009F3ED6">
        <w:rPr>
          <w:rFonts w:cs="Calibri"/>
        </w:rPr>
        <w:t>CP</w:t>
      </w:r>
      <w:r w:rsidR="001034CA">
        <w:rPr>
          <w:rStyle w:val="FootnoteReference"/>
          <w:rFonts w:cs="Calibri"/>
        </w:rPr>
        <w:footnoteReference w:id="14"/>
      </w:r>
      <w:r w:rsidR="00AA20AB">
        <w:rPr>
          <w:rFonts w:cs="Calibri"/>
          <w:vertAlign w:val="superscript"/>
        </w:rPr>
        <w:t>,</w:t>
      </w:r>
      <w:r w:rsidR="00AA20AB">
        <w:rPr>
          <w:rStyle w:val="FootnoteReference"/>
          <w:rFonts w:cs="Calibri"/>
        </w:rPr>
        <w:footnoteReference w:id="15"/>
      </w:r>
      <w:r w:rsidR="00D759B3" w:rsidRPr="0014563F">
        <w:rPr>
          <w:rFonts w:cs="Calibri"/>
        </w:rPr>
        <w:t>.</w:t>
      </w:r>
      <w:r w:rsidR="006D0824">
        <w:rPr>
          <w:rFonts w:cs="Calibri"/>
        </w:rPr>
        <w:t xml:space="preserve"> </w:t>
      </w:r>
      <w:r w:rsidR="005D7B30">
        <w:rPr>
          <w:i/>
        </w:rPr>
        <w:fldChar w:fldCharType="begin"/>
      </w:r>
      <w:r w:rsidR="00A82899">
        <w:rPr>
          <w:i/>
        </w:rPr>
        <w:instrText xml:space="preserve"> ADDIN EN.CITE &lt;EndNote&gt;&lt;Cite&gt;&lt;Author&gt;Heinen&lt;/Author&gt;&lt;Year&gt;2021&lt;/Year&gt;&lt;RecNum&gt;40&lt;/RecNum&gt;&lt;DisplayText&gt;(Heinen et al., 2021)&lt;/DisplayText&gt;&lt;record&gt;&lt;rec-number&gt;40&lt;/rec-number&gt;&lt;foreign-keys&gt;&lt;key app="EN" db-id="xptdtdf92drsdpetwx4vsvwlaa22papar5xz" timestamp="1717603230"&gt;40&lt;/key&gt;&lt;/foreign-keys&gt;&lt;ref-type name="Journal Article"&gt;17&lt;/ref-type&gt;&lt;contributors&gt;&lt;authors&gt;&lt;author&gt;Heinen, Florian&lt;/author&gt;&lt;author&gt;Kanovský, Petr&lt;/author&gt;&lt;author&gt;Schroeder, A Sebastian&lt;/author&gt;&lt;author&gt;Chambers, Henry G&lt;/author&gt;&lt;author&gt;Dabrowski, Edward&lt;/author&gt;&lt;author&gt;Geister, Thorin L&lt;/author&gt;&lt;author&gt;Hanschmann, Angelika&lt;/author&gt;&lt;author&gt;Martinez-Torres, Francisco J&lt;/author&gt;&lt;author&gt;Pulte, Irena&lt;/author&gt;&lt;author&gt;Banach, Marta&lt;/author&gt;&lt;/authors&gt;&lt;/contributors&gt;&lt;titles&gt;&lt;title&gt;IncobotulinumtoxinA for the treatment of lower-limb spasticity in children and adolescents with cerebral palsy: A phase 3 study&lt;/title&gt;&lt;secondary-title&gt;Journal of pediatric rehabilitation medicine&lt;/secondary-title&gt;&lt;/titles&gt;&lt;periodical&gt;&lt;full-title&gt;Journal of pediatric rehabilitation medicine&lt;/full-title&gt;&lt;/periodical&gt;&lt;pages&gt;183-197&lt;/pages&gt;&lt;volume&gt;14&lt;/volume&gt;&lt;number&gt;2&lt;/number&gt;&lt;dates&gt;&lt;year&gt;2021&lt;/year&gt;&lt;/dates&gt;&lt;isbn&gt;1874-5393&lt;/isbn&gt;&lt;urls&gt;&lt;/urls&gt;&lt;/record&gt;&lt;/Cite&gt;&lt;/EndNote&gt;</w:instrText>
      </w:r>
      <w:r w:rsidR="005D7B30">
        <w:rPr>
          <w:i/>
        </w:rPr>
        <w:fldChar w:fldCharType="separate"/>
      </w:r>
      <w:r w:rsidR="00A82899">
        <w:rPr>
          <w:i/>
          <w:noProof/>
        </w:rPr>
        <w:t>(Heinen et al., 2021)</w:t>
      </w:r>
      <w:r w:rsidR="005D7B30">
        <w:rPr>
          <w:i/>
        </w:rPr>
        <w:fldChar w:fldCharType="end"/>
      </w:r>
      <w:r w:rsidR="004A0F87" w:rsidRPr="004A0F87">
        <w:rPr>
          <w:i/>
        </w:rPr>
        <w:t xml:space="preserve"> </w:t>
      </w:r>
      <w:r w:rsidR="004A0F87">
        <w:rPr>
          <w:i/>
        </w:rPr>
        <w:fldChar w:fldCharType="begin"/>
      </w:r>
      <w:r w:rsidR="004A0F87">
        <w:rPr>
          <w:i/>
        </w:rPr>
        <w:instrText xml:space="preserve"> ADDIN EN.CITE &lt;EndNote&gt;&lt;Cite&gt;&lt;Author&gt;Dabrowski&lt;/Author&gt;&lt;Year&gt;2021&lt;/Year&gt;&lt;RecNum&gt;39&lt;/RecNum&gt;&lt;DisplayText&gt;(Dabrowski et al., 2021)&lt;/DisplayText&gt;&lt;record&gt;&lt;rec-number&gt;39&lt;/rec-number&gt;&lt;foreign-keys&gt;&lt;key app="EN" db-id="xptdtdf92drsdpetwx4vsvwlaa22papar5xz" timestamp="1717603173"&gt;39&lt;/key&gt;&lt;/foreign-keys&gt;&lt;ref-type name="Journal Article"&gt;17&lt;/ref-type&gt;&lt;contributors&gt;&lt;authors&gt;&lt;author&gt;Dabrowski, Edward&lt;/author&gt;&lt;author&gt;Chambers, Henry G&lt;/author&gt;&lt;author&gt;Gaebler-Spira, Deborah&lt;/author&gt;&lt;author&gt;Banach, Marta&lt;/author&gt;&lt;author&gt;Kaňovský, Petr&lt;/author&gt;&lt;author&gt;Dersch, Hanna&lt;/author&gt;&lt;author&gt;Althaus, Michael&lt;/author&gt;&lt;author&gt;Geister, Thorin L&lt;/author&gt;&lt;author&gt;Heinen, Florian&lt;/author&gt;&lt;/authors&gt;&lt;/contributors&gt;&lt;titles&gt;&lt;title&gt;IncobotulinumtoxinA efficacy/safety in upper-limb spasticity in pediatric cerebral palsy: Randomized controlled trial&lt;/title&gt;&lt;secondary-title&gt;Pediatric neurology&lt;/secondary-title&gt;&lt;/titles&gt;&lt;periodical&gt;&lt;full-title&gt;Pediatric neurology&lt;/full-title&gt;&lt;/periodical&gt;&lt;pages&gt;10-20&lt;/pages&gt;&lt;volume&gt;123&lt;/volume&gt;&lt;dates&gt;&lt;year&gt;2021&lt;/year&gt;&lt;/dates&gt;&lt;isbn&gt;0887-8994&lt;/isbn&gt;&lt;urls&gt;&lt;/urls&gt;&lt;/record&gt;&lt;/Cite&gt;&lt;/EndNote&gt;</w:instrText>
      </w:r>
      <w:r w:rsidR="004A0F87">
        <w:rPr>
          <w:i/>
        </w:rPr>
        <w:fldChar w:fldCharType="separate"/>
      </w:r>
      <w:r w:rsidR="004A0F87">
        <w:rPr>
          <w:i/>
          <w:noProof/>
        </w:rPr>
        <w:t>(Dabrowski et al., 2021)</w:t>
      </w:r>
      <w:r w:rsidR="004A0F87">
        <w:rPr>
          <w:i/>
        </w:rPr>
        <w:fldChar w:fldCharType="end"/>
      </w:r>
      <w:r w:rsidR="00D759B3" w:rsidRPr="0014563F">
        <w:rPr>
          <w:rFonts w:cs="Calibri"/>
        </w:rPr>
        <w:t xml:space="preserve"> As the use of placebo in this vulnerable age group is considered unethical and unfeasible, clinical efficacy and safety is presented against low-dose </w:t>
      </w:r>
      <w:proofErr w:type="spellStart"/>
      <w:r w:rsidR="009F3ED6">
        <w:rPr>
          <w:rFonts w:cs="Segoe UI"/>
          <w:color w:val="000000" w:themeColor="text1"/>
        </w:rPr>
        <w:t>Xeomin</w:t>
      </w:r>
      <w:proofErr w:type="spellEnd"/>
      <w:r w:rsidR="009F3ED6" w:rsidRPr="009C1504">
        <w:rPr>
          <w:rFonts w:cs="Segoe UI"/>
          <w:color w:val="000000" w:themeColor="text1"/>
        </w:rPr>
        <w:t>®</w:t>
      </w:r>
      <w:r w:rsidR="00D759B3" w:rsidRPr="0014563F">
        <w:rPr>
          <w:rFonts w:cs="Calibri"/>
        </w:rPr>
        <w:t xml:space="preserve"> as a proxy for placebo. Long term follow-up data </w:t>
      </w:r>
      <w:r w:rsidR="00A87657">
        <w:rPr>
          <w:rFonts w:cs="Calibri"/>
        </w:rPr>
        <w:t>was</w:t>
      </w:r>
      <w:r w:rsidR="00D759B3" w:rsidRPr="0014563F">
        <w:rPr>
          <w:rFonts w:cs="Calibri"/>
        </w:rPr>
        <w:t xml:space="preserve"> provided in the TIMO study</w:t>
      </w:r>
      <w:r w:rsidR="00AA20AB">
        <w:rPr>
          <w:rStyle w:val="FootnoteReference"/>
          <w:rFonts w:cs="Calibri"/>
        </w:rPr>
        <w:footnoteReference w:id="16"/>
      </w:r>
      <w:r w:rsidR="0034072A">
        <w:rPr>
          <w:rFonts w:cs="Calibri"/>
        </w:rPr>
        <w:t xml:space="preserve"> </w:t>
      </w:r>
      <w:r w:rsidR="0034072A">
        <w:rPr>
          <w:i/>
        </w:rPr>
        <w:fldChar w:fldCharType="begin"/>
      </w:r>
      <w:r w:rsidR="0034072A">
        <w:rPr>
          <w:i/>
        </w:rPr>
        <w:instrText xml:space="preserve"> ADDIN EN.CITE &lt;EndNote&gt;&lt;Cite&gt;&lt;Author&gt;Kaňovský&lt;/Author&gt;&lt;Year&gt;2022&lt;/Year&gt;&lt;RecNum&gt;41&lt;/RecNum&gt;&lt;DisplayText&gt;(Kaňovský et al., 2022)&lt;/DisplayText&gt;&lt;record&gt;&lt;rec-number&gt;41&lt;/rec-number&gt;&lt;foreign-keys&gt;&lt;key app="EN" db-id="xptdtdf92drsdpetwx4vsvwlaa22papar5xz" timestamp="1717604889"&gt;41&lt;/key&gt;&lt;/foreign-keys&gt;&lt;ref-type name="Journal Article"&gt;17&lt;/ref-type&gt;&lt;contributors&gt;&lt;authors&gt;&lt;author&gt;Kaňovský, Petr&lt;/author&gt;&lt;author&gt;Heinen, Florian&lt;/author&gt;&lt;author&gt;Schroeder, A Sebastian&lt;/author&gt;&lt;author&gt;Chambers, Henry G&lt;/author&gt;&lt;author&gt;Dabrowski, Edward&lt;/author&gt;&lt;author&gt;Geister, Thorin L&lt;/author&gt;&lt;author&gt;Hanschmann, Angelika&lt;/author&gt;&lt;author&gt;Martinez-Torres, Francisco J&lt;/author&gt;&lt;author&gt;Pulte, Irena&lt;/author&gt;&lt;author&gt;Banach, Marta&lt;/author&gt;&lt;/authors&gt;&lt;/contributors&gt;&lt;titles&gt;&lt;title&gt;Safety and efficacy of repeat long-term incobotulinumtoxinA treatment for lower limb or combined upper/lower limb spasticity in children with cerebral palsy&lt;/title&gt;&lt;secondary-title&gt;Journal of pediatric rehabilitation medicine&lt;/secondary-title&gt;&lt;/titles&gt;&lt;periodical&gt;&lt;full-title&gt;Journal of pediatric rehabilitation medicine&lt;/full-title&gt;&lt;/periodical&gt;&lt;pages&gt;113-127&lt;/pages&gt;&lt;volume&gt;15&lt;/volume&gt;&lt;number&gt;1&lt;/number&gt;&lt;dates&gt;&lt;year&gt;2022&lt;/year&gt;&lt;/dates&gt;&lt;isbn&gt;1874-5393&lt;/isbn&gt;&lt;urls&gt;&lt;/urls&gt;&lt;/record&gt;&lt;/Cite&gt;&lt;/EndNote&gt;</w:instrText>
      </w:r>
      <w:r w:rsidR="0034072A">
        <w:rPr>
          <w:i/>
        </w:rPr>
        <w:fldChar w:fldCharType="separate"/>
      </w:r>
      <w:r w:rsidR="0034072A">
        <w:rPr>
          <w:i/>
          <w:noProof/>
        </w:rPr>
        <w:t>(Kaňovský et al., 2022)</w:t>
      </w:r>
      <w:r w:rsidR="0034072A">
        <w:rPr>
          <w:i/>
        </w:rPr>
        <w:fldChar w:fldCharType="end"/>
      </w:r>
      <w:r w:rsidR="00D759B3" w:rsidRPr="0014563F">
        <w:rPr>
          <w:rFonts w:cs="Calibri"/>
        </w:rPr>
        <w:t xml:space="preserve"> and the open label extension period (OLEX) in XARA. </w:t>
      </w:r>
    </w:p>
    <w:p w14:paraId="5D62FF2E" w14:textId="1130EDDF" w:rsidR="00B50A67" w:rsidRPr="00C9608E" w:rsidRDefault="00476661" w:rsidP="003B228A">
      <w:pPr>
        <w:spacing w:after="120" w:line="240" w:lineRule="auto"/>
        <w:rPr>
          <w:rFonts w:cs="Calibri"/>
        </w:rPr>
      </w:pPr>
      <w:r>
        <w:rPr>
          <w:rFonts w:cs="Calibri"/>
        </w:rPr>
        <w:t xml:space="preserve">No </w:t>
      </w:r>
      <w:r w:rsidR="00AE2DE9">
        <w:rPr>
          <w:rFonts w:cs="Calibri"/>
        </w:rPr>
        <w:t xml:space="preserve">double-blinded </w:t>
      </w:r>
      <w:r w:rsidR="00A87657">
        <w:rPr>
          <w:rFonts w:cs="Calibri"/>
        </w:rPr>
        <w:t>randomised controlled trials (</w:t>
      </w:r>
      <w:r w:rsidR="00AE2DE9">
        <w:rPr>
          <w:rFonts w:cs="Calibri"/>
        </w:rPr>
        <w:t>RCT</w:t>
      </w:r>
      <w:r w:rsidR="00A87657">
        <w:rPr>
          <w:rFonts w:cs="Calibri"/>
        </w:rPr>
        <w:t>)</w:t>
      </w:r>
      <w:r w:rsidR="00AE2DE9">
        <w:rPr>
          <w:rFonts w:cs="Calibri"/>
        </w:rPr>
        <w:t xml:space="preserve"> providing direct comparative evidence between </w:t>
      </w:r>
      <w:proofErr w:type="spellStart"/>
      <w:r w:rsidR="009F3ED6">
        <w:rPr>
          <w:rFonts w:cs="Segoe UI"/>
          <w:color w:val="000000" w:themeColor="text1"/>
        </w:rPr>
        <w:t>Xeomin</w:t>
      </w:r>
      <w:proofErr w:type="spellEnd"/>
      <w:r w:rsidR="009F3ED6" w:rsidRPr="009C1504">
        <w:rPr>
          <w:rFonts w:cs="Segoe UI"/>
          <w:color w:val="000000" w:themeColor="text1"/>
        </w:rPr>
        <w:t>®</w:t>
      </w:r>
      <w:r w:rsidR="00AE2DE9">
        <w:rPr>
          <w:rFonts w:cs="Calibri"/>
        </w:rPr>
        <w:t xml:space="preserve"> and Botox</w:t>
      </w:r>
      <w:r w:rsidR="009F3ED6" w:rsidRPr="009C1504">
        <w:rPr>
          <w:rFonts w:cs="Segoe UI"/>
          <w:color w:val="000000" w:themeColor="text1"/>
        </w:rPr>
        <w:t>®</w:t>
      </w:r>
      <w:r w:rsidR="00AE2DE9">
        <w:rPr>
          <w:rFonts w:cs="Calibri"/>
        </w:rPr>
        <w:t xml:space="preserve"> have been conducted. </w:t>
      </w:r>
      <w:r w:rsidR="0034072A" w:rsidRPr="0014563F">
        <w:rPr>
          <w:rFonts w:cs="Calibri"/>
        </w:rPr>
        <w:t>Study R-201212 an open-label comparative study with Botox</w:t>
      </w:r>
      <w:r w:rsidR="009F3ED6" w:rsidRPr="009C1504">
        <w:rPr>
          <w:rFonts w:cs="Segoe UI"/>
          <w:color w:val="000000" w:themeColor="text1"/>
        </w:rPr>
        <w:t>®</w:t>
      </w:r>
      <w:r w:rsidR="00AA20AB">
        <w:rPr>
          <w:rStyle w:val="FootnoteReference"/>
          <w:rFonts w:cs="Segoe UI"/>
          <w:color w:val="000000" w:themeColor="text1"/>
        </w:rPr>
        <w:footnoteReference w:id="17"/>
      </w:r>
      <w:r w:rsidR="0034072A" w:rsidRPr="0014563F">
        <w:rPr>
          <w:rFonts w:cs="Calibri"/>
        </w:rPr>
        <w:t xml:space="preserve"> </w:t>
      </w:r>
      <w:r>
        <w:rPr>
          <w:i/>
        </w:rPr>
        <w:fldChar w:fldCharType="begin">
          <w:fldData xml:space="preserve">PEVuZE5vdGU+PENpdGU+PEF1dGhvcj5LdXJlbmtvdjwvQXV0aG9yPjxZZWFyPjIwMTc8L1llYXI+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</w:fldData>
        </w:fldChar>
      </w:r>
      <w:r>
        <w:rPr>
          <w:i/>
        </w:rPr>
        <w:instrText xml:space="preserve"> ADDIN EN.CITE </w:instrText>
      </w:r>
      <w:r>
        <w:rPr>
          <w:i/>
        </w:rPr>
        <w:fldChar w:fldCharType="begin">
          <w:fldData xml:space="preserve">PEVuZE5vdGU+PENpdGU+PEF1dGhvcj5LdXJlbmtvdjwvQXV0aG9yPjxZZWFyPjIwMTc8L1llYXI+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</w:fldData>
        </w:fldChar>
      </w:r>
      <w:r>
        <w:rPr>
          <w:i/>
        </w:rPr>
        <w:instrText xml:space="preserve"> ADDIN EN.CITE.DATA </w:instrText>
      </w:r>
      <w:r>
        <w:rPr>
          <w:i/>
        </w:rPr>
      </w:r>
      <w:r>
        <w:rPr>
          <w:i/>
        </w:rPr>
        <w:fldChar w:fldCharType="end"/>
      </w:r>
      <w:r>
        <w:rPr>
          <w:i/>
        </w:rPr>
      </w:r>
      <w:r>
        <w:rPr>
          <w:i/>
        </w:rPr>
        <w:fldChar w:fldCharType="separate"/>
      </w:r>
      <w:r>
        <w:rPr>
          <w:i/>
          <w:noProof/>
        </w:rPr>
        <w:t>(Kurenkov et al., 2017)</w:t>
      </w:r>
      <w:r>
        <w:rPr>
          <w:i/>
        </w:rPr>
        <w:fldChar w:fldCharType="end"/>
      </w:r>
      <w:r>
        <w:rPr>
          <w:i/>
        </w:rPr>
        <w:t xml:space="preserve"> </w:t>
      </w:r>
      <w:r w:rsidR="00AE2DE9">
        <w:rPr>
          <w:rFonts w:cs="Calibri"/>
        </w:rPr>
        <w:t>was</w:t>
      </w:r>
      <w:r w:rsidR="0034072A" w:rsidRPr="0014563F">
        <w:rPr>
          <w:rFonts w:cs="Calibri"/>
        </w:rPr>
        <w:t xml:space="preserve"> included</w:t>
      </w:r>
      <w:r w:rsidR="00AE2DE9">
        <w:rPr>
          <w:rFonts w:cs="Calibri"/>
        </w:rPr>
        <w:t xml:space="preserve"> in the PBAC submission</w:t>
      </w:r>
      <w:r w:rsidR="0034072A" w:rsidRPr="0014563F">
        <w:rPr>
          <w:rFonts w:cs="Calibri"/>
        </w:rPr>
        <w:t xml:space="preserve"> as supporting evidence for equivalence between </w:t>
      </w:r>
      <w:proofErr w:type="spellStart"/>
      <w:r w:rsidR="0034072A" w:rsidRPr="0014563F">
        <w:rPr>
          <w:rFonts w:cs="Calibri"/>
        </w:rPr>
        <w:t>Xeomin</w:t>
      </w:r>
      <w:proofErr w:type="spellEnd"/>
      <w:r w:rsidR="009F3ED6" w:rsidRPr="009C1504">
        <w:rPr>
          <w:rFonts w:cs="Segoe UI"/>
          <w:color w:val="000000" w:themeColor="text1"/>
        </w:rPr>
        <w:t>®</w:t>
      </w:r>
      <w:r w:rsidR="0034072A" w:rsidRPr="0014563F">
        <w:rPr>
          <w:rFonts w:cs="Calibri"/>
        </w:rPr>
        <w:t xml:space="preserve"> and Botox</w:t>
      </w:r>
      <w:r w:rsidR="009F3ED6" w:rsidRPr="009C1504">
        <w:rPr>
          <w:rFonts w:cs="Segoe UI"/>
          <w:color w:val="000000" w:themeColor="text1"/>
        </w:rPr>
        <w:t>®</w:t>
      </w:r>
      <w:r w:rsidR="0034072A" w:rsidRPr="0014563F">
        <w:rPr>
          <w:rFonts w:cs="Calibri"/>
        </w:rPr>
        <w:t xml:space="preserve"> in the treatment of dynamic </w:t>
      </w:r>
      <w:proofErr w:type="spellStart"/>
      <w:r w:rsidR="0034072A" w:rsidRPr="0014563F">
        <w:rPr>
          <w:rFonts w:cs="Calibri"/>
        </w:rPr>
        <w:t>equinus</w:t>
      </w:r>
      <w:proofErr w:type="spellEnd"/>
      <w:r w:rsidR="0034072A" w:rsidRPr="0014563F">
        <w:rPr>
          <w:rFonts w:cs="Calibri"/>
        </w:rPr>
        <w:t xml:space="preserve"> foot deformity in children with </w:t>
      </w:r>
      <w:r w:rsidR="00913AD6">
        <w:rPr>
          <w:rFonts w:cs="Calibri"/>
        </w:rPr>
        <w:t>CP</w:t>
      </w:r>
      <w:r w:rsidR="0034072A" w:rsidRPr="0014563F">
        <w:rPr>
          <w:rFonts w:cs="Calibri"/>
        </w:rPr>
        <w:t xml:space="preserve">. </w:t>
      </w:r>
      <w:r w:rsidR="00C9608E">
        <w:rPr>
          <w:rFonts w:cs="Calibri"/>
        </w:rPr>
        <w:t xml:space="preserve">These studies are outlined in </w:t>
      </w:r>
      <w:r w:rsidR="007123FB" w:rsidRPr="00E12517">
        <w:rPr>
          <w:color w:val="000000" w:themeColor="text1"/>
        </w:rPr>
        <w:fldChar w:fldCharType="begin"/>
      </w:r>
      <w:r w:rsidR="007123FB" w:rsidRPr="00AC77D5">
        <w:rPr>
          <w:color w:val="000000" w:themeColor="text1"/>
        </w:rPr>
        <w:instrText xml:space="preserve"> REF _Ref69725651 \h </w:instrText>
      </w:r>
      <w:r w:rsidR="00AC77D5">
        <w:rPr>
          <w:color w:val="000000" w:themeColor="text1"/>
        </w:rPr>
        <w:instrText xml:space="preserve"> \* MERGEFORMAT </w:instrText>
      </w:r>
      <w:r w:rsidR="007123FB" w:rsidRPr="00E12517">
        <w:rPr>
          <w:color w:val="000000" w:themeColor="text1"/>
        </w:rPr>
      </w:r>
      <w:r w:rsidR="007123FB" w:rsidRPr="00E12517">
        <w:rPr>
          <w:color w:val="000000" w:themeColor="text1"/>
        </w:rPr>
        <w:fldChar w:fldCharType="separate"/>
      </w:r>
      <w:r w:rsidR="00913AD6" w:rsidRPr="00762BCF">
        <w:rPr>
          <w:color w:val="000000" w:themeColor="text1"/>
        </w:rPr>
        <w:t>Table 3</w:t>
      </w:r>
      <w:r w:rsidR="007123FB" w:rsidRPr="00E12517">
        <w:rPr>
          <w:color w:val="000000" w:themeColor="text1"/>
        </w:rPr>
        <w:fldChar w:fldCharType="end"/>
      </w:r>
      <w:r w:rsidR="00132446">
        <w:rPr>
          <w:color w:val="000000" w:themeColor="text1"/>
        </w:rPr>
        <w:t>.</w:t>
      </w:r>
      <w:r w:rsidR="003D3525">
        <w:rPr>
          <w:color w:val="000000" w:themeColor="text1"/>
        </w:rPr>
        <w:t xml:space="preserve"> </w:t>
      </w:r>
    </w:p>
    <w:p w14:paraId="692BCA4B" w14:textId="1D222EE0" w:rsidR="00956ACE" w:rsidRPr="00330A0A" w:rsidRDefault="00956ACE" w:rsidP="00005F38">
      <w:pPr>
        <w:pStyle w:val="Caption"/>
        <w:keepLines/>
        <w:widowControl w:val="0"/>
        <w:rPr>
          <w:color w:val="538135" w:themeColor="accent6" w:themeShade="BF"/>
          <w:sz w:val="16"/>
          <w:szCs w:val="16"/>
        </w:rPr>
      </w:pPr>
      <w:bookmarkStart w:id="18" w:name="_Ref69725651"/>
      <w:r w:rsidRPr="00CE28E3">
        <w:lastRenderedPageBreak/>
        <w:t>Table</w:t>
      </w:r>
      <w:r w:rsidR="004A4FDF">
        <w:t> </w:t>
      </w:r>
      <w:r w:rsidR="00913AD6">
        <w:fldChar w:fldCharType="begin"/>
      </w:r>
      <w:r w:rsidR="00913AD6">
        <w:instrText xml:space="preserve"> SEQ Table \* ARABIC </w:instrText>
      </w:r>
      <w:r w:rsidR="00913AD6">
        <w:fldChar w:fldCharType="separate"/>
      </w:r>
      <w:r w:rsidR="00913AD6">
        <w:rPr>
          <w:noProof/>
        </w:rPr>
        <w:t>3</w:t>
      </w:r>
      <w:r w:rsidR="00913AD6">
        <w:rPr>
          <w:noProof/>
        </w:rPr>
        <w:fldChar w:fldCharType="end"/>
      </w:r>
      <w:bookmarkEnd w:id="18"/>
      <w:r w:rsidRPr="00CE28E3">
        <w:tab/>
        <w:t xml:space="preserve">Key features of the </w:t>
      </w:r>
      <w:r w:rsidR="00CB3BC3">
        <w:t>clinical</w:t>
      </w:r>
      <w:r w:rsidR="00CB3BC3" w:rsidRPr="00CE28E3">
        <w:t xml:space="preserve"> </w:t>
      </w:r>
      <w:r w:rsidRPr="00CE28E3">
        <w:t>eviden</w:t>
      </w:r>
      <w:r w:rsidRPr="00E12517">
        <w:rPr>
          <w:color w:val="000000" w:themeColor="text1"/>
        </w:rPr>
        <w:t xml:space="preserve">ce </w:t>
      </w:r>
      <w:r w:rsidR="00CB3BC3" w:rsidRPr="00E12517">
        <w:rPr>
          <w:color w:val="000000" w:themeColor="text1"/>
        </w:rPr>
        <w:t>for incobotulinumtoxinA (</w:t>
      </w:r>
      <w:proofErr w:type="spellStart"/>
      <w:r w:rsidR="00CB3BC3" w:rsidRPr="00E12517">
        <w:rPr>
          <w:color w:val="000000" w:themeColor="text1"/>
        </w:rPr>
        <w:t>Xeomin</w:t>
      </w:r>
      <w:proofErr w:type="spellEnd"/>
      <w:r w:rsidR="00CB3BC3" w:rsidRPr="00E12517">
        <w:rPr>
          <w:color w:val="000000" w:themeColor="text1"/>
        </w:rPr>
        <w:t xml:space="preserve">®) for </w:t>
      </w:r>
      <w:r w:rsidR="00B53B30">
        <w:rPr>
          <w:color w:val="000000" w:themeColor="text1"/>
        </w:rPr>
        <w:t xml:space="preserve">CP </w:t>
      </w:r>
      <w:r w:rsidR="00451CCD">
        <w:rPr>
          <w:color w:val="000000" w:themeColor="text1"/>
        </w:rPr>
        <w:t>spasticity</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8"/>
        <w:gridCol w:w="1666"/>
        <w:gridCol w:w="1011"/>
        <w:gridCol w:w="2732"/>
        <w:gridCol w:w="1839"/>
      </w:tblGrid>
      <w:tr w:rsidR="001438D6" w:rsidRPr="00CE28E3" w14:paraId="475D8C60" w14:textId="77777777" w:rsidTr="00F54DE3">
        <w:trPr>
          <w:cantSplit/>
          <w:tblHeader/>
        </w:trPr>
        <w:tc>
          <w:tcPr>
            <w:tcW w:w="949" w:type="pct"/>
            <w:shd w:val="clear" w:color="auto" w:fill="D0CECE" w:themeFill="background2" w:themeFillShade="E6"/>
            <w:vAlign w:val="center"/>
          </w:tcPr>
          <w:p w14:paraId="4FFC981B" w14:textId="77777777" w:rsidR="001438D6" w:rsidRPr="00CE28E3" w:rsidRDefault="001438D6" w:rsidP="00005F38">
            <w:pPr>
              <w:pStyle w:val="In-tableHeading"/>
              <w:keepLines/>
              <w:widowControl w:val="0"/>
            </w:pPr>
            <w:bookmarkStart w:id="19" w:name="ColumnTitle_Table3"/>
            <w:bookmarkStart w:id="20" w:name="_Hlk68276112"/>
            <w:bookmarkEnd w:id="19"/>
            <w:r w:rsidRPr="00CE28E3">
              <w:t>References</w:t>
            </w:r>
          </w:p>
        </w:tc>
        <w:tc>
          <w:tcPr>
            <w:tcW w:w="931" w:type="pct"/>
            <w:shd w:val="clear" w:color="auto" w:fill="D0CECE" w:themeFill="background2" w:themeFillShade="E6"/>
            <w:vAlign w:val="center"/>
          </w:tcPr>
          <w:p w14:paraId="23BE1BE2" w14:textId="0DE3768C" w:rsidR="001438D6" w:rsidRPr="00CE28E3" w:rsidRDefault="001438D6" w:rsidP="00005F38">
            <w:pPr>
              <w:pStyle w:val="In-tableHeading"/>
              <w:keepLines/>
              <w:widowControl w:val="0"/>
              <w:jc w:val="center"/>
            </w:pPr>
            <w:r w:rsidRPr="00CE28E3">
              <w:t>Design/duration</w:t>
            </w:r>
          </w:p>
        </w:tc>
        <w:tc>
          <w:tcPr>
            <w:tcW w:w="565" w:type="pct"/>
            <w:shd w:val="clear" w:color="auto" w:fill="D0CECE" w:themeFill="background2" w:themeFillShade="E6"/>
            <w:vAlign w:val="center"/>
          </w:tcPr>
          <w:p w14:paraId="4F407CF9" w14:textId="77777777" w:rsidR="001438D6" w:rsidRPr="00CE28E3" w:rsidRDefault="001438D6" w:rsidP="00005F38">
            <w:pPr>
              <w:pStyle w:val="In-tableHeading"/>
              <w:keepLines/>
              <w:widowControl w:val="0"/>
              <w:jc w:val="center"/>
            </w:pPr>
            <w:r w:rsidRPr="00CE28E3">
              <w:t>Risk of bias</w:t>
            </w:r>
          </w:p>
        </w:tc>
        <w:tc>
          <w:tcPr>
            <w:tcW w:w="1527" w:type="pct"/>
            <w:shd w:val="clear" w:color="auto" w:fill="D0CECE" w:themeFill="background2" w:themeFillShade="E6"/>
            <w:vAlign w:val="center"/>
          </w:tcPr>
          <w:p w14:paraId="78074E6B" w14:textId="77777777" w:rsidR="001438D6" w:rsidRPr="00CE28E3" w:rsidRDefault="001438D6" w:rsidP="00005F38">
            <w:pPr>
              <w:pStyle w:val="In-tableHeading"/>
              <w:keepLines/>
              <w:widowControl w:val="0"/>
              <w:jc w:val="center"/>
            </w:pPr>
            <w:r w:rsidRPr="00CE28E3">
              <w:t>Patient population</w:t>
            </w:r>
          </w:p>
        </w:tc>
        <w:tc>
          <w:tcPr>
            <w:tcW w:w="1028" w:type="pct"/>
            <w:shd w:val="clear" w:color="auto" w:fill="D0CECE" w:themeFill="background2" w:themeFillShade="E6"/>
            <w:vAlign w:val="center"/>
          </w:tcPr>
          <w:p w14:paraId="4B5869A3" w14:textId="77777777" w:rsidR="001438D6" w:rsidRPr="00CE28E3" w:rsidRDefault="001438D6" w:rsidP="00005F38">
            <w:pPr>
              <w:pStyle w:val="In-tableHeading"/>
              <w:keepLines/>
              <w:widowControl w:val="0"/>
              <w:jc w:val="center"/>
            </w:pPr>
            <w:r w:rsidRPr="00CE28E3">
              <w:t>Outcome(s)</w:t>
            </w:r>
          </w:p>
        </w:tc>
      </w:tr>
      <w:tr w:rsidR="001438D6" w:rsidRPr="00CE28E3" w14:paraId="4C774CB7" w14:textId="77777777" w:rsidTr="00F54DE3">
        <w:trPr>
          <w:cantSplit/>
        </w:trPr>
        <w:tc>
          <w:tcPr>
            <w:tcW w:w="949" w:type="pct"/>
            <w:vAlign w:val="center"/>
          </w:tcPr>
          <w:p w14:paraId="2E37EDED" w14:textId="28D166E0" w:rsidR="001438D6" w:rsidRDefault="001438D6" w:rsidP="00005F38">
            <w:pPr>
              <w:pStyle w:val="TableText"/>
              <w:keepNext/>
              <w:keepLines/>
              <w:widowControl w:val="0"/>
              <w:rPr>
                <w:lang w:val="en-US"/>
              </w:rPr>
            </w:pPr>
            <w:r w:rsidRPr="007532DC">
              <w:rPr>
                <w:lang w:val="en-US"/>
              </w:rPr>
              <w:t>TIM (Treatment with IncobotulinumtoxinA in Movement)</w:t>
            </w:r>
          </w:p>
        </w:tc>
        <w:tc>
          <w:tcPr>
            <w:tcW w:w="931" w:type="pct"/>
            <w:vAlign w:val="center"/>
          </w:tcPr>
          <w:p w14:paraId="2B5C18B7" w14:textId="77777777" w:rsidR="001438D6" w:rsidRDefault="001438D6" w:rsidP="00005F38">
            <w:pPr>
              <w:pStyle w:val="TableText"/>
              <w:keepNext/>
              <w:keepLines/>
              <w:widowControl w:val="0"/>
              <w:jc w:val="center"/>
              <w:rPr>
                <w:lang w:val="en-US"/>
              </w:rPr>
            </w:pPr>
            <w:r w:rsidRPr="001438D6">
              <w:rPr>
                <w:lang w:val="en-US"/>
              </w:rPr>
              <w:t xml:space="preserve">Phase III, </w:t>
            </w:r>
            <w:proofErr w:type="spellStart"/>
            <w:r w:rsidRPr="001438D6">
              <w:rPr>
                <w:lang w:val="en-US"/>
              </w:rPr>
              <w:t>randomised</w:t>
            </w:r>
            <w:proofErr w:type="spellEnd"/>
            <w:r w:rsidRPr="001438D6">
              <w:rPr>
                <w:lang w:val="en-US"/>
              </w:rPr>
              <w:t>, double-blind, parallel-group, dose-response trial</w:t>
            </w:r>
            <w:r w:rsidR="00EA39D9">
              <w:rPr>
                <w:lang w:val="en-US"/>
              </w:rPr>
              <w:t>.</w:t>
            </w:r>
          </w:p>
          <w:p w14:paraId="0C50D674" w14:textId="5FAE0CE8" w:rsidR="00EA39D9" w:rsidRDefault="00EA39D9" w:rsidP="00005F38">
            <w:pPr>
              <w:pStyle w:val="TableText"/>
              <w:keepNext/>
              <w:keepLines/>
              <w:widowControl w:val="0"/>
              <w:jc w:val="center"/>
              <w:rPr>
                <w:lang w:val="en-US"/>
              </w:rPr>
            </w:pPr>
            <w:r w:rsidRPr="00EA39D9">
              <w:rPr>
                <w:lang w:val="en-US"/>
              </w:rPr>
              <w:t>26 to 74 weeks</w:t>
            </w:r>
            <w:r>
              <w:rPr>
                <w:lang w:val="en-US"/>
              </w:rPr>
              <w:t>.</w:t>
            </w:r>
          </w:p>
        </w:tc>
        <w:tc>
          <w:tcPr>
            <w:tcW w:w="565" w:type="pct"/>
            <w:vAlign w:val="center"/>
          </w:tcPr>
          <w:p w14:paraId="143FE78D" w14:textId="64E35130" w:rsidR="001438D6" w:rsidRPr="00CE28E3" w:rsidRDefault="001438D6" w:rsidP="00005F38">
            <w:pPr>
              <w:pStyle w:val="TableText"/>
              <w:keepNext/>
              <w:keepLines/>
              <w:widowControl w:val="0"/>
              <w:jc w:val="center"/>
              <w:rPr>
                <w:i/>
                <w:lang w:val="en-US"/>
              </w:rPr>
            </w:pPr>
            <w:r w:rsidRPr="00CE28E3">
              <w:rPr>
                <w:i/>
                <w:lang w:val="en-US"/>
              </w:rPr>
              <w:t>Low</w:t>
            </w:r>
          </w:p>
        </w:tc>
        <w:tc>
          <w:tcPr>
            <w:tcW w:w="1527" w:type="pct"/>
            <w:vAlign w:val="center"/>
          </w:tcPr>
          <w:p w14:paraId="72A2C3AB" w14:textId="2BAC53F3" w:rsidR="001438D6" w:rsidRPr="00CC05A7" w:rsidRDefault="001438D6" w:rsidP="00005F38">
            <w:pPr>
              <w:pStyle w:val="TableText"/>
              <w:keepNext/>
              <w:keepLines/>
              <w:widowControl w:val="0"/>
              <w:rPr>
                <w:color w:val="000000" w:themeColor="text1"/>
              </w:rPr>
            </w:pPr>
            <w:r w:rsidRPr="00765F84">
              <w:rPr>
                <w:color w:val="000000" w:themeColor="text1"/>
              </w:rPr>
              <w:t xml:space="preserve">Children and adolescents (n=311) with lower-limb spasticity due to cerebral palsy randomised 1:1:2 to three parallel </w:t>
            </w:r>
            <w:proofErr w:type="spellStart"/>
            <w:r w:rsidRPr="00765F84">
              <w:rPr>
                <w:color w:val="000000" w:themeColor="text1"/>
              </w:rPr>
              <w:t>Xeomin</w:t>
            </w:r>
            <w:proofErr w:type="spellEnd"/>
            <w:r w:rsidRPr="00765F84">
              <w:rPr>
                <w:color w:val="000000" w:themeColor="text1"/>
              </w:rPr>
              <w:t xml:space="preserve"> dose groups (low, mid or high). </w:t>
            </w:r>
          </w:p>
        </w:tc>
        <w:tc>
          <w:tcPr>
            <w:tcW w:w="1028" w:type="pct"/>
            <w:vAlign w:val="center"/>
          </w:tcPr>
          <w:p w14:paraId="7ACC96C0" w14:textId="24783178" w:rsidR="00896694" w:rsidRDefault="00896694" w:rsidP="00005F38">
            <w:pPr>
              <w:pStyle w:val="TableText"/>
              <w:keepNext/>
              <w:keepLines/>
              <w:widowControl w:val="0"/>
              <w:jc w:val="center"/>
              <w:rPr>
                <w:lang w:val="en-US"/>
              </w:rPr>
            </w:pPr>
            <w:r w:rsidRPr="008C2DC8">
              <w:rPr>
                <w:i/>
                <w:iCs/>
                <w:lang w:val="en-US"/>
              </w:rPr>
              <w:t>Efficacy:</w:t>
            </w:r>
            <w:r w:rsidR="00316EAD">
              <w:rPr>
                <w:i/>
                <w:iCs/>
                <w:lang w:val="en-US"/>
              </w:rPr>
              <w:t xml:space="preserve"> </w:t>
            </w:r>
            <w:r w:rsidR="00971A43">
              <w:rPr>
                <w:lang w:val="en-US"/>
              </w:rPr>
              <w:t xml:space="preserve">AS-PF, </w:t>
            </w:r>
            <w:r w:rsidR="000D6163">
              <w:rPr>
                <w:lang w:val="en-US"/>
              </w:rPr>
              <w:t>GICS-PF</w:t>
            </w:r>
            <w:r w:rsidR="006B7659">
              <w:rPr>
                <w:lang w:val="en-US"/>
              </w:rPr>
              <w:t>, GMFM</w:t>
            </w:r>
          </w:p>
          <w:p w14:paraId="693960D8" w14:textId="7E419B93" w:rsidR="001438D6" w:rsidRPr="008C2DC8" w:rsidRDefault="00896694" w:rsidP="00005F38">
            <w:pPr>
              <w:pStyle w:val="TableText"/>
              <w:keepNext/>
              <w:keepLines/>
              <w:widowControl w:val="0"/>
              <w:jc w:val="center"/>
              <w:rPr>
                <w:i/>
                <w:iCs/>
                <w:lang w:val="en-US"/>
              </w:rPr>
            </w:pPr>
            <w:r>
              <w:rPr>
                <w:i/>
                <w:iCs/>
                <w:lang w:val="en-US"/>
              </w:rPr>
              <w:t>Safety</w:t>
            </w:r>
            <w:r w:rsidR="000C3880">
              <w:rPr>
                <w:i/>
                <w:iCs/>
                <w:lang w:val="en-US"/>
              </w:rPr>
              <w:t xml:space="preserve">: </w:t>
            </w:r>
            <w:r w:rsidR="000C3880" w:rsidRPr="00CB58E9">
              <w:rPr>
                <w:lang w:val="en-US"/>
              </w:rPr>
              <w:t>AEs</w:t>
            </w:r>
          </w:p>
        </w:tc>
      </w:tr>
      <w:tr w:rsidR="001438D6" w:rsidRPr="00CE28E3" w14:paraId="3CC805CC" w14:textId="77777777" w:rsidTr="00F54DE3">
        <w:trPr>
          <w:cantSplit/>
        </w:trPr>
        <w:tc>
          <w:tcPr>
            <w:tcW w:w="949" w:type="pct"/>
            <w:vAlign w:val="center"/>
          </w:tcPr>
          <w:p w14:paraId="73708382" w14:textId="4383F17A" w:rsidR="001438D6" w:rsidRDefault="001438D6" w:rsidP="00005F38">
            <w:pPr>
              <w:pStyle w:val="TableText"/>
              <w:keepNext/>
              <w:keepLines/>
              <w:widowControl w:val="0"/>
              <w:rPr>
                <w:lang w:val="en-US"/>
              </w:rPr>
            </w:pPr>
            <w:r w:rsidRPr="007532DC">
              <w:rPr>
                <w:lang w:val="en-US"/>
              </w:rPr>
              <w:t>TIMO (Treatment with IncobotulinumtoxinA in Movement Open-Label)</w:t>
            </w:r>
          </w:p>
        </w:tc>
        <w:tc>
          <w:tcPr>
            <w:tcW w:w="931" w:type="pct"/>
            <w:vAlign w:val="center"/>
          </w:tcPr>
          <w:p w14:paraId="7F12A13C" w14:textId="77777777" w:rsidR="001438D6" w:rsidRDefault="001438D6" w:rsidP="00005F38">
            <w:pPr>
              <w:pStyle w:val="TableText"/>
              <w:keepNext/>
              <w:keepLines/>
              <w:widowControl w:val="0"/>
              <w:jc w:val="center"/>
              <w:rPr>
                <w:lang w:val="en-US"/>
              </w:rPr>
            </w:pPr>
            <w:r w:rsidRPr="001438D6">
              <w:rPr>
                <w:lang w:val="en-US"/>
              </w:rPr>
              <w:t>Open-label, non-controlled, long-term study</w:t>
            </w:r>
          </w:p>
          <w:p w14:paraId="3A3C8C12" w14:textId="701FF1F9" w:rsidR="002D0F2B" w:rsidRDefault="00583AF5" w:rsidP="00005F38">
            <w:pPr>
              <w:pStyle w:val="TableText"/>
              <w:keepNext/>
              <w:keepLines/>
              <w:widowControl w:val="0"/>
              <w:jc w:val="center"/>
              <w:rPr>
                <w:lang w:val="en-US"/>
              </w:rPr>
            </w:pPr>
            <w:r>
              <w:rPr>
                <w:lang w:val="en-US"/>
              </w:rPr>
              <w:t>48 to 64 weeks</w:t>
            </w:r>
          </w:p>
        </w:tc>
        <w:tc>
          <w:tcPr>
            <w:tcW w:w="565" w:type="pct"/>
            <w:vAlign w:val="center"/>
          </w:tcPr>
          <w:p w14:paraId="3FD65546" w14:textId="03803C16" w:rsidR="001438D6" w:rsidRPr="00CE28E3" w:rsidRDefault="00F54DE3" w:rsidP="00005F38">
            <w:pPr>
              <w:pStyle w:val="TableText"/>
              <w:keepNext/>
              <w:keepLines/>
              <w:widowControl w:val="0"/>
              <w:jc w:val="center"/>
              <w:rPr>
                <w:i/>
                <w:lang w:val="en-US"/>
              </w:rPr>
            </w:pPr>
            <w:r>
              <w:rPr>
                <w:i/>
                <w:lang w:val="en-US"/>
              </w:rPr>
              <w:t>Moderate</w:t>
            </w:r>
          </w:p>
        </w:tc>
        <w:tc>
          <w:tcPr>
            <w:tcW w:w="1527" w:type="pct"/>
            <w:vAlign w:val="center"/>
          </w:tcPr>
          <w:p w14:paraId="1C9223E4" w14:textId="615E8588" w:rsidR="001438D6" w:rsidRPr="00CC05A7" w:rsidRDefault="001438D6" w:rsidP="00005F38">
            <w:pPr>
              <w:pStyle w:val="TableText"/>
              <w:keepNext/>
              <w:keepLines/>
              <w:widowControl w:val="0"/>
              <w:rPr>
                <w:color w:val="000000" w:themeColor="text1"/>
              </w:rPr>
            </w:pPr>
            <w:r w:rsidRPr="00765F84">
              <w:rPr>
                <w:color w:val="000000" w:themeColor="text1"/>
              </w:rPr>
              <w:t>The study included children and adolescents with lower limb spasticity from the TIM pivotal trial (n = 124) as well as new recruits with upper and/or lower limb spasticity due to cerebral palsy (n = 246).</w:t>
            </w:r>
          </w:p>
        </w:tc>
        <w:tc>
          <w:tcPr>
            <w:tcW w:w="1028" w:type="pct"/>
            <w:vAlign w:val="center"/>
          </w:tcPr>
          <w:p w14:paraId="2D77A3EB" w14:textId="68FB8A17" w:rsidR="001438D6" w:rsidRPr="008C2DC8" w:rsidRDefault="00A26EA8" w:rsidP="00005F38">
            <w:pPr>
              <w:pStyle w:val="TableText"/>
              <w:keepNext/>
              <w:keepLines/>
              <w:widowControl w:val="0"/>
              <w:jc w:val="center"/>
              <w:rPr>
                <w:i/>
                <w:iCs/>
                <w:lang w:val="en-US"/>
              </w:rPr>
            </w:pPr>
            <w:r>
              <w:rPr>
                <w:i/>
                <w:iCs/>
                <w:lang w:val="en-US"/>
              </w:rPr>
              <w:t>As above</w:t>
            </w:r>
          </w:p>
        </w:tc>
      </w:tr>
      <w:tr w:rsidR="001438D6" w:rsidRPr="00CE28E3" w14:paraId="5417C96E" w14:textId="77777777" w:rsidTr="00F54DE3">
        <w:trPr>
          <w:cantSplit/>
        </w:trPr>
        <w:tc>
          <w:tcPr>
            <w:tcW w:w="949" w:type="pct"/>
            <w:vAlign w:val="center"/>
          </w:tcPr>
          <w:p w14:paraId="49D55E07" w14:textId="763082FB" w:rsidR="001438D6" w:rsidRDefault="001438D6" w:rsidP="00005F38">
            <w:pPr>
              <w:pStyle w:val="TableText"/>
              <w:keepNext/>
              <w:keepLines/>
              <w:widowControl w:val="0"/>
              <w:rPr>
                <w:lang w:val="en-US"/>
              </w:rPr>
            </w:pPr>
            <w:r w:rsidRPr="007532DC">
              <w:rPr>
                <w:lang w:val="en-US"/>
              </w:rPr>
              <w:t>XARA (IncobotulinumtoxinA in Arm Treatment in Cerebral Palsy)</w:t>
            </w:r>
          </w:p>
        </w:tc>
        <w:tc>
          <w:tcPr>
            <w:tcW w:w="931" w:type="pct"/>
            <w:vAlign w:val="center"/>
          </w:tcPr>
          <w:p w14:paraId="7521E2C3" w14:textId="77777777" w:rsidR="001438D6" w:rsidRDefault="001438D6" w:rsidP="00005F38">
            <w:pPr>
              <w:pStyle w:val="TableText"/>
              <w:keepNext/>
              <w:keepLines/>
              <w:widowControl w:val="0"/>
              <w:jc w:val="center"/>
              <w:rPr>
                <w:lang w:val="en-US"/>
              </w:rPr>
            </w:pPr>
            <w:r w:rsidRPr="001438D6">
              <w:rPr>
                <w:lang w:val="en-US"/>
              </w:rPr>
              <w:t xml:space="preserve">Phase III, </w:t>
            </w:r>
            <w:proofErr w:type="spellStart"/>
            <w:r w:rsidRPr="001438D6">
              <w:rPr>
                <w:lang w:val="en-US"/>
              </w:rPr>
              <w:t>randomised</w:t>
            </w:r>
            <w:proofErr w:type="spellEnd"/>
            <w:r w:rsidRPr="001438D6">
              <w:rPr>
                <w:lang w:val="en-US"/>
              </w:rPr>
              <w:t>, double-blind, parallel-group, dose-response trial</w:t>
            </w:r>
          </w:p>
          <w:p w14:paraId="2A8CA416" w14:textId="54C24DBA" w:rsidR="00CF12F1" w:rsidRDefault="00A56390" w:rsidP="00005F38">
            <w:pPr>
              <w:pStyle w:val="TableText"/>
              <w:keepNext/>
              <w:keepLines/>
              <w:widowControl w:val="0"/>
              <w:jc w:val="center"/>
              <w:rPr>
                <w:lang w:val="en-US"/>
              </w:rPr>
            </w:pPr>
            <w:r>
              <w:rPr>
                <w:lang w:val="en-US"/>
              </w:rPr>
              <w:t>MP – 16 weeks</w:t>
            </w:r>
          </w:p>
          <w:p w14:paraId="1EBD6E59" w14:textId="1EC79D0B" w:rsidR="00A56390" w:rsidRDefault="00A56390" w:rsidP="00005F38">
            <w:pPr>
              <w:pStyle w:val="TableText"/>
              <w:keepNext/>
              <w:keepLines/>
              <w:widowControl w:val="0"/>
              <w:jc w:val="center"/>
              <w:rPr>
                <w:lang w:val="en-US"/>
              </w:rPr>
            </w:pPr>
            <w:r>
              <w:rPr>
                <w:lang w:val="en-US"/>
              </w:rPr>
              <w:t xml:space="preserve">EP </w:t>
            </w:r>
            <w:r w:rsidR="00A32E95">
              <w:rPr>
                <w:lang w:val="en-US"/>
              </w:rPr>
              <w:t>–</w:t>
            </w:r>
            <w:r>
              <w:rPr>
                <w:lang w:val="en-US"/>
              </w:rPr>
              <w:t xml:space="preserve"> </w:t>
            </w:r>
            <w:r w:rsidR="00A32E95">
              <w:rPr>
                <w:lang w:val="en-US"/>
              </w:rPr>
              <w:t>48 weeks</w:t>
            </w:r>
          </w:p>
        </w:tc>
        <w:tc>
          <w:tcPr>
            <w:tcW w:w="565" w:type="pct"/>
            <w:vAlign w:val="center"/>
          </w:tcPr>
          <w:p w14:paraId="643F0640" w14:textId="7B6A8D5A" w:rsidR="001438D6" w:rsidRPr="00CE28E3" w:rsidRDefault="00F54DE3" w:rsidP="00005F38">
            <w:pPr>
              <w:pStyle w:val="TableText"/>
              <w:keepNext/>
              <w:keepLines/>
              <w:widowControl w:val="0"/>
              <w:jc w:val="center"/>
              <w:rPr>
                <w:i/>
                <w:lang w:val="en-US"/>
              </w:rPr>
            </w:pPr>
            <w:r w:rsidRPr="00CE28E3">
              <w:rPr>
                <w:i/>
                <w:lang w:val="en-US"/>
              </w:rPr>
              <w:t>Low</w:t>
            </w:r>
          </w:p>
        </w:tc>
        <w:tc>
          <w:tcPr>
            <w:tcW w:w="1527" w:type="pct"/>
            <w:vAlign w:val="center"/>
          </w:tcPr>
          <w:p w14:paraId="60DFAEBF" w14:textId="17D57DD3" w:rsidR="001438D6" w:rsidRPr="00CC05A7" w:rsidRDefault="001438D6" w:rsidP="00005F38">
            <w:pPr>
              <w:pStyle w:val="TableText"/>
              <w:keepNext/>
              <w:keepLines/>
              <w:widowControl w:val="0"/>
              <w:rPr>
                <w:color w:val="000000" w:themeColor="text1"/>
              </w:rPr>
            </w:pPr>
            <w:r w:rsidRPr="00765F84">
              <w:rPr>
                <w:color w:val="000000" w:themeColor="text1"/>
              </w:rPr>
              <w:t xml:space="preserve">Children and adolescents (n=351) with upper and/or lower limb spasticity due to cerebral palsy randomised 1:1:2 to three parallel </w:t>
            </w:r>
            <w:proofErr w:type="spellStart"/>
            <w:r w:rsidRPr="00765F84">
              <w:rPr>
                <w:color w:val="000000" w:themeColor="text1"/>
              </w:rPr>
              <w:t>Xeomin</w:t>
            </w:r>
            <w:proofErr w:type="spellEnd"/>
            <w:r w:rsidRPr="00765F84">
              <w:rPr>
                <w:color w:val="000000" w:themeColor="text1"/>
              </w:rPr>
              <w:t xml:space="preserve"> dose groups (low, mid or high).</w:t>
            </w:r>
          </w:p>
        </w:tc>
        <w:tc>
          <w:tcPr>
            <w:tcW w:w="1028" w:type="pct"/>
            <w:vAlign w:val="center"/>
          </w:tcPr>
          <w:p w14:paraId="55FE1D30" w14:textId="23983000" w:rsidR="003D6CF1" w:rsidRDefault="003D6CF1" w:rsidP="00005F38">
            <w:pPr>
              <w:pStyle w:val="TableText"/>
              <w:keepNext/>
              <w:keepLines/>
              <w:widowControl w:val="0"/>
              <w:jc w:val="center"/>
              <w:rPr>
                <w:lang w:val="en-US"/>
              </w:rPr>
            </w:pPr>
            <w:r w:rsidRPr="008C2DC8">
              <w:rPr>
                <w:i/>
                <w:iCs/>
                <w:lang w:val="en-US"/>
              </w:rPr>
              <w:t>Efficacy:</w:t>
            </w:r>
            <w:r>
              <w:rPr>
                <w:i/>
                <w:iCs/>
                <w:lang w:val="en-US"/>
              </w:rPr>
              <w:t xml:space="preserve"> </w:t>
            </w:r>
            <w:r>
              <w:rPr>
                <w:lang w:val="en-US"/>
              </w:rPr>
              <w:t>AS, GICS, GMFM</w:t>
            </w:r>
          </w:p>
          <w:p w14:paraId="003FCC01" w14:textId="7BAF7192" w:rsidR="001438D6" w:rsidRPr="008C2DC8" w:rsidRDefault="003D6CF1" w:rsidP="00005F38">
            <w:pPr>
              <w:pStyle w:val="TableText"/>
              <w:keepNext/>
              <w:keepLines/>
              <w:widowControl w:val="0"/>
              <w:jc w:val="center"/>
              <w:rPr>
                <w:i/>
                <w:iCs/>
                <w:lang w:val="en-US"/>
              </w:rPr>
            </w:pPr>
            <w:r>
              <w:rPr>
                <w:i/>
                <w:iCs/>
                <w:lang w:val="en-US"/>
              </w:rPr>
              <w:t>Safety</w:t>
            </w:r>
            <w:r w:rsidR="000C3880">
              <w:rPr>
                <w:i/>
                <w:iCs/>
                <w:lang w:val="en-US"/>
              </w:rPr>
              <w:t xml:space="preserve">: </w:t>
            </w:r>
            <w:r w:rsidR="000C3880" w:rsidRPr="00CB58E9">
              <w:rPr>
                <w:lang w:val="en-US"/>
              </w:rPr>
              <w:t>AEs</w:t>
            </w:r>
          </w:p>
        </w:tc>
      </w:tr>
      <w:tr w:rsidR="001438D6" w:rsidRPr="00CE28E3" w14:paraId="7E8EC3FD" w14:textId="77777777" w:rsidTr="00F54DE3">
        <w:trPr>
          <w:cantSplit/>
        </w:trPr>
        <w:tc>
          <w:tcPr>
            <w:tcW w:w="949" w:type="pct"/>
            <w:vAlign w:val="center"/>
          </w:tcPr>
          <w:p w14:paraId="0699BB6D" w14:textId="0834472D" w:rsidR="001438D6" w:rsidRDefault="001438D6" w:rsidP="00005F38">
            <w:pPr>
              <w:pStyle w:val="TableText"/>
              <w:keepNext/>
              <w:keepLines/>
              <w:widowControl w:val="0"/>
              <w:rPr>
                <w:lang w:val="en-US"/>
              </w:rPr>
            </w:pPr>
            <w:r w:rsidRPr="007532DC">
              <w:rPr>
                <w:lang w:val="en-US"/>
              </w:rPr>
              <w:t>Study R-201212</w:t>
            </w:r>
          </w:p>
        </w:tc>
        <w:tc>
          <w:tcPr>
            <w:tcW w:w="931" w:type="pct"/>
            <w:vAlign w:val="center"/>
          </w:tcPr>
          <w:p w14:paraId="3E232F3F" w14:textId="77777777" w:rsidR="001438D6" w:rsidRDefault="001438D6" w:rsidP="00005F38">
            <w:pPr>
              <w:pStyle w:val="TableText"/>
              <w:keepNext/>
              <w:keepLines/>
              <w:widowControl w:val="0"/>
              <w:jc w:val="center"/>
              <w:rPr>
                <w:lang w:val="en-US"/>
              </w:rPr>
            </w:pPr>
            <w:proofErr w:type="gramStart"/>
            <w:r w:rsidRPr="001438D6">
              <w:rPr>
                <w:lang w:val="en-US"/>
              </w:rPr>
              <w:t>Open-label</w:t>
            </w:r>
            <w:proofErr w:type="gramEnd"/>
            <w:r w:rsidRPr="001438D6">
              <w:rPr>
                <w:lang w:val="en-US"/>
              </w:rPr>
              <w:t xml:space="preserve">, </w:t>
            </w:r>
            <w:proofErr w:type="spellStart"/>
            <w:r w:rsidRPr="001438D6">
              <w:rPr>
                <w:lang w:val="en-US"/>
              </w:rPr>
              <w:t>randomised</w:t>
            </w:r>
            <w:proofErr w:type="spellEnd"/>
            <w:r w:rsidRPr="001438D6">
              <w:rPr>
                <w:lang w:val="en-US"/>
              </w:rPr>
              <w:t>, comparative study</w:t>
            </w:r>
            <w:r w:rsidR="00CB1B2A">
              <w:rPr>
                <w:lang w:val="en-US"/>
              </w:rPr>
              <w:t>.</w:t>
            </w:r>
          </w:p>
          <w:p w14:paraId="77C30D68" w14:textId="395A2DA5" w:rsidR="00CB1B2A" w:rsidRDefault="00CB1B2A" w:rsidP="00005F38">
            <w:pPr>
              <w:pStyle w:val="TableText"/>
              <w:keepNext/>
              <w:keepLines/>
              <w:widowControl w:val="0"/>
              <w:jc w:val="center"/>
              <w:rPr>
                <w:lang w:val="en-US"/>
              </w:rPr>
            </w:pPr>
            <w:r>
              <w:rPr>
                <w:lang w:val="en-US"/>
              </w:rPr>
              <w:t>12 weeks.</w:t>
            </w:r>
          </w:p>
        </w:tc>
        <w:tc>
          <w:tcPr>
            <w:tcW w:w="565" w:type="pct"/>
            <w:vAlign w:val="center"/>
          </w:tcPr>
          <w:p w14:paraId="10E658CD" w14:textId="68BE3923" w:rsidR="001438D6" w:rsidRPr="00CE28E3" w:rsidRDefault="001438D6" w:rsidP="00005F38">
            <w:pPr>
              <w:pStyle w:val="TableText"/>
              <w:keepNext/>
              <w:keepLines/>
              <w:widowControl w:val="0"/>
              <w:jc w:val="center"/>
              <w:rPr>
                <w:i/>
                <w:lang w:val="en-US"/>
              </w:rPr>
            </w:pPr>
            <w:r>
              <w:rPr>
                <w:i/>
                <w:lang w:val="en-US"/>
              </w:rPr>
              <w:t>Moderate</w:t>
            </w:r>
          </w:p>
        </w:tc>
        <w:tc>
          <w:tcPr>
            <w:tcW w:w="1527" w:type="pct"/>
            <w:vAlign w:val="center"/>
          </w:tcPr>
          <w:p w14:paraId="6FE97A6D" w14:textId="79C0BD3A" w:rsidR="001438D6" w:rsidRPr="00CC05A7" w:rsidRDefault="001438D6" w:rsidP="00005F38">
            <w:pPr>
              <w:pStyle w:val="TableText"/>
              <w:keepNext/>
              <w:keepLines/>
              <w:widowControl w:val="0"/>
              <w:rPr>
                <w:color w:val="000000" w:themeColor="text1"/>
              </w:rPr>
            </w:pPr>
            <w:r w:rsidRPr="00765F84">
              <w:rPr>
                <w:color w:val="000000" w:themeColor="text1"/>
              </w:rPr>
              <w:t xml:space="preserve">Children (n=64) with spastic </w:t>
            </w:r>
            <w:proofErr w:type="spellStart"/>
            <w:r w:rsidRPr="00765F84">
              <w:rPr>
                <w:color w:val="000000" w:themeColor="text1"/>
              </w:rPr>
              <w:t>equinus</w:t>
            </w:r>
            <w:proofErr w:type="spellEnd"/>
            <w:r w:rsidRPr="00765F84">
              <w:rPr>
                <w:color w:val="000000" w:themeColor="text1"/>
              </w:rPr>
              <w:t xml:space="preserve"> and equinovarus foot deformity due to cerebral palsy randomised 1:1 to </w:t>
            </w:r>
            <w:proofErr w:type="spellStart"/>
            <w:r w:rsidRPr="00765F84">
              <w:rPr>
                <w:color w:val="000000" w:themeColor="text1"/>
              </w:rPr>
              <w:t>Xeomin</w:t>
            </w:r>
            <w:proofErr w:type="spellEnd"/>
            <w:r w:rsidRPr="00765F84">
              <w:rPr>
                <w:color w:val="000000" w:themeColor="text1"/>
              </w:rPr>
              <w:t xml:space="preserve"> or Botox.</w:t>
            </w:r>
          </w:p>
        </w:tc>
        <w:tc>
          <w:tcPr>
            <w:tcW w:w="1028" w:type="pct"/>
            <w:vAlign w:val="center"/>
          </w:tcPr>
          <w:p w14:paraId="5DB77869" w14:textId="368EE034" w:rsidR="000C3880" w:rsidRDefault="000C3880" w:rsidP="00005F38">
            <w:pPr>
              <w:pStyle w:val="TableText"/>
              <w:keepNext/>
              <w:keepLines/>
              <w:widowControl w:val="0"/>
              <w:jc w:val="center"/>
              <w:rPr>
                <w:lang w:val="en-US"/>
              </w:rPr>
            </w:pPr>
            <w:r w:rsidRPr="008C2DC8">
              <w:rPr>
                <w:i/>
                <w:iCs/>
                <w:lang w:val="en-US"/>
              </w:rPr>
              <w:t>Efficacy:</w:t>
            </w:r>
            <w:r>
              <w:rPr>
                <w:i/>
                <w:iCs/>
                <w:lang w:val="en-US"/>
              </w:rPr>
              <w:t xml:space="preserve"> </w:t>
            </w:r>
            <w:r>
              <w:rPr>
                <w:lang w:val="en-US"/>
              </w:rPr>
              <w:t>AS-PF</w:t>
            </w:r>
          </w:p>
          <w:p w14:paraId="6B0A8C26" w14:textId="2B656F12" w:rsidR="001438D6" w:rsidRPr="008C2DC8" w:rsidRDefault="000C3880" w:rsidP="00005F38">
            <w:pPr>
              <w:pStyle w:val="TableText"/>
              <w:keepNext/>
              <w:keepLines/>
              <w:widowControl w:val="0"/>
              <w:jc w:val="center"/>
              <w:rPr>
                <w:i/>
                <w:iCs/>
                <w:lang w:val="en-US"/>
              </w:rPr>
            </w:pPr>
            <w:r>
              <w:rPr>
                <w:i/>
                <w:iCs/>
                <w:lang w:val="en-US"/>
              </w:rPr>
              <w:t xml:space="preserve">Safety: </w:t>
            </w:r>
            <w:r w:rsidRPr="00CB58E9">
              <w:rPr>
                <w:lang w:val="en-US"/>
              </w:rPr>
              <w:t>AEs</w:t>
            </w:r>
          </w:p>
        </w:tc>
      </w:tr>
    </w:tbl>
    <w:p w14:paraId="51EE741C" w14:textId="25E24D86" w:rsidR="00BD4D8E" w:rsidRPr="00B33E6F" w:rsidRDefault="000D6163" w:rsidP="00005F38">
      <w:pPr>
        <w:pStyle w:val="TableFigureFooter"/>
        <w:keepNext/>
        <w:keepLines/>
        <w:widowControl w:val="0"/>
        <w:rPr>
          <w:color w:val="000000" w:themeColor="text1"/>
          <w:sz w:val="16"/>
          <w:szCs w:val="16"/>
        </w:rPr>
      </w:pPr>
      <w:bookmarkStart w:id="21" w:name="_Hlk68276176"/>
      <w:bookmarkEnd w:id="20"/>
      <w:r w:rsidRPr="00B33E6F">
        <w:rPr>
          <w:color w:val="000000" w:themeColor="text1"/>
          <w:sz w:val="16"/>
          <w:szCs w:val="16"/>
        </w:rPr>
        <w:t>AS-PF, Ashworth Scale of Plantar Flexors; GICS-PF, Global Impression of Change Scale of Plantar Flexors,</w:t>
      </w:r>
      <w:r w:rsidR="004408F1" w:rsidRPr="00B33E6F">
        <w:rPr>
          <w:color w:val="000000" w:themeColor="text1"/>
          <w:sz w:val="16"/>
          <w:szCs w:val="16"/>
        </w:rPr>
        <w:t xml:space="preserve"> AS, Ashworth Scale; GICS, Global Impression of Change Scale; </w:t>
      </w:r>
      <w:r w:rsidR="00E9515B" w:rsidRPr="00B33E6F">
        <w:rPr>
          <w:color w:val="000000" w:themeColor="text1"/>
          <w:sz w:val="16"/>
          <w:szCs w:val="16"/>
        </w:rPr>
        <w:t xml:space="preserve">GMFM, gross motor function measure; </w:t>
      </w:r>
      <w:r w:rsidR="00EB474B" w:rsidRPr="00B33E6F">
        <w:rPr>
          <w:color w:val="000000" w:themeColor="text1"/>
          <w:sz w:val="16"/>
          <w:szCs w:val="16"/>
        </w:rPr>
        <w:t>MP</w:t>
      </w:r>
      <w:r w:rsidR="004408F1" w:rsidRPr="00B33E6F">
        <w:rPr>
          <w:color w:val="000000" w:themeColor="text1"/>
          <w:sz w:val="16"/>
          <w:szCs w:val="16"/>
        </w:rPr>
        <w:t>,</w:t>
      </w:r>
      <w:r w:rsidR="00956ACE" w:rsidRPr="00B33E6F">
        <w:rPr>
          <w:color w:val="000000" w:themeColor="text1"/>
          <w:sz w:val="16"/>
          <w:szCs w:val="16"/>
        </w:rPr>
        <w:t xml:space="preserve"> </w:t>
      </w:r>
      <w:r w:rsidR="00EB474B" w:rsidRPr="00B33E6F">
        <w:rPr>
          <w:color w:val="000000" w:themeColor="text1"/>
          <w:sz w:val="16"/>
          <w:szCs w:val="16"/>
        </w:rPr>
        <w:t>main period</w:t>
      </w:r>
      <w:r w:rsidR="00956ACE" w:rsidRPr="00B33E6F">
        <w:rPr>
          <w:color w:val="000000" w:themeColor="text1"/>
          <w:sz w:val="16"/>
          <w:szCs w:val="16"/>
        </w:rPr>
        <w:t>;</w:t>
      </w:r>
      <w:r w:rsidR="00394BB1" w:rsidRPr="00B33E6F">
        <w:rPr>
          <w:color w:val="000000" w:themeColor="text1"/>
          <w:sz w:val="16"/>
          <w:szCs w:val="16"/>
        </w:rPr>
        <w:t xml:space="preserve"> </w:t>
      </w:r>
      <w:r w:rsidR="00EB474B" w:rsidRPr="00B33E6F">
        <w:rPr>
          <w:color w:val="000000" w:themeColor="text1"/>
          <w:sz w:val="16"/>
          <w:szCs w:val="16"/>
        </w:rPr>
        <w:t>EP</w:t>
      </w:r>
      <w:r w:rsidR="004408F1" w:rsidRPr="00B33E6F">
        <w:rPr>
          <w:color w:val="000000" w:themeColor="text1"/>
          <w:sz w:val="16"/>
          <w:szCs w:val="16"/>
        </w:rPr>
        <w:t xml:space="preserve">, </w:t>
      </w:r>
      <w:r w:rsidR="00EB474B" w:rsidRPr="00B33E6F">
        <w:rPr>
          <w:color w:val="000000" w:themeColor="text1"/>
          <w:sz w:val="16"/>
          <w:szCs w:val="16"/>
        </w:rPr>
        <w:t>extension period</w:t>
      </w:r>
      <w:r w:rsidR="00DC384E" w:rsidRPr="00B33E6F">
        <w:rPr>
          <w:color w:val="000000" w:themeColor="text1"/>
          <w:sz w:val="16"/>
          <w:szCs w:val="16"/>
        </w:rPr>
        <w:t>.</w:t>
      </w:r>
    </w:p>
    <w:p w14:paraId="22B14CDA" w14:textId="70AF553A" w:rsidR="003265C8" w:rsidRDefault="003516B5" w:rsidP="003B228A">
      <w:pPr>
        <w:widowControl w:val="0"/>
        <w:spacing w:after="120" w:line="240" w:lineRule="auto"/>
        <w:rPr>
          <w:rFonts w:cs="Calibri"/>
        </w:rPr>
      </w:pPr>
      <w:bookmarkStart w:id="22" w:name="ColumnTitle_Table4"/>
      <w:bookmarkStart w:id="23" w:name="_Toc69491423"/>
      <w:bookmarkEnd w:id="21"/>
      <w:bookmarkEnd w:id="22"/>
      <w:r>
        <w:rPr>
          <w:rFonts w:cs="Calibri"/>
        </w:rPr>
        <w:t>A naïve indirect comparison was included in the PBAC submission</w:t>
      </w:r>
      <w:r w:rsidR="003265C8">
        <w:rPr>
          <w:rFonts w:cs="Calibri"/>
        </w:rPr>
        <w:t xml:space="preserve"> as f</w:t>
      </w:r>
      <w:r w:rsidR="00D654B3" w:rsidRPr="0014563F">
        <w:rPr>
          <w:rFonts w:cs="Calibri"/>
        </w:rPr>
        <w:t xml:space="preserve">ormal statistical analyses were considered inappropriate due to the heterogeneity between studies and the poor quality of reporting in the historical Botox studies. </w:t>
      </w:r>
    </w:p>
    <w:p w14:paraId="600A02F1" w14:textId="2C203E09" w:rsidR="00580BE1" w:rsidRPr="00E47214" w:rsidRDefault="00580BE1" w:rsidP="003B228A">
      <w:pPr>
        <w:pStyle w:val="BodyText1"/>
        <w:keepNext w:val="0"/>
        <w:keepLines w:val="0"/>
        <w:widowControl w:val="0"/>
        <w:spacing w:before="0" w:line="240" w:lineRule="auto"/>
        <w:jc w:val="left"/>
        <w:rPr>
          <w:rFonts w:ascii="Franklin Gothic Book" w:hAnsi="Franklin Gothic Book" w:cstheme="minorHAnsi"/>
        </w:rPr>
      </w:pPr>
      <w:r w:rsidRPr="00E47214">
        <w:rPr>
          <w:rFonts w:ascii="Franklin Gothic Book" w:hAnsi="Franklin Gothic Book"/>
        </w:rPr>
        <w:t xml:space="preserve">As Study </w:t>
      </w:r>
      <w:r w:rsidRPr="00E47214">
        <w:rPr>
          <w:rFonts w:ascii="Franklin Gothic Book" w:hAnsi="Franklin Gothic Book" w:cstheme="minorHAnsi"/>
        </w:rPr>
        <w:t xml:space="preserve">R-201212 </w:t>
      </w:r>
      <w:r w:rsidR="00FE5CD6">
        <w:rPr>
          <w:rFonts w:ascii="Franklin Gothic Book" w:hAnsi="Franklin Gothic Book" w:cstheme="minorHAnsi"/>
        </w:rPr>
        <w:t>– a small, open-label</w:t>
      </w:r>
      <w:r w:rsidR="00886BCF">
        <w:rPr>
          <w:rFonts w:ascii="Franklin Gothic Book" w:hAnsi="Franklin Gothic Book" w:cstheme="minorHAnsi"/>
        </w:rPr>
        <w:t xml:space="preserve"> study in the lower-limb population – </w:t>
      </w:r>
      <w:r w:rsidRPr="00E47214">
        <w:rPr>
          <w:rFonts w:ascii="Franklin Gothic Book" w:hAnsi="Franklin Gothic Book" w:cstheme="minorHAnsi"/>
        </w:rPr>
        <w:t xml:space="preserve">was the only comparative study between </w:t>
      </w:r>
      <w:proofErr w:type="spellStart"/>
      <w:r w:rsidRPr="00E47214">
        <w:rPr>
          <w:rFonts w:ascii="Franklin Gothic Book" w:hAnsi="Franklin Gothic Book" w:cstheme="minorHAnsi"/>
        </w:rPr>
        <w:t>Xeomin</w:t>
      </w:r>
      <w:proofErr w:type="spellEnd"/>
      <w:r w:rsidR="00913AD6" w:rsidRPr="00762BCF">
        <w:rPr>
          <w:rFonts w:ascii="Franklin Gothic Book" w:hAnsi="Franklin Gothic Book" w:cs="Segoe UI"/>
          <w:color w:val="000000" w:themeColor="text1"/>
        </w:rPr>
        <w:t>®</w:t>
      </w:r>
      <w:r w:rsidRPr="00E47214">
        <w:rPr>
          <w:rFonts w:ascii="Franklin Gothic Book" w:hAnsi="Franklin Gothic Book" w:cstheme="minorHAnsi"/>
        </w:rPr>
        <w:t xml:space="preserve"> and Botox</w:t>
      </w:r>
      <w:r w:rsidR="00913AD6" w:rsidRPr="006166A0">
        <w:rPr>
          <w:rFonts w:ascii="Franklin Gothic Book" w:hAnsi="Franklin Gothic Book" w:cs="Segoe UI"/>
          <w:color w:val="000000" w:themeColor="text1"/>
        </w:rPr>
        <w:t>®</w:t>
      </w:r>
      <w:r w:rsidR="00886BCF">
        <w:rPr>
          <w:rFonts w:ascii="Franklin Gothic Book" w:hAnsi="Franklin Gothic Book" w:cstheme="minorHAnsi"/>
        </w:rPr>
        <w:t xml:space="preserve">, an indirect comparison was made. However, </w:t>
      </w:r>
      <w:r w:rsidR="000E5E84">
        <w:rPr>
          <w:rFonts w:ascii="Franklin Gothic Book" w:hAnsi="Franklin Gothic Book" w:cstheme="minorHAnsi"/>
        </w:rPr>
        <w:t xml:space="preserve">this proved difficult </w:t>
      </w:r>
      <w:r w:rsidR="00886BCF">
        <w:rPr>
          <w:rFonts w:ascii="Franklin Gothic Book" w:hAnsi="Franklin Gothic Book" w:cstheme="minorHAnsi"/>
        </w:rPr>
        <w:t xml:space="preserve">due to the </w:t>
      </w:r>
      <w:r w:rsidR="003F5BB9">
        <w:rPr>
          <w:rFonts w:ascii="Franklin Gothic Book" w:hAnsi="Franklin Gothic Book" w:cstheme="minorHAnsi"/>
        </w:rPr>
        <w:t xml:space="preserve">poor quality of the historical </w:t>
      </w:r>
      <w:r w:rsidR="000E5E84">
        <w:rPr>
          <w:rFonts w:ascii="Franklin Gothic Book" w:hAnsi="Franklin Gothic Book" w:cstheme="minorHAnsi"/>
        </w:rPr>
        <w:t>Botox studies</w:t>
      </w:r>
      <w:r w:rsidR="003F5BB9">
        <w:rPr>
          <w:rFonts w:ascii="Franklin Gothic Book" w:hAnsi="Franklin Gothic Book" w:cstheme="minorHAnsi"/>
        </w:rPr>
        <w:t xml:space="preserve">. </w:t>
      </w:r>
      <w:r w:rsidRPr="00E47214">
        <w:rPr>
          <w:rFonts w:ascii="Franklin Gothic Book" w:hAnsi="Franklin Gothic Book" w:cstheme="minorHAnsi"/>
        </w:rPr>
        <w:t>Transparent information on interventions, observation</w:t>
      </w:r>
      <w:r w:rsidR="00A00B79">
        <w:rPr>
          <w:rFonts w:ascii="Franklin Gothic Book" w:hAnsi="Franklin Gothic Book" w:cstheme="minorHAnsi"/>
        </w:rPr>
        <w:t>s</w:t>
      </w:r>
      <w:r w:rsidRPr="00E47214">
        <w:rPr>
          <w:rFonts w:ascii="Franklin Gothic Book" w:hAnsi="Franklin Gothic Book" w:cstheme="minorHAnsi"/>
        </w:rPr>
        <w:t xml:space="preserve">, and reporting outcomes </w:t>
      </w:r>
      <w:proofErr w:type="gramStart"/>
      <w:r w:rsidRPr="00E47214">
        <w:rPr>
          <w:rFonts w:ascii="Franklin Gothic Book" w:hAnsi="Franklin Gothic Book" w:cstheme="minorHAnsi"/>
        </w:rPr>
        <w:t>were</w:t>
      </w:r>
      <w:proofErr w:type="gramEnd"/>
      <w:r w:rsidRPr="00E47214">
        <w:rPr>
          <w:rFonts w:ascii="Franklin Gothic Book" w:hAnsi="Franklin Gothic Book" w:cstheme="minorHAnsi"/>
        </w:rPr>
        <w:t xml:space="preserve"> largely missing</w:t>
      </w:r>
      <w:r w:rsidR="00A00B79">
        <w:rPr>
          <w:rFonts w:ascii="Franklin Gothic Book" w:hAnsi="Franklin Gothic Book" w:cstheme="minorHAnsi"/>
        </w:rPr>
        <w:t xml:space="preserve"> from the comparator trials, as well as </w:t>
      </w:r>
      <w:r w:rsidR="00AD47EF">
        <w:rPr>
          <w:rFonts w:ascii="Franklin Gothic Book" w:hAnsi="Franklin Gothic Book" w:cstheme="minorHAnsi"/>
        </w:rPr>
        <w:t>containing small and poorly defined populations</w:t>
      </w:r>
      <w:r w:rsidRPr="00E47214">
        <w:rPr>
          <w:rFonts w:ascii="Franklin Gothic Book" w:hAnsi="Franklin Gothic Book" w:cstheme="minorHAnsi"/>
        </w:rPr>
        <w:t>.</w:t>
      </w:r>
    </w:p>
    <w:p w14:paraId="0ABE2147" w14:textId="464AD598" w:rsidR="00580BE1" w:rsidRDefault="00580BE1" w:rsidP="003B228A">
      <w:pPr>
        <w:pStyle w:val="BodyText1"/>
        <w:keepNext w:val="0"/>
        <w:keepLines w:val="0"/>
        <w:widowControl w:val="0"/>
        <w:spacing w:before="0" w:line="240" w:lineRule="auto"/>
        <w:jc w:val="left"/>
        <w:rPr>
          <w:rFonts w:ascii="Franklin Gothic Book" w:hAnsi="Franklin Gothic Book" w:cstheme="minorHAnsi"/>
        </w:rPr>
      </w:pPr>
      <w:r w:rsidRPr="00E47214">
        <w:rPr>
          <w:rFonts w:ascii="Franklin Gothic Book" w:hAnsi="Franklin Gothic Book" w:cstheme="minorHAnsi"/>
        </w:rPr>
        <w:t>The Botox studies while not placebo controlled,</w:t>
      </w:r>
      <w:r w:rsidRPr="00E47214">
        <w:rPr>
          <w:rStyle w:val="FootnoteReference"/>
          <w:rFonts w:ascii="Franklin Gothic Book" w:hAnsi="Franklin Gothic Book" w:cstheme="minorHAnsi"/>
        </w:rPr>
        <w:footnoteReference w:id="18"/>
      </w:r>
      <w:r w:rsidRPr="00E47214">
        <w:rPr>
          <w:rFonts w:ascii="Franklin Gothic Book" w:hAnsi="Franklin Gothic Book" w:cstheme="minorHAnsi"/>
        </w:rPr>
        <w:t xml:space="preserve"> did contain treatment arms without pharmaceutical intervention, and therefore an assumption was made that the low-dose treatment arms in the </w:t>
      </w:r>
      <w:proofErr w:type="spellStart"/>
      <w:r w:rsidRPr="00E47214">
        <w:rPr>
          <w:rFonts w:ascii="Franklin Gothic Book" w:hAnsi="Franklin Gothic Book" w:cstheme="minorHAnsi"/>
        </w:rPr>
        <w:t>Xeomin</w:t>
      </w:r>
      <w:proofErr w:type="spellEnd"/>
      <w:r w:rsidR="00467A36" w:rsidRPr="006166A0">
        <w:rPr>
          <w:rFonts w:ascii="Franklin Gothic Book" w:hAnsi="Franklin Gothic Book" w:cs="Segoe UI"/>
          <w:color w:val="000000" w:themeColor="text1"/>
        </w:rPr>
        <w:t>®</w:t>
      </w:r>
      <w:r w:rsidRPr="00E47214">
        <w:rPr>
          <w:rFonts w:ascii="Franklin Gothic Book" w:hAnsi="Franklin Gothic Book" w:cstheme="minorHAnsi"/>
        </w:rPr>
        <w:t xml:space="preserve"> trials function as a common “no intervention” comparator. </w:t>
      </w:r>
      <w:r w:rsidR="00BF7227" w:rsidRPr="00AD47EF">
        <w:rPr>
          <w:rFonts w:ascii="Franklin Gothic Book" w:hAnsi="Franklin Gothic Book" w:cstheme="minorHAnsi"/>
        </w:rPr>
        <w:fldChar w:fldCharType="begin"/>
      </w:r>
      <w:r w:rsidR="00BF7227" w:rsidRPr="00AD47EF">
        <w:rPr>
          <w:rFonts w:ascii="Franklin Gothic Book" w:hAnsi="Franklin Gothic Book" w:cstheme="minorHAnsi"/>
        </w:rPr>
        <w:instrText xml:space="preserve"> REF _Ref199283049 \h </w:instrText>
      </w:r>
      <w:r w:rsidR="00AD47EF">
        <w:rPr>
          <w:rFonts w:ascii="Franklin Gothic Book" w:hAnsi="Franklin Gothic Book" w:cstheme="minorHAnsi"/>
        </w:rPr>
        <w:instrText xml:space="preserve"> \* MERGEFORMAT </w:instrText>
      </w:r>
      <w:r w:rsidR="00BF7227" w:rsidRPr="00AD47EF">
        <w:rPr>
          <w:rFonts w:ascii="Franklin Gothic Book" w:hAnsi="Franklin Gothic Book" w:cstheme="minorHAnsi"/>
        </w:rPr>
      </w:r>
      <w:r w:rsidR="00BF7227" w:rsidRPr="00AD47EF">
        <w:rPr>
          <w:rFonts w:ascii="Franklin Gothic Book" w:hAnsi="Franklin Gothic Book" w:cstheme="minorHAnsi"/>
        </w:rPr>
        <w:fldChar w:fldCharType="separate"/>
      </w:r>
      <w:r w:rsidR="00913AD6" w:rsidRPr="00762BCF">
        <w:rPr>
          <w:rFonts w:ascii="Franklin Gothic Book" w:hAnsi="Franklin Gothic Book"/>
        </w:rPr>
        <w:t>Table 4</w:t>
      </w:r>
      <w:r w:rsidR="00BF7227" w:rsidRPr="00AD47EF">
        <w:rPr>
          <w:rFonts w:ascii="Franklin Gothic Book" w:hAnsi="Franklin Gothic Book" w:cstheme="minorHAnsi"/>
        </w:rPr>
        <w:fldChar w:fldCharType="end"/>
      </w:r>
      <w:r w:rsidR="00BF7227" w:rsidRPr="00AD47EF">
        <w:rPr>
          <w:rFonts w:ascii="Franklin Gothic Book" w:hAnsi="Franklin Gothic Book" w:cstheme="minorHAnsi"/>
        </w:rPr>
        <w:t xml:space="preserve"> outlines the </w:t>
      </w:r>
      <w:r w:rsidR="000B7320" w:rsidRPr="00AD47EF">
        <w:rPr>
          <w:rFonts w:ascii="Franklin Gothic Book" w:hAnsi="Franklin Gothic Book" w:cstheme="minorHAnsi"/>
        </w:rPr>
        <w:t xml:space="preserve">Botox studies used in the naïve comparison between treatments. </w:t>
      </w:r>
    </w:p>
    <w:p w14:paraId="514857F1" w14:textId="13E0ED84" w:rsidR="00BF7227" w:rsidRPr="00330A0A" w:rsidRDefault="00BF7227" w:rsidP="00005F38">
      <w:pPr>
        <w:pStyle w:val="Caption"/>
        <w:keepLines/>
        <w:widowControl w:val="0"/>
        <w:spacing w:before="240"/>
        <w:rPr>
          <w:color w:val="538135" w:themeColor="accent6" w:themeShade="BF"/>
          <w:sz w:val="16"/>
          <w:szCs w:val="16"/>
        </w:rPr>
      </w:pPr>
      <w:bookmarkStart w:id="24" w:name="_Ref199283049"/>
      <w:r w:rsidRPr="00CE28E3">
        <w:lastRenderedPageBreak/>
        <w:t>Table</w:t>
      </w:r>
      <w:r>
        <w:t> </w:t>
      </w:r>
      <w:r w:rsidR="00913AD6">
        <w:fldChar w:fldCharType="begin"/>
      </w:r>
      <w:r w:rsidR="00913AD6">
        <w:instrText xml:space="preserve"> SEQ Table \* ARABIC </w:instrText>
      </w:r>
      <w:r w:rsidR="00913AD6">
        <w:fldChar w:fldCharType="separate"/>
      </w:r>
      <w:r w:rsidR="00913AD6">
        <w:rPr>
          <w:noProof/>
        </w:rPr>
        <w:t>4</w:t>
      </w:r>
      <w:r w:rsidR="00913AD6">
        <w:rPr>
          <w:noProof/>
        </w:rPr>
        <w:fldChar w:fldCharType="end"/>
      </w:r>
      <w:bookmarkEnd w:id="24"/>
      <w:r w:rsidRPr="00CE28E3">
        <w:tab/>
      </w:r>
      <w:r>
        <w:t>Overview of Botox studies used in indirect comparison</w:t>
      </w:r>
    </w:p>
    <w:tbl>
      <w:tblPr>
        <w:tblStyle w:val="TableGrid"/>
        <w:tblW w:w="8995" w:type="dxa"/>
        <w:tblLook w:val="04A0" w:firstRow="1" w:lastRow="0" w:firstColumn="1" w:lastColumn="0" w:noHBand="0" w:noVBand="1"/>
      </w:tblPr>
      <w:tblGrid>
        <w:gridCol w:w="1165"/>
        <w:gridCol w:w="1350"/>
        <w:gridCol w:w="1980"/>
        <w:gridCol w:w="2430"/>
        <w:gridCol w:w="2070"/>
      </w:tblGrid>
      <w:tr w:rsidR="00580BE1" w:rsidRPr="00F40605" w14:paraId="775A3061" w14:textId="77777777" w:rsidTr="00E44EA0">
        <w:trPr>
          <w:trHeight w:val="226"/>
          <w:tblHeader/>
        </w:trPr>
        <w:tc>
          <w:tcPr>
            <w:tcW w:w="1165" w:type="dxa"/>
            <w:shd w:val="clear" w:color="auto" w:fill="D9D9D9" w:themeFill="background1" w:themeFillShade="D9"/>
            <w:vAlign w:val="center"/>
          </w:tcPr>
          <w:p w14:paraId="55F2AECE"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Study ID</w:t>
            </w:r>
          </w:p>
        </w:tc>
        <w:tc>
          <w:tcPr>
            <w:tcW w:w="1350" w:type="dxa"/>
            <w:shd w:val="clear" w:color="auto" w:fill="D9D9D9" w:themeFill="background1" w:themeFillShade="D9"/>
            <w:vAlign w:val="center"/>
          </w:tcPr>
          <w:p w14:paraId="5A2909CC"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Study type</w:t>
            </w:r>
          </w:p>
        </w:tc>
        <w:tc>
          <w:tcPr>
            <w:tcW w:w="1980" w:type="dxa"/>
            <w:shd w:val="clear" w:color="auto" w:fill="D9D9D9" w:themeFill="background1" w:themeFillShade="D9"/>
            <w:vAlign w:val="center"/>
          </w:tcPr>
          <w:p w14:paraId="7369C5B3"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Population</w:t>
            </w:r>
          </w:p>
        </w:tc>
        <w:tc>
          <w:tcPr>
            <w:tcW w:w="2430" w:type="dxa"/>
            <w:shd w:val="clear" w:color="auto" w:fill="D9D9D9" w:themeFill="background1" w:themeFillShade="D9"/>
            <w:vAlign w:val="center"/>
          </w:tcPr>
          <w:p w14:paraId="3BD26820"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Treatments</w:t>
            </w:r>
          </w:p>
        </w:tc>
        <w:tc>
          <w:tcPr>
            <w:tcW w:w="2070" w:type="dxa"/>
            <w:shd w:val="clear" w:color="auto" w:fill="D9D9D9" w:themeFill="background1" w:themeFillShade="D9"/>
            <w:vAlign w:val="center"/>
          </w:tcPr>
          <w:p w14:paraId="11F17675"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Comparative Outcomes</w:t>
            </w:r>
          </w:p>
        </w:tc>
      </w:tr>
      <w:tr w:rsidR="00580BE1" w:rsidRPr="00F40605" w14:paraId="53FFC74F" w14:textId="77777777" w:rsidTr="00E44EA0">
        <w:tc>
          <w:tcPr>
            <w:tcW w:w="1165" w:type="dxa"/>
            <w:shd w:val="clear" w:color="auto" w:fill="F2F2F2" w:themeFill="background1" w:themeFillShade="F2"/>
            <w:vAlign w:val="center"/>
          </w:tcPr>
          <w:p w14:paraId="59FEFD30"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Flett et al. 1999</w:t>
            </w:r>
          </w:p>
        </w:tc>
        <w:tc>
          <w:tcPr>
            <w:tcW w:w="1350" w:type="dxa"/>
            <w:vAlign w:val="center"/>
          </w:tcPr>
          <w:p w14:paraId="2643EF55"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Single-blind, randomized, controlled trial</w:t>
            </w:r>
          </w:p>
        </w:tc>
        <w:tc>
          <w:tcPr>
            <w:tcW w:w="1980" w:type="dxa"/>
            <w:vAlign w:val="center"/>
          </w:tcPr>
          <w:p w14:paraId="17416201"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 = 20, 2-8 years with CP and muscle spasticity of the lower extremity</w:t>
            </w:r>
          </w:p>
        </w:tc>
        <w:tc>
          <w:tcPr>
            <w:tcW w:w="2430" w:type="dxa"/>
            <w:vAlign w:val="center"/>
          </w:tcPr>
          <w:p w14:paraId="425976D6"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Botox, dosage 4–8 U/kg and maximum of 20 units per site vs fixed plaster casting for 4 weeks</w:t>
            </w:r>
          </w:p>
        </w:tc>
        <w:tc>
          <w:tcPr>
            <w:tcW w:w="2070" w:type="dxa"/>
            <w:vAlign w:val="center"/>
          </w:tcPr>
          <w:p w14:paraId="7D30CB9A"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MAS, range of movement scores, GMFM scores, total PRS scores and GSS scores.</w:t>
            </w:r>
          </w:p>
        </w:tc>
      </w:tr>
      <w:tr w:rsidR="00580BE1" w:rsidRPr="00F40605" w14:paraId="07B33176" w14:textId="77777777" w:rsidTr="00E44EA0">
        <w:trPr>
          <w:trHeight w:val="568"/>
        </w:trPr>
        <w:tc>
          <w:tcPr>
            <w:tcW w:w="1165" w:type="dxa"/>
            <w:shd w:val="clear" w:color="auto" w:fill="F2F2F2" w:themeFill="background1" w:themeFillShade="F2"/>
            <w:vAlign w:val="center"/>
          </w:tcPr>
          <w:p w14:paraId="168DFEFD"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proofErr w:type="spellStart"/>
            <w:r w:rsidRPr="00F40605">
              <w:rPr>
                <w:rFonts w:ascii="Arial Narrow" w:hAnsi="Arial Narrow" w:cstheme="minorHAnsi"/>
                <w:b/>
                <w:bCs/>
                <w:sz w:val="20"/>
                <w:szCs w:val="20"/>
              </w:rPr>
              <w:t>Fehlings</w:t>
            </w:r>
            <w:proofErr w:type="spellEnd"/>
            <w:r w:rsidRPr="00F40605">
              <w:rPr>
                <w:rFonts w:ascii="Arial Narrow" w:hAnsi="Arial Narrow" w:cstheme="minorHAnsi"/>
                <w:b/>
                <w:bCs/>
                <w:sz w:val="20"/>
                <w:szCs w:val="20"/>
              </w:rPr>
              <w:t xml:space="preserve"> et al. 2000</w:t>
            </w:r>
          </w:p>
        </w:tc>
        <w:tc>
          <w:tcPr>
            <w:tcW w:w="1350" w:type="dxa"/>
            <w:vAlign w:val="center"/>
          </w:tcPr>
          <w:p w14:paraId="607BE8DB" w14:textId="77777777" w:rsidR="00580BE1" w:rsidRPr="00F40605" w:rsidRDefault="00580BE1" w:rsidP="00005F38">
            <w:pPr>
              <w:pStyle w:val="BodyText1"/>
              <w:widowControl w:val="0"/>
              <w:spacing w:before="0" w:after="0" w:line="240" w:lineRule="auto"/>
              <w:jc w:val="left"/>
              <w:rPr>
                <w:rFonts w:ascii="Arial Narrow" w:hAnsi="Arial Narrow" w:cstheme="minorHAnsi"/>
                <w:i/>
                <w:iCs/>
                <w:sz w:val="20"/>
                <w:szCs w:val="20"/>
              </w:rPr>
            </w:pPr>
            <w:r w:rsidRPr="00F40605">
              <w:rPr>
                <w:rFonts w:ascii="Arial Narrow" w:hAnsi="Arial Narrow" w:cstheme="minorHAnsi"/>
                <w:i/>
                <w:iCs/>
                <w:sz w:val="20"/>
                <w:szCs w:val="20"/>
              </w:rPr>
              <w:t xml:space="preserve">As above. </w:t>
            </w:r>
          </w:p>
        </w:tc>
        <w:tc>
          <w:tcPr>
            <w:tcW w:w="1980" w:type="dxa"/>
            <w:vAlign w:val="center"/>
          </w:tcPr>
          <w:p w14:paraId="0CA0F533"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sz w:val="20"/>
                <w:szCs w:val="20"/>
              </w:rPr>
              <w:t>30 children, hemiplegic CP, 2.5-10 years</w:t>
            </w:r>
          </w:p>
        </w:tc>
        <w:tc>
          <w:tcPr>
            <w:tcW w:w="2430" w:type="dxa"/>
            <w:vAlign w:val="center"/>
          </w:tcPr>
          <w:p w14:paraId="15EB5EA0" w14:textId="77777777" w:rsidR="00580BE1" w:rsidRPr="00F40605" w:rsidRDefault="00580BE1" w:rsidP="00005F38">
            <w:pPr>
              <w:pStyle w:val="BodyText1"/>
              <w:widowControl w:val="0"/>
              <w:spacing w:before="0" w:after="0" w:line="240" w:lineRule="auto"/>
              <w:jc w:val="left"/>
              <w:rPr>
                <w:rFonts w:ascii="Arial Narrow" w:hAnsi="Arial Narrow"/>
                <w:sz w:val="20"/>
                <w:szCs w:val="20"/>
              </w:rPr>
            </w:pPr>
            <w:r w:rsidRPr="00F40605">
              <w:rPr>
                <w:rFonts w:ascii="Arial Narrow" w:hAnsi="Arial Narrow"/>
                <w:sz w:val="20"/>
                <w:szCs w:val="20"/>
              </w:rPr>
              <w:t xml:space="preserve">Botox (2 to 6 U/kg) + OT </w:t>
            </w:r>
            <w:r w:rsidRPr="00F40605">
              <w:rPr>
                <w:rFonts w:ascii="Arial Narrow" w:hAnsi="Arial Narrow" w:cstheme="minorHAnsi"/>
                <w:sz w:val="20"/>
                <w:szCs w:val="20"/>
              </w:rPr>
              <w:t>(n=14)</w:t>
            </w:r>
            <w:r w:rsidRPr="00F40605">
              <w:rPr>
                <w:rFonts w:ascii="Arial Narrow" w:hAnsi="Arial Narrow"/>
                <w:sz w:val="20"/>
                <w:szCs w:val="20"/>
              </w:rPr>
              <w:t xml:space="preserve">, OT alone </w:t>
            </w:r>
            <w:r w:rsidRPr="00F40605">
              <w:rPr>
                <w:rFonts w:ascii="Arial Narrow" w:hAnsi="Arial Narrow" w:cstheme="minorHAnsi"/>
                <w:sz w:val="20"/>
                <w:szCs w:val="20"/>
              </w:rPr>
              <w:t>(n=15)</w:t>
            </w:r>
            <w:r w:rsidRPr="00F40605">
              <w:rPr>
                <w:rFonts w:ascii="Arial Narrow" w:hAnsi="Arial Narrow"/>
                <w:sz w:val="20"/>
                <w:szCs w:val="20"/>
              </w:rPr>
              <w:t xml:space="preserve"> </w:t>
            </w:r>
          </w:p>
        </w:tc>
        <w:tc>
          <w:tcPr>
            <w:tcW w:w="2070" w:type="dxa"/>
            <w:vAlign w:val="center"/>
          </w:tcPr>
          <w:p w14:paraId="0199E357"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Modified Ashworth Scale.</w:t>
            </w:r>
          </w:p>
        </w:tc>
      </w:tr>
      <w:tr w:rsidR="00580BE1" w:rsidRPr="00F40605" w14:paraId="7EEAE8F8" w14:textId="77777777" w:rsidTr="00E44EA0">
        <w:trPr>
          <w:trHeight w:val="883"/>
        </w:trPr>
        <w:tc>
          <w:tcPr>
            <w:tcW w:w="1165" w:type="dxa"/>
            <w:shd w:val="clear" w:color="auto" w:fill="F2F2F2" w:themeFill="background1" w:themeFillShade="F2"/>
            <w:vAlign w:val="center"/>
          </w:tcPr>
          <w:p w14:paraId="007D3FD5"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Lowe et al. 2006</w:t>
            </w:r>
          </w:p>
        </w:tc>
        <w:tc>
          <w:tcPr>
            <w:tcW w:w="1350" w:type="dxa"/>
            <w:vAlign w:val="center"/>
          </w:tcPr>
          <w:p w14:paraId="600683B0"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i/>
                <w:iCs/>
                <w:sz w:val="20"/>
                <w:szCs w:val="20"/>
              </w:rPr>
              <w:t>As above.</w:t>
            </w:r>
          </w:p>
        </w:tc>
        <w:tc>
          <w:tcPr>
            <w:tcW w:w="1980" w:type="dxa"/>
            <w:vAlign w:val="center"/>
          </w:tcPr>
          <w:p w14:paraId="74F6ED0F"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42 children, 2-8 years, CP hemiplegic, at least 2 on Ashworth scale</w:t>
            </w:r>
          </w:p>
        </w:tc>
        <w:tc>
          <w:tcPr>
            <w:tcW w:w="2430" w:type="dxa"/>
            <w:vAlign w:val="center"/>
          </w:tcPr>
          <w:p w14:paraId="3FF15EA5"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Botox (max dose 8 U/kg) + OT (n=21), vs</w:t>
            </w:r>
          </w:p>
          <w:p w14:paraId="29C8C612"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OT alone (n=21). </w:t>
            </w:r>
          </w:p>
        </w:tc>
        <w:tc>
          <w:tcPr>
            <w:tcW w:w="2070" w:type="dxa"/>
            <w:vAlign w:val="center"/>
          </w:tcPr>
          <w:p w14:paraId="16636A1F"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Ashworth scale (1, 3, 6 months), Adverse events</w:t>
            </w:r>
          </w:p>
        </w:tc>
      </w:tr>
      <w:tr w:rsidR="00580BE1" w:rsidRPr="00F40605" w14:paraId="7C13920C" w14:textId="77777777" w:rsidTr="00E44EA0">
        <w:trPr>
          <w:cantSplit/>
          <w:trHeight w:val="856"/>
        </w:trPr>
        <w:tc>
          <w:tcPr>
            <w:tcW w:w="1165" w:type="dxa"/>
            <w:shd w:val="clear" w:color="auto" w:fill="F2F2F2" w:themeFill="background1" w:themeFillShade="F2"/>
            <w:vAlign w:val="center"/>
          </w:tcPr>
          <w:p w14:paraId="14F87DC3" w14:textId="77777777" w:rsidR="00580BE1" w:rsidRPr="00F40605" w:rsidRDefault="00580BE1"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Russo et al. 2007</w:t>
            </w:r>
          </w:p>
        </w:tc>
        <w:tc>
          <w:tcPr>
            <w:tcW w:w="1350" w:type="dxa"/>
            <w:vAlign w:val="center"/>
          </w:tcPr>
          <w:p w14:paraId="1BFD6B7F"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i/>
                <w:iCs/>
                <w:sz w:val="20"/>
                <w:szCs w:val="20"/>
              </w:rPr>
              <w:t>As above.</w:t>
            </w:r>
          </w:p>
        </w:tc>
        <w:tc>
          <w:tcPr>
            <w:tcW w:w="1980" w:type="dxa"/>
            <w:vAlign w:val="center"/>
          </w:tcPr>
          <w:p w14:paraId="6411AFD1"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43 children, hemiplegic CP, 3-16 years, MAS of at least 2</w:t>
            </w:r>
          </w:p>
        </w:tc>
        <w:tc>
          <w:tcPr>
            <w:tcW w:w="2430" w:type="dxa"/>
            <w:vAlign w:val="center"/>
          </w:tcPr>
          <w:p w14:paraId="1592C61C"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Botox (12 u/kg) + OT (n=21), OT alone (n=22). </w:t>
            </w:r>
          </w:p>
        </w:tc>
        <w:tc>
          <w:tcPr>
            <w:tcW w:w="2070" w:type="dxa"/>
            <w:vAlign w:val="center"/>
          </w:tcPr>
          <w:p w14:paraId="3AC6EA34" w14:textId="77777777" w:rsidR="00580BE1" w:rsidRPr="00F40605" w:rsidRDefault="00580BE1"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Modified Ashworth Scale, Safety</w:t>
            </w:r>
          </w:p>
        </w:tc>
      </w:tr>
    </w:tbl>
    <w:p w14:paraId="15D6C94D" w14:textId="077C5D3E" w:rsidR="00580BE1" w:rsidRPr="004278E4" w:rsidRDefault="00580BE1" w:rsidP="00005F38">
      <w:pPr>
        <w:pStyle w:val="TableFigureFooter"/>
        <w:keepNext/>
        <w:keepLines/>
        <w:widowControl w:val="0"/>
        <w:rPr>
          <w:sz w:val="16"/>
          <w:szCs w:val="16"/>
        </w:rPr>
      </w:pPr>
      <w:r w:rsidRPr="004278E4">
        <w:rPr>
          <w:sz w:val="16"/>
          <w:szCs w:val="16"/>
        </w:rPr>
        <w:t xml:space="preserve">CP, cerebral palsy; U, units; OT, occupational therapy; </w:t>
      </w:r>
      <w:r>
        <w:rPr>
          <w:sz w:val="16"/>
          <w:szCs w:val="16"/>
        </w:rPr>
        <w:t xml:space="preserve">MAS, </w:t>
      </w:r>
      <w:r w:rsidRPr="004278E4">
        <w:rPr>
          <w:sz w:val="16"/>
          <w:szCs w:val="16"/>
        </w:rPr>
        <w:t>modified Ashworth scale</w:t>
      </w:r>
      <w:r>
        <w:rPr>
          <w:sz w:val="16"/>
          <w:szCs w:val="16"/>
        </w:rPr>
        <w:t xml:space="preserve">; GMFM, gross motor function measure; PRS, physician rating scale; global scoring scale. </w:t>
      </w:r>
    </w:p>
    <w:p w14:paraId="3B9FC2AD" w14:textId="6F65178F" w:rsidR="00772829" w:rsidRDefault="00772829" w:rsidP="00045C5D">
      <w:pPr>
        <w:pStyle w:val="Heading2"/>
        <w:numPr>
          <w:ilvl w:val="0"/>
          <w:numId w:val="29"/>
        </w:numPr>
        <w:tabs>
          <w:tab w:val="num" w:pos="1134"/>
        </w:tabs>
      </w:pPr>
      <w:r w:rsidRPr="00CE28E3">
        <w:t>Comparative safety</w:t>
      </w:r>
      <w:bookmarkEnd w:id="23"/>
      <w:r w:rsidR="008C5116">
        <w:t xml:space="preserve"> and efficacy</w:t>
      </w:r>
    </w:p>
    <w:p w14:paraId="597AD8A3" w14:textId="374F5DBB" w:rsidR="006A69F4" w:rsidRPr="00D159A9" w:rsidRDefault="006A69F4" w:rsidP="00491603">
      <w:pPr>
        <w:pStyle w:val="Heading3"/>
      </w:pPr>
      <w:r w:rsidRPr="00D159A9">
        <w:t xml:space="preserve">Clinical </w:t>
      </w:r>
      <w:r w:rsidR="00E45531" w:rsidRPr="00D159A9">
        <w:t xml:space="preserve">studies of </w:t>
      </w:r>
      <w:proofErr w:type="spellStart"/>
      <w:r w:rsidRPr="00D159A9">
        <w:t>Xeomin</w:t>
      </w:r>
      <w:proofErr w:type="spellEnd"/>
      <w:r w:rsidR="00F86702" w:rsidRPr="009C1504">
        <w:rPr>
          <w:rFonts w:cs="Segoe UI"/>
          <w:color w:val="000000" w:themeColor="text1"/>
        </w:rPr>
        <w:t>®</w:t>
      </w:r>
      <w:r w:rsidRPr="00D159A9">
        <w:t xml:space="preserve"> </w:t>
      </w:r>
    </w:p>
    <w:p w14:paraId="773B80BA" w14:textId="5ADF5114" w:rsidR="00735F5C" w:rsidRPr="00735F5C" w:rsidRDefault="00735F5C" w:rsidP="003B228A">
      <w:pPr>
        <w:spacing w:before="0" w:after="120" w:line="240" w:lineRule="auto"/>
      </w:pPr>
      <w:r w:rsidRPr="00735F5C">
        <w:t xml:space="preserve">The phase </w:t>
      </w:r>
      <w:r w:rsidR="00547E82">
        <w:t>3</w:t>
      </w:r>
      <w:r w:rsidRPr="00735F5C">
        <w:t xml:space="preserve"> clinical trials show</w:t>
      </w:r>
      <w:r w:rsidR="00AF57AE">
        <w:t>ed</w:t>
      </w:r>
      <w:r w:rsidRPr="00735F5C">
        <w:t xml:space="preserve"> that in a paediatric population with </w:t>
      </w:r>
      <w:r w:rsidR="00420884">
        <w:t>CP</w:t>
      </w:r>
      <w:r w:rsidRPr="00735F5C">
        <w:t xml:space="preserve">, treatment with </w:t>
      </w:r>
      <w:proofErr w:type="spellStart"/>
      <w:r w:rsidRPr="00735F5C">
        <w:t>Xeomin</w:t>
      </w:r>
      <w:proofErr w:type="spellEnd"/>
      <w:r w:rsidR="00467A36" w:rsidRPr="006166A0">
        <w:rPr>
          <w:rFonts w:cs="Segoe UI"/>
          <w:color w:val="000000" w:themeColor="text1"/>
        </w:rPr>
        <w:t>®</w:t>
      </w:r>
      <w:r w:rsidRPr="00735F5C">
        <w:t xml:space="preserve"> offer</w:t>
      </w:r>
      <w:r w:rsidR="00AF57AE">
        <w:t>ed</w:t>
      </w:r>
      <w:r w:rsidRPr="00735F5C">
        <w:t xml:space="preserve"> significant and consistent improvement in muscle tone and motor function for children with </w:t>
      </w:r>
      <w:r w:rsidR="00467A36">
        <w:t>CP</w:t>
      </w:r>
      <w:r w:rsidRPr="00735F5C">
        <w:t xml:space="preserve"> spasticity in lower and/or upper limb(s). </w:t>
      </w:r>
    </w:p>
    <w:p w14:paraId="6393426E" w14:textId="564C6DEF" w:rsidR="0098447C" w:rsidRDefault="00735F5C" w:rsidP="003B228A">
      <w:pPr>
        <w:spacing w:before="0" w:after="120" w:line="240" w:lineRule="auto"/>
      </w:pPr>
      <w:r w:rsidRPr="00735F5C">
        <w:t xml:space="preserve">The TIM study showed a positive and clinically meaningful treatment response in all treatment groups at Week 4 after injection in the pes </w:t>
      </w:r>
      <w:proofErr w:type="spellStart"/>
      <w:r w:rsidRPr="00735F5C">
        <w:t>equinus</w:t>
      </w:r>
      <w:proofErr w:type="spellEnd"/>
      <w:r w:rsidRPr="00735F5C">
        <w:t xml:space="preserve"> as demonstrated by the Ashworth scale (AS) score and global impression of change scale in plantar flexors (GICS-PF) score assessment. The results also indicate a favourable safety and tolerability profile at doses of up to 16 U/kg (maximum 400 U) for patients in all GMFCS severity groups. Long-term efficacy of up to 4 injections of </w:t>
      </w:r>
      <w:proofErr w:type="spellStart"/>
      <w:r w:rsidRPr="00735F5C">
        <w:t>Xeomin</w:t>
      </w:r>
      <w:proofErr w:type="spellEnd"/>
      <w:r w:rsidR="00467A36" w:rsidRPr="006166A0">
        <w:rPr>
          <w:rFonts w:cs="Segoe UI"/>
          <w:color w:val="000000" w:themeColor="text1"/>
        </w:rPr>
        <w:t>®</w:t>
      </w:r>
      <w:r w:rsidRPr="00735F5C">
        <w:t xml:space="preserve"> was clearly and consistently demonstrated in TIMO and correspond well to the results of the lead-in study. </w:t>
      </w:r>
    </w:p>
    <w:p w14:paraId="2B0DBA64" w14:textId="579CFACA" w:rsidR="0098447C" w:rsidRPr="00085611" w:rsidRDefault="0098447C" w:rsidP="003B228A">
      <w:pPr>
        <w:spacing w:before="0" w:after="120" w:line="240" w:lineRule="auto"/>
      </w:pPr>
      <w:proofErr w:type="spellStart"/>
      <w:r>
        <w:t>Xeomin</w:t>
      </w:r>
      <w:proofErr w:type="spellEnd"/>
      <w:r w:rsidR="00467A36" w:rsidRPr="006166A0">
        <w:rPr>
          <w:rFonts w:cs="Segoe UI"/>
          <w:color w:val="000000" w:themeColor="text1"/>
        </w:rPr>
        <w:t>®</w:t>
      </w:r>
      <w:r w:rsidRPr="00B16329">
        <w:t xml:space="preserve"> treatment was generally well</w:t>
      </w:r>
      <w:r>
        <w:t xml:space="preserve"> </w:t>
      </w:r>
      <w:r w:rsidRPr="00B16329">
        <w:t>tolerated over both injection cycles, with</w:t>
      </w:r>
      <w:r>
        <w:t xml:space="preserve"> treatment emergent adverse events</w:t>
      </w:r>
      <w:r w:rsidRPr="00B16329">
        <w:t xml:space="preserve"> </w:t>
      </w:r>
      <w:r>
        <w:t>(</w:t>
      </w:r>
      <w:r w:rsidRPr="00B16329">
        <w:t>TEAEs</w:t>
      </w:r>
      <w:r>
        <w:t>)</w:t>
      </w:r>
      <w:r w:rsidRPr="00B16329">
        <w:t xml:space="preserve"> reported in 42.8% of patients overall</w:t>
      </w:r>
      <w:r>
        <w:t>.</w:t>
      </w:r>
      <w:r w:rsidRPr="00B16329">
        <w:t xml:space="preserve"> </w:t>
      </w:r>
      <w:r>
        <w:t xml:space="preserve">The overall incidences of TEAEs and treatment-related TEAEs were higher in the high dose group (49.4% and 7.1%) than in the mid dose group (33.8% and 2.6%) and the low dose group (38.5% and 2.6%). TEAEs assessed by investigators as treatment-related included muscular weakness (n = 5 patients), injection-site pain (n = 4 patients), injection site erythema, pain in an extremity, pyrexia (n = 2 patients each), fall, hematoma, influenza-like illness, injection-site inflammation, injection-site </w:t>
      </w:r>
      <w:r w:rsidRPr="00085611">
        <w:t>warmth, and rash (n = 1 patient each).</w:t>
      </w:r>
    </w:p>
    <w:p w14:paraId="139774A6" w14:textId="238CCA72" w:rsidR="00735F5C" w:rsidRDefault="00735F5C" w:rsidP="003B228A">
      <w:pPr>
        <w:spacing w:before="0" w:after="120" w:line="240" w:lineRule="auto"/>
      </w:pPr>
      <w:r w:rsidRPr="00735F5C">
        <w:t xml:space="preserve">No new or unexpected safety concerns were identified </w:t>
      </w:r>
      <w:r w:rsidR="0098447C">
        <w:t xml:space="preserve">in TIMO </w:t>
      </w:r>
      <w:r w:rsidRPr="00735F5C">
        <w:t xml:space="preserve">and overall, </w:t>
      </w:r>
      <w:proofErr w:type="spellStart"/>
      <w:r w:rsidRPr="00735F5C">
        <w:t>Xeomin</w:t>
      </w:r>
      <w:proofErr w:type="spellEnd"/>
      <w:r w:rsidRPr="00735F5C">
        <w:t xml:space="preserve"> treatments were well-tolerated, as evidenced by a very small proportion (1.1%) of study discontinuations due to AEs. </w:t>
      </w:r>
    </w:p>
    <w:p w14:paraId="71B37A9E" w14:textId="4E52CB3B" w:rsidR="0098447C" w:rsidRDefault="00735F5C" w:rsidP="003B228A">
      <w:pPr>
        <w:spacing w:before="0" w:after="120" w:line="240" w:lineRule="auto"/>
      </w:pPr>
      <w:r w:rsidRPr="00735F5C">
        <w:t xml:space="preserve">The XARA study showed significant and clinically meaningful improvements from baseline in AS scores at Week 4 in all dose groups. Observed benefits in the treatment of upper-limb as well as lower-limb spasticity are further supported by AS, global, pain-related, and functional efficacy outcomes. Moreover, sustained and consistent spasticity improvements were observed in all outcomes over time with three further treatment cycles with the highest </w:t>
      </w:r>
      <w:proofErr w:type="spellStart"/>
      <w:r w:rsidRPr="00735F5C">
        <w:t>Xeomin</w:t>
      </w:r>
      <w:proofErr w:type="spellEnd"/>
      <w:r w:rsidR="00485DE8" w:rsidRPr="006166A0">
        <w:rPr>
          <w:rFonts w:cs="Segoe UI"/>
          <w:color w:val="000000" w:themeColor="text1"/>
        </w:rPr>
        <w:t>®</w:t>
      </w:r>
      <w:r w:rsidRPr="00735F5C">
        <w:t xml:space="preserve"> dose in the open label extension (OLEX). </w:t>
      </w:r>
    </w:p>
    <w:p w14:paraId="7594B209" w14:textId="20A91A26" w:rsidR="00F40605" w:rsidRPr="006A3A83" w:rsidRDefault="00735F5C" w:rsidP="003B228A">
      <w:pPr>
        <w:spacing w:before="160" w:line="240" w:lineRule="auto"/>
        <w:rPr>
          <w:rFonts w:cstheme="minorHAnsi"/>
        </w:rPr>
      </w:pPr>
      <w:r w:rsidRPr="00735F5C">
        <w:t xml:space="preserve">A favourable safety/tolerability profile was observed, with similarly high retention rates when compared with TIM/TIMO. </w:t>
      </w:r>
      <w:r w:rsidR="00F40605" w:rsidRPr="006A3A83">
        <w:rPr>
          <w:rFonts w:cstheme="minorHAnsi"/>
        </w:rPr>
        <w:t xml:space="preserve">Overall, TEAEs were experienced by 34.4% of subjects (144 of 331 </w:t>
      </w:r>
      <w:r w:rsidR="00F40605" w:rsidRPr="006A3A83">
        <w:rPr>
          <w:rFonts w:cstheme="minorHAnsi"/>
        </w:rPr>
        <w:lastRenderedPageBreak/>
        <w:t xml:space="preserve">subjects) in the OLEX. </w:t>
      </w:r>
      <w:r w:rsidR="00F40605" w:rsidRPr="00C54839">
        <w:rPr>
          <w:rFonts w:cstheme="minorHAnsi"/>
        </w:rPr>
        <w:t xml:space="preserve">The incidence of TEAEs did not increase with further treatment cycles. </w:t>
      </w:r>
      <w:r w:rsidR="00F40605" w:rsidRPr="00C54839">
        <w:t>AEs assessed as treatment-related (5 in total) were AEs of special interest (potentially indicating toxin spread) including mild hypotonia and moderate eyelid</w:t>
      </w:r>
      <w:r w:rsidR="00F40605" w:rsidRPr="00C54839">
        <w:rPr>
          <w:rFonts w:cstheme="minorHAnsi"/>
        </w:rPr>
        <w:t xml:space="preserve"> </w:t>
      </w:r>
      <w:r w:rsidR="00F40605" w:rsidRPr="00C54839">
        <w:t>ptosis in one patient each in OLEX cycle 1, mild dysphagia</w:t>
      </w:r>
      <w:r w:rsidR="00F40605" w:rsidRPr="00C54839">
        <w:rPr>
          <w:rFonts w:cstheme="minorHAnsi"/>
        </w:rPr>
        <w:t xml:space="preserve"> </w:t>
      </w:r>
      <w:r w:rsidR="00F40605" w:rsidRPr="00C54839">
        <w:t>and serious AE of moderate influenza-like illness in one patient each in</w:t>
      </w:r>
      <w:r w:rsidR="00F40605" w:rsidRPr="00C54839">
        <w:rPr>
          <w:rFonts w:cstheme="minorHAnsi"/>
        </w:rPr>
        <w:t xml:space="preserve"> </w:t>
      </w:r>
      <w:r w:rsidR="00F40605" w:rsidRPr="00C54839">
        <w:t>cycle 2, and mild pain in the extremity in one patient in cycle 3.</w:t>
      </w:r>
      <w:r w:rsidR="00F40605" w:rsidRPr="006A3A83">
        <w:rPr>
          <w:rFonts w:cstheme="minorHAnsi"/>
        </w:rPr>
        <w:t xml:space="preserve"> Five subjects in the OLEX discontinued due to TEAEs, two </w:t>
      </w:r>
      <w:r w:rsidR="00F40605" w:rsidRPr="00C54839">
        <w:t>were assessed as related to treatment (</w:t>
      </w:r>
      <w:r w:rsidR="00F40605" w:rsidRPr="00C54839">
        <w:rPr>
          <w:rFonts w:cstheme="minorHAnsi"/>
        </w:rPr>
        <w:t>eyelid ptosis and influenza like illness)</w:t>
      </w:r>
      <w:r w:rsidR="00F40605" w:rsidRPr="00C54839">
        <w:t xml:space="preserve">. There were no fatal adverse events. </w:t>
      </w:r>
    </w:p>
    <w:p w14:paraId="25D72F09" w14:textId="4F5AEBBB" w:rsidR="00735F5C" w:rsidRPr="00D159A9" w:rsidRDefault="00735F5C" w:rsidP="003B228A">
      <w:pPr>
        <w:pStyle w:val="Heading3"/>
      </w:pPr>
      <w:r w:rsidRPr="00D159A9">
        <w:t>C</w:t>
      </w:r>
      <w:r w:rsidR="00BF21A5" w:rsidRPr="00D159A9">
        <w:t>omparative</w:t>
      </w:r>
      <w:r w:rsidRPr="00D159A9">
        <w:t xml:space="preserve"> safety between </w:t>
      </w:r>
      <w:proofErr w:type="spellStart"/>
      <w:r w:rsidRPr="00D159A9">
        <w:t>Xeomin</w:t>
      </w:r>
      <w:proofErr w:type="spellEnd"/>
      <w:r w:rsidR="00485DE8" w:rsidRPr="006166A0">
        <w:rPr>
          <w:rFonts w:ascii="Franklin Gothic Book" w:hAnsi="Franklin Gothic Book" w:cs="Segoe UI"/>
          <w:color w:val="000000" w:themeColor="text1"/>
        </w:rPr>
        <w:t>®</w:t>
      </w:r>
      <w:r w:rsidRPr="00D159A9">
        <w:t xml:space="preserve"> and Botox</w:t>
      </w:r>
      <w:r w:rsidR="00485DE8" w:rsidRPr="006166A0">
        <w:rPr>
          <w:rFonts w:ascii="Franklin Gothic Book" w:hAnsi="Franklin Gothic Book" w:cs="Segoe UI"/>
          <w:color w:val="000000" w:themeColor="text1"/>
        </w:rPr>
        <w:t>®</w:t>
      </w:r>
    </w:p>
    <w:p w14:paraId="4E70356C" w14:textId="58226C2B" w:rsidR="00FD4BA8" w:rsidRDefault="00CA39A1" w:rsidP="003B228A">
      <w:pPr>
        <w:spacing w:before="0" w:after="120" w:line="240" w:lineRule="auto"/>
      </w:pPr>
      <w:r>
        <w:t>In Study R-201212 s</w:t>
      </w:r>
      <w:r w:rsidR="00FD4BA8" w:rsidRPr="00440278">
        <w:t xml:space="preserve">afety was comparable between the treatment groups, with 4 events in 3 patients (9.4%) seen in the </w:t>
      </w:r>
      <w:proofErr w:type="spellStart"/>
      <w:r w:rsidR="00FD4BA8" w:rsidRPr="00440278">
        <w:t>Xeomin</w:t>
      </w:r>
      <w:proofErr w:type="spellEnd"/>
      <w:r w:rsidR="00485DE8" w:rsidRPr="006166A0">
        <w:rPr>
          <w:rFonts w:cs="Segoe UI"/>
          <w:color w:val="000000" w:themeColor="text1"/>
        </w:rPr>
        <w:t>®</w:t>
      </w:r>
      <w:r w:rsidR="00FD4BA8" w:rsidRPr="00440278">
        <w:t xml:space="preserve"> group and 2 events in 2 patients (6.3%) seen in the Botox</w:t>
      </w:r>
      <w:r w:rsidR="00485DE8" w:rsidRPr="006166A0">
        <w:rPr>
          <w:rFonts w:cs="Segoe UI"/>
          <w:color w:val="000000" w:themeColor="text1"/>
        </w:rPr>
        <w:t>®</w:t>
      </w:r>
      <w:r w:rsidR="00FD4BA8" w:rsidRPr="00440278">
        <w:t xml:space="preserve"> group. All AEs were mild to moderate, and all events resolved. No study discontinuations in either treatment group were due to adverse events. </w:t>
      </w:r>
    </w:p>
    <w:p w14:paraId="0664F6A4" w14:textId="2536A3B7" w:rsidR="00BF21A5" w:rsidRPr="00BF21A5" w:rsidRDefault="00977544" w:rsidP="003B228A">
      <w:pPr>
        <w:spacing w:before="0" w:after="120" w:line="240" w:lineRule="auto"/>
      </w:pPr>
      <w:r>
        <w:t xml:space="preserve">AEs were poorly reported, if at all, in the comparator Botox studies. </w:t>
      </w:r>
      <w:r w:rsidR="00BF21A5" w:rsidRPr="00BF21A5">
        <w:t>A</w:t>
      </w:r>
      <w:r>
        <w:t>Es</w:t>
      </w:r>
      <w:r w:rsidR="00BF21A5" w:rsidRPr="00BF21A5">
        <w:t xml:space="preserve"> were not reported at all in Flett (1999). Adverse events were briefly mentioned in excluded studies Eames (1999) and Koman (1994). In both studies, patients receiving botulinum toxin injections (Koman [1-2 U/kg BW], n=6; Eames [8-10 U/kg BW], n=27), reported pain at the injection site, n=3 in Koman (1994) and n=1 in Eames (1999). Eames (1999) also described one patient who experienced increased “tripping” following botulinum toxin injection. In the placebo group in Koman (1994) (n=6), pain at the injection site was also reported (n=3), as well as unsteadiness (n=2), fatigue (n=1) and headache (n=1). </w:t>
      </w:r>
    </w:p>
    <w:p w14:paraId="6A56B516" w14:textId="77777777" w:rsidR="00BF21A5" w:rsidRDefault="00BF21A5" w:rsidP="003B228A">
      <w:pPr>
        <w:pStyle w:val="BodyText1"/>
        <w:keepNext w:val="0"/>
        <w:keepLines w:val="0"/>
        <w:widowControl w:val="0"/>
        <w:spacing w:line="240" w:lineRule="auto"/>
        <w:jc w:val="left"/>
        <w:rPr>
          <w:rFonts w:ascii="Franklin Gothic Book" w:hAnsi="Franklin Gothic Book"/>
          <w:szCs w:val="24"/>
        </w:rPr>
      </w:pPr>
      <w:r w:rsidRPr="00BF21A5">
        <w:rPr>
          <w:rFonts w:ascii="Franklin Gothic Book" w:hAnsi="Franklin Gothic Book"/>
          <w:szCs w:val="24"/>
        </w:rPr>
        <w:t xml:space="preserve">Safety outcomes were not detailed in </w:t>
      </w:r>
      <w:proofErr w:type="spellStart"/>
      <w:r w:rsidRPr="00BF21A5">
        <w:rPr>
          <w:rFonts w:ascii="Franklin Gothic Book" w:hAnsi="Franklin Gothic Book"/>
          <w:szCs w:val="24"/>
        </w:rPr>
        <w:t>Fehlings</w:t>
      </w:r>
      <w:proofErr w:type="spellEnd"/>
      <w:r w:rsidRPr="00BF21A5">
        <w:rPr>
          <w:rFonts w:ascii="Franklin Gothic Book" w:hAnsi="Franklin Gothic Book"/>
          <w:szCs w:val="24"/>
        </w:rPr>
        <w:t xml:space="preserve"> (2000) and Lowe (2006). In Russo (2007) a total of 23 AEs were reported in the Botox group, including one SAE. Most AEs were related to use of anaesthetic, but 5 children (23.8%) experienced weakness in the injected limb. No minor AEs were reported in the control group.  </w:t>
      </w:r>
    </w:p>
    <w:p w14:paraId="70F1C64E" w14:textId="60986BA4" w:rsidR="00BF21A5" w:rsidRPr="00D159A9" w:rsidRDefault="00BF21A5" w:rsidP="003B228A">
      <w:pPr>
        <w:pStyle w:val="Heading3"/>
      </w:pPr>
      <w:r w:rsidRPr="00D159A9">
        <w:t xml:space="preserve">Comparative efficacy between </w:t>
      </w:r>
      <w:proofErr w:type="spellStart"/>
      <w:r w:rsidRPr="00D159A9">
        <w:t>Xeomin</w:t>
      </w:r>
      <w:proofErr w:type="spellEnd"/>
      <w:r w:rsidR="00485DE8" w:rsidRPr="006166A0">
        <w:rPr>
          <w:rFonts w:ascii="Franklin Gothic Book" w:hAnsi="Franklin Gothic Book" w:cs="Segoe UI"/>
          <w:color w:val="000000" w:themeColor="text1"/>
        </w:rPr>
        <w:t>®</w:t>
      </w:r>
      <w:r w:rsidRPr="00D159A9">
        <w:t xml:space="preserve"> and Botox</w:t>
      </w:r>
      <w:r w:rsidR="00485DE8" w:rsidRPr="006166A0">
        <w:rPr>
          <w:rFonts w:ascii="Franklin Gothic Book" w:hAnsi="Franklin Gothic Book" w:cs="Segoe UI"/>
          <w:color w:val="000000" w:themeColor="text1"/>
        </w:rPr>
        <w:t>®</w:t>
      </w:r>
    </w:p>
    <w:p w14:paraId="61402D95" w14:textId="1CC00F7F" w:rsidR="00CA39A1" w:rsidRPr="00440278" w:rsidRDefault="00CA39A1" w:rsidP="003B228A">
      <w:pPr>
        <w:spacing w:before="0" w:after="120" w:line="240" w:lineRule="auto"/>
      </w:pPr>
      <w:r w:rsidRPr="00735F5C">
        <w:t xml:space="preserve">The indicative comparative efficacy of </w:t>
      </w:r>
      <w:proofErr w:type="spellStart"/>
      <w:r w:rsidRPr="00735F5C">
        <w:t>Xeomin</w:t>
      </w:r>
      <w:proofErr w:type="spellEnd"/>
      <w:r w:rsidR="00485DE8" w:rsidRPr="006166A0">
        <w:rPr>
          <w:rFonts w:cs="Segoe UI"/>
          <w:color w:val="000000" w:themeColor="text1"/>
        </w:rPr>
        <w:t>®</w:t>
      </w:r>
      <w:r w:rsidRPr="00735F5C">
        <w:t xml:space="preserve"> compared to Botox</w:t>
      </w:r>
      <w:r w:rsidR="00485DE8" w:rsidRPr="006166A0">
        <w:rPr>
          <w:rFonts w:cs="Segoe UI"/>
          <w:color w:val="000000" w:themeColor="text1"/>
        </w:rPr>
        <w:t>®</w:t>
      </w:r>
      <w:r w:rsidRPr="00735F5C">
        <w:t xml:space="preserve"> was also supported in the R-201</w:t>
      </w:r>
      <w:r>
        <w:t>2</w:t>
      </w:r>
      <w:r w:rsidRPr="00735F5C">
        <w:t xml:space="preserve">12 study. No significant differences were seen between groups in the treatment with spastic </w:t>
      </w:r>
      <w:proofErr w:type="spellStart"/>
      <w:r w:rsidRPr="00735F5C">
        <w:t>equinus</w:t>
      </w:r>
      <w:proofErr w:type="spellEnd"/>
      <w:r w:rsidRPr="00735F5C">
        <w:t xml:space="preserve"> or equinovarus foot deformation. </w:t>
      </w:r>
      <w:r w:rsidRPr="00440278">
        <w:t>The modified AS score at baseline was 2.6 ± 0.49 in group I (</w:t>
      </w:r>
      <w:proofErr w:type="spellStart"/>
      <w:r w:rsidRPr="00440278">
        <w:t>Xeomin</w:t>
      </w:r>
      <w:proofErr w:type="spellEnd"/>
      <w:r w:rsidRPr="00440278">
        <w:t>) and 2.4 ± 0.56 in group II (Botox). There were no statistically significant differences between groups (p = 0.207). Change from baseline in modified AS was maintained over the course of the study (Visit 3, Visit 4) with no differences between treatment groups.</w:t>
      </w:r>
    </w:p>
    <w:p w14:paraId="0FD41399" w14:textId="672F59C9" w:rsidR="007C0E98" w:rsidRDefault="00890143" w:rsidP="003B228A">
      <w:pPr>
        <w:spacing w:after="120" w:line="240" w:lineRule="auto"/>
      </w:pPr>
      <w:r>
        <w:t>Comparable lower-limb efficacy outcomes with Botox</w:t>
      </w:r>
      <w:r w:rsidR="00485DE8" w:rsidRPr="006166A0">
        <w:rPr>
          <w:rFonts w:cs="Segoe UI"/>
          <w:color w:val="000000" w:themeColor="text1"/>
        </w:rPr>
        <w:t>®</w:t>
      </w:r>
      <w:r>
        <w:t xml:space="preserve"> are outlined in </w:t>
      </w:r>
      <w:r>
        <w:fldChar w:fldCharType="begin"/>
      </w:r>
      <w:r>
        <w:instrText xml:space="preserve"> REF _Ref199283583 \h </w:instrText>
      </w:r>
      <w:r w:rsidR="00491603">
        <w:instrText xml:space="preserve"> \* MERGEFORMAT </w:instrText>
      </w:r>
      <w:r>
        <w:fldChar w:fldCharType="separate"/>
      </w:r>
      <w:r w:rsidR="00913AD6" w:rsidRPr="00CE28E3">
        <w:t>Table</w:t>
      </w:r>
      <w:r w:rsidR="00C66231">
        <w:t xml:space="preserve"> </w:t>
      </w:r>
      <w:r w:rsidR="00913AD6">
        <w:t>5</w:t>
      </w:r>
      <w:r>
        <w:fldChar w:fldCharType="end"/>
      </w:r>
      <w:r>
        <w:t xml:space="preserve">. </w:t>
      </w:r>
      <w:r w:rsidR="007C0E98">
        <w:t>At baseline, participants AS/MAS and GMFM scores were similar between TIM and Flett (1999). Both studies reported improvements in AS/MAS scores at 8 weeks vs baseline and improvements were of similar magnitude between both studies. GMFM scores also improved following the first injection cycle in both studies (only one cycle in Flett). A greater improvement was seen in Flett (1999, however, GMFM was measured differently in the studies making a proper comparison between the results impossible. Furthermore, additional therapies were permitted 2 months post injection in the Flett study which may have contributed to the disparity in GMFM results.</w:t>
      </w:r>
    </w:p>
    <w:p w14:paraId="56008BF4" w14:textId="6437D23F" w:rsidR="007C0E98" w:rsidRDefault="002703E2" w:rsidP="00005F38">
      <w:pPr>
        <w:pStyle w:val="Caption"/>
        <w:keepLines/>
        <w:widowControl w:val="0"/>
        <w:spacing w:before="120"/>
      </w:pPr>
      <w:bookmarkStart w:id="25" w:name="_Ref199283583"/>
      <w:r w:rsidRPr="00CE28E3">
        <w:lastRenderedPageBreak/>
        <w:t>Table</w:t>
      </w:r>
      <w:r>
        <w:t> </w:t>
      </w:r>
      <w:r w:rsidR="00913AD6">
        <w:fldChar w:fldCharType="begin"/>
      </w:r>
      <w:r w:rsidR="00913AD6">
        <w:instrText xml:space="preserve"> SEQ Table \* ARABIC </w:instrText>
      </w:r>
      <w:r w:rsidR="00913AD6">
        <w:fldChar w:fldCharType="separate"/>
      </w:r>
      <w:r w:rsidR="00913AD6">
        <w:rPr>
          <w:noProof/>
        </w:rPr>
        <w:t>5</w:t>
      </w:r>
      <w:r w:rsidR="00913AD6">
        <w:rPr>
          <w:noProof/>
        </w:rPr>
        <w:fldChar w:fldCharType="end"/>
      </w:r>
      <w:bookmarkEnd w:id="25"/>
      <w:r w:rsidRPr="00CE28E3">
        <w:tab/>
      </w:r>
      <w:r w:rsidR="007C0E98">
        <w:t xml:space="preserve">Comparative outcomes of </w:t>
      </w:r>
      <w:proofErr w:type="spellStart"/>
      <w:r w:rsidR="007C0E98">
        <w:t>Xeomin</w:t>
      </w:r>
      <w:proofErr w:type="spellEnd"/>
      <w:r w:rsidR="00485DE8" w:rsidRPr="006166A0">
        <w:rPr>
          <w:rFonts w:ascii="Franklin Gothic Book" w:hAnsi="Franklin Gothic Book" w:cs="Segoe UI"/>
          <w:color w:val="000000" w:themeColor="text1"/>
        </w:rPr>
        <w:t>®</w:t>
      </w:r>
      <w:r w:rsidR="007C0E98">
        <w:t xml:space="preserve"> and Botox</w:t>
      </w:r>
      <w:r w:rsidR="00485DE8" w:rsidRPr="006166A0">
        <w:rPr>
          <w:rFonts w:ascii="Franklin Gothic Book" w:hAnsi="Franklin Gothic Book" w:cs="Segoe UI"/>
          <w:color w:val="000000" w:themeColor="text1"/>
        </w:rPr>
        <w:t>®</w:t>
      </w:r>
      <w:r w:rsidR="007C0E98">
        <w:t xml:space="preserve"> studies for lower-limb CP spasticity</w:t>
      </w:r>
    </w:p>
    <w:tbl>
      <w:tblPr>
        <w:tblStyle w:val="TableGrid"/>
        <w:tblW w:w="9094" w:type="dxa"/>
        <w:tblLook w:val="04A0" w:firstRow="1" w:lastRow="0" w:firstColumn="1" w:lastColumn="0" w:noHBand="0" w:noVBand="1"/>
      </w:tblPr>
      <w:tblGrid>
        <w:gridCol w:w="1501"/>
        <w:gridCol w:w="1502"/>
        <w:gridCol w:w="1312"/>
        <w:gridCol w:w="1700"/>
        <w:gridCol w:w="1502"/>
        <w:gridCol w:w="1577"/>
      </w:tblGrid>
      <w:tr w:rsidR="007C0E98" w:rsidRPr="00F40605" w14:paraId="2AE21A4B" w14:textId="77777777" w:rsidTr="00263AC9">
        <w:trPr>
          <w:tblHeader/>
        </w:trPr>
        <w:tc>
          <w:tcPr>
            <w:tcW w:w="1501" w:type="dxa"/>
            <w:shd w:val="clear" w:color="auto" w:fill="D9D9D9" w:themeFill="background1" w:themeFillShade="D9"/>
          </w:tcPr>
          <w:p w14:paraId="6E05F265" w14:textId="77777777" w:rsidR="007C0E98" w:rsidRPr="00F40605" w:rsidRDefault="007C0E98" w:rsidP="00005F38">
            <w:pPr>
              <w:pStyle w:val="BodyText1"/>
              <w:widowControl w:val="0"/>
              <w:spacing w:before="0" w:after="0" w:line="240" w:lineRule="auto"/>
              <w:rPr>
                <w:rFonts w:ascii="Arial Narrow" w:hAnsi="Arial Narrow" w:cstheme="minorHAnsi"/>
                <w:b/>
                <w:sz w:val="20"/>
                <w:szCs w:val="20"/>
              </w:rPr>
            </w:pPr>
            <w:r w:rsidRPr="00F40605">
              <w:rPr>
                <w:rFonts w:ascii="Arial Narrow" w:hAnsi="Arial Narrow" w:cstheme="minorHAnsi"/>
                <w:b/>
                <w:sz w:val="20"/>
                <w:szCs w:val="20"/>
              </w:rPr>
              <w:t>Trial</w:t>
            </w:r>
          </w:p>
        </w:tc>
        <w:tc>
          <w:tcPr>
            <w:tcW w:w="1502" w:type="dxa"/>
            <w:shd w:val="clear" w:color="auto" w:fill="D9D9D9" w:themeFill="background1" w:themeFillShade="D9"/>
          </w:tcPr>
          <w:p w14:paraId="7530F5F6"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Dosage</w:t>
            </w:r>
          </w:p>
        </w:tc>
        <w:tc>
          <w:tcPr>
            <w:tcW w:w="1312" w:type="dxa"/>
            <w:shd w:val="clear" w:color="auto" w:fill="D9D9D9" w:themeFill="background1" w:themeFillShade="D9"/>
          </w:tcPr>
          <w:p w14:paraId="7258E682"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Baseline AS/MAS</w:t>
            </w:r>
          </w:p>
          <w:p w14:paraId="57900B14"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Mean (SD)</w:t>
            </w:r>
          </w:p>
        </w:tc>
        <w:tc>
          <w:tcPr>
            <w:tcW w:w="1700" w:type="dxa"/>
            <w:shd w:val="clear" w:color="auto" w:fill="D9D9D9" w:themeFill="background1" w:themeFillShade="D9"/>
          </w:tcPr>
          <w:p w14:paraId="4C05CFDD" w14:textId="4637F7B6"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 xml:space="preserve">Change in AS/MAS score at 8 weeks vs baseline </w:t>
            </w:r>
          </w:p>
        </w:tc>
        <w:tc>
          <w:tcPr>
            <w:tcW w:w="1502" w:type="dxa"/>
            <w:shd w:val="clear" w:color="auto" w:fill="D9D9D9" w:themeFill="background1" w:themeFillShade="D9"/>
          </w:tcPr>
          <w:p w14:paraId="160423B6"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Baseline GMFM</w:t>
            </w:r>
          </w:p>
          <w:p w14:paraId="37DAA91A"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Mean (SD)</w:t>
            </w:r>
          </w:p>
        </w:tc>
        <w:tc>
          <w:tcPr>
            <w:tcW w:w="1577" w:type="dxa"/>
            <w:shd w:val="clear" w:color="auto" w:fill="D9D9D9" w:themeFill="background1" w:themeFillShade="D9"/>
          </w:tcPr>
          <w:p w14:paraId="4AD00F27" w14:textId="6B919EB0"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 xml:space="preserve">Change in GMFM score at end of </w:t>
            </w:r>
            <w:r w:rsidR="00263AC9">
              <w:rPr>
                <w:rFonts w:ascii="Arial Narrow" w:hAnsi="Arial Narrow" w:cstheme="minorHAnsi"/>
                <w:b/>
                <w:bCs/>
                <w:sz w:val="20"/>
                <w:szCs w:val="20"/>
              </w:rPr>
              <w:t xml:space="preserve">IC1 </w:t>
            </w:r>
            <w:r w:rsidRPr="00F40605">
              <w:rPr>
                <w:rFonts w:ascii="Arial Narrow" w:hAnsi="Arial Narrow" w:cstheme="minorHAnsi"/>
                <w:b/>
                <w:bCs/>
                <w:sz w:val="20"/>
                <w:szCs w:val="20"/>
              </w:rPr>
              <w:t xml:space="preserve">vs baseline </w:t>
            </w:r>
          </w:p>
        </w:tc>
      </w:tr>
      <w:tr w:rsidR="007C0E98" w:rsidRPr="00F40605" w14:paraId="27525EAC" w14:textId="77777777" w:rsidTr="00263AC9">
        <w:trPr>
          <w:trHeight w:val="585"/>
        </w:trPr>
        <w:tc>
          <w:tcPr>
            <w:tcW w:w="1501" w:type="dxa"/>
            <w:vMerge w:val="restart"/>
          </w:tcPr>
          <w:p w14:paraId="3F1781E4" w14:textId="77777777" w:rsidR="007C0E98" w:rsidRPr="00F40605" w:rsidRDefault="007C0E98" w:rsidP="00005F38">
            <w:pPr>
              <w:pStyle w:val="BodyText1"/>
              <w:widowControl w:val="0"/>
              <w:spacing w:before="0" w:after="0" w:line="240" w:lineRule="auto"/>
              <w:rPr>
                <w:rFonts w:ascii="Arial Narrow" w:hAnsi="Arial Narrow" w:cstheme="minorHAnsi"/>
                <w:b/>
                <w:bCs/>
                <w:sz w:val="20"/>
                <w:szCs w:val="20"/>
              </w:rPr>
            </w:pPr>
            <w:r w:rsidRPr="00F40605">
              <w:rPr>
                <w:rFonts w:ascii="Arial Narrow" w:hAnsi="Arial Narrow" w:cstheme="minorHAnsi"/>
                <w:b/>
                <w:bCs/>
                <w:sz w:val="20"/>
                <w:szCs w:val="20"/>
              </w:rPr>
              <w:t xml:space="preserve">TIM </w:t>
            </w:r>
          </w:p>
          <w:p w14:paraId="03DEEF15"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(LS-Mean [SE]; [95% CI])</w:t>
            </w:r>
          </w:p>
        </w:tc>
        <w:tc>
          <w:tcPr>
            <w:tcW w:w="1502" w:type="dxa"/>
          </w:tcPr>
          <w:p w14:paraId="1A86B7A5"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Low dose (4 U/kg BW), n=156</w:t>
            </w:r>
          </w:p>
        </w:tc>
        <w:tc>
          <w:tcPr>
            <w:tcW w:w="1312" w:type="dxa"/>
          </w:tcPr>
          <w:p w14:paraId="3D400591"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2.8 (0.5)</w:t>
            </w:r>
          </w:p>
        </w:tc>
        <w:tc>
          <w:tcPr>
            <w:tcW w:w="1700" w:type="dxa"/>
          </w:tcPr>
          <w:p w14:paraId="5C22503C"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-0.69 (0.080</w:t>
            </w:r>
            <w:proofErr w:type="gramStart"/>
            <w:r w:rsidRPr="00F40605">
              <w:rPr>
                <w:rFonts w:ascii="Arial Narrow" w:hAnsi="Arial Narrow" w:cstheme="minorHAnsi"/>
                <w:sz w:val="20"/>
                <w:szCs w:val="20"/>
              </w:rPr>
              <w:t>);</w:t>
            </w:r>
            <w:proofErr w:type="gramEnd"/>
            <w:r w:rsidRPr="00F40605">
              <w:rPr>
                <w:rFonts w:ascii="Arial Narrow" w:hAnsi="Arial Narrow" w:cstheme="minorHAnsi"/>
                <w:sz w:val="20"/>
                <w:szCs w:val="20"/>
              </w:rPr>
              <w:t xml:space="preserve"> </w:t>
            </w:r>
          </w:p>
          <w:p w14:paraId="2B6CEF5B"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(-0.85; -0.53)</w:t>
            </w:r>
          </w:p>
        </w:tc>
        <w:tc>
          <w:tcPr>
            <w:tcW w:w="1502" w:type="dxa"/>
          </w:tcPr>
          <w:p w14:paraId="0D273C92"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55.7 (20.7)</w:t>
            </w:r>
          </w:p>
        </w:tc>
        <w:tc>
          <w:tcPr>
            <w:tcW w:w="1577" w:type="dxa"/>
          </w:tcPr>
          <w:p w14:paraId="354B5D98"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1.64 (0.392); (0.87; </w:t>
            </w:r>
            <w:proofErr w:type="gramStart"/>
            <w:r w:rsidRPr="00F40605">
              <w:rPr>
                <w:rFonts w:ascii="Arial Narrow" w:hAnsi="Arial Narrow" w:cstheme="minorHAnsi"/>
                <w:sz w:val="20"/>
                <w:szCs w:val="20"/>
              </w:rPr>
              <w:t>2.41)</w:t>
            </w:r>
            <w:r w:rsidRPr="00F40605">
              <w:rPr>
                <w:rFonts w:ascii="Arial Narrow" w:hAnsi="Arial Narrow" w:cstheme="minorHAnsi"/>
                <w:sz w:val="20"/>
                <w:szCs w:val="20"/>
                <w:vertAlign w:val="superscript"/>
              </w:rPr>
              <w:t>a</w:t>
            </w:r>
            <w:proofErr w:type="gramEnd"/>
          </w:p>
        </w:tc>
      </w:tr>
      <w:tr w:rsidR="007C0E98" w:rsidRPr="00F40605" w14:paraId="0A122A07" w14:textId="77777777" w:rsidTr="00263AC9">
        <w:trPr>
          <w:trHeight w:val="585"/>
        </w:trPr>
        <w:tc>
          <w:tcPr>
            <w:tcW w:w="1501" w:type="dxa"/>
            <w:vMerge/>
          </w:tcPr>
          <w:p w14:paraId="1E06A6C8" w14:textId="77777777" w:rsidR="007C0E98" w:rsidRPr="00F40605" w:rsidRDefault="007C0E98" w:rsidP="00005F38">
            <w:pPr>
              <w:pStyle w:val="BodyText1"/>
              <w:widowControl w:val="0"/>
              <w:spacing w:before="0" w:after="0" w:line="240" w:lineRule="auto"/>
              <w:rPr>
                <w:rFonts w:ascii="Arial Narrow" w:hAnsi="Arial Narrow" w:cstheme="minorHAnsi"/>
                <w:b/>
                <w:bCs/>
                <w:sz w:val="20"/>
                <w:szCs w:val="20"/>
              </w:rPr>
            </w:pPr>
          </w:p>
        </w:tc>
        <w:tc>
          <w:tcPr>
            <w:tcW w:w="1502" w:type="dxa"/>
          </w:tcPr>
          <w:p w14:paraId="26B26713" w14:textId="62346F25"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Mid dose (12 U/kg BW), n=77</w:t>
            </w:r>
          </w:p>
        </w:tc>
        <w:tc>
          <w:tcPr>
            <w:tcW w:w="1312" w:type="dxa"/>
          </w:tcPr>
          <w:p w14:paraId="25290DDC"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2.7 (0.5)</w:t>
            </w:r>
          </w:p>
        </w:tc>
        <w:tc>
          <w:tcPr>
            <w:tcW w:w="1700" w:type="dxa"/>
          </w:tcPr>
          <w:p w14:paraId="33057D80"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-0.74 (0.088</w:t>
            </w:r>
            <w:proofErr w:type="gramStart"/>
            <w:r w:rsidRPr="00F40605">
              <w:rPr>
                <w:rFonts w:ascii="Arial Narrow" w:hAnsi="Arial Narrow" w:cstheme="minorHAnsi"/>
                <w:sz w:val="20"/>
                <w:szCs w:val="20"/>
              </w:rPr>
              <w:t>);</w:t>
            </w:r>
            <w:proofErr w:type="gramEnd"/>
            <w:r w:rsidRPr="00F40605">
              <w:rPr>
                <w:rFonts w:ascii="Arial Narrow" w:hAnsi="Arial Narrow" w:cstheme="minorHAnsi"/>
                <w:sz w:val="20"/>
                <w:szCs w:val="20"/>
              </w:rPr>
              <w:t xml:space="preserve"> </w:t>
            </w:r>
          </w:p>
          <w:p w14:paraId="146E4056" w14:textId="0731106E"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(-0.91; -0.56)</w:t>
            </w:r>
          </w:p>
        </w:tc>
        <w:tc>
          <w:tcPr>
            <w:tcW w:w="1502" w:type="dxa"/>
          </w:tcPr>
          <w:p w14:paraId="64A6D584"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57.8 (18.5)</w:t>
            </w:r>
          </w:p>
        </w:tc>
        <w:tc>
          <w:tcPr>
            <w:tcW w:w="1577" w:type="dxa"/>
          </w:tcPr>
          <w:p w14:paraId="703A5D17" w14:textId="29BD3DD9" w:rsidR="007C0E98" w:rsidRPr="000842CE"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1.14 (0.448); (0.25; 2.03)</w:t>
            </w:r>
            <w:r w:rsidRPr="00F40605">
              <w:rPr>
                <w:rFonts w:ascii="Arial Narrow" w:hAnsi="Arial Narrow" w:cstheme="minorHAnsi"/>
                <w:sz w:val="20"/>
                <w:szCs w:val="20"/>
                <w:vertAlign w:val="superscript"/>
              </w:rPr>
              <w:t xml:space="preserve"> a</w:t>
            </w:r>
          </w:p>
        </w:tc>
      </w:tr>
      <w:tr w:rsidR="007C0E98" w:rsidRPr="00F40605" w14:paraId="5C7CFECA" w14:textId="77777777" w:rsidTr="00263AC9">
        <w:trPr>
          <w:trHeight w:val="585"/>
        </w:trPr>
        <w:tc>
          <w:tcPr>
            <w:tcW w:w="1501" w:type="dxa"/>
            <w:vMerge/>
          </w:tcPr>
          <w:p w14:paraId="75E30CF5" w14:textId="77777777" w:rsidR="007C0E98" w:rsidRPr="00F40605" w:rsidRDefault="007C0E98" w:rsidP="00005F38">
            <w:pPr>
              <w:pStyle w:val="BodyText1"/>
              <w:widowControl w:val="0"/>
              <w:spacing w:before="0" w:after="0" w:line="240" w:lineRule="auto"/>
              <w:rPr>
                <w:rFonts w:ascii="Arial Narrow" w:hAnsi="Arial Narrow" w:cstheme="minorHAnsi"/>
                <w:b/>
                <w:bCs/>
                <w:sz w:val="20"/>
                <w:szCs w:val="20"/>
              </w:rPr>
            </w:pPr>
          </w:p>
        </w:tc>
        <w:tc>
          <w:tcPr>
            <w:tcW w:w="1502" w:type="dxa"/>
          </w:tcPr>
          <w:p w14:paraId="7C7237D5" w14:textId="2590EC83"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High dose (16 U/kg BW), n=78</w:t>
            </w:r>
          </w:p>
        </w:tc>
        <w:tc>
          <w:tcPr>
            <w:tcW w:w="1312" w:type="dxa"/>
          </w:tcPr>
          <w:p w14:paraId="44D4EB4D"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2.7 (0.6)</w:t>
            </w:r>
          </w:p>
        </w:tc>
        <w:tc>
          <w:tcPr>
            <w:tcW w:w="1700" w:type="dxa"/>
          </w:tcPr>
          <w:p w14:paraId="3753CBCE"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-0.62 (0.059</w:t>
            </w:r>
            <w:proofErr w:type="gramStart"/>
            <w:r w:rsidRPr="00F40605">
              <w:rPr>
                <w:rFonts w:ascii="Arial Narrow" w:hAnsi="Arial Narrow" w:cstheme="minorHAnsi"/>
                <w:sz w:val="20"/>
                <w:szCs w:val="20"/>
              </w:rPr>
              <w:t>);</w:t>
            </w:r>
            <w:proofErr w:type="gramEnd"/>
            <w:r w:rsidRPr="00F40605">
              <w:rPr>
                <w:rFonts w:ascii="Arial Narrow" w:hAnsi="Arial Narrow" w:cstheme="minorHAnsi"/>
                <w:sz w:val="20"/>
                <w:szCs w:val="20"/>
              </w:rPr>
              <w:t xml:space="preserve"> </w:t>
            </w:r>
          </w:p>
          <w:p w14:paraId="24BE67B8"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(-0.73; -0.50)</w:t>
            </w:r>
          </w:p>
        </w:tc>
        <w:tc>
          <w:tcPr>
            <w:tcW w:w="1502" w:type="dxa"/>
          </w:tcPr>
          <w:p w14:paraId="379DB511"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56.3 (18.6)</w:t>
            </w:r>
          </w:p>
        </w:tc>
        <w:tc>
          <w:tcPr>
            <w:tcW w:w="1577" w:type="dxa"/>
          </w:tcPr>
          <w:p w14:paraId="383821FF"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sz w:val="20"/>
                <w:szCs w:val="20"/>
              </w:rPr>
              <w:t>1.23 (0.288); (0.66; 1.80)</w:t>
            </w:r>
            <w:r w:rsidRPr="00F40605">
              <w:rPr>
                <w:rFonts w:ascii="Arial Narrow" w:hAnsi="Arial Narrow" w:cstheme="minorHAnsi"/>
                <w:sz w:val="20"/>
                <w:szCs w:val="20"/>
                <w:vertAlign w:val="superscript"/>
              </w:rPr>
              <w:t xml:space="preserve"> a</w:t>
            </w:r>
          </w:p>
        </w:tc>
      </w:tr>
      <w:tr w:rsidR="007C0E98" w:rsidRPr="00F40605" w14:paraId="0219263E" w14:textId="77777777" w:rsidTr="00263AC9">
        <w:tc>
          <w:tcPr>
            <w:tcW w:w="1501" w:type="dxa"/>
          </w:tcPr>
          <w:p w14:paraId="42476C57" w14:textId="77777777" w:rsidR="007C0E98" w:rsidRPr="00F40605" w:rsidRDefault="007C0E98" w:rsidP="00005F38">
            <w:pPr>
              <w:pStyle w:val="BodyText1"/>
              <w:widowControl w:val="0"/>
              <w:spacing w:before="0" w:after="0" w:line="240" w:lineRule="auto"/>
              <w:rPr>
                <w:rFonts w:ascii="Arial Narrow" w:hAnsi="Arial Narrow" w:cstheme="minorHAnsi"/>
                <w:b/>
                <w:bCs/>
                <w:sz w:val="20"/>
                <w:szCs w:val="20"/>
              </w:rPr>
            </w:pPr>
            <w:r w:rsidRPr="00F40605">
              <w:rPr>
                <w:rFonts w:ascii="Arial Narrow" w:hAnsi="Arial Narrow" w:cstheme="minorHAnsi"/>
                <w:b/>
                <w:bCs/>
                <w:sz w:val="20"/>
                <w:szCs w:val="20"/>
              </w:rPr>
              <w:t xml:space="preserve">Flett </w:t>
            </w:r>
            <w:r w:rsidRPr="00F40605">
              <w:rPr>
                <w:rFonts w:ascii="Arial Narrow" w:hAnsi="Arial Narrow" w:cstheme="minorHAnsi"/>
                <w:b/>
                <w:bCs/>
                <w:i/>
                <w:iCs/>
                <w:sz w:val="20"/>
                <w:szCs w:val="20"/>
              </w:rPr>
              <w:t xml:space="preserve">et al., </w:t>
            </w:r>
            <w:r w:rsidRPr="00F40605">
              <w:rPr>
                <w:rFonts w:ascii="Arial Narrow" w:hAnsi="Arial Narrow" w:cstheme="minorHAnsi"/>
                <w:b/>
                <w:bCs/>
                <w:sz w:val="20"/>
                <w:szCs w:val="20"/>
              </w:rPr>
              <w:t>1999</w:t>
            </w:r>
          </w:p>
          <w:p w14:paraId="49142118" w14:textId="77777777" w:rsidR="007C0E98" w:rsidRPr="00F40605" w:rsidRDefault="007C0E98" w:rsidP="00005F38">
            <w:pPr>
              <w:pStyle w:val="BodyText1"/>
              <w:widowControl w:val="0"/>
              <w:spacing w:before="0" w:after="0" w:line="240" w:lineRule="auto"/>
              <w:rPr>
                <w:rFonts w:ascii="Arial Narrow" w:hAnsi="Arial Narrow" w:cstheme="minorHAnsi"/>
                <w:b/>
                <w:bCs/>
                <w:sz w:val="20"/>
                <w:szCs w:val="20"/>
              </w:rPr>
            </w:pPr>
            <w:r w:rsidRPr="00F40605">
              <w:rPr>
                <w:rFonts w:ascii="Arial Narrow" w:hAnsi="Arial Narrow" w:cstheme="minorHAnsi"/>
                <w:b/>
                <w:bCs/>
                <w:sz w:val="20"/>
                <w:szCs w:val="20"/>
              </w:rPr>
              <w:t>(Mean)</w:t>
            </w:r>
          </w:p>
        </w:tc>
        <w:tc>
          <w:tcPr>
            <w:tcW w:w="1502" w:type="dxa"/>
          </w:tcPr>
          <w:p w14:paraId="2446673E"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4–8 U/kg BW, n= 10</w:t>
            </w:r>
          </w:p>
        </w:tc>
        <w:tc>
          <w:tcPr>
            <w:tcW w:w="1312" w:type="dxa"/>
          </w:tcPr>
          <w:p w14:paraId="3BF380FA"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Assessed by physio:</w:t>
            </w:r>
          </w:p>
          <w:p w14:paraId="07A7CD4B"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2.41 (0.65)</w:t>
            </w:r>
          </w:p>
          <w:p w14:paraId="4B7B5AE3"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p>
          <w:p w14:paraId="565A897C"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Assessed by doctor:</w:t>
            </w:r>
          </w:p>
          <w:p w14:paraId="6A593DC6"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2.69 (0.75)</w:t>
            </w:r>
          </w:p>
        </w:tc>
        <w:tc>
          <w:tcPr>
            <w:tcW w:w="1700" w:type="dxa"/>
          </w:tcPr>
          <w:p w14:paraId="7CA3CC10"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Assessed by Physio: </w:t>
            </w:r>
          </w:p>
          <w:p w14:paraId="32D87AAC"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-1.01</w:t>
            </w:r>
          </w:p>
          <w:p w14:paraId="35E6F1E0"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p>
          <w:p w14:paraId="77D9EC99"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Assessed by Doctor: </w:t>
            </w:r>
          </w:p>
          <w:p w14:paraId="7E569BB2"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sz w:val="20"/>
                <w:szCs w:val="20"/>
              </w:rPr>
              <w:t>-1.29</w:t>
            </w:r>
          </w:p>
        </w:tc>
        <w:tc>
          <w:tcPr>
            <w:tcW w:w="1502" w:type="dxa"/>
          </w:tcPr>
          <w:p w14:paraId="5B9FEE14"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Standing: </w:t>
            </w:r>
          </w:p>
          <w:p w14:paraId="217D5D31"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55.75 (24.20)</w:t>
            </w:r>
          </w:p>
          <w:p w14:paraId="616CF82A"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p>
          <w:p w14:paraId="2C795B85"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Dynamic:</w:t>
            </w:r>
          </w:p>
          <w:p w14:paraId="46B8C53F"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40.61 (24.00)</w:t>
            </w:r>
          </w:p>
        </w:tc>
        <w:tc>
          <w:tcPr>
            <w:tcW w:w="1577" w:type="dxa"/>
          </w:tcPr>
          <w:p w14:paraId="3973EA1D" w14:textId="77777777" w:rsidR="007C0E98" w:rsidRPr="00F40605" w:rsidRDefault="007C0E98" w:rsidP="00005F38">
            <w:pPr>
              <w:pStyle w:val="BodyText1"/>
              <w:widowControl w:val="0"/>
              <w:spacing w:before="0" w:after="0" w:line="240" w:lineRule="auto"/>
              <w:rPr>
                <w:rFonts w:ascii="Arial Narrow" w:hAnsi="Arial Narrow" w:cstheme="minorHAnsi"/>
                <w:sz w:val="20"/>
                <w:szCs w:val="20"/>
              </w:rPr>
            </w:pPr>
            <w:r w:rsidRPr="00F40605">
              <w:rPr>
                <w:rFonts w:ascii="Arial Narrow" w:hAnsi="Arial Narrow" w:cstheme="minorHAnsi"/>
                <w:sz w:val="20"/>
                <w:szCs w:val="20"/>
              </w:rPr>
              <w:t>Standing:</w:t>
            </w:r>
          </w:p>
          <w:p w14:paraId="2EE9276A" w14:textId="77777777" w:rsidR="007C0E98" w:rsidRPr="00F40605" w:rsidRDefault="007C0E98" w:rsidP="00005F38">
            <w:pPr>
              <w:pStyle w:val="BodyText1"/>
              <w:widowControl w:val="0"/>
              <w:spacing w:before="0" w:after="0" w:line="240" w:lineRule="auto"/>
              <w:rPr>
                <w:rFonts w:ascii="Arial Narrow" w:hAnsi="Arial Narrow" w:cstheme="minorHAnsi"/>
                <w:sz w:val="20"/>
                <w:szCs w:val="20"/>
                <w:vertAlign w:val="superscript"/>
              </w:rPr>
            </w:pPr>
            <w:r w:rsidRPr="00F40605">
              <w:rPr>
                <w:rFonts w:ascii="Arial Narrow" w:hAnsi="Arial Narrow" w:cstheme="minorHAnsi"/>
                <w:sz w:val="20"/>
                <w:szCs w:val="20"/>
              </w:rPr>
              <w:t>6.8</w:t>
            </w:r>
            <w:r w:rsidRPr="00F40605">
              <w:rPr>
                <w:rFonts w:ascii="Arial Narrow" w:hAnsi="Arial Narrow" w:cstheme="minorHAnsi"/>
                <w:sz w:val="20"/>
                <w:szCs w:val="20"/>
                <w:vertAlign w:val="superscript"/>
              </w:rPr>
              <w:t>b</w:t>
            </w:r>
          </w:p>
          <w:p w14:paraId="4199CEEC" w14:textId="77777777" w:rsidR="007C0E98" w:rsidRPr="00F40605" w:rsidRDefault="007C0E98" w:rsidP="00005F38">
            <w:pPr>
              <w:pStyle w:val="BodyText1"/>
              <w:widowControl w:val="0"/>
              <w:spacing w:before="0" w:after="0" w:line="240" w:lineRule="auto"/>
              <w:rPr>
                <w:rFonts w:ascii="Arial Narrow" w:hAnsi="Arial Narrow" w:cstheme="minorHAnsi"/>
                <w:sz w:val="20"/>
                <w:szCs w:val="20"/>
              </w:rPr>
            </w:pPr>
          </w:p>
          <w:p w14:paraId="44A3FD2A" w14:textId="77777777" w:rsidR="007C0E98" w:rsidRPr="00F40605" w:rsidRDefault="007C0E98" w:rsidP="00005F38">
            <w:pPr>
              <w:pStyle w:val="BodyText1"/>
              <w:widowControl w:val="0"/>
              <w:spacing w:before="0" w:after="0" w:line="240" w:lineRule="auto"/>
              <w:rPr>
                <w:rFonts w:ascii="Arial Narrow" w:hAnsi="Arial Narrow" w:cstheme="minorHAnsi"/>
                <w:sz w:val="20"/>
                <w:szCs w:val="20"/>
              </w:rPr>
            </w:pPr>
            <w:r w:rsidRPr="00F40605">
              <w:rPr>
                <w:rFonts w:ascii="Arial Narrow" w:hAnsi="Arial Narrow" w:cstheme="minorHAnsi"/>
                <w:sz w:val="20"/>
                <w:szCs w:val="20"/>
              </w:rPr>
              <w:t>Dynamic:</w:t>
            </w:r>
          </w:p>
          <w:p w14:paraId="62340E65" w14:textId="77777777" w:rsidR="007C0E98" w:rsidRPr="00F40605" w:rsidRDefault="007C0E98" w:rsidP="00005F38">
            <w:pPr>
              <w:pStyle w:val="BodyText1"/>
              <w:widowControl w:val="0"/>
              <w:spacing w:before="0" w:after="0" w:line="240" w:lineRule="auto"/>
              <w:rPr>
                <w:rFonts w:ascii="Arial Narrow" w:hAnsi="Arial Narrow" w:cstheme="minorHAnsi"/>
                <w:sz w:val="20"/>
                <w:szCs w:val="20"/>
                <w:vertAlign w:val="superscript"/>
              </w:rPr>
            </w:pPr>
            <w:r w:rsidRPr="00F40605">
              <w:rPr>
                <w:rFonts w:ascii="Arial Narrow" w:hAnsi="Arial Narrow" w:cstheme="minorHAnsi"/>
                <w:sz w:val="20"/>
                <w:szCs w:val="20"/>
              </w:rPr>
              <w:t>8.84</w:t>
            </w:r>
            <w:r w:rsidRPr="00F40605">
              <w:rPr>
                <w:rFonts w:ascii="Arial Narrow" w:hAnsi="Arial Narrow" w:cstheme="minorHAnsi"/>
                <w:sz w:val="20"/>
                <w:szCs w:val="20"/>
                <w:vertAlign w:val="superscript"/>
              </w:rPr>
              <w:t>b</w:t>
            </w:r>
          </w:p>
        </w:tc>
      </w:tr>
    </w:tbl>
    <w:p w14:paraId="00A35497" w14:textId="23FED110" w:rsidR="007C0E98" w:rsidRPr="00B33E6F" w:rsidRDefault="007C0E98" w:rsidP="00005F38">
      <w:pPr>
        <w:keepNext/>
        <w:keepLines/>
        <w:spacing w:line="240" w:lineRule="auto"/>
        <w:jc w:val="both"/>
        <w:rPr>
          <w:rFonts w:ascii="Arial Narrow" w:hAnsi="Arial Narrow"/>
          <w:sz w:val="16"/>
          <w:szCs w:val="16"/>
        </w:rPr>
      </w:pPr>
      <w:r w:rsidRPr="00B33E6F">
        <w:rPr>
          <w:rFonts w:ascii="Arial Narrow" w:hAnsi="Arial Narrow"/>
          <w:sz w:val="16"/>
          <w:szCs w:val="16"/>
        </w:rPr>
        <w:t>Abbreviations: AS, Ashworth scale; MAS, modified Ashworth scale; GMFM, Gross motor function measure, U, unit; BW, body weight.</w:t>
      </w:r>
      <w:r w:rsidR="002703E2" w:rsidRPr="00B33E6F">
        <w:rPr>
          <w:rFonts w:ascii="Arial Narrow" w:hAnsi="Arial Narrow"/>
          <w:sz w:val="16"/>
          <w:szCs w:val="16"/>
        </w:rPr>
        <w:t xml:space="preserve"> </w:t>
      </w:r>
      <w:proofErr w:type="gramStart"/>
      <w:r w:rsidRPr="00B33E6F">
        <w:rPr>
          <w:rFonts w:ascii="Arial Narrow" w:hAnsi="Arial Narrow"/>
          <w:sz w:val="16"/>
          <w:szCs w:val="16"/>
          <w:vertAlign w:val="superscript"/>
        </w:rPr>
        <w:t>a</w:t>
      </w:r>
      <w:proofErr w:type="gramEnd"/>
      <w:r w:rsidRPr="00B33E6F">
        <w:rPr>
          <w:rFonts w:ascii="Arial Narrow" w:hAnsi="Arial Narrow"/>
          <w:sz w:val="16"/>
          <w:szCs w:val="16"/>
          <w:vertAlign w:val="superscript"/>
        </w:rPr>
        <w:t xml:space="preserve"> </w:t>
      </w:r>
      <w:r w:rsidRPr="00B33E6F">
        <w:rPr>
          <w:rFonts w:ascii="Arial Narrow" w:hAnsi="Arial Narrow"/>
          <w:sz w:val="16"/>
          <w:szCs w:val="16"/>
        </w:rPr>
        <w:t>Assessed at 36 weeks</w:t>
      </w:r>
      <w:r w:rsidR="002703E2" w:rsidRPr="00B33E6F">
        <w:rPr>
          <w:rFonts w:ascii="Arial Narrow" w:hAnsi="Arial Narrow"/>
          <w:sz w:val="16"/>
          <w:szCs w:val="16"/>
        </w:rPr>
        <w:t xml:space="preserve"> </w:t>
      </w:r>
      <w:r w:rsidRPr="00B33E6F">
        <w:rPr>
          <w:rFonts w:ascii="Arial Narrow" w:hAnsi="Arial Narrow"/>
          <w:sz w:val="16"/>
          <w:szCs w:val="16"/>
          <w:vertAlign w:val="superscript"/>
        </w:rPr>
        <w:t xml:space="preserve">b </w:t>
      </w:r>
      <w:r w:rsidRPr="00B33E6F">
        <w:rPr>
          <w:rFonts w:ascii="Arial Narrow" w:hAnsi="Arial Narrow"/>
          <w:sz w:val="16"/>
          <w:szCs w:val="16"/>
        </w:rPr>
        <w:t>Assessed at 6 months</w:t>
      </w:r>
    </w:p>
    <w:p w14:paraId="26D1F9E7" w14:textId="77122C75" w:rsidR="007C0E98" w:rsidRPr="002703E2" w:rsidRDefault="007C0E98" w:rsidP="003B228A">
      <w:pPr>
        <w:spacing w:after="120" w:line="240" w:lineRule="auto"/>
        <w:rPr>
          <w:rFonts w:cs="Calibri"/>
        </w:rPr>
      </w:pPr>
      <w:r w:rsidRPr="002703E2">
        <w:rPr>
          <w:rFonts w:cs="Calibri"/>
        </w:rPr>
        <w:t>Change in AS/MAS scores as reported in the upper-limb spasticity studies are seen in</w:t>
      </w:r>
      <w:r w:rsidR="002703E2" w:rsidRPr="002703E2">
        <w:rPr>
          <w:rFonts w:cs="Calibri"/>
        </w:rPr>
        <w:t xml:space="preserve"> </w:t>
      </w:r>
      <w:r w:rsidR="002703E2" w:rsidRPr="002703E2">
        <w:rPr>
          <w:rFonts w:cs="Calibri"/>
        </w:rPr>
        <w:fldChar w:fldCharType="begin"/>
      </w:r>
      <w:r w:rsidR="002703E2" w:rsidRPr="002703E2">
        <w:rPr>
          <w:rFonts w:cs="Calibri"/>
        </w:rPr>
        <w:instrText xml:space="preserve"> REF _Ref199283621 \h  \* MERGEFORMAT </w:instrText>
      </w:r>
      <w:r w:rsidR="002703E2" w:rsidRPr="002703E2">
        <w:rPr>
          <w:rFonts w:cs="Calibri"/>
        </w:rPr>
      </w:r>
      <w:r w:rsidR="002703E2" w:rsidRPr="002703E2">
        <w:rPr>
          <w:rFonts w:cs="Calibri"/>
        </w:rPr>
        <w:fldChar w:fldCharType="separate"/>
      </w:r>
      <w:r w:rsidR="00913AD6" w:rsidRPr="00CE28E3">
        <w:t>Table</w:t>
      </w:r>
      <w:r w:rsidR="00C66231">
        <w:t xml:space="preserve"> </w:t>
      </w:r>
      <w:r w:rsidR="00913AD6">
        <w:t>6</w:t>
      </w:r>
      <w:r w:rsidR="002703E2" w:rsidRPr="002703E2">
        <w:rPr>
          <w:rFonts w:cs="Calibri"/>
        </w:rPr>
        <w:fldChar w:fldCharType="end"/>
      </w:r>
      <w:r w:rsidRPr="002703E2">
        <w:rPr>
          <w:rFonts w:cs="Calibri"/>
        </w:rPr>
        <w:t xml:space="preserve">. The subjects in XARA and those in the Botox studies are similar in terms of baseline spasticity as measured by AS/MAS, with those in XARA tending to have slightly higher average scores. Reductions in AS/MAS at four weeks/one month were nominally higher in XARA which may be </w:t>
      </w:r>
      <w:proofErr w:type="gramStart"/>
      <w:r w:rsidRPr="002703E2">
        <w:rPr>
          <w:rFonts w:cs="Calibri"/>
        </w:rPr>
        <w:t>as a result of</w:t>
      </w:r>
      <w:proofErr w:type="gramEnd"/>
      <w:r w:rsidRPr="002703E2">
        <w:rPr>
          <w:rFonts w:cs="Calibri"/>
        </w:rPr>
        <w:t xml:space="preserve"> higher disability in the population. As expected with the way botulinum toxin treatments efficacy wanes over time, the change in AS score was reduced at 14 weeks in XARA. The AS/MAS changes in the Botox studies were more consistent over the observation periods, but may be </w:t>
      </w:r>
      <w:proofErr w:type="gramStart"/>
      <w:r w:rsidRPr="002703E2">
        <w:rPr>
          <w:rFonts w:cs="Calibri"/>
        </w:rPr>
        <w:t>as a result of</w:t>
      </w:r>
      <w:proofErr w:type="gramEnd"/>
      <w:r w:rsidRPr="002703E2">
        <w:rPr>
          <w:rFonts w:cs="Calibri"/>
        </w:rPr>
        <w:t xml:space="preserve"> small population sizes and or poorly reported differences in treatment,</w:t>
      </w:r>
    </w:p>
    <w:p w14:paraId="606CD3E1" w14:textId="77777777" w:rsidR="007C0E98" w:rsidRDefault="007C0E98" w:rsidP="003B228A">
      <w:pPr>
        <w:spacing w:after="120" w:line="240" w:lineRule="auto"/>
      </w:pPr>
      <w:r w:rsidRPr="002703E2">
        <w:t xml:space="preserve">Exposure to treatment was poorly reported. Lowe (2006) indicated that patients received a single injection over the entire 6-month observation period, which is contrary to clinical practice. It is unclear if the dosing patterns in </w:t>
      </w:r>
      <w:proofErr w:type="spellStart"/>
      <w:r w:rsidRPr="002703E2">
        <w:t>Fehlings</w:t>
      </w:r>
      <w:proofErr w:type="spellEnd"/>
      <w:r w:rsidRPr="002703E2">
        <w:t xml:space="preserve"> (2000) and Russo (2007) reflect optimal use.</w:t>
      </w:r>
    </w:p>
    <w:p w14:paraId="4A094B16" w14:textId="1402468B" w:rsidR="007C0E98" w:rsidRDefault="002703E2" w:rsidP="00005F38">
      <w:pPr>
        <w:pStyle w:val="Caption"/>
        <w:keepLines/>
        <w:widowControl w:val="0"/>
        <w:spacing w:before="240"/>
      </w:pPr>
      <w:bookmarkStart w:id="26" w:name="_Ref199283621"/>
      <w:r w:rsidRPr="00CE28E3">
        <w:lastRenderedPageBreak/>
        <w:t>Table</w:t>
      </w:r>
      <w:r>
        <w:t> </w:t>
      </w:r>
      <w:r w:rsidR="00913AD6">
        <w:fldChar w:fldCharType="begin"/>
      </w:r>
      <w:r w:rsidR="00913AD6">
        <w:instrText xml:space="preserve"> SEQ Table \* ARABIC </w:instrText>
      </w:r>
      <w:r w:rsidR="00913AD6">
        <w:fldChar w:fldCharType="separate"/>
      </w:r>
      <w:r w:rsidR="00913AD6">
        <w:rPr>
          <w:noProof/>
        </w:rPr>
        <w:t>6</w:t>
      </w:r>
      <w:r w:rsidR="00913AD6">
        <w:rPr>
          <w:noProof/>
        </w:rPr>
        <w:fldChar w:fldCharType="end"/>
      </w:r>
      <w:bookmarkEnd w:id="26"/>
      <w:r w:rsidRPr="00CE28E3">
        <w:tab/>
      </w:r>
      <w:r w:rsidR="007C0E98">
        <w:t xml:space="preserve">Comparative outcomes of </w:t>
      </w:r>
      <w:proofErr w:type="spellStart"/>
      <w:r w:rsidR="007C0E98">
        <w:t>Xeomin</w:t>
      </w:r>
      <w:proofErr w:type="spellEnd"/>
      <w:r w:rsidR="00501280" w:rsidRPr="009C1504">
        <w:rPr>
          <w:rFonts w:cs="Segoe UI"/>
          <w:color w:val="000000" w:themeColor="text1"/>
        </w:rPr>
        <w:t>®</w:t>
      </w:r>
      <w:r w:rsidR="007C0E98">
        <w:t xml:space="preserve"> and Botox</w:t>
      </w:r>
      <w:r w:rsidR="00501280" w:rsidRPr="009C1504">
        <w:rPr>
          <w:rFonts w:cs="Segoe UI"/>
          <w:color w:val="000000" w:themeColor="text1"/>
        </w:rPr>
        <w:t>®</w:t>
      </w:r>
      <w:r w:rsidR="007C0E98">
        <w:t xml:space="preserve"> studies for upper-limb CP spasticity</w:t>
      </w:r>
    </w:p>
    <w:tbl>
      <w:tblPr>
        <w:tblStyle w:val="TableGrid"/>
        <w:tblW w:w="8977" w:type="dxa"/>
        <w:tblLook w:val="04A0" w:firstRow="1" w:lastRow="0" w:firstColumn="1" w:lastColumn="0" w:noHBand="0" w:noVBand="1"/>
      </w:tblPr>
      <w:tblGrid>
        <w:gridCol w:w="1615"/>
        <w:gridCol w:w="1526"/>
        <w:gridCol w:w="1246"/>
        <w:gridCol w:w="2331"/>
        <w:gridCol w:w="2259"/>
      </w:tblGrid>
      <w:tr w:rsidR="007C0E98" w:rsidRPr="00F40605" w14:paraId="2F47558E" w14:textId="77777777" w:rsidTr="00E44EA0">
        <w:trPr>
          <w:tblHeader/>
        </w:trPr>
        <w:tc>
          <w:tcPr>
            <w:tcW w:w="1615" w:type="dxa"/>
            <w:shd w:val="clear" w:color="auto" w:fill="D9D9D9" w:themeFill="background1" w:themeFillShade="D9"/>
            <w:vAlign w:val="center"/>
          </w:tcPr>
          <w:p w14:paraId="6192577E" w14:textId="77777777" w:rsidR="007C0E98" w:rsidRPr="00F40605" w:rsidRDefault="007C0E98" w:rsidP="00005F38">
            <w:pPr>
              <w:pStyle w:val="BodyText1"/>
              <w:widowControl w:val="0"/>
              <w:spacing w:before="0" w:after="0" w:line="240" w:lineRule="auto"/>
              <w:jc w:val="left"/>
              <w:rPr>
                <w:rFonts w:ascii="Arial Narrow" w:hAnsi="Arial Narrow" w:cstheme="minorHAnsi"/>
                <w:b/>
                <w:sz w:val="20"/>
                <w:szCs w:val="20"/>
              </w:rPr>
            </w:pPr>
            <w:r w:rsidRPr="00F40605">
              <w:rPr>
                <w:rFonts w:ascii="Arial Narrow" w:hAnsi="Arial Narrow" w:cstheme="minorHAnsi"/>
                <w:b/>
                <w:sz w:val="20"/>
                <w:szCs w:val="20"/>
              </w:rPr>
              <w:t>Trial</w:t>
            </w:r>
          </w:p>
        </w:tc>
        <w:tc>
          <w:tcPr>
            <w:tcW w:w="1526" w:type="dxa"/>
            <w:shd w:val="clear" w:color="auto" w:fill="D9D9D9" w:themeFill="background1" w:themeFillShade="D9"/>
            <w:vAlign w:val="center"/>
          </w:tcPr>
          <w:p w14:paraId="46336812"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Dosage</w:t>
            </w:r>
          </w:p>
        </w:tc>
        <w:tc>
          <w:tcPr>
            <w:tcW w:w="1246" w:type="dxa"/>
            <w:shd w:val="clear" w:color="auto" w:fill="D9D9D9" w:themeFill="background1" w:themeFillShade="D9"/>
            <w:vAlign w:val="center"/>
          </w:tcPr>
          <w:p w14:paraId="3D2C5893"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Baseline AS/MAS</w:t>
            </w:r>
          </w:p>
          <w:p w14:paraId="694ED7AA"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Mean (SD)</w:t>
            </w:r>
          </w:p>
        </w:tc>
        <w:tc>
          <w:tcPr>
            <w:tcW w:w="2331" w:type="dxa"/>
            <w:shd w:val="clear" w:color="auto" w:fill="D9D9D9" w:themeFill="background1" w:themeFillShade="D9"/>
            <w:vAlign w:val="center"/>
          </w:tcPr>
          <w:p w14:paraId="10B493EA"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 xml:space="preserve">Change in AS/MAS score vs baseline, first measure </w:t>
            </w:r>
            <w:r w:rsidRPr="00F40605">
              <w:rPr>
                <w:rFonts w:ascii="Arial Narrow" w:hAnsi="Arial Narrow" w:cstheme="minorHAnsi"/>
                <w:b/>
                <w:bCs/>
                <w:sz w:val="20"/>
                <w:szCs w:val="20"/>
                <w:vertAlign w:val="superscript"/>
              </w:rPr>
              <w:t>a</w:t>
            </w:r>
          </w:p>
        </w:tc>
        <w:tc>
          <w:tcPr>
            <w:tcW w:w="2259" w:type="dxa"/>
            <w:shd w:val="clear" w:color="auto" w:fill="D9D9D9" w:themeFill="background1" w:themeFillShade="D9"/>
            <w:vAlign w:val="center"/>
          </w:tcPr>
          <w:p w14:paraId="7A9B34D9" w14:textId="77777777" w:rsidR="007C0E98" w:rsidRPr="00F40605" w:rsidRDefault="007C0E98" w:rsidP="00005F38">
            <w:pPr>
              <w:pStyle w:val="BodyText1"/>
              <w:widowControl w:val="0"/>
              <w:spacing w:before="0" w:after="0" w:line="240" w:lineRule="auto"/>
              <w:jc w:val="center"/>
              <w:rPr>
                <w:rFonts w:ascii="Arial Narrow" w:hAnsi="Arial Narrow" w:cstheme="minorHAnsi"/>
                <w:b/>
                <w:bCs/>
                <w:sz w:val="20"/>
                <w:szCs w:val="20"/>
              </w:rPr>
            </w:pPr>
            <w:r w:rsidRPr="00F40605">
              <w:rPr>
                <w:rFonts w:ascii="Arial Narrow" w:hAnsi="Arial Narrow" w:cstheme="minorHAnsi"/>
                <w:b/>
                <w:bCs/>
                <w:sz w:val="20"/>
                <w:szCs w:val="20"/>
              </w:rPr>
              <w:t xml:space="preserve">Change in AS/MAS score vs baseline, second measure </w:t>
            </w:r>
            <w:r w:rsidRPr="00F40605">
              <w:rPr>
                <w:rFonts w:ascii="Arial Narrow" w:hAnsi="Arial Narrow" w:cstheme="minorHAnsi"/>
                <w:b/>
                <w:bCs/>
                <w:sz w:val="20"/>
                <w:szCs w:val="20"/>
                <w:vertAlign w:val="superscript"/>
              </w:rPr>
              <w:t>b</w:t>
            </w:r>
          </w:p>
        </w:tc>
      </w:tr>
      <w:tr w:rsidR="007C0E98" w:rsidRPr="00F40605" w14:paraId="78DEB24A" w14:textId="77777777" w:rsidTr="00E44EA0">
        <w:trPr>
          <w:trHeight w:val="585"/>
        </w:trPr>
        <w:tc>
          <w:tcPr>
            <w:tcW w:w="1615" w:type="dxa"/>
            <w:vMerge w:val="restart"/>
            <w:vAlign w:val="center"/>
          </w:tcPr>
          <w:p w14:paraId="5EA9F1A4"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XARA</w:t>
            </w:r>
          </w:p>
          <w:p w14:paraId="38A7FE3D"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(LS-Mean [SE]; [95% CI])</w:t>
            </w:r>
          </w:p>
        </w:tc>
        <w:tc>
          <w:tcPr>
            <w:tcW w:w="1526" w:type="dxa"/>
            <w:vAlign w:val="center"/>
          </w:tcPr>
          <w:p w14:paraId="1FD145F3"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Low dose (2 U/kg BW), n=85</w:t>
            </w:r>
          </w:p>
        </w:tc>
        <w:tc>
          <w:tcPr>
            <w:tcW w:w="1246" w:type="dxa"/>
            <w:vAlign w:val="center"/>
          </w:tcPr>
          <w:p w14:paraId="3A75424F"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2.6 (0.52)</w:t>
            </w:r>
          </w:p>
        </w:tc>
        <w:tc>
          <w:tcPr>
            <w:tcW w:w="2331" w:type="dxa"/>
            <w:vAlign w:val="center"/>
          </w:tcPr>
          <w:p w14:paraId="3F7DB208"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-0.93 (0.078); (-1.08; -0.78)</w:t>
            </w:r>
          </w:p>
        </w:tc>
        <w:tc>
          <w:tcPr>
            <w:tcW w:w="2259" w:type="dxa"/>
            <w:vAlign w:val="center"/>
          </w:tcPr>
          <w:p w14:paraId="5423B4DF" w14:textId="0C77F87E"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-0.4 (0.56)</w:t>
            </w:r>
          </w:p>
        </w:tc>
      </w:tr>
      <w:tr w:rsidR="007C0E98" w:rsidRPr="00F40605" w14:paraId="683B38FE" w14:textId="77777777" w:rsidTr="00E44EA0">
        <w:trPr>
          <w:trHeight w:val="585"/>
        </w:trPr>
        <w:tc>
          <w:tcPr>
            <w:tcW w:w="1615" w:type="dxa"/>
            <w:vMerge/>
            <w:vAlign w:val="center"/>
          </w:tcPr>
          <w:p w14:paraId="126AB493"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p>
        </w:tc>
        <w:tc>
          <w:tcPr>
            <w:tcW w:w="1526" w:type="dxa"/>
            <w:vAlign w:val="center"/>
          </w:tcPr>
          <w:p w14:paraId="229E3043"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Mid dose (6 U/kg BW), n=87</w:t>
            </w:r>
          </w:p>
        </w:tc>
        <w:tc>
          <w:tcPr>
            <w:tcW w:w="1246" w:type="dxa"/>
            <w:vAlign w:val="center"/>
          </w:tcPr>
          <w:p w14:paraId="29AE5169"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2.6 (0.52)</w:t>
            </w:r>
          </w:p>
        </w:tc>
        <w:tc>
          <w:tcPr>
            <w:tcW w:w="2331" w:type="dxa"/>
            <w:vAlign w:val="center"/>
          </w:tcPr>
          <w:p w14:paraId="1F75DF2C"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-1.02 (0.082)</w:t>
            </w:r>
          </w:p>
        </w:tc>
        <w:tc>
          <w:tcPr>
            <w:tcW w:w="2259" w:type="dxa"/>
            <w:vAlign w:val="center"/>
          </w:tcPr>
          <w:p w14:paraId="07FF4D0A" w14:textId="7184A83A"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-0.4 (0.56)</w:t>
            </w:r>
          </w:p>
        </w:tc>
      </w:tr>
      <w:tr w:rsidR="007C0E98" w:rsidRPr="00F40605" w14:paraId="59F1116A" w14:textId="77777777" w:rsidTr="00E44EA0">
        <w:trPr>
          <w:trHeight w:val="585"/>
        </w:trPr>
        <w:tc>
          <w:tcPr>
            <w:tcW w:w="1615" w:type="dxa"/>
            <w:vMerge/>
            <w:vAlign w:val="center"/>
          </w:tcPr>
          <w:p w14:paraId="4306699A"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p>
        </w:tc>
        <w:tc>
          <w:tcPr>
            <w:tcW w:w="1526" w:type="dxa"/>
            <w:vAlign w:val="center"/>
          </w:tcPr>
          <w:p w14:paraId="680E000D"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High dose (8 U/kg BW), n=173</w:t>
            </w:r>
          </w:p>
        </w:tc>
        <w:tc>
          <w:tcPr>
            <w:tcW w:w="1246" w:type="dxa"/>
            <w:vAlign w:val="center"/>
          </w:tcPr>
          <w:p w14:paraId="7C24DB05"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2.7 (0.56)</w:t>
            </w:r>
          </w:p>
        </w:tc>
        <w:tc>
          <w:tcPr>
            <w:tcW w:w="2331" w:type="dxa"/>
            <w:vAlign w:val="center"/>
          </w:tcPr>
          <w:p w14:paraId="2CF34907"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-1.15 (0.056); (-1.26; -1.04)</w:t>
            </w:r>
          </w:p>
        </w:tc>
        <w:tc>
          <w:tcPr>
            <w:tcW w:w="2259" w:type="dxa"/>
            <w:vAlign w:val="center"/>
          </w:tcPr>
          <w:p w14:paraId="0C454EEA" w14:textId="0936AA9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-0.4 (0.63)</w:t>
            </w:r>
          </w:p>
        </w:tc>
      </w:tr>
      <w:tr w:rsidR="007C0E98" w:rsidRPr="00F40605" w14:paraId="22386EE0" w14:textId="77777777" w:rsidTr="00E44EA0">
        <w:trPr>
          <w:trHeight w:val="388"/>
        </w:trPr>
        <w:tc>
          <w:tcPr>
            <w:tcW w:w="1615" w:type="dxa"/>
            <w:vMerge w:val="restart"/>
            <w:shd w:val="clear" w:color="auto" w:fill="F2F2F2" w:themeFill="background1" w:themeFillShade="F2"/>
            <w:vAlign w:val="center"/>
          </w:tcPr>
          <w:p w14:paraId="1036085F"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proofErr w:type="spellStart"/>
            <w:r w:rsidRPr="00F40605">
              <w:rPr>
                <w:rFonts w:ascii="Arial Narrow" w:hAnsi="Arial Narrow" w:cstheme="minorHAnsi"/>
                <w:b/>
                <w:bCs/>
                <w:sz w:val="20"/>
                <w:szCs w:val="20"/>
              </w:rPr>
              <w:t>Fehlings</w:t>
            </w:r>
            <w:proofErr w:type="spellEnd"/>
            <w:r w:rsidRPr="00F40605">
              <w:rPr>
                <w:rFonts w:ascii="Arial Narrow" w:hAnsi="Arial Narrow" w:cstheme="minorHAnsi"/>
                <w:b/>
                <w:bCs/>
                <w:sz w:val="20"/>
                <w:szCs w:val="20"/>
              </w:rPr>
              <w:t xml:space="preserve"> et al. 2000</w:t>
            </w:r>
          </w:p>
          <w:p w14:paraId="03EBD778"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Mean (SD)</w:t>
            </w:r>
          </w:p>
        </w:tc>
        <w:tc>
          <w:tcPr>
            <w:tcW w:w="1526" w:type="dxa"/>
            <w:shd w:val="clear" w:color="auto" w:fill="F2F2F2" w:themeFill="background1" w:themeFillShade="F2"/>
            <w:vAlign w:val="center"/>
          </w:tcPr>
          <w:p w14:paraId="09B5B77E"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 xml:space="preserve">No intervention </w:t>
            </w:r>
          </w:p>
          <w:p w14:paraId="1B4D0649"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n=14</w:t>
            </w:r>
          </w:p>
        </w:tc>
        <w:tc>
          <w:tcPr>
            <w:tcW w:w="1246" w:type="dxa"/>
            <w:shd w:val="clear" w:color="auto" w:fill="F2F2F2" w:themeFill="background1" w:themeFillShade="F2"/>
            <w:vAlign w:val="center"/>
          </w:tcPr>
          <w:p w14:paraId="74F6EA1F"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2.2 (0.59)</w:t>
            </w:r>
          </w:p>
        </w:tc>
        <w:tc>
          <w:tcPr>
            <w:tcW w:w="2331" w:type="dxa"/>
            <w:shd w:val="clear" w:color="auto" w:fill="F2F2F2" w:themeFill="background1" w:themeFillShade="F2"/>
            <w:vAlign w:val="center"/>
          </w:tcPr>
          <w:p w14:paraId="3F808BAA"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-0.26 (0.53)</w:t>
            </w:r>
          </w:p>
        </w:tc>
        <w:tc>
          <w:tcPr>
            <w:tcW w:w="2259" w:type="dxa"/>
            <w:shd w:val="clear" w:color="auto" w:fill="F2F2F2" w:themeFill="background1" w:themeFillShade="F2"/>
            <w:vAlign w:val="center"/>
          </w:tcPr>
          <w:p w14:paraId="417AE1E2"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-0.30 (0.49)</w:t>
            </w:r>
          </w:p>
        </w:tc>
      </w:tr>
      <w:tr w:rsidR="007C0E98" w:rsidRPr="00F40605" w14:paraId="697EBD9B" w14:textId="77777777" w:rsidTr="00E44EA0">
        <w:trPr>
          <w:trHeight w:val="298"/>
        </w:trPr>
        <w:tc>
          <w:tcPr>
            <w:tcW w:w="1615" w:type="dxa"/>
            <w:vMerge/>
            <w:shd w:val="clear" w:color="auto" w:fill="F2F2F2" w:themeFill="background1" w:themeFillShade="F2"/>
            <w:vAlign w:val="center"/>
          </w:tcPr>
          <w:p w14:paraId="6A023DB2"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p>
        </w:tc>
        <w:tc>
          <w:tcPr>
            <w:tcW w:w="1526" w:type="dxa"/>
            <w:shd w:val="clear" w:color="auto" w:fill="F2F2F2" w:themeFill="background1" w:themeFillShade="F2"/>
            <w:vAlign w:val="center"/>
          </w:tcPr>
          <w:p w14:paraId="7305C9F3"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Botox</w:t>
            </w:r>
          </w:p>
          <w:p w14:paraId="40216BE2"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n=15</w:t>
            </w:r>
          </w:p>
        </w:tc>
        <w:tc>
          <w:tcPr>
            <w:tcW w:w="1246" w:type="dxa"/>
            <w:shd w:val="clear" w:color="auto" w:fill="F2F2F2" w:themeFill="background1" w:themeFillShade="F2"/>
            <w:vAlign w:val="center"/>
          </w:tcPr>
          <w:p w14:paraId="5D3499A3"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2.3 (0.75)</w:t>
            </w:r>
          </w:p>
        </w:tc>
        <w:tc>
          <w:tcPr>
            <w:tcW w:w="2331" w:type="dxa"/>
            <w:shd w:val="clear" w:color="auto" w:fill="F2F2F2" w:themeFill="background1" w:themeFillShade="F2"/>
            <w:vAlign w:val="center"/>
          </w:tcPr>
          <w:p w14:paraId="45F6E891" w14:textId="77777777" w:rsidR="007C0E98" w:rsidRPr="00F40605" w:rsidRDefault="007C0E98" w:rsidP="00005F38">
            <w:pPr>
              <w:pStyle w:val="BodyText1"/>
              <w:widowControl w:val="0"/>
              <w:spacing w:before="0" w:after="0" w:line="240" w:lineRule="auto"/>
              <w:jc w:val="center"/>
              <w:rPr>
                <w:rFonts w:ascii="Arial Narrow" w:hAnsi="Arial Narrow"/>
                <w:sz w:val="20"/>
                <w:szCs w:val="20"/>
              </w:rPr>
            </w:pPr>
            <w:r w:rsidRPr="00F40605">
              <w:rPr>
                <w:rFonts w:ascii="Arial Narrow" w:hAnsi="Arial Narrow" w:cstheme="minorHAnsi"/>
                <w:sz w:val="20"/>
                <w:szCs w:val="20"/>
              </w:rPr>
              <w:t>-0.34 (0.45)</w:t>
            </w:r>
          </w:p>
        </w:tc>
        <w:tc>
          <w:tcPr>
            <w:tcW w:w="2259" w:type="dxa"/>
            <w:shd w:val="clear" w:color="auto" w:fill="F2F2F2" w:themeFill="background1" w:themeFillShade="F2"/>
            <w:vAlign w:val="center"/>
          </w:tcPr>
          <w:p w14:paraId="2C44E129"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-0.29 (0.41)</w:t>
            </w:r>
          </w:p>
        </w:tc>
      </w:tr>
      <w:tr w:rsidR="007C0E98" w:rsidRPr="00F40605" w14:paraId="1E93F212" w14:textId="77777777" w:rsidTr="00E44EA0">
        <w:trPr>
          <w:cantSplit/>
          <w:trHeight w:val="442"/>
        </w:trPr>
        <w:tc>
          <w:tcPr>
            <w:tcW w:w="1615" w:type="dxa"/>
            <w:vMerge w:val="restart"/>
            <w:vAlign w:val="center"/>
          </w:tcPr>
          <w:p w14:paraId="3E3CC9BC"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Lowe et al. 2006</w:t>
            </w:r>
          </w:p>
          <w:p w14:paraId="3D1416C0"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Mean (SD)</w:t>
            </w:r>
          </w:p>
        </w:tc>
        <w:tc>
          <w:tcPr>
            <w:tcW w:w="1526" w:type="dxa"/>
            <w:vAlign w:val="center"/>
          </w:tcPr>
          <w:p w14:paraId="46B99B57"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No intervention</w:t>
            </w:r>
          </w:p>
          <w:p w14:paraId="59893F68"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n=21</w:t>
            </w:r>
          </w:p>
        </w:tc>
        <w:tc>
          <w:tcPr>
            <w:tcW w:w="1246" w:type="dxa"/>
            <w:vAlign w:val="center"/>
          </w:tcPr>
          <w:p w14:paraId="01525AB7"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2.2 (0.1)</w:t>
            </w:r>
          </w:p>
        </w:tc>
        <w:tc>
          <w:tcPr>
            <w:tcW w:w="2331" w:type="dxa"/>
            <w:vAlign w:val="center"/>
          </w:tcPr>
          <w:p w14:paraId="4F6EE177"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-0.03 (NR)</w:t>
            </w:r>
          </w:p>
        </w:tc>
        <w:tc>
          <w:tcPr>
            <w:tcW w:w="2259" w:type="dxa"/>
            <w:vAlign w:val="center"/>
          </w:tcPr>
          <w:p w14:paraId="6BCC7AE7"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-0.15 (NR)</w:t>
            </w:r>
          </w:p>
        </w:tc>
      </w:tr>
      <w:tr w:rsidR="007C0E98" w:rsidRPr="00F40605" w14:paraId="2458C11B" w14:textId="77777777" w:rsidTr="00E44EA0">
        <w:trPr>
          <w:cantSplit/>
          <w:trHeight w:val="442"/>
        </w:trPr>
        <w:tc>
          <w:tcPr>
            <w:tcW w:w="1615" w:type="dxa"/>
            <w:vMerge/>
            <w:vAlign w:val="center"/>
          </w:tcPr>
          <w:p w14:paraId="2CBA63A6"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p>
        </w:tc>
        <w:tc>
          <w:tcPr>
            <w:tcW w:w="1526" w:type="dxa"/>
            <w:vAlign w:val="center"/>
          </w:tcPr>
          <w:p w14:paraId="058D993F"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Botox</w:t>
            </w:r>
          </w:p>
          <w:p w14:paraId="243CB35F"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n=21</w:t>
            </w:r>
          </w:p>
        </w:tc>
        <w:tc>
          <w:tcPr>
            <w:tcW w:w="1246" w:type="dxa"/>
            <w:vAlign w:val="center"/>
          </w:tcPr>
          <w:p w14:paraId="47BA00CE"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2.4 (0.1)</w:t>
            </w:r>
          </w:p>
        </w:tc>
        <w:tc>
          <w:tcPr>
            <w:tcW w:w="2331" w:type="dxa"/>
            <w:vAlign w:val="center"/>
          </w:tcPr>
          <w:p w14:paraId="45BDA8A4"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-1.1 (NR)</w:t>
            </w:r>
          </w:p>
        </w:tc>
        <w:tc>
          <w:tcPr>
            <w:tcW w:w="2259" w:type="dxa"/>
            <w:vAlign w:val="center"/>
          </w:tcPr>
          <w:p w14:paraId="17FB7233"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-0.8 (NR)</w:t>
            </w:r>
          </w:p>
        </w:tc>
      </w:tr>
      <w:tr w:rsidR="007C0E98" w:rsidRPr="00F40605" w14:paraId="6992F3C1" w14:textId="77777777" w:rsidTr="00E44EA0">
        <w:trPr>
          <w:trHeight w:val="352"/>
        </w:trPr>
        <w:tc>
          <w:tcPr>
            <w:tcW w:w="1615" w:type="dxa"/>
            <w:vMerge w:val="restart"/>
            <w:shd w:val="clear" w:color="auto" w:fill="F2F2F2" w:themeFill="background1" w:themeFillShade="F2"/>
            <w:vAlign w:val="center"/>
          </w:tcPr>
          <w:p w14:paraId="7BF4F395"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Russo et al. 2007</w:t>
            </w:r>
          </w:p>
          <w:p w14:paraId="7F31A5F8" w14:textId="77777777" w:rsidR="007C0E98" w:rsidRPr="00F40605" w:rsidRDefault="007C0E98" w:rsidP="00005F38">
            <w:pPr>
              <w:pStyle w:val="BodyText1"/>
              <w:widowControl w:val="0"/>
              <w:spacing w:before="0" w:after="0" w:line="240" w:lineRule="auto"/>
              <w:jc w:val="left"/>
              <w:rPr>
                <w:rFonts w:ascii="Arial Narrow" w:hAnsi="Arial Narrow" w:cstheme="minorHAnsi"/>
                <w:b/>
                <w:bCs/>
                <w:sz w:val="20"/>
                <w:szCs w:val="20"/>
              </w:rPr>
            </w:pPr>
            <w:r w:rsidRPr="00F40605">
              <w:rPr>
                <w:rFonts w:ascii="Arial Narrow" w:hAnsi="Arial Narrow" w:cstheme="minorHAnsi"/>
                <w:b/>
                <w:bCs/>
                <w:sz w:val="20"/>
                <w:szCs w:val="20"/>
              </w:rPr>
              <w:t>Mean (SD)</w:t>
            </w:r>
          </w:p>
        </w:tc>
        <w:tc>
          <w:tcPr>
            <w:tcW w:w="1526" w:type="dxa"/>
            <w:shd w:val="clear" w:color="auto" w:fill="F2F2F2" w:themeFill="background1" w:themeFillShade="F2"/>
            <w:vAlign w:val="center"/>
          </w:tcPr>
          <w:p w14:paraId="2EB90B43"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No intervention</w:t>
            </w:r>
          </w:p>
          <w:p w14:paraId="0BF1E009"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n=22</w:t>
            </w:r>
          </w:p>
        </w:tc>
        <w:tc>
          <w:tcPr>
            <w:tcW w:w="1246" w:type="dxa"/>
            <w:shd w:val="clear" w:color="auto" w:fill="F2F2F2" w:themeFill="background1" w:themeFillShade="F2"/>
            <w:vAlign w:val="center"/>
          </w:tcPr>
          <w:p w14:paraId="592C72D0"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 (NR)</w:t>
            </w:r>
          </w:p>
        </w:tc>
        <w:tc>
          <w:tcPr>
            <w:tcW w:w="2331" w:type="dxa"/>
            <w:shd w:val="clear" w:color="auto" w:fill="F2F2F2" w:themeFill="background1" w:themeFillShade="F2"/>
            <w:vAlign w:val="center"/>
          </w:tcPr>
          <w:p w14:paraId="193D8296"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NR</w:t>
            </w:r>
          </w:p>
        </w:tc>
        <w:tc>
          <w:tcPr>
            <w:tcW w:w="2259" w:type="dxa"/>
            <w:shd w:val="clear" w:color="auto" w:fill="F2F2F2" w:themeFill="background1" w:themeFillShade="F2"/>
            <w:vAlign w:val="center"/>
          </w:tcPr>
          <w:p w14:paraId="67C772FB"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 (NR)</w:t>
            </w:r>
          </w:p>
        </w:tc>
      </w:tr>
      <w:tr w:rsidR="007C0E98" w:rsidRPr="00F40605" w14:paraId="1CBC5BAD" w14:textId="77777777" w:rsidTr="00E44EA0">
        <w:trPr>
          <w:trHeight w:val="433"/>
        </w:trPr>
        <w:tc>
          <w:tcPr>
            <w:tcW w:w="1615" w:type="dxa"/>
            <w:vMerge/>
            <w:shd w:val="clear" w:color="auto" w:fill="F2F2F2" w:themeFill="background1" w:themeFillShade="F2"/>
            <w:vAlign w:val="center"/>
          </w:tcPr>
          <w:p w14:paraId="459E1485"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p>
        </w:tc>
        <w:tc>
          <w:tcPr>
            <w:tcW w:w="1526" w:type="dxa"/>
            <w:shd w:val="clear" w:color="auto" w:fill="F2F2F2" w:themeFill="background1" w:themeFillShade="F2"/>
            <w:vAlign w:val="center"/>
          </w:tcPr>
          <w:p w14:paraId="5C861140"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Botox</w:t>
            </w:r>
          </w:p>
          <w:p w14:paraId="1E50A369" w14:textId="77777777" w:rsidR="007C0E98" w:rsidRPr="00F40605" w:rsidRDefault="007C0E98" w:rsidP="00005F38">
            <w:pPr>
              <w:pStyle w:val="BodyText1"/>
              <w:widowControl w:val="0"/>
              <w:spacing w:before="0" w:after="0" w:line="240" w:lineRule="auto"/>
              <w:jc w:val="left"/>
              <w:rPr>
                <w:rFonts w:ascii="Arial Narrow" w:hAnsi="Arial Narrow" w:cstheme="minorHAnsi"/>
                <w:sz w:val="20"/>
                <w:szCs w:val="20"/>
              </w:rPr>
            </w:pPr>
            <w:r w:rsidRPr="00F40605">
              <w:rPr>
                <w:rFonts w:ascii="Arial Narrow" w:hAnsi="Arial Narrow" w:cstheme="minorHAnsi"/>
                <w:sz w:val="20"/>
                <w:szCs w:val="20"/>
              </w:rPr>
              <w:t>n=21</w:t>
            </w:r>
          </w:p>
        </w:tc>
        <w:tc>
          <w:tcPr>
            <w:tcW w:w="1246" w:type="dxa"/>
            <w:shd w:val="clear" w:color="auto" w:fill="F2F2F2" w:themeFill="background1" w:themeFillShade="F2"/>
            <w:vAlign w:val="center"/>
          </w:tcPr>
          <w:p w14:paraId="1699C0D9"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2 (NR)</w:t>
            </w:r>
          </w:p>
        </w:tc>
        <w:tc>
          <w:tcPr>
            <w:tcW w:w="2331" w:type="dxa"/>
            <w:shd w:val="clear" w:color="auto" w:fill="F2F2F2" w:themeFill="background1" w:themeFillShade="F2"/>
            <w:vAlign w:val="center"/>
          </w:tcPr>
          <w:p w14:paraId="2388062C"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NR</w:t>
            </w:r>
          </w:p>
        </w:tc>
        <w:tc>
          <w:tcPr>
            <w:tcW w:w="2259" w:type="dxa"/>
            <w:shd w:val="clear" w:color="auto" w:fill="F2F2F2" w:themeFill="background1" w:themeFillShade="F2"/>
            <w:vAlign w:val="center"/>
          </w:tcPr>
          <w:p w14:paraId="34618872" w14:textId="77777777" w:rsidR="007C0E98" w:rsidRPr="00F40605" w:rsidRDefault="007C0E98" w:rsidP="00005F38">
            <w:pPr>
              <w:pStyle w:val="BodyText1"/>
              <w:widowControl w:val="0"/>
              <w:spacing w:before="0" w:after="0" w:line="240" w:lineRule="auto"/>
              <w:jc w:val="center"/>
              <w:rPr>
                <w:rFonts w:ascii="Arial Narrow" w:hAnsi="Arial Narrow" w:cstheme="minorHAnsi"/>
                <w:sz w:val="20"/>
                <w:szCs w:val="20"/>
              </w:rPr>
            </w:pPr>
            <w:r w:rsidRPr="00F40605">
              <w:rPr>
                <w:rFonts w:ascii="Arial Narrow" w:hAnsi="Arial Narrow" w:cstheme="minorHAnsi"/>
                <w:sz w:val="20"/>
                <w:szCs w:val="20"/>
              </w:rPr>
              <w:t>-1 (NR)</w:t>
            </w:r>
          </w:p>
        </w:tc>
      </w:tr>
    </w:tbl>
    <w:p w14:paraId="432F33D6" w14:textId="0BC12A14" w:rsidR="007C0E98" w:rsidRPr="00B33E6F" w:rsidRDefault="007C0E98" w:rsidP="00005F38">
      <w:pPr>
        <w:keepNext/>
        <w:keepLines/>
        <w:widowControl w:val="0"/>
        <w:spacing w:before="0" w:line="240" w:lineRule="auto"/>
        <w:jc w:val="both"/>
        <w:rPr>
          <w:rFonts w:ascii="Arial Narrow" w:hAnsi="Arial Narrow"/>
          <w:sz w:val="16"/>
          <w:szCs w:val="16"/>
        </w:rPr>
      </w:pPr>
      <w:r w:rsidRPr="00B33E6F">
        <w:rPr>
          <w:rFonts w:ascii="Arial Narrow" w:hAnsi="Arial Narrow"/>
          <w:sz w:val="16"/>
          <w:szCs w:val="16"/>
        </w:rPr>
        <w:t xml:space="preserve">Abbreviations: AS, Ashworth scale; MAS, modified Ashworth scale; U, unit; BW, body weight, NR; not reported. a=four weeks for </w:t>
      </w:r>
      <w:proofErr w:type="spellStart"/>
      <w:r w:rsidRPr="00B33E6F">
        <w:rPr>
          <w:rFonts w:ascii="Arial Narrow" w:hAnsi="Arial Narrow"/>
          <w:sz w:val="16"/>
          <w:szCs w:val="16"/>
        </w:rPr>
        <w:t>Xeomin</w:t>
      </w:r>
      <w:proofErr w:type="spellEnd"/>
      <w:r w:rsidRPr="00B33E6F">
        <w:rPr>
          <w:rFonts w:ascii="Arial Narrow" w:hAnsi="Arial Narrow"/>
          <w:sz w:val="16"/>
          <w:szCs w:val="16"/>
        </w:rPr>
        <w:t xml:space="preserve"> study, one month for Botox, b=14 weeks for </w:t>
      </w:r>
      <w:proofErr w:type="spellStart"/>
      <w:r w:rsidRPr="00B33E6F">
        <w:rPr>
          <w:rFonts w:ascii="Arial Narrow" w:hAnsi="Arial Narrow"/>
          <w:sz w:val="16"/>
          <w:szCs w:val="16"/>
        </w:rPr>
        <w:t>Xeomin</w:t>
      </w:r>
      <w:proofErr w:type="spellEnd"/>
      <w:r w:rsidRPr="00B33E6F">
        <w:rPr>
          <w:rFonts w:ascii="Arial Narrow" w:hAnsi="Arial Narrow"/>
          <w:sz w:val="16"/>
          <w:szCs w:val="16"/>
        </w:rPr>
        <w:t xml:space="preserve"> study, 3 months for </w:t>
      </w:r>
      <w:r w:rsidR="00F40605" w:rsidRPr="00B33E6F">
        <w:rPr>
          <w:rFonts w:ascii="Arial Narrow" w:hAnsi="Arial Narrow"/>
          <w:sz w:val="16"/>
          <w:szCs w:val="16"/>
        </w:rPr>
        <w:t>B</w:t>
      </w:r>
      <w:r w:rsidRPr="00B33E6F">
        <w:rPr>
          <w:rFonts w:ascii="Arial Narrow" w:hAnsi="Arial Narrow"/>
          <w:sz w:val="16"/>
          <w:szCs w:val="16"/>
        </w:rPr>
        <w:t>otox.</w:t>
      </w:r>
    </w:p>
    <w:p w14:paraId="213924C6" w14:textId="11D5654C" w:rsidR="00772829" w:rsidRPr="00217AFE" w:rsidRDefault="00772829" w:rsidP="00491603">
      <w:pPr>
        <w:pStyle w:val="Heading3"/>
      </w:pPr>
      <w:r w:rsidRPr="00217AFE">
        <w:t>Clinical claim</w:t>
      </w:r>
    </w:p>
    <w:p w14:paraId="49776147" w14:textId="1F80CE24" w:rsidR="00175281" w:rsidRPr="00175281" w:rsidRDefault="00175281" w:rsidP="003B228A">
      <w:pPr>
        <w:pStyle w:val="Instructionaltext"/>
        <w:spacing w:after="120" w:line="240" w:lineRule="auto"/>
        <w:rPr>
          <w:color w:val="000000" w:themeColor="text1"/>
        </w:rPr>
      </w:pPr>
      <w:r w:rsidRPr="00175281">
        <w:rPr>
          <w:color w:val="000000" w:themeColor="text1"/>
        </w:rPr>
        <w:t>When the available evidence is taken as a whole, and when contextualised within Australian clinical practices using botulinum toxins interchangeably for listed applications, the pragmatic therapeutic conclusions are:</w:t>
      </w:r>
    </w:p>
    <w:p w14:paraId="03DBC367" w14:textId="04B183A6" w:rsidR="00175281" w:rsidRPr="00175281" w:rsidRDefault="00175281" w:rsidP="003B228A">
      <w:pPr>
        <w:pStyle w:val="Instructionaltext"/>
        <w:numPr>
          <w:ilvl w:val="0"/>
          <w:numId w:val="26"/>
        </w:numPr>
        <w:spacing w:after="120" w:line="240" w:lineRule="auto"/>
        <w:rPr>
          <w:color w:val="000000" w:themeColor="text1"/>
        </w:rPr>
      </w:pPr>
      <w:proofErr w:type="spellStart"/>
      <w:r w:rsidRPr="00175281">
        <w:rPr>
          <w:color w:val="000000" w:themeColor="text1"/>
        </w:rPr>
        <w:t>Xeomin</w:t>
      </w:r>
      <w:proofErr w:type="spellEnd"/>
      <w:r w:rsidR="0008409A" w:rsidRPr="006166A0">
        <w:rPr>
          <w:rFonts w:cs="Segoe UI"/>
          <w:color w:val="000000" w:themeColor="text1"/>
        </w:rPr>
        <w:t>®</w:t>
      </w:r>
      <w:r w:rsidRPr="00175281">
        <w:rPr>
          <w:color w:val="000000" w:themeColor="text1"/>
        </w:rPr>
        <w:t xml:space="preserve"> is non-inferior to Botox</w:t>
      </w:r>
      <w:r w:rsidR="0008409A" w:rsidRPr="006166A0">
        <w:rPr>
          <w:rFonts w:cs="Segoe UI"/>
          <w:color w:val="000000" w:themeColor="text1"/>
        </w:rPr>
        <w:t>®</w:t>
      </w:r>
      <w:r w:rsidRPr="00175281">
        <w:rPr>
          <w:color w:val="000000" w:themeColor="text1"/>
        </w:rPr>
        <w:t xml:space="preserve"> in terms of </w:t>
      </w:r>
      <w:r w:rsidR="00947616">
        <w:rPr>
          <w:color w:val="000000" w:themeColor="text1"/>
        </w:rPr>
        <w:t>safety</w:t>
      </w:r>
      <w:r w:rsidRPr="00175281">
        <w:rPr>
          <w:color w:val="000000" w:themeColor="text1"/>
        </w:rPr>
        <w:t xml:space="preserve"> in patients 2 years and older with upper or lower limb spasticity due to </w:t>
      </w:r>
      <w:r w:rsidR="0008409A">
        <w:rPr>
          <w:color w:val="000000" w:themeColor="text1"/>
        </w:rPr>
        <w:t>CP</w:t>
      </w:r>
      <w:r w:rsidRPr="00175281">
        <w:rPr>
          <w:color w:val="000000" w:themeColor="text1"/>
        </w:rPr>
        <w:t xml:space="preserve">. </w:t>
      </w:r>
    </w:p>
    <w:p w14:paraId="20E3FB65" w14:textId="29143ABE" w:rsidR="00175281" w:rsidRPr="00175281" w:rsidRDefault="00175281" w:rsidP="003B228A">
      <w:pPr>
        <w:pStyle w:val="Instructionaltext"/>
        <w:numPr>
          <w:ilvl w:val="0"/>
          <w:numId w:val="26"/>
        </w:numPr>
        <w:spacing w:line="240" w:lineRule="auto"/>
        <w:rPr>
          <w:color w:val="000000" w:themeColor="text1"/>
        </w:rPr>
      </w:pPr>
      <w:proofErr w:type="spellStart"/>
      <w:r w:rsidRPr="00175281">
        <w:rPr>
          <w:color w:val="000000" w:themeColor="text1"/>
        </w:rPr>
        <w:t>Xeomin</w:t>
      </w:r>
      <w:proofErr w:type="spellEnd"/>
      <w:r w:rsidR="0008409A" w:rsidRPr="006166A0">
        <w:rPr>
          <w:rFonts w:cs="Segoe UI"/>
          <w:color w:val="000000" w:themeColor="text1"/>
        </w:rPr>
        <w:t>®</w:t>
      </w:r>
      <w:r w:rsidRPr="00175281">
        <w:rPr>
          <w:color w:val="000000" w:themeColor="text1"/>
        </w:rPr>
        <w:t xml:space="preserve"> is non-inferior to Botox</w:t>
      </w:r>
      <w:r w:rsidR="0008409A" w:rsidRPr="006166A0">
        <w:rPr>
          <w:rFonts w:cs="Segoe UI"/>
          <w:color w:val="000000" w:themeColor="text1"/>
        </w:rPr>
        <w:t>®</w:t>
      </w:r>
      <w:r w:rsidRPr="00175281">
        <w:rPr>
          <w:color w:val="000000" w:themeColor="text1"/>
        </w:rPr>
        <w:t xml:space="preserve"> in terms of </w:t>
      </w:r>
      <w:r w:rsidR="00947616">
        <w:rPr>
          <w:color w:val="000000" w:themeColor="text1"/>
        </w:rPr>
        <w:t>efficacy</w:t>
      </w:r>
      <w:r w:rsidRPr="00175281">
        <w:rPr>
          <w:color w:val="000000" w:themeColor="text1"/>
        </w:rPr>
        <w:t xml:space="preserve"> in patients 2 years and older with upper or lower limb spasticity due to </w:t>
      </w:r>
      <w:r w:rsidR="0008409A">
        <w:rPr>
          <w:color w:val="000000" w:themeColor="text1"/>
        </w:rPr>
        <w:t>CP</w:t>
      </w:r>
      <w:r w:rsidRPr="00175281">
        <w:rPr>
          <w:color w:val="000000" w:themeColor="text1"/>
        </w:rPr>
        <w:t>.</w:t>
      </w:r>
    </w:p>
    <w:p w14:paraId="0D09C9E4" w14:textId="561C64A7" w:rsidR="00772829" w:rsidRPr="00CE28E3" w:rsidRDefault="00772829" w:rsidP="00045C5D">
      <w:pPr>
        <w:pStyle w:val="Heading2"/>
        <w:numPr>
          <w:ilvl w:val="0"/>
          <w:numId w:val="29"/>
        </w:numPr>
        <w:tabs>
          <w:tab w:val="num" w:pos="1134"/>
        </w:tabs>
      </w:pPr>
      <w:bookmarkStart w:id="27" w:name="_Toc69491425"/>
      <w:r w:rsidRPr="00CE28E3">
        <w:t>Economic evaluation</w:t>
      </w:r>
      <w:bookmarkEnd w:id="27"/>
    </w:p>
    <w:p w14:paraId="0C568165" w14:textId="03F8122F" w:rsidR="00983B06" w:rsidRPr="00832D8D" w:rsidRDefault="00983B06" w:rsidP="003B228A">
      <w:pPr>
        <w:pStyle w:val="Instructionaltext"/>
        <w:spacing w:line="240" w:lineRule="auto"/>
        <w:rPr>
          <w:color w:val="000000" w:themeColor="text1"/>
        </w:rPr>
      </w:pPr>
      <w:r>
        <w:rPr>
          <w:color w:val="000000" w:themeColor="text1"/>
        </w:rPr>
        <w:t>A</w:t>
      </w:r>
      <w:r w:rsidRPr="00175281">
        <w:rPr>
          <w:color w:val="000000" w:themeColor="text1"/>
        </w:rPr>
        <w:t xml:space="preserve"> cost-minimisation economic evaluation </w:t>
      </w:r>
      <w:r w:rsidR="00946488">
        <w:rPr>
          <w:color w:val="000000" w:themeColor="text1"/>
        </w:rPr>
        <w:t>compared</w:t>
      </w:r>
      <w:r w:rsidR="00331597">
        <w:rPr>
          <w:color w:val="000000" w:themeColor="text1"/>
        </w:rPr>
        <w:t xml:space="preserve"> </w:t>
      </w:r>
      <w:proofErr w:type="spellStart"/>
      <w:r w:rsidR="00331597" w:rsidRPr="00175281">
        <w:rPr>
          <w:color w:val="000000" w:themeColor="text1"/>
        </w:rPr>
        <w:t>Xeomin</w:t>
      </w:r>
      <w:proofErr w:type="spellEnd"/>
      <w:r w:rsidR="00331597" w:rsidRPr="006166A0">
        <w:rPr>
          <w:rFonts w:cs="Segoe UI"/>
          <w:color w:val="000000" w:themeColor="text1"/>
        </w:rPr>
        <w:t>®</w:t>
      </w:r>
      <w:r w:rsidR="00331597" w:rsidRPr="00175281">
        <w:rPr>
          <w:color w:val="000000" w:themeColor="text1"/>
        </w:rPr>
        <w:t xml:space="preserve"> </w:t>
      </w:r>
      <w:r w:rsidR="00946488">
        <w:rPr>
          <w:color w:val="000000" w:themeColor="text1"/>
        </w:rPr>
        <w:t xml:space="preserve">against </w:t>
      </w:r>
      <w:r w:rsidRPr="00175281">
        <w:rPr>
          <w:color w:val="000000" w:themeColor="text1"/>
        </w:rPr>
        <w:t>the main comparator B</w:t>
      </w:r>
      <w:r>
        <w:rPr>
          <w:color w:val="000000" w:themeColor="text1"/>
        </w:rPr>
        <w:t>otox</w:t>
      </w:r>
      <w:r w:rsidRPr="00175281">
        <w:rPr>
          <w:color w:val="000000" w:themeColor="text1"/>
        </w:rPr>
        <w:t>®.</w:t>
      </w:r>
    </w:p>
    <w:p w14:paraId="25AE2BAC" w14:textId="252B9070" w:rsidR="00772829" w:rsidRPr="00CE28E3" w:rsidRDefault="00772829" w:rsidP="003B228A">
      <w:pPr>
        <w:pStyle w:val="Heading2"/>
        <w:numPr>
          <w:ilvl w:val="0"/>
          <w:numId w:val="29"/>
        </w:numPr>
        <w:tabs>
          <w:tab w:val="num" w:pos="1134"/>
        </w:tabs>
      </w:pPr>
      <w:bookmarkStart w:id="28" w:name="Title_Table5"/>
      <w:bookmarkStart w:id="29" w:name="_Toc69491426"/>
      <w:bookmarkEnd w:id="28"/>
      <w:r w:rsidRPr="00CE28E3">
        <w:t>Financial/budgetary impacts</w:t>
      </w:r>
      <w:bookmarkEnd w:id="29"/>
    </w:p>
    <w:p w14:paraId="069A2CC8" w14:textId="533C5E4C" w:rsidR="00410554" w:rsidRDefault="00410554" w:rsidP="003B228A">
      <w:pPr>
        <w:spacing w:line="240" w:lineRule="auto"/>
      </w:pPr>
      <w:r>
        <w:t xml:space="preserve">The requested PBS listing of </w:t>
      </w:r>
      <w:proofErr w:type="spellStart"/>
      <w:r>
        <w:t>Xeomin</w:t>
      </w:r>
      <w:proofErr w:type="spellEnd"/>
      <w:r w:rsidR="0008409A" w:rsidRPr="006166A0">
        <w:rPr>
          <w:rFonts w:cs="Segoe UI"/>
          <w:color w:val="000000" w:themeColor="text1"/>
        </w:rPr>
        <w:t>®</w:t>
      </w:r>
      <w:r>
        <w:t xml:space="preserve"> for the symptomatic treatment of spasticity w</w:t>
      </w:r>
      <w:r w:rsidR="00E20198">
        <w:t>ould</w:t>
      </w:r>
      <w:r>
        <w:t xml:space="preserve"> not change the current clinical management algorithm for treatment of upper limb or lower limb spasticity in </w:t>
      </w:r>
      <w:r w:rsidR="009B3A70">
        <w:t>patients 2 years and older</w:t>
      </w:r>
      <w:r>
        <w:t xml:space="preserve"> with </w:t>
      </w:r>
      <w:r w:rsidR="0008409A">
        <w:t>CP</w:t>
      </w:r>
      <w:r>
        <w:t xml:space="preserve">. </w:t>
      </w:r>
      <w:proofErr w:type="spellStart"/>
      <w:r>
        <w:t>Xeomin</w:t>
      </w:r>
      <w:proofErr w:type="spellEnd"/>
      <w:r w:rsidR="0008409A" w:rsidRPr="006166A0">
        <w:rPr>
          <w:rFonts w:cs="Segoe UI"/>
          <w:color w:val="000000" w:themeColor="text1"/>
        </w:rPr>
        <w:t>®</w:t>
      </w:r>
      <w:r>
        <w:t xml:space="preserve"> is not expected to impact the prevalence of the disease, so the market is not expected to grow after listing. </w:t>
      </w:r>
      <w:proofErr w:type="spellStart"/>
      <w:r>
        <w:t>Xeomin</w:t>
      </w:r>
      <w:proofErr w:type="spellEnd"/>
      <w:r w:rsidR="0008409A" w:rsidRPr="006166A0">
        <w:rPr>
          <w:rFonts w:cs="Segoe UI"/>
          <w:color w:val="000000" w:themeColor="text1"/>
        </w:rPr>
        <w:t>®</w:t>
      </w:r>
      <w:r>
        <w:t xml:space="preserve"> </w:t>
      </w:r>
      <w:r w:rsidR="0008409A">
        <w:t xml:space="preserve">would </w:t>
      </w:r>
      <w:r>
        <w:t xml:space="preserve">provide an alternate option for clinicians and patients to the currently listed botulinum toxin treatments. Therefore, </w:t>
      </w:r>
      <w:proofErr w:type="spellStart"/>
      <w:r>
        <w:t>Xeomin</w:t>
      </w:r>
      <w:proofErr w:type="spellEnd"/>
      <w:r w:rsidR="0008409A" w:rsidRPr="006166A0">
        <w:rPr>
          <w:rFonts w:cs="Segoe UI"/>
          <w:color w:val="000000" w:themeColor="text1"/>
        </w:rPr>
        <w:t>®</w:t>
      </w:r>
      <w:r>
        <w:t xml:space="preserve"> </w:t>
      </w:r>
      <w:r w:rsidR="0008409A">
        <w:t xml:space="preserve">would </w:t>
      </w:r>
      <w:r>
        <w:t>not increase the MBS utilisation of items 18354 and 18361, as these items w</w:t>
      </w:r>
      <w:r w:rsidR="0008409A">
        <w:t>ould</w:t>
      </w:r>
      <w:r>
        <w:t xml:space="preserve"> still be claimed regardless of the prescribed PBS treatment.</w:t>
      </w:r>
    </w:p>
    <w:p w14:paraId="09EFEDB4" w14:textId="0F242288" w:rsidR="00E47BAD" w:rsidRDefault="00870774" w:rsidP="003B228A">
      <w:pPr>
        <w:spacing w:line="240" w:lineRule="auto"/>
      </w:pPr>
      <w:r>
        <w:lastRenderedPageBreak/>
        <w:t xml:space="preserve">In </w:t>
      </w:r>
      <w:r w:rsidR="007C0747" w:rsidRPr="007C0747">
        <w:t>T</w:t>
      </w:r>
      <w:r>
        <w:t>able 7 t</w:t>
      </w:r>
      <w:r w:rsidR="007C0747" w:rsidRPr="007C0747">
        <w:t xml:space="preserve">he </w:t>
      </w:r>
      <w:r w:rsidR="009B3A70">
        <w:t>applicant</w:t>
      </w:r>
      <w:r w:rsidR="009B3A70" w:rsidRPr="007C0747">
        <w:t xml:space="preserve"> </w:t>
      </w:r>
      <w:r w:rsidR="007C0747" w:rsidRPr="007C0747">
        <w:t xml:space="preserve">has assumed a rate of displacement by </w:t>
      </w:r>
      <w:proofErr w:type="spellStart"/>
      <w:r w:rsidR="007C0747" w:rsidRPr="007C0747">
        <w:t>Xeomin</w:t>
      </w:r>
      <w:proofErr w:type="spellEnd"/>
      <w:r w:rsidR="0008409A" w:rsidRPr="006166A0">
        <w:rPr>
          <w:rFonts w:cs="Segoe UI"/>
          <w:color w:val="000000" w:themeColor="text1"/>
        </w:rPr>
        <w:t>®</w:t>
      </w:r>
      <w:r w:rsidR="007C0747" w:rsidRPr="007C0747">
        <w:t xml:space="preserve"> based on their own general commercial experience</w:t>
      </w:r>
      <w:r w:rsidR="00BB2F06">
        <w:t xml:space="preserve">, with the market share of </w:t>
      </w:r>
      <w:proofErr w:type="spellStart"/>
      <w:r w:rsidR="00BB2F06">
        <w:t>Xeomin</w:t>
      </w:r>
      <w:proofErr w:type="spellEnd"/>
      <w:r w:rsidR="0008409A" w:rsidRPr="006166A0">
        <w:rPr>
          <w:rFonts w:cs="Segoe UI"/>
          <w:color w:val="000000" w:themeColor="text1"/>
        </w:rPr>
        <w:t>®</w:t>
      </w:r>
      <w:r w:rsidR="00BB2F06">
        <w:t xml:space="preserve"> steadily increasing over the first </w:t>
      </w:r>
      <w:r w:rsidR="00D47378">
        <w:t xml:space="preserve">6 </w:t>
      </w:r>
      <w:r w:rsidR="00BB2F06">
        <w:t>years of listing</w:t>
      </w:r>
      <w:r w:rsidR="007C0747" w:rsidRPr="007C0747">
        <w:t xml:space="preserve">. </w:t>
      </w:r>
    </w:p>
    <w:p w14:paraId="2A472558" w14:textId="0AC68DD2" w:rsidR="00194641" w:rsidRDefault="00194641" w:rsidP="003B228A">
      <w:pPr>
        <w:spacing w:line="240" w:lineRule="auto"/>
      </w:pPr>
      <w:proofErr w:type="spellStart"/>
      <w:r>
        <w:t>Xeomin</w:t>
      </w:r>
      <w:proofErr w:type="spellEnd"/>
      <w:r w:rsidRPr="006166A0">
        <w:rPr>
          <w:rFonts w:cs="Segoe UI"/>
          <w:color w:val="000000" w:themeColor="text1"/>
        </w:rPr>
        <w:t>®</w:t>
      </w:r>
      <w:r>
        <w:t xml:space="preserve"> is expected to replace Botox</w:t>
      </w:r>
      <w:r w:rsidRPr="006166A0">
        <w:rPr>
          <w:rFonts w:cs="Segoe UI"/>
          <w:color w:val="000000" w:themeColor="text1"/>
        </w:rPr>
        <w:t>®</w:t>
      </w:r>
      <w:r>
        <w:t xml:space="preserve"> in practice at a 1:1 </w:t>
      </w:r>
      <w:proofErr w:type="spellStart"/>
      <w:r>
        <w:t>equi</w:t>
      </w:r>
      <w:proofErr w:type="spellEnd"/>
      <w:r>
        <w:t xml:space="preserve">-effective dose, resulting in total cost and utilisation neutrality for both the PBS and MBS. However, the </w:t>
      </w:r>
      <w:proofErr w:type="spellStart"/>
      <w:r>
        <w:t>equi</w:t>
      </w:r>
      <w:proofErr w:type="spellEnd"/>
      <w:r>
        <w:t xml:space="preserve">-effective dose for </w:t>
      </w:r>
      <w:proofErr w:type="spellStart"/>
      <w:r>
        <w:t>Xeomin</w:t>
      </w:r>
      <w:proofErr w:type="spellEnd"/>
      <w:r w:rsidRPr="006166A0">
        <w:rPr>
          <w:rFonts w:cs="Segoe UI"/>
          <w:color w:val="000000" w:themeColor="text1"/>
        </w:rPr>
        <w:t>®</w:t>
      </w:r>
      <w:r>
        <w:t xml:space="preserve"> and Dysport</w:t>
      </w:r>
      <w:r w:rsidRPr="006166A0">
        <w:rPr>
          <w:rFonts w:cs="Segoe UI"/>
          <w:color w:val="000000" w:themeColor="text1"/>
        </w:rPr>
        <w:t>®</w:t>
      </w:r>
      <w:r>
        <w:t xml:space="preserve"> is expected to be 1:2.5. This means that for every patient switching from Dysport</w:t>
      </w:r>
      <w:r w:rsidRPr="006166A0">
        <w:rPr>
          <w:rFonts w:cs="Segoe UI"/>
          <w:color w:val="000000" w:themeColor="text1"/>
        </w:rPr>
        <w:t>®</w:t>
      </w:r>
      <w:r>
        <w:t xml:space="preserve"> to </w:t>
      </w:r>
      <w:proofErr w:type="spellStart"/>
      <w:r>
        <w:t>Xeomin</w:t>
      </w:r>
      <w:proofErr w:type="spellEnd"/>
      <w:r w:rsidRPr="006166A0">
        <w:rPr>
          <w:rFonts w:cs="Segoe UI"/>
          <w:color w:val="000000" w:themeColor="text1"/>
        </w:rPr>
        <w:t>®</w:t>
      </w:r>
      <w:r>
        <w:t>, the total PBS services will reduce by a ratio of 2.5 to 1. As a result of this, there w</w:t>
      </w:r>
      <w:r w:rsidR="002D5B54">
        <w:t>ould</w:t>
      </w:r>
      <w:r>
        <w:t xml:space="preserve"> be a reduction of the overall utilisation of MBS items 18354 and 18361 if patients switch to </w:t>
      </w:r>
      <w:proofErr w:type="spellStart"/>
      <w:r>
        <w:t>Xeomin</w:t>
      </w:r>
      <w:proofErr w:type="spellEnd"/>
      <w:r w:rsidRPr="006166A0">
        <w:rPr>
          <w:rFonts w:cs="Segoe UI"/>
          <w:color w:val="000000" w:themeColor="text1"/>
        </w:rPr>
        <w:t>®</w:t>
      </w:r>
      <w:r>
        <w:t xml:space="preserve"> from Dysport</w:t>
      </w:r>
      <w:r w:rsidRPr="006166A0">
        <w:rPr>
          <w:rFonts w:cs="Segoe UI"/>
          <w:color w:val="000000" w:themeColor="text1"/>
        </w:rPr>
        <w:t>®</w:t>
      </w:r>
      <w:r>
        <w:t>, reducing the cost to the MBS. Dysport</w:t>
      </w:r>
      <w:r w:rsidRPr="006166A0">
        <w:rPr>
          <w:rFonts w:cs="Segoe UI"/>
          <w:color w:val="000000" w:themeColor="text1"/>
        </w:rPr>
        <w:t>®</w:t>
      </w:r>
      <w:r>
        <w:t xml:space="preserve">, however, only accounts for 7% of the total market for these indications, so the number of patients switching to </w:t>
      </w:r>
      <w:proofErr w:type="spellStart"/>
      <w:r>
        <w:t>Xeomin</w:t>
      </w:r>
      <w:proofErr w:type="spellEnd"/>
      <w:r w:rsidRPr="006166A0">
        <w:rPr>
          <w:rFonts w:cs="Segoe UI"/>
          <w:color w:val="000000" w:themeColor="text1"/>
        </w:rPr>
        <w:t>®</w:t>
      </w:r>
      <w:r>
        <w:t xml:space="preserve"> would be low and the resultant cost reduction to the MBS would also be minimal. </w:t>
      </w:r>
    </w:p>
    <w:p w14:paraId="2D37809F" w14:textId="6B713D39" w:rsidR="00055A23" w:rsidRDefault="00055A23" w:rsidP="00491603">
      <w:pPr>
        <w:pStyle w:val="Caption"/>
      </w:pPr>
      <w:r>
        <w:t xml:space="preserve">Table </w:t>
      </w:r>
      <w:r w:rsidRPr="74301533">
        <w:fldChar w:fldCharType="begin"/>
      </w:r>
      <w:r>
        <w:instrText xml:space="preserve"> SEQ Table \* ARABIC </w:instrText>
      </w:r>
      <w:r w:rsidRPr="74301533">
        <w:fldChar w:fldCharType="separate"/>
      </w:r>
      <w:r w:rsidR="00913AD6">
        <w:rPr>
          <w:noProof/>
        </w:rPr>
        <w:t>7</w:t>
      </w:r>
      <w:r w:rsidRPr="74301533">
        <w:rPr>
          <w:noProof/>
        </w:rPr>
        <w:fldChar w:fldCharType="end"/>
      </w:r>
      <w:r>
        <w:t xml:space="preserve">. </w:t>
      </w:r>
      <w:proofErr w:type="spellStart"/>
      <w:r>
        <w:t>Xeomin</w:t>
      </w:r>
      <w:proofErr w:type="spellEnd"/>
      <w:r>
        <w:t xml:space="preserve"> displacement rates</w:t>
      </w:r>
    </w:p>
    <w:tbl>
      <w:tblPr>
        <w:tblStyle w:val="TableGrid"/>
        <w:tblW w:w="9087" w:type="dxa"/>
        <w:tblInd w:w="-5" w:type="dxa"/>
        <w:tblLayout w:type="fixed"/>
        <w:tblLook w:val="04A0" w:firstRow="1" w:lastRow="0" w:firstColumn="1" w:lastColumn="0" w:noHBand="0" w:noVBand="1"/>
      </w:tblPr>
      <w:tblGrid>
        <w:gridCol w:w="2552"/>
        <w:gridCol w:w="1240"/>
        <w:gridCol w:w="1059"/>
        <w:gridCol w:w="1059"/>
        <w:gridCol w:w="1059"/>
        <w:gridCol w:w="1059"/>
        <w:gridCol w:w="1059"/>
      </w:tblGrid>
      <w:tr w:rsidR="006D0D3A" w:rsidRPr="0083438F" w14:paraId="27025823" w14:textId="77777777" w:rsidTr="00C31BB1">
        <w:trPr>
          <w:trHeight w:val="512"/>
        </w:trPr>
        <w:tc>
          <w:tcPr>
            <w:tcW w:w="2552" w:type="dxa"/>
            <w:shd w:val="clear" w:color="auto" w:fill="D9D9D9" w:themeFill="background1" w:themeFillShade="D9"/>
          </w:tcPr>
          <w:p w14:paraId="1D49C698" w14:textId="77777777" w:rsidR="006D0D3A" w:rsidRPr="0083438F" w:rsidRDefault="006D0D3A" w:rsidP="00491603">
            <w:pPr>
              <w:pStyle w:val="TableText"/>
              <w:jc w:val="center"/>
              <w:rPr>
                <w:b/>
                <w:bCs/>
              </w:rPr>
            </w:pPr>
            <w:r w:rsidRPr="0083438F">
              <w:rPr>
                <w:b/>
                <w:bCs/>
              </w:rPr>
              <w:t>Brand name, molecule name</w:t>
            </w:r>
          </w:p>
        </w:tc>
        <w:tc>
          <w:tcPr>
            <w:tcW w:w="1240" w:type="dxa"/>
            <w:shd w:val="clear" w:color="auto" w:fill="D9D9D9" w:themeFill="background1" w:themeFillShade="D9"/>
          </w:tcPr>
          <w:p w14:paraId="32547B47" w14:textId="77777777" w:rsidR="006D0D3A" w:rsidRPr="0083438F" w:rsidRDefault="006D0D3A" w:rsidP="00491603">
            <w:pPr>
              <w:pStyle w:val="TableText"/>
              <w:jc w:val="center"/>
              <w:rPr>
                <w:b/>
                <w:bCs/>
              </w:rPr>
            </w:pPr>
            <w:r w:rsidRPr="0083438F">
              <w:rPr>
                <w:b/>
                <w:bCs/>
              </w:rPr>
              <w:t>2025</w:t>
            </w:r>
          </w:p>
        </w:tc>
        <w:tc>
          <w:tcPr>
            <w:tcW w:w="1059" w:type="dxa"/>
            <w:shd w:val="clear" w:color="auto" w:fill="D9D9D9" w:themeFill="background1" w:themeFillShade="D9"/>
          </w:tcPr>
          <w:p w14:paraId="6E0A2643" w14:textId="77777777" w:rsidR="006D0D3A" w:rsidRPr="0083438F" w:rsidRDefault="006D0D3A" w:rsidP="00491603">
            <w:pPr>
              <w:pStyle w:val="TableText"/>
              <w:jc w:val="center"/>
              <w:rPr>
                <w:b/>
                <w:bCs/>
              </w:rPr>
            </w:pPr>
            <w:r w:rsidRPr="0083438F">
              <w:rPr>
                <w:b/>
                <w:bCs/>
              </w:rPr>
              <w:t>2026</w:t>
            </w:r>
          </w:p>
        </w:tc>
        <w:tc>
          <w:tcPr>
            <w:tcW w:w="1059" w:type="dxa"/>
            <w:shd w:val="clear" w:color="auto" w:fill="D9D9D9" w:themeFill="background1" w:themeFillShade="D9"/>
          </w:tcPr>
          <w:p w14:paraId="166ABF85" w14:textId="77777777" w:rsidR="006D0D3A" w:rsidRPr="0083438F" w:rsidRDefault="006D0D3A" w:rsidP="00491603">
            <w:pPr>
              <w:pStyle w:val="TableText"/>
              <w:jc w:val="center"/>
              <w:rPr>
                <w:b/>
                <w:bCs/>
              </w:rPr>
            </w:pPr>
            <w:r w:rsidRPr="0083438F">
              <w:rPr>
                <w:b/>
                <w:bCs/>
              </w:rPr>
              <w:t>2027</w:t>
            </w:r>
          </w:p>
        </w:tc>
        <w:tc>
          <w:tcPr>
            <w:tcW w:w="1059" w:type="dxa"/>
            <w:shd w:val="clear" w:color="auto" w:fill="D9D9D9" w:themeFill="background1" w:themeFillShade="D9"/>
          </w:tcPr>
          <w:p w14:paraId="18420971" w14:textId="77777777" w:rsidR="006D0D3A" w:rsidRPr="0083438F" w:rsidRDefault="006D0D3A" w:rsidP="00491603">
            <w:pPr>
              <w:pStyle w:val="TableText"/>
              <w:jc w:val="center"/>
              <w:rPr>
                <w:b/>
                <w:bCs/>
              </w:rPr>
            </w:pPr>
            <w:r w:rsidRPr="0083438F">
              <w:rPr>
                <w:b/>
                <w:bCs/>
              </w:rPr>
              <w:t>2028</w:t>
            </w:r>
          </w:p>
        </w:tc>
        <w:tc>
          <w:tcPr>
            <w:tcW w:w="1059" w:type="dxa"/>
            <w:shd w:val="clear" w:color="auto" w:fill="D9D9D9" w:themeFill="background1" w:themeFillShade="D9"/>
          </w:tcPr>
          <w:p w14:paraId="3870E967" w14:textId="77777777" w:rsidR="006D0D3A" w:rsidRPr="0083438F" w:rsidRDefault="006D0D3A" w:rsidP="00491603">
            <w:pPr>
              <w:pStyle w:val="TableText"/>
              <w:jc w:val="center"/>
              <w:rPr>
                <w:b/>
                <w:bCs/>
              </w:rPr>
            </w:pPr>
            <w:r w:rsidRPr="0083438F">
              <w:rPr>
                <w:b/>
                <w:bCs/>
              </w:rPr>
              <w:t>2029</w:t>
            </w:r>
          </w:p>
        </w:tc>
        <w:tc>
          <w:tcPr>
            <w:tcW w:w="1059" w:type="dxa"/>
            <w:shd w:val="clear" w:color="auto" w:fill="D9D9D9" w:themeFill="background1" w:themeFillShade="D9"/>
          </w:tcPr>
          <w:p w14:paraId="5EB6D47B" w14:textId="77777777" w:rsidR="006D0D3A" w:rsidRPr="0083438F" w:rsidRDefault="006D0D3A" w:rsidP="00491603">
            <w:pPr>
              <w:pStyle w:val="TableText"/>
              <w:jc w:val="center"/>
              <w:rPr>
                <w:b/>
                <w:bCs/>
              </w:rPr>
            </w:pPr>
            <w:r w:rsidRPr="0083438F">
              <w:rPr>
                <w:b/>
                <w:bCs/>
              </w:rPr>
              <w:t>2030</w:t>
            </w:r>
          </w:p>
        </w:tc>
      </w:tr>
      <w:tr w:rsidR="006D0D3A" w:rsidRPr="0083438F" w14:paraId="7BE3175C" w14:textId="77777777" w:rsidTr="00C31BB1">
        <w:trPr>
          <w:trHeight w:val="529"/>
        </w:trPr>
        <w:tc>
          <w:tcPr>
            <w:tcW w:w="2552" w:type="dxa"/>
          </w:tcPr>
          <w:p w14:paraId="1FFC0E4F" w14:textId="77777777" w:rsidR="006D0D3A" w:rsidRPr="0083438F" w:rsidRDefault="006D0D3A" w:rsidP="00491603">
            <w:pPr>
              <w:pStyle w:val="TableText"/>
            </w:pPr>
            <w:proofErr w:type="spellStart"/>
            <w:r w:rsidRPr="0083438F">
              <w:t>Xeomin</w:t>
            </w:r>
            <w:proofErr w:type="spellEnd"/>
            <w:r w:rsidRPr="0083438F">
              <w:t>, incobotulinumtoxinA</w:t>
            </w:r>
          </w:p>
        </w:tc>
        <w:tc>
          <w:tcPr>
            <w:tcW w:w="1240" w:type="dxa"/>
          </w:tcPr>
          <w:p w14:paraId="23BDAD24" w14:textId="35D77B8D" w:rsidR="006D0D3A" w:rsidRPr="0083438F" w:rsidRDefault="00C800C4" w:rsidP="00491603">
            <w:pPr>
              <w:pStyle w:val="TableText"/>
              <w:jc w:val="right"/>
            </w:pPr>
            <w:r w:rsidRPr="00C800C4">
              <w:rPr>
                <w:b/>
                <w:bCs/>
              </w:rPr>
              <w:t>R</w:t>
            </w:r>
            <w:r w:rsidR="003B4C4E" w:rsidRPr="00C31BB1">
              <w:rPr>
                <w:b/>
                <w:bCs/>
              </w:rPr>
              <w:t>edacted</w:t>
            </w:r>
            <w:r w:rsidR="006D0D3A" w:rsidRPr="00853890">
              <w:t>%</w:t>
            </w:r>
            <w:r w:rsidR="006C1656">
              <w:rPr>
                <w:rStyle w:val="FootnoteReference"/>
              </w:rPr>
              <w:footnoteReference w:id="19"/>
            </w:r>
          </w:p>
        </w:tc>
        <w:tc>
          <w:tcPr>
            <w:tcW w:w="1059" w:type="dxa"/>
          </w:tcPr>
          <w:p w14:paraId="3EA7F9A6" w14:textId="1EC5663C" w:rsidR="006D0D3A" w:rsidRPr="0083438F" w:rsidRDefault="00C800C4" w:rsidP="00491603">
            <w:pPr>
              <w:pStyle w:val="TableText"/>
              <w:jc w:val="right"/>
            </w:pPr>
            <w:r>
              <w:rPr>
                <w:b/>
                <w:bCs/>
              </w:rPr>
              <w:t>R</w:t>
            </w:r>
            <w:r w:rsidR="003B4C4E" w:rsidRPr="00C31BB1">
              <w:rPr>
                <w:b/>
                <w:bCs/>
              </w:rPr>
              <w:t>edacted</w:t>
            </w:r>
            <w:r w:rsidR="006D0D3A" w:rsidRPr="00853890">
              <w:t>%</w:t>
            </w:r>
          </w:p>
        </w:tc>
        <w:tc>
          <w:tcPr>
            <w:tcW w:w="1059" w:type="dxa"/>
          </w:tcPr>
          <w:p w14:paraId="4D21184A" w14:textId="2A6FA7C2" w:rsidR="006D0D3A" w:rsidRPr="0083438F" w:rsidRDefault="00C800C4" w:rsidP="00491603">
            <w:pPr>
              <w:pStyle w:val="TableText"/>
              <w:jc w:val="right"/>
            </w:pPr>
            <w:r>
              <w:rPr>
                <w:b/>
                <w:bCs/>
              </w:rPr>
              <w:t>R</w:t>
            </w:r>
            <w:r w:rsidR="003B4C4E" w:rsidRPr="00C31BB1">
              <w:rPr>
                <w:b/>
                <w:bCs/>
              </w:rPr>
              <w:t>edacted</w:t>
            </w:r>
            <w:r w:rsidR="006D0D3A" w:rsidRPr="00853890">
              <w:t>%</w:t>
            </w:r>
          </w:p>
        </w:tc>
        <w:tc>
          <w:tcPr>
            <w:tcW w:w="1059" w:type="dxa"/>
          </w:tcPr>
          <w:p w14:paraId="09ADB790" w14:textId="07D5B831" w:rsidR="006D0D3A" w:rsidRPr="0083438F" w:rsidRDefault="00C800C4" w:rsidP="00491603">
            <w:pPr>
              <w:pStyle w:val="TableText"/>
              <w:jc w:val="right"/>
            </w:pPr>
            <w:r>
              <w:rPr>
                <w:b/>
                <w:bCs/>
              </w:rPr>
              <w:t>R</w:t>
            </w:r>
            <w:r w:rsidR="003B4C4E" w:rsidRPr="00C31BB1">
              <w:rPr>
                <w:b/>
                <w:bCs/>
              </w:rPr>
              <w:t>edacted</w:t>
            </w:r>
            <w:r w:rsidR="006D0D3A" w:rsidRPr="00853890">
              <w:t>%</w:t>
            </w:r>
          </w:p>
        </w:tc>
        <w:tc>
          <w:tcPr>
            <w:tcW w:w="1059" w:type="dxa"/>
          </w:tcPr>
          <w:p w14:paraId="6867B945" w14:textId="24505954" w:rsidR="006D0D3A" w:rsidRPr="0083438F" w:rsidRDefault="00C800C4" w:rsidP="00491603">
            <w:pPr>
              <w:pStyle w:val="TableText"/>
              <w:jc w:val="right"/>
            </w:pPr>
            <w:r>
              <w:rPr>
                <w:b/>
                <w:bCs/>
              </w:rPr>
              <w:t>R</w:t>
            </w:r>
            <w:r w:rsidR="003B4C4E" w:rsidRPr="00C31BB1">
              <w:rPr>
                <w:b/>
                <w:bCs/>
              </w:rPr>
              <w:t>edacted</w:t>
            </w:r>
            <w:r w:rsidR="006D0D3A" w:rsidRPr="00853890">
              <w:t>%</w:t>
            </w:r>
          </w:p>
        </w:tc>
        <w:tc>
          <w:tcPr>
            <w:tcW w:w="1059" w:type="dxa"/>
          </w:tcPr>
          <w:p w14:paraId="6E3B817A" w14:textId="708781FE" w:rsidR="006D0D3A" w:rsidRPr="0083438F" w:rsidRDefault="00C800C4" w:rsidP="00491603">
            <w:pPr>
              <w:pStyle w:val="TableText"/>
              <w:jc w:val="right"/>
            </w:pPr>
            <w:r>
              <w:rPr>
                <w:b/>
                <w:bCs/>
              </w:rPr>
              <w:t>R</w:t>
            </w:r>
            <w:r w:rsidR="003B4C4E" w:rsidRPr="00C31BB1">
              <w:rPr>
                <w:b/>
                <w:bCs/>
              </w:rPr>
              <w:t>edacted</w:t>
            </w:r>
            <w:r w:rsidR="006D0D3A" w:rsidRPr="00853890">
              <w:t>%</w:t>
            </w:r>
          </w:p>
        </w:tc>
      </w:tr>
    </w:tbl>
    <w:p w14:paraId="4C59C4EB" w14:textId="1992EF47" w:rsidR="00E47BAD" w:rsidRDefault="00D47378" w:rsidP="003B228A">
      <w:pPr>
        <w:spacing w:before="240" w:line="240" w:lineRule="auto"/>
      </w:pPr>
      <w:r>
        <w:t>Table 8</w:t>
      </w:r>
      <w:r w:rsidR="00FF42E2" w:rsidRPr="00FF42E2">
        <w:t xml:space="preserve"> shows the total number of </w:t>
      </w:r>
      <w:proofErr w:type="spellStart"/>
      <w:r w:rsidR="00FF42E2" w:rsidRPr="00FF42E2">
        <w:t>Xeomin</w:t>
      </w:r>
      <w:proofErr w:type="spellEnd"/>
      <w:r w:rsidR="0008409A" w:rsidRPr="006166A0">
        <w:rPr>
          <w:rFonts w:cs="Segoe UI"/>
          <w:color w:val="000000" w:themeColor="text1"/>
        </w:rPr>
        <w:t>®</w:t>
      </w:r>
      <w:r w:rsidR="00FF42E2" w:rsidRPr="00FF42E2">
        <w:t xml:space="preserve"> PBS services projected to be dispensed in the six-year period, with </w:t>
      </w:r>
      <w:r w:rsidR="00635EC5" w:rsidRPr="00080A60">
        <w:t>&lt;500</w:t>
      </w:r>
      <w:r w:rsidR="007226BA">
        <w:rPr>
          <w:vertAlign w:val="superscript"/>
        </w:rPr>
        <w:t>18</w:t>
      </w:r>
      <w:r w:rsidR="007226BA" w:rsidRPr="00FF42E2">
        <w:t xml:space="preserve"> </w:t>
      </w:r>
      <w:r w:rsidR="00FF42E2" w:rsidRPr="00FF42E2">
        <w:t xml:space="preserve">in 2025 and </w:t>
      </w:r>
      <w:r w:rsidR="00EF6962">
        <w:t xml:space="preserve">500 to &lt;5000 </w:t>
      </w:r>
      <w:r w:rsidR="00FF42E2" w:rsidRPr="00FF42E2">
        <w:t>in 2030</w:t>
      </w:r>
      <w:r w:rsidR="009A2797">
        <w:t>.</w:t>
      </w:r>
    </w:p>
    <w:p w14:paraId="6C6BB270" w14:textId="6691ECBF" w:rsidR="002144B3" w:rsidRDefault="002144B3" w:rsidP="00491603">
      <w:pPr>
        <w:pStyle w:val="Caption"/>
      </w:pPr>
      <w:r>
        <w:t xml:space="preserve">Table </w:t>
      </w:r>
      <w:r w:rsidR="00913AD6">
        <w:fldChar w:fldCharType="begin"/>
      </w:r>
      <w:r w:rsidR="00913AD6">
        <w:instrText xml:space="preserve"> SEQ Table \* ARABIC </w:instrText>
      </w:r>
      <w:r w:rsidR="00913AD6">
        <w:fldChar w:fldCharType="separate"/>
      </w:r>
      <w:r w:rsidR="00913AD6">
        <w:rPr>
          <w:noProof/>
        </w:rPr>
        <w:t>8</w:t>
      </w:r>
      <w:r w:rsidR="00913AD6">
        <w:rPr>
          <w:noProof/>
        </w:rPr>
        <w:fldChar w:fldCharType="end"/>
      </w:r>
      <w:r>
        <w:t xml:space="preserve">. Estimated </w:t>
      </w:r>
      <w:proofErr w:type="spellStart"/>
      <w:r>
        <w:t>Xeomin</w:t>
      </w:r>
      <w:proofErr w:type="spellEnd"/>
      <w:r>
        <w:t xml:space="preserve"> PBS services</w:t>
      </w:r>
    </w:p>
    <w:tbl>
      <w:tblPr>
        <w:tblStyle w:val="TableGrid"/>
        <w:tblW w:w="9087" w:type="dxa"/>
        <w:tblInd w:w="-5" w:type="dxa"/>
        <w:tblLayout w:type="fixed"/>
        <w:tblLook w:val="04A0" w:firstRow="1" w:lastRow="0" w:firstColumn="1" w:lastColumn="0" w:noHBand="0" w:noVBand="1"/>
      </w:tblPr>
      <w:tblGrid>
        <w:gridCol w:w="2552"/>
        <w:gridCol w:w="1276"/>
        <w:gridCol w:w="1023"/>
        <w:gridCol w:w="1059"/>
        <w:gridCol w:w="1059"/>
        <w:gridCol w:w="1059"/>
        <w:gridCol w:w="1059"/>
      </w:tblGrid>
      <w:tr w:rsidR="00F96841" w:rsidRPr="0083438F" w14:paraId="65176C4D" w14:textId="77777777" w:rsidTr="00C31BB1">
        <w:trPr>
          <w:trHeight w:val="647"/>
          <w:tblHeader/>
        </w:trPr>
        <w:tc>
          <w:tcPr>
            <w:tcW w:w="2552" w:type="dxa"/>
            <w:shd w:val="clear" w:color="auto" w:fill="D9D9D9" w:themeFill="background1" w:themeFillShade="D9"/>
          </w:tcPr>
          <w:p w14:paraId="1E813172" w14:textId="77777777" w:rsidR="00F96841" w:rsidRPr="0083438F" w:rsidRDefault="00F96841" w:rsidP="00491603">
            <w:pPr>
              <w:pStyle w:val="TableText"/>
              <w:jc w:val="center"/>
              <w:rPr>
                <w:b/>
                <w:bCs/>
              </w:rPr>
            </w:pPr>
            <w:r w:rsidRPr="0083438F">
              <w:rPr>
                <w:b/>
                <w:bCs/>
              </w:rPr>
              <w:t>Brand name, molecule name</w:t>
            </w:r>
          </w:p>
        </w:tc>
        <w:tc>
          <w:tcPr>
            <w:tcW w:w="1276" w:type="dxa"/>
            <w:shd w:val="clear" w:color="auto" w:fill="D9D9D9" w:themeFill="background1" w:themeFillShade="D9"/>
          </w:tcPr>
          <w:p w14:paraId="5D52B549" w14:textId="77777777" w:rsidR="00F96841" w:rsidRPr="0083438F" w:rsidRDefault="00F96841" w:rsidP="00491603">
            <w:pPr>
              <w:pStyle w:val="TableText"/>
              <w:jc w:val="center"/>
              <w:rPr>
                <w:b/>
                <w:bCs/>
              </w:rPr>
            </w:pPr>
            <w:r w:rsidRPr="0083438F">
              <w:rPr>
                <w:b/>
                <w:bCs/>
              </w:rPr>
              <w:t>2025</w:t>
            </w:r>
          </w:p>
        </w:tc>
        <w:tc>
          <w:tcPr>
            <w:tcW w:w="1023" w:type="dxa"/>
            <w:shd w:val="clear" w:color="auto" w:fill="D9D9D9" w:themeFill="background1" w:themeFillShade="D9"/>
          </w:tcPr>
          <w:p w14:paraId="49018750" w14:textId="77777777" w:rsidR="00F96841" w:rsidRPr="0083438F" w:rsidRDefault="00F96841" w:rsidP="00491603">
            <w:pPr>
              <w:pStyle w:val="TableText"/>
              <w:jc w:val="center"/>
              <w:rPr>
                <w:b/>
                <w:bCs/>
              </w:rPr>
            </w:pPr>
            <w:r w:rsidRPr="0083438F">
              <w:rPr>
                <w:b/>
                <w:bCs/>
              </w:rPr>
              <w:t>2026</w:t>
            </w:r>
          </w:p>
        </w:tc>
        <w:tc>
          <w:tcPr>
            <w:tcW w:w="1059" w:type="dxa"/>
            <w:shd w:val="clear" w:color="auto" w:fill="D9D9D9" w:themeFill="background1" w:themeFillShade="D9"/>
          </w:tcPr>
          <w:p w14:paraId="5AB0E113" w14:textId="77777777" w:rsidR="00F96841" w:rsidRPr="0083438F" w:rsidRDefault="00F96841" w:rsidP="00491603">
            <w:pPr>
              <w:pStyle w:val="TableText"/>
              <w:jc w:val="center"/>
              <w:rPr>
                <w:b/>
                <w:bCs/>
              </w:rPr>
            </w:pPr>
            <w:r w:rsidRPr="0083438F">
              <w:rPr>
                <w:b/>
                <w:bCs/>
              </w:rPr>
              <w:t>2027</w:t>
            </w:r>
          </w:p>
        </w:tc>
        <w:tc>
          <w:tcPr>
            <w:tcW w:w="1059" w:type="dxa"/>
            <w:shd w:val="clear" w:color="auto" w:fill="D9D9D9" w:themeFill="background1" w:themeFillShade="D9"/>
          </w:tcPr>
          <w:p w14:paraId="4EB78E03" w14:textId="77777777" w:rsidR="00F96841" w:rsidRPr="0083438F" w:rsidRDefault="00F96841" w:rsidP="00491603">
            <w:pPr>
              <w:pStyle w:val="TableText"/>
              <w:jc w:val="center"/>
              <w:rPr>
                <w:b/>
                <w:bCs/>
              </w:rPr>
            </w:pPr>
            <w:r w:rsidRPr="0083438F">
              <w:rPr>
                <w:b/>
                <w:bCs/>
              </w:rPr>
              <w:t>2028</w:t>
            </w:r>
          </w:p>
        </w:tc>
        <w:tc>
          <w:tcPr>
            <w:tcW w:w="1059" w:type="dxa"/>
            <w:shd w:val="clear" w:color="auto" w:fill="D9D9D9" w:themeFill="background1" w:themeFillShade="D9"/>
          </w:tcPr>
          <w:p w14:paraId="72CFE972" w14:textId="77777777" w:rsidR="00F96841" w:rsidRPr="0083438F" w:rsidRDefault="00F96841" w:rsidP="00491603">
            <w:pPr>
              <w:pStyle w:val="TableText"/>
              <w:jc w:val="center"/>
              <w:rPr>
                <w:b/>
                <w:bCs/>
              </w:rPr>
            </w:pPr>
            <w:r w:rsidRPr="0083438F">
              <w:rPr>
                <w:b/>
                <w:bCs/>
              </w:rPr>
              <w:t>2029</w:t>
            </w:r>
          </w:p>
        </w:tc>
        <w:tc>
          <w:tcPr>
            <w:tcW w:w="1059" w:type="dxa"/>
            <w:shd w:val="clear" w:color="auto" w:fill="D9D9D9" w:themeFill="background1" w:themeFillShade="D9"/>
          </w:tcPr>
          <w:p w14:paraId="2D3BAAE2" w14:textId="77777777" w:rsidR="00F96841" w:rsidRPr="0083438F" w:rsidRDefault="00F96841" w:rsidP="00491603">
            <w:pPr>
              <w:pStyle w:val="TableText"/>
              <w:jc w:val="center"/>
              <w:rPr>
                <w:b/>
                <w:bCs/>
              </w:rPr>
            </w:pPr>
            <w:r w:rsidRPr="0083438F">
              <w:rPr>
                <w:b/>
                <w:bCs/>
              </w:rPr>
              <w:t>2030</w:t>
            </w:r>
          </w:p>
        </w:tc>
      </w:tr>
      <w:tr w:rsidR="00F96841" w:rsidRPr="0083438F" w14:paraId="126F6DCA" w14:textId="77777777" w:rsidTr="00C31BB1">
        <w:trPr>
          <w:trHeight w:val="529"/>
        </w:trPr>
        <w:tc>
          <w:tcPr>
            <w:tcW w:w="2552" w:type="dxa"/>
          </w:tcPr>
          <w:p w14:paraId="4EA2BBC2" w14:textId="77777777" w:rsidR="00F96841" w:rsidRPr="00702F87" w:rsidRDefault="00F96841" w:rsidP="00491603">
            <w:pPr>
              <w:pStyle w:val="TableText"/>
            </w:pPr>
            <w:proofErr w:type="spellStart"/>
            <w:r w:rsidRPr="00702F87">
              <w:t>Xeomin</w:t>
            </w:r>
            <w:proofErr w:type="spellEnd"/>
            <w:r w:rsidRPr="00702F87">
              <w:t xml:space="preserve"> / IncobotulinumtoxinA - Dynamic </w:t>
            </w:r>
            <w:proofErr w:type="spellStart"/>
            <w:r w:rsidRPr="00702F87">
              <w:t>equinus</w:t>
            </w:r>
            <w:proofErr w:type="spellEnd"/>
            <w:r w:rsidRPr="00702F87">
              <w:t xml:space="preserve"> foot deformity</w:t>
            </w:r>
          </w:p>
        </w:tc>
        <w:tc>
          <w:tcPr>
            <w:tcW w:w="1276" w:type="dxa"/>
          </w:tcPr>
          <w:p w14:paraId="5409EFFF" w14:textId="6202CB33" w:rsidR="00F96841" w:rsidRPr="00C31BB1" w:rsidRDefault="00B44EE2" w:rsidP="00491603">
            <w:pPr>
              <w:pStyle w:val="TableText"/>
              <w:jc w:val="right"/>
            </w:pPr>
            <w:bookmarkStart w:id="30" w:name="_Ref201931803"/>
            <w:r w:rsidRPr="00C800C4">
              <w:rPr>
                <w:b/>
                <w:bCs/>
              </w:rPr>
              <w:t>R</w:t>
            </w:r>
            <w:r w:rsidR="006B1425" w:rsidRPr="00C800C4">
              <w:rPr>
                <w:b/>
                <w:bCs/>
              </w:rPr>
              <w:t>edacted</w:t>
            </w:r>
            <w:r w:rsidR="00091A98" w:rsidRPr="00C31BB1">
              <w:rPr>
                <w:vertAlign w:val="superscript"/>
              </w:rPr>
              <w:t>1</w:t>
            </w:r>
            <w:r w:rsidR="006B1425">
              <w:rPr>
                <w:vertAlign w:val="superscript"/>
              </w:rPr>
              <w:t>,</w:t>
            </w:r>
            <w:r w:rsidR="000B0C34" w:rsidRPr="00C31BB1">
              <w:rPr>
                <w:vertAlign w:val="superscript"/>
              </w:rPr>
              <w:t>18</w:t>
            </w:r>
            <w:bookmarkEnd w:id="30"/>
          </w:p>
        </w:tc>
        <w:tc>
          <w:tcPr>
            <w:tcW w:w="1023" w:type="dxa"/>
          </w:tcPr>
          <w:p w14:paraId="1C48E068" w14:textId="203A5665"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96841" w:rsidRPr="00091A98">
              <w:rPr>
                <w:highlight w:val="yellow"/>
              </w:rPr>
              <w:t xml:space="preserve"> </w:t>
            </w:r>
          </w:p>
        </w:tc>
        <w:tc>
          <w:tcPr>
            <w:tcW w:w="1059" w:type="dxa"/>
          </w:tcPr>
          <w:p w14:paraId="32D5B64C" w14:textId="21DD492A"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25F42" w:rsidRPr="00C31BB1">
              <w:rPr>
                <w:szCs w:val="20"/>
              </w:rPr>
              <w:t xml:space="preserve"> </w:t>
            </w:r>
          </w:p>
        </w:tc>
        <w:tc>
          <w:tcPr>
            <w:tcW w:w="1059" w:type="dxa"/>
          </w:tcPr>
          <w:p w14:paraId="4BBF4425" w14:textId="2F2D178E"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25F42" w:rsidRPr="00C31BB1">
              <w:rPr>
                <w:szCs w:val="20"/>
              </w:rPr>
              <w:t xml:space="preserve"> </w:t>
            </w:r>
          </w:p>
        </w:tc>
        <w:tc>
          <w:tcPr>
            <w:tcW w:w="1059" w:type="dxa"/>
          </w:tcPr>
          <w:p w14:paraId="03A624AC" w14:textId="05946A38"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p>
        </w:tc>
        <w:tc>
          <w:tcPr>
            <w:tcW w:w="1059" w:type="dxa"/>
          </w:tcPr>
          <w:p w14:paraId="17D99D2C" w14:textId="29BBABCE" w:rsidR="00F96841" w:rsidRPr="00C31BB1" w:rsidRDefault="006B1425" w:rsidP="00491603">
            <w:pPr>
              <w:pStyle w:val="TableText"/>
              <w:jc w:val="right"/>
              <w:rPr>
                <w:szCs w:val="20"/>
              </w:rPr>
            </w:pPr>
            <w:r w:rsidRPr="00C800C4">
              <w:rPr>
                <w:b/>
                <w:bCs/>
                <w:szCs w:val="20"/>
              </w:rPr>
              <w:t>Redacted</w:t>
            </w:r>
            <w:r w:rsidR="007B6D22" w:rsidRPr="00C31BB1">
              <w:rPr>
                <w:szCs w:val="20"/>
                <w:vertAlign w:val="superscript"/>
              </w:rPr>
              <w:t>2</w:t>
            </w:r>
            <w:r w:rsidR="007B6D22" w:rsidRPr="00C31BB1">
              <w:rPr>
                <w:szCs w:val="20"/>
              </w:rPr>
              <w:t xml:space="preserve"> </w:t>
            </w:r>
          </w:p>
        </w:tc>
      </w:tr>
      <w:tr w:rsidR="00F96841" w:rsidRPr="0083438F" w14:paraId="5441890A" w14:textId="77777777" w:rsidTr="00C31BB1">
        <w:trPr>
          <w:trHeight w:val="529"/>
        </w:trPr>
        <w:tc>
          <w:tcPr>
            <w:tcW w:w="2552" w:type="dxa"/>
          </w:tcPr>
          <w:p w14:paraId="57D398D3" w14:textId="77777777" w:rsidR="00F96841" w:rsidRPr="00702F87" w:rsidRDefault="00F96841" w:rsidP="00491603">
            <w:pPr>
              <w:pStyle w:val="TableText"/>
            </w:pPr>
            <w:proofErr w:type="spellStart"/>
            <w:r w:rsidRPr="00702F87">
              <w:t>Xeomin</w:t>
            </w:r>
            <w:proofErr w:type="spellEnd"/>
            <w:r w:rsidRPr="00702F87">
              <w:t xml:space="preserve"> / IncobotulinumtoxinA - Moderate to severe spasticity of the upper limb</w:t>
            </w:r>
          </w:p>
        </w:tc>
        <w:tc>
          <w:tcPr>
            <w:tcW w:w="1276" w:type="dxa"/>
          </w:tcPr>
          <w:p w14:paraId="6B9ACA90" w14:textId="1FBABFED" w:rsidR="00F96841" w:rsidRPr="00C31BB1" w:rsidRDefault="006B1425" w:rsidP="00491603">
            <w:pPr>
              <w:pStyle w:val="TableText"/>
              <w:jc w:val="right"/>
              <w:rPr>
                <w:vertAlign w:val="superscript"/>
              </w:rPr>
            </w:pPr>
            <w:r w:rsidRPr="00C800C4">
              <w:rPr>
                <w:b/>
                <w:bCs/>
              </w:rPr>
              <w:t>Redacted</w:t>
            </w:r>
            <w:r w:rsidR="00091A98" w:rsidRPr="00C31BB1">
              <w:rPr>
                <w:vertAlign w:val="superscript"/>
              </w:rPr>
              <w:t>1</w:t>
            </w:r>
            <w:r>
              <w:rPr>
                <w:vertAlign w:val="superscript"/>
              </w:rPr>
              <w:t>,</w:t>
            </w:r>
            <w:r w:rsidR="000B0C34" w:rsidRPr="00C31BB1">
              <w:rPr>
                <w:vertAlign w:val="superscript"/>
              </w:rPr>
              <w:t>18</w:t>
            </w:r>
          </w:p>
        </w:tc>
        <w:tc>
          <w:tcPr>
            <w:tcW w:w="1023" w:type="dxa"/>
          </w:tcPr>
          <w:p w14:paraId="2C59F671" w14:textId="5A61A284" w:rsidR="00F96841" w:rsidRPr="00C31BB1" w:rsidRDefault="006B1425" w:rsidP="00491603">
            <w:pPr>
              <w:pStyle w:val="TableText"/>
              <w:jc w:val="right"/>
              <w:rPr>
                <w:szCs w:val="20"/>
              </w:rPr>
            </w:pPr>
            <w:r w:rsidRPr="00C800C4">
              <w:rPr>
                <w:b/>
                <w:bCs/>
                <w:szCs w:val="20"/>
              </w:rPr>
              <w:t>Redacted</w:t>
            </w:r>
            <w:r w:rsidR="00F25F42" w:rsidRPr="00C31BB1">
              <w:rPr>
                <w:szCs w:val="20"/>
                <w:vertAlign w:val="superscript"/>
              </w:rPr>
              <w:t>1</w:t>
            </w:r>
            <w:r w:rsidR="00F96841" w:rsidRPr="00C31BB1">
              <w:rPr>
                <w:szCs w:val="20"/>
              </w:rPr>
              <w:t xml:space="preserve"> </w:t>
            </w:r>
          </w:p>
        </w:tc>
        <w:tc>
          <w:tcPr>
            <w:tcW w:w="1059" w:type="dxa"/>
          </w:tcPr>
          <w:p w14:paraId="125017E8" w14:textId="6EA47D5D"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25F42" w:rsidRPr="00C31BB1">
              <w:rPr>
                <w:szCs w:val="20"/>
                <w:vertAlign w:val="superscript"/>
              </w:rPr>
              <w:t xml:space="preserve"> </w:t>
            </w:r>
          </w:p>
        </w:tc>
        <w:tc>
          <w:tcPr>
            <w:tcW w:w="1059" w:type="dxa"/>
          </w:tcPr>
          <w:p w14:paraId="25B1E45E" w14:textId="376A49B4"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p>
        </w:tc>
        <w:tc>
          <w:tcPr>
            <w:tcW w:w="1059" w:type="dxa"/>
          </w:tcPr>
          <w:p w14:paraId="3492AFC2" w14:textId="039A4E0B"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p>
        </w:tc>
        <w:tc>
          <w:tcPr>
            <w:tcW w:w="1059" w:type="dxa"/>
          </w:tcPr>
          <w:p w14:paraId="7A6D757F" w14:textId="02C42112"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p>
        </w:tc>
      </w:tr>
      <w:tr w:rsidR="00F96841" w:rsidRPr="0083438F" w14:paraId="79CB27AE" w14:textId="77777777" w:rsidTr="00C31BB1">
        <w:trPr>
          <w:trHeight w:val="377"/>
        </w:trPr>
        <w:tc>
          <w:tcPr>
            <w:tcW w:w="2552" w:type="dxa"/>
          </w:tcPr>
          <w:p w14:paraId="713320DE" w14:textId="77777777" w:rsidR="00F96841" w:rsidRPr="0083438F" w:rsidRDefault="00F96841" w:rsidP="00491603">
            <w:pPr>
              <w:pStyle w:val="TableText"/>
            </w:pPr>
            <w:r>
              <w:t>Total</w:t>
            </w:r>
          </w:p>
        </w:tc>
        <w:tc>
          <w:tcPr>
            <w:tcW w:w="1276" w:type="dxa"/>
          </w:tcPr>
          <w:p w14:paraId="5180D57D" w14:textId="3935712D" w:rsidR="00F96841" w:rsidRPr="00C31BB1" w:rsidRDefault="006B1425" w:rsidP="00491603">
            <w:pPr>
              <w:pStyle w:val="TableText"/>
              <w:jc w:val="right"/>
            </w:pPr>
            <w:r w:rsidRPr="00C800C4">
              <w:rPr>
                <w:b/>
                <w:bCs/>
              </w:rPr>
              <w:t>Redacted</w:t>
            </w:r>
            <w:r w:rsidR="00091A98" w:rsidRPr="00C31BB1">
              <w:rPr>
                <w:vertAlign w:val="superscript"/>
              </w:rPr>
              <w:t>1</w:t>
            </w:r>
            <w:r>
              <w:rPr>
                <w:vertAlign w:val="superscript"/>
              </w:rPr>
              <w:t>,</w:t>
            </w:r>
            <w:r w:rsidR="000B0C34" w:rsidRPr="00C31BB1">
              <w:rPr>
                <w:vertAlign w:val="superscript"/>
              </w:rPr>
              <w:t>18</w:t>
            </w:r>
            <w:r w:rsidR="00907609" w:rsidRPr="00C31BB1">
              <w:t xml:space="preserve"> </w:t>
            </w:r>
          </w:p>
        </w:tc>
        <w:tc>
          <w:tcPr>
            <w:tcW w:w="1023" w:type="dxa"/>
          </w:tcPr>
          <w:p w14:paraId="568B0B87" w14:textId="5243A9AF"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96841" w:rsidRPr="00C31BB1">
              <w:rPr>
                <w:szCs w:val="20"/>
              </w:rPr>
              <w:t xml:space="preserve"> </w:t>
            </w:r>
          </w:p>
        </w:tc>
        <w:tc>
          <w:tcPr>
            <w:tcW w:w="1059" w:type="dxa"/>
          </w:tcPr>
          <w:p w14:paraId="2F462232" w14:textId="68A8F94C" w:rsidR="00F96841" w:rsidRPr="00C31BB1" w:rsidRDefault="006B1425" w:rsidP="00491603">
            <w:pPr>
              <w:pStyle w:val="TableText"/>
              <w:jc w:val="right"/>
              <w:rPr>
                <w:szCs w:val="20"/>
              </w:rPr>
            </w:pPr>
            <w:r w:rsidRPr="00C800C4">
              <w:rPr>
                <w:b/>
                <w:bCs/>
                <w:szCs w:val="20"/>
              </w:rPr>
              <w:t>Redacted</w:t>
            </w:r>
            <w:r w:rsidR="00091A98" w:rsidRPr="00C31BB1">
              <w:rPr>
                <w:szCs w:val="20"/>
                <w:vertAlign w:val="superscript"/>
              </w:rPr>
              <w:t>1</w:t>
            </w:r>
            <w:r w:rsidR="00F25F42" w:rsidRPr="00C31BB1">
              <w:rPr>
                <w:szCs w:val="20"/>
              </w:rPr>
              <w:t xml:space="preserve"> </w:t>
            </w:r>
          </w:p>
        </w:tc>
        <w:tc>
          <w:tcPr>
            <w:tcW w:w="1059" w:type="dxa"/>
          </w:tcPr>
          <w:p w14:paraId="309A9E13" w14:textId="3570BE23" w:rsidR="00F96841" w:rsidRPr="00C31BB1" w:rsidRDefault="006B1425" w:rsidP="00491603">
            <w:pPr>
              <w:pStyle w:val="TableText"/>
              <w:jc w:val="right"/>
              <w:rPr>
                <w:szCs w:val="20"/>
              </w:rPr>
            </w:pPr>
            <w:r w:rsidRPr="00C800C4">
              <w:rPr>
                <w:b/>
                <w:bCs/>
                <w:szCs w:val="20"/>
              </w:rPr>
              <w:t>Redacted</w:t>
            </w:r>
            <w:r w:rsidR="00F25F42" w:rsidRPr="00C31BB1">
              <w:rPr>
                <w:szCs w:val="20"/>
                <w:vertAlign w:val="superscript"/>
              </w:rPr>
              <w:t>2</w:t>
            </w:r>
          </w:p>
        </w:tc>
        <w:tc>
          <w:tcPr>
            <w:tcW w:w="1059" w:type="dxa"/>
          </w:tcPr>
          <w:p w14:paraId="36AF0470" w14:textId="413B2346" w:rsidR="00F96841" w:rsidRPr="00C31BB1" w:rsidRDefault="006B1425" w:rsidP="00491603">
            <w:pPr>
              <w:pStyle w:val="TableText"/>
              <w:jc w:val="right"/>
              <w:rPr>
                <w:szCs w:val="20"/>
              </w:rPr>
            </w:pPr>
            <w:r w:rsidRPr="00C800C4">
              <w:rPr>
                <w:b/>
                <w:bCs/>
                <w:szCs w:val="20"/>
              </w:rPr>
              <w:t>Redacted</w:t>
            </w:r>
            <w:r w:rsidR="007B6D22" w:rsidRPr="00C31BB1">
              <w:rPr>
                <w:szCs w:val="20"/>
                <w:vertAlign w:val="superscript"/>
              </w:rPr>
              <w:t>2</w:t>
            </w:r>
          </w:p>
        </w:tc>
        <w:tc>
          <w:tcPr>
            <w:tcW w:w="1059" w:type="dxa"/>
          </w:tcPr>
          <w:p w14:paraId="734A05BD" w14:textId="14C5171D" w:rsidR="00F96841" w:rsidRPr="00C31BB1" w:rsidRDefault="006B1425" w:rsidP="00491603">
            <w:pPr>
              <w:pStyle w:val="TableText"/>
              <w:jc w:val="right"/>
              <w:rPr>
                <w:szCs w:val="20"/>
              </w:rPr>
            </w:pPr>
            <w:r w:rsidRPr="00C800C4">
              <w:rPr>
                <w:b/>
                <w:bCs/>
                <w:szCs w:val="20"/>
              </w:rPr>
              <w:t>Redacted</w:t>
            </w:r>
            <w:r w:rsidR="007B6D22" w:rsidRPr="00C31BB1">
              <w:rPr>
                <w:szCs w:val="20"/>
                <w:vertAlign w:val="superscript"/>
              </w:rPr>
              <w:t>2</w:t>
            </w:r>
          </w:p>
        </w:tc>
      </w:tr>
    </w:tbl>
    <w:p w14:paraId="1ED53D13" w14:textId="1B7F5DD0" w:rsidR="00091A98" w:rsidRPr="00091A98" w:rsidRDefault="00091A98" w:rsidP="00091A98">
      <w:pPr>
        <w:spacing w:before="0" w:after="0"/>
        <w:rPr>
          <w:rFonts w:ascii="Arial Narrow" w:hAnsi="Arial Narrow"/>
          <w:sz w:val="18"/>
          <w:szCs w:val="18"/>
        </w:rPr>
      </w:pPr>
      <w:r>
        <w:rPr>
          <w:rFonts w:ascii="Arial Narrow" w:hAnsi="Arial Narrow"/>
          <w:sz w:val="18"/>
          <w:szCs w:val="18"/>
        </w:rPr>
        <w:t>T</w:t>
      </w:r>
      <w:r w:rsidRPr="00091A98">
        <w:rPr>
          <w:rFonts w:ascii="Arial Narrow" w:hAnsi="Arial Narrow"/>
          <w:sz w:val="18"/>
          <w:szCs w:val="18"/>
        </w:rPr>
        <w:t xml:space="preserve">he </w:t>
      </w:r>
      <w:r w:rsidRPr="00091A98">
        <w:rPr>
          <w:rFonts w:ascii="Arial Narrow" w:hAnsi="Arial Narrow"/>
          <w:b/>
          <w:bCs/>
          <w:sz w:val="18"/>
          <w:szCs w:val="18"/>
        </w:rPr>
        <w:t>redacted</w:t>
      </w:r>
      <w:r w:rsidRPr="00091A98">
        <w:rPr>
          <w:rFonts w:ascii="Arial Narrow" w:hAnsi="Arial Narrow"/>
          <w:sz w:val="18"/>
          <w:szCs w:val="18"/>
        </w:rPr>
        <w:t xml:space="preserve"> values correspond to the following ranges</w:t>
      </w:r>
    </w:p>
    <w:p w14:paraId="7594B945" w14:textId="77777777" w:rsidR="00091A98" w:rsidRPr="00091A98" w:rsidRDefault="00091A98" w:rsidP="00091A98">
      <w:pPr>
        <w:spacing w:before="0" w:after="0"/>
        <w:rPr>
          <w:rFonts w:ascii="Arial Narrow" w:hAnsi="Arial Narrow"/>
          <w:sz w:val="18"/>
          <w:szCs w:val="18"/>
        </w:rPr>
      </w:pPr>
      <w:r w:rsidRPr="00091A98">
        <w:rPr>
          <w:rFonts w:ascii="Arial Narrow" w:hAnsi="Arial Narrow"/>
          <w:sz w:val="18"/>
          <w:szCs w:val="18"/>
        </w:rPr>
        <w:t>1 &lt;500</w:t>
      </w:r>
    </w:p>
    <w:p w14:paraId="5A5EA494" w14:textId="36E53F59" w:rsidR="00DF3BB0" w:rsidRPr="00EA5088" w:rsidRDefault="00091A98" w:rsidP="00F70C57">
      <w:pPr>
        <w:spacing w:before="0" w:after="0"/>
        <w:rPr>
          <w:rFonts w:ascii="Arial Narrow" w:hAnsi="Arial Narrow"/>
          <w:sz w:val="18"/>
          <w:szCs w:val="18"/>
        </w:rPr>
      </w:pPr>
      <w:r w:rsidRPr="00091A98">
        <w:rPr>
          <w:rFonts w:ascii="Arial Narrow" w:hAnsi="Arial Narrow"/>
          <w:sz w:val="18"/>
          <w:szCs w:val="18"/>
        </w:rPr>
        <w:t>2 500 to &lt;5000</w:t>
      </w:r>
    </w:p>
    <w:p w14:paraId="6C9076DC" w14:textId="32BF9818" w:rsidR="00F065DF" w:rsidRDefault="001C4ED8" w:rsidP="00F065DF">
      <w:pPr>
        <w:spacing w:line="240" w:lineRule="auto"/>
        <w:rPr>
          <w:rFonts w:cs="Segoe UI"/>
          <w:color w:val="000000" w:themeColor="text1"/>
        </w:rPr>
      </w:pPr>
      <w:r>
        <w:t xml:space="preserve">The administration of </w:t>
      </w:r>
      <w:proofErr w:type="spellStart"/>
      <w:r>
        <w:t>Xeomin</w:t>
      </w:r>
      <w:proofErr w:type="spellEnd"/>
      <w:r w:rsidR="0008409A" w:rsidRPr="006166A0">
        <w:rPr>
          <w:rFonts w:cs="Segoe UI"/>
          <w:color w:val="000000" w:themeColor="text1"/>
        </w:rPr>
        <w:t>®</w:t>
      </w:r>
      <w:r>
        <w:t xml:space="preserve"> </w:t>
      </w:r>
      <w:r w:rsidR="00232049">
        <w:t>is proposed to</w:t>
      </w:r>
      <w:r>
        <w:t xml:space="preserve"> be listed under the same MBS services used for the current administration of Botox</w:t>
      </w:r>
      <w:r w:rsidR="0008409A" w:rsidRPr="006166A0">
        <w:rPr>
          <w:rFonts w:cs="Segoe UI"/>
          <w:color w:val="000000" w:themeColor="text1"/>
        </w:rPr>
        <w:t>®</w:t>
      </w:r>
      <w:r>
        <w:t xml:space="preserve"> and Dysport</w:t>
      </w:r>
      <w:r w:rsidR="0008409A" w:rsidRPr="006166A0">
        <w:rPr>
          <w:rFonts w:cs="Segoe UI"/>
          <w:color w:val="000000" w:themeColor="text1"/>
        </w:rPr>
        <w:t>®</w:t>
      </w:r>
      <w:r>
        <w:t xml:space="preserve"> for the same indications. </w:t>
      </w:r>
      <w:proofErr w:type="spellStart"/>
      <w:r>
        <w:t>Xeomin</w:t>
      </w:r>
      <w:proofErr w:type="spellEnd"/>
      <w:r w:rsidR="0008409A" w:rsidRPr="006166A0">
        <w:rPr>
          <w:rFonts w:cs="Segoe UI"/>
          <w:color w:val="000000" w:themeColor="text1"/>
        </w:rPr>
        <w:t>®</w:t>
      </w:r>
      <w:r>
        <w:t xml:space="preserve"> w</w:t>
      </w:r>
      <w:r w:rsidR="00D47378">
        <w:t>ould</w:t>
      </w:r>
      <w:r>
        <w:t xml:space="preserve"> replace Botox</w:t>
      </w:r>
      <w:r w:rsidR="0008409A" w:rsidRPr="006166A0">
        <w:rPr>
          <w:rFonts w:cs="Segoe UI"/>
          <w:color w:val="000000" w:themeColor="text1"/>
        </w:rPr>
        <w:t>®</w:t>
      </w:r>
      <w:r>
        <w:t xml:space="preserve"> at a 1:1 ratio</w:t>
      </w:r>
      <w:r w:rsidR="00D47378">
        <w:t xml:space="preserve"> and as such </w:t>
      </w:r>
      <w:r>
        <w:t xml:space="preserve">the net impact to the MBS will be neutral. </w:t>
      </w:r>
      <w:r w:rsidR="00D47378">
        <w:t>S</w:t>
      </w:r>
      <w:r>
        <w:t>ince Dysport</w:t>
      </w:r>
      <w:r w:rsidR="0008409A" w:rsidRPr="006166A0">
        <w:rPr>
          <w:rFonts w:cs="Segoe UI"/>
          <w:color w:val="000000" w:themeColor="text1"/>
        </w:rPr>
        <w:t>®</w:t>
      </w:r>
      <w:r>
        <w:t xml:space="preserve"> w</w:t>
      </w:r>
      <w:r w:rsidR="00D47378">
        <w:t>ould</w:t>
      </w:r>
      <w:r>
        <w:t xml:space="preserve"> be placed by </w:t>
      </w:r>
      <w:proofErr w:type="spellStart"/>
      <w:r>
        <w:t>Xeomin</w:t>
      </w:r>
      <w:proofErr w:type="spellEnd"/>
      <w:r w:rsidR="0008409A" w:rsidRPr="006166A0">
        <w:rPr>
          <w:rFonts w:cs="Segoe UI"/>
          <w:color w:val="000000" w:themeColor="text1"/>
        </w:rPr>
        <w:t>®</w:t>
      </w:r>
      <w:r>
        <w:t xml:space="preserve"> at a 2.5:1 ratio, the net MBS services w</w:t>
      </w:r>
      <w:r w:rsidR="00D47378">
        <w:t>ould</w:t>
      </w:r>
      <w:r>
        <w:t xml:space="preserve"> decrease slightly.</w:t>
      </w:r>
      <w:r w:rsidR="000E7216">
        <w:t xml:space="preserve"> </w:t>
      </w:r>
      <w:r w:rsidR="00BB3C42">
        <w:t>Table 9</w:t>
      </w:r>
      <w:r>
        <w:t xml:space="preserve"> shows the </w:t>
      </w:r>
      <w:r w:rsidR="00BB3C42">
        <w:t xml:space="preserve">estimated </w:t>
      </w:r>
      <w:r>
        <w:t xml:space="preserve">net cost to the MBS </w:t>
      </w:r>
      <w:r w:rsidR="00DD0D5F">
        <w:t>of</w:t>
      </w:r>
      <w:r>
        <w:t xml:space="preserve"> listing </w:t>
      </w:r>
      <w:proofErr w:type="spellStart"/>
      <w:r>
        <w:t>Xeomin</w:t>
      </w:r>
      <w:proofErr w:type="spellEnd"/>
      <w:r w:rsidR="0008409A" w:rsidRPr="006166A0">
        <w:rPr>
          <w:rFonts w:cs="Segoe UI"/>
          <w:color w:val="000000" w:themeColor="text1"/>
        </w:rPr>
        <w:t>®</w:t>
      </w:r>
      <w:r w:rsidR="00DB4EB9">
        <w:rPr>
          <w:rFonts w:cs="Segoe UI"/>
          <w:color w:val="000000" w:themeColor="text1"/>
        </w:rPr>
        <w:t xml:space="preserve"> based on the MBS item fee</w:t>
      </w:r>
      <w:r w:rsidR="007205E1">
        <w:rPr>
          <w:rFonts w:cs="Segoe UI"/>
          <w:color w:val="000000" w:themeColor="text1"/>
        </w:rPr>
        <w:t xml:space="preserve"> of $142.25.</w:t>
      </w:r>
      <w:r w:rsidR="00F065DF">
        <w:rPr>
          <w:rFonts w:cs="Segoe UI"/>
          <w:color w:val="000000" w:themeColor="text1"/>
        </w:rPr>
        <w:br w:type="page"/>
      </w:r>
    </w:p>
    <w:p w14:paraId="6D831726" w14:textId="3A57DEC8" w:rsidR="00993D25" w:rsidRDefault="002144B3" w:rsidP="00685935">
      <w:pPr>
        <w:pStyle w:val="Caption"/>
        <w:keepLines/>
        <w:spacing w:after="0"/>
      </w:pPr>
      <w:r>
        <w:lastRenderedPageBreak/>
        <w:t xml:space="preserve">Table </w:t>
      </w:r>
      <w:r w:rsidR="00913AD6">
        <w:rPr>
          <w:b w:val="0"/>
          <w:bCs w:val="0"/>
        </w:rPr>
        <w:fldChar w:fldCharType="begin"/>
      </w:r>
      <w:r w:rsidR="00913AD6">
        <w:instrText xml:space="preserve"> SEQ Table \* ARABIC </w:instrText>
      </w:r>
      <w:r w:rsidR="00913AD6">
        <w:rPr>
          <w:b w:val="0"/>
          <w:bCs w:val="0"/>
        </w:rPr>
        <w:fldChar w:fldCharType="separate"/>
      </w:r>
      <w:r w:rsidR="00913AD6">
        <w:rPr>
          <w:noProof/>
        </w:rPr>
        <w:t>9</w:t>
      </w:r>
      <w:r w:rsidR="00913AD6">
        <w:rPr>
          <w:b w:val="0"/>
          <w:bCs w:val="0"/>
          <w:noProof/>
        </w:rPr>
        <w:fldChar w:fldCharType="end"/>
      </w:r>
      <w:r>
        <w:t xml:space="preserve">. Financial impact of </w:t>
      </w:r>
      <w:proofErr w:type="spellStart"/>
      <w:r>
        <w:t>Xeomin</w:t>
      </w:r>
      <w:proofErr w:type="spellEnd"/>
      <w:r w:rsidR="0008409A" w:rsidRPr="006166A0">
        <w:rPr>
          <w:rFonts w:ascii="Franklin Gothic Book" w:hAnsi="Franklin Gothic Book" w:cs="Segoe UI"/>
          <w:color w:val="000000" w:themeColor="text1"/>
        </w:rPr>
        <w:t>®</w:t>
      </w:r>
      <w:r>
        <w:t xml:space="preserve"> on MBS</w:t>
      </w:r>
    </w:p>
    <w:tbl>
      <w:tblPr>
        <w:tblStyle w:val="TableGrid"/>
        <w:tblpPr w:leftFromText="180" w:rightFromText="180" w:vertAnchor="text" w:horzAnchor="margin" w:tblpY="192"/>
        <w:tblW w:w="9715" w:type="dxa"/>
        <w:tblLayout w:type="fixed"/>
        <w:tblLook w:val="04A0" w:firstRow="1" w:lastRow="0" w:firstColumn="1" w:lastColumn="0" w:noHBand="0" w:noVBand="1"/>
      </w:tblPr>
      <w:tblGrid>
        <w:gridCol w:w="1555"/>
        <w:gridCol w:w="1357"/>
        <w:gridCol w:w="1134"/>
        <w:gridCol w:w="1134"/>
        <w:gridCol w:w="1133"/>
        <w:gridCol w:w="1134"/>
        <w:gridCol w:w="1134"/>
        <w:gridCol w:w="1134"/>
      </w:tblGrid>
      <w:tr w:rsidR="00993D25" w:rsidRPr="002F08F1" w14:paraId="3AABCBA0" w14:textId="77777777" w:rsidTr="00C31BB1">
        <w:trPr>
          <w:trHeight w:val="340"/>
        </w:trPr>
        <w:tc>
          <w:tcPr>
            <w:tcW w:w="1555" w:type="dxa"/>
            <w:shd w:val="clear" w:color="auto" w:fill="D9D9D9" w:themeFill="background1" w:themeFillShade="D9"/>
            <w:noWrap/>
            <w:hideMark/>
          </w:tcPr>
          <w:p w14:paraId="0113BDAB" w14:textId="77777777" w:rsidR="00993D25" w:rsidRPr="002F08F1" w:rsidRDefault="00993D25" w:rsidP="00F065DF">
            <w:pPr>
              <w:pStyle w:val="TableHeading"/>
              <w:keepLines/>
            </w:pPr>
            <w:r w:rsidRPr="002F08F1">
              <w:t> </w:t>
            </w:r>
          </w:p>
        </w:tc>
        <w:tc>
          <w:tcPr>
            <w:tcW w:w="1357" w:type="dxa"/>
            <w:shd w:val="clear" w:color="auto" w:fill="D9D9D9" w:themeFill="background1" w:themeFillShade="D9"/>
            <w:noWrap/>
            <w:hideMark/>
          </w:tcPr>
          <w:p w14:paraId="6D5FF03B" w14:textId="77777777" w:rsidR="00993D25" w:rsidRPr="002F08F1" w:rsidRDefault="00993D25" w:rsidP="00F065DF">
            <w:pPr>
              <w:pStyle w:val="TableHeading"/>
              <w:keepLines/>
              <w:jc w:val="right"/>
            </w:pPr>
            <w:r w:rsidRPr="00C8349D">
              <w:t>2025</w:t>
            </w:r>
          </w:p>
        </w:tc>
        <w:tc>
          <w:tcPr>
            <w:tcW w:w="1134" w:type="dxa"/>
            <w:shd w:val="clear" w:color="auto" w:fill="D9D9D9" w:themeFill="background1" w:themeFillShade="D9"/>
            <w:noWrap/>
            <w:hideMark/>
          </w:tcPr>
          <w:p w14:paraId="14900099" w14:textId="77777777" w:rsidR="00993D25" w:rsidRPr="002F08F1" w:rsidRDefault="00993D25" w:rsidP="00F065DF">
            <w:pPr>
              <w:pStyle w:val="TableHeading"/>
              <w:keepLines/>
              <w:jc w:val="right"/>
            </w:pPr>
            <w:r w:rsidRPr="00C8349D">
              <w:t>2026</w:t>
            </w:r>
          </w:p>
        </w:tc>
        <w:tc>
          <w:tcPr>
            <w:tcW w:w="1134" w:type="dxa"/>
            <w:shd w:val="clear" w:color="auto" w:fill="D9D9D9" w:themeFill="background1" w:themeFillShade="D9"/>
            <w:noWrap/>
            <w:hideMark/>
          </w:tcPr>
          <w:p w14:paraId="7373A1A8" w14:textId="77777777" w:rsidR="00993D25" w:rsidRPr="002F08F1" w:rsidRDefault="00993D25" w:rsidP="00F065DF">
            <w:pPr>
              <w:pStyle w:val="TableHeading"/>
              <w:keepLines/>
              <w:jc w:val="right"/>
            </w:pPr>
            <w:r w:rsidRPr="00C8349D">
              <w:t>2027</w:t>
            </w:r>
          </w:p>
        </w:tc>
        <w:tc>
          <w:tcPr>
            <w:tcW w:w="1133" w:type="dxa"/>
            <w:shd w:val="clear" w:color="auto" w:fill="D9D9D9" w:themeFill="background1" w:themeFillShade="D9"/>
            <w:noWrap/>
            <w:hideMark/>
          </w:tcPr>
          <w:p w14:paraId="360D8D16" w14:textId="77777777" w:rsidR="00993D25" w:rsidRPr="002F08F1" w:rsidRDefault="00993D25" w:rsidP="00F065DF">
            <w:pPr>
              <w:pStyle w:val="TableHeading"/>
              <w:keepLines/>
              <w:jc w:val="right"/>
            </w:pPr>
            <w:r w:rsidRPr="00C8349D">
              <w:t>2028</w:t>
            </w:r>
          </w:p>
        </w:tc>
        <w:tc>
          <w:tcPr>
            <w:tcW w:w="1134" w:type="dxa"/>
            <w:shd w:val="clear" w:color="auto" w:fill="D9D9D9" w:themeFill="background1" w:themeFillShade="D9"/>
            <w:noWrap/>
            <w:hideMark/>
          </w:tcPr>
          <w:p w14:paraId="40EA63ED" w14:textId="77777777" w:rsidR="00993D25" w:rsidRPr="002F08F1" w:rsidRDefault="00993D25" w:rsidP="00F065DF">
            <w:pPr>
              <w:pStyle w:val="TableHeading"/>
              <w:keepLines/>
              <w:jc w:val="right"/>
            </w:pPr>
            <w:r w:rsidRPr="00C8349D">
              <w:t>2029</w:t>
            </w:r>
          </w:p>
        </w:tc>
        <w:tc>
          <w:tcPr>
            <w:tcW w:w="1134" w:type="dxa"/>
            <w:shd w:val="clear" w:color="auto" w:fill="D9D9D9" w:themeFill="background1" w:themeFillShade="D9"/>
            <w:noWrap/>
            <w:hideMark/>
          </w:tcPr>
          <w:p w14:paraId="7B085A41" w14:textId="77777777" w:rsidR="00993D25" w:rsidRPr="002F08F1" w:rsidRDefault="00993D25" w:rsidP="00F065DF">
            <w:pPr>
              <w:pStyle w:val="TableHeading"/>
              <w:keepLines/>
              <w:jc w:val="right"/>
            </w:pPr>
            <w:r w:rsidRPr="00C8349D">
              <w:t>2030</w:t>
            </w:r>
          </w:p>
        </w:tc>
        <w:tc>
          <w:tcPr>
            <w:tcW w:w="1134" w:type="dxa"/>
            <w:shd w:val="clear" w:color="auto" w:fill="D9D9D9" w:themeFill="background1" w:themeFillShade="D9"/>
          </w:tcPr>
          <w:p w14:paraId="0A7B63AE" w14:textId="77777777" w:rsidR="00993D25" w:rsidRPr="00C8349D" w:rsidRDefault="00993D25" w:rsidP="00F065DF">
            <w:pPr>
              <w:pStyle w:val="TableHeading"/>
              <w:keepLines/>
              <w:jc w:val="right"/>
            </w:pPr>
            <w:r>
              <w:t>Total</w:t>
            </w:r>
          </w:p>
        </w:tc>
      </w:tr>
      <w:tr w:rsidR="00993D25" w:rsidRPr="002F08F1" w14:paraId="61847E49" w14:textId="77777777" w:rsidTr="00C31BB1">
        <w:trPr>
          <w:trHeight w:val="320"/>
        </w:trPr>
        <w:tc>
          <w:tcPr>
            <w:tcW w:w="1555" w:type="dxa"/>
            <w:noWrap/>
            <w:hideMark/>
          </w:tcPr>
          <w:p w14:paraId="6BAF828D" w14:textId="77777777" w:rsidR="00993D25" w:rsidRPr="002F08F1" w:rsidRDefault="00993D25" w:rsidP="00F065DF">
            <w:pPr>
              <w:pStyle w:val="TableText"/>
              <w:keepNext/>
              <w:keepLines/>
            </w:pPr>
            <w:r w:rsidRPr="0016438D">
              <w:t>Increased cost</w:t>
            </w:r>
            <w:r>
              <w:t xml:space="preserve"> to MBS</w:t>
            </w:r>
          </w:p>
        </w:tc>
        <w:tc>
          <w:tcPr>
            <w:tcW w:w="1357" w:type="dxa"/>
            <w:hideMark/>
          </w:tcPr>
          <w:p w14:paraId="47305BB9" w14:textId="4609C9DA" w:rsidR="00993D25" w:rsidRPr="00082272" w:rsidRDefault="00225482" w:rsidP="00F065DF">
            <w:pPr>
              <w:pStyle w:val="TableText"/>
              <w:keepNext/>
              <w:keepLines/>
              <w:jc w:val="right"/>
              <w:rPr>
                <w:vertAlign w:val="superscript"/>
              </w:rPr>
            </w:pPr>
            <w:r w:rsidRPr="004A3D90">
              <w:rPr>
                <w:b/>
                <w:bCs/>
              </w:rPr>
              <w:t>Redacted</w:t>
            </w:r>
            <w:r w:rsidR="006F0628" w:rsidRPr="00C31BB1">
              <w:rPr>
                <w:vertAlign w:val="superscript"/>
              </w:rPr>
              <w:t>1</w:t>
            </w:r>
            <w:r w:rsidRPr="00C31BB1">
              <w:rPr>
                <w:vertAlign w:val="superscript"/>
              </w:rPr>
              <w:t>,</w:t>
            </w:r>
            <w:r>
              <w:rPr>
                <w:rStyle w:val="FootnoteReference"/>
              </w:rPr>
              <w:footnoteReference w:id="20"/>
            </w:r>
          </w:p>
        </w:tc>
        <w:tc>
          <w:tcPr>
            <w:tcW w:w="1134" w:type="dxa"/>
            <w:hideMark/>
          </w:tcPr>
          <w:p w14:paraId="253BB5D4" w14:textId="6C3AF7FD" w:rsidR="00993D25" w:rsidRPr="00082272" w:rsidRDefault="00225482" w:rsidP="00F065DF">
            <w:pPr>
              <w:pStyle w:val="TableText"/>
              <w:keepNext/>
              <w:keepLines/>
              <w:jc w:val="right"/>
            </w:pPr>
            <w:r w:rsidRPr="004A3D90">
              <w:rPr>
                <w:b/>
                <w:bCs/>
              </w:rPr>
              <w:t>Redacted</w:t>
            </w:r>
            <w:r w:rsidR="006F0628" w:rsidRPr="00C31BB1">
              <w:rPr>
                <w:vertAlign w:val="superscript"/>
              </w:rPr>
              <w:t>1</w:t>
            </w:r>
          </w:p>
        </w:tc>
        <w:tc>
          <w:tcPr>
            <w:tcW w:w="1134" w:type="dxa"/>
            <w:hideMark/>
          </w:tcPr>
          <w:p w14:paraId="7EBB55E3" w14:textId="5491C23D" w:rsidR="00993D25" w:rsidRPr="00082272" w:rsidRDefault="00225482" w:rsidP="00F065DF">
            <w:pPr>
              <w:pStyle w:val="TableText"/>
              <w:keepNext/>
              <w:keepLines/>
              <w:jc w:val="right"/>
            </w:pPr>
            <w:r w:rsidRPr="004A3D90">
              <w:rPr>
                <w:b/>
                <w:bCs/>
              </w:rPr>
              <w:t>Redacted</w:t>
            </w:r>
            <w:r w:rsidR="006F0628" w:rsidRPr="00C31BB1">
              <w:rPr>
                <w:vertAlign w:val="superscript"/>
              </w:rPr>
              <w:t>1</w:t>
            </w:r>
          </w:p>
        </w:tc>
        <w:tc>
          <w:tcPr>
            <w:tcW w:w="1133" w:type="dxa"/>
            <w:hideMark/>
          </w:tcPr>
          <w:p w14:paraId="73DAD76E" w14:textId="75EDCF3B" w:rsidR="00993D25" w:rsidRPr="00082272" w:rsidRDefault="00225482" w:rsidP="00F065DF">
            <w:pPr>
              <w:pStyle w:val="TableText"/>
              <w:keepNext/>
              <w:keepLines/>
              <w:jc w:val="right"/>
            </w:pPr>
            <w:r w:rsidRPr="004A3D90">
              <w:rPr>
                <w:b/>
                <w:bCs/>
              </w:rPr>
              <w:t>Redacted</w:t>
            </w:r>
            <w:r w:rsidR="006F0628" w:rsidRPr="00C31BB1">
              <w:rPr>
                <w:vertAlign w:val="superscript"/>
              </w:rPr>
              <w:t>1</w:t>
            </w:r>
          </w:p>
        </w:tc>
        <w:tc>
          <w:tcPr>
            <w:tcW w:w="1134" w:type="dxa"/>
            <w:hideMark/>
          </w:tcPr>
          <w:p w14:paraId="2D877B71" w14:textId="4849FAD4" w:rsidR="00993D25" w:rsidRPr="00082272" w:rsidRDefault="00225482" w:rsidP="00F065DF">
            <w:pPr>
              <w:pStyle w:val="TableText"/>
              <w:keepNext/>
              <w:keepLines/>
              <w:jc w:val="right"/>
            </w:pPr>
            <w:r w:rsidRPr="004A3D90">
              <w:rPr>
                <w:b/>
                <w:bCs/>
              </w:rPr>
              <w:t>Redacted</w:t>
            </w:r>
            <w:r w:rsidR="006F0628" w:rsidRPr="00C31BB1">
              <w:rPr>
                <w:vertAlign w:val="superscript"/>
              </w:rPr>
              <w:t>1</w:t>
            </w:r>
          </w:p>
        </w:tc>
        <w:tc>
          <w:tcPr>
            <w:tcW w:w="1134" w:type="dxa"/>
            <w:hideMark/>
          </w:tcPr>
          <w:p w14:paraId="419767DB" w14:textId="7D818A1E" w:rsidR="00993D25" w:rsidRPr="00082272" w:rsidRDefault="00225482" w:rsidP="00F065DF">
            <w:pPr>
              <w:pStyle w:val="TableText"/>
              <w:keepNext/>
              <w:keepLines/>
              <w:jc w:val="right"/>
            </w:pPr>
            <w:r w:rsidRPr="004A3D90">
              <w:rPr>
                <w:b/>
                <w:bCs/>
              </w:rPr>
              <w:t>Redacted</w:t>
            </w:r>
            <w:r w:rsidR="006F0628" w:rsidRPr="00C31BB1">
              <w:rPr>
                <w:vertAlign w:val="superscript"/>
              </w:rPr>
              <w:t>1</w:t>
            </w:r>
          </w:p>
        </w:tc>
        <w:tc>
          <w:tcPr>
            <w:tcW w:w="1134" w:type="dxa"/>
          </w:tcPr>
          <w:p w14:paraId="6878132C" w14:textId="2CE013FD" w:rsidR="00993D25" w:rsidRPr="00082272" w:rsidRDefault="00225482" w:rsidP="00F065DF">
            <w:pPr>
              <w:pStyle w:val="TableText"/>
              <w:keepNext/>
              <w:keepLines/>
              <w:jc w:val="right"/>
            </w:pPr>
            <w:r w:rsidRPr="004A3D90">
              <w:rPr>
                <w:b/>
                <w:bCs/>
              </w:rPr>
              <w:t>Redacted</w:t>
            </w:r>
            <w:r w:rsidR="00333C18" w:rsidRPr="00C31BB1">
              <w:rPr>
                <w:vertAlign w:val="superscript"/>
              </w:rPr>
              <w:t>1</w:t>
            </w:r>
          </w:p>
        </w:tc>
      </w:tr>
      <w:tr w:rsidR="00993D25" w:rsidRPr="002F08F1" w14:paraId="54175969" w14:textId="77777777" w:rsidTr="00C31BB1">
        <w:trPr>
          <w:trHeight w:val="320"/>
        </w:trPr>
        <w:tc>
          <w:tcPr>
            <w:tcW w:w="1555" w:type="dxa"/>
            <w:noWrap/>
            <w:hideMark/>
          </w:tcPr>
          <w:p w14:paraId="32EDA7AA" w14:textId="77777777" w:rsidR="00993D25" w:rsidRPr="002F08F1" w:rsidRDefault="00993D25" w:rsidP="00F065DF">
            <w:pPr>
              <w:pStyle w:val="TableText"/>
              <w:keepNext/>
              <w:keepLines/>
            </w:pPr>
            <w:r w:rsidRPr="0016438D">
              <w:t>Decreased cost</w:t>
            </w:r>
            <w:r>
              <w:t xml:space="preserve"> to MBS</w:t>
            </w:r>
          </w:p>
        </w:tc>
        <w:tc>
          <w:tcPr>
            <w:tcW w:w="1357" w:type="dxa"/>
            <w:hideMark/>
          </w:tcPr>
          <w:p w14:paraId="6245E2DF" w14:textId="372C8C2F" w:rsidR="00993D25" w:rsidRPr="00082272" w:rsidRDefault="00993D25" w:rsidP="00F065DF">
            <w:pPr>
              <w:pStyle w:val="TableText"/>
              <w:keepNext/>
              <w:keepLines/>
              <w:jc w:val="right"/>
              <w:rPr>
                <w:vertAlign w:val="superscript"/>
              </w:rPr>
            </w:pPr>
            <w:r w:rsidRPr="00082272">
              <w:t>-</w:t>
            </w:r>
            <w:r w:rsidR="00225482" w:rsidRPr="004A3D90">
              <w:rPr>
                <w:b/>
                <w:bCs/>
              </w:rPr>
              <w:t>Redacted</w:t>
            </w:r>
            <w:r w:rsidR="006F0628" w:rsidRPr="00C31BB1">
              <w:rPr>
                <w:vertAlign w:val="superscript"/>
              </w:rPr>
              <w:t>1</w:t>
            </w:r>
            <w:r w:rsidR="00225482" w:rsidRPr="00C31BB1">
              <w:rPr>
                <w:vertAlign w:val="superscript"/>
              </w:rPr>
              <w:t>,</w:t>
            </w:r>
            <w:r w:rsidRPr="00082272">
              <w:rPr>
                <w:vertAlign w:val="superscript"/>
              </w:rPr>
              <w:t>1</w:t>
            </w:r>
            <w:r w:rsidR="00225482">
              <w:rPr>
                <w:vertAlign w:val="superscript"/>
              </w:rPr>
              <w:t>9</w:t>
            </w:r>
          </w:p>
        </w:tc>
        <w:tc>
          <w:tcPr>
            <w:tcW w:w="1134" w:type="dxa"/>
            <w:hideMark/>
          </w:tcPr>
          <w:p w14:paraId="2E1D751B" w14:textId="0F3B7B50" w:rsidR="00993D25" w:rsidRPr="00082272" w:rsidRDefault="00993D25" w:rsidP="00F065DF">
            <w:pPr>
              <w:pStyle w:val="TableText"/>
              <w:keepNext/>
              <w:keepLines/>
              <w:jc w:val="right"/>
            </w:pPr>
            <w:r w:rsidRPr="00082272">
              <w:t>-</w:t>
            </w:r>
            <w:r w:rsidR="00225482" w:rsidRPr="004A3D90">
              <w:rPr>
                <w:b/>
                <w:bCs/>
              </w:rPr>
              <w:t>Redacted</w:t>
            </w:r>
            <w:r w:rsidR="006F0628" w:rsidRPr="00C31BB1">
              <w:rPr>
                <w:vertAlign w:val="superscript"/>
              </w:rPr>
              <w:t>1</w:t>
            </w:r>
          </w:p>
        </w:tc>
        <w:tc>
          <w:tcPr>
            <w:tcW w:w="1134" w:type="dxa"/>
            <w:hideMark/>
          </w:tcPr>
          <w:p w14:paraId="3B225C75" w14:textId="40F5ABBA" w:rsidR="00993D25" w:rsidRPr="00082272" w:rsidRDefault="00993D25" w:rsidP="00F065DF">
            <w:pPr>
              <w:pStyle w:val="TableText"/>
              <w:keepNext/>
              <w:keepLines/>
              <w:jc w:val="right"/>
            </w:pPr>
            <w:r w:rsidRPr="00082272">
              <w:t>-</w:t>
            </w:r>
            <w:r w:rsidR="00225482" w:rsidRPr="004A3D90">
              <w:rPr>
                <w:b/>
                <w:bCs/>
              </w:rPr>
              <w:t>Redacted</w:t>
            </w:r>
            <w:r w:rsidR="006F0628" w:rsidRPr="00C31BB1">
              <w:rPr>
                <w:vertAlign w:val="superscript"/>
              </w:rPr>
              <w:t>1</w:t>
            </w:r>
          </w:p>
        </w:tc>
        <w:tc>
          <w:tcPr>
            <w:tcW w:w="1133" w:type="dxa"/>
            <w:hideMark/>
          </w:tcPr>
          <w:p w14:paraId="3041D191" w14:textId="7BD02B2C" w:rsidR="00993D25" w:rsidRPr="00082272" w:rsidRDefault="00993D25" w:rsidP="00F065DF">
            <w:pPr>
              <w:pStyle w:val="TableText"/>
              <w:keepNext/>
              <w:keepLines/>
              <w:jc w:val="right"/>
            </w:pPr>
            <w:r w:rsidRPr="00082272">
              <w:t>-</w:t>
            </w:r>
            <w:r w:rsidR="00225482" w:rsidRPr="004A3D90">
              <w:rPr>
                <w:b/>
                <w:bCs/>
              </w:rPr>
              <w:t>Redacted</w:t>
            </w:r>
            <w:r w:rsidR="006F0628" w:rsidRPr="00C31BB1">
              <w:rPr>
                <w:vertAlign w:val="superscript"/>
              </w:rPr>
              <w:t>1</w:t>
            </w:r>
          </w:p>
        </w:tc>
        <w:tc>
          <w:tcPr>
            <w:tcW w:w="1134" w:type="dxa"/>
            <w:hideMark/>
          </w:tcPr>
          <w:p w14:paraId="68117214" w14:textId="5424077F" w:rsidR="00993D25" w:rsidRPr="00082272" w:rsidRDefault="00993D25" w:rsidP="00F065DF">
            <w:pPr>
              <w:pStyle w:val="TableText"/>
              <w:keepNext/>
              <w:keepLines/>
              <w:jc w:val="right"/>
            </w:pPr>
            <w:r w:rsidRPr="00082272">
              <w:t>-</w:t>
            </w:r>
            <w:r w:rsidR="00225482" w:rsidRPr="004A3D90">
              <w:rPr>
                <w:b/>
                <w:bCs/>
              </w:rPr>
              <w:t>Redacted</w:t>
            </w:r>
            <w:r w:rsidR="006F0628" w:rsidRPr="00C31BB1">
              <w:rPr>
                <w:vertAlign w:val="superscript"/>
              </w:rPr>
              <w:t>1</w:t>
            </w:r>
          </w:p>
        </w:tc>
        <w:tc>
          <w:tcPr>
            <w:tcW w:w="1134" w:type="dxa"/>
            <w:hideMark/>
          </w:tcPr>
          <w:p w14:paraId="00525145" w14:textId="13178AB4" w:rsidR="00993D25" w:rsidRPr="00082272" w:rsidRDefault="00993D25" w:rsidP="00F065DF">
            <w:pPr>
              <w:pStyle w:val="TableText"/>
              <w:keepNext/>
              <w:keepLines/>
              <w:jc w:val="right"/>
            </w:pPr>
            <w:r w:rsidRPr="00082272">
              <w:t>-</w:t>
            </w:r>
            <w:r w:rsidR="00225482" w:rsidRPr="004A3D90">
              <w:rPr>
                <w:b/>
                <w:bCs/>
              </w:rPr>
              <w:t>Redacted</w:t>
            </w:r>
            <w:r w:rsidR="006F0628" w:rsidRPr="00C31BB1">
              <w:rPr>
                <w:vertAlign w:val="superscript"/>
              </w:rPr>
              <w:t>1</w:t>
            </w:r>
          </w:p>
        </w:tc>
        <w:tc>
          <w:tcPr>
            <w:tcW w:w="1134" w:type="dxa"/>
          </w:tcPr>
          <w:p w14:paraId="71047C09" w14:textId="3151A2C0" w:rsidR="00993D25" w:rsidRPr="00082272" w:rsidRDefault="00993D25" w:rsidP="00F065DF">
            <w:pPr>
              <w:pStyle w:val="TableText"/>
              <w:keepNext/>
              <w:keepLines/>
              <w:jc w:val="right"/>
            </w:pPr>
            <w:r w:rsidRPr="00082272">
              <w:t>-</w:t>
            </w:r>
            <w:r w:rsidR="00225482" w:rsidRPr="004A3D90">
              <w:rPr>
                <w:b/>
                <w:bCs/>
              </w:rPr>
              <w:t>Redacted</w:t>
            </w:r>
            <w:r w:rsidR="00333C18" w:rsidRPr="00C31BB1">
              <w:rPr>
                <w:vertAlign w:val="superscript"/>
              </w:rPr>
              <w:t>1</w:t>
            </w:r>
          </w:p>
        </w:tc>
      </w:tr>
      <w:tr w:rsidR="00993D25" w:rsidRPr="002F08F1" w14:paraId="42315945" w14:textId="77777777" w:rsidTr="00C31BB1">
        <w:trPr>
          <w:trHeight w:val="320"/>
        </w:trPr>
        <w:tc>
          <w:tcPr>
            <w:tcW w:w="1555" w:type="dxa"/>
            <w:noWrap/>
            <w:hideMark/>
          </w:tcPr>
          <w:p w14:paraId="1ECDE7D7" w14:textId="77777777" w:rsidR="00993D25" w:rsidRPr="00B84412" w:rsidRDefault="00993D25" w:rsidP="00F065DF">
            <w:pPr>
              <w:pStyle w:val="TableText"/>
              <w:keepNext/>
              <w:keepLines/>
              <w:rPr>
                <w:b/>
                <w:bCs/>
              </w:rPr>
            </w:pPr>
            <w:r w:rsidRPr="0016438D">
              <w:t>Net cost to the MBS</w:t>
            </w:r>
          </w:p>
        </w:tc>
        <w:tc>
          <w:tcPr>
            <w:tcW w:w="1357" w:type="dxa"/>
            <w:hideMark/>
          </w:tcPr>
          <w:p w14:paraId="5C43DCA6" w14:textId="49A6C53F" w:rsidR="00993D25" w:rsidRPr="00082272" w:rsidRDefault="00993D25" w:rsidP="00F065DF">
            <w:pPr>
              <w:pStyle w:val="TableText"/>
              <w:keepNext/>
              <w:keepLines/>
              <w:jc w:val="right"/>
              <w:rPr>
                <w:b/>
                <w:bCs/>
                <w:vertAlign w:val="superscript"/>
              </w:rPr>
            </w:pPr>
            <w:r w:rsidRPr="00082272">
              <w:t>-</w:t>
            </w:r>
            <w:r w:rsidR="00225482" w:rsidRPr="004A3D90">
              <w:rPr>
                <w:b/>
                <w:bCs/>
              </w:rPr>
              <w:t>Redacted</w:t>
            </w:r>
            <w:r w:rsidR="006F0628" w:rsidRPr="00C31BB1">
              <w:rPr>
                <w:vertAlign w:val="superscript"/>
              </w:rPr>
              <w:t>1</w:t>
            </w:r>
            <w:r w:rsidR="00225482" w:rsidRPr="00C31BB1">
              <w:rPr>
                <w:vertAlign w:val="superscript"/>
              </w:rPr>
              <w:t>,</w:t>
            </w:r>
            <w:r w:rsidRPr="00082272">
              <w:rPr>
                <w:vertAlign w:val="superscript"/>
              </w:rPr>
              <w:t>1</w:t>
            </w:r>
            <w:r w:rsidR="00225482">
              <w:rPr>
                <w:vertAlign w:val="superscript"/>
              </w:rPr>
              <w:t>9</w:t>
            </w:r>
          </w:p>
        </w:tc>
        <w:tc>
          <w:tcPr>
            <w:tcW w:w="1134" w:type="dxa"/>
            <w:hideMark/>
          </w:tcPr>
          <w:p w14:paraId="3274B954" w14:textId="2F013E5C"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c>
          <w:tcPr>
            <w:tcW w:w="1134" w:type="dxa"/>
            <w:hideMark/>
          </w:tcPr>
          <w:p w14:paraId="42F68A02" w14:textId="7AC19783"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c>
          <w:tcPr>
            <w:tcW w:w="1133" w:type="dxa"/>
            <w:hideMark/>
          </w:tcPr>
          <w:p w14:paraId="071934F0" w14:textId="438EDEB4"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c>
          <w:tcPr>
            <w:tcW w:w="1134" w:type="dxa"/>
            <w:hideMark/>
          </w:tcPr>
          <w:p w14:paraId="6D10963B" w14:textId="07BB2C14"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c>
          <w:tcPr>
            <w:tcW w:w="1134" w:type="dxa"/>
            <w:hideMark/>
          </w:tcPr>
          <w:p w14:paraId="3060345E" w14:textId="575EDBDA"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c>
          <w:tcPr>
            <w:tcW w:w="1134" w:type="dxa"/>
          </w:tcPr>
          <w:p w14:paraId="75C5D961" w14:textId="45A34ABB" w:rsidR="00993D25" w:rsidRPr="00082272" w:rsidRDefault="00993D25" w:rsidP="00F065DF">
            <w:pPr>
              <w:pStyle w:val="TableText"/>
              <w:keepNext/>
              <w:keepLines/>
              <w:jc w:val="right"/>
              <w:rPr>
                <w:b/>
                <w:bCs/>
              </w:rPr>
            </w:pPr>
            <w:r w:rsidRPr="00082272">
              <w:t>-</w:t>
            </w:r>
            <w:r w:rsidR="00225482" w:rsidRPr="004A3D90">
              <w:rPr>
                <w:b/>
                <w:bCs/>
              </w:rPr>
              <w:t>Redacted</w:t>
            </w:r>
            <w:r w:rsidR="006F0628" w:rsidRPr="00C31BB1">
              <w:rPr>
                <w:vertAlign w:val="superscript"/>
              </w:rPr>
              <w:t>1</w:t>
            </w:r>
          </w:p>
        </w:tc>
      </w:tr>
    </w:tbl>
    <w:p w14:paraId="0BE54DCF" w14:textId="658BCFF7" w:rsidR="00FF4C81" w:rsidRPr="00C31BB1" w:rsidRDefault="00FF4C81" w:rsidP="00F065DF">
      <w:pPr>
        <w:keepNext/>
        <w:keepLines/>
        <w:spacing w:before="0" w:after="0"/>
        <w:rPr>
          <w:rFonts w:ascii="Arial Narrow" w:hAnsi="Arial Narrow"/>
          <w:sz w:val="18"/>
          <w:szCs w:val="18"/>
        </w:rPr>
      </w:pPr>
      <w:r w:rsidRPr="00C31BB1">
        <w:rPr>
          <w:rFonts w:ascii="Arial Narrow" w:hAnsi="Arial Narrow"/>
          <w:sz w:val="18"/>
          <w:szCs w:val="18"/>
        </w:rPr>
        <w:t xml:space="preserve">The </w:t>
      </w:r>
      <w:r w:rsidRPr="00C31BB1">
        <w:rPr>
          <w:rFonts w:ascii="Arial Narrow" w:hAnsi="Arial Narrow"/>
          <w:b/>
          <w:bCs/>
          <w:sz w:val="18"/>
          <w:szCs w:val="18"/>
        </w:rPr>
        <w:t>redacted</w:t>
      </w:r>
      <w:r w:rsidRPr="00C31BB1">
        <w:rPr>
          <w:rFonts w:ascii="Arial Narrow" w:hAnsi="Arial Narrow"/>
          <w:sz w:val="18"/>
          <w:szCs w:val="18"/>
        </w:rPr>
        <w:t xml:space="preserve"> values correspond to the following ranges</w:t>
      </w:r>
    </w:p>
    <w:p w14:paraId="58DE5CE5" w14:textId="405D5B28" w:rsidR="00FF4C81" w:rsidRPr="00C31BB1" w:rsidRDefault="00FF4C81" w:rsidP="00F065DF">
      <w:pPr>
        <w:keepNext/>
        <w:keepLines/>
        <w:spacing w:before="0" w:after="0"/>
        <w:rPr>
          <w:rFonts w:ascii="Arial Narrow" w:hAnsi="Arial Narrow"/>
          <w:sz w:val="18"/>
          <w:szCs w:val="18"/>
        </w:rPr>
      </w:pPr>
      <w:r w:rsidRPr="00C31BB1">
        <w:rPr>
          <w:rFonts w:ascii="Arial Narrow" w:hAnsi="Arial Narrow"/>
          <w:sz w:val="18"/>
          <w:szCs w:val="18"/>
        </w:rPr>
        <w:t xml:space="preserve">1 </w:t>
      </w:r>
      <w:r w:rsidR="006A09B4" w:rsidRPr="00C31BB1">
        <w:rPr>
          <w:rFonts w:ascii="Arial Narrow" w:hAnsi="Arial Narrow"/>
          <w:sz w:val="18"/>
          <w:szCs w:val="18"/>
        </w:rPr>
        <w:t>$0 to &lt;$10</w:t>
      </w:r>
      <w:r w:rsidR="00333C18">
        <w:rPr>
          <w:rFonts w:ascii="Arial Narrow" w:hAnsi="Arial Narrow"/>
          <w:sz w:val="18"/>
          <w:szCs w:val="18"/>
        </w:rPr>
        <w:t xml:space="preserve"> million</w:t>
      </w:r>
    </w:p>
    <w:p w14:paraId="7838A9FF" w14:textId="71EE4C4B" w:rsidR="00772829" w:rsidRPr="00CE28E3" w:rsidRDefault="00772829" w:rsidP="00F065DF">
      <w:pPr>
        <w:pStyle w:val="Heading2"/>
        <w:numPr>
          <w:ilvl w:val="0"/>
          <w:numId w:val="29"/>
        </w:numPr>
        <w:tabs>
          <w:tab w:val="num" w:pos="1134"/>
        </w:tabs>
      </w:pPr>
      <w:bookmarkStart w:id="31" w:name="_Toc69491427"/>
      <w:r w:rsidRPr="00CE28E3">
        <w:t xml:space="preserve">Other relevant </w:t>
      </w:r>
      <w:bookmarkEnd w:id="31"/>
      <w:r w:rsidR="00FA5766">
        <w:t>information</w:t>
      </w:r>
    </w:p>
    <w:p w14:paraId="30DE9625" w14:textId="0A7E65DF" w:rsidR="00772829" w:rsidRDefault="00772829" w:rsidP="00F065DF">
      <w:pPr>
        <w:pStyle w:val="Instructionaltext"/>
        <w:keepNext/>
        <w:keepLines/>
        <w:spacing w:line="240" w:lineRule="auto"/>
        <w:rPr>
          <w:color w:val="000000" w:themeColor="text1"/>
        </w:rPr>
      </w:pPr>
      <w:r w:rsidRPr="00490308">
        <w:rPr>
          <w:color w:val="000000" w:themeColor="text1"/>
        </w:rPr>
        <w:t>Nil</w:t>
      </w:r>
      <w:r w:rsidR="00490308" w:rsidRPr="00490308">
        <w:rPr>
          <w:color w:val="000000" w:themeColor="text1"/>
        </w:rPr>
        <w:t>.</w:t>
      </w:r>
    </w:p>
    <w:p w14:paraId="4E15D3B9" w14:textId="5DF1D21B" w:rsidR="00F87B54" w:rsidRPr="00A737D1" w:rsidRDefault="00F87B54" w:rsidP="00F065DF">
      <w:pPr>
        <w:pStyle w:val="Heading2"/>
        <w:numPr>
          <w:ilvl w:val="0"/>
          <w:numId w:val="29"/>
        </w:numPr>
        <w:tabs>
          <w:tab w:val="num" w:pos="1134"/>
        </w:tabs>
      </w:pPr>
      <w:bookmarkStart w:id="32" w:name="_Hlk193984667"/>
      <w:r w:rsidRPr="003A793E">
        <w:t>Applicant comments on MSAC’s Public Summary Document</w:t>
      </w:r>
    </w:p>
    <w:p w14:paraId="36683D1E" w14:textId="64FCCEA9" w:rsidR="00F87B54" w:rsidRPr="00F065DF" w:rsidRDefault="00362AAD" w:rsidP="00491603">
      <w:pPr>
        <w:spacing w:after="240" w:line="240" w:lineRule="auto"/>
      </w:pPr>
      <w:r w:rsidRPr="00F065DF">
        <w:t xml:space="preserve">The applicant had no comment. </w:t>
      </w:r>
    </w:p>
    <w:p w14:paraId="57FD8ABA" w14:textId="77777777" w:rsidR="00F87B54" w:rsidRPr="00A737D1" w:rsidRDefault="00F87B54" w:rsidP="00045C5D">
      <w:pPr>
        <w:pStyle w:val="Heading2"/>
        <w:numPr>
          <w:ilvl w:val="0"/>
          <w:numId w:val="29"/>
        </w:numPr>
        <w:tabs>
          <w:tab w:val="num" w:pos="1134"/>
        </w:tabs>
      </w:pPr>
      <w:r w:rsidRPr="003A793E">
        <w:t>Further information on MSAC</w:t>
      </w:r>
    </w:p>
    <w:p w14:paraId="51AE80C0" w14:textId="5E002FDA" w:rsidR="00293A45" w:rsidRPr="00F065DF" w:rsidRDefault="00F87B54" w:rsidP="00562A74">
      <w:pPr>
        <w:pStyle w:val="BodyText"/>
        <w:spacing w:line="240" w:lineRule="auto"/>
        <w:rPr>
          <w:rFonts w:ascii="Franklin Gothic Book" w:hAnsi="Franklin Gothic Book"/>
          <w:b/>
          <w:bCs/>
          <w:i/>
          <w:iCs/>
          <w:sz w:val="22"/>
        </w:rPr>
      </w:pPr>
      <w:r w:rsidRPr="00F065DF">
        <w:rPr>
          <w:rFonts w:ascii="Franklin Gothic Book" w:hAnsi="Franklin Gothic Book"/>
          <w:bCs/>
          <w:iCs/>
          <w:sz w:val="22"/>
        </w:rPr>
        <w:t xml:space="preserve">MSAC Terms of Reference and other information are available on the MSAC Website: </w:t>
      </w:r>
      <w:hyperlink r:id="rId19" w:tooltip="Link to the MSAC website" w:history="1">
        <w:r w:rsidRPr="00F065DF">
          <w:rPr>
            <w:rStyle w:val="Hyperlink"/>
            <w:rFonts w:ascii="Franklin Gothic Book" w:hAnsi="Franklin Gothic Book"/>
            <w:iCs/>
            <w:color w:val="007BB8"/>
            <w:sz w:val="22"/>
          </w:rPr>
          <w:t>visit the MSAC website</w:t>
        </w:r>
      </w:hyperlink>
      <w:bookmarkEnd w:id="32"/>
    </w:p>
    <w:sectPr w:rsidR="00293A45" w:rsidRPr="00F065DF" w:rsidSect="005E30AE">
      <w:headerReference w:type="even" r:id="rId20"/>
      <w:headerReference w:type="default" r:id="rId21"/>
      <w:footerReference w:type="even" r:id="rId22"/>
      <w:footerReference w:type="default" r:id="rId23"/>
      <w:headerReference w:type="first" r:id="rId24"/>
      <w:footerReference w:type="first" r:id="rId25"/>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BC51" w14:textId="77777777" w:rsidR="00D87D68" w:rsidRDefault="00D87D68" w:rsidP="00B62DF2">
      <w:pPr>
        <w:spacing w:after="0" w:line="240" w:lineRule="auto"/>
      </w:pPr>
      <w:r>
        <w:separator/>
      </w:r>
    </w:p>
  </w:endnote>
  <w:endnote w:type="continuationSeparator" w:id="0">
    <w:p w14:paraId="307D03A4" w14:textId="77777777" w:rsidR="00D87D68" w:rsidRDefault="00D87D68" w:rsidP="00B62DF2">
      <w:pPr>
        <w:spacing w:after="0" w:line="240" w:lineRule="auto"/>
      </w:pPr>
      <w:r>
        <w:continuationSeparator/>
      </w:r>
    </w:p>
  </w:endnote>
  <w:endnote w:type="continuationNotice" w:id="1">
    <w:p w14:paraId="2086CB71" w14:textId="77777777" w:rsidR="00D87D68" w:rsidRDefault="00D87D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font>
  <w:font w:name="ArialNarrow">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82F8" w14:textId="5AC8C1F1" w:rsidR="00D051B5" w:rsidRDefault="00D051B5">
    <w:pPr>
      <w:pStyle w:val="Footer"/>
    </w:pPr>
    <w:r>
      <w:rPr>
        <w:noProof/>
      </w:rPr>
      <mc:AlternateContent>
        <mc:Choice Requires="wps">
          <w:drawing>
            <wp:anchor distT="0" distB="0" distL="0" distR="0" simplePos="0" relativeHeight="251658243" behindDoc="0" locked="0" layoutInCell="1" allowOverlap="1" wp14:anchorId="62C52E03" wp14:editId="015EA797">
              <wp:simplePos x="635" y="635"/>
              <wp:positionH relativeFrom="page">
                <wp:align>center</wp:align>
              </wp:positionH>
              <wp:positionV relativeFrom="page">
                <wp:align>bottom</wp:align>
              </wp:positionV>
              <wp:extent cx="609600" cy="476250"/>
              <wp:effectExtent l="0" t="0" r="0" b="0"/>
              <wp:wrapNone/>
              <wp:docPr id="1902163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253E6E7" w14:textId="07CDE88A"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52E03"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253E6E7" w14:textId="07CDE88A"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F81F" w14:textId="7FAFA33B" w:rsidR="003169D5" w:rsidRPr="00A15C29" w:rsidRDefault="00D051B5" w:rsidP="00491603">
    <w:pPr>
      <w:pStyle w:val="Footer"/>
      <w:jc w:val="right"/>
    </w:pPr>
    <w:r>
      <w:rPr>
        <w:noProof/>
      </w:rPr>
      <mc:AlternateContent>
        <mc:Choice Requires="wps">
          <w:drawing>
            <wp:anchor distT="0" distB="0" distL="0" distR="0" simplePos="0" relativeHeight="251658240" behindDoc="0" locked="0" layoutInCell="1" allowOverlap="1" wp14:anchorId="141001AD" wp14:editId="5FC05CD0">
              <wp:simplePos x="635" y="635"/>
              <wp:positionH relativeFrom="page">
                <wp:align>center</wp:align>
              </wp:positionH>
              <wp:positionV relativeFrom="page">
                <wp:align>bottom</wp:align>
              </wp:positionV>
              <wp:extent cx="609600" cy="476250"/>
              <wp:effectExtent l="0" t="0" r="0" b="0"/>
              <wp:wrapNone/>
              <wp:docPr id="775945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C216062" w14:textId="477B4985"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001AD"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1C216062" w14:textId="477B4985"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sdt>
      <w:sdtPr>
        <w:id w:val="677233868"/>
        <w:docPartObj>
          <w:docPartGallery w:val="Page Numbers (Bottom of Page)"/>
          <w:docPartUnique/>
        </w:docPartObj>
      </w:sdtPr>
      <w:sdtEndPr>
        <w:rPr>
          <w:noProof/>
        </w:rPr>
      </w:sdtEndPr>
      <w:sdtContent>
        <w:r w:rsidR="003169D5">
          <w:fldChar w:fldCharType="begin"/>
        </w:r>
        <w:r w:rsidR="003169D5">
          <w:instrText xml:space="preserve"> PAGE   \* MERGEFORMAT </w:instrText>
        </w:r>
        <w:r w:rsidR="003169D5">
          <w:fldChar w:fldCharType="separate"/>
        </w:r>
        <w:r w:rsidR="003169D5">
          <w:t>1</w:t>
        </w:r>
        <w:r w:rsidR="003169D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648E" w14:textId="447E870B" w:rsidR="00D051B5" w:rsidRDefault="00D051B5">
    <w:pPr>
      <w:pStyle w:val="Footer"/>
    </w:pPr>
    <w:r>
      <w:rPr>
        <w:noProof/>
      </w:rPr>
      <mc:AlternateContent>
        <mc:Choice Requires="wps">
          <w:drawing>
            <wp:anchor distT="0" distB="0" distL="0" distR="0" simplePos="0" relativeHeight="251658245" behindDoc="0" locked="0" layoutInCell="1" allowOverlap="1" wp14:anchorId="450F85D1" wp14:editId="53F4D61E">
              <wp:simplePos x="635" y="635"/>
              <wp:positionH relativeFrom="page">
                <wp:align>center</wp:align>
              </wp:positionH>
              <wp:positionV relativeFrom="page">
                <wp:align>bottom</wp:align>
              </wp:positionV>
              <wp:extent cx="609600" cy="476250"/>
              <wp:effectExtent l="0" t="0" r="0" b="0"/>
              <wp:wrapNone/>
              <wp:docPr id="3034614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D5B2458" w14:textId="5C8E2380"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F85D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D5B2458" w14:textId="5C8E2380"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AEAB" w14:textId="77777777" w:rsidR="00D87D68" w:rsidRDefault="00D87D68" w:rsidP="00B62DF2">
      <w:pPr>
        <w:spacing w:after="0" w:line="240" w:lineRule="auto"/>
      </w:pPr>
      <w:r>
        <w:separator/>
      </w:r>
    </w:p>
  </w:footnote>
  <w:footnote w:type="continuationSeparator" w:id="0">
    <w:p w14:paraId="7B713496" w14:textId="77777777" w:rsidR="00D87D68" w:rsidRDefault="00D87D68" w:rsidP="00B62DF2">
      <w:pPr>
        <w:spacing w:after="0" w:line="240" w:lineRule="auto"/>
      </w:pPr>
      <w:r>
        <w:continuationSeparator/>
      </w:r>
    </w:p>
  </w:footnote>
  <w:footnote w:type="continuationNotice" w:id="1">
    <w:p w14:paraId="05643050" w14:textId="77777777" w:rsidR="00D87D68" w:rsidRDefault="00D87D68">
      <w:pPr>
        <w:spacing w:before="0" w:after="0" w:line="240" w:lineRule="auto"/>
      </w:pPr>
    </w:p>
  </w:footnote>
  <w:footnote w:id="2">
    <w:p w14:paraId="174D9946" w14:textId="314F123C" w:rsidR="005062B4" w:rsidRPr="00B33E6F" w:rsidRDefault="005062B4">
      <w:pPr>
        <w:pStyle w:val="FootnoteText"/>
        <w:rPr>
          <w:rFonts w:ascii="Arial Narrow" w:hAnsi="Arial Narrow"/>
          <w:szCs w:val="18"/>
        </w:rPr>
      </w:pPr>
      <w:r w:rsidRPr="00B33E6F">
        <w:rPr>
          <w:rStyle w:val="FootnoteReference"/>
          <w:rFonts w:ascii="Arial Narrow" w:hAnsi="Arial Narrow"/>
          <w:szCs w:val="18"/>
        </w:rPr>
        <w:footnoteRef/>
      </w:r>
      <w:r w:rsidRPr="00B33E6F">
        <w:rPr>
          <w:rFonts w:ascii="Arial Narrow" w:hAnsi="Arial Narrow"/>
          <w:szCs w:val="18"/>
        </w:rPr>
        <w:t xml:space="preserve"> Australian </w:t>
      </w:r>
      <w:r w:rsidR="00F24DE0" w:rsidRPr="00B33E6F">
        <w:rPr>
          <w:rFonts w:ascii="Arial Narrow" w:hAnsi="Arial Narrow"/>
          <w:szCs w:val="18"/>
        </w:rPr>
        <w:t xml:space="preserve">Register of Therapeutic Goods </w:t>
      </w:r>
      <w:r w:rsidRPr="00B33E6F">
        <w:rPr>
          <w:rFonts w:ascii="Arial Narrow" w:hAnsi="Arial Narrow"/>
          <w:szCs w:val="18"/>
        </w:rPr>
        <w:t xml:space="preserve">– Xeomin </w:t>
      </w:r>
      <w:r w:rsidR="00F24DE0" w:rsidRPr="00B33E6F">
        <w:rPr>
          <w:rFonts w:ascii="Arial Narrow" w:hAnsi="Arial Narrow"/>
          <w:szCs w:val="18"/>
        </w:rPr>
        <w:t>–</w:t>
      </w:r>
      <w:r w:rsidRPr="00B33E6F">
        <w:rPr>
          <w:rFonts w:ascii="Arial Narrow" w:hAnsi="Arial Narrow"/>
          <w:szCs w:val="18"/>
        </w:rPr>
        <w:t xml:space="preserve"> </w:t>
      </w:r>
      <w:hyperlink r:id="rId1" w:history="1">
        <w:r w:rsidRPr="00B33E6F">
          <w:rPr>
            <w:rStyle w:val="Hyperlink"/>
            <w:rFonts w:ascii="Arial Narrow" w:hAnsi="Arial Narrow"/>
            <w:szCs w:val="18"/>
          </w:rPr>
          <w:t>P</w:t>
        </w:r>
        <w:r w:rsidR="00F24DE0" w:rsidRPr="00B33E6F">
          <w:rPr>
            <w:rStyle w:val="Hyperlink"/>
            <w:rFonts w:ascii="Arial Narrow" w:hAnsi="Arial Narrow"/>
            <w:szCs w:val="18"/>
          </w:rPr>
          <w:t xml:space="preserve">roduct </w:t>
        </w:r>
        <w:r w:rsidRPr="00B33E6F">
          <w:rPr>
            <w:rStyle w:val="Hyperlink"/>
            <w:rFonts w:ascii="Arial Narrow" w:hAnsi="Arial Narrow"/>
            <w:szCs w:val="18"/>
          </w:rPr>
          <w:t>I</w:t>
        </w:r>
        <w:r w:rsidR="00F24DE0" w:rsidRPr="00B33E6F">
          <w:rPr>
            <w:rStyle w:val="Hyperlink"/>
            <w:rFonts w:ascii="Arial Narrow" w:hAnsi="Arial Narrow"/>
            <w:szCs w:val="18"/>
          </w:rPr>
          <w:t>nformation</w:t>
        </w:r>
        <w:r w:rsidRPr="00B33E6F">
          <w:rPr>
            <w:rStyle w:val="Hyperlink"/>
            <w:rFonts w:ascii="Arial Narrow" w:hAnsi="Arial Narrow"/>
            <w:szCs w:val="18"/>
          </w:rPr>
          <w:t xml:space="preserve"> template</w:t>
        </w:r>
      </w:hyperlink>
    </w:p>
  </w:footnote>
  <w:footnote w:id="3">
    <w:p w14:paraId="2CB99467" w14:textId="58409E5B" w:rsidR="008F4684" w:rsidRPr="00B33E6F" w:rsidRDefault="008F4684">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The </w:t>
      </w:r>
      <w:r w:rsidR="00025A5B" w:rsidRPr="00B33E6F">
        <w:rPr>
          <w:rFonts w:ascii="Arial Narrow" w:hAnsi="Arial Narrow"/>
          <w:sz w:val="16"/>
          <w:szCs w:val="16"/>
        </w:rPr>
        <w:t xml:space="preserve">MBS item 18354 fee at the time of MSAC consideration was </w:t>
      </w:r>
      <w:r w:rsidR="00025A5B" w:rsidRPr="00B33E6F">
        <w:rPr>
          <w:rFonts w:ascii="Arial Narrow" w:hAnsi="Arial Narrow"/>
          <w:sz w:val="16"/>
          <w:szCs w:val="16"/>
          <w:lang w:val="en-US"/>
        </w:rPr>
        <w:t xml:space="preserve">$145.65 – see Section 2 </w:t>
      </w:r>
    </w:p>
  </w:footnote>
  <w:footnote w:id="4">
    <w:p w14:paraId="1677A691" w14:textId="1DAD7CED" w:rsidR="00025A5B" w:rsidRDefault="00025A5B">
      <w:pPr>
        <w:pStyle w:val="FootnoteText"/>
      </w:pPr>
      <w:r w:rsidRPr="00B33E6F">
        <w:rPr>
          <w:rStyle w:val="FootnoteReference"/>
          <w:rFonts w:ascii="Arial Narrow" w:hAnsi="Arial Narrow"/>
          <w:sz w:val="16"/>
          <w:szCs w:val="16"/>
        </w:rPr>
        <w:footnoteRef/>
      </w:r>
      <w:r w:rsidRPr="00B33E6F">
        <w:rPr>
          <w:rFonts w:ascii="Arial Narrow" w:hAnsi="Arial Narrow"/>
          <w:sz w:val="16"/>
          <w:szCs w:val="16"/>
        </w:rPr>
        <w:t xml:space="preserve"> The MBS item</w:t>
      </w:r>
      <w:r w:rsidR="0099787C" w:rsidRPr="00B33E6F">
        <w:rPr>
          <w:rFonts w:ascii="Arial Narrow" w:hAnsi="Arial Narrow"/>
          <w:sz w:val="16"/>
          <w:szCs w:val="16"/>
        </w:rPr>
        <w:t xml:space="preserve"> 18361 fee at the time of MSAC consideration was $146.65 – see Section 2</w:t>
      </w:r>
      <w:r w:rsidR="0099787C">
        <w:t xml:space="preserve"> </w:t>
      </w:r>
    </w:p>
  </w:footnote>
  <w:footnote w:id="5">
    <w:p w14:paraId="11518B8B" w14:textId="0F512CCA" w:rsidR="00C66FDD" w:rsidRPr="00B33E6F" w:rsidRDefault="00C66FDD">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HÄGGLUND, G. &amp; WAGNER, P. 2008. Development of spasticity with age in a total population of children with cerebral palsy. </w:t>
      </w:r>
      <w:r w:rsidRPr="00B33E6F">
        <w:rPr>
          <w:rFonts w:ascii="Arial Narrow" w:hAnsi="Arial Narrow"/>
          <w:i/>
          <w:sz w:val="16"/>
          <w:szCs w:val="16"/>
        </w:rPr>
        <w:t>BMC Musculoskelet Disord,</w:t>
      </w:r>
      <w:r w:rsidRPr="00B33E6F">
        <w:rPr>
          <w:rFonts w:ascii="Arial Narrow" w:hAnsi="Arial Narrow"/>
          <w:sz w:val="16"/>
          <w:szCs w:val="16"/>
        </w:rPr>
        <w:t xml:space="preserve"> 9</w:t>
      </w:r>
      <w:r w:rsidRPr="00B33E6F">
        <w:rPr>
          <w:rFonts w:ascii="Arial Narrow" w:hAnsi="Arial Narrow"/>
          <w:b/>
          <w:sz w:val="16"/>
          <w:szCs w:val="16"/>
        </w:rPr>
        <w:t>,</w:t>
      </w:r>
      <w:r w:rsidRPr="00B33E6F">
        <w:rPr>
          <w:rFonts w:ascii="Arial Narrow" w:hAnsi="Arial Narrow"/>
          <w:sz w:val="16"/>
          <w:szCs w:val="16"/>
        </w:rPr>
        <w:t xml:space="preserve"> 150</w:t>
      </w:r>
    </w:p>
  </w:footnote>
  <w:footnote w:id="6">
    <w:p w14:paraId="0A9D5E57" w14:textId="3F647E8C" w:rsidR="00040E79" w:rsidRPr="00B33E6F" w:rsidRDefault="00040E79">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CANS, C. 2000. Surveillance of cerebral palsy in Europe: a collaboration of cerebral palsy surveys and registers. 42</w:t>
      </w:r>
      <w:r w:rsidRPr="00B33E6F">
        <w:rPr>
          <w:rFonts w:ascii="Arial Narrow" w:hAnsi="Arial Narrow"/>
          <w:b/>
          <w:sz w:val="16"/>
          <w:szCs w:val="16"/>
        </w:rPr>
        <w:t>,</w:t>
      </w:r>
      <w:r w:rsidRPr="00B33E6F">
        <w:rPr>
          <w:rFonts w:ascii="Arial Narrow" w:hAnsi="Arial Narrow"/>
          <w:sz w:val="16"/>
          <w:szCs w:val="16"/>
        </w:rPr>
        <w:t xml:space="preserve"> 816-824</w:t>
      </w:r>
    </w:p>
  </w:footnote>
  <w:footnote w:id="7">
    <w:p w14:paraId="07016DAE" w14:textId="00C0130E" w:rsidR="00040E79" w:rsidRPr="00B33E6F" w:rsidRDefault="00040E79" w:rsidP="00762BCF">
      <w:pPr>
        <w:pStyle w:val="FootnoteText"/>
        <w:spacing w:before="0"/>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COLVER, A., RAPP, M., EISEMANN, N., EHLINGER, V., THYEN, U., DICKINSON, H. O., PARKES, J., PARKINSON, K., NYSTRAND, M., FAUCONNIER, J., MARCELLI, M., MICHELSEN, S. I. &amp; ARNAUD, C. 2015. Self-reported quality of life of adolescents with cerebral palsy: a cross-sectional and longitudinal analysis. </w:t>
      </w:r>
      <w:r w:rsidRPr="00B33E6F">
        <w:rPr>
          <w:rFonts w:ascii="Arial Narrow" w:hAnsi="Arial Narrow"/>
          <w:i/>
          <w:sz w:val="16"/>
          <w:szCs w:val="16"/>
        </w:rPr>
        <w:t>Lancet,</w:t>
      </w:r>
      <w:r w:rsidRPr="00B33E6F">
        <w:rPr>
          <w:rFonts w:ascii="Arial Narrow" w:hAnsi="Arial Narrow"/>
          <w:sz w:val="16"/>
          <w:szCs w:val="16"/>
        </w:rPr>
        <w:t xml:space="preserve"> 385</w:t>
      </w:r>
      <w:r w:rsidRPr="00B33E6F">
        <w:rPr>
          <w:rFonts w:ascii="Arial Narrow" w:hAnsi="Arial Narrow"/>
          <w:b/>
          <w:sz w:val="16"/>
          <w:szCs w:val="16"/>
        </w:rPr>
        <w:t>,</w:t>
      </w:r>
      <w:r w:rsidRPr="00B33E6F">
        <w:rPr>
          <w:rFonts w:ascii="Arial Narrow" w:hAnsi="Arial Narrow"/>
          <w:sz w:val="16"/>
          <w:szCs w:val="16"/>
        </w:rPr>
        <w:t xml:space="preserve"> 705-16</w:t>
      </w:r>
    </w:p>
  </w:footnote>
  <w:footnote w:id="8">
    <w:p w14:paraId="68ABB20B" w14:textId="456A00FF" w:rsidR="00834AEB" w:rsidRPr="00B33E6F" w:rsidRDefault="00AA20AB" w:rsidP="00762BCF">
      <w:pPr>
        <w:pStyle w:val="FootnoteText"/>
        <w:spacing w:before="0"/>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PARK, E. Y. 2018. Path analysis of strength, spasticity, gross motor function, and health-related quality of life in children with spastic cerebral palsy. </w:t>
      </w:r>
      <w:r w:rsidRPr="00B33E6F">
        <w:rPr>
          <w:rFonts w:ascii="Arial Narrow" w:hAnsi="Arial Narrow"/>
          <w:i/>
          <w:sz w:val="16"/>
          <w:szCs w:val="16"/>
        </w:rPr>
        <w:t>Health Qual Life Outcomes,</w:t>
      </w:r>
      <w:r w:rsidRPr="00B33E6F">
        <w:rPr>
          <w:rFonts w:ascii="Arial Narrow" w:hAnsi="Arial Narrow"/>
          <w:sz w:val="16"/>
          <w:szCs w:val="16"/>
        </w:rPr>
        <w:t xml:space="preserve"> 16</w:t>
      </w:r>
      <w:r w:rsidRPr="00B33E6F">
        <w:rPr>
          <w:rFonts w:ascii="Arial Narrow" w:hAnsi="Arial Narrow"/>
          <w:b/>
          <w:sz w:val="16"/>
          <w:szCs w:val="16"/>
        </w:rPr>
        <w:t>,</w:t>
      </w:r>
      <w:r w:rsidRPr="00B33E6F">
        <w:rPr>
          <w:rFonts w:ascii="Arial Narrow" w:hAnsi="Arial Narrow"/>
          <w:sz w:val="16"/>
          <w:szCs w:val="16"/>
        </w:rPr>
        <w:t xml:space="preserve"> 70</w:t>
      </w:r>
    </w:p>
  </w:footnote>
  <w:footnote w:id="9">
    <w:p w14:paraId="757131E0" w14:textId="50CB3C38" w:rsidR="00040E79" w:rsidRPr="00B33E6F" w:rsidRDefault="00040E79" w:rsidP="00762BCF">
      <w:pPr>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w:t>
      </w:r>
      <w:r w:rsidR="00201453" w:rsidRPr="00B33E6F">
        <w:rPr>
          <w:rFonts w:ascii="Arial Narrow" w:hAnsi="Arial Narrow"/>
          <w:sz w:val="16"/>
          <w:szCs w:val="16"/>
          <w:lang w:val="en-US"/>
        </w:rPr>
        <w:t xml:space="preserve">AKODU, A. K., OLUWALE, O. A., ADEGOKE, Z. O., AHMED, U. A. &amp; AKINOLA, T. O. 2012. Relationship between spasticity and health related quality of life in individuals with cerebral palsy. </w:t>
      </w:r>
      <w:r w:rsidR="00201453" w:rsidRPr="00B33E6F">
        <w:rPr>
          <w:rFonts w:ascii="Arial Narrow" w:hAnsi="Arial Narrow"/>
          <w:i/>
          <w:iCs/>
          <w:sz w:val="16"/>
          <w:szCs w:val="16"/>
          <w:lang w:val="en-US"/>
        </w:rPr>
        <w:t>Nig Q J Hosp Med,</w:t>
      </w:r>
      <w:r w:rsidR="00201453" w:rsidRPr="00B33E6F">
        <w:rPr>
          <w:rFonts w:ascii="Arial Narrow" w:hAnsi="Arial Narrow"/>
          <w:sz w:val="16"/>
          <w:szCs w:val="16"/>
          <w:lang w:val="en-US"/>
        </w:rPr>
        <w:t xml:space="preserve"> 22</w:t>
      </w:r>
      <w:r w:rsidR="00201453" w:rsidRPr="00B33E6F">
        <w:rPr>
          <w:rFonts w:ascii="Arial Narrow" w:hAnsi="Arial Narrow"/>
          <w:b/>
          <w:bCs/>
          <w:sz w:val="16"/>
          <w:szCs w:val="16"/>
          <w:lang w:val="en-US"/>
        </w:rPr>
        <w:t>,</w:t>
      </w:r>
      <w:r w:rsidR="00201453" w:rsidRPr="00B33E6F">
        <w:rPr>
          <w:rFonts w:ascii="Arial Narrow" w:hAnsi="Arial Narrow"/>
          <w:sz w:val="16"/>
          <w:szCs w:val="16"/>
          <w:lang w:val="en-US"/>
        </w:rPr>
        <w:t xml:space="preserve"> 99-102.</w:t>
      </w:r>
    </w:p>
  </w:footnote>
  <w:footnote w:id="10">
    <w:p w14:paraId="5BECD5E1" w14:textId="1B60F122" w:rsidR="00AA20AB" w:rsidRPr="00B33E6F" w:rsidRDefault="00AA20AB" w:rsidP="00762BCF">
      <w:pPr>
        <w:rPr>
          <w:rFonts w:ascii="Arial Narrow" w:hAnsi="Arial Narrow"/>
          <w:sz w:val="16"/>
          <w:szCs w:val="16"/>
          <w:lang w:val="en-US"/>
        </w:rPr>
      </w:pPr>
      <w:r w:rsidRPr="00B33E6F">
        <w:rPr>
          <w:rStyle w:val="FootnoteReference"/>
          <w:rFonts w:ascii="Arial Narrow" w:hAnsi="Arial Narrow"/>
          <w:sz w:val="16"/>
          <w:szCs w:val="16"/>
        </w:rPr>
        <w:footnoteRef/>
      </w:r>
      <w:r w:rsidRPr="00B33E6F">
        <w:rPr>
          <w:rFonts w:ascii="Arial Narrow" w:hAnsi="Arial Narrow"/>
          <w:sz w:val="16"/>
          <w:szCs w:val="16"/>
        </w:rPr>
        <w:t xml:space="preserve"> </w:t>
      </w:r>
      <w:r w:rsidR="00EC7215" w:rsidRPr="00B33E6F">
        <w:rPr>
          <w:rFonts w:ascii="Arial Narrow" w:hAnsi="Arial Narrow"/>
          <w:sz w:val="16"/>
          <w:szCs w:val="16"/>
          <w:lang w:val="en-US"/>
        </w:rPr>
        <w:t xml:space="preserve">ÖHRVALL, A. M., ELIASSON, A. C., LÖWING, K., ÖDMAN, P. &amp; KRUMLINDE-SUNDHOLM, L. 2010. Self-care and mobility skills in children with cerebral palsy, related to their manual ability and gross motor function classifications. </w:t>
      </w:r>
      <w:r w:rsidR="00EC7215" w:rsidRPr="00B33E6F">
        <w:rPr>
          <w:rFonts w:ascii="Arial Narrow" w:hAnsi="Arial Narrow"/>
          <w:i/>
          <w:iCs/>
          <w:sz w:val="16"/>
          <w:szCs w:val="16"/>
          <w:lang w:val="en-US"/>
        </w:rPr>
        <w:t>Dev Med Child Neurol,</w:t>
      </w:r>
      <w:r w:rsidR="00EC7215" w:rsidRPr="00B33E6F">
        <w:rPr>
          <w:rFonts w:ascii="Arial Narrow" w:hAnsi="Arial Narrow"/>
          <w:sz w:val="16"/>
          <w:szCs w:val="16"/>
          <w:lang w:val="en-US"/>
        </w:rPr>
        <w:t xml:space="preserve"> 52</w:t>
      </w:r>
      <w:r w:rsidR="00EC7215" w:rsidRPr="00B33E6F">
        <w:rPr>
          <w:rFonts w:ascii="Arial Narrow" w:hAnsi="Arial Narrow"/>
          <w:b/>
          <w:bCs/>
          <w:sz w:val="16"/>
          <w:szCs w:val="16"/>
          <w:lang w:val="en-US"/>
        </w:rPr>
        <w:t>,</w:t>
      </w:r>
      <w:r w:rsidR="00EC7215" w:rsidRPr="00B33E6F">
        <w:rPr>
          <w:rFonts w:ascii="Arial Narrow" w:hAnsi="Arial Narrow"/>
          <w:sz w:val="16"/>
          <w:szCs w:val="16"/>
          <w:lang w:val="en-US"/>
        </w:rPr>
        <w:t xml:space="preserve"> 1048-55.</w:t>
      </w:r>
    </w:p>
  </w:footnote>
  <w:footnote w:id="11">
    <w:p w14:paraId="75B01AEA" w14:textId="6DCED78C" w:rsidR="001034CA" w:rsidRPr="00B33E6F" w:rsidRDefault="001034CA" w:rsidP="00762BCF">
      <w:pPr>
        <w:rPr>
          <w:rFonts w:ascii="Arial Narrow" w:hAnsi="Arial Narrow"/>
          <w:sz w:val="16"/>
          <w:szCs w:val="16"/>
          <w:lang w:val="en-US"/>
        </w:rPr>
      </w:pPr>
      <w:r w:rsidRPr="00B33E6F">
        <w:rPr>
          <w:rStyle w:val="FootnoteReference"/>
          <w:rFonts w:ascii="Arial Narrow" w:hAnsi="Arial Narrow"/>
          <w:sz w:val="16"/>
          <w:szCs w:val="16"/>
        </w:rPr>
        <w:footnoteRef/>
      </w:r>
      <w:r w:rsidRPr="00B33E6F">
        <w:rPr>
          <w:rFonts w:ascii="Arial Narrow" w:hAnsi="Arial Narrow"/>
          <w:sz w:val="16"/>
          <w:szCs w:val="16"/>
        </w:rPr>
        <w:t xml:space="preserve"> </w:t>
      </w:r>
      <w:r w:rsidR="00BD6322" w:rsidRPr="00B33E6F">
        <w:rPr>
          <w:rFonts w:ascii="Arial Narrow" w:hAnsi="Arial Narrow"/>
          <w:sz w:val="16"/>
          <w:szCs w:val="16"/>
          <w:lang w:val="en-US"/>
        </w:rPr>
        <w:t xml:space="preserve">GEISTER, T. L., QUINTANAR-SOLARES, M., MARTIN, M., AUFHAMMER, S. &amp; ASMUS, F. 2014. Qualitative development of the 'Questionnaire on Pain caused by Spasticity (QPS),' a pediatric patient-reported outcome for spasticity-related pain in cerebral palsy. </w:t>
      </w:r>
      <w:r w:rsidR="00BD6322" w:rsidRPr="00B33E6F">
        <w:rPr>
          <w:rFonts w:ascii="Arial Narrow" w:hAnsi="Arial Narrow"/>
          <w:i/>
          <w:iCs/>
          <w:sz w:val="16"/>
          <w:szCs w:val="16"/>
          <w:lang w:val="en-US"/>
        </w:rPr>
        <w:t>Qual Life Res,</w:t>
      </w:r>
      <w:r w:rsidR="00BD6322" w:rsidRPr="00B33E6F">
        <w:rPr>
          <w:rFonts w:ascii="Arial Narrow" w:hAnsi="Arial Narrow"/>
          <w:sz w:val="16"/>
          <w:szCs w:val="16"/>
          <w:lang w:val="en-US"/>
        </w:rPr>
        <w:t xml:space="preserve"> 23</w:t>
      </w:r>
      <w:r w:rsidR="00BD6322" w:rsidRPr="00B33E6F">
        <w:rPr>
          <w:rFonts w:ascii="Arial Narrow" w:hAnsi="Arial Narrow"/>
          <w:b/>
          <w:bCs/>
          <w:sz w:val="16"/>
          <w:szCs w:val="16"/>
          <w:lang w:val="en-US"/>
        </w:rPr>
        <w:t>,</w:t>
      </w:r>
      <w:r w:rsidR="00BD6322" w:rsidRPr="00B33E6F">
        <w:rPr>
          <w:rFonts w:ascii="Arial Narrow" w:hAnsi="Arial Narrow"/>
          <w:sz w:val="16"/>
          <w:szCs w:val="16"/>
          <w:lang w:val="en-US"/>
        </w:rPr>
        <w:t xml:space="preserve"> 887-96.</w:t>
      </w:r>
    </w:p>
  </w:footnote>
  <w:footnote w:id="12">
    <w:p w14:paraId="15E9165C" w14:textId="48A1F11A" w:rsidR="00AA20AB" w:rsidRPr="00B33E6F" w:rsidRDefault="00AA20AB">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POIROT, I., LAUDY, V., RABILLOUD, M., ROCHE, S., GINHOUX, T., KASSAÏ, B. &amp; VUILLEROT, C. 2017. Prevalence of pain in 240 non-ambulatory children with severe cerebral palsy. </w:t>
      </w:r>
      <w:r w:rsidRPr="00B33E6F">
        <w:rPr>
          <w:rFonts w:ascii="Arial Narrow" w:hAnsi="Arial Narrow"/>
          <w:i/>
          <w:sz w:val="16"/>
          <w:szCs w:val="16"/>
        </w:rPr>
        <w:t>Ann Phys Rehabil Med,</w:t>
      </w:r>
      <w:r w:rsidRPr="00B33E6F">
        <w:rPr>
          <w:rFonts w:ascii="Arial Narrow" w:hAnsi="Arial Narrow"/>
          <w:sz w:val="16"/>
          <w:szCs w:val="16"/>
        </w:rPr>
        <w:t xml:space="preserve"> 60</w:t>
      </w:r>
      <w:r w:rsidRPr="00B33E6F">
        <w:rPr>
          <w:rFonts w:ascii="Arial Narrow" w:hAnsi="Arial Narrow"/>
          <w:b/>
          <w:sz w:val="16"/>
          <w:szCs w:val="16"/>
        </w:rPr>
        <w:t>,</w:t>
      </w:r>
      <w:r w:rsidRPr="00B33E6F">
        <w:rPr>
          <w:rFonts w:ascii="Arial Narrow" w:hAnsi="Arial Narrow"/>
          <w:sz w:val="16"/>
          <w:szCs w:val="16"/>
        </w:rPr>
        <w:t xml:space="preserve"> 371-375</w:t>
      </w:r>
    </w:p>
  </w:footnote>
  <w:footnote w:id="13">
    <w:p w14:paraId="36E9F132" w14:textId="310DCEB0" w:rsidR="00AA20AB" w:rsidRDefault="00AA20AB">
      <w:pPr>
        <w:pStyle w:val="FootnoteText"/>
      </w:pPr>
      <w:r w:rsidRPr="00B33E6F">
        <w:rPr>
          <w:rStyle w:val="FootnoteReference"/>
          <w:rFonts w:ascii="Arial Narrow" w:hAnsi="Arial Narrow"/>
          <w:sz w:val="16"/>
          <w:szCs w:val="16"/>
        </w:rPr>
        <w:footnoteRef/>
      </w:r>
      <w:r w:rsidRPr="00B33E6F">
        <w:rPr>
          <w:rFonts w:ascii="Arial Narrow" w:hAnsi="Arial Narrow"/>
          <w:sz w:val="16"/>
          <w:szCs w:val="16"/>
        </w:rPr>
        <w:t xml:space="preserve"> PENNER, M., XIE, W. Y., BINEPAL, N., SWITZER, L. &amp; FEHLINGS, D. 2013. Characteristics of pain in children and youth with cerebral palsy. </w:t>
      </w:r>
      <w:r w:rsidRPr="00B33E6F">
        <w:rPr>
          <w:rFonts w:ascii="Arial Narrow" w:hAnsi="Arial Narrow"/>
          <w:i/>
          <w:sz w:val="16"/>
          <w:szCs w:val="16"/>
        </w:rPr>
        <w:t>Pediatrics,</w:t>
      </w:r>
      <w:r w:rsidRPr="00B33E6F">
        <w:rPr>
          <w:rFonts w:ascii="Arial Narrow" w:hAnsi="Arial Narrow"/>
          <w:sz w:val="16"/>
          <w:szCs w:val="16"/>
        </w:rPr>
        <w:t xml:space="preserve"> 132</w:t>
      </w:r>
      <w:r w:rsidRPr="00B33E6F">
        <w:rPr>
          <w:rFonts w:ascii="Arial Narrow" w:hAnsi="Arial Narrow"/>
          <w:b/>
          <w:sz w:val="16"/>
          <w:szCs w:val="16"/>
        </w:rPr>
        <w:t>,</w:t>
      </w:r>
      <w:r w:rsidRPr="00B33E6F">
        <w:rPr>
          <w:rFonts w:ascii="Arial Narrow" w:hAnsi="Arial Narrow"/>
          <w:sz w:val="16"/>
          <w:szCs w:val="16"/>
        </w:rPr>
        <w:t xml:space="preserve"> e407-13.</w:t>
      </w:r>
    </w:p>
  </w:footnote>
  <w:footnote w:id="14">
    <w:p w14:paraId="3D58826E" w14:textId="18DCA81E" w:rsidR="001034CA" w:rsidRPr="00B33E6F" w:rsidRDefault="001034CA">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DABROWSKI, E., CHAMBERS, H. G., GAEBLER-SPIRA, D., BANACH, M., KAŇOVSKÝ, P., DERSCH, H., ALTHAUS, M., GEISTER, T. L. &amp; HEINEN, F. 2021. IncobotulinumtoxinA efficacy/safety in upper-limb spasticity in pediatric cerebral palsy: Randomized controlled trial. </w:t>
      </w:r>
      <w:r w:rsidRPr="00B33E6F">
        <w:rPr>
          <w:rFonts w:ascii="Arial Narrow" w:hAnsi="Arial Narrow"/>
          <w:i/>
          <w:sz w:val="16"/>
          <w:szCs w:val="16"/>
        </w:rPr>
        <w:t>Pediatric neurology,</w:t>
      </w:r>
      <w:r w:rsidRPr="00B33E6F">
        <w:rPr>
          <w:rFonts w:ascii="Arial Narrow" w:hAnsi="Arial Narrow"/>
          <w:sz w:val="16"/>
          <w:szCs w:val="16"/>
        </w:rPr>
        <w:t xml:space="preserve"> 123</w:t>
      </w:r>
      <w:r w:rsidRPr="00B33E6F">
        <w:rPr>
          <w:rFonts w:ascii="Arial Narrow" w:hAnsi="Arial Narrow"/>
          <w:b/>
          <w:sz w:val="16"/>
          <w:szCs w:val="16"/>
        </w:rPr>
        <w:t>,</w:t>
      </w:r>
      <w:r w:rsidRPr="00B33E6F">
        <w:rPr>
          <w:rFonts w:ascii="Arial Narrow" w:hAnsi="Arial Narrow"/>
          <w:sz w:val="16"/>
          <w:szCs w:val="16"/>
        </w:rPr>
        <w:t xml:space="preserve"> 10-20.</w:t>
      </w:r>
    </w:p>
  </w:footnote>
  <w:footnote w:id="15">
    <w:p w14:paraId="44EBEC2C" w14:textId="4A1DE14A" w:rsidR="00AA20AB" w:rsidRDefault="00AA20AB">
      <w:pPr>
        <w:pStyle w:val="FootnoteText"/>
      </w:pPr>
      <w:r w:rsidRPr="00B33E6F">
        <w:rPr>
          <w:rStyle w:val="FootnoteReference"/>
          <w:rFonts w:ascii="Arial Narrow" w:hAnsi="Arial Narrow"/>
          <w:sz w:val="16"/>
          <w:szCs w:val="16"/>
        </w:rPr>
        <w:footnoteRef/>
      </w:r>
      <w:r w:rsidRPr="00B33E6F">
        <w:rPr>
          <w:rFonts w:ascii="Arial Narrow" w:hAnsi="Arial Narrow"/>
          <w:sz w:val="16"/>
          <w:szCs w:val="16"/>
        </w:rPr>
        <w:t xml:space="preserve"> HEINEN, F., KANOVSKÝ, P., SCHROEDER, A. S., CHAMBERS, H. G., DABROWSKI, E., GEISTER, T. L., HANSCHMANN, A., MARTINEZ-TORRES, F. J., PULTE, I. &amp; BANACH, M. 2021. IncobotulinumtoxinA for the treatment of lower-limb spasticity in children and adolescents with cerebral palsy: A phase 3 study. </w:t>
      </w:r>
      <w:r w:rsidRPr="00B33E6F">
        <w:rPr>
          <w:rFonts w:ascii="Arial Narrow" w:hAnsi="Arial Narrow"/>
          <w:i/>
          <w:sz w:val="16"/>
          <w:szCs w:val="16"/>
        </w:rPr>
        <w:t>Journal of pediatric rehabilitation medicine,</w:t>
      </w:r>
      <w:r w:rsidRPr="00B33E6F">
        <w:rPr>
          <w:rFonts w:ascii="Arial Narrow" w:hAnsi="Arial Narrow"/>
          <w:sz w:val="16"/>
          <w:szCs w:val="16"/>
        </w:rPr>
        <w:t xml:space="preserve"> 14</w:t>
      </w:r>
      <w:r w:rsidRPr="00B33E6F">
        <w:rPr>
          <w:rFonts w:ascii="Arial Narrow" w:hAnsi="Arial Narrow"/>
          <w:b/>
          <w:sz w:val="16"/>
          <w:szCs w:val="16"/>
        </w:rPr>
        <w:t>,</w:t>
      </w:r>
      <w:r w:rsidRPr="00B33E6F">
        <w:rPr>
          <w:rFonts w:ascii="Arial Narrow" w:hAnsi="Arial Narrow"/>
          <w:sz w:val="16"/>
          <w:szCs w:val="16"/>
        </w:rPr>
        <w:t xml:space="preserve"> 183-197</w:t>
      </w:r>
    </w:p>
  </w:footnote>
  <w:footnote w:id="16">
    <w:p w14:paraId="7114E8FC" w14:textId="09AAE873" w:rsidR="00AA20AB" w:rsidRPr="00B33E6F" w:rsidRDefault="00AA20AB">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KAŇOVSKÝ, P., HEINEN, F., SCHROEDER, A. S., CHAMBERS, H. G., DABROWSKI, E., GEISTER, T. L., HANSCHMANN, A., MARTINEZ-TORRES, F. J., PULTE, I. &amp; BANACH, M. 2022. Safety and efficacy of repeat long-term incobotulinumtoxinA treatment for lower limb or combined upper/lower limb spasticity in children with cerebral palsy. </w:t>
      </w:r>
      <w:r w:rsidRPr="00B33E6F">
        <w:rPr>
          <w:rFonts w:ascii="Arial Narrow" w:hAnsi="Arial Narrow"/>
          <w:i/>
          <w:sz w:val="16"/>
          <w:szCs w:val="16"/>
        </w:rPr>
        <w:t>Journal of pediatric rehabilitation medicine,</w:t>
      </w:r>
      <w:r w:rsidRPr="00B33E6F">
        <w:rPr>
          <w:rFonts w:ascii="Arial Narrow" w:hAnsi="Arial Narrow"/>
          <w:sz w:val="16"/>
          <w:szCs w:val="16"/>
        </w:rPr>
        <w:t xml:space="preserve"> 15</w:t>
      </w:r>
      <w:r w:rsidRPr="00B33E6F">
        <w:rPr>
          <w:rFonts w:ascii="Arial Narrow" w:hAnsi="Arial Narrow"/>
          <w:b/>
          <w:sz w:val="16"/>
          <w:szCs w:val="16"/>
        </w:rPr>
        <w:t>,</w:t>
      </w:r>
      <w:r w:rsidRPr="00B33E6F">
        <w:rPr>
          <w:rFonts w:ascii="Arial Narrow" w:hAnsi="Arial Narrow"/>
          <w:sz w:val="16"/>
          <w:szCs w:val="16"/>
        </w:rPr>
        <w:t xml:space="preserve"> 113-127</w:t>
      </w:r>
    </w:p>
  </w:footnote>
  <w:footnote w:id="17">
    <w:p w14:paraId="71021548" w14:textId="22002879" w:rsidR="00AA20AB" w:rsidRDefault="00AA20AB">
      <w:pPr>
        <w:pStyle w:val="FootnoteText"/>
      </w:pPr>
      <w:r w:rsidRPr="00B33E6F">
        <w:rPr>
          <w:rStyle w:val="FootnoteReference"/>
          <w:rFonts w:ascii="Arial Narrow" w:hAnsi="Arial Narrow"/>
          <w:sz w:val="16"/>
          <w:szCs w:val="16"/>
        </w:rPr>
        <w:footnoteRef/>
      </w:r>
      <w:r w:rsidRPr="00B33E6F">
        <w:rPr>
          <w:rFonts w:ascii="Arial Narrow" w:hAnsi="Arial Narrow"/>
          <w:sz w:val="16"/>
          <w:szCs w:val="16"/>
        </w:rPr>
        <w:t xml:space="preserve"> KURENKOV, A. L., KLOCHKOVA, O. A., BURSAGOVA, B. I., KARIMOVA, H. M., KUZENKOVA, L. M., MAMEDYAROV, A. M., NAMAZOVA-BARANOVA, L. S., AGRANOVICH, O. V., AGRANOVICH, A. O., SOBOLEVA, O. A., KHAPAEVA, M. M., BATYSHEVA, T. T. &amp; SARZHINA, M. N. 2017. [Efficacy and safety of botulinum toxin type A (IncobotulinumtoxinA) in the treatment of patients with cerebral palsy]. </w:t>
      </w:r>
      <w:r w:rsidRPr="00B33E6F">
        <w:rPr>
          <w:rFonts w:ascii="Arial Narrow" w:hAnsi="Arial Narrow"/>
          <w:i/>
          <w:sz w:val="16"/>
          <w:szCs w:val="16"/>
        </w:rPr>
        <w:t>Zh Nevrol Psikhiatr Im S S Korsakova,</w:t>
      </w:r>
      <w:r w:rsidRPr="00B33E6F">
        <w:rPr>
          <w:rFonts w:ascii="Arial Narrow" w:hAnsi="Arial Narrow"/>
          <w:sz w:val="16"/>
          <w:szCs w:val="16"/>
        </w:rPr>
        <w:t xml:space="preserve"> 117</w:t>
      </w:r>
      <w:r w:rsidRPr="00B33E6F">
        <w:rPr>
          <w:rFonts w:ascii="Arial Narrow" w:hAnsi="Arial Narrow"/>
          <w:b/>
          <w:sz w:val="16"/>
          <w:szCs w:val="16"/>
        </w:rPr>
        <w:t>,</w:t>
      </w:r>
      <w:r w:rsidRPr="00B33E6F">
        <w:rPr>
          <w:rFonts w:ascii="Arial Narrow" w:hAnsi="Arial Narrow"/>
          <w:sz w:val="16"/>
          <w:szCs w:val="16"/>
        </w:rPr>
        <w:t xml:space="preserve"> 37-44.</w:t>
      </w:r>
    </w:p>
  </w:footnote>
  <w:footnote w:id="18">
    <w:p w14:paraId="4C6E9CF3" w14:textId="77777777" w:rsidR="00580BE1" w:rsidRPr="00B33E6F" w:rsidRDefault="00580BE1" w:rsidP="00580BE1">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Fehlings (2000) defined ethical objections to placebo injections, and Russo (2007) described the requirement for general anaesthesic as the reason to exclude placebo injections. </w:t>
      </w:r>
    </w:p>
  </w:footnote>
  <w:footnote w:id="19">
    <w:p w14:paraId="70762B6A" w14:textId="2790D08C" w:rsidR="006C1656" w:rsidRPr="00B33E6F" w:rsidRDefault="006C1656">
      <w:pPr>
        <w:pStyle w:val="FootnoteText"/>
        <w:rPr>
          <w:rFonts w:ascii="Arial Narrow" w:hAnsi="Arial Narrow"/>
          <w:sz w:val="16"/>
          <w:szCs w:val="16"/>
        </w:rPr>
      </w:pPr>
      <w:r w:rsidRPr="00B33E6F">
        <w:rPr>
          <w:rStyle w:val="FootnoteReference"/>
          <w:rFonts w:ascii="Arial Narrow" w:hAnsi="Arial Narrow"/>
          <w:sz w:val="16"/>
          <w:szCs w:val="16"/>
        </w:rPr>
        <w:footnoteRef/>
      </w:r>
      <w:r w:rsidRPr="00B33E6F">
        <w:rPr>
          <w:rFonts w:ascii="Arial Narrow" w:hAnsi="Arial Narrow"/>
          <w:sz w:val="16"/>
          <w:szCs w:val="16"/>
        </w:rPr>
        <w:t xml:space="preserve"> Corrected </w:t>
      </w:r>
      <w:r w:rsidR="00BC25DF" w:rsidRPr="00B33E6F">
        <w:rPr>
          <w:rFonts w:ascii="Arial Narrow" w:hAnsi="Arial Narrow"/>
          <w:sz w:val="16"/>
          <w:szCs w:val="16"/>
        </w:rPr>
        <w:t>by applicant prior to</w:t>
      </w:r>
      <w:r w:rsidRPr="00B33E6F">
        <w:rPr>
          <w:rFonts w:ascii="Arial Narrow" w:hAnsi="Arial Narrow"/>
          <w:sz w:val="16"/>
          <w:szCs w:val="16"/>
        </w:rPr>
        <w:t xml:space="preserve"> MSAC</w:t>
      </w:r>
      <w:r w:rsidR="00BC25DF" w:rsidRPr="00B33E6F">
        <w:rPr>
          <w:rFonts w:ascii="Arial Narrow" w:hAnsi="Arial Narrow"/>
          <w:sz w:val="16"/>
          <w:szCs w:val="16"/>
        </w:rPr>
        <w:t xml:space="preserve"> consideration</w:t>
      </w:r>
    </w:p>
  </w:footnote>
  <w:footnote w:id="20">
    <w:p w14:paraId="0CF21E09" w14:textId="0533CE28" w:rsidR="00225482" w:rsidRDefault="00225482">
      <w:pPr>
        <w:pStyle w:val="FootnoteText"/>
      </w:pPr>
      <w:r>
        <w:rPr>
          <w:rStyle w:val="FootnoteReference"/>
        </w:rPr>
        <w:footnoteRef/>
      </w:r>
      <w:r>
        <w:t xml:space="preserve"> </w:t>
      </w:r>
      <w:r w:rsidRPr="00B33E6F">
        <w:rPr>
          <w:rFonts w:ascii="Arial Narrow" w:hAnsi="Arial Narrow"/>
          <w:sz w:val="16"/>
          <w:szCs w:val="16"/>
        </w:rPr>
        <w:t>Corrected by applicant prior to MSAC consideration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C6D4" w14:textId="2E42C2F7" w:rsidR="00D051B5" w:rsidRDefault="00D051B5">
    <w:pPr>
      <w:pStyle w:val="Header"/>
    </w:pPr>
    <w:r>
      <w:rPr>
        <w:noProof/>
      </w:rPr>
      <mc:AlternateContent>
        <mc:Choice Requires="wps">
          <w:drawing>
            <wp:anchor distT="0" distB="0" distL="0" distR="0" simplePos="0" relativeHeight="251658241" behindDoc="0" locked="0" layoutInCell="1" allowOverlap="1" wp14:anchorId="523E46EF" wp14:editId="17F5F9AF">
              <wp:simplePos x="635" y="635"/>
              <wp:positionH relativeFrom="page">
                <wp:align>center</wp:align>
              </wp:positionH>
              <wp:positionV relativeFrom="page">
                <wp:align>top</wp:align>
              </wp:positionV>
              <wp:extent cx="609600" cy="476250"/>
              <wp:effectExtent l="0" t="0" r="0" b="0"/>
              <wp:wrapNone/>
              <wp:docPr id="2749478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EF77470" w14:textId="063AC721"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E46EF"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EF77470" w14:textId="063AC721"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6225" w14:textId="701415DB" w:rsidR="00D051B5" w:rsidRDefault="00D051B5">
    <w:pPr>
      <w:pStyle w:val="Header"/>
    </w:pPr>
    <w:r>
      <w:rPr>
        <w:noProof/>
      </w:rPr>
      <mc:AlternateContent>
        <mc:Choice Requires="wps">
          <w:drawing>
            <wp:anchor distT="0" distB="0" distL="0" distR="0" simplePos="0" relativeHeight="251658242" behindDoc="0" locked="0" layoutInCell="1" allowOverlap="1" wp14:anchorId="4D976EDD" wp14:editId="403DA7C4">
              <wp:simplePos x="635" y="635"/>
              <wp:positionH relativeFrom="page">
                <wp:align>center</wp:align>
              </wp:positionH>
              <wp:positionV relativeFrom="page">
                <wp:align>top</wp:align>
              </wp:positionV>
              <wp:extent cx="609600" cy="476250"/>
              <wp:effectExtent l="0" t="0" r="0" b="0"/>
              <wp:wrapNone/>
              <wp:docPr id="7150634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49F0C2" w14:textId="14A605EA"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76EDD"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949F0C2" w14:textId="14A605EA"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C836" w14:textId="68CF24BB" w:rsidR="00D051B5" w:rsidRDefault="00D051B5">
    <w:pPr>
      <w:pStyle w:val="Header"/>
    </w:pPr>
    <w:r>
      <w:rPr>
        <w:noProof/>
      </w:rPr>
      <mc:AlternateContent>
        <mc:Choice Requires="wps">
          <w:drawing>
            <wp:anchor distT="0" distB="0" distL="0" distR="0" simplePos="0" relativeHeight="251658244" behindDoc="0" locked="0" layoutInCell="1" allowOverlap="1" wp14:anchorId="6DC108E6" wp14:editId="633CBEEC">
              <wp:simplePos x="635" y="635"/>
              <wp:positionH relativeFrom="page">
                <wp:align>center</wp:align>
              </wp:positionH>
              <wp:positionV relativeFrom="page">
                <wp:align>top</wp:align>
              </wp:positionV>
              <wp:extent cx="609600" cy="476250"/>
              <wp:effectExtent l="0" t="0" r="0" b="0"/>
              <wp:wrapNone/>
              <wp:docPr id="15830901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FA707A7" w14:textId="15DD3B68"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108E6"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0FA707A7" w14:textId="15DD3B68" w:rsidR="00D051B5" w:rsidRPr="00D051B5" w:rsidRDefault="00D051B5" w:rsidP="00D051B5">
                    <w:pPr>
                      <w:spacing w:after="0"/>
                      <w:rPr>
                        <w:rFonts w:ascii="Aptos" w:eastAsia="Aptos" w:hAnsi="Aptos" w:cs="Aptos"/>
                        <w:noProof/>
                        <w:color w:val="FF0000"/>
                        <w:sz w:val="24"/>
                        <w:szCs w:val="24"/>
                      </w:rPr>
                    </w:pPr>
                    <w:r w:rsidRPr="00D051B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EC6690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D8687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C0510"/>
    <w:multiLevelType w:val="hybridMultilevel"/>
    <w:tmpl w:val="C64A822E"/>
    <w:lvl w:ilvl="0" w:tplc="A3DE2B22">
      <w:start w:val="1"/>
      <w:numFmt w:val="bullet"/>
      <w:pStyle w:val="Box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C91867"/>
    <w:multiLevelType w:val="hybridMultilevel"/>
    <w:tmpl w:val="B900C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2A4ABB"/>
    <w:multiLevelType w:val="hybridMultilevel"/>
    <w:tmpl w:val="53DE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7C0EE4"/>
    <w:multiLevelType w:val="hybridMultilevel"/>
    <w:tmpl w:val="830E11B6"/>
    <w:styleLink w:val="ESSectionheading-numbered"/>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E1661A"/>
    <w:multiLevelType w:val="hybridMultilevel"/>
    <w:tmpl w:val="29F4F596"/>
    <w:lvl w:ilvl="0" w:tplc="3872E474">
      <w:start w:val="1"/>
      <w:numFmt w:val="bullet"/>
      <w:lvlText w:val=""/>
      <w:lvlJc w:val="left"/>
      <w:pPr>
        <w:ind w:left="720" w:hanging="360"/>
      </w:pPr>
      <w:rPr>
        <w:rFonts w:ascii="Symbol" w:hAnsi="Symbol" w:hint="default"/>
      </w:rPr>
    </w:lvl>
    <w:lvl w:ilvl="1" w:tplc="CBEA51DE">
      <w:start w:val="1"/>
      <w:numFmt w:val="bullet"/>
      <w:lvlText w:val="o"/>
      <w:lvlJc w:val="left"/>
      <w:pPr>
        <w:ind w:left="1440" w:hanging="360"/>
      </w:pPr>
      <w:rPr>
        <w:rFonts w:ascii="Courier New" w:hAnsi="Courier New" w:hint="default"/>
      </w:rPr>
    </w:lvl>
    <w:lvl w:ilvl="2" w:tplc="342005CE">
      <w:start w:val="1"/>
      <w:numFmt w:val="bullet"/>
      <w:lvlText w:val=""/>
      <w:lvlJc w:val="left"/>
      <w:pPr>
        <w:ind w:left="2160" w:hanging="360"/>
      </w:pPr>
      <w:rPr>
        <w:rFonts w:ascii="Wingdings" w:hAnsi="Wingdings" w:hint="default"/>
      </w:rPr>
    </w:lvl>
    <w:lvl w:ilvl="3" w:tplc="1A90755A">
      <w:start w:val="1"/>
      <w:numFmt w:val="bullet"/>
      <w:lvlText w:val=""/>
      <w:lvlJc w:val="left"/>
      <w:pPr>
        <w:ind w:left="2880" w:hanging="360"/>
      </w:pPr>
      <w:rPr>
        <w:rFonts w:ascii="Symbol" w:hAnsi="Symbol" w:hint="default"/>
      </w:rPr>
    </w:lvl>
    <w:lvl w:ilvl="4" w:tplc="7908B1BA">
      <w:start w:val="1"/>
      <w:numFmt w:val="bullet"/>
      <w:lvlText w:val="o"/>
      <w:lvlJc w:val="left"/>
      <w:pPr>
        <w:ind w:left="3600" w:hanging="360"/>
      </w:pPr>
      <w:rPr>
        <w:rFonts w:ascii="Courier New" w:hAnsi="Courier New" w:hint="default"/>
      </w:rPr>
    </w:lvl>
    <w:lvl w:ilvl="5" w:tplc="A3D80590">
      <w:start w:val="1"/>
      <w:numFmt w:val="bullet"/>
      <w:lvlText w:val=""/>
      <w:lvlJc w:val="left"/>
      <w:pPr>
        <w:ind w:left="4320" w:hanging="360"/>
      </w:pPr>
      <w:rPr>
        <w:rFonts w:ascii="Wingdings" w:hAnsi="Wingdings" w:hint="default"/>
      </w:rPr>
    </w:lvl>
    <w:lvl w:ilvl="6" w:tplc="C602F47E">
      <w:start w:val="1"/>
      <w:numFmt w:val="bullet"/>
      <w:lvlText w:val=""/>
      <w:lvlJc w:val="left"/>
      <w:pPr>
        <w:ind w:left="5040" w:hanging="360"/>
      </w:pPr>
      <w:rPr>
        <w:rFonts w:ascii="Symbol" w:hAnsi="Symbol" w:hint="default"/>
      </w:rPr>
    </w:lvl>
    <w:lvl w:ilvl="7" w:tplc="44024F16">
      <w:start w:val="1"/>
      <w:numFmt w:val="bullet"/>
      <w:lvlText w:val="o"/>
      <w:lvlJc w:val="left"/>
      <w:pPr>
        <w:ind w:left="5760" w:hanging="360"/>
      </w:pPr>
      <w:rPr>
        <w:rFonts w:ascii="Courier New" w:hAnsi="Courier New" w:hint="default"/>
      </w:rPr>
    </w:lvl>
    <w:lvl w:ilvl="8" w:tplc="930472BE">
      <w:start w:val="1"/>
      <w:numFmt w:val="bullet"/>
      <w:lvlText w:val=""/>
      <w:lvlJc w:val="left"/>
      <w:pPr>
        <w:ind w:left="6480" w:hanging="360"/>
      </w:pPr>
      <w:rPr>
        <w:rFonts w:ascii="Wingdings" w:hAnsi="Wingdings" w:hint="default"/>
      </w:rPr>
    </w:lvl>
  </w:abstractNum>
  <w:abstractNum w:abstractNumId="18" w15:restartNumberingAfterBreak="0">
    <w:nsid w:val="3BBD0D32"/>
    <w:multiLevelType w:val="hybridMultilevel"/>
    <w:tmpl w:val="2138C8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2F4A0B"/>
    <w:multiLevelType w:val="hybridMultilevel"/>
    <w:tmpl w:val="8230ED46"/>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57810"/>
    <w:multiLevelType w:val="hybridMultilevel"/>
    <w:tmpl w:val="B29C87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76941D6"/>
    <w:multiLevelType w:val="hybridMultilevel"/>
    <w:tmpl w:val="4E660A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24" w15:restartNumberingAfterBreak="0">
    <w:nsid w:val="5813D366"/>
    <w:multiLevelType w:val="hybridMultilevel"/>
    <w:tmpl w:val="F606C5C6"/>
    <w:lvl w:ilvl="0" w:tplc="E99A7778">
      <w:start w:val="1"/>
      <w:numFmt w:val="bullet"/>
      <w:lvlText w:val=""/>
      <w:lvlJc w:val="left"/>
      <w:pPr>
        <w:ind w:left="720" w:hanging="360"/>
      </w:pPr>
      <w:rPr>
        <w:rFonts w:ascii="Symbol" w:hAnsi="Symbol" w:hint="default"/>
      </w:rPr>
    </w:lvl>
    <w:lvl w:ilvl="1" w:tplc="C214FB1E">
      <w:start w:val="1"/>
      <w:numFmt w:val="bullet"/>
      <w:lvlText w:val="o"/>
      <w:lvlJc w:val="left"/>
      <w:pPr>
        <w:ind w:left="1440" w:hanging="360"/>
      </w:pPr>
      <w:rPr>
        <w:rFonts w:ascii="Courier New" w:hAnsi="Courier New" w:hint="default"/>
      </w:rPr>
    </w:lvl>
    <w:lvl w:ilvl="2" w:tplc="312CD4B6">
      <w:start w:val="1"/>
      <w:numFmt w:val="bullet"/>
      <w:lvlText w:val=""/>
      <w:lvlJc w:val="left"/>
      <w:pPr>
        <w:ind w:left="2160" w:hanging="360"/>
      </w:pPr>
      <w:rPr>
        <w:rFonts w:ascii="Wingdings" w:hAnsi="Wingdings" w:hint="default"/>
      </w:rPr>
    </w:lvl>
    <w:lvl w:ilvl="3" w:tplc="DB20FA4E">
      <w:start w:val="1"/>
      <w:numFmt w:val="bullet"/>
      <w:lvlText w:val=""/>
      <w:lvlJc w:val="left"/>
      <w:pPr>
        <w:ind w:left="2880" w:hanging="360"/>
      </w:pPr>
      <w:rPr>
        <w:rFonts w:ascii="Symbol" w:hAnsi="Symbol" w:hint="default"/>
      </w:rPr>
    </w:lvl>
    <w:lvl w:ilvl="4" w:tplc="4C98CD72">
      <w:start w:val="1"/>
      <w:numFmt w:val="bullet"/>
      <w:lvlText w:val="o"/>
      <w:lvlJc w:val="left"/>
      <w:pPr>
        <w:ind w:left="3600" w:hanging="360"/>
      </w:pPr>
      <w:rPr>
        <w:rFonts w:ascii="Courier New" w:hAnsi="Courier New" w:hint="default"/>
      </w:rPr>
    </w:lvl>
    <w:lvl w:ilvl="5" w:tplc="44468612">
      <w:start w:val="1"/>
      <w:numFmt w:val="bullet"/>
      <w:lvlText w:val=""/>
      <w:lvlJc w:val="left"/>
      <w:pPr>
        <w:ind w:left="4320" w:hanging="360"/>
      </w:pPr>
      <w:rPr>
        <w:rFonts w:ascii="Wingdings" w:hAnsi="Wingdings" w:hint="default"/>
      </w:rPr>
    </w:lvl>
    <w:lvl w:ilvl="6" w:tplc="D7CC54DA">
      <w:start w:val="1"/>
      <w:numFmt w:val="bullet"/>
      <w:lvlText w:val=""/>
      <w:lvlJc w:val="left"/>
      <w:pPr>
        <w:ind w:left="5040" w:hanging="360"/>
      </w:pPr>
      <w:rPr>
        <w:rFonts w:ascii="Symbol" w:hAnsi="Symbol" w:hint="default"/>
      </w:rPr>
    </w:lvl>
    <w:lvl w:ilvl="7" w:tplc="BC0481EC">
      <w:start w:val="1"/>
      <w:numFmt w:val="bullet"/>
      <w:lvlText w:val="o"/>
      <w:lvlJc w:val="left"/>
      <w:pPr>
        <w:ind w:left="5760" w:hanging="360"/>
      </w:pPr>
      <w:rPr>
        <w:rFonts w:ascii="Courier New" w:hAnsi="Courier New" w:hint="default"/>
      </w:rPr>
    </w:lvl>
    <w:lvl w:ilvl="8" w:tplc="D1A6441A">
      <w:start w:val="1"/>
      <w:numFmt w:val="bullet"/>
      <w:lvlText w:val=""/>
      <w:lvlJc w:val="left"/>
      <w:pPr>
        <w:ind w:left="6480" w:hanging="360"/>
      </w:pPr>
      <w:rPr>
        <w:rFonts w:ascii="Wingdings" w:hAnsi="Wingdings" w:hint="default"/>
      </w:rPr>
    </w:lvl>
  </w:abstractNum>
  <w:abstractNum w:abstractNumId="25" w15:restartNumberingAfterBreak="0">
    <w:nsid w:val="59804D72"/>
    <w:multiLevelType w:val="hybridMultilevel"/>
    <w:tmpl w:val="82A45E6A"/>
    <w:lvl w:ilvl="0" w:tplc="5C327DB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5C6264B4"/>
    <w:multiLevelType w:val="hybridMultilevel"/>
    <w:tmpl w:val="04C2F852"/>
    <w:styleLink w:val="Tabletextleftbulleted1"/>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hint="default"/>
        <w:color w:val="auto"/>
        <w:sz w:val="16"/>
        <w:szCs w:val="16"/>
      </w:rPr>
    </w:lvl>
    <w:lvl w:ilvl="1" w:tplc="8CC01B9E" w:tentative="1">
      <w:start w:val="1"/>
      <w:numFmt w:val="bullet"/>
      <w:lvlText w:val="o"/>
      <w:lvlJc w:val="left"/>
      <w:pPr>
        <w:tabs>
          <w:tab w:val="num" w:pos="2007"/>
        </w:tabs>
        <w:ind w:left="2007" w:hanging="360"/>
      </w:pPr>
      <w:rPr>
        <w:rFonts w:ascii="Courier New" w:hAnsi="Courier New" w:cs="Courier New" w:hint="default"/>
      </w:rPr>
    </w:lvl>
    <w:lvl w:ilvl="2" w:tplc="EB84AD5C" w:tentative="1">
      <w:start w:val="1"/>
      <w:numFmt w:val="bullet"/>
      <w:lvlText w:val=""/>
      <w:lvlJc w:val="left"/>
      <w:pPr>
        <w:tabs>
          <w:tab w:val="num" w:pos="2727"/>
        </w:tabs>
        <w:ind w:left="2727" w:hanging="360"/>
      </w:pPr>
      <w:rPr>
        <w:rFonts w:ascii="Wingdings" w:hAnsi="Wingdings" w:hint="default"/>
      </w:rPr>
    </w:lvl>
    <w:lvl w:ilvl="3" w:tplc="2E40CA9A" w:tentative="1">
      <w:start w:val="1"/>
      <w:numFmt w:val="bullet"/>
      <w:lvlText w:val=""/>
      <w:lvlJc w:val="left"/>
      <w:pPr>
        <w:tabs>
          <w:tab w:val="num" w:pos="3447"/>
        </w:tabs>
        <w:ind w:left="3447" w:hanging="360"/>
      </w:pPr>
      <w:rPr>
        <w:rFonts w:ascii="Symbol" w:hAnsi="Symbol" w:hint="default"/>
      </w:rPr>
    </w:lvl>
    <w:lvl w:ilvl="4" w:tplc="F21CDEFE" w:tentative="1">
      <w:start w:val="1"/>
      <w:numFmt w:val="bullet"/>
      <w:lvlText w:val="o"/>
      <w:lvlJc w:val="left"/>
      <w:pPr>
        <w:tabs>
          <w:tab w:val="num" w:pos="4167"/>
        </w:tabs>
        <w:ind w:left="4167" w:hanging="360"/>
      </w:pPr>
      <w:rPr>
        <w:rFonts w:ascii="Courier New" w:hAnsi="Courier New" w:cs="Courier New" w:hint="default"/>
      </w:rPr>
    </w:lvl>
    <w:lvl w:ilvl="5" w:tplc="706C4674" w:tentative="1">
      <w:start w:val="1"/>
      <w:numFmt w:val="bullet"/>
      <w:lvlText w:val=""/>
      <w:lvlJc w:val="left"/>
      <w:pPr>
        <w:tabs>
          <w:tab w:val="num" w:pos="4887"/>
        </w:tabs>
        <w:ind w:left="4887" w:hanging="360"/>
      </w:pPr>
      <w:rPr>
        <w:rFonts w:ascii="Wingdings" w:hAnsi="Wingdings" w:hint="default"/>
      </w:rPr>
    </w:lvl>
    <w:lvl w:ilvl="6" w:tplc="65028BEE" w:tentative="1">
      <w:start w:val="1"/>
      <w:numFmt w:val="bullet"/>
      <w:lvlText w:val=""/>
      <w:lvlJc w:val="left"/>
      <w:pPr>
        <w:tabs>
          <w:tab w:val="num" w:pos="5607"/>
        </w:tabs>
        <w:ind w:left="5607" w:hanging="360"/>
      </w:pPr>
      <w:rPr>
        <w:rFonts w:ascii="Symbol" w:hAnsi="Symbol" w:hint="default"/>
      </w:rPr>
    </w:lvl>
    <w:lvl w:ilvl="7" w:tplc="A71E9600" w:tentative="1">
      <w:start w:val="1"/>
      <w:numFmt w:val="bullet"/>
      <w:lvlText w:val="o"/>
      <w:lvlJc w:val="left"/>
      <w:pPr>
        <w:tabs>
          <w:tab w:val="num" w:pos="6327"/>
        </w:tabs>
        <w:ind w:left="6327" w:hanging="360"/>
      </w:pPr>
      <w:rPr>
        <w:rFonts w:ascii="Courier New" w:hAnsi="Courier New" w:cs="Courier New" w:hint="default"/>
      </w:rPr>
    </w:lvl>
    <w:lvl w:ilvl="8" w:tplc="1E1ECCBC"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468017C"/>
    <w:multiLevelType w:val="hybridMultilevel"/>
    <w:tmpl w:val="426A3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E81FDC"/>
    <w:multiLevelType w:val="hybridMultilevel"/>
    <w:tmpl w:val="D5C698E8"/>
    <w:lvl w:ilvl="0" w:tplc="A79EC4F8">
      <w:start w:val="1"/>
      <w:numFmt w:val="bullet"/>
      <w:pStyle w:val="BulletBeforeDash0"/>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49109160">
    <w:abstractNumId w:val="16"/>
  </w:num>
  <w:num w:numId="2" w16cid:durableId="1270162788">
    <w:abstractNumId w:val="34"/>
  </w:num>
  <w:num w:numId="3" w16cid:durableId="1754930659">
    <w:abstractNumId w:val="3"/>
  </w:num>
  <w:num w:numId="4" w16cid:durableId="410388863">
    <w:abstractNumId w:val="10"/>
  </w:num>
  <w:num w:numId="5" w16cid:durableId="1821774551">
    <w:abstractNumId w:val="31"/>
  </w:num>
  <w:num w:numId="6" w16cid:durableId="758334604">
    <w:abstractNumId w:val="11"/>
  </w:num>
  <w:num w:numId="7" w16cid:durableId="640697312">
    <w:abstractNumId w:val="8"/>
  </w:num>
  <w:num w:numId="8" w16cid:durableId="1414619933">
    <w:abstractNumId w:val="12"/>
  </w:num>
  <w:num w:numId="9" w16cid:durableId="747844684">
    <w:abstractNumId w:val="14"/>
  </w:num>
  <w:num w:numId="10" w16cid:durableId="1180662619">
    <w:abstractNumId w:val="21"/>
  </w:num>
  <w:num w:numId="11" w16cid:durableId="509565726">
    <w:abstractNumId w:val="1"/>
  </w:num>
  <w:num w:numId="12" w16cid:durableId="1747919117">
    <w:abstractNumId w:val="15"/>
  </w:num>
  <w:num w:numId="13" w16cid:durableId="1922909774">
    <w:abstractNumId w:val="27"/>
  </w:num>
  <w:num w:numId="14" w16cid:durableId="1017777379">
    <w:abstractNumId w:val="7"/>
  </w:num>
  <w:num w:numId="15" w16cid:durableId="1264993682">
    <w:abstractNumId w:val="28"/>
  </w:num>
  <w:num w:numId="16" w16cid:durableId="825585008">
    <w:abstractNumId w:val="13"/>
  </w:num>
  <w:num w:numId="17" w16cid:durableId="1209300749">
    <w:abstractNumId w:val="26"/>
  </w:num>
  <w:num w:numId="18" w16cid:durableId="1104152298">
    <w:abstractNumId w:val="6"/>
  </w:num>
  <w:num w:numId="19" w16cid:durableId="791174489">
    <w:abstractNumId w:val="33"/>
  </w:num>
  <w:num w:numId="20" w16cid:durableId="948895748">
    <w:abstractNumId w:val="2"/>
  </w:num>
  <w:num w:numId="21" w16cid:durableId="1399553783">
    <w:abstractNumId w:val="4"/>
  </w:num>
  <w:num w:numId="22" w16cid:durableId="576211630">
    <w:abstractNumId w:val="0"/>
  </w:num>
  <w:num w:numId="23" w16cid:durableId="1787504582">
    <w:abstractNumId w:val="19"/>
  </w:num>
  <w:num w:numId="24" w16cid:durableId="1699812398">
    <w:abstractNumId w:val="23"/>
  </w:num>
  <w:num w:numId="25" w16cid:durableId="804617441">
    <w:abstractNumId w:val="29"/>
  </w:num>
  <w:num w:numId="26" w16cid:durableId="2101019277">
    <w:abstractNumId w:val="5"/>
  </w:num>
  <w:num w:numId="27" w16cid:durableId="289240726">
    <w:abstractNumId w:val="9"/>
  </w:num>
  <w:num w:numId="28" w16cid:durableId="1309089859">
    <w:abstractNumId w:val="30"/>
  </w:num>
  <w:num w:numId="29" w16cid:durableId="128404772">
    <w:abstractNumId w:val="25"/>
  </w:num>
  <w:num w:numId="30" w16cid:durableId="859780525">
    <w:abstractNumId w:val="24"/>
  </w:num>
  <w:num w:numId="31" w16cid:durableId="2081052229">
    <w:abstractNumId w:val="17"/>
  </w:num>
  <w:num w:numId="32" w16cid:durableId="814759832">
    <w:abstractNumId w:val="32"/>
  </w:num>
  <w:num w:numId="33" w16cid:durableId="793863585">
    <w:abstractNumId w:val="22"/>
  </w:num>
  <w:num w:numId="34" w16cid:durableId="284435188">
    <w:abstractNumId w:val="18"/>
  </w:num>
  <w:num w:numId="35" w16cid:durableId="1236010519">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Franklin Gothic Book&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157F1"/>
    <w:rsid w:val="0000109A"/>
    <w:rsid w:val="00001AE6"/>
    <w:rsid w:val="00001D55"/>
    <w:rsid w:val="00002928"/>
    <w:rsid w:val="00004CA2"/>
    <w:rsid w:val="00004D69"/>
    <w:rsid w:val="00004F7F"/>
    <w:rsid w:val="000053D3"/>
    <w:rsid w:val="000054C9"/>
    <w:rsid w:val="00005F38"/>
    <w:rsid w:val="00006A56"/>
    <w:rsid w:val="000074E6"/>
    <w:rsid w:val="00011455"/>
    <w:rsid w:val="00011568"/>
    <w:rsid w:val="00012B12"/>
    <w:rsid w:val="000130C7"/>
    <w:rsid w:val="00013460"/>
    <w:rsid w:val="00013676"/>
    <w:rsid w:val="0001494D"/>
    <w:rsid w:val="00014974"/>
    <w:rsid w:val="00014EE8"/>
    <w:rsid w:val="0001528F"/>
    <w:rsid w:val="00015677"/>
    <w:rsid w:val="000161E4"/>
    <w:rsid w:val="00016F65"/>
    <w:rsid w:val="0001702E"/>
    <w:rsid w:val="00021066"/>
    <w:rsid w:val="000213A7"/>
    <w:rsid w:val="00021CB9"/>
    <w:rsid w:val="000228B8"/>
    <w:rsid w:val="00022F3A"/>
    <w:rsid w:val="0002381B"/>
    <w:rsid w:val="00024C68"/>
    <w:rsid w:val="00024EA5"/>
    <w:rsid w:val="000251A4"/>
    <w:rsid w:val="000253A1"/>
    <w:rsid w:val="00025A5B"/>
    <w:rsid w:val="000264C9"/>
    <w:rsid w:val="00026DE0"/>
    <w:rsid w:val="0002755F"/>
    <w:rsid w:val="00030F9A"/>
    <w:rsid w:val="000324F5"/>
    <w:rsid w:val="0003423A"/>
    <w:rsid w:val="00034642"/>
    <w:rsid w:val="0003477F"/>
    <w:rsid w:val="00034AA0"/>
    <w:rsid w:val="00034D29"/>
    <w:rsid w:val="00035ED6"/>
    <w:rsid w:val="00036AD8"/>
    <w:rsid w:val="00037037"/>
    <w:rsid w:val="00037302"/>
    <w:rsid w:val="0004005D"/>
    <w:rsid w:val="00040ADF"/>
    <w:rsid w:val="00040E79"/>
    <w:rsid w:val="00040F7E"/>
    <w:rsid w:val="00040FB4"/>
    <w:rsid w:val="0004178C"/>
    <w:rsid w:val="00041F5D"/>
    <w:rsid w:val="00042189"/>
    <w:rsid w:val="00042AC2"/>
    <w:rsid w:val="00044340"/>
    <w:rsid w:val="000443A6"/>
    <w:rsid w:val="000449D1"/>
    <w:rsid w:val="00045807"/>
    <w:rsid w:val="00045B8D"/>
    <w:rsid w:val="00045C5D"/>
    <w:rsid w:val="00045CC5"/>
    <w:rsid w:val="00046B6A"/>
    <w:rsid w:val="000472D4"/>
    <w:rsid w:val="000501F4"/>
    <w:rsid w:val="00052DB7"/>
    <w:rsid w:val="00052DD3"/>
    <w:rsid w:val="0005326D"/>
    <w:rsid w:val="000537B2"/>
    <w:rsid w:val="00053F6C"/>
    <w:rsid w:val="0005487B"/>
    <w:rsid w:val="00055A23"/>
    <w:rsid w:val="00056B58"/>
    <w:rsid w:val="00057A0B"/>
    <w:rsid w:val="00057D61"/>
    <w:rsid w:val="00060CAD"/>
    <w:rsid w:val="00061C6D"/>
    <w:rsid w:val="0006339C"/>
    <w:rsid w:val="00063F45"/>
    <w:rsid w:val="00064783"/>
    <w:rsid w:val="000647C2"/>
    <w:rsid w:val="00064E2A"/>
    <w:rsid w:val="00065403"/>
    <w:rsid w:val="00066DB2"/>
    <w:rsid w:val="00067FDD"/>
    <w:rsid w:val="0007021F"/>
    <w:rsid w:val="00070985"/>
    <w:rsid w:val="000709A0"/>
    <w:rsid w:val="00070B21"/>
    <w:rsid w:val="00071694"/>
    <w:rsid w:val="000720BD"/>
    <w:rsid w:val="00074199"/>
    <w:rsid w:val="00074FB6"/>
    <w:rsid w:val="00075C95"/>
    <w:rsid w:val="00076CBB"/>
    <w:rsid w:val="00080241"/>
    <w:rsid w:val="00080FB3"/>
    <w:rsid w:val="00081778"/>
    <w:rsid w:val="00082270"/>
    <w:rsid w:val="00082272"/>
    <w:rsid w:val="000822A7"/>
    <w:rsid w:val="00082796"/>
    <w:rsid w:val="000832F2"/>
    <w:rsid w:val="00083DD6"/>
    <w:rsid w:val="00083F26"/>
    <w:rsid w:val="0008409A"/>
    <w:rsid w:val="000842CE"/>
    <w:rsid w:val="00084A46"/>
    <w:rsid w:val="00084F85"/>
    <w:rsid w:val="000870B6"/>
    <w:rsid w:val="00090331"/>
    <w:rsid w:val="00090613"/>
    <w:rsid w:val="0009075C"/>
    <w:rsid w:val="00090BD1"/>
    <w:rsid w:val="00091857"/>
    <w:rsid w:val="00091A98"/>
    <w:rsid w:val="00091C59"/>
    <w:rsid w:val="00092A21"/>
    <w:rsid w:val="00093D9A"/>
    <w:rsid w:val="00093EDC"/>
    <w:rsid w:val="00094656"/>
    <w:rsid w:val="00094A17"/>
    <w:rsid w:val="0009518C"/>
    <w:rsid w:val="00096B52"/>
    <w:rsid w:val="00096EE8"/>
    <w:rsid w:val="00097A66"/>
    <w:rsid w:val="000A09A5"/>
    <w:rsid w:val="000A10BF"/>
    <w:rsid w:val="000A2ACD"/>
    <w:rsid w:val="000A2B65"/>
    <w:rsid w:val="000A2DA8"/>
    <w:rsid w:val="000A3123"/>
    <w:rsid w:val="000A3E9F"/>
    <w:rsid w:val="000A5B72"/>
    <w:rsid w:val="000A5C47"/>
    <w:rsid w:val="000A629E"/>
    <w:rsid w:val="000A6B30"/>
    <w:rsid w:val="000A71D3"/>
    <w:rsid w:val="000A7C2F"/>
    <w:rsid w:val="000B0C34"/>
    <w:rsid w:val="000B177C"/>
    <w:rsid w:val="000B23CC"/>
    <w:rsid w:val="000B25E6"/>
    <w:rsid w:val="000B2977"/>
    <w:rsid w:val="000B3330"/>
    <w:rsid w:val="000B6996"/>
    <w:rsid w:val="000B6CF0"/>
    <w:rsid w:val="000B6ECD"/>
    <w:rsid w:val="000B6F46"/>
    <w:rsid w:val="000B720C"/>
    <w:rsid w:val="000B7320"/>
    <w:rsid w:val="000B7625"/>
    <w:rsid w:val="000B7665"/>
    <w:rsid w:val="000C014A"/>
    <w:rsid w:val="000C0887"/>
    <w:rsid w:val="000C1383"/>
    <w:rsid w:val="000C3880"/>
    <w:rsid w:val="000C4421"/>
    <w:rsid w:val="000C5304"/>
    <w:rsid w:val="000C5BA2"/>
    <w:rsid w:val="000C7C46"/>
    <w:rsid w:val="000D0746"/>
    <w:rsid w:val="000D19CE"/>
    <w:rsid w:val="000D1B52"/>
    <w:rsid w:val="000D2178"/>
    <w:rsid w:val="000D2FFD"/>
    <w:rsid w:val="000D321B"/>
    <w:rsid w:val="000D4C1B"/>
    <w:rsid w:val="000D5523"/>
    <w:rsid w:val="000D5FED"/>
    <w:rsid w:val="000D6163"/>
    <w:rsid w:val="000D76BD"/>
    <w:rsid w:val="000E03DC"/>
    <w:rsid w:val="000E1124"/>
    <w:rsid w:val="000E21F4"/>
    <w:rsid w:val="000E2B37"/>
    <w:rsid w:val="000E2C78"/>
    <w:rsid w:val="000E2D3E"/>
    <w:rsid w:val="000E34FE"/>
    <w:rsid w:val="000E5531"/>
    <w:rsid w:val="000E5E84"/>
    <w:rsid w:val="000E6410"/>
    <w:rsid w:val="000E678B"/>
    <w:rsid w:val="000E7216"/>
    <w:rsid w:val="000F1F58"/>
    <w:rsid w:val="000F2130"/>
    <w:rsid w:val="000F2E01"/>
    <w:rsid w:val="000F38C4"/>
    <w:rsid w:val="000F58C5"/>
    <w:rsid w:val="000F5A54"/>
    <w:rsid w:val="000F6EF4"/>
    <w:rsid w:val="000F7987"/>
    <w:rsid w:val="000F7E3B"/>
    <w:rsid w:val="0010051C"/>
    <w:rsid w:val="00100677"/>
    <w:rsid w:val="00100F8C"/>
    <w:rsid w:val="00101BFC"/>
    <w:rsid w:val="00102B12"/>
    <w:rsid w:val="00102D67"/>
    <w:rsid w:val="00102D7B"/>
    <w:rsid w:val="00103336"/>
    <w:rsid w:val="001034CA"/>
    <w:rsid w:val="001037C7"/>
    <w:rsid w:val="0010448B"/>
    <w:rsid w:val="0010521F"/>
    <w:rsid w:val="0010625A"/>
    <w:rsid w:val="00106A99"/>
    <w:rsid w:val="00107524"/>
    <w:rsid w:val="00107DCD"/>
    <w:rsid w:val="00107EF0"/>
    <w:rsid w:val="00111417"/>
    <w:rsid w:val="00111A57"/>
    <w:rsid w:val="00111E1A"/>
    <w:rsid w:val="001120D1"/>
    <w:rsid w:val="001129A2"/>
    <w:rsid w:val="00113C60"/>
    <w:rsid w:val="00113DDE"/>
    <w:rsid w:val="00114C3B"/>
    <w:rsid w:val="00114D65"/>
    <w:rsid w:val="00115455"/>
    <w:rsid w:val="00115691"/>
    <w:rsid w:val="00117039"/>
    <w:rsid w:val="00117F04"/>
    <w:rsid w:val="00120BD3"/>
    <w:rsid w:val="00122AE3"/>
    <w:rsid w:val="00122EE1"/>
    <w:rsid w:val="00123658"/>
    <w:rsid w:val="001237AF"/>
    <w:rsid w:val="001247EB"/>
    <w:rsid w:val="00124F3C"/>
    <w:rsid w:val="00125B61"/>
    <w:rsid w:val="00125E53"/>
    <w:rsid w:val="00125F9A"/>
    <w:rsid w:val="00126122"/>
    <w:rsid w:val="0012687E"/>
    <w:rsid w:val="00131D45"/>
    <w:rsid w:val="001320F0"/>
    <w:rsid w:val="00132244"/>
    <w:rsid w:val="00132446"/>
    <w:rsid w:val="001336E0"/>
    <w:rsid w:val="00133F34"/>
    <w:rsid w:val="0013409E"/>
    <w:rsid w:val="00134B1E"/>
    <w:rsid w:val="00135273"/>
    <w:rsid w:val="00135B67"/>
    <w:rsid w:val="00135FC9"/>
    <w:rsid w:val="001404F4"/>
    <w:rsid w:val="00140997"/>
    <w:rsid w:val="00143478"/>
    <w:rsid w:val="001438D6"/>
    <w:rsid w:val="00143F2F"/>
    <w:rsid w:val="0014563F"/>
    <w:rsid w:val="00146624"/>
    <w:rsid w:val="001470BB"/>
    <w:rsid w:val="00150376"/>
    <w:rsid w:val="00151DBD"/>
    <w:rsid w:val="00152A69"/>
    <w:rsid w:val="001531D6"/>
    <w:rsid w:val="001539B2"/>
    <w:rsid w:val="0015536C"/>
    <w:rsid w:val="00155434"/>
    <w:rsid w:val="00155A87"/>
    <w:rsid w:val="00155BDA"/>
    <w:rsid w:val="00156FA7"/>
    <w:rsid w:val="001579B3"/>
    <w:rsid w:val="0016023A"/>
    <w:rsid w:val="001617AB"/>
    <w:rsid w:val="00161B7D"/>
    <w:rsid w:val="00162DBF"/>
    <w:rsid w:val="00163AE8"/>
    <w:rsid w:val="0016475E"/>
    <w:rsid w:val="00164CF8"/>
    <w:rsid w:val="001653AE"/>
    <w:rsid w:val="00165FBB"/>
    <w:rsid w:val="00166050"/>
    <w:rsid w:val="00170409"/>
    <w:rsid w:val="00170D5B"/>
    <w:rsid w:val="001720A0"/>
    <w:rsid w:val="00172B8F"/>
    <w:rsid w:val="001736F8"/>
    <w:rsid w:val="00173D85"/>
    <w:rsid w:val="00174671"/>
    <w:rsid w:val="00174FD4"/>
    <w:rsid w:val="00175281"/>
    <w:rsid w:val="00175CEE"/>
    <w:rsid w:val="00176D0E"/>
    <w:rsid w:val="0017708F"/>
    <w:rsid w:val="00177E97"/>
    <w:rsid w:val="00180840"/>
    <w:rsid w:val="00180CAF"/>
    <w:rsid w:val="00183711"/>
    <w:rsid w:val="00184174"/>
    <w:rsid w:val="001843D1"/>
    <w:rsid w:val="001843DD"/>
    <w:rsid w:val="00184BAE"/>
    <w:rsid w:val="00185354"/>
    <w:rsid w:val="00185A2A"/>
    <w:rsid w:val="00187436"/>
    <w:rsid w:val="00190BFF"/>
    <w:rsid w:val="00191CAA"/>
    <w:rsid w:val="00191D7F"/>
    <w:rsid w:val="001923C2"/>
    <w:rsid w:val="0019319E"/>
    <w:rsid w:val="0019344B"/>
    <w:rsid w:val="001934BD"/>
    <w:rsid w:val="0019362A"/>
    <w:rsid w:val="00193DF0"/>
    <w:rsid w:val="00194204"/>
    <w:rsid w:val="00194641"/>
    <w:rsid w:val="0019474E"/>
    <w:rsid w:val="00195728"/>
    <w:rsid w:val="0019608D"/>
    <w:rsid w:val="00196376"/>
    <w:rsid w:val="001970C0"/>
    <w:rsid w:val="00197701"/>
    <w:rsid w:val="001A02EE"/>
    <w:rsid w:val="001A0997"/>
    <w:rsid w:val="001A1CB7"/>
    <w:rsid w:val="001A2479"/>
    <w:rsid w:val="001A3A22"/>
    <w:rsid w:val="001A3A6B"/>
    <w:rsid w:val="001A3F1A"/>
    <w:rsid w:val="001A420B"/>
    <w:rsid w:val="001A4B97"/>
    <w:rsid w:val="001A4E39"/>
    <w:rsid w:val="001A4F7D"/>
    <w:rsid w:val="001A4F89"/>
    <w:rsid w:val="001A502C"/>
    <w:rsid w:val="001A5C20"/>
    <w:rsid w:val="001A73A1"/>
    <w:rsid w:val="001A7B42"/>
    <w:rsid w:val="001A7D8F"/>
    <w:rsid w:val="001B15D2"/>
    <w:rsid w:val="001B254A"/>
    <w:rsid w:val="001B2749"/>
    <w:rsid w:val="001B28F2"/>
    <w:rsid w:val="001B2A97"/>
    <w:rsid w:val="001B2CD4"/>
    <w:rsid w:val="001B4630"/>
    <w:rsid w:val="001B7329"/>
    <w:rsid w:val="001C03DA"/>
    <w:rsid w:val="001C0E68"/>
    <w:rsid w:val="001C174A"/>
    <w:rsid w:val="001C1D05"/>
    <w:rsid w:val="001C2A48"/>
    <w:rsid w:val="001C2F9F"/>
    <w:rsid w:val="001C4ED8"/>
    <w:rsid w:val="001C502B"/>
    <w:rsid w:val="001C62C2"/>
    <w:rsid w:val="001C69E3"/>
    <w:rsid w:val="001C6DFD"/>
    <w:rsid w:val="001C7668"/>
    <w:rsid w:val="001D09F1"/>
    <w:rsid w:val="001D173B"/>
    <w:rsid w:val="001D22D8"/>
    <w:rsid w:val="001D32C0"/>
    <w:rsid w:val="001D3476"/>
    <w:rsid w:val="001D3A64"/>
    <w:rsid w:val="001D4306"/>
    <w:rsid w:val="001D439D"/>
    <w:rsid w:val="001D4893"/>
    <w:rsid w:val="001D4BE8"/>
    <w:rsid w:val="001D5793"/>
    <w:rsid w:val="001D66C3"/>
    <w:rsid w:val="001D7047"/>
    <w:rsid w:val="001D74A7"/>
    <w:rsid w:val="001D7631"/>
    <w:rsid w:val="001E15F2"/>
    <w:rsid w:val="001E22F7"/>
    <w:rsid w:val="001E2DE7"/>
    <w:rsid w:val="001E3E68"/>
    <w:rsid w:val="001E465F"/>
    <w:rsid w:val="001E4AAE"/>
    <w:rsid w:val="001E541F"/>
    <w:rsid w:val="001E5498"/>
    <w:rsid w:val="001E7FB8"/>
    <w:rsid w:val="001F189C"/>
    <w:rsid w:val="001F1DC9"/>
    <w:rsid w:val="001F2902"/>
    <w:rsid w:val="001F3F36"/>
    <w:rsid w:val="001F4234"/>
    <w:rsid w:val="001F54B8"/>
    <w:rsid w:val="001F658C"/>
    <w:rsid w:val="001F675C"/>
    <w:rsid w:val="001F6F44"/>
    <w:rsid w:val="001F7563"/>
    <w:rsid w:val="001F7751"/>
    <w:rsid w:val="001F7FBE"/>
    <w:rsid w:val="0020032F"/>
    <w:rsid w:val="00201453"/>
    <w:rsid w:val="0020214F"/>
    <w:rsid w:val="00203B59"/>
    <w:rsid w:val="002041A6"/>
    <w:rsid w:val="00206785"/>
    <w:rsid w:val="00206A0B"/>
    <w:rsid w:val="00206CDC"/>
    <w:rsid w:val="00207F59"/>
    <w:rsid w:val="00207FD9"/>
    <w:rsid w:val="0021151B"/>
    <w:rsid w:val="00211DC3"/>
    <w:rsid w:val="00211EB0"/>
    <w:rsid w:val="00212BF7"/>
    <w:rsid w:val="0021354F"/>
    <w:rsid w:val="002144B3"/>
    <w:rsid w:val="00214AE5"/>
    <w:rsid w:val="002155B6"/>
    <w:rsid w:val="00215670"/>
    <w:rsid w:val="002157E4"/>
    <w:rsid w:val="00215AFB"/>
    <w:rsid w:val="00215DEA"/>
    <w:rsid w:val="00217AFE"/>
    <w:rsid w:val="002200C7"/>
    <w:rsid w:val="002200D8"/>
    <w:rsid w:val="00221E67"/>
    <w:rsid w:val="002227E2"/>
    <w:rsid w:val="00223340"/>
    <w:rsid w:val="00223664"/>
    <w:rsid w:val="00223A56"/>
    <w:rsid w:val="00224D60"/>
    <w:rsid w:val="00225482"/>
    <w:rsid w:val="00225629"/>
    <w:rsid w:val="00225833"/>
    <w:rsid w:val="00225F1C"/>
    <w:rsid w:val="00226095"/>
    <w:rsid w:val="00227A5E"/>
    <w:rsid w:val="00227B89"/>
    <w:rsid w:val="00227F43"/>
    <w:rsid w:val="00230231"/>
    <w:rsid w:val="00230AE8"/>
    <w:rsid w:val="00230C37"/>
    <w:rsid w:val="00232049"/>
    <w:rsid w:val="00232905"/>
    <w:rsid w:val="00232C53"/>
    <w:rsid w:val="00232E2F"/>
    <w:rsid w:val="00234640"/>
    <w:rsid w:val="002361CD"/>
    <w:rsid w:val="00236B50"/>
    <w:rsid w:val="00236EA5"/>
    <w:rsid w:val="002379EF"/>
    <w:rsid w:val="00240106"/>
    <w:rsid w:val="002405B3"/>
    <w:rsid w:val="002411C7"/>
    <w:rsid w:val="00241932"/>
    <w:rsid w:val="00242181"/>
    <w:rsid w:val="00242F4E"/>
    <w:rsid w:val="00243F86"/>
    <w:rsid w:val="002440E5"/>
    <w:rsid w:val="002452A0"/>
    <w:rsid w:val="00245933"/>
    <w:rsid w:val="00245E94"/>
    <w:rsid w:val="00245F1D"/>
    <w:rsid w:val="002463A6"/>
    <w:rsid w:val="00246ADB"/>
    <w:rsid w:val="0024754E"/>
    <w:rsid w:val="002517A5"/>
    <w:rsid w:val="00251F6C"/>
    <w:rsid w:val="0025249C"/>
    <w:rsid w:val="00253405"/>
    <w:rsid w:val="002539ED"/>
    <w:rsid w:val="0025440D"/>
    <w:rsid w:val="0025450E"/>
    <w:rsid w:val="00255152"/>
    <w:rsid w:val="0025539D"/>
    <w:rsid w:val="0025554E"/>
    <w:rsid w:val="00257717"/>
    <w:rsid w:val="002602C5"/>
    <w:rsid w:val="002603AE"/>
    <w:rsid w:val="00261A28"/>
    <w:rsid w:val="00261AAB"/>
    <w:rsid w:val="002632F5"/>
    <w:rsid w:val="002638F4"/>
    <w:rsid w:val="00263AC9"/>
    <w:rsid w:val="002679DC"/>
    <w:rsid w:val="00267F9F"/>
    <w:rsid w:val="002703E2"/>
    <w:rsid w:val="0027160C"/>
    <w:rsid w:val="0027166F"/>
    <w:rsid w:val="00271E5C"/>
    <w:rsid w:val="00272B41"/>
    <w:rsid w:val="00273343"/>
    <w:rsid w:val="002737C6"/>
    <w:rsid w:val="00274866"/>
    <w:rsid w:val="002751D1"/>
    <w:rsid w:val="00275209"/>
    <w:rsid w:val="002764A0"/>
    <w:rsid w:val="00276AFC"/>
    <w:rsid w:val="00276BE9"/>
    <w:rsid w:val="00276E5C"/>
    <w:rsid w:val="002801B2"/>
    <w:rsid w:val="002802D3"/>
    <w:rsid w:val="00281BF3"/>
    <w:rsid w:val="00282FC7"/>
    <w:rsid w:val="00283FD8"/>
    <w:rsid w:val="00284340"/>
    <w:rsid w:val="00284A36"/>
    <w:rsid w:val="00284F92"/>
    <w:rsid w:val="00285D50"/>
    <w:rsid w:val="00287E78"/>
    <w:rsid w:val="00290676"/>
    <w:rsid w:val="00291462"/>
    <w:rsid w:val="00291572"/>
    <w:rsid w:val="00293A45"/>
    <w:rsid w:val="00294340"/>
    <w:rsid w:val="0029658A"/>
    <w:rsid w:val="002A04B4"/>
    <w:rsid w:val="002A0937"/>
    <w:rsid w:val="002A145B"/>
    <w:rsid w:val="002A1810"/>
    <w:rsid w:val="002A18BE"/>
    <w:rsid w:val="002A36F6"/>
    <w:rsid w:val="002A3C94"/>
    <w:rsid w:val="002A4084"/>
    <w:rsid w:val="002A4475"/>
    <w:rsid w:val="002A4AD6"/>
    <w:rsid w:val="002A4BA2"/>
    <w:rsid w:val="002A5A67"/>
    <w:rsid w:val="002A6EB3"/>
    <w:rsid w:val="002A7196"/>
    <w:rsid w:val="002A7677"/>
    <w:rsid w:val="002A76AE"/>
    <w:rsid w:val="002B0454"/>
    <w:rsid w:val="002B12EC"/>
    <w:rsid w:val="002B1384"/>
    <w:rsid w:val="002B1E54"/>
    <w:rsid w:val="002B2288"/>
    <w:rsid w:val="002B305F"/>
    <w:rsid w:val="002B3681"/>
    <w:rsid w:val="002B3AAE"/>
    <w:rsid w:val="002B4ABA"/>
    <w:rsid w:val="002B5144"/>
    <w:rsid w:val="002B52F8"/>
    <w:rsid w:val="002B667C"/>
    <w:rsid w:val="002B7C9B"/>
    <w:rsid w:val="002C00EF"/>
    <w:rsid w:val="002C0BDD"/>
    <w:rsid w:val="002C11CA"/>
    <w:rsid w:val="002C45E8"/>
    <w:rsid w:val="002C46AC"/>
    <w:rsid w:val="002C4C03"/>
    <w:rsid w:val="002C70CE"/>
    <w:rsid w:val="002C722A"/>
    <w:rsid w:val="002C763A"/>
    <w:rsid w:val="002D087E"/>
    <w:rsid w:val="002D0F2B"/>
    <w:rsid w:val="002D3AB8"/>
    <w:rsid w:val="002D4FF6"/>
    <w:rsid w:val="002D5097"/>
    <w:rsid w:val="002D55E4"/>
    <w:rsid w:val="002D5B54"/>
    <w:rsid w:val="002D5FB9"/>
    <w:rsid w:val="002D6591"/>
    <w:rsid w:val="002D690D"/>
    <w:rsid w:val="002D703D"/>
    <w:rsid w:val="002E2015"/>
    <w:rsid w:val="002E2521"/>
    <w:rsid w:val="002E5647"/>
    <w:rsid w:val="002E5A02"/>
    <w:rsid w:val="002E5C83"/>
    <w:rsid w:val="002E63BE"/>
    <w:rsid w:val="002E7775"/>
    <w:rsid w:val="002E7AD2"/>
    <w:rsid w:val="002F02F5"/>
    <w:rsid w:val="002F1084"/>
    <w:rsid w:val="002F1399"/>
    <w:rsid w:val="002F32FB"/>
    <w:rsid w:val="002F33AA"/>
    <w:rsid w:val="002F5563"/>
    <w:rsid w:val="002F5611"/>
    <w:rsid w:val="002F5F5E"/>
    <w:rsid w:val="002F5F85"/>
    <w:rsid w:val="002F693F"/>
    <w:rsid w:val="002F6F80"/>
    <w:rsid w:val="003008CC"/>
    <w:rsid w:val="00300FBA"/>
    <w:rsid w:val="003014B8"/>
    <w:rsid w:val="0030161A"/>
    <w:rsid w:val="00301763"/>
    <w:rsid w:val="003018DB"/>
    <w:rsid w:val="00302252"/>
    <w:rsid w:val="003035E9"/>
    <w:rsid w:val="00303C60"/>
    <w:rsid w:val="00304FB8"/>
    <w:rsid w:val="0030572B"/>
    <w:rsid w:val="003069CE"/>
    <w:rsid w:val="00306ECD"/>
    <w:rsid w:val="00307299"/>
    <w:rsid w:val="00307CCF"/>
    <w:rsid w:val="00310B9B"/>
    <w:rsid w:val="00310C3F"/>
    <w:rsid w:val="00311470"/>
    <w:rsid w:val="00312BC1"/>
    <w:rsid w:val="00312DAE"/>
    <w:rsid w:val="003135E2"/>
    <w:rsid w:val="00313A40"/>
    <w:rsid w:val="003140D2"/>
    <w:rsid w:val="00314FCC"/>
    <w:rsid w:val="00315ADE"/>
    <w:rsid w:val="003169D5"/>
    <w:rsid w:val="00316EAD"/>
    <w:rsid w:val="00317714"/>
    <w:rsid w:val="003208BD"/>
    <w:rsid w:val="00320A17"/>
    <w:rsid w:val="00320BA0"/>
    <w:rsid w:val="00320F2D"/>
    <w:rsid w:val="003215E5"/>
    <w:rsid w:val="00322399"/>
    <w:rsid w:val="00322BC3"/>
    <w:rsid w:val="00322DA9"/>
    <w:rsid w:val="00323AF6"/>
    <w:rsid w:val="00323BED"/>
    <w:rsid w:val="003244AF"/>
    <w:rsid w:val="003244D7"/>
    <w:rsid w:val="003251C2"/>
    <w:rsid w:val="00325FA0"/>
    <w:rsid w:val="003265C8"/>
    <w:rsid w:val="00326F1C"/>
    <w:rsid w:val="00327162"/>
    <w:rsid w:val="00330A0A"/>
    <w:rsid w:val="00331597"/>
    <w:rsid w:val="003328A9"/>
    <w:rsid w:val="00333C18"/>
    <w:rsid w:val="00335611"/>
    <w:rsid w:val="003362D0"/>
    <w:rsid w:val="003371B5"/>
    <w:rsid w:val="00337BAF"/>
    <w:rsid w:val="00340341"/>
    <w:rsid w:val="0034072A"/>
    <w:rsid w:val="00340774"/>
    <w:rsid w:val="003417CB"/>
    <w:rsid w:val="003420A9"/>
    <w:rsid w:val="003435A9"/>
    <w:rsid w:val="00344649"/>
    <w:rsid w:val="00344698"/>
    <w:rsid w:val="00345496"/>
    <w:rsid w:val="00345BCF"/>
    <w:rsid w:val="003466F9"/>
    <w:rsid w:val="0034744E"/>
    <w:rsid w:val="00350092"/>
    <w:rsid w:val="003516B5"/>
    <w:rsid w:val="003519AD"/>
    <w:rsid w:val="00351E0E"/>
    <w:rsid w:val="00353290"/>
    <w:rsid w:val="0035453F"/>
    <w:rsid w:val="00354659"/>
    <w:rsid w:val="00354EB4"/>
    <w:rsid w:val="00356D29"/>
    <w:rsid w:val="00356EB0"/>
    <w:rsid w:val="003571C2"/>
    <w:rsid w:val="00362247"/>
    <w:rsid w:val="00362AAD"/>
    <w:rsid w:val="003633E9"/>
    <w:rsid w:val="003640A7"/>
    <w:rsid w:val="0036449D"/>
    <w:rsid w:val="003650C7"/>
    <w:rsid w:val="00365447"/>
    <w:rsid w:val="00365819"/>
    <w:rsid w:val="00365E09"/>
    <w:rsid w:val="003661E5"/>
    <w:rsid w:val="0036794E"/>
    <w:rsid w:val="00367A9C"/>
    <w:rsid w:val="00367EF6"/>
    <w:rsid w:val="0037302B"/>
    <w:rsid w:val="0037363F"/>
    <w:rsid w:val="003736BF"/>
    <w:rsid w:val="00373CD2"/>
    <w:rsid w:val="00373E18"/>
    <w:rsid w:val="003740F5"/>
    <w:rsid w:val="00374257"/>
    <w:rsid w:val="00374FD9"/>
    <w:rsid w:val="00375D8B"/>
    <w:rsid w:val="00375E4E"/>
    <w:rsid w:val="0037646D"/>
    <w:rsid w:val="003810D5"/>
    <w:rsid w:val="0038146C"/>
    <w:rsid w:val="00381C53"/>
    <w:rsid w:val="00382609"/>
    <w:rsid w:val="00384360"/>
    <w:rsid w:val="00384D66"/>
    <w:rsid w:val="00386124"/>
    <w:rsid w:val="003864D5"/>
    <w:rsid w:val="0038778B"/>
    <w:rsid w:val="00390238"/>
    <w:rsid w:val="00390567"/>
    <w:rsid w:val="003907D1"/>
    <w:rsid w:val="00391179"/>
    <w:rsid w:val="00391325"/>
    <w:rsid w:val="00391F1A"/>
    <w:rsid w:val="00392E01"/>
    <w:rsid w:val="00394BB1"/>
    <w:rsid w:val="00394E38"/>
    <w:rsid w:val="003957AB"/>
    <w:rsid w:val="003966BF"/>
    <w:rsid w:val="003966F6"/>
    <w:rsid w:val="0039677D"/>
    <w:rsid w:val="00396DD5"/>
    <w:rsid w:val="00397174"/>
    <w:rsid w:val="003A0660"/>
    <w:rsid w:val="003A0D52"/>
    <w:rsid w:val="003A2ED1"/>
    <w:rsid w:val="003A3D33"/>
    <w:rsid w:val="003A4C47"/>
    <w:rsid w:val="003A6724"/>
    <w:rsid w:val="003A6E1A"/>
    <w:rsid w:val="003A7D46"/>
    <w:rsid w:val="003B0BA1"/>
    <w:rsid w:val="003B228A"/>
    <w:rsid w:val="003B4599"/>
    <w:rsid w:val="003B4C4E"/>
    <w:rsid w:val="003B55C2"/>
    <w:rsid w:val="003B61B7"/>
    <w:rsid w:val="003B63A3"/>
    <w:rsid w:val="003C06E9"/>
    <w:rsid w:val="003C083E"/>
    <w:rsid w:val="003C1760"/>
    <w:rsid w:val="003C1AE2"/>
    <w:rsid w:val="003C34B5"/>
    <w:rsid w:val="003C475C"/>
    <w:rsid w:val="003C4F8F"/>
    <w:rsid w:val="003C56CB"/>
    <w:rsid w:val="003C6B59"/>
    <w:rsid w:val="003C7730"/>
    <w:rsid w:val="003D001F"/>
    <w:rsid w:val="003D0231"/>
    <w:rsid w:val="003D1A75"/>
    <w:rsid w:val="003D299E"/>
    <w:rsid w:val="003D2D1D"/>
    <w:rsid w:val="003D3525"/>
    <w:rsid w:val="003D4B75"/>
    <w:rsid w:val="003D55E1"/>
    <w:rsid w:val="003D641A"/>
    <w:rsid w:val="003D6CF1"/>
    <w:rsid w:val="003D71EB"/>
    <w:rsid w:val="003E0301"/>
    <w:rsid w:val="003E078C"/>
    <w:rsid w:val="003E22CB"/>
    <w:rsid w:val="003E2343"/>
    <w:rsid w:val="003E234B"/>
    <w:rsid w:val="003E406B"/>
    <w:rsid w:val="003E407E"/>
    <w:rsid w:val="003E41D5"/>
    <w:rsid w:val="003E4F96"/>
    <w:rsid w:val="003E5318"/>
    <w:rsid w:val="003E53B4"/>
    <w:rsid w:val="003E5CCA"/>
    <w:rsid w:val="003E669B"/>
    <w:rsid w:val="003E6F75"/>
    <w:rsid w:val="003E72B7"/>
    <w:rsid w:val="003E7614"/>
    <w:rsid w:val="003E7773"/>
    <w:rsid w:val="003E792C"/>
    <w:rsid w:val="003E79D8"/>
    <w:rsid w:val="003F115E"/>
    <w:rsid w:val="003F14C2"/>
    <w:rsid w:val="003F2102"/>
    <w:rsid w:val="003F2210"/>
    <w:rsid w:val="003F2996"/>
    <w:rsid w:val="003F371E"/>
    <w:rsid w:val="003F4BE9"/>
    <w:rsid w:val="003F535C"/>
    <w:rsid w:val="003F53E4"/>
    <w:rsid w:val="003F5BB9"/>
    <w:rsid w:val="003F6A7F"/>
    <w:rsid w:val="003F7196"/>
    <w:rsid w:val="003F7AAD"/>
    <w:rsid w:val="004008AF"/>
    <w:rsid w:val="00400B5F"/>
    <w:rsid w:val="0040121D"/>
    <w:rsid w:val="00401C22"/>
    <w:rsid w:val="00401DBF"/>
    <w:rsid w:val="00402BE9"/>
    <w:rsid w:val="00402E25"/>
    <w:rsid w:val="0040323D"/>
    <w:rsid w:val="004033D9"/>
    <w:rsid w:val="00404A94"/>
    <w:rsid w:val="00404C07"/>
    <w:rsid w:val="004050A7"/>
    <w:rsid w:val="0040551F"/>
    <w:rsid w:val="004055E2"/>
    <w:rsid w:val="004064A2"/>
    <w:rsid w:val="0040710A"/>
    <w:rsid w:val="0040771F"/>
    <w:rsid w:val="00410554"/>
    <w:rsid w:val="004111F7"/>
    <w:rsid w:val="00411823"/>
    <w:rsid w:val="0041217D"/>
    <w:rsid w:val="004121DF"/>
    <w:rsid w:val="004123B3"/>
    <w:rsid w:val="004125C6"/>
    <w:rsid w:val="0041275F"/>
    <w:rsid w:val="004139EF"/>
    <w:rsid w:val="00414912"/>
    <w:rsid w:val="00415A4C"/>
    <w:rsid w:val="00415CF8"/>
    <w:rsid w:val="004162D7"/>
    <w:rsid w:val="0041727F"/>
    <w:rsid w:val="00420884"/>
    <w:rsid w:val="00421301"/>
    <w:rsid w:val="00421A89"/>
    <w:rsid w:val="00421D76"/>
    <w:rsid w:val="00421EBC"/>
    <w:rsid w:val="0042304B"/>
    <w:rsid w:val="00423D9D"/>
    <w:rsid w:val="00424084"/>
    <w:rsid w:val="0042430B"/>
    <w:rsid w:val="0042471E"/>
    <w:rsid w:val="00426C59"/>
    <w:rsid w:val="004273AD"/>
    <w:rsid w:val="00427710"/>
    <w:rsid w:val="004305AE"/>
    <w:rsid w:val="00431800"/>
    <w:rsid w:val="0043198A"/>
    <w:rsid w:val="00433541"/>
    <w:rsid w:val="00433B90"/>
    <w:rsid w:val="004343A0"/>
    <w:rsid w:val="00434724"/>
    <w:rsid w:val="00435776"/>
    <w:rsid w:val="004357C4"/>
    <w:rsid w:val="00435B92"/>
    <w:rsid w:val="00436514"/>
    <w:rsid w:val="00436E1D"/>
    <w:rsid w:val="004373CA"/>
    <w:rsid w:val="00440278"/>
    <w:rsid w:val="004408E5"/>
    <w:rsid w:val="004408F1"/>
    <w:rsid w:val="004423F7"/>
    <w:rsid w:val="00442A49"/>
    <w:rsid w:val="00443B7A"/>
    <w:rsid w:val="00443C0B"/>
    <w:rsid w:val="00444AF2"/>
    <w:rsid w:val="00445EF3"/>
    <w:rsid w:val="00446746"/>
    <w:rsid w:val="0044690B"/>
    <w:rsid w:val="00446BBE"/>
    <w:rsid w:val="0044782C"/>
    <w:rsid w:val="0045093D"/>
    <w:rsid w:val="00451645"/>
    <w:rsid w:val="00451CCD"/>
    <w:rsid w:val="00453708"/>
    <w:rsid w:val="00454F8E"/>
    <w:rsid w:val="004553E4"/>
    <w:rsid w:val="00460410"/>
    <w:rsid w:val="004609FC"/>
    <w:rsid w:val="00460BD0"/>
    <w:rsid w:val="0046108A"/>
    <w:rsid w:val="0046121A"/>
    <w:rsid w:val="00461A8D"/>
    <w:rsid w:val="00462778"/>
    <w:rsid w:val="004637DD"/>
    <w:rsid w:val="00463846"/>
    <w:rsid w:val="00464976"/>
    <w:rsid w:val="00464F6C"/>
    <w:rsid w:val="00466D9F"/>
    <w:rsid w:val="00467A36"/>
    <w:rsid w:val="00471D0D"/>
    <w:rsid w:val="004724B3"/>
    <w:rsid w:val="0047459F"/>
    <w:rsid w:val="00474E01"/>
    <w:rsid w:val="004760D7"/>
    <w:rsid w:val="00476661"/>
    <w:rsid w:val="00477D45"/>
    <w:rsid w:val="0048077F"/>
    <w:rsid w:val="00480DE4"/>
    <w:rsid w:val="004815DE"/>
    <w:rsid w:val="00482804"/>
    <w:rsid w:val="00482B47"/>
    <w:rsid w:val="0048323E"/>
    <w:rsid w:val="00483319"/>
    <w:rsid w:val="00483E6B"/>
    <w:rsid w:val="00484DC5"/>
    <w:rsid w:val="00485675"/>
    <w:rsid w:val="00485DE8"/>
    <w:rsid w:val="004869BB"/>
    <w:rsid w:val="00487C85"/>
    <w:rsid w:val="00490308"/>
    <w:rsid w:val="004907F1"/>
    <w:rsid w:val="00490C85"/>
    <w:rsid w:val="00490DC4"/>
    <w:rsid w:val="00491407"/>
    <w:rsid w:val="00491603"/>
    <w:rsid w:val="00492B93"/>
    <w:rsid w:val="00493645"/>
    <w:rsid w:val="0049438E"/>
    <w:rsid w:val="00494815"/>
    <w:rsid w:val="00494937"/>
    <w:rsid w:val="00494F64"/>
    <w:rsid w:val="004955BC"/>
    <w:rsid w:val="00495C7C"/>
    <w:rsid w:val="00496912"/>
    <w:rsid w:val="004974A9"/>
    <w:rsid w:val="00497B9F"/>
    <w:rsid w:val="004A0F67"/>
    <w:rsid w:val="004A0F87"/>
    <w:rsid w:val="004A1A93"/>
    <w:rsid w:val="004A1B6E"/>
    <w:rsid w:val="004A2084"/>
    <w:rsid w:val="004A3D90"/>
    <w:rsid w:val="004A4430"/>
    <w:rsid w:val="004A47CD"/>
    <w:rsid w:val="004A4FDF"/>
    <w:rsid w:val="004A5277"/>
    <w:rsid w:val="004A5489"/>
    <w:rsid w:val="004A594E"/>
    <w:rsid w:val="004A5CFE"/>
    <w:rsid w:val="004A5E73"/>
    <w:rsid w:val="004A624C"/>
    <w:rsid w:val="004A79A5"/>
    <w:rsid w:val="004A7A52"/>
    <w:rsid w:val="004B11D3"/>
    <w:rsid w:val="004B19FE"/>
    <w:rsid w:val="004B1AC4"/>
    <w:rsid w:val="004B2A4D"/>
    <w:rsid w:val="004B2AC6"/>
    <w:rsid w:val="004B2F45"/>
    <w:rsid w:val="004B33C2"/>
    <w:rsid w:val="004B4214"/>
    <w:rsid w:val="004B4FA1"/>
    <w:rsid w:val="004B689D"/>
    <w:rsid w:val="004B7E6F"/>
    <w:rsid w:val="004C0774"/>
    <w:rsid w:val="004C0E97"/>
    <w:rsid w:val="004C1E74"/>
    <w:rsid w:val="004C2B08"/>
    <w:rsid w:val="004C30F6"/>
    <w:rsid w:val="004C48C8"/>
    <w:rsid w:val="004C598D"/>
    <w:rsid w:val="004D15FB"/>
    <w:rsid w:val="004D1822"/>
    <w:rsid w:val="004D1F81"/>
    <w:rsid w:val="004D23DB"/>
    <w:rsid w:val="004D3897"/>
    <w:rsid w:val="004D39D2"/>
    <w:rsid w:val="004D3D7B"/>
    <w:rsid w:val="004D4425"/>
    <w:rsid w:val="004D4CCE"/>
    <w:rsid w:val="004D4F3E"/>
    <w:rsid w:val="004D7404"/>
    <w:rsid w:val="004E0A6E"/>
    <w:rsid w:val="004E0ECF"/>
    <w:rsid w:val="004E1318"/>
    <w:rsid w:val="004E17D9"/>
    <w:rsid w:val="004E184D"/>
    <w:rsid w:val="004E2BD6"/>
    <w:rsid w:val="004E3A92"/>
    <w:rsid w:val="004E3DE1"/>
    <w:rsid w:val="004E3FFB"/>
    <w:rsid w:val="004E429B"/>
    <w:rsid w:val="004E6251"/>
    <w:rsid w:val="004E6D9F"/>
    <w:rsid w:val="004E74F2"/>
    <w:rsid w:val="004E75E3"/>
    <w:rsid w:val="004E767C"/>
    <w:rsid w:val="004F1EBB"/>
    <w:rsid w:val="004F1EE4"/>
    <w:rsid w:val="004F2788"/>
    <w:rsid w:val="004F4270"/>
    <w:rsid w:val="004F6AD3"/>
    <w:rsid w:val="004F7800"/>
    <w:rsid w:val="004F7B83"/>
    <w:rsid w:val="004F7E34"/>
    <w:rsid w:val="005002BC"/>
    <w:rsid w:val="00501280"/>
    <w:rsid w:val="00501386"/>
    <w:rsid w:val="005018AB"/>
    <w:rsid w:val="005019C0"/>
    <w:rsid w:val="00501BD9"/>
    <w:rsid w:val="00501C25"/>
    <w:rsid w:val="005026CB"/>
    <w:rsid w:val="005027A6"/>
    <w:rsid w:val="00502C3C"/>
    <w:rsid w:val="00502DAE"/>
    <w:rsid w:val="00502FFB"/>
    <w:rsid w:val="00503507"/>
    <w:rsid w:val="005038A0"/>
    <w:rsid w:val="005039F8"/>
    <w:rsid w:val="00504A82"/>
    <w:rsid w:val="00504DF6"/>
    <w:rsid w:val="00505E19"/>
    <w:rsid w:val="005062B4"/>
    <w:rsid w:val="00506792"/>
    <w:rsid w:val="00506E6D"/>
    <w:rsid w:val="005103C5"/>
    <w:rsid w:val="00511896"/>
    <w:rsid w:val="005131D3"/>
    <w:rsid w:val="0051352C"/>
    <w:rsid w:val="00513B2F"/>
    <w:rsid w:val="00514FC2"/>
    <w:rsid w:val="00515BFA"/>
    <w:rsid w:val="00515E17"/>
    <w:rsid w:val="00516042"/>
    <w:rsid w:val="00516C07"/>
    <w:rsid w:val="0051716D"/>
    <w:rsid w:val="00517A86"/>
    <w:rsid w:val="00517E1D"/>
    <w:rsid w:val="00520C5C"/>
    <w:rsid w:val="00521AB4"/>
    <w:rsid w:val="00521BAB"/>
    <w:rsid w:val="005224A4"/>
    <w:rsid w:val="0052349D"/>
    <w:rsid w:val="00524BE8"/>
    <w:rsid w:val="00524C74"/>
    <w:rsid w:val="0052505F"/>
    <w:rsid w:val="0052575D"/>
    <w:rsid w:val="00526C92"/>
    <w:rsid w:val="005275FC"/>
    <w:rsid w:val="0052768C"/>
    <w:rsid w:val="00530896"/>
    <w:rsid w:val="005310AF"/>
    <w:rsid w:val="005317DC"/>
    <w:rsid w:val="00532D5F"/>
    <w:rsid w:val="005342C3"/>
    <w:rsid w:val="00534590"/>
    <w:rsid w:val="00534CE6"/>
    <w:rsid w:val="00534F3C"/>
    <w:rsid w:val="00535ADE"/>
    <w:rsid w:val="005361C9"/>
    <w:rsid w:val="005362F5"/>
    <w:rsid w:val="005371FC"/>
    <w:rsid w:val="0053725B"/>
    <w:rsid w:val="005406D3"/>
    <w:rsid w:val="005407B1"/>
    <w:rsid w:val="005409F9"/>
    <w:rsid w:val="00540C57"/>
    <w:rsid w:val="00540CA1"/>
    <w:rsid w:val="00541EA0"/>
    <w:rsid w:val="00542C38"/>
    <w:rsid w:val="00543E4B"/>
    <w:rsid w:val="00544B83"/>
    <w:rsid w:val="00545E5B"/>
    <w:rsid w:val="00547E82"/>
    <w:rsid w:val="00550E93"/>
    <w:rsid w:val="00551895"/>
    <w:rsid w:val="0055189A"/>
    <w:rsid w:val="00551DD8"/>
    <w:rsid w:val="005531BD"/>
    <w:rsid w:val="00554DA4"/>
    <w:rsid w:val="0055565A"/>
    <w:rsid w:val="00555C64"/>
    <w:rsid w:val="00555CCA"/>
    <w:rsid w:val="005567B2"/>
    <w:rsid w:val="00557870"/>
    <w:rsid w:val="00557B70"/>
    <w:rsid w:val="00560277"/>
    <w:rsid w:val="005605A4"/>
    <w:rsid w:val="00560938"/>
    <w:rsid w:val="00560AF1"/>
    <w:rsid w:val="00561562"/>
    <w:rsid w:val="00561A78"/>
    <w:rsid w:val="00562A74"/>
    <w:rsid w:val="00563DE6"/>
    <w:rsid w:val="00564981"/>
    <w:rsid w:val="0056528D"/>
    <w:rsid w:val="00565B07"/>
    <w:rsid w:val="0056628B"/>
    <w:rsid w:val="00566298"/>
    <w:rsid w:val="00566E6C"/>
    <w:rsid w:val="00566F18"/>
    <w:rsid w:val="0057091E"/>
    <w:rsid w:val="00570F94"/>
    <w:rsid w:val="00571708"/>
    <w:rsid w:val="005723D6"/>
    <w:rsid w:val="0057356F"/>
    <w:rsid w:val="00574284"/>
    <w:rsid w:val="00574A6E"/>
    <w:rsid w:val="00575FD2"/>
    <w:rsid w:val="00576949"/>
    <w:rsid w:val="00577145"/>
    <w:rsid w:val="005773BE"/>
    <w:rsid w:val="00580B7A"/>
    <w:rsid w:val="00580BE1"/>
    <w:rsid w:val="00582365"/>
    <w:rsid w:val="005834D7"/>
    <w:rsid w:val="00583AF5"/>
    <w:rsid w:val="00584278"/>
    <w:rsid w:val="00584611"/>
    <w:rsid w:val="00585C1B"/>
    <w:rsid w:val="00587639"/>
    <w:rsid w:val="00592638"/>
    <w:rsid w:val="00592A90"/>
    <w:rsid w:val="00593138"/>
    <w:rsid w:val="00593528"/>
    <w:rsid w:val="00593A33"/>
    <w:rsid w:val="005947B5"/>
    <w:rsid w:val="00595649"/>
    <w:rsid w:val="00595676"/>
    <w:rsid w:val="00595D10"/>
    <w:rsid w:val="005960BB"/>
    <w:rsid w:val="00596562"/>
    <w:rsid w:val="00596918"/>
    <w:rsid w:val="00597407"/>
    <w:rsid w:val="0059798D"/>
    <w:rsid w:val="00597E48"/>
    <w:rsid w:val="005A00DE"/>
    <w:rsid w:val="005A0496"/>
    <w:rsid w:val="005A13D5"/>
    <w:rsid w:val="005A1B84"/>
    <w:rsid w:val="005A20F8"/>
    <w:rsid w:val="005A29A4"/>
    <w:rsid w:val="005A4047"/>
    <w:rsid w:val="005A4374"/>
    <w:rsid w:val="005A4384"/>
    <w:rsid w:val="005A52A5"/>
    <w:rsid w:val="005A5D2B"/>
    <w:rsid w:val="005A637E"/>
    <w:rsid w:val="005A65AF"/>
    <w:rsid w:val="005A7012"/>
    <w:rsid w:val="005A7523"/>
    <w:rsid w:val="005A7A5E"/>
    <w:rsid w:val="005B082B"/>
    <w:rsid w:val="005B0841"/>
    <w:rsid w:val="005B1C07"/>
    <w:rsid w:val="005B1C74"/>
    <w:rsid w:val="005B2BFA"/>
    <w:rsid w:val="005B2CDB"/>
    <w:rsid w:val="005B3432"/>
    <w:rsid w:val="005B3565"/>
    <w:rsid w:val="005B3BD6"/>
    <w:rsid w:val="005B5C6B"/>
    <w:rsid w:val="005B5E66"/>
    <w:rsid w:val="005B6C53"/>
    <w:rsid w:val="005B6E10"/>
    <w:rsid w:val="005B7D6C"/>
    <w:rsid w:val="005B7FA4"/>
    <w:rsid w:val="005C1045"/>
    <w:rsid w:val="005C187B"/>
    <w:rsid w:val="005C1D3C"/>
    <w:rsid w:val="005C2185"/>
    <w:rsid w:val="005C2687"/>
    <w:rsid w:val="005C3D6A"/>
    <w:rsid w:val="005C44A4"/>
    <w:rsid w:val="005C46D0"/>
    <w:rsid w:val="005C4E30"/>
    <w:rsid w:val="005C65F7"/>
    <w:rsid w:val="005C7215"/>
    <w:rsid w:val="005C73C4"/>
    <w:rsid w:val="005D00EA"/>
    <w:rsid w:val="005D023B"/>
    <w:rsid w:val="005D02C4"/>
    <w:rsid w:val="005D0A16"/>
    <w:rsid w:val="005D210B"/>
    <w:rsid w:val="005D2304"/>
    <w:rsid w:val="005D25CF"/>
    <w:rsid w:val="005D3A04"/>
    <w:rsid w:val="005D3DB9"/>
    <w:rsid w:val="005D4048"/>
    <w:rsid w:val="005D48FE"/>
    <w:rsid w:val="005D4967"/>
    <w:rsid w:val="005D7471"/>
    <w:rsid w:val="005D749D"/>
    <w:rsid w:val="005D7B30"/>
    <w:rsid w:val="005E2702"/>
    <w:rsid w:val="005E30AE"/>
    <w:rsid w:val="005E5874"/>
    <w:rsid w:val="005E75D5"/>
    <w:rsid w:val="005F0A23"/>
    <w:rsid w:val="005F0E76"/>
    <w:rsid w:val="005F1555"/>
    <w:rsid w:val="005F2452"/>
    <w:rsid w:val="005F2978"/>
    <w:rsid w:val="005F2ABC"/>
    <w:rsid w:val="005F2B1C"/>
    <w:rsid w:val="005F2C1C"/>
    <w:rsid w:val="005F2E69"/>
    <w:rsid w:val="005F3025"/>
    <w:rsid w:val="005F39C2"/>
    <w:rsid w:val="005F44EF"/>
    <w:rsid w:val="005F4721"/>
    <w:rsid w:val="005F4726"/>
    <w:rsid w:val="005F4D8F"/>
    <w:rsid w:val="005F5C3B"/>
    <w:rsid w:val="005F720A"/>
    <w:rsid w:val="005F731E"/>
    <w:rsid w:val="005F7B99"/>
    <w:rsid w:val="00600FB9"/>
    <w:rsid w:val="006016CB"/>
    <w:rsid w:val="006017C4"/>
    <w:rsid w:val="00601D2A"/>
    <w:rsid w:val="0060242D"/>
    <w:rsid w:val="00602F43"/>
    <w:rsid w:val="00602F75"/>
    <w:rsid w:val="00603B08"/>
    <w:rsid w:val="00604314"/>
    <w:rsid w:val="00604A53"/>
    <w:rsid w:val="00605776"/>
    <w:rsid w:val="006068CA"/>
    <w:rsid w:val="0060778C"/>
    <w:rsid w:val="00610162"/>
    <w:rsid w:val="006102FB"/>
    <w:rsid w:val="006104A1"/>
    <w:rsid w:val="00610ABA"/>
    <w:rsid w:val="00611D84"/>
    <w:rsid w:val="00613037"/>
    <w:rsid w:val="006135AB"/>
    <w:rsid w:val="006138E4"/>
    <w:rsid w:val="006144F6"/>
    <w:rsid w:val="00615603"/>
    <w:rsid w:val="00616407"/>
    <w:rsid w:val="00617390"/>
    <w:rsid w:val="00620E5A"/>
    <w:rsid w:val="0062229B"/>
    <w:rsid w:val="00624376"/>
    <w:rsid w:val="006250E9"/>
    <w:rsid w:val="00626F56"/>
    <w:rsid w:val="00627F3D"/>
    <w:rsid w:val="0063073B"/>
    <w:rsid w:val="00631507"/>
    <w:rsid w:val="00633B2F"/>
    <w:rsid w:val="0063551E"/>
    <w:rsid w:val="00635EC5"/>
    <w:rsid w:val="00640AAE"/>
    <w:rsid w:val="00640C31"/>
    <w:rsid w:val="0064215F"/>
    <w:rsid w:val="00643226"/>
    <w:rsid w:val="00643449"/>
    <w:rsid w:val="00644022"/>
    <w:rsid w:val="00644532"/>
    <w:rsid w:val="006458A1"/>
    <w:rsid w:val="006459EF"/>
    <w:rsid w:val="00645A55"/>
    <w:rsid w:val="0064631D"/>
    <w:rsid w:val="006465F3"/>
    <w:rsid w:val="006471CF"/>
    <w:rsid w:val="006476FC"/>
    <w:rsid w:val="00650452"/>
    <w:rsid w:val="006505F7"/>
    <w:rsid w:val="00650AEA"/>
    <w:rsid w:val="00652391"/>
    <w:rsid w:val="00652563"/>
    <w:rsid w:val="006530C5"/>
    <w:rsid w:val="006534BF"/>
    <w:rsid w:val="006537D7"/>
    <w:rsid w:val="0065444A"/>
    <w:rsid w:val="00654BC3"/>
    <w:rsid w:val="00654F68"/>
    <w:rsid w:val="00655AFF"/>
    <w:rsid w:val="00655CF9"/>
    <w:rsid w:val="00655D45"/>
    <w:rsid w:val="006568D5"/>
    <w:rsid w:val="0065714C"/>
    <w:rsid w:val="00657644"/>
    <w:rsid w:val="0065784D"/>
    <w:rsid w:val="00657FAF"/>
    <w:rsid w:val="00660130"/>
    <w:rsid w:val="0066023F"/>
    <w:rsid w:val="0066027F"/>
    <w:rsid w:val="00660736"/>
    <w:rsid w:val="00660A6E"/>
    <w:rsid w:val="00660A74"/>
    <w:rsid w:val="00660D4E"/>
    <w:rsid w:val="00662E5F"/>
    <w:rsid w:val="00662EF8"/>
    <w:rsid w:val="00664434"/>
    <w:rsid w:val="00665334"/>
    <w:rsid w:val="00665513"/>
    <w:rsid w:val="0066561F"/>
    <w:rsid w:val="00665728"/>
    <w:rsid w:val="006666B2"/>
    <w:rsid w:val="00666A58"/>
    <w:rsid w:val="00666E33"/>
    <w:rsid w:val="00670650"/>
    <w:rsid w:val="006712C0"/>
    <w:rsid w:val="006744AC"/>
    <w:rsid w:val="00674C7D"/>
    <w:rsid w:val="006753E4"/>
    <w:rsid w:val="00676B8E"/>
    <w:rsid w:val="00676BEC"/>
    <w:rsid w:val="00677C80"/>
    <w:rsid w:val="00680B40"/>
    <w:rsid w:val="006813C0"/>
    <w:rsid w:val="00681EC9"/>
    <w:rsid w:val="006822FA"/>
    <w:rsid w:val="00682847"/>
    <w:rsid w:val="0068288C"/>
    <w:rsid w:val="00683113"/>
    <w:rsid w:val="00683F36"/>
    <w:rsid w:val="00685589"/>
    <w:rsid w:val="00685935"/>
    <w:rsid w:val="0068682C"/>
    <w:rsid w:val="00690410"/>
    <w:rsid w:val="00690FAA"/>
    <w:rsid w:val="00692167"/>
    <w:rsid w:val="0069226C"/>
    <w:rsid w:val="00693728"/>
    <w:rsid w:val="006938AA"/>
    <w:rsid w:val="00694520"/>
    <w:rsid w:val="0069474B"/>
    <w:rsid w:val="0069475D"/>
    <w:rsid w:val="00695D01"/>
    <w:rsid w:val="0069618B"/>
    <w:rsid w:val="00697390"/>
    <w:rsid w:val="00697966"/>
    <w:rsid w:val="00697B85"/>
    <w:rsid w:val="006A083A"/>
    <w:rsid w:val="006A09B4"/>
    <w:rsid w:val="006A1128"/>
    <w:rsid w:val="006A1AB6"/>
    <w:rsid w:val="006A2248"/>
    <w:rsid w:val="006A2BF1"/>
    <w:rsid w:val="006A3A2B"/>
    <w:rsid w:val="006A69F4"/>
    <w:rsid w:val="006A6BF1"/>
    <w:rsid w:val="006A7DC1"/>
    <w:rsid w:val="006B1425"/>
    <w:rsid w:val="006B1DC8"/>
    <w:rsid w:val="006B3032"/>
    <w:rsid w:val="006B35B2"/>
    <w:rsid w:val="006B3CEF"/>
    <w:rsid w:val="006B4B4A"/>
    <w:rsid w:val="006B52BC"/>
    <w:rsid w:val="006B75C6"/>
    <w:rsid w:val="006B761E"/>
    <w:rsid w:val="006B7659"/>
    <w:rsid w:val="006C0764"/>
    <w:rsid w:val="006C1460"/>
    <w:rsid w:val="006C1656"/>
    <w:rsid w:val="006C354C"/>
    <w:rsid w:val="006C36D0"/>
    <w:rsid w:val="006C38E5"/>
    <w:rsid w:val="006C3B76"/>
    <w:rsid w:val="006C4572"/>
    <w:rsid w:val="006C53DD"/>
    <w:rsid w:val="006C63F3"/>
    <w:rsid w:val="006C6C3F"/>
    <w:rsid w:val="006C7B03"/>
    <w:rsid w:val="006D03F4"/>
    <w:rsid w:val="006D071B"/>
    <w:rsid w:val="006D0824"/>
    <w:rsid w:val="006D0D3A"/>
    <w:rsid w:val="006D0EC2"/>
    <w:rsid w:val="006D2AF8"/>
    <w:rsid w:val="006D3294"/>
    <w:rsid w:val="006D4C72"/>
    <w:rsid w:val="006D4D95"/>
    <w:rsid w:val="006D4E4C"/>
    <w:rsid w:val="006D5585"/>
    <w:rsid w:val="006D5F76"/>
    <w:rsid w:val="006D6193"/>
    <w:rsid w:val="006D638C"/>
    <w:rsid w:val="006D6D96"/>
    <w:rsid w:val="006D7211"/>
    <w:rsid w:val="006D75C8"/>
    <w:rsid w:val="006D779E"/>
    <w:rsid w:val="006E16D1"/>
    <w:rsid w:val="006E174C"/>
    <w:rsid w:val="006E17FD"/>
    <w:rsid w:val="006E211B"/>
    <w:rsid w:val="006E33F2"/>
    <w:rsid w:val="006E634C"/>
    <w:rsid w:val="006E6441"/>
    <w:rsid w:val="006E726A"/>
    <w:rsid w:val="006E72C4"/>
    <w:rsid w:val="006E7796"/>
    <w:rsid w:val="006E7ECC"/>
    <w:rsid w:val="006F0628"/>
    <w:rsid w:val="006F0D46"/>
    <w:rsid w:val="006F21E2"/>
    <w:rsid w:val="006F23DD"/>
    <w:rsid w:val="006F4197"/>
    <w:rsid w:val="006F5158"/>
    <w:rsid w:val="006F5322"/>
    <w:rsid w:val="006F6090"/>
    <w:rsid w:val="00700925"/>
    <w:rsid w:val="00700950"/>
    <w:rsid w:val="00701136"/>
    <w:rsid w:val="00702AC9"/>
    <w:rsid w:val="0070319A"/>
    <w:rsid w:val="00703CB4"/>
    <w:rsid w:val="00703DE6"/>
    <w:rsid w:val="00704520"/>
    <w:rsid w:val="00704E85"/>
    <w:rsid w:val="00706782"/>
    <w:rsid w:val="00706E25"/>
    <w:rsid w:val="007071E1"/>
    <w:rsid w:val="007078C3"/>
    <w:rsid w:val="00707C18"/>
    <w:rsid w:val="00707F75"/>
    <w:rsid w:val="007103A9"/>
    <w:rsid w:val="00710F07"/>
    <w:rsid w:val="007116A1"/>
    <w:rsid w:val="00711978"/>
    <w:rsid w:val="007123FB"/>
    <w:rsid w:val="0071498C"/>
    <w:rsid w:val="007169E9"/>
    <w:rsid w:val="00716AD2"/>
    <w:rsid w:val="00717179"/>
    <w:rsid w:val="007203CA"/>
    <w:rsid w:val="007205E1"/>
    <w:rsid w:val="0072067A"/>
    <w:rsid w:val="00721B3B"/>
    <w:rsid w:val="007225BF"/>
    <w:rsid w:val="007226BA"/>
    <w:rsid w:val="007226F5"/>
    <w:rsid w:val="00723401"/>
    <w:rsid w:val="00723B2C"/>
    <w:rsid w:val="00724ED0"/>
    <w:rsid w:val="00724F92"/>
    <w:rsid w:val="007253D6"/>
    <w:rsid w:val="0072578A"/>
    <w:rsid w:val="0072597A"/>
    <w:rsid w:val="007319F7"/>
    <w:rsid w:val="00732DB4"/>
    <w:rsid w:val="00733F00"/>
    <w:rsid w:val="00734778"/>
    <w:rsid w:val="00735F5C"/>
    <w:rsid w:val="0073792C"/>
    <w:rsid w:val="00737C36"/>
    <w:rsid w:val="00737DC6"/>
    <w:rsid w:val="00741C60"/>
    <w:rsid w:val="0074257A"/>
    <w:rsid w:val="00743CAE"/>
    <w:rsid w:val="00743FC6"/>
    <w:rsid w:val="00744690"/>
    <w:rsid w:val="007449B6"/>
    <w:rsid w:val="00745015"/>
    <w:rsid w:val="007450FF"/>
    <w:rsid w:val="00745CEC"/>
    <w:rsid w:val="00746187"/>
    <w:rsid w:val="00746752"/>
    <w:rsid w:val="00747434"/>
    <w:rsid w:val="0074788B"/>
    <w:rsid w:val="0075137C"/>
    <w:rsid w:val="007532DC"/>
    <w:rsid w:val="00753512"/>
    <w:rsid w:val="0075418A"/>
    <w:rsid w:val="00755268"/>
    <w:rsid w:val="00755EF5"/>
    <w:rsid w:val="0075633B"/>
    <w:rsid w:val="00756617"/>
    <w:rsid w:val="0075763C"/>
    <w:rsid w:val="00757C82"/>
    <w:rsid w:val="00760A14"/>
    <w:rsid w:val="0076101F"/>
    <w:rsid w:val="007612BC"/>
    <w:rsid w:val="007619CC"/>
    <w:rsid w:val="007624A9"/>
    <w:rsid w:val="0076260D"/>
    <w:rsid w:val="007628D9"/>
    <w:rsid w:val="00762BA7"/>
    <w:rsid w:val="00762BCF"/>
    <w:rsid w:val="00763B77"/>
    <w:rsid w:val="00764603"/>
    <w:rsid w:val="00765E22"/>
    <w:rsid w:val="00765F84"/>
    <w:rsid w:val="0076702C"/>
    <w:rsid w:val="007676F2"/>
    <w:rsid w:val="00767A86"/>
    <w:rsid w:val="00767F6C"/>
    <w:rsid w:val="007708C8"/>
    <w:rsid w:val="00771BD8"/>
    <w:rsid w:val="00772680"/>
    <w:rsid w:val="00772829"/>
    <w:rsid w:val="00772C08"/>
    <w:rsid w:val="007752EA"/>
    <w:rsid w:val="00775F19"/>
    <w:rsid w:val="0077694B"/>
    <w:rsid w:val="00777211"/>
    <w:rsid w:val="00777848"/>
    <w:rsid w:val="00777893"/>
    <w:rsid w:val="00780764"/>
    <w:rsid w:val="00782462"/>
    <w:rsid w:val="00784341"/>
    <w:rsid w:val="007852E9"/>
    <w:rsid w:val="00786034"/>
    <w:rsid w:val="00787509"/>
    <w:rsid w:val="007902B6"/>
    <w:rsid w:val="00790B15"/>
    <w:rsid w:val="00790F49"/>
    <w:rsid w:val="00791569"/>
    <w:rsid w:val="00791D0E"/>
    <w:rsid w:val="00792038"/>
    <w:rsid w:val="007931CB"/>
    <w:rsid w:val="007949EC"/>
    <w:rsid w:val="007951D4"/>
    <w:rsid w:val="007956EB"/>
    <w:rsid w:val="00797C46"/>
    <w:rsid w:val="007A02A8"/>
    <w:rsid w:val="007A05C2"/>
    <w:rsid w:val="007A19F6"/>
    <w:rsid w:val="007A1D5E"/>
    <w:rsid w:val="007A1E7D"/>
    <w:rsid w:val="007A287B"/>
    <w:rsid w:val="007A2B65"/>
    <w:rsid w:val="007A50D2"/>
    <w:rsid w:val="007A5617"/>
    <w:rsid w:val="007A579E"/>
    <w:rsid w:val="007A5AF0"/>
    <w:rsid w:val="007A5FA0"/>
    <w:rsid w:val="007A7DB6"/>
    <w:rsid w:val="007B0245"/>
    <w:rsid w:val="007B083F"/>
    <w:rsid w:val="007B0880"/>
    <w:rsid w:val="007B0D01"/>
    <w:rsid w:val="007B19D3"/>
    <w:rsid w:val="007B2085"/>
    <w:rsid w:val="007B2FDC"/>
    <w:rsid w:val="007B3196"/>
    <w:rsid w:val="007B38A0"/>
    <w:rsid w:val="007B38B7"/>
    <w:rsid w:val="007B4F7B"/>
    <w:rsid w:val="007B583D"/>
    <w:rsid w:val="007B6684"/>
    <w:rsid w:val="007B6B21"/>
    <w:rsid w:val="007B6D22"/>
    <w:rsid w:val="007B6FD3"/>
    <w:rsid w:val="007B7024"/>
    <w:rsid w:val="007C0390"/>
    <w:rsid w:val="007C04FD"/>
    <w:rsid w:val="007C0747"/>
    <w:rsid w:val="007C0E98"/>
    <w:rsid w:val="007C14A2"/>
    <w:rsid w:val="007C1573"/>
    <w:rsid w:val="007C1F5E"/>
    <w:rsid w:val="007C2BC5"/>
    <w:rsid w:val="007C300E"/>
    <w:rsid w:val="007C3090"/>
    <w:rsid w:val="007C312B"/>
    <w:rsid w:val="007C328D"/>
    <w:rsid w:val="007C336F"/>
    <w:rsid w:val="007C3E86"/>
    <w:rsid w:val="007C41B1"/>
    <w:rsid w:val="007C546F"/>
    <w:rsid w:val="007C5530"/>
    <w:rsid w:val="007C6EFA"/>
    <w:rsid w:val="007C7FBA"/>
    <w:rsid w:val="007D1C81"/>
    <w:rsid w:val="007D30B7"/>
    <w:rsid w:val="007D3EAD"/>
    <w:rsid w:val="007D41B5"/>
    <w:rsid w:val="007D4A5E"/>
    <w:rsid w:val="007D5D13"/>
    <w:rsid w:val="007D64A2"/>
    <w:rsid w:val="007D7582"/>
    <w:rsid w:val="007E0EB4"/>
    <w:rsid w:val="007E15AD"/>
    <w:rsid w:val="007E25ED"/>
    <w:rsid w:val="007E2BC0"/>
    <w:rsid w:val="007E3483"/>
    <w:rsid w:val="007E420C"/>
    <w:rsid w:val="007E54A6"/>
    <w:rsid w:val="007E6A74"/>
    <w:rsid w:val="007F1CED"/>
    <w:rsid w:val="007F38E9"/>
    <w:rsid w:val="007F3AA1"/>
    <w:rsid w:val="007F4514"/>
    <w:rsid w:val="007F51C1"/>
    <w:rsid w:val="007F5309"/>
    <w:rsid w:val="007F5C16"/>
    <w:rsid w:val="007F67E9"/>
    <w:rsid w:val="007F7A1A"/>
    <w:rsid w:val="007F7C59"/>
    <w:rsid w:val="007F7C7B"/>
    <w:rsid w:val="00800AE9"/>
    <w:rsid w:val="00801864"/>
    <w:rsid w:val="008019DF"/>
    <w:rsid w:val="00802B58"/>
    <w:rsid w:val="008033C3"/>
    <w:rsid w:val="00803526"/>
    <w:rsid w:val="008040A2"/>
    <w:rsid w:val="008040DA"/>
    <w:rsid w:val="00804632"/>
    <w:rsid w:val="00804D97"/>
    <w:rsid w:val="008054D9"/>
    <w:rsid w:val="00806688"/>
    <w:rsid w:val="00807A3E"/>
    <w:rsid w:val="00810238"/>
    <w:rsid w:val="00810338"/>
    <w:rsid w:val="008113DD"/>
    <w:rsid w:val="00812282"/>
    <w:rsid w:val="008139A5"/>
    <w:rsid w:val="008148C8"/>
    <w:rsid w:val="008148E4"/>
    <w:rsid w:val="008157F1"/>
    <w:rsid w:val="008160B3"/>
    <w:rsid w:val="008163A2"/>
    <w:rsid w:val="00816EC2"/>
    <w:rsid w:val="00820B20"/>
    <w:rsid w:val="0082197B"/>
    <w:rsid w:val="008219A3"/>
    <w:rsid w:val="00822878"/>
    <w:rsid w:val="00822CD4"/>
    <w:rsid w:val="008236E1"/>
    <w:rsid w:val="00824458"/>
    <w:rsid w:val="008249F7"/>
    <w:rsid w:val="00824B74"/>
    <w:rsid w:val="00826193"/>
    <w:rsid w:val="00826723"/>
    <w:rsid w:val="0082689B"/>
    <w:rsid w:val="00827027"/>
    <w:rsid w:val="00827C94"/>
    <w:rsid w:val="00830EC7"/>
    <w:rsid w:val="008313F1"/>
    <w:rsid w:val="00831F56"/>
    <w:rsid w:val="00832D8D"/>
    <w:rsid w:val="00833BEF"/>
    <w:rsid w:val="0083487D"/>
    <w:rsid w:val="00834AEB"/>
    <w:rsid w:val="00835EC9"/>
    <w:rsid w:val="00837848"/>
    <w:rsid w:val="008378EC"/>
    <w:rsid w:val="00841388"/>
    <w:rsid w:val="0084154A"/>
    <w:rsid w:val="00841EFB"/>
    <w:rsid w:val="00841F44"/>
    <w:rsid w:val="00842C82"/>
    <w:rsid w:val="008436D7"/>
    <w:rsid w:val="008440FE"/>
    <w:rsid w:val="00846119"/>
    <w:rsid w:val="008467B3"/>
    <w:rsid w:val="008474E3"/>
    <w:rsid w:val="00847ECD"/>
    <w:rsid w:val="00850CC1"/>
    <w:rsid w:val="00851751"/>
    <w:rsid w:val="00851E6F"/>
    <w:rsid w:val="00851FA1"/>
    <w:rsid w:val="008527ED"/>
    <w:rsid w:val="00852CB1"/>
    <w:rsid w:val="008537F7"/>
    <w:rsid w:val="008546BE"/>
    <w:rsid w:val="008551B8"/>
    <w:rsid w:val="00856074"/>
    <w:rsid w:val="00856380"/>
    <w:rsid w:val="00857181"/>
    <w:rsid w:val="00857949"/>
    <w:rsid w:val="00857C96"/>
    <w:rsid w:val="00860E78"/>
    <w:rsid w:val="0086119F"/>
    <w:rsid w:val="00861965"/>
    <w:rsid w:val="00861CB4"/>
    <w:rsid w:val="00863CF3"/>
    <w:rsid w:val="0086415C"/>
    <w:rsid w:val="00865886"/>
    <w:rsid w:val="008670B0"/>
    <w:rsid w:val="00870034"/>
    <w:rsid w:val="0087041B"/>
    <w:rsid w:val="00870774"/>
    <w:rsid w:val="008719C2"/>
    <w:rsid w:val="00871AF3"/>
    <w:rsid w:val="0087277A"/>
    <w:rsid w:val="00872A47"/>
    <w:rsid w:val="008736E2"/>
    <w:rsid w:val="00874565"/>
    <w:rsid w:val="00875EAB"/>
    <w:rsid w:val="00876787"/>
    <w:rsid w:val="00877247"/>
    <w:rsid w:val="0087764F"/>
    <w:rsid w:val="00877670"/>
    <w:rsid w:val="008801AE"/>
    <w:rsid w:val="00880AA3"/>
    <w:rsid w:val="00881160"/>
    <w:rsid w:val="00882285"/>
    <w:rsid w:val="008826EF"/>
    <w:rsid w:val="00882A44"/>
    <w:rsid w:val="0088421C"/>
    <w:rsid w:val="0088445B"/>
    <w:rsid w:val="008853A6"/>
    <w:rsid w:val="00885457"/>
    <w:rsid w:val="00885D10"/>
    <w:rsid w:val="00886BCF"/>
    <w:rsid w:val="00887544"/>
    <w:rsid w:val="00890143"/>
    <w:rsid w:val="008901F8"/>
    <w:rsid w:val="00891AF6"/>
    <w:rsid w:val="00891BC3"/>
    <w:rsid w:val="00892C57"/>
    <w:rsid w:val="008937C8"/>
    <w:rsid w:val="00893D29"/>
    <w:rsid w:val="00896416"/>
    <w:rsid w:val="00896694"/>
    <w:rsid w:val="008967C4"/>
    <w:rsid w:val="00896A82"/>
    <w:rsid w:val="00897270"/>
    <w:rsid w:val="00897976"/>
    <w:rsid w:val="00897F89"/>
    <w:rsid w:val="008A0509"/>
    <w:rsid w:val="008A0D2A"/>
    <w:rsid w:val="008A0E77"/>
    <w:rsid w:val="008A1693"/>
    <w:rsid w:val="008A254F"/>
    <w:rsid w:val="008A2630"/>
    <w:rsid w:val="008A51C8"/>
    <w:rsid w:val="008A5833"/>
    <w:rsid w:val="008A5AFB"/>
    <w:rsid w:val="008A64BA"/>
    <w:rsid w:val="008A6F84"/>
    <w:rsid w:val="008A7DC0"/>
    <w:rsid w:val="008B28A4"/>
    <w:rsid w:val="008B3A88"/>
    <w:rsid w:val="008B42B8"/>
    <w:rsid w:val="008B438F"/>
    <w:rsid w:val="008B4BFC"/>
    <w:rsid w:val="008B51B4"/>
    <w:rsid w:val="008B5B67"/>
    <w:rsid w:val="008B5D7A"/>
    <w:rsid w:val="008B66E3"/>
    <w:rsid w:val="008B7848"/>
    <w:rsid w:val="008C0643"/>
    <w:rsid w:val="008C0AED"/>
    <w:rsid w:val="008C1E05"/>
    <w:rsid w:val="008C2488"/>
    <w:rsid w:val="008C2B7C"/>
    <w:rsid w:val="008C2DC8"/>
    <w:rsid w:val="008C34BB"/>
    <w:rsid w:val="008C38F1"/>
    <w:rsid w:val="008C45E2"/>
    <w:rsid w:val="008C4F47"/>
    <w:rsid w:val="008C5116"/>
    <w:rsid w:val="008C5AAC"/>
    <w:rsid w:val="008C5ABC"/>
    <w:rsid w:val="008C6E98"/>
    <w:rsid w:val="008C7287"/>
    <w:rsid w:val="008C7DD1"/>
    <w:rsid w:val="008D22F9"/>
    <w:rsid w:val="008D351C"/>
    <w:rsid w:val="008D3726"/>
    <w:rsid w:val="008D49C9"/>
    <w:rsid w:val="008D4C59"/>
    <w:rsid w:val="008D4CB0"/>
    <w:rsid w:val="008D4ED4"/>
    <w:rsid w:val="008D58B1"/>
    <w:rsid w:val="008D6397"/>
    <w:rsid w:val="008D73C9"/>
    <w:rsid w:val="008D7ED6"/>
    <w:rsid w:val="008E03CF"/>
    <w:rsid w:val="008E0A94"/>
    <w:rsid w:val="008E16BF"/>
    <w:rsid w:val="008E2BE3"/>
    <w:rsid w:val="008E3049"/>
    <w:rsid w:val="008E35A3"/>
    <w:rsid w:val="008E392A"/>
    <w:rsid w:val="008E407B"/>
    <w:rsid w:val="008E45CE"/>
    <w:rsid w:val="008E5AB5"/>
    <w:rsid w:val="008E7194"/>
    <w:rsid w:val="008E7274"/>
    <w:rsid w:val="008E75B1"/>
    <w:rsid w:val="008E7CB2"/>
    <w:rsid w:val="008F04BC"/>
    <w:rsid w:val="008F0562"/>
    <w:rsid w:val="008F1CC5"/>
    <w:rsid w:val="008F260B"/>
    <w:rsid w:val="008F2847"/>
    <w:rsid w:val="008F43CE"/>
    <w:rsid w:val="008F4684"/>
    <w:rsid w:val="008F4F4D"/>
    <w:rsid w:val="008F74C9"/>
    <w:rsid w:val="008F7715"/>
    <w:rsid w:val="009000F3"/>
    <w:rsid w:val="00900690"/>
    <w:rsid w:val="00901E9A"/>
    <w:rsid w:val="0090207D"/>
    <w:rsid w:val="00902AA3"/>
    <w:rsid w:val="00903680"/>
    <w:rsid w:val="00904D04"/>
    <w:rsid w:val="00904ED3"/>
    <w:rsid w:val="00906821"/>
    <w:rsid w:val="00906E65"/>
    <w:rsid w:val="00907609"/>
    <w:rsid w:val="00910713"/>
    <w:rsid w:val="00910AF7"/>
    <w:rsid w:val="009112B5"/>
    <w:rsid w:val="00911912"/>
    <w:rsid w:val="00911AC2"/>
    <w:rsid w:val="00911D75"/>
    <w:rsid w:val="009133A2"/>
    <w:rsid w:val="009139FA"/>
    <w:rsid w:val="00913AD6"/>
    <w:rsid w:val="00913DD2"/>
    <w:rsid w:val="009144D5"/>
    <w:rsid w:val="0091499D"/>
    <w:rsid w:val="00915F98"/>
    <w:rsid w:val="00915FA3"/>
    <w:rsid w:val="00920DED"/>
    <w:rsid w:val="009217F8"/>
    <w:rsid w:val="009223F9"/>
    <w:rsid w:val="00923919"/>
    <w:rsid w:val="00923C62"/>
    <w:rsid w:val="0092470E"/>
    <w:rsid w:val="00925187"/>
    <w:rsid w:val="009266F9"/>
    <w:rsid w:val="0092709C"/>
    <w:rsid w:val="0092717F"/>
    <w:rsid w:val="00927744"/>
    <w:rsid w:val="009278FB"/>
    <w:rsid w:val="00927B05"/>
    <w:rsid w:val="00930F4E"/>
    <w:rsid w:val="00931E08"/>
    <w:rsid w:val="0093272D"/>
    <w:rsid w:val="00935191"/>
    <w:rsid w:val="00936062"/>
    <w:rsid w:val="00937644"/>
    <w:rsid w:val="00937CBE"/>
    <w:rsid w:val="00940130"/>
    <w:rsid w:val="00940A96"/>
    <w:rsid w:val="0094144C"/>
    <w:rsid w:val="009421C9"/>
    <w:rsid w:val="009424C4"/>
    <w:rsid w:val="009429DC"/>
    <w:rsid w:val="00942B57"/>
    <w:rsid w:val="009432CA"/>
    <w:rsid w:val="0094366A"/>
    <w:rsid w:val="00944087"/>
    <w:rsid w:val="00944E74"/>
    <w:rsid w:val="0094618B"/>
    <w:rsid w:val="00946488"/>
    <w:rsid w:val="00947616"/>
    <w:rsid w:val="0095012E"/>
    <w:rsid w:val="00951934"/>
    <w:rsid w:val="0095207B"/>
    <w:rsid w:val="009523FA"/>
    <w:rsid w:val="00952D24"/>
    <w:rsid w:val="00954609"/>
    <w:rsid w:val="0095475A"/>
    <w:rsid w:val="00954C8C"/>
    <w:rsid w:val="00956ACE"/>
    <w:rsid w:val="009572A0"/>
    <w:rsid w:val="00957D24"/>
    <w:rsid w:val="0096039D"/>
    <w:rsid w:val="00960DCF"/>
    <w:rsid w:val="00961B53"/>
    <w:rsid w:val="00961BBA"/>
    <w:rsid w:val="00961DFC"/>
    <w:rsid w:val="0096222C"/>
    <w:rsid w:val="009630E1"/>
    <w:rsid w:val="00963264"/>
    <w:rsid w:val="0096389D"/>
    <w:rsid w:val="00964592"/>
    <w:rsid w:val="00965B71"/>
    <w:rsid w:val="009676C0"/>
    <w:rsid w:val="00970383"/>
    <w:rsid w:val="00970EE5"/>
    <w:rsid w:val="00971A43"/>
    <w:rsid w:val="00972700"/>
    <w:rsid w:val="0097410E"/>
    <w:rsid w:val="00974DBD"/>
    <w:rsid w:val="00977544"/>
    <w:rsid w:val="00980334"/>
    <w:rsid w:val="009803A9"/>
    <w:rsid w:val="009803CB"/>
    <w:rsid w:val="009803D4"/>
    <w:rsid w:val="0098050E"/>
    <w:rsid w:val="009807A2"/>
    <w:rsid w:val="0098199C"/>
    <w:rsid w:val="009827EC"/>
    <w:rsid w:val="00982EC2"/>
    <w:rsid w:val="00983B06"/>
    <w:rsid w:val="009840F0"/>
    <w:rsid w:val="00984292"/>
    <w:rsid w:val="0098447C"/>
    <w:rsid w:val="009849CF"/>
    <w:rsid w:val="00984F9F"/>
    <w:rsid w:val="009859E8"/>
    <w:rsid w:val="00985EE7"/>
    <w:rsid w:val="00986316"/>
    <w:rsid w:val="00986F55"/>
    <w:rsid w:val="009873F3"/>
    <w:rsid w:val="00987DE0"/>
    <w:rsid w:val="0099088A"/>
    <w:rsid w:val="00990BBD"/>
    <w:rsid w:val="009923D3"/>
    <w:rsid w:val="009923EE"/>
    <w:rsid w:val="00992FC1"/>
    <w:rsid w:val="009931DF"/>
    <w:rsid w:val="009931E5"/>
    <w:rsid w:val="0099380D"/>
    <w:rsid w:val="00993D25"/>
    <w:rsid w:val="009940FF"/>
    <w:rsid w:val="00994A17"/>
    <w:rsid w:val="00994CC4"/>
    <w:rsid w:val="00995E98"/>
    <w:rsid w:val="00996F15"/>
    <w:rsid w:val="0099787C"/>
    <w:rsid w:val="00997BA8"/>
    <w:rsid w:val="009A0548"/>
    <w:rsid w:val="009A06F4"/>
    <w:rsid w:val="009A108E"/>
    <w:rsid w:val="009A17AF"/>
    <w:rsid w:val="009A2797"/>
    <w:rsid w:val="009A319B"/>
    <w:rsid w:val="009A3778"/>
    <w:rsid w:val="009A3E2E"/>
    <w:rsid w:val="009A4A1F"/>
    <w:rsid w:val="009A780A"/>
    <w:rsid w:val="009A7B33"/>
    <w:rsid w:val="009A7F34"/>
    <w:rsid w:val="009B1598"/>
    <w:rsid w:val="009B2245"/>
    <w:rsid w:val="009B2365"/>
    <w:rsid w:val="009B258E"/>
    <w:rsid w:val="009B2947"/>
    <w:rsid w:val="009B2B33"/>
    <w:rsid w:val="009B3A70"/>
    <w:rsid w:val="009B5997"/>
    <w:rsid w:val="009B6B23"/>
    <w:rsid w:val="009B7ABD"/>
    <w:rsid w:val="009C079A"/>
    <w:rsid w:val="009C1504"/>
    <w:rsid w:val="009C1D27"/>
    <w:rsid w:val="009C221C"/>
    <w:rsid w:val="009C3BD9"/>
    <w:rsid w:val="009C45E2"/>
    <w:rsid w:val="009C5B82"/>
    <w:rsid w:val="009C64D8"/>
    <w:rsid w:val="009C655E"/>
    <w:rsid w:val="009C744B"/>
    <w:rsid w:val="009C756E"/>
    <w:rsid w:val="009D0D31"/>
    <w:rsid w:val="009D180A"/>
    <w:rsid w:val="009D20D4"/>
    <w:rsid w:val="009D21BE"/>
    <w:rsid w:val="009D3C3D"/>
    <w:rsid w:val="009D4FD1"/>
    <w:rsid w:val="009D5288"/>
    <w:rsid w:val="009D6185"/>
    <w:rsid w:val="009D76BB"/>
    <w:rsid w:val="009E0555"/>
    <w:rsid w:val="009E07BD"/>
    <w:rsid w:val="009E0FF5"/>
    <w:rsid w:val="009E1D49"/>
    <w:rsid w:val="009E21E5"/>
    <w:rsid w:val="009E2AD3"/>
    <w:rsid w:val="009E3446"/>
    <w:rsid w:val="009E3582"/>
    <w:rsid w:val="009E47E5"/>
    <w:rsid w:val="009E66E3"/>
    <w:rsid w:val="009F0177"/>
    <w:rsid w:val="009F136D"/>
    <w:rsid w:val="009F146F"/>
    <w:rsid w:val="009F2D9C"/>
    <w:rsid w:val="009F3783"/>
    <w:rsid w:val="009F3C75"/>
    <w:rsid w:val="009F3ED6"/>
    <w:rsid w:val="009F6508"/>
    <w:rsid w:val="00A0037E"/>
    <w:rsid w:val="00A00B79"/>
    <w:rsid w:val="00A01303"/>
    <w:rsid w:val="00A020AA"/>
    <w:rsid w:val="00A02C4F"/>
    <w:rsid w:val="00A0321C"/>
    <w:rsid w:val="00A04A09"/>
    <w:rsid w:val="00A05317"/>
    <w:rsid w:val="00A053BD"/>
    <w:rsid w:val="00A05821"/>
    <w:rsid w:val="00A05D1D"/>
    <w:rsid w:val="00A05EA2"/>
    <w:rsid w:val="00A06345"/>
    <w:rsid w:val="00A076CC"/>
    <w:rsid w:val="00A07839"/>
    <w:rsid w:val="00A10C00"/>
    <w:rsid w:val="00A1165C"/>
    <w:rsid w:val="00A125D6"/>
    <w:rsid w:val="00A149B3"/>
    <w:rsid w:val="00A14E53"/>
    <w:rsid w:val="00A14F79"/>
    <w:rsid w:val="00A15580"/>
    <w:rsid w:val="00A15C29"/>
    <w:rsid w:val="00A16449"/>
    <w:rsid w:val="00A17826"/>
    <w:rsid w:val="00A20408"/>
    <w:rsid w:val="00A204F2"/>
    <w:rsid w:val="00A20C5A"/>
    <w:rsid w:val="00A20DC9"/>
    <w:rsid w:val="00A21167"/>
    <w:rsid w:val="00A21276"/>
    <w:rsid w:val="00A22EFC"/>
    <w:rsid w:val="00A236FB"/>
    <w:rsid w:val="00A23EEB"/>
    <w:rsid w:val="00A241A3"/>
    <w:rsid w:val="00A24F2F"/>
    <w:rsid w:val="00A25891"/>
    <w:rsid w:val="00A26355"/>
    <w:rsid w:val="00A26389"/>
    <w:rsid w:val="00A26EA8"/>
    <w:rsid w:val="00A2799D"/>
    <w:rsid w:val="00A303B8"/>
    <w:rsid w:val="00A3043E"/>
    <w:rsid w:val="00A3247B"/>
    <w:rsid w:val="00A32784"/>
    <w:rsid w:val="00A32941"/>
    <w:rsid w:val="00A32974"/>
    <w:rsid w:val="00A32E95"/>
    <w:rsid w:val="00A33B7F"/>
    <w:rsid w:val="00A34735"/>
    <w:rsid w:val="00A34E07"/>
    <w:rsid w:val="00A359B8"/>
    <w:rsid w:val="00A35F06"/>
    <w:rsid w:val="00A361C3"/>
    <w:rsid w:val="00A36929"/>
    <w:rsid w:val="00A4058B"/>
    <w:rsid w:val="00A40B79"/>
    <w:rsid w:val="00A41161"/>
    <w:rsid w:val="00A411FA"/>
    <w:rsid w:val="00A4274D"/>
    <w:rsid w:val="00A4365E"/>
    <w:rsid w:val="00A43755"/>
    <w:rsid w:val="00A44EC1"/>
    <w:rsid w:val="00A454B3"/>
    <w:rsid w:val="00A45E52"/>
    <w:rsid w:val="00A46295"/>
    <w:rsid w:val="00A46652"/>
    <w:rsid w:val="00A4673D"/>
    <w:rsid w:val="00A469E6"/>
    <w:rsid w:val="00A46B50"/>
    <w:rsid w:val="00A46D15"/>
    <w:rsid w:val="00A4713D"/>
    <w:rsid w:val="00A47AEA"/>
    <w:rsid w:val="00A50139"/>
    <w:rsid w:val="00A51D9F"/>
    <w:rsid w:val="00A5323B"/>
    <w:rsid w:val="00A54267"/>
    <w:rsid w:val="00A54FB4"/>
    <w:rsid w:val="00A558A3"/>
    <w:rsid w:val="00A56390"/>
    <w:rsid w:val="00A56CB2"/>
    <w:rsid w:val="00A56DE0"/>
    <w:rsid w:val="00A60A52"/>
    <w:rsid w:val="00A61595"/>
    <w:rsid w:val="00A61622"/>
    <w:rsid w:val="00A621A2"/>
    <w:rsid w:val="00A6275D"/>
    <w:rsid w:val="00A63C18"/>
    <w:rsid w:val="00A647D5"/>
    <w:rsid w:val="00A64955"/>
    <w:rsid w:val="00A64E95"/>
    <w:rsid w:val="00A655E7"/>
    <w:rsid w:val="00A657EF"/>
    <w:rsid w:val="00A66191"/>
    <w:rsid w:val="00A662DC"/>
    <w:rsid w:val="00A66328"/>
    <w:rsid w:val="00A66B23"/>
    <w:rsid w:val="00A66FAA"/>
    <w:rsid w:val="00A6741B"/>
    <w:rsid w:val="00A7255D"/>
    <w:rsid w:val="00A736EF"/>
    <w:rsid w:val="00A7414D"/>
    <w:rsid w:val="00A74226"/>
    <w:rsid w:val="00A757B0"/>
    <w:rsid w:val="00A776A4"/>
    <w:rsid w:val="00A803C9"/>
    <w:rsid w:val="00A8049D"/>
    <w:rsid w:val="00A815AE"/>
    <w:rsid w:val="00A81FAC"/>
    <w:rsid w:val="00A822C2"/>
    <w:rsid w:val="00A82707"/>
    <w:rsid w:val="00A82899"/>
    <w:rsid w:val="00A82990"/>
    <w:rsid w:val="00A83491"/>
    <w:rsid w:val="00A83B33"/>
    <w:rsid w:val="00A84BF9"/>
    <w:rsid w:val="00A85679"/>
    <w:rsid w:val="00A86244"/>
    <w:rsid w:val="00A86B32"/>
    <w:rsid w:val="00A86CAB"/>
    <w:rsid w:val="00A87657"/>
    <w:rsid w:val="00A87D8B"/>
    <w:rsid w:val="00A90401"/>
    <w:rsid w:val="00A919F1"/>
    <w:rsid w:val="00A921E3"/>
    <w:rsid w:val="00A924F2"/>
    <w:rsid w:val="00A94721"/>
    <w:rsid w:val="00A94D20"/>
    <w:rsid w:val="00A9752B"/>
    <w:rsid w:val="00A9768C"/>
    <w:rsid w:val="00A97BD7"/>
    <w:rsid w:val="00AA1AA8"/>
    <w:rsid w:val="00AA20AB"/>
    <w:rsid w:val="00AA2461"/>
    <w:rsid w:val="00AA2574"/>
    <w:rsid w:val="00AA2865"/>
    <w:rsid w:val="00AA2BDC"/>
    <w:rsid w:val="00AA33CB"/>
    <w:rsid w:val="00AA3A9B"/>
    <w:rsid w:val="00AA3BF1"/>
    <w:rsid w:val="00AA523C"/>
    <w:rsid w:val="00AA5410"/>
    <w:rsid w:val="00AA7407"/>
    <w:rsid w:val="00AA7596"/>
    <w:rsid w:val="00AA76A4"/>
    <w:rsid w:val="00AB042E"/>
    <w:rsid w:val="00AB073A"/>
    <w:rsid w:val="00AB0E06"/>
    <w:rsid w:val="00AB21C6"/>
    <w:rsid w:val="00AB2841"/>
    <w:rsid w:val="00AB3676"/>
    <w:rsid w:val="00AB4B98"/>
    <w:rsid w:val="00AB53DE"/>
    <w:rsid w:val="00AB5B03"/>
    <w:rsid w:val="00AB6200"/>
    <w:rsid w:val="00AB6E6C"/>
    <w:rsid w:val="00AC07BD"/>
    <w:rsid w:val="00AC29C3"/>
    <w:rsid w:val="00AC313F"/>
    <w:rsid w:val="00AC3C45"/>
    <w:rsid w:val="00AC6C28"/>
    <w:rsid w:val="00AC6CA0"/>
    <w:rsid w:val="00AC6DA5"/>
    <w:rsid w:val="00AC6F7D"/>
    <w:rsid w:val="00AC720A"/>
    <w:rsid w:val="00AC77D5"/>
    <w:rsid w:val="00AC7C3B"/>
    <w:rsid w:val="00AD02EC"/>
    <w:rsid w:val="00AD096B"/>
    <w:rsid w:val="00AD19AB"/>
    <w:rsid w:val="00AD2BCF"/>
    <w:rsid w:val="00AD32B6"/>
    <w:rsid w:val="00AD3E0D"/>
    <w:rsid w:val="00AD47EF"/>
    <w:rsid w:val="00AD4ABE"/>
    <w:rsid w:val="00AD54CD"/>
    <w:rsid w:val="00AD5965"/>
    <w:rsid w:val="00AD5966"/>
    <w:rsid w:val="00AD60EA"/>
    <w:rsid w:val="00AD6709"/>
    <w:rsid w:val="00AD67D4"/>
    <w:rsid w:val="00AE06D6"/>
    <w:rsid w:val="00AE15C0"/>
    <w:rsid w:val="00AE2266"/>
    <w:rsid w:val="00AE2DE9"/>
    <w:rsid w:val="00AE4331"/>
    <w:rsid w:val="00AE5C42"/>
    <w:rsid w:val="00AE6120"/>
    <w:rsid w:val="00AE614D"/>
    <w:rsid w:val="00AE7849"/>
    <w:rsid w:val="00AE7977"/>
    <w:rsid w:val="00AE7EDE"/>
    <w:rsid w:val="00AF0732"/>
    <w:rsid w:val="00AF1AA6"/>
    <w:rsid w:val="00AF1F10"/>
    <w:rsid w:val="00AF33ED"/>
    <w:rsid w:val="00AF3510"/>
    <w:rsid w:val="00AF3D39"/>
    <w:rsid w:val="00AF497B"/>
    <w:rsid w:val="00AF57AE"/>
    <w:rsid w:val="00AF6A4C"/>
    <w:rsid w:val="00AF6C6A"/>
    <w:rsid w:val="00AF6C90"/>
    <w:rsid w:val="00B0173F"/>
    <w:rsid w:val="00B01E44"/>
    <w:rsid w:val="00B02183"/>
    <w:rsid w:val="00B02D2D"/>
    <w:rsid w:val="00B03F6D"/>
    <w:rsid w:val="00B0461B"/>
    <w:rsid w:val="00B047C2"/>
    <w:rsid w:val="00B04CB1"/>
    <w:rsid w:val="00B04CDA"/>
    <w:rsid w:val="00B05635"/>
    <w:rsid w:val="00B05DA6"/>
    <w:rsid w:val="00B0616C"/>
    <w:rsid w:val="00B07620"/>
    <w:rsid w:val="00B10BB0"/>
    <w:rsid w:val="00B10C27"/>
    <w:rsid w:val="00B11CD4"/>
    <w:rsid w:val="00B1314F"/>
    <w:rsid w:val="00B131C9"/>
    <w:rsid w:val="00B135E7"/>
    <w:rsid w:val="00B14FBE"/>
    <w:rsid w:val="00B151CF"/>
    <w:rsid w:val="00B15E5C"/>
    <w:rsid w:val="00B162FB"/>
    <w:rsid w:val="00B17CA2"/>
    <w:rsid w:val="00B20445"/>
    <w:rsid w:val="00B22D2F"/>
    <w:rsid w:val="00B24691"/>
    <w:rsid w:val="00B247AD"/>
    <w:rsid w:val="00B25D05"/>
    <w:rsid w:val="00B26622"/>
    <w:rsid w:val="00B26669"/>
    <w:rsid w:val="00B26E05"/>
    <w:rsid w:val="00B276B4"/>
    <w:rsid w:val="00B27795"/>
    <w:rsid w:val="00B303F6"/>
    <w:rsid w:val="00B307B7"/>
    <w:rsid w:val="00B30F52"/>
    <w:rsid w:val="00B31E79"/>
    <w:rsid w:val="00B32EFB"/>
    <w:rsid w:val="00B33D2E"/>
    <w:rsid w:val="00B33E6F"/>
    <w:rsid w:val="00B35660"/>
    <w:rsid w:val="00B35B31"/>
    <w:rsid w:val="00B36028"/>
    <w:rsid w:val="00B366F6"/>
    <w:rsid w:val="00B37A26"/>
    <w:rsid w:val="00B40064"/>
    <w:rsid w:val="00B40C54"/>
    <w:rsid w:val="00B423D1"/>
    <w:rsid w:val="00B42CAE"/>
    <w:rsid w:val="00B430F7"/>
    <w:rsid w:val="00B4310C"/>
    <w:rsid w:val="00B43671"/>
    <w:rsid w:val="00B44942"/>
    <w:rsid w:val="00B44EE2"/>
    <w:rsid w:val="00B46500"/>
    <w:rsid w:val="00B47E1E"/>
    <w:rsid w:val="00B50A44"/>
    <w:rsid w:val="00B50A67"/>
    <w:rsid w:val="00B518E6"/>
    <w:rsid w:val="00B522F3"/>
    <w:rsid w:val="00B5253E"/>
    <w:rsid w:val="00B52F25"/>
    <w:rsid w:val="00B53649"/>
    <w:rsid w:val="00B53B30"/>
    <w:rsid w:val="00B55524"/>
    <w:rsid w:val="00B55BB0"/>
    <w:rsid w:val="00B56DC6"/>
    <w:rsid w:val="00B575BF"/>
    <w:rsid w:val="00B60179"/>
    <w:rsid w:val="00B605CC"/>
    <w:rsid w:val="00B60B73"/>
    <w:rsid w:val="00B61185"/>
    <w:rsid w:val="00B612EA"/>
    <w:rsid w:val="00B6181F"/>
    <w:rsid w:val="00B6196E"/>
    <w:rsid w:val="00B61C66"/>
    <w:rsid w:val="00B62080"/>
    <w:rsid w:val="00B62604"/>
    <w:rsid w:val="00B62DF2"/>
    <w:rsid w:val="00B66A87"/>
    <w:rsid w:val="00B704C8"/>
    <w:rsid w:val="00B708CB"/>
    <w:rsid w:val="00B70D2A"/>
    <w:rsid w:val="00B712D0"/>
    <w:rsid w:val="00B72393"/>
    <w:rsid w:val="00B73B6E"/>
    <w:rsid w:val="00B73C9E"/>
    <w:rsid w:val="00B74024"/>
    <w:rsid w:val="00B757E5"/>
    <w:rsid w:val="00B7720E"/>
    <w:rsid w:val="00B777BB"/>
    <w:rsid w:val="00B80211"/>
    <w:rsid w:val="00B81786"/>
    <w:rsid w:val="00B81BEA"/>
    <w:rsid w:val="00B81F38"/>
    <w:rsid w:val="00B82312"/>
    <w:rsid w:val="00B82708"/>
    <w:rsid w:val="00B83B62"/>
    <w:rsid w:val="00B8535F"/>
    <w:rsid w:val="00B85B24"/>
    <w:rsid w:val="00B86680"/>
    <w:rsid w:val="00B878CD"/>
    <w:rsid w:val="00B91CB1"/>
    <w:rsid w:val="00B92485"/>
    <w:rsid w:val="00B9249B"/>
    <w:rsid w:val="00B92F53"/>
    <w:rsid w:val="00B939FA"/>
    <w:rsid w:val="00B93AB7"/>
    <w:rsid w:val="00B9536C"/>
    <w:rsid w:val="00B9552E"/>
    <w:rsid w:val="00B9602D"/>
    <w:rsid w:val="00B96730"/>
    <w:rsid w:val="00B97EDA"/>
    <w:rsid w:val="00BA1FFB"/>
    <w:rsid w:val="00BA2B3F"/>
    <w:rsid w:val="00BA4E45"/>
    <w:rsid w:val="00BA4FF2"/>
    <w:rsid w:val="00BA59FB"/>
    <w:rsid w:val="00BA6273"/>
    <w:rsid w:val="00BB0766"/>
    <w:rsid w:val="00BB14A3"/>
    <w:rsid w:val="00BB2785"/>
    <w:rsid w:val="00BB2A85"/>
    <w:rsid w:val="00BB2F06"/>
    <w:rsid w:val="00BB3C42"/>
    <w:rsid w:val="00BB3CEC"/>
    <w:rsid w:val="00BB47AD"/>
    <w:rsid w:val="00BB5446"/>
    <w:rsid w:val="00BB5557"/>
    <w:rsid w:val="00BB71D2"/>
    <w:rsid w:val="00BC035D"/>
    <w:rsid w:val="00BC0486"/>
    <w:rsid w:val="00BC0984"/>
    <w:rsid w:val="00BC0D5D"/>
    <w:rsid w:val="00BC15DE"/>
    <w:rsid w:val="00BC17C8"/>
    <w:rsid w:val="00BC19C4"/>
    <w:rsid w:val="00BC1D5B"/>
    <w:rsid w:val="00BC25DF"/>
    <w:rsid w:val="00BC2B3D"/>
    <w:rsid w:val="00BC369C"/>
    <w:rsid w:val="00BC4972"/>
    <w:rsid w:val="00BC51DF"/>
    <w:rsid w:val="00BC6897"/>
    <w:rsid w:val="00BC7543"/>
    <w:rsid w:val="00BD1603"/>
    <w:rsid w:val="00BD1B8D"/>
    <w:rsid w:val="00BD24E7"/>
    <w:rsid w:val="00BD2B8D"/>
    <w:rsid w:val="00BD2EA2"/>
    <w:rsid w:val="00BD33D4"/>
    <w:rsid w:val="00BD40B1"/>
    <w:rsid w:val="00BD4D8E"/>
    <w:rsid w:val="00BD5E42"/>
    <w:rsid w:val="00BD601B"/>
    <w:rsid w:val="00BD606F"/>
    <w:rsid w:val="00BD6322"/>
    <w:rsid w:val="00BD7960"/>
    <w:rsid w:val="00BE07A7"/>
    <w:rsid w:val="00BE1FB9"/>
    <w:rsid w:val="00BE26E5"/>
    <w:rsid w:val="00BE2C06"/>
    <w:rsid w:val="00BE376D"/>
    <w:rsid w:val="00BE3FC7"/>
    <w:rsid w:val="00BE47BF"/>
    <w:rsid w:val="00BE4A0C"/>
    <w:rsid w:val="00BE5374"/>
    <w:rsid w:val="00BE54BB"/>
    <w:rsid w:val="00BE5AA9"/>
    <w:rsid w:val="00BE627A"/>
    <w:rsid w:val="00BE6801"/>
    <w:rsid w:val="00BE6CE8"/>
    <w:rsid w:val="00BF164E"/>
    <w:rsid w:val="00BF1B75"/>
    <w:rsid w:val="00BF21A5"/>
    <w:rsid w:val="00BF28D5"/>
    <w:rsid w:val="00BF31EA"/>
    <w:rsid w:val="00BF38F7"/>
    <w:rsid w:val="00BF3F52"/>
    <w:rsid w:val="00BF55EB"/>
    <w:rsid w:val="00BF5700"/>
    <w:rsid w:val="00BF5E77"/>
    <w:rsid w:val="00BF662E"/>
    <w:rsid w:val="00BF6FC5"/>
    <w:rsid w:val="00BF7227"/>
    <w:rsid w:val="00BF730F"/>
    <w:rsid w:val="00BF75EF"/>
    <w:rsid w:val="00BF7C54"/>
    <w:rsid w:val="00BF7F61"/>
    <w:rsid w:val="00C003E4"/>
    <w:rsid w:val="00C00FAB"/>
    <w:rsid w:val="00C01110"/>
    <w:rsid w:val="00C01D5F"/>
    <w:rsid w:val="00C0345A"/>
    <w:rsid w:val="00C03511"/>
    <w:rsid w:val="00C03A84"/>
    <w:rsid w:val="00C03C99"/>
    <w:rsid w:val="00C03DB1"/>
    <w:rsid w:val="00C040F3"/>
    <w:rsid w:val="00C04C3A"/>
    <w:rsid w:val="00C05700"/>
    <w:rsid w:val="00C074CD"/>
    <w:rsid w:val="00C107C3"/>
    <w:rsid w:val="00C118C9"/>
    <w:rsid w:val="00C13520"/>
    <w:rsid w:val="00C14099"/>
    <w:rsid w:val="00C14322"/>
    <w:rsid w:val="00C14744"/>
    <w:rsid w:val="00C14F9B"/>
    <w:rsid w:val="00C14FAB"/>
    <w:rsid w:val="00C15F42"/>
    <w:rsid w:val="00C1610B"/>
    <w:rsid w:val="00C1611D"/>
    <w:rsid w:val="00C16A39"/>
    <w:rsid w:val="00C16C9A"/>
    <w:rsid w:val="00C175E4"/>
    <w:rsid w:val="00C219C3"/>
    <w:rsid w:val="00C22DAF"/>
    <w:rsid w:val="00C232E0"/>
    <w:rsid w:val="00C23E91"/>
    <w:rsid w:val="00C24B5E"/>
    <w:rsid w:val="00C2534F"/>
    <w:rsid w:val="00C26814"/>
    <w:rsid w:val="00C30058"/>
    <w:rsid w:val="00C305A5"/>
    <w:rsid w:val="00C317A2"/>
    <w:rsid w:val="00C31BB1"/>
    <w:rsid w:val="00C33B2C"/>
    <w:rsid w:val="00C33E57"/>
    <w:rsid w:val="00C34178"/>
    <w:rsid w:val="00C343FC"/>
    <w:rsid w:val="00C364A2"/>
    <w:rsid w:val="00C3651F"/>
    <w:rsid w:val="00C36633"/>
    <w:rsid w:val="00C36E9D"/>
    <w:rsid w:val="00C36F80"/>
    <w:rsid w:val="00C375D9"/>
    <w:rsid w:val="00C37C86"/>
    <w:rsid w:val="00C412B1"/>
    <w:rsid w:val="00C42128"/>
    <w:rsid w:val="00C422F2"/>
    <w:rsid w:val="00C42A47"/>
    <w:rsid w:val="00C4306A"/>
    <w:rsid w:val="00C43345"/>
    <w:rsid w:val="00C43FE7"/>
    <w:rsid w:val="00C4436C"/>
    <w:rsid w:val="00C45587"/>
    <w:rsid w:val="00C461B2"/>
    <w:rsid w:val="00C47C8E"/>
    <w:rsid w:val="00C50E74"/>
    <w:rsid w:val="00C52FD1"/>
    <w:rsid w:val="00C5359B"/>
    <w:rsid w:val="00C53AF7"/>
    <w:rsid w:val="00C54787"/>
    <w:rsid w:val="00C54839"/>
    <w:rsid w:val="00C554B5"/>
    <w:rsid w:val="00C554CF"/>
    <w:rsid w:val="00C56308"/>
    <w:rsid w:val="00C56E73"/>
    <w:rsid w:val="00C56EF2"/>
    <w:rsid w:val="00C570A6"/>
    <w:rsid w:val="00C57129"/>
    <w:rsid w:val="00C579F3"/>
    <w:rsid w:val="00C600B3"/>
    <w:rsid w:val="00C60DE1"/>
    <w:rsid w:val="00C61464"/>
    <w:rsid w:val="00C616C0"/>
    <w:rsid w:val="00C621AC"/>
    <w:rsid w:val="00C6353A"/>
    <w:rsid w:val="00C6420D"/>
    <w:rsid w:val="00C648DD"/>
    <w:rsid w:val="00C65039"/>
    <w:rsid w:val="00C65F21"/>
    <w:rsid w:val="00C66231"/>
    <w:rsid w:val="00C66FDD"/>
    <w:rsid w:val="00C67B5D"/>
    <w:rsid w:val="00C67E8E"/>
    <w:rsid w:val="00C707CB"/>
    <w:rsid w:val="00C72177"/>
    <w:rsid w:val="00C73E5D"/>
    <w:rsid w:val="00C74324"/>
    <w:rsid w:val="00C744D1"/>
    <w:rsid w:val="00C749F8"/>
    <w:rsid w:val="00C74B8C"/>
    <w:rsid w:val="00C75F3A"/>
    <w:rsid w:val="00C760C2"/>
    <w:rsid w:val="00C7688A"/>
    <w:rsid w:val="00C7741F"/>
    <w:rsid w:val="00C800C4"/>
    <w:rsid w:val="00C80ED9"/>
    <w:rsid w:val="00C8268F"/>
    <w:rsid w:val="00C82F06"/>
    <w:rsid w:val="00C83535"/>
    <w:rsid w:val="00C836C7"/>
    <w:rsid w:val="00C83D84"/>
    <w:rsid w:val="00C8404A"/>
    <w:rsid w:val="00C85290"/>
    <w:rsid w:val="00C87436"/>
    <w:rsid w:val="00C90833"/>
    <w:rsid w:val="00C908DC"/>
    <w:rsid w:val="00C91651"/>
    <w:rsid w:val="00C917A4"/>
    <w:rsid w:val="00C922A2"/>
    <w:rsid w:val="00C92754"/>
    <w:rsid w:val="00C935F3"/>
    <w:rsid w:val="00C9608E"/>
    <w:rsid w:val="00C9724D"/>
    <w:rsid w:val="00C978F6"/>
    <w:rsid w:val="00C97CEE"/>
    <w:rsid w:val="00CA0A62"/>
    <w:rsid w:val="00CA1342"/>
    <w:rsid w:val="00CA1987"/>
    <w:rsid w:val="00CA26EA"/>
    <w:rsid w:val="00CA2FB2"/>
    <w:rsid w:val="00CA3153"/>
    <w:rsid w:val="00CA336F"/>
    <w:rsid w:val="00CA39A1"/>
    <w:rsid w:val="00CA3B30"/>
    <w:rsid w:val="00CA3D3A"/>
    <w:rsid w:val="00CA42D6"/>
    <w:rsid w:val="00CA48E5"/>
    <w:rsid w:val="00CA4CB5"/>
    <w:rsid w:val="00CA50F3"/>
    <w:rsid w:val="00CA528A"/>
    <w:rsid w:val="00CA5680"/>
    <w:rsid w:val="00CA75E0"/>
    <w:rsid w:val="00CB15E9"/>
    <w:rsid w:val="00CB1B2A"/>
    <w:rsid w:val="00CB2403"/>
    <w:rsid w:val="00CB2BD5"/>
    <w:rsid w:val="00CB3BC3"/>
    <w:rsid w:val="00CB3F5B"/>
    <w:rsid w:val="00CB58C2"/>
    <w:rsid w:val="00CB58E9"/>
    <w:rsid w:val="00CB5C55"/>
    <w:rsid w:val="00CB5D59"/>
    <w:rsid w:val="00CB5FB9"/>
    <w:rsid w:val="00CB69CD"/>
    <w:rsid w:val="00CC0060"/>
    <w:rsid w:val="00CC05A7"/>
    <w:rsid w:val="00CC0AA5"/>
    <w:rsid w:val="00CC0D79"/>
    <w:rsid w:val="00CC17FC"/>
    <w:rsid w:val="00CC1A7B"/>
    <w:rsid w:val="00CC1D1A"/>
    <w:rsid w:val="00CC4F99"/>
    <w:rsid w:val="00CC5956"/>
    <w:rsid w:val="00CC6260"/>
    <w:rsid w:val="00CC6AAA"/>
    <w:rsid w:val="00CC7157"/>
    <w:rsid w:val="00CD06DD"/>
    <w:rsid w:val="00CD1404"/>
    <w:rsid w:val="00CD1BD1"/>
    <w:rsid w:val="00CD261C"/>
    <w:rsid w:val="00CD2B57"/>
    <w:rsid w:val="00CD33A5"/>
    <w:rsid w:val="00CD4C93"/>
    <w:rsid w:val="00CD4F02"/>
    <w:rsid w:val="00CD52D8"/>
    <w:rsid w:val="00CD5B20"/>
    <w:rsid w:val="00CD6BF9"/>
    <w:rsid w:val="00CD7980"/>
    <w:rsid w:val="00CD7CD8"/>
    <w:rsid w:val="00CE1701"/>
    <w:rsid w:val="00CE1871"/>
    <w:rsid w:val="00CE28E3"/>
    <w:rsid w:val="00CE38A6"/>
    <w:rsid w:val="00CE4D9C"/>
    <w:rsid w:val="00CE598D"/>
    <w:rsid w:val="00CE5AEA"/>
    <w:rsid w:val="00CE5D63"/>
    <w:rsid w:val="00CE5DA3"/>
    <w:rsid w:val="00CE748C"/>
    <w:rsid w:val="00CF12F1"/>
    <w:rsid w:val="00CF1A2D"/>
    <w:rsid w:val="00CF1BEE"/>
    <w:rsid w:val="00CF2913"/>
    <w:rsid w:val="00CF439F"/>
    <w:rsid w:val="00CF6926"/>
    <w:rsid w:val="00CF6E1D"/>
    <w:rsid w:val="00CF7120"/>
    <w:rsid w:val="00CF724C"/>
    <w:rsid w:val="00D001B4"/>
    <w:rsid w:val="00D003B7"/>
    <w:rsid w:val="00D00E36"/>
    <w:rsid w:val="00D01808"/>
    <w:rsid w:val="00D02F4F"/>
    <w:rsid w:val="00D03707"/>
    <w:rsid w:val="00D03789"/>
    <w:rsid w:val="00D0439D"/>
    <w:rsid w:val="00D04CB3"/>
    <w:rsid w:val="00D04FD3"/>
    <w:rsid w:val="00D051B5"/>
    <w:rsid w:val="00D056A7"/>
    <w:rsid w:val="00D05FC6"/>
    <w:rsid w:val="00D06CD0"/>
    <w:rsid w:val="00D104DE"/>
    <w:rsid w:val="00D113B1"/>
    <w:rsid w:val="00D11C73"/>
    <w:rsid w:val="00D1404A"/>
    <w:rsid w:val="00D14E59"/>
    <w:rsid w:val="00D14F69"/>
    <w:rsid w:val="00D159A9"/>
    <w:rsid w:val="00D162D5"/>
    <w:rsid w:val="00D169DB"/>
    <w:rsid w:val="00D16C82"/>
    <w:rsid w:val="00D172A9"/>
    <w:rsid w:val="00D17A27"/>
    <w:rsid w:val="00D20031"/>
    <w:rsid w:val="00D210D0"/>
    <w:rsid w:val="00D211F9"/>
    <w:rsid w:val="00D22D1B"/>
    <w:rsid w:val="00D2549E"/>
    <w:rsid w:val="00D26BED"/>
    <w:rsid w:val="00D26D01"/>
    <w:rsid w:val="00D27F29"/>
    <w:rsid w:val="00D313B3"/>
    <w:rsid w:val="00D3205F"/>
    <w:rsid w:val="00D3292B"/>
    <w:rsid w:val="00D33F02"/>
    <w:rsid w:val="00D33FF9"/>
    <w:rsid w:val="00D34798"/>
    <w:rsid w:val="00D3555D"/>
    <w:rsid w:val="00D358F7"/>
    <w:rsid w:val="00D35D54"/>
    <w:rsid w:val="00D36376"/>
    <w:rsid w:val="00D36619"/>
    <w:rsid w:val="00D36E67"/>
    <w:rsid w:val="00D37177"/>
    <w:rsid w:val="00D37D5B"/>
    <w:rsid w:val="00D37EF5"/>
    <w:rsid w:val="00D4116C"/>
    <w:rsid w:val="00D411DA"/>
    <w:rsid w:val="00D412CD"/>
    <w:rsid w:val="00D419C9"/>
    <w:rsid w:val="00D42370"/>
    <w:rsid w:val="00D428B9"/>
    <w:rsid w:val="00D43246"/>
    <w:rsid w:val="00D4443D"/>
    <w:rsid w:val="00D45750"/>
    <w:rsid w:val="00D457EA"/>
    <w:rsid w:val="00D45C42"/>
    <w:rsid w:val="00D46DF1"/>
    <w:rsid w:val="00D46F08"/>
    <w:rsid w:val="00D47120"/>
    <w:rsid w:val="00D47378"/>
    <w:rsid w:val="00D47B22"/>
    <w:rsid w:val="00D50362"/>
    <w:rsid w:val="00D52401"/>
    <w:rsid w:val="00D52E54"/>
    <w:rsid w:val="00D52FF5"/>
    <w:rsid w:val="00D55BB8"/>
    <w:rsid w:val="00D56A91"/>
    <w:rsid w:val="00D56DFA"/>
    <w:rsid w:val="00D608E4"/>
    <w:rsid w:val="00D60C6E"/>
    <w:rsid w:val="00D60E22"/>
    <w:rsid w:val="00D61302"/>
    <w:rsid w:val="00D618BC"/>
    <w:rsid w:val="00D62F4D"/>
    <w:rsid w:val="00D63A9B"/>
    <w:rsid w:val="00D64569"/>
    <w:rsid w:val="00D64906"/>
    <w:rsid w:val="00D652D9"/>
    <w:rsid w:val="00D6537F"/>
    <w:rsid w:val="00D654B3"/>
    <w:rsid w:val="00D65D80"/>
    <w:rsid w:val="00D66E5F"/>
    <w:rsid w:val="00D6724E"/>
    <w:rsid w:val="00D70D80"/>
    <w:rsid w:val="00D70DDA"/>
    <w:rsid w:val="00D71579"/>
    <w:rsid w:val="00D71A93"/>
    <w:rsid w:val="00D736D8"/>
    <w:rsid w:val="00D73AD9"/>
    <w:rsid w:val="00D74257"/>
    <w:rsid w:val="00D74E67"/>
    <w:rsid w:val="00D759B3"/>
    <w:rsid w:val="00D76134"/>
    <w:rsid w:val="00D77B20"/>
    <w:rsid w:val="00D80C29"/>
    <w:rsid w:val="00D8316D"/>
    <w:rsid w:val="00D8375B"/>
    <w:rsid w:val="00D83B51"/>
    <w:rsid w:val="00D83F8E"/>
    <w:rsid w:val="00D842C3"/>
    <w:rsid w:val="00D84ECA"/>
    <w:rsid w:val="00D8525E"/>
    <w:rsid w:val="00D857F9"/>
    <w:rsid w:val="00D85971"/>
    <w:rsid w:val="00D87D68"/>
    <w:rsid w:val="00D9041B"/>
    <w:rsid w:val="00D90509"/>
    <w:rsid w:val="00D9061A"/>
    <w:rsid w:val="00D90DBB"/>
    <w:rsid w:val="00D9141D"/>
    <w:rsid w:val="00D91B7B"/>
    <w:rsid w:val="00D91D70"/>
    <w:rsid w:val="00D92356"/>
    <w:rsid w:val="00D92EFA"/>
    <w:rsid w:val="00D93008"/>
    <w:rsid w:val="00D936E2"/>
    <w:rsid w:val="00D946C9"/>
    <w:rsid w:val="00D94CF3"/>
    <w:rsid w:val="00D967A8"/>
    <w:rsid w:val="00D97635"/>
    <w:rsid w:val="00DA058E"/>
    <w:rsid w:val="00DA0F47"/>
    <w:rsid w:val="00DA17E6"/>
    <w:rsid w:val="00DA3BF3"/>
    <w:rsid w:val="00DA4785"/>
    <w:rsid w:val="00DA47D4"/>
    <w:rsid w:val="00DA4B75"/>
    <w:rsid w:val="00DA512C"/>
    <w:rsid w:val="00DA6765"/>
    <w:rsid w:val="00DA719C"/>
    <w:rsid w:val="00DA7424"/>
    <w:rsid w:val="00DA772E"/>
    <w:rsid w:val="00DB003C"/>
    <w:rsid w:val="00DB0B36"/>
    <w:rsid w:val="00DB1E91"/>
    <w:rsid w:val="00DB32A6"/>
    <w:rsid w:val="00DB34CF"/>
    <w:rsid w:val="00DB3967"/>
    <w:rsid w:val="00DB4262"/>
    <w:rsid w:val="00DB43DC"/>
    <w:rsid w:val="00DB4410"/>
    <w:rsid w:val="00DB4606"/>
    <w:rsid w:val="00DB4EB9"/>
    <w:rsid w:val="00DB5117"/>
    <w:rsid w:val="00DB6031"/>
    <w:rsid w:val="00DB64B3"/>
    <w:rsid w:val="00DB664A"/>
    <w:rsid w:val="00DB7463"/>
    <w:rsid w:val="00DB7BFA"/>
    <w:rsid w:val="00DC0775"/>
    <w:rsid w:val="00DC0787"/>
    <w:rsid w:val="00DC13FE"/>
    <w:rsid w:val="00DC14AF"/>
    <w:rsid w:val="00DC1720"/>
    <w:rsid w:val="00DC2D15"/>
    <w:rsid w:val="00DC3633"/>
    <w:rsid w:val="00DC36FD"/>
    <w:rsid w:val="00DC384E"/>
    <w:rsid w:val="00DC3C4D"/>
    <w:rsid w:val="00DC4108"/>
    <w:rsid w:val="00DC4EC7"/>
    <w:rsid w:val="00DC4F64"/>
    <w:rsid w:val="00DC50C5"/>
    <w:rsid w:val="00DC52E1"/>
    <w:rsid w:val="00DC5D8F"/>
    <w:rsid w:val="00DC64A7"/>
    <w:rsid w:val="00DC6C52"/>
    <w:rsid w:val="00DC7E0B"/>
    <w:rsid w:val="00DD0953"/>
    <w:rsid w:val="00DD0BDA"/>
    <w:rsid w:val="00DD0D5F"/>
    <w:rsid w:val="00DD16BF"/>
    <w:rsid w:val="00DD1A95"/>
    <w:rsid w:val="00DD2963"/>
    <w:rsid w:val="00DD2C81"/>
    <w:rsid w:val="00DD453D"/>
    <w:rsid w:val="00DD4E5A"/>
    <w:rsid w:val="00DE0104"/>
    <w:rsid w:val="00DE2496"/>
    <w:rsid w:val="00DE3070"/>
    <w:rsid w:val="00DE3E9B"/>
    <w:rsid w:val="00DE4AFE"/>
    <w:rsid w:val="00DE7099"/>
    <w:rsid w:val="00DF0FAA"/>
    <w:rsid w:val="00DF19AA"/>
    <w:rsid w:val="00DF2BFD"/>
    <w:rsid w:val="00DF341B"/>
    <w:rsid w:val="00DF37F4"/>
    <w:rsid w:val="00DF39E9"/>
    <w:rsid w:val="00DF3BB0"/>
    <w:rsid w:val="00DF3DAF"/>
    <w:rsid w:val="00DF3FAB"/>
    <w:rsid w:val="00DF431B"/>
    <w:rsid w:val="00DF4C9D"/>
    <w:rsid w:val="00DF5E9E"/>
    <w:rsid w:val="00DF74D9"/>
    <w:rsid w:val="00E00665"/>
    <w:rsid w:val="00E009B0"/>
    <w:rsid w:val="00E01B33"/>
    <w:rsid w:val="00E0360B"/>
    <w:rsid w:val="00E0396F"/>
    <w:rsid w:val="00E03A96"/>
    <w:rsid w:val="00E054DB"/>
    <w:rsid w:val="00E05B8D"/>
    <w:rsid w:val="00E05D56"/>
    <w:rsid w:val="00E05F04"/>
    <w:rsid w:val="00E0652C"/>
    <w:rsid w:val="00E06A39"/>
    <w:rsid w:val="00E079B8"/>
    <w:rsid w:val="00E10490"/>
    <w:rsid w:val="00E105A9"/>
    <w:rsid w:val="00E12517"/>
    <w:rsid w:val="00E12798"/>
    <w:rsid w:val="00E1420E"/>
    <w:rsid w:val="00E149E9"/>
    <w:rsid w:val="00E14E0B"/>
    <w:rsid w:val="00E15056"/>
    <w:rsid w:val="00E15889"/>
    <w:rsid w:val="00E15DB1"/>
    <w:rsid w:val="00E16364"/>
    <w:rsid w:val="00E16D40"/>
    <w:rsid w:val="00E17552"/>
    <w:rsid w:val="00E178EC"/>
    <w:rsid w:val="00E20198"/>
    <w:rsid w:val="00E20539"/>
    <w:rsid w:val="00E2094D"/>
    <w:rsid w:val="00E21B03"/>
    <w:rsid w:val="00E22445"/>
    <w:rsid w:val="00E23156"/>
    <w:rsid w:val="00E2316A"/>
    <w:rsid w:val="00E2338C"/>
    <w:rsid w:val="00E23F47"/>
    <w:rsid w:val="00E260A3"/>
    <w:rsid w:val="00E26D15"/>
    <w:rsid w:val="00E279B5"/>
    <w:rsid w:val="00E27DDB"/>
    <w:rsid w:val="00E31702"/>
    <w:rsid w:val="00E31AA1"/>
    <w:rsid w:val="00E31B75"/>
    <w:rsid w:val="00E3242E"/>
    <w:rsid w:val="00E330C9"/>
    <w:rsid w:val="00E3330E"/>
    <w:rsid w:val="00E3351F"/>
    <w:rsid w:val="00E33992"/>
    <w:rsid w:val="00E36941"/>
    <w:rsid w:val="00E376A6"/>
    <w:rsid w:val="00E40DAE"/>
    <w:rsid w:val="00E40F62"/>
    <w:rsid w:val="00E42812"/>
    <w:rsid w:val="00E431B1"/>
    <w:rsid w:val="00E431B3"/>
    <w:rsid w:val="00E43249"/>
    <w:rsid w:val="00E436A2"/>
    <w:rsid w:val="00E44EA0"/>
    <w:rsid w:val="00E45531"/>
    <w:rsid w:val="00E458D8"/>
    <w:rsid w:val="00E45D8B"/>
    <w:rsid w:val="00E47214"/>
    <w:rsid w:val="00E47BAD"/>
    <w:rsid w:val="00E518A7"/>
    <w:rsid w:val="00E529F5"/>
    <w:rsid w:val="00E52C60"/>
    <w:rsid w:val="00E5356B"/>
    <w:rsid w:val="00E53E00"/>
    <w:rsid w:val="00E54221"/>
    <w:rsid w:val="00E548F2"/>
    <w:rsid w:val="00E54DB5"/>
    <w:rsid w:val="00E5594B"/>
    <w:rsid w:val="00E55A03"/>
    <w:rsid w:val="00E5650A"/>
    <w:rsid w:val="00E574EC"/>
    <w:rsid w:val="00E57F9C"/>
    <w:rsid w:val="00E615F9"/>
    <w:rsid w:val="00E6193C"/>
    <w:rsid w:val="00E621B5"/>
    <w:rsid w:val="00E62BC2"/>
    <w:rsid w:val="00E631DF"/>
    <w:rsid w:val="00E63DAA"/>
    <w:rsid w:val="00E66C05"/>
    <w:rsid w:val="00E6727A"/>
    <w:rsid w:val="00E67770"/>
    <w:rsid w:val="00E67D98"/>
    <w:rsid w:val="00E67E7B"/>
    <w:rsid w:val="00E703D2"/>
    <w:rsid w:val="00E70554"/>
    <w:rsid w:val="00E70645"/>
    <w:rsid w:val="00E706AE"/>
    <w:rsid w:val="00E70833"/>
    <w:rsid w:val="00E7089B"/>
    <w:rsid w:val="00E71787"/>
    <w:rsid w:val="00E7184C"/>
    <w:rsid w:val="00E7221D"/>
    <w:rsid w:val="00E729EB"/>
    <w:rsid w:val="00E7317F"/>
    <w:rsid w:val="00E73C91"/>
    <w:rsid w:val="00E741A4"/>
    <w:rsid w:val="00E75A3C"/>
    <w:rsid w:val="00E7615F"/>
    <w:rsid w:val="00E7657B"/>
    <w:rsid w:val="00E76AE0"/>
    <w:rsid w:val="00E77634"/>
    <w:rsid w:val="00E77DD7"/>
    <w:rsid w:val="00E80635"/>
    <w:rsid w:val="00E80915"/>
    <w:rsid w:val="00E80A7B"/>
    <w:rsid w:val="00E81142"/>
    <w:rsid w:val="00E81A87"/>
    <w:rsid w:val="00E81B15"/>
    <w:rsid w:val="00E83627"/>
    <w:rsid w:val="00E83948"/>
    <w:rsid w:val="00E83CF9"/>
    <w:rsid w:val="00E840AB"/>
    <w:rsid w:val="00E84DF7"/>
    <w:rsid w:val="00E87042"/>
    <w:rsid w:val="00E8751E"/>
    <w:rsid w:val="00E87B37"/>
    <w:rsid w:val="00E91803"/>
    <w:rsid w:val="00E91A8B"/>
    <w:rsid w:val="00E92974"/>
    <w:rsid w:val="00E92F98"/>
    <w:rsid w:val="00E9331D"/>
    <w:rsid w:val="00E9515B"/>
    <w:rsid w:val="00E95322"/>
    <w:rsid w:val="00E9532D"/>
    <w:rsid w:val="00E95490"/>
    <w:rsid w:val="00E959BD"/>
    <w:rsid w:val="00E968C1"/>
    <w:rsid w:val="00E96AA5"/>
    <w:rsid w:val="00E971F6"/>
    <w:rsid w:val="00E97EA8"/>
    <w:rsid w:val="00EA0E54"/>
    <w:rsid w:val="00EA1769"/>
    <w:rsid w:val="00EA1DA9"/>
    <w:rsid w:val="00EA25C1"/>
    <w:rsid w:val="00EA26FF"/>
    <w:rsid w:val="00EA2C00"/>
    <w:rsid w:val="00EA3671"/>
    <w:rsid w:val="00EA39D9"/>
    <w:rsid w:val="00EA5296"/>
    <w:rsid w:val="00EA55C7"/>
    <w:rsid w:val="00EA5D01"/>
    <w:rsid w:val="00EA7955"/>
    <w:rsid w:val="00EA7BD5"/>
    <w:rsid w:val="00EB0C4F"/>
    <w:rsid w:val="00EB0DEA"/>
    <w:rsid w:val="00EB1F63"/>
    <w:rsid w:val="00EB27BC"/>
    <w:rsid w:val="00EB474B"/>
    <w:rsid w:val="00EB4DCE"/>
    <w:rsid w:val="00EB68FF"/>
    <w:rsid w:val="00EB6A32"/>
    <w:rsid w:val="00EB6A5F"/>
    <w:rsid w:val="00EB6FB0"/>
    <w:rsid w:val="00EB706F"/>
    <w:rsid w:val="00EC1695"/>
    <w:rsid w:val="00EC328B"/>
    <w:rsid w:val="00EC33A0"/>
    <w:rsid w:val="00EC4836"/>
    <w:rsid w:val="00EC5088"/>
    <w:rsid w:val="00EC6285"/>
    <w:rsid w:val="00EC6581"/>
    <w:rsid w:val="00EC662D"/>
    <w:rsid w:val="00EC7215"/>
    <w:rsid w:val="00EC7D58"/>
    <w:rsid w:val="00ED00A5"/>
    <w:rsid w:val="00ED0D2B"/>
    <w:rsid w:val="00ED4033"/>
    <w:rsid w:val="00ED48C1"/>
    <w:rsid w:val="00ED5E38"/>
    <w:rsid w:val="00ED7FE2"/>
    <w:rsid w:val="00EE170C"/>
    <w:rsid w:val="00EE32AC"/>
    <w:rsid w:val="00EE4490"/>
    <w:rsid w:val="00EE4EEF"/>
    <w:rsid w:val="00EE6266"/>
    <w:rsid w:val="00EE6832"/>
    <w:rsid w:val="00EF1755"/>
    <w:rsid w:val="00EF1F1D"/>
    <w:rsid w:val="00EF235A"/>
    <w:rsid w:val="00EF2D55"/>
    <w:rsid w:val="00EF3D58"/>
    <w:rsid w:val="00EF4C1E"/>
    <w:rsid w:val="00EF64FC"/>
    <w:rsid w:val="00EF6962"/>
    <w:rsid w:val="00EF7063"/>
    <w:rsid w:val="00EF7084"/>
    <w:rsid w:val="00EF711D"/>
    <w:rsid w:val="00EF7479"/>
    <w:rsid w:val="00F00308"/>
    <w:rsid w:val="00F02D2F"/>
    <w:rsid w:val="00F03ACA"/>
    <w:rsid w:val="00F03B39"/>
    <w:rsid w:val="00F03CF1"/>
    <w:rsid w:val="00F04052"/>
    <w:rsid w:val="00F04395"/>
    <w:rsid w:val="00F04FED"/>
    <w:rsid w:val="00F0582E"/>
    <w:rsid w:val="00F05E0C"/>
    <w:rsid w:val="00F065DF"/>
    <w:rsid w:val="00F06673"/>
    <w:rsid w:val="00F06961"/>
    <w:rsid w:val="00F06CBD"/>
    <w:rsid w:val="00F07670"/>
    <w:rsid w:val="00F077C4"/>
    <w:rsid w:val="00F1066F"/>
    <w:rsid w:val="00F10BFA"/>
    <w:rsid w:val="00F10F56"/>
    <w:rsid w:val="00F110C3"/>
    <w:rsid w:val="00F12CB5"/>
    <w:rsid w:val="00F13E0A"/>
    <w:rsid w:val="00F1415F"/>
    <w:rsid w:val="00F14201"/>
    <w:rsid w:val="00F1508C"/>
    <w:rsid w:val="00F1578E"/>
    <w:rsid w:val="00F15AB7"/>
    <w:rsid w:val="00F1604F"/>
    <w:rsid w:val="00F16BCB"/>
    <w:rsid w:val="00F17450"/>
    <w:rsid w:val="00F1797F"/>
    <w:rsid w:val="00F17FAE"/>
    <w:rsid w:val="00F20763"/>
    <w:rsid w:val="00F20E86"/>
    <w:rsid w:val="00F20EB4"/>
    <w:rsid w:val="00F227C8"/>
    <w:rsid w:val="00F23CB7"/>
    <w:rsid w:val="00F24DE0"/>
    <w:rsid w:val="00F257B5"/>
    <w:rsid w:val="00F25F42"/>
    <w:rsid w:val="00F2720E"/>
    <w:rsid w:val="00F2776D"/>
    <w:rsid w:val="00F27E08"/>
    <w:rsid w:val="00F30B8C"/>
    <w:rsid w:val="00F31154"/>
    <w:rsid w:val="00F321B4"/>
    <w:rsid w:val="00F326D7"/>
    <w:rsid w:val="00F32BDE"/>
    <w:rsid w:val="00F32C2A"/>
    <w:rsid w:val="00F3380E"/>
    <w:rsid w:val="00F346E6"/>
    <w:rsid w:val="00F347D6"/>
    <w:rsid w:val="00F37D56"/>
    <w:rsid w:val="00F40605"/>
    <w:rsid w:val="00F40864"/>
    <w:rsid w:val="00F40906"/>
    <w:rsid w:val="00F4117F"/>
    <w:rsid w:val="00F4246E"/>
    <w:rsid w:val="00F42D18"/>
    <w:rsid w:val="00F444F8"/>
    <w:rsid w:val="00F44895"/>
    <w:rsid w:val="00F45AE6"/>
    <w:rsid w:val="00F50585"/>
    <w:rsid w:val="00F516E3"/>
    <w:rsid w:val="00F538DA"/>
    <w:rsid w:val="00F5414B"/>
    <w:rsid w:val="00F54832"/>
    <w:rsid w:val="00F54DE3"/>
    <w:rsid w:val="00F555DF"/>
    <w:rsid w:val="00F55EAF"/>
    <w:rsid w:val="00F561BF"/>
    <w:rsid w:val="00F56678"/>
    <w:rsid w:val="00F5700F"/>
    <w:rsid w:val="00F57885"/>
    <w:rsid w:val="00F622EE"/>
    <w:rsid w:val="00F629B3"/>
    <w:rsid w:val="00F62A7D"/>
    <w:rsid w:val="00F639D7"/>
    <w:rsid w:val="00F64A43"/>
    <w:rsid w:val="00F64E6E"/>
    <w:rsid w:val="00F66144"/>
    <w:rsid w:val="00F66A6D"/>
    <w:rsid w:val="00F6713F"/>
    <w:rsid w:val="00F70C57"/>
    <w:rsid w:val="00F718B9"/>
    <w:rsid w:val="00F71B62"/>
    <w:rsid w:val="00F72C9E"/>
    <w:rsid w:val="00F74824"/>
    <w:rsid w:val="00F74B51"/>
    <w:rsid w:val="00F75A7C"/>
    <w:rsid w:val="00F80ADA"/>
    <w:rsid w:val="00F81362"/>
    <w:rsid w:val="00F825A6"/>
    <w:rsid w:val="00F838C7"/>
    <w:rsid w:val="00F854EE"/>
    <w:rsid w:val="00F86702"/>
    <w:rsid w:val="00F86E93"/>
    <w:rsid w:val="00F87754"/>
    <w:rsid w:val="00F87B54"/>
    <w:rsid w:val="00F907DD"/>
    <w:rsid w:val="00F91353"/>
    <w:rsid w:val="00F91367"/>
    <w:rsid w:val="00F92BE1"/>
    <w:rsid w:val="00F92F48"/>
    <w:rsid w:val="00F94043"/>
    <w:rsid w:val="00F953CE"/>
    <w:rsid w:val="00F961E7"/>
    <w:rsid w:val="00F96841"/>
    <w:rsid w:val="00F9684A"/>
    <w:rsid w:val="00F96B0B"/>
    <w:rsid w:val="00F979DD"/>
    <w:rsid w:val="00F979E2"/>
    <w:rsid w:val="00F97FDB"/>
    <w:rsid w:val="00FA0229"/>
    <w:rsid w:val="00FA0674"/>
    <w:rsid w:val="00FA0825"/>
    <w:rsid w:val="00FA08AD"/>
    <w:rsid w:val="00FA0F68"/>
    <w:rsid w:val="00FA1194"/>
    <w:rsid w:val="00FA1324"/>
    <w:rsid w:val="00FA2762"/>
    <w:rsid w:val="00FA2B2F"/>
    <w:rsid w:val="00FA2B9C"/>
    <w:rsid w:val="00FA2F27"/>
    <w:rsid w:val="00FA3003"/>
    <w:rsid w:val="00FA3874"/>
    <w:rsid w:val="00FA4150"/>
    <w:rsid w:val="00FA5758"/>
    <w:rsid w:val="00FA5766"/>
    <w:rsid w:val="00FA6F8E"/>
    <w:rsid w:val="00FA708C"/>
    <w:rsid w:val="00FA7D7D"/>
    <w:rsid w:val="00FA7F89"/>
    <w:rsid w:val="00FB0AC3"/>
    <w:rsid w:val="00FB2CC2"/>
    <w:rsid w:val="00FB2EAB"/>
    <w:rsid w:val="00FB3127"/>
    <w:rsid w:val="00FB3771"/>
    <w:rsid w:val="00FB379A"/>
    <w:rsid w:val="00FB3A2D"/>
    <w:rsid w:val="00FB3C00"/>
    <w:rsid w:val="00FB4748"/>
    <w:rsid w:val="00FB4DFA"/>
    <w:rsid w:val="00FB5912"/>
    <w:rsid w:val="00FB620D"/>
    <w:rsid w:val="00FB6F67"/>
    <w:rsid w:val="00FC059D"/>
    <w:rsid w:val="00FC0AD7"/>
    <w:rsid w:val="00FC10DE"/>
    <w:rsid w:val="00FC20D7"/>
    <w:rsid w:val="00FC2D5F"/>
    <w:rsid w:val="00FC3CE1"/>
    <w:rsid w:val="00FC4E06"/>
    <w:rsid w:val="00FC5494"/>
    <w:rsid w:val="00FC5603"/>
    <w:rsid w:val="00FC571B"/>
    <w:rsid w:val="00FD0B28"/>
    <w:rsid w:val="00FD17BA"/>
    <w:rsid w:val="00FD2BE0"/>
    <w:rsid w:val="00FD2C9D"/>
    <w:rsid w:val="00FD2F74"/>
    <w:rsid w:val="00FD3B94"/>
    <w:rsid w:val="00FD40DD"/>
    <w:rsid w:val="00FD43B3"/>
    <w:rsid w:val="00FD4BA8"/>
    <w:rsid w:val="00FD6295"/>
    <w:rsid w:val="00FD7736"/>
    <w:rsid w:val="00FD7884"/>
    <w:rsid w:val="00FD799D"/>
    <w:rsid w:val="00FE10AA"/>
    <w:rsid w:val="00FE1118"/>
    <w:rsid w:val="00FE15AA"/>
    <w:rsid w:val="00FE2212"/>
    <w:rsid w:val="00FE2355"/>
    <w:rsid w:val="00FE30CB"/>
    <w:rsid w:val="00FE38CC"/>
    <w:rsid w:val="00FE3E2D"/>
    <w:rsid w:val="00FE3FA2"/>
    <w:rsid w:val="00FE40E5"/>
    <w:rsid w:val="00FE441B"/>
    <w:rsid w:val="00FE4739"/>
    <w:rsid w:val="00FE4DB2"/>
    <w:rsid w:val="00FE5308"/>
    <w:rsid w:val="00FE5CD6"/>
    <w:rsid w:val="00FE681D"/>
    <w:rsid w:val="00FE72AE"/>
    <w:rsid w:val="00FE74DF"/>
    <w:rsid w:val="00FE7B10"/>
    <w:rsid w:val="00FF0010"/>
    <w:rsid w:val="00FF09C1"/>
    <w:rsid w:val="00FF0DBD"/>
    <w:rsid w:val="00FF2100"/>
    <w:rsid w:val="00FF2A0B"/>
    <w:rsid w:val="00FF2A8F"/>
    <w:rsid w:val="00FF2C39"/>
    <w:rsid w:val="00FF3A07"/>
    <w:rsid w:val="00FF3FEA"/>
    <w:rsid w:val="00FF42E2"/>
    <w:rsid w:val="00FF4C68"/>
    <w:rsid w:val="00FF4C81"/>
    <w:rsid w:val="00FF6F1B"/>
    <w:rsid w:val="00FF75B6"/>
    <w:rsid w:val="00FF766E"/>
    <w:rsid w:val="0F342885"/>
    <w:rsid w:val="1CB05DC8"/>
    <w:rsid w:val="25A58123"/>
    <w:rsid w:val="28C91E9B"/>
    <w:rsid w:val="2E4C844D"/>
    <w:rsid w:val="2F78DBD9"/>
    <w:rsid w:val="2F8AFD86"/>
    <w:rsid w:val="35DDB71D"/>
    <w:rsid w:val="3775F415"/>
    <w:rsid w:val="388D0553"/>
    <w:rsid w:val="3AB00BF2"/>
    <w:rsid w:val="3CA35003"/>
    <w:rsid w:val="3E2AB8C2"/>
    <w:rsid w:val="457EBABE"/>
    <w:rsid w:val="4A40BA57"/>
    <w:rsid w:val="5092A763"/>
    <w:rsid w:val="51A3169F"/>
    <w:rsid w:val="5533703A"/>
    <w:rsid w:val="5929922E"/>
    <w:rsid w:val="5D607B53"/>
    <w:rsid w:val="6919AAF5"/>
    <w:rsid w:val="6AB348B8"/>
    <w:rsid w:val="743015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aliases w:val="NICE 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unhideWhenUsed/>
    <w:qFormat/>
    <w:rsid w:val="005E30A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D2963"/>
    <w:pPr>
      <w:keepNext/>
      <w:keepLines/>
      <w:spacing w:before="200" w:after="240" w:line="240" w:lineRule="auto"/>
      <w:ind w:left="1152" w:hanging="1152"/>
      <w:outlineLvl w:val="5"/>
    </w:pPr>
    <w:rPr>
      <w:rFonts w:asciiTheme="minorHAnsi" w:eastAsiaTheme="majorEastAsia" w:hAnsiTheme="minorHAnsi" w:cstheme="majorBidi"/>
      <w:i/>
      <w:iCs/>
    </w:rPr>
  </w:style>
  <w:style w:type="paragraph" w:styleId="Heading7">
    <w:name w:val="heading 7"/>
    <w:basedOn w:val="Normal"/>
    <w:next w:val="Normal"/>
    <w:link w:val="Heading7Char"/>
    <w:uiPriority w:val="9"/>
    <w:semiHidden/>
    <w:unhideWhenUsed/>
    <w:qFormat/>
    <w:rsid w:val="00DD2963"/>
    <w:pPr>
      <w:keepNext/>
      <w:keepLines/>
      <w:spacing w:before="200" w:after="0" w:line="240" w:lineRule="auto"/>
      <w:ind w:left="1296" w:hanging="1296"/>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DD2963"/>
    <w:pPr>
      <w:keepNext/>
      <w:keepLines/>
      <w:spacing w:before="200" w:after="0" w:line="240" w:lineRule="auto"/>
      <w:ind w:left="1440" w:hanging="144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D2963"/>
    <w:pPr>
      <w:keepNext/>
      <w:keepLines/>
      <w:spacing w:before="200" w:after="0" w:line="240" w:lineRule="auto"/>
      <w:ind w:left="1584" w:hanging="1584"/>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aliases w:val="Comment Text Char Char Char,Comment Text Char Char,- H19,Comment Text Char1 Char,Annotationtext,Comment Text Char1,Merknadstekst,Kommentartext,Comment Text Char Char1"/>
    <w:basedOn w:val="Normal"/>
    <w:link w:val="CommentTextChar"/>
    <w:uiPriority w:val="99"/>
    <w:unhideWhenUsed/>
    <w:qFormat/>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aliases w:val="Comment Text Char Char Char Char,Comment Text Char Char Char1,- H19 Char,Comment Text Char1 Char Char,Annotationtext Char,Comment Text Char1 Char1,Merknadstekst Char,Kommentartext Char,Comment Text Char Char1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H18"/>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aliases w:val="NICE 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uiPriority w:val="59"/>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Garamond" w:hAnsi="Garamond"/>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uiPriority w:val="35"/>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HealthConsult,HTAtableplain"/>
    <w:basedOn w:val="TableNormal"/>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Styl moj,Akapit z listą1,Akapit z listą11,BulletPoints,Figure_name,List Paragraph1,Numbered Indented Text,Bullet- First level,List NUmber,Listenabsatz1,lp1,List Paragraph11,Style 2,TOC style,List Paragraph2,List Paragraph Char Char,Number"/>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tabs>
        <w:tab w:val="clear" w:pos="1440"/>
      </w:tabs>
      <w:ind w:left="720"/>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Styl moj Char,Akapit z listą1 Char,Akapit z listą11 Char,BulletPoints Char,Figure_name Char,List Paragraph1 Char,Numbered Indented Text Char,Bullet- First level Char,List NUmber Char,Listenabsatz1 Char,lp1 Char,List Paragraph11 Char"/>
    <w:basedOn w:val="DefaultParagraphFont"/>
    <w:link w:val="ListParagraph"/>
    <w:uiPriority w:val="34"/>
    <w:qFormat/>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ind w:hanging="720"/>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ind w:hanging="36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131D3"/>
    <w:pPr>
      <w:numPr>
        <w:ilvl w:val="1"/>
        <w:numId w:val="5"/>
      </w:numPr>
      <w:spacing w:after="120" w:line="240" w:lineRule="auto"/>
      <w:ind w:left="1440" w:hanging="360"/>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Garamond" w:hAnsi="Garamond"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Garamond" w:hAnsi="Garamond"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Garamond" w:hAnsi="Garamond"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uiPriority w:val="10"/>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uiPriority w:val="10"/>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uiPriority w:val="11"/>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uiPriority w:val="11"/>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8"/>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9"/>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10"/>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paragraph" w:styleId="BodyText">
    <w:name w:val="Body Text"/>
    <w:aliases w:val="Char,Char1, Char, Char Char Char Char Char Char Char Char Char Char,Body Text Char1 Char,Body Text Char Char Char,Body T...,Body Text Char1 Char Char Char,Body Text Char Char Char Char Char,Body Text Char1 Char Char Char Char Char"/>
    <w:basedOn w:val="Normal"/>
    <w:link w:val="BodyTextChar"/>
    <w:rsid w:val="009D76BB"/>
    <w:pPr>
      <w:spacing w:before="0" w:after="0" w:line="360" w:lineRule="auto"/>
      <w:jc w:val="both"/>
    </w:pPr>
    <w:rPr>
      <w:rFonts w:ascii="Arial" w:hAnsi="Arial" w:cs="Times New Roman"/>
      <w:sz w:val="20"/>
    </w:rPr>
  </w:style>
  <w:style w:type="character" w:customStyle="1" w:styleId="BodyTextChar">
    <w:name w:val="Body Text Char"/>
    <w:aliases w:val="Char Char,Char1 Char, Char Char, Char Char Char Char Char Char Char Char Char Char Char,Body Text Char1 Char Char,Body Text Char Char Char Char,Body T... Char,Body Text Char1 Char Char Char Char,Body Text Char Char Char Char Char Char"/>
    <w:basedOn w:val="DefaultParagraphFont"/>
    <w:link w:val="BodyText"/>
    <w:rsid w:val="009D76BB"/>
    <w:rPr>
      <w:rFonts w:ascii="Arial" w:hAnsi="Arial" w:cs="Times New Roman"/>
      <w:sz w:val="20"/>
    </w:rPr>
  </w:style>
  <w:style w:type="character" w:customStyle="1" w:styleId="fontstyle01">
    <w:name w:val="fontstyle01"/>
    <w:basedOn w:val="DefaultParagraphFont"/>
    <w:rsid w:val="009D76BB"/>
    <w:rPr>
      <w:rFonts w:ascii="TimesNewRoman" w:hAnsi="TimesNewRoman" w:hint="default"/>
      <w:b w:val="0"/>
      <w:bCs w:val="0"/>
      <w:i w:val="0"/>
      <w:iCs w:val="0"/>
      <w:color w:val="000000"/>
      <w:sz w:val="24"/>
      <w:szCs w:val="24"/>
    </w:rPr>
  </w:style>
  <w:style w:type="paragraph" w:customStyle="1" w:styleId="Tickboxes">
    <w:name w:val="Tick boxes"/>
    <w:basedOn w:val="Normal"/>
    <w:link w:val="TickboxesChar"/>
    <w:qFormat/>
    <w:rsid w:val="00E67770"/>
    <w:pPr>
      <w:spacing w:before="0" w:after="0" w:line="240" w:lineRule="auto"/>
      <w:ind w:left="360"/>
    </w:pPr>
    <w:rPr>
      <w:rFonts w:asciiTheme="minorHAnsi" w:hAnsiTheme="minorHAnsi"/>
      <w:bCs/>
      <w:sz w:val="20"/>
      <w:szCs w:val="20"/>
    </w:rPr>
  </w:style>
  <w:style w:type="character" w:customStyle="1" w:styleId="TickboxesChar">
    <w:name w:val="Tick boxes Char"/>
    <w:basedOn w:val="DefaultParagraphFont"/>
    <w:link w:val="Tickboxes"/>
    <w:rsid w:val="00E67770"/>
    <w:rPr>
      <w:bCs/>
      <w:sz w:val="20"/>
      <w:szCs w:val="20"/>
    </w:rPr>
  </w:style>
  <w:style w:type="paragraph" w:customStyle="1" w:styleId="Instructions">
    <w:name w:val="Instructions"/>
    <w:basedOn w:val="Heading2"/>
    <w:link w:val="InstructionsChar"/>
    <w:qFormat/>
    <w:rsid w:val="00E67770"/>
    <w:pPr>
      <w:keepNext w:val="0"/>
      <w:keepLines w:val="0"/>
      <w:numPr>
        <w:ilvl w:val="0"/>
        <w:numId w:val="0"/>
      </w:numPr>
      <w:spacing w:before="120" w:after="120"/>
    </w:pPr>
    <w:rPr>
      <w:rFonts w:ascii="Segoe UI" w:hAnsi="Segoe UI" w:cs="Segoe UI"/>
    </w:rPr>
  </w:style>
  <w:style w:type="character" w:customStyle="1" w:styleId="InstructionsChar">
    <w:name w:val="Instructions Char"/>
    <w:basedOn w:val="Heading2Char"/>
    <w:link w:val="Instructions"/>
    <w:rsid w:val="00E67770"/>
    <w:rPr>
      <w:rFonts w:ascii="Segoe UI" w:eastAsiaTheme="majorEastAsia" w:hAnsi="Segoe UI" w:cs="Segoe UI"/>
      <w:color w:val="000000" w:themeColor="text1"/>
      <w:sz w:val="32"/>
      <w:szCs w:val="26"/>
    </w:rPr>
  </w:style>
  <w:style w:type="character" w:styleId="UnresolvedMention">
    <w:name w:val="Unresolved Mention"/>
    <w:basedOn w:val="DefaultParagraphFont"/>
    <w:uiPriority w:val="99"/>
    <w:semiHidden/>
    <w:unhideWhenUsed/>
    <w:rsid w:val="004E6251"/>
    <w:rPr>
      <w:color w:val="605E5C"/>
      <w:shd w:val="clear" w:color="auto" w:fill="E1DFDD"/>
    </w:rPr>
  </w:style>
  <w:style w:type="character" w:customStyle="1" w:styleId="Heading5Char">
    <w:name w:val="Heading 5 Char"/>
    <w:basedOn w:val="DefaultParagraphFont"/>
    <w:link w:val="Heading5"/>
    <w:uiPriority w:val="9"/>
    <w:rsid w:val="005E30AE"/>
    <w:rPr>
      <w:rFonts w:asciiTheme="majorHAnsi" w:eastAsiaTheme="majorEastAsia" w:hAnsiTheme="majorHAnsi" w:cstheme="majorBidi"/>
      <w:color w:val="2E74B5" w:themeColor="accent1" w:themeShade="BF"/>
    </w:rPr>
  </w:style>
  <w:style w:type="paragraph" w:customStyle="1" w:styleId="BodyText1">
    <w:name w:val="Body Text1"/>
    <w:basedOn w:val="Normal"/>
    <w:link w:val="BodytextChar0"/>
    <w:qFormat/>
    <w:rsid w:val="005E30AE"/>
    <w:pPr>
      <w:keepNext/>
      <w:keepLines/>
      <w:spacing w:after="120" w:line="360" w:lineRule="auto"/>
      <w:jc w:val="both"/>
    </w:pPr>
    <w:rPr>
      <w:rFonts w:asciiTheme="minorHAnsi" w:hAnsiTheme="minorHAnsi"/>
    </w:rPr>
  </w:style>
  <w:style w:type="character" w:customStyle="1" w:styleId="BodytextChar0">
    <w:name w:val="Body text Char"/>
    <w:basedOn w:val="DefaultParagraphFont"/>
    <w:link w:val="BodyText1"/>
    <w:rsid w:val="005E30AE"/>
  </w:style>
  <w:style w:type="paragraph" w:styleId="ListBullet">
    <w:name w:val="List Bullet"/>
    <w:basedOn w:val="Normal"/>
    <w:autoRedefine/>
    <w:uiPriority w:val="99"/>
    <w:rsid w:val="001404F4"/>
    <w:pPr>
      <w:keepNext/>
      <w:keepLines/>
      <w:numPr>
        <w:numId w:val="11"/>
      </w:numPr>
      <w:spacing w:before="0" w:after="240" w:line="360" w:lineRule="auto"/>
      <w:ind w:left="0" w:firstLine="0"/>
      <w:jc w:val="both"/>
    </w:pPr>
    <w:rPr>
      <w:rFonts w:ascii="Garamond" w:hAnsi="Garamond" w:cs="Times New Roman"/>
      <w:szCs w:val="20"/>
      <w:lang w:val="en-US"/>
    </w:rPr>
  </w:style>
  <w:style w:type="character" w:customStyle="1" w:styleId="Heading6Char">
    <w:name w:val="Heading 6 Char"/>
    <w:basedOn w:val="DefaultParagraphFont"/>
    <w:link w:val="Heading6"/>
    <w:uiPriority w:val="9"/>
    <w:rsid w:val="00DD2963"/>
    <w:rPr>
      <w:rFonts w:eastAsiaTheme="majorEastAsia" w:cstheme="majorBidi"/>
      <w:i/>
      <w:iCs/>
    </w:rPr>
  </w:style>
  <w:style w:type="character" w:customStyle="1" w:styleId="Heading7Char">
    <w:name w:val="Heading 7 Char"/>
    <w:basedOn w:val="DefaultParagraphFont"/>
    <w:link w:val="Heading7"/>
    <w:uiPriority w:val="9"/>
    <w:semiHidden/>
    <w:rsid w:val="00DD296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DD296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DD2963"/>
    <w:rPr>
      <w:rFonts w:asciiTheme="majorHAnsi" w:eastAsiaTheme="majorEastAsia" w:hAnsiTheme="majorHAnsi" w:cstheme="majorBidi"/>
      <w:i/>
      <w:iCs/>
      <w:color w:val="000000"/>
      <w:sz w:val="20"/>
      <w:szCs w:val="20"/>
    </w:rPr>
  </w:style>
  <w:style w:type="paragraph" w:customStyle="1" w:styleId="NumberList">
    <w:name w:val="NumberList"/>
    <w:basedOn w:val="Normal"/>
    <w:rsid w:val="00DD2963"/>
    <w:pPr>
      <w:tabs>
        <w:tab w:val="left" w:pos="360"/>
      </w:tabs>
      <w:spacing w:before="0" w:after="240" w:line="240" w:lineRule="auto"/>
      <w:ind w:left="360" w:hanging="360"/>
    </w:pPr>
    <w:rPr>
      <w:rFonts w:ascii="Calibri" w:eastAsia="Times New Roman" w:hAnsi="Calibri" w:cs="Times New Roman"/>
      <w:color w:val="000000"/>
      <w:szCs w:val="20"/>
      <w:lang w:eastAsia="en-AU"/>
    </w:rPr>
  </w:style>
  <w:style w:type="paragraph" w:styleId="Quote">
    <w:name w:val="Quote"/>
    <w:basedOn w:val="Normal"/>
    <w:next w:val="Normal"/>
    <w:link w:val="QuoteChar"/>
    <w:uiPriority w:val="29"/>
    <w:rsid w:val="00DD2963"/>
    <w:pPr>
      <w:spacing w:before="0" w:after="240" w:line="240" w:lineRule="auto"/>
      <w:ind w:left="720"/>
    </w:pPr>
    <w:rPr>
      <w:rFonts w:asciiTheme="minorHAnsi" w:eastAsiaTheme="minorEastAsia" w:hAnsiTheme="minorHAnsi"/>
      <w:iCs/>
      <w:lang w:bidi="hi-IN"/>
    </w:rPr>
  </w:style>
  <w:style w:type="character" w:customStyle="1" w:styleId="QuoteChar">
    <w:name w:val="Quote Char"/>
    <w:basedOn w:val="DefaultParagraphFont"/>
    <w:link w:val="Quote"/>
    <w:uiPriority w:val="29"/>
    <w:rsid w:val="00DD2963"/>
    <w:rPr>
      <w:rFonts w:eastAsiaTheme="minorEastAsia"/>
      <w:iCs/>
      <w:lang w:bidi="hi-IN"/>
    </w:rPr>
  </w:style>
  <w:style w:type="paragraph" w:customStyle="1" w:styleId="FigureName">
    <w:name w:val="FigureName"/>
    <w:basedOn w:val="Normal"/>
    <w:qFormat/>
    <w:rsid w:val="00DD2963"/>
    <w:pPr>
      <w:keepNext/>
      <w:spacing w:before="0" w:after="240" w:line="240" w:lineRule="auto"/>
      <w:ind w:left="1531" w:hanging="1531"/>
    </w:pPr>
    <w:rPr>
      <w:rFonts w:ascii="Franklin Gothic Medium" w:hAnsi="Franklin Gothic Medium"/>
    </w:rPr>
  </w:style>
  <w:style w:type="paragraph" w:customStyle="1" w:styleId="TableDash">
    <w:name w:val="TableDash"/>
    <w:basedOn w:val="Normal"/>
    <w:rsid w:val="001404F4"/>
    <w:pPr>
      <w:keepNext/>
      <w:numPr>
        <w:numId w:val="13"/>
      </w:numPr>
      <w:tabs>
        <w:tab w:val="num" w:pos="360"/>
        <w:tab w:val="num" w:pos="432"/>
      </w:tabs>
      <w:spacing w:before="60" w:after="60" w:line="240" w:lineRule="auto"/>
    </w:pPr>
    <w:rPr>
      <w:rFonts w:ascii="Calibri" w:eastAsia="Times New Roman" w:hAnsi="Calibri" w:cs="Times New Roman"/>
      <w:color w:val="000000"/>
      <w:sz w:val="21"/>
      <w:szCs w:val="21"/>
      <w:lang w:eastAsia="en-AU"/>
    </w:rPr>
  </w:style>
  <w:style w:type="paragraph" w:styleId="TableofFigures">
    <w:name w:val="table of figures"/>
    <w:basedOn w:val="Normal"/>
    <w:next w:val="Normal"/>
    <w:uiPriority w:val="99"/>
    <w:rsid w:val="00DD2963"/>
    <w:pPr>
      <w:tabs>
        <w:tab w:val="left" w:pos="1080"/>
        <w:tab w:val="right" w:leader="dot" w:pos="9000"/>
      </w:tabs>
      <w:spacing w:before="0" w:after="120" w:line="240" w:lineRule="auto"/>
      <w:ind w:left="1000" w:right="720" w:hangingChars="1000" w:hanging="1000"/>
    </w:pPr>
    <w:rPr>
      <w:rFonts w:ascii="Calibri" w:eastAsia="Times New Roman" w:hAnsi="Calibri" w:cs="Times New Roman"/>
      <w:color w:val="000000"/>
      <w:szCs w:val="20"/>
      <w:lang w:eastAsia="en-AU"/>
    </w:rPr>
  </w:style>
  <w:style w:type="paragraph" w:customStyle="1" w:styleId="EndNoteBibliographyTitle">
    <w:name w:val="EndNote Bibliography Title"/>
    <w:basedOn w:val="Normal"/>
    <w:link w:val="EndNoteBibliographyTitleChar"/>
    <w:rsid w:val="00DD2963"/>
    <w:pPr>
      <w:spacing w:before="0" w:after="0" w:line="240" w:lineRule="auto"/>
      <w:jc w:val="center"/>
    </w:pPr>
    <w:rPr>
      <w:rFonts w:cs="Calibri"/>
      <w:noProof/>
      <w:lang w:val="en-US"/>
    </w:rPr>
  </w:style>
  <w:style w:type="character" w:customStyle="1" w:styleId="EndNoteBibliographyTitleChar">
    <w:name w:val="EndNote Bibliography Title Char"/>
    <w:basedOn w:val="DefaultParagraphFont"/>
    <w:link w:val="EndNoteBibliographyTitle"/>
    <w:rsid w:val="00DD2963"/>
    <w:rPr>
      <w:rFonts w:ascii="Franklin Gothic Book" w:hAnsi="Franklin Gothic Book" w:cs="Calibri"/>
      <w:noProof/>
      <w:lang w:val="en-US"/>
    </w:rPr>
  </w:style>
  <w:style w:type="paragraph" w:customStyle="1" w:styleId="EndNoteBibliography">
    <w:name w:val="EndNote Bibliography"/>
    <w:basedOn w:val="Normal"/>
    <w:link w:val="EndNoteBibliographyChar"/>
    <w:rsid w:val="00DD2963"/>
    <w:pPr>
      <w:spacing w:before="0" w:after="240" w:line="240" w:lineRule="auto"/>
    </w:pPr>
    <w:rPr>
      <w:rFonts w:cs="Calibri"/>
      <w:noProof/>
      <w:lang w:val="en-US"/>
    </w:rPr>
  </w:style>
  <w:style w:type="character" w:customStyle="1" w:styleId="EndNoteBibliographyChar">
    <w:name w:val="EndNote Bibliography Char"/>
    <w:basedOn w:val="DefaultParagraphFont"/>
    <w:link w:val="EndNoteBibliography"/>
    <w:rsid w:val="00DD2963"/>
    <w:rPr>
      <w:rFonts w:ascii="Franklin Gothic Book" w:hAnsi="Franklin Gothic Book" w:cs="Calibri"/>
      <w:noProof/>
      <w:lang w:val="en-US"/>
    </w:rPr>
  </w:style>
  <w:style w:type="paragraph" w:customStyle="1" w:styleId="TableNoteBullet">
    <w:name w:val="Table Note Bullet"/>
    <w:basedOn w:val="Normal"/>
    <w:rsid w:val="001404F4"/>
    <w:pPr>
      <w:numPr>
        <w:numId w:val="12"/>
      </w:numPr>
      <w:tabs>
        <w:tab w:val="num" w:pos="360"/>
      </w:tabs>
      <w:spacing w:before="0" w:after="60" w:line="240" w:lineRule="auto"/>
      <w:ind w:left="0" w:firstLine="0"/>
    </w:pPr>
    <w:rPr>
      <w:rFonts w:asciiTheme="minorHAnsi" w:hAnsiTheme="minorHAnsi"/>
      <w:sz w:val="18"/>
    </w:rPr>
  </w:style>
  <w:style w:type="paragraph" w:customStyle="1" w:styleId="TableBullet">
    <w:name w:val="Table Bullet"/>
    <w:basedOn w:val="TableText"/>
    <w:rsid w:val="001404F4"/>
    <w:pPr>
      <w:numPr>
        <w:numId w:val="14"/>
      </w:numPr>
      <w:tabs>
        <w:tab w:val="num" w:pos="360"/>
      </w:tabs>
      <w:ind w:left="0" w:firstLine="0"/>
    </w:pPr>
    <w:rPr>
      <w:rFonts w:asciiTheme="minorHAnsi" w:hAnsiTheme="minorHAnsi" w:cstheme="minorHAnsi"/>
      <w:sz w:val="18"/>
      <w:szCs w:val="18"/>
    </w:rPr>
  </w:style>
  <w:style w:type="paragraph" w:customStyle="1" w:styleId="BoxText">
    <w:name w:val="Box Text"/>
    <w:basedOn w:val="Normal"/>
    <w:rsid w:val="00DD2963"/>
    <w:pPr>
      <w:pBdr>
        <w:top w:val="single" w:sz="4" w:space="4" w:color="auto"/>
        <w:left w:val="single" w:sz="4" w:space="4" w:color="auto"/>
        <w:bottom w:val="single" w:sz="4" w:space="4" w:color="auto"/>
        <w:right w:val="single" w:sz="4" w:space="4" w:color="auto"/>
      </w:pBdr>
      <w:spacing w:before="0" w:after="120" w:line="240" w:lineRule="auto"/>
    </w:pPr>
    <w:rPr>
      <w:rFonts w:asciiTheme="minorHAnsi" w:hAnsiTheme="minorHAnsi"/>
    </w:rPr>
  </w:style>
  <w:style w:type="paragraph" w:customStyle="1" w:styleId="BoxBullet">
    <w:name w:val="Box Bullet"/>
    <w:basedOn w:val="BoxText"/>
    <w:rsid w:val="001404F4"/>
    <w:pPr>
      <w:numPr>
        <w:numId w:val="20"/>
      </w:numPr>
      <w:tabs>
        <w:tab w:val="left" w:pos="357"/>
      </w:tabs>
      <w:ind w:left="0" w:firstLine="0"/>
    </w:pPr>
    <w:rPr>
      <w:sz w:val="21"/>
    </w:rPr>
  </w:style>
  <w:style w:type="paragraph" w:customStyle="1" w:styleId="BulletLast">
    <w:name w:val="Bullet Last"/>
    <w:basedOn w:val="Bullet"/>
    <w:rsid w:val="001404F4"/>
    <w:pPr>
      <w:numPr>
        <w:numId w:val="15"/>
      </w:numPr>
      <w:tabs>
        <w:tab w:val="num" w:pos="360"/>
      </w:tabs>
      <w:spacing w:before="0" w:after="240"/>
      <w:ind w:hanging="720"/>
    </w:pPr>
  </w:style>
  <w:style w:type="paragraph" w:customStyle="1" w:styleId="BulletBeforeDash">
    <w:name w:val="Bullet Before Dash"/>
    <w:basedOn w:val="Bullet"/>
    <w:rsid w:val="001404F4"/>
    <w:pPr>
      <w:numPr>
        <w:numId w:val="16"/>
      </w:numPr>
      <w:tabs>
        <w:tab w:val="num" w:pos="360"/>
      </w:tabs>
      <w:spacing w:before="0" w:after="60"/>
      <w:ind w:hanging="720"/>
    </w:pPr>
  </w:style>
  <w:style w:type="paragraph" w:customStyle="1" w:styleId="DashLast">
    <w:name w:val="Dash Last"/>
    <w:basedOn w:val="Dash"/>
    <w:rsid w:val="001404F4"/>
    <w:pPr>
      <w:numPr>
        <w:numId w:val="17"/>
      </w:numPr>
      <w:tabs>
        <w:tab w:val="num" w:pos="360"/>
      </w:tabs>
      <w:spacing w:before="0"/>
    </w:pPr>
  </w:style>
  <w:style w:type="paragraph" w:customStyle="1" w:styleId="DashEndList">
    <w:name w:val="Dash End List"/>
    <w:basedOn w:val="DashLast"/>
    <w:rsid w:val="001404F4"/>
    <w:pPr>
      <w:numPr>
        <w:numId w:val="18"/>
      </w:numPr>
      <w:spacing w:after="240"/>
      <w:ind w:left="720"/>
    </w:pPr>
  </w:style>
  <w:style w:type="paragraph" w:customStyle="1" w:styleId="BoxTickbox">
    <w:name w:val="Box Tickbox"/>
    <w:basedOn w:val="BoxName"/>
    <w:rsid w:val="001404F4"/>
    <w:pPr>
      <w:numPr>
        <w:numId w:val="19"/>
      </w:numPr>
      <w:tabs>
        <w:tab w:val="num" w:pos="360"/>
      </w:tabs>
      <w:spacing w:before="0"/>
      <w:ind w:left="0" w:firstLine="0"/>
    </w:pPr>
  </w:style>
  <w:style w:type="paragraph" w:customStyle="1" w:styleId="TableNumbered">
    <w:name w:val="Table Numbered"/>
    <w:basedOn w:val="TableBullet"/>
    <w:rsid w:val="001404F4"/>
    <w:pPr>
      <w:numPr>
        <w:numId w:val="21"/>
      </w:numPr>
      <w:tabs>
        <w:tab w:val="num" w:pos="360"/>
      </w:tabs>
      <w:ind w:left="0" w:firstLine="0"/>
    </w:pPr>
  </w:style>
  <w:style w:type="paragraph" w:styleId="DocumentMap">
    <w:name w:val="Document Map"/>
    <w:basedOn w:val="Normal"/>
    <w:link w:val="DocumentMapChar"/>
    <w:uiPriority w:val="99"/>
    <w:semiHidden/>
    <w:unhideWhenUsed/>
    <w:rsid w:val="00DD2963"/>
    <w:pPr>
      <w:spacing w:before="0"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DD2963"/>
    <w:rPr>
      <w:rFonts w:ascii="Times New Roman" w:hAnsi="Times New Roman" w:cs="Times New Roman"/>
      <w:szCs w:val="24"/>
    </w:rPr>
  </w:style>
  <w:style w:type="paragraph" w:styleId="ListNumber">
    <w:name w:val="List Number"/>
    <w:basedOn w:val="Normal"/>
    <w:uiPriority w:val="99"/>
    <w:unhideWhenUsed/>
    <w:rsid w:val="001404F4"/>
    <w:pPr>
      <w:numPr>
        <w:numId w:val="22"/>
      </w:numPr>
      <w:spacing w:before="0" w:after="240" w:line="240" w:lineRule="auto"/>
      <w:ind w:left="0" w:firstLine="0"/>
      <w:contextualSpacing/>
    </w:pPr>
    <w:rPr>
      <w:rFonts w:asciiTheme="minorHAnsi" w:hAnsiTheme="minorHAnsi"/>
    </w:rPr>
  </w:style>
  <w:style w:type="table" w:customStyle="1" w:styleId="TableGridLight2">
    <w:name w:val="Table Grid Light2"/>
    <w:basedOn w:val="TableNormal"/>
    <w:uiPriority w:val="40"/>
    <w:rsid w:val="00DD296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D2963"/>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TableBullet0">
    <w:name w:val="TableBullet"/>
    <w:basedOn w:val="TableText1"/>
    <w:rsid w:val="001404F4"/>
    <w:pPr>
      <w:numPr>
        <w:numId w:val="23"/>
      </w:numPr>
      <w:tabs>
        <w:tab w:val="clear" w:pos="360"/>
        <w:tab w:val="left" w:pos="216"/>
      </w:tabs>
      <w:spacing w:before="20" w:after="20" w:line="240" w:lineRule="auto"/>
      <w:ind w:left="0" w:firstLine="0"/>
      <w:jc w:val="left"/>
    </w:pPr>
    <w:rPr>
      <w:rFonts w:cs="Times New Roman"/>
      <w:color w:val="000000"/>
      <w:sz w:val="20"/>
      <w:szCs w:val="21"/>
    </w:rPr>
  </w:style>
  <w:style w:type="table" w:customStyle="1" w:styleId="LightList1">
    <w:name w:val="Light List1"/>
    <w:basedOn w:val="TableNormal"/>
    <w:uiPriority w:val="61"/>
    <w:rsid w:val="00DD296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DD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DD2963"/>
    <w:rPr>
      <w:rFonts w:ascii="Courier New" w:eastAsia="Times New Roman" w:hAnsi="Courier New" w:cs="Courier New"/>
      <w:sz w:val="20"/>
      <w:szCs w:val="20"/>
      <w:lang w:eastAsia="en-AU"/>
    </w:rPr>
  </w:style>
  <w:style w:type="table" w:styleId="ColorfulList-Accent4">
    <w:name w:val="Colorful List Accent 4"/>
    <w:basedOn w:val="TableNormal"/>
    <w:uiPriority w:val="72"/>
    <w:rsid w:val="00DD2963"/>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character" w:styleId="HTMLCite">
    <w:name w:val="HTML Cite"/>
    <w:basedOn w:val="DefaultParagraphFont"/>
    <w:uiPriority w:val="99"/>
    <w:semiHidden/>
    <w:unhideWhenUsed/>
    <w:rsid w:val="00DD2963"/>
    <w:rPr>
      <w:i/>
      <w:iCs/>
    </w:rPr>
  </w:style>
  <w:style w:type="table" w:customStyle="1" w:styleId="MediumShading11">
    <w:name w:val="Medium Shading 11"/>
    <w:basedOn w:val="TableNormal"/>
    <w:uiPriority w:val="63"/>
    <w:rsid w:val="00DD2963"/>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DD2963"/>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D2963"/>
    <w:rPr>
      <w:color w:val="808080"/>
    </w:rPr>
  </w:style>
  <w:style w:type="table" w:styleId="LightShading">
    <w:name w:val="Light Shading"/>
    <w:basedOn w:val="TableNormal"/>
    <w:uiPriority w:val="60"/>
    <w:rsid w:val="00DD296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
    <w:name w:val="Default table"/>
    <w:basedOn w:val="TableNormal"/>
    <w:uiPriority w:val="99"/>
    <w:rsid w:val="00DD2963"/>
    <w:pPr>
      <w:spacing w:after="0" w:line="240" w:lineRule="auto"/>
    </w:pPr>
    <w:rPr>
      <w:lang w:val="en-US"/>
    </w:rPr>
    <w:tblPr/>
  </w:style>
  <w:style w:type="table" w:customStyle="1" w:styleId="SanofiTable">
    <w:name w:val="Sanofi Table"/>
    <w:basedOn w:val="TableNormal"/>
    <w:uiPriority w:val="99"/>
    <w:rsid w:val="00DD2963"/>
    <w:pPr>
      <w:spacing w:after="0" w:line="240" w:lineRule="auto"/>
      <w:jc w:val="center"/>
    </w:pPr>
    <w:rPr>
      <w:i/>
      <w:sz w:val="20"/>
      <w:szCs w:val="24"/>
      <w:lang w:val="fr-FR"/>
    </w:rPr>
    <w:tblPr>
      <w:tblStyleColBandSize w:val="1"/>
    </w:tblPr>
    <w:tcPr>
      <w:vAlign w:val="center"/>
    </w:tcPr>
    <w:tblStylePr w:type="firstRow">
      <w:rPr>
        <w:rFonts w:asciiTheme="majorHAnsi" w:hAnsiTheme="majorHAnsi"/>
        <w:b/>
        <w:color w:val="FFFFFF" w:themeColor="background1"/>
        <w:sz w:val="20"/>
      </w:rPr>
      <w:tblPr>
        <w:tblCellMar>
          <w:top w:w="142" w:type="dxa"/>
          <w:left w:w="142" w:type="dxa"/>
          <w:bottom w:w="142" w:type="dxa"/>
          <w:right w:w="142" w:type="dxa"/>
        </w:tblCellMar>
      </w:tblPr>
      <w:tcPr>
        <w:shd w:val="clear" w:color="auto" w:fill="5B9BD5" w:themeFill="accent1"/>
      </w:tcPr>
    </w:tblStylePr>
    <w:tblStylePr w:type="firstCol">
      <w:pPr>
        <w:jc w:val="left"/>
      </w:pPr>
      <w:rPr>
        <w:i w:val="0"/>
      </w:rPr>
      <w:tblPr/>
      <w:tcPr>
        <w:shd w:val="clear" w:color="auto" w:fill="FFFFFF" w:themeFill="background1"/>
      </w:tcPr>
    </w:tblStylePr>
    <w:tblStylePr w:type="band1Vert">
      <w:rPr>
        <w:i w:val="0"/>
      </w:rPr>
      <w:tblPr/>
      <w:tcPr>
        <w:shd w:val="clear" w:color="auto" w:fill="44546A" w:themeFill="text2"/>
      </w:tcPr>
    </w:tblStylePr>
    <w:tblStylePr w:type="band2Vert">
      <w:rPr>
        <w:rFonts w:asciiTheme="minorHAnsi" w:hAnsiTheme="minorHAnsi"/>
        <w:i/>
        <w:sz w:val="20"/>
      </w:rPr>
      <w:tblPr/>
      <w:tcPr>
        <w:shd w:val="clear" w:color="auto" w:fill="FFFFFF" w:themeFill="background1"/>
      </w:tcPr>
    </w:tblStylePr>
  </w:style>
  <w:style w:type="numbering" w:customStyle="1" w:styleId="Tabletextleftbulleted1">
    <w:name w:val="Table text left bulleted1"/>
    <w:basedOn w:val="NoList"/>
    <w:rsid w:val="001404F4"/>
    <w:pPr>
      <w:numPr>
        <w:numId w:val="13"/>
      </w:numPr>
    </w:pPr>
  </w:style>
  <w:style w:type="paragraph" w:styleId="NoSpacing">
    <w:name w:val="No Spacing"/>
    <w:aliases w:val="Main text,Title Page text"/>
    <w:link w:val="NoSpacingChar"/>
    <w:uiPriority w:val="1"/>
    <w:qFormat/>
    <w:rsid w:val="00DD2963"/>
    <w:pPr>
      <w:spacing w:after="0" w:line="360" w:lineRule="auto"/>
      <w:jc w:val="both"/>
    </w:pPr>
    <w:rPr>
      <w:rFonts w:ascii="Garamond" w:eastAsia="Times New Roman" w:hAnsi="Garamond" w:cs="Times New Roman"/>
    </w:rPr>
  </w:style>
  <w:style w:type="character" w:customStyle="1" w:styleId="NoSpacingChar">
    <w:name w:val="No Spacing Char"/>
    <w:aliases w:val="Main text Char,Title Page text Char"/>
    <w:basedOn w:val="DefaultParagraphFont"/>
    <w:link w:val="NoSpacing"/>
    <w:uiPriority w:val="1"/>
    <w:rsid w:val="00DD2963"/>
    <w:rPr>
      <w:rFonts w:ascii="Garamond" w:eastAsia="Times New Roman" w:hAnsi="Garamond" w:cs="Times New Roman"/>
    </w:rPr>
  </w:style>
  <w:style w:type="paragraph" w:customStyle="1" w:styleId="Hyperlink1">
    <w:name w:val="Hyperlink1"/>
    <w:basedOn w:val="BodyText"/>
    <w:link w:val="hyperlinkChar"/>
    <w:qFormat/>
    <w:rsid w:val="00DD2963"/>
    <w:pPr>
      <w:spacing w:before="60" w:after="120" w:line="264" w:lineRule="auto"/>
      <w:jc w:val="left"/>
    </w:pPr>
    <w:rPr>
      <w:rFonts w:ascii="Calibri Light" w:eastAsia="Times New Roman" w:hAnsi="Calibri Light"/>
      <w:color w:val="0000FF"/>
      <w:szCs w:val="24"/>
      <w:u w:val="single"/>
      <w:lang w:val="en-GB"/>
    </w:rPr>
  </w:style>
  <w:style w:type="character" w:customStyle="1" w:styleId="hyperlinkChar">
    <w:name w:val="hyperlink Char"/>
    <w:basedOn w:val="BodyTextChar"/>
    <w:link w:val="Hyperlink1"/>
    <w:rsid w:val="00DD2963"/>
    <w:rPr>
      <w:rFonts w:ascii="Calibri Light" w:eastAsia="Times New Roman" w:hAnsi="Calibri Light" w:cs="Times New Roman"/>
      <w:color w:val="0000FF"/>
      <w:sz w:val="20"/>
      <w:szCs w:val="24"/>
      <w:u w:val="single"/>
      <w:lang w:val="en-GB"/>
    </w:rPr>
  </w:style>
  <w:style w:type="paragraph" w:customStyle="1" w:styleId="CaptionTable">
    <w:name w:val="Caption Table"/>
    <w:basedOn w:val="Normal"/>
    <w:next w:val="Normal"/>
    <w:link w:val="CaptionTableChar"/>
    <w:autoRedefine/>
    <w:rsid w:val="00DD2963"/>
    <w:pPr>
      <w:keepNext/>
      <w:spacing w:before="0" w:after="120" w:line="240" w:lineRule="auto"/>
      <w:ind w:left="1277" w:hanging="1277"/>
      <w:jc w:val="both"/>
    </w:pPr>
    <w:rPr>
      <w:rFonts w:ascii="Calibri" w:eastAsia="Times New Roman" w:hAnsi="Calibri" w:cs="Times New Roman"/>
      <w:b/>
      <w:sz w:val="20"/>
    </w:rPr>
  </w:style>
  <w:style w:type="paragraph" w:customStyle="1" w:styleId="TableTextleftalign">
    <w:name w:val="Table Text left align"/>
    <w:basedOn w:val="TableTitlecentred"/>
    <w:link w:val="TableTextleftalignChar"/>
    <w:qFormat/>
    <w:rsid w:val="00DD2963"/>
    <w:pPr>
      <w:jc w:val="left"/>
    </w:pPr>
    <w:rPr>
      <w:b w:val="0"/>
      <w:szCs w:val="18"/>
    </w:rPr>
  </w:style>
  <w:style w:type="character" w:customStyle="1" w:styleId="CaptionTableChar">
    <w:name w:val="Caption Table Char"/>
    <w:basedOn w:val="DefaultParagraphFont"/>
    <w:link w:val="CaptionTable"/>
    <w:rsid w:val="00DD2963"/>
    <w:rPr>
      <w:rFonts w:ascii="Calibri" w:eastAsia="Times New Roman" w:hAnsi="Calibri" w:cs="Times New Roman"/>
      <w:b/>
      <w:sz w:val="20"/>
    </w:rPr>
  </w:style>
  <w:style w:type="character" w:customStyle="1" w:styleId="TableTextleftalignChar">
    <w:name w:val="Table Text left align Char"/>
    <w:basedOn w:val="DefaultParagraphFont"/>
    <w:link w:val="TableTextleftalign"/>
    <w:rsid w:val="00DD2963"/>
    <w:rPr>
      <w:rFonts w:ascii="Calibri" w:eastAsia="Times New Roman" w:hAnsi="Calibri" w:cs="Times New Roman"/>
      <w:sz w:val="18"/>
      <w:szCs w:val="18"/>
    </w:rPr>
  </w:style>
  <w:style w:type="paragraph" w:customStyle="1" w:styleId="TableTitlecentred">
    <w:name w:val="Table Title centred"/>
    <w:basedOn w:val="Normal"/>
    <w:rsid w:val="00DD2963"/>
    <w:pPr>
      <w:spacing w:before="0" w:after="0" w:line="240" w:lineRule="auto"/>
      <w:jc w:val="center"/>
    </w:pPr>
    <w:rPr>
      <w:rFonts w:ascii="Calibri" w:eastAsia="Times New Roman" w:hAnsi="Calibri" w:cs="Times New Roman"/>
      <w:b/>
      <w:sz w:val="18"/>
      <w:szCs w:val="20"/>
    </w:rPr>
  </w:style>
  <w:style w:type="character" w:customStyle="1" w:styleId="fontstyle21">
    <w:name w:val="fontstyle21"/>
    <w:basedOn w:val="DefaultParagraphFont"/>
    <w:rsid w:val="00DD2963"/>
    <w:rPr>
      <w:rFonts w:ascii="ArialNarrow" w:hAnsi="ArialNarrow" w:hint="default"/>
      <w:b w:val="0"/>
      <w:bCs w:val="0"/>
      <w:i w:val="0"/>
      <w:iCs w:val="0"/>
      <w:color w:val="000000"/>
      <w:sz w:val="20"/>
      <w:szCs w:val="20"/>
    </w:rPr>
  </w:style>
  <w:style w:type="character" w:styleId="Mention">
    <w:name w:val="Mention"/>
    <w:basedOn w:val="DefaultParagraphFont"/>
    <w:uiPriority w:val="99"/>
    <w:unhideWhenUsed/>
    <w:rsid w:val="00DD2963"/>
    <w:rPr>
      <w:color w:val="2B579A"/>
      <w:shd w:val="clear" w:color="auto" w:fill="E1DFDD"/>
    </w:rPr>
  </w:style>
  <w:style w:type="character" w:customStyle="1" w:styleId="MainBodyTextEmphasiswithBold">
    <w:name w:val="Main Body Text Emphasis with Bold"/>
    <w:qFormat/>
    <w:rsid w:val="00DD2963"/>
    <w:rPr>
      <w:b/>
    </w:rPr>
  </w:style>
  <w:style w:type="paragraph" w:customStyle="1" w:styleId="TableTextcentred">
    <w:name w:val="Table Text centred"/>
    <w:basedOn w:val="Normal"/>
    <w:link w:val="TableTextcentredChar"/>
    <w:qFormat/>
    <w:rsid w:val="00DD2963"/>
    <w:pPr>
      <w:spacing w:before="0" w:after="0" w:line="240" w:lineRule="auto"/>
      <w:jc w:val="center"/>
    </w:pPr>
    <w:rPr>
      <w:rFonts w:ascii="Calibri" w:eastAsia="Times New Roman" w:hAnsi="Calibri" w:cs="Times New Roman"/>
      <w:sz w:val="18"/>
      <w:szCs w:val="18"/>
    </w:rPr>
  </w:style>
  <w:style w:type="character" w:customStyle="1" w:styleId="TableTextcentredChar">
    <w:name w:val="Table Text centred Char"/>
    <w:basedOn w:val="DefaultParagraphFont"/>
    <w:link w:val="TableTextcentred"/>
    <w:rsid w:val="00DD2963"/>
    <w:rPr>
      <w:rFonts w:ascii="Calibri" w:eastAsia="Times New Roman" w:hAnsi="Calibri" w:cs="Times New Roman"/>
      <w:sz w:val="18"/>
      <w:szCs w:val="18"/>
    </w:rPr>
  </w:style>
  <w:style w:type="paragraph" w:customStyle="1" w:styleId="TableFootnoteindent">
    <w:name w:val="Table Footnote indent"/>
    <w:basedOn w:val="Normal"/>
    <w:next w:val="Normal"/>
    <w:link w:val="TableFootnoteindentChar"/>
    <w:qFormat/>
    <w:rsid w:val="00DD2963"/>
    <w:pPr>
      <w:tabs>
        <w:tab w:val="left" w:pos="284"/>
      </w:tabs>
      <w:spacing w:before="0" w:after="0" w:line="240" w:lineRule="auto"/>
      <w:ind w:left="284" w:hanging="284"/>
    </w:pPr>
    <w:rPr>
      <w:rFonts w:ascii="Calibri" w:eastAsia="Times New Roman" w:hAnsi="Calibri" w:cs="Times New Roman"/>
      <w:sz w:val="16"/>
    </w:rPr>
  </w:style>
  <w:style w:type="character" w:customStyle="1" w:styleId="TableFootnoteindentChar">
    <w:name w:val="Table Footnote indent Char"/>
    <w:basedOn w:val="DefaultParagraphFont"/>
    <w:link w:val="TableFootnoteindent"/>
    <w:rsid w:val="00DD2963"/>
    <w:rPr>
      <w:rFonts w:ascii="Calibri" w:eastAsia="Times New Roman" w:hAnsi="Calibri" w:cs="Times New Roman"/>
      <w:sz w:val="16"/>
    </w:rPr>
  </w:style>
  <w:style w:type="paragraph" w:customStyle="1" w:styleId="bulletlevel1">
    <w:name w:val="bullet level 1"/>
    <w:basedOn w:val="Normal"/>
    <w:link w:val="bulletlevel1Char"/>
    <w:rsid w:val="001404F4"/>
    <w:pPr>
      <w:numPr>
        <w:numId w:val="24"/>
      </w:numPr>
      <w:tabs>
        <w:tab w:val="num" w:pos="360"/>
        <w:tab w:val="num" w:pos="426"/>
      </w:tabs>
      <w:spacing w:before="0" w:after="0" w:line="240" w:lineRule="auto"/>
      <w:ind w:left="0" w:firstLine="0"/>
    </w:pPr>
    <w:rPr>
      <w:rFonts w:ascii="Calibri" w:eastAsia="Times New Roman" w:hAnsi="Calibri" w:cs="Times New Roman"/>
    </w:rPr>
  </w:style>
  <w:style w:type="character" w:customStyle="1" w:styleId="bulletlevel1Char">
    <w:name w:val="bullet level 1 Char"/>
    <w:basedOn w:val="DefaultParagraphFont"/>
    <w:link w:val="bulletlevel1"/>
    <w:rsid w:val="00DD2963"/>
    <w:rPr>
      <w:rFonts w:ascii="Calibri" w:eastAsia="Times New Roman" w:hAnsi="Calibri" w:cs="Times New Roman"/>
    </w:rPr>
  </w:style>
  <w:style w:type="paragraph" w:customStyle="1" w:styleId="bulletlevel2">
    <w:name w:val="bullet level 2"/>
    <w:basedOn w:val="Normal"/>
    <w:link w:val="bulletlevel2Char"/>
    <w:qFormat/>
    <w:rsid w:val="001404F4"/>
    <w:pPr>
      <w:numPr>
        <w:numId w:val="25"/>
      </w:numPr>
      <w:tabs>
        <w:tab w:val="num" w:pos="360"/>
        <w:tab w:val="num" w:pos="851"/>
      </w:tabs>
      <w:spacing w:before="0" w:after="0" w:line="240" w:lineRule="auto"/>
      <w:ind w:left="0" w:firstLine="0"/>
    </w:pPr>
    <w:rPr>
      <w:rFonts w:ascii="Calibri" w:eastAsia="Times New Roman" w:hAnsi="Calibri" w:cs="Times New Roman"/>
      <w:color w:val="000000"/>
      <w:lang w:val="en-US"/>
    </w:rPr>
  </w:style>
  <w:style w:type="character" w:customStyle="1" w:styleId="bulletlevel2Char">
    <w:name w:val="bullet level 2 Char"/>
    <w:basedOn w:val="DefaultParagraphFont"/>
    <w:link w:val="bulletlevel2"/>
    <w:rsid w:val="00DD2963"/>
    <w:rPr>
      <w:rFonts w:ascii="Calibri" w:eastAsia="Times New Roman" w:hAnsi="Calibri" w:cs="Times New Roman"/>
      <w:color w:val="000000"/>
      <w:lang w:val="en-US"/>
    </w:rPr>
  </w:style>
  <w:style w:type="character" w:customStyle="1" w:styleId="xcitation-part">
    <w:name w:val="x_citation-part"/>
    <w:basedOn w:val="DefaultParagraphFont"/>
    <w:rsid w:val="00DD2963"/>
  </w:style>
  <w:style w:type="character" w:customStyle="1" w:styleId="xdocsum-pmid">
    <w:name w:val="x_docsum-pmid"/>
    <w:basedOn w:val="DefaultParagraphFont"/>
    <w:rsid w:val="00DD2963"/>
  </w:style>
  <w:style w:type="character" w:customStyle="1" w:styleId="xfree-resources">
    <w:name w:val="x_free-resources"/>
    <w:basedOn w:val="DefaultParagraphFont"/>
    <w:rsid w:val="00DD2963"/>
  </w:style>
  <w:style w:type="character" w:customStyle="1" w:styleId="docsum-authors">
    <w:name w:val="docsum-authors"/>
    <w:basedOn w:val="DefaultParagraphFont"/>
    <w:rsid w:val="00DD2963"/>
  </w:style>
  <w:style w:type="character" w:customStyle="1" w:styleId="docsum-journal-citation">
    <w:name w:val="docsum-journal-citation"/>
    <w:basedOn w:val="DefaultParagraphFont"/>
    <w:rsid w:val="00DD2963"/>
  </w:style>
  <w:style w:type="character" w:customStyle="1" w:styleId="citation-part">
    <w:name w:val="citation-part"/>
    <w:basedOn w:val="DefaultParagraphFont"/>
    <w:rsid w:val="00DD2963"/>
  </w:style>
  <w:style w:type="character" w:customStyle="1" w:styleId="docsum-pmid">
    <w:name w:val="docsum-pmid"/>
    <w:basedOn w:val="DefaultParagraphFont"/>
    <w:rsid w:val="00DD2963"/>
  </w:style>
  <w:style w:type="paragraph" w:customStyle="1" w:styleId="paragraph">
    <w:name w:val="paragraph"/>
    <w:basedOn w:val="Normal"/>
    <w:rsid w:val="00DD296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2963"/>
  </w:style>
  <w:style w:type="character" w:customStyle="1" w:styleId="eop">
    <w:name w:val="eop"/>
    <w:basedOn w:val="DefaultParagraphFont"/>
    <w:rsid w:val="00DD2963"/>
  </w:style>
  <w:style w:type="character" w:customStyle="1" w:styleId="3-BodyTextChar">
    <w:name w:val="3-Body Text Char"/>
    <w:basedOn w:val="DefaultParagraphFont"/>
    <w:link w:val="3-BodyText"/>
    <w:rsid w:val="007F5C16"/>
    <w:rPr>
      <w:rFonts w:eastAsia="Times New Roman" w:cs="Arial"/>
      <w:snapToGrid w:val="0"/>
      <w:sz w:val="24"/>
      <w:szCs w:val="24"/>
      <w:lang w:eastAsia="en-AU"/>
    </w:rPr>
  </w:style>
  <w:style w:type="table" w:customStyle="1" w:styleId="Section3-footnot1">
    <w:name w:val="Section 3- footnot1"/>
    <w:basedOn w:val="TableNormal"/>
    <w:next w:val="TableGrid"/>
    <w:uiPriority w:val="59"/>
    <w:rsid w:val="005B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eforeDash0">
    <w:name w:val="BulletBeforeDash"/>
    <w:basedOn w:val="Normal"/>
    <w:rsid w:val="00206785"/>
    <w:pPr>
      <w:numPr>
        <w:numId w:val="32"/>
      </w:numPr>
      <w:spacing w:before="0" w:after="0" w:line="240" w:lineRule="auto"/>
    </w:pPr>
    <w:rPr>
      <w:rFonts w:ascii="Times New Roman" w:eastAsia="Times New Roman" w:hAnsi="Times New Roman" w:cs="Times New Roman"/>
      <w:color w:val="000000"/>
      <w:sz w:val="24"/>
      <w:szCs w:val="20"/>
      <w:lang w:eastAsia="en-AU"/>
    </w:rPr>
  </w:style>
  <w:style w:type="paragraph" w:styleId="EndnoteText">
    <w:name w:val="endnote text"/>
    <w:basedOn w:val="Normal"/>
    <w:link w:val="EndnoteTextChar"/>
    <w:uiPriority w:val="99"/>
    <w:semiHidden/>
    <w:unhideWhenUsed/>
    <w:rsid w:val="00A149B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149B3"/>
    <w:rPr>
      <w:rFonts w:ascii="Franklin Gothic Book" w:hAnsi="Franklin Gothic Book"/>
      <w:sz w:val="20"/>
      <w:szCs w:val="20"/>
    </w:rPr>
  </w:style>
  <w:style w:type="character" w:styleId="EndnoteReference">
    <w:name w:val="endnote reference"/>
    <w:basedOn w:val="DefaultParagraphFont"/>
    <w:uiPriority w:val="99"/>
    <w:semiHidden/>
    <w:unhideWhenUsed/>
    <w:rsid w:val="00A14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59598864">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51916369">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1625442">
      <w:bodyDiv w:val="1"/>
      <w:marLeft w:val="0"/>
      <w:marRight w:val="0"/>
      <w:marTop w:val="0"/>
      <w:marBottom w:val="0"/>
      <w:divBdr>
        <w:top w:val="none" w:sz="0" w:space="0" w:color="auto"/>
        <w:left w:val="none" w:sz="0" w:space="0" w:color="auto"/>
        <w:bottom w:val="none" w:sz="0" w:space="0" w:color="auto"/>
        <w:right w:val="none" w:sz="0" w:space="0" w:color="auto"/>
      </w:divBdr>
      <w:divsChild>
        <w:div w:id="182282982">
          <w:marLeft w:val="0"/>
          <w:marRight w:val="0"/>
          <w:marTop w:val="0"/>
          <w:marBottom w:val="0"/>
          <w:divBdr>
            <w:top w:val="none" w:sz="0" w:space="0" w:color="auto"/>
            <w:left w:val="none" w:sz="0" w:space="0" w:color="auto"/>
            <w:bottom w:val="none" w:sz="0" w:space="0" w:color="auto"/>
            <w:right w:val="none" w:sz="0" w:space="0" w:color="auto"/>
          </w:divBdr>
        </w:div>
        <w:div w:id="244848059">
          <w:marLeft w:val="0"/>
          <w:marRight w:val="0"/>
          <w:marTop w:val="0"/>
          <w:marBottom w:val="0"/>
          <w:divBdr>
            <w:top w:val="none" w:sz="0" w:space="0" w:color="auto"/>
            <w:left w:val="none" w:sz="0" w:space="0" w:color="auto"/>
            <w:bottom w:val="none" w:sz="0" w:space="0" w:color="auto"/>
            <w:right w:val="none" w:sz="0" w:space="0" w:color="auto"/>
          </w:divBdr>
        </w:div>
        <w:div w:id="765423858">
          <w:marLeft w:val="0"/>
          <w:marRight w:val="0"/>
          <w:marTop w:val="0"/>
          <w:marBottom w:val="0"/>
          <w:divBdr>
            <w:top w:val="none" w:sz="0" w:space="0" w:color="auto"/>
            <w:left w:val="none" w:sz="0" w:space="0" w:color="auto"/>
            <w:bottom w:val="none" w:sz="0" w:space="0" w:color="auto"/>
            <w:right w:val="none" w:sz="0" w:space="0" w:color="auto"/>
          </w:divBdr>
        </w:div>
      </w:divsChild>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275723608">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2939521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52794730">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562104379">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4896879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69537980">
      <w:bodyDiv w:val="1"/>
      <w:marLeft w:val="0"/>
      <w:marRight w:val="0"/>
      <w:marTop w:val="0"/>
      <w:marBottom w:val="0"/>
      <w:divBdr>
        <w:top w:val="none" w:sz="0" w:space="0" w:color="auto"/>
        <w:left w:val="none" w:sz="0" w:space="0" w:color="auto"/>
        <w:bottom w:val="none" w:sz="0" w:space="0" w:color="auto"/>
        <w:right w:val="none" w:sz="0" w:space="0" w:color="auto"/>
      </w:divBdr>
      <w:divsChild>
        <w:div w:id="128087687">
          <w:marLeft w:val="0"/>
          <w:marRight w:val="0"/>
          <w:marTop w:val="0"/>
          <w:marBottom w:val="0"/>
          <w:divBdr>
            <w:top w:val="none" w:sz="0" w:space="0" w:color="auto"/>
            <w:left w:val="none" w:sz="0" w:space="0" w:color="auto"/>
            <w:bottom w:val="none" w:sz="0" w:space="0" w:color="auto"/>
            <w:right w:val="none" w:sz="0" w:space="0" w:color="auto"/>
          </w:divBdr>
        </w:div>
        <w:div w:id="1172988372">
          <w:marLeft w:val="0"/>
          <w:marRight w:val="0"/>
          <w:marTop w:val="0"/>
          <w:marBottom w:val="0"/>
          <w:divBdr>
            <w:top w:val="none" w:sz="0" w:space="0" w:color="auto"/>
            <w:left w:val="none" w:sz="0" w:space="0" w:color="auto"/>
            <w:bottom w:val="none" w:sz="0" w:space="0" w:color="auto"/>
            <w:right w:val="none" w:sz="0" w:space="0" w:color="auto"/>
          </w:divBdr>
        </w:div>
        <w:div w:id="1507283814">
          <w:marLeft w:val="0"/>
          <w:marRight w:val="0"/>
          <w:marTop w:val="0"/>
          <w:marBottom w:val="0"/>
          <w:divBdr>
            <w:top w:val="none" w:sz="0" w:space="0" w:color="auto"/>
            <w:left w:val="none" w:sz="0" w:space="0" w:color="auto"/>
            <w:bottom w:val="none" w:sz="0" w:space="0" w:color="auto"/>
            <w:right w:val="none" w:sz="0" w:space="0" w:color="auto"/>
          </w:divBdr>
        </w:div>
      </w:divsChild>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85801341">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5811359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64536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297949269">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15928912">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53743651">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09443714">
      <w:bodyDiv w:val="1"/>
      <w:marLeft w:val="0"/>
      <w:marRight w:val="0"/>
      <w:marTop w:val="0"/>
      <w:marBottom w:val="0"/>
      <w:divBdr>
        <w:top w:val="none" w:sz="0" w:space="0" w:color="auto"/>
        <w:left w:val="none" w:sz="0" w:space="0" w:color="auto"/>
        <w:bottom w:val="none" w:sz="0" w:space="0" w:color="auto"/>
        <w:right w:val="none" w:sz="0" w:space="0" w:color="auto"/>
      </w:divBdr>
    </w:div>
    <w:div w:id="1565606399">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692954379">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07717985">
      <w:bodyDiv w:val="1"/>
      <w:marLeft w:val="0"/>
      <w:marRight w:val="0"/>
      <w:marTop w:val="0"/>
      <w:marBottom w:val="0"/>
      <w:divBdr>
        <w:top w:val="none" w:sz="0" w:space="0" w:color="auto"/>
        <w:left w:val="none" w:sz="0" w:space="0" w:color="auto"/>
        <w:bottom w:val="none" w:sz="0" w:space="0" w:color="auto"/>
        <w:right w:val="none" w:sz="0" w:space="0" w:color="auto"/>
      </w:divBdr>
    </w:div>
    <w:div w:id="1948803366">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072606906">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9.health.gov.au/mbs/fullDisplay.cfm?type=item&amp;q=18354&amp;qt=item" TargetMode="External"/><Relationship Id="rId18" Type="http://schemas.openxmlformats.org/officeDocument/2006/relationships/hyperlink" Target="https://www9.health.gov.au/mbs/fullDisplay.cfm?type=item&amp;q=18374&amp;qt=item&amp;criteria=xeom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fullDisplay.cfm?type=item&amp;q=18361&amp;qt=item" TargetMode="External"/><Relationship Id="rId17" Type="http://schemas.openxmlformats.org/officeDocument/2006/relationships/hyperlink" Target="https://www9.health.gov.au/mbs/fullDisplay.cfm?type=item&amp;q=18369&amp;qt=item&amp;criteria=xeomi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9.health.gov.au/mbs/fullDisplay.cfm?type=item&amp;q=18365&amp;qt=item&amp;criteria=xeomin"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fullDisplay.cfm?type=item&amp;q=18354&amp;qt=ite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9.health.gov.au/mbs/fullDisplay.cfm?type=item&amp;q=18353&amp;qt=item&amp;criteria=xeomin"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hyperlink" Target="https://www9.health.gov.au/mbs/fullDisplay.cfm?type=item&amp;q=18361&amp;qt=item&amp;criteria=botox" TargetMode="External"/><Relationship Id="rId19" Type="http://schemas.openxmlformats.org/officeDocument/2006/relationships/hyperlink" Target="http://msac.gov.au/internet/msac/publishing.nsf/Content/Home-1" TargetMode="External"/><Relationship Id="rId4" Type="http://schemas.openxmlformats.org/officeDocument/2006/relationships/settings" Target="settings.xml"/><Relationship Id="rId9" Type="http://schemas.openxmlformats.org/officeDocument/2006/relationships/hyperlink" Target="https://www9.health.gov.au/mbs/fullDisplay.cfm?type=item&amp;q=18354&amp;qt=item&amp;criteria=botox" TargetMode="External"/><Relationship Id="rId14" Type="http://schemas.openxmlformats.org/officeDocument/2006/relationships/hyperlink" Target="https://www9.health.gov.au/mbs/fullDisplay.cfm?type=item&amp;q=18361&amp;qt=item"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bs.tga.gov.au/ebs/picmi/picmirepository.nsf/pdf?OpenAgent=&amp;id=CP-2014-PI-01703-1&amp;d=202508121723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b67814db4cbf52fde07137e7d49b245e">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dea1ae2ed431f796c5177aed60a9a2d6"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2.xml><?xml version="1.0" encoding="utf-8"?>
<ds:datastoreItem xmlns:ds="http://schemas.openxmlformats.org/officeDocument/2006/customXml" ds:itemID="{4CB40F63-59F8-4FE7-93BD-0DDC5E0E2245}"/>
</file>

<file path=customXml/itemProps3.xml><?xml version="1.0" encoding="utf-8"?>
<ds:datastoreItem xmlns:ds="http://schemas.openxmlformats.org/officeDocument/2006/customXml" ds:itemID="{1F874FDB-D38A-4F04-800F-46A35276E5F3}"/>
</file>

<file path=customXml/itemProps4.xml><?xml version="1.0" encoding="utf-8"?>
<ds:datastoreItem xmlns:ds="http://schemas.openxmlformats.org/officeDocument/2006/customXml" ds:itemID="{2C62204F-25F0-4E58-A1D0-2CECD106E03D}"/>
</file>

<file path=docProps/app.xml><?xml version="1.0" encoding="utf-8"?>
<Properties xmlns="http://schemas.openxmlformats.org/officeDocument/2006/extended-properties" xmlns:vt="http://schemas.openxmlformats.org/officeDocument/2006/docPropsVTypes">
  <Template>Normal.dotm</Template>
  <TotalTime>0</TotalTime>
  <Pages>16</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45515</CharactersWithSpaces>
  <SharedDoc>false</SharedDoc>
  <HyperlinkBase/>
  <HLinks>
    <vt:vector size="84" baseType="variant">
      <vt:variant>
        <vt:i4>6684716</vt:i4>
      </vt:variant>
      <vt:variant>
        <vt:i4>102</vt:i4>
      </vt:variant>
      <vt:variant>
        <vt:i4>0</vt:i4>
      </vt:variant>
      <vt:variant>
        <vt:i4>5</vt:i4>
      </vt:variant>
      <vt:variant>
        <vt:lpwstr>http://msac.gov.au/internet/msac/publishing.nsf/Content/Home-1</vt:lpwstr>
      </vt:variant>
      <vt:variant>
        <vt:lpwstr/>
      </vt:variant>
      <vt:variant>
        <vt:i4>5177372</vt:i4>
      </vt:variant>
      <vt:variant>
        <vt:i4>30</vt:i4>
      </vt:variant>
      <vt:variant>
        <vt:i4>0</vt:i4>
      </vt:variant>
      <vt:variant>
        <vt:i4>5</vt:i4>
      </vt:variant>
      <vt:variant>
        <vt:lpwstr>https://www9.health.gov.au/mbs/fullDisplay.cfm?type=item&amp;q=18374&amp;qt=item&amp;criteria=xeomin</vt:lpwstr>
      </vt:variant>
      <vt:variant>
        <vt:lpwstr/>
      </vt:variant>
      <vt:variant>
        <vt:i4>4325405</vt:i4>
      </vt:variant>
      <vt:variant>
        <vt:i4>27</vt:i4>
      </vt:variant>
      <vt:variant>
        <vt:i4>0</vt:i4>
      </vt:variant>
      <vt:variant>
        <vt:i4>5</vt:i4>
      </vt:variant>
      <vt:variant>
        <vt:lpwstr>https://www9.health.gov.au/mbs/fullDisplay.cfm?type=item&amp;q=18369&amp;qt=item&amp;criteria=xeomin</vt:lpwstr>
      </vt:variant>
      <vt:variant>
        <vt:lpwstr/>
      </vt:variant>
      <vt:variant>
        <vt:i4>5111837</vt:i4>
      </vt:variant>
      <vt:variant>
        <vt:i4>24</vt:i4>
      </vt:variant>
      <vt:variant>
        <vt:i4>0</vt:i4>
      </vt:variant>
      <vt:variant>
        <vt:i4>5</vt:i4>
      </vt:variant>
      <vt:variant>
        <vt:lpwstr>https://www9.health.gov.au/mbs/fullDisplay.cfm?type=item&amp;q=18365&amp;qt=item&amp;criteria=xeomin</vt:lpwstr>
      </vt:variant>
      <vt:variant>
        <vt:lpwstr/>
      </vt:variant>
      <vt:variant>
        <vt:i4>4718622</vt:i4>
      </vt:variant>
      <vt:variant>
        <vt:i4>21</vt:i4>
      </vt:variant>
      <vt:variant>
        <vt:i4>0</vt:i4>
      </vt:variant>
      <vt:variant>
        <vt:i4>5</vt:i4>
      </vt:variant>
      <vt:variant>
        <vt:lpwstr>https://www9.health.gov.au/mbs/fullDisplay.cfm?type=item&amp;q=18353&amp;qt=item&amp;criteria=xeomin</vt:lpwstr>
      </vt:variant>
      <vt:variant>
        <vt:lpwstr/>
      </vt:variant>
      <vt:variant>
        <vt:i4>1507408</vt:i4>
      </vt:variant>
      <vt:variant>
        <vt:i4>18</vt:i4>
      </vt:variant>
      <vt:variant>
        <vt:i4>0</vt:i4>
      </vt:variant>
      <vt:variant>
        <vt:i4>5</vt:i4>
      </vt:variant>
      <vt:variant>
        <vt:lpwstr>https://www9.health.gov.au/mbs/fullDisplay.cfm?type=item&amp;q=18361&amp;qt=item</vt:lpwstr>
      </vt:variant>
      <vt:variant>
        <vt:lpwstr/>
      </vt:variant>
      <vt:variant>
        <vt:i4>1179731</vt:i4>
      </vt:variant>
      <vt:variant>
        <vt:i4>15</vt:i4>
      </vt:variant>
      <vt:variant>
        <vt:i4>0</vt:i4>
      </vt:variant>
      <vt:variant>
        <vt:i4>5</vt:i4>
      </vt:variant>
      <vt:variant>
        <vt:lpwstr>https://www9.health.gov.au/mbs/fullDisplay.cfm?type=item&amp;q=18354&amp;qt=item</vt:lpwstr>
      </vt:variant>
      <vt:variant>
        <vt:lpwstr/>
      </vt:variant>
      <vt:variant>
        <vt:i4>1507408</vt:i4>
      </vt:variant>
      <vt:variant>
        <vt:i4>12</vt:i4>
      </vt:variant>
      <vt:variant>
        <vt:i4>0</vt:i4>
      </vt:variant>
      <vt:variant>
        <vt:i4>5</vt:i4>
      </vt:variant>
      <vt:variant>
        <vt:lpwstr>https://www9.health.gov.au/mbs/fullDisplay.cfm?type=item&amp;q=18361&amp;qt=item</vt:lpwstr>
      </vt:variant>
      <vt:variant>
        <vt:lpwstr/>
      </vt:variant>
      <vt:variant>
        <vt:i4>1179731</vt:i4>
      </vt:variant>
      <vt:variant>
        <vt:i4>9</vt:i4>
      </vt:variant>
      <vt:variant>
        <vt:i4>0</vt:i4>
      </vt:variant>
      <vt:variant>
        <vt:i4>5</vt:i4>
      </vt:variant>
      <vt:variant>
        <vt:lpwstr>https://www9.health.gov.au/mbs/fullDisplay.cfm?type=item&amp;q=18354&amp;qt=item</vt:lpwstr>
      </vt:variant>
      <vt:variant>
        <vt:lpwstr/>
      </vt:variant>
      <vt:variant>
        <vt:i4>2883701</vt:i4>
      </vt:variant>
      <vt:variant>
        <vt:i4>6</vt:i4>
      </vt:variant>
      <vt:variant>
        <vt:i4>0</vt:i4>
      </vt:variant>
      <vt:variant>
        <vt:i4>5</vt:i4>
      </vt:variant>
      <vt:variant>
        <vt:lpwstr>https://www9.health.gov.au/mbs/fullDisplay.cfm?type=item&amp;q=18361&amp;qt=item&amp;criteria=botox</vt:lpwstr>
      </vt:variant>
      <vt:variant>
        <vt:lpwstr/>
      </vt:variant>
      <vt:variant>
        <vt:i4>2687094</vt:i4>
      </vt:variant>
      <vt:variant>
        <vt:i4>3</vt:i4>
      </vt:variant>
      <vt:variant>
        <vt:i4>0</vt:i4>
      </vt:variant>
      <vt:variant>
        <vt:i4>5</vt:i4>
      </vt:variant>
      <vt:variant>
        <vt:lpwstr>https://www9.health.gov.au/mbs/fullDisplay.cfm?type=item&amp;q=18354&amp;qt=item&amp;criteria=botox</vt:lpwstr>
      </vt:variant>
      <vt:variant>
        <vt:lpwstr/>
      </vt:variant>
      <vt:variant>
        <vt:i4>3997744</vt:i4>
      </vt:variant>
      <vt:variant>
        <vt:i4>0</vt:i4>
      </vt:variant>
      <vt:variant>
        <vt:i4>0</vt:i4>
      </vt:variant>
      <vt:variant>
        <vt:i4>5</vt:i4>
      </vt:variant>
      <vt:variant>
        <vt:lpwstr>http://www.msac.gov.au/</vt:lpwstr>
      </vt:variant>
      <vt:variant>
        <vt:lpwstr/>
      </vt:variant>
      <vt:variant>
        <vt:i4>1507338</vt:i4>
      </vt:variant>
      <vt:variant>
        <vt:i4>0</vt:i4>
      </vt:variant>
      <vt:variant>
        <vt:i4>0</vt:i4>
      </vt:variant>
      <vt:variant>
        <vt:i4>5</vt:i4>
      </vt:variant>
      <vt:variant>
        <vt:lpwstr>https://www.ebs.tga.gov.au/ebs/picmi/picmirepository.nsf/pdf?OpenAgent=&amp;id=CP-2014-PI-01703-1&amp;d=20250812172310101</vt:lpwstr>
      </vt:variant>
      <vt:variant>
        <vt:lpwstr/>
      </vt:variant>
      <vt:variant>
        <vt:i4>5701670</vt:i4>
      </vt:variant>
      <vt:variant>
        <vt:i4>0</vt:i4>
      </vt:variant>
      <vt:variant>
        <vt:i4>0</vt:i4>
      </vt:variant>
      <vt:variant>
        <vt:i4>5</vt:i4>
      </vt:variant>
      <vt:variant>
        <vt:lpwstr>https://www.msac.gov.au/sites/default/files/2025-06/1767_final_psd_-_april_2025-redacted.pdf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2025-10-15T04:39:00Z</dcterms:created>
  <dcterms:modified xsi:type="dcterms:W3CDTF">2025-10-15T04:39:00Z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PArchived">
    <vt:lpwstr>Archived</vt:lpwstr>
  </property>
  <property fmtid="{D5CDD505-2E9C-101B-9397-08002B2CF9AE}" pid="3" name="MSIP_Label_7cd3e8b9-ffed-43a8-b7f4-cc2fa0382d36_SiteId">
    <vt:lpwstr>34a3929c-73cf-4954-abfe-147dc3517892</vt:lpwstr>
  </property>
  <property fmtid="{D5CDD505-2E9C-101B-9397-08002B2CF9AE}" pid="4" name="ClassificationContentMarkingFooterText">
    <vt:lpwstr>OFFICIAL</vt:lpwstr>
  </property>
  <property fmtid="{D5CDD505-2E9C-101B-9397-08002B2CF9AE}" pid="5" name="MSIP_Label_7cd3e8b9-ffed-43a8-b7f4-cc2fa0382d36_Method">
    <vt:lpwstr>Privileged</vt:lpwstr>
  </property>
  <property fmtid="{D5CDD505-2E9C-101B-9397-08002B2CF9AE}" pid="6" name="MSIP_Label_7cd3e8b9-ffed-43a8-b7f4-cc2fa0382d36_Tag">
    <vt:lpwstr>10, 0, 1, 2</vt:lpwstr>
  </property>
  <property fmtid="{D5CDD505-2E9C-101B-9397-08002B2CF9AE}" pid="7" name="ClassificationContentMarkingHeaderText">
    <vt:lpwstr>OFFICIAL</vt:lpwstr>
  </property>
  <property fmtid="{D5CDD505-2E9C-101B-9397-08002B2CF9AE}" pid="8" name="MSIP_Label_7cd3e8b9-ffed-43a8-b7f4-cc2fa0382d36_ActionId">
    <vt:lpwstr>68f78444-0fdb-40da-8911-c12ca1390869</vt:lpwstr>
  </property>
  <property fmtid="{D5CDD505-2E9C-101B-9397-08002B2CF9AE}" pid="9" name="MediaServiceImageTags">
    <vt:lpwstr/>
  </property>
  <property fmtid="{D5CDD505-2E9C-101B-9397-08002B2CF9AE}" pid="10" name="ContentTypeId">
    <vt:lpwstr>0x0101005E4A37BE997BE34FBB7D5057D341D123</vt:lpwstr>
  </property>
  <property fmtid="{D5CDD505-2E9C-101B-9397-08002B2CF9AE}" pid="11" name="TrimRecordURI">
    <vt:lpwstr>256912512</vt:lpwstr>
  </property>
  <property fmtid="{D5CDD505-2E9C-101B-9397-08002B2CF9AE}" pid="12" name="ClassificationContentMarkingHeaderFontProps">
    <vt:lpwstr>#ff0000,12,Aptos</vt:lpwstr>
  </property>
  <property fmtid="{D5CDD505-2E9C-101B-9397-08002B2CF9AE}" pid="13" name="HPPTrimRecordId">
    <vt:lpwstr>D25-2333791</vt:lpwstr>
  </property>
  <property fmtid="{D5CDD505-2E9C-101B-9397-08002B2CF9AE}" pid="14" name="MSIP_Label_7cd3e8b9-ffed-43a8-b7f4-cc2fa0382d36_ContentBits">
    <vt:lpwstr>3</vt:lpwstr>
  </property>
  <property fmtid="{D5CDD505-2E9C-101B-9397-08002B2CF9AE}" pid="15" name="HPPTrimContainerId">
    <vt:lpwstr>E25-284170</vt:lpwstr>
  </property>
  <property fmtid="{D5CDD505-2E9C-101B-9397-08002B2CF9AE}" pid="16" name="docLang">
    <vt:lpwstr>en</vt:lpwstr>
  </property>
  <property fmtid="{D5CDD505-2E9C-101B-9397-08002B2CF9AE}" pid="17" name="MSIP_Label_7cd3e8b9-ffed-43a8-b7f4-cc2fa0382d36_Name">
    <vt:lpwstr>O</vt:lpwstr>
  </property>
  <property fmtid="{D5CDD505-2E9C-101B-9397-08002B2CF9AE}" pid="18" name="ClassificationContentMarkingFooterShapeIds">
    <vt:lpwstr>1216746c,b56788d,49fff9a</vt:lpwstr>
  </property>
  <property fmtid="{D5CDD505-2E9C-101B-9397-08002B2CF9AE}" pid="19" name="MSIP_Label_7cd3e8b9-ffed-43a8-b7f4-cc2fa0382d36_Enabled">
    <vt:lpwstr>true</vt:lpwstr>
  </property>
  <property fmtid="{D5CDD505-2E9C-101B-9397-08002B2CF9AE}" pid="20" name="ClassificationContentMarkingHeaderShapeIds">
    <vt:lpwstr>5e5c09ee,10635ef1,2a9f007c</vt:lpwstr>
  </property>
  <property fmtid="{D5CDD505-2E9C-101B-9397-08002B2CF9AE}" pid="21" name="ClassificationContentMarkingFooterFontProps">
    <vt:lpwstr>#ff0000,12,Aptos</vt:lpwstr>
  </property>
  <property fmtid="{D5CDD505-2E9C-101B-9397-08002B2CF9AE}" pid="22" name="MSIP_Label_7cd3e8b9-ffed-43a8-b7f4-cc2fa0382d36_SetDate">
    <vt:lpwstr>2025-08-15T04:29:43Z</vt:lpwstr>
  </property>
  <property fmtid="{D5CDD505-2E9C-101B-9397-08002B2CF9AE}" pid="23" name="HPPTrimLink">
    <vt:lpwstr>https://auc-common-prd-app-as-trim.azurewebsites.net/Api/DownloadTrimFile/HPP/D25-2333791</vt:lpwstr>
  </property>
</Properties>
</file>