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F25B" w14:textId="77777777" w:rsidR="003246F0" w:rsidRPr="00CC5607" w:rsidRDefault="003246F0" w:rsidP="003246F0">
      <w:pPr>
        <w:keepNext/>
        <w:keepLines/>
        <w:spacing w:before="0" w:after="360" w:line="240" w:lineRule="auto"/>
        <w:ind w:left="788"/>
        <w:jc w:val="center"/>
        <w:outlineLvl w:val="0"/>
        <w:rPr>
          <w:rFonts w:ascii="Arial" w:hAnsi="Arial" w:cs="Arial"/>
          <w:b/>
          <w:bCs/>
          <w:color w:val="000080"/>
          <w:sz w:val="36"/>
          <w:szCs w:val="36"/>
        </w:rPr>
      </w:pPr>
      <w:r w:rsidRPr="00F268B7">
        <w:rPr>
          <w:rFonts w:ascii="Arial" w:eastAsiaTheme="majorEastAsia" w:hAnsi="Arial" w:cs="Arial"/>
          <w:b/>
          <w:bCs/>
          <w:color w:val="000080"/>
          <w:sz w:val="36"/>
          <w:szCs w:val="36"/>
        </w:rPr>
        <w:t>Medical Services Advisory Committee (MSAC)</w:t>
      </w:r>
      <w:r w:rsidRPr="00F268B7">
        <w:rPr>
          <w:rFonts w:ascii="Arial" w:eastAsiaTheme="majorEastAsia" w:hAnsi="Arial" w:cs="Arial"/>
          <w:b/>
          <w:bCs/>
          <w:color w:val="000080"/>
          <w:sz w:val="36"/>
          <w:szCs w:val="36"/>
        </w:rPr>
        <w:br/>
      </w:r>
      <w:r w:rsidRPr="00F76D74">
        <w:rPr>
          <w:rFonts w:ascii="Arial" w:hAnsi="Arial" w:cs="Arial"/>
          <w:b/>
          <w:bCs/>
          <w:color w:val="000080"/>
          <w:sz w:val="36"/>
          <w:szCs w:val="36"/>
        </w:rPr>
        <w:t>Public Summary Document</w:t>
      </w:r>
    </w:p>
    <w:p w14:paraId="7A128FDE" w14:textId="3613944B" w:rsidR="00772829" w:rsidRPr="00CE28E3" w:rsidRDefault="00772829" w:rsidP="00772829">
      <w:pPr>
        <w:pStyle w:val="Subtitle"/>
      </w:pPr>
      <w:r w:rsidRPr="00C029EA">
        <w:t xml:space="preserve">Application No. </w:t>
      </w:r>
      <w:r w:rsidR="00913C69" w:rsidRPr="00C029EA">
        <w:t>1728.1</w:t>
      </w:r>
      <w:r w:rsidRPr="00C029EA">
        <w:t xml:space="preserve"> – </w:t>
      </w:r>
      <w:r w:rsidR="00531359" w:rsidRPr="00531359">
        <w:t>Etranacogene dezaparvovec for the treatment of Haemophilia B</w:t>
      </w:r>
    </w:p>
    <w:p w14:paraId="35263561" w14:textId="35B2AFC5" w:rsidR="00772829" w:rsidRPr="00CE28E3" w:rsidRDefault="00772829" w:rsidP="0065768D">
      <w:pPr>
        <w:tabs>
          <w:tab w:val="left" w:pos="3686"/>
        </w:tabs>
        <w:spacing w:after="120"/>
        <w:rPr>
          <w:rFonts w:ascii="Arial" w:hAnsi="Arial" w:cs="Arial"/>
          <w:b/>
          <w:szCs w:val="24"/>
        </w:rPr>
      </w:pPr>
      <w:r w:rsidRPr="00CE28E3">
        <w:rPr>
          <w:rFonts w:ascii="Arial" w:hAnsi="Arial" w:cs="Arial"/>
          <w:b/>
          <w:szCs w:val="24"/>
        </w:rPr>
        <w:t>Applicant:</w:t>
      </w:r>
      <w:r w:rsidRPr="00CE28E3">
        <w:rPr>
          <w:rFonts w:ascii="Arial" w:hAnsi="Arial" w:cs="Arial"/>
          <w:b/>
          <w:szCs w:val="24"/>
        </w:rPr>
        <w:tab/>
      </w:r>
      <w:r w:rsidR="00C029EA" w:rsidRPr="00C029EA">
        <w:rPr>
          <w:rFonts w:ascii="Arial" w:hAnsi="Arial" w:cs="Arial"/>
          <w:b/>
          <w:szCs w:val="24"/>
        </w:rPr>
        <w:t>CSL Behring (Australia) Pty Ltd</w:t>
      </w:r>
    </w:p>
    <w:p w14:paraId="15DA9C4A" w14:textId="4153A70B" w:rsidR="009A3778" w:rsidRDefault="00772829" w:rsidP="00E3012F">
      <w:pPr>
        <w:tabs>
          <w:tab w:val="left" w:pos="3686"/>
        </w:tabs>
        <w:spacing w:after="240"/>
        <w:rPr>
          <w:rFonts w:ascii="Arial" w:hAnsi="Arial" w:cs="Arial"/>
          <w:b/>
          <w:szCs w:val="24"/>
          <w:highlight w:val="cyan"/>
        </w:rPr>
      </w:pPr>
      <w:r w:rsidRPr="00CE28E3">
        <w:rPr>
          <w:rFonts w:ascii="Arial" w:hAnsi="Arial" w:cs="Arial"/>
          <w:b/>
          <w:szCs w:val="24"/>
        </w:rPr>
        <w:t xml:space="preserve">Date of </w:t>
      </w:r>
      <w:r w:rsidR="00FB6331">
        <w:rPr>
          <w:rFonts w:ascii="Arial" w:hAnsi="Arial" w:cs="Arial"/>
          <w:b/>
          <w:szCs w:val="24"/>
        </w:rPr>
        <w:t>MSAC</w:t>
      </w:r>
      <w:r w:rsidRPr="00CE28E3">
        <w:rPr>
          <w:rFonts w:ascii="Arial" w:hAnsi="Arial" w:cs="Arial"/>
          <w:b/>
          <w:szCs w:val="24"/>
        </w:rPr>
        <w:t xml:space="preserve"> consideration:</w:t>
      </w:r>
      <w:r w:rsidRPr="00CE28E3">
        <w:rPr>
          <w:rFonts w:ascii="Arial" w:hAnsi="Arial" w:cs="Arial"/>
          <w:b/>
          <w:szCs w:val="24"/>
        </w:rPr>
        <w:tab/>
      </w:r>
      <w:r w:rsidR="00FB6331">
        <w:rPr>
          <w:rFonts w:ascii="Arial" w:hAnsi="Arial" w:cs="Arial"/>
          <w:b/>
          <w:szCs w:val="24"/>
        </w:rPr>
        <w:t>31</w:t>
      </w:r>
      <w:r w:rsidR="00DE6B2D">
        <w:rPr>
          <w:rFonts w:ascii="Arial" w:hAnsi="Arial" w:cs="Arial"/>
          <w:b/>
          <w:szCs w:val="24"/>
        </w:rPr>
        <w:t xml:space="preserve"> J</w:t>
      </w:r>
      <w:r w:rsidR="00FB6331">
        <w:rPr>
          <w:rFonts w:ascii="Arial" w:hAnsi="Arial" w:cs="Arial"/>
          <w:b/>
          <w:szCs w:val="24"/>
        </w:rPr>
        <w:t>uly</w:t>
      </w:r>
      <w:r w:rsidR="00DE6B2D">
        <w:rPr>
          <w:rFonts w:ascii="Arial" w:hAnsi="Arial" w:cs="Arial"/>
          <w:b/>
          <w:szCs w:val="24"/>
        </w:rPr>
        <w:t xml:space="preserve"> 2025</w:t>
      </w:r>
    </w:p>
    <w:p w14:paraId="7456EF67" w14:textId="77777777" w:rsidR="00A96196" w:rsidRPr="00333EDF" w:rsidRDefault="00A96196" w:rsidP="00E3012F">
      <w:pPr>
        <w:spacing w:after="200"/>
        <w:rPr>
          <w:color w:val="0000FF"/>
          <w:u w:val="single"/>
        </w:rPr>
      </w:pPr>
      <w:bookmarkStart w:id="0" w:name="_Hlk194308493"/>
      <w:bookmarkStart w:id="1" w:name="_Toc69491415"/>
      <w:r w:rsidRPr="00333EDF">
        <w:t xml:space="preserve">Context for decision: MSAC makes its advice in accordance with its Terms of Reference, </w:t>
      </w:r>
      <w:hyperlink r:id="rId11" w:tooltip="Link to Medical Services Advisory Committee website" w:history="1">
        <w:r w:rsidRPr="000D2098">
          <w:rPr>
            <w:rStyle w:val="Hyperlink"/>
            <w:color w:val="007BB8"/>
          </w:rPr>
          <w:t>visit the MSAC website</w:t>
        </w:r>
      </w:hyperlink>
    </w:p>
    <w:bookmarkEnd w:id="0"/>
    <w:p w14:paraId="7EAA7262" w14:textId="11E52B0F" w:rsidR="00772829" w:rsidRPr="00CE28E3" w:rsidRDefault="00772829" w:rsidP="00E3012F">
      <w:pPr>
        <w:pStyle w:val="Heading2"/>
        <w:numPr>
          <w:ilvl w:val="0"/>
          <w:numId w:val="28"/>
        </w:numPr>
        <w:spacing w:before="240" w:after="200"/>
      </w:pPr>
      <w:r w:rsidRPr="00CE28E3">
        <w:t xml:space="preserve">Purpose </w:t>
      </w:r>
      <w:r w:rsidRPr="00CE28E3">
        <w:rPr>
          <w:szCs w:val="32"/>
        </w:rPr>
        <w:t>of</w:t>
      </w:r>
      <w:r w:rsidRPr="00CE28E3">
        <w:t xml:space="preserve"> application</w:t>
      </w:r>
      <w:bookmarkEnd w:id="1"/>
    </w:p>
    <w:p w14:paraId="6BF31FF2" w14:textId="378EF432" w:rsidR="00772829" w:rsidRDefault="00772829" w:rsidP="00E3012F">
      <w:bookmarkStart w:id="2" w:name="_Hlk69734469"/>
      <w:r>
        <w:t xml:space="preserve">An application </w:t>
      </w:r>
      <w:r w:rsidR="00D80521">
        <w:t xml:space="preserve">requesting funding under the </w:t>
      </w:r>
      <w:r w:rsidR="6AA88F3D">
        <w:t>N</w:t>
      </w:r>
      <w:r w:rsidR="00D80521">
        <w:t xml:space="preserve">ational </w:t>
      </w:r>
      <w:r w:rsidR="393E448C">
        <w:t>B</w:t>
      </w:r>
      <w:r w:rsidR="00D80521">
        <w:t xml:space="preserve">lood </w:t>
      </w:r>
      <w:r w:rsidR="4FA3B107">
        <w:t>Agreement</w:t>
      </w:r>
      <w:r w:rsidR="00D80521">
        <w:t xml:space="preserve"> of etranacogene dezaparvovec (also known as </w:t>
      </w:r>
      <w:proofErr w:type="spellStart"/>
      <w:r w:rsidR="00D80521">
        <w:t>Hemgenix</w:t>
      </w:r>
      <w:proofErr w:type="spellEnd"/>
      <w:r w:rsidR="00D80521">
        <w:t xml:space="preserve">®, AMT-061 and CSL222 or </w:t>
      </w:r>
      <w:proofErr w:type="spellStart"/>
      <w:r w:rsidR="00D80521">
        <w:t>EtranaDez</w:t>
      </w:r>
      <w:proofErr w:type="spellEnd"/>
      <w:r w:rsidR="00D80521">
        <w:t>) for the treatment of moderately severe and severe haemophilia B (HMB) was received from CSL Behring (Australia) Pty Ltd by the Department of Health</w:t>
      </w:r>
      <w:r w:rsidR="00E57568">
        <w:t>, Disability and Ageing</w:t>
      </w:r>
      <w:r>
        <w:t>.</w:t>
      </w:r>
    </w:p>
    <w:p w14:paraId="4CAB5305" w14:textId="4DD58562" w:rsidR="00E77D3C" w:rsidRDefault="00E77D3C" w:rsidP="00772829">
      <w:pPr>
        <w:spacing w:after="240"/>
      </w:pPr>
      <w:r>
        <w:t>This</w:t>
      </w:r>
      <w:r w:rsidDel="00297DA9">
        <w:t xml:space="preserve"> </w:t>
      </w:r>
      <w:r>
        <w:t xml:space="preserve">application also assessed a 9-point cell-based anti-adeno-associated virus type 5 (anti-AAV5) </w:t>
      </w:r>
      <w:r w:rsidRPr="00E40A38">
        <w:t>neutralising antibodies (</w:t>
      </w:r>
      <w:proofErr w:type="spellStart"/>
      <w:r w:rsidRPr="00E40A38">
        <w:t>NAb</w:t>
      </w:r>
      <w:proofErr w:type="spellEnd"/>
      <w:r w:rsidRPr="00E40A38">
        <w:t xml:space="preserve">) assay for prediction of response to </w:t>
      </w:r>
      <w:r w:rsidR="000A73F1">
        <w:t xml:space="preserve">etranacogene dezaparvovec </w:t>
      </w:r>
      <w:r w:rsidR="00853FB4">
        <w:t>(</w:t>
      </w:r>
      <w:r w:rsidR="004850F5">
        <w:rPr>
          <w:iCs/>
        </w:rPr>
        <w:t>ED</w:t>
      </w:r>
      <w:r w:rsidR="00853FB4">
        <w:rPr>
          <w:iCs/>
        </w:rPr>
        <w:t>)</w:t>
      </w:r>
      <w:r>
        <w:t>. Funding was not sought for this test</w:t>
      </w:r>
      <w:r w:rsidR="4C00B43F">
        <w:t xml:space="preserve"> as it </w:t>
      </w:r>
      <w:r w:rsidR="009F1E37">
        <w:t>will</w:t>
      </w:r>
      <w:r w:rsidR="00252916">
        <w:t xml:space="preserve"> be</w:t>
      </w:r>
      <w:r w:rsidR="4C00B43F">
        <w:t xml:space="preserve"> undertaken </w:t>
      </w:r>
      <w:r w:rsidR="00252916">
        <w:t xml:space="preserve">and paid for </w:t>
      </w:r>
      <w:r w:rsidR="4C00B43F">
        <w:t>by CSL overseas</w:t>
      </w:r>
      <w:r>
        <w:t>.</w:t>
      </w:r>
    </w:p>
    <w:p w14:paraId="7C9839D2" w14:textId="77777777" w:rsidR="00D83758" w:rsidRPr="00D155C0" w:rsidRDefault="00D83758" w:rsidP="00E3012F">
      <w:pPr>
        <w:pStyle w:val="Heading2"/>
        <w:keepNext w:val="0"/>
        <w:keepLines w:val="0"/>
        <w:numPr>
          <w:ilvl w:val="0"/>
          <w:numId w:val="28"/>
        </w:numPr>
        <w:spacing w:before="240"/>
      </w:pPr>
      <w:bookmarkStart w:id="3" w:name="_Hlk193982496"/>
      <w:bookmarkStart w:id="4" w:name="_Hlk194308564"/>
      <w:r w:rsidRPr="00D155C0">
        <w:t>MSAC’s advice to the Minister</w:t>
      </w:r>
    </w:p>
    <w:p w14:paraId="49A18AB3" w14:textId="59A8C5B6" w:rsidR="007B454F" w:rsidRPr="00A4270A" w:rsidRDefault="7D701B0C" w:rsidP="00E3012F">
      <w:pPr>
        <w:pStyle w:val="TableFooter"/>
        <w:jc w:val="left"/>
        <w:rPr>
          <w:rFonts w:ascii="Franklin Gothic Book" w:eastAsia="Franklin Gothic Book" w:hAnsi="Franklin Gothic Book"/>
          <w:color w:val="FF0000"/>
          <w:sz w:val="22"/>
          <w:szCs w:val="22"/>
        </w:rPr>
      </w:pPr>
      <w:r w:rsidRPr="3184A206">
        <w:rPr>
          <w:rFonts w:ascii="Franklin Gothic Book" w:hAnsi="Franklin Gothic Book"/>
          <w:sz w:val="22"/>
          <w:szCs w:val="22"/>
        </w:rPr>
        <w:t xml:space="preserve">After considering the strength of the available evidence in relation to comparative safety, clinical effectiveness, cost-effectiveness and total cost, </w:t>
      </w:r>
      <w:r w:rsidRPr="3184A206">
        <w:rPr>
          <w:rFonts w:ascii="Franklin Gothic Book" w:eastAsia="Franklin Gothic Book" w:hAnsi="Franklin Gothic Book"/>
          <w:sz w:val="22"/>
          <w:szCs w:val="22"/>
        </w:rPr>
        <w:t>MSAC</w:t>
      </w:r>
      <w:r w:rsidR="24C5AB1C" w:rsidRPr="3184A206">
        <w:rPr>
          <w:rFonts w:ascii="Franklin Gothic Book" w:eastAsia="Franklin Gothic Book" w:hAnsi="Franklin Gothic Book"/>
          <w:color w:val="FF0000"/>
          <w:sz w:val="22"/>
          <w:szCs w:val="22"/>
        </w:rPr>
        <w:t xml:space="preserve"> </w:t>
      </w:r>
      <w:r w:rsidR="3D8ACCA1" w:rsidRPr="3184A206">
        <w:rPr>
          <w:rFonts w:ascii="Franklin Gothic Book" w:eastAsia="Franklin Gothic Book" w:hAnsi="Franklin Gothic Book"/>
          <w:sz w:val="22"/>
          <w:szCs w:val="22"/>
        </w:rPr>
        <w:t xml:space="preserve">supported public funding of the gene therapy etranacogene dezaparvovec (ED, </w:t>
      </w:r>
      <w:proofErr w:type="spellStart"/>
      <w:r w:rsidR="3D8ACCA1" w:rsidRPr="3184A206">
        <w:rPr>
          <w:rFonts w:ascii="Franklin Gothic Book" w:eastAsia="Franklin Gothic Book" w:hAnsi="Franklin Gothic Book"/>
          <w:sz w:val="22"/>
          <w:szCs w:val="22"/>
        </w:rPr>
        <w:t>Hemgenix</w:t>
      </w:r>
      <w:proofErr w:type="spellEnd"/>
      <w:r w:rsidR="3D8ACCA1" w:rsidRPr="3184A206">
        <w:rPr>
          <w:rFonts w:ascii="Franklin Gothic Book" w:eastAsia="Franklin Gothic Book" w:hAnsi="Franklin Gothic Book"/>
          <w:sz w:val="22"/>
          <w:szCs w:val="22"/>
        </w:rPr>
        <w:t xml:space="preserve"> ®) for the treatment of adult patients with moderately severe or severe congenital haemophilia B. Based on the available clinical evidence, MSAC considered that ED, administered as a one-time treatment, provides clinical benefit to patients. MSAC considered that an anti-adeno-associated virus type 5 neutralising antibody assay was essential for determining patient eligibility to </w:t>
      </w:r>
      <w:proofErr w:type="gramStart"/>
      <w:r w:rsidR="3D8ACCA1" w:rsidRPr="3184A206">
        <w:rPr>
          <w:rFonts w:ascii="Franklin Gothic Book" w:eastAsia="Franklin Gothic Book" w:hAnsi="Franklin Gothic Book"/>
          <w:sz w:val="22"/>
          <w:szCs w:val="22"/>
        </w:rPr>
        <w:t>treatment,</w:t>
      </w:r>
      <w:r w:rsidR="24C5AB1C" w:rsidRPr="3184A206">
        <w:rPr>
          <w:rFonts w:ascii="Franklin Gothic Book" w:eastAsia="Franklin Gothic Book" w:hAnsi="Franklin Gothic Book"/>
          <w:sz w:val="22"/>
          <w:szCs w:val="22"/>
        </w:rPr>
        <w:t xml:space="preserve"> </w:t>
      </w:r>
      <w:r w:rsidR="3D8ACCA1" w:rsidRPr="3184A206">
        <w:rPr>
          <w:rFonts w:ascii="Franklin Gothic Book" w:eastAsia="Franklin Gothic Book" w:hAnsi="Franklin Gothic Book"/>
          <w:sz w:val="22"/>
          <w:szCs w:val="22"/>
        </w:rPr>
        <w:t>but</w:t>
      </w:r>
      <w:proofErr w:type="gramEnd"/>
      <w:r w:rsidR="3D8ACCA1" w:rsidRPr="3184A206">
        <w:rPr>
          <w:rFonts w:ascii="Franklin Gothic Book" w:eastAsia="Franklin Gothic Book" w:hAnsi="Franklin Gothic Book"/>
          <w:sz w:val="22"/>
          <w:szCs w:val="22"/>
        </w:rPr>
        <w:t xml:space="preserve"> raised some concern about the accuracy and validity of the proposed assay. MSAC further considered that the proposed assay threshold was based on limited data and highlighted the importance of establishing a clinically meaningful threshold to ensure that patients who access the treatment are those most likely to benefit. MSAC noted that a study is underway to refine the assay threshold. Among patients treated with ED in the key trial, approximately 94% of patients were able to cease regular (typically 1-2 times per week) prophylactic factor replacement injections, with approximately 41% of patients having no further bleeding episodes. However, MSAC </w:t>
      </w:r>
      <w:r w:rsidR="78871767" w:rsidRPr="3184A206">
        <w:rPr>
          <w:rFonts w:ascii="Franklin Gothic Book" w:eastAsia="Franklin Gothic Book" w:hAnsi="Franklin Gothic Book"/>
          <w:sz w:val="22"/>
          <w:szCs w:val="22"/>
        </w:rPr>
        <w:t xml:space="preserve">noted that </w:t>
      </w:r>
      <w:r w:rsidR="49909FC7" w:rsidRPr="3184A206">
        <w:rPr>
          <w:rFonts w:ascii="Franklin Gothic Book" w:eastAsia="Franklin Gothic Book" w:hAnsi="Franklin Gothic Book"/>
          <w:sz w:val="22"/>
          <w:szCs w:val="22"/>
        </w:rPr>
        <w:t>ED</w:t>
      </w:r>
      <w:r w:rsidR="78871767" w:rsidRPr="3184A206">
        <w:rPr>
          <w:rFonts w:ascii="Franklin Gothic Book" w:eastAsia="Franklin Gothic Book" w:hAnsi="Franklin Gothic Book"/>
          <w:sz w:val="22"/>
          <w:szCs w:val="22"/>
        </w:rPr>
        <w:t xml:space="preserve"> is provisionally registered in Australia and </w:t>
      </w:r>
      <w:r w:rsidR="3D8ACCA1" w:rsidRPr="3184A206">
        <w:rPr>
          <w:rFonts w:ascii="Franklin Gothic Book" w:eastAsia="Franklin Gothic Book" w:hAnsi="Franklin Gothic Book"/>
          <w:sz w:val="22"/>
          <w:szCs w:val="22"/>
        </w:rPr>
        <w:t>considered that the clinical evidence (4-year follow-up in the key trial) did not yet fully support the durability of treatment effect over a lifetime because the key study showed that a small number of patients experienced a lack or loss of treatment effect over time.</w:t>
      </w:r>
      <w:r w:rsidR="007B454F" w:rsidRPr="007B454F">
        <w:rPr>
          <w:rFonts w:ascii="Franklin Gothic Book" w:eastAsia="Franklin Gothic Book" w:hAnsi="Franklin Gothic Book"/>
          <w:sz w:val="22"/>
          <w:szCs w:val="22"/>
        </w:rPr>
        <w:t xml:space="preserve"> </w:t>
      </w:r>
      <w:r w:rsidR="3D8ACCA1" w:rsidRPr="3184A206">
        <w:rPr>
          <w:rFonts w:ascii="Franklin Gothic Book" w:eastAsia="Franklin Gothic Book" w:hAnsi="Franklin Gothic Book"/>
          <w:sz w:val="22"/>
          <w:szCs w:val="22"/>
        </w:rPr>
        <w:t>Given the uncertainties in the long-term safety and effectiveness of ED, MSAC considered that the proposed price of</w:t>
      </w:r>
      <w:r w:rsidR="00756C51">
        <w:rPr>
          <w:rFonts w:ascii="Franklin Gothic Book" w:eastAsia="Franklin Gothic Book" w:hAnsi="Franklin Gothic Book"/>
          <w:sz w:val="22"/>
          <w:szCs w:val="22"/>
        </w:rPr>
        <w:t xml:space="preserve"> </w:t>
      </w:r>
      <w:r w:rsidR="3D8ACCA1" w:rsidRPr="3184A206">
        <w:rPr>
          <w:rFonts w:ascii="Franklin Gothic Book" w:eastAsia="Franklin Gothic Book" w:hAnsi="Franklin Gothic Book"/>
          <w:sz w:val="22"/>
          <w:szCs w:val="22"/>
        </w:rPr>
        <w:t>$</w:t>
      </w:r>
      <w:r w:rsidR="00CB2BC9">
        <w:rPr>
          <w:rFonts w:ascii="Franklin Gothic Book" w:eastAsia="Franklin Gothic Book" w:hAnsi="Franklin Gothic Book"/>
          <w:b/>
          <w:bCs/>
          <w:sz w:val="22"/>
          <w:szCs w:val="22"/>
        </w:rPr>
        <w:t>redacted</w:t>
      </w:r>
      <w:r w:rsidR="3D8ACCA1" w:rsidRPr="3184A206">
        <w:rPr>
          <w:rFonts w:ascii="Franklin Gothic Book" w:eastAsia="Franklin Gothic Book" w:hAnsi="Franklin Gothic Book"/>
          <w:sz w:val="22"/>
          <w:szCs w:val="22"/>
        </w:rPr>
        <w:t xml:space="preserve"> per patient was too high. MSAC considered that the cost effectiveness of ED would be acceptable if it were cost neutral (compared to factor replacement therapy) over 10 years, and in conjunction with a</w:t>
      </w:r>
      <w:r w:rsidR="00524DA3">
        <w:rPr>
          <w:rFonts w:ascii="Franklin Gothic Book" w:eastAsia="Franklin Gothic Book" w:hAnsi="Franklin Gothic Book"/>
          <w:sz w:val="22"/>
          <w:szCs w:val="22"/>
        </w:rPr>
        <w:t xml:space="preserve"> pay-for-performance </w:t>
      </w:r>
      <w:r w:rsidR="0053700B">
        <w:rPr>
          <w:rFonts w:ascii="Franklin Gothic Book" w:eastAsia="Franklin Gothic Book" w:hAnsi="Franklin Gothic Book"/>
          <w:sz w:val="22"/>
          <w:szCs w:val="22"/>
        </w:rPr>
        <w:t>arrangement</w:t>
      </w:r>
      <w:r w:rsidR="00D70BFD">
        <w:rPr>
          <w:rFonts w:ascii="Franklin Gothic Book" w:eastAsia="Franklin Gothic Book" w:hAnsi="Franklin Gothic Book"/>
          <w:sz w:val="22"/>
          <w:szCs w:val="22"/>
        </w:rPr>
        <w:t xml:space="preserve"> </w:t>
      </w:r>
      <w:r w:rsidR="00E31EA2">
        <w:rPr>
          <w:rFonts w:ascii="Franklin Gothic Book" w:eastAsia="Franklin Gothic Book" w:hAnsi="Franklin Gothic Book"/>
          <w:sz w:val="22"/>
          <w:szCs w:val="22"/>
        </w:rPr>
        <w:t>- a type of</w:t>
      </w:r>
      <w:r w:rsidR="3D8ACCA1" w:rsidRPr="3184A206">
        <w:rPr>
          <w:rFonts w:ascii="Franklin Gothic Book" w:eastAsia="Franklin Gothic Book" w:hAnsi="Franklin Gothic Book"/>
          <w:sz w:val="22"/>
          <w:szCs w:val="22"/>
        </w:rPr>
        <w:t xml:space="preserve"> </w:t>
      </w:r>
      <w:r w:rsidR="0053700B">
        <w:rPr>
          <w:rFonts w:ascii="Franklin Gothic Book" w:eastAsia="Franklin Gothic Book" w:hAnsi="Franklin Gothic Book"/>
          <w:sz w:val="22"/>
          <w:szCs w:val="22"/>
        </w:rPr>
        <w:t>outcome</w:t>
      </w:r>
      <w:r w:rsidR="00030D69">
        <w:rPr>
          <w:rFonts w:ascii="Franklin Gothic Book" w:eastAsia="Franklin Gothic Book" w:hAnsi="Franklin Gothic Book"/>
          <w:sz w:val="22"/>
          <w:szCs w:val="22"/>
        </w:rPr>
        <w:t>-</w:t>
      </w:r>
      <w:r w:rsidR="0053700B">
        <w:rPr>
          <w:rFonts w:ascii="Franklin Gothic Book" w:eastAsia="Franklin Gothic Book" w:hAnsi="Franklin Gothic Book"/>
          <w:sz w:val="22"/>
          <w:szCs w:val="22"/>
        </w:rPr>
        <w:t xml:space="preserve">based </w:t>
      </w:r>
      <w:r w:rsidR="3D8ACCA1" w:rsidRPr="3184A206">
        <w:rPr>
          <w:rFonts w:ascii="Franklin Gothic Book" w:eastAsia="Franklin Gothic Book" w:hAnsi="Franklin Gothic Book"/>
          <w:sz w:val="22"/>
          <w:szCs w:val="22"/>
        </w:rPr>
        <w:t>risk sharing arrangement</w:t>
      </w:r>
      <w:r w:rsidR="00E31EA2">
        <w:rPr>
          <w:rFonts w:ascii="Franklin Gothic Book" w:eastAsia="Franklin Gothic Book" w:hAnsi="Franklin Gothic Book"/>
          <w:sz w:val="22"/>
          <w:szCs w:val="22"/>
        </w:rPr>
        <w:t xml:space="preserve"> (RSA)</w:t>
      </w:r>
      <w:r w:rsidR="3D8ACCA1" w:rsidRPr="3184A206">
        <w:rPr>
          <w:rFonts w:ascii="Franklin Gothic Book" w:eastAsia="Franklin Gothic Book" w:hAnsi="Franklin Gothic Book"/>
          <w:sz w:val="22"/>
          <w:szCs w:val="22"/>
        </w:rPr>
        <w:t xml:space="preserve">. Based on current factor replacement utilisation reported by the National Blood Authority and costs of factor replacement therapy, MSAC advised that a condition of its support was a price reduction of ED </w:t>
      </w:r>
      <w:r w:rsidR="3D8ACCA1" w:rsidRPr="00262FEA">
        <w:rPr>
          <w:rFonts w:ascii="Franklin Gothic Book" w:eastAsia="Franklin Gothic Book" w:hAnsi="Franklin Gothic Book"/>
          <w:sz w:val="22"/>
          <w:szCs w:val="22"/>
        </w:rPr>
        <w:t xml:space="preserve">to </w:t>
      </w:r>
      <w:r w:rsidR="3D8ACCA1" w:rsidRPr="003E7004">
        <w:rPr>
          <w:rFonts w:ascii="Franklin Gothic Book" w:eastAsia="Franklin Gothic Book" w:hAnsi="Franklin Gothic Book"/>
          <w:sz w:val="22"/>
          <w:szCs w:val="22"/>
        </w:rPr>
        <w:t>$</w:t>
      </w:r>
      <w:r w:rsidR="00E62DBC" w:rsidRPr="00D84B66">
        <w:rPr>
          <w:rFonts w:ascii="Franklin Gothic Book" w:eastAsia="Franklin Gothic Book" w:hAnsi="Franklin Gothic Book"/>
          <w:b/>
          <w:bCs/>
          <w:sz w:val="22"/>
          <w:szCs w:val="22"/>
        </w:rPr>
        <w:t>redacted</w:t>
      </w:r>
      <w:r w:rsidR="3D8ACCA1" w:rsidRPr="00AA2C28">
        <w:rPr>
          <w:rFonts w:ascii="Franklin Gothic Book" w:eastAsia="Franklin Gothic Book" w:hAnsi="Franklin Gothic Book"/>
          <w:sz w:val="22"/>
          <w:szCs w:val="22"/>
        </w:rPr>
        <w:t xml:space="preserve"> per patient (approximately </w:t>
      </w:r>
      <w:r w:rsidR="00363AA4" w:rsidRPr="00D84B66">
        <w:rPr>
          <w:rFonts w:ascii="Franklin Gothic Book" w:eastAsia="Franklin Gothic Book" w:hAnsi="Franklin Gothic Book"/>
          <w:b/>
          <w:bCs/>
          <w:sz w:val="22"/>
          <w:szCs w:val="22"/>
        </w:rPr>
        <w:t>redacted</w:t>
      </w:r>
      <w:r w:rsidR="3D8ACCA1" w:rsidRPr="00AA2C28">
        <w:rPr>
          <w:rFonts w:ascii="Franklin Gothic Book" w:eastAsia="Franklin Gothic Book" w:hAnsi="Franklin Gothic Book"/>
          <w:sz w:val="22"/>
          <w:szCs w:val="22"/>
        </w:rPr>
        <w:t>%</w:t>
      </w:r>
      <w:r w:rsidR="3D8ACCA1" w:rsidRPr="00262FEA">
        <w:rPr>
          <w:rFonts w:ascii="Franklin Gothic Book" w:eastAsia="Franklin Gothic Book" w:hAnsi="Franklin Gothic Book"/>
          <w:sz w:val="22"/>
          <w:szCs w:val="22"/>
        </w:rPr>
        <w:t xml:space="preserve"> price reduction </w:t>
      </w:r>
      <w:r w:rsidR="3D8ACCA1" w:rsidRPr="3184A206">
        <w:rPr>
          <w:rFonts w:ascii="Franklin Gothic Book" w:eastAsia="Franklin Gothic Book" w:hAnsi="Franklin Gothic Book"/>
          <w:sz w:val="22"/>
          <w:szCs w:val="22"/>
        </w:rPr>
        <w:t xml:space="preserve">from the proposed price), in conjunction with the RSA. </w:t>
      </w:r>
      <w:r w:rsidR="3D8ACCA1" w:rsidRPr="3184A206" w:rsidDel="00E2531C">
        <w:rPr>
          <w:rFonts w:ascii="Franklin Gothic Book" w:eastAsia="Franklin Gothic Book" w:hAnsi="Franklin Gothic Book"/>
          <w:sz w:val="22"/>
          <w:szCs w:val="22"/>
        </w:rPr>
        <w:t>U</w:t>
      </w:r>
      <w:r w:rsidR="3D8ACCA1" w:rsidRPr="3184A206" w:rsidDel="00043921">
        <w:rPr>
          <w:rFonts w:ascii="Franklin Gothic Book" w:eastAsia="Franklin Gothic Book" w:hAnsi="Franklin Gothic Book"/>
          <w:sz w:val="22"/>
          <w:szCs w:val="22"/>
        </w:rPr>
        <w:t xml:space="preserve">nder the </w:t>
      </w:r>
      <w:r w:rsidR="3D8ACCA1" w:rsidRPr="007F4627" w:rsidDel="00043921">
        <w:rPr>
          <w:rFonts w:ascii="Franklin Gothic Book" w:eastAsia="Franklin Gothic Book" w:hAnsi="Franklin Gothic Book"/>
          <w:sz w:val="22"/>
          <w:szCs w:val="22"/>
        </w:rPr>
        <w:t>RSA</w:t>
      </w:r>
      <w:r w:rsidR="3D8ACCA1" w:rsidRPr="00D84B66" w:rsidDel="00043921">
        <w:rPr>
          <w:rFonts w:ascii="Franklin Gothic Book" w:eastAsia="Franklin Gothic Book" w:hAnsi="Franklin Gothic Book"/>
          <w:sz w:val="22"/>
          <w:szCs w:val="22"/>
        </w:rPr>
        <w:t xml:space="preserve">, </w:t>
      </w:r>
      <w:r w:rsidR="000963FD">
        <w:rPr>
          <w:rFonts w:ascii="Franklin Gothic Book" w:eastAsia="Franklin Gothic Book" w:hAnsi="Franklin Gothic Book"/>
          <w:sz w:val="22"/>
          <w:szCs w:val="22"/>
        </w:rPr>
        <w:t xml:space="preserve">MSAC advised for </w:t>
      </w:r>
      <w:r w:rsidR="3D8ACCA1" w:rsidRPr="00526191" w:rsidDel="007F4627">
        <w:rPr>
          <w:rFonts w:ascii="Franklin Gothic Book" w:eastAsia="Franklin Gothic Book" w:hAnsi="Franklin Gothic Book"/>
          <w:sz w:val="22"/>
          <w:szCs w:val="22"/>
        </w:rPr>
        <w:t xml:space="preserve">payments </w:t>
      </w:r>
      <w:r w:rsidR="000963FD" w:rsidRPr="00526191">
        <w:rPr>
          <w:rFonts w:ascii="Franklin Gothic Book" w:eastAsia="Franklin Gothic Book" w:hAnsi="Franklin Gothic Book"/>
          <w:sz w:val="22"/>
          <w:szCs w:val="22"/>
        </w:rPr>
        <w:t>to</w:t>
      </w:r>
      <w:r w:rsidR="000963FD" w:rsidRPr="00526191" w:rsidDel="007F4627">
        <w:rPr>
          <w:rFonts w:ascii="Franklin Gothic Book" w:eastAsia="Franklin Gothic Book" w:hAnsi="Franklin Gothic Book"/>
          <w:sz w:val="22"/>
          <w:szCs w:val="22"/>
        </w:rPr>
        <w:t xml:space="preserve"> </w:t>
      </w:r>
      <w:r w:rsidR="3D8ACCA1" w:rsidRPr="00526191" w:rsidDel="007F4627">
        <w:rPr>
          <w:rFonts w:ascii="Franklin Gothic Book" w:eastAsia="Franklin Gothic Book" w:hAnsi="Franklin Gothic Book"/>
          <w:sz w:val="22"/>
          <w:szCs w:val="22"/>
        </w:rPr>
        <w:t xml:space="preserve">be made in equal instalments over </w:t>
      </w:r>
      <w:r w:rsidR="3D8ACCA1" w:rsidRPr="00526191" w:rsidDel="00F7615C">
        <w:rPr>
          <w:rFonts w:ascii="Franklin Gothic Book" w:eastAsia="Franklin Gothic Book" w:hAnsi="Franklin Gothic Book"/>
          <w:sz w:val="22"/>
          <w:szCs w:val="22"/>
        </w:rPr>
        <w:t>10</w:t>
      </w:r>
      <w:r w:rsidR="3D8ACCA1" w:rsidRPr="00526191" w:rsidDel="007F4627">
        <w:rPr>
          <w:rFonts w:ascii="Franklin Gothic Book" w:eastAsia="Franklin Gothic Book" w:hAnsi="Franklin Gothic Book"/>
          <w:sz w:val="22"/>
          <w:szCs w:val="22"/>
        </w:rPr>
        <w:t xml:space="preserve"> </w:t>
      </w:r>
      <w:r w:rsidR="3D8ACCA1" w:rsidRPr="00526191">
        <w:rPr>
          <w:rFonts w:ascii="Franklin Gothic Book" w:eastAsia="Franklin Gothic Book" w:hAnsi="Franklin Gothic Book"/>
          <w:sz w:val="22"/>
          <w:szCs w:val="22"/>
        </w:rPr>
        <w:t>years</w:t>
      </w:r>
      <w:r w:rsidR="3D8ACCA1" w:rsidRPr="00526191" w:rsidDel="007F4627">
        <w:rPr>
          <w:rFonts w:ascii="Franklin Gothic Book" w:eastAsia="Franklin Gothic Book" w:hAnsi="Franklin Gothic Book"/>
          <w:sz w:val="22"/>
          <w:szCs w:val="22"/>
        </w:rPr>
        <w:t xml:space="preserve"> and be linked to individual patient response.</w:t>
      </w:r>
    </w:p>
    <w:tbl>
      <w:tblPr>
        <w:tblStyle w:val="Section3-footno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Consumer summary of MSAC consideration"/>
      </w:tblPr>
      <w:tblGrid>
        <w:gridCol w:w="9016"/>
      </w:tblGrid>
      <w:tr w:rsidR="00D83758" w:rsidRPr="00F91D6E" w14:paraId="0A341B4C" w14:textId="77777777" w:rsidTr="005D76F9">
        <w:trPr>
          <w:tblHeader/>
        </w:trPr>
        <w:tc>
          <w:tcPr>
            <w:tcW w:w="9016" w:type="dxa"/>
          </w:tcPr>
          <w:p w14:paraId="6DFC7C29" w14:textId="77777777" w:rsidR="00D83758" w:rsidRPr="00F91D6E" w:rsidRDefault="00D83758" w:rsidP="00E3012F">
            <w:pPr>
              <w:keepNext/>
              <w:keepLines/>
              <w:spacing w:before="40" w:after="40" w:line="259" w:lineRule="auto"/>
              <w:rPr>
                <w:rFonts w:eastAsia="Calibri"/>
                <w:b/>
                <w:bCs/>
              </w:rPr>
            </w:pPr>
            <w:r w:rsidRPr="00F91D6E">
              <w:rPr>
                <w:b/>
                <w:bCs/>
              </w:rPr>
              <w:lastRenderedPageBreak/>
              <w:t>Consumer summary</w:t>
            </w:r>
          </w:p>
        </w:tc>
      </w:tr>
      <w:tr w:rsidR="00992343" w:rsidRPr="00F91D6E" w14:paraId="737CA2BA" w14:textId="77777777" w:rsidTr="005D76F9">
        <w:tc>
          <w:tcPr>
            <w:tcW w:w="9016" w:type="dxa"/>
          </w:tcPr>
          <w:p w14:paraId="3FB1FDC2" w14:textId="640E425A" w:rsidR="00992343" w:rsidRDefault="00992343" w:rsidP="00E3012F">
            <w:pPr>
              <w:spacing w:before="0"/>
            </w:pPr>
            <w:r w:rsidRPr="00F97F8B">
              <w:t>This</w:t>
            </w:r>
            <w:r>
              <w:t xml:space="preserve"> re</w:t>
            </w:r>
            <w:r w:rsidRPr="00F97F8B">
              <w:t xml:space="preserve">application from CSL Behring (Australia) Pty Ltd </w:t>
            </w:r>
            <w:r w:rsidR="008C42E8">
              <w:t>requested</w:t>
            </w:r>
            <w:r w:rsidR="008C42E8" w:rsidRPr="00F97F8B">
              <w:t xml:space="preserve"> </w:t>
            </w:r>
            <w:r w:rsidRPr="00F97F8B">
              <w:t xml:space="preserve">funding of </w:t>
            </w:r>
            <w:r w:rsidR="00674851" w:rsidRPr="00674851">
              <w:t xml:space="preserve">etranacogene dezaparvovec (ED, trade name </w:t>
            </w:r>
            <w:proofErr w:type="spellStart"/>
            <w:r w:rsidR="00674851" w:rsidRPr="00674851">
              <w:t>Hemgenix</w:t>
            </w:r>
            <w:proofErr w:type="spellEnd"/>
            <w:r w:rsidR="00674851" w:rsidRPr="00674851">
              <w:t xml:space="preserve"> ®) </w:t>
            </w:r>
            <w:r w:rsidRPr="00F97F8B">
              <w:t xml:space="preserve">under the </w:t>
            </w:r>
            <w:r w:rsidR="004A50B7">
              <w:t>N</w:t>
            </w:r>
            <w:r w:rsidRPr="00F97F8B">
              <w:t xml:space="preserve">ational </w:t>
            </w:r>
            <w:r w:rsidR="004A50B7">
              <w:t>B</w:t>
            </w:r>
            <w:r w:rsidRPr="00F97F8B">
              <w:t xml:space="preserve">lood </w:t>
            </w:r>
            <w:r w:rsidR="004A50B7">
              <w:t>Agreement</w:t>
            </w:r>
            <w:r w:rsidRPr="00F97F8B">
              <w:t xml:space="preserve"> for adults with moderately severe </w:t>
            </w:r>
            <w:r w:rsidR="7997AEBF">
              <w:t>or</w:t>
            </w:r>
            <w:r w:rsidRPr="00F97F8B">
              <w:t xml:space="preserve"> severe congenital haemophilia B. </w:t>
            </w:r>
            <w:r>
              <w:t xml:space="preserve">MSAC did not recommend </w:t>
            </w:r>
            <w:r w:rsidR="00730374">
              <w:t xml:space="preserve">ED </w:t>
            </w:r>
            <w:r>
              <w:t>for public funding when it considered the original application (</w:t>
            </w:r>
            <w:hyperlink r:id="rId12">
              <w:r w:rsidR="000D7381">
                <w:rPr>
                  <w:rStyle w:val="Hyperlink"/>
                </w:rPr>
                <w:t>MSAC 1728</w:t>
              </w:r>
            </w:hyperlink>
            <w:r>
              <w:t>) in August 2024 because it wanted to see longer-term data showing that the treatment is effective, safe and better value for money than current treatment.</w:t>
            </w:r>
          </w:p>
          <w:p w14:paraId="2A60C32F" w14:textId="4452FC1D" w:rsidR="00992343" w:rsidRDefault="00992343" w:rsidP="00E3012F">
            <w:r>
              <w:t xml:space="preserve">Haemophilia is a bleeding disorder </w:t>
            </w:r>
            <w:r w:rsidR="66C48B13">
              <w:t xml:space="preserve">where </w:t>
            </w:r>
            <w:r>
              <w:t xml:space="preserve">a person’s blood does not clot properly, which can result in excessive bleeding. Congenital haemophilia B is a rare type of haemophilia that is caused by a lack of </w:t>
            </w:r>
            <w:r w:rsidR="0C98CA09">
              <w:t xml:space="preserve">the </w:t>
            </w:r>
            <w:r w:rsidR="55408CA3">
              <w:t>blood clotting protein</w:t>
            </w:r>
            <w:r w:rsidR="4BBD85EB">
              <w:t xml:space="preserve"> factor IX (FIX)</w:t>
            </w:r>
            <w:r>
              <w:t xml:space="preserve">. In patients with congenital haemophilia B, there is a problem with the factor IX gene that results in the liver producing low amounts of factor IX. Patients with congenital haemophilia B can receive replacement factor IX </w:t>
            </w:r>
            <w:r w:rsidR="1F7A2603">
              <w:t xml:space="preserve">either </w:t>
            </w:r>
            <w:r>
              <w:t xml:space="preserve">on a routine basis as a prophylactic (preventative) and/or as on-demand (as needed) treatment. The replacement factor IX is </w:t>
            </w:r>
            <w:r w:rsidR="09ADB715">
              <w:t>needed lifelong and</w:t>
            </w:r>
            <w:r>
              <w:t xml:space="preserve"> is administered via injections into a vein (intravenous). </w:t>
            </w:r>
          </w:p>
          <w:p w14:paraId="5D2CB565" w14:textId="4E046111" w:rsidR="00992343" w:rsidRDefault="004A0E58" w:rsidP="00E3012F">
            <w:r>
              <w:t>ED</w:t>
            </w:r>
            <w:r w:rsidRPr="00F97F8B">
              <w:t xml:space="preserve"> </w:t>
            </w:r>
            <w:r w:rsidR="00992343" w:rsidRPr="00F97F8B">
              <w:t>is a viral-based gene therapy</w:t>
            </w:r>
            <w:r w:rsidR="00B6343F">
              <w:t>. T</w:t>
            </w:r>
            <w:r w:rsidR="00992343" w:rsidRPr="00F97F8B">
              <w:t>his means that an inactive virus (that can</w:t>
            </w:r>
            <w:r w:rsidR="00992343">
              <w:t>no</w:t>
            </w:r>
            <w:r w:rsidR="00992343" w:rsidRPr="00F97F8B">
              <w:t xml:space="preserve">t reproduce) is used to deliver a </w:t>
            </w:r>
            <w:r w:rsidR="000B2057">
              <w:t xml:space="preserve">healthy </w:t>
            </w:r>
            <w:r w:rsidR="00992343" w:rsidRPr="00F97F8B">
              <w:t>copy of the factor IX gene into the liver cells</w:t>
            </w:r>
            <w:r w:rsidR="000B2057">
              <w:t>.</w:t>
            </w:r>
            <w:r w:rsidR="00D96F64">
              <w:t xml:space="preserve"> This new gene</w:t>
            </w:r>
            <w:r w:rsidR="000B2057">
              <w:t xml:space="preserve"> </w:t>
            </w:r>
            <w:r w:rsidR="00D96F64">
              <w:t>helps</w:t>
            </w:r>
            <w:r w:rsidR="00992343" w:rsidRPr="00F97F8B">
              <w:t xml:space="preserve"> the liver cells to produce the factor IX blood clotting protein. </w:t>
            </w:r>
            <w:r w:rsidR="00D763D7">
              <w:t>ED</w:t>
            </w:r>
            <w:r w:rsidR="00D763D7" w:rsidRPr="00F97F8B">
              <w:t xml:space="preserve"> </w:t>
            </w:r>
            <w:r w:rsidR="00992343" w:rsidRPr="00F97F8B">
              <w:t xml:space="preserve">is </w:t>
            </w:r>
            <w:r w:rsidR="00DE4C43">
              <w:t>a one-off treatment. It is given</w:t>
            </w:r>
            <w:r w:rsidR="00992343" w:rsidRPr="00F97F8B">
              <w:t xml:space="preserve"> </w:t>
            </w:r>
            <w:r w:rsidR="007A0115">
              <w:t>to the</w:t>
            </w:r>
            <w:r w:rsidR="007A0115" w:rsidRPr="00F97F8B">
              <w:t xml:space="preserve"> </w:t>
            </w:r>
            <w:r w:rsidR="00992343" w:rsidRPr="00F97F8B">
              <w:t xml:space="preserve">patient </w:t>
            </w:r>
            <w:r w:rsidR="00DE4C43">
              <w:t>as</w:t>
            </w:r>
            <w:r w:rsidR="00992343" w:rsidRPr="00F97F8B">
              <w:t xml:space="preserve"> </w:t>
            </w:r>
            <w:r w:rsidR="00DE4C43">
              <w:t>an</w:t>
            </w:r>
            <w:r w:rsidR="00DE4C43" w:rsidRPr="00F97F8B">
              <w:t xml:space="preserve"> </w:t>
            </w:r>
            <w:r w:rsidR="00992343" w:rsidRPr="00F97F8B">
              <w:t xml:space="preserve">intravenous infusion. </w:t>
            </w:r>
          </w:p>
          <w:p w14:paraId="1737BCEF" w14:textId="615FD305" w:rsidR="00992343" w:rsidRDefault="00992343" w:rsidP="00E3012F">
            <w:r w:rsidRPr="00F97F8B">
              <w:t>MSAC noted that</w:t>
            </w:r>
            <w:r>
              <w:t xml:space="preserve"> </w:t>
            </w:r>
            <w:r w:rsidR="004C09F9">
              <w:t>the</w:t>
            </w:r>
            <w:r w:rsidRPr="00F97F8B">
              <w:t xml:space="preserve"> clinical studies indicated that </w:t>
            </w:r>
            <w:r w:rsidR="004A50B7">
              <w:t>most of the</w:t>
            </w:r>
            <w:r w:rsidRPr="00F97F8B">
              <w:t xml:space="preserve"> patients responded well to </w:t>
            </w:r>
            <w:r w:rsidR="00D763D7">
              <w:t>ED</w:t>
            </w:r>
            <w:r w:rsidRPr="00F97F8B">
              <w:t>, but others did not. Some patients who did respond still needed</w:t>
            </w:r>
            <w:r>
              <w:t xml:space="preserve"> </w:t>
            </w:r>
            <w:r w:rsidR="07995F7B">
              <w:t>some</w:t>
            </w:r>
            <w:r w:rsidRPr="00F97F8B">
              <w:t xml:space="preserve"> factor IX replacement treatment, but not as much as before receiving </w:t>
            </w:r>
            <w:r w:rsidR="004A0E58">
              <w:t>ED</w:t>
            </w:r>
            <w:r w:rsidRPr="00F97F8B">
              <w:t xml:space="preserve">. </w:t>
            </w:r>
            <w:r w:rsidR="00DF7716">
              <w:t xml:space="preserve">A small number of patients had no benefit with the treatment. </w:t>
            </w:r>
            <w:r>
              <w:t xml:space="preserve">MSAC considered that </w:t>
            </w:r>
            <w:r w:rsidR="00EE6164" w:rsidRPr="33C498C8">
              <w:rPr>
                <w:rFonts w:eastAsia="Franklin Gothic Book"/>
              </w:rPr>
              <w:t>the clinical evidence (</w:t>
            </w:r>
            <w:r w:rsidR="00EE6164">
              <w:rPr>
                <w:rFonts w:eastAsia="Franklin Gothic Book"/>
              </w:rPr>
              <w:t>4</w:t>
            </w:r>
            <w:r w:rsidR="00EE6164" w:rsidRPr="33C498C8">
              <w:rPr>
                <w:rFonts w:eastAsia="Franklin Gothic Book"/>
              </w:rPr>
              <w:t>-year follow-up</w:t>
            </w:r>
            <w:r w:rsidR="00EE6164">
              <w:rPr>
                <w:rFonts w:eastAsia="Franklin Gothic Book"/>
              </w:rPr>
              <w:t xml:space="preserve"> in the key trial</w:t>
            </w:r>
            <w:r w:rsidR="00EE6164" w:rsidRPr="33C498C8">
              <w:rPr>
                <w:rFonts w:eastAsia="Franklin Gothic Book"/>
              </w:rPr>
              <w:t xml:space="preserve">) </w:t>
            </w:r>
            <w:r w:rsidR="00EE6164">
              <w:rPr>
                <w:rFonts w:eastAsia="Franklin Gothic Book"/>
              </w:rPr>
              <w:t xml:space="preserve">did not yet </w:t>
            </w:r>
            <w:r w:rsidR="00DE4C43">
              <w:rPr>
                <w:rFonts w:eastAsia="Franklin Gothic Book"/>
              </w:rPr>
              <w:t xml:space="preserve">show how well the </w:t>
            </w:r>
            <w:r w:rsidR="007D6F32">
              <w:rPr>
                <w:rFonts w:eastAsia="Franklin Gothic Book"/>
              </w:rPr>
              <w:t xml:space="preserve">treatment would work </w:t>
            </w:r>
            <w:r w:rsidR="00EE6164">
              <w:rPr>
                <w:rFonts w:eastAsia="Franklin Gothic Book"/>
              </w:rPr>
              <w:t>over a lifetime</w:t>
            </w:r>
            <w:r w:rsidR="007D6F32">
              <w:rPr>
                <w:rFonts w:eastAsia="Franklin Gothic Book"/>
              </w:rPr>
              <w:t>. This is</w:t>
            </w:r>
            <w:r w:rsidR="00EE6164">
              <w:rPr>
                <w:rFonts w:eastAsia="Franklin Gothic Book"/>
              </w:rPr>
              <w:t xml:space="preserve"> because the key study showed that a small number of patients los</w:t>
            </w:r>
            <w:r w:rsidR="00BC185E">
              <w:rPr>
                <w:rFonts w:eastAsia="Franklin Gothic Book"/>
              </w:rPr>
              <w:t>t</w:t>
            </w:r>
            <w:r w:rsidR="00EE6164">
              <w:rPr>
                <w:rFonts w:eastAsia="Franklin Gothic Book"/>
              </w:rPr>
              <w:t xml:space="preserve"> </w:t>
            </w:r>
            <w:r w:rsidR="00BC185E">
              <w:rPr>
                <w:rFonts w:eastAsia="Franklin Gothic Book"/>
              </w:rPr>
              <w:t xml:space="preserve">the </w:t>
            </w:r>
            <w:r w:rsidR="00EE6164">
              <w:rPr>
                <w:rFonts w:eastAsia="Franklin Gothic Book"/>
              </w:rPr>
              <w:t>treatment effect over time.</w:t>
            </w:r>
            <w:r>
              <w:t xml:space="preserve"> </w:t>
            </w:r>
            <w:r w:rsidR="00ED5ABE">
              <w:t>A</w:t>
            </w:r>
            <w:r w:rsidR="00B507C4">
              <w:t xml:space="preserve"> small number of patients </w:t>
            </w:r>
            <w:r w:rsidR="00B507C4">
              <w:rPr>
                <w:rFonts w:eastAsia="Franklin Gothic Book"/>
              </w:rPr>
              <w:t>did not experience any treatment effect.</w:t>
            </w:r>
          </w:p>
          <w:p w14:paraId="5057DD1D" w14:textId="272F6919" w:rsidR="00992343" w:rsidRDefault="00992343" w:rsidP="00E3012F">
            <w:proofErr w:type="gramStart"/>
            <w:r>
              <w:t>Similar to</w:t>
            </w:r>
            <w:proofErr w:type="gramEnd"/>
            <w:r>
              <w:t xml:space="preserve"> the first time it considered this application in August 2024, </w:t>
            </w:r>
            <w:r w:rsidRPr="00F97F8B">
              <w:t xml:space="preserve">MSAC noted that if someone has a high level of antibodies that neutralise the virus that is used to deliver the factor IX gene, </w:t>
            </w:r>
            <w:r w:rsidR="0031262E">
              <w:t>ED</w:t>
            </w:r>
            <w:r w:rsidR="0031262E" w:rsidRPr="00F97F8B">
              <w:t xml:space="preserve"> </w:t>
            </w:r>
            <w:r w:rsidR="005567B8">
              <w:t>did</w:t>
            </w:r>
            <w:r w:rsidR="005567B8" w:rsidRPr="00F97F8B">
              <w:t xml:space="preserve"> </w:t>
            </w:r>
            <w:r w:rsidRPr="00F97F8B">
              <w:t xml:space="preserve">not work. MSAC considered it important that people are tested for neutralising antibodies before treatment with </w:t>
            </w:r>
            <w:r w:rsidR="00DC6F88">
              <w:t>ED</w:t>
            </w:r>
            <w:r w:rsidR="009A2596">
              <w:t>. MSAC</w:t>
            </w:r>
            <w:r w:rsidR="00DC6F88" w:rsidRPr="00F97F8B">
              <w:t xml:space="preserve"> </w:t>
            </w:r>
            <w:r w:rsidRPr="00F97F8B">
              <w:t xml:space="preserve">noted that further studies are needed to </w:t>
            </w:r>
            <w:r w:rsidR="00DF7716">
              <w:t>ensure</w:t>
            </w:r>
            <w:r w:rsidR="00DF7716" w:rsidRPr="00F97F8B">
              <w:t xml:space="preserve"> </w:t>
            </w:r>
            <w:r w:rsidRPr="00F97F8B">
              <w:t>the test for the neutralising antibodies</w:t>
            </w:r>
            <w:r w:rsidR="00DF7716">
              <w:t xml:space="preserve"> is accurate</w:t>
            </w:r>
            <w:r w:rsidRPr="00F97F8B">
              <w:t>. Further, MSAC noted that</w:t>
            </w:r>
            <w:r>
              <w:t>,</w:t>
            </w:r>
            <w:r w:rsidRPr="00F97F8B">
              <w:t xml:space="preserve"> after receiving </w:t>
            </w:r>
            <w:r w:rsidR="00DC6F88">
              <w:t>ED</w:t>
            </w:r>
            <w:r w:rsidRPr="00F97F8B">
              <w:t xml:space="preserve">, all patients </w:t>
            </w:r>
            <w:r w:rsidR="009A2596">
              <w:t>will have</w:t>
            </w:r>
            <w:r w:rsidR="009A2596" w:rsidRPr="00F97F8B">
              <w:t xml:space="preserve"> </w:t>
            </w:r>
            <w:r w:rsidRPr="00F97F8B">
              <w:t>high levels of antibodies</w:t>
            </w:r>
            <w:r w:rsidR="00CA3CF9">
              <w:t xml:space="preserve"> </w:t>
            </w:r>
            <w:r w:rsidR="009E156B">
              <w:t xml:space="preserve">that will attack similar </w:t>
            </w:r>
            <w:r w:rsidR="00ED5ABE">
              <w:t xml:space="preserve">inactive </w:t>
            </w:r>
            <w:r w:rsidR="009E156B">
              <w:t xml:space="preserve">viruses used </w:t>
            </w:r>
            <w:r w:rsidR="00472110">
              <w:t>for gene therapies</w:t>
            </w:r>
            <w:r w:rsidR="00797282">
              <w:t>. This</w:t>
            </w:r>
            <w:r w:rsidR="00CA3CF9">
              <w:t xml:space="preserve"> would then prevent </w:t>
            </w:r>
            <w:r w:rsidRPr="00F97F8B">
              <w:t xml:space="preserve">people from receiving another similar gene therapy </w:t>
            </w:r>
            <w:r w:rsidR="00DF7716">
              <w:t>lifelong</w:t>
            </w:r>
            <w:r w:rsidR="00DF7716" w:rsidRPr="00F97F8B">
              <w:t xml:space="preserve"> </w:t>
            </w:r>
            <w:r w:rsidRPr="00F97F8B">
              <w:t xml:space="preserve">if </w:t>
            </w:r>
            <w:r w:rsidR="00DC6F88">
              <w:t>ED</w:t>
            </w:r>
            <w:r w:rsidR="00DC6F88" w:rsidRPr="00F97F8B">
              <w:t xml:space="preserve"> </w:t>
            </w:r>
            <w:r w:rsidRPr="00F97F8B">
              <w:t>does</w:t>
            </w:r>
            <w:r>
              <w:t xml:space="preserve"> </w:t>
            </w:r>
            <w:r w:rsidRPr="00F97F8B">
              <w:t>n</w:t>
            </w:r>
            <w:r>
              <w:t>o</w:t>
            </w:r>
            <w:r w:rsidRPr="00F97F8B">
              <w:t>t work for them or if it works for only a short time</w:t>
            </w:r>
            <w:r>
              <w:t>.</w:t>
            </w:r>
            <w:r w:rsidRPr="00F97F8B">
              <w:t xml:space="preserve"> </w:t>
            </w:r>
            <w:r w:rsidR="00797282">
              <w:t xml:space="preserve">For the same reason, ED cannot be </w:t>
            </w:r>
            <w:r w:rsidR="00507023">
              <w:t xml:space="preserve">given to </w:t>
            </w:r>
            <w:r w:rsidR="00472110">
              <w:t xml:space="preserve">a patient for a second time if it does not </w:t>
            </w:r>
            <w:r w:rsidR="00ED5ABE">
              <w:t xml:space="preserve">work </w:t>
            </w:r>
            <w:r w:rsidR="00472110">
              <w:t xml:space="preserve">well the first time. </w:t>
            </w:r>
          </w:p>
          <w:p w14:paraId="55CA7587" w14:textId="60DF98E8" w:rsidR="00992343" w:rsidRDefault="00992343" w:rsidP="00E3012F">
            <w:r w:rsidRPr="00F97F8B">
              <w:t>MSAC noted t</w:t>
            </w:r>
            <w:r>
              <w:t xml:space="preserve">hat the applicant </w:t>
            </w:r>
            <w:r w:rsidR="00DC6F88">
              <w:t xml:space="preserve">proposed </w:t>
            </w:r>
            <w:r>
              <w:t xml:space="preserve">a </w:t>
            </w:r>
            <w:r w:rsidR="003847A8">
              <w:t xml:space="preserve">slightly </w:t>
            </w:r>
            <w:r>
              <w:t xml:space="preserve">lower price for </w:t>
            </w:r>
            <w:r w:rsidR="00DC6F88">
              <w:t xml:space="preserve">ED </w:t>
            </w:r>
            <w:r>
              <w:t xml:space="preserve">than in the previous </w:t>
            </w:r>
            <w:r w:rsidR="002D47B4">
              <w:t>application</w:t>
            </w:r>
            <w:r>
              <w:t>,</w:t>
            </w:r>
            <w:r w:rsidR="007C72FD">
              <w:t xml:space="preserve"> however it was still very high. </w:t>
            </w:r>
            <w:r w:rsidR="00E6630E">
              <w:t>Given the</w:t>
            </w:r>
            <w:r w:rsidR="00BD54ED">
              <w:t xml:space="preserve"> </w:t>
            </w:r>
            <w:r w:rsidR="00683740">
              <w:t>uncertainty</w:t>
            </w:r>
            <w:r w:rsidR="00BD54ED" w:rsidRPr="00BD54ED">
              <w:t xml:space="preserve"> of long-term safety and effectiveness</w:t>
            </w:r>
            <w:r w:rsidR="00683740">
              <w:t xml:space="preserve"> beyond 4 years, </w:t>
            </w:r>
            <w:r>
              <w:t xml:space="preserve">MSAC </w:t>
            </w:r>
            <w:r w:rsidRPr="00F97F8B">
              <w:t>consider</w:t>
            </w:r>
            <w:r w:rsidR="007472A5">
              <w:t>ed</w:t>
            </w:r>
            <w:r w:rsidRPr="00F97F8B">
              <w:t xml:space="preserve"> </w:t>
            </w:r>
            <w:r>
              <w:t xml:space="preserve">the </w:t>
            </w:r>
            <w:r w:rsidR="00C00E40">
              <w:t>proposed price not</w:t>
            </w:r>
            <w:r>
              <w:t xml:space="preserve"> </w:t>
            </w:r>
            <w:r w:rsidRPr="00F97F8B">
              <w:t xml:space="preserve">justified. </w:t>
            </w:r>
            <w:r w:rsidR="00A701D5">
              <w:t>The budget impact was also very high.</w:t>
            </w:r>
          </w:p>
          <w:p w14:paraId="01ADD823" w14:textId="4BB6DA24" w:rsidR="002367E4" w:rsidRDefault="00992343" w:rsidP="00E3012F">
            <w:r>
              <w:t>MSAC</w:t>
            </w:r>
            <w:r w:rsidR="002367E4">
              <w:t xml:space="preserve"> advised that</w:t>
            </w:r>
            <w:r w:rsidR="00856D75">
              <w:t xml:space="preserve"> its support was </w:t>
            </w:r>
            <w:r w:rsidR="00B63132">
              <w:t xml:space="preserve">conditional on a </w:t>
            </w:r>
            <w:r w:rsidR="00856D75">
              <w:t xml:space="preserve">price reduction of ED </w:t>
            </w:r>
            <w:r w:rsidR="00B842EA" w:rsidRPr="3184A206">
              <w:rPr>
                <w:rFonts w:eastAsia="Franklin Gothic Book"/>
              </w:rPr>
              <w:t>in conjunction with a</w:t>
            </w:r>
            <w:r w:rsidR="00B842EA">
              <w:rPr>
                <w:rFonts w:eastAsia="Franklin Gothic Book"/>
              </w:rPr>
              <w:t xml:space="preserve"> pay-for-performance </w:t>
            </w:r>
            <w:r w:rsidR="00E85D2A">
              <w:rPr>
                <w:rFonts w:eastAsia="Franklin Gothic Book"/>
              </w:rPr>
              <w:t xml:space="preserve">arrangement </w:t>
            </w:r>
            <w:r w:rsidR="00B842EA">
              <w:rPr>
                <w:rFonts w:eastAsia="Franklin Gothic Book"/>
              </w:rPr>
              <w:t>- a type of</w:t>
            </w:r>
            <w:r w:rsidR="00B842EA" w:rsidRPr="3184A206">
              <w:rPr>
                <w:rFonts w:eastAsia="Franklin Gothic Book"/>
              </w:rPr>
              <w:t xml:space="preserve"> </w:t>
            </w:r>
            <w:r w:rsidR="0053700B">
              <w:rPr>
                <w:rFonts w:eastAsia="Franklin Gothic Book"/>
              </w:rPr>
              <w:t>outcome</w:t>
            </w:r>
            <w:r w:rsidR="00030D69">
              <w:rPr>
                <w:rFonts w:eastAsia="Franklin Gothic Book"/>
              </w:rPr>
              <w:t>-</w:t>
            </w:r>
            <w:r w:rsidR="0053700B">
              <w:rPr>
                <w:rFonts w:eastAsia="Franklin Gothic Book"/>
              </w:rPr>
              <w:t xml:space="preserve">based </w:t>
            </w:r>
            <w:r w:rsidR="00B842EA" w:rsidRPr="3184A206">
              <w:rPr>
                <w:rFonts w:eastAsia="Franklin Gothic Book"/>
              </w:rPr>
              <w:t>risk sharing arrangement</w:t>
            </w:r>
            <w:r w:rsidR="00B842EA">
              <w:rPr>
                <w:rFonts w:eastAsia="Franklin Gothic Book"/>
              </w:rPr>
              <w:t xml:space="preserve"> (RSA)</w:t>
            </w:r>
            <w:r w:rsidR="00F17893">
              <w:t>.</w:t>
            </w:r>
            <w:r w:rsidR="00BA3934" w:rsidDel="00EA7D02">
              <w:t xml:space="preserve"> </w:t>
            </w:r>
            <w:r w:rsidR="00F17893">
              <w:t>U</w:t>
            </w:r>
            <w:r w:rsidR="00295CFB">
              <w:t>nder this agreement</w:t>
            </w:r>
            <w:r w:rsidR="00EA7D02">
              <w:t xml:space="preserve">, MSAC advised </w:t>
            </w:r>
            <w:r w:rsidR="00F156C2">
              <w:t>for</w:t>
            </w:r>
            <w:r w:rsidR="00291094">
              <w:t xml:space="preserve"> </w:t>
            </w:r>
            <w:r w:rsidR="00295CFB" w:rsidRPr="00526191" w:rsidDel="003E7A33">
              <w:t xml:space="preserve">payments </w:t>
            </w:r>
            <w:r w:rsidR="00F156C2" w:rsidRPr="00526191">
              <w:t>to</w:t>
            </w:r>
            <w:r w:rsidR="00F156C2" w:rsidRPr="00526191" w:rsidDel="003E7A33">
              <w:t xml:space="preserve"> </w:t>
            </w:r>
            <w:r w:rsidR="00295CFB" w:rsidRPr="00526191" w:rsidDel="003E7A33">
              <w:t>be made in equal instalments over 10 years</w:t>
            </w:r>
            <w:r w:rsidR="00295CFB" w:rsidRPr="00526191">
              <w:t xml:space="preserve"> </w:t>
            </w:r>
            <w:r w:rsidR="00295CFB" w:rsidRPr="00526191" w:rsidDel="003E7A33">
              <w:t xml:space="preserve">and be linked to </w:t>
            </w:r>
            <w:r w:rsidR="003847A8" w:rsidRPr="00526191" w:rsidDel="003E7A33">
              <w:t xml:space="preserve">how </w:t>
            </w:r>
            <w:r w:rsidR="1F6BC641" w:rsidRPr="00526191" w:rsidDel="003E7A33">
              <w:t xml:space="preserve">long and </w:t>
            </w:r>
            <w:r w:rsidR="007472A5" w:rsidRPr="00526191" w:rsidDel="003E7A33">
              <w:t>how</w:t>
            </w:r>
            <w:r w:rsidR="00B56EC6" w:rsidRPr="00526191" w:rsidDel="003E7A33">
              <w:t xml:space="preserve"> well</w:t>
            </w:r>
            <w:r w:rsidR="007472A5" w:rsidRPr="00526191" w:rsidDel="003E7A33">
              <w:t xml:space="preserve"> </w:t>
            </w:r>
            <w:r w:rsidR="00295CFB" w:rsidRPr="00526191" w:rsidDel="003E7A33">
              <w:t>individual patient</w:t>
            </w:r>
            <w:r w:rsidR="007472A5" w:rsidRPr="00526191" w:rsidDel="003E7A33">
              <w:t>s</w:t>
            </w:r>
            <w:r w:rsidR="00295CFB" w:rsidRPr="00526191" w:rsidDel="003E7A33">
              <w:t xml:space="preserve"> respon</w:t>
            </w:r>
            <w:r w:rsidR="007472A5" w:rsidRPr="00526191" w:rsidDel="003E7A33">
              <w:t>d to treatment</w:t>
            </w:r>
            <w:r w:rsidR="00295CFB" w:rsidRPr="00526191" w:rsidDel="003E7A33">
              <w:t>.</w:t>
            </w:r>
          </w:p>
          <w:p w14:paraId="626434A8" w14:textId="77777777" w:rsidR="00992343" w:rsidRPr="00992343" w:rsidRDefault="00992343" w:rsidP="00E3012F">
            <w:pPr>
              <w:pStyle w:val="Heading3"/>
              <w:spacing w:before="240" w:after="120"/>
              <w:rPr>
                <w:sz w:val="22"/>
                <w:szCs w:val="22"/>
              </w:rPr>
            </w:pPr>
            <w:r w:rsidRPr="00992343">
              <w:rPr>
                <w:sz w:val="22"/>
                <w:szCs w:val="22"/>
              </w:rPr>
              <w:t>MSAC’s advice to the Commonwealth Minister for Health, Disability and Ageing</w:t>
            </w:r>
          </w:p>
          <w:p w14:paraId="33698E16" w14:textId="19F19C88" w:rsidR="008D1AA7" w:rsidRPr="00F91D6E" w:rsidRDefault="00992343" w:rsidP="00E3012F">
            <w:r w:rsidRPr="00AF46D8">
              <w:t xml:space="preserve">MSAC </w:t>
            </w:r>
            <w:r w:rsidR="0064309D">
              <w:t xml:space="preserve">supported the public funding of ED under the </w:t>
            </w:r>
            <w:r w:rsidR="00B56EC6">
              <w:t>N</w:t>
            </w:r>
            <w:r w:rsidR="0064309D">
              <w:t xml:space="preserve">ational </w:t>
            </w:r>
            <w:r w:rsidR="00B56EC6">
              <w:t>B</w:t>
            </w:r>
            <w:r w:rsidR="0064309D">
              <w:t xml:space="preserve">lood </w:t>
            </w:r>
            <w:r w:rsidR="00B56EC6">
              <w:t>Agreement</w:t>
            </w:r>
            <w:r w:rsidR="00262CA2">
              <w:t>,</w:t>
            </w:r>
            <w:r w:rsidR="00375981">
              <w:t xml:space="preserve"> provided the price</w:t>
            </w:r>
            <w:r w:rsidR="00B63132">
              <w:t xml:space="preserve"> per patient</w:t>
            </w:r>
            <w:r w:rsidR="00375981">
              <w:t xml:space="preserve"> is reduced and </w:t>
            </w:r>
            <w:r w:rsidR="00262CA2">
              <w:t>a</w:t>
            </w:r>
            <w:r w:rsidR="00375981">
              <w:t xml:space="preserve"> </w:t>
            </w:r>
            <w:r w:rsidR="005F7DE3">
              <w:t xml:space="preserve">pay for performance </w:t>
            </w:r>
            <w:r w:rsidR="009B4635">
              <w:t>arrangement</w:t>
            </w:r>
            <w:r w:rsidR="005F7DE3">
              <w:t xml:space="preserve"> – a type of outcome</w:t>
            </w:r>
            <w:r w:rsidR="00030D69">
              <w:t>-</w:t>
            </w:r>
            <w:r w:rsidR="005F7DE3">
              <w:t xml:space="preserve">based </w:t>
            </w:r>
            <w:r w:rsidR="00580003">
              <w:t>RSA is in place</w:t>
            </w:r>
            <w:r w:rsidR="00375981" w:rsidRPr="00A469E0">
              <w:t>.</w:t>
            </w:r>
            <w:r w:rsidR="0064309D">
              <w:t xml:space="preserve"> MSAC considered that</w:t>
            </w:r>
            <w:r w:rsidR="00A469E0">
              <w:t xml:space="preserve"> </w:t>
            </w:r>
            <w:r w:rsidR="00A469E0" w:rsidRPr="00A469E0">
              <w:t>ED provides clinical benefit to patients</w:t>
            </w:r>
            <w:r w:rsidR="008D1AA7">
              <w:t xml:space="preserve"> and reduces</w:t>
            </w:r>
            <w:r w:rsidR="00F35650">
              <w:t xml:space="preserve"> disease</w:t>
            </w:r>
            <w:r w:rsidR="008D1AA7">
              <w:t xml:space="preserve"> burden</w:t>
            </w:r>
            <w:r w:rsidR="0044041A">
              <w:t xml:space="preserve">. </w:t>
            </w:r>
            <w:r w:rsidR="003C301F">
              <w:t xml:space="preserve">MSAC considered </w:t>
            </w:r>
            <w:r w:rsidR="005B54BD">
              <w:t>that the RSA proposed in the application</w:t>
            </w:r>
            <w:r w:rsidR="00524553">
              <w:t xml:space="preserve"> </w:t>
            </w:r>
            <w:r w:rsidR="00897E35">
              <w:t xml:space="preserve">was designed to </w:t>
            </w:r>
            <w:r w:rsidR="00897E35" w:rsidRPr="003F4180">
              <w:t xml:space="preserve">address key uncertainties such as treatment failure, variability in patient </w:t>
            </w:r>
            <w:r w:rsidR="00897E35" w:rsidRPr="003F4180">
              <w:lastRenderedPageBreak/>
              <w:t xml:space="preserve">response, durability of effect, and the high </w:t>
            </w:r>
            <w:r w:rsidR="0074793D" w:rsidRPr="003F4180">
              <w:t>cost to governments</w:t>
            </w:r>
            <w:r w:rsidR="00BA1443" w:rsidRPr="003F4180">
              <w:t>. MSAC noted that this</w:t>
            </w:r>
            <w:r w:rsidR="00433191" w:rsidRPr="003F4180">
              <w:t xml:space="preserve"> model aligns payments with treatment outcomes and incentivises ongoing </w:t>
            </w:r>
            <w:r w:rsidR="00B613A0" w:rsidRPr="003F4180">
              <w:t>patient monitoring.</w:t>
            </w:r>
          </w:p>
        </w:tc>
      </w:tr>
    </w:tbl>
    <w:p w14:paraId="0F7BB761" w14:textId="77777777" w:rsidR="00D83758" w:rsidRPr="00D155C0" w:rsidRDefault="00D83758" w:rsidP="003758CD">
      <w:pPr>
        <w:pStyle w:val="Heading2"/>
        <w:numPr>
          <w:ilvl w:val="0"/>
          <w:numId w:val="28"/>
        </w:numPr>
      </w:pPr>
      <w:r w:rsidRPr="003A793E">
        <w:lastRenderedPageBreak/>
        <w:t>Summary of consideration and rationale for MSAC’s advice</w:t>
      </w:r>
    </w:p>
    <w:bookmarkEnd w:id="3"/>
    <w:bookmarkEnd w:id="4"/>
    <w:p w14:paraId="65494939" w14:textId="0B496F76" w:rsidR="00577A87" w:rsidRPr="00577A87" w:rsidRDefault="00577A87" w:rsidP="00E3012F">
      <w:pPr>
        <w:spacing w:line="240" w:lineRule="auto"/>
      </w:pPr>
      <w:r w:rsidRPr="00577A87">
        <w:t>MSAC noted that this re-application from CSL Behring requested public funding through the National Blood Agreement for etranacogene dezaparvovec (</w:t>
      </w:r>
      <w:r w:rsidR="00B56EC6">
        <w:t xml:space="preserve">ED, trade name: </w:t>
      </w:r>
      <w:proofErr w:type="spellStart"/>
      <w:r w:rsidRPr="00577A87">
        <w:t>Hemgenix</w:t>
      </w:r>
      <w:proofErr w:type="spellEnd"/>
      <w:r w:rsidRPr="00577A87">
        <w:t>®) infusion, a gene therapy for the treatment of moderately severe and severe congenital haemophilia B (</w:t>
      </w:r>
      <w:proofErr w:type="spellStart"/>
      <w:r w:rsidRPr="00577A87">
        <w:t>cHMB</w:t>
      </w:r>
      <w:proofErr w:type="spellEnd"/>
      <w:r w:rsidRPr="00577A87">
        <w:t xml:space="preserve">). </w:t>
      </w:r>
      <w:proofErr w:type="spellStart"/>
      <w:r w:rsidRPr="00577A87">
        <w:t>cHMB</w:t>
      </w:r>
      <w:proofErr w:type="spellEnd"/>
      <w:r w:rsidRPr="00577A87">
        <w:t xml:space="preserve"> is a rare, X-linked recessive bleeding disorder that results in reduced levels of clotting factor IX (FIX).</w:t>
      </w:r>
    </w:p>
    <w:p w14:paraId="478B0738" w14:textId="51C2F5B5" w:rsidR="00577A87" w:rsidRPr="00577A87" w:rsidRDefault="00520CE6" w:rsidP="00E3012F">
      <w:pPr>
        <w:spacing w:line="240" w:lineRule="auto"/>
      </w:pPr>
      <w:r>
        <w:t>ED</w:t>
      </w:r>
      <w:r w:rsidR="00577A87" w:rsidRPr="00577A87">
        <w:t xml:space="preserve"> is a somatic gene therapy in which an inactive adeno-associated virus type 5 (AAV5) vector is used to introduce a copy of the FIX gene into liver cells, which then produce functional FIX (of the Padua variant). The therapy is proposed to be a once-per-lifetime treatment.</w:t>
      </w:r>
    </w:p>
    <w:p w14:paraId="63D07AA3" w14:textId="71AB9FC1" w:rsidR="00577A87" w:rsidRPr="00577A87" w:rsidRDefault="00577A87" w:rsidP="00E3012F">
      <w:pPr>
        <w:spacing w:line="240" w:lineRule="auto"/>
      </w:pPr>
      <w:r w:rsidRPr="00577A87">
        <w:t xml:space="preserve">MSAC recalled that it had not supported </w:t>
      </w:r>
      <w:r w:rsidR="00437D90">
        <w:t>the</w:t>
      </w:r>
      <w:r w:rsidR="00437D90" w:rsidRPr="00577A87">
        <w:t xml:space="preserve"> </w:t>
      </w:r>
      <w:r w:rsidR="00252FCA">
        <w:t xml:space="preserve">initial </w:t>
      </w:r>
      <w:r w:rsidRPr="00577A87">
        <w:t>application</w:t>
      </w:r>
      <w:r w:rsidR="00252FCA">
        <w:t xml:space="preserve"> for ED</w:t>
      </w:r>
      <w:r w:rsidRPr="00577A87">
        <w:t xml:space="preserve"> at</w:t>
      </w:r>
      <w:r w:rsidR="00437D90">
        <w:t xml:space="preserve"> </w:t>
      </w:r>
      <w:r w:rsidRPr="00577A87">
        <w:t>its August 2024 meeting (</w:t>
      </w:r>
      <w:hyperlink r:id="rId13" w:history="1">
        <w:r w:rsidR="002050E1">
          <w:rPr>
            <w:rStyle w:val="Hyperlink"/>
          </w:rPr>
          <w:t>MSAC 1728</w:t>
        </w:r>
      </w:hyperlink>
      <w:r w:rsidRPr="00577A87">
        <w:t>)</w:t>
      </w:r>
      <w:r w:rsidR="00DB1B2A">
        <w:t xml:space="preserve">. MSAC </w:t>
      </w:r>
      <w:r w:rsidR="00CB5428">
        <w:t>considered</w:t>
      </w:r>
      <w:r w:rsidR="008B1A46">
        <w:t xml:space="preserve"> that the limited,</w:t>
      </w:r>
      <w:r w:rsidR="00DB1B2A">
        <w:t xml:space="preserve"> </w:t>
      </w:r>
      <w:r w:rsidRPr="00577A87">
        <w:t xml:space="preserve">low-certainty clinical evidence indicated that </w:t>
      </w:r>
      <w:r w:rsidR="00E35FD0">
        <w:t>ED</w:t>
      </w:r>
      <w:r w:rsidR="008F5374" w:rsidRPr="008F5374" w:rsidDel="008F5374">
        <w:t xml:space="preserve"> </w:t>
      </w:r>
      <w:r w:rsidRPr="00577A87">
        <w:t xml:space="preserve">may be effective for some patients in the short term, but </w:t>
      </w:r>
      <w:r w:rsidR="00B35241">
        <w:t xml:space="preserve">considered that </w:t>
      </w:r>
      <w:r w:rsidRPr="00577A87">
        <w:t xml:space="preserve">there was substantial inter-individual variability in the patient response to </w:t>
      </w:r>
      <w:r w:rsidR="00AC7070">
        <w:t>ED</w:t>
      </w:r>
      <w:r w:rsidR="00E1646E">
        <w:t xml:space="preserve">. </w:t>
      </w:r>
      <w:r w:rsidR="0070286D">
        <w:t xml:space="preserve">MSAC considered the available </w:t>
      </w:r>
      <w:r w:rsidRPr="00577A87">
        <w:t>clinical evidence</w:t>
      </w:r>
      <w:r w:rsidR="0070286D">
        <w:t xml:space="preserve">, including </w:t>
      </w:r>
      <w:r w:rsidRPr="00577A87">
        <w:t>3-year follow-up</w:t>
      </w:r>
      <w:r w:rsidR="0070286D">
        <w:t xml:space="preserve"> data, to be </w:t>
      </w:r>
      <w:r w:rsidRPr="00577A87">
        <w:t xml:space="preserve">insufficient to substantiate the long-term safety and effectiveness of </w:t>
      </w:r>
      <w:r w:rsidR="00AC7070">
        <w:t>ED</w:t>
      </w:r>
      <w:r w:rsidR="003024EE">
        <w:t xml:space="preserve">. Furthermore, </w:t>
      </w:r>
      <w:r w:rsidR="002756B9">
        <w:t xml:space="preserve">MSAC considered the </w:t>
      </w:r>
      <w:r w:rsidRPr="00577A87">
        <w:t>neutralising antibodies (</w:t>
      </w:r>
      <w:proofErr w:type="spellStart"/>
      <w:r w:rsidRPr="00577A87">
        <w:t>NAb</w:t>
      </w:r>
      <w:proofErr w:type="spellEnd"/>
      <w:r w:rsidRPr="00577A87">
        <w:t xml:space="preserve">) test essential for determining patient eligibility for </w:t>
      </w:r>
      <w:r w:rsidR="00AC7070">
        <w:t>ED</w:t>
      </w:r>
      <w:r w:rsidR="008F5374" w:rsidRPr="008F5374" w:rsidDel="008F5374">
        <w:t xml:space="preserve"> </w:t>
      </w:r>
      <w:r w:rsidRPr="00577A87">
        <w:t>but</w:t>
      </w:r>
      <w:r w:rsidR="00501EDD">
        <w:t xml:space="preserve"> noted the</w:t>
      </w:r>
      <w:r w:rsidRPr="00577A87">
        <w:t xml:space="preserve"> test has not been validated</w:t>
      </w:r>
      <w:r w:rsidR="00A22B8F">
        <w:t xml:space="preserve">. MSAC further considered </w:t>
      </w:r>
      <w:r w:rsidRPr="00577A87">
        <w:t xml:space="preserve">the cost-effectiveness of </w:t>
      </w:r>
      <w:r w:rsidR="00EA53A4">
        <w:t>ED</w:t>
      </w:r>
      <w:r w:rsidR="008F5374" w:rsidRPr="008F5374" w:rsidDel="008F5374">
        <w:t xml:space="preserve"> </w:t>
      </w:r>
      <w:r w:rsidRPr="00577A87">
        <w:t xml:space="preserve">compared to FIX replacement therapy </w:t>
      </w:r>
      <w:r w:rsidR="0091784B">
        <w:t>to be</w:t>
      </w:r>
      <w:r w:rsidR="0091784B" w:rsidRPr="00577A87">
        <w:t xml:space="preserve"> </w:t>
      </w:r>
      <w:r w:rsidRPr="00577A87">
        <w:t>highly uncertain</w:t>
      </w:r>
      <w:r w:rsidR="0091784B">
        <w:t>,</w:t>
      </w:r>
      <w:r w:rsidRPr="00577A87">
        <w:t xml:space="preserve"> due to </w:t>
      </w:r>
      <w:r w:rsidR="0091784B">
        <w:t xml:space="preserve">both the limitations of </w:t>
      </w:r>
      <w:r w:rsidRPr="00577A87">
        <w:t>the clinical evidence and the oversimplified economic model.</w:t>
      </w:r>
    </w:p>
    <w:p w14:paraId="7442A1AA" w14:textId="36C492D3" w:rsidR="00577A87" w:rsidRPr="00E35FD0" w:rsidRDefault="00577A87" w:rsidP="00E3012F">
      <w:pPr>
        <w:pStyle w:val="Bullet"/>
        <w:numPr>
          <w:ilvl w:val="0"/>
          <w:numId w:val="0"/>
        </w:numPr>
        <w:spacing w:before="0"/>
        <w:rPr>
          <w:rFonts w:ascii="Franklin Gothic Book" w:hAnsi="Franklin Gothic Book"/>
        </w:rPr>
      </w:pPr>
      <w:r w:rsidRPr="0085386E">
        <w:rPr>
          <w:rFonts w:ascii="Franklin Gothic Book" w:hAnsi="Franklin Gothic Book"/>
        </w:rPr>
        <w:t xml:space="preserve">MSAC </w:t>
      </w:r>
      <w:r w:rsidR="00D66F89" w:rsidRPr="0085386E">
        <w:rPr>
          <w:rFonts w:ascii="Franklin Gothic Book" w:hAnsi="Franklin Gothic Book"/>
        </w:rPr>
        <w:t xml:space="preserve">noted </w:t>
      </w:r>
      <w:r w:rsidR="00150DFF" w:rsidRPr="0085386E">
        <w:rPr>
          <w:rFonts w:ascii="Franklin Gothic Book" w:hAnsi="Franklin Gothic Book"/>
        </w:rPr>
        <w:t>that</w:t>
      </w:r>
      <w:r w:rsidR="003524B6" w:rsidRPr="0085386E">
        <w:rPr>
          <w:rFonts w:ascii="Franklin Gothic Book" w:hAnsi="Franklin Gothic Book"/>
        </w:rPr>
        <w:t xml:space="preserve"> consultation feedback from the</w:t>
      </w:r>
      <w:r w:rsidR="00421CA9" w:rsidRPr="0085386E">
        <w:rPr>
          <w:rFonts w:ascii="Franklin Gothic Book" w:hAnsi="Franklin Gothic Book"/>
        </w:rPr>
        <w:t xml:space="preserve"> </w:t>
      </w:r>
      <w:r w:rsidR="00073A76" w:rsidRPr="0085386E">
        <w:rPr>
          <w:rFonts w:ascii="Franklin Gothic Book" w:hAnsi="Franklin Gothic Book"/>
        </w:rPr>
        <w:t>Australian Haemophilia Centre Directors'</w:t>
      </w:r>
      <w:r w:rsidR="008C08B5" w:rsidRPr="0085386E">
        <w:rPr>
          <w:rFonts w:ascii="Franklin Gothic Book" w:hAnsi="Franklin Gothic Book"/>
        </w:rPr>
        <w:t xml:space="preserve"> </w:t>
      </w:r>
      <w:r w:rsidR="00073A76" w:rsidRPr="0085386E">
        <w:rPr>
          <w:rFonts w:ascii="Franklin Gothic Book" w:hAnsi="Franklin Gothic Book"/>
        </w:rPr>
        <w:t xml:space="preserve">Organisation </w:t>
      </w:r>
      <w:r w:rsidR="003524B6" w:rsidRPr="0085386E">
        <w:rPr>
          <w:rFonts w:ascii="Franklin Gothic Book" w:hAnsi="Franklin Gothic Book"/>
        </w:rPr>
        <w:t>(</w:t>
      </w:r>
      <w:r w:rsidR="008B32C7" w:rsidRPr="0085386E">
        <w:rPr>
          <w:rFonts w:ascii="Franklin Gothic Book" w:hAnsi="Franklin Gothic Book"/>
        </w:rPr>
        <w:t>AHCDO</w:t>
      </w:r>
      <w:r w:rsidR="003524B6" w:rsidRPr="0085386E">
        <w:rPr>
          <w:rFonts w:ascii="Franklin Gothic Book" w:hAnsi="Franklin Gothic Book"/>
        </w:rPr>
        <w:t>)</w:t>
      </w:r>
      <w:r w:rsidR="008B32C7" w:rsidRPr="0085386E">
        <w:rPr>
          <w:rFonts w:ascii="Franklin Gothic Book" w:hAnsi="Franklin Gothic Book"/>
        </w:rPr>
        <w:t xml:space="preserve"> and Haemophilia Foundation Australia </w:t>
      </w:r>
      <w:r w:rsidR="003524B6" w:rsidRPr="0085386E">
        <w:rPr>
          <w:rFonts w:ascii="Franklin Gothic Book" w:hAnsi="Franklin Gothic Book"/>
        </w:rPr>
        <w:t>(</w:t>
      </w:r>
      <w:r w:rsidR="008B32C7" w:rsidRPr="0085386E">
        <w:rPr>
          <w:rFonts w:ascii="Franklin Gothic Book" w:hAnsi="Franklin Gothic Book"/>
        </w:rPr>
        <w:t>HF</w:t>
      </w:r>
      <w:r w:rsidR="00252FCA" w:rsidRPr="0085386E">
        <w:rPr>
          <w:rFonts w:ascii="Franklin Gothic Book" w:hAnsi="Franklin Gothic Book"/>
        </w:rPr>
        <w:t>A</w:t>
      </w:r>
      <w:r w:rsidR="003524B6" w:rsidRPr="0085386E">
        <w:rPr>
          <w:rFonts w:ascii="Franklin Gothic Book" w:hAnsi="Franklin Gothic Book"/>
        </w:rPr>
        <w:t>)</w:t>
      </w:r>
      <w:r w:rsidR="00DC2E98" w:rsidRPr="0085386E">
        <w:rPr>
          <w:rFonts w:ascii="Franklin Gothic Book" w:hAnsi="Franklin Gothic Book"/>
        </w:rPr>
        <w:t xml:space="preserve"> </w:t>
      </w:r>
      <w:r w:rsidR="00CD7ABA" w:rsidRPr="0085386E">
        <w:rPr>
          <w:rFonts w:ascii="Franklin Gothic Book" w:hAnsi="Franklin Gothic Book"/>
        </w:rPr>
        <w:t>was</w:t>
      </w:r>
      <w:r w:rsidR="00AF323B" w:rsidRPr="0085386E">
        <w:rPr>
          <w:rFonts w:ascii="Franklin Gothic Book" w:hAnsi="Franklin Gothic Book"/>
        </w:rPr>
        <w:t xml:space="preserve"> supportive for the public funding of </w:t>
      </w:r>
      <w:r w:rsidR="0071253D" w:rsidRPr="0085386E">
        <w:rPr>
          <w:rFonts w:ascii="Franklin Gothic Book" w:hAnsi="Franklin Gothic Book"/>
        </w:rPr>
        <w:t>ED</w:t>
      </w:r>
      <w:r w:rsidR="008B32C7" w:rsidRPr="0085386E">
        <w:rPr>
          <w:rFonts w:ascii="Franklin Gothic Book" w:hAnsi="Franklin Gothic Book"/>
        </w:rPr>
        <w:t>.</w:t>
      </w:r>
      <w:r w:rsidR="0071253D" w:rsidRPr="0085386E">
        <w:rPr>
          <w:rFonts w:ascii="Franklin Gothic Book" w:hAnsi="Franklin Gothic Book"/>
        </w:rPr>
        <w:t xml:space="preserve"> HFA highlighted </w:t>
      </w:r>
      <w:r w:rsidR="00C64F8C" w:rsidRPr="0085386E">
        <w:rPr>
          <w:rFonts w:ascii="Franklin Gothic Book" w:hAnsi="Franklin Gothic Book"/>
        </w:rPr>
        <w:t xml:space="preserve">results </w:t>
      </w:r>
      <w:r w:rsidR="000968EC" w:rsidRPr="0085386E">
        <w:rPr>
          <w:rFonts w:ascii="Franklin Gothic Book" w:hAnsi="Franklin Gothic Book"/>
        </w:rPr>
        <w:t xml:space="preserve">from the 2024 Haemophilia gene therapy snapshot survey </w:t>
      </w:r>
      <w:r w:rsidR="00C64F8C" w:rsidRPr="0085386E">
        <w:rPr>
          <w:rFonts w:ascii="Franklin Gothic Book" w:hAnsi="Franklin Gothic Book"/>
        </w:rPr>
        <w:t>indicating</w:t>
      </w:r>
      <w:r w:rsidR="008B32C7" w:rsidRPr="0085386E">
        <w:rPr>
          <w:rFonts w:ascii="Franklin Gothic Book" w:hAnsi="Franklin Gothic Book"/>
        </w:rPr>
        <w:t xml:space="preserve"> </w:t>
      </w:r>
      <w:r w:rsidR="00CD58F3" w:rsidRPr="0085386E">
        <w:rPr>
          <w:rFonts w:ascii="Franklin Gothic Book" w:hAnsi="Franklin Gothic Book"/>
        </w:rPr>
        <w:t xml:space="preserve">that haemophilia patients </w:t>
      </w:r>
      <w:r w:rsidR="006F0E6C" w:rsidRPr="0085386E">
        <w:rPr>
          <w:rFonts w:ascii="Franklin Gothic Book" w:hAnsi="Franklin Gothic Book"/>
        </w:rPr>
        <w:t>preferred</w:t>
      </w:r>
      <w:r w:rsidR="00CD58F3" w:rsidRPr="0085386E">
        <w:rPr>
          <w:rFonts w:ascii="Franklin Gothic Book" w:hAnsi="Franklin Gothic Book"/>
        </w:rPr>
        <w:t xml:space="preserve"> </w:t>
      </w:r>
      <w:r w:rsidRPr="009F3659">
        <w:rPr>
          <w:rFonts w:ascii="Franklin Gothic Book" w:hAnsi="Franklin Gothic Book"/>
        </w:rPr>
        <w:t>a permanent solution</w:t>
      </w:r>
      <w:r w:rsidR="00F438CD" w:rsidRPr="009F3659">
        <w:rPr>
          <w:rFonts w:ascii="Franklin Gothic Book" w:hAnsi="Franklin Gothic Book"/>
        </w:rPr>
        <w:t xml:space="preserve"> (i.e. a cure)</w:t>
      </w:r>
      <w:r w:rsidRPr="009F3659">
        <w:rPr>
          <w:rFonts w:ascii="Franklin Gothic Book" w:hAnsi="Franklin Gothic Book"/>
        </w:rPr>
        <w:t xml:space="preserve"> that </w:t>
      </w:r>
      <w:r w:rsidR="000D5ECB" w:rsidRPr="009F3659">
        <w:rPr>
          <w:rFonts w:ascii="Franklin Gothic Book" w:hAnsi="Franklin Gothic Book"/>
        </w:rPr>
        <w:t xml:space="preserve">prevents </w:t>
      </w:r>
      <w:r w:rsidRPr="009F3659">
        <w:rPr>
          <w:rFonts w:ascii="Franklin Gothic Book" w:hAnsi="Franklin Gothic Book"/>
        </w:rPr>
        <w:t>bleeds and joint damage</w:t>
      </w:r>
      <w:r w:rsidR="00DF3214" w:rsidRPr="009F3659">
        <w:rPr>
          <w:rFonts w:ascii="Franklin Gothic Book" w:hAnsi="Franklin Gothic Book"/>
        </w:rPr>
        <w:t>, with no need for ongoing treatment</w:t>
      </w:r>
      <w:r w:rsidR="00325DE2" w:rsidRPr="009F3659">
        <w:rPr>
          <w:rFonts w:ascii="Franklin Gothic Book" w:hAnsi="Franklin Gothic Book"/>
        </w:rPr>
        <w:t xml:space="preserve">, and minimal side effects. Patients also </w:t>
      </w:r>
      <w:r w:rsidR="009D5FB4" w:rsidRPr="009F3659">
        <w:rPr>
          <w:rFonts w:ascii="Franklin Gothic Book" w:hAnsi="Franklin Gothic Book"/>
        </w:rPr>
        <w:t xml:space="preserve">sought </w:t>
      </w:r>
      <w:r w:rsidRPr="009F3659">
        <w:rPr>
          <w:rFonts w:ascii="Franklin Gothic Book" w:hAnsi="Franklin Gothic Book"/>
        </w:rPr>
        <w:t xml:space="preserve">reduced </w:t>
      </w:r>
      <w:r w:rsidR="009D5FB4" w:rsidRPr="009F3659">
        <w:rPr>
          <w:rFonts w:ascii="Franklin Gothic Book" w:hAnsi="Franklin Gothic Book"/>
        </w:rPr>
        <w:t xml:space="preserve">treatment </w:t>
      </w:r>
      <w:r w:rsidRPr="009F3659">
        <w:rPr>
          <w:rFonts w:ascii="Franklin Gothic Book" w:hAnsi="Franklin Gothic Book"/>
        </w:rPr>
        <w:t>burden,</w:t>
      </w:r>
      <w:r w:rsidR="00EE6780" w:rsidRPr="009F3659">
        <w:rPr>
          <w:rFonts w:ascii="Franklin Gothic Book" w:hAnsi="Franklin Gothic Book"/>
        </w:rPr>
        <w:t xml:space="preserve"> including</w:t>
      </w:r>
      <w:r w:rsidRPr="009F3659">
        <w:rPr>
          <w:rFonts w:ascii="Franklin Gothic Book" w:hAnsi="Franklin Gothic Book"/>
        </w:rPr>
        <w:t xml:space="preserve"> less frequent and less painful administration</w:t>
      </w:r>
      <w:r w:rsidR="00F8114B" w:rsidRPr="009F3659">
        <w:rPr>
          <w:rFonts w:ascii="Franklin Gothic Book" w:hAnsi="Franklin Gothic Book"/>
        </w:rPr>
        <w:t xml:space="preserve">; </w:t>
      </w:r>
      <w:r w:rsidRPr="009F3659">
        <w:rPr>
          <w:rFonts w:ascii="Franklin Gothic Book" w:hAnsi="Franklin Gothic Book"/>
        </w:rPr>
        <w:t>fewer hospital visits</w:t>
      </w:r>
      <w:r w:rsidR="00F8114B" w:rsidRPr="009F3659">
        <w:rPr>
          <w:rFonts w:ascii="Franklin Gothic Book" w:hAnsi="Franklin Gothic Book"/>
        </w:rPr>
        <w:t>;</w:t>
      </w:r>
      <w:r w:rsidRPr="009F3659">
        <w:rPr>
          <w:rFonts w:ascii="Franklin Gothic Book" w:hAnsi="Franklin Gothic Book"/>
        </w:rPr>
        <w:t xml:space="preserve"> and </w:t>
      </w:r>
      <w:r w:rsidR="00F8114B" w:rsidRPr="009F3659">
        <w:rPr>
          <w:rFonts w:ascii="Franklin Gothic Book" w:hAnsi="Franklin Gothic Book"/>
        </w:rPr>
        <w:t>faster recovery</w:t>
      </w:r>
      <w:r w:rsidR="00E17E3F" w:rsidRPr="009F3659">
        <w:rPr>
          <w:rFonts w:ascii="Franklin Gothic Book" w:hAnsi="Franklin Gothic Book"/>
        </w:rPr>
        <w:t xml:space="preserve">. </w:t>
      </w:r>
      <w:r w:rsidR="00F438CD" w:rsidRPr="009F3659">
        <w:rPr>
          <w:rFonts w:ascii="Franklin Gothic Book" w:hAnsi="Franklin Gothic Book"/>
        </w:rPr>
        <w:t>Patients preferred treatment outcomes that</w:t>
      </w:r>
      <w:r w:rsidR="00E17E3F" w:rsidRPr="009F3659">
        <w:rPr>
          <w:rFonts w:ascii="Franklin Gothic Book" w:hAnsi="Franklin Gothic Book"/>
        </w:rPr>
        <w:t xml:space="preserve"> </w:t>
      </w:r>
      <w:r w:rsidRPr="009F3659">
        <w:rPr>
          <w:rFonts w:ascii="Franklin Gothic Book" w:hAnsi="Franklin Gothic Book"/>
        </w:rPr>
        <w:t>increase</w:t>
      </w:r>
      <w:r w:rsidR="00E17E3F" w:rsidRPr="009F3659">
        <w:rPr>
          <w:rFonts w:ascii="Franklin Gothic Book" w:hAnsi="Franklin Gothic Book"/>
        </w:rPr>
        <w:t xml:space="preserve"> their</w:t>
      </w:r>
      <w:r w:rsidRPr="009F3659">
        <w:rPr>
          <w:rFonts w:ascii="Franklin Gothic Book" w:hAnsi="Franklin Gothic Book"/>
        </w:rPr>
        <w:t xml:space="preserve"> quality of life</w:t>
      </w:r>
      <w:r w:rsidR="003630A6" w:rsidRPr="009F3659">
        <w:rPr>
          <w:rFonts w:ascii="Franklin Gothic Book" w:hAnsi="Franklin Gothic Book"/>
        </w:rPr>
        <w:t>, enabling participation in daily activities, work, education, sport and travel.</w:t>
      </w:r>
      <w:r w:rsidRPr="009F3659">
        <w:rPr>
          <w:rFonts w:ascii="Franklin Gothic Book" w:hAnsi="Franklin Gothic Book"/>
        </w:rPr>
        <w:t xml:space="preserve"> </w:t>
      </w:r>
      <w:r w:rsidR="00E97278" w:rsidRPr="009F3659">
        <w:rPr>
          <w:rFonts w:ascii="Franklin Gothic Book" w:hAnsi="Franklin Gothic Book"/>
        </w:rPr>
        <w:t xml:space="preserve">The survey also highlighted that </w:t>
      </w:r>
      <w:r w:rsidR="003356C9">
        <w:rPr>
          <w:rFonts w:ascii="Franklin Gothic Book" w:hAnsi="Franklin Gothic Book"/>
        </w:rPr>
        <w:t>there was substantial</w:t>
      </w:r>
      <w:r w:rsidR="00E97278" w:rsidRPr="009F3659">
        <w:rPr>
          <w:rFonts w:ascii="Franklin Gothic Book" w:hAnsi="Franklin Gothic Book"/>
        </w:rPr>
        <w:t xml:space="preserve"> concern among people with haemophilia regarding current gene therapies </w:t>
      </w:r>
      <w:r w:rsidR="003356C9">
        <w:rPr>
          <w:rFonts w:ascii="Franklin Gothic Book" w:hAnsi="Franklin Gothic Book"/>
        </w:rPr>
        <w:t>and</w:t>
      </w:r>
      <w:r w:rsidR="00E97278" w:rsidRPr="009F3659">
        <w:rPr>
          <w:rFonts w:ascii="Franklin Gothic Book" w:hAnsi="Franklin Gothic Book"/>
        </w:rPr>
        <w:t xml:space="preserve"> long</w:t>
      </w:r>
      <w:r w:rsidR="00B17F1E" w:rsidRPr="009F3659">
        <w:rPr>
          <w:rFonts w:ascii="Franklin Gothic Book" w:hAnsi="Franklin Gothic Book"/>
        </w:rPr>
        <w:t>-</w:t>
      </w:r>
      <w:r w:rsidR="00E97278" w:rsidRPr="009F3659">
        <w:rPr>
          <w:rFonts w:ascii="Franklin Gothic Book" w:hAnsi="Franklin Gothic Book"/>
        </w:rPr>
        <w:t xml:space="preserve">term effectiveness and safety. </w:t>
      </w:r>
      <w:r w:rsidR="00CD664A" w:rsidRPr="009F3659">
        <w:rPr>
          <w:rFonts w:ascii="Franklin Gothic Book" w:hAnsi="Franklin Gothic Book"/>
        </w:rPr>
        <w:t xml:space="preserve">AHCDO </w:t>
      </w:r>
      <w:r w:rsidR="009165FC" w:rsidRPr="009F3659">
        <w:rPr>
          <w:rFonts w:ascii="Franklin Gothic Book" w:hAnsi="Franklin Gothic Book"/>
        </w:rPr>
        <w:t>emphasised</w:t>
      </w:r>
      <w:r w:rsidR="00CD664A" w:rsidRPr="009F3659">
        <w:rPr>
          <w:rFonts w:ascii="Franklin Gothic Book" w:hAnsi="Franklin Gothic Book"/>
        </w:rPr>
        <w:t xml:space="preserve"> </w:t>
      </w:r>
      <w:r w:rsidR="00B17F1E" w:rsidRPr="009F3659">
        <w:rPr>
          <w:rFonts w:ascii="Franklin Gothic Book" w:hAnsi="Franklin Gothic Book"/>
        </w:rPr>
        <w:t>the importance of explicitly discussing with eligible patients the need for ongoing, long-term safety and efficacy monitoring post-treatment, which will be conducted through scheduled clinical reviews and laboratory tests</w:t>
      </w:r>
      <w:r w:rsidR="00CD664A" w:rsidRPr="00E35FD0">
        <w:rPr>
          <w:rFonts w:ascii="Franklin Gothic Book" w:hAnsi="Franklin Gothic Book"/>
        </w:rPr>
        <w:t>.</w:t>
      </w:r>
    </w:p>
    <w:p w14:paraId="793CC333" w14:textId="01303552" w:rsidR="003E5BDD" w:rsidRPr="00577A87" w:rsidRDefault="00934F27" w:rsidP="00E3012F">
      <w:pPr>
        <w:spacing w:line="240" w:lineRule="auto"/>
      </w:pPr>
      <w:r>
        <w:t>T</w:t>
      </w:r>
      <w:r w:rsidR="00577A87" w:rsidRPr="00577A87">
        <w:t xml:space="preserve">he applicant was granted a hearing. At the hearing, representatives of the applicant highlighted the positive impact </w:t>
      </w:r>
      <w:r w:rsidR="00E35FD0">
        <w:t>ED</w:t>
      </w:r>
      <w:r w:rsidR="008F5374" w:rsidRPr="008F5374" w:rsidDel="008F5374">
        <w:t xml:space="preserve"> </w:t>
      </w:r>
      <w:r w:rsidR="00577A87" w:rsidRPr="00577A87">
        <w:t xml:space="preserve">had on patients and their quality of life. </w:t>
      </w:r>
      <w:r w:rsidR="00CD601D" w:rsidRPr="00CD601D">
        <w:t>At the hearing</w:t>
      </w:r>
      <w:r w:rsidR="00CD601D">
        <w:t xml:space="preserve"> (</w:t>
      </w:r>
      <w:r w:rsidR="00CD601D" w:rsidRPr="00CD601D">
        <w:t xml:space="preserve">and in their </w:t>
      </w:r>
      <w:r w:rsidR="00CD601D">
        <w:t xml:space="preserve">pre-MSAC </w:t>
      </w:r>
      <w:r w:rsidR="00CD601D" w:rsidRPr="00CD601D">
        <w:t>response</w:t>
      </w:r>
      <w:r w:rsidR="00CD601D">
        <w:t>)</w:t>
      </w:r>
      <w:r w:rsidR="00CD601D" w:rsidRPr="00CD601D">
        <w:t>, the applicant’s representatives asserted that the collective evidence presented in the applicant-developed assessment report</w:t>
      </w:r>
      <w:r w:rsidR="00D57D33">
        <w:t xml:space="preserve"> (ADAR)</w:t>
      </w:r>
      <w:r w:rsidR="00CD601D" w:rsidRPr="00CD601D">
        <w:t>, along with a newly published study on AAV-mediated gene therapy</w:t>
      </w:r>
      <w:r w:rsidR="00D57D33">
        <w:rPr>
          <w:rStyle w:val="FootnoteReference"/>
        </w:rPr>
        <w:footnoteReference w:id="2"/>
      </w:r>
      <w:r w:rsidR="00CD601D" w:rsidRPr="00CD601D">
        <w:t xml:space="preserve">, demonstrates stable and lasting efficacy of </w:t>
      </w:r>
      <w:r w:rsidR="00D57D33">
        <w:t>ED</w:t>
      </w:r>
      <w:r w:rsidR="00CD601D" w:rsidRPr="00CD601D">
        <w:t xml:space="preserve">. </w:t>
      </w:r>
      <w:r w:rsidR="00D57D33">
        <w:t>MSAC</w:t>
      </w:r>
      <w:r w:rsidR="00CD601D" w:rsidRPr="00CD601D">
        <w:t xml:space="preserve"> noted that the newly published study was a Phase 1 trial involving 10 patients with severe h</w:t>
      </w:r>
      <w:r w:rsidR="00D57D33">
        <w:t>a</w:t>
      </w:r>
      <w:r w:rsidR="00CD601D" w:rsidRPr="00CD601D">
        <w:t xml:space="preserve">emophilia B, who received a single administration of scAAV2/8-LP1-hFIXco gene therapy. This AAV-mediated </w:t>
      </w:r>
      <w:r w:rsidR="00D57D33">
        <w:t xml:space="preserve">gene </w:t>
      </w:r>
      <w:r w:rsidR="00CD601D" w:rsidRPr="00CD601D">
        <w:t>therapy showed sustained clinical benefit over a 13-year period</w:t>
      </w:r>
      <w:r w:rsidR="00C70D50">
        <w:t xml:space="preserve">. </w:t>
      </w:r>
      <w:r w:rsidR="00D57D33">
        <w:t>MSAC considered</w:t>
      </w:r>
      <w:r w:rsidR="00CD601D" w:rsidRPr="00CD601D">
        <w:t xml:space="preserve"> </w:t>
      </w:r>
      <w:r w:rsidR="00D57D33">
        <w:t>t</w:t>
      </w:r>
      <w:r w:rsidR="00CD601D" w:rsidRPr="00CD601D">
        <w:t>hat while both therapies</w:t>
      </w:r>
      <w:r w:rsidR="00D57D33">
        <w:t xml:space="preserve">, </w:t>
      </w:r>
      <w:r w:rsidR="00D57D33" w:rsidRPr="00CD601D">
        <w:t>scAAV2/8-LP1-hFIXco</w:t>
      </w:r>
      <w:r w:rsidR="00D57D33">
        <w:t xml:space="preserve"> and ED </w:t>
      </w:r>
      <w:r w:rsidR="00D25963" w:rsidRPr="00D25963">
        <w:t>use liver-directed AAV vectors to deliver a codon-</w:t>
      </w:r>
      <w:r w:rsidR="00D25963" w:rsidRPr="00D25963">
        <w:lastRenderedPageBreak/>
        <w:t>optimised FIX transgene</w:t>
      </w:r>
      <w:r w:rsidR="00CD601D" w:rsidRPr="00CD601D">
        <w:t xml:space="preserve">, no assessment has been presented </w:t>
      </w:r>
      <w:r w:rsidR="00D57D33">
        <w:t>n</w:t>
      </w:r>
      <w:r w:rsidR="00CD601D" w:rsidRPr="00CD601D">
        <w:t xml:space="preserve">or considered regarding whether the results of the former </w:t>
      </w:r>
      <w:r w:rsidR="00D57D33">
        <w:t>is applicable to the latter</w:t>
      </w:r>
      <w:r w:rsidR="006371A6" w:rsidRPr="006371A6">
        <w:t>.</w:t>
      </w:r>
    </w:p>
    <w:p w14:paraId="4F3135C9" w14:textId="39983E87" w:rsidR="00391A10" w:rsidRDefault="00934F27" w:rsidP="00E3012F">
      <w:pPr>
        <w:spacing w:line="240" w:lineRule="auto"/>
      </w:pPr>
      <w:r>
        <w:t xml:space="preserve">MSAC noted that the proposed population for ED was </w:t>
      </w:r>
      <w:r w:rsidRPr="00942A00">
        <w:t>restrict</w:t>
      </w:r>
      <w:r>
        <w:t>ed</w:t>
      </w:r>
      <w:r w:rsidRPr="00942A00">
        <w:t xml:space="preserve"> to adult patients </w:t>
      </w:r>
      <w:r w:rsidRPr="00973663">
        <w:t>≥</w:t>
      </w:r>
      <w:r w:rsidRPr="00942A00">
        <w:t>18 years old</w:t>
      </w:r>
      <w:r>
        <w:t xml:space="preserve"> with severe </w:t>
      </w:r>
      <w:r w:rsidR="008412F4">
        <w:t xml:space="preserve">(FIX activity ≤1% </w:t>
      </w:r>
      <w:r w:rsidR="00CC421D">
        <w:t>of no</w:t>
      </w:r>
      <w:r w:rsidR="00DF114E">
        <w:t>r</w:t>
      </w:r>
      <w:r w:rsidR="00CC421D">
        <w:t xml:space="preserve">mal) </w:t>
      </w:r>
      <w:r>
        <w:t xml:space="preserve">or moderately severe (FIX activity ≤2% of normal) </w:t>
      </w:r>
      <w:proofErr w:type="spellStart"/>
      <w:r>
        <w:t>cHMB</w:t>
      </w:r>
      <w:proofErr w:type="spellEnd"/>
      <w:r>
        <w:t xml:space="preserve"> who have</w:t>
      </w:r>
      <w:r w:rsidRPr="00942A00">
        <w:t xml:space="preserve"> no inhibitor formation against FIX protein</w:t>
      </w:r>
      <w:r>
        <w:t>, and who are found to have a</w:t>
      </w:r>
      <w:r w:rsidR="00446D7F">
        <w:t>n</w:t>
      </w:r>
      <w:r w:rsidR="004E5311">
        <w:t xml:space="preserve"> </w:t>
      </w:r>
      <w:r w:rsidR="004E5311" w:rsidRPr="00FF7E68">
        <w:t xml:space="preserve">anti-adeno-associated virus type 5 </w:t>
      </w:r>
      <w:r w:rsidR="004E5311">
        <w:t>(</w:t>
      </w:r>
      <w:r w:rsidR="00E30B4B">
        <w:t>anti-AAV5</w:t>
      </w:r>
      <w:r w:rsidR="004E5311">
        <w:t>)</w:t>
      </w:r>
      <w:r w:rsidR="00E30B4B">
        <w:t xml:space="preserve"> neutralising antibody (</w:t>
      </w:r>
      <w:r>
        <w:t>N</w:t>
      </w:r>
      <w:r w:rsidR="004E5311">
        <w:t>a</w:t>
      </w:r>
      <w:r>
        <w:t>b</w:t>
      </w:r>
      <w:r w:rsidR="004E5311">
        <w:t>)</w:t>
      </w:r>
      <w:r>
        <w:t xml:space="preserve"> titre of &lt;1:900 on a 9-point </w:t>
      </w:r>
      <w:r w:rsidR="008C6C6F">
        <w:t xml:space="preserve">anti-AAV5 </w:t>
      </w:r>
      <w:proofErr w:type="spellStart"/>
      <w:r w:rsidR="008C6C6F">
        <w:t>NAb</w:t>
      </w:r>
      <w:proofErr w:type="spellEnd"/>
      <w:r w:rsidR="008C6C6F">
        <w:t xml:space="preserve"> </w:t>
      </w:r>
      <w:r>
        <w:t>assay.</w:t>
      </w:r>
      <w:r w:rsidR="00EB5CC7">
        <w:t xml:space="preserve"> </w:t>
      </w:r>
      <w:r w:rsidR="00EA2B4A">
        <w:t xml:space="preserve">MSAC noted </w:t>
      </w:r>
      <w:r w:rsidR="009B0CBA">
        <w:t>that in this re</w:t>
      </w:r>
      <w:r w:rsidR="008C6C6F">
        <w:t>application</w:t>
      </w:r>
      <w:r w:rsidR="003356C9">
        <w:t>,</w:t>
      </w:r>
      <w:r w:rsidR="00613CBC" w:rsidRPr="00613CBC">
        <w:t xml:space="preserve"> </w:t>
      </w:r>
      <w:r w:rsidR="003B42BA" w:rsidRPr="00FF7E68">
        <w:t>anti-AAV5</w:t>
      </w:r>
      <w:r w:rsidR="004E5311">
        <w:t xml:space="preserve"> </w:t>
      </w:r>
      <w:proofErr w:type="spellStart"/>
      <w:r w:rsidR="003B42BA" w:rsidRPr="00FF7E68">
        <w:t>NAb</w:t>
      </w:r>
      <w:proofErr w:type="spellEnd"/>
      <w:r w:rsidR="003B42BA" w:rsidRPr="00FF7E68">
        <w:t xml:space="preserve"> </w:t>
      </w:r>
      <w:r w:rsidR="003B42BA">
        <w:t>assay</w:t>
      </w:r>
      <w:r w:rsidR="003B42BA" w:rsidRPr="00613CBC">
        <w:t xml:space="preserve"> </w:t>
      </w:r>
      <w:r w:rsidR="003B42BA">
        <w:t>t</w:t>
      </w:r>
      <w:r w:rsidR="00613CBC" w:rsidRPr="00613CBC">
        <w:t xml:space="preserve">esting </w:t>
      </w:r>
      <w:r w:rsidR="009B0CBA">
        <w:t xml:space="preserve">was </w:t>
      </w:r>
      <w:r w:rsidR="009B0CBA" w:rsidRPr="00613CBC">
        <w:t xml:space="preserve">included </w:t>
      </w:r>
      <w:r w:rsidR="00613CBC" w:rsidRPr="00613CBC">
        <w:t xml:space="preserve">as an eligibility requirement to access </w:t>
      </w:r>
      <w:r w:rsidR="009B0CBA">
        <w:t>ED</w:t>
      </w:r>
      <w:r w:rsidR="00613CBC" w:rsidRPr="00613CBC">
        <w:t xml:space="preserve">, as patients with high </w:t>
      </w:r>
      <w:proofErr w:type="spellStart"/>
      <w:r w:rsidR="00613CBC" w:rsidRPr="00613CBC">
        <w:t>N</w:t>
      </w:r>
      <w:r w:rsidR="00B503FC">
        <w:t>A</w:t>
      </w:r>
      <w:r w:rsidR="00613CBC" w:rsidRPr="00613CBC">
        <w:t>b</w:t>
      </w:r>
      <w:proofErr w:type="spellEnd"/>
      <w:r w:rsidR="00613CBC" w:rsidRPr="00613CBC">
        <w:t xml:space="preserve"> titres may have </w:t>
      </w:r>
      <w:r w:rsidR="003356C9">
        <w:t>limited or no</w:t>
      </w:r>
      <w:r w:rsidR="00613CBC" w:rsidRPr="00613CBC">
        <w:t xml:space="preserve"> response to AAV5-based </w:t>
      </w:r>
      <w:r w:rsidR="0003235F">
        <w:t>therapy</w:t>
      </w:r>
      <w:r w:rsidR="00613CBC" w:rsidRPr="00613CBC">
        <w:t xml:space="preserve">. While the HOPE-B study used a 7-point assay for anti-AAV5 </w:t>
      </w:r>
      <w:proofErr w:type="spellStart"/>
      <w:r w:rsidR="00613CBC" w:rsidRPr="00613CBC">
        <w:t>NAb</w:t>
      </w:r>
      <w:proofErr w:type="spellEnd"/>
      <w:r w:rsidR="00613CBC" w:rsidRPr="00613CBC">
        <w:t xml:space="preserve"> testing, the applicant has proposed to use a 9-point assay in clinical practice.</w:t>
      </w:r>
      <w:r w:rsidR="009B0CBA">
        <w:t xml:space="preserve"> </w:t>
      </w:r>
      <w:r w:rsidR="00E96607">
        <w:t xml:space="preserve">MSAC noted that the proposed </w:t>
      </w:r>
      <w:r w:rsidR="00E96607" w:rsidRPr="00613CBC">
        <w:t xml:space="preserve">anti-AAV5 </w:t>
      </w:r>
      <w:proofErr w:type="spellStart"/>
      <w:r w:rsidR="008E0775">
        <w:t>N</w:t>
      </w:r>
      <w:r w:rsidR="00FC5E3F">
        <w:t>A</w:t>
      </w:r>
      <w:r w:rsidR="008E0775">
        <w:t>b</w:t>
      </w:r>
      <w:proofErr w:type="spellEnd"/>
      <w:r w:rsidR="008E0775">
        <w:t xml:space="preserve"> </w:t>
      </w:r>
      <w:r w:rsidR="00721BCA">
        <w:t xml:space="preserve">testing </w:t>
      </w:r>
      <w:r w:rsidR="00BC5DD9">
        <w:t>would</w:t>
      </w:r>
      <w:r w:rsidR="00721BCA">
        <w:t xml:space="preserve"> be performed overseas</w:t>
      </w:r>
      <w:r w:rsidR="00BC5DD9">
        <w:t>,</w:t>
      </w:r>
      <w:r w:rsidR="00721BCA">
        <w:t xml:space="preserve"> </w:t>
      </w:r>
      <w:r w:rsidR="00BC5DD9">
        <w:t>with</w:t>
      </w:r>
      <w:r w:rsidR="00721BCA">
        <w:t xml:space="preserve"> p</w:t>
      </w:r>
      <w:r w:rsidR="00ED7279" w:rsidRPr="00627649">
        <w:t xml:space="preserve">atient serum sent to the United States </w:t>
      </w:r>
      <w:r w:rsidR="00BC5DD9">
        <w:t>(</w:t>
      </w:r>
      <w:r w:rsidR="00880536">
        <w:t xml:space="preserve">with a </w:t>
      </w:r>
      <w:r w:rsidR="00ED7279" w:rsidRPr="00627649">
        <w:t>turnaround time of 2–3 weeks</w:t>
      </w:r>
      <w:r w:rsidR="00FF55B5">
        <w:t>), and</w:t>
      </w:r>
      <w:r w:rsidR="00ED7279" w:rsidRPr="00627649">
        <w:t xml:space="preserve"> with no Australian oversight</w:t>
      </w:r>
      <w:r w:rsidR="003D6535">
        <w:t xml:space="preserve">. </w:t>
      </w:r>
      <w:r w:rsidR="00D84794">
        <w:t xml:space="preserve">MSAC noted that the cost of the </w:t>
      </w:r>
      <w:r w:rsidR="00D84794" w:rsidRPr="00613CBC">
        <w:t xml:space="preserve">anti-AAV5 </w:t>
      </w:r>
      <w:proofErr w:type="spellStart"/>
      <w:r w:rsidR="00D84794">
        <w:t>NAb</w:t>
      </w:r>
      <w:proofErr w:type="spellEnd"/>
      <w:r w:rsidR="00D84794">
        <w:t xml:space="preserve"> testing </w:t>
      </w:r>
      <w:r w:rsidR="00D05B49">
        <w:t xml:space="preserve">would be borne by the applicant. </w:t>
      </w:r>
      <w:r w:rsidR="00EB71EB" w:rsidRPr="006C3821">
        <w:t xml:space="preserve">MSAC </w:t>
      </w:r>
      <w:r w:rsidR="00EB71EB">
        <w:t>also acknowledged</w:t>
      </w:r>
      <w:r w:rsidR="00EB71EB" w:rsidRPr="006C3821">
        <w:t xml:space="preserve"> </w:t>
      </w:r>
      <w:r w:rsidR="002A0EFA">
        <w:t>the</w:t>
      </w:r>
      <w:r w:rsidR="00EB71EB" w:rsidRPr="006C3821">
        <w:t xml:space="preserve"> need for effective therapies in </w:t>
      </w:r>
      <w:r w:rsidR="00122C8B">
        <w:t xml:space="preserve">the </w:t>
      </w:r>
      <w:r w:rsidR="00EB71EB" w:rsidRPr="006C3821">
        <w:t xml:space="preserve">paediatric haemophilia population and </w:t>
      </w:r>
      <w:r w:rsidR="00122C8B">
        <w:t xml:space="preserve">noted the </w:t>
      </w:r>
      <w:r w:rsidR="00B16661">
        <w:t xml:space="preserve">current evidence </w:t>
      </w:r>
      <w:r w:rsidR="00EB71EB" w:rsidRPr="006C3821">
        <w:t xml:space="preserve">gap </w:t>
      </w:r>
      <w:r w:rsidR="00E27508">
        <w:t>for this subgroup</w:t>
      </w:r>
      <w:r w:rsidR="00C95B9A">
        <w:t>.</w:t>
      </w:r>
    </w:p>
    <w:p w14:paraId="256396E9" w14:textId="06B167C9" w:rsidR="00EF14E9" w:rsidRDefault="00EF14E9" w:rsidP="00E3012F">
      <w:pPr>
        <w:spacing w:line="240" w:lineRule="auto"/>
      </w:pPr>
      <w:r>
        <w:t xml:space="preserve">With regards to the proposed test, </w:t>
      </w:r>
      <w:r w:rsidR="001C4EA1">
        <w:t>MSA</w:t>
      </w:r>
      <w:r w:rsidR="00561472">
        <w:t>C</w:t>
      </w:r>
      <w:r w:rsidR="001C4EA1">
        <w:t xml:space="preserve"> acknowledged </w:t>
      </w:r>
      <w:r w:rsidR="00B32632">
        <w:t xml:space="preserve">Food </w:t>
      </w:r>
      <w:r w:rsidR="001D1C06">
        <w:t>and</w:t>
      </w:r>
      <w:r w:rsidR="00B32632">
        <w:t xml:space="preserve"> Drugs Administration’s (</w:t>
      </w:r>
      <w:r w:rsidR="001C4EA1" w:rsidRPr="00CB5293">
        <w:t>FDA’s</w:t>
      </w:r>
      <w:r w:rsidR="00B32632">
        <w:t>)</w:t>
      </w:r>
      <w:r w:rsidR="00537EE5">
        <w:t xml:space="preserve"> </w:t>
      </w:r>
      <w:r w:rsidR="00901CF1">
        <w:t xml:space="preserve">notification that a </w:t>
      </w:r>
      <w:r w:rsidR="001C4EA1" w:rsidRPr="00CB5293">
        <w:t xml:space="preserve">post-marketing requirement ‘to validate a sensitive and accurate assay for the detection of anti-AAV5 neutralizing antibodies, specifically to detect anti-AAV5 </w:t>
      </w:r>
      <w:proofErr w:type="spellStart"/>
      <w:r w:rsidR="001C4EA1" w:rsidRPr="00CB5293">
        <w:t>NAb</w:t>
      </w:r>
      <w:proofErr w:type="spellEnd"/>
      <w:r w:rsidR="001C4EA1" w:rsidRPr="00CB5293">
        <w:t xml:space="preserve"> titres up to 1:1400 or higher’</w:t>
      </w:r>
      <w:r w:rsidR="00901CF1">
        <w:t xml:space="preserve"> has been </w:t>
      </w:r>
      <w:r w:rsidR="003356C9">
        <w:t xml:space="preserve">considered </w:t>
      </w:r>
      <w:r w:rsidR="00901CF1">
        <w:t>fulfilled</w:t>
      </w:r>
      <w:r w:rsidR="003356C9">
        <w:t xml:space="preserve"> by the FDA</w:t>
      </w:r>
      <w:r w:rsidR="001C4EA1" w:rsidRPr="00CB5293">
        <w:t xml:space="preserve">. </w:t>
      </w:r>
      <w:r>
        <w:t>MSAC noted that there is no</w:t>
      </w:r>
      <w:r w:rsidRPr="00EC1CF7">
        <w:t xml:space="preserve"> reference standard</w:t>
      </w:r>
      <w:r>
        <w:t xml:space="preserve"> currently</w:t>
      </w:r>
      <w:r w:rsidRPr="00EC1CF7">
        <w:t xml:space="preserve"> available to determine the accuracy of the</w:t>
      </w:r>
      <w:r w:rsidRPr="009A41CC">
        <w:t xml:space="preserve"> </w:t>
      </w:r>
      <w:r w:rsidRPr="00613CBC">
        <w:t xml:space="preserve">anti-AAV5 </w:t>
      </w:r>
      <w:proofErr w:type="spellStart"/>
      <w:r w:rsidRPr="00613CBC">
        <w:t>NAb</w:t>
      </w:r>
      <w:proofErr w:type="spellEnd"/>
      <w:r w:rsidRPr="00613CBC">
        <w:t xml:space="preserve"> testing</w:t>
      </w:r>
      <w:r>
        <w:t xml:space="preserve"> and considered that the data presented in the ADAR to support test accuracy was limited</w:t>
      </w:r>
      <w:r w:rsidR="008B20B8">
        <w:t>, based on a small sample size and limited titre range</w:t>
      </w:r>
      <w:r w:rsidRPr="00EC1CF7">
        <w:t xml:space="preserve">. </w:t>
      </w:r>
      <w:r w:rsidR="001C4EA1">
        <w:t>MSAC noted that</w:t>
      </w:r>
      <w:r w:rsidR="00901CF1">
        <w:t xml:space="preserve"> </w:t>
      </w:r>
      <w:r w:rsidR="007016FF">
        <w:t>aside</w:t>
      </w:r>
      <w:r w:rsidR="001C4EA1" w:rsidRPr="00CB5293">
        <w:t xml:space="preserve"> from FDA notification, the only new information provided in this </w:t>
      </w:r>
      <w:r w:rsidR="008F5C10">
        <w:t>re</w:t>
      </w:r>
      <w:r>
        <w:t>application</w:t>
      </w:r>
      <w:r w:rsidR="00423331">
        <w:t xml:space="preserve"> related to</w:t>
      </w:r>
      <w:r w:rsidR="001C4EA1" w:rsidRPr="00CB5293">
        <w:t xml:space="preserve"> test turnaround time, test failures and updated predictive value data for treatment response at 48 months.</w:t>
      </w:r>
      <w:r w:rsidR="00EC7712">
        <w:t xml:space="preserve"> MSAC </w:t>
      </w:r>
      <w:r w:rsidR="002A279E">
        <w:t>also</w:t>
      </w:r>
      <w:r w:rsidR="00EC7712">
        <w:t xml:space="preserve"> noted that </w:t>
      </w:r>
      <w:r w:rsidR="003A2994">
        <w:t xml:space="preserve">some </w:t>
      </w:r>
      <w:r w:rsidR="00EC7712">
        <w:t>p</w:t>
      </w:r>
      <w:r w:rsidR="00ED7279" w:rsidRPr="00627649">
        <w:t xml:space="preserve">atients in </w:t>
      </w:r>
      <w:r w:rsidR="00EC7712">
        <w:t xml:space="preserve">the </w:t>
      </w:r>
      <w:r>
        <w:t xml:space="preserve">key </w:t>
      </w:r>
      <w:r w:rsidR="00ED7279" w:rsidRPr="00627649">
        <w:t xml:space="preserve">HOPE-B </w:t>
      </w:r>
      <w:r w:rsidR="00EC7712">
        <w:t xml:space="preserve">study </w:t>
      </w:r>
      <w:r w:rsidR="002A279E">
        <w:t>had</w:t>
      </w:r>
      <w:r w:rsidR="00ED7279" w:rsidRPr="00627649">
        <w:t xml:space="preserve"> titres that varied above 1:700 </w:t>
      </w:r>
      <w:r w:rsidR="002A279E">
        <w:t>prior to</w:t>
      </w:r>
      <w:r w:rsidR="00ED7279" w:rsidRPr="00627649">
        <w:t xml:space="preserve"> treatment but were &lt;1:700 on infusion day</w:t>
      </w:r>
      <w:r w:rsidR="00371849">
        <w:t>.</w:t>
      </w:r>
      <w:r w:rsidR="008B6BE7">
        <w:t xml:space="preserve"> </w:t>
      </w:r>
      <w:r w:rsidR="008B6BE7" w:rsidRPr="00627649">
        <w:t xml:space="preserve">MSAC </w:t>
      </w:r>
      <w:r w:rsidR="009D50C3">
        <w:t xml:space="preserve">considered it uncertain whether the source of </w:t>
      </w:r>
      <w:r w:rsidR="00121DC9">
        <w:t xml:space="preserve">this </w:t>
      </w:r>
      <w:r w:rsidR="009D50C3">
        <w:t>variability</w:t>
      </w:r>
      <w:r w:rsidR="008B6BE7" w:rsidRPr="00627649">
        <w:t xml:space="preserve"> w</w:t>
      </w:r>
      <w:r w:rsidR="009D50C3">
        <w:t>as</w:t>
      </w:r>
      <w:r w:rsidR="008B6BE7" w:rsidRPr="00627649">
        <w:t xml:space="preserve"> due to test variability or inherent patient variability. </w:t>
      </w:r>
      <w:r w:rsidR="000A68C1">
        <w:t>MSAC noted th</w:t>
      </w:r>
      <w:r w:rsidR="009D50C3">
        <w:t>at in their</w:t>
      </w:r>
      <w:r w:rsidR="000A68C1">
        <w:t xml:space="preserve"> pre-MSAC response </w:t>
      </w:r>
      <w:r w:rsidR="009D50C3">
        <w:t>the applicant stated</w:t>
      </w:r>
      <w:r w:rsidR="000A68C1">
        <w:t xml:space="preserve"> that </w:t>
      </w:r>
      <w:r w:rsidR="004C4B68">
        <w:t xml:space="preserve">in the case of a false positive result, </w:t>
      </w:r>
      <w:r w:rsidR="00497010" w:rsidRPr="00497010">
        <w:t xml:space="preserve">the patient may be tested again in the future (at no cost to Government), as their </w:t>
      </w:r>
      <w:proofErr w:type="spellStart"/>
      <w:r w:rsidR="00497010" w:rsidRPr="00497010">
        <w:t>NAb</w:t>
      </w:r>
      <w:proofErr w:type="spellEnd"/>
      <w:r w:rsidR="00497010" w:rsidRPr="00497010">
        <w:t xml:space="preserve"> titre can decrease over time</w:t>
      </w:r>
      <w:r w:rsidR="00497010">
        <w:t xml:space="preserve">. </w:t>
      </w:r>
      <w:r w:rsidR="00BC2940">
        <w:t>MSAC considered that</w:t>
      </w:r>
      <w:r w:rsidR="00BC2940" w:rsidRPr="002869C0">
        <w:t xml:space="preserve"> the uncertain performance of the assay could lead to misclassification</w:t>
      </w:r>
      <w:r w:rsidR="00BB77ED">
        <w:t>, potentially leading to</w:t>
      </w:r>
      <w:r w:rsidR="00BC2940">
        <w:t xml:space="preserve"> </w:t>
      </w:r>
      <w:r w:rsidR="00BC2940" w:rsidRPr="002869C0">
        <w:t>inappropriate exclu</w:t>
      </w:r>
      <w:r w:rsidR="00BB77ED">
        <w:t>sion</w:t>
      </w:r>
      <w:r w:rsidR="00BC2940" w:rsidRPr="002869C0">
        <w:t xml:space="preserve"> </w:t>
      </w:r>
      <w:r w:rsidR="00BC2940">
        <w:t xml:space="preserve">or </w:t>
      </w:r>
      <w:r w:rsidR="00BB77ED">
        <w:t>inclusion of</w:t>
      </w:r>
      <w:r w:rsidR="00BC2940">
        <w:t xml:space="preserve"> </w:t>
      </w:r>
      <w:r w:rsidR="00BC2940" w:rsidRPr="002869C0">
        <w:t xml:space="preserve">patients </w:t>
      </w:r>
      <w:r w:rsidR="00BB77ED">
        <w:t>for</w:t>
      </w:r>
      <w:r w:rsidR="00BC2940" w:rsidRPr="002869C0">
        <w:t xml:space="preserve"> treatment.</w:t>
      </w:r>
      <w:r w:rsidR="00BC2940">
        <w:t xml:space="preserve"> </w:t>
      </w:r>
    </w:p>
    <w:p w14:paraId="691359B2" w14:textId="29F49622" w:rsidR="00ED7279" w:rsidRDefault="00EF14E9" w:rsidP="00E3012F">
      <w:pPr>
        <w:spacing w:line="240" w:lineRule="auto"/>
      </w:pPr>
      <w:r>
        <w:t>MSAC noted that t</w:t>
      </w:r>
      <w:r w:rsidRPr="00EC1CF7">
        <w:t xml:space="preserve">he proposed 1:900 </w:t>
      </w:r>
      <w:r>
        <w:t>assay</w:t>
      </w:r>
      <w:r w:rsidRPr="00EC1CF7">
        <w:t xml:space="preserve"> threshold with the 9-point </w:t>
      </w:r>
      <w:r>
        <w:t xml:space="preserve">was based on limited data and emphasised the importance of establishing a clinically meaningful threshold to ensure that patients who access treatment are those most likely to benefit. MSAC </w:t>
      </w:r>
      <w:r w:rsidR="009D50C3">
        <w:t>noted that there is</w:t>
      </w:r>
      <w:r>
        <w:t xml:space="preserve"> </w:t>
      </w:r>
      <w:r w:rsidRPr="00EC1CF7">
        <w:t xml:space="preserve">an evidence gap for patients with titres between 1:900 to 1:4417 on the 9-point assay (corresponding to 1:700 and 1:3212 in the 7-point assay), </w:t>
      </w:r>
      <w:r>
        <w:t>who</w:t>
      </w:r>
      <w:r w:rsidRPr="00EC1CF7">
        <w:t xml:space="preserve"> may be inappropriately excluded.</w:t>
      </w:r>
      <w:r>
        <w:t xml:space="preserve"> </w:t>
      </w:r>
      <w:r w:rsidR="00D239A9">
        <w:t xml:space="preserve">MSAC noted </w:t>
      </w:r>
      <w:r w:rsidR="00711C66">
        <w:t xml:space="preserve">that in their pre-MSAC response </w:t>
      </w:r>
      <w:r w:rsidR="00D239A9">
        <w:t>the applicant</w:t>
      </w:r>
      <w:r w:rsidR="00711C66">
        <w:t xml:space="preserve"> argued</w:t>
      </w:r>
      <w:r w:rsidR="00D239A9">
        <w:t xml:space="preserve"> that </w:t>
      </w:r>
      <w:r w:rsidR="00711C66">
        <w:t>the seroprevalence</w:t>
      </w:r>
      <w:r w:rsidR="00D239A9">
        <w:t xml:space="preserve"> of patients with titres above 1:900 was low</w:t>
      </w:r>
      <w:r w:rsidR="00287564">
        <w:t xml:space="preserve"> (2.6% for serum dilutions of 1:80 and 0% for serum </w:t>
      </w:r>
      <w:r w:rsidR="00711C66">
        <w:t>dilutions</w:t>
      </w:r>
      <w:r w:rsidR="00287564">
        <w:t xml:space="preserve"> of 1:400 and beyond</w:t>
      </w:r>
      <w:r w:rsidR="003356C9">
        <w:t xml:space="preserve"> in one study</w:t>
      </w:r>
      <w:r w:rsidR="00287564">
        <w:t>)</w:t>
      </w:r>
      <w:r w:rsidR="00287564">
        <w:rPr>
          <w:rStyle w:val="FootnoteReference"/>
        </w:rPr>
        <w:footnoteReference w:id="3"/>
      </w:r>
      <w:r w:rsidR="00711C66">
        <w:t xml:space="preserve"> and therefore considered that the absolute likelihood of patients in this titre range to be very low</w:t>
      </w:r>
      <w:r w:rsidR="00D239A9">
        <w:t>.</w:t>
      </w:r>
      <w:r>
        <w:t xml:space="preserve"> </w:t>
      </w:r>
      <w:r w:rsidR="00F030D9">
        <w:t xml:space="preserve">MSAC noted that the additional published evidence for the test cited in the pre-MSAC response came </w:t>
      </w:r>
      <w:r w:rsidR="00917919">
        <w:t xml:space="preserve">from </w:t>
      </w:r>
      <w:r w:rsidR="002A4054">
        <w:t>two</w:t>
      </w:r>
      <w:r w:rsidR="00DD48DC">
        <w:t xml:space="preserve"> poster</w:t>
      </w:r>
      <w:r w:rsidR="002A4054">
        <w:t>s, however MSAC considered</w:t>
      </w:r>
      <w:r w:rsidR="00D17151">
        <w:t xml:space="preserve"> </w:t>
      </w:r>
      <w:r w:rsidR="004741F1">
        <w:t>this</w:t>
      </w:r>
      <w:r w:rsidR="002A4054">
        <w:t xml:space="preserve"> level of evidence</w:t>
      </w:r>
      <w:r w:rsidR="004741F1">
        <w:t xml:space="preserve"> insufficient</w:t>
      </w:r>
      <w:r w:rsidR="002A4054">
        <w:t xml:space="preserve"> to fully validate the test</w:t>
      </w:r>
      <w:r w:rsidR="004741F1">
        <w:t xml:space="preserve">. </w:t>
      </w:r>
      <w:r w:rsidR="00265D5B">
        <w:t xml:space="preserve">MSAC </w:t>
      </w:r>
      <w:r w:rsidR="00E93803">
        <w:t>considered</w:t>
      </w:r>
      <w:r w:rsidR="00265D5B">
        <w:t xml:space="preserve"> </w:t>
      </w:r>
      <w:r w:rsidR="00DB2F96">
        <w:t xml:space="preserve">that </w:t>
      </w:r>
      <w:r w:rsidR="002C1507">
        <w:t>better evidence on the performance of the assay</w:t>
      </w:r>
      <w:r w:rsidR="002A4054">
        <w:t xml:space="preserve"> (including the appropriate threshold)</w:t>
      </w:r>
      <w:r w:rsidR="002C1507">
        <w:t xml:space="preserve"> was </w:t>
      </w:r>
      <w:r w:rsidR="00FC23CC">
        <w:t xml:space="preserve">needed from the </w:t>
      </w:r>
      <w:r w:rsidR="002A4054">
        <w:t xml:space="preserve">FDA mandated </w:t>
      </w:r>
      <w:r w:rsidR="00FC23CC" w:rsidRPr="00FC23CC">
        <w:t xml:space="preserve">clinical trial </w:t>
      </w:r>
      <w:r w:rsidR="002A4054">
        <w:t xml:space="preserve">currently </w:t>
      </w:r>
      <w:r w:rsidR="00FC23CC" w:rsidRPr="00FC23CC">
        <w:t xml:space="preserve">undergoing recruitment of patients with pre-treatment AAV5 </w:t>
      </w:r>
      <w:proofErr w:type="spellStart"/>
      <w:r w:rsidR="00FC23CC" w:rsidRPr="00FC23CC">
        <w:t>NAbs</w:t>
      </w:r>
      <w:proofErr w:type="spellEnd"/>
      <w:r w:rsidR="00FC23CC" w:rsidRPr="00FC23CC">
        <w:t xml:space="preserve"> (NCT06003387)</w:t>
      </w:r>
      <w:r w:rsidR="00FC23CC">
        <w:t>.</w:t>
      </w:r>
      <w:r w:rsidR="00917919">
        <w:t xml:space="preserve"> MSAC noted that study completion is expected in 2028.</w:t>
      </w:r>
    </w:p>
    <w:p w14:paraId="57581B37" w14:textId="5A813391" w:rsidR="00577A87" w:rsidRPr="00577A87" w:rsidRDefault="00EF7B39" w:rsidP="00E3012F">
      <w:pPr>
        <w:spacing w:line="240" w:lineRule="auto"/>
      </w:pPr>
      <w:r>
        <w:t>MSAC noted that the clinical evidence for ED was informed by three single-arm observational studies (i.e. low certainty evidence)</w:t>
      </w:r>
      <w:r w:rsidR="008E5E11">
        <w:t>. T</w:t>
      </w:r>
      <w:r>
        <w:t xml:space="preserve">he </w:t>
      </w:r>
      <w:r w:rsidR="006D4839">
        <w:t xml:space="preserve">Phase III </w:t>
      </w:r>
      <w:r>
        <w:t>HOPE-B study (n = 54</w:t>
      </w:r>
      <w:r w:rsidR="00C83583">
        <w:t xml:space="preserve"> </w:t>
      </w:r>
      <w:r w:rsidR="00C83583" w:rsidRPr="00C83583">
        <w:t xml:space="preserve">patients with severe or </w:t>
      </w:r>
      <w:r w:rsidR="00C83583" w:rsidRPr="00C83583">
        <w:lastRenderedPageBreak/>
        <w:t xml:space="preserve">moderately severe </w:t>
      </w:r>
      <w:proofErr w:type="spellStart"/>
      <w:r w:rsidR="00C83583" w:rsidRPr="00C83583">
        <w:t>cHMB</w:t>
      </w:r>
      <w:proofErr w:type="spellEnd"/>
      <w:r w:rsidR="00C83583" w:rsidRPr="00C83583">
        <w:t xml:space="preserve"> treated with</w:t>
      </w:r>
      <w:r w:rsidR="00C83583">
        <w:t xml:space="preserve"> ED</w:t>
      </w:r>
      <w:r w:rsidR="00481C9C">
        <w:t>, data presented up to 4 years in the ADAR</w:t>
      </w:r>
      <w:r>
        <w:t>) provided the main evidence</w:t>
      </w:r>
      <w:r w:rsidR="009D54D9">
        <w:t xml:space="preserve"> for treatment outcomes</w:t>
      </w:r>
      <w:r w:rsidR="008E5E11">
        <w:t>, while</w:t>
      </w:r>
      <w:r w:rsidR="006D4839">
        <w:t xml:space="preserve"> r</w:t>
      </w:r>
      <w:r w:rsidR="006D4839" w:rsidRPr="006D4839">
        <w:t>esults from the</w:t>
      </w:r>
      <w:r w:rsidR="00481C9C">
        <w:t xml:space="preserve"> two other studies</w:t>
      </w:r>
      <w:r w:rsidR="006D4839" w:rsidRPr="006D4839">
        <w:t xml:space="preserve"> were considered supportive evidence</w:t>
      </w:r>
      <w:r>
        <w:t xml:space="preserve">. </w:t>
      </w:r>
      <w:r w:rsidR="008E5E11">
        <w:t xml:space="preserve">MSAC noted that the ADAR did not provide any data on the comparative safety between ED and current standard of care. </w:t>
      </w:r>
      <w:r w:rsidR="009D54D9">
        <w:t xml:space="preserve">In regards to </w:t>
      </w:r>
      <w:r w:rsidR="008E5E11">
        <w:t xml:space="preserve">safety of treatment with ED, </w:t>
      </w:r>
      <w:r w:rsidR="00577A87" w:rsidRPr="00577A87">
        <w:t xml:space="preserve">MSAC noted </w:t>
      </w:r>
      <w:r w:rsidR="00BF66CF">
        <w:t xml:space="preserve">that, in the </w:t>
      </w:r>
      <w:r w:rsidR="00577A87" w:rsidRPr="00577A87">
        <w:t xml:space="preserve">short term, some patients developed transaminitis, </w:t>
      </w:r>
      <w:r w:rsidR="00EE6FA8">
        <w:t>requiring</w:t>
      </w:r>
      <w:r w:rsidR="00577A87" w:rsidRPr="00577A87">
        <w:t xml:space="preserve"> high-dose steroids</w:t>
      </w:r>
      <w:r w:rsidR="00341BCE">
        <w:t>,</w:t>
      </w:r>
      <w:r w:rsidR="00577A87" w:rsidRPr="00577A87">
        <w:t xml:space="preserve"> which may be required for a prolonged period</w:t>
      </w:r>
      <w:r w:rsidR="005163A5">
        <w:t xml:space="preserve"> </w:t>
      </w:r>
      <w:r w:rsidR="009A2ADE">
        <w:t>and carry associated side effects</w:t>
      </w:r>
      <w:r w:rsidR="00577A87" w:rsidRPr="00577A87">
        <w:t xml:space="preserve">. </w:t>
      </w:r>
      <w:r w:rsidR="00F92D31" w:rsidRPr="004F6A3C">
        <w:t xml:space="preserve">Potential </w:t>
      </w:r>
      <w:r w:rsidR="00577A87" w:rsidRPr="004F6A3C">
        <w:t>longer-term safety considerations</w:t>
      </w:r>
      <w:r w:rsidR="00633058" w:rsidRPr="004F6A3C">
        <w:t xml:space="preserve"> of </w:t>
      </w:r>
      <w:r w:rsidR="00BA0509" w:rsidRPr="004F6A3C">
        <w:t>ED</w:t>
      </w:r>
      <w:r w:rsidR="00577A87" w:rsidRPr="004F6A3C">
        <w:t xml:space="preserve"> include a </w:t>
      </w:r>
      <w:r w:rsidR="00221974" w:rsidRPr="004F6A3C">
        <w:t xml:space="preserve">possible </w:t>
      </w:r>
      <w:r w:rsidR="00577A87" w:rsidRPr="004F6A3C">
        <w:t xml:space="preserve">increased malignancy risk </w:t>
      </w:r>
      <w:r w:rsidR="00AE27FC" w:rsidRPr="004F6A3C">
        <w:t xml:space="preserve">potentially </w:t>
      </w:r>
      <w:r w:rsidR="00577A87" w:rsidRPr="004F6A3C">
        <w:t>due to vector integration</w:t>
      </w:r>
      <w:r w:rsidR="00AE27FC" w:rsidRPr="004F6A3C">
        <w:t xml:space="preserve"> into the patient genome</w:t>
      </w:r>
      <w:r w:rsidR="00577A87" w:rsidRPr="004F6A3C">
        <w:t>.</w:t>
      </w:r>
      <w:r w:rsidR="00577A87" w:rsidRPr="00577A87">
        <w:t xml:space="preserve"> </w:t>
      </w:r>
      <w:r w:rsidR="00A71216">
        <w:t xml:space="preserve">MSAC noted that </w:t>
      </w:r>
      <w:r w:rsidR="001B3F96">
        <w:t>at</w:t>
      </w:r>
      <w:r w:rsidR="001B3F96" w:rsidRPr="00577A87">
        <w:t xml:space="preserve"> </w:t>
      </w:r>
      <w:r w:rsidR="00577A87" w:rsidRPr="00577A87">
        <w:t>4 years post-treatment</w:t>
      </w:r>
      <w:r w:rsidR="00AE27FC">
        <w:t xml:space="preserve"> in the key HOPE-B trial</w:t>
      </w:r>
      <w:r w:rsidR="00577A87" w:rsidRPr="00577A87">
        <w:t>, 16 neoplasms</w:t>
      </w:r>
      <w:r w:rsidR="0015282F">
        <w:t xml:space="preserve"> (7 of which were malignant)</w:t>
      </w:r>
      <w:r w:rsidR="0014419A">
        <w:t xml:space="preserve"> </w:t>
      </w:r>
      <w:r w:rsidR="0014419A" w:rsidRPr="00577A87">
        <w:t>were</w:t>
      </w:r>
      <w:r w:rsidR="0014419A">
        <w:t xml:space="preserve"> reported</w:t>
      </w:r>
      <w:r w:rsidR="00AE27FC">
        <w:t>, although no clear causality has yet been established</w:t>
      </w:r>
      <w:r w:rsidR="00577A87" w:rsidRPr="00577A87">
        <w:t>.</w:t>
      </w:r>
      <w:r w:rsidR="0046617F">
        <w:t xml:space="preserve"> MSAC also noted</w:t>
      </w:r>
      <w:r w:rsidR="00577A87" w:rsidRPr="00577A87">
        <w:t xml:space="preserve"> </w:t>
      </w:r>
      <w:r w:rsidR="006E1342">
        <w:t>that a</w:t>
      </w:r>
      <w:r w:rsidR="00577A87" w:rsidRPr="00577A87">
        <w:t>nimal studies</w:t>
      </w:r>
      <w:r w:rsidR="0015282F">
        <w:t xml:space="preserve"> had</w:t>
      </w:r>
      <w:r w:rsidR="00577A87" w:rsidRPr="00577A87">
        <w:t xml:space="preserve"> identified a risk of hepatocellular carcinoma</w:t>
      </w:r>
      <w:r w:rsidR="00C17605">
        <w:t xml:space="preserve"> in mice injected with AAV vectors</w:t>
      </w:r>
      <w:r w:rsidR="00577A87" w:rsidRPr="00577A87">
        <w:rPr>
          <w:rStyle w:val="FootnoteReference"/>
        </w:rPr>
        <w:footnoteReference w:id="4"/>
      </w:r>
      <w:r w:rsidR="00C17605">
        <w:t>, although</w:t>
      </w:r>
      <w:r w:rsidR="00C17605" w:rsidRPr="00577A87">
        <w:t xml:space="preserve"> it </w:t>
      </w:r>
      <w:r w:rsidR="00C17605">
        <w:t>remains</w:t>
      </w:r>
      <w:r w:rsidR="00C17605" w:rsidRPr="00577A87">
        <w:t xml:space="preserve"> unclear </w:t>
      </w:r>
      <w:r w:rsidR="00C17605">
        <w:t>whether more recent</w:t>
      </w:r>
      <w:r w:rsidR="00C17605" w:rsidRPr="00577A87">
        <w:t xml:space="preserve"> viral vector</w:t>
      </w:r>
      <w:r w:rsidR="00C17605">
        <w:t xml:space="preserve"> </w:t>
      </w:r>
      <w:r w:rsidR="00C17605" w:rsidRPr="00577A87">
        <w:t>modification</w:t>
      </w:r>
      <w:r w:rsidR="00C17605">
        <w:t>s have mitigated this risk.</w:t>
      </w:r>
      <w:r w:rsidR="006D4839">
        <w:t xml:space="preserve"> </w:t>
      </w:r>
      <w:r w:rsidR="00481C9C">
        <w:t>MSAC also noted that patients treated with AAV gene therapies retain high levels of neutralising antibodies through follow-up (even up to 1</w:t>
      </w:r>
      <w:r w:rsidR="009B225F">
        <w:t>0</w:t>
      </w:r>
      <w:r w:rsidR="00481C9C">
        <w:t xml:space="preserve"> years</w:t>
      </w:r>
      <w:r w:rsidR="00481C9C">
        <w:rPr>
          <w:rStyle w:val="FootnoteReference"/>
        </w:rPr>
        <w:footnoteReference w:id="5"/>
      </w:r>
      <w:r w:rsidR="00481C9C">
        <w:t>)</w:t>
      </w:r>
      <w:r w:rsidR="009B225F">
        <w:t xml:space="preserve">, </w:t>
      </w:r>
      <w:r w:rsidR="00061848">
        <w:t>and noted that this would prevent patients receiving any AAV-mediated therapies in the future, if needed.</w:t>
      </w:r>
      <w:r w:rsidR="00481C9C">
        <w:t xml:space="preserve"> </w:t>
      </w:r>
      <w:r w:rsidR="00061848" w:rsidRPr="00061848">
        <w:t xml:space="preserve">Overall, </w:t>
      </w:r>
      <w:r w:rsidR="00061848">
        <w:t>MSAC</w:t>
      </w:r>
      <w:r w:rsidR="00061848" w:rsidRPr="00061848">
        <w:t xml:space="preserve"> considered that based on the available information, ED appears to have an acceptable safety profile; however, </w:t>
      </w:r>
      <w:r w:rsidR="00061848">
        <w:t xml:space="preserve">considered that </w:t>
      </w:r>
      <w:r w:rsidR="00061848" w:rsidRPr="00061848">
        <w:t xml:space="preserve">the safety of ED beyond </w:t>
      </w:r>
      <w:r w:rsidR="00061848">
        <w:t>4</w:t>
      </w:r>
      <w:r w:rsidR="00061848" w:rsidRPr="00061848">
        <w:t xml:space="preserve"> years remains uncertain due to the limited number of subjects with longer follow-up in the two supporting studies.</w:t>
      </w:r>
    </w:p>
    <w:p w14:paraId="4A0CFA23" w14:textId="117BB994" w:rsidR="001D1C06" w:rsidRDefault="00061848" w:rsidP="00E3012F">
      <w:pPr>
        <w:spacing w:line="240" w:lineRule="auto"/>
      </w:pPr>
      <w:r>
        <w:t xml:space="preserve">Regarding the effectiveness of ED treatment, </w:t>
      </w:r>
      <w:r w:rsidR="005301D7">
        <w:t>MSAC noted from the</w:t>
      </w:r>
      <w:r w:rsidR="00DB45FE">
        <w:t xml:space="preserve"> ADAR and</w:t>
      </w:r>
      <w:r w:rsidR="005301D7">
        <w:t xml:space="preserve"> the applicant’s post-hoc analysis of the HOPE-B data in the pre-MSAC response that although relative differences in treatment effectiveness were observed between the baseline </w:t>
      </w:r>
      <w:proofErr w:type="spellStart"/>
      <w:r w:rsidR="005301D7" w:rsidRPr="00577A87">
        <w:t>NAb</w:t>
      </w:r>
      <w:proofErr w:type="spellEnd"/>
      <w:r w:rsidR="005301D7" w:rsidRPr="00577A87">
        <w:t>-positive</w:t>
      </w:r>
      <w:r w:rsidR="005301D7">
        <w:t xml:space="preserve"> (</w:t>
      </w:r>
      <w:proofErr w:type="spellStart"/>
      <w:r w:rsidR="005301D7">
        <w:t>NAb</w:t>
      </w:r>
      <w:proofErr w:type="spellEnd"/>
      <w:r w:rsidR="005301D7">
        <w:t xml:space="preserve"> titre &gt;0 - 3000)</w:t>
      </w:r>
      <w:r w:rsidR="005301D7" w:rsidRPr="00577A87">
        <w:t xml:space="preserve"> and </w:t>
      </w:r>
      <w:proofErr w:type="spellStart"/>
      <w:r w:rsidR="005301D7" w:rsidRPr="00577A87">
        <w:t>NAb</w:t>
      </w:r>
      <w:proofErr w:type="spellEnd"/>
      <w:r w:rsidR="005301D7" w:rsidRPr="00577A87">
        <w:t>-negative subgroups</w:t>
      </w:r>
      <w:r w:rsidR="005301D7">
        <w:t xml:space="preserve">, both demonstrated efficacy across primary and secondary outcomes. </w:t>
      </w:r>
      <w:r w:rsidR="00577A87" w:rsidRPr="00577A87">
        <w:t>MSAC noted that</w:t>
      </w:r>
      <w:r w:rsidR="007F04EB">
        <w:t xml:space="preserve"> in the key HOPE-B trial</w:t>
      </w:r>
      <w:r w:rsidR="00577A87" w:rsidRPr="00577A87">
        <w:t xml:space="preserve"> </w:t>
      </w:r>
      <w:r w:rsidR="007F04EB">
        <w:t>22/54 (</w:t>
      </w:r>
      <w:r w:rsidR="00577A87" w:rsidRPr="00577A87">
        <w:t>4</w:t>
      </w:r>
      <w:r w:rsidR="007F04EB">
        <w:t>0.7</w:t>
      </w:r>
      <w:r w:rsidR="00577A87" w:rsidRPr="00577A87">
        <w:t>%</w:t>
      </w:r>
      <w:r w:rsidR="007F04EB">
        <w:t>)</w:t>
      </w:r>
      <w:r w:rsidR="00577A87" w:rsidRPr="00577A87">
        <w:t xml:space="preserve"> patients had no bleeding episodes</w:t>
      </w:r>
      <w:r w:rsidR="00F14A17">
        <w:t xml:space="preserve"> </w:t>
      </w:r>
      <w:r w:rsidR="00577DB1">
        <w:t>from</w:t>
      </w:r>
      <w:r w:rsidR="00F14A17">
        <w:t xml:space="preserve"> </w:t>
      </w:r>
      <w:r w:rsidR="004608FB">
        <w:t xml:space="preserve">Months 7 to </w:t>
      </w:r>
      <w:r w:rsidR="00F14A17">
        <w:t>4</w:t>
      </w:r>
      <w:r w:rsidR="004608FB">
        <w:t>8</w:t>
      </w:r>
      <w:r w:rsidR="00F14A17">
        <w:t xml:space="preserve"> post-treatment</w:t>
      </w:r>
      <w:r w:rsidR="00434683">
        <w:t xml:space="preserve">, </w:t>
      </w:r>
      <w:r w:rsidR="00173DFF">
        <w:t>although</w:t>
      </w:r>
      <w:r w:rsidR="00577A87" w:rsidRPr="00577A87">
        <w:t xml:space="preserve"> </w:t>
      </w:r>
      <w:r w:rsidR="007F04EB">
        <w:t>14/54 (</w:t>
      </w:r>
      <w:r w:rsidR="00577A87" w:rsidRPr="00577A87">
        <w:t>2</w:t>
      </w:r>
      <w:r w:rsidR="007F04EB">
        <w:t>5.9</w:t>
      </w:r>
      <w:r w:rsidR="00577A87" w:rsidRPr="00577A87">
        <w:t>%</w:t>
      </w:r>
      <w:r w:rsidR="007F04EB">
        <w:t>)</w:t>
      </w:r>
      <w:r w:rsidR="00577A87" w:rsidRPr="00577A87">
        <w:t xml:space="preserve"> patients </w:t>
      </w:r>
      <w:r w:rsidR="00173DFF">
        <w:t xml:space="preserve">had </w:t>
      </w:r>
      <w:r w:rsidR="00577A87" w:rsidRPr="00577A87">
        <w:t xml:space="preserve">also </w:t>
      </w:r>
      <w:r w:rsidR="00173DFF">
        <w:t xml:space="preserve">reported </w:t>
      </w:r>
      <w:r w:rsidR="00577A87" w:rsidRPr="00577A87">
        <w:t xml:space="preserve">no </w:t>
      </w:r>
      <w:r w:rsidR="0015298B">
        <w:t>bleeds</w:t>
      </w:r>
      <w:r w:rsidR="0015298B" w:rsidRPr="00577A87">
        <w:t xml:space="preserve"> </w:t>
      </w:r>
      <w:r w:rsidR="00577A87" w:rsidRPr="00577A87">
        <w:t xml:space="preserve">in the </w:t>
      </w:r>
      <w:r w:rsidR="00B01AF2">
        <w:t xml:space="preserve">6-month </w:t>
      </w:r>
      <w:r w:rsidR="00577A87" w:rsidRPr="00577A87">
        <w:t xml:space="preserve">lead-up to treatment. MSAC </w:t>
      </w:r>
      <w:r w:rsidR="00946E66">
        <w:t>considered that zero bleeding episodes may signify a functional cure for these patients during the 4</w:t>
      </w:r>
      <w:r w:rsidR="00EC18FD">
        <w:t>-</w:t>
      </w:r>
      <w:r w:rsidR="00946E66">
        <w:t xml:space="preserve">year time period, however </w:t>
      </w:r>
      <w:r w:rsidR="00577A87" w:rsidRPr="00577A87">
        <w:t xml:space="preserve">queried if patients in this group </w:t>
      </w:r>
      <w:r w:rsidR="00344178">
        <w:t>received</w:t>
      </w:r>
      <w:r w:rsidR="00344178" w:rsidRPr="00577A87">
        <w:t xml:space="preserve"> </w:t>
      </w:r>
      <w:r w:rsidR="008B6D7B">
        <w:t>addition</w:t>
      </w:r>
      <w:r w:rsidR="00D25963">
        <w:t>al exogenous</w:t>
      </w:r>
      <w:r w:rsidR="008B6D7B">
        <w:t xml:space="preserve"> </w:t>
      </w:r>
      <w:r w:rsidR="00577A87" w:rsidRPr="00577A87">
        <w:t xml:space="preserve">FIX if levels had </w:t>
      </w:r>
      <w:r w:rsidR="00512839">
        <w:t>declined</w:t>
      </w:r>
      <w:r w:rsidR="00512839" w:rsidRPr="00577A87">
        <w:t xml:space="preserve"> </w:t>
      </w:r>
      <w:r w:rsidR="00577A87" w:rsidRPr="00577A87">
        <w:t xml:space="preserve">over the 4 years. MSAC also noted that </w:t>
      </w:r>
      <w:r w:rsidR="007F04EB">
        <w:t>51/54 (</w:t>
      </w:r>
      <w:r w:rsidR="00577A87" w:rsidRPr="00577A87">
        <w:t>9</w:t>
      </w:r>
      <w:r w:rsidR="00FB76FB">
        <w:t>4.4</w:t>
      </w:r>
      <w:r w:rsidR="00577A87" w:rsidRPr="00577A87">
        <w:t>%</w:t>
      </w:r>
      <w:r w:rsidR="007F04EB">
        <w:t>)</w:t>
      </w:r>
      <w:r w:rsidR="00577A87" w:rsidRPr="00577A87">
        <w:t xml:space="preserve"> patients did not require routine FIX prophylaxis</w:t>
      </w:r>
      <w:r w:rsidR="00577DB1">
        <w:t xml:space="preserve"> (defined in the study as having </w:t>
      </w:r>
      <w:r w:rsidR="00701A90">
        <w:t>been</w:t>
      </w:r>
      <w:r w:rsidR="00577DB1">
        <w:t xml:space="preserve"> contaminated</w:t>
      </w:r>
      <w:r w:rsidR="00577DB1" w:rsidRPr="00271BE6">
        <w:t xml:space="preserve"> by exogenous </w:t>
      </w:r>
      <w:r w:rsidR="00577DB1">
        <w:t>F</w:t>
      </w:r>
      <w:r w:rsidR="00577DB1" w:rsidRPr="00271BE6">
        <w:t xml:space="preserve">IX during </w:t>
      </w:r>
      <w:r w:rsidR="00577DB1">
        <w:t>any</w:t>
      </w:r>
      <w:r w:rsidR="00577DB1" w:rsidRPr="00271BE6">
        <w:t xml:space="preserve"> contiguous </w:t>
      </w:r>
      <w:r w:rsidR="00577DB1">
        <w:t>3-</w:t>
      </w:r>
      <w:r w:rsidR="00577DB1" w:rsidRPr="00271BE6">
        <w:t>month period</w:t>
      </w:r>
      <w:r w:rsidR="00577DB1">
        <w:t>)</w:t>
      </w:r>
      <w:r w:rsidR="00577A87" w:rsidRPr="00577A87">
        <w:t xml:space="preserve"> </w:t>
      </w:r>
      <w:r w:rsidR="00577DB1">
        <w:t xml:space="preserve">from </w:t>
      </w:r>
      <w:r w:rsidR="004608FB">
        <w:t xml:space="preserve">Months 7 to 48 </w:t>
      </w:r>
      <w:r w:rsidR="00577A87" w:rsidRPr="00577A87">
        <w:t>post-treatment</w:t>
      </w:r>
      <w:r w:rsidR="00B300A6">
        <w:rPr>
          <w:rStyle w:val="CommentReference"/>
          <w:rFonts w:ascii="Calibri" w:eastAsia="Times New Roman" w:hAnsi="Calibri" w:cs="Times New Roman"/>
          <w:color w:val="000000"/>
          <w:lang w:eastAsia="en-AU"/>
        </w:rPr>
        <w:t>.</w:t>
      </w:r>
      <w:r w:rsidR="00577A87" w:rsidRPr="00577A87">
        <w:t xml:space="preserve"> </w:t>
      </w:r>
      <w:r w:rsidR="006E1D78">
        <w:t xml:space="preserve">While </w:t>
      </w:r>
      <w:r w:rsidR="00577A87" w:rsidRPr="00577A87">
        <w:t xml:space="preserve">MSAC considered that </w:t>
      </w:r>
      <w:r w:rsidR="002210A9">
        <w:t>ED</w:t>
      </w:r>
      <w:r w:rsidR="008F5374" w:rsidRPr="008F5374" w:rsidDel="008F5374">
        <w:t xml:space="preserve"> </w:t>
      </w:r>
      <w:r w:rsidR="00577A87" w:rsidRPr="00577A87">
        <w:t xml:space="preserve">was effective </w:t>
      </w:r>
      <w:r w:rsidR="00946E66">
        <w:t>in majority</w:t>
      </w:r>
      <w:r w:rsidR="00577A87" w:rsidRPr="00577A87">
        <w:t xml:space="preserve"> </w:t>
      </w:r>
      <w:r w:rsidR="00571E83">
        <w:t xml:space="preserve">of the </w:t>
      </w:r>
      <w:r w:rsidR="00577A87" w:rsidRPr="00577A87">
        <w:t xml:space="preserve">patients, </w:t>
      </w:r>
      <w:r w:rsidR="00946E66">
        <w:t xml:space="preserve">some patients </w:t>
      </w:r>
      <w:r w:rsidR="005D4622">
        <w:t>experience</w:t>
      </w:r>
      <w:r w:rsidR="00946E66">
        <w:t xml:space="preserve"> a lack or loss of efficacy to treatment</w:t>
      </w:r>
      <w:r w:rsidR="00577A87" w:rsidRPr="00577A87">
        <w:t xml:space="preserve">. Of the 3 patients that </w:t>
      </w:r>
      <w:r w:rsidR="00577DB1">
        <w:t>returned to FIX</w:t>
      </w:r>
      <w:r w:rsidR="00577A87" w:rsidRPr="00577A87">
        <w:t xml:space="preserve"> prophylaxis, one had a high level of </w:t>
      </w:r>
      <w:proofErr w:type="spellStart"/>
      <w:r w:rsidR="00577A87" w:rsidRPr="00577A87">
        <w:t>N</w:t>
      </w:r>
      <w:r w:rsidR="001717E8">
        <w:t>A</w:t>
      </w:r>
      <w:r w:rsidR="00577A87" w:rsidRPr="00577A87">
        <w:t>b</w:t>
      </w:r>
      <w:proofErr w:type="spellEnd"/>
      <w:r w:rsidR="00436940">
        <w:t xml:space="preserve"> titre</w:t>
      </w:r>
      <w:r w:rsidR="00577A87" w:rsidRPr="00577A87">
        <w:t xml:space="preserve"> (3,2</w:t>
      </w:r>
      <w:r w:rsidR="00577DB1">
        <w:t>12.3</w:t>
      </w:r>
      <w:r w:rsidR="00577A87" w:rsidRPr="00577A87">
        <w:t xml:space="preserve">) and would be </w:t>
      </w:r>
      <w:r w:rsidR="009A0605">
        <w:t>in</w:t>
      </w:r>
      <w:r w:rsidR="00577A87" w:rsidRPr="00577A87">
        <w:t xml:space="preserve">eligible for therapy under the proposed eligibility criteria, one </w:t>
      </w:r>
      <w:r w:rsidR="003A2126">
        <w:t>experienced</w:t>
      </w:r>
      <w:r w:rsidR="003A2126" w:rsidRPr="00577A87">
        <w:t xml:space="preserve"> </w:t>
      </w:r>
      <w:r w:rsidR="00577A87" w:rsidRPr="00577A87">
        <w:t>a hypersensitivity reaction to the infusion and received</w:t>
      </w:r>
      <w:r w:rsidR="003A2126">
        <w:t xml:space="preserve"> only</w:t>
      </w:r>
      <w:r w:rsidR="00577A87" w:rsidRPr="00577A87">
        <w:t xml:space="preserve"> 10% of the </w:t>
      </w:r>
      <w:r w:rsidR="003A2126">
        <w:t>dose</w:t>
      </w:r>
      <w:r w:rsidR="008A4BE8">
        <w:t xml:space="preserve">, and one </w:t>
      </w:r>
      <w:r w:rsidR="00577A87" w:rsidRPr="00577A87">
        <w:t>patient</w:t>
      </w:r>
      <w:r w:rsidR="001717E8">
        <w:t xml:space="preserve"> (pre-treatment </w:t>
      </w:r>
      <w:proofErr w:type="spellStart"/>
      <w:r w:rsidR="001717E8">
        <w:t>NAb</w:t>
      </w:r>
      <w:proofErr w:type="spellEnd"/>
      <w:r w:rsidR="001717E8">
        <w:t xml:space="preserve"> titre of 98.5)</w:t>
      </w:r>
      <w:r w:rsidR="00577A87" w:rsidRPr="00577A87">
        <w:t xml:space="preserve"> lost efficacy</w:t>
      </w:r>
      <w:r w:rsidR="001717E8">
        <w:t xml:space="preserve"> due to unknown reasons</w:t>
      </w:r>
      <w:r w:rsidR="00577A87" w:rsidRPr="00577A87">
        <w:t xml:space="preserve"> at </w:t>
      </w:r>
      <w:r w:rsidR="00577DB1">
        <w:t>approximately 29 months</w:t>
      </w:r>
      <w:r w:rsidR="00577A87" w:rsidRPr="00577A87">
        <w:t xml:space="preserve">. </w:t>
      </w:r>
      <w:r w:rsidR="00073175" w:rsidRPr="00073175">
        <w:t>MSAC noted that, while hypersensitivity reactions to ED may occur in clinical practice</w:t>
      </w:r>
      <w:r w:rsidR="00073175">
        <w:t xml:space="preserve">, </w:t>
      </w:r>
      <w:r w:rsidR="00073175" w:rsidRPr="00073175">
        <w:t>as observed in one patient in the key trial</w:t>
      </w:r>
      <w:r w:rsidR="00073175">
        <w:t xml:space="preserve">, </w:t>
      </w:r>
      <w:r w:rsidR="00073175" w:rsidRPr="00073175">
        <w:t>the ADAR did not include any risk mitigation strategies to address this issue.</w:t>
      </w:r>
      <w:r w:rsidR="00522DD1">
        <w:t xml:space="preserve"> </w:t>
      </w:r>
      <w:r w:rsidR="00577A87" w:rsidRPr="00577A87">
        <w:t xml:space="preserve">MSAC </w:t>
      </w:r>
      <w:r w:rsidR="000633BC">
        <w:t>further</w:t>
      </w:r>
      <w:r w:rsidR="000633BC" w:rsidRPr="00577A87">
        <w:t xml:space="preserve"> </w:t>
      </w:r>
      <w:r w:rsidR="00577A87" w:rsidRPr="00577A87">
        <w:t xml:space="preserve">noted that </w:t>
      </w:r>
      <w:r w:rsidR="00D80530">
        <w:t>32/54 (59.3%)</w:t>
      </w:r>
      <w:r w:rsidR="00087F99">
        <w:t xml:space="preserve"> patients</w:t>
      </w:r>
      <w:r w:rsidR="000633BC">
        <w:t xml:space="preserve"> continued to</w:t>
      </w:r>
      <w:r w:rsidR="005604B5" w:rsidRPr="005604B5">
        <w:t xml:space="preserve"> </w:t>
      </w:r>
      <w:r w:rsidR="005604B5">
        <w:t xml:space="preserve">experience </w:t>
      </w:r>
      <w:r w:rsidR="00E70E59">
        <w:t>some</w:t>
      </w:r>
      <w:r w:rsidR="005604B5">
        <w:t xml:space="preserve"> </w:t>
      </w:r>
      <w:r w:rsidR="005604B5" w:rsidRPr="00577A87">
        <w:t>bleeding post-treatment</w:t>
      </w:r>
      <w:r w:rsidR="00BC2BC1">
        <w:t xml:space="preserve">, with </w:t>
      </w:r>
      <w:r w:rsidR="00577A87" w:rsidRPr="00577A87">
        <w:t xml:space="preserve">significant inter-individual variability. </w:t>
      </w:r>
      <w:r w:rsidR="00845884">
        <w:t>MSAC also noted that</w:t>
      </w:r>
      <w:r w:rsidR="00577A87" w:rsidRPr="00577A87">
        <w:t xml:space="preserve"> </w:t>
      </w:r>
      <w:r w:rsidR="00176548" w:rsidRPr="00577A87">
        <w:t xml:space="preserve">50% of patients still </w:t>
      </w:r>
      <w:r w:rsidR="00176548">
        <w:t>required</w:t>
      </w:r>
      <w:r w:rsidR="00176548" w:rsidRPr="00577A87">
        <w:t xml:space="preserve"> FIX replacement</w:t>
      </w:r>
      <w:r w:rsidR="0012449F">
        <w:t xml:space="preserve"> </w:t>
      </w:r>
      <w:r w:rsidR="00D80530">
        <w:t>during Months 7-48 post treatment</w:t>
      </w:r>
      <w:r w:rsidR="0012449F">
        <w:t xml:space="preserve">, although </w:t>
      </w:r>
      <w:r w:rsidR="005A7969">
        <w:t xml:space="preserve">the amount of FIX </w:t>
      </w:r>
      <w:r w:rsidR="00C433DC">
        <w:t>required</w:t>
      </w:r>
      <w:r w:rsidR="005A7969">
        <w:t xml:space="preserve"> </w:t>
      </w:r>
      <w:r w:rsidR="00577A87" w:rsidRPr="00577A87">
        <w:t xml:space="preserve">was significantly reduced </w:t>
      </w:r>
      <w:r w:rsidR="00C433DC">
        <w:t>compared to</w:t>
      </w:r>
      <w:r w:rsidR="00C433DC" w:rsidRPr="00577A87">
        <w:t xml:space="preserve"> </w:t>
      </w:r>
      <w:r w:rsidR="00577A87" w:rsidRPr="00577A87">
        <w:t>pre-treatment levels.</w:t>
      </w:r>
      <w:r w:rsidR="00B05922">
        <w:t xml:space="preserve"> </w:t>
      </w:r>
    </w:p>
    <w:p w14:paraId="5B2CFB7D" w14:textId="40BFBD1E" w:rsidR="00577A87" w:rsidRPr="00577A87" w:rsidRDefault="00577A87" w:rsidP="00E3012F">
      <w:pPr>
        <w:spacing w:line="240" w:lineRule="auto"/>
      </w:pPr>
      <w:r w:rsidRPr="00577A87">
        <w:t>MSAC reviewed the health-related quality of life (</w:t>
      </w:r>
      <w:proofErr w:type="spellStart"/>
      <w:r w:rsidRPr="00577A87">
        <w:t>HRQoL</w:t>
      </w:r>
      <w:proofErr w:type="spellEnd"/>
      <w:r w:rsidRPr="00577A87">
        <w:t xml:space="preserve">) data from the HOPE-B </w:t>
      </w:r>
      <w:r w:rsidR="005061B4">
        <w:t xml:space="preserve">study, noting that </w:t>
      </w:r>
      <w:r w:rsidR="008D7E96">
        <w:t>two</w:t>
      </w:r>
      <w:r w:rsidRPr="00577A87">
        <w:t> tools – HAEM-A-QoL and EQ-5D-5L – were presented in th</w:t>
      </w:r>
      <w:r w:rsidR="008D7E96">
        <w:t>is application</w:t>
      </w:r>
      <w:r w:rsidRPr="00577A87">
        <w:t xml:space="preserve">. </w:t>
      </w:r>
      <w:r w:rsidR="00A21638">
        <w:t>MSAC noted that the applicant</w:t>
      </w:r>
      <w:r w:rsidR="004B15A2">
        <w:t xml:space="preserve">, </w:t>
      </w:r>
      <w:r w:rsidR="00B477CB">
        <w:t xml:space="preserve">in their pre-MSAC response </w:t>
      </w:r>
      <w:r w:rsidR="00881BAC">
        <w:t>and during the hearing</w:t>
      </w:r>
      <w:r w:rsidR="00420889">
        <w:t>, emphasised</w:t>
      </w:r>
      <w:r w:rsidR="00881BAC">
        <w:t xml:space="preserve"> </w:t>
      </w:r>
      <w:r w:rsidR="00B65BC8">
        <w:t xml:space="preserve">that </w:t>
      </w:r>
      <w:r w:rsidR="00A60202">
        <w:t xml:space="preserve">the </w:t>
      </w:r>
      <w:r w:rsidR="00B65BC8">
        <w:t>QoL</w:t>
      </w:r>
      <w:r w:rsidR="00A60202">
        <w:t xml:space="preserve"> benefits </w:t>
      </w:r>
      <w:r w:rsidR="00420889">
        <w:t xml:space="preserve">associated with </w:t>
      </w:r>
      <w:r w:rsidR="00520974">
        <w:t xml:space="preserve">ED </w:t>
      </w:r>
      <w:r w:rsidR="005449A0">
        <w:t>including</w:t>
      </w:r>
      <w:r w:rsidR="00A60202">
        <w:t xml:space="preserve"> improvement </w:t>
      </w:r>
      <w:r w:rsidR="005575F6">
        <w:t xml:space="preserve">in chronic pain, disability, </w:t>
      </w:r>
      <w:r w:rsidR="00904CB9">
        <w:t xml:space="preserve">social </w:t>
      </w:r>
      <w:r w:rsidR="005575F6">
        <w:t>activities, education and travel</w:t>
      </w:r>
      <w:r w:rsidR="00EF0677">
        <w:t xml:space="preserve"> </w:t>
      </w:r>
      <w:r w:rsidR="00AF2ACC">
        <w:t>are</w:t>
      </w:r>
      <w:r w:rsidR="0055716C">
        <w:t xml:space="preserve"> not </w:t>
      </w:r>
      <w:r w:rsidR="00B763C0">
        <w:t>fully capture</w:t>
      </w:r>
      <w:r w:rsidR="005449A0">
        <w:t>d</w:t>
      </w:r>
      <w:r w:rsidR="00B763C0">
        <w:t xml:space="preserve"> </w:t>
      </w:r>
      <w:r w:rsidR="00AF2ACC">
        <w:t xml:space="preserve">through the available </w:t>
      </w:r>
      <w:proofErr w:type="spellStart"/>
      <w:r w:rsidR="00A031DF">
        <w:t>HR</w:t>
      </w:r>
      <w:r w:rsidR="00AF2ACC">
        <w:t>QoL</w:t>
      </w:r>
      <w:proofErr w:type="spellEnd"/>
      <w:r w:rsidR="00AF2ACC">
        <w:t xml:space="preserve"> </w:t>
      </w:r>
      <w:r w:rsidR="00A031DF">
        <w:t>measuring tools</w:t>
      </w:r>
      <w:r w:rsidR="004358EE">
        <w:t>. H</w:t>
      </w:r>
      <w:r w:rsidR="009E0BCE">
        <w:t xml:space="preserve">owever, MSAC </w:t>
      </w:r>
      <w:r w:rsidR="002775DF">
        <w:t>noted</w:t>
      </w:r>
      <w:r w:rsidR="009E0BCE">
        <w:t xml:space="preserve"> that the EQ-5D-5L does include relevant domains such as pain</w:t>
      </w:r>
      <w:r w:rsidR="008A4EB5">
        <w:t>/discomfort</w:t>
      </w:r>
      <w:r w:rsidR="009E0BCE">
        <w:t xml:space="preserve">, </w:t>
      </w:r>
      <w:r w:rsidR="00A62501">
        <w:t>usual</w:t>
      </w:r>
      <w:r w:rsidR="009E0BCE">
        <w:t xml:space="preserve"> </w:t>
      </w:r>
      <w:r w:rsidR="00EF53D3">
        <w:t xml:space="preserve">activities </w:t>
      </w:r>
      <w:r w:rsidR="009E0BCE">
        <w:t xml:space="preserve">and </w:t>
      </w:r>
      <w:r w:rsidR="008A4EB5">
        <w:t>anxiety/depression</w:t>
      </w:r>
      <w:r w:rsidR="00AF2ACC">
        <w:t>.</w:t>
      </w:r>
      <w:r w:rsidR="00B65BC8" w:rsidRPr="00B65BC8">
        <w:t xml:space="preserve"> </w:t>
      </w:r>
      <w:r w:rsidR="00B65BC8">
        <w:t>MSAC</w:t>
      </w:r>
      <w:r w:rsidR="00B65BC8" w:rsidRPr="00B65BC8">
        <w:t xml:space="preserve"> considered that while a small benefit in </w:t>
      </w:r>
      <w:proofErr w:type="spellStart"/>
      <w:r w:rsidR="00B65BC8" w:rsidRPr="00B65BC8">
        <w:t>HRQ</w:t>
      </w:r>
      <w:r w:rsidR="00B65BC8">
        <w:t>o</w:t>
      </w:r>
      <w:r w:rsidR="00B65BC8" w:rsidRPr="00B65BC8">
        <w:t>L</w:t>
      </w:r>
      <w:proofErr w:type="spellEnd"/>
      <w:r w:rsidR="00B65BC8" w:rsidRPr="00B65BC8">
        <w:t xml:space="preserve"> was observed </w:t>
      </w:r>
      <w:r w:rsidR="00B65BC8" w:rsidRPr="00B65BC8">
        <w:lastRenderedPageBreak/>
        <w:t>using the aforementioned tools, the magnitude of the effect was not consistent with a transformational therapy as claimed by the applicant.</w:t>
      </w:r>
      <w:r w:rsidR="00B65BC8">
        <w:t xml:space="preserve"> MSAC noted consultation feedback from HFA indicat</w:t>
      </w:r>
      <w:r w:rsidR="00091F05">
        <w:t>ed</w:t>
      </w:r>
      <w:r w:rsidR="00B65BC8">
        <w:t xml:space="preserve"> that many </w:t>
      </w:r>
      <w:r w:rsidR="00B65BC8" w:rsidRPr="00E96607">
        <w:t xml:space="preserve">haemophilia </w:t>
      </w:r>
      <w:r w:rsidR="009A00BB">
        <w:t xml:space="preserve">patients </w:t>
      </w:r>
      <w:r w:rsidR="00B65BC8">
        <w:t>have been waiting for</w:t>
      </w:r>
      <w:r w:rsidR="00B65BC8" w:rsidRPr="00E96607">
        <w:t xml:space="preserve"> </w:t>
      </w:r>
      <w:r w:rsidR="00B65BC8" w:rsidRPr="00C47128">
        <w:t>a permanent solution</w:t>
      </w:r>
      <w:r w:rsidR="00B65BC8">
        <w:t xml:space="preserve"> (i.e. a cure)</w:t>
      </w:r>
      <w:r w:rsidR="00091F05">
        <w:t>. MSAC</w:t>
      </w:r>
      <w:r w:rsidR="00B65BC8">
        <w:t xml:space="preserve"> considered that while </w:t>
      </w:r>
      <w:r w:rsidR="009A00BB">
        <w:t>ED</w:t>
      </w:r>
      <w:r w:rsidR="00B65BC8">
        <w:t xml:space="preserve"> gene therapy is effective (to varying magnitudes) in a majority of patients, it may not represent a cure for all patients. </w:t>
      </w:r>
    </w:p>
    <w:p w14:paraId="4789B488" w14:textId="4AC5ADBA" w:rsidR="00474310" w:rsidRDefault="00577A87" w:rsidP="00E3012F">
      <w:pPr>
        <w:spacing w:line="240" w:lineRule="auto"/>
      </w:pPr>
      <w:r w:rsidRPr="00577A87">
        <w:t xml:space="preserve">MSAC noted that the </w:t>
      </w:r>
      <w:r w:rsidR="008C73C8" w:rsidRPr="00577A87">
        <w:t>re</w:t>
      </w:r>
      <w:r w:rsidR="008C73C8">
        <w:t>application</w:t>
      </w:r>
      <w:r w:rsidR="008C73C8" w:rsidRPr="00577A87">
        <w:t xml:space="preserve"> </w:t>
      </w:r>
      <w:r w:rsidR="00DD78B2">
        <w:t>included a revised</w:t>
      </w:r>
      <w:r w:rsidRPr="00577A87">
        <w:t xml:space="preserve"> </w:t>
      </w:r>
      <w:r w:rsidR="00DD78B2">
        <w:t>economic</w:t>
      </w:r>
      <w:r w:rsidR="00DD78B2" w:rsidRPr="00577A87">
        <w:t xml:space="preserve"> </w:t>
      </w:r>
      <w:r w:rsidRPr="00577A87">
        <w:t>model</w:t>
      </w:r>
      <w:r w:rsidR="00A52BFA">
        <w:t xml:space="preserve"> </w:t>
      </w:r>
      <w:r w:rsidR="00185ADC">
        <w:t xml:space="preserve">- </w:t>
      </w:r>
      <w:r w:rsidRPr="00577A87">
        <w:t xml:space="preserve">a Markov model </w:t>
      </w:r>
      <w:r w:rsidR="00185ADC">
        <w:t xml:space="preserve">based </w:t>
      </w:r>
      <w:r w:rsidR="008C73C8">
        <w:t xml:space="preserve">on </w:t>
      </w:r>
      <w:r w:rsidRPr="00577A87">
        <w:t>joint bleed severity using the Petersson Score and with a 1</w:t>
      </w:r>
      <w:r w:rsidR="00882C81">
        <w:t>5</w:t>
      </w:r>
      <w:r w:rsidRPr="00577A87">
        <w:t>-year time horizon</w:t>
      </w:r>
      <w:r w:rsidR="00021B4E">
        <w:t xml:space="preserve">. </w:t>
      </w:r>
      <w:r w:rsidR="00A52BFA">
        <w:t xml:space="preserve">MSAC noted that ED treatment is dominant in the 15-year base case analysis of the ADAR. </w:t>
      </w:r>
      <w:r w:rsidR="00474310">
        <w:t>H</w:t>
      </w:r>
      <w:r w:rsidR="00021B4E">
        <w:t xml:space="preserve">owever, </w:t>
      </w:r>
      <w:r w:rsidR="00474310">
        <w:t xml:space="preserve">MSAC </w:t>
      </w:r>
      <w:r w:rsidR="009E21F6">
        <w:t>agreed with</w:t>
      </w:r>
      <w:r w:rsidR="00206BC7">
        <w:t xml:space="preserve"> ESC</w:t>
      </w:r>
      <w:r w:rsidR="00C9021E">
        <w:t xml:space="preserve"> </w:t>
      </w:r>
      <w:r w:rsidR="00DA7D0A">
        <w:t xml:space="preserve">that </w:t>
      </w:r>
      <w:r w:rsidR="00021B4E">
        <w:t xml:space="preserve">the 15-year time horizon </w:t>
      </w:r>
      <w:r w:rsidR="00E550E3">
        <w:t>lacked justification</w:t>
      </w:r>
      <w:r w:rsidR="003700CE">
        <w:t xml:space="preserve"> and that </w:t>
      </w:r>
      <w:r w:rsidR="00021B4E">
        <w:t>the assumptions of long-term treatment durability were not well-supported</w:t>
      </w:r>
      <w:r w:rsidR="000F409E">
        <w:t xml:space="preserve"> by the available clinical data</w:t>
      </w:r>
      <w:r w:rsidR="003700CE">
        <w:t xml:space="preserve">. MSAC </w:t>
      </w:r>
      <w:r w:rsidR="00F363A6">
        <w:t xml:space="preserve">agreed with </w:t>
      </w:r>
      <w:r w:rsidR="00C9021E">
        <w:t>ESC’s advice</w:t>
      </w:r>
      <w:r w:rsidR="00021B4E">
        <w:t xml:space="preserve"> that a 10-year horizon </w:t>
      </w:r>
      <w:r w:rsidR="003700CE">
        <w:t xml:space="preserve">would be more appropriate, </w:t>
      </w:r>
      <w:r w:rsidR="00043921" w:rsidRPr="00D84B66">
        <w:rPr>
          <w:b/>
          <w:bCs/>
        </w:rPr>
        <w:t>redacted</w:t>
      </w:r>
      <w:r w:rsidR="00D70BFD" w:rsidRPr="00D84B66">
        <w:t>.</w:t>
      </w:r>
      <w:r w:rsidR="00DF0303">
        <w:t xml:space="preserve"> </w:t>
      </w:r>
    </w:p>
    <w:p w14:paraId="07008715" w14:textId="40877292" w:rsidR="00853EC4" w:rsidRDefault="00FD56CE" w:rsidP="00E3012F">
      <w:pPr>
        <w:spacing w:line="240" w:lineRule="auto"/>
      </w:pPr>
      <w:r>
        <w:t>MSAC noted that</w:t>
      </w:r>
      <w:r w:rsidR="00577A87" w:rsidRPr="00577A87">
        <w:t xml:space="preserve"> the </w:t>
      </w:r>
      <w:r w:rsidR="00AC00DC">
        <w:t xml:space="preserve">incremental cost-effectiveness ratio </w:t>
      </w:r>
      <w:r w:rsidR="00AC00DC" w:rsidRPr="00043921">
        <w:t xml:space="preserve">(ICER) was </w:t>
      </w:r>
      <w:r w:rsidR="00364ED2" w:rsidRPr="00043921">
        <w:t>$</w:t>
      </w:r>
      <w:r w:rsidR="00AA2C28" w:rsidRPr="00D84B66">
        <w:rPr>
          <w:b/>
          <w:bCs/>
        </w:rPr>
        <w:t>redacted</w:t>
      </w:r>
      <w:r w:rsidR="00364ED2" w:rsidRPr="00043921">
        <w:t xml:space="preserve"> </w:t>
      </w:r>
      <w:r w:rsidR="00AC00DC" w:rsidRPr="00043921">
        <w:t xml:space="preserve">per </w:t>
      </w:r>
      <w:r w:rsidR="000C1E90" w:rsidRPr="00043921">
        <w:t>quality-adjusted life year (</w:t>
      </w:r>
      <w:r w:rsidR="00AC00DC" w:rsidRPr="00043921">
        <w:t>QALY</w:t>
      </w:r>
      <w:r w:rsidR="000C1E90" w:rsidRPr="00043921">
        <w:t>)</w:t>
      </w:r>
      <w:r w:rsidR="00AC00DC" w:rsidRPr="00043921">
        <w:t xml:space="preserve"> at 10 years (extrapolated)</w:t>
      </w:r>
      <w:r w:rsidR="00843349" w:rsidRPr="00043921">
        <w:t xml:space="preserve"> for the </w:t>
      </w:r>
      <w:r w:rsidR="00ED6348" w:rsidRPr="00043921">
        <w:t xml:space="preserve">ED </w:t>
      </w:r>
      <w:r w:rsidR="00577A87" w:rsidRPr="00043921">
        <w:t xml:space="preserve">price </w:t>
      </w:r>
      <w:r w:rsidR="008C73C8" w:rsidRPr="00043921">
        <w:t xml:space="preserve">proposed </w:t>
      </w:r>
      <w:r w:rsidR="00BA22D9" w:rsidRPr="00043921">
        <w:t>by the applicant</w:t>
      </w:r>
      <w:r w:rsidR="00577A87" w:rsidRPr="00043921">
        <w:t xml:space="preserve"> of $</w:t>
      </w:r>
      <w:r w:rsidR="00AA2C28" w:rsidRPr="00D84B66">
        <w:rPr>
          <w:b/>
          <w:bCs/>
        </w:rPr>
        <w:t>redacted</w:t>
      </w:r>
      <w:r w:rsidR="00577A87" w:rsidRPr="00043921">
        <w:t xml:space="preserve"> per patient</w:t>
      </w:r>
      <w:r w:rsidR="00442CDD" w:rsidRPr="00043921">
        <w:t xml:space="preserve">. </w:t>
      </w:r>
      <w:r w:rsidR="0056085E" w:rsidRPr="00043921">
        <w:t>MSAC consider</w:t>
      </w:r>
      <w:r w:rsidR="001D2371" w:rsidRPr="00043921">
        <w:t>ed</w:t>
      </w:r>
      <w:r w:rsidR="0056085E" w:rsidRPr="00043921">
        <w:t xml:space="preserve"> this ICER</w:t>
      </w:r>
      <w:r w:rsidR="001D2371" w:rsidRPr="00043921">
        <w:t xml:space="preserve"> to be too</w:t>
      </w:r>
      <w:r w:rsidR="001D2371">
        <w:t xml:space="preserve"> high and</w:t>
      </w:r>
      <w:r w:rsidR="0056085E">
        <w:t xml:space="preserve"> </w:t>
      </w:r>
      <w:r w:rsidR="001D2371">
        <w:t>not</w:t>
      </w:r>
      <w:r w:rsidR="0056085E">
        <w:t xml:space="preserve"> cost effective</w:t>
      </w:r>
      <w:r w:rsidR="001D2371">
        <w:t xml:space="preserve"> considering the </w:t>
      </w:r>
      <w:r w:rsidR="00057DE6">
        <w:t>substantial heterogeneity in treatment response</w:t>
      </w:r>
      <w:r w:rsidR="000A4D53">
        <w:t xml:space="preserve">, </w:t>
      </w:r>
      <w:r w:rsidR="00582B33">
        <w:t xml:space="preserve">lack of </w:t>
      </w:r>
      <w:r w:rsidR="00F70526">
        <w:t>randomised control</w:t>
      </w:r>
      <w:r w:rsidR="00A6714C">
        <w:t>led</w:t>
      </w:r>
      <w:r w:rsidR="00AC1270">
        <w:t xml:space="preserve"> trial </w:t>
      </w:r>
      <w:r w:rsidR="00F40419">
        <w:t xml:space="preserve">evidence on </w:t>
      </w:r>
      <w:r w:rsidR="000A4D53">
        <w:t>effect</w:t>
      </w:r>
      <w:r w:rsidR="00582B33">
        <w:t xml:space="preserve">iveness </w:t>
      </w:r>
      <w:r w:rsidR="00F40419">
        <w:t>with</w:t>
      </w:r>
      <w:r w:rsidR="00D57069">
        <w:t xml:space="preserve"> </w:t>
      </w:r>
      <w:r w:rsidR="000A4D53">
        <w:t>currently available therapy</w:t>
      </w:r>
      <w:r w:rsidR="00057DE6">
        <w:t xml:space="preserve"> and </w:t>
      </w:r>
      <w:r w:rsidR="001D2371">
        <w:t>uncertainty of the long-term safety and effectiveness of ED</w:t>
      </w:r>
      <w:r w:rsidR="0056085E">
        <w:t>.</w:t>
      </w:r>
      <w:r w:rsidR="00442CDD">
        <w:t xml:space="preserve"> </w:t>
      </w:r>
      <w:r w:rsidR="00A267FE">
        <w:t xml:space="preserve">MSAC noted that the main drivers of the ICER were the </w:t>
      </w:r>
      <w:r w:rsidR="009265E9">
        <w:t xml:space="preserve">high </w:t>
      </w:r>
      <w:r w:rsidR="00A267FE">
        <w:t xml:space="preserve">cost of </w:t>
      </w:r>
      <w:r w:rsidR="009265E9">
        <w:t>ED</w:t>
      </w:r>
      <w:r w:rsidR="00A267FE">
        <w:t xml:space="preserve">, the </w:t>
      </w:r>
      <w:r w:rsidR="009265E9" w:rsidRPr="00577A87">
        <w:t xml:space="preserve">relatively </w:t>
      </w:r>
      <w:r w:rsidR="00A267FE">
        <w:t>high ongoing costs for FIX, and the relatively small QALY difference</w:t>
      </w:r>
      <w:r w:rsidR="00A65F71" w:rsidRPr="00A65F71">
        <w:t xml:space="preserve"> </w:t>
      </w:r>
      <w:r w:rsidR="00A65F71" w:rsidRPr="00577A87">
        <w:t>in relation to costs</w:t>
      </w:r>
      <w:r w:rsidR="00A267FE">
        <w:t xml:space="preserve">. </w:t>
      </w:r>
      <w:r w:rsidR="001B7477">
        <w:t>MSAC agreed with ESC that the cost-effectiveness of ED would be acceptable if it were cost neutral compared to the comparator (FIX</w:t>
      </w:r>
      <w:r w:rsidR="00BC1380">
        <w:t xml:space="preserve"> replacement therapy</w:t>
      </w:r>
      <w:r w:rsidR="001B7477">
        <w:t>) at 10 years</w:t>
      </w:r>
      <w:r w:rsidR="00A70D00" w:rsidRPr="007B454F">
        <w:rPr>
          <w:rFonts w:eastAsia="Franklin Gothic Book"/>
        </w:rPr>
        <w:t>, and in conjunction with a</w:t>
      </w:r>
      <w:r w:rsidR="00A70D00">
        <w:rPr>
          <w:rFonts w:eastAsia="Franklin Gothic Book"/>
        </w:rPr>
        <w:t xml:space="preserve"> comprehensive</w:t>
      </w:r>
      <w:r w:rsidR="00A70D00" w:rsidRPr="007B454F">
        <w:rPr>
          <w:rFonts w:eastAsia="Franklin Gothic Book"/>
        </w:rPr>
        <w:t xml:space="preserve"> </w:t>
      </w:r>
      <w:r w:rsidR="00AA2A1E">
        <w:rPr>
          <w:rFonts w:eastAsia="Franklin Gothic Book"/>
        </w:rPr>
        <w:t xml:space="preserve">pay for performance arrangement – a type of </w:t>
      </w:r>
      <w:r w:rsidR="00A70D00" w:rsidRPr="007B454F">
        <w:rPr>
          <w:rFonts w:eastAsia="Franklin Gothic Book"/>
        </w:rPr>
        <w:t>outcome-based RSA</w:t>
      </w:r>
      <w:r w:rsidR="001B7477">
        <w:t>.</w:t>
      </w:r>
    </w:p>
    <w:p w14:paraId="1BA87973" w14:textId="02F1D0FD" w:rsidR="00577A87" w:rsidRPr="00577A87" w:rsidRDefault="00853EC4" w:rsidP="00E3012F">
      <w:pPr>
        <w:spacing w:line="240" w:lineRule="auto"/>
      </w:pPr>
      <w:r w:rsidRPr="00577A87">
        <w:t xml:space="preserve">MSAC noted that FIX usage in the ADAR </w:t>
      </w:r>
      <w:r w:rsidR="005E2C4A">
        <w:t>was</w:t>
      </w:r>
      <w:r w:rsidRPr="00577A87">
        <w:t xml:space="preserve"> based on HOPE-B study data</w:t>
      </w:r>
      <w:r w:rsidR="008273D8">
        <w:t xml:space="preserve">; however, </w:t>
      </w:r>
      <w:r w:rsidRPr="00577A87">
        <w:t>data from the Australian Bleeding Disorders Registry (ABDR</w:t>
      </w:r>
      <w:r w:rsidR="000A3AA3">
        <w:t xml:space="preserve">) </w:t>
      </w:r>
      <w:r w:rsidRPr="00577A87">
        <w:t xml:space="preserve">suggested </w:t>
      </w:r>
      <w:r w:rsidR="00587DAC">
        <w:t>that</w:t>
      </w:r>
      <w:r w:rsidRPr="00577A87">
        <w:t xml:space="preserve"> lower FIX consumption would be required for a </w:t>
      </w:r>
      <w:r w:rsidR="00CA509D">
        <w:t>comparable</w:t>
      </w:r>
      <w:r w:rsidRPr="00577A87">
        <w:t xml:space="preserve"> Australian patient cohort</w:t>
      </w:r>
      <w:r w:rsidR="00034225">
        <w:t xml:space="preserve">, </w:t>
      </w:r>
      <w:r w:rsidR="00227512">
        <w:t>with</w:t>
      </w:r>
      <w:r w:rsidR="00034225">
        <w:t xml:space="preserve"> annual FIX </w:t>
      </w:r>
      <w:r w:rsidR="00CC7D3B">
        <w:t>usage</w:t>
      </w:r>
      <w:r w:rsidR="00626C6F" w:rsidRPr="00577A87">
        <w:t xml:space="preserve"> </w:t>
      </w:r>
      <w:r w:rsidR="00CC7D3B">
        <w:t>at</w:t>
      </w:r>
      <w:r w:rsidR="00626C6F">
        <w:t xml:space="preserve"> </w:t>
      </w:r>
      <w:r w:rsidR="00626C6F" w:rsidRPr="001E0E68">
        <w:t>216,050</w:t>
      </w:r>
      <w:r w:rsidR="00AF486E">
        <w:t> </w:t>
      </w:r>
      <w:r w:rsidR="00626C6F" w:rsidRPr="0085386E">
        <w:t>IU/yr</w:t>
      </w:r>
      <w:r w:rsidR="00D0776F" w:rsidRPr="0085386E">
        <w:t>/patient</w:t>
      </w:r>
      <w:r w:rsidR="0056085E" w:rsidRPr="0085386E">
        <w:t xml:space="preserve"> (based on the 2023-2024 data)</w:t>
      </w:r>
      <w:r w:rsidR="00CE17A0" w:rsidRPr="0085386E">
        <w:t xml:space="preserve"> </w:t>
      </w:r>
      <w:r w:rsidR="00CE17A0" w:rsidRPr="005A0E7C">
        <w:t xml:space="preserve">- </w:t>
      </w:r>
      <w:r w:rsidR="00626C6F" w:rsidRPr="001E0E68">
        <w:t>16</w:t>
      </w:r>
      <w:r w:rsidR="00626C6F" w:rsidRPr="0085386E">
        <w:t>%</w:t>
      </w:r>
      <w:r w:rsidR="00626C6F" w:rsidRPr="00D0791B">
        <w:t xml:space="preserve"> </w:t>
      </w:r>
      <w:r w:rsidR="00CE17A0" w:rsidRPr="00577A87">
        <w:t xml:space="preserve">lower </w:t>
      </w:r>
      <w:r w:rsidR="00626C6F" w:rsidRPr="00577A87">
        <w:t>than</w:t>
      </w:r>
      <w:r w:rsidR="00CE17A0">
        <w:t xml:space="preserve"> in</w:t>
      </w:r>
      <w:r w:rsidR="00626C6F" w:rsidRPr="00577A87">
        <w:t xml:space="preserve"> </w:t>
      </w:r>
      <w:r w:rsidR="00D0776F">
        <w:t xml:space="preserve">the </w:t>
      </w:r>
      <w:r w:rsidR="00626C6F" w:rsidRPr="00577A87">
        <w:t>HOPE-B</w:t>
      </w:r>
      <w:r w:rsidR="00D0776F">
        <w:t xml:space="preserve"> study</w:t>
      </w:r>
      <w:r w:rsidR="00626C6F" w:rsidRPr="00577A87">
        <w:t>.</w:t>
      </w:r>
      <w:r w:rsidR="00C07DAB">
        <w:t xml:space="preserve"> </w:t>
      </w:r>
      <w:r w:rsidR="0064609F">
        <w:t>U</w:t>
      </w:r>
      <w:r w:rsidR="00577A87" w:rsidRPr="00577A87">
        <w:t>sing Australian</w:t>
      </w:r>
      <w:r w:rsidR="001B78EE">
        <w:t xml:space="preserve"> FIX utilisation</w:t>
      </w:r>
      <w:r w:rsidR="00577A87" w:rsidRPr="00577A87">
        <w:t xml:space="preserve"> data, </w:t>
      </w:r>
      <w:r w:rsidR="0056085E">
        <w:t>effective</w:t>
      </w:r>
      <w:r w:rsidR="00ED16EA">
        <w:t xml:space="preserve"> </w:t>
      </w:r>
      <w:r w:rsidR="00577A87" w:rsidRPr="00577A87">
        <w:t xml:space="preserve">FIX </w:t>
      </w:r>
      <w:r w:rsidR="0064609F">
        <w:t>prices</w:t>
      </w:r>
      <w:r w:rsidR="00AE4A43">
        <w:t xml:space="preserve"> </w:t>
      </w:r>
      <w:r w:rsidR="00B04D38">
        <w:t xml:space="preserve">at the time of </w:t>
      </w:r>
      <w:r w:rsidR="00C318C0">
        <w:t>ADAR lodgement</w:t>
      </w:r>
      <w:r w:rsidR="00CC5D7B">
        <w:t>,</w:t>
      </w:r>
      <w:r w:rsidR="0064609F" w:rsidRPr="00577A87">
        <w:t xml:space="preserve"> </w:t>
      </w:r>
      <w:r w:rsidR="00047DE7">
        <w:t>and</w:t>
      </w:r>
      <w:r w:rsidR="0064609F" w:rsidRPr="00577A87">
        <w:t xml:space="preserve"> </w:t>
      </w:r>
      <w:r w:rsidR="00CC5D7B">
        <w:t>a</w:t>
      </w:r>
      <w:r w:rsidR="001B6198">
        <w:t xml:space="preserve"> </w:t>
      </w:r>
      <w:r w:rsidR="00234A8F">
        <w:br/>
      </w:r>
      <w:r w:rsidR="001B6198">
        <w:t>10 year</w:t>
      </w:r>
      <w:r w:rsidR="00525861">
        <w:t xml:space="preserve"> </w:t>
      </w:r>
      <w:r w:rsidR="00CC5D7B">
        <w:t>time-horizon</w:t>
      </w:r>
      <w:r w:rsidR="00047DE7">
        <w:t>,</w:t>
      </w:r>
      <w:r w:rsidR="000C4550">
        <w:t xml:space="preserve"> MSAC </w:t>
      </w:r>
      <w:r w:rsidR="00263204">
        <w:t xml:space="preserve">considered that price of </w:t>
      </w:r>
      <w:r w:rsidR="008B7C7A">
        <w:t>ED</w:t>
      </w:r>
      <w:r w:rsidR="0049163C">
        <w:t xml:space="preserve"> </w:t>
      </w:r>
      <w:r w:rsidR="00577A87" w:rsidRPr="00577A87">
        <w:t xml:space="preserve">would </w:t>
      </w:r>
      <w:r w:rsidR="00CC7849">
        <w:t>need to be</w:t>
      </w:r>
      <w:r w:rsidR="00CC7849" w:rsidRPr="00577A87">
        <w:t xml:space="preserve"> </w:t>
      </w:r>
      <w:r w:rsidR="00047DE7">
        <w:t xml:space="preserve">reduced to </w:t>
      </w:r>
      <w:r w:rsidR="00047DE7" w:rsidRPr="0085386E">
        <w:t>$</w:t>
      </w:r>
      <w:r w:rsidR="00CB2BC9">
        <w:rPr>
          <w:b/>
          <w:bCs/>
        </w:rPr>
        <w:t>redacted</w:t>
      </w:r>
      <w:r w:rsidR="007373F9">
        <w:t xml:space="preserve"> </w:t>
      </w:r>
      <w:r w:rsidR="007373F9">
        <w:rPr>
          <w:highlight w:val="yellow"/>
        </w:rPr>
        <w:t xml:space="preserve"> </w:t>
      </w:r>
      <w:r w:rsidR="00047DE7" w:rsidRPr="0085386E">
        <w:t xml:space="preserve"> </w:t>
      </w:r>
      <w:r w:rsidR="00047DE7">
        <w:t xml:space="preserve">per patient (i.e. a </w:t>
      </w:r>
      <w:r w:rsidR="00CB2BC9">
        <w:rPr>
          <w:b/>
          <w:bCs/>
        </w:rPr>
        <w:t>redacted</w:t>
      </w:r>
      <w:r w:rsidR="00047DE7">
        <w:t>% reduction from the applicant proposed p</w:t>
      </w:r>
      <w:r w:rsidR="001B7477">
        <w:t>rice) in order to be cost neutral at 10 years.</w:t>
      </w:r>
      <w:r w:rsidR="00CC7849" w:rsidRPr="00577A87">
        <w:t xml:space="preserve"> </w:t>
      </w:r>
    </w:p>
    <w:p w14:paraId="29480094" w14:textId="75DAC662" w:rsidR="00577A87" w:rsidRPr="00577A87" w:rsidRDefault="00577A87" w:rsidP="00E3012F">
      <w:pPr>
        <w:spacing w:line="240" w:lineRule="auto"/>
      </w:pPr>
      <w:r w:rsidRPr="00577A87">
        <w:t>MSAC noted the financial impact</w:t>
      </w:r>
      <w:r w:rsidR="00137318">
        <w:t xml:space="preserve"> based on </w:t>
      </w:r>
      <w:r w:rsidR="00057DE6">
        <w:t xml:space="preserve">the cost neutral ED price, effective FIX prices and Australian FIX utilisation </w:t>
      </w:r>
      <w:r w:rsidRPr="00577A87" w:rsidDel="00137318">
        <w:t xml:space="preserve">using </w:t>
      </w:r>
      <w:r w:rsidRPr="00577A87">
        <w:t>ABDR data:</w:t>
      </w:r>
    </w:p>
    <w:p w14:paraId="4A4AF266" w14:textId="472171DF" w:rsidR="00577A87" w:rsidRPr="001F5C85" w:rsidRDefault="00577A87" w:rsidP="00E3012F">
      <w:pPr>
        <w:pStyle w:val="Bullet"/>
        <w:numPr>
          <w:ilvl w:val="0"/>
          <w:numId w:val="24"/>
        </w:numPr>
        <w:spacing w:before="0"/>
        <w:ind w:left="720"/>
        <w:rPr>
          <w:rFonts w:ascii="Franklin Gothic Book" w:hAnsi="Franklin Gothic Book"/>
        </w:rPr>
      </w:pPr>
      <w:r w:rsidRPr="001F5C85">
        <w:rPr>
          <w:rFonts w:ascii="Franklin Gothic Book" w:hAnsi="Franklin Gothic Book"/>
        </w:rPr>
        <w:t xml:space="preserve">in year 1, the financial impact would be </w:t>
      </w:r>
      <w:r w:rsidRPr="001E0E68">
        <w:rPr>
          <w:rFonts w:ascii="Franklin Gothic Book" w:hAnsi="Franklin Gothic Book"/>
          <w:b/>
          <w:bCs/>
        </w:rPr>
        <w:t>$</w:t>
      </w:r>
      <w:r w:rsidR="001F5C85" w:rsidRPr="001E0E68">
        <w:rPr>
          <w:rFonts w:ascii="Franklin Gothic Book" w:hAnsi="Franklin Gothic Book"/>
          <w:b/>
          <w:bCs/>
        </w:rPr>
        <w:t>redacted</w:t>
      </w:r>
      <w:r w:rsidRPr="001F5C85">
        <w:rPr>
          <w:rFonts w:ascii="Franklin Gothic Book" w:hAnsi="Franklin Gothic Book"/>
        </w:rPr>
        <w:t xml:space="preserve"> to the National Blood </w:t>
      </w:r>
      <w:r w:rsidR="00394CC8" w:rsidRPr="001F5C85">
        <w:rPr>
          <w:rFonts w:ascii="Franklin Gothic Book" w:hAnsi="Franklin Gothic Book"/>
        </w:rPr>
        <w:t>Agreement</w:t>
      </w:r>
      <w:r w:rsidRPr="001F5C85">
        <w:rPr>
          <w:rFonts w:ascii="Franklin Gothic Book" w:hAnsi="Franklin Gothic Book"/>
        </w:rPr>
        <w:t xml:space="preserve">, </w:t>
      </w:r>
      <w:r w:rsidR="00B97B0E" w:rsidRPr="001F5C85">
        <w:rPr>
          <w:rFonts w:ascii="Franklin Gothic Book" w:hAnsi="Franklin Gothic Book"/>
        </w:rPr>
        <w:t xml:space="preserve">comprising </w:t>
      </w:r>
      <w:r w:rsidRPr="001E0E68">
        <w:rPr>
          <w:rFonts w:ascii="Franklin Gothic Book" w:hAnsi="Franklin Gothic Book"/>
          <w:b/>
          <w:bCs/>
        </w:rPr>
        <w:t>$</w:t>
      </w:r>
      <w:r w:rsidR="001F5C85" w:rsidRPr="001F5C85">
        <w:rPr>
          <w:rFonts w:ascii="Franklin Gothic Book" w:hAnsi="Franklin Gothic Book"/>
          <w:b/>
          <w:bCs/>
        </w:rPr>
        <w:t>redacted</w:t>
      </w:r>
      <w:r w:rsidR="001F5C85" w:rsidRPr="001F5C85">
        <w:rPr>
          <w:rFonts w:ascii="Franklin Gothic Book" w:hAnsi="Franklin Gothic Book"/>
        </w:rPr>
        <w:t xml:space="preserve"> </w:t>
      </w:r>
      <w:r w:rsidRPr="001F5C85">
        <w:rPr>
          <w:rFonts w:ascii="Franklin Gothic Book" w:hAnsi="Franklin Gothic Book"/>
        </w:rPr>
        <w:t>to states and territories</w:t>
      </w:r>
      <w:r w:rsidR="0056227D" w:rsidRPr="001F5C85">
        <w:rPr>
          <w:rFonts w:ascii="Franklin Gothic Book" w:hAnsi="Franklin Gothic Book"/>
        </w:rPr>
        <w:t xml:space="preserve"> </w:t>
      </w:r>
      <w:r w:rsidRPr="001F5C85">
        <w:rPr>
          <w:rFonts w:ascii="Franklin Gothic Book" w:hAnsi="Franklin Gothic Book"/>
        </w:rPr>
        <w:t xml:space="preserve">and </w:t>
      </w:r>
      <w:r w:rsidRPr="001E0E68">
        <w:rPr>
          <w:rFonts w:ascii="Franklin Gothic Book" w:hAnsi="Franklin Gothic Book"/>
          <w:b/>
          <w:bCs/>
        </w:rPr>
        <w:t>$</w:t>
      </w:r>
      <w:r w:rsidR="001F5C85" w:rsidRPr="001F5C85">
        <w:rPr>
          <w:rFonts w:ascii="Franklin Gothic Book" w:hAnsi="Franklin Gothic Book"/>
          <w:b/>
          <w:bCs/>
        </w:rPr>
        <w:t>redacted</w:t>
      </w:r>
      <w:r w:rsidR="001F5C85" w:rsidRPr="001F5C85">
        <w:rPr>
          <w:rFonts w:ascii="Franklin Gothic Book" w:hAnsi="Franklin Gothic Book"/>
        </w:rPr>
        <w:t xml:space="preserve"> </w:t>
      </w:r>
      <w:r w:rsidRPr="001F5C85">
        <w:rPr>
          <w:rFonts w:ascii="Franklin Gothic Book" w:hAnsi="Franklin Gothic Book"/>
        </w:rPr>
        <w:t>to the Australian Government</w:t>
      </w:r>
    </w:p>
    <w:p w14:paraId="6A3725BE" w14:textId="12328825" w:rsidR="00577A87" w:rsidRPr="001F5C85" w:rsidRDefault="00577A87" w:rsidP="00E3012F">
      <w:pPr>
        <w:pStyle w:val="Bullet"/>
        <w:numPr>
          <w:ilvl w:val="0"/>
          <w:numId w:val="24"/>
        </w:numPr>
        <w:spacing w:before="0"/>
        <w:ind w:left="720"/>
        <w:rPr>
          <w:rFonts w:ascii="Franklin Gothic Book" w:hAnsi="Franklin Gothic Book"/>
        </w:rPr>
      </w:pPr>
      <w:r w:rsidRPr="001F5C85">
        <w:rPr>
          <w:rFonts w:ascii="Franklin Gothic Book" w:hAnsi="Franklin Gothic Book"/>
        </w:rPr>
        <w:t xml:space="preserve">in year 6, the financial impact would increase to </w:t>
      </w:r>
      <w:r w:rsidRPr="001E0E68">
        <w:rPr>
          <w:rFonts w:ascii="Franklin Gothic Book" w:hAnsi="Franklin Gothic Book"/>
          <w:b/>
          <w:bCs/>
        </w:rPr>
        <w:t>$</w:t>
      </w:r>
      <w:r w:rsidR="001F5C85" w:rsidRPr="001F5C85">
        <w:rPr>
          <w:rFonts w:ascii="Franklin Gothic Book" w:hAnsi="Franklin Gothic Book"/>
          <w:b/>
          <w:bCs/>
        </w:rPr>
        <w:t>redacted</w:t>
      </w:r>
      <w:r w:rsidR="001F5C85" w:rsidRPr="001F5C85">
        <w:rPr>
          <w:rFonts w:ascii="Franklin Gothic Book" w:hAnsi="Franklin Gothic Book"/>
        </w:rPr>
        <w:t xml:space="preserve"> </w:t>
      </w:r>
      <w:r w:rsidRPr="001F5C85">
        <w:rPr>
          <w:rFonts w:ascii="Franklin Gothic Book" w:hAnsi="Franklin Gothic Book"/>
        </w:rPr>
        <w:t xml:space="preserve">to the </w:t>
      </w:r>
      <w:r w:rsidR="00394CC8" w:rsidRPr="001F5C85">
        <w:rPr>
          <w:rFonts w:ascii="Franklin Gothic Book" w:hAnsi="Franklin Gothic Book"/>
        </w:rPr>
        <w:t>National Blood Agreement</w:t>
      </w:r>
      <w:r w:rsidRPr="001F5C85">
        <w:rPr>
          <w:rFonts w:ascii="Franklin Gothic Book" w:hAnsi="Franklin Gothic Book"/>
        </w:rPr>
        <w:t xml:space="preserve">, </w:t>
      </w:r>
      <w:r w:rsidR="0056227D" w:rsidRPr="001F5C85">
        <w:rPr>
          <w:rFonts w:ascii="Franklin Gothic Book" w:hAnsi="Franklin Gothic Book"/>
        </w:rPr>
        <w:t xml:space="preserve">comprising </w:t>
      </w:r>
      <w:r w:rsidRPr="001E0E68">
        <w:rPr>
          <w:rFonts w:ascii="Franklin Gothic Book" w:hAnsi="Franklin Gothic Book"/>
          <w:b/>
          <w:bCs/>
        </w:rPr>
        <w:t>$</w:t>
      </w:r>
      <w:r w:rsidR="001F5C85" w:rsidRPr="001F5C85">
        <w:rPr>
          <w:rFonts w:ascii="Franklin Gothic Book" w:hAnsi="Franklin Gothic Book"/>
          <w:b/>
          <w:bCs/>
        </w:rPr>
        <w:t>redacted</w:t>
      </w:r>
      <w:r w:rsidR="001F5C85" w:rsidRPr="001F5C85">
        <w:rPr>
          <w:rFonts w:ascii="Franklin Gothic Book" w:hAnsi="Franklin Gothic Book"/>
        </w:rPr>
        <w:t xml:space="preserve"> </w:t>
      </w:r>
      <w:r w:rsidRPr="001F5C85">
        <w:rPr>
          <w:rFonts w:ascii="Franklin Gothic Book" w:hAnsi="Franklin Gothic Book"/>
        </w:rPr>
        <w:t xml:space="preserve">to states and territories and </w:t>
      </w:r>
      <w:r w:rsidRPr="001E0E68">
        <w:rPr>
          <w:rFonts w:ascii="Franklin Gothic Book" w:hAnsi="Franklin Gothic Book"/>
          <w:b/>
          <w:bCs/>
        </w:rPr>
        <w:t>$</w:t>
      </w:r>
      <w:r w:rsidR="001F5C85" w:rsidRPr="001F5C85">
        <w:rPr>
          <w:rFonts w:ascii="Franklin Gothic Book" w:hAnsi="Franklin Gothic Book"/>
          <w:b/>
          <w:bCs/>
        </w:rPr>
        <w:t>redacted</w:t>
      </w:r>
      <w:r w:rsidR="001F5C85" w:rsidRPr="001F5C85">
        <w:rPr>
          <w:rFonts w:ascii="Franklin Gothic Book" w:hAnsi="Franklin Gothic Book"/>
        </w:rPr>
        <w:t xml:space="preserve"> </w:t>
      </w:r>
      <w:r w:rsidRPr="001F5C85">
        <w:rPr>
          <w:rFonts w:ascii="Franklin Gothic Book" w:hAnsi="Franklin Gothic Book"/>
        </w:rPr>
        <w:t>to the Australian Government.</w:t>
      </w:r>
    </w:p>
    <w:p w14:paraId="42064FB4" w14:textId="066C98B5" w:rsidR="00F238B9" w:rsidRDefault="00F238B9" w:rsidP="00E3012F">
      <w:pPr>
        <w:spacing w:line="240" w:lineRule="auto"/>
      </w:pPr>
      <w:r>
        <w:t>MSAC noted that the ADAR</w:t>
      </w:r>
      <w:r w:rsidR="0022580A">
        <w:t>’s financial impact</w:t>
      </w:r>
      <w:r>
        <w:t xml:space="preserve"> did not include some healthcare</w:t>
      </w:r>
      <w:r w:rsidR="0022580A">
        <w:t xml:space="preserve"> resource</w:t>
      </w:r>
      <w:r>
        <w:t xml:space="preserve"> </w:t>
      </w:r>
      <w:r w:rsidR="0022580A">
        <w:t>costs</w:t>
      </w:r>
      <w:r>
        <w:t xml:space="preserve"> </w:t>
      </w:r>
      <w:r w:rsidR="0022580A">
        <w:t>including</w:t>
      </w:r>
      <w:r>
        <w:t xml:space="preserve"> multidisciplinary team </w:t>
      </w:r>
      <w:r w:rsidR="0022580A">
        <w:t xml:space="preserve">care and </w:t>
      </w:r>
      <w:r>
        <w:t>counselling</w:t>
      </w:r>
      <w:r w:rsidR="0022580A">
        <w:t>/psychosocial support as outlined in AHCDO’s roadmap for the implementation of gene therapy. While MSAC noted that these services are needed, MSAC considered that costs of these services are unlikely to have a significant impact on the total financial impact.</w:t>
      </w:r>
    </w:p>
    <w:p w14:paraId="6F34A560" w14:textId="547D9CF8" w:rsidR="00A54BAC" w:rsidRPr="00577A87" w:rsidRDefault="00A54BAC" w:rsidP="00E3012F">
      <w:pPr>
        <w:spacing w:line="240" w:lineRule="auto"/>
      </w:pPr>
      <w:r>
        <w:t xml:space="preserve">MSAC noted that the uptake of </w:t>
      </w:r>
      <w:r w:rsidR="004628C0">
        <w:t xml:space="preserve">ED </w:t>
      </w:r>
      <w:r w:rsidR="00501B85">
        <w:t>in international jurisdictions</w:t>
      </w:r>
      <w:r w:rsidR="004628C0">
        <w:t xml:space="preserve"> </w:t>
      </w:r>
      <w:r w:rsidR="00C80728">
        <w:t>has been very low</w:t>
      </w:r>
      <w:r w:rsidR="003B1A5A">
        <w:t xml:space="preserve">, </w:t>
      </w:r>
      <w:r w:rsidR="00275C67">
        <w:t xml:space="preserve">attributed to </w:t>
      </w:r>
      <w:r w:rsidR="005A4E5C" w:rsidRPr="005A4E5C">
        <w:t>system</w:t>
      </w:r>
      <w:r w:rsidR="00275C67">
        <w:t>-level</w:t>
      </w:r>
      <w:r w:rsidR="005A4E5C" w:rsidRPr="005A4E5C">
        <w:t xml:space="preserve"> barriers, RSA monitoring requirements, the availability of </w:t>
      </w:r>
      <w:r w:rsidR="00E70E59">
        <w:t xml:space="preserve">current </w:t>
      </w:r>
      <w:r w:rsidR="005A4E5C" w:rsidRPr="005A4E5C">
        <w:t>effective therapy with FIX</w:t>
      </w:r>
      <w:r w:rsidR="00E70E59">
        <w:t>, and patient concern with the ‘one and done’ nature of gene therapy that precludes further treatment lifelong</w:t>
      </w:r>
      <w:r w:rsidR="005A4E5C">
        <w:t>.</w:t>
      </w:r>
      <w:r w:rsidR="009C7DF9">
        <w:t xml:space="preserve"> </w:t>
      </w:r>
      <w:r w:rsidR="00EC0A9D">
        <w:t xml:space="preserve">MSAC </w:t>
      </w:r>
      <w:r w:rsidR="000341A3">
        <w:t xml:space="preserve">further </w:t>
      </w:r>
      <w:r w:rsidR="00EC0A9D">
        <w:t>noted</w:t>
      </w:r>
      <w:r w:rsidR="000341A3">
        <w:t xml:space="preserve"> that</w:t>
      </w:r>
      <w:r w:rsidR="00EC0A9D">
        <w:t xml:space="preserve"> the </w:t>
      </w:r>
      <w:r w:rsidR="00501B85">
        <w:t xml:space="preserve">ADAR </w:t>
      </w:r>
      <w:r w:rsidR="00EC0A9D">
        <w:t xml:space="preserve">estimated uptake of ED </w:t>
      </w:r>
      <w:r w:rsidR="00501B85">
        <w:t>in Australia to be</w:t>
      </w:r>
      <w:r w:rsidR="00EC0A9D">
        <w:t xml:space="preserve"> </w:t>
      </w:r>
      <w:r w:rsidR="0050771B" w:rsidRPr="008C2E4F">
        <w:t xml:space="preserve">approximately </w:t>
      </w:r>
      <w:r w:rsidR="00D60C8E" w:rsidRPr="00D84B66">
        <w:rPr>
          <w:b/>
          <w:bCs/>
        </w:rPr>
        <w:t>redacted</w:t>
      </w:r>
      <w:r w:rsidR="0050771B" w:rsidRPr="008C2E4F">
        <w:t xml:space="preserve"> patients</w:t>
      </w:r>
      <w:r w:rsidR="0050771B">
        <w:t xml:space="preserve"> per year</w:t>
      </w:r>
      <w:r w:rsidR="00E70E59">
        <w:t>, but with potential to escalate over time.</w:t>
      </w:r>
    </w:p>
    <w:p w14:paraId="2214069B" w14:textId="2172D38E" w:rsidR="00207C66" w:rsidRPr="00234A8F" w:rsidRDefault="00577A87" w:rsidP="00234A8F">
      <w:pPr>
        <w:spacing w:line="240" w:lineRule="auto"/>
        <w:rPr>
          <w:strike/>
        </w:rPr>
      </w:pPr>
      <w:r w:rsidRPr="00577A87">
        <w:t xml:space="preserve">Overall, MSAC considered that the </w:t>
      </w:r>
      <w:r w:rsidR="00647FF7">
        <w:t xml:space="preserve">available </w:t>
      </w:r>
      <w:r w:rsidR="00D969A7">
        <w:t xml:space="preserve">clinical </w:t>
      </w:r>
      <w:r w:rsidRPr="00577A87">
        <w:t xml:space="preserve">data </w:t>
      </w:r>
      <w:r w:rsidR="003B1EEA">
        <w:t xml:space="preserve">support the </w:t>
      </w:r>
      <w:r w:rsidR="00647FF7">
        <w:t xml:space="preserve">safety and </w:t>
      </w:r>
      <w:r w:rsidR="003B1EEA">
        <w:t>effectiveness of ED</w:t>
      </w:r>
      <w:r w:rsidR="00647FF7">
        <w:t xml:space="preserve"> in the short term</w:t>
      </w:r>
      <w:r w:rsidR="003B1EEA">
        <w:t>, with many patients experiencing mea</w:t>
      </w:r>
      <w:r w:rsidR="00691090">
        <w:t>ningful improvements</w:t>
      </w:r>
      <w:r w:rsidR="003141DD">
        <w:t xml:space="preserve"> during this time.</w:t>
      </w:r>
      <w:r w:rsidR="00691090">
        <w:t xml:space="preserve"> </w:t>
      </w:r>
      <w:r w:rsidR="00691090">
        <w:lastRenderedPageBreak/>
        <w:t xml:space="preserve">MSAC </w:t>
      </w:r>
      <w:r w:rsidR="00647FF7">
        <w:t>noted</w:t>
      </w:r>
      <w:r w:rsidRPr="00577A87">
        <w:t xml:space="preserve"> that </w:t>
      </w:r>
      <w:r w:rsidR="00691090">
        <w:t xml:space="preserve">there remains uncertainty regarding the magnitude </w:t>
      </w:r>
      <w:r w:rsidR="00996BDE">
        <w:t xml:space="preserve">and durability </w:t>
      </w:r>
      <w:r w:rsidR="00691090">
        <w:t>of benefit over current</w:t>
      </w:r>
      <w:r w:rsidR="001427EA">
        <w:t xml:space="preserve"> therapy </w:t>
      </w:r>
      <w:r w:rsidR="00996BDE">
        <w:t>in the long term</w:t>
      </w:r>
      <w:r w:rsidR="003141DD">
        <w:t>.</w:t>
      </w:r>
      <w:r w:rsidR="006870E5">
        <w:t xml:space="preserve"> </w:t>
      </w:r>
      <w:r w:rsidR="002512C0">
        <w:t xml:space="preserve">Thus, </w:t>
      </w:r>
      <w:r w:rsidR="008D50B2">
        <w:t xml:space="preserve">MSAC </w:t>
      </w:r>
      <w:r w:rsidR="004978FF" w:rsidRPr="33C498C8">
        <w:rPr>
          <w:rFonts w:eastAsia="Franklin Gothic Book"/>
        </w:rPr>
        <w:t>support</w:t>
      </w:r>
      <w:r w:rsidR="004978FF">
        <w:rPr>
          <w:rFonts w:eastAsia="Franklin Gothic Book"/>
        </w:rPr>
        <w:t>ed</w:t>
      </w:r>
      <w:r w:rsidR="004978FF" w:rsidRPr="33C498C8">
        <w:rPr>
          <w:rFonts w:eastAsia="Franklin Gothic Book"/>
        </w:rPr>
        <w:t xml:space="preserve"> public funding</w:t>
      </w:r>
      <w:r w:rsidR="004978FF">
        <w:rPr>
          <w:rFonts w:eastAsia="Franklin Gothic Book"/>
        </w:rPr>
        <w:t xml:space="preserve"> of ED</w:t>
      </w:r>
      <w:r w:rsidR="004978FF">
        <w:t xml:space="preserve"> provided </w:t>
      </w:r>
      <w:r w:rsidR="003141DD">
        <w:t xml:space="preserve">a price reduction of ED to </w:t>
      </w:r>
      <w:r w:rsidR="003141DD" w:rsidRPr="0085386E">
        <w:t>$</w:t>
      </w:r>
      <w:r w:rsidR="00AA2C28" w:rsidRPr="00D84B66">
        <w:rPr>
          <w:b/>
          <w:bCs/>
        </w:rPr>
        <w:t>redacted</w:t>
      </w:r>
      <w:r w:rsidR="00AA2C28" w:rsidRPr="00D84B66">
        <w:t xml:space="preserve"> </w:t>
      </w:r>
      <w:r w:rsidR="003141DD">
        <w:t>per patient</w:t>
      </w:r>
      <w:r w:rsidR="004978FF">
        <w:t xml:space="preserve"> </w:t>
      </w:r>
      <w:r w:rsidR="003141DD">
        <w:t xml:space="preserve">in conjunction with a comprehensive RSA </w:t>
      </w:r>
      <w:r w:rsidR="00335C7C">
        <w:t xml:space="preserve">contingent on the </w:t>
      </w:r>
      <w:r w:rsidR="00A26F20">
        <w:t xml:space="preserve">specified </w:t>
      </w:r>
      <w:r w:rsidR="00335C7C">
        <w:t>requirements</w:t>
      </w:r>
      <w:r w:rsidR="00A26F20">
        <w:t xml:space="preserve"> outlined in </w:t>
      </w:r>
      <w:r w:rsidR="00864139">
        <w:fldChar w:fldCharType="begin"/>
      </w:r>
      <w:r w:rsidR="00864139">
        <w:instrText xml:space="preserve"> REF _Ref207984276 \h </w:instrText>
      </w:r>
      <w:r w:rsidR="00864139">
        <w:fldChar w:fldCharType="separate"/>
      </w:r>
      <w:r w:rsidR="00864139">
        <w:t xml:space="preserve">Table </w:t>
      </w:r>
      <w:r w:rsidR="00864139">
        <w:rPr>
          <w:noProof/>
        </w:rPr>
        <w:t>1</w:t>
      </w:r>
      <w:r w:rsidR="00864139">
        <w:fldChar w:fldCharType="end"/>
      </w:r>
      <w:r w:rsidR="00667AEC">
        <w:t>.</w:t>
      </w:r>
    </w:p>
    <w:p w14:paraId="2BC7E5A2" w14:textId="6CA1549E" w:rsidR="00207C66" w:rsidRPr="00CE28E3" w:rsidRDefault="00881FC0" w:rsidP="00881FC0">
      <w:pPr>
        <w:pStyle w:val="Caption"/>
      </w:pPr>
      <w:bookmarkStart w:id="5" w:name="_Ref207984276"/>
      <w:r>
        <w:t xml:space="preserve">Table </w:t>
      </w:r>
      <w:r w:rsidR="00245CF3">
        <w:fldChar w:fldCharType="begin"/>
      </w:r>
      <w:r w:rsidR="00245CF3">
        <w:instrText xml:space="preserve"> SEQ Table \* ARABIC </w:instrText>
      </w:r>
      <w:r w:rsidR="00245CF3">
        <w:fldChar w:fldCharType="separate"/>
      </w:r>
      <w:r w:rsidR="00245CF3">
        <w:rPr>
          <w:noProof/>
        </w:rPr>
        <w:t>1</w:t>
      </w:r>
      <w:r w:rsidR="00245CF3">
        <w:rPr>
          <w:noProof/>
        </w:rPr>
        <w:fldChar w:fldCharType="end"/>
      </w:r>
      <w:bookmarkEnd w:id="5"/>
      <w:r w:rsidR="00207C66" w:rsidRPr="00CE28E3">
        <w:tab/>
      </w:r>
      <w:r w:rsidR="00207C66">
        <w:t>ED risk-share proposal</w:t>
      </w:r>
      <w:r w:rsidR="00FD7F13">
        <w:t xml:space="preserve"> </w:t>
      </w:r>
      <w:r w:rsidR="007906A0">
        <w:t>as per</w:t>
      </w:r>
      <w:r w:rsidR="00873677">
        <w:t xml:space="preserve"> MSAC</w:t>
      </w:r>
      <w:r w:rsidR="007906A0">
        <w:t xml:space="preserve"> advice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emgenix risk-share proposal (ADAR 1728.1)"/>
        <w:tblDescription w:val="This table summarises the risk-share proposal outlined in ADAR 1728.1. It includes a brief description of the price, payment terms, contract type, warranty, outcomes-based agreement details, initial response guarantee, long-term durability guarantee, return to prophylaxis criteria, action at failure, and contract review provisions."/>
      </w:tblPr>
      <w:tblGrid>
        <w:gridCol w:w="1837"/>
        <w:gridCol w:w="7179"/>
      </w:tblGrid>
      <w:tr w:rsidR="00207C66" w:rsidRPr="00195185" w14:paraId="2F9DF08E" w14:textId="77777777" w:rsidTr="003310F7">
        <w:trPr>
          <w:cantSplit/>
          <w:tblHeader/>
        </w:trPr>
        <w:tc>
          <w:tcPr>
            <w:tcW w:w="1019" w:type="pct"/>
          </w:tcPr>
          <w:p w14:paraId="2EC1372B" w14:textId="77777777" w:rsidR="00207C66" w:rsidRPr="00195185" w:rsidRDefault="00207C66" w:rsidP="003310F7">
            <w:pPr>
              <w:pStyle w:val="In-tableHeading"/>
            </w:pPr>
            <w:r w:rsidRPr="00195185">
              <w:t>Proposal elements</w:t>
            </w:r>
          </w:p>
        </w:tc>
        <w:tc>
          <w:tcPr>
            <w:tcW w:w="3981" w:type="pct"/>
          </w:tcPr>
          <w:p w14:paraId="456E32C1" w14:textId="77777777" w:rsidR="00207C66" w:rsidRPr="00195185" w:rsidRDefault="00207C66" w:rsidP="003310F7">
            <w:pPr>
              <w:pStyle w:val="In-tableHeading"/>
            </w:pPr>
            <w:r w:rsidRPr="00195185">
              <w:t>Description</w:t>
            </w:r>
          </w:p>
        </w:tc>
      </w:tr>
      <w:tr w:rsidR="00207C66" w:rsidRPr="00195185" w14:paraId="78380CFC" w14:textId="77777777" w:rsidTr="003310F7">
        <w:trPr>
          <w:cantSplit/>
        </w:trPr>
        <w:tc>
          <w:tcPr>
            <w:tcW w:w="1019" w:type="pct"/>
          </w:tcPr>
          <w:p w14:paraId="59223447" w14:textId="77777777" w:rsidR="00207C66" w:rsidRPr="00526191" w:rsidRDefault="00207C66" w:rsidP="003310F7">
            <w:pPr>
              <w:pStyle w:val="TableText"/>
            </w:pPr>
            <w:r w:rsidRPr="00526191">
              <w:t>Net price</w:t>
            </w:r>
          </w:p>
        </w:tc>
        <w:tc>
          <w:tcPr>
            <w:tcW w:w="3981" w:type="pct"/>
          </w:tcPr>
          <w:p w14:paraId="103C6695" w14:textId="4D2AA163" w:rsidR="00207C66" w:rsidRPr="00526191" w:rsidRDefault="0040712E" w:rsidP="003310F7">
            <w:pPr>
              <w:pStyle w:val="TableText"/>
              <w:rPr>
                <w:rFonts w:eastAsia="Times New Roman" w:cs="Arial"/>
                <w:snapToGrid w:val="0"/>
                <w:szCs w:val="20"/>
              </w:rPr>
            </w:pPr>
            <w:r w:rsidRPr="00526191">
              <w:rPr>
                <w:rFonts w:eastAsia="Times New Roman" w:cs="Arial"/>
                <w:snapToGrid w:val="0"/>
                <w:szCs w:val="20"/>
              </w:rPr>
              <w:t>$</w:t>
            </w:r>
            <w:r w:rsidR="007651E0" w:rsidRPr="00526191">
              <w:rPr>
                <w:rFonts w:eastAsia="Times New Roman" w:cs="Arial"/>
                <w:b/>
                <w:bCs/>
                <w:snapToGrid w:val="0"/>
                <w:szCs w:val="20"/>
              </w:rPr>
              <w:t>redacted</w:t>
            </w:r>
            <w:r w:rsidRPr="00526191">
              <w:rPr>
                <w:rFonts w:eastAsia="Times New Roman" w:cs="Arial"/>
                <w:snapToGrid w:val="0"/>
                <w:szCs w:val="20"/>
              </w:rPr>
              <w:t xml:space="preserve"> </w:t>
            </w:r>
            <w:r w:rsidR="00207C66" w:rsidRPr="00526191">
              <w:rPr>
                <w:rFonts w:eastAsia="Times New Roman" w:cs="Arial"/>
                <w:snapToGrid w:val="0"/>
                <w:szCs w:val="20"/>
              </w:rPr>
              <w:t>per ED infusion</w:t>
            </w:r>
          </w:p>
        </w:tc>
      </w:tr>
      <w:tr w:rsidR="00207C66" w:rsidRPr="00195185" w14:paraId="53B4F9B2" w14:textId="77777777" w:rsidTr="003310F7">
        <w:trPr>
          <w:cantSplit/>
        </w:trPr>
        <w:tc>
          <w:tcPr>
            <w:tcW w:w="1019" w:type="pct"/>
          </w:tcPr>
          <w:p w14:paraId="19571BDB" w14:textId="77777777" w:rsidR="00207C66" w:rsidRPr="00526191" w:rsidRDefault="00207C66" w:rsidP="003310F7">
            <w:pPr>
              <w:pStyle w:val="TableText"/>
            </w:pPr>
            <w:r w:rsidRPr="00526191">
              <w:t>Payment terms</w:t>
            </w:r>
          </w:p>
        </w:tc>
        <w:tc>
          <w:tcPr>
            <w:tcW w:w="3981" w:type="pct"/>
          </w:tcPr>
          <w:p w14:paraId="3DD46139" w14:textId="77777777" w:rsidR="00207C66" w:rsidRPr="00526191" w:rsidRDefault="00207C66" w:rsidP="003310F7">
            <w:pPr>
              <w:pStyle w:val="TableText"/>
              <w:rPr>
                <w:rFonts w:eastAsia="Times New Roman" w:cs="Arial"/>
                <w:snapToGrid w:val="0"/>
                <w:szCs w:val="20"/>
              </w:rPr>
            </w:pPr>
            <w:r w:rsidRPr="00526191">
              <w:rPr>
                <w:rFonts w:eastAsia="Times New Roman" w:cs="Arial"/>
                <w:snapToGrid w:val="0"/>
                <w:szCs w:val="20"/>
              </w:rPr>
              <w:t>Annual payments over 10 years (with outcomes-based conditions)</w:t>
            </w:r>
          </w:p>
          <w:p w14:paraId="17A2982F" w14:textId="5C201416" w:rsidR="00207C66" w:rsidRPr="00526191" w:rsidRDefault="00207C66" w:rsidP="003310F7">
            <w:pPr>
              <w:pStyle w:val="TableText"/>
              <w:rPr>
                <w:rFonts w:eastAsia="Times New Roman" w:cs="Arial"/>
                <w:snapToGrid w:val="0"/>
                <w:szCs w:val="20"/>
              </w:rPr>
            </w:pPr>
            <w:r w:rsidRPr="00526191">
              <w:rPr>
                <w:rFonts w:eastAsia="Times New Roman" w:cs="Arial"/>
                <w:snapToGrid w:val="0"/>
                <w:szCs w:val="20"/>
              </w:rPr>
              <w:t>Each payment is 10% of ED price ($</w:t>
            </w:r>
            <w:r w:rsidR="007651E0" w:rsidRPr="00526191">
              <w:rPr>
                <w:rFonts w:eastAsia="Times New Roman" w:cs="Arial"/>
                <w:b/>
                <w:bCs/>
                <w:snapToGrid w:val="0"/>
                <w:szCs w:val="20"/>
              </w:rPr>
              <w:t>redacted</w:t>
            </w:r>
            <w:r w:rsidRPr="00526191">
              <w:rPr>
                <w:rFonts w:eastAsia="Times New Roman" w:cs="Arial"/>
                <w:snapToGrid w:val="0"/>
                <w:szCs w:val="20"/>
              </w:rPr>
              <w:t xml:space="preserve"> per year)</w:t>
            </w:r>
          </w:p>
        </w:tc>
      </w:tr>
      <w:tr w:rsidR="00207C66" w:rsidRPr="00195185" w14:paraId="36105CDF" w14:textId="77777777" w:rsidTr="003310F7">
        <w:trPr>
          <w:cantSplit/>
        </w:trPr>
        <w:tc>
          <w:tcPr>
            <w:tcW w:w="1019" w:type="pct"/>
          </w:tcPr>
          <w:p w14:paraId="60DC0B76" w14:textId="77777777" w:rsidR="00207C66" w:rsidRPr="00526191" w:rsidRDefault="00207C66" w:rsidP="003310F7">
            <w:pPr>
              <w:pStyle w:val="TableText"/>
            </w:pPr>
            <w:r w:rsidRPr="00526191">
              <w:t>Contract type</w:t>
            </w:r>
          </w:p>
        </w:tc>
        <w:tc>
          <w:tcPr>
            <w:tcW w:w="3981" w:type="pct"/>
          </w:tcPr>
          <w:p w14:paraId="74B099FC" w14:textId="0772BE27" w:rsidR="00207C66" w:rsidRPr="00526191" w:rsidRDefault="00207C66" w:rsidP="003310F7">
            <w:pPr>
              <w:pStyle w:val="TableText"/>
              <w:rPr>
                <w:rFonts w:eastAsia="Times New Roman" w:cs="Arial"/>
                <w:snapToGrid w:val="0"/>
                <w:szCs w:val="20"/>
              </w:rPr>
            </w:pPr>
            <w:r w:rsidRPr="00526191">
              <w:rPr>
                <w:rFonts w:eastAsia="Times New Roman" w:cs="Arial"/>
                <w:snapToGrid w:val="0"/>
                <w:szCs w:val="20"/>
              </w:rPr>
              <w:t>Long-term supply contract over 10 years with provision for price/contract review</w:t>
            </w:r>
          </w:p>
        </w:tc>
      </w:tr>
      <w:tr w:rsidR="00207C66" w:rsidRPr="00195185" w14:paraId="62070648" w14:textId="77777777" w:rsidTr="003310F7">
        <w:trPr>
          <w:cantSplit/>
        </w:trPr>
        <w:tc>
          <w:tcPr>
            <w:tcW w:w="1019" w:type="pct"/>
          </w:tcPr>
          <w:p w14:paraId="2CC7A876" w14:textId="77777777" w:rsidR="00207C66" w:rsidRPr="00526191" w:rsidRDefault="00207C66" w:rsidP="003310F7">
            <w:pPr>
              <w:pStyle w:val="TableText"/>
            </w:pPr>
            <w:r w:rsidRPr="00526191">
              <w:t>Warranty</w:t>
            </w:r>
          </w:p>
        </w:tc>
        <w:tc>
          <w:tcPr>
            <w:tcW w:w="3981" w:type="pct"/>
          </w:tcPr>
          <w:p w14:paraId="02967B5B" w14:textId="77777777" w:rsidR="00207C66" w:rsidRPr="00526191" w:rsidRDefault="00207C66" w:rsidP="003310F7">
            <w:pPr>
              <w:pStyle w:val="TableText"/>
              <w:rPr>
                <w:rFonts w:eastAsia="Times New Roman" w:cs="Arial"/>
                <w:snapToGrid w:val="0"/>
                <w:szCs w:val="20"/>
              </w:rPr>
            </w:pPr>
            <w:r w:rsidRPr="00526191">
              <w:rPr>
                <w:rFonts w:eastAsia="Times New Roman" w:cs="Arial"/>
                <w:snapToGrid w:val="0"/>
                <w:szCs w:val="20"/>
              </w:rPr>
              <w:t>10 year ‘warranty’ linked to annual payments predicated on continued individual patient response</w:t>
            </w:r>
          </w:p>
        </w:tc>
      </w:tr>
      <w:tr w:rsidR="00DB0ABE" w:rsidRPr="00195185" w14:paraId="2753A341" w14:textId="77777777" w:rsidTr="003310F7">
        <w:trPr>
          <w:cantSplit/>
        </w:trPr>
        <w:tc>
          <w:tcPr>
            <w:tcW w:w="1019" w:type="pct"/>
          </w:tcPr>
          <w:p w14:paraId="6A8DDAD4" w14:textId="7235D3DE" w:rsidR="00DB0ABE" w:rsidRPr="000A0B14" w:rsidRDefault="00DB0ABE" w:rsidP="003310F7">
            <w:pPr>
              <w:pStyle w:val="TableText"/>
            </w:pPr>
            <w:r w:rsidRPr="000A0B14">
              <w:t>Eligible population</w:t>
            </w:r>
          </w:p>
        </w:tc>
        <w:tc>
          <w:tcPr>
            <w:tcW w:w="3981" w:type="pct"/>
          </w:tcPr>
          <w:p w14:paraId="656894D1" w14:textId="77777777" w:rsidR="00D63B5C" w:rsidRPr="000A0B14" w:rsidRDefault="00D63B5C" w:rsidP="00D63B5C">
            <w:pPr>
              <w:pStyle w:val="TableText"/>
              <w:rPr>
                <w:rFonts w:eastAsia="Times New Roman" w:cs="Arial"/>
                <w:snapToGrid w:val="0"/>
                <w:szCs w:val="20"/>
              </w:rPr>
            </w:pPr>
            <w:r w:rsidRPr="000A0B14">
              <w:rPr>
                <w:rFonts w:eastAsia="Times New Roman" w:cs="Arial"/>
                <w:snapToGrid w:val="0"/>
                <w:szCs w:val="20"/>
              </w:rPr>
              <w:t>Adult patients (≥18 years) with severe or moderately severe (FIX activity ≤2% of normal) congenital haemophilia B (</w:t>
            </w:r>
            <w:proofErr w:type="spellStart"/>
            <w:r w:rsidRPr="000A0B14">
              <w:rPr>
                <w:rFonts w:eastAsia="Times New Roman" w:cs="Arial"/>
                <w:snapToGrid w:val="0"/>
                <w:szCs w:val="20"/>
              </w:rPr>
              <w:t>cHMB</w:t>
            </w:r>
            <w:proofErr w:type="spellEnd"/>
            <w:r w:rsidRPr="000A0B14">
              <w:rPr>
                <w:rFonts w:eastAsia="Times New Roman" w:cs="Arial"/>
                <w:snapToGrid w:val="0"/>
                <w:szCs w:val="20"/>
              </w:rPr>
              <w:t>), currently receiving stable FIX prophylactic therapy, who also meet the following criteria:</w:t>
            </w:r>
          </w:p>
          <w:p w14:paraId="78220424" w14:textId="18054C0B" w:rsidR="00D63B5C" w:rsidRPr="000A0B14" w:rsidRDefault="00D63B5C" w:rsidP="000A5DF1">
            <w:pPr>
              <w:pStyle w:val="BulletBeforeDash"/>
              <w:rPr>
                <w:snapToGrid w:val="0"/>
              </w:rPr>
            </w:pPr>
            <w:r w:rsidRPr="000A0B14">
              <w:rPr>
                <w:rFonts w:ascii="Arial Narrow" w:hAnsi="Arial Narrow"/>
                <w:snapToGrid w:val="0"/>
                <w:sz w:val="20"/>
              </w:rPr>
              <w:t>no history of FIX inhibitors</w:t>
            </w:r>
          </w:p>
          <w:p w14:paraId="69F399A0" w14:textId="77777777" w:rsidR="00D32A82" w:rsidRPr="000A0B14" w:rsidRDefault="00D63B5C" w:rsidP="00D32A82">
            <w:pPr>
              <w:pStyle w:val="BulletBeforeDash"/>
              <w:rPr>
                <w:snapToGrid w:val="0"/>
              </w:rPr>
            </w:pPr>
            <w:r w:rsidRPr="000A0B14">
              <w:rPr>
                <w:rFonts w:ascii="Arial Narrow" w:hAnsi="Arial Narrow"/>
                <w:snapToGrid w:val="0"/>
                <w:sz w:val="20"/>
              </w:rPr>
              <w:t xml:space="preserve">AAV5 </w:t>
            </w:r>
            <w:proofErr w:type="spellStart"/>
            <w:r w:rsidRPr="000A0B14">
              <w:rPr>
                <w:rFonts w:ascii="Arial Narrow" w:hAnsi="Arial Narrow"/>
                <w:snapToGrid w:val="0"/>
                <w:sz w:val="20"/>
              </w:rPr>
              <w:t>NAb</w:t>
            </w:r>
            <w:proofErr w:type="spellEnd"/>
            <w:r w:rsidRPr="000A0B14">
              <w:rPr>
                <w:rFonts w:ascii="Arial Narrow" w:hAnsi="Arial Narrow"/>
                <w:snapToGrid w:val="0"/>
                <w:sz w:val="20"/>
              </w:rPr>
              <w:t xml:space="preserve"> titre &lt; 1:900 using 9-point assay as determined by AAV5 </w:t>
            </w:r>
            <w:proofErr w:type="spellStart"/>
            <w:r w:rsidRPr="000A0B14">
              <w:rPr>
                <w:rFonts w:ascii="Arial Narrow" w:hAnsi="Arial Narrow"/>
                <w:snapToGrid w:val="0"/>
                <w:sz w:val="20"/>
              </w:rPr>
              <w:t>NAb</w:t>
            </w:r>
            <w:proofErr w:type="spellEnd"/>
            <w:r w:rsidRPr="000A0B14">
              <w:rPr>
                <w:rFonts w:ascii="Arial Narrow" w:hAnsi="Arial Narrow"/>
                <w:snapToGrid w:val="0"/>
                <w:sz w:val="20"/>
              </w:rPr>
              <w:t xml:space="preserve"> assay (funded by CSL Behring (Australia) Pty Ltd)</w:t>
            </w:r>
          </w:p>
          <w:p w14:paraId="42B789AC" w14:textId="1B244D73" w:rsidR="006A3431" w:rsidRPr="000A0B14" w:rsidRDefault="00D63B5C" w:rsidP="00D32A82">
            <w:pPr>
              <w:pStyle w:val="BulletBeforeDash"/>
              <w:rPr>
                <w:snapToGrid w:val="0"/>
              </w:rPr>
            </w:pPr>
            <w:r w:rsidRPr="000A0B14">
              <w:rPr>
                <w:rFonts w:ascii="Arial Narrow" w:hAnsi="Arial Narrow"/>
                <w:snapToGrid w:val="0"/>
                <w:sz w:val="20"/>
              </w:rPr>
              <w:t>no active infections, either acute or uncontrolled chronic</w:t>
            </w:r>
          </w:p>
          <w:p w14:paraId="5F10ECA7" w14:textId="7E69FA62" w:rsidR="00DB0ABE" w:rsidRPr="000A0B14" w:rsidRDefault="00D63B5C" w:rsidP="000A5DF1">
            <w:pPr>
              <w:pStyle w:val="BulletBeforeDash"/>
              <w:rPr>
                <w:snapToGrid w:val="0"/>
              </w:rPr>
            </w:pPr>
            <w:r w:rsidRPr="000A0B14">
              <w:rPr>
                <w:rFonts w:ascii="Arial Narrow" w:hAnsi="Arial Narrow" w:cs="Arial"/>
                <w:snapToGrid w:val="0"/>
                <w:sz w:val="20"/>
              </w:rPr>
              <w:t>no known advanced hepatic fibrosis, or cirrhosis.</w:t>
            </w:r>
          </w:p>
        </w:tc>
      </w:tr>
      <w:tr w:rsidR="00207C66" w:rsidRPr="00195185" w14:paraId="49A358AB" w14:textId="77777777" w:rsidTr="003310F7">
        <w:trPr>
          <w:cantSplit/>
        </w:trPr>
        <w:tc>
          <w:tcPr>
            <w:tcW w:w="1019" w:type="pct"/>
          </w:tcPr>
          <w:p w14:paraId="4288E927" w14:textId="77777777" w:rsidR="00207C66" w:rsidRPr="00526191" w:rsidRDefault="00207C66" w:rsidP="003310F7">
            <w:pPr>
              <w:pStyle w:val="TableText"/>
            </w:pPr>
            <w:r w:rsidRPr="00526191">
              <w:t>Outcomes-based agreement details</w:t>
            </w:r>
          </w:p>
        </w:tc>
        <w:tc>
          <w:tcPr>
            <w:tcW w:w="3981" w:type="pct"/>
          </w:tcPr>
          <w:p w14:paraId="1965445A" w14:textId="071A9B5D" w:rsidR="00207C66" w:rsidRPr="00526191" w:rsidRDefault="00207C66" w:rsidP="003310F7">
            <w:pPr>
              <w:pStyle w:val="TableText"/>
              <w:rPr>
                <w:rFonts w:eastAsia="Times New Roman" w:cs="Arial"/>
                <w:snapToGrid w:val="0"/>
                <w:szCs w:val="20"/>
              </w:rPr>
            </w:pPr>
            <w:r w:rsidRPr="00526191">
              <w:rPr>
                <w:rFonts w:eastAsia="Times New Roman" w:cs="Arial"/>
                <w:snapToGrid w:val="0"/>
                <w:szCs w:val="20"/>
              </w:rPr>
              <w:t>First payment at Month 7 post-infusion (consistent with timepoint for achievement of stable FIX expression in the HOPE-B study)</w:t>
            </w:r>
            <w:r w:rsidR="004779BD" w:rsidRPr="00526191">
              <w:rPr>
                <w:rFonts w:eastAsia="Times New Roman" w:cs="Arial"/>
                <w:snapToGrid w:val="0"/>
                <w:szCs w:val="20"/>
              </w:rPr>
              <w:t xml:space="preserve"> </w:t>
            </w:r>
          </w:p>
          <w:p w14:paraId="5CFBF999" w14:textId="77777777" w:rsidR="00207C66" w:rsidRPr="00526191" w:rsidRDefault="00207C66" w:rsidP="003310F7">
            <w:pPr>
              <w:pStyle w:val="TableText"/>
              <w:rPr>
                <w:rFonts w:eastAsia="Times New Roman" w:cs="Arial"/>
                <w:snapToGrid w:val="0"/>
                <w:szCs w:val="20"/>
              </w:rPr>
            </w:pPr>
            <w:r w:rsidRPr="00526191">
              <w:rPr>
                <w:rFonts w:eastAsia="Times New Roman" w:cs="Arial"/>
                <w:snapToGrid w:val="0"/>
                <w:szCs w:val="20"/>
              </w:rPr>
              <w:t>Annual payment thereafter every 12 months unless patient has a documented treatment failure</w:t>
            </w:r>
          </w:p>
        </w:tc>
      </w:tr>
      <w:tr w:rsidR="001A0F66" w:rsidRPr="00195185" w14:paraId="0A8EF163" w14:textId="77777777" w:rsidTr="003310F7">
        <w:trPr>
          <w:cantSplit/>
        </w:trPr>
        <w:tc>
          <w:tcPr>
            <w:tcW w:w="1019" w:type="pct"/>
          </w:tcPr>
          <w:p w14:paraId="11BBDDD2" w14:textId="5311D57B" w:rsidR="001A0F66" w:rsidRPr="00526191" w:rsidRDefault="009D75C1" w:rsidP="003310F7">
            <w:pPr>
              <w:pStyle w:val="TableText"/>
            </w:pPr>
            <w:r w:rsidRPr="00526191">
              <w:t>Incomplete dosing</w:t>
            </w:r>
          </w:p>
        </w:tc>
        <w:tc>
          <w:tcPr>
            <w:tcW w:w="3981" w:type="pct"/>
          </w:tcPr>
          <w:p w14:paraId="6F3976C9" w14:textId="359EF1D2" w:rsidR="001A0F66" w:rsidRPr="00526191" w:rsidRDefault="009D75C1" w:rsidP="003310F7">
            <w:pPr>
              <w:pStyle w:val="TableText"/>
              <w:rPr>
                <w:rFonts w:eastAsia="Times New Roman" w:cs="Arial"/>
                <w:snapToGrid w:val="0"/>
                <w:szCs w:val="20"/>
              </w:rPr>
            </w:pPr>
            <w:r w:rsidRPr="00526191">
              <w:rPr>
                <w:rFonts w:eastAsia="Times New Roman" w:cs="Arial"/>
                <w:snapToGrid w:val="0"/>
                <w:szCs w:val="20"/>
              </w:rPr>
              <w:t>Patients with incomplete ED dose administration are not eligible for reimbursement</w:t>
            </w:r>
          </w:p>
        </w:tc>
      </w:tr>
      <w:tr w:rsidR="00207C66" w:rsidRPr="00195185" w14:paraId="3386A906" w14:textId="77777777" w:rsidTr="003310F7">
        <w:trPr>
          <w:cantSplit/>
        </w:trPr>
        <w:tc>
          <w:tcPr>
            <w:tcW w:w="1019" w:type="pct"/>
          </w:tcPr>
          <w:p w14:paraId="1A8D7C27" w14:textId="77777777" w:rsidR="00207C66" w:rsidRPr="00526191" w:rsidRDefault="00207C66" w:rsidP="003310F7">
            <w:pPr>
              <w:pStyle w:val="TableText"/>
            </w:pPr>
            <w:r w:rsidRPr="00526191">
              <w:t>Initial response guarantee</w:t>
            </w:r>
          </w:p>
        </w:tc>
        <w:tc>
          <w:tcPr>
            <w:tcW w:w="3981" w:type="pct"/>
          </w:tcPr>
          <w:p w14:paraId="40E0AA73" w14:textId="77777777" w:rsidR="00207C66" w:rsidRPr="00526191" w:rsidRDefault="00207C66" w:rsidP="003310F7">
            <w:pPr>
              <w:pStyle w:val="TableText"/>
              <w:rPr>
                <w:rFonts w:eastAsia="Times New Roman" w:cs="Arial"/>
                <w:b/>
                <w:bCs/>
                <w:snapToGrid w:val="0"/>
                <w:szCs w:val="20"/>
              </w:rPr>
            </w:pPr>
            <w:r w:rsidRPr="00526191">
              <w:rPr>
                <w:rFonts w:eastAsia="Times New Roman" w:cs="Arial"/>
                <w:b/>
                <w:bCs/>
                <w:snapToGrid w:val="0"/>
                <w:szCs w:val="20"/>
              </w:rPr>
              <w:t>Initial response failure criteria:</w:t>
            </w:r>
          </w:p>
          <w:p w14:paraId="05DABCB9" w14:textId="616A5303" w:rsidR="00207C66" w:rsidRPr="00526191" w:rsidRDefault="00207C66" w:rsidP="000A5DF1">
            <w:pPr>
              <w:pStyle w:val="TableText"/>
              <w:numPr>
                <w:ilvl w:val="0"/>
                <w:numId w:val="12"/>
              </w:numPr>
              <w:ind w:left="458" w:hanging="283"/>
              <w:rPr>
                <w:rFonts w:eastAsia="Times New Roman" w:cs="Arial"/>
                <w:snapToGrid w:val="0"/>
                <w:szCs w:val="20"/>
              </w:rPr>
            </w:pPr>
            <w:r w:rsidRPr="00526191">
              <w:rPr>
                <w:rFonts w:eastAsia="Times New Roman" w:cs="Arial"/>
                <w:snapToGrid w:val="0"/>
              </w:rPr>
              <w:t>patient remained on continuous FIX prophylaxis or returned to continuous FIX prophylaxis for 6 months after ED infusion.</w:t>
            </w:r>
          </w:p>
        </w:tc>
      </w:tr>
      <w:tr w:rsidR="00207C66" w:rsidRPr="00195185" w14:paraId="0A38CE1D" w14:textId="77777777" w:rsidTr="003310F7">
        <w:trPr>
          <w:cantSplit/>
        </w:trPr>
        <w:tc>
          <w:tcPr>
            <w:tcW w:w="1019" w:type="pct"/>
          </w:tcPr>
          <w:p w14:paraId="500F1E46" w14:textId="77777777" w:rsidR="00207C66" w:rsidRPr="00526191" w:rsidRDefault="00207C66" w:rsidP="003310F7">
            <w:pPr>
              <w:pStyle w:val="TableText"/>
            </w:pPr>
            <w:r w:rsidRPr="00526191">
              <w:t>Long-term durability guarantee</w:t>
            </w:r>
          </w:p>
        </w:tc>
        <w:tc>
          <w:tcPr>
            <w:tcW w:w="3981" w:type="pct"/>
          </w:tcPr>
          <w:p w14:paraId="6F094E20" w14:textId="77777777" w:rsidR="00207C66" w:rsidRPr="00526191" w:rsidRDefault="00207C66" w:rsidP="003310F7">
            <w:pPr>
              <w:pStyle w:val="TableText"/>
              <w:rPr>
                <w:rFonts w:eastAsia="Times New Roman" w:cs="Arial"/>
                <w:b/>
                <w:bCs/>
                <w:snapToGrid w:val="0"/>
                <w:szCs w:val="20"/>
              </w:rPr>
            </w:pPr>
            <w:r w:rsidRPr="00526191">
              <w:rPr>
                <w:rFonts w:eastAsia="Times New Roman" w:cs="Arial"/>
                <w:b/>
                <w:bCs/>
                <w:snapToGrid w:val="0"/>
                <w:szCs w:val="20"/>
              </w:rPr>
              <w:t>Long-term durability failure criteria</w:t>
            </w:r>
            <w:r w:rsidRPr="00526191">
              <w:rPr>
                <w:rFonts w:eastAsia="Times New Roman" w:cs="Arial"/>
                <w:snapToGrid w:val="0"/>
                <w:szCs w:val="20"/>
              </w:rPr>
              <w:t xml:space="preserve">: </w:t>
            </w:r>
          </w:p>
          <w:p w14:paraId="530714A4" w14:textId="77777777" w:rsidR="00207C66" w:rsidRPr="00526191" w:rsidRDefault="00207C66" w:rsidP="003310F7">
            <w:pPr>
              <w:pStyle w:val="TableText"/>
              <w:numPr>
                <w:ilvl w:val="0"/>
                <w:numId w:val="12"/>
              </w:numPr>
              <w:ind w:left="458" w:hanging="283"/>
              <w:rPr>
                <w:rFonts w:eastAsia="Times New Roman" w:cs="Arial"/>
                <w:snapToGrid w:val="0"/>
                <w:szCs w:val="20"/>
              </w:rPr>
            </w:pPr>
            <w:r w:rsidRPr="00526191">
              <w:rPr>
                <w:rFonts w:eastAsia="Times New Roman" w:cs="Arial"/>
                <w:snapToGrid w:val="0"/>
                <w:szCs w:val="20"/>
              </w:rPr>
              <w:t>patient recorded 6 months of continuous FIX prophylaxis (regular FIX infusions in a prophylactic regimen according to the summary of product characteristics of the prescribed product) AND ≤5% FIX activity (considered conservatively as the minimum threshold for bleeding protection)</w:t>
            </w:r>
          </w:p>
          <w:p w14:paraId="51AFAA86" w14:textId="77777777" w:rsidR="00207C66" w:rsidRPr="00526191" w:rsidRDefault="00207C66" w:rsidP="003310F7">
            <w:pPr>
              <w:pStyle w:val="TableText"/>
              <w:numPr>
                <w:ilvl w:val="0"/>
                <w:numId w:val="12"/>
              </w:numPr>
              <w:ind w:left="458" w:hanging="283"/>
              <w:rPr>
                <w:rFonts w:eastAsia="Times New Roman" w:cs="Arial"/>
                <w:snapToGrid w:val="0"/>
                <w:szCs w:val="20"/>
              </w:rPr>
            </w:pPr>
            <w:r w:rsidRPr="00526191">
              <w:rPr>
                <w:rFonts w:eastAsia="Times New Roman" w:cs="Arial"/>
                <w:snapToGrid w:val="0"/>
                <w:szCs w:val="20"/>
              </w:rPr>
              <w:t>assessed every 12 months from Month 7 onwards and recorded either through ABDR and/or HCP form.</w:t>
            </w:r>
          </w:p>
          <w:p w14:paraId="40FB7809" w14:textId="1F0845C5" w:rsidR="00207C66" w:rsidRPr="00526191" w:rsidRDefault="00207C66" w:rsidP="003310F7">
            <w:pPr>
              <w:pStyle w:val="TableText"/>
              <w:rPr>
                <w:rFonts w:eastAsia="Times New Roman" w:cs="Arial"/>
                <w:snapToGrid w:val="0"/>
                <w:szCs w:val="20"/>
              </w:rPr>
            </w:pPr>
            <w:r w:rsidRPr="00526191">
              <w:rPr>
                <w:rFonts w:eastAsia="Times New Roman" w:cs="Arial"/>
                <w:snapToGrid w:val="0"/>
                <w:szCs w:val="20"/>
              </w:rPr>
              <w:t xml:space="preserve">If a value at or around 5% FIX activity is returned, a second verifying FIX test must be performed using a one-stage </w:t>
            </w:r>
            <w:proofErr w:type="spellStart"/>
            <w:r w:rsidRPr="00526191">
              <w:rPr>
                <w:rFonts w:eastAsia="Times New Roman" w:cs="Arial"/>
                <w:snapToGrid w:val="0"/>
                <w:szCs w:val="20"/>
              </w:rPr>
              <w:t>SynthasIL</w:t>
            </w:r>
            <w:proofErr w:type="spellEnd"/>
            <w:r w:rsidRPr="00526191">
              <w:rPr>
                <w:rFonts w:eastAsia="Times New Roman" w:cs="Arial"/>
                <w:snapToGrid w:val="0"/>
                <w:szCs w:val="20"/>
              </w:rPr>
              <w:t xml:space="preserve"> (</w:t>
            </w:r>
            <w:proofErr w:type="spellStart"/>
            <w:r w:rsidRPr="00526191">
              <w:rPr>
                <w:rFonts w:eastAsia="Times New Roman" w:cs="Arial"/>
                <w:snapToGrid w:val="0"/>
                <w:szCs w:val="20"/>
              </w:rPr>
              <w:t>HemosIL</w:t>
            </w:r>
            <w:proofErr w:type="spellEnd"/>
            <w:r w:rsidRPr="00526191">
              <w:rPr>
                <w:rFonts w:eastAsia="Times New Roman" w:cs="Arial"/>
                <w:snapToGrid w:val="0"/>
                <w:szCs w:val="20"/>
              </w:rPr>
              <w:t>)-based assay in a defined national centre laboratory.</w:t>
            </w:r>
          </w:p>
        </w:tc>
      </w:tr>
      <w:tr w:rsidR="00207C66" w:rsidRPr="00195185" w14:paraId="0A50E9BB" w14:textId="77777777" w:rsidTr="003310F7">
        <w:trPr>
          <w:cantSplit/>
        </w:trPr>
        <w:tc>
          <w:tcPr>
            <w:tcW w:w="1019" w:type="pct"/>
          </w:tcPr>
          <w:p w14:paraId="4047D4AD" w14:textId="77777777" w:rsidR="00207C66" w:rsidRPr="00526191" w:rsidRDefault="00207C66" w:rsidP="003310F7">
            <w:pPr>
              <w:pStyle w:val="TableText"/>
            </w:pPr>
            <w:r w:rsidRPr="00526191">
              <w:t>Return to prophylaxis (RTP) criteria</w:t>
            </w:r>
          </w:p>
        </w:tc>
        <w:tc>
          <w:tcPr>
            <w:tcW w:w="3981" w:type="pct"/>
          </w:tcPr>
          <w:p w14:paraId="1EB6B5C9" w14:textId="77777777" w:rsidR="00207C66" w:rsidRPr="00526191" w:rsidRDefault="00207C66" w:rsidP="003310F7">
            <w:pPr>
              <w:pStyle w:val="TableText"/>
              <w:rPr>
                <w:rFonts w:eastAsia="Times New Roman" w:cs="Arial"/>
                <w:snapToGrid w:val="0"/>
                <w:szCs w:val="20"/>
              </w:rPr>
            </w:pPr>
            <w:r w:rsidRPr="00526191">
              <w:rPr>
                <w:rFonts w:eastAsia="Times New Roman" w:cs="Arial"/>
                <w:snapToGrid w:val="0"/>
                <w:szCs w:val="20"/>
              </w:rPr>
              <w:t>Patients will be excluded from treatment failure if prophylaxis is initiated for select reasons.</w:t>
            </w:r>
          </w:p>
          <w:p w14:paraId="6EE60B6B" w14:textId="052E08E9" w:rsidR="0021717F" w:rsidRPr="00526191" w:rsidRDefault="00A15C4D" w:rsidP="003310F7">
            <w:pPr>
              <w:pStyle w:val="TableText"/>
              <w:rPr>
                <w:rFonts w:eastAsia="Times New Roman" w:cs="Arial"/>
                <w:snapToGrid w:val="0"/>
                <w:szCs w:val="20"/>
              </w:rPr>
            </w:pPr>
            <w:r w:rsidRPr="00526191">
              <w:rPr>
                <w:rFonts w:eastAsia="Times New Roman" w:cs="Arial"/>
                <w:snapToGrid w:val="0"/>
                <w:szCs w:val="20"/>
              </w:rPr>
              <w:t xml:space="preserve">MSAC advised that </w:t>
            </w:r>
            <w:r w:rsidR="0021717F" w:rsidRPr="00526191">
              <w:rPr>
                <w:rFonts w:eastAsia="Times New Roman" w:cs="Arial"/>
                <w:snapToGrid w:val="0"/>
                <w:szCs w:val="20"/>
              </w:rPr>
              <w:t xml:space="preserve">return to long-term prophylaxis criteria should be defined </w:t>
            </w:r>
            <w:r w:rsidR="004939E1" w:rsidRPr="00526191">
              <w:rPr>
                <w:rFonts w:eastAsia="Times New Roman" w:cs="Arial"/>
                <w:b/>
                <w:bCs/>
                <w:snapToGrid w:val="0"/>
                <w:szCs w:val="20"/>
              </w:rPr>
              <w:t>redacted</w:t>
            </w:r>
            <w:r w:rsidR="007B0A47" w:rsidRPr="00526191">
              <w:rPr>
                <w:rFonts w:eastAsia="Times New Roman" w:cs="Arial"/>
                <w:snapToGrid w:val="0"/>
                <w:szCs w:val="20"/>
              </w:rPr>
              <w:t xml:space="preserve">. </w:t>
            </w:r>
            <w:r w:rsidR="00E45E34" w:rsidRPr="000A0B14">
              <w:rPr>
                <w:rFonts w:eastAsia="Times New Roman" w:cs="Arial"/>
                <w:snapToGrid w:val="0"/>
                <w:szCs w:val="20"/>
              </w:rPr>
              <w:t xml:space="preserve">MSAC advised that </w:t>
            </w:r>
            <w:r w:rsidR="00A56F08" w:rsidRPr="000A0B14">
              <w:rPr>
                <w:rFonts w:eastAsia="Times New Roman" w:cs="Arial"/>
                <w:snapToGrid w:val="0"/>
                <w:szCs w:val="20"/>
              </w:rPr>
              <w:t xml:space="preserve">clinically appropriate </w:t>
            </w:r>
            <w:r w:rsidR="0021717F" w:rsidRPr="000A0B14">
              <w:rPr>
                <w:rFonts w:eastAsia="Times New Roman" w:cs="Arial"/>
                <w:snapToGrid w:val="0"/>
                <w:szCs w:val="20"/>
              </w:rPr>
              <w:t>short-term prophylaxis</w:t>
            </w:r>
            <w:r w:rsidR="00A56F08" w:rsidRPr="000A0B14">
              <w:rPr>
                <w:rFonts w:eastAsia="Times New Roman" w:cs="Arial"/>
                <w:snapToGrid w:val="0"/>
                <w:szCs w:val="20"/>
              </w:rPr>
              <w:t xml:space="preserve">, such as </w:t>
            </w:r>
            <w:r w:rsidR="007C45F9" w:rsidRPr="000A0B14">
              <w:rPr>
                <w:rFonts w:eastAsia="Times New Roman" w:cs="Arial"/>
                <w:snapToGrid w:val="0"/>
                <w:szCs w:val="20"/>
              </w:rPr>
              <w:t xml:space="preserve">for </w:t>
            </w:r>
            <w:r w:rsidR="0021717F" w:rsidRPr="000A0B14">
              <w:rPr>
                <w:rFonts w:eastAsia="Times New Roman" w:cs="Arial"/>
                <w:snapToGrid w:val="0"/>
                <w:szCs w:val="20"/>
              </w:rPr>
              <w:t xml:space="preserve">perioperative use, </w:t>
            </w:r>
            <w:r w:rsidRPr="000A0B14">
              <w:rPr>
                <w:rFonts w:eastAsia="Times New Roman" w:cs="Arial"/>
                <w:snapToGrid w:val="0"/>
                <w:szCs w:val="20"/>
              </w:rPr>
              <w:t>may</w:t>
            </w:r>
            <w:r w:rsidR="00773EC0" w:rsidRPr="000A0B14">
              <w:rPr>
                <w:rFonts w:eastAsia="Times New Roman" w:cs="Arial"/>
                <w:snapToGrid w:val="0"/>
                <w:szCs w:val="20"/>
              </w:rPr>
              <w:t xml:space="preserve"> n</w:t>
            </w:r>
            <w:r w:rsidR="006257E4" w:rsidRPr="000A0B14">
              <w:rPr>
                <w:rFonts w:eastAsia="Times New Roman" w:cs="Arial"/>
                <w:snapToGrid w:val="0"/>
                <w:szCs w:val="20"/>
              </w:rPr>
              <w:t xml:space="preserve">ot </w:t>
            </w:r>
            <w:r w:rsidR="0021717F" w:rsidRPr="000A0B14">
              <w:rPr>
                <w:rFonts w:eastAsia="Times New Roman" w:cs="Arial"/>
                <w:snapToGrid w:val="0"/>
                <w:szCs w:val="20"/>
              </w:rPr>
              <w:t>necessitate cessation of payment</w:t>
            </w:r>
            <w:r w:rsidR="006257E4" w:rsidRPr="000A0B14">
              <w:rPr>
                <w:rFonts w:eastAsia="Times New Roman" w:cs="Arial"/>
                <w:snapToGrid w:val="0"/>
                <w:szCs w:val="20"/>
              </w:rPr>
              <w:t>.</w:t>
            </w:r>
          </w:p>
        </w:tc>
      </w:tr>
      <w:tr w:rsidR="00207C66" w:rsidRPr="00195185" w14:paraId="04BF732D" w14:textId="77777777" w:rsidTr="003310F7">
        <w:trPr>
          <w:cantSplit/>
        </w:trPr>
        <w:tc>
          <w:tcPr>
            <w:tcW w:w="1019" w:type="pct"/>
          </w:tcPr>
          <w:p w14:paraId="5D236719" w14:textId="77777777" w:rsidR="00207C66" w:rsidRPr="00526191" w:rsidRDefault="00207C66" w:rsidP="003310F7">
            <w:pPr>
              <w:pStyle w:val="TableText"/>
            </w:pPr>
            <w:r w:rsidRPr="00526191">
              <w:t>Action at failure</w:t>
            </w:r>
          </w:p>
        </w:tc>
        <w:tc>
          <w:tcPr>
            <w:tcW w:w="3981" w:type="pct"/>
          </w:tcPr>
          <w:p w14:paraId="088C2DA3" w14:textId="74FE8403" w:rsidR="00207C66" w:rsidRPr="00526191" w:rsidRDefault="00207C66" w:rsidP="003310F7">
            <w:pPr>
              <w:pStyle w:val="TableText"/>
              <w:rPr>
                <w:rFonts w:eastAsia="Times New Roman" w:cs="Arial"/>
                <w:snapToGrid w:val="0"/>
                <w:szCs w:val="20"/>
              </w:rPr>
            </w:pPr>
            <w:r w:rsidRPr="00526191">
              <w:rPr>
                <w:rFonts w:eastAsia="Times New Roman" w:cs="Arial"/>
                <w:snapToGrid w:val="0"/>
                <w:szCs w:val="20"/>
              </w:rPr>
              <w:t>Next payment ceases if treatment failure is proven.</w:t>
            </w:r>
          </w:p>
        </w:tc>
      </w:tr>
      <w:tr w:rsidR="00DD6C59" w:rsidRPr="00195185" w14:paraId="22ADAD14" w14:textId="77777777" w:rsidTr="003310F7">
        <w:trPr>
          <w:cantSplit/>
        </w:trPr>
        <w:tc>
          <w:tcPr>
            <w:tcW w:w="1019" w:type="pct"/>
          </w:tcPr>
          <w:p w14:paraId="1F273969" w14:textId="62FAD664" w:rsidR="00DD6C59" w:rsidRPr="00641BD7" w:rsidRDefault="00AE5CF9" w:rsidP="003310F7">
            <w:pPr>
              <w:pStyle w:val="TableText"/>
            </w:pPr>
            <w:r w:rsidRPr="002F6F12">
              <w:t>Payment adjustment for assay validity issues</w:t>
            </w:r>
          </w:p>
        </w:tc>
        <w:tc>
          <w:tcPr>
            <w:tcW w:w="3981" w:type="pct"/>
          </w:tcPr>
          <w:p w14:paraId="3ED23E52" w14:textId="450CCDE3" w:rsidR="00DD6C59" w:rsidRPr="002F6F12" w:rsidRDefault="00DD6C59" w:rsidP="003310F7">
            <w:pPr>
              <w:pStyle w:val="TableText"/>
              <w:rPr>
                <w:rFonts w:eastAsia="Times New Roman" w:cs="Arial"/>
                <w:snapToGrid w:val="0"/>
                <w:szCs w:val="20"/>
              </w:rPr>
            </w:pPr>
            <w:r w:rsidRPr="002F6F12">
              <w:rPr>
                <w:rFonts w:eastAsia="Times New Roman" w:cs="Arial"/>
                <w:snapToGrid w:val="0"/>
                <w:szCs w:val="20"/>
              </w:rPr>
              <w:t>Payment</w:t>
            </w:r>
            <w:r w:rsidR="008E1BBA" w:rsidRPr="002F6F12">
              <w:rPr>
                <w:rFonts w:eastAsia="Times New Roman" w:cs="Arial"/>
                <w:snapToGrid w:val="0"/>
                <w:szCs w:val="20"/>
              </w:rPr>
              <w:t xml:space="preserve">s </w:t>
            </w:r>
            <w:r w:rsidR="004779BD" w:rsidRPr="002F6F12">
              <w:rPr>
                <w:rFonts w:eastAsia="Times New Roman" w:cs="Arial"/>
                <w:snapToGrid w:val="0"/>
                <w:szCs w:val="20"/>
              </w:rPr>
              <w:t>to</w:t>
            </w:r>
            <w:r w:rsidR="008E1BBA" w:rsidRPr="002F6F12">
              <w:rPr>
                <w:rFonts w:eastAsia="Times New Roman" w:cs="Arial"/>
                <w:snapToGrid w:val="0"/>
                <w:szCs w:val="20"/>
              </w:rPr>
              <w:t xml:space="preserve"> be </w:t>
            </w:r>
            <w:r w:rsidRPr="002F6F12">
              <w:rPr>
                <w:rFonts w:eastAsia="Times New Roman" w:cs="Arial"/>
                <w:snapToGrid w:val="0"/>
                <w:szCs w:val="20"/>
              </w:rPr>
              <w:t>null</w:t>
            </w:r>
            <w:r w:rsidR="008E1BBA" w:rsidRPr="002F6F12">
              <w:rPr>
                <w:rFonts w:eastAsia="Times New Roman" w:cs="Arial"/>
                <w:snapToGrid w:val="0"/>
                <w:szCs w:val="20"/>
              </w:rPr>
              <w:t>ified</w:t>
            </w:r>
            <w:r w:rsidRPr="002F6F12">
              <w:rPr>
                <w:rFonts w:eastAsia="Times New Roman" w:cs="Arial"/>
                <w:snapToGrid w:val="0"/>
                <w:szCs w:val="20"/>
              </w:rPr>
              <w:t xml:space="preserve"> or reduced if the </w:t>
            </w:r>
            <w:r w:rsidR="008E1BBA" w:rsidRPr="002F6F12">
              <w:rPr>
                <w:rFonts w:eastAsia="Times New Roman" w:cs="Arial"/>
                <w:snapToGrid w:val="0"/>
                <w:szCs w:val="20"/>
              </w:rPr>
              <w:t xml:space="preserve">anti-AAV5 </w:t>
            </w:r>
            <w:proofErr w:type="spellStart"/>
            <w:r w:rsidR="008E1BBA" w:rsidRPr="002F6F12">
              <w:rPr>
                <w:rFonts w:eastAsia="Times New Roman" w:cs="Arial"/>
                <w:snapToGrid w:val="0"/>
                <w:szCs w:val="20"/>
              </w:rPr>
              <w:t>NAb</w:t>
            </w:r>
            <w:proofErr w:type="spellEnd"/>
            <w:r w:rsidRPr="002F6F12">
              <w:rPr>
                <w:rFonts w:eastAsia="Times New Roman" w:cs="Arial"/>
                <w:snapToGrid w:val="0"/>
                <w:szCs w:val="20"/>
              </w:rPr>
              <w:t xml:space="preserve"> assay lacks validity and misclassifies patient</w:t>
            </w:r>
            <w:r w:rsidR="004779BD" w:rsidRPr="002F6F12">
              <w:rPr>
                <w:rFonts w:eastAsia="Times New Roman" w:cs="Arial"/>
                <w:snapToGrid w:val="0"/>
                <w:szCs w:val="20"/>
              </w:rPr>
              <w:t>s</w:t>
            </w:r>
            <w:r w:rsidR="00A35B76" w:rsidRPr="002F6F12">
              <w:rPr>
                <w:rFonts w:eastAsia="Times New Roman" w:cs="Arial"/>
                <w:snapToGrid w:val="0"/>
                <w:szCs w:val="20"/>
              </w:rPr>
              <w:t>.</w:t>
            </w:r>
          </w:p>
        </w:tc>
      </w:tr>
      <w:tr w:rsidR="00F2415D" w:rsidRPr="00195185" w14:paraId="565B1C8C" w14:textId="77777777" w:rsidTr="003310F7">
        <w:trPr>
          <w:cantSplit/>
        </w:trPr>
        <w:tc>
          <w:tcPr>
            <w:tcW w:w="1019" w:type="pct"/>
          </w:tcPr>
          <w:p w14:paraId="1AADF395" w14:textId="07B04A67" w:rsidR="00F2415D" w:rsidRPr="002F6F12" w:rsidRDefault="00310B5C" w:rsidP="003310F7">
            <w:pPr>
              <w:pStyle w:val="TableText"/>
            </w:pPr>
            <w:r w:rsidRPr="002F6F12">
              <w:lastRenderedPageBreak/>
              <w:t>Conditions for cessation of payment</w:t>
            </w:r>
          </w:p>
        </w:tc>
        <w:tc>
          <w:tcPr>
            <w:tcW w:w="3981" w:type="pct"/>
          </w:tcPr>
          <w:p w14:paraId="0F354AA2" w14:textId="3EA311D8" w:rsidR="00306E17" w:rsidRPr="002F6F12" w:rsidRDefault="00306E17" w:rsidP="000A5DF1">
            <w:pPr>
              <w:pStyle w:val="TableText"/>
              <w:rPr>
                <w:rFonts w:eastAsia="Times New Roman" w:cs="Arial"/>
                <w:snapToGrid w:val="0"/>
                <w:szCs w:val="20"/>
              </w:rPr>
            </w:pPr>
            <w:r w:rsidRPr="002F6F12">
              <w:rPr>
                <w:rFonts w:eastAsia="Times New Roman" w:cs="Arial"/>
                <w:snapToGrid w:val="0"/>
                <w:szCs w:val="20"/>
              </w:rPr>
              <w:t>Payment will be ceased under any of the following circumstances</w:t>
            </w:r>
            <w:r w:rsidR="00EE0C3D" w:rsidRPr="002F6F12">
              <w:rPr>
                <w:rFonts w:eastAsia="Times New Roman" w:cs="Arial"/>
                <w:snapToGrid w:val="0"/>
                <w:szCs w:val="20"/>
              </w:rPr>
              <w:t>:</w:t>
            </w:r>
          </w:p>
          <w:p w14:paraId="032240E5" w14:textId="5D501764" w:rsidR="00306E17" w:rsidRPr="002F6F12" w:rsidRDefault="00306E17" w:rsidP="00306E17">
            <w:pPr>
              <w:pStyle w:val="TableText"/>
              <w:numPr>
                <w:ilvl w:val="0"/>
                <w:numId w:val="34"/>
              </w:numPr>
              <w:rPr>
                <w:rFonts w:eastAsia="Times New Roman" w:cs="Arial"/>
                <w:snapToGrid w:val="0"/>
                <w:szCs w:val="20"/>
              </w:rPr>
            </w:pPr>
            <w:r w:rsidRPr="002F6F12">
              <w:rPr>
                <w:rFonts w:eastAsia="Times New Roman" w:cs="Arial"/>
                <w:snapToGrid w:val="0"/>
                <w:szCs w:val="20"/>
              </w:rPr>
              <w:t xml:space="preserve">if the patient receives any registered therapy other than FIX therapy for the treatment of haemophilia B for any length of time after receiving ED. MSAC noted that there are upcoming therapies for the treatment of haemophilia, some of which have entered the MSAC process to request for public funding (e.g. tissue factor pathway inhibitors) </w:t>
            </w:r>
          </w:p>
          <w:p w14:paraId="54203F7F" w14:textId="7260EA63" w:rsidR="00306E17" w:rsidRPr="002F6F12" w:rsidRDefault="00306E17" w:rsidP="00306E17">
            <w:pPr>
              <w:pStyle w:val="TableText"/>
              <w:numPr>
                <w:ilvl w:val="0"/>
                <w:numId w:val="34"/>
              </w:numPr>
              <w:rPr>
                <w:rFonts w:eastAsia="Times New Roman" w:cs="Arial"/>
                <w:snapToGrid w:val="0"/>
                <w:szCs w:val="20"/>
              </w:rPr>
            </w:pPr>
            <w:r w:rsidRPr="002F6F12">
              <w:rPr>
                <w:rFonts w:eastAsia="Times New Roman" w:cs="Arial"/>
                <w:snapToGrid w:val="0"/>
                <w:szCs w:val="20"/>
              </w:rPr>
              <w:t>if the patient develops FIX inhibitors</w:t>
            </w:r>
          </w:p>
          <w:p w14:paraId="1E6651C1" w14:textId="5A7302F9" w:rsidR="00F2415D" w:rsidRPr="002F6F12" w:rsidRDefault="00306E17" w:rsidP="000A5DF1">
            <w:pPr>
              <w:pStyle w:val="TableText"/>
              <w:numPr>
                <w:ilvl w:val="0"/>
                <w:numId w:val="34"/>
              </w:numPr>
              <w:rPr>
                <w:rFonts w:eastAsia="Times New Roman" w:cs="Arial"/>
                <w:snapToGrid w:val="0"/>
                <w:szCs w:val="20"/>
              </w:rPr>
            </w:pPr>
            <w:r w:rsidRPr="002F6F12">
              <w:rPr>
                <w:rFonts w:eastAsia="Times New Roman" w:cs="Arial"/>
                <w:snapToGrid w:val="0"/>
                <w:szCs w:val="20"/>
              </w:rPr>
              <w:t xml:space="preserve">if the patient dies due to any cause or requires liver transplantation </w:t>
            </w:r>
          </w:p>
        </w:tc>
      </w:tr>
      <w:tr w:rsidR="00207C66" w:rsidRPr="00CE28E3" w14:paraId="6C8ADD01" w14:textId="77777777" w:rsidTr="003310F7">
        <w:trPr>
          <w:cantSplit/>
        </w:trPr>
        <w:tc>
          <w:tcPr>
            <w:tcW w:w="1019" w:type="pct"/>
          </w:tcPr>
          <w:p w14:paraId="3FB23839" w14:textId="77777777" w:rsidR="00207C66" w:rsidRPr="00526191" w:rsidRDefault="00207C66" w:rsidP="003310F7">
            <w:pPr>
              <w:pStyle w:val="TableText"/>
            </w:pPr>
            <w:r w:rsidRPr="00526191">
              <w:t>Contract review provision</w:t>
            </w:r>
          </w:p>
        </w:tc>
        <w:tc>
          <w:tcPr>
            <w:tcW w:w="3981" w:type="pct"/>
          </w:tcPr>
          <w:p w14:paraId="7389C955" w14:textId="053F9A65" w:rsidR="00C82C7E" w:rsidRPr="00526191" w:rsidRDefault="00207C66" w:rsidP="003310F7">
            <w:pPr>
              <w:pStyle w:val="TableText"/>
              <w:rPr>
                <w:rFonts w:eastAsia="Times New Roman" w:cs="Arial"/>
                <w:snapToGrid w:val="0"/>
                <w:szCs w:val="20"/>
              </w:rPr>
            </w:pPr>
            <w:r w:rsidRPr="00526191">
              <w:rPr>
                <w:rFonts w:eastAsia="Times New Roman" w:cs="Arial"/>
                <w:snapToGrid w:val="0"/>
                <w:szCs w:val="20"/>
              </w:rPr>
              <w:t>Price/contract review periods are to be stipulated in the contract, with consideration of updated HOPE-B and extension study data.</w:t>
            </w:r>
          </w:p>
          <w:p w14:paraId="3E69A0C3" w14:textId="77777777" w:rsidR="004779BD" w:rsidRPr="00526191" w:rsidRDefault="004779BD" w:rsidP="004779BD">
            <w:pPr>
              <w:pStyle w:val="TableText"/>
              <w:rPr>
                <w:rFonts w:eastAsia="Times New Roman" w:cs="Arial"/>
                <w:snapToGrid w:val="0"/>
                <w:szCs w:val="20"/>
              </w:rPr>
            </w:pPr>
            <w:r w:rsidRPr="00526191">
              <w:rPr>
                <w:rFonts w:eastAsia="Times New Roman" w:cs="Arial"/>
                <w:snapToGrid w:val="0"/>
                <w:szCs w:val="20"/>
              </w:rPr>
              <w:t>Provision to review contract after the final analysis of effectiveness and safety data from HOPE-B at approximately 5 years post-treatment.</w:t>
            </w:r>
          </w:p>
          <w:p w14:paraId="609E9291" w14:textId="6F25DC05" w:rsidR="004779BD" w:rsidRPr="00526191" w:rsidRDefault="004779BD" w:rsidP="006D2F7C">
            <w:pPr>
              <w:pStyle w:val="TableText"/>
              <w:rPr>
                <w:rFonts w:eastAsia="Times New Roman" w:cs="Arial"/>
                <w:snapToGrid w:val="0"/>
                <w:szCs w:val="20"/>
              </w:rPr>
            </w:pPr>
            <w:r w:rsidRPr="00526191">
              <w:rPr>
                <w:rFonts w:eastAsia="Times New Roman" w:cs="Arial"/>
                <w:snapToGrid w:val="0"/>
                <w:szCs w:val="20"/>
              </w:rPr>
              <w:t>Provision to review contract after the extension study (NCT05962398) that is following HOPE-B subjects up to 15 years post-treatment (planned study completion in 2035).</w:t>
            </w:r>
          </w:p>
          <w:p w14:paraId="483C46C5" w14:textId="3BA9E87D" w:rsidR="00C470AA" w:rsidRPr="00526191" w:rsidRDefault="00207C66" w:rsidP="003310F7">
            <w:pPr>
              <w:pStyle w:val="TableText"/>
              <w:rPr>
                <w:rFonts w:eastAsia="Times New Roman" w:cs="Arial"/>
                <w:snapToGrid w:val="0"/>
                <w:szCs w:val="20"/>
              </w:rPr>
            </w:pPr>
            <w:r w:rsidRPr="00526191">
              <w:rPr>
                <w:rFonts w:eastAsia="Times New Roman" w:cs="Arial"/>
                <w:snapToGrid w:val="0"/>
                <w:szCs w:val="20"/>
              </w:rPr>
              <w:t>Provision to review contract if substantive changes are made to the provisional TGA registration, or if new safety signals arise through clinical trial or post-marketing ED use.</w:t>
            </w:r>
          </w:p>
          <w:p w14:paraId="7093AE19" w14:textId="633C4B78" w:rsidR="00207C66" w:rsidRPr="00526191" w:rsidRDefault="004779BD" w:rsidP="003310F7">
            <w:pPr>
              <w:pStyle w:val="TableText"/>
              <w:rPr>
                <w:rFonts w:eastAsia="Times New Roman" w:cs="Arial"/>
                <w:snapToGrid w:val="0"/>
                <w:szCs w:val="20"/>
              </w:rPr>
            </w:pPr>
            <w:r w:rsidRPr="000A0B14">
              <w:rPr>
                <w:rFonts w:eastAsia="Times New Roman" w:cs="Arial"/>
                <w:snapToGrid w:val="0"/>
                <w:szCs w:val="20"/>
              </w:rPr>
              <w:t>P</w:t>
            </w:r>
            <w:r w:rsidR="00B2015C" w:rsidRPr="000A0B14">
              <w:rPr>
                <w:rFonts w:eastAsia="Times New Roman" w:cs="Arial"/>
                <w:snapToGrid w:val="0"/>
                <w:szCs w:val="20"/>
              </w:rPr>
              <w:t>rice</w:t>
            </w:r>
            <w:r w:rsidRPr="000A0B14">
              <w:rPr>
                <w:rFonts w:eastAsia="Times New Roman" w:cs="Arial"/>
                <w:snapToGrid w:val="0"/>
                <w:szCs w:val="20"/>
              </w:rPr>
              <w:t xml:space="preserve"> and </w:t>
            </w:r>
            <w:r w:rsidR="00B2015C" w:rsidRPr="000A0B14">
              <w:rPr>
                <w:rFonts w:eastAsia="Times New Roman" w:cs="Arial"/>
                <w:snapToGrid w:val="0"/>
                <w:szCs w:val="20"/>
              </w:rPr>
              <w:t>contract review</w:t>
            </w:r>
            <w:r w:rsidR="00513D9A" w:rsidRPr="000A0B14">
              <w:rPr>
                <w:rFonts w:eastAsia="Times New Roman" w:cs="Arial"/>
                <w:snapToGrid w:val="0"/>
                <w:szCs w:val="20"/>
              </w:rPr>
              <w:t xml:space="preserve"> upon</w:t>
            </w:r>
            <w:r w:rsidR="00C470AA" w:rsidRPr="000A0B14">
              <w:rPr>
                <w:rFonts w:eastAsia="Times New Roman" w:cs="Arial"/>
                <w:snapToGrid w:val="0"/>
                <w:szCs w:val="20"/>
              </w:rPr>
              <w:t xml:space="preserve"> the emergence of alternative therapies that may replace ED.</w:t>
            </w:r>
          </w:p>
        </w:tc>
      </w:tr>
    </w:tbl>
    <w:p w14:paraId="1F67153C" w14:textId="6C0C634A" w:rsidR="00207C66" w:rsidRPr="00234A8F" w:rsidRDefault="00207C66" w:rsidP="00234A8F">
      <w:pPr>
        <w:pStyle w:val="TableFigureFooter"/>
        <w:spacing w:after="0"/>
      </w:pPr>
      <w:r>
        <w:t xml:space="preserve">AAV5 = </w:t>
      </w:r>
      <w:r w:rsidRPr="00C17E79">
        <w:t>adeno-associated virus type 5</w:t>
      </w:r>
      <w:r>
        <w:t xml:space="preserve">; ABDR = Australian Bleeding Disorders Registry; ADAR = Applicant Developed Assessment Report; FIX = Factor IX; HCP = healthcare professional; </w:t>
      </w:r>
      <w:proofErr w:type="spellStart"/>
      <w:r>
        <w:t>NAb</w:t>
      </w:r>
      <w:proofErr w:type="spellEnd"/>
      <w:r>
        <w:t xml:space="preserve"> = neutralising antibody; RTP = return to prophylaxis; TGA = Therapeutic Goods Administration.</w:t>
      </w:r>
    </w:p>
    <w:p w14:paraId="6710B69D" w14:textId="40B6C033" w:rsidR="00772829" w:rsidRDefault="00772829" w:rsidP="003758CD">
      <w:pPr>
        <w:pStyle w:val="Heading2"/>
        <w:numPr>
          <w:ilvl w:val="0"/>
          <w:numId w:val="28"/>
        </w:numPr>
      </w:pPr>
      <w:bookmarkStart w:id="6" w:name="_Toc69491416"/>
      <w:bookmarkEnd w:id="2"/>
      <w:r w:rsidRPr="00CE28E3">
        <w:t>Background</w:t>
      </w:r>
      <w:bookmarkEnd w:id="6"/>
    </w:p>
    <w:p w14:paraId="604C1201" w14:textId="5B4E0E34" w:rsidR="00FC4342" w:rsidRDefault="00FC4342" w:rsidP="00F46298">
      <w:r>
        <w:t xml:space="preserve">This is the second application for this technology. </w:t>
      </w:r>
      <w:r w:rsidR="001075CD">
        <w:t>ED</w:t>
      </w:r>
      <w:r>
        <w:t xml:space="preserve"> was previously considered</w:t>
      </w:r>
      <w:r w:rsidR="005F27F0">
        <w:t xml:space="preserve"> by the </w:t>
      </w:r>
      <w:r w:rsidR="00A006F2">
        <w:t>Medical Services Advisory Committee (MSAC)</w:t>
      </w:r>
      <w:r>
        <w:t xml:space="preserve"> at the </w:t>
      </w:r>
      <w:r w:rsidR="00441ED3">
        <w:t>August 2024 MSAC meeting</w:t>
      </w:r>
      <w:r w:rsidR="00E0555A">
        <w:t xml:space="preserve">, </w:t>
      </w:r>
      <w:hyperlink r:id="rId14" w:history="1">
        <w:r w:rsidR="00E0555A">
          <w:rPr>
            <w:rStyle w:val="Hyperlink"/>
          </w:rPr>
          <w:t>MSAC 1728 PSD</w:t>
        </w:r>
      </w:hyperlink>
      <w:r w:rsidR="00E0555A">
        <w:t xml:space="preserve">. </w:t>
      </w:r>
      <w:r w:rsidR="00DE09B3" w:rsidRPr="00064930">
        <w:t>At that meeting</w:t>
      </w:r>
      <w:r w:rsidR="00BB276F">
        <w:t>,</w:t>
      </w:r>
      <w:r w:rsidR="00DE09B3" w:rsidRPr="00064930">
        <w:t xml:space="preserve"> </w:t>
      </w:r>
      <w:r w:rsidR="00AF097E" w:rsidRPr="00064930">
        <w:t xml:space="preserve">MSAC did not support </w:t>
      </w:r>
      <w:r w:rsidR="00F46298" w:rsidRPr="00064930">
        <w:t xml:space="preserve">public funding of the gene therapy for the treatment of adult patients with moderately severe or severe congenital </w:t>
      </w:r>
      <w:r w:rsidR="002E7CFE">
        <w:t>HMB</w:t>
      </w:r>
      <w:r w:rsidR="00F46298" w:rsidRPr="00064930">
        <w:t>.</w:t>
      </w:r>
    </w:p>
    <w:p w14:paraId="2EDBD1B3" w14:textId="5FC733BE" w:rsidR="00E026F9" w:rsidRDefault="00E026F9" w:rsidP="00E026F9">
      <w:r>
        <w:t xml:space="preserve">MSAC considered any re-application would need to provide additional longer-term clinical evidence, including evidence for the </w:t>
      </w:r>
      <w:proofErr w:type="spellStart"/>
      <w:r w:rsidR="00E909FF">
        <w:t>NAb</w:t>
      </w:r>
      <w:proofErr w:type="spellEnd"/>
      <w:r>
        <w:t xml:space="preserve"> test (consistent with post-marketing registration requirements), revised economic and financial analyses, a significantly reduced price, and details for a proposed risk sharing arrangement</w:t>
      </w:r>
      <w:r w:rsidR="00881FC0">
        <w:t xml:space="preserve"> </w:t>
      </w:r>
      <w:r w:rsidR="00FF7E1A">
        <w:t>(</w:t>
      </w:r>
      <w:r w:rsidR="00864139">
        <w:fldChar w:fldCharType="begin"/>
      </w:r>
      <w:r w:rsidR="00864139">
        <w:instrText xml:space="preserve"> REF _Ref207984255 \h </w:instrText>
      </w:r>
      <w:r w:rsidR="00864139">
        <w:fldChar w:fldCharType="separate"/>
      </w:r>
      <w:r w:rsidR="00864139">
        <w:t xml:space="preserve">Table </w:t>
      </w:r>
      <w:r w:rsidR="00864139">
        <w:rPr>
          <w:noProof/>
        </w:rPr>
        <w:t>2</w:t>
      </w:r>
      <w:r w:rsidR="00864139">
        <w:fldChar w:fldCharType="end"/>
      </w:r>
      <w:r w:rsidR="00FF7E1A">
        <w:t>)</w:t>
      </w:r>
      <w:r w:rsidR="000D0A40">
        <w:t>.</w:t>
      </w:r>
    </w:p>
    <w:p w14:paraId="6EC12EDF" w14:textId="760252F6" w:rsidR="0068682C" w:rsidRPr="00CE28E3" w:rsidRDefault="00864139" w:rsidP="00864139">
      <w:pPr>
        <w:pStyle w:val="Caption"/>
      </w:pPr>
      <w:bookmarkStart w:id="7" w:name="_Ref207984255"/>
      <w:bookmarkStart w:id="8" w:name="_Ref69480768"/>
      <w:bookmarkStart w:id="9" w:name="_Hlk69734557"/>
      <w:r>
        <w:t xml:space="preserve">Table </w:t>
      </w:r>
      <w:r w:rsidR="00245CF3">
        <w:fldChar w:fldCharType="begin"/>
      </w:r>
      <w:r w:rsidR="00245CF3">
        <w:instrText xml:space="preserve"> SEQ Table \* ARABIC </w:instrText>
      </w:r>
      <w:r w:rsidR="00245CF3">
        <w:fldChar w:fldCharType="separate"/>
      </w:r>
      <w:r w:rsidR="00245CF3">
        <w:rPr>
          <w:noProof/>
        </w:rPr>
        <w:t>2</w:t>
      </w:r>
      <w:r w:rsidR="00245CF3">
        <w:rPr>
          <w:noProof/>
        </w:rPr>
        <w:fldChar w:fldCharType="end"/>
      </w:r>
      <w:bookmarkEnd w:id="7"/>
      <w:r w:rsidR="00F17E10">
        <w:t xml:space="preserve"> </w:t>
      </w:r>
      <w:r w:rsidR="0065491C">
        <w:tab/>
      </w:r>
      <w:bookmarkEnd w:id="8"/>
      <w:r w:rsidR="0068682C" w:rsidRPr="00CE28E3">
        <w:t xml:space="preserve">Summary of </w:t>
      </w:r>
      <w:r w:rsidR="00621B50">
        <w:t xml:space="preserve">requirements for a </w:t>
      </w:r>
      <w:r w:rsidR="004B0892">
        <w:t>re-application to MSAC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requirements for a re-application to MSAC"/>
        <w:tblDescription w:val="This table lists each requirement from MSAC for a re-application and a summary of how the current ADAR addresses each requirement. All matters of concern are taken from page 7 of the PSD for ADAR 1728. "/>
      </w:tblPr>
      <w:tblGrid>
        <w:gridCol w:w="1554"/>
        <w:gridCol w:w="2694"/>
        <w:gridCol w:w="4768"/>
      </w:tblGrid>
      <w:tr w:rsidR="00F57885" w:rsidRPr="00CE28E3" w14:paraId="2BDCC27B" w14:textId="77777777" w:rsidTr="00B05929">
        <w:trPr>
          <w:cantSplit/>
          <w:tblHeader/>
        </w:trPr>
        <w:tc>
          <w:tcPr>
            <w:tcW w:w="862" w:type="pct"/>
          </w:tcPr>
          <w:p w14:paraId="58F6A808" w14:textId="77777777" w:rsidR="00F57885" w:rsidRPr="00CE28E3" w:rsidRDefault="00F57885" w:rsidP="00234A8F">
            <w:pPr>
              <w:pStyle w:val="In-tableHeading"/>
              <w:spacing w:before="0" w:after="0"/>
            </w:pPr>
            <w:bookmarkStart w:id="10" w:name="ColumnTitle_Table1"/>
            <w:bookmarkStart w:id="11" w:name="_Hlk68275590"/>
            <w:bookmarkEnd w:id="10"/>
            <w:r w:rsidRPr="00CE28E3">
              <w:t>Component</w:t>
            </w:r>
          </w:p>
        </w:tc>
        <w:tc>
          <w:tcPr>
            <w:tcW w:w="1494" w:type="pct"/>
          </w:tcPr>
          <w:p w14:paraId="09992FB9" w14:textId="77777777" w:rsidR="00F57885" w:rsidRPr="00CE28E3" w:rsidRDefault="00F57885" w:rsidP="00234A8F">
            <w:pPr>
              <w:pStyle w:val="In-tableHeading"/>
              <w:spacing w:before="0" w:after="0"/>
            </w:pPr>
            <w:r w:rsidRPr="00CE28E3">
              <w:t>Matter of concern</w:t>
            </w:r>
          </w:p>
        </w:tc>
        <w:tc>
          <w:tcPr>
            <w:tcW w:w="2644" w:type="pct"/>
          </w:tcPr>
          <w:p w14:paraId="54C88680" w14:textId="77777777" w:rsidR="00F57885" w:rsidRPr="00CE28E3" w:rsidRDefault="00F57885" w:rsidP="00234A8F">
            <w:pPr>
              <w:pStyle w:val="In-tableHeading"/>
              <w:spacing w:before="0" w:after="0"/>
            </w:pPr>
            <w:r w:rsidRPr="00CE28E3">
              <w:t>How the current assessment report addresses it</w:t>
            </w:r>
          </w:p>
        </w:tc>
      </w:tr>
      <w:tr w:rsidR="00C10BB2" w:rsidRPr="00CE28E3" w14:paraId="4D7C6C47" w14:textId="77777777" w:rsidTr="00B05929">
        <w:trPr>
          <w:cantSplit/>
        </w:trPr>
        <w:tc>
          <w:tcPr>
            <w:tcW w:w="862" w:type="pct"/>
          </w:tcPr>
          <w:p w14:paraId="5510C600" w14:textId="149048F3" w:rsidR="00C10BB2" w:rsidRPr="00CE28E3" w:rsidRDefault="00AD423A" w:rsidP="00234A8F">
            <w:pPr>
              <w:pStyle w:val="TableText"/>
              <w:spacing w:before="0" w:after="0"/>
            </w:pPr>
            <w:r>
              <w:t>Proposed price</w:t>
            </w:r>
          </w:p>
        </w:tc>
        <w:tc>
          <w:tcPr>
            <w:tcW w:w="1494" w:type="pct"/>
          </w:tcPr>
          <w:p w14:paraId="7F88DAB8" w14:textId="49898A4F" w:rsidR="00C10BB2" w:rsidRPr="00CE28E3" w:rsidRDefault="009F563D" w:rsidP="00234A8F">
            <w:pPr>
              <w:pStyle w:val="TableText"/>
              <w:spacing w:before="0" w:after="0"/>
              <w:rPr>
                <w:rFonts w:eastAsia="Times New Roman" w:cs="Arial"/>
                <w:snapToGrid w:val="0"/>
                <w:szCs w:val="20"/>
              </w:rPr>
            </w:pPr>
            <w:r w:rsidRPr="009F563D">
              <w:rPr>
                <w:rFonts w:eastAsia="Times New Roman" w:cs="Arial"/>
                <w:snapToGrid w:val="0"/>
                <w:szCs w:val="20"/>
              </w:rPr>
              <w:t>A significantly reduced proposed price (PSD 1728, p</w:t>
            </w:r>
            <w:r>
              <w:rPr>
                <w:rFonts w:eastAsia="Times New Roman" w:cs="Arial"/>
                <w:snapToGrid w:val="0"/>
                <w:szCs w:val="20"/>
              </w:rPr>
              <w:t>.</w:t>
            </w:r>
            <w:r w:rsidRPr="009F563D">
              <w:rPr>
                <w:rFonts w:eastAsia="Times New Roman" w:cs="Arial"/>
                <w:snapToGrid w:val="0"/>
                <w:szCs w:val="20"/>
              </w:rPr>
              <w:t>7)</w:t>
            </w:r>
          </w:p>
        </w:tc>
        <w:tc>
          <w:tcPr>
            <w:tcW w:w="2644" w:type="pct"/>
          </w:tcPr>
          <w:p w14:paraId="403BB430" w14:textId="4AD42136" w:rsidR="00C10BB2" w:rsidRPr="00CE28E3" w:rsidRDefault="00E42C35" w:rsidP="00234A8F">
            <w:pPr>
              <w:pStyle w:val="TableText"/>
              <w:spacing w:before="0" w:after="0"/>
              <w:rPr>
                <w:rFonts w:eastAsia="Times New Roman" w:cs="Arial"/>
                <w:snapToGrid w:val="0"/>
                <w:szCs w:val="20"/>
              </w:rPr>
            </w:pPr>
            <w:r w:rsidRPr="00B866BA">
              <w:rPr>
                <w:rFonts w:eastAsia="Times New Roman" w:cs="Arial"/>
                <w:snapToGrid w:val="0"/>
                <w:szCs w:val="20"/>
              </w:rPr>
              <w:t>Addressed.</w:t>
            </w:r>
            <w:r>
              <w:rPr>
                <w:rFonts w:eastAsia="Times New Roman" w:cs="Arial"/>
                <w:snapToGrid w:val="0"/>
                <w:szCs w:val="20"/>
              </w:rPr>
              <w:br/>
            </w:r>
            <w:r w:rsidR="000A07EF">
              <w:rPr>
                <w:rFonts w:eastAsia="Times New Roman" w:cs="Arial"/>
                <w:snapToGrid w:val="0"/>
                <w:szCs w:val="20"/>
              </w:rPr>
              <w:t xml:space="preserve">The proposed price of </w:t>
            </w:r>
            <w:r w:rsidR="001075CD">
              <w:rPr>
                <w:rFonts w:eastAsia="Times New Roman" w:cs="Arial"/>
                <w:snapToGrid w:val="0"/>
                <w:szCs w:val="20"/>
              </w:rPr>
              <w:t xml:space="preserve">ED </w:t>
            </w:r>
            <w:r w:rsidR="00393C89">
              <w:rPr>
                <w:rFonts w:eastAsia="Times New Roman" w:cs="Arial"/>
                <w:snapToGrid w:val="0"/>
                <w:szCs w:val="20"/>
              </w:rPr>
              <w:t>(per</w:t>
            </w:r>
            <w:r w:rsidR="003A2523">
              <w:rPr>
                <w:rFonts w:eastAsia="Times New Roman" w:cs="Arial"/>
                <w:snapToGrid w:val="0"/>
                <w:szCs w:val="20"/>
              </w:rPr>
              <w:t xml:space="preserve"> infusion</w:t>
            </w:r>
            <w:r w:rsidR="00393C89">
              <w:rPr>
                <w:rFonts w:eastAsia="Times New Roman" w:cs="Arial"/>
                <w:snapToGrid w:val="0"/>
                <w:szCs w:val="20"/>
              </w:rPr>
              <w:t>)</w:t>
            </w:r>
            <w:r w:rsidR="003A2523">
              <w:rPr>
                <w:rFonts w:eastAsia="Times New Roman" w:cs="Arial"/>
                <w:snapToGrid w:val="0"/>
                <w:szCs w:val="20"/>
              </w:rPr>
              <w:t xml:space="preserve"> </w:t>
            </w:r>
            <w:r w:rsidR="00625060">
              <w:rPr>
                <w:rFonts w:eastAsia="Times New Roman" w:cs="Arial"/>
                <w:snapToGrid w:val="0"/>
                <w:szCs w:val="20"/>
              </w:rPr>
              <w:t>was</w:t>
            </w:r>
            <w:r w:rsidR="000A07EF">
              <w:rPr>
                <w:rFonts w:eastAsia="Times New Roman" w:cs="Arial"/>
                <w:snapToGrid w:val="0"/>
                <w:szCs w:val="20"/>
              </w:rPr>
              <w:t xml:space="preserve"> reduced from $</w:t>
            </w:r>
            <w:r w:rsidR="00371393" w:rsidRPr="00D84B66">
              <w:rPr>
                <w:rFonts w:eastAsia="Times New Roman" w:cs="Arial"/>
                <w:b/>
                <w:bCs/>
                <w:snapToGrid w:val="0"/>
                <w:szCs w:val="20"/>
              </w:rPr>
              <w:t>redacted</w:t>
            </w:r>
            <w:r w:rsidR="000A07EF">
              <w:rPr>
                <w:rFonts w:eastAsia="Times New Roman" w:cs="Arial"/>
                <w:snapToGrid w:val="0"/>
                <w:szCs w:val="20"/>
              </w:rPr>
              <w:t xml:space="preserve"> </w:t>
            </w:r>
            <w:r w:rsidR="001209F5">
              <w:rPr>
                <w:rFonts w:eastAsia="Times New Roman" w:cs="Arial"/>
                <w:snapToGrid w:val="0"/>
                <w:szCs w:val="20"/>
              </w:rPr>
              <w:t>to $</w:t>
            </w:r>
            <w:r w:rsidR="00371393" w:rsidRPr="006360E9">
              <w:rPr>
                <w:rFonts w:eastAsia="Times New Roman" w:cs="Arial"/>
                <w:b/>
                <w:bCs/>
                <w:snapToGrid w:val="0"/>
                <w:szCs w:val="20"/>
              </w:rPr>
              <w:t>redacted</w:t>
            </w:r>
            <w:r w:rsidR="00371393">
              <w:rPr>
                <w:rFonts w:eastAsia="Times New Roman" w:cs="Arial"/>
                <w:snapToGrid w:val="0"/>
                <w:szCs w:val="20"/>
              </w:rPr>
              <w:t xml:space="preserve"> </w:t>
            </w:r>
            <w:r w:rsidR="00F46CE4">
              <w:rPr>
                <w:rFonts w:eastAsia="Times New Roman" w:cs="Arial"/>
                <w:snapToGrid w:val="0"/>
                <w:szCs w:val="20"/>
              </w:rPr>
              <w:t xml:space="preserve">(a </w:t>
            </w:r>
            <w:r w:rsidR="00371393" w:rsidRPr="006360E9">
              <w:rPr>
                <w:rFonts w:eastAsia="Times New Roman" w:cs="Arial"/>
                <w:b/>
                <w:bCs/>
                <w:snapToGrid w:val="0"/>
                <w:szCs w:val="20"/>
              </w:rPr>
              <w:t>redacted</w:t>
            </w:r>
            <w:r w:rsidR="00F46CE4" w:rsidRPr="00D84B66">
              <w:rPr>
                <w:rFonts w:eastAsia="Times New Roman" w:cs="Arial"/>
                <w:snapToGrid w:val="0"/>
                <w:szCs w:val="20"/>
              </w:rPr>
              <w:t>%</w:t>
            </w:r>
            <w:r w:rsidR="00F46CE4">
              <w:rPr>
                <w:rFonts w:eastAsia="Times New Roman" w:cs="Arial"/>
                <w:snapToGrid w:val="0"/>
                <w:szCs w:val="20"/>
              </w:rPr>
              <w:t xml:space="preserve"> price reduction)</w:t>
            </w:r>
            <w:r w:rsidR="00093083">
              <w:rPr>
                <w:rFonts w:eastAsia="Times New Roman" w:cs="Arial"/>
                <w:snapToGrid w:val="0"/>
                <w:szCs w:val="20"/>
              </w:rPr>
              <w:t xml:space="preserve">. </w:t>
            </w:r>
            <w:r w:rsidR="00355B7A">
              <w:rPr>
                <w:rFonts w:eastAsia="Times New Roman" w:cs="Arial"/>
                <w:snapToGrid w:val="0"/>
                <w:szCs w:val="20"/>
              </w:rPr>
              <w:t>In addition</w:t>
            </w:r>
            <w:r w:rsidR="00355B7A" w:rsidRPr="00B830FB">
              <w:rPr>
                <w:rFonts w:eastAsia="Times New Roman" w:cs="Arial"/>
                <w:snapToGrid w:val="0"/>
                <w:szCs w:val="20"/>
              </w:rPr>
              <w:t xml:space="preserve">, </w:t>
            </w:r>
            <w:r w:rsidR="00F10878" w:rsidRPr="00F10878">
              <w:rPr>
                <w:rFonts w:eastAsia="Times New Roman" w:cs="Arial"/>
                <w:b/>
                <w:bCs/>
                <w:snapToGrid w:val="0"/>
                <w:szCs w:val="20"/>
              </w:rPr>
              <w:t>redacted</w:t>
            </w:r>
            <w:r w:rsidR="00696992">
              <w:rPr>
                <w:rFonts w:eastAsia="Times New Roman" w:cs="Arial"/>
                <w:snapToGrid w:val="0"/>
                <w:szCs w:val="20"/>
              </w:rPr>
              <w:t xml:space="preserve"> </w:t>
            </w:r>
            <w:r w:rsidR="008D1554">
              <w:rPr>
                <w:rFonts w:eastAsia="Times New Roman" w:cs="Arial"/>
                <w:snapToGrid w:val="0"/>
                <w:szCs w:val="20"/>
              </w:rPr>
              <w:t>($</w:t>
            </w:r>
            <w:r w:rsidR="00371393" w:rsidRPr="006360E9">
              <w:rPr>
                <w:rFonts w:eastAsia="Times New Roman" w:cs="Arial"/>
                <w:b/>
                <w:bCs/>
                <w:snapToGrid w:val="0"/>
                <w:szCs w:val="20"/>
              </w:rPr>
              <w:t>redacted</w:t>
            </w:r>
            <w:r w:rsidR="00371393">
              <w:rPr>
                <w:rFonts w:eastAsia="Times New Roman" w:cs="Arial"/>
                <w:snapToGrid w:val="0"/>
                <w:szCs w:val="20"/>
              </w:rPr>
              <w:t xml:space="preserve"> </w:t>
            </w:r>
            <w:r w:rsidR="00355B7A">
              <w:rPr>
                <w:rFonts w:eastAsia="Times New Roman" w:cs="Arial"/>
                <w:snapToGrid w:val="0"/>
                <w:szCs w:val="20"/>
              </w:rPr>
              <w:t>per year</w:t>
            </w:r>
            <w:r w:rsidR="008D1554">
              <w:rPr>
                <w:rFonts w:eastAsia="Times New Roman" w:cs="Arial"/>
                <w:snapToGrid w:val="0"/>
                <w:szCs w:val="20"/>
              </w:rPr>
              <w:t xml:space="preserve">) </w:t>
            </w:r>
            <w:r w:rsidR="00696992">
              <w:rPr>
                <w:rFonts w:eastAsia="Times New Roman" w:cs="Arial"/>
                <w:snapToGrid w:val="0"/>
                <w:szCs w:val="20"/>
              </w:rPr>
              <w:t xml:space="preserve">over a </w:t>
            </w:r>
            <w:r w:rsidR="00371393" w:rsidRPr="006360E9">
              <w:rPr>
                <w:rFonts w:eastAsia="Times New Roman" w:cs="Arial"/>
                <w:b/>
                <w:bCs/>
                <w:snapToGrid w:val="0"/>
                <w:szCs w:val="20"/>
              </w:rPr>
              <w:t>redacted</w:t>
            </w:r>
            <w:r w:rsidR="00371393">
              <w:rPr>
                <w:rFonts w:eastAsia="Times New Roman" w:cs="Arial"/>
                <w:snapToGrid w:val="0"/>
                <w:szCs w:val="20"/>
              </w:rPr>
              <w:t xml:space="preserve"> </w:t>
            </w:r>
            <w:r w:rsidR="00696992">
              <w:rPr>
                <w:rFonts w:eastAsia="Times New Roman" w:cs="Arial"/>
                <w:snapToGrid w:val="0"/>
                <w:szCs w:val="20"/>
              </w:rPr>
              <w:t>period</w:t>
            </w:r>
            <w:r w:rsidR="00E94039">
              <w:rPr>
                <w:rFonts w:eastAsia="Times New Roman" w:cs="Arial"/>
                <w:snapToGrid w:val="0"/>
                <w:szCs w:val="20"/>
              </w:rPr>
              <w:t xml:space="preserve"> </w:t>
            </w:r>
            <w:r w:rsidR="000B74B9">
              <w:rPr>
                <w:rFonts w:eastAsia="Times New Roman" w:cs="Arial"/>
                <w:snapToGrid w:val="0"/>
                <w:szCs w:val="20"/>
              </w:rPr>
              <w:t>in an</w:t>
            </w:r>
            <w:r w:rsidR="00F05386">
              <w:rPr>
                <w:rFonts w:eastAsia="Times New Roman" w:cs="Arial"/>
                <w:snapToGrid w:val="0"/>
                <w:szCs w:val="20"/>
              </w:rPr>
              <w:t xml:space="preserve"> </w:t>
            </w:r>
            <w:r w:rsidR="000B74B9">
              <w:rPr>
                <w:rFonts w:eastAsia="Times New Roman" w:cs="Arial"/>
                <w:snapToGrid w:val="0"/>
                <w:szCs w:val="20"/>
              </w:rPr>
              <w:t xml:space="preserve">outcomes-based </w:t>
            </w:r>
            <w:r w:rsidR="00F05386">
              <w:rPr>
                <w:rFonts w:eastAsia="Times New Roman" w:cs="Arial"/>
                <w:snapToGrid w:val="0"/>
                <w:szCs w:val="20"/>
              </w:rPr>
              <w:t>risk</w:t>
            </w:r>
            <w:r w:rsidR="000B74B9">
              <w:rPr>
                <w:rFonts w:eastAsia="Times New Roman" w:cs="Arial"/>
                <w:snapToGrid w:val="0"/>
                <w:szCs w:val="20"/>
              </w:rPr>
              <w:t xml:space="preserve"> </w:t>
            </w:r>
            <w:r w:rsidR="00F05386">
              <w:rPr>
                <w:rFonts w:eastAsia="Times New Roman" w:cs="Arial"/>
                <w:snapToGrid w:val="0"/>
                <w:szCs w:val="20"/>
              </w:rPr>
              <w:t>shar</w:t>
            </w:r>
            <w:r w:rsidR="000B74B9">
              <w:rPr>
                <w:rFonts w:eastAsia="Times New Roman" w:cs="Arial"/>
                <w:snapToGrid w:val="0"/>
                <w:szCs w:val="20"/>
              </w:rPr>
              <w:t>ing</w:t>
            </w:r>
            <w:r w:rsidR="00F05386">
              <w:rPr>
                <w:rFonts w:eastAsia="Times New Roman" w:cs="Arial"/>
                <w:snapToGrid w:val="0"/>
                <w:szCs w:val="20"/>
              </w:rPr>
              <w:t xml:space="preserve"> </w:t>
            </w:r>
            <w:r w:rsidR="000B74B9">
              <w:rPr>
                <w:rFonts w:eastAsia="Times New Roman" w:cs="Arial"/>
                <w:snapToGrid w:val="0"/>
                <w:szCs w:val="20"/>
              </w:rPr>
              <w:t>arrangement</w:t>
            </w:r>
            <w:r w:rsidR="00696992">
              <w:rPr>
                <w:rFonts w:eastAsia="Times New Roman" w:cs="Arial"/>
                <w:snapToGrid w:val="0"/>
                <w:szCs w:val="20"/>
              </w:rPr>
              <w:t>.</w:t>
            </w:r>
          </w:p>
        </w:tc>
      </w:tr>
      <w:tr w:rsidR="00C10BB2" w:rsidRPr="00CE28E3" w14:paraId="0A0D21A0" w14:textId="77777777" w:rsidTr="00B05929">
        <w:trPr>
          <w:cantSplit/>
        </w:trPr>
        <w:tc>
          <w:tcPr>
            <w:tcW w:w="862" w:type="pct"/>
          </w:tcPr>
          <w:p w14:paraId="29C5AE1C" w14:textId="4FB36366" w:rsidR="00C10BB2" w:rsidRPr="00CE28E3" w:rsidRDefault="003A3057" w:rsidP="00234A8F">
            <w:pPr>
              <w:pStyle w:val="TableText"/>
              <w:spacing w:before="0" w:after="0"/>
            </w:pPr>
            <w:r>
              <w:t xml:space="preserve">Clinical </w:t>
            </w:r>
            <w:r w:rsidR="00333FA0">
              <w:t>safety and effectiveness</w:t>
            </w:r>
          </w:p>
        </w:tc>
        <w:tc>
          <w:tcPr>
            <w:tcW w:w="1494" w:type="pct"/>
          </w:tcPr>
          <w:p w14:paraId="1FB52863" w14:textId="56F24CA8" w:rsidR="00C10BB2" w:rsidRPr="00CE28E3" w:rsidRDefault="00AA425C" w:rsidP="00234A8F">
            <w:pPr>
              <w:pStyle w:val="TableText"/>
              <w:spacing w:before="0" w:after="0"/>
              <w:rPr>
                <w:rFonts w:eastAsia="Times New Roman" w:cs="Arial"/>
                <w:snapToGrid w:val="0"/>
                <w:szCs w:val="20"/>
              </w:rPr>
            </w:pPr>
            <w:r>
              <w:rPr>
                <w:rFonts w:eastAsia="Times New Roman" w:cs="Arial"/>
                <w:snapToGrid w:val="0"/>
                <w:szCs w:val="20"/>
              </w:rPr>
              <w:t>A</w:t>
            </w:r>
            <w:r w:rsidRPr="00AA425C">
              <w:rPr>
                <w:rFonts w:eastAsia="Times New Roman" w:cs="Arial"/>
                <w:snapToGrid w:val="0"/>
                <w:szCs w:val="20"/>
              </w:rPr>
              <w:t>dditional longer-term clinical evidence from HOPE-B study</w:t>
            </w:r>
            <w:r w:rsidR="000049AC">
              <w:rPr>
                <w:rFonts w:eastAsia="Times New Roman" w:cs="Arial"/>
                <w:snapToGrid w:val="0"/>
                <w:szCs w:val="20"/>
              </w:rPr>
              <w:t xml:space="preserve"> </w:t>
            </w:r>
            <w:r w:rsidR="000049AC" w:rsidRPr="009F563D">
              <w:rPr>
                <w:rFonts w:eastAsia="Times New Roman" w:cs="Arial"/>
                <w:snapToGrid w:val="0"/>
                <w:szCs w:val="20"/>
              </w:rPr>
              <w:t>(PSD 1728, p</w:t>
            </w:r>
            <w:r w:rsidR="000049AC">
              <w:rPr>
                <w:rFonts w:eastAsia="Times New Roman" w:cs="Arial"/>
                <w:snapToGrid w:val="0"/>
                <w:szCs w:val="20"/>
              </w:rPr>
              <w:t>.</w:t>
            </w:r>
            <w:r w:rsidR="000049AC" w:rsidRPr="009F563D">
              <w:rPr>
                <w:rFonts w:eastAsia="Times New Roman" w:cs="Arial"/>
                <w:snapToGrid w:val="0"/>
                <w:szCs w:val="20"/>
              </w:rPr>
              <w:t>7)</w:t>
            </w:r>
          </w:p>
        </w:tc>
        <w:tc>
          <w:tcPr>
            <w:tcW w:w="2644" w:type="pct"/>
          </w:tcPr>
          <w:p w14:paraId="03DB2AFF" w14:textId="66336092" w:rsidR="00C10BB2" w:rsidRPr="00CE28E3" w:rsidRDefault="00594186" w:rsidP="00234A8F">
            <w:pPr>
              <w:pStyle w:val="TableText"/>
              <w:spacing w:before="0" w:after="0"/>
              <w:rPr>
                <w:rFonts w:eastAsia="Times New Roman" w:cs="Arial"/>
                <w:snapToGrid w:val="0"/>
                <w:szCs w:val="20"/>
              </w:rPr>
            </w:pPr>
            <w:r>
              <w:rPr>
                <w:rFonts w:eastAsia="Times New Roman" w:cs="Arial"/>
                <w:snapToGrid w:val="0"/>
                <w:szCs w:val="20"/>
              </w:rPr>
              <w:t>Addressed.</w:t>
            </w:r>
            <w:r>
              <w:rPr>
                <w:rFonts w:eastAsia="Times New Roman" w:cs="Arial"/>
                <w:snapToGrid w:val="0"/>
                <w:szCs w:val="20"/>
              </w:rPr>
              <w:br/>
            </w:r>
            <w:r w:rsidR="00D05499">
              <w:rPr>
                <w:rFonts w:eastAsia="Times New Roman" w:cs="Arial"/>
                <w:snapToGrid w:val="0"/>
                <w:szCs w:val="20"/>
              </w:rPr>
              <w:t xml:space="preserve">Additional 4-year data </w:t>
            </w:r>
            <w:r w:rsidR="00E000CA">
              <w:rPr>
                <w:rFonts w:eastAsia="Times New Roman" w:cs="Arial"/>
                <w:snapToGrid w:val="0"/>
                <w:szCs w:val="20"/>
              </w:rPr>
              <w:t>w</w:t>
            </w:r>
            <w:r w:rsidR="00C21D13">
              <w:rPr>
                <w:rFonts w:eastAsia="Times New Roman" w:cs="Arial"/>
                <w:snapToGrid w:val="0"/>
                <w:szCs w:val="20"/>
              </w:rPr>
              <w:t>ere</w:t>
            </w:r>
            <w:r w:rsidR="00D05499">
              <w:rPr>
                <w:rFonts w:eastAsia="Times New Roman" w:cs="Arial"/>
                <w:snapToGrid w:val="0"/>
                <w:szCs w:val="20"/>
              </w:rPr>
              <w:t xml:space="preserve"> provided from the </w:t>
            </w:r>
            <w:r w:rsidR="004839AE">
              <w:rPr>
                <w:rFonts w:eastAsia="Times New Roman" w:cs="Arial"/>
                <w:snapToGrid w:val="0"/>
                <w:szCs w:val="20"/>
              </w:rPr>
              <w:t>HOPE-B study.</w:t>
            </w:r>
            <w:r w:rsidR="00061637">
              <w:rPr>
                <w:rFonts w:eastAsia="Times New Roman" w:cs="Arial"/>
                <w:snapToGrid w:val="0"/>
                <w:szCs w:val="20"/>
              </w:rPr>
              <w:t xml:space="preserve"> </w:t>
            </w:r>
            <w:r w:rsidR="00C21D13">
              <w:rPr>
                <w:rFonts w:eastAsia="Times New Roman" w:cs="Arial"/>
                <w:snapToGrid w:val="0"/>
                <w:szCs w:val="20"/>
              </w:rPr>
              <w:t>Analysis at this timepoint was</w:t>
            </w:r>
            <w:r w:rsidR="00061637">
              <w:rPr>
                <w:rFonts w:eastAsia="Times New Roman" w:cs="Arial"/>
                <w:snapToGrid w:val="0"/>
                <w:szCs w:val="20"/>
              </w:rPr>
              <w:t xml:space="preserve"> post hoc (no CSR was planned </w:t>
            </w:r>
            <w:r w:rsidR="00027330">
              <w:rPr>
                <w:rFonts w:eastAsia="Times New Roman" w:cs="Arial"/>
                <w:snapToGrid w:val="0"/>
                <w:szCs w:val="20"/>
              </w:rPr>
              <w:t xml:space="preserve">at 3 or 4 years). </w:t>
            </w:r>
            <w:r w:rsidR="000A0B21">
              <w:rPr>
                <w:rFonts w:eastAsia="Times New Roman" w:cs="Arial"/>
                <w:snapToGrid w:val="0"/>
                <w:szCs w:val="20"/>
              </w:rPr>
              <w:t xml:space="preserve">The commentary noted that 4-year follow up is not adequate to address the durability of clinical effectiveness or the longer-term risk of adverse effects from </w:t>
            </w:r>
            <w:r w:rsidR="001075CD">
              <w:rPr>
                <w:rFonts w:eastAsia="Times New Roman" w:cs="Arial"/>
                <w:snapToGrid w:val="0"/>
                <w:szCs w:val="20"/>
              </w:rPr>
              <w:t>ED</w:t>
            </w:r>
            <w:r w:rsidR="000A0B21">
              <w:rPr>
                <w:rFonts w:eastAsia="Times New Roman" w:cs="Arial"/>
                <w:snapToGrid w:val="0"/>
                <w:szCs w:val="20"/>
              </w:rPr>
              <w:t xml:space="preserve">. </w:t>
            </w:r>
            <w:r w:rsidR="002319C4" w:rsidRPr="002319C4">
              <w:rPr>
                <w:rFonts w:eastAsia="Times New Roman" w:cs="Arial"/>
                <w:snapToGrid w:val="0"/>
                <w:szCs w:val="20"/>
              </w:rPr>
              <w:t xml:space="preserve">A final analysis </w:t>
            </w:r>
            <w:r w:rsidR="00B76350">
              <w:rPr>
                <w:rFonts w:eastAsia="Times New Roman" w:cs="Arial"/>
                <w:snapToGrid w:val="0"/>
                <w:szCs w:val="20"/>
              </w:rPr>
              <w:t xml:space="preserve">of </w:t>
            </w:r>
            <w:r w:rsidR="00EE6AED">
              <w:rPr>
                <w:rFonts w:eastAsia="Times New Roman" w:cs="Arial"/>
                <w:snapToGrid w:val="0"/>
                <w:szCs w:val="20"/>
              </w:rPr>
              <w:t>effectiveness</w:t>
            </w:r>
            <w:r w:rsidR="00A53878">
              <w:rPr>
                <w:rFonts w:eastAsia="Times New Roman" w:cs="Arial"/>
                <w:snapToGrid w:val="0"/>
                <w:szCs w:val="20"/>
              </w:rPr>
              <w:t xml:space="preserve"> and safety</w:t>
            </w:r>
            <w:r w:rsidR="00B76350">
              <w:rPr>
                <w:rFonts w:eastAsia="Times New Roman" w:cs="Arial"/>
                <w:snapToGrid w:val="0"/>
                <w:szCs w:val="20"/>
              </w:rPr>
              <w:t xml:space="preserve"> from HOPE-B </w:t>
            </w:r>
            <w:r w:rsidR="002319C4" w:rsidRPr="002319C4">
              <w:rPr>
                <w:rFonts w:eastAsia="Times New Roman" w:cs="Arial"/>
                <w:snapToGrid w:val="0"/>
                <w:szCs w:val="20"/>
              </w:rPr>
              <w:t>will be performed at approximately 5</w:t>
            </w:r>
            <w:r w:rsidR="002319C4">
              <w:rPr>
                <w:rFonts w:eastAsia="Times New Roman" w:cs="Arial"/>
                <w:snapToGrid w:val="0"/>
                <w:szCs w:val="20"/>
              </w:rPr>
              <w:t xml:space="preserve"> </w:t>
            </w:r>
            <w:r w:rsidR="002319C4" w:rsidRPr="002319C4">
              <w:rPr>
                <w:rFonts w:eastAsia="Times New Roman" w:cs="Arial"/>
                <w:snapToGrid w:val="0"/>
                <w:szCs w:val="20"/>
              </w:rPr>
              <w:t>years post</w:t>
            </w:r>
            <w:r w:rsidR="00923783">
              <w:rPr>
                <w:rFonts w:eastAsia="Times New Roman" w:cs="Arial"/>
                <w:snapToGrid w:val="0"/>
                <w:szCs w:val="20"/>
              </w:rPr>
              <w:t>-</w:t>
            </w:r>
            <w:r w:rsidR="002319C4" w:rsidRPr="002319C4">
              <w:rPr>
                <w:rFonts w:eastAsia="Times New Roman" w:cs="Arial"/>
                <w:snapToGrid w:val="0"/>
                <w:szCs w:val="20"/>
              </w:rPr>
              <w:t>treatment.</w:t>
            </w:r>
            <w:r w:rsidR="00923783">
              <w:rPr>
                <w:rFonts w:eastAsia="Times New Roman" w:cs="Arial"/>
                <w:snapToGrid w:val="0"/>
                <w:szCs w:val="20"/>
              </w:rPr>
              <w:t xml:space="preserve"> </w:t>
            </w:r>
            <w:r w:rsidR="00923783" w:rsidRPr="00923783">
              <w:rPr>
                <w:rFonts w:eastAsia="Times New Roman" w:cs="Arial"/>
                <w:snapToGrid w:val="0"/>
                <w:szCs w:val="20"/>
              </w:rPr>
              <w:t xml:space="preserve">Thereafter, an extension study (NCT05962398) will follow HOPE-B </w:t>
            </w:r>
            <w:r w:rsidR="00923783">
              <w:rPr>
                <w:rFonts w:eastAsia="Times New Roman" w:cs="Arial"/>
                <w:snapToGrid w:val="0"/>
                <w:szCs w:val="20"/>
              </w:rPr>
              <w:t>subjects</w:t>
            </w:r>
            <w:r w:rsidR="00923783" w:rsidRPr="00923783">
              <w:rPr>
                <w:rFonts w:eastAsia="Times New Roman" w:cs="Arial"/>
                <w:snapToGrid w:val="0"/>
                <w:szCs w:val="20"/>
              </w:rPr>
              <w:t xml:space="preserve"> up to 15 years post-treatment (planned study completion in 2035).</w:t>
            </w:r>
          </w:p>
        </w:tc>
      </w:tr>
      <w:tr w:rsidR="00C10BB2" w:rsidRPr="00CE28E3" w14:paraId="0BE51221" w14:textId="77777777" w:rsidTr="00B05929">
        <w:trPr>
          <w:cantSplit/>
        </w:trPr>
        <w:tc>
          <w:tcPr>
            <w:tcW w:w="862" w:type="pct"/>
          </w:tcPr>
          <w:p w14:paraId="63D34EF7" w14:textId="3068183D" w:rsidR="00C10BB2" w:rsidRPr="00CE28E3" w:rsidRDefault="002809C6" w:rsidP="00234A8F">
            <w:pPr>
              <w:pStyle w:val="TableText"/>
              <w:spacing w:before="0" w:after="0"/>
            </w:pPr>
            <w:r>
              <w:lastRenderedPageBreak/>
              <w:t>Clinical safety and effectiveness</w:t>
            </w:r>
          </w:p>
        </w:tc>
        <w:tc>
          <w:tcPr>
            <w:tcW w:w="1494" w:type="pct"/>
          </w:tcPr>
          <w:p w14:paraId="3C894447" w14:textId="6BACAF40" w:rsidR="00C10BB2" w:rsidRPr="00CE28E3" w:rsidRDefault="004E65B4" w:rsidP="00234A8F">
            <w:pPr>
              <w:pStyle w:val="TableText"/>
              <w:spacing w:before="0" w:after="0"/>
              <w:rPr>
                <w:rFonts w:eastAsia="Times New Roman" w:cs="Arial"/>
                <w:snapToGrid w:val="0"/>
                <w:szCs w:val="20"/>
              </w:rPr>
            </w:pPr>
            <w:r>
              <w:rPr>
                <w:rFonts w:eastAsia="Times New Roman" w:cs="Arial"/>
                <w:snapToGrid w:val="0"/>
                <w:szCs w:val="20"/>
              </w:rPr>
              <w:t>E</w:t>
            </w:r>
            <w:r w:rsidRPr="004E65B4">
              <w:rPr>
                <w:rFonts w:eastAsia="Times New Roman" w:cs="Arial"/>
                <w:snapToGrid w:val="0"/>
                <w:szCs w:val="20"/>
              </w:rPr>
              <w:t xml:space="preserve">vidence on FIX consumption, activity, presence/extent of FIX inhibitors after </w:t>
            </w:r>
            <w:r w:rsidR="00D83152">
              <w:rPr>
                <w:rFonts w:eastAsia="Times New Roman" w:cs="Arial"/>
                <w:snapToGrid w:val="0"/>
                <w:szCs w:val="20"/>
              </w:rPr>
              <w:t>ED</w:t>
            </w:r>
            <w:r w:rsidR="00D83152" w:rsidRPr="004E65B4">
              <w:rPr>
                <w:rFonts w:eastAsia="Times New Roman" w:cs="Arial"/>
                <w:snapToGrid w:val="0"/>
                <w:szCs w:val="20"/>
              </w:rPr>
              <w:t xml:space="preserve"> </w:t>
            </w:r>
            <w:r w:rsidRPr="004E65B4">
              <w:rPr>
                <w:rFonts w:eastAsia="Times New Roman" w:cs="Arial"/>
                <w:snapToGrid w:val="0"/>
                <w:szCs w:val="20"/>
              </w:rPr>
              <w:t>treatment for a minimum of 2 years follow-up</w:t>
            </w:r>
            <w:r w:rsidR="000049AC">
              <w:rPr>
                <w:rFonts w:eastAsia="Times New Roman" w:cs="Arial"/>
                <w:snapToGrid w:val="0"/>
                <w:szCs w:val="20"/>
              </w:rPr>
              <w:t xml:space="preserve"> </w:t>
            </w:r>
            <w:r w:rsidR="000049AC" w:rsidRPr="009F563D">
              <w:rPr>
                <w:rFonts w:eastAsia="Times New Roman" w:cs="Arial"/>
                <w:snapToGrid w:val="0"/>
                <w:szCs w:val="20"/>
              </w:rPr>
              <w:t>(PSD 1728, p</w:t>
            </w:r>
            <w:r w:rsidR="000049AC">
              <w:rPr>
                <w:rFonts w:eastAsia="Times New Roman" w:cs="Arial"/>
                <w:snapToGrid w:val="0"/>
                <w:szCs w:val="20"/>
              </w:rPr>
              <w:t>.</w:t>
            </w:r>
            <w:r w:rsidR="000049AC" w:rsidRPr="009F563D">
              <w:rPr>
                <w:rFonts w:eastAsia="Times New Roman" w:cs="Arial"/>
                <w:snapToGrid w:val="0"/>
                <w:szCs w:val="20"/>
              </w:rPr>
              <w:t>7)</w:t>
            </w:r>
          </w:p>
        </w:tc>
        <w:tc>
          <w:tcPr>
            <w:tcW w:w="2644" w:type="pct"/>
          </w:tcPr>
          <w:p w14:paraId="790D3CDE" w14:textId="4A168147" w:rsidR="00C10BB2" w:rsidRPr="00CE28E3" w:rsidRDefault="009D41CE" w:rsidP="00234A8F">
            <w:pPr>
              <w:pStyle w:val="TableText"/>
              <w:spacing w:before="0" w:after="0"/>
              <w:rPr>
                <w:rFonts w:eastAsia="Times New Roman" w:cs="Arial"/>
                <w:snapToGrid w:val="0"/>
              </w:rPr>
            </w:pPr>
            <w:r w:rsidRPr="33644FEB">
              <w:rPr>
                <w:rFonts w:eastAsia="Times New Roman" w:cs="Arial"/>
                <w:snapToGrid w:val="0"/>
              </w:rPr>
              <w:t>Addressed.</w:t>
            </w:r>
            <w:r>
              <w:rPr>
                <w:rFonts w:eastAsia="Times New Roman" w:cs="Arial"/>
                <w:snapToGrid w:val="0"/>
                <w:szCs w:val="20"/>
              </w:rPr>
              <w:br/>
            </w:r>
            <w:r w:rsidRPr="33644FEB">
              <w:rPr>
                <w:rFonts w:eastAsia="Times New Roman" w:cs="Arial"/>
                <w:snapToGrid w:val="0"/>
              </w:rPr>
              <w:t xml:space="preserve">Additional 4-year data </w:t>
            </w:r>
            <w:r w:rsidR="009D7D0C" w:rsidRPr="33644FEB">
              <w:rPr>
                <w:rFonts w:eastAsia="Times New Roman" w:cs="Arial"/>
                <w:snapToGrid w:val="0"/>
              </w:rPr>
              <w:t>from the HOPE-B study</w:t>
            </w:r>
            <w:r w:rsidR="00CE0F18" w:rsidRPr="33644FEB">
              <w:rPr>
                <w:rFonts w:eastAsia="Times New Roman" w:cs="Arial"/>
                <w:snapToGrid w:val="0"/>
              </w:rPr>
              <w:t xml:space="preserve"> were provided</w:t>
            </w:r>
            <w:r w:rsidR="009D7D0C" w:rsidRPr="33644FEB">
              <w:rPr>
                <w:rFonts w:eastAsia="Times New Roman" w:cs="Arial"/>
                <w:snapToGrid w:val="0"/>
              </w:rPr>
              <w:t>, including FIX consumption, activity, presence</w:t>
            </w:r>
            <w:r w:rsidR="00CE0F18" w:rsidRPr="33644FEB">
              <w:rPr>
                <w:rFonts w:eastAsia="Times New Roman" w:cs="Arial"/>
                <w:snapToGrid w:val="0"/>
              </w:rPr>
              <w:t xml:space="preserve"> </w:t>
            </w:r>
            <w:r w:rsidR="009D7D0C" w:rsidRPr="33644FEB">
              <w:rPr>
                <w:rFonts w:eastAsia="Times New Roman" w:cs="Arial"/>
                <w:snapToGrid w:val="0"/>
              </w:rPr>
              <w:t>of FIX inhibitors</w:t>
            </w:r>
            <w:r w:rsidR="001627E8" w:rsidRPr="33644FEB">
              <w:rPr>
                <w:rFonts w:eastAsia="Times New Roman" w:cs="Arial"/>
                <w:snapToGrid w:val="0"/>
              </w:rPr>
              <w:t>.</w:t>
            </w:r>
          </w:p>
        </w:tc>
      </w:tr>
      <w:tr w:rsidR="003A121A" w:rsidRPr="00CE28E3" w14:paraId="0A0B68D1" w14:textId="77777777" w:rsidTr="00B05929">
        <w:trPr>
          <w:cantSplit/>
        </w:trPr>
        <w:tc>
          <w:tcPr>
            <w:tcW w:w="862" w:type="pct"/>
          </w:tcPr>
          <w:p w14:paraId="23F97A4E" w14:textId="71687805" w:rsidR="003A121A" w:rsidRPr="00CE28E3" w:rsidRDefault="002809C6" w:rsidP="00234A8F">
            <w:pPr>
              <w:pStyle w:val="TableText"/>
              <w:spacing w:before="0" w:after="0"/>
            </w:pPr>
            <w:r>
              <w:t xml:space="preserve">Test </w:t>
            </w:r>
            <w:r w:rsidR="00C57217">
              <w:t>validation</w:t>
            </w:r>
          </w:p>
        </w:tc>
        <w:tc>
          <w:tcPr>
            <w:tcW w:w="1494" w:type="pct"/>
          </w:tcPr>
          <w:p w14:paraId="34D5B8CF" w14:textId="51937796" w:rsidR="003A121A" w:rsidRPr="00CE28E3" w:rsidRDefault="003A121A" w:rsidP="00234A8F">
            <w:pPr>
              <w:pStyle w:val="TableText"/>
              <w:spacing w:before="0" w:after="0"/>
              <w:rPr>
                <w:rFonts w:eastAsia="Times New Roman" w:cs="Arial"/>
                <w:snapToGrid w:val="0"/>
                <w:szCs w:val="20"/>
              </w:rPr>
            </w:pPr>
            <w:r>
              <w:rPr>
                <w:rFonts w:eastAsia="Times New Roman" w:cs="Arial"/>
                <w:snapToGrid w:val="0"/>
                <w:szCs w:val="20"/>
              </w:rPr>
              <w:t>E</w:t>
            </w:r>
            <w:r w:rsidRPr="0017771B">
              <w:rPr>
                <w:rFonts w:eastAsia="Times New Roman" w:cs="Arial"/>
                <w:snapToGrid w:val="0"/>
                <w:szCs w:val="20"/>
              </w:rPr>
              <w:t xml:space="preserve">vidence on anti-AAV5 </w:t>
            </w:r>
            <w:proofErr w:type="spellStart"/>
            <w:r w:rsidRPr="0017771B">
              <w:rPr>
                <w:rFonts w:eastAsia="Times New Roman" w:cs="Arial"/>
                <w:snapToGrid w:val="0"/>
                <w:szCs w:val="20"/>
              </w:rPr>
              <w:t>NAb</w:t>
            </w:r>
            <w:proofErr w:type="spellEnd"/>
            <w:r w:rsidRPr="0017771B">
              <w:rPr>
                <w:rFonts w:eastAsia="Times New Roman" w:cs="Arial"/>
                <w:snapToGrid w:val="0"/>
                <w:szCs w:val="20"/>
              </w:rPr>
              <w:t xml:space="preserve"> assay performance, validity, reproducibility and clinically meaningful threshold (consistent with post-marketing registration requirements)</w:t>
            </w:r>
            <w:r w:rsidR="000049AC">
              <w:rPr>
                <w:rFonts w:eastAsia="Times New Roman" w:cs="Arial"/>
                <w:snapToGrid w:val="0"/>
                <w:szCs w:val="20"/>
              </w:rPr>
              <w:t xml:space="preserve"> </w:t>
            </w:r>
            <w:r w:rsidR="000049AC" w:rsidRPr="009F563D">
              <w:rPr>
                <w:rFonts w:eastAsia="Times New Roman" w:cs="Arial"/>
                <w:snapToGrid w:val="0"/>
                <w:szCs w:val="20"/>
              </w:rPr>
              <w:t>(PSD 1728, p</w:t>
            </w:r>
            <w:r w:rsidR="000049AC">
              <w:rPr>
                <w:rFonts w:eastAsia="Times New Roman" w:cs="Arial"/>
                <w:snapToGrid w:val="0"/>
                <w:szCs w:val="20"/>
              </w:rPr>
              <w:t>.</w:t>
            </w:r>
            <w:r w:rsidR="000049AC" w:rsidRPr="009F563D">
              <w:rPr>
                <w:rFonts w:eastAsia="Times New Roman" w:cs="Arial"/>
                <w:snapToGrid w:val="0"/>
                <w:szCs w:val="20"/>
              </w:rPr>
              <w:t>7)</w:t>
            </w:r>
          </w:p>
        </w:tc>
        <w:tc>
          <w:tcPr>
            <w:tcW w:w="2644" w:type="pct"/>
          </w:tcPr>
          <w:p w14:paraId="40E04A22" w14:textId="64E47D21" w:rsidR="003A121A" w:rsidRDefault="005741D6" w:rsidP="00234A8F">
            <w:pPr>
              <w:pStyle w:val="TableText"/>
              <w:spacing w:before="0" w:after="0"/>
              <w:rPr>
                <w:rFonts w:eastAsia="Times New Roman" w:cs="Arial"/>
                <w:snapToGrid w:val="0"/>
                <w:szCs w:val="20"/>
              </w:rPr>
            </w:pPr>
            <w:r w:rsidRPr="00940112">
              <w:rPr>
                <w:rFonts w:eastAsia="Times New Roman" w:cs="Arial"/>
                <w:snapToGrid w:val="0"/>
                <w:szCs w:val="20"/>
              </w:rPr>
              <w:t>Not adequately addressed.</w:t>
            </w:r>
            <w:r>
              <w:rPr>
                <w:rFonts w:eastAsia="Times New Roman" w:cs="Arial"/>
                <w:snapToGrid w:val="0"/>
                <w:szCs w:val="20"/>
              </w:rPr>
              <w:br/>
            </w:r>
            <w:r w:rsidR="00CA6D6D" w:rsidRPr="00940112">
              <w:rPr>
                <w:rFonts w:eastAsia="Times New Roman" w:cs="Arial"/>
                <w:snapToGrid w:val="0"/>
                <w:szCs w:val="20"/>
              </w:rPr>
              <w:t>After MSAC consideration of ADAR 1728, t</w:t>
            </w:r>
            <w:r w:rsidR="003B186B" w:rsidRPr="00940112">
              <w:rPr>
                <w:rFonts w:eastAsia="Times New Roman" w:cs="Arial"/>
                <w:snapToGrid w:val="0"/>
                <w:szCs w:val="20"/>
              </w:rPr>
              <w:t xml:space="preserve">he FDA provided notification to CSL Behring that the post-marketing requirement ‘to validate a sensitive and accurate assay for the detection of anti-AAV5 </w:t>
            </w:r>
            <w:proofErr w:type="spellStart"/>
            <w:r w:rsidR="003B186B" w:rsidRPr="00940112">
              <w:rPr>
                <w:rFonts w:eastAsia="Times New Roman" w:cs="Arial"/>
                <w:snapToGrid w:val="0"/>
                <w:szCs w:val="20"/>
              </w:rPr>
              <w:t>NAbs</w:t>
            </w:r>
            <w:proofErr w:type="spellEnd"/>
            <w:r w:rsidR="003B186B" w:rsidRPr="00940112">
              <w:rPr>
                <w:rFonts w:eastAsia="Times New Roman" w:cs="Arial"/>
                <w:snapToGrid w:val="0"/>
                <w:szCs w:val="20"/>
              </w:rPr>
              <w:t xml:space="preserve">, specifically to detect anti-AAV5 </w:t>
            </w:r>
            <w:proofErr w:type="spellStart"/>
            <w:r w:rsidR="003B186B" w:rsidRPr="00940112">
              <w:rPr>
                <w:rFonts w:eastAsia="Times New Roman" w:cs="Arial"/>
                <w:snapToGrid w:val="0"/>
                <w:szCs w:val="20"/>
              </w:rPr>
              <w:t>NAb</w:t>
            </w:r>
            <w:proofErr w:type="spellEnd"/>
            <w:r w:rsidR="003B186B" w:rsidRPr="00940112">
              <w:rPr>
                <w:rFonts w:eastAsia="Times New Roman" w:cs="Arial"/>
                <w:snapToGrid w:val="0"/>
                <w:szCs w:val="20"/>
              </w:rPr>
              <w:t xml:space="preserve"> titres up to 1:1400 or higher’ ha</w:t>
            </w:r>
            <w:r w:rsidR="00A075E0" w:rsidRPr="00940112">
              <w:rPr>
                <w:rFonts w:eastAsia="Times New Roman" w:cs="Arial"/>
                <w:snapToGrid w:val="0"/>
                <w:szCs w:val="20"/>
              </w:rPr>
              <w:t>d</w:t>
            </w:r>
            <w:r w:rsidR="003B186B" w:rsidRPr="00940112">
              <w:rPr>
                <w:rFonts w:eastAsia="Times New Roman" w:cs="Arial"/>
                <w:snapToGrid w:val="0"/>
                <w:szCs w:val="20"/>
              </w:rPr>
              <w:t xml:space="preserve"> been fulfilled.</w:t>
            </w:r>
            <w:r w:rsidR="00684BF5" w:rsidRPr="00940112">
              <w:rPr>
                <w:rFonts w:eastAsia="Times New Roman" w:cs="Arial"/>
                <w:snapToGrid w:val="0"/>
                <w:szCs w:val="20"/>
              </w:rPr>
              <w:t xml:space="preserve"> However, the only new information presented </w:t>
            </w:r>
            <w:r w:rsidR="004869F8" w:rsidRPr="00940112">
              <w:rPr>
                <w:rFonts w:eastAsia="Times New Roman" w:cs="Arial"/>
                <w:snapToGrid w:val="0"/>
                <w:szCs w:val="20"/>
              </w:rPr>
              <w:t xml:space="preserve">in the ADAR </w:t>
            </w:r>
            <w:r w:rsidR="009749F6">
              <w:rPr>
                <w:rFonts w:eastAsia="Times New Roman" w:cs="Arial"/>
                <w:snapToGrid w:val="0"/>
                <w:szCs w:val="20"/>
              </w:rPr>
              <w:t xml:space="preserve">was </w:t>
            </w:r>
            <w:r w:rsidR="00684BF5" w:rsidRPr="00940112">
              <w:rPr>
                <w:rFonts w:eastAsia="Times New Roman" w:cs="Arial"/>
                <w:snapToGrid w:val="0"/>
                <w:szCs w:val="20"/>
              </w:rPr>
              <w:t xml:space="preserve">related to test turnaround time and test failures (a statement from the third-party supplier) and updated data on the predictive value of the test on response to </w:t>
            </w:r>
            <w:r w:rsidR="00D83152">
              <w:rPr>
                <w:rFonts w:eastAsia="Times New Roman" w:cs="Arial"/>
                <w:snapToGrid w:val="0"/>
                <w:szCs w:val="20"/>
              </w:rPr>
              <w:t>ED</w:t>
            </w:r>
            <w:r w:rsidR="00D83152" w:rsidRPr="00940112">
              <w:rPr>
                <w:rFonts w:eastAsia="Times New Roman" w:cs="Arial"/>
                <w:snapToGrid w:val="0"/>
                <w:szCs w:val="20"/>
              </w:rPr>
              <w:t xml:space="preserve"> </w:t>
            </w:r>
            <w:r w:rsidR="00684BF5" w:rsidRPr="00940112">
              <w:rPr>
                <w:rFonts w:eastAsia="Times New Roman" w:cs="Arial"/>
                <w:snapToGrid w:val="0"/>
                <w:szCs w:val="20"/>
              </w:rPr>
              <w:t>at 4 years.</w:t>
            </w:r>
          </w:p>
          <w:p w14:paraId="061FB911" w14:textId="1469E525" w:rsidR="00794CA0" w:rsidRPr="00CE28E3" w:rsidRDefault="004869F8" w:rsidP="00234A8F">
            <w:pPr>
              <w:pStyle w:val="TableText"/>
              <w:spacing w:before="0" w:after="0"/>
              <w:rPr>
                <w:rFonts w:eastAsia="Times New Roman" w:cs="Arial"/>
                <w:snapToGrid w:val="0"/>
                <w:szCs w:val="20"/>
              </w:rPr>
            </w:pPr>
            <w:r w:rsidRPr="00940112">
              <w:rPr>
                <w:rFonts w:eastAsia="Times New Roman" w:cs="Arial"/>
                <w:snapToGrid w:val="0"/>
                <w:szCs w:val="20"/>
              </w:rPr>
              <w:t>T</w:t>
            </w:r>
            <w:r w:rsidR="00794CA0" w:rsidRPr="00940112">
              <w:rPr>
                <w:rFonts w:eastAsia="Times New Roman" w:cs="Arial"/>
                <w:snapToGrid w:val="0"/>
                <w:szCs w:val="20"/>
              </w:rPr>
              <w:t xml:space="preserve">he data presented in the ADAR for the 9-point assay </w:t>
            </w:r>
            <w:r w:rsidR="00625060" w:rsidRPr="00940112">
              <w:rPr>
                <w:rFonts w:eastAsia="Times New Roman" w:cs="Arial"/>
                <w:snapToGrid w:val="0"/>
                <w:szCs w:val="20"/>
              </w:rPr>
              <w:t>we</w:t>
            </w:r>
            <w:r w:rsidR="00794CA0" w:rsidRPr="00940112">
              <w:rPr>
                <w:rFonts w:eastAsia="Times New Roman" w:cs="Arial"/>
                <w:snapToGrid w:val="0"/>
                <w:szCs w:val="20"/>
              </w:rPr>
              <w:t>re insufficient to demonstrate the appropriateness of the proposed threshold.</w:t>
            </w:r>
            <w:r w:rsidR="00DE0C23">
              <w:rPr>
                <w:rFonts w:eastAsia="Times New Roman" w:cs="Arial"/>
                <w:snapToGrid w:val="0"/>
                <w:szCs w:val="20"/>
              </w:rPr>
              <w:t xml:space="preserve"> </w:t>
            </w:r>
          </w:p>
        </w:tc>
      </w:tr>
      <w:tr w:rsidR="00CB10CB" w:rsidRPr="00CE28E3" w14:paraId="401272CC" w14:textId="77777777" w:rsidTr="00B05929">
        <w:trPr>
          <w:cantSplit/>
        </w:trPr>
        <w:tc>
          <w:tcPr>
            <w:tcW w:w="862" w:type="pct"/>
          </w:tcPr>
          <w:p w14:paraId="63E95FED" w14:textId="5B518515" w:rsidR="00CB10CB" w:rsidRDefault="000D39BF" w:rsidP="00234A8F">
            <w:pPr>
              <w:pStyle w:val="TableText"/>
              <w:spacing w:before="0" w:after="0"/>
            </w:pPr>
            <w:r>
              <w:t>Eligi</w:t>
            </w:r>
            <w:r w:rsidR="00A14BED">
              <w:t>bility</w:t>
            </w:r>
            <w:r w:rsidR="00423F28">
              <w:t xml:space="preserve"> </w:t>
            </w:r>
            <w:r w:rsidR="00A14BED">
              <w:t>requirements</w:t>
            </w:r>
          </w:p>
        </w:tc>
        <w:tc>
          <w:tcPr>
            <w:tcW w:w="1494" w:type="pct"/>
          </w:tcPr>
          <w:p w14:paraId="0B12038F" w14:textId="40858E67" w:rsidR="00CB10CB" w:rsidRDefault="00CB10CB" w:rsidP="00234A8F">
            <w:pPr>
              <w:pStyle w:val="TableText"/>
              <w:spacing w:before="0" w:after="0"/>
              <w:rPr>
                <w:rFonts w:eastAsia="Times New Roman" w:cs="Arial"/>
                <w:snapToGrid w:val="0"/>
                <w:szCs w:val="20"/>
              </w:rPr>
            </w:pPr>
            <w:r>
              <w:rPr>
                <w:rFonts w:eastAsia="Times New Roman" w:cs="Arial"/>
                <w:snapToGrid w:val="0"/>
                <w:szCs w:val="20"/>
              </w:rPr>
              <w:t>A</w:t>
            </w:r>
            <w:r w:rsidRPr="00CB10CB">
              <w:rPr>
                <w:rFonts w:eastAsia="Times New Roman" w:cs="Arial"/>
                <w:snapToGrid w:val="0"/>
                <w:szCs w:val="20"/>
              </w:rPr>
              <w:t xml:space="preserve"> codependent application for </w:t>
            </w:r>
            <w:r w:rsidR="00D83152">
              <w:rPr>
                <w:rFonts w:eastAsia="Times New Roman" w:cs="Arial"/>
                <w:snapToGrid w:val="0"/>
                <w:szCs w:val="20"/>
              </w:rPr>
              <w:t>ED</w:t>
            </w:r>
            <w:r w:rsidR="00D83152" w:rsidRPr="00CB10CB">
              <w:rPr>
                <w:rFonts w:eastAsia="Times New Roman" w:cs="Arial"/>
                <w:snapToGrid w:val="0"/>
                <w:szCs w:val="20"/>
              </w:rPr>
              <w:t xml:space="preserve"> </w:t>
            </w:r>
            <w:r w:rsidRPr="00CB10CB">
              <w:rPr>
                <w:rFonts w:eastAsia="Times New Roman" w:cs="Arial"/>
                <w:snapToGrid w:val="0"/>
                <w:szCs w:val="20"/>
              </w:rPr>
              <w:t xml:space="preserve">with anti-AAV5 </w:t>
            </w:r>
            <w:proofErr w:type="spellStart"/>
            <w:r w:rsidRPr="00CB10CB">
              <w:rPr>
                <w:rFonts w:eastAsia="Times New Roman" w:cs="Arial"/>
                <w:snapToGrid w:val="0"/>
                <w:szCs w:val="20"/>
              </w:rPr>
              <w:t>NAb</w:t>
            </w:r>
            <w:proofErr w:type="spellEnd"/>
            <w:r w:rsidRPr="00CB10CB">
              <w:rPr>
                <w:rFonts w:eastAsia="Times New Roman" w:cs="Arial"/>
                <w:snapToGrid w:val="0"/>
                <w:szCs w:val="20"/>
              </w:rPr>
              <w:t xml:space="preserve"> testing, including an updated proposed population eligibility criteria that specifies an appropriate anti-AAV5 titre threshold (as above)</w:t>
            </w:r>
          </w:p>
        </w:tc>
        <w:tc>
          <w:tcPr>
            <w:tcW w:w="2644" w:type="pct"/>
          </w:tcPr>
          <w:p w14:paraId="4D1F2D1C" w14:textId="5AA6A701" w:rsidR="00CB10CB" w:rsidRDefault="00B05929" w:rsidP="00234A8F">
            <w:pPr>
              <w:pStyle w:val="TableText"/>
              <w:spacing w:before="0" w:after="0"/>
              <w:rPr>
                <w:rFonts w:eastAsia="Times New Roman" w:cs="Arial"/>
                <w:snapToGrid w:val="0"/>
                <w:szCs w:val="20"/>
              </w:rPr>
            </w:pPr>
            <w:r w:rsidRPr="00B05929">
              <w:rPr>
                <w:rFonts w:eastAsia="Times New Roman" w:cs="Arial"/>
                <w:snapToGrid w:val="0"/>
                <w:szCs w:val="20"/>
              </w:rPr>
              <w:t>A</w:t>
            </w:r>
            <w:r w:rsidR="0052656D" w:rsidRPr="00B05929">
              <w:rPr>
                <w:rFonts w:eastAsia="Times New Roman" w:cs="Arial"/>
                <w:snapToGrid w:val="0"/>
                <w:szCs w:val="20"/>
              </w:rPr>
              <w:t>ddressed.</w:t>
            </w:r>
            <w:r w:rsidR="0052656D">
              <w:rPr>
                <w:rFonts w:eastAsia="Times New Roman" w:cs="Arial"/>
                <w:snapToGrid w:val="0"/>
                <w:szCs w:val="20"/>
              </w:rPr>
              <w:br/>
            </w:r>
            <w:r w:rsidR="006D7E9D" w:rsidRPr="00940112">
              <w:rPr>
                <w:rFonts w:eastAsia="Times New Roman" w:cs="Arial"/>
                <w:snapToGrid w:val="0"/>
                <w:szCs w:val="20"/>
              </w:rPr>
              <w:t>U</w:t>
            </w:r>
            <w:r w:rsidR="0052656D" w:rsidRPr="00940112">
              <w:rPr>
                <w:rFonts w:eastAsia="Times New Roman" w:cs="Arial"/>
                <w:snapToGrid w:val="0"/>
                <w:szCs w:val="20"/>
              </w:rPr>
              <w:t xml:space="preserve">pdated </w:t>
            </w:r>
            <w:r w:rsidR="006D7E9D" w:rsidRPr="00940112">
              <w:rPr>
                <w:rFonts w:eastAsia="Times New Roman" w:cs="Arial"/>
                <w:snapToGrid w:val="0"/>
                <w:szCs w:val="20"/>
              </w:rPr>
              <w:t xml:space="preserve">eligibility criteria </w:t>
            </w:r>
            <w:r w:rsidR="00625060" w:rsidRPr="00940112">
              <w:rPr>
                <w:rFonts w:eastAsia="Times New Roman" w:cs="Arial"/>
                <w:snapToGrid w:val="0"/>
                <w:szCs w:val="20"/>
              </w:rPr>
              <w:t>were</w:t>
            </w:r>
            <w:r w:rsidR="006D7E9D" w:rsidRPr="00940112">
              <w:rPr>
                <w:rFonts w:eastAsia="Times New Roman" w:cs="Arial"/>
                <w:snapToGrid w:val="0"/>
                <w:szCs w:val="20"/>
              </w:rPr>
              <w:t xml:space="preserve"> proposed</w:t>
            </w:r>
            <w:r w:rsidR="005643B9" w:rsidRPr="00940112">
              <w:rPr>
                <w:rFonts w:eastAsia="Times New Roman" w:cs="Arial"/>
                <w:snapToGrid w:val="0"/>
                <w:szCs w:val="20"/>
              </w:rPr>
              <w:t>,</w:t>
            </w:r>
            <w:r w:rsidR="006D7E9D" w:rsidRPr="00940112">
              <w:rPr>
                <w:rFonts w:eastAsia="Times New Roman" w:cs="Arial"/>
                <w:snapToGrid w:val="0"/>
                <w:szCs w:val="20"/>
              </w:rPr>
              <w:t xml:space="preserve"> incorporating </w:t>
            </w:r>
            <w:r w:rsidR="005751B3" w:rsidRPr="00940112">
              <w:rPr>
                <w:rFonts w:eastAsia="Times New Roman" w:cs="Arial"/>
                <w:snapToGrid w:val="0"/>
                <w:szCs w:val="20"/>
              </w:rPr>
              <w:t xml:space="preserve">additional </w:t>
            </w:r>
            <w:r w:rsidR="00426D28" w:rsidRPr="00940112">
              <w:rPr>
                <w:rFonts w:eastAsia="Times New Roman" w:cs="Arial"/>
                <w:snapToGrid w:val="0"/>
                <w:szCs w:val="20"/>
              </w:rPr>
              <w:t xml:space="preserve">screening criteria </w:t>
            </w:r>
            <w:r w:rsidR="005751B3" w:rsidRPr="00940112">
              <w:rPr>
                <w:rFonts w:eastAsia="Times New Roman" w:cs="Arial"/>
                <w:snapToGrid w:val="0"/>
                <w:szCs w:val="20"/>
              </w:rPr>
              <w:t xml:space="preserve">and </w:t>
            </w:r>
            <w:r w:rsidR="00846DF8" w:rsidRPr="00940112">
              <w:rPr>
                <w:rFonts w:eastAsia="Times New Roman" w:cs="Arial"/>
                <w:snapToGrid w:val="0"/>
                <w:szCs w:val="20"/>
              </w:rPr>
              <w:t xml:space="preserve">an anti-AAV5 </w:t>
            </w:r>
            <w:proofErr w:type="spellStart"/>
            <w:r w:rsidR="00846DF8" w:rsidRPr="00940112">
              <w:rPr>
                <w:rFonts w:eastAsia="Times New Roman" w:cs="Arial"/>
                <w:snapToGrid w:val="0"/>
                <w:szCs w:val="20"/>
              </w:rPr>
              <w:t>NAb</w:t>
            </w:r>
            <w:proofErr w:type="spellEnd"/>
            <w:r w:rsidR="00846DF8" w:rsidRPr="00940112">
              <w:rPr>
                <w:rFonts w:eastAsia="Times New Roman" w:cs="Arial"/>
                <w:snapToGrid w:val="0"/>
                <w:szCs w:val="20"/>
              </w:rPr>
              <w:t xml:space="preserve"> titre threshold of &lt;1:900</w:t>
            </w:r>
            <w:r w:rsidR="005643B9" w:rsidRPr="00940112">
              <w:rPr>
                <w:rFonts w:eastAsia="Times New Roman" w:cs="Arial"/>
                <w:snapToGrid w:val="0"/>
                <w:szCs w:val="20"/>
              </w:rPr>
              <w:t xml:space="preserve">. </w:t>
            </w:r>
            <w:r w:rsidR="006D4669" w:rsidRPr="00940112">
              <w:rPr>
                <w:rFonts w:eastAsia="Times New Roman" w:cs="Arial"/>
                <w:snapToGrid w:val="0"/>
                <w:szCs w:val="20"/>
              </w:rPr>
              <w:t>T</w:t>
            </w:r>
            <w:r w:rsidR="00966280" w:rsidRPr="00940112">
              <w:rPr>
                <w:rFonts w:eastAsia="Times New Roman" w:cs="Arial"/>
                <w:snapToGrid w:val="0"/>
                <w:szCs w:val="20"/>
              </w:rPr>
              <w:t xml:space="preserve">he </w:t>
            </w:r>
            <w:r w:rsidR="006D4669" w:rsidRPr="00940112">
              <w:rPr>
                <w:rFonts w:eastAsia="Times New Roman" w:cs="Arial"/>
                <w:snapToGrid w:val="0"/>
                <w:szCs w:val="20"/>
              </w:rPr>
              <w:t xml:space="preserve">proposed threshold </w:t>
            </w:r>
            <w:r w:rsidR="00393C89" w:rsidRPr="00940112">
              <w:rPr>
                <w:rFonts w:eastAsia="Times New Roman" w:cs="Arial"/>
                <w:snapToGrid w:val="0"/>
                <w:szCs w:val="20"/>
              </w:rPr>
              <w:t>wa</w:t>
            </w:r>
            <w:r w:rsidR="006D4669" w:rsidRPr="00940112">
              <w:rPr>
                <w:rFonts w:eastAsia="Times New Roman" w:cs="Arial"/>
                <w:snapToGrid w:val="0"/>
                <w:szCs w:val="20"/>
              </w:rPr>
              <w:t xml:space="preserve">s based on limited data </w:t>
            </w:r>
            <w:r w:rsidR="005843E6" w:rsidRPr="00940112">
              <w:rPr>
                <w:rFonts w:eastAsia="Times New Roman" w:cs="Arial"/>
                <w:snapToGrid w:val="0"/>
                <w:szCs w:val="20"/>
              </w:rPr>
              <w:t xml:space="preserve">(33 subjects were pre-treatment titre negative, 21 were titre positive, and only 1 subject had a pre-treatment titre above the proposed threshold). </w:t>
            </w:r>
            <w:r w:rsidR="002B1CC5" w:rsidRPr="00940112">
              <w:rPr>
                <w:rFonts w:eastAsia="Times New Roman" w:cs="Arial"/>
                <w:snapToGrid w:val="0"/>
                <w:szCs w:val="20"/>
              </w:rPr>
              <w:t xml:space="preserve">An FDA mandated study is expected to refine (or re-define) an appropriate threshold for treatment response to </w:t>
            </w:r>
            <w:r w:rsidR="00D83152">
              <w:rPr>
                <w:rFonts w:eastAsia="Times New Roman" w:cs="Arial"/>
                <w:snapToGrid w:val="0"/>
                <w:szCs w:val="20"/>
              </w:rPr>
              <w:t>ED</w:t>
            </w:r>
            <w:r w:rsidR="00D83152" w:rsidRPr="00940112">
              <w:rPr>
                <w:rFonts w:eastAsia="Times New Roman" w:cs="Arial"/>
                <w:snapToGrid w:val="0"/>
                <w:szCs w:val="20"/>
              </w:rPr>
              <w:t xml:space="preserve"> </w:t>
            </w:r>
            <w:r w:rsidR="002B1CC5" w:rsidRPr="00940112">
              <w:rPr>
                <w:rFonts w:eastAsia="Times New Roman" w:cs="Arial"/>
                <w:snapToGrid w:val="0"/>
                <w:szCs w:val="20"/>
              </w:rPr>
              <w:t>but results will not be available before October 2028.</w:t>
            </w:r>
          </w:p>
        </w:tc>
      </w:tr>
      <w:tr w:rsidR="00C10BB2" w:rsidRPr="00CE28E3" w14:paraId="67864FEC" w14:textId="77777777" w:rsidTr="00B05929">
        <w:trPr>
          <w:cantSplit/>
        </w:trPr>
        <w:tc>
          <w:tcPr>
            <w:tcW w:w="862" w:type="pct"/>
          </w:tcPr>
          <w:p w14:paraId="6912D3C3" w14:textId="2B49D783" w:rsidR="00C10BB2" w:rsidRPr="00CE28E3" w:rsidRDefault="00FD34DB" w:rsidP="00234A8F">
            <w:pPr>
              <w:pStyle w:val="TableText"/>
              <w:spacing w:before="0" w:after="0"/>
            </w:pPr>
            <w:r>
              <w:t>Healthcare resource use</w:t>
            </w:r>
          </w:p>
        </w:tc>
        <w:tc>
          <w:tcPr>
            <w:tcW w:w="1494" w:type="pct"/>
          </w:tcPr>
          <w:p w14:paraId="1252CBE4" w14:textId="2B706162" w:rsidR="00C10BB2" w:rsidRPr="00CE28E3" w:rsidRDefault="002F1EEC" w:rsidP="00234A8F">
            <w:pPr>
              <w:pStyle w:val="TableText"/>
              <w:spacing w:before="0" w:after="0"/>
              <w:rPr>
                <w:rFonts w:eastAsia="Times New Roman" w:cs="Arial"/>
                <w:snapToGrid w:val="0"/>
                <w:szCs w:val="20"/>
              </w:rPr>
            </w:pPr>
            <w:r>
              <w:rPr>
                <w:rFonts w:eastAsia="Times New Roman" w:cs="Arial"/>
                <w:snapToGrid w:val="0"/>
                <w:szCs w:val="20"/>
              </w:rPr>
              <w:t>E</w:t>
            </w:r>
            <w:r w:rsidRPr="002F1EEC">
              <w:rPr>
                <w:rFonts w:eastAsia="Times New Roman" w:cs="Arial"/>
                <w:snapToGrid w:val="0"/>
                <w:szCs w:val="20"/>
              </w:rPr>
              <w:t xml:space="preserve">vidence on all healthcare use after </w:t>
            </w:r>
            <w:r w:rsidR="00D83152">
              <w:rPr>
                <w:rFonts w:eastAsia="Times New Roman" w:cs="Arial"/>
                <w:snapToGrid w:val="0"/>
                <w:szCs w:val="20"/>
              </w:rPr>
              <w:t>ED</w:t>
            </w:r>
            <w:r w:rsidR="00D83152" w:rsidRPr="002F1EEC">
              <w:rPr>
                <w:rFonts w:eastAsia="Times New Roman" w:cs="Arial"/>
                <w:snapToGrid w:val="0"/>
                <w:szCs w:val="20"/>
              </w:rPr>
              <w:t xml:space="preserve"> </w:t>
            </w:r>
            <w:r w:rsidRPr="002F1EEC">
              <w:rPr>
                <w:rFonts w:eastAsia="Times New Roman" w:cs="Arial"/>
                <w:snapToGrid w:val="0"/>
                <w:szCs w:val="20"/>
              </w:rPr>
              <w:t>treatment for a minimum of 2 years follow-up</w:t>
            </w:r>
            <w:r w:rsidR="000049AC">
              <w:rPr>
                <w:rFonts w:eastAsia="Times New Roman" w:cs="Arial"/>
                <w:snapToGrid w:val="0"/>
                <w:szCs w:val="20"/>
              </w:rPr>
              <w:t xml:space="preserve"> </w:t>
            </w:r>
            <w:r w:rsidR="000049AC" w:rsidRPr="009F563D">
              <w:rPr>
                <w:rFonts w:eastAsia="Times New Roman" w:cs="Arial"/>
                <w:snapToGrid w:val="0"/>
                <w:szCs w:val="20"/>
              </w:rPr>
              <w:t>(PSD 1728, p</w:t>
            </w:r>
            <w:r w:rsidR="000049AC">
              <w:rPr>
                <w:rFonts w:eastAsia="Times New Roman" w:cs="Arial"/>
                <w:snapToGrid w:val="0"/>
                <w:szCs w:val="20"/>
              </w:rPr>
              <w:t>.</w:t>
            </w:r>
            <w:r w:rsidR="000049AC" w:rsidRPr="009F563D">
              <w:rPr>
                <w:rFonts w:eastAsia="Times New Roman" w:cs="Arial"/>
                <w:snapToGrid w:val="0"/>
                <w:szCs w:val="20"/>
              </w:rPr>
              <w:t>7)</w:t>
            </w:r>
          </w:p>
        </w:tc>
        <w:tc>
          <w:tcPr>
            <w:tcW w:w="2644" w:type="pct"/>
          </w:tcPr>
          <w:p w14:paraId="0D649A76" w14:textId="7B481A7D" w:rsidR="00C10BB2" w:rsidRPr="00CE28E3" w:rsidRDefault="001076EB" w:rsidP="00234A8F">
            <w:pPr>
              <w:pStyle w:val="TableText"/>
              <w:spacing w:before="0" w:after="0"/>
              <w:rPr>
                <w:rFonts w:eastAsia="Times New Roman" w:cs="Arial"/>
                <w:snapToGrid w:val="0"/>
                <w:szCs w:val="20"/>
              </w:rPr>
            </w:pPr>
            <w:r>
              <w:rPr>
                <w:rFonts w:eastAsia="Times New Roman" w:cs="Arial"/>
                <w:snapToGrid w:val="0"/>
                <w:szCs w:val="20"/>
              </w:rPr>
              <w:t>Partially addressed.</w:t>
            </w:r>
            <w:r>
              <w:rPr>
                <w:rFonts w:eastAsia="Times New Roman" w:cs="Arial"/>
                <w:snapToGrid w:val="0"/>
                <w:szCs w:val="20"/>
              </w:rPr>
              <w:br/>
            </w:r>
            <w:r w:rsidR="008B0D78">
              <w:rPr>
                <w:rFonts w:eastAsia="Times New Roman" w:cs="Arial"/>
                <w:snapToGrid w:val="0"/>
                <w:szCs w:val="20"/>
              </w:rPr>
              <w:t xml:space="preserve">Expected healthcare resource use was </w:t>
            </w:r>
            <w:r w:rsidR="008146E8">
              <w:rPr>
                <w:rFonts w:eastAsia="Times New Roman" w:cs="Arial"/>
                <w:snapToGrid w:val="0"/>
                <w:szCs w:val="20"/>
              </w:rPr>
              <w:t xml:space="preserve">derived from the </w:t>
            </w:r>
            <w:r w:rsidR="00D83152">
              <w:rPr>
                <w:rFonts w:eastAsia="Times New Roman" w:cs="Arial"/>
                <w:snapToGrid w:val="0"/>
                <w:szCs w:val="20"/>
              </w:rPr>
              <w:t xml:space="preserve">ED </w:t>
            </w:r>
            <w:r w:rsidR="008146E8">
              <w:rPr>
                <w:rFonts w:eastAsia="Times New Roman" w:cs="Arial"/>
                <w:snapToGrid w:val="0"/>
                <w:szCs w:val="20"/>
              </w:rPr>
              <w:t>PI and consultations with key opinion leaders</w:t>
            </w:r>
            <w:r w:rsidR="00532CBB">
              <w:rPr>
                <w:rFonts w:eastAsia="Times New Roman" w:cs="Arial"/>
                <w:snapToGrid w:val="0"/>
                <w:szCs w:val="20"/>
              </w:rPr>
              <w:t xml:space="preserve">. Direct evidence on healthcare use was not available from the HOPE-B study. </w:t>
            </w:r>
          </w:p>
        </w:tc>
      </w:tr>
      <w:tr w:rsidR="00C10BB2" w:rsidRPr="00CE28E3" w14:paraId="20DCEFC6" w14:textId="77777777" w:rsidTr="00B05929">
        <w:trPr>
          <w:cantSplit/>
        </w:trPr>
        <w:tc>
          <w:tcPr>
            <w:tcW w:w="862" w:type="pct"/>
          </w:tcPr>
          <w:p w14:paraId="26B4ED46" w14:textId="78652032" w:rsidR="00C10BB2" w:rsidRPr="00CE28E3" w:rsidRDefault="00333FA0" w:rsidP="00234A8F">
            <w:pPr>
              <w:pStyle w:val="TableText"/>
              <w:spacing w:before="0" w:after="0"/>
            </w:pPr>
            <w:r>
              <w:t>Economic analysis</w:t>
            </w:r>
          </w:p>
        </w:tc>
        <w:tc>
          <w:tcPr>
            <w:tcW w:w="1494" w:type="pct"/>
          </w:tcPr>
          <w:p w14:paraId="05FF566C" w14:textId="511AD8C8" w:rsidR="00C10BB2" w:rsidRPr="00CE28E3" w:rsidRDefault="00D55D50" w:rsidP="00234A8F">
            <w:pPr>
              <w:pStyle w:val="TableText"/>
              <w:spacing w:before="0" w:after="0"/>
              <w:rPr>
                <w:rFonts w:eastAsia="Times New Roman" w:cs="Arial"/>
                <w:snapToGrid w:val="0"/>
                <w:szCs w:val="20"/>
              </w:rPr>
            </w:pPr>
            <w:r>
              <w:rPr>
                <w:rFonts w:eastAsia="Times New Roman" w:cs="Arial"/>
                <w:snapToGrid w:val="0"/>
                <w:szCs w:val="20"/>
              </w:rPr>
              <w:t>P</w:t>
            </w:r>
            <w:r w:rsidRPr="00D55D50">
              <w:rPr>
                <w:rFonts w:eastAsia="Times New Roman" w:cs="Arial"/>
                <w:snapToGrid w:val="0"/>
                <w:szCs w:val="20"/>
              </w:rPr>
              <w:t>rovide a revised economic evaluation with a new structure that includes health states related to natural history, addresses ESC concerns regarding the extrapolation and threshold for FIX % activity, and reduce the time horizon</w:t>
            </w:r>
            <w:r w:rsidR="000049AC">
              <w:rPr>
                <w:rFonts w:eastAsia="Times New Roman" w:cs="Arial"/>
                <w:snapToGrid w:val="0"/>
                <w:szCs w:val="20"/>
              </w:rPr>
              <w:t xml:space="preserve"> </w:t>
            </w:r>
            <w:r w:rsidR="000049AC" w:rsidRPr="009F563D">
              <w:rPr>
                <w:rFonts w:eastAsia="Times New Roman" w:cs="Arial"/>
                <w:snapToGrid w:val="0"/>
                <w:szCs w:val="20"/>
              </w:rPr>
              <w:t>(PSD 1728, p</w:t>
            </w:r>
            <w:r w:rsidR="000049AC">
              <w:rPr>
                <w:rFonts w:eastAsia="Times New Roman" w:cs="Arial"/>
                <w:snapToGrid w:val="0"/>
                <w:szCs w:val="20"/>
              </w:rPr>
              <w:t>.</w:t>
            </w:r>
            <w:r w:rsidR="000049AC" w:rsidRPr="009F563D">
              <w:rPr>
                <w:rFonts w:eastAsia="Times New Roman" w:cs="Arial"/>
                <w:snapToGrid w:val="0"/>
                <w:szCs w:val="20"/>
              </w:rPr>
              <w:t>7)</w:t>
            </w:r>
          </w:p>
        </w:tc>
        <w:tc>
          <w:tcPr>
            <w:tcW w:w="2644" w:type="pct"/>
          </w:tcPr>
          <w:p w14:paraId="2FA3255B" w14:textId="509C5A65" w:rsidR="00C10BB2" w:rsidRPr="00CE28E3" w:rsidRDefault="00B05929" w:rsidP="00234A8F">
            <w:pPr>
              <w:pStyle w:val="TableText"/>
              <w:spacing w:before="0" w:after="0"/>
              <w:rPr>
                <w:rFonts w:eastAsia="Times New Roman" w:cs="Arial"/>
                <w:snapToGrid w:val="0"/>
                <w:szCs w:val="20"/>
              </w:rPr>
            </w:pPr>
            <w:r w:rsidRPr="00B05929">
              <w:rPr>
                <w:rFonts w:eastAsia="Times New Roman" w:cs="Arial"/>
                <w:snapToGrid w:val="0"/>
                <w:szCs w:val="20"/>
              </w:rPr>
              <w:t>A</w:t>
            </w:r>
            <w:r w:rsidR="009A4B88" w:rsidRPr="00B05929">
              <w:rPr>
                <w:rFonts w:eastAsia="Times New Roman" w:cs="Arial"/>
                <w:snapToGrid w:val="0"/>
                <w:szCs w:val="20"/>
              </w:rPr>
              <w:t>ddressed.</w:t>
            </w:r>
            <w:r w:rsidR="009A4B88">
              <w:rPr>
                <w:rFonts w:eastAsia="Times New Roman" w:cs="Arial"/>
                <w:snapToGrid w:val="0"/>
                <w:szCs w:val="20"/>
              </w:rPr>
              <w:br/>
            </w:r>
            <w:r w:rsidR="005F4EFD" w:rsidRPr="00940112">
              <w:rPr>
                <w:rFonts w:eastAsia="Times New Roman" w:cs="Arial"/>
                <w:snapToGrid w:val="0"/>
                <w:szCs w:val="20"/>
              </w:rPr>
              <w:t xml:space="preserve">A revised economic evaluation </w:t>
            </w:r>
            <w:r w:rsidR="00393C89" w:rsidRPr="00940112">
              <w:rPr>
                <w:rFonts w:eastAsia="Times New Roman" w:cs="Arial"/>
                <w:snapToGrid w:val="0"/>
                <w:szCs w:val="20"/>
              </w:rPr>
              <w:t>was</w:t>
            </w:r>
            <w:r w:rsidR="005F4EFD" w:rsidRPr="00940112">
              <w:rPr>
                <w:rFonts w:eastAsia="Times New Roman" w:cs="Arial"/>
                <w:snapToGrid w:val="0"/>
                <w:szCs w:val="20"/>
              </w:rPr>
              <w:t xml:space="preserve"> presented </w:t>
            </w:r>
            <w:r w:rsidR="00A07B0C" w:rsidRPr="00940112">
              <w:rPr>
                <w:rFonts w:eastAsia="Times New Roman" w:cs="Arial"/>
                <w:snapToGrid w:val="0"/>
                <w:szCs w:val="20"/>
              </w:rPr>
              <w:t xml:space="preserve">with health states </w:t>
            </w:r>
            <w:r w:rsidR="00C41E37" w:rsidRPr="00940112">
              <w:rPr>
                <w:rFonts w:eastAsia="Times New Roman" w:cs="Arial"/>
                <w:snapToGrid w:val="0"/>
                <w:szCs w:val="20"/>
              </w:rPr>
              <w:t>related to natural history</w:t>
            </w:r>
            <w:r w:rsidR="008D5B1A" w:rsidRPr="00940112">
              <w:rPr>
                <w:rFonts w:eastAsia="Times New Roman" w:cs="Arial"/>
                <w:snapToGrid w:val="0"/>
                <w:szCs w:val="20"/>
              </w:rPr>
              <w:t xml:space="preserve">, </w:t>
            </w:r>
            <w:r w:rsidR="00F07486" w:rsidRPr="00940112">
              <w:rPr>
                <w:rFonts w:eastAsia="Times New Roman" w:cs="Arial"/>
                <w:snapToGrid w:val="0"/>
                <w:szCs w:val="20"/>
              </w:rPr>
              <w:t xml:space="preserve">a more conservative </w:t>
            </w:r>
            <w:r w:rsidR="00B74273" w:rsidRPr="00940112">
              <w:rPr>
                <w:rFonts w:eastAsia="Times New Roman" w:cs="Arial"/>
                <w:snapToGrid w:val="0"/>
                <w:szCs w:val="20"/>
              </w:rPr>
              <w:t>FIX activity</w:t>
            </w:r>
            <w:r w:rsidR="00F07486" w:rsidRPr="00940112">
              <w:rPr>
                <w:rFonts w:eastAsia="Times New Roman" w:cs="Arial"/>
                <w:snapToGrid w:val="0"/>
                <w:szCs w:val="20"/>
              </w:rPr>
              <w:t xml:space="preserve"> threshold</w:t>
            </w:r>
            <w:r w:rsidR="00B74273" w:rsidRPr="00940112">
              <w:rPr>
                <w:rFonts w:eastAsia="Times New Roman" w:cs="Arial"/>
                <w:snapToGrid w:val="0"/>
                <w:szCs w:val="20"/>
              </w:rPr>
              <w:t xml:space="preserve"> of 5%</w:t>
            </w:r>
            <w:r w:rsidR="00BA21D5" w:rsidRPr="00940112">
              <w:rPr>
                <w:rFonts w:eastAsia="Times New Roman" w:cs="Arial"/>
                <w:snapToGrid w:val="0"/>
                <w:szCs w:val="20"/>
              </w:rPr>
              <w:t xml:space="preserve">, updated durability projections, </w:t>
            </w:r>
            <w:r w:rsidR="002E437F" w:rsidRPr="00940112">
              <w:rPr>
                <w:rFonts w:eastAsia="Times New Roman" w:cs="Arial"/>
                <w:snapToGrid w:val="0"/>
                <w:szCs w:val="20"/>
              </w:rPr>
              <w:t xml:space="preserve">and </w:t>
            </w:r>
            <w:r w:rsidR="008D5B1A" w:rsidRPr="00940112">
              <w:rPr>
                <w:rFonts w:eastAsia="Times New Roman" w:cs="Arial"/>
                <w:snapToGrid w:val="0"/>
                <w:szCs w:val="20"/>
              </w:rPr>
              <w:t>a reduced time horizon of 15 years</w:t>
            </w:r>
            <w:r w:rsidR="00F07486" w:rsidRPr="00940112">
              <w:rPr>
                <w:rFonts w:eastAsia="Times New Roman" w:cs="Arial"/>
                <w:snapToGrid w:val="0"/>
                <w:szCs w:val="20"/>
              </w:rPr>
              <w:t xml:space="preserve"> (previously 25 years).</w:t>
            </w:r>
            <w:r w:rsidR="00942F64" w:rsidRPr="00940112">
              <w:rPr>
                <w:rFonts w:eastAsia="Times New Roman" w:cs="Arial"/>
                <w:snapToGrid w:val="0"/>
                <w:szCs w:val="20"/>
              </w:rPr>
              <w:t xml:space="preserve"> </w:t>
            </w:r>
            <w:r w:rsidR="003A4D15">
              <w:rPr>
                <w:rFonts w:eastAsia="Times New Roman" w:cs="Arial"/>
                <w:snapToGrid w:val="0"/>
                <w:szCs w:val="20"/>
              </w:rPr>
              <w:t>T</w:t>
            </w:r>
            <w:r w:rsidR="00A30D7B" w:rsidRPr="00940112">
              <w:rPr>
                <w:rFonts w:eastAsia="Times New Roman" w:cs="Arial"/>
                <w:snapToGrid w:val="0"/>
                <w:szCs w:val="20"/>
              </w:rPr>
              <w:t xml:space="preserve">he model processes </w:t>
            </w:r>
            <w:r w:rsidR="00393C89" w:rsidRPr="00940112">
              <w:rPr>
                <w:rFonts w:eastAsia="Times New Roman" w:cs="Arial"/>
                <w:snapToGrid w:val="0"/>
                <w:szCs w:val="20"/>
              </w:rPr>
              <w:t>wer</w:t>
            </w:r>
            <w:r w:rsidR="00A30D7B" w:rsidRPr="00940112">
              <w:rPr>
                <w:rFonts w:eastAsia="Times New Roman" w:cs="Arial"/>
                <w:snapToGrid w:val="0"/>
                <w:szCs w:val="20"/>
              </w:rPr>
              <w:t xml:space="preserve">e </w:t>
            </w:r>
            <w:r w:rsidR="009E6B3D" w:rsidRPr="00940112">
              <w:rPr>
                <w:rFonts w:eastAsia="Times New Roman" w:cs="Arial"/>
                <w:snapToGrid w:val="0"/>
                <w:szCs w:val="20"/>
              </w:rPr>
              <w:t>supported by limited evidence</w:t>
            </w:r>
            <w:r w:rsidR="00D457A1" w:rsidRPr="00940112">
              <w:rPr>
                <w:rFonts w:eastAsia="Times New Roman" w:cs="Arial"/>
                <w:snapToGrid w:val="0"/>
                <w:szCs w:val="20"/>
              </w:rPr>
              <w:t xml:space="preserve"> </w:t>
            </w:r>
            <w:r w:rsidR="00E53A26" w:rsidRPr="00940112">
              <w:rPr>
                <w:rFonts w:eastAsia="Times New Roman" w:cs="Arial"/>
                <w:snapToGrid w:val="0"/>
                <w:szCs w:val="20"/>
              </w:rPr>
              <w:t xml:space="preserve">and </w:t>
            </w:r>
            <w:r w:rsidR="003D41C0" w:rsidRPr="00940112">
              <w:rPr>
                <w:rFonts w:eastAsia="Times New Roman" w:cs="Arial"/>
                <w:snapToGrid w:val="0"/>
                <w:szCs w:val="20"/>
              </w:rPr>
              <w:t xml:space="preserve">concerns </w:t>
            </w:r>
            <w:r w:rsidR="00F355A8" w:rsidRPr="00940112">
              <w:rPr>
                <w:rFonts w:eastAsia="Times New Roman" w:cs="Arial"/>
                <w:snapToGrid w:val="0"/>
                <w:szCs w:val="20"/>
              </w:rPr>
              <w:t xml:space="preserve">remain </w:t>
            </w:r>
            <w:r w:rsidR="003D41C0" w:rsidRPr="00940112">
              <w:rPr>
                <w:rFonts w:eastAsia="Times New Roman" w:cs="Arial"/>
                <w:snapToGrid w:val="0"/>
                <w:szCs w:val="20"/>
              </w:rPr>
              <w:t xml:space="preserve">regarding </w:t>
            </w:r>
            <w:r w:rsidR="00F355A8" w:rsidRPr="00940112">
              <w:rPr>
                <w:rFonts w:eastAsia="Times New Roman" w:cs="Arial"/>
                <w:snapToGrid w:val="0"/>
                <w:szCs w:val="20"/>
              </w:rPr>
              <w:t xml:space="preserve">the method </w:t>
            </w:r>
            <w:r w:rsidR="00E53A26" w:rsidRPr="00940112">
              <w:rPr>
                <w:rFonts w:eastAsia="Times New Roman" w:cs="Arial"/>
                <w:snapToGrid w:val="0"/>
                <w:szCs w:val="20"/>
              </w:rPr>
              <w:t>used to extrapolate</w:t>
            </w:r>
            <w:r w:rsidR="00F355A8" w:rsidRPr="00940112">
              <w:rPr>
                <w:rFonts w:eastAsia="Times New Roman" w:cs="Arial"/>
                <w:snapToGrid w:val="0"/>
                <w:szCs w:val="20"/>
              </w:rPr>
              <w:t xml:space="preserve"> treatment effect </w:t>
            </w:r>
            <w:r w:rsidR="003D41C0" w:rsidRPr="00940112">
              <w:rPr>
                <w:rFonts w:eastAsia="Times New Roman" w:cs="Arial"/>
                <w:snapToGrid w:val="0"/>
                <w:szCs w:val="20"/>
              </w:rPr>
              <w:t xml:space="preserve">beyond the </w:t>
            </w:r>
            <w:r w:rsidR="00F355A8" w:rsidRPr="00940112">
              <w:rPr>
                <w:rFonts w:eastAsia="Times New Roman" w:cs="Arial"/>
                <w:snapToGrid w:val="0"/>
                <w:szCs w:val="20"/>
              </w:rPr>
              <w:t xml:space="preserve">duration of </w:t>
            </w:r>
            <w:r w:rsidR="003D41C0" w:rsidRPr="00940112">
              <w:rPr>
                <w:rFonts w:eastAsia="Times New Roman" w:cs="Arial"/>
                <w:snapToGrid w:val="0"/>
                <w:szCs w:val="20"/>
              </w:rPr>
              <w:t>study follow-up</w:t>
            </w:r>
            <w:r w:rsidR="00796075">
              <w:rPr>
                <w:rFonts w:eastAsia="Times New Roman" w:cs="Arial"/>
                <w:snapToGrid w:val="0"/>
                <w:szCs w:val="20"/>
              </w:rPr>
              <w:t>; however, this is addressed by the risk-share proposal</w:t>
            </w:r>
            <w:r w:rsidR="00940112" w:rsidRPr="00940112">
              <w:rPr>
                <w:rFonts w:eastAsia="Times New Roman" w:cs="Arial"/>
                <w:snapToGrid w:val="0"/>
                <w:szCs w:val="20"/>
              </w:rPr>
              <w:t>.</w:t>
            </w:r>
          </w:p>
        </w:tc>
      </w:tr>
      <w:tr w:rsidR="00C10BB2" w:rsidRPr="00CE28E3" w14:paraId="3DDF19B3" w14:textId="77777777" w:rsidTr="00B05929">
        <w:trPr>
          <w:cantSplit/>
        </w:trPr>
        <w:tc>
          <w:tcPr>
            <w:tcW w:w="862" w:type="pct"/>
          </w:tcPr>
          <w:p w14:paraId="56E73EFE" w14:textId="7A16D1A7" w:rsidR="00C10BB2" w:rsidRPr="00CE28E3" w:rsidRDefault="00333FA0" w:rsidP="00234A8F">
            <w:pPr>
              <w:pStyle w:val="TableText"/>
              <w:spacing w:before="0" w:after="0"/>
            </w:pPr>
            <w:r>
              <w:t>Financial analysis</w:t>
            </w:r>
          </w:p>
        </w:tc>
        <w:tc>
          <w:tcPr>
            <w:tcW w:w="1494" w:type="pct"/>
          </w:tcPr>
          <w:p w14:paraId="00687BBB" w14:textId="017FC59D" w:rsidR="00C10BB2" w:rsidRPr="00CE28E3" w:rsidRDefault="00EE2015" w:rsidP="00234A8F">
            <w:pPr>
              <w:pStyle w:val="TableText"/>
              <w:spacing w:before="0" w:after="0"/>
              <w:rPr>
                <w:rFonts w:eastAsia="Times New Roman" w:cs="Arial"/>
                <w:snapToGrid w:val="0"/>
                <w:szCs w:val="20"/>
              </w:rPr>
            </w:pPr>
            <w:r>
              <w:rPr>
                <w:rFonts w:eastAsia="Times New Roman" w:cs="Arial"/>
                <w:snapToGrid w:val="0"/>
                <w:szCs w:val="20"/>
              </w:rPr>
              <w:t>P</w:t>
            </w:r>
            <w:r w:rsidRPr="00EE2015">
              <w:rPr>
                <w:rFonts w:eastAsia="Times New Roman" w:cs="Arial"/>
                <w:snapToGrid w:val="0"/>
                <w:szCs w:val="20"/>
              </w:rPr>
              <w:t>rovide additional evidence to support the estimated utilisation</w:t>
            </w:r>
            <w:r w:rsidR="000049AC">
              <w:rPr>
                <w:rFonts w:eastAsia="Times New Roman" w:cs="Arial"/>
                <w:snapToGrid w:val="0"/>
                <w:szCs w:val="20"/>
              </w:rPr>
              <w:t xml:space="preserve"> </w:t>
            </w:r>
            <w:r w:rsidR="000049AC" w:rsidRPr="009F563D">
              <w:rPr>
                <w:rFonts w:eastAsia="Times New Roman" w:cs="Arial"/>
                <w:snapToGrid w:val="0"/>
                <w:szCs w:val="20"/>
              </w:rPr>
              <w:t>(PSD 1728, p</w:t>
            </w:r>
            <w:r w:rsidR="000049AC">
              <w:rPr>
                <w:rFonts w:eastAsia="Times New Roman" w:cs="Arial"/>
                <w:snapToGrid w:val="0"/>
                <w:szCs w:val="20"/>
              </w:rPr>
              <w:t>.</w:t>
            </w:r>
            <w:r w:rsidR="000049AC" w:rsidRPr="009F563D">
              <w:rPr>
                <w:rFonts w:eastAsia="Times New Roman" w:cs="Arial"/>
                <w:snapToGrid w:val="0"/>
                <w:szCs w:val="20"/>
              </w:rPr>
              <w:t>7)</w:t>
            </w:r>
          </w:p>
        </w:tc>
        <w:tc>
          <w:tcPr>
            <w:tcW w:w="2644" w:type="pct"/>
          </w:tcPr>
          <w:p w14:paraId="189F00FB" w14:textId="16DFE182" w:rsidR="00F85C09" w:rsidRPr="00940112" w:rsidRDefault="00882C4D" w:rsidP="00234A8F">
            <w:pPr>
              <w:pStyle w:val="TableText"/>
              <w:spacing w:before="0" w:after="0"/>
              <w:rPr>
                <w:rFonts w:eastAsia="Times New Roman" w:cs="Arial"/>
                <w:snapToGrid w:val="0"/>
                <w:szCs w:val="20"/>
              </w:rPr>
            </w:pPr>
            <w:r w:rsidRPr="00940112">
              <w:rPr>
                <w:rFonts w:eastAsia="Times New Roman" w:cs="Arial"/>
                <w:snapToGrid w:val="0"/>
                <w:szCs w:val="20"/>
              </w:rPr>
              <w:t>Partially a</w:t>
            </w:r>
            <w:r w:rsidR="0032279E" w:rsidRPr="00940112">
              <w:rPr>
                <w:rFonts w:eastAsia="Times New Roman" w:cs="Arial"/>
                <w:snapToGrid w:val="0"/>
                <w:szCs w:val="20"/>
              </w:rPr>
              <w:t>ddressed.</w:t>
            </w:r>
            <w:r w:rsidR="0032279E">
              <w:rPr>
                <w:rFonts w:eastAsia="Times New Roman" w:cs="Arial"/>
                <w:snapToGrid w:val="0"/>
                <w:szCs w:val="20"/>
              </w:rPr>
              <w:br/>
            </w:r>
            <w:r w:rsidR="00EF5408" w:rsidRPr="00940112">
              <w:rPr>
                <w:rFonts w:eastAsia="Times New Roman" w:cs="Arial"/>
                <w:snapToGrid w:val="0"/>
                <w:szCs w:val="20"/>
              </w:rPr>
              <w:t xml:space="preserve">Estimated uptake of </w:t>
            </w:r>
            <w:r w:rsidR="00D83152">
              <w:rPr>
                <w:rFonts w:eastAsia="Times New Roman" w:cs="Arial"/>
                <w:snapToGrid w:val="0"/>
                <w:szCs w:val="20"/>
              </w:rPr>
              <w:t>ED</w:t>
            </w:r>
            <w:r w:rsidR="00D83152" w:rsidRPr="00940112">
              <w:rPr>
                <w:rFonts w:eastAsia="Times New Roman" w:cs="Arial"/>
                <w:snapToGrid w:val="0"/>
                <w:szCs w:val="20"/>
              </w:rPr>
              <w:t xml:space="preserve"> </w:t>
            </w:r>
            <w:r w:rsidR="00F85C09" w:rsidRPr="00940112">
              <w:rPr>
                <w:rFonts w:eastAsia="Times New Roman" w:cs="Arial"/>
                <w:snapToGrid w:val="0"/>
                <w:szCs w:val="20"/>
              </w:rPr>
              <w:t>wa</w:t>
            </w:r>
            <w:r w:rsidR="00EF5408" w:rsidRPr="00940112">
              <w:rPr>
                <w:rFonts w:eastAsia="Times New Roman" w:cs="Arial"/>
                <w:snapToGrid w:val="0"/>
                <w:szCs w:val="20"/>
              </w:rPr>
              <w:t xml:space="preserve">s informed by experience in </w:t>
            </w:r>
            <w:r w:rsidR="00F838B1" w:rsidRPr="00940112">
              <w:rPr>
                <w:rFonts w:eastAsia="Times New Roman" w:cs="Arial"/>
                <w:snapToGrid w:val="0"/>
                <w:szCs w:val="20"/>
              </w:rPr>
              <w:t xml:space="preserve">other markets. </w:t>
            </w:r>
            <w:r w:rsidR="009963F5">
              <w:rPr>
                <w:rFonts w:eastAsia="Times New Roman" w:cs="Arial"/>
                <w:snapToGrid w:val="0"/>
                <w:szCs w:val="20"/>
              </w:rPr>
              <w:t>T</w:t>
            </w:r>
            <w:r w:rsidR="00F838B1" w:rsidRPr="00940112">
              <w:rPr>
                <w:rFonts w:eastAsia="Times New Roman" w:cs="Arial"/>
                <w:snapToGrid w:val="0"/>
                <w:szCs w:val="20"/>
              </w:rPr>
              <w:t>his remain</w:t>
            </w:r>
            <w:r w:rsidR="00F85C09" w:rsidRPr="00940112">
              <w:rPr>
                <w:rFonts w:eastAsia="Times New Roman" w:cs="Arial"/>
                <w:snapToGrid w:val="0"/>
                <w:szCs w:val="20"/>
              </w:rPr>
              <w:t>ed</w:t>
            </w:r>
            <w:r w:rsidR="00F838B1" w:rsidRPr="00940112">
              <w:rPr>
                <w:rFonts w:eastAsia="Times New Roman" w:cs="Arial"/>
                <w:snapToGrid w:val="0"/>
                <w:szCs w:val="20"/>
              </w:rPr>
              <w:t xml:space="preserve"> the largest source of uncertainty</w:t>
            </w:r>
            <w:r w:rsidR="007F55D9" w:rsidRPr="00940112">
              <w:rPr>
                <w:rFonts w:eastAsia="Times New Roman" w:cs="Arial"/>
                <w:snapToGrid w:val="0"/>
                <w:szCs w:val="20"/>
              </w:rPr>
              <w:t xml:space="preserve"> in the financial estimates</w:t>
            </w:r>
            <w:r w:rsidR="00F838B1" w:rsidRPr="00940112">
              <w:rPr>
                <w:rFonts w:eastAsia="Times New Roman" w:cs="Arial"/>
                <w:snapToGrid w:val="0"/>
                <w:szCs w:val="20"/>
              </w:rPr>
              <w:t xml:space="preserve">. </w:t>
            </w:r>
          </w:p>
          <w:p w14:paraId="435F6629" w14:textId="5C93B2E9" w:rsidR="00C10BB2" w:rsidRPr="00CE28E3" w:rsidRDefault="00A279CE" w:rsidP="00234A8F">
            <w:pPr>
              <w:pStyle w:val="TableText"/>
              <w:spacing w:before="0" w:after="0"/>
              <w:rPr>
                <w:rFonts w:eastAsia="Times New Roman" w:cs="Arial"/>
                <w:snapToGrid w:val="0"/>
                <w:szCs w:val="20"/>
              </w:rPr>
            </w:pPr>
            <w:r w:rsidRPr="00940112">
              <w:rPr>
                <w:rFonts w:eastAsia="Times New Roman" w:cs="Arial"/>
                <w:snapToGrid w:val="0"/>
                <w:szCs w:val="20"/>
              </w:rPr>
              <w:t xml:space="preserve">The revised financial estimates </w:t>
            </w:r>
            <w:r w:rsidR="007F55D9" w:rsidRPr="00940112">
              <w:rPr>
                <w:rFonts w:eastAsia="Times New Roman" w:cs="Arial"/>
                <w:snapToGrid w:val="0"/>
                <w:szCs w:val="20"/>
              </w:rPr>
              <w:t>incorporate</w:t>
            </w:r>
            <w:r w:rsidR="00F85C09" w:rsidRPr="00940112">
              <w:rPr>
                <w:rFonts w:eastAsia="Times New Roman" w:cs="Arial"/>
                <w:snapToGrid w:val="0"/>
                <w:szCs w:val="20"/>
              </w:rPr>
              <w:t>d</w:t>
            </w:r>
            <w:r w:rsidR="007F55D9" w:rsidRPr="00940112">
              <w:rPr>
                <w:rFonts w:eastAsia="Times New Roman" w:cs="Arial"/>
                <w:snapToGrid w:val="0"/>
                <w:szCs w:val="20"/>
              </w:rPr>
              <w:t xml:space="preserve"> </w:t>
            </w:r>
            <w:r w:rsidR="003D4F98" w:rsidRPr="00940112">
              <w:rPr>
                <w:rFonts w:eastAsia="Times New Roman" w:cs="Arial"/>
                <w:snapToGrid w:val="0"/>
                <w:szCs w:val="20"/>
              </w:rPr>
              <w:t xml:space="preserve">annual </w:t>
            </w:r>
            <w:r w:rsidR="00D83152">
              <w:rPr>
                <w:rFonts w:eastAsia="Times New Roman" w:cs="Arial"/>
                <w:snapToGrid w:val="0"/>
                <w:szCs w:val="20"/>
              </w:rPr>
              <w:t>ED</w:t>
            </w:r>
            <w:r w:rsidR="00D83152" w:rsidRPr="00940112">
              <w:rPr>
                <w:rFonts w:eastAsia="Times New Roman" w:cs="Arial"/>
                <w:snapToGrid w:val="0"/>
                <w:szCs w:val="20"/>
              </w:rPr>
              <w:t xml:space="preserve"> </w:t>
            </w:r>
            <w:r w:rsidR="003D4F98" w:rsidRPr="00940112">
              <w:rPr>
                <w:rFonts w:eastAsia="Times New Roman" w:cs="Arial"/>
                <w:snapToGrid w:val="0"/>
                <w:szCs w:val="20"/>
              </w:rPr>
              <w:t>instalme</w:t>
            </w:r>
            <w:r w:rsidR="00FC0D5C" w:rsidRPr="00940112">
              <w:rPr>
                <w:rFonts w:eastAsia="Times New Roman" w:cs="Arial"/>
                <w:snapToGrid w:val="0"/>
                <w:szCs w:val="20"/>
              </w:rPr>
              <w:t xml:space="preserve">nts </w:t>
            </w:r>
            <w:r w:rsidR="007F55D9" w:rsidRPr="00940112">
              <w:rPr>
                <w:rFonts w:eastAsia="Times New Roman" w:cs="Arial"/>
                <w:snapToGrid w:val="0"/>
                <w:szCs w:val="20"/>
              </w:rPr>
              <w:t xml:space="preserve">and </w:t>
            </w:r>
            <w:r w:rsidR="00CE3D6F" w:rsidRPr="00940112">
              <w:rPr>
                <w:rFonts w:eastAsia="Times New Roman" w:cs="Arial"/>
                <w:snapToGrid w:val="0"/>
                <w:szCs w:val="20"/>
              </w:rPr>
              <w:t xml:space="preserve">costs </w:t>
            </w:r>
            <w:r w:rsidR="007E4435" w:rsidRPr="00940112">
              <w:rPr>
                <w:rFonts w:eastAsia="Times New Roman" w:cs="Arial"/>
                <w:snapToGrid w:val="0"/>
                <w:szCs w:val="20"/>
              </w:rPr>
              <w:t xml:space="preserve">to other government budgets </w:t>
            </w:r>
            <w:r w:rsidR="00FC0D5C" w:rsidRPr="00940112">
              <w:rPr>
                <w:rFonts w:eastAsia="Times New Roman" w:cs="Arial"/>
                <w:snapToGrid w:val="0"/>
                <w:szCs w:val="20"/>
              </w:rPr>
              <w:t>for</w:t>
            </w:r>
            <w:r w:rsidR="00CE3D6F" w:rsidRPr="00940112">
              <w:rPr>
                <w:rFonts w:eastAsia="Times New Roman" w:cs="Arial"/>
                <w:snapToGrid w:val="0"/>
                <w:szCs w:val="20"/>
              </w:rPr>
              <w:t xml:space="preserve"> </w:t>
            </w:r>
            <w:r w:rsidR="00352443" w:rsidRPr="00940112">
              <w:rPr>
                <w:rFonts w:eastAsia="Times New Roman" w:cs="Arial"/>
                <w:snapToGrid w:val="0"/>
                <w:szCs w:val="20"/>
              </w:rPr>
              <w:t>screening</w:t>
            </w:r>
            <w:r w:rsidR="00501146" w:rsidRPr="00940112">
              <w:rPr>
                <w:rFonts w:eastAsia="Times New Roman" w:cs="Arial"/>
                <w:snapToGrid w:val="0"/>
                <w:szCs w:val="20"/>
              </w:rPr>
              <w:t xml:space="preserve">, </w:t>
            </w:r>
            <w:r w:rsidR="00FC0D5C" w:rsidRPr="00940112">
              <w:rPr>
                <w:rFonts w:eastAsia="Times New Roman" w:cs="Arial"/>
                <w:snapToGrid w:val="0"/>
                <w:szCs w:val="20"/>
              </w:rPr>
              <w:t xml:space="preserve">administration, </w:t>
            </w:r>
            <w:r w:rsidR="00AD3B76" w:rsidRPr="00940112">
              <w:rPr>
                <w:rFonts w:eastAsia="Times New Roman" w:cs="Arial"/>
                <w:snapToGrid w:val="0"/>
                <w:szCs w:val="20"/>
              </w:rPr>
              <w:t>monitoring</w:t>
            </w:r>
            <w:r w:rsidR="00501146" w:rsidRPr="00940112">
              <w:rPr>
                <w:rFonts w:eastAsia="Times New Roman" w:cs="Arial"/>
                <w:snapToGrid w:val="0"/>
                <w:szCs w:val="20"/>
              </w:rPr>
              <w:t xml:space="preserve"> and management of </w:t>
            </w:r>
            <w:r w:rsidR="006A5184" w:rsidRPr="00940112">
              <w:rPr>
                <w:rFonts w:eastAsia="Times New Roman" w:cs="Arial"/>
                <w:snapToGrid w:val="0"/>
                <w:szCs w:val="20"/>
              </w:rPr>
              <w:t>infusion-related immune response</w:t>
            </w:r>
            <w:r w:rsidR="00882C4D" w:rsidRPr="00940112">
              <w:rPr>
                <w:rFonts w:eastAsia="Times New Roman" w:cs="Arial"/>
                <w:snapToGrid w:val="0"/>
                <w:szCs w:val="20"/>
              </w:rPr>
              <w:t>.</w:t>
            </w:r>
            <w:r w:rsidR="00882C4D">
              <w:rPr>
                <w:rFonts w:eastAsia="Times New Roman" w:cs="Arial"/>
                <w:snapToGrid w:val="0"/>
                <w:szCs w:val="20"/>
              </w:rPr>
              <w:t xml:space="preserve"> </w:t>
            </w:r>
          </w:p>
        </w:tc>
      </w:tr>
      <w:tr w:rsidR="00C10BB2" w:rsidRPr="00CE28E3" w14:paraId="6AFB09F3" w14:textId="77777777" w:rsidTr="00B05929">
        <w:trPr>
          <w:cantSplit/>
        </w:trPr>
        <w:tc>
          <w:tcPr>
            <w:tcW w:w="862" w:type="pct"/>
          </w:tcPr>
          <w:p w14:paraId="32E9B1FC" w14:textId="1AF5282A" w:rsidR="00C10BB2" w:rsidRPr="00CE28E3" w:rsidRDefault="00C57217" w:rsidP="00234A8F">
            <w:pPr>
              <w:pStyle w:val="TableText"/>
              <w:spacing w:before="0" w:after="0"/>
            </w:pPr>
            <w:r>
              <w:t>Risk</w:t>
            </w:r>
            <w:r w:rsidR="001E04C8">
              <w:t>-share proposal</w:t>
            </w:r>
          </w:p>
        </w:tc>
        <w:tc>
          <w:tcPr>
            <w:tcW w:w="1494" w:type="pct"/>
          </w:tcPr>
          <w:p w14:paraId="4A5DCEBD" w14:textId="28187CBD" w:rsidR="00C10BB2" w:rsidRPr="00CE28E3" w:rsidRDefault="00FD7529" w:rsidP="00234A8F">
            <w:pPr>
              <w:pStyle w:val="TableText"/>
              <w:spacing w:before="0" w:after="0"/>
              <w:rPr>
                <w:rFonts w:eastAsia="Times New Roman" w:cs="Arial"/>
                <w:snapToGrid w:val="0"/>
                <w:szCs w:val="20"/>
              </w:rPr>
            </w:pPr>
            <w:r>
              <w:rPr>
                <w:rFonts w:eastAsia="Times New Roman" w:cs="Arial"/>
                <w:snapToGrid w:val="0"/>
                <w:szCs w:val="20"/>
              </w:rPr>
              <w:t>P</w:t>
            </w:r>
            <w:r w:rsidRPr="00FD7529">
              <w:rPr>
                <w:rFonts w:eastAsia="Times New Roman" w:cs="Arial"/>
                <w:snapToGrid w:val="0"/>
                <w:szCs w:val="20"/>
              </w:rPr>
              <w:t>rovide details of a risk sharing arrangement as described by ESC</w:t>
            </w:r>
            <w:r w:rsidR="000049AC">
              <w:rPr>
                <w:rFonts w:eastAsia="Times New Roman" w:cs="Arial"/>
                <w:snapToGrid w:val="0"/>
                <w:szCs w:val="20"/>
              </w:rPr>
              <w:t xml:space="preserve"> </w:t>
            </w:r>
            <w:r w:rsidR="000049AC" w:rsidRPr="009F563D">
              <w:rPr>
                <w:rFonts w:eastAsia="Times New Roman" w:cs="Arial"/>
                <w:snapToGrid w:val="0"/>
                <w:szCs w:val="20"/>
              </w:rPr>
              <w:t>(PSD 1728, p</w:t>
            </w:r>
            <w:r w:rsidR="000049AC">
              <w:rPr>
                <w:rFonts w:eastAsia="Times New Roman" w:cs="Arial"/>
                <w:snapToGrid w:val="0"/>
                <w:szCs w:val="20"/>
              </w:rPr>
              <w:t>.</w:t>
            </w:r>
            <w:r w:rsidR="000049AC" w:rsidRPr="009F563D">
              <w:rPr>
                <w:rFonts w:eastAsia="Times New Roman" w:cs="Arial"/>
                <w:snapToGrid w:val="0"/>
                <w:szCs w:val="20"/>
              </w:rPr>
              <w:t>7)</w:t>
            </w:r>
          </w:p>
        </w:tc>
        <w:tc>
          <w:tcPr>
            <w:tcW w:w="2644" w:type="pct"/>
          </w:tcPr>
          <w:p w14:paraId="0BD0F95D" w14:textId="06F60A21" w:rsidR="00C10BB2" w:rsidRPr="00CE28E3" w:rsidRDefault="004C0318" w:rsidP="00234A8F">
            <w:pPr>
              <w:pStyle w:val="TableText"/>
              <w:spacing w:before="0" w:after="0"/>
              <w:rPr>
                <w:rFonts w:eastAsia="Times New Roman" w:cs="Arial"/>
                <w:snapToGrid w:val="0"/>
                <w:szCs w:val="20"/>
              </w:rPr>
            </w:pPr>
            <w:r>
              <w:rPr>
                <w:rFonts w:eastAsia="Times New Roman" w:cs="Arial"/>
                <w:snapToGrid w:val="0"/>
                <w:szCs w:val="20"/>
              </w:rPr>
              <w:t>Addressed.</w:t>
            </w:r>
            <w:r>
              <w:rPr>
                <w:rFonts w:eastAsia="Times New Roman" w:cs="Arial"/>
                <w:snapToGrid w:val="0"/>
                <w:szCs w:val="20"/>
              </w:rPr>
              <w:br/>
            </w:r>
            <w:r w:rsidR="00C53AB8">
              <w:rPr>
                <w:rFonts w:eastAsia="Times New Roman" w:cs="Arial"/>
                <w:snapToGrid w:val="0"/>
                <w:szCs w:val="20"/>
              </w:rPr>
              <w:t>A</w:t>
            </w:r>
            <w:r w:rsidR="008E2288" w:rsidRPr="008E2288">
              <w:rPr>
                <w:rFonts w:eastAsia="Times New Roman" w:cs="Arial"/>
                <w:snapToGrid w:val="0"/>
                <w:szCs w:val="20"/>
              </w:rPr>
              <w:t xml:space="preserve"> risk</w:t>
            </w:r>
            <w:r w:rsidR="00307BF5">
              <w:rPr>
                <w:rFonts w:eastAsia="Times New Roman" w:cs="Arial"/>
                <w:snapToGrid w:val="0"/>
                <w:szCs w:val="20"/>
              </w:rPr>
              <w:t>-</w:t>
            </w:r>
            <w:r w:rsidR="008E2288" w:rsidRPr="008E2288">
              <w:rPr>
                <w:rFonts w:eastAsia="Times New Roman" w:cs="Arial"/>
                <w:snapToGrid w:val="0"/>
                <w:szCs w:val="20"/>
              </w:rPr>
              <w:t>shar</w:t>
            </w:r>
            <w:r w:rsidR="00307BF5">
              <w:rPr>
                <w:rFonts w:eastAsia="Times New Roman" w:cs="Arial"/>
                <w:snapToGrid w:val="0"/>
                <w:szCs w:val="20"/>
              </w:rPr>
              <w:t>e</w:t>
            </w:r>
            <w:r w:rsidR="008E2288" w:rsidRPr="008E2288">
              <w:rPr>
                <w:rFonts w:eastAsia="Times New Roman" w:cs="Arial"/>
                <w:snapToGrid w:val="0"/>
                <w:szCs w:val="20"/>
              </w:rPr>
              <w:t xml:space="preserve"> </w:t>
            </w:r>
            <w:r w:rsidR="00307BF5">
              <w:rPr>
                <w:rFonts w:eastAsia="Times New Roman" w:cs="Arial"/>
                <w:snapToGrid w:val="0"/>
                <w:szCs w:val="20"/>
              </w:rPr>
              <w:t xml:space="preserve">proposal </w:t>
            </w:r>
            <w:r w:rsidR="00513087">
              <w:rPr>
                <w:rFonts w:eastAsia="Times New Roman" w:cs="Arial"/>
                <w:snapToGrid w:val="0"/>
                <w:szCs w:val="20"/>
              </w:rPr>
              <w:t>wa</w:t>
            </w:r>
            <w:r w:rsidR="00307BF5">
              <w:rPr>
                <w:rFonts w:eastAsia="Times New Roman" w:cs="Arial"/>
                <w:snapToGrid w:val="0"/>
                <w:szCs w:val="20"/>
              </w:rPr>
              <w:t xml:space="preserve">s </w:t>
            </w:r>
            <w:r w:rsidR="00DB0C07">
              <w:rPr>
                <w:rFonts w:eastAsia="Times New Roman" w:cs="Arial"/>
                <w:snapToGrid w:val="0"/>
                <w:szCs w:val="20"/>
              </w:rPr>
              <w:t xml:space="preserve">outlined </w:t>
            </w:r>
            <w:r w:rsidR="00672657" w:rsidRPr="006360E9">
              <w:rPr>
                <w:rFonts w:eastAsia="Times New Roman" w:cs="Arial"/>
                <w:b/>
                <w:bCs/>
                <w:snapToGrid w:val="0"/>
                <w:szCs w:val="20"/>
              </w:rPr>
              <w:t>redacted</w:t>
            </w:r>
            <w:r w:rsidR="00672657">
              <w:rPr>
                <w:rFonts w:eastAsia="Times New Roman" w:cs="Arial"/>
                <w:snapToGrid w:val="0"/>
                <w:szCs w:val="20"/>
              </w:rPr>
              <w:t>.</w:t>
            </w:r>
          </w:p>
        </w:tc>
      </w:tr>
    </w:tbl>
    <w:p w14:paraId="3EA0F47E" w14:textId="158AADC6" w:rsidR="00F57885" w:rsidRDefault="00C17E79" w:rsidP="006F5FC2">
      <w:pPr>
        <w:pStyle w:val="TableFigureFooter"/>
        <w:spacing w:after="0"/>
      </w:pPr>
      <w:bookmarkStart w:id="12" w:name="_Hlk68275617"/>
      <w:bookmarkEnd w:id="11"/>
      <w:r>
        <w:t xml:space="preserve">AAV5 = </w:t>
      </w:r>
      <w:r w:rsidRPr="00C17E79">
        <w:t>adeno-associated virus type 5</w:t>
      </w:r>
      <w:r>
        <w:t xml:space="preserve">; </w:t>
      </w:r>
      <w:r w:rsidR="00664AF2">
        <w:t xml:space="preserve">ADAR = Applicant </w:t>
      </w:r>
      <w:r w:rsidR="007F55D9">
        <w:t>D</w:t>
      </w:r>
      <w:r w:rsidR="00664AF2">
        <w:t xml:space="preserve">eveloped </w:t>
      </w:r>
      <w:r w:rsidR="007F55D9">
        <w:t>A</w:t>
      </w:r>
      <w:r w:rsidR="00664AF2">
        <w:t xml:space="preserve">ssessment </w:t>
      </w:r>
      <w:r w:rsidR="007F55D9">
        <w:t>R</w:t>
      </w:r>
      <w:r w:rsidR="00664AF2">
        <w:t xml:space="preserve">eport; </w:t>
      </w:r>
      <w:r w:rsidR="009368AD">
        <w:t xml:space="preserve">CSR = clinical study report; </w:t>
      </w:r>
      <w:r w:rsidR="009B7B4F">
        <w:t xml:space="preserve">ESC </w:t>
      </w:r>
      <w:r w:rsidR="00495A88">
        <w:t xml:space="preserve">= Evaluation Sub-Committee; </w:t>
      </w:r>
      <w:r w:rsidR="00521FFD">
        <w:t>FDA = U</w:t>
      </w:r>
      <w:r w:rsidR="00C001E7">
        <w:t>.</w:t>
      </w:r>
      <w:r w:rsidR="00521FFD">
        <w:t>S</w:t>
      </w:r>
      <w:r w:rsidR="00C001E7">
        <w:t>.</w:t>
      </w:r>
      <w:r w:rsidR="00521FFD">
        <w:t xml:space="preserve"> Food and Drug Administration; </w:t>
      </w:r>
      <w:r w:rsidR="00AD1EFF">
        <w:t xml:space="preserve">FIX = Factor IX; </w:t>
      </w:r>
      <w:r w:rsidR="00F57885" w:rsidRPr="00CE28E3">
        <w:t xml:space="preserve">MSAC = Medical Services Advisory Committee; </w:t>
      </w:r>
      <w:proofErr w:type="spellStart"/>
      <w:r w:rsidR="00495A88">
        <w:t>NAb</w:t>
      </w:r>
      <w:proofErr w:type="spellEnd"/>
      <w:r w:rsidR="00AD1EFF">
        <w:t xml:space="preserve"> = neutralising antibody; </w:t>
      </w:r>
      <w:r w:rsidR="007F55D9">
        <w:t xml:space="preserve">PI = Product Information; </w:t>
      </w:r>
      <w:r w:rsidR="00F57885" w:rsidRPr="00CE28E3">
        <w:t>PSD = Public Summary Document</w:t>
      </w:r>
      <w:r w:rsidR="005404E5">
        <w:t>; TGA = Therapeutic Goods Administration</w:t>
      </w:r>
      <w:r w:rsidR="0087277A">
        <w:t>.</w:t>
      </w:r>
    </w:p>
    <w:p w14:paraId="0A66281F" w14:textId="146F4461" w:rsidR="00792373" w:rsidRPr="009B7B4F" w:rsidRDefault="00792373" w:rsidP="00B05929">
      <w:pPr>
        <w:pStyle w:val="TableFigureFooter"/>
        <w:spacing w:before="0"/>
      </w:pPr>
      <w:r>
        <w:t xml:space="preserve">Source: Derived from </w:t>
      </w:r>
      <w:r w:rsidR="00DB6DEE">
        <w:t>Table 1-1</w:t>
      </w:r>
      <w:r w:rsidR="00D3613E">
        <w:t xml:space="preserve"> </w:t>
      </w:r>
      <w:r w:rsidR="006F5FC2">
        <w:t>of MSAC 1728.1 ADAR</w:t>
      </w:r>
      <w:r w:rsidR="00BB3FEC">
        <w:t xml:space="preserve"> </w:t>
      </w:r>
      <w:r w:rsidR="006F5FC2">
        <w:t>+</w:t>
      </w:r>
      <w:r w:rsidR="00BB3FEC">
        <w:t xml:space="preserve"> </w:t>
      </w:r>
      <w:r w:rsidR="006F5FC2">
        <w:t>in-line commentary.</w:t>
      </w:r>
    </w:p>
    <w:p w14:paraId="0CF1FC2E" w14:textId="1D95A363" w:rsidR="009B7B4F" w:rsidRPr="009B7B4F" w:rsidRDefault="009B7B4F" w:rsidP="009B7B4F">
      <w:pPr>
        <w:rPr>
          <w:i/>
          <w:iCs/>
        </w:rPr>
      </w:pPr>
      <w:r>
        <w:rPr>
          <w:i/>
          <w:iCs/>
        </w:rPr>
        <w:lastRenderedPageBreak/>
        <w:t xml:space="preserve">Throughout this document, content that was unchanged from MSAC’s previous 2024 consideration is </w:t>
      </w:r>
      <w:r w:rsidRPr="00F13317">
        <w:rPr>
          <w:i/>
          <w:iCs/>
          <w:shd w:val="clear" w:color="auto" w:fill="BDD6EE" w:themeFill="accent1" w:themeFillTint="66"/>
        </w:rPr>
        <w:t>shaded in blue</w:t>
      </w:r>
      <w:r>
        <w:rPr>
          <w:i/>
          <w:iCs/>
        </w:rPr>
        <w:t>.</w:t>
      </w:r>
      <w:r w:rsidRPr="006F3535">
        <w:t xml:space="preserve"> </w:t>
      </w:r>
    </w:p>
    <w:p w14:paraId="6F52500A" w14:textId="6E898705" w:rsidR="00772829" w:rsidRDefault="00772829" w:rsidP="003758CD">
      <w:pPr>
        <w:pStyle w:val="Heading2"/>
        <w:numPr>
          <w:ilvl w:val="0"/>
          <w:numId w:val="28"/>
        </w:numPr>
      </w:pPr>
      <w:bookmarkStart w:id="13" w:name="_Toc69491417"/>
      <w:bookmarkEnd w:id="9"/>
      <w:bookmarkEnd w:id="12"/>
      <w:r w:rsidRPr="00CE28E3">
        <w:t>Prerequisites to implementation of any funding advice</w:t>
      </w:r>
      <w:bookmarkEnd w:id="13"/>
    </w:p>
    <w:p w14:paraId="45F269E3" w14:textId="3543A784" w:rsidR="00DA01BE" w:rsidRDefault="00EA257F" w:rsidP="00DA01BE">
      <w:pPr>
        <w:shd w:val="clear" w:color="auto" w:fill="BDD6EE" w:themeFill="accent1" w:themeFillTint="66"/>
      </w:pPr>
      <w:r w:rsidRPr="00E40A38">
        <w:rPr>
          <w:iCs/>
        </w:rPr>
        <w:t>Etranacogene dezaparvovec</w:t>
      </w:r>
      <w:r w:rsidR="00B55243">
        <w:rPr>
          <w:iCs/>
        </w:rPr>
        <w:t xml:space="preserve"> (</w:t>
      </w:r>
      <w:r w:rsidR="00992550">
        <w:t>ED</w:t>
      </w:r>
      <w:r w:rsidR="00B55243">
        <w:t>)</w:t>
      </w:r>
      <w:r w:rsidRPr="00E40A38">
        <w:rPr>
          <w:iCs/>
        </w:rPr>
        <w:t xml:space="preserve"> </w:t>
      </w:r>
      <w:r w:rsidRPr="00E40A38">
        <w:t xml:space="preserve">was granted provisional registration by the Therapeutic Goods Administration (TGA) on 15 March 2024. </w:t>
      </w:r>
      <w:r w:rsidR="00DA01BE">
        <w:t>The provisionally registered indication</w:t>
      </w:r>
      <w:r w:rsidR="00D70C17">
        <w:t xml:space="preserve"> for </w:t>
      </w:r>
      <w:r w:rsidR="00992550">
        <w:t>ED</w:t>
      </w:r>
      <w:r w:rsidR="00DA01BE">
        <w:t xml:space="preserve">, per the entry in the Australian Register of Therapeutic Goods (ARTG </w:t>
      </w:r>
      <w:hyperlink r:id="rId15" w:tooltip="Hyperlink to ARTG entry on the TGA website" w:history="1">
        <w:r w:rsidR="00DA01BE" w:rsidRPr="00612E51">
          <w:rPr>
            <w:rStyle w:val="Hyperlink"/>
            <w:color w:val="005AA8"/>
          </w:rPr>
          <w:t>405360</w:t>
        </w:r>
      </w:hyperlink>
      <w:r w:rsidR="00DA01BE">
        <w:t xml:space="preserve">) is: </w:t>
      </w:r>
    </w:p>
    <w:p w14:paraId="7FD504F3" w14:textId="7F7E4047" w:rsidR="00DA01BE" w:rsidRDefault="0091270F" w:rsidP="008564A6">
      <w:pPr>
        <w:shd w:val="clear" w:color="auto" w:fill="BDD6EE" w:themeFill="accent1" w:themeFillTint="66"/>
        <w:spacing w:after="80"/>
        <w:ind w:left="425" w:right="380"/>
      </w:pPr>
      <w:r>
        <w:t>ED</w:t>
      </w:r>
      <w:r w:rsidR="00DA01BE">
        <w:t xml:space="preserve">® is an adeno-associated virus vector-based gene therapy indicated for treatment of adults with </w:t>
      </w:r>
      <w:r w:rsidR="003E6385">
        <w:t>HM</w:t>
      </w:r>
      <w:r w:rsidR="00DA01BE">
        <w:t xml:space="preserve">B (congenital </w:t>
      </w:r>
      <w:r w:rsidR="00947755">
        <w:t>F</w:t>
      </w:r>
      <w:r w:rsidR="00DA01BE">
        <w:t xml:space="preserve">actor IX </w:t>
      </w:r>
      <w:r w:rsidR="003E6385">
        <w:t xml:space="preserve">(FIX) </w:t>
      </w:r>
      <w:r w:rsidR="00DA01BE">
        <w:t xml:space="preserve">deficiency), without a history of </w:t>
      </w:r>
      <w:r w:rsidR="003E6385">
        <w:t>F</w:t>
      </w:r>
      <w:r w:rsidR="00DA01BE">
        <w:t>IX inhibitors, who:</w:t>
      </w:r>
    </w:p>
    <w:p w14:paraId="2A2BD62A" w14:textId="33C695D4" w:rsidR="00DA01BE" w:rsidRDefault="00DA01BE" w:rsidP="008564A6">
      <w:pPr>
        <w:shd w:val="clear" w:color="auto" w:fill="BDD6EE" w:themeFill="accent1" w:themeFillTint="66"/>
        <w:spacing w:before="0" w:after="0"/>
        <w:ind w:left="425" w:right="380"/>
      </w:pPr>
      <w:r>
        <w:t>•</w:t>
      </w:r>
      <w:r>
        <w:tab/>
        <w:t xml:space="preserve">currently use </w:t>
      </w:r>
      <w:r w:rsidR="003E6385">
        <w:t xml:space="preserve">FIX </w:t>
      </w:r>
      <w:r>
        <w:t>prophylaxis therapy, or</w:t>
      </w:r>
    </w:p>
    <w:p w14:paraId="69C42095" w14:textId="45BA63C6" w:rsidR="00DA01BE" w:rsidRDefault="00DA01BE" w:rsidP="007925E2">
      <w:pPr>
        <w:shd w:val="clear" w:color="auto" w:fill="BDD6EE" w:themeFill="accent1" w:themeFillTint="66"/>
        <w:spacing w:before="0" w:after="0"/>
        <w:ind w:left="709" w:right="380" w:hanging="284"/>
      </w:pPr>
      <w:r>
        <w:t>•</w:t>
      </w:r>
      <w:r>
        <w:tab/>
        <w:t>have current or historical life-threatening haemorrhage, or repeated, serious spontaneous bleeding episodes.</w:t>
      </w:r>
    </w:p>
    <w:p w14:paraId="1A6216B9" w14:textId="024FC1E4" w:rsidR="00DA01BE" w:rsidRDefault="00DA01BE" w:rsidP="009D083A">
      <w:pPr>
        <w:shd w:val="clear" w:color="auto" w:fill="BDD6EE" w:themeFill="accent1" w:themeFillTint="66"/>
        <w:spacing w:before="80"/>
        <w:ind w:left="425" w:right="380"/>
      </w:pPr>
      <w:r>
        <w:t xml:space="preserve">This decision to </w:t>
      </w:r>
      <w:r w:rsidR="321F90D6">
        <w:t xml:space="preserve">provisionally </w:t>
      </w:r>
      <w:r>
        <w:t>approve this indication has been made on the basis of short-term efficacy and safety data from the clinical trial program. Continued approval of this indication depends on confirmation of longer-term benefit from ongoing clinical trials.</w:t>
      </w:r>
    </w:p>
    <w:p w14:paraId="1C9501E6" w14:textId="3E067FD0" w:rsidR="00EA257F" w:rsidRPr="00E40A38" w:rsidRDefault="00EA257F" w:rsidP="00EA257F">
      <w:pPr>
        <w:shd w:val="clear" w:color="auto" w:fill="BDD6EE" w:themeFill="accent1" w:themeFillTint="66"/>
      </w:pPr>
      <w:r w:rsidRPr="00E40A38">
        <w:t>The Australian Haemophilia Centre Directors’ Organisation (AHCDO) has developed the Gene Therapy Roadmap (2022) to provide a Clinical Implementation Plan that sets out AHCDO’s position on the preferred approach to implementation of gene therapy for haemophilia in Australia.</w:t>
      </w:r>
    </w:p>
    <w:p w14:paraId="1B76A87A" w14:textId="77777777" w:rsidR="00EA257F" w:rsidRDefault="00EA257F" w:rsidP="00EA257F">
      <w:pPr>
        <w:shd w:val="clear" w:color="auto" w:fill="BDD6EE" w:themeFill="accent1" w:themeFillTint="66"/>
      </w:pPr>
      <w:r w:rsidRPr="00E40A38">
        <w:t>Haemophilia Treatment Centres (HTCs) in Australia form part of the public hospital system, thus coordination with state and territory agencies was considered an essential pre-requisite to implementation of funding advice for this treatment.</w:t>
      </w:r>
    </w:p>
    <w:p w14:paraId="44C3B242" w14:textId="5E5E78E5" w:rsidR="00772829" w:rsidRDefault="00772829" w:rsidP="003758CD">
      <w:pPr>
        <w:pStyle w:val="Heading2"/>
        <w:numPr>
          <w:ilvl w:val="0"/>
          <w:numId w:val="28"/>
        </w:numPr>
      </w:pPr>
      <w:bookmarkStart w:id="14" w:name="_Toc69491418"/>
      <w:r w:rsidRPr="00CE28E3">
        <w:t>Proposal for public funding</w:t>
      </w:r>
      <w:bookmarkEnd w:id="14"/>
    </w:p>
    <w:p w14:paraId="01E3C2CB" w14:textId="0836F553" w:rsidR="00D416B2" w:rsidRDefault="4A5F9C9F" w:rsidP="00060969">
      <w:pPr>
        <w:shd w:val="clear" w:color="auto" w:fill="BDD6EE" w:themeFill="accent1" w:themeFillTint="66"/>
      </w:pPr>
      <w:r>
        <w:t xml:space="preserve">Under the </w:t>
      </w:r>
      <w:r w:rsidR="65ECB308">
        <w:t>N</w:t>
      </w:r>
      <w:r>
        <w:t xml:space="preserve">ational </w:t>
      </w:r>
      <w:r w:rsidR="6E93DA47">
        <w:t>B</w:t>
      </w:r>
      <w:r>
        <w:t xml:space="preserve">lood </w:t>
      </w:r>
      <w:r w:rsidR="69D96155">
        <w:t>Agreement</w:t>
      </w:r>
      <w:r>
        <w:t>, b</w:t>
      </w:r>
      <w:r w:rsidR="2EB331F9">
        <w:t xml:space="preserve">lood and blood related products and services are jointly funded by the Australian Government and state and territory governments, in accordance with the National Blood Agreement, which is administered by the NBA. Although </w:t>
      </w:r>
      <w:r w:rsidR="0091270F">
        <w:t>ED</w:t>
      </w:r>
      <w:r w:rsidR="2EB331F9">
        <w:t xml:space="preserve"> does not consist of human blood or components of human blood, nor is it derived from human blood, it c</w:t>
      </w:r>
      <w:r w:rsidR="15E1F587">
        <w:t>ould</w:t>
      </w:r>
      <w:r w:rsidR="2EB331F9">
        <w:t xml:space="preserve"> be regarded as a blood-related product as defined by the</w:t>
      </w:r>
      <w:r w:rsidR="30DC4848">
        <w:t xml:space="preserve"> National Blood</w:t>
      </w:r>
      <w:r w:rsidR="2EB331F9">
        <w:t xml:space="preserve"> Agreement, as it is proposed as an alternative therapy to the use of blood products currently funded under the </w:t>
      </w:r>
      <w:r w:rsidR="1C143B16">
        <w:t>N</w:t>
      </w:r>
      <w:r>
        <w:t xml:space="preserve">ational </w:t>
      </w:r>
      <w:r w:rsidR="6B4CFA92">
        <w:t>B</w:t>
      </w:r>
      <w:r>
        <w:t xml:space="preserve">lood </w:t>
      </w:r>
      <w:r w:rsidR="23C0CCBC">
        <w:t>Agreement</w:t>
      </w:r>
      <w:r w:rsidR="2EB331F9">
        <w:t>.</w:t>
      </w:r>
    </w:p>
    <w:p w14:paraId="3BD15641" w14:textId="027CA3C3" w:rsidR="00EE2719" w:rsidRDefault="0091270F" w:rsidP="00B446CF">
      <w:pPr>
        <w:shd w:val="clear" w:color="auto" w:fill="BDD6EE" w:themeFill="accent1" w:themeFillTint="66"/>
      </w:pPr>
      <w:r>
        <w:t>ED</w:t>
      </w:r>
      <w:r w:rsidR="00744C92" w:rsidRPr="004046E1">
        <w:t xml:space="preserve"> will be prescribed and administered in a</w:t>
      </w:r>
      <w:r w:rsidR="00744C92">
        <w:t>n</w:t>
      </w:r>
      <w:r w:rsidR="00744C92" w:rsidRPr="004046E1">
        <w:t xml:space="preserve"> </w:t>
      </w:r>
      <w:r w:rsidR="00744C92">
        <w:t>HTC</w:t>
      </w:r>
      <w:r w:rsidR="00744C92" w:rsidRPr="004046E1">
        <w:t xml:space="preserve"> </w:t>
      </w:r>
      <w:r w:rsidR="00F5050D">
        <w:t xml:space="preserve">(a public hospital outpatient clinic) </w:t>
      </w:r>
      <w:r w:rsidR="00744C92" w:rsidRPr="004046E1">
        <w:t xml:space="preserve">under the supervision of a specialist with experience in the diagnosis and management of HMB. Patients will already be familiar with and known to the </w:t>
      </w:r>
      <w:r w:rsidR="00744C92">
        <w:t>HTC</w:t>
      </w:r>
      <w:r w:rsidR="00744C92" w:rsidRPr="004046E1">
        <w:t xml:space="preserve"> and will be monitored through the ABDR.</w:t>
      </w:r>
      <w:r w:rsidR="00744C92">
        <w:t xml:space="preserve"> </w:t>
      </w:r>
    </w:p>
    <w:p w14:paraId="22B96B4C" w14:textId="0387DD6A" w:rsidR="00744C92" w:rsidRPr="00E40A38" w:rsidRDefault="00744C92" w:rsidP="00B446CF">
      <w:pPr>
        <w:shd w:val="clear" w:color="auto" w:fill="BDD6EE" w:themeFill="accent1" w:themeFillTint="66"/>
      </w:pPr>
      <w:r>
        <w:t>AHCDO’s position is that gene therapy should be implemented via a ‘Hub and Spoke’ model in line with emerging international best practice</w:t>
      </w:r>
      <w:r w:rsidR="00E74E73">
        <w:t>.</w:t>
      </w:r>
      <w:r>
        <w:t xml:space="preserve"> </w:t>
      </w:r>
      <w:r w:rsidR="0018494B" w:rsidRPr="0018494B">
        <w:t xml:space="preserve">Hub and </w:t>
      </w:r>
      <w:r w:rsidR="00030AEF">
        <w:t>s</w:t>
      </w:r>
      <w:r w:rsidR="0018494B" w:rsidRPr="0018494B">
        <w:t>poke</w:t>
      </w:r>
      <w:r w:rsidR="00030AEF">
        <w:t xml:space="preserve"> </w:t>
      </w:r>
      <w:r w:rsidR="005A1F71">
        <w:t xml:space="preserve">sites </w:t>
      </w:r>
      <w:r w:rsidR="00B3573A">
        <w:t xml:space="preserve">will </w:t>
      </w:r>
      <w:r w:rsidR="00571D3D">
        <w:t xml:space="preserve">work in partnership to ensure continuity of care </w:t>
      </w:r>
      <w:r w:rsidR="00253D82">
        <w:t>to patients receiving gene therapy</w:t>
      </w:r>
      <w:r w:rsidR="00B3573A">
        <w:t xml:space="preserve">. </w:t>
      </w:r>
      <w:r w:rsidR="00E74E73">
        <w:t>F</w:t>
      </w:r>
      <w:r>
        <w:t xml:space="preserve">ive of the existing HTCs will be designated as </w:t>
      </w:r>
      <w:r w:rsidR="00E4234F">
        <w:t xml:space="preserve">expert </w:t>
      </w:r>
      <w:r>
        <w:t xml:space="preserve">hubs </w:t>
      </w:r>
      <w:r w:rsidR="00B446CF">
        <w:t xml:space="preserve">that </w:t>
      </w:r>
      <w:r>
        <w:t>prescribe and administer haemophilia gene therapies nationally.</w:t>
      </w:r>
      <w:r w:rsidR="005B05E3">
        <w:rPr>
          <w:rStyle w:val="FootnoteReference"/>
        </w:rPr>
        <w:footnoteReference w:id="6"/>
      </w:r>
      <w:r>
        <w:t xml:space="preserve"> </w:t>
      </w:r>
      <w:r w:rsidR="00B446CF">
        <w:lastRenderedPageBreak/>
        <w:t xml:space="preserve">Other centres </w:t>
      </w:r>
      <w:r w:rsidR="00637E89">
        <w:t xml:space="preserve">will </w:t>
      </w:r>
      <w:r w:rsidR="00B446CF">
        <w:t>become spokes, responsible for pre</w:t>
      </w:r>
      <w:r w:rsidR="00A03DBA">
        <w:t xml:space="preserve">- </w:t>
      </w:r>
      <w:r w:rsidR="00B446CF">
        <w:t>and</w:t>
      </w:r>
      <w:r w:rsidR="00A03DBA">
        <w:t xml:space="preserve"> </w:t>
      </w:r>
      <w:r w:rsidR="00B446CF">
        <w:t>post-gene therapy care</w:t>
      </w:r>
      <w:r w:rsidR="00FD2DFF">
        <w:t xml:space="preserve">, including </w:t>
      </w:r>
      <w:r w:rsidR="00A32CE5">
        <w:t>undertaking screening tests to assess suitability for gene therapy, conducting follow up appointments and tests</w:t>
      </w:r>
      <w:r w:rsidR="00F626C0">
        <w:t xml:space="preserve"> after infusion, and providing or facilitating access to psychosocial support</w:t>
      </w:r>
      <w:r w:rsidR="00B446CF">
        <w:t>.</w:t>
      </w:r>
      <w:r w:rsidR="00A03DBA">
        <w:t xml:space="preserve"> </w:t>
      </w:r>
      <w:r w:rsidR="00F57B18">
        <w:t>Hub and spoke</w:t>
      </w:r>
      <w:r w:rsidR="0060719C">
        <w:t xml:space="preserve"> site</w:t>
      </w:r>
      <w:r w:rsidR="00F57B18">
        <w:t xml:space="preserve">s </w:t>
      </w:r>
      <w:r w:rsidR="00912C84">
        <w:t>would share responsibility</w:t>
      </w:r>
      <w:r w:rsidR="00660D2B" w:rsidRPr="0018494B">
        <w:t xml:space="preserve"> for </w:t>
      </w:r>
      <w:r w:rsidR="00912C84">
        <w:t>making the decision to approve patients</w:t>
      </w:r>
      <w:r w:rsidR="00660D2B" w:rsidRPr="0018494B">
        <w:t xml:space="preserve"> for gene therapy</w:t>
      </w:r>
      <w:r w:rsidR="002C5B74">
        <w:t>;</w:t>
      </w:r>
      <w:r w:rsidR="00D44897">
        <w:t xml:space="preserve"> </w:t>
      </w:r>
      <w:r w:rsidR="002C5B74">
        <w:t xml:space="preserve">determining post-infusion monitoring and care; and </w:t>
      </w:r>
      <w:r w:rsidR="0060719C">
        <w:t>managing and reporting adverse events</w:t>
      </w:r>
      <w:r w:rsidR="00660D2B" w:rsidRPr="0018494B">
        <w:t>.</w:t>
      </w:r>
    </w:p>
    <w:p w14:paraId="02731D40" w14:textId="24D531CB" w:rsidR="00FC3394" w:rsidRDefault="000364FB" w:rsidP="000364FB">
      <w:pPr>
        <w:shd w:val="clear" w:color="auto" w:fill="BDD6EE" w:themeFill="accent1" w:themeFillTint="66"/>
        <w:rPr>
          <w:iCs/>
        </w:rPr>
      </w:pPr>
      <w:r w:rsidRPr="00E40A38">
        <w:t xml:space="preserve">The applicant did not seek funding for the </w:t>
      </w:r>
      <w:r w:rsidR="005B6A68">
        <w:t>codependent diagnostic</w:t>
      </w:r>
      <w:r w:rsidRPr="00E40A38">
        <w:t xml:space="preserve">. </w:t>
      </w:r>
      <w:r w:rsidRPr="00E40A38">
        <w:rPr>
          <w:rFonts w:eastAsia="Candara" w:cstheme="minorHAnsi"/>
        </w:rPr>
        <w:t xml:space="preserve">The anti-AAV5 </w:t>
      </w:r>
      <w:proofErr w:type="spellStart"/>
      <w:r w:rsidRPr="00E40A38">
        <w:rPr>
          <w:rFonts w:eastAsia="Candara" w:cstheme="minorHAnsi"/>
        </w:rPr>
        <w:t>NAb</w:t>
      </w:r>
      <w:proofErr w:type="spellEnd"/>
      <w:r w:rsidRPr="00E40A38">
        <w:rPr>
          <w:rFonts w:eastAsia="Candara" w:cstheme="minorHAnsi"/>
        </w:rPr>
        <w:t xml:space="preserve"> test will be run from a single laboratory site located at Precision for Medicine (</w:t>
      </w:r>
      <w:proofErr w:type="spellStart"/>
      <w:r w:rsidRPr="00E40A38">
        <w:rPr>
          <w:rFonts w:eastAsia="Candara" w:cstheme="minorHAnsi"/>
        </w:rPr>
        <w:t>PfM</w:t>
      </w:r>
      <w:proofErr w:type="spellEnd"/>
      <w:r w:rsidRPr="00E40A38">
        <w:rPr>
          <w:rFonts w:eastAsia="Candara" w:cstheme="minorHAnsi"/>
        </w:rPr>
        <w:t>), the third-party supplier of the assay, in the United States</w:t>
      </w:r>
      <w:r w:rsidR="00A600A6">
        <w:rPr>
          <w:rFonts w:eastAsia="Candara" w:cstheme="minorHAnsi"/>
        </w:rPr>
        <w:t xml:space="preserve"> (U.S.)</w:t>
      </w:r>
      <w:r w:rsidRPr="00E40A38">
        <w:rPr>
          <w:rFonts w:eastAsia="Candara" w:cstheme="minorHAnsi"/>
        </w:rPr>
        <w:t xml:space="preserve">. This single site will support testing requirements for all </w:t>
      </w:r>
      <w:r w:rsidR="00DE0077">
        <w:rPr>
          <w:iCs/>
        </w:rPr>
        <w:t>ED</w:t>
      </w:r>
      <w:r w:rsidR="00DE0077" w:rsidRPr="00E40A38">
        <w:rPr>
          <w:rFonts w:eastAsia="Candara" w:cstheme="minorHAnsi"/>
        </w:rPr>
        <w:t xml:space="preserve"> </w:t>
      </w:r>
      <w:r w:rsidRPr="00E40A38">
        <w:rPr>
          <w:rFonts w:eastAsia="Candara" w:cstheme="minorHAnsi"/>
        </w:rPr>
        <w:t xml:space="preserve">markets globally. The test will not be TGA registered or listed on the Medicare Benefits Schedule (MBS), and the cost of the test will be covered by </w:t>
      </w:r>
      <w:r w:rsidRPr="00E40A38">
        <w:rPr>
          <w:iCs/>
        </w:rPr>
        <w:t xml:space="preserve">CSL Behring (Australia) Pty Ltd. </w:t>
      </w:r>
    </w:p>
    <w:p w14:paraId="019B904D" w14:textId="19BCDC4B" w:rsidR="000364FB" w:rsidRPr="00A30314" w:rsidRDefault="00B4279F" w:rsidP="000364FB">
      <w:pPr>
        <w:shd w:val="clear" w:color="auto" w:fill="BDD6EE" w:themeFill="accent1" w:themeFillTint="66"/>
        <w:rPr>
          <w:iCs/>
        </w:rPr>
      </w:pPr>
      <w:r>
        <w:t>The commentary noted that the Australian Government will not have oversight of the adequacy of the testing facility, nor will the department be able to require the laboratory take part in any quality assurance or accreditation programs as would usually be the case for a new pathology service.</w:t>
      </w:r>
      <w:r w:rsidR="009E1D6E">
        <w:t xml:space="preserve"> </w:t>
      </w:r>
      <w:r w:rsidR="005C2085">
        <w:t>However, t</w:t>
      </w:r>
      <w:r w:rsidR="009B7F8F">
        <w:t xml:space="preserve">he ADAR advised that </w:t>
      </w:r>
      <w:proofErr w:type="spellStart"/>
      <w:r w:rsidR="009A1E58">
        <w:t>PfM</w:t>
      </w:r>
      <w:proofErr w:type="spellEnd"/>
      <w:r w:rsidR="009A1E58">
        <w:t xml:space="preserve"> </w:t>
      </w:r>
      <w:r w:rsidR="00D4530A">
        <w:t xml:space="preserve">holds </w:t>
      </w:r>
      <w:r w:rsidR="00752290">
        <w:t xml:space="preserve">accreditation from </w:t>
      </w:r>
      <w:r w:rsidR="00513AD7">
        <w:t>the</w:t>
      </w:r>
      <w:r w:rsidR="00C36925" w:rsidRPr="00C36925">
        <w:t xml:space="preserve"> College of American Pathologists’ Laboratory Accreditation Program (CAP)</w:t>
      </w:r>
      <w:r w:rsidR="00146CCC">
        <w:t xml:space="preserve">, </w:t>
      </w:r>
      <w:r w:rsidR="00260445">
        <w:t xml:space="preserve">certification from the </w:t>
      </w:r>
      <w:r w:rsidR="00260445" w:rsidRPr="00C36925">
        <w:t>U</w:t>
      </w:r>
      <w:r w:rsidR="00260445">
        <w:t>.</w:t>
      </w:r>
      <w:r w:rsidR="00260445" w:rsidRPr="00C36925">
        <w:t>S</w:t>
      </w:r>
      <w:r w:rsidR="00260445">
        <w:t>.</w:t>
      </w:r>
      <w:r w:rsidR="00260445" w:rsidRPr="00C36925">
        <w:t xml:space="preserve"> Clinical Laboratory Improvement Amendments (CLIA)</w:t>
      </w:r>
      <w:r w:rsidR="003D5BAC">
        <w:t xml:space="preserve"> and various International Organization for Standardization (</w:t>
      </w:r>
      <w:r w:rsidR="003D5BAC" w:rsidRPr="00C36925">
        <w:t>ISO</w:t>
      </w:r>
      <w:r w:rsidR="003D5BAC">
        <w:t>)</w:t>
      </w:r>
      <w:r w:rsidR="003D5BAC" w:rsidRPr="00C36925">
        <w:t xml:space="preserve"> Quality System certifications</w:t>
      </w:r>
      <w:r w:rsidR="00513AD7">
        <w:t>.</w:t>
      </w:r>
      <w:r w:rsidR="006F23E0">
        <w:t xml:space="preserve"> </w:t>
      </w:r>
      <w:r w:rsidR="006F23E0" w:rsidRPr="006F23E0">
        <w:t>CLIA set</w:t>
      </w:r>
      <w:r w:rsidR="009F7512">
        <w:t>s</w:t>
      </w:r>
      <w:r w:rsidR="006F23E0" w:rsidRPr="006F23E0">
        <w:t xml:space="preserve"> federal standards for all U.S. facilities that </w:t>
      </w:r>
      <w:r w:rsidR="007D19A5">
        <w:t>perform</w:t>
      </w:r>
      <w:r w:rsidR="009F7512">
        <w:t xml:space="preserve"> testing on human specimens for health purposes</w:t>
      </w:r>
      <w:r w:rsidR="004E3B1F">
        <w:t xml:space="preserve"> and is </w:t>
      </w:r>
      <w:r w:rsidR="00110AED">
        <w:t>supported</w:t>
      </w:r>
      <w:r w:rsidR="004E3B1F">
        <w:t xml:space="preserve"> </w:t>
      </w:r>
      <w:r w:rsidR="006F23E0" w:rsidRPr="006F23E0">
        <w:t xml:space="preserve">by the </w:t>
      </w:r>
      <w:proofErr w:type="spellStart"/>
      <w:r w:rsidR="006F23E0" w:rsidRPr="006F23E0">
        <w:t>Centers</w:t>
      </w:r>
      <w:proofErr w:type="spellEnd"/>
      <w:r w:rsidR="006F23E0" w:rsidRPr="006F23E0">
        <w:t xml:space="preserve"> for Disease Control and Prevention (CDC), in collaboration with the </w:t>
      </w:r>
      <w:proofErr w:type="spellStart"/>
      <w:r w:rsidR="006F23E0" w:rsidRPr="006F23E0">
        <w:t>Centers</w:t>
      </w:r>
      <w:proofErr w:type="spellEnd"/>
      <w:r w:rsidR="006F23E0" w:rsidRPr="006F23E0">
        <w:t xml:space="preserve"> for Medicare &amp; Medicaid Services (CMS) and the U.S. FDA.</w:t>
      </w:r>
    </w:p>
    <w:p w14:paraId="1FACED19" w14:textId="0FBE4138" w:rsidR="00633328" w:rsidRDefault="00633328" w:rsidP="00DB3C9D">
      <w:r w:rsidRPr="00F5050D">
        <w:rPr>
          <w:shd w:val="clear" w:color="auto" w:fill="BDD6EE" w:themeFill="accent1" w:themeFillTint="66"/>
        </w:rPr>
        <w:t xml:space="preserve">Anti-AAV5 </w:t>
      </w:r>
      <w:proofErr w:type="spellStart"/>
      <w:r w:rsidRPr="00F5050D">
        <w:rPr>
          <w:shd w:val="clear" w:color="auto" w:fill="BDD6EE" w:themeFill="accent1" w:themeFillTint="66"/>
        </w:rPr>
        <w:t>NAb</w:t>
      </w:r>
      <w:proofErr w:type="spellEnd"/>
      <w:r w:rsidRPr="00F5050D">
        <w:rPr>
          <w:shd w:val="clear" w:color="auto" w:fill="BDD6EE" w:themeFill="accent1" w:themeFillTint="66"/>
        </w:rPr>
        <w:t xml:space="preserve"> testing would be ordered, and interpreted, by the treating specialist in the HTC.</w:t>
      </w:r>
      <w:r>
        <w:t xml:space="preserve"> The expected turnaround time </w:t>
      </w:r>
      <w:r w:rsidR="00F5050D">
        <w:t xml:space="preserve">for a test result </w:t>
      </w:r>
      <w:r>
        <w:t xml:space="preserve">is </w:t>
      </w:r>
      <w:r w:rsidR="00F5050D">
        <w:t>2</w:t>
      </w:r>
      <w:r>
        <w:t>–3 weeks.</w:t>
      </w:r>
    </w:p>
    <w:p w14:paraId="7DAB89E1" w14:textId="33597414" w:rsidR="002F62CC" w:rsidRDefault="00DE0077" w:rsidP="002F62CC">
      <w:pPr>
        <w:shd w:val="clear" w:color="auto" w:fill="BDD6EE" w:themeFill="accent1" w:themeFillTint="66"/>
      </w:pPr>
      <w:r>
        <w:t>ED</w:t>
      </w:r>
      <w:r w:rsidR="002F62CC">
        <w:t xml:space="preserve"> is infused as a single dose of 2 × 10</w:t>
      </w:r>
      <w:r w:rsidR="002F62CC" w:rsidRPr="00A87BC3">
        <w:rPr>
          <w:vertAlign w:val="superscript"/>
        </w:rPr>
        <w:t>13</w:t>
      </w:r>
      <w:r w:rsidR="002F62CC">
        <w:t xml:space="preserve"> genome copies per kilogram of body weight. The total number of vials in each finished pack is prepared for the dosing requirement for each individual patient based on body weight. An average patient weighing 86 kilograms would receive 172 mL product (18 x 10 mL vials with 8 mL wastage). In ADAR 1728, the proposed price per </w:t>
      </w:r>
      <w:r w:rsidR="001E759C">
        <w:t xml:space="preserve">ED </w:t>
      </w:r>
      <w:r w:rsidR="002F62CC">
        <w:t>infusion was $</w:t>
      </w:r>
      <w:r w:rsidR="00CB2BC9" w:rsidRPr="00D84B66">
        <w:rPr>
          <w:b/>
          <w:bCs/>
        </w:rPr>
        <w:t>redacted</w:t>
      </w:r>
      <w:r w:rsidR="0056665B">
        <w:rPr>
          <w:b/>
          <w:bCs/>
        </w:rPr>
        <w:t>.</w:t>
      </w:r>
      <w:r w:rsidR="002F62CC">
        <w:t xml:space="preserve"> No rationale was provided by the applicant for this price.</w:t>
      </w:r>
    </w:p>
    <w:p w14:paraId="500A719E" w14:textId="178A0327" w:rsidR="002F62CC" w:rsidRDefault="002F62CC" w:rsidP="00DB3C9D">
      <w:r>
        <w:t xml:space="preserve">ADAR 1728.1 proposed a reduced price per </w:t>
      </w:r>
      <w:r w:rsidR="00DE0077">
        <w:t xml:space="preserve">ED </w:t>
      </w:r>
      <w:r>
        <w:t xml:space="preserve">infusion of </w:t>
      </w:r>
      <w:r w:rsidRPr="0056665B">
        <w:t>$</w:t>
      </w:r>
      <w:r w:rsidR="00E25F7D" w:rsidRPr="00D84B66">
        <w:rPr>
          <w:b/>
          <w:bCs/>
        </w:rPr>
        <w:t>redacted</w:t>
      </w:r>
      <w:r w:rsidRPr="0056665B">
        <w:t>.</w:t>
      </w:r>
      <w:r>
        <w:t xml:space="preserve"> A risk-share proposal was also offered by CSL Behring</w:t>
      </w:r>
      <w:r w:rsidRPr="00672657">
        <w:t xml:space="preserve">, </w:t>
      </w:r>
      <w:r w:rsidR="003618C9" w:rsidRPr="00D84B66">
        <w:rPr>
          <w:b/>
          <w:bCs/>
        </w:rPr>
        <w:t>redacted</w:t>
      </w:r>
      <w:r w:rsidRPr="00D84B66">
        <w:t>.</w:t>
      </w:r>
      <w:r w:rsidRPr="00672657">
        <w:t xml:space="preserve"> </w:t>
      </w:r>
      <w:r>
        <w:t>The details of the risk-share proposal are outlined below.</w:t>
      </w:r>
    </w:p>
    <w:p w14:paraId="52733C1E" w14:textId="71487A77" w:rsidR="00E65658" w:rsidRDefault="00E65658" w:rsidP="00E65658">
      <w:pPr>
        <w:pStyle w:val="Heading3"/>
      </w:pPr>
      <w:r>
        <w:t>Risk-share proposal</w:t>
      </w:r>
    </w:p>
    <w:p w14:paraId="049BDFB3" w14:textId="76067E68" w:rsidR="00383654" w:rsidRPr="00D84B66" w:rsidRDefault="0089345F" w:rsidP="00A87445">
      <w:pPr>
        <w:shd w:val="clear" w:color="auto" w:fill="BDD6EE" w:themeFill="accent1" w:themeFillTint="66"/>
      </w:pPr>
      <w:r w:rsidRPr="00D84B66">
        <w:rPr>
          <w:b/>
          <w:bCs/>
        </w:rPr>
        <w:t>Redacted</w:t>
      </w:r>
      <w:r w:rsidR="009F4249" w:rsidRPr="00D84B66">
        <w:t>.</w:t>
      </w:r>
    </w:p>
    <w:p w14:paraId="5FBB7B81" w14:textId="29CF06D9" w:rsidR="0036769F" w:rsidRPr="00D84B66" w:rsidRDefault="00990200" w:rsidP="004D1E60">
      <w:pPr>
        <w:pStyle w:val="Caption"/>
        <w:keepLines/>
        <w:rPr>
          <w:shd w:val="clear" w:color="auto" w:fill="BDD6EE" w:themeFill="accent1" w:themeFillTint="66"/>
        </w:rPr>
      </w:pPr>
      <w:r w:rsidRPr="00D84B66">
        <w:rPr>
          <w:shd w:val="clear" w:color="auto" w:fill="BDD6EE" w:themeFill="accent1" w:themeFillTint="66"/>
        </w:rPr>
        <w:t xml:space="preserve">Table </w:t>
      </w:r>
      <w:r w:rsidRPr="00D84B66">
        <w:rPr>
          <w:shd w:val="clear" w:color="auto" w:fill="BDD6EE" w:themeFill="accent1" w:themeFillTint="66"/>
        </w:rPr>
        <w:fldChar w:fldCharType="begin"/>
      </w:r>
      <w:r w:rsidRPr="00D84B66">
        <w:rPr>
          <w:shd w:val="clear" w:color="auto" w:fill="BDD6EE" w:themeFill="accent1" w:themeFillTint="66"/>
        </w:rPr>
        <w:instrText xml:space="preserve"> SEQ Table \* ARABIC </w:instrText>
      </w:r>
      <w:r w:rsidRPr="00D84B66">
        <w:rPr>
          <w:shd w:val="clear" w:color="auto" w:fill="BDD6EE" w:themeFill="accent1" w:themeFillTint="66"/>
        </w:rPr>
        <w:fldChar w:fldCharType="separate"/>
      </w:r>
      <w:r w:rsidRPr="00D84B66">
        <w:rPr>
          <w:shd w:val="clear" w:color="auto" w:fill="BDD6EE" w:themeFill="accent1" w:themeFillTint="66"/>
        </w:rPr>
        <w:t>3</w:t>
      </w:r>
      <w:r w:rsidRPr="00D84B66">
        <w:rPr>
          <w:shd w:val="clear" w:color="auto" w:fill="BDD6EE" w:themeFill="accent1" w:themeFillTint="66"/>
        </w:rPr>
        <w:fldChar w:fldCharType="end"/>
      </w:r>
      <w:r w:rsidRPr="00D84B66">
        <w:rPr>
          <w:shd w:val="clear" w:color="auto" w:fill="BDD6EE" w:themeFill="accent1" w:themeFillTint="66"/>
        </w:rPr>
        <w:t xml:space="preserve"> </w:t>
      </w:r>
      <w:r w:rsidR="005B4DC9" w:rsidRPr="00D84B66">
        <w:rPr>
          <w:shd w:val="clear" w:color="auto" w:fill="BDD6EE" w:themeFill="accent1" w:themeFillTint="66"/>
        </w:rPr>
        <w:tab/>
        <w:t>S</w:t>
      </w:r>
      <w:r w:rsidRPr="00D84B66">
        <w:rPr>
          <w:shd w:val="clear" w:color="auto" w:fill="BDD6EE" w:themeFill="accent1" w:themeFillTint="66"/>
        </w:rPr>
        <w:t>ummary E</w:t>
      </w:r>
      <w:r w:rsidR="00DE0077" w:rsidRPr="00D84B66">
        <w:rPr>
          <w:shd w:val="clear" w:color="auto" w:fill="BDD6EE" w:themeFill="accent1" w:themeFillTint="66"/>
        </w:rPr>
        <w:t xml:space="preserve">D </w:t>
      </w:r>
      <w:r w:rsidR="0036769F" w:rsidRPr="00D84B66">
        <w:rPr>
          <w:shd w:val="clear" w:color="auto" w:fill="BDD6EE" w:themeFill="accent1" w:themeFillTint="66"/>
        </w:rPr>
        <w:t>risk-share propos</w:t>
      </w:r>
      <w:r w:rsidRPr="00D84B66">
        <w:rPr>
          <w:shd w:val="clear" w:color="auto" w:fill="BDD6EE" w:themeFill="accent1" w:themeFillTint="66"/>
        </w:rPr>
        <w:t>al pro</w:t>
      </w:r>
      <w:r w:rsidR="001F7C36" w:rsidRPr="00D84B66">
        <w:rPr>
          <w:shd w:val="clear" w:color="auto" w:fill="BDD6EE" w:themeFill="accent1" w:themeFillTint="66"/>
        </w:rPr>
        <w:t xml:space="preserve">posed in the original application </w:t>
      </w:r>
      <w:r w:rsidR="0036769F" w:rsidRPr="00D84B66">
        <w:rPr>
          <w:shd w:val="clear" w:color="auto" w:fill="BDD6EE" w:themeFill="accent1" w:themeFillTint="66"/>
        </w:rPr>
        <w:t>(ADAR 1728)</w:t>
      </w:r>
    </w:p>
    <w:p w14:paraId="12341DAB" w14:textId="722C6127" w:rsidR="00B00436" w:rsidRPr="00D84B66" w:rsidRDefault="00E70800" w:rsidP="00D84B66">
      <w:r>
        <w:rPr>
          <w:rFonts w:ascii="Arial Narrow" w:hAnsi="Arial Narrow"/>
          <w:b/>
          <w:bCs/>
          <w:sz w:val="20"/>
          <w:szCs w:val="20"/>
        </w:rPr>
        <w:t>Table r</w:t>
      </w:r>
      <w:r w:rsidR="00B00436" w:rsidRPr="00D84B66">
        <w:rPr>
          <w:rFonts w:ascii="Arial Narrow" w:hAnsi="Arial Narrow"/>
          <w:b/>
          <w:bCs/>
          <w:sz w:val="20"/>
          <w:szCs w:val="20"/>
        </w:rPr>
        <w:t>edacted.</w:t>
      </w:r>
    </w:p>
    <w:p w14:paraId="2AF623C7" w14:textId="5A87000E" w:rsidR="00E37DE4" w:rsidRDefault="003B4794" w:rsidP="00DB3C9D">
      <w:r>
        <w:t xml:space="preserve">The risk-share proposal </w:t>
      </w:r>
      <w:r w:rsidR="00075779">
        <w:t>in ADAR 1728.1</w:t>
      </w:r>
      <w:r w:rsidR="001C0CA8">
        <w:t>, outlined in</w:t>
      </w:r>
      <w:r w:rsidR="005B4DC9">
        <w:t xml:space="preserve"> </w:t>
      </w:r>
      <w:r w:rsidR="0092208F">
        <w:fldChar w:fldCharType="begin"/>
      </w:r>
      <w:r w:rsidR="0092208F">
        <w:instrText xml:space="preserve"> REF _Ref207985109 \h </w:instrText>
      </w:r>
      <w:r w:rsidR="0092208F">
        <w:fldChar w:fldCharType="separate"/>
      </w:r>
      <w:r w:rsidR="0092208F">
        <w:t xml:space="preserve">Table </w:t>
      </w:r>
      <w:r w:rsidR="0092208F">
        <w:rPr>
          <w:noProof/>
        </w:rPr>
        <w:t>4</w:t>
      </w:r>
      <w:r w:rsidR="0092208F">
        <w:fldChar w:fldCharType="end"/>
      </w:r>
      <w:r w:rsidR="001C0CA8">
        <w:t>,</w:t>
      </w:r>
      <w:r w:rsidR="00075779">
        <w:t xml:space="preserve"> </w:t>
      </w:r>
      <w:r>
        <w:t xml:space="preserve">was intended to address key uncertainties raised in relation to ADAR 1728, </w:t>
      </w:r>
      <w:r w:rsidRPr="00DD7436">
        <w:t>such as risk of treatment failure, patient variability in response, long-term durability, and upfront budget impact</w:t>
      </w:r>
      <w:r>
        <w:t>.</w:t>
      </w:r>
      <w:r w:rsidR="009F7890">
        <w:t xml:space="preserve"> </w:t>
      </w:r>
      <w:r w:rsidR="00FC4726" w:rsidRPr="00FC4726">
        <w:t>Th</w:t>
      </w:r>
      <w:r w:rsidR="00FC4726">
        <w:t>e commentary noted that th</w:t>
      </w:r>
      <w:r w:rsidR="00F20D22">
        <w:t>is</w:t>
      </w:r>
      <w:r w:rsidR="00FC4726" w:rsidRPr="00FC4726">
        <w:t xml:space="preserve"> risk-share model has the advantage that </w:t>
      </w:r>
      <w:r w:rsidR="001710E5">
        <w:t xml:space="preserve">it </w:t>
      </w:r>
      <w:r w:rsidR="00FC4726" w:rsidRPr="006F57E8">
        <w:t xml:space="preserve">incentivises continuous patient monitoring and aligns payments with </w:t>
      </w:r>
      <w:r w:rsidR="008F13F4" w:rsidRPr="006F57E8">
        <w:t>response to treatment</w:t>
      </w:r>
      <w:r w:rsidR="00ED4FFE" w:rsidRPr="006F57E8">
        <w:t>.</w:t>
      </w:r>
    </w:p>
    <w:p w14:paraId="1619AC49" w14:textId="1C5BCC21" w:rsidR="00E3012F" w:rsidRPr="00E3012F" w:rsidRDefault="00545170" w:rsidP="00E3012F">
      <w:r>
        <w:t xml:space="preserve">Reimbursement has been </w:t>
      </w:r>
      <w:r w:rsidR="004B5F60">
        <w:t>approved</w:t>
      </w:r>
      <w:r>
        <w:t xml:space="preserve"> for </w:t>
      </w:r>
      <w:r w:rsidR="001E759C">
        <w:t>ED</w:t>
      </w:r>
      <w:r w:rsidR="001E759C" w:rsidRPr="00545170">
        <w:t xml:space="preserve"> </w:t>
      </w:r>
      <w:r w:rsidRPr="00545170">
        <w:t xml:space="preserve">in </w:t>
      </w:r>
      <w:r w:rsidR="00BE3EB6">
        <w:t xml:space="preserve">Canada and </w:t>
      </w:r>
      <w:r w:rsidRPr="00545170">
        <w:t xml:space="preserve">a number of European countries </w:t>
      </w:r>
      <w:r w:rsidR="00792000">
        <w:t>(</w:t>
      </w:r>
      <w:r w:rsidR="00915B8F" w:rsidRPr="00545170">
        <w:t>Austria,</w:t>
      </w:r>
      <w:r w:rsidR="00792000">
        <w:t xml:space="preserve"> </w:t>
      </w:r>
      <w:hyperlink r:id="rId16" w:tooltip="Hyperlink to an article with some information on Denmark's outcomes-based agreement for Hemgenix" w:history="1">
        <w:r w:rsidR="004C7358" w:rsidRPr="002E52AB">
          <w:rPr>
            <w:rStyle w:val="Hyperlink"/>
          </w:rPr>
          <w:t>Denmark</w:t>
        </w:r>
      </w:hyperlink>
      <w:r w:rsidR="00782320">
        <w:t xml:space="preserve">, </w:t>
      </w:r>
      <w:r w:rsidRPr="00545170">
        <w:t xml:space="preserve">France, </w:t>
      </w:r>
      <w:r w:rsidR="00915B8F">
        <w:t xml:space="preserve">Germany, </w:t>
      </w:r>
      <w:r w:rsidR="00364C5B">
        <w:t xml:space="preserve">Spain, </w:t>
      </w:r>
      <w:r w:rsidR="00915B8F">
        <w:t xml:space="preserve">Switzerland, </w:t>
      </w:r>
      <w:r w:rsidR="00364C5B">
        <w:t>UK</w:t>
      </w:r>
      <w:r w:rsidRPr="00545170">
        <w:t>)</w:t>
      </w:r>
      <w:r w:rsidR="00964EEA">
        <w:t>;</w:t>
      </w:r>
      <w:r w:rsidRPr="00545170">
        <w:t xml:space="preserve"> however</w:t>
      </w:r>
      <w:r w:rsidR="00964EEA">
        <w:t>,</w:t>
      </w:r>
      <w:r w:rsidRPr="00545170">
        <w:t xml:space="preserve"> details of their </w:t>
      </w:r>
      <w:r w:rsidR="006347DC">
        <w:t xml:space="preserve">risk sharing </w:t>
      </w:r>
      <w:r w:rsidRPr="00545170">
        <w:t>agreements are not publicly available.</w:t>
      </w:r>
      <w:bookmarkStart w:id="15" w:name="_Ref194873625"/>
      <w:r w:rsidR="00E3012F">
        <w:br w:type="page"/>
      </w:r>
    </w:p>
    <w:p w14:paraId="7F80B7F5" w14:textId="16AA9BE3" w:rsidR="003E396C" w:rsidRPr="00D84B66" w:rsidRDefault="005B4DC9" w:rsidP="005B4DC9">
      <w:pPr>
        <w:pStyle w:val="Caption"/>
      </w:pPr>
      <w:bookmarkStart w:id="16" w:name="_Ref207985109"/>
      <w:bookmarkStart w:id="17" w:name="_Ref207982308"/>
      <w:r w:rsidRPr="00D84B66">
        <w:lastRenderedPageBreak/>
        <w:t xml:space="preserve">Table </w:t>
      </w:r>
      <w:r>
        <w:fldChar w:fldCharType="begin"/>
      </w:r>
      <w:r>
        <w:instrText xml:space="preserve"> SEQ Table \* ARABIC </w:instrText>
      </w:r>
      <w:r>
        <w:fldChar w:fldCharType="separate"/>
      </w:r>
      <w:r w:rsidRPr="00D84B66">
        <w:rPr>
          <w:noProof/>
        </w:rPr>
        <w:t>4</w:t>
      </w:r>
      <w:r>
        <w:rPr>
          <w:noProof/>
        </w:rPr>
        <w:fldChar w:fldCharType="end"/>
      </w:r>
      <w:bookmarkEnd w:id="16"/>
      <w:r w:rsidRPr="00D84B66">
        <w:t xml:space="preserve"> </w:t>
      </w:r>
      <w:bookmarkEnd w:id="15"/>
      <w:bookmarkEnd w:id="17"/>
      <w:r w:rsidR="001E759C" w:rsidRPr="00D84B66">
        <w:t xml:space="preserve">ED </w:t>
      </w:r>
      <w:r w:rsidR="00D11207" w:rsidRPr="00D84B66">
        <w:t>risk-share proposal</w:t>
      </w:r>
      <w:r w:rsidR="00D15DB5" w:rsidRPr="00D84B66">
        <w:t xml:space="preserve"> proposed in the current application</w:t>
      </w:r>
      <w:r w:rsidR="00FB4DF6" w:rsidRPr="00D84B66">
        <w:t xml:space="preserve"> </w:t>
      </w:r>
      <w:r w:rsidR="0036769F" w:rsidRPr="00D84B66">
        <w:t xml:space="preserve">(ADAR </w:t>
      </w:r>
      <w:r w:rsidR="00FB4DF6" w:rsidRPr="00D84B66">
        <w:t>1728.1</w:t>
      </w:r>
      <w:r w:rsidR="0036769F" w:rsidRPr="00D84B66">
        <w:t>)</w:t>
      </w:r>
    </w:p>
    <w:p w14:paraId="248AF8C6" w14:textId="01765217" w:rsidR="00AA2C28" w:rsidRPr="00D84B66" w:rsidRDefault="00E70800" w:rsidP="00D84B66">
      <w:r>
        <w:rPr>
          <w:rFonts w:ascii="Arial Narrow" w:hAnsi="Arial Narrow"/>
          <w:b/>
          <w:bCs/>
          <w:sz w:val="20"/>
          <w:szCs w:val="20"/>
        </w:rPr>
        <w:t>Table r</w:t>
      </w:r>
      <w:r w:rsidR="00AA2C28" w:rsidRPr="00D84B66">
        <w:rPr>
          <w:rFonts w:ascii="Arial Narrow" w:hAnsi="Arial Narrow"/>
          <w:b/>
          <w:bCs/>
          <w:sz w:val="20"/>
          <w:szCs w:val="20"/>
        </w:rPr>
        <w:t>edacted</w:t>
      </w:r>
      <w:r w:rsidR="00AA2C28" w:rsidRPr="00D84B66">
        <w:t>.</w:t>
      </w:r>
    </w:p>
    <w:p w14:paraId="5AE30255" w14:textId="72D442DF" w:rsidR="00A2538A" w:rsidRPr="00D84B66" w:rsidDel="00B00436" w:rsidRDefault="00290ED9" w:rsidP="00A2538A">
      <w:r w:rsidRPr="00D84B66" w:rsidDel="00B00436">
        <w:t xml:space="preserve">The commentary </w:t>
      </w:r>
      <w:r w:rsidR="002F105D" w:rsidRPr="00D84B66" w:rsidDel="00B00436">
        <w:t>suggested that</w:t>
      </w:r>
      <w:r w:rsidR="00A2538A" w:rsidRPr="00D84B66" w:rsidDel="00B00436">
        <w:t xml:space="preserve"> payments should cease on death</w:t>
      </w:r>
      <w:r w:rsidR="00BF4EE0" w:rsidRPr="00D84B66" w:rsidDel="00B00436">
        <w:t xml:space="preserve"> (regardless of whether related to treatment with </w:t>
      </w:r>
      <w:r w:rsidR="00DE0077" w:rsidRPr="00D84B66" w:rsidDel="00B00436">
        <w:t>ED</w:t>
      </w:r>
      <w:r w:rsidR="00BF4EE0" w:rsidRPr="00D84B66" w:rsidDel="00B00436">
        <w:t>)</w:t>
      </w:r>
      <w:r w:rsidR="00C33077" w:rsidRPr="00D84B66" w:rsidDel="00B00436">
        <w:t>.</w:t>
      </w:r>
      <w:r w:rsidR="00A2538A" w:rsidRPr="00D84B66" w:rsidDel="00B00436">
        <w:t xml:space="preserve"> </w:t>
      </w:r>
      <w:r w:rsidR="00C33077" w:rsidRPr="00D84B66" w:rsidDel="00B00436">
        <w:t>L</w:t>
      </w:r>
      <w:r w:rsidR="00A2538A" w:rsidRPr="00D84B66" w:rsidDel="00B00436">
        <w:t>iver transplant</w:t>
      </w:r>
      <w:r w:rsidR="003057B2" w:rsidRPr="00D84B66" w:rsidDel="00B00436">
        <w:t>ation</w:t>
      </w:r>
      <w:r w:rsidR="00C33077" w:rsidRPr="00D84B66" w:rsidDel="00B00436">
        <w:t xml:space="preserve"> and </w:t>
      </w:r>
      <w:r w:rsidR="00E41753" w:rsidRPr="00D84B66" w:rsidDel="00B00436">
        <w:t xml:space="preserve">the </w:t>
      </w:r>
      <w:r w:rsidR="001404CE" w:rsidRPr="00D84B66" w:rsidDel="00B00436">
        <w:t xml:space="preserve">occurrence of </w:t>
      </w:r>
      <w:r w:rsidR="0056705A" w:rsidRPr="00D84B66" w:rsidDel="00B00436">
        <w:t xml:space="preserve">treatment-related </w:t>
      </w:r>
      <w:r w:rsidR="001A3F3B" w:rsidRPr="00D84B66" w:rsidDel="00B00436">
        <w:t>serious adverse events (</w:t>
      </w:r>
      <w:r w:rsidR="0056705A" w:rsidRPr="00D84B66" w:rsidDel="00B00436">
        <w:t>SAEs</w:t>
      </w:r>
      <w:r w:rsidR="001A3F3B" w:rsidRPr="00D84B66" w:rsidDel="00B00436">
        <w:t>)</w:t>
      </w:r>
      <w:r w:rsidR="0056705A" w:rsidRPr="00D84B66" w:rsidDel="00B00436">
        <w:t xml:space="preserve"> </w:t>
      </w:r>
      <w:r w:rsidR="00C33077" w:rsidRPr="00D84B66" w:rsidDel="00B00436">
        <w:t>could also be considered</w:t>
      </w:r>
      <w:r w:rsidR="0056705A" w:rsidRPr="00D84B66" w:rsidDel="00B00436">
        <w:t xml:space="preserve"> </w:t>
      </w:r>
      <w:r w:rsidR="003057B2" w:rsidRPr="00D84B66" w:rsidDel="00B00436">
        <w:t>reasonable grounds</w:t>
      </w:r>
      <w:r w:rsidR="00E41753" w:rsidRPr="00D84B66" w:rsidDel="00B00436">
        <w:t xml:space="preserve"> </w:t>
      </w:r>
      <w:r w:rsidR="0056705A" w:rsidRPr="00D84B66" w:rsidDel="00B00436">
        <w:t xml:space="preserve">for </w:t>
      </w:r>
      <w:r w:rsidR="00E41753" w:rsidRPr="00D84B66" w:rsidDel="00B00436">
        <w:t>cessation of payment</w:t>
      </w:r>
      <w:r w:rsidR="0056705A" w:rsidRPr="00D84B66" w:rsidDel="00B00436">
        <w:t>.</w:t>
      </w:r>
    </w:p>
    <w:p w14:paraId="028B6677" w14:textId="10E111E8" w:rsidR="00223791" w:rsidRDefault="00223791" w:rsidP="00066C0E">
      <w:pPr>
        <w:spacing w:after="120"/>
      </w:pPr>
      <w:r w:rsidRPr="00D84B66">
        <w:t>The commentary noted that the risk-share proposal as presented in the ADAR does not address practical implementation considerations such as</w:t>
      </w:r>
      <w:r w:rsidR="00C1148E" w:rsidRPr="00D84B66">
        <w:t xml:space="preserve"> </w:t>
      </w:r>
      <w:r w:rsidR="009A1708" w:rsidRPr="00D84B66">
        <w:t xml:space="preserve">the </w:t>
      </w:r>
      <w:r w:rsidRPr="00D84B66">
        <w:t>methodology and responsibility for comprehensive and transparent data collection from individual patients, and centralised data management and analysis</w:t>
      </w:r>
      <w:r w:rsidR="00C1148E" w:rsidRPr="00D84B66">
        <w:t>.</w:t>
      </w:r>
      <w:r w:rsidR="0057736A" w:rsidRPr="00D84B66">
        <w:t xml:space="preserve"> The risk</w:t>
      </w:r>
      <w:r w:rsidR="00D01F08" w:rsidRPr="00D84B66">
        <w:t xml:space="preserve">-share </w:t>
      </w:r>
      <w:r w:rsidR="00F337DF" w:rsidRPr="00D84B66">
        <w:t xml:space="preserve">further lacks clarity </w:t>
      </w:r>
      <w:r w:rsidR="00AD5EDA" w:rsidRPr="00D84B66">
        <w:t xml:space="preserve">regarding funding responsibilities for </w:t>
      </w:r>
      <w:r w:rsidR="00D01F08" w:rsidRPr="00D84B66">
        <w:t xml:space="preserve">anti-AAV5 </w:t>
      </w:r>
      <w:proofErr w:type="spellStart"/>
      <w:r w:rsidR="00235335" w:rsidRPr="00D84B66">
        <w:t>N</w:t>
      </w:r>
      <w:r w:rsidR="00F92574" w:rsidRPr="00D84B66">
        <w:t>A</w:t>
      </w:r>
      <w:r w:rsidR="00235335" w:rsidRPr="00D84B66">
        <w:t>b</w:t>
      </w:r>
      <w:proofErr w:type="spellEnd"/>
      <w:r w:rsidR="00235335" w:rsidRPr="00D84B66">
        <w:t xml:space="preserve"> testing </w:t>
      </w:r>
      <w:r w:rsidR="00334415" w:rsidRPr="00D84B66">
        <w:t>and re</w:t>
      </w:r>
      <w:r w:rsidR="72921FC1" w:rsidRPr="00D84B66">
        <w:t>-</w:t>
      </w:r>
      <w:r w:rsidR="00334415" w:rsidRPr="00D84B66">
        <w:t>testing</w:t>
      </w:r>
      <w:r w:rsidR="20EAA032" w:rsidRPr="00D84B66">
        <w:t xml:space="preserve"> </w:t>
      </w:r>
      <w:r w:rsidR="7FA3DD5A" w:rsidRPr="00D84B66">
        <w:t>(if required)</w:t>
      </w:r>
      <w:r w:rsidR="20EAA032" w:rsidRPr="00D84B66">
        <w:t xml:space="preserve"> to determine eligibility for </w:t>
      </w:r>
      <w:r w:rsidR="001E759C" w:rsidRPr="00D84B66">
        <w:t>ED</w:t>
      </w:r>
      <w:r w:rsidR="0055492B" w:rsidRPr="00D84B66">
        <w:t>.</w:t>
      </w:r>
      <w:r w:rsidR="20EAA032">
        <w:t xml:space="preserve"> </w:t>
      </w:r>
      <w:r w:rsidR="00F92574">
        <w:t xml:space="preserve"> </w:t>
      </w:r>
    </w:p>
    <w:p w14:paraId="34E0B08F" w14:textId="0B5C5EA8" w:rsidR="00772829" w:rsidRDefault="00772829" w:rsidP="00E3012F">
      <w:pPr>
        <w:pStyle w:val="Heading2"/>
        <w:numPr>
          <w:ilvl w:val="0"/>
          <w:numId w:val="28"/>
        </w:numPr>
      </w:pPr>
      <w:bookmarkStart w:id="18" w:name="_Toc69491419"/>
      <w:r w:rsidRPr="00CE28E3">
        <w:t>Population</w:t>
      </w:r>
      <w:bookmarkEnd w:id="18"/>
    </w:p>
    <w:p w14:paraId="38209DE3" w14:textId="52F2167C" w:rsidR="0086145A" w:rsidRDefault="00736504" w:rsidP="00E3012F">
      <w:pPr>
        <w:keepNext/>
        <w:keepLines/>
        <w:shd w:val="clear" w:color="auto" w:fill="BDD6EE" w:themeFill="accent1" w:themeFillTint="66"/>
        <w:spacing w:after="120"/>
      </w:pPr>
      <w:r>
        <w:t xml:space="preserve">The population </w:t>
      </w:r>
      <w:r w:rsidR="000767E8">
        <w:t xml:space="preserve">proposed in </w:t>
      </w:r>
      <w:r w:rsidR="0086145A">
        <w:t xml:space="preserve">ADAR 1728 was adults ≥18 years of age with HMB (congenital FIX deficiency) and: </w:t>
      </w:r>
    </w:p>
    <w:p w14:paraId="13B8DE72" w14:textId="77777777" w:rsidR="00B23D84" w:rsidRDefault="0086145A" w:rsidP="00E3012F">
      <w:pPr>
        <w:pStyle w:val="ListParagraph"/>
        <w:keepNext/>
        <w:keepLines/>
        <w:numPr>
          <w:ilvl w:val="0"/>
          <w:numId w:val="9"/>
        </w:numPr>
        <w:shd w:val="clear" w:color="auto" w:fill="BDD6EE" w:themeFill="accent1" w:themeFillTint="66"/>
        <w:spacing w:before="0"/>
        <w:ind w:left="714" w:hanging="357"/>
      </w:pPr>
      <w:r>
        <w:t>FIX activity ≤2% of normal</w:t>
      </w:r>
      <w:r w:rsidR="005A015B">
        <w:t>,</w:t>
      </w:r>
      <w:r>
        <w:t xml:space="preserve"> and</w:t>
      </w:r>
    </w:p>
    <w:p w14:paraId="323FCAD3" w14:textId="77777777" w:rsidR="00B23D84" w:rsidRDefault="0086145A" w:rsidP="00E3012F">
      <w:pPr>
        <w:pStyle w:val="ListParagraph"/>
        <w:keepNext/>
        <w:keepLines/>
        <w:numPr>
          <w:ilvl w:val="0"/>
          <w:numId w:val="9"/>
        </w:numPr>
        <w:shd w:val="clear" w:color="auto" w:fill="BDD6EE" w:themeFill="accent1" w:themeFillTint="66"/>
      </w:pPr>
      <w:r>
        <w:t>currently receiving prophylaxis with FIX concentrate for at least 2 months</w:t>
      </w:r>
      <w:r w:rsidR="005A015B">
        <w:t>,</w:t>
      </w:r>
      <w:r>
        <w:t xml:space="preserve"> and </w:t>
      </w:r>
    </w:p>
    <w:p w14:paraId="29818C5F" w14:textId="6291456F" w:rsidR="00170C8A" w:rsidRDefault="0086145A" w:rsidP="00E3012F">
      <w:pPr>
        <w:pStyle w:val="ListParagraph"/>
        <w:keepNext/>
        <w:keepLines/>
        <w:numPr>
          <w:ilvl w:val="0"/>
          <w:numId w:val="9"/>
        </w:numPr>
        <w:shd w:val="clear" w:color="auto" w:fill="BDD6EE" w:themeFill="accent1" w:themeFillTint="66"/>
      </w:pPr>
      <w:r>
        <w:t xml:space="preserve">whom do not have </w:t>
      </w:r>
      <w:r w:rsidR="004D37F9">
        <w:t xml:space="preserve">FIX </w:t>
      </w:r>
      <w:r>
        <w:t>inhibitors.</w:t>
      </w:r>
    </w:p>
    <w:p w14:paraId="48190673" w14:textId="1176D29B" w:rsidR="00B82925" w:rsidRDefault="00E55695" w:rsidP="00E3012F">
      <w:pPr>
        <w:keepNext/>
        <w:keepLines/>
        <w:shd w:val="clear" w:color="auto" w:fill="BDD6EE" w:themeFill="accent1" w:themeFillTint="66"/>
      </w:pPr>
      <w:r>
        <w:t>A</w:t>
      </w:r>
      <w:r w:rsidR="00B82925">
        <w:t xml:space="preserve">nti-AAV5 </w:t>
      </w:r>
      <w:proofErr w:type="spellStart"/>
      <w:r w:rsidR="00B82925">
        <w:t>NA</w:t>
      </w:r>
      <w:r w:rsidR="007B3F44">
        <w:t>b</w:t>
      </w:r>
      <w:proofErr w:type="spellEnd"/>
      <w:r w:rsidR="00B82925">
        <w:t xml:space="preserve"> titre was not included </w:t>
      </w:r>
      <w:r w:rsidR="00DD660D">
        <w:t xml:space="preserve">in the population </w:t>
      </w:r>
      <w:r w:rsidR="00655307">
        <w:t xml:space="preserve">because </w:t>
      </w:r>
      <w:r w:rsidR="0095642E">
        <w:t>it was not specified in the</w:t>
      </w:r>
      <w:r w:rsidR="00655307">
        <w:t xml:space="preserve"> TGA indication</w:t>
      </w:r>
      <w:r w:rsidR="00E71743">
        <w:t>, despite the</w:t>
      </w:r>
      <w:r w:rsidR="00655307">
        <w:t xml:space="preserve"> provisional registration</w:t>
      </w:r>
      <w:r w:rsidR="00E71743">
        <w:t xml:space="preserve"> stating </w:t>
      </w:r>
      <w:r w:rsidR="00E71743" w:rsidRPr="00E71743">
        <w:t xml:space="preserve">that baseline testing of pre-existing anti-AAV5 </w:t>
      </w:r>
      <w:proofErr w:type="spellStart"/>
      <w:r w:rsidR="00E71743" w:rsidRPr="00E71743">
        <w:t>NAb</w:t>
      </w:r>
      <w:proofErr w:type="spellEnd"/>
      <w:r w:rsidR="00E71743" w:rsidRPr="00E71743">
        <w:t xml:space="preserve"> titre is required</w:t>
      </w:r>
      <w:r w:rsidR="0095642E">
        <w:t>.</w:t>
      </w:r>
    </w:p>
    <w:p w14:paraId="656C53C3" w14:textId="2578A642" w:rsidR="0086145A" w:rsidRDefault="00B23D84" w:rsidP="00E3012F">
      <w:pPr>
        <w:keepNext/>
        <w:keepLines/>
      </w:pPr>
      <w:r>
        <w:t xml:space="preserve">The revised population </w:t>
      </w:r>
      <w:r w:rsidR="00163FD1">
        <w:t xml:space="preserve">in ADAR 1728.1 incorporated </w:t>
      </w:r>
      <w:r w:rsidR="00215EEF">
        <w:t xml:space="preserve">the co-dependent diagnostic – the 9-point anti-AAV5 </w:t>
      </w:r>
      <w:proofErr w:type="spellStart"/>
      <w:r w:rsidR="00215EEF">
        <w:t>NAb</w:t>
      </w:r>
      <w:proofErr w:type="spellEnd"/>
      <w:r w:rsidR="00215EEF">
        <w:t xml:space="preserve"> assay – and </w:t>
      </w:r>
      <w:r w:rsidR="002D2D30">
        <w:t>additional clinical criteria</w:t>
      </w:r>
      <w:r w:rsidR="007E3BB5">
        <w:t xml:space="preserve"> </w:t>
      </w:r>
      <w:r w:rsidR="00050CFD">
        <w:t>listed as contra</w:t>
      </w:r>
      <w:r w:rsidR="00131E31">
        <w:t xml:space="preserve">indications </w:t>
      </w:r>
      <w:r w:rsidR="006E2F1B">
        <w:t xml:space="preserve">in the </w:t>
      </w:r>
      <w:r w:rsidR="005C15A2">
        <w:t xml:space="preserve">Australian Product Information </w:t>
      </w:r>
      <w:r w:rsidR="00131E31">
        <w:t xml:space="preserve">(PI) </w:t>
      </w:r>
      <w:r w:rsidR="005C15A2">
        <w:t xml:space="preserve">for </w:t>
      </w:r>
      <w:r w:rsidR="001E759C">
        <w:t>ED</w:t>
      </w:r>
      <w:r w:rsidR="00E029B6">
        <w:t>.</w:t>
      </w:r>
    </w:p>
    <w:p w14:paraId="00551572" w14:textId="7F1EBA1A" w:rsidR="00985279" w:rsidRDefault="00985279" w:rsidP="00E01D86">
      <w:pPr>
        <w:spacing w:after="120"/>
      </w:pPr>
      <w:r w:rsidRPr="00985279">
        <w:rPr>
          <w:b/>
          <w:bCs/>
        </w:rPr>
        <w:t>Test (</w:t>
      </w:r>
      <w:r w:rsidR="007013F0">
        <w:rPr>
          <w:b/>
          <w:bCs/>
        </w:rPr>
        <w:t>anti-</w:t>
      </w:r>
      <w:r w:rsidRPr="00985279">
        <w:rPr>
          <w:b/>
          <w:bCs/>
        </w:rPr>
        <w:t xml:space="preserve">AAV5 </w:t>
      </w:r>
      <w:proofErr w:type="spellStart"/>
      <w:r w:rsidRPr="00985279">
        <w:rPr>
          <w:b/>
          <w:bCs/>
        </w:rPr>
        <w:t>NAb</w:t>
      </w:r>
      <w:proofErr w:type="spellEnd"/>
      <w:r w:rsidR="007013F0">
        <w:rPr>
          <w:b/>
          <w:bCs/>
        </w:rPr>
        <w:t xml:space="preserve"> assay</w:t>
      </w:r>
      <w:r w:rsidRPr="00985279">
        <w:rPr>
          <w:b/>
          <w:bCs/>
        </w:rPr>
        <w:t>)</w:t>
      </w:r>
      <w:r>
        <w:t>: Adult patients (≥18 years) with severe or moderately severe (FIX activity ≤2% of normal) congenital HMB, currently receiving stable FIX prophylactic therapy</w:t>
      </w:r>
      <w:r w:rsidR="00A77B00">
        <w:t>, who also meet the following criteria:</w:t>
      </w:r>
    </w:p>
    <w:p w14:paraId="1D361611" w14:textId="06DAA8E8" w:rsidR="00985279" w:rsidRDefault="00E01C35" w:rsidP="003758CD">
      <w:pPr>
        <w:pStyle w:val="ListParagraph"/>
        <w:numPr>
          <w:ilvl w:val="0"/>
          <w:numId w:val="10"/>
        </w:numPr>
        <w:spacing w:before="0"/>
        <w:ind w:left="714" w:hanging="357"/>
      </w:pPr>
      <w:r>
        <w:t>n</w:t>
      </w:r>
      <w:r w:rsidR="00985279">
        <w:t>o active infections, either acute or uncontrolled chronic</w:t>
      </w:r>
      <w:r w:rsidR="00364911">
        <w:t>, and</w:t>
      </w:r>
    </w:p>
    <w:p w14:paraId="3EF94EA9" w14:textId="3EB1AD3F" w:rsidR="00985279" w:rsidRDefault="00E01C35" w:rsidP="003758CD">
      <w:pPr>
        <w:pStyle w:val="ListParagraph"/>
        <w:numPr>
          <w:ilvl w:val="0"/>
          <w:numId w:val="10"/>
        </w:numPr>
      </w:pPr>
      <w:r>
        <w:t>n</w:t>
      </w:r>
      <w:r w:rsidR="00985279">
        <w:t>o known advanced hepatic fibrosis, or cirrhosis</w:t>
      </w:r>
      <w:r>
        <w:t>.</w:t>
      </w:r>
    </w:p>
    <w:p w14:paraId="7D4B83FB" w14:textId="1D70976F" w:rsidR="00985279" w:rsidRDefault="00985279" w:rsidP="00E01D86">
      <w:pPr>
        <w:spacing w:after="120"/>
      </w:pPr>
      <w:r w:rsidRPr="00985279">
        <w:rPr>
          <w:b/>
          <w:bCs/>
        </w:rPr>
        <w:t>Intervention (</w:t>
      </w:r>
      <w:r w:rsidR="00DE0077">
        <w:rPr>
          <w:b/>
          <w:bCs/>
        </w:rPr>
        <w:t>ED</w:t>
      </w:r>
      <w:r w:rsidRPr="00985279">
        <w:rPr>
          <w:b/>
          <w:bCs/>
        </w:rPr>
        <w:t>)</w:t>
      </w:r>
      <w:r>
        <w:t>: Adult patients (≥18 years) with severe or moderately severe (</w:t>
      </w:r>
      <w:r w:rsidR="00823DA3">
        <w:t>FIX</w:t>
      </w:r>
      <w:r>
        <w:t xml:space="preserve"> activity ≤2% of normal) </w:t>
      </w:r>
      <w:r w:rsidR="00616522">
        <w:t xml:space="preserve">congenital </w:t>
      </w:r>
      <w:r>
        <w:t>HMB, currently receiving stable FIX prophylactic therapy, who also meet the following criteria:</w:t>
      </w:r>
    </w:p>
    <w:p w14:paraId="5A8605E3" w14:textId="0B635800" w:rsidR="00985279" w:rsidRDefault="004B4823" w:rsidP="003758CD">
      <w:pPr>
        <w:pStyle w:val="ListParagraph"/>
        <w:numPr>
          <w:ilvl w:val="0"/>
          <w:numId w:val="11"/>
        </w:numPr>
      </w:pPr>
      <w:r>
        <w:t>anti-</w:t>
      </w:r>
      <w:r w:rsidR="00985279">
        <w:t xml:space="preserve">AAV5 </w:t>
      </w:r>
      <w:proofErr w:type="spellStart"/>
      <w:r w:rsidR="00985279">
        <w:t>NAb</w:t>
      </w:r>
      <w:proofErr w:type="spellEnd"/>
      <w:r w:rsidR="00985279">
        <w:t xml:space="preserve"> titre &lt;1:900 using 9-point </w:t>
      </w:r>
      <w:r>
        <w:t>anti-</w:t>
      </w:r>
      <w:r w:rsidR="00985279">
        <w:t xml:space="preserve">AAV5 </w:t>
      </w:r>
      <w:proofErr w:type="spellStart"/>
      <w:r w:rsidR="00985279">
        <w:t>NAb</w:t>
      </w:r>
      <w:proofErr w:type="spellEnd"/>
      <w:r w:rsidR="00985279">
        <w:t xml:space="preserve"> assay</w:t>
      </w:r>
      <w:r w:rsidR="00364911">
        <w:t>, and</w:t>
      </w:r>
    </w:p>
    <w:p w14:paraId="629CCDCC" w14:textId="155348DD" w:rsidR="00985279" w:rsidRDefault="00E01C35" w:rsidP="003758CD">
      <w:pPr>
        <w:pStyle w:val="ListParagraph"/>
        <w:numPr>
          <w:ilvl w:val="0"/>
          <w:numId w:val="11"/>
        </w:numPr>
      </w:pPr>
      <w:r>
        <w:t>n</w:t>
      </w:r>
      <w:r w:rsidR="00985279">
        <w:t>o active infections, either acute or uncontrolled chronic</w:t>
      </w:r>
      <w:r w:rsidR="00364911">
        <w:t>, and</w:t>
      </w:r>
    </w:p>
    <w:p w14:paraId="682F6D3D" w14:textId="0093ADDE" w:rsidR="00946EC7" w:rsidRDefault="00E01C35" w:rsidP="003758CD">
      <w:pPr>
        <w:pStyle w:val="ListParagraph"/>
        <w:numPr>
          <w:ilvl w:val="0"/>
          <w:numId w:val="11"/>
        </w:numPr>
      </w:pPr>
      <w:r>
        <w:t>n</w:t>
      </w:r>
      <w:r w:rsidR="00985279">
        <w:t>o known advanced hepatic fibrosis, or cirrhosis</w:t>
      </w:r>
      <w:r w:rsidR="002A70D9">
        <w:t>.</w:t>
      </w:r>
    </w:p>
    <w:p w14:paraId="012338DA" w14:textId="536E996E" w:rsidR="00B12DDA" w:rsidRDefault="003E29B4" w:rsidP="00EA3733">
      <w:pPr>
        <w:keepNext/>
        <w:spacing w:after="120"/>
      </w:pPr>
      <w:r>
        <w:t>For consistency with the TGA indication, t</w:t>
      </w:r>
      <w:r w:rsidR="00B12DDA">
        <w:t xml:space="preserve">he commentary noted that the </w:t>
      </w:r>
      <w:r w:rsidR="00157A2A">
        <w:t xml:space="preserve">test and </w:t>
      </w:r>
      <w:r w:rsidR="00B12DDA">
        <w:t>intervention population</w:t>
      </w:r>
      <w:r w:rsidR="00157A2A">
        <w:t>s</w:t>
      </w:r>
      <w:r w:rsidR="00B12DDA">
        <w:t xml:space="preserve"> should also include:</w:t>
      </w:r>
    </w:p>
    <w:p w14:paraId="3297B5B9" w14:textId="7A21AFA1" w:rsidR="00B12DDA" w:rsidRDefault="003E29B4" w:rsidP="003758CD">
      <w:pPr>
        <w:pStyle w:val="ListParagraph"/>
        <w:numPr>
          <w:ilvl w:val="0"/>
          <w:numId w:val="11"/>
        </w:numPr>
        <w:ind w:left="714" w:hanging="357"/>
        <w:contextualSpacing w:val="0"/>
      </w:pPr>
      <w:r>
        <w:t>n</w:t>
      </w:r>
      <w:r w:rsidR="00B12DDA">
        <w:t>o history of FIX inhibitors.</w:t>
      </w:r>
    </w:p>
    <w:p w14:paraId="2F0BD656" w14:textId="36025242" w:rsidR="009B64FB" w:rsidRPr="00170C8A" w:rsidRDefault="009B64FB" w:rsidP="00160CDB">
      <w:pPr>
        <w:shd w:val="clear" w:color="auto" w:fill="BDD6EE" w:themeFill="accent1" w:themeFillTint="66"/>
        <w:spacing w:after="120"/>
      </w:pPr>
      <w:r w:rsidRPr="009B64FB">
        <w:t xml:space="preserve">Treatment with the intervention was proposed as an alternative to current best supportive care, </w:t>
      </w:r>
      <w:r w:rsidR="00B43735">
        <w:t>which</w:t>
      </w:r>
      <w:r w:rsidRPr="009B64FB">
        <w:t xml:space="preserve"> is a stable prophylactic regimen of recombinant FIX concentrate. Treatment with </w:t>
      </w:r>
      <w:r w:rsidR="00DE0077">
        <w:t>ED</w:t>
      </w:r>
      <w:r w:rsidR="00DE0077" w:rsidRPr="009B64FB">
        <w:t xml:space="preserve"> </w:t>
      </w:r>
      <w:r w:rsidRPr="009B64FB">
        <w:t>may not completely eliminate the need for FIX replacement therapy or change the circumstances under which it would be required, but it was proposed to significantly reduce both the extent and frequency of its use.</w:t>
      </w:r>
    </w:p>
    <w:p w14:paraId="66BDFCC1" w14:textId="5F4C1A32" w:rsidR="00772829" w:rsidRDefault="00772829" w:rsidP="003758CD">
      <w:pPr>
        <w:pStyle w:val="Heading2"/>
        <w:numPr>
          <w:ilvl w:val="0"/>
          <w:numId w:val="28"/>
        </w:numPr>
      </w:pPr>
      <w:bookmarkStart w:id="19" w:name="_Toc69491420"/>
      <w:r w:rsidRPr="00CE28E3">
        <w:lastRenderedPageBreak/>
        <w:t>Comparator</w:t>
      </w:r>
      <w:bookmarkEnd w:id="19"/>
    </w:p>
    <w:p w14:paraId="06E06F6F" w14:textId="7425965E" w:rsidR="00A20F37" w:rsidRDefault="00A20F37" w:rsidP="00A20F37">
      <w:pPr>
        <w:shd w:val="clear" w:color="auto" w:fill="BDD6EE" w:themeFill="accent1" w:themeFillTint="66"/>
      </w:pPr>
      <w:r>
        <w:t>Patients not treated with gene therapy will continue to be treated with a prophylactic regimen of recombinant FIX concentrate</w:t>
      </w:r>
      <w:r w:rsidR="59491737">
        <w:t>, or other registered prophylactic agents</w:t>
      </w:r>
      <w:r>
        <w:t xml:space="preserve">. On-demand or episodic treatment with FIX is administered only at the time of a bleeding event (or event anticipated to cause bleeding). </w:t>
      </w:r>
      <w:r w:rsidR="00BC63FF">
        <w:t>At the time of</w:t>
      </w:r>
      <w:r w:rsidR="007D1B62">
        <w:t xml:space="preserve"> the </w:t>
      </w:r>
      <w:r w:rsidR="007010CD">
        <w:t>ADAR</w:t>
      </w:r>
      <w:r w:rsidR="007D1B62">
        <w:t xml:space="preserve"> submission,</w:t>
      </w:r>
      <w:r w:rsidR="00BC63FF">
        <w:t xml:space="preserve"> </w:t>
      </w:r>
      <w:r w:rsidR="007D1B62">
        <w:t xml:space="preserve">the </w:t>
      </w:r>
      <w:r>
        <w:t>procurement arrangements</w:t>
      </w:r>
      <w:r w:rsidR="007D1B62">
        <w:t xml:space="preserve"> were such that</w:t>
      </w:r>
      <w:r>
        <w:t xml:space="preserve"> </w:t>
      </w:r>
      <w:proofErr w:type="spellStart"/>
      <w:r>
        <w:t>Alprolix</w:t>
      </w:r>
      <w:proofErr w:type="spellEnd"/>
      <w:r>
        <w:t xml:space="preserve"> (</w:t>
      </w:r>
      <w:proofErr w:type="spellStart"/>
      <w:r>
        <w:t>eftrenonacog</w:t>
      </w:r>
      <w:proofErr w:type="spellEnd"/>
      <w:r>
        <w:t xml:space="preserve"> alfa/extended half-life</w:t>
      </w:r>
      <w:r w:rsidR="00D006C2">
        <w:t xml:space="preserve"> [EHL]</w:t>
      </w:r>
      <w:r>
        <w:t xml:space="preserve">) and </w:t>
      </w:r>
      <w:proofErr w:type="spellStart"/>
      <w:r>
        <w:t>Benefix</w:t>
      </w:r>
      <w:proofErr w:type="spellEnd"/>
      <w:r>
        <w:t xml:space="preserve"> (</w:t>
      </w:r>
      <w:proofErr w:type="spellStart"/>
      <w:r>
        <w:t>nonacog</w:t>
      </w:r>
      <w:proofErr w:type="spellEnd"/>
      <w:r>
        <w:t xml:space="preserve"> alfa/standard half-life</w:t>
      </w:r>
      <w:r w:rsidR="00D006C2">
        <w:t xml:space="preserve"> [SHL]</w:t>
      </w:r>
      <w:r>
        <w:t xml:space="preserve">) recombinant FIX clotting factor concentrates </w:t>
      </w:r>
      <w:r w:rsidR="008E667A">
        <w:t xml:space="preserve">were </w:t>
      </w:r>
      <w:r>
        <w:t xml:space="preserve">available, along with </w:t>
      </w:r>
      <w:proofErr w:type="spellStart"/>
      <w:r>
        <w:t>Monofix</w:t>
      </w:r>
      <w:proofErr w:type="spellEnd"/>
      <w:r>
        <w:t xml:space="preserve">, a plasma derived clotting factor with minimal utilisation. All treatments for HMB are currently fully funded (no patient co-payment) by all Australian governments under the </w:t>
      </w:r>
      <w:r w:rsidR="7720D683">
        <w:t>N</w:t>
      </w:r>
      <w:r>
        <w:t xml:space="preserve">ational </w:t>
      </w:r>
      <w:r w:rsidR="06670542">
        <w:t>B</w:t>
      </w:r>
      <w:r>
        <w:t xml:space="preserve">lood </w:t>
      </w:r>
      <w:r w:rsidR="696669B7">
        <w:t>Agreement</w:t>
      </w:r>
      <w:r>
        <w:t>.</w:t>
      </w:r>
    </w:p>
    <w:p w14:paraId="6166AD67" w14:textId="77777777" w:rsidR="00A5660B" w:rsidRDefault="00A5660B" w:rsidP="003758CD">
      <w:pPr>
        <w:pStyle w:val="Heading2"/>
        <w:numPr>
          <w:ilvl w:val="0"/>
          <w:numId w:val="28"/>
        </w:numPr>
      </w:pPr>
      <w:bookmarkStart w:id="20" w:name="_Toc69491422"/>
      <w:r w:rsidRPr="00A5660B">
        <w:t>Summary of public consultation input</w:t>
      </w:r>
    </w:p>
    <w:p w14:paraId="1D8DF282" w14:textId="2CAD66B2" w:rsidR="003569FE" w:rsidRDefault="003758CD" w:rsidP="003569FE">
      <w:pPr>
        <w:tabs>
          <w:tab w:val="left" w:pos="3686"/>
        </w:tabs>
        <w:spacing w:line="256" w:lineRule="auto"/>
        <w:rPr>
          <w:rFonts w:eastAsia="Franklin Gothic Book" w:cs="Franklin Gothic Book"/>
        </w:rPr>
      </w:pPr>
      <w:r w:rsidRPr="00DD6C68">
        <w:rPr>
          <w:rFonts w:eastAsia="Franklin Gothic Book" w:cs="Franklin Gothic Book"/>
        </w:rPr>
        <w:t>Consultation input was welcomed from</w:t>
      </w:r>
      <w:r w:rsidR="003569FE" w:rsidRPr="47A3C7E0">
        <w:rPr>
          <w:rFonts w:eastAsia="Franklin Gothic Book" w:cs="Franklin Gothic Book"/>
        </w:rPr>
        <w:t>:</w:t>
      </w:r>
    </w:p>
    <w:tbl>
      <w:tblPr>
        <w:tblW w:w="9020" w:type="dxa"/>
        <w:tblLook w:val="04A0" w:firstRow="1" w:lastRow="0" w:firstColumn="1" w:lastColumn="0" w:noHBand="0" w:noVBand="1"/>
      </w:tblPr>
      <w:tblGrid>
        <w:gridCol w:w="7800"/>
        <w:gridCol w:w="1220"/>
      </w:tblGrid>
      <w:tr w:rsidR="000736F0" w:rsidRPr="00E72C32" w14:paraId="00C1C5B5" w14:textId="77777777" w:rsidTr="00CB4880">
        <w:trPr>
          <w:trHeight w:val="1040"/>
        </w:trPr>
        <w:tc>
          <w:tcPr>
            <w:tcW w:w="7800" w:type="dxa"/>
            <w:tcBorders>
              <w:top w:val="single" w:sz="4" w:space="0" w:color="000000" w:themeColor="text1"/>
              <w:left w:val="single" w:sz="4" w:space="0" w:color="000000" w:themeColor="text1"/>
              <w:bottom w:val="single" w:sz="8" w:space="0" w:color="auto"/>
              <w:right w:val="single" w:sz="8" w:space="0" w:color="auto"/>
            </w:tcBorders>
            <w:shd w:val="clear" w:color="auto" w:fill="D1D1D1"/>
            <w:vAlign w:val="center"/>
            <w:hideMark/>
          </w:tcPr>
          <w:p w14:paraId="14A0D725" w14:textId="77777777" w:rsidR="000736F0" w:rsidRPr="00E72C32" w:rsidRDefault="000736F0" w:rsidP="000736F0">
            <w:pPr>
              <w:spacing w:before="0" w:after="0" w:line="240" w:lineRule="auto"/>
              <w:rPr>
                <w:rFonts w:eastAsia="Franklin Gothic Book" w:cs="Franklin Gothic Book"/>
                <w:b/>
                <w:bCs/>
                <w:color w:val="000000"/>
                <w:sz w:val="20"/>
                <w:szCs w:val="20"/>
                <w:lang w:eastAsia="en-AU"/>
              </w:rPr>
            </w:pPr>
            <w:r w:rsidRPr="47A3C7E0">
              <w:rPr>
                <w:rFonts w:eastAsia="Franklin Gothic Book" w:cs="Franklin Gothic Book"/>
                <w:b/>
                <w:bCs/>
                <w:color w:val="000000" w:themeColor="text1"/>
                <w:sz w:val="20"/>
                <w:szCs w:val="20"/>
                <w:lang w:eastAsia="en-AU"/>
              </w:rPr>
              <w:t>1</w:t>
            </w:r>
            <w:r>
              <w:rPr>
                <w:rFonts w:eastAsia="Franklin Gothic Book" w:cs="Franklin Gothic Book"/>
                <w:b/>
                <w:bCs/>
                <w:color w:val="000000" w:themeColor="text1"/>
                <w:sz w:val="20"/>
                <w:szCs w:val="20"/>
                <w:lang w:eastAsia="en-AU"/>
              </w:rPr>
              <w:t>728.1</w:t>
            </w:r>
            <w:r w:rsidRPr="47A3C7E0">
              <w:rPr>
                <w:rFonts w:eastAsia="Franklin Gothic Book" w:cs="Franklin Gothic Book"/>
                <w:b/>
                <w:bCs/>
                <w:color w:val="000000" w:themeColor="text1"/>
                <w:sz w:val="20"/>
                <w:szCs w:val="20"/>
                <w:lang w:eastAsia="en-AU"/>
              </w:rPr>
              <w:t xml:space="preserve"> – </w:t>
            </w:r>
            <w:r w:rsidRPr="00AA127B">
              <w:rPr>
                <w:rFonts w:eastAsia="Franklin Gothic Book" w:cs="Franklin Gothic Book"/>
                <w:b/>
                <w:bCs/>
                <w:color w:val="000000" w:themeColor="text1"/>
                <w:sz w:val="20"/>
                <w:szCs w:val="20"/>
                <w:lang w:eastAsia="en-AU"/>
              </w:rPr>
              <w:t>Etranacogene dezaparvovec for the treatment of Haemophilia B</w:t>
            </w:r>
            <w:r w:rsidRPr="47A3C7E0">
              <w:rPr>
                <w:rFonts w:eastAsia="Franklin Gothic Book" w:cs="Franklin Gothic Book"/>
                <w:b/>
                <w:bCs/>
                <w:color w:val="000000" w:themeColor="text1"/>
                <w:sz w:val="20"/>
                <w:szCs w:val="20"/>
                <w:lang w:eastAsia="en-AU"/>
              </w:rPr>
              <w:t xml:space="preserve"> (</w:t>
            </w:r>
            <w:r w:rsidRPr="00AA127B">
              <w:rPr>
                <w:rFonts w:eastAsia="Franklin Gothic Book" w:cs="Franklin Gothic Book"/>
                <w:b/>
                <w:bCs/>
                <w:color w:val="000000" w:themeColor="text1"/>
                <w:sz w:val="20"/>
                <w:szCs w:val="20"/>
                <w:lang w:eastAsia="en-AU"/>
              </w:rPr>
              <w:t>CSL Behring (Australia) Pty Ltd</w:t>
            </w:r>
            <w:r w:rsidRPr="47A3C7E0">
              <w:rPr>
                <w:rFonts w:eastAsia="Franklin Gothic Book" w:cs="Franklin Gothic Book"/>
                <w:b/>
                <w:bCs/>
                <w:color w:val="000000" w:themeColor="text1"/>
                <w:sz w:val="20"/>
                <w:szCs w:val="20"/>
                <w:lang w:eastAsia="en-AU"/>
              </w:rPr>
              <w:t>)</w:t>
            </w:r>
          </w:p>
        </w:tc>
        <w:tc>
          <w:tcPr>
            <w:tcW w:w="1220" w:type="dxa"/>
            <w:tcBorders>
              <w:top w:val="single" w:sz="4" w:space="0" w:color="000000" w:themeColor="text1"/>
              <w:left w:val="nil"/>
              <w:bottom w:val="single" w:sz="8" w:space="0" w:color="auto"/>
              <w:right w:val="single" w:sz="4" w:space="0" w:color="000000" w:themeColor="text1"/>
            </w:tcBorders>
            <w:shd w:val="clear" w:color="auto" w:fill="D1D1D1"/>
            <w:vAlign w:val="center"/>
            <w:hideMark/>
          </w:tcPr>
          <w:p w14:paraId="796A5EBF" w14:textId="77777777" w:rsidR="000736F0" w:rsidRPr="00E72C32" w:rsidRDefault="000736F0" w:rsidP="000736F0">
            <w:pPr>
              <w:spacing w:before="0" w:after="0" w:line="240" w:lineRule="auto"/>
              <w:jc w:val="center"/>
              <w:rPr>
                <w:rFonts w:eastAsia="Franklin Gothic Book" w:cs="Franklin Gothic Book"/>
                <w:b/>
                <w:bCs/>
                <w:color w:val="000000"/>
                <w:sz w:val="20"/>
                <w:szCs w:val="20"/>
                <w:lang w:eastAsia="en-AU"/>
              </w:rPr>
            </w:pPr>
            <w:r w:rsidRPr="47A3C7E0">
              <w:rPr>
                <w:rFonts w:eastAsia="Franklin Gothic Book" w:cs="Franklin Gothic Book"/>
                <w:b/>
                <w:bCs/>
                <w:color w:val="000000" w:themeColor="text1"/>
                <w:sz w:val="20"/>
                <w:szCs w:val="20"/>
                <w:lang w:eastAsia="en-AU"/>
              </w:rPr>
              <w:t>No. of Inputs Received</w:t>
            </w:r>
            <w:r w:rsidRPr="47A3C7E0">
              <w:rPr>
                <w:rFonts w:eastAsia="Franklin Gothic Book" w:cs="Franklin Gothic Book"/>
                <w:color w:val="000000" w:themeColor="text1"/>
                <w:sz w:val="20"/>
                <w:szCs w:val="20"/>
                <w:lang w:eastAsia="en-AU"/>
              </w:rPr>
              <w:t> </w:t>
            </w:r>
          </w:p>
        </w:tc>
      </w:tr>
      <w:tr w:rsidR="000736F0" w:rsidRPr="00E72C32" w14:paraId="00F01A14" w14:textId="77777777" w:rsidTr="00CB4880">
        <w:trPr>
          <w:trHeight w:val="590"/>
        </w:trPr>
        <w:tc>
          <w:tcPr>
            <w:tcW w:w="9020" w:type="dxa"/>
            <w:gridSpan w:val="2"/>
            <w:tcBorders>
              <w:top w:val="single" w:sz="8" w:space="0" w:color="auto"/>
              <w:left w:val="single" w:sz="4" w:space="0" w:color="000000" w:themeColor="text1"/>
              <w:bottom w:val="single" w:sz="8" w:space="0" w:color="auto"/>
              <w:right w:val="single" w:sz="4" w:space="0" w:color="000000" w:themeColor="text1"/>
            </w:tcBorders>
            <w:shd w:val="clear" w:color="auto" w:fill="E8E8E8"/>
            <w:vAlign w:val="center"/>
            <w:hideMark/>
          </w:tcPr>
          <w:p w14:paraId="24CA5373" w14:textId="77777777" w:rsidR="000736F0" w:rsidRPr="00E72C32" w:rsidRDefault="000736F0" w:rsidP="000736F0">
            <w:pPr>
              <w:spacing w:before="0" w:after="0" w:line="240" w:lineRule="auto"/>
              <w:rPr>
                <w:rFonts w:eastAsia="Franklin Gothic Book" w:cs="Franklin Gothic Book"/>
                <w:b/>
                <w:bCs/>
                <w:color w:val="000000"/>
                <w:sz w:val="20"/>
                <w:szCs w:val="20"/>
                <w:lang w:eastAsia="en-AU"/>
              </w:rPr>
            </w:pPr>
            <w:r w:rsidRPr="7BE8DBEA">
              <w:rPr>
                <w:rFonts w:eastAsia="Franklin Gothic Book" w:cs="Franklin Gothic Book"/>
                <w:b/>
                <w:bCs/>
                <w:color w:val="000000" w:themeColor="text1"/>
                <w:sz w:val="20"/>
                <w:szCs w:val="20"/>
                <w:lang w:eastAsia="en-AU"/>
              </w:rPr>
              <w:t>Organisations (2)</w:t>
            </w:r>
            <w:r w:rsidRPr="7BE8DBEA">
              <w:rPr>
                <w:rFonts w:eastAsia="Franklin Gothic Book" w:cs="Franklin Gothic Book"/>
                <w:color w:val="000000" w:themeColor="text1"/>
                <w:sz w:val="20"/>
                <w:szCs w:val="20"/>
                <w:lang w:eastAsia="en-AU"/>
              </w:rPr>
              <w:t> </w:t>
            </w:r>
          </w:p>
        </w:tc>
      </w:tr>
      <w:tr w:rsidR="000736F0" w:rsidRPr="00E72C32" w14:paraId="173FF6EF" w14:textId="77777777" w:rsidTr="00BF6920">
        <w:trPr>
          <w:trHeight w:val="760"/>
        </w:trPr>
        <w:tc>
          <w:tcPr>
            <w:tcW w:w="7800" w:type="dxa"/>
            <w:tcBorders>
              <w:top w:val="nil"/>
              <w:left w:val="single" w:sz="4" w:space="0" w:color="000000" w:themeColor="text1"/>
              <w:bottom w:val="single" w:sz="8" w:space="0" w:color="auto"/>
              <w:right w:val="single" w:sz="8" w:space="0" w:color="auto"/>
            </w:tcBorders>
            <w:vAlign w:val="center"/>
            <w:hideMark/>
          </w:tcPr>
          <w:p w14:paraId="16253232" w14:textId="77777777" w:rsidR="000736F0" w:rsidRPr="00E72C32" w:rsidRDefault="000736F0" w:rsidP="000736F0">
            <w:pPr>
              <w:spacing w:before="0" w:after="0" w:line="240" w:lineRule="auto"/>
              <w:rPr>
                <w:rFonts w:eastAsia="Franklin Gothic Book" w:cs="Franklin Gothic Book"/>
                <w:sz w:val="20"/>
                <w:szCs w:val="20"/>
                <w:lang w:eastAsia="en-AU"/>
              </w:rPr>
            </w:pPr>
            <w:r w:rsidRPr="47A3C7E0">
              <w:rPr>
                <w:rFonts w:eastAsia="Franklin Gothic Book" w:cs="Franklin Gothic Book"/>
                <w:sz w:val="20"/>
                <w:szCs w:val="20"/>
                <w:lang w:eastAsia="en-AU"/>
              </w:rPr>
              <w:t>I am providing input on behalf of a consumer group or organisation. Consumer organisations are not-for-profit organisations representing the interests of healthcare consumers, their families and carers. </w:t>
            </w:r>
          </w:p>
        </w:tc>
        <w:tc>
          <w:tcPr>
            <w:tcW w:w="1220" w:type="dxa"/>
            <w:tcBorders>
              <w:top w:val="nil"/>
              <w:left w:val="nil"/>
              <w:bottom w:val="single" w:sz="8" w:space="0" w:color="auto"/>
              <w:right w:val="single" w:sz="4" w:space="0" w:color="000000" w:themeColor="text1"/>
            </w:tcBorders>
            <w:vAlign w:val="center"/>
            <w:hideMark/>
          </w:tcPr>
          <w:p w14:paraId="2C03577C" w14:textId="2827681C" w:rsidR="000736F0" w:rsidRPr="00E72C32" w:rsidRDefault="003747F7" w:rsidP="000736F0">
            <w:pPr>
              <w:spacing w:before="0" w:after="0" w:line="240" w:lineRule="auto"/>
              <w:jc w:val="center"/>
              <w:rPr>
                <w:rFonts w:eastAsia="Franklin Gothic Book" w:cs="Franklin Gothic Book"/>
                <w:sz w:val="20"/>
                <w:szCs w:val="20"/>
                <w:lang w:eastAsia="en-AU"/>
              </w:rPr>
            </w:pPr>
            <w:r>
              <w:rPr>
                <w:rFonts w:eastAsia="Franklin Gothic Book" w:cs="Franklin Gothic Book"/>
                <w:sz w:val="20"/>
                <w:szCs w:val="20"/>
                <w:lang w:eastAsia="en-AU"/>
              </w:rPr>
              <w:t>1</w:t>
            </w:r>
          </w:p>
        </w:tc>
      </w:tr>
      <w:tr w:rsidR="003747F7" w:rsidRPr="00E72C32" w14:paraId="7925422A" w14:textId="77777777" w:rsidTr="00BF6920">
        <w:trPr>
          <w:trHeight w:val="760"/>
        </w:trPr>
        <w:tc>
          <w:tcPr>
            <w:tcW w:w="7800" w:type="dxa"/>
            <w:tcBorders>
              <w:top w:val="nil"/>
              <w:left w:val="single" w:sz="4" w:space="0" w:color="000000" w:themeColor="text1"/>
              <w:bottom w:val="single" w:sz="8" w:space="0" w:color="auto"/>
              <w:right w:val="single" w:sz="8" w:space="0" w:color="auto"/>
            </w:tcBorders>
            <w:vAlign w:val="center"/>
          </w:tcPr>
          <w:p w14:paraId="628CF849" w14:textId="6815990C" w:rsidR="003747F7" w:rsidRPr="47A3C7E0" w:rsidRDefault="003747F7" w:rsidP="000736F0">
            <w:pPr>
              <w:spacing w:before="0" w:after="0" w:line="240" w:lineRule="auto"/>
              <w:rPr>
                <w:rFonts w:eastAsia="Franklin Gothic Book" w:cs="Franklin Gothic Book"/>
                <w:sz w:val="20"/>
                <w:szCs w:val="20"/>
                <w:lang w:eastAsia="en-AU"/>
              </w:rPr>
            </w:pPr>
            <w:r w:rsidRPr="47A3C7E0">
              <w:rPr>
                <w:rFonts w:eastAsia="Franklin Gothic Book" w:cs="Franklin Gothic Book"/>
                <w:sz w:val="20"/>
                <w:szCs w:val="20"/>
                <w:lang w:eastAsia="en-AU"/>
              </w:rPr>
              <w:t>I am providing input on behalf of a medical, health, or other (non-consumer) organisation. For example, input on behalf of a group of clinicians, research organisation, professional college, or from an organisation that produces a similar service or technology. </w:t>
            </w:r>
          </w:p>
        </w:tc>
        <w:tc>
          <w:tcPr>
            <w:tcW w:w="1220" w:type="dxa"/>
            <w:tcBorders>
              <w:top w:val="nil"/>
              <w:left w:val="nil"/>
              <w:bottom w:val="single" w:sz="8" w:space="0" w:color="auto"/>
              <w:right w:val="single" w:sz="4" w:space="0" w:color="000000" w:themeColor="text1"/>
            </w:tcBorders>
            <w:vAlign w:val="center"/>
          </w:tcPr>
          <w:p w14:paraId="551DF3F8" w14:textId="10A9790D" w:rsidR="003747F7" w:rsidRDefault="003747F7" w:rsidP="000736F0">
            <w:pPr>
              <w:spacing w:before="0" w:after="0" w:line="240" w:lineRule="auto"/>
              <w:jc w:val="center"/>
              <w:rPr>
                <w:rFonts w:eastAsia="Franklin Gothic Book" w:cs="Franklin Gothic Book"/>
                <w:sz w:val="20"/>
                <w:szCs w:val="20"/>
                <w:lang w:eastAsia="en-AU"/>
              </w:rPr>
            </w:pPr>
            <w:r>
              <w:rPr>
                <w:rFonts w:eastAsia="Franklin Gothic Book" w:cs="Franklin Gothic Book"/>
                <w:sz w:val="20"/>
                <w:szCs w:val="20"/>
                <w:lang w:eastAsia="en-AU"/>
              </w:rPr>
              <w:t>1</w:t>
            </w:r>
          </w:p>
        </w:tc>
      </w:tr>
      <w:tr w:rsidR="000736F0" w:rsidRPr="00E72C32" w14:paraId="0BCAF15C" w14:textId="77777777" w:rsidTr="00BF6920">
        <w:trPr>
          <w:trHeight w:val="290"/>
        </w:trPr>
        <w:tc>
          <w:tcPr>
            <w:tcW w:w="7800" w:type="dxa"/>
            <w:tcBorders>
              <w:top w:val="nil"/>
              <w:left w:val="single" w:sz="4" w:space="0" w:color="000000" w:themeColor="text1"/>
              <w:bottom w:val="single" w:sz="4" w:space="0" w:color="000000" w:themeColor="text1"/>
              <w:right w:val="single" w:sz="8" w:space="0" w:color="auto"/>
            </w:tcBorders>
            <w:vAlign w:val="center"/>
            <w:hideMark/>
          </w:tcPr>
          <w:p w14:paraId="05DB369C" w14:textId="77777777" w:rsidR="000736F0" w:rsidRPr="00E72C32" w:rsidRDefault="000736F0" w:rsidP="000736F0">
            <w:pPr>
              <w:spacing w:before="0" w:after="0" w:line="240" w:lineRule="auto"/>
              <w:rPr>
                <w:rFonts w:eastAsia="Franklin Gothic Book" w:cs="Franklin Gothic Book"/>
                <w:b/>
                <w:bCs/>
                <w:sz w:val="20"/>
                <w:szCs w:val="20"/>
                <w:lang w:eastAsia="en-AU"/>
              </w:rPr>
            </w:pPr>
            <w:r w:rsidRPr="47A3C7E0">
              <w:rPr>
                <w:rFonts w:eastAsia="Franklin Gothic Book" w:cs="Franklin Gothic Book"/>
                <w:b/>
                <w:bCs/>
                <w:sz w:val="20"/>
                <w:szCs w:val="20"/>
                <w:lang w:eastAsia="en-AU"/>
              </w:rPr>
              <w:t>Grand Total</w:t>
            </w:r>
            <w:r w:rsidRPr="47A3C7E0">
              <w:rPr>
                <w:rFonts w:eastAsia="Franklin Gothic Book" w:cs="Franklin Gothic Book"/>
                <w:sz w:val="20"/>
                <w:szCs w:val="20"/>
                <w:lang w:eastAsia="en-AU"/>
              </w:rPr>
              <w:t> </w:t>
            </w:r>
          </w:p>
        </w:tc>
        <w:tc>
          <w:tcPr>
            <w:tcW w:w="1220" w:type="dxa"/>
            <w:tcBorders>
              <w:top w:val="nil"/>
              <w:left w:val="nil"/>
              <w:bottom w:val="single" w:sz="4" w:space="0" w:color="000000" w:themeColor="text1"/>
              <w:right w:val="single" w:sz="4" w:space="0" w:color="000000" w:themeColor="text1"/>
            </w:tcBorders>
            <w:vAlign w:val="center"/>
            <w:hideMark/>
          </w:tcPr>
          <w:p w14:paraId="45CAAFE6" w14:textId="77777777" w:rsidR="000736F0" w:rsidRPr="00E72C32" w:rsidRDefault="000736F0" w:rsidP="000736F0">
            <w:pPr>
              <w:spacing w:before="0" w:after="0" w:line="240" w:lineRule="auto"/>
              <w:jc w:val="center"/>
              <w:rPr>
                <w:rFonts w:eastAsia="Franklin Gothic Book" w:cs="Franklin Gothic Book"/>
                <w:b/>
                <w:bCs/>
                <w:sz w:val="20"/>
                <w:szCs w:val="20"/>
                <w:lang w:eastAsia="en-AU"/>
              </w:rPr>
            </w:pPr>
            <w:r w:rsidRPr="7BE8DBEA">
              <w:rPr>
                <w:rFonts w:eastAsia="Franklin Gothic Book" w:cs="Franklin Gothic Book"/>
                <w:b/>
                <w:bCs/>
                <w:sz w:val="20"/>
                <w:szCs w:val="20"/>
                <w:lang w:eastAsia="en-AU"/>
              </w:rPr>
              <w:t>2</w:t>
            </w:r>
          </w:p>
        </w:tc>
      </w:tr>
    </w:tbl>
    <w:p w14:paraId="08E6ADA9" w14:textId="1F441268" w:rsidR="000736F0" w:rsidRPr="00393ED7" w:rsidRDefault="000736F0" w:rsidP="000736F0">
      <w:pPr>
        <w:tabs>
          <w:tab w:val="left" w:pos="3686"/>
        </w:tabs>
        <w:spacing w:before="240" w:line="257" w:lineRule="auto"/>
        <w:rPr>
          <w:rFonts w:eastAsia="Franklin Gothic Book" w:cs="Franklin Gothic Book"/>
        </w:rPr>
      </w:pPr>
      <w:r w:rsidRPr="47A3C7E0">
        <w:rPr>
          <w:rFonts w:eastAsia="Franklin Gothic Book" w:cs="Franklin Gothic Book"/>
        </w:rPr>
        <w:t>The organisations that submitted input were:</w:t>
      </w:r>
    </w:p>
    <w:p w14:paraId="46D458E2" w14:textId="0247607B" w:rsidR="009F7B69" w:rsidRPr="001E0E68" w:rsidRDefault="009F7B69" w:rsidP="009F7B69">
      <w:pPr>
        <w:pStyle w:val="ListParagraph"/>
        <w:numPr>
          <w:ilvl w:val="0"/>
          <w:numId w:val="32"/>
        </w:numPr>
        <w:tabs>
          <w:tab w:val="left" w:pos="3686"/>
        </w:tabs>
        <w:spacing w:line="256" w:lineRule="auto"/>
        <w:rPr>
          <w:rFonts w:eastAsia="Franklin Gothic Book" w:cs="Franklin Gothic Book"/>
        </w:rPr>
      </w:pPr>
      <w:r w:rsidRPr="7BE8DBEA">
        <w:rPr>
          <w:rFonts w:eastAsia="Franklin Gothic Book" w:cs="Franklin Gothic Book"/>
        </w:rPr>
        <w:t>Haemophilia Foundation Australia (HFA)</w:t>
      </w:r>
    </w:p>
    <w:p w14:paraId="699D2690" w14:textId="07FE6E26" w:rsidR="003569FE" w:rsidRDefault="003569FE" w:rsidP="003758CD">
      <w:pPr>
        <w:pStyle w:val="ListParagraph"/>
        <w:numPr>
          <w:ilvl w:val="0"/>
          <w:numId w:val="32"/>
        </w:numPr>
        <w:tabs>
          <w:tab w:val="left" w:pos="3686"/>
        </w:tabs>
        <w:spacing w:line="256" w:lineRule="auto"/>
        <w:rPr>
          <w:rFonts w:eastAsia="Franklin Gothic Book" w:cs="Franklin Gothic Book"/>
        </w:rPr>
      </w:pPr>
      <w:r w:rsidRPr="7BE8DBEA">
        <w:rPr>
          <w:rFonts w:eastAsia="Franklin Gothic Book" w:cs="Franklin Gothic Book"/>
        </w:rPr>
        <w:t>Australian Haemophilia Centre Directors’ Organisation (AHCDO)</w:t>
      </w:r>
    </w:p>
    <w:p w14:paraId="500D4CA0" w14:textId="77777777" w:rsidR="003569FE" w:rsidRPr="003569FE" w:rsidRDefault="003569FE" w:rsidP="003569FE">
      <w:pPr>
        <w:pStyle w:val="Heading3"/>
      </w:pPr>
      <w:r w:rsidRPr="003569FE">
        <w:t xml:space="preserve">Level of support for public funding </w:t>
      </w:r>
    </w:p>
    <w:p w14:paraId="294188EB" w14:textId="77777777" w:rsidR="003569FE" w:rsidRDefault="003569FE" w:rsidP="003569FE">
      <w:pPr>
        <w:tabs>
          <w:tab w:val="left" w:pos="3686"/>
        </w:tabs>
        <w:spacing w:line="256" w:lineRule="auto"/>
        <w:rPr>
          <w:rFonts w:eastAsia="Franklin Gothic Book" w:cs="Franklin Gothic Book"/>
        </w:rPr>
      </w:pPr>
      <w:r w:rsidRPr="7BE8DBEA">
        <w:rPr>
          <w:rFonts w:eastAsia="Franklin Gothic Book" w:cs="Franklin Gothic Book"/>
        </w:rPr>
        <w:t>HFA expressed support for the public funding of this application. AHCDO referred to previous input it provided for MSAC application 1728, where they expressed explicit support for the access to haemophilia gene therapy as a funded treatment option in the treatment of haemophilia.</w:t>
      </w:r>
    </w:p>
    <w:p w14:paraId="57BF8E66" w14:textId="77777777" w:rsidR="003569FE" w:rsidRPr="003569FE" w:rsidRDefault="003569FE" w:rsidP="003569FE">
      <w:pPr>
        <w:pStyle w:val="Heading3"/>
      </w:pPr>
      <w:r w:rsidRPr="003569FE">
        <w:t xml:space="preserve">Comments on PICO </w:t>
      </w:r>
    </w:p>
    <w:p w14:paraId="6AC6B6F1" w14:textId="61068091" w:rsidR="003569FE" w:rsidRDefault="003569FE" w:rsidP="003758CD">
      <w:pPr>
        <w:pStyle w:val="ListParagraph"/>
        <w:numPr>
          <w:ilvl w:val="0"/>
          <w:numId w:val="30"/>
        </w:numPr>
        <w:spacing w:before="0"/>
        <w:rPr>
          <w:rFonts w:eastAsia="Franklin Gothic Book" w:cs="Franklin Gothic Book"/>
        </w:rPr>
      </w:pPr>
      <w:r w:rsidRPr="7BE8DBEA">
        <w:rPr>
          <w:rFonts w:eastAsia="Franklin Gothic Book" w:cs="Franklin Gothic Book"/>
        </w:rPr>
        <w:t>AHCDO suggested comparator study methodology cannot be readily applied to rare disorders, such as haemophilia</w:t>
      </w:r>
      <w:r w:rsidR="0049044F">
        <w:rPr>
          <w:rFonts w:eastAsia="Franklin Gothic Book" w:cs="Franklin Gothic Book"/>
        </w:rPr>
        <w:t>, where</w:t>
      </w:r>
      <w:r w:rsidRPr="7BE8DBEA">
        <w:rPr>
          <w:rFonts w:eastAsia="Franklin Gothic Book" w:cs="Franklin Gothic Book"/>
        </w:rPr>
        <w:t xml:space="preserve"> the principal manifestation of severe haemophilia is bleeding, and thus the demonstration of no bleeding (or significant reduction) is important and clinically meaningful.</w:t>
      </w:r>
    </w:p>
    <w:p w14:paraId="64653E39" w14:textId="77777777" w:rsidR="003569FE" w:rsidRDefault="003569FE" w:rsidP="003758CD">
      <w:pPr>
        <w:pStyle w:val="ListParagraph"/>
        <w:numPr>
          <w:ilvl w:val="0"/>
          <w:numId w:val="30"/>
        </w:numPr>
        <w:spacing w:before="0"/>
        <w:rPr>
          <w:rFonts w:eastAsia="Franklin Gothic Book" w:cs="Franklin Gothic Book"/>
        </w:rPr>
      </w:pPr>
      <w:r w:rsidRPr="7BE8DBEA">
        <w:rPr>
          <w:rFonts w:eastAsia="Franklin Gothic Book" w:cs="Franklin Gothic Book"/>
        </w:rPr>
        <w:t>HFA noted its lack of scientific expertise, but stated the eligibility criteria appear to be related to the population that received benefit from the therapy in clinical trials.</w:t>
      </w:r>
    </w:p>
    <w:p w14:paraId="1B110885" w14:textId="18112647" w:rsidR="003569FE" w:rsidRDefault="003569FE" w:rsidP="003758CD">
      <w:pPr>
        <w:pStyle w:val="ListParagraph"/>
        <w:numPr>
          <w:ilvl w:val="0"/>
          <w:numId w:val="30"/>
        </w:numPr>
        <w:spacing w:before="0"/>
        <w:rPr>
          <w:rFonts w:eastAsia="Franklin Gothic Book" w:cs="Franklin Gothic Book"/>
        </w:rPr>
      </w:pPr>
      <w:r w:rsidRPr="7BE8DBEA">
        <w:rPr>
          <w:rFonts w:eastAsia="Franklin Gothic Book" w:cs="Franklin Gothic Book"/>
        </w:rPr>
        <w:t>HFA noted that due to the highly specialised services required, there is a risk that gene therapy will be restricted to individuals who can access it via large HTCs.</w:t>
      </w:r>
    </w:p>
    <w:p w14:paraId="1BBF8510" w14:textId="77777777" w:rsidR="003569FE" w:rsidRPr="003569FE" w:rsidRDefault="003569FE" w:rsidP="003569FE">
      <w:pPr>
        <w:pStyle w:val="Heading3"/>
      </w:pPr>
      <w:r w:rsidRPr="003569FE">
        <w:lastRenderedPageBreak/>
        <w:t xml:space="preserve">Perceived Advantages </w:t>
      </w:r>
    </w:p>
    <w:p w14:paraId="1D608185" w14:textId="77777777" w:rsidR="003569FE" w:rsidRDefault="003569FE" w:rsidP="003758CD">
      <w:pPr>
        <w:pStyle w:val="ListParagraph"/>
        <w:numPr>
          <w:ilvl w:val="0"/>
          <w:numId w:val="32"/>
        </w:numPr>
        <w:tabs>
          <w:tab w:val="left" w:pos="3686"/>
        </w:tabs>
        <w:spacing w:line="256" w:lineRule="auto"/>
        <w:rPr>
          <w:rFonts w:eastAsia="Franklin Gothic Book" w:cs="Franklin Gothic Book"/>
        </w:rPr>
      </w:pPr>
      <w:r w:rsidRPr="7BE8DBEA">
        <w:rPr>
          <w:rFonts w:eastAsia="Franklin Gothic Book" w:cs="Franklin Gothic Book"/>
        </w:rPr>
        <w:t>AHCDO noted mathematical modelling suggests a clinically meaningful response of gene therapy in HMB might last 25 years.</w:t>
      </w:r>
    </w:p>
    <w:p w14:paraId="1A558277" w14:textId="77777777" w:rsidR="003569FE" w:rsidRDefault="003569FE" w:rsidP="003758CD">
      <w:pPr>
        <w:pStyle w:val="ListParagraph"/>
        <w:numPr>
          <w:ilvl w:val="0"/>
          <w:numId w:val="32"/>
        </w:numPr>
        <w:tabs>
          <w:tab w:val="left" w:pos="3686"/>
        </w:tabs>
        <w:spacing w:line="256" w:lineRule="auto"/>
        <w:rPr>
          <w:rFonts w:eastAsia="Franklin Gothic Book" w:cs="Franklin Gothic Book"/>
        </w:rPr>
      </w:pPr>
      <w:r w:rsidRPr="7BE8DBEA">
        <w:rPr>
          <w:rFonts w:eastAsia="Franklin Gothic Book" w:cs="Franklin Gothic Book"/>
        </w:rPr>
        <w:t>AHCDO noted that for patients with congenital mild HMB, spontaneous bleeding is rarely observed, and thus the need and burden of regular prophylaxis with clotting factor concentrates (CFC) is removed. Advantages include patients being able to: travel more freely; participate in more active sport; widen their scope of vocation; and potentially provide an infused patient with a “haemophilia-free” lifestyle.</w:t>
      </w:r>
    </w:p>
    <w:p w14:paraId="5D7ADD14" w14:textId="77777777" w:rsidR="003569FE" w:rsidRDefault="003569FE" w:rsidP="003758CD">
      <w:pPr>
        <w:pStyle w:val="ListParagraph"/>
        <w:numPr>
          <w:ilvl w:val="0"/>
          <w:numId w:val="32"/>
        </w:numPr>
        <w:tabs>
          <w:tab w:val="left" w:pos="3686"/>
        </w:tabs>
        <w:spacing w:line="256" w:lineRule="auto"/>
        <w:rPr>
          <w:rFonts w:eastAsia="Franklin Gothic Book" w:cs="Franklin Gothic Book"/>
        </w:rPr>
      </w:pPr>
      <w:r w:rsidRPr="7BE8DBEA">
        <w:rPr>
          <w:rFonts w:eastAsia="Franklin Gothic Book" w:cs="Franklin Gothic Book"/>
        </w:rPr>
        <w:t>HFA noted that clinical trial data is positive, with promising long-term and safety results.</w:t>
      </w:r>
    </w:p>
    <w:p w14:paraId="4D803DE7" w14:textId="77777777" w:rsidR="003569FE" w:rsidRDefault="003569FE" w:rsidP="003758CD">
      <w:pPr>
        <w:pStyle w:val="ListParagraph"/>
        <w:numPr>
          <w:ilvl w:val="0"/>
          <w:numId w:val="32"/>
        </w:numPr>
        <w:tabs>
          <w:tab w:val="left" w:pos="3686"/>
        </w:tabs>
        <w:spacing w:line="256" w:lineRule="auto"/>
        <w:rPr>
          <w:rFonts w:eastAsia="Franklin Gothic Book" w:cs="Franklin Gothic Book"/>
        </w:rPr>
      </w:pPr>
      <w:r w:rsidRPr="7BE8DBEA">
        <w:rPr>
          <w:rFonts w:eastAsia="Franklin Gothic Book" w:cs="Franklin Gothic Book"/>
        </w:rPr>
        <w:t>HFA noted its community consultation showed one of the most significant outcomes for quality of life is not needing a regular regimen of prophylaxis therapy, as well as the development of a ‘haemophilia free mind’.</w:t>
      </w:r>
    </w:p>
    <w:p w14:paraId="11CDB883" w14:textId="77777777" w:rsidR="003569FE" w:rsidRPr="003569FE" w:rsidRDefault="003569FE" w:rsidP="003569FE">
      <w:pPr>
        <w:pStyle w:val="Heading3"/>
      </w:pPr>
      <w:r w:rsidRPr="003569FE">
        <w:t>Perceived Disadvantages</w:t>
      </w:r>
    </w:p>
    <w:p w14:paraId="1C2C395B" w14:textId="77777777" w:rsidR="003569FE" w:rsidRDefault="003569FE" w:rsidP="003758CD">
      <w:pPr>
        <w:pStyle w:val="ListParagraph"/>
        <w:numPr>
          <w:ilvl w:val="0"/>
          <w:numId w:val="29"/>
        </w:numPr>
        <w:spacing w:before="0"/>
        <w:rPr>
          <w:rFonts w:eastAsia="Franklin Gothic Book" w:cs="Franklin Gothic Book"/>
        </w:rPr>
      </w:pPr>
      <w:r w:rsidRPr="7BE8DBEA">
        <w:rPr>
          <w:rFonts w:eastAsia="Franklin Gothic Book" w:cs="Franklin Gothic Book"/>
        </w:rPr>
        <w:t>HFA noted the following community concerns with current gene therapies in those affected by haemophilia:</w:t>
      </w:r>
    </w:p>
    <w:p w14:paraId="67A121A3" w14:textId="66F90496" w:rsidR="003569FE" w:rsidRDefault="003569FE" w:rsidP="003758CD">
      <w:pPr>
        <w:pStyle w:val="ListParagraph"/>
        <w:numPr>
          <w:ilvl w:val="1"/>
          <w:numId w:val="29"/>
        </w:numPr>
        <w:spacing w:before="0"/>
        <w:rPr>
          <w:rFonts w:eastAsia="Franklin Gothic Book" w:cs="Franklin Gothic Book"/>
        </w:rPr>
      </w:pPr>
      <w:r w:rsidRPr="7BE8DBEA">
        <w:rPr>
          <w:rFonts w:eastAsia="Franklin Gothic Book" w:cs="Franklin Gothic Book"/>
        </w:rPr>
        <w:t>Uncertainty about long-term outcomes with safety and side-effects</w:t>
      </w:r>
      <w:r>
        <w:rPr>
          <w:rFonts w:eastAsia="Franklin Gothic Book" w:cs="Franklin Gothic Book"/>
        </w:rPr>
        <w:t>.</w:t>
      </w:r>
    </w:p>
    <w:p w14:paraId="2B94524B" w14:textId="7A31E33A" w:rsidR="003569FE" w:rsidRDefault="003569FE" w:rsidP="003758CD">
      <w:pPr>
        <w:pStyle w:val="ListParagraph"/>
        <w:numPr>
          <w:ilvl w:val="1"/>
          <w:numId w:val="29"/>
        </w:numPr>
        <w:spacing w:before="0"/>
        <w:rPr>
          <w:rFonts w:eastAsia="Franklin Gothic Book" w:cs="Franklin Gothic Book"/>
        </w:rPr>
      </w:pPr>
      <w:r w:rsidRPr="7BE8DBEA">
        <w:rPr>
          <w:rFonts w:eastAsia="Franklin Gothic Book" w:cs="Franklin Gothic Book"/>
        </w:rPr>
        <w:t>Uncertainty about how long the effect will last long-term</w:t>
      </w:r>
      <w:r>
        <w:rPr>
          <w:rFonts w:eastAsia="Franklin Gothic Book" w:cs="Franklin Gothic Book"/>
        </w:rPr>
        <w:t>.</w:t>
      </w:r>
    </w:p>
    <w:p w14:paraId="7425C62F" w14:textId="66E7281F" w:rsidR="003569FE" w:rsidRDefault="003569FE" w:rsidP="003758CD">
      <w:pPr>
        <w:pStyle w:val="ListParagraph"/>
        <w:numPr>
          <w:ilvl w:val="1"/>
          <w:numId w:val="29"/>
        </w:numPr>
        <w:spacing w:before="0"/>
        <w:rPr>
          <w:rFonts w:eastAsia="Franklin Gothic Book" w:cs="Franklin Gothic Book"/>
        </w:rPr>
      </w:pPr>
      <w:r w:rsidRPr="7BE8DBEA">
        <w:rPr>
          <w:rFonts w:eastAsia="Franklin Gothic Book" w:cs="Franklin Gothic Book"/>
        </w:rPr>
        <w:t>Treatment may not work</w:t>
      </w:r>
      <w:r>
        <w:rPr>
          <w:rFonts w:eastAsia="Franklin Gothic Book" w:cs="Franklin Gothic Book"/>
        </w:rPr>
        <w:t>.</w:t>
      </w:r>
    </w:p>
    <w:p w14:paraId="6830E917" w14:textId="4CFB176F" w:rsidR="003569FE" w:rsidRDefault="003569FE" w:rsidP="003758CD">
      <w:pPr>
        <w:pStyle w:val="ListParagraph"/>
        <w:numPr>
          <w:ilvl w:val="1"/>
          <w:numId w:val="29"/>
        </w:numPr>
        <w:spacing w:before="0"/>
        <w:rPr>
          <w:rFonts w:eastAsia="Franklin Gothic Book" w:cs="Franklin Gothic Book"/>
        </w:rPr>
      </w:pPr>
      <w:r w:rsidRPr="7BE8DBEA">
        <w:rPr>
          <w:rFonts w:eastAsia="Franklin Gothic Book" w:cs="Franklin Gothic Book"/>
        </w:rPr>
        <w:t>You can only have this treatment once; if it fails, you have to return to regular prophylaxis</w:t>
      </w:r>
      <w:r>
        <w:rPr>
          <w:rFonts w:eastAsia="Franklin Gothic Book" w:cs="Franklin Gothic Book"/>
        </w:rPr>
        <w:t>.</w:t>
      </w:r>
    </w:p>
    <w:p w14:paraId="376B067A" w14:textId="57BEE5EC" w:rsidR="003569FE" w:rsidRDefault="003569FE" w:rsidP="003758CD">
      <w:pPr>
        <w:pStyle w:val="ListParagraph"/>
        <w:numPr>
          <w:ilvl w:val="1"/>
          <w:numId w:val="29"/>
        </w:numPr>
        <w:spacing w:before="0"/>
        <w:rPr>
          <w:rFonts w:eastAsia="Franklin Gothic Book" w:cs="Franklin Gothic Book"/>
        </w:rPr>
      </w:pPr>
      <w:r w:rsidRPr="7BE8DBEA">
        <w:rPr>
          <w:rFonts w:eastAsia="Franklin Gothic Book" w:cs="Franklin Gothic Book"/>
        </w:rPr>
        <w:t>Potential need to use steroids to manage side-effects</w:t>
      </w:r>
      <w:r>
        <w:rPr>
          <w:rFonts w:eastAsia="Franklin Gothic Book" w:cs="Franklin Gothic Book"/>
        </w:rPr>
        <w:t>.</w:t>
      </w:r>
    </w:p>
    <w:p w14:paraId="1FE4381C" w14:textId="77777777" w:rsidR="003569FE" w:rsidRDefault="003569FE" w:rsidP="003758CD">
      <w:pPr>
        <w:pStyle w:val="ListParagraph"/>
        <w:numPr>
          <w:ilvl w:val="1"/>
          <w:numId w:val="29"/>
        </w:numPr>
        <w:spacing w:before="0"/>
        <w:rPr>
          <w:rFonts w:eastAsia="Franklin Gothic Book" w:cs="Franklin Gothic Book"/>
        </w:rPr>
      </w:pPr>
      <w:r w:rsidRPr="7BE8DBEA">
        <w:rPr>
          <w:rFonts w:eastAsia="Franklin Gothic Book" w:cs="Franklin Gothic Book"/>
        </w:rPr>
        <w:t xml:space="preserve">Commitments with preparation and follow-up: no alcohol, contraception, many appointments over several years, travel to attend clinic. </w:t>
      </w:r>
    </w:p>
    <w:p w14:paraId="4491FB2A" w14:textId="77777777" w:rsidR="003569FE" w:rsidRPr="003569FE" w:rsidRDefault="003569FE" w:rsidP="003569FE">
      <w:pPr>
        <w:pStyle w:val="Heading3"/>
      </w:pPr>
      <w:r w:rsidRPr="003569FE">
        <w:t xml:space="preserve">Support for Implementation and Issues </w:t>
      </w:r>
    </w:p>
    <w:p w14:paraId="2F5D4350" w14:textId="77777777" w:rsidR="003569FE" w:rsidRDefault="003569FE" w:rsidP="003758CD">
      <w:pPr>
        <w:pStyle w:val="ListParagraph"/>
        <w:numPr>
          <w:ilvl w:val="0"/>
          <w:numId w:val="31"/>
        </w:numPr>
        <w:spacing w:before="0"/>
        <w:rPr>
          <w:rFonts w:eastAsia="Franklin Gothic Book" w:cs="Franklin Gothic Book"/>
        </w:rPr>
      </w:pPr>
      <w:r w:rsidRPr="7BE8DBEA">
        <w:rPr>
          <w:rFonts w:eastAsia="Franklin Gothic Book" w:cs="Franklin Gothic Book"/>
        </w:rPr>
        <w:t xml:space="preserve">AHCDO referred to an ongoing clinical trial that seeks to evaluate the efficacy and safety of </w:t>
      </w:r>
      <w:proofErr w:type="spellStart"/>
      <w:r w:rsidRPr="7BE8DBEA">
        <w:rPr>
          <w:rFonts w:eastAsia="Franklin Gothic Book" w:cs="Franklin Gothic Book"/>
        </w:rPr>
        <w:t>Hemgenix</w:t>
      </w:r>
      <w:proofErr w:type="spellEnd"/>
      <w:r w:rsidRPr="7BE8DBEA">
        <w:rPr>
          <w:rFonts w:eastAsia="Franklin Gothic Book" w:cs="Franklin Gothic Book"/>
        </w:rPr>
        <w:t xml:space="preserve"> in patients with HMB who have pre-existing immunity to adeno-associated virus (AAV) neutralising antibodies (</w:t>
      </w:r>
      <w:proofErr w:type="spellStart"/>
      <w:r w:rsidRPr="7BE8DBEA">
        <w:rPr>
          <w:rFonts w:eastAsia="Franklin Gothic Book" w:cs="Franklin Gothic Book"/>
        </w:rPr>
        <w:t>NAb</w:t>
      </w:r>
      <w:proofErr w:type="spellEnd"/>
      <w:r w:rsidRPr="7BE8DBEA">
        <w:rPr>
          <w:rFonts w:eastAsia="Franklin Gothic Book" w:cs="Franklin Gothic Book"/>
        </w:rPr>
        <w:t>), noting results will further inform patient care.</w:t>
      </w:r>
    </w:p>
    <w:p w14:paraId="27EC31BA" w14:textId="77777777" w:rsidR="003569FE" w:rsidRDefault="003569FE" w:rsidP="003758CD">
      <w:pPr>
        <w:pStyle w:val="ListParagraph"/>
        <w:numPr>
          <w:ilvl w:val="0"/>
          <w:numId w:val="31"/>
        </w:numPr>
        <w:spacing w:before="0"/>
        <w:rPr>
          <w:rFonts w:eastAsia="Franklin Gothic Book" w:cs="Franklin Gothic Book"/>
        </w:rPr>
      </w:pPr>
      <w:r w:rsidRPr="7BE8DBEA">
        <w:rPr>
          <w:rFonts w:eastAsia="Franklin Gothic Book" w:cs="Franklin Gothic Book"/>
        </w:rPr>
        <w:t>AHCDO noted their favour towards a “hub and spoke” approach in order to standardise and ensure equity of access for gene therapy. This approach was supported by HFA.</w:t>
      </w:r>
    </w:p>
    <w:p w14:paraId="2B3C61FF" w14:textId="77777777" w:rsidR="003569FE" w:rsidRDefault="003569FE" w:rsidP="003758CD">
      <w:pPr>
        <w:pStyle w:val="ListParagraph"/>
        <w:numPr>
          <w:ilvl w:val="0"/>
          <w:numId w:val="31"/>
        </w:numPr>
        <w:spacing w:before="0"/>
        <w:rPr>
          <w:rFonts w:eastAsia="Franklin Gothic Book" w:cs="Franklin Gothic Book"/>
        </w:rPr>
      </w:pPr>
      <w:r w:rsidRPr="7BE8DBEA">
        <w:rPr>
          <w:rFonts w:eastAsia="Franklin Gothic Book" w:cs="Franklin Gothic Book"/>
        </w:rPr>
        <w:t>AHCDO noted the need to explicitly discuss the requirement for ongoing long-term safety and efficacy monitoring with eligible patients once infused.</w:t>
      </w:r>
    </w:p>
    <w:p w14:paraId="46883AAB" w14:textId="77777777" w:rsidR="003569FE" w:rsidRDefault="003569FE" w:rsidP="003758CD">
      <w:pPr>
        <w:pStyle w:val="ListParagraph"/>
        <w:numPr>
          <w:ilvl w:val="0"/>
          <w:numId w:val="31"/>
        </w:numPr>
        <w:spacing w:before="0"/>
        <w:rPr>
          <w:rFonts w:eastAsia="Franklin Gothic Book" w:cs="Franklin Gothic Book"/>
        </w:rPr>
      </w:pPr>
      <w:r w:rsidRPr="7BE8DBEA">
        <w:rPr>
          <w:rFonts w:eastAsia="Franklin Gothic Book" w:cs="Franklin Gothic Book"/>
        </w:rPr>
        <w:t>HFA noted the anticipated need for a multidisciplinary HTC team who can perform a range of relevant services, including medical, nursing, laboratory, psychosocial, physiotherapy, and data management services.</w:t>
      </w:r>
    </w:p>
    <w:p w14:paraId="733F9373" w14:textId="77777777" w:rsidR="003569FE" w:rsidRDefault="003569FE" w:rsidP="003758CD">
      <w:pPr>
        <w:pStyle w:val="ListParagraph"/>
        <w:numPr>
          <w:ilvl w:val="0"/>
          <w:numId w:val="31"/>
        </w:numPr>
        <w:spacing w:before="0"/>
        <w:rPr>
          <w:rFonts w:eastAsia="Franklin Gothic Book" w:cs="Franklin Gothic Book"/>
        </w:rPr>
      </w:pPr>
      <w:r w:rsidRPr="7BE8DBEA">
        <w:rPr>
          <w:rFonts w:eastAsia="Franklin Gothic Book" w:cs="Franklin Gothic Book"/>
        </w:rPr>
        <w:t xml:space="preserve">HFA expressed concerns that individuals may overlook specialist services provided at HTCs (reducing haemophilia-related joint and muscle damage management) after they receive a positive gene therapy outcome. HFA noted the need to consider and develop ways to connect and engage individuals and their </w:t>
      </w:r>
      <w:proofErr w:type="spellStart"/>
      <w:r w:rsidRPr="7BE8DBEA">
        <w:rPr>
          <w:rFonts w:eastAsia="Franklin Gothic Book" w:cs="Franklin Gothic Book"/>
        </w:rPr>
        <w:t>carers</w:t>
      </w:r>
      <w:proofErr w:type="spellEnd"/>
      <w:r w:rsidRPr="7BE8DBEA">
        <w:rPr>
          <w:rFonts w:eastAsia="Franklin Gothic Book" w:cs="Franklin Gothic Book"/>
        </w:rPr>
        <w:t xml:space="preserve"> with HTC services, particularly as individuals:</w:t>
      </w:r>
    </w:p>
    <w:p w14:paraId="6908A11B" w14:textId="77777777" w:rsidR="003569FE" w:rsidRDefault="003569FE" w:rsidP="003758CD">
      <w:pPr>
        <w:pStyle w:val="ListParagraph"/>
        <w:numPr>
          <w:ilvl w:val="1"/>
          <w:numId w:val="31"/>
        </w:numPr>
        <w:spacing w:before="0"/>
        <w:rPr>
          <w:rFonts w:eastAsia="Franklin Gothic Book" w:cs="Franklin Gothic Book"/>
        </w:rPr>
      </w:pPr>
      <w:r w:rsidRPr="7BE8DBEA">
        <w:rPr>
          <w:rFonts w:eastAsia="Franklin Gothic Book" w:cs="Franklin Gothic Book"/>
        </w:rPr>
        <w:t>are likely to deskill in recognising bleeds and being able to self-treat</w:t>
      </w:r>
    </w:p>
    <w:p w14:paraId="0B196C3E" w14:textId="77777777" w:rsidR="003569FE" w:rsidRDefault="003569FE" w:rsidP="003758CD">
      <w:pPr>
        <w:pStyle w:val="ListParagraph"/>
        <w:numPr>
          <w:ilvl w:val="1"/>
          <w:numId w:val="31"/>
        </w:numPr>
        <w:spacing w:before="0"/>
        <w:rPr>
          <w:rFonts w:eastAsia="Franklin Gothic Book" w:cs="Franklin Gothic Book"/>
        </w:rPr>
      </w:pPr>
      <w:r w:rsidRPr="7BE8DBEA">
        <w:rPr>
          <w:rFonts w:eastAsia="Franklin Gothic Book" w:cs="Franklin Gothic Book"/>
        </w:rPr>
        <w:t>will need ongoing physiotherapy to build strength and manage existing joint and muscle damage</w:t>
      </w:r>
    </w:p>
    <w:p w14:paraId="45A68137" w14:textId="3819725A" w:rsidR="003569FE" w:rsidRPr="001E0E68" w:rsidRDefault="003569FE" w:rsidP="003747F7">
      <w:pPr>
        <w:pStyle w:val="ListParagraph"/>
        <w:numPr>
          <w:ilvl w:val="1"/>
          <w:numId w:val="31"/>
        </w:numPr>
        <w:spacing w:before="0"/>
        <w:rPr>
          <w:rFonts w:eastAsia="Franklin Gothic Book" w:cs="Franklin Gothic Book"/>
        </w:rPr>
      </w:pPr>
      <w:r w:rsidRPr="7BE8DBEA">
        <w:rPr>
          <w:rFonts w:eastAsia="Franklin Gothic Book" w:cs="Franklin Gothic Book"/>
        </w:rPr>
        <w:t>will need support in management of complications, such as decisions about and management of</w:t>
      </w:r>
      <w:r w:rsidR="003747F7">
        <w:rPr>
          <w:rFonts w:eastAsia="Franklin Gothic Book" w:cs="Franklin Gothic Book"/>
        </w:rPr>
        <w:t xml:space="preserve"> </w:t>
      </w:r>
      <w:r w:rsidRPr="001E0E68">
        <w:rPr>
          <w:rFonts w:eastAsia="Franklin Gothic Book" w:cs="Franklin Gothic Book"/>
        </w:rPr>
        <w:t>joint replacement surgery and other musculoskeletal services that will still be required; and psychosocial support for a range of existing issues, including managing the long-term and traumatic impact of HIV and hepatitis C</w:t>
      </w:r>
    </w:p>
    <w:p w14:paraId="1FB7F2CC" w14:textId="77777777" w:rsidR="003569FE" w:rsidRDefault="003569FE" w:rsidP="003758CD">
      <w:pPr>
        <w:pStyle w:val="ListParagraph"/>
        <w:numPr>
          <w:ilvl w:val="1"/>
          <w:numId w:val="31"/>
        </w:numPr>
        <w:spacing w:before="0"/>
        <w:rPr>
          <w:rFonts w:eastAsia="Franklin Gothic Book" w:cs="Franklin Gothic Book"/>
        </w:rPr>
      </w:pPr>
      <w:r w:rsidRPr="7BE8DBEA">
        <w:rPr>
          <w:rFonts w:eastAsia="Franklin Gothic Book" w:cs="Franklin Gothic Book"/>
        </w:rPr>
        <w:lastRenderedPageBreak/>
        <w:t>will need support and liaison with other health services to manage invasive procedures and injury appropriately</w:t>
      </w:r>
    </w:p>
    <w:p w14:paraId="00D0846C" w14:textId="7CF22EBC" w:rsidR="003569FE" w:rsidRPr="003569FE" w:rsidRDefault="003569FE" w:rsidP="003758CD">
      <w:pPr>
        <w:pStyle w:val="ListParagraph"/>
        <w:numPr>
          <w:ilvl w:val="1"/>
          <w:numId w:val="31"/>
        </w:numPr>
        <w:spacing w:before="0"/>
        <w:rPr>
          <w:rFonts w:eastAsia="Franklin Gothic Book" w:cs="Franklin Gothic Book"/>
        </w:rPr>
      </w:pPr>
      <w:r w:rsidRPr="7BE8DBEA">
        <w:rPr>
          <w:rFonts w:eastAsia="Franklin Gothic Book" w:cs="Franklin Gothic Book"/>
        </w:rPr>
        <w:t>may need testing, advice and counselling on genetics and reproduction/family planning and a record kept of their family factor IX gene mutation.</w:t>
      </w:r>
    </w:p>
    <w:p w14:paraId="03C7A1F1" w14:textId="6097D399" w:rsidR="00772829" w:rsidRPr="00CE28E3" w:rsidRDefault="00772829" w:rsidP="003758CD">
      <w:pPr>
        <w:pStyle w:val="Heading2"/>
        <w:numPr>
          <w:ilvl w:val="0"/>
          <w:numId w:val="28"/>
        </w:numPr>
      </w:pPr>
      <w:r w:rsidRPr="00CE28E3">
        <w:t>Characteristics of the evidence base</w:t>
      </w:r>
      <w:bookmarkEnd w:id="20"/>
    </w:p>
    <w:p w14:paraId="6AC7E7FD" w14:textId="121A722A" w:rsidR="005F5B92" w:rsidRDefault="00B4274A" w:rsidP="006F31B2">
      <w:pPr>
        <w:pStyle w:val="Heading3"/>
        <w:spacing w:before="240" w:after="120"/>
        <w:rPr>
          <w:iCs/>
        </w:rPr>
      </w:pPr>
      <w:r>
        <w:t xml:space="preserve">Evidence for </w:t>
      </w:r>
      <w:r w:rsidR="00E45CED" w:rsidRPr="00E40A38">
        <w:rPr>
          <w:iCs/>
        </w:rPr>
        <w:t>etranacogene dezaparvovec</w:t>
      </w:r>
      <w:r w:rsidR="00C63CEE">
        <w:rPr>
          <w:iCs/>
        </w:rPr>
        <w:t xml:space="preserve"> (</w:t>
      </w:r>
      <w:r w:rsidR="00377DDC">
        <w:rPr>
          <w:iCs/>
        </w:rPr>
        <w:t>ED</w:t>
      </w:r>
      <w:r w:rsidR="00C63CEE">
        <w:rPr>
          <w:iCs/>
        </w:rPr>
        <w:t>)</w:t>
      </w:r>
    </w:p>
    <w:p w14:paraId="7E8C7A7E" w14:textId="6938A96A" w:rsidR="005129BF" w:rsidRDefault="00E45CED" w:rsidP="006942FE">
      <w:pPr>
        <w:shd w:val="clear" w:color="auto" w:fill="BDD6EE" w:themeFill="accent1" w:themeFillTint="66"/>
      </w:pPr>
      <w:r>
        <w:t xml:space="preserve">The evidence base consisted of </w:t>
      </w:r>
      <w:r w:rsidR="00316DAF">
        <w:t>3</w:t>
      </w:r>
      <w:r>
        <w:t xml:space="preserve"> single arm observational studies: </w:t>
      </w:r>
      <w:r w:rsidR="00916F70" w:rsidRPr="00E40A38">
        <w:t>two of</w:t>
      </w:r>
      <w:bookmarkStart w:id="21" w:name="_Hlk164174412"/>
      <w:r w:rsidR="00916F70" w:rsidRPr="00E40A38">
        <w:t xml:space="preserve"> </w:t>
      </w:r>
      <w:bookmarkStart w:id="22" w:name="_Hlk164159906"/>
      <w:r w:rsidR="00916F70" w:rsidRPr="00E40A38">
        <w:t>etranacogene dezaparvovec</w:t>
      </w:r>
      <w:bookmarkEnd w:id="21"/>
      <w:bookmarkEnd w:id="22"/>
      <w:r w:rsidR="00916F70" w:rsidRPr="00E40A38">
        <w:t xml:space="preserve"> (</w:t>
      </w:r>
      <w:r w:rsidR="00180907">
        <w:t>ED)</w:t>
      </w:r>
      <w:r w:rsidR="00916F70" w:rsidRPr="00E40A38">
        <w:t xml:space="preserve"> (AMT-061) and one of its precursor gene therapy construct (AMT-060).</w:t>
      </w:r>
      <w:r w:rsidR="00916F70">
        <w:t xml:space="preserve"> </w:t>
      </w:r>
    </w:p>
    <w:p w14:paraId="7DFC17D2" w14:textId="1B9A73FA" w:rsidR="00640A79" w:rsidRDefault="000C497E" w:rsidP="006942FE">
      <w:pPr>
        <w:shd w:val="clear" w:color="auto" w:fill="BDD6EE" w:themeFill="accent1" w:themeFillTint="66"/>
      </w:pPr>
      <w:r>
        <w:t xml:space="preserve">The Phase III </w:t>
      </w:r>
      <w:r w:rsidR="006942FE" w:rsidRPr="00E40A38">
        <w:t xml:space="preserve">HOPE-B </w:t>
      </w:r>
      <w:r>
        <w:t>study</w:t>
      </w:r>
      <w:r w:rsidR="006942FE" w:rsidRPr="00E40A38">
        <w:t xml:space="preserve"> was an open-label, single arm study with a before-and-after design, designated an interrupted time series by the commentary. Eligible </w:t>
      </w:r>
      <w:r w:rsidR="00C0784C">
        <w:t>subjects</w:t>
      </w:r>
      <w:r w:rsidR="00C0784C" w:rsidRPr="00E40A38">
        <w:t xml:space="preserve"> </w:t>
      </w:r>
      <w:r w:rsidR="006942FE" w:rsidRPr="00E40A38">
        <w:t>underwent a lead-in period of 6 months</w:t>
      </w:r>
      <w:r w:rsidR="00E22597">
        <w:t xml:space="preserve"> </w:t>
      </w:r>
      <w:r w:rsidR="00E22597" w:rsidRPr="00E22597">
        <w:t xml:space="preserve">during which participants received continuous </w:t>
      </w:r>
      <w:r w:rsidR="00007D43">
        <w:t>F</w:t>
      </w:r>
      <w:r w:rsidR="00E22597" w:rsidRPr="00E22597">
        <w:t>IX prophylactic therapy</w:t>
      </w:r>
      <w:r w:rsidR="006942FE" w:rsidRPr="00E40A38">
        <w:t xml:space="preserve"> prior to treatment with </w:t>
      </w:r>
      <w:r w:rsidR="00180907">
        <w:t>ED</w:t>
      </w:r>
      <w:r w:rsidR="006942FE" w:rsidRPr="00E40A38">
        <w:t>.</w:t>
      </w:r>
      <w:r w:rsidR="00A46A36">
        <w:t xml:space="preserve"> </w:t>
      </w:r>
      <w:r w:rsidR="00640A79">
        <w:t xml:space="preserve">ADAR 1728 presented </w:t>
      </w:r>
      <w:r w:rsidR="005B0289">
        <w:t>36-month</w:t>
      </w:r>
      <w:r w:rsidR="00640A79">
        <w:t xml:space="preserve"> data from this study.</w:t>
      </w:r>
    </w:p>
    <w:p w14:paraId="4E4329EC" w14:textId="543B9F17" w:rsidR="00E91B0B" w:rsidRDefault="00AE2A2D" w:rsidP="006942FE">
      <w:pPr>
        <w:shd w:val="clear" w:color="auto" w:fill="BDD6EE" w:themeFill="accent1" w:themeFillTint="66"/>
      </w:pPr>
      <w:r>
        <w:t>R</w:t>
      </w:r>
      <w:r w:rsidR="000C497E">
        <w:t>esults from</w:t>
      </w:r>
      <w:r w:rsidR="00E22597">
        <w:t xml:space="preserve"> the Phase I/II</w:t>
      </w:r>
      <w:r w:rsidR="000C497E">
        <w:t xml:space="preserve"> AMT-060-01</w:t>
      </w:r>
      <w:r w:rsidR="00040546">
        <w:t xml:space="preserve"> </w:t>
      </w:r>
      <w:r w:rsidR="00BA5CE1">
        <w:t>stud</w:t>
      </w:r>
      <w:r>
        <w:t xml:space="preserve">y </w:t>
      </w:r>
      <w:r w:rsidR="00EF7AE1">
        <w:t xml:space="preserve">(precursor gene therapy construct) </w:t>
      </w:r>
      <w:r>
        <w:t xml:space="preserve">and </w:t>
      </w:r>
      <w:r w:rsidR="00EF7AE1">
        <w:t xml:space="preserve">Phase IIb </w:t>
      </w:r>
      <w:r>
        <w:t>AMT</w:t>
      </w:r>
      <w:r w:rsidR="00304799">
        <w:t>-061-01 study</w:t>
      </w:r>
      <w:r w:rsidR="000C497E">
        <w:t xml:space="preserve"> were considered supportive evidence.</w:t>
      </w:r>
    </w:p>
    <w:p w14:paraId="162538C2" w14:textId="0E5305E8" w:rsidR="0020356D" w:rsidRDefault="00640A79" w:rsidP="006942FE">
      <w:pPr>
        <w:shd w:val="clear" w:color="auto" w:fill="BDD6EE" w:themeFill="accent1" w:themeFillTint="66"/>
      </w:pPr>
      <w:r>
        <w:t xml:space="preserve">ADAR 1728 </w:t>
      </w:r>
      <w:r w:rsidR="00157B8A">
        <w:t xml:space="preserve">presented </w:t>
      </w:r>
      <w:r w:rsidR="007C6A38">
        <w:t xml:space="preserve">7-year data </w:t>
      </w:r>
      <w:r w:rsidR="00774D2D">
        <w:t>from AMT-060-01</w:t>
      </w:r>
      <w:r w:rsidR="00E35B85">
        <w:t>/</w:t>
      </w:r>
      <w:r w:rsidR="00F97745">
        <w:t>AMT-060-04</w:t>
      </w:r>
      <w:r w:rsidR="00593CD1">
        <w:t xml:space="preserve"> (</w:t>
      </w:r>
      <w:r w:rsidR="003F0360">
        <w:t>after 5 years</w:t>
      </w:r>
      <w:r w:rsidR="007E1722">
        <w:t xml:space="preserve"> </w:t>
      </w:r>
      <w:r w:rsidR="00E868A4">
        <w:t xml:space="preserve">of follow up </w:t>
      </w:r>
      <w:r w:rsidR="007E1722">
        <w:t>in AMT-060-01</w:t>
      </w:r>
      <w:r w:rsidR="003F0360">
        <w:t xml:space="preserve">, </w:t>
      </w:r>
      <w:r w:rsidR="002C013B">
        <w:t xml:space="preserve">9 </w:t>
      </w:r>
      <w:r w:rsidR="00E868A4">
        <w:t xml:space="preserve">of the 10 </w:t>
      </w:r>
      <w:r w:rsidR="0044223A">
        <w:t>subjects</w:t>
      </w:r>
      <w:r w:rsidR="003F0360">
        <w:t xml:space="preserve"> </w:t>
      </w:r>
      <w:r w:rsidR="00497012">
        <w:t xml:space="preserve">were enrolled in </w:t>
      </w:r>
      <w:r w:rsidR="0061447E">
        <w:t xml:space="preserve">a 5-year </w:t>
      </w:r>
      <w:r w:rsidR="00E35B85">
        <w:t>extension study</w:t>
      </w:r>
      <w:r w:rsidR="00D0313B">
        <w:t>,</w:t>
      </w:r>
      <w:r w:rsidR="00E35B85">
        <w:t xml:space="preserve"> AMT-060-04</w:t>
      </w:r>
      <w:r w:rsidR="00267A54">
        <w:t xml:space="preserve">). Planned completion of the extension study is </w:t>
      </w:r>
      <w:r w:rsidR="00640FC0">
        <w:t>May 2026)</w:t>
      </w:r>
      <w:r w:rsidR="00774D2D">
        <w:t>.</w:t>
      </w:r>
    </w:p>
    <w:p w14:paraId="44474697" w14:textId="1B2E6B98" w:rsidR="006942FE" w:rsidRDefault="00837D39" w:rsidP="006942FE">
      <w:pPr>
        <w:shd w:val="clear" w:color="auto" w:fill="BDD6EE" w:themeFill="accent1" w:themeFillTint="66"/>
      </w:pPr>
      <w:r>
        <w:t>ADAR 1728 presented 5-year data from the AMT-061-01 study</w:t>
      </w:r>
      <w:r w:rsidR="00E33FF1">
        <w:t>.</w:t>
      </w:r>
      <w:r>
        <w:t xml:space="preserve"> </w:t>
      </w:r>
      <w:r w:rsidR="00433F14">
        <w:t xml:space="preserve">After completion of </w:t>
      </w:r>
      <w:r w:rsidR="00E33FF1">
        <w:t>this</w:t>
      </w:r>
      <w:r w:rsidR="00EA0EC4">
        <w:t xml:space="preserve"> study</w:t>
      </w:r>
      <w:r w:rsidR="004B4D15">
        <w:t xml:space="preserve">, </w:t>
      </w:r>
      <w:r w:rsidR="002A3B93">
        <w:t xml:space="preserve">the 3 participants </w:t>
      </w:r>
      <w:r w:rsidR="002A3B93" w:rsidRPr="002A3B93">
        <w:t xml:space="preserve">were enrolled in </w:t>
      </w:r>
      <w:r w:rsidR="002A3B93">
        <w:t>a</w:t>
      </w:r>
      <w:r w:rsidR="002A3B93" w:rsidRPr="002A3B93">
        <w:t xml:space="preserve"> 15-year extension study </w:t>
      </w:r>
      <w:r w:rsidR="00BC5DC4">
        <w:t>(CSL222_3003</w:t>
      </w:r>
      <w:r w:rsidR="00BD5203">
        <w:t xml:space="preserve">; </w:t>
      </w:r>
      <w:hyperlink r:id="rId17" w:tooltip="Hyperlink to entry on the CLinicalTrials.gov website" w:history="1">
        <w:r w:rsidR="00BD5203" w:rsidRPr="00612E51">
          <w:rPr>
            <w:rStyle w:val="Hyperlink"/>
            <w:color w:val="005AA8"/>
          </w:rPr>
          <w:t>NCT05962398</w:t>
        </w:r>
      </w:hyperlink>
      <w:r w:rsidR="00BC5DC4">
        <w:t>)</w:t>
      </w:r>
      <w:r w:rsidR="00E03475">
        <w:t>,</w:t>
      </w:r>
      <w:r w:rsidR="00BC5DC4">
        <w:t xml:space="preserve"> </w:t>
      </w:r>
      <w:r w:rsidR="007A5347">
        <w:t>which</w:t>
      </w:r>
      <w:r w:rsidR="002A3B93" w:rsidRPr="002A3B93">
        <w:t xml:space="preserve"> is ongoing</w:t>
      </w:r>
      <w:r w:rsidR="00D41350">
        <w:t xml:space="preserve"> </w:t>
      </w:r>
      <w:r w:rsidR="002B208A">
        <w:t xml:space="preserve">to 2035 </w:t>
      </w:r>
      <w:r w:rsidR="00D41350">
        <w:t>and will also enrol participants from the Phase III HOPE-B study</w:t>
      </w:r>
      <w:r w:rsidR="002A3B93" w:rsidRPr="002A3B93">
        <w:t>.</w:t>
      </w:r>
    </w:p>
    <w:p w14:paraId="7D6BF128" w14:textId="14B3466C" w:rsidR="006942FE" w:rsidRDefault="00E320CC" w:rsidP="006942FE">
      <w:r>
        <w:t xml:space="preserve">Results from the </w:t>
      </w:r>
      <w:r w:rsidR="00663558">
        <w:t xml:space="preserve">HOPE-B study </w:t>
      </w:r>
      <w:r>
        <w:t>were</w:t>
      </w:r>
      <w:r w:rsidR="00663558">
        <w:t xml:space="preserve"> presented </w:t>
      </w:r>
      <w:r w:rsidR="008366BF">
        <w:t xml:space="preserve">in ADAR 1728.1 </w:t>
      </w:r>
      <w:r w:rsidR="00663558">
        <w:t xml:space="preserve">with updated data from a 48-month post-hoc analysis. </w:t>
      </w:r>
      <w:r w:rsidR="006942FE">
        <w:t>The median duration of follow-up at the 3 June 2024 cut-off was not provided.</w:t>
      </w:r>
      <w:r w:rsidR="006942FE" w:rsidDel="004E1354">
        <w:t xml:space="preserve"> </w:t>
      </w:r>
    </w:p>
    <w:p w14:paraId="1CE5BC67" w14:textId="135B0C68" w:rsidR="002021D0" w:rsidRDefault="006942FE" w:rsidP="00E45CED">
      <w:r w:rsidRPr="00E40A38">
        <w:t xml:space="preserve">No clinical study report (CSR) is planned for the </w:t>
      </w:r>
      <w:r>
        <w:t>4</w:t>
      </w:r>
      <w:r w:rsidRPr="00E40A38">
        <w:t xml:space="preserve">-year data. A final analysis will be performed at 5 years post treatment when the </w:t>
      </w:r>
      <w:r>
        <w:t>study</w:t>
      </w:r>
      <w:r w:rsidRPr="00E40A38">
        <w:t xml:space="preserve"> concludes (in </w:t>
      </w:r>
      <w:r w:rsidR="007F308B">
        <w:t xml:space="preserve">March </w:t>
      </w:r>
      <w:r w:rsidRPr="00E40A38">
        <w:t>2025).</w:t>
      </w:r>
    </w:p>
    <w:p w14:paraId="0773E9D0" w14:textId="49CF357C" w:rsidR="00C729EF" w:rsidRPr="00E45CED" w:rsidRDefault="00C729EF" w:rsidP="00E45CED">
      <w:r>
        <w:t>No longer</w:t>
      </w:r>
      <w:r w:rsidR="0039399C">
        <w:t>-</w:t>
      </w:r>
      <w:r>
        <w:t xml:space="preserve">term </w:t>
      </w:r>
      <w:r w:rsidR="0039399C">
        <w:t xml:space="preserve">follow-up </w:t>
      </w:r>
      <w:r>
        <w:t xml:space="preserve">data were presented in ADAR 1728.1 for </w:t>
      </w:r>
      <w:r w:rsidR="008377AA">
        <w:t xml:space="preserve">subjects who were enrolled in </w:t>
      </w:r>
      <w:r>
        <w:t xml:space="preserve">the </w:t>
      </w:r>
      <w:r w:rsidR="00B90545">
        <w:t xml:space="preserve">2 </w:t>
      </w:r>
      <w:r w:rsidR="0039399C">
        <w:t>supportive studies</w:t>
      </w:r>
      <w:r w:rsidR="002021A1">
        <w:t>.</w:t>
      </w:r>
      <w:r w:rsidR="0039399C">
        <w:t xml:space="preserve"> </w:t>
      </w:r>
      <w:r w:rsidR="00130470">
        <w:t>A</w:t>
      </w:r>
      <w:r w:rsidR="002021A1">
        <w:t xml:space="preserve">nalyses are not yet available from the </w:t>
      </w:r>
      <w:r w:rsidR="00A84FF5">
        <w:t>15-year extension study</w:t>
      </w:r>
      <w:r w:rsidR="00106EBE">
        <w:t>.</w:t>
      </w:r>
    </w:p>
    <w:p w14:paraId="1E5DDBAD" w14:textId="48A2498B" w:rsidR="00560C01" w:rsidRPr="00E40A38" w:rsidRDefault="00E94FD0" w:rsidP="000A5DF1">
      <w:pPr>
        <w:pStyle w:val="Caption"/>
        <w:rPr>
          <w:rFonts w:cstheme="minorHAnsi"/>
          <w:lang w:val="en-US"/>
        </w:rPr>
      </w:pPr>
      <w:r w:rsidRPr="00E94FD0">
        <w:rPr>
          <w:rFonts w:cstheme="minorHAnsi"/>
          <w:shd w:val="clear" w:color="auto" w:fill="BDD6EE" w:themeFill="accent1" w:themeFillTint="66"/>
        </w:rPr>
        <w:lastRenderedPageBreak/>
        <w:t xml:space="preserve">Table </w:t>
      </w:r>
      <w:r w:rsidRPr="00E94FD0">
        <w:rPr>
          <w:rFonts w:cstheme="minorHAnsi"/>
          <w:shd w:val="clear" w:color="auto" w:fill="BDD6EE" w:themeFill="accent1" w:themeFillTint="66"/>
        </w:rPr>
        <w:fldChar w:fldCharType="begin"/>
      </w:r>
      <w:r w:rsidRPr="00E94FD0">
        <w:rPr>
          <w:rFonts w:cstheme="minorHAnsi"/>
          <w:shd w:val="clear" w:color="auto" w:fill="BDD6EE" w:themeFill="accent1" w:themeFillTint="66"/>
        </w:rPr>
        <w:instrText xml:space="preserve"> SEQ Table \* ARABIC </w:instrText>
      </w:r>
      <w:r w:rsidRPr="00E94FD0">
        <w:rPr>
          <w:rFonts w:cstheme="minorHAnsi"/>
          <w:shd w:val="clear" w:color="auto" w:fill="BDD6EE" w:themeFill="accent1" w:themeFillTint="66"/>
        </w:rPr>
        <w:fldChar w:fldCharType="separate"/>
      </w:r>
      <w:r w:rsidRPr="00E94FD0">
        <w:rPr>
          <w:rFonts w:cstheme="minorHAnsi"/>
          <w:shd w:val="clear" w:color="auto" w:fill="BDD6EE" w:themeFill="accent1" w:themeFillTint="66"/>
        </w:rPr>
        <w:t>5</w:t>
      </w:r>
      <w:r w:rsidRPr="00E94FD0">
        <w:rPr>
          <w:rFonts w:cstheme="minorHAnsi"/>
          <w:shd w:val="clear" w:color="auto" w:fill="BDD6EE" w:themeFill="accent1" w:themeFillTint="66"/>
          <w:lang w:val="en-US"/>
        </w:rPr>
        <w:fldChar w:fldCharType="end"/>
      </w:r>
      <w:r>
        <w:rPr>
          <w:rFonts w:cstheme="minorHAnsi"/>
          <w:shd w:val="clear" w:color="auto" w:fill="BDD6EE" w:themeFill="accent1" w:themeFillTint="66"/>
          <w:lang w:val="en-US"/>
        </w:rPr>
        <w:t xml:space="preserve"> K</w:t>
      </w:r>
      <w:r w:rsidR="00560C01" w:rsidRPr="008C2909">
        <w:rPr>
          <w:rFonts w:cstheme="minorHAnsi"/>
          <w:shd w:val="clear" w:color="auto" w:fill="BDD6EE" w:themeFill="accent1" w:themeFillTint="66"/>
          <w:lang w:val="en-US"/>
        </w:rPr>
        <w:t xml:space="preserve">ey features of the included evidence for </w:t>
      </w:r>
      <w:r w:rsidR="00560C01" w:rsidRPr="008C2909">
        <w:rPr>
          <w:shd w:val="clear" w:color="auto" w:fill="BDD6EE" w:themeFill="accent1" w:themeFillTint="66"/>
        </w:rPr>
        <w:t>etranacogene dezaparvovec</w:t>
      </w:r>
      <w:r w:rsidR="00560C01" w:rsidRPr="008C2909">
        <w:rPr>
          <w:rFonts w:cstheme="minorHAnsi"/>
          <w:shd w:val="clear" w:color="auto" w:fill="BDD6EE" w:themeFill="accent1" w:themeFillTint="66"/>
          <w:lang w:val="en-US"/>
        </w:rPr>
        <w:t xml:space="preserve"> (</w:t>
      </w:r>
      <w:r w:rsidR="007119F3">
        <w:rPr>
          <w:rFonts w:cstheme="minorHAnsi"/>
          <w:shd w:val="clear" w:color="auto" w:fill="BDD6EE" w:themeFill="accent1" w:themeFillTint="66"/>
          <w:lang w:val="en-US"/>
        </w:rPr>
        <w:t>ED</w:t>
      </w:r>
      <w:r w:rsidR="00560C01" w:rsidRPr="008C2909">
        <w:rPr>
          <w:rFonts w:cstheme="minorHAnsi"/>
          <w:shd w:val="clear" w:color="auto" w:fill="BDD6EE" w:themeFill="accent1" w:themeFillTint="6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for etranacogene dezaparvovec (Hemgenix)"/>
        <w:tblDescription w:val="This tables shows the key features of the included evidence for etranacogene dezaparvovec (Hemgenix). It includes a brief summary of the number of participants, study design, population, intervention and outcomes in AMT-061-02 (HOPE-B), AMT-061-01 and AMT-060-01."/>
      </w:tblPr>
      <w:tblGrid>
        <w:gridCol w:w="1261"/>
        <w:gridCol w:w="472"/>
        <w:gridCol w:w="1522"/>
        <w:gridCol w:w="1275"/>
        <w:gridCol w:w="1562"/>
        <w:gridCol w:w="1617"/>
        <w:gridCol w:w="1307"/>
      </w:tblGrid>
      <w:tr w:rsidR="001B3F1C" w:rsidRPr="00E40A38" w14:paraId="7FD516F5" w14:textId="77777777" w:rsidTr="002B0DC8">
        <w:trPr>
          <w:tblHeader/>
        </w:trPr>
        <w:tc>
          <w:tcPr>
            <w:tcW w:w="699" w:type="pct"/>
            <w:shd w:val="clear" w:color="auto" w:fill="BDD6EE" w:themeFill="accent1" w:themeFillTint="66"/>
            <w:tcMar>
              <w:left w:w="85" w:type="dxa"/>
              <w:right w:w="85" w:type="dxa"/>
            </w:tcMar>
            <w:vAlign w:val="center"/>
          </w:tcPr>
          <w:p w14:paraId="11C133F9" w14:textId="1740A1D4" w:rsidR="00560C01" w:rsidRPr="00E40A38" w:rsidRDefault="00560C01" w:rsidP="006F31B2">
            <w:pPr>
              <w:pStyle w:val="In-tableHeading"/>
              <w:spacing w:before="0" w:after="0"/>
            </w:pPr>
            <w:r w:rsidRPr="00E40A38">
              <w:t>Study</w:t>
            </w:r>
          </w:p>
        </w:tc>
        <w:tc>
          <w:tcPr>
            <w:tcW w:w="262" w:type="pct"/>
            <w:shd w:val="clear" w:color="auto" w:fill="BDD6EE" w:themeFill="accent1" w:themeFillTint="66"/>
            <w:tcMar>
              <w:left w:w="85" w:type="dxa"/>
              <w:right w:w="85" w:type="dxa"/>
            </w:tcMar>
            <w:vAlign w:val="center"/>
          </w:tcPr>
          <w:p w14:paraId="3BF38CCE" w14:textId="77777777" w:rsidR="00560C01" w:rsidRPr="00E40A38" w:rsidRDefault="00560C01" w:rsidP="006F31B2">
            <w:pPr>
              <w:pStyle w:val="In-tableHeading"/>
              <w:spacing w:before="0" w:after="0"/>
            </w:pPr>
            <w:r w:rsidRPr="00E40A38">
              <w:t>N</w:t>
            </w:r>
          </w:p>
        </w:tc>
        <w:tc>
          <w:tcPr>
            <w:tcW w:w="844" w:type="pct"/>
            <w:shd w:val="clear" w:color="auto" w:fill="BDD6EE" w:themeFill="accent1" w:themeFillTint="66"/>
            <w:tcMar>
              <w:left w:w="85" w:type="dxa"/>
              <w:right w:w="85" w:type="dxa"/>
            </w:tcMar>
            <w:vAlign w:val="center"/>
          </w:tcPr>
          <w:p w14:paraId="096DA144" w14:textId="77777777" w:rsidR="00560C01" w:rsidRPr="00E40A38" w:rsidRDefault="00560C01" w:rsidP="006F31B2">
            <w:pPr>
              <w:pStyle w:val="In-tableHeading"/>
              <w:spacing w:before="0" w:after="0"/>
            </w:pPr>
            <w:r w:rsidRPr="00E40A38">
              <w:t>Study design</w:t>
            </w:r>
          </w:p>
          <w:p w14:paraId="4DD06CCB" w14:textId="77777777" w:rsidR="00560C01" w:rsidRPr="00E40A38" w:rsidRDefault="00560C01" w:rsidP="006F31B2">
            <w:pPr>
              <w:pStyle w:val="In-tableHeading"/>
              <w:spacing w:before="0" w:after="0"/>
            </w:pPr>
            <w:r w:rsidRPr="00E40A38">
              <w:t xml:space="preserve">Risk of </w:t>
            </w:r>
            <w:proofErr w:type="spellStart"/>
            <w:r w:rsidRPr="00E40A38">
              <w:t>bias</w:t>
            </w:r>
            <w:r w:rsidRPr="00E40A38">
              <w:rPr>
                <w:vertAlign w:val="superscript"/>
              </w:rPr>
              <w:t>a</w:t>
            </w:r>
            <w:proofErr w:type="spellEnd"/>
          </w:p>
        </w:tc>
        <w:tc>
          <w:tcPr>
            <w:tcW w:w="707" w:type="pct"/>
            <w:shd w:val="clear" w:color="auto" w:fill="BDD6EE" w:themeFill="accent1" w:themeFillTint="66"/>
            <w:tcMar>
              <w:left w:w="85" w:type="dxa"/>
              <w:right w:w="85" w:type="dxa"/>
            </w:tcMar>
            <w:vAlign w:val="center"/>
          </w:tcPr>
          <w:p w14:paraId="4FEA7F56" w14:textId="77777777" w:rsidR="00560C01" w:rsidRPr="00E40A38" w:rsidRDefault="00560C01" w:rsidP="006F31B2">
            <w:pPr>
              <w:pStyle w:val="In-tableHeading"/>
              <w:spacing w:before="0" w:after="0"/>
            </w:pPr>
            <w:r w:rsidRPr="00E40A38">
              <w:t>Population</w:t>
            </w:r>
          </w:p>
        </w:tc>
        <w:tc>
          <w:tcPr>
            <w:tcW w:w="866" w:type="pct"/>
            <w:shd w:val="clear" w:color="auto" w:fill="BDD6EE" w:themeFill="accent1" w:themeFillTint="66"/>
            <w:tcMar>
              <w:left w:w="85" w:type="dxa"/>
              <w:right w:w="85" w:type="dxa"/>
            </w:tcMar>
            <w:vAlign w:val="center"/>
          </w:tcPr>
          <w:p w14:paraId="7223ED0B" w14:textId="77777777" w:rsidR="00560C01" w:rsidRPr="00E40A38" w:rsidRDefault="00560C01" w:rsidP="006F31B2">
            <w:pPr>
              <w:pStyle w:val="In-tableHeading"/>
              <w:spacing w:before="0" w:after="0"/>
            </w:pPr>
            <w:r w:rsidRPr="00E40A38">
              <w:t>Intervention</w:t>
            </w:r>
          </w:p>
        </w:tc>
        <w:tc>
          <w:tcPr>
            <w:tcW w:w="897" w:type="pct"/>
            <w:shd w:val="clear" w:color="auto" w:fill="BDD6EE" w:themeFill="accent1" w:themeFillTint="66"/>
            <w:tcMar>
              <w:left w:w="85" w:type="dxa"/>
              <w:right w:w="85" w:type="dxa"/>
            </w:tcMar>
            <w:vAlign w:val="center"/>
          </w:tcPr>
          <w:p w14:paraId="6749A0ED" w14:textId="77777777" w:rsidR="00560C01" w:rsidRPr="00E40A38" w:rsidRDefault="00560C01" w:rsidP="006F31B2">
            <w:pPr>
              <w:pStyle w:val="In-tableHeading"/>
              <w:spacing w:before="0" w:after="0"/>
            </w:pPr>
            <w:r w:rsidRPr="00E40A38">
              <w:t>Key outcome(s)</w:t>
            </w:r>
            <w:r w:rsidRPr="00E40A38">
              <w:rPr>
                <w:vertAlign w:val="superscript"/>
              </w:rPr>
              <w:t>b</w:t>
            </w:r>
          </w:p>
        </w:tc>
        <w:tc>
          <w:tcPr>
            <w:tcW w:w="725" w:type="pct"/>
            <w:shd w:val="clear" w:color="auto" w:fill="BDD6EE" w:themeFill="accent1" w:themeFillTint="66"/>
            <w:tcMar>
              <w:left w:w="85" w:type="dxa"/>
              <w:right w:w="85" w:type="dxa"/>
            </w:tcMar>
          </w:tcPr>
          <w:p w14:paraId="0EAF8D86" w14:textId="77777777" w:rsidR="00560C01" w:rsidRPr="0076221B" w:rsidRDefault="00560C01" w:rsidP="006F31B2">
            <w:pPr>
              <w:pStyle w:val="In-tableHeading"/>
              <w:spacing w:before="0" w:after="0"/>
            </w:pPr>
            <w:r w:rsidRPr="0076221B">
              <w:t>Result used in economic model</w:t>
            </w:r>
          </w:p>
        </w:tc>
      </w:tr>
      <w:tr w:rsidR="001B3F1C" w:rsidRPr="00E40A38" w14:paraId="6A94CEFA" w14:textId="77777777" w:rsidTr="002B0DC8">
        <w:trPr>
          <w:tblHeader/>
        </w:trPr>
        <w:tc>
          <w:tcPr>
            <w:tcW w:w="699" w:type="pct"/>
            <w:shd w:val="clear" w:color="auto" w:fill="BDD6EE" w:themeFill="accent1" w:themeFillTint="66"/>
            <w:tcMar>
              <w:left w:w="85" w:type="dxa"/>
              <w:right w:w="85" w:type="dxa"/>
            </w:tcMar>
            <w:vAlign w:val="center"/>
          </w:tcPr>
          <w:p w14:paraId="2CDEA792" w14:textId="61F0A54A" w:rsidR="00560C01" w:rsidRPr="00E40A38" w:rsidRDefault="00560C01" w:rsidP="006F31B2">
            <w:pPr>
              <w:pStyle w:val="TableText"/>
              <w:shd w:val="clear" w:color="auto" w:fill="BDD6EE" w:themeFill="accent1" w:themeFillTint="66"/>
              <w:spacing w:before="0" w:after="0"/>
            </w:pPr>
            <w:r w:rsidRPr="00E40A38">
              <w:t xml:space="preserve">Phase III </w:t>
            </w:r>
            <w:r w:rsidRPr="00E40A38">
              <w:br/>
              <w:t xml:space="preserve">AMT-061-02 </w:t>
            </w:r>
            <w:r w:rsidRPr="00E40A38">
              <w:br/>
              <w:t>(HOPE-B)</w:t>
            </w:r>
            <w:r w:rsidRPr="00E40A38">
              <w:br/>
            </w:r>
            <w:hyperlink r:id="rId18" w:tooltip="Hyperlink to study entry on ClinicalTrials.gov website" w:history="1">
              <w:r w:rsidRPr="00612E51">
                <w:rPr>
                  <w:rStyle w:val="Hyperlink"/>
                  <w:color w:val="005AA8"/>
                </w:rPr>
                <w:t>NCT03569891</w:t>
              </w:r>
            </w:hyperlink>
          </w:p>
        </w:tc>
        <w:tc>
          <w:tcPr>
            <w:tcW w:w="262" w:type="pct"/>
            <w:shd w:val="clear" w:color="auto" w:fill="BDD6EE" w:themeFill="accent1" w:themeFillTint="66"/>
            <w:tcMar>
              <w:left w:w="85" w:type="dxa"/>
              <w:right w:w="85" w:type="dxa"/>
            </w:tcMar>
            <w:vAlign w:val="center"/>
          </w:tcPr>
          <w:p w14:paraId="74CF5B89" w14:textId="77777777" w:rsidR="00560C01" w:rsidRPr="00E40A38" w:rsidRDefault="00560C01" w:rsidP="006F31B2">
            <w:pPr>
              <w:pStyle w:val="TableText"/>
              <w:shd w:val="clear" w:color="auto" w:fill="BDD6EE" w:themeFill="accent1" w:themeFillTint="66"/>
              <w:spacing w:before="0" w:after="0"/>
            </w:pPr>
            <w:r w:rsidRPr="00E40A38">
              <w:t>54</w:t>
            </w:r>
          </w:p>
        </w:tc>
        <w:tc>
          <w:tcPr>
            <w:tcW w:w="844" w:type="pct"/>
            <w:shd w:val="clear" w:color="auto" w:fill="BDD6EE" w:themeFill="accent1" w:themeFillTint="66"/>
            <w:tcMar>
              <w:left w:w="85" w:type="dxa"/>
              <w:right w:w="85" w:type="dxa"/>
            </w:tcMar>
            <w:vAlign w:val="center"/>
          </w:tcPr>
          <w:p w14:paraId="51F78C42" w14:textId="77777777" w:rsidR="00560C01" w:rsidRPr="00E40A38" w:rsidRDefault="00560C01" w:rsidP="006F31B2">
            <w:pPr>
              <w:pStyle w:val="TableText"/>
              <w:shd w:val="clear" w:color="auto" w:fill="BDD6EE" w:themeFill="accent1" w:themeFillTint="66"/>
              <w:spacing w:before="0" w:after="0"/>
            </w:pPr>
            <w:r w:rsidRPr="00E40A38">
              <w:t xml:space="preserve">Interrupted time series (follow-up planned to 5 y, with extension to 15 y) </w:t>
            </w:r>
          </w:p>
          <w:p w14:paraId="20CC92A0" w14:textId="77777777" w:rsidR="00560C01" w:rsidRPr="00E40A38" w:rsidRDefault="00560C01" w:rsidP="006F31B2">
            <w:pPr>
              <w:pStyle w:val="TableText"/>
              <w:shd w:val="clear" w:color="auto" w:fill="BDD6EE" w:themeFill="accent1" w:themeFillTint="66"/>
              <w:spacing w:before="0" w:after="0"/>
            </w:pPr>
            <w:r w:rsidRPr="00E40A38">
              <w:t xml:space="preserve">NR, MC, OL, SA </w:t>
            </w:r>
          </w:p>
          <w:p w14:paraId="6321C503" w14:textId="77777777" w:rsidR="00560C01" w:rsidRPr="00E40A38" w:rsidRDefault="00560C01" w:rsidP="006F31B2">
            <w:pPr>
              <w:pStyle w:val="TableText"/>
              <w:shd w:val="clear" w:color="auto" w:fill="BDD6EE" w:themeFill="accent1" w:themeFillTint="66"/>
              <w:spacing w:before="0" w:after="0"/>
            </w:pPr>
            <w:r w:rsidRPr="00E40A38">
              <w:t>High</w:t>
            </w:r>
          </w:p>
        </w:tc>
        <w:tc>
          <w:tcPr>
            <w:tcW w:w="707" w:type="pct"/>
            <w:shd w:val="clear" w:color="auto" w:fill="BDD6EE" w:themeFill="accent1" w:themeFillTint="66"/>
            <w:tcMar>
              <w:left w:w="85" w:type="dxa"/>
              <w:right w:w="85" w:type="dxa"/>
            </w:tcMar>
            <w:vAlign w:val="center"/>
          </w:tcPr>
          <w:p w14:paraId="218FE978" w14:textId="77777777" w:rsidR="00560C01" w:rsidRPr="00E40A38" w:rsidRDefault="00560C01" w:rsidP="006F31B2">
            <w:pPr>
              <w:pStyle w:val="TableText"/>
              <w:shd w:val="clear" w:color="auto" w:fill="BDD6EE" w:themeFill="accent1" w:themeFillTint="66"/>
              <w:spacing w:before="0" w:after="0"/>
            </w:pPr>
            <w:r w:rsidRPr="00E40A38">
              <w:t>Adults with HMB (severe or moderate)</w:t>
            </w:r>
          </w:p>
        </w:tc>
        <w:tc>
          <w:tcPr>
            <w:tcW w:w="866" w:type="pct"/>
            <w:shd w:val="clear" w:color="auto" w:fill="BDD6EE" w:themeFill="accent1" w:themeFillTint="66"/>
            <w:tcMar>
              <w:left w:w="85" w:type="dxa"/>
              <w:right w:w="85" w:type="dxa"/>
            </w:tcMar>
            <w:vAlign w:val="center"/>
          </w:tcPr>
          <w:p w14:paraId="28FC7138" w14:textId="77777777" w:rsidR="00560C01" w:rsidRPr="00E40A38" w:rsidRDefault="00560C01" w:rsidP="006F31B2">
            <w:pPr>
              <w:pStyle w:val="TableText"/>
              <w:shd w:val="clear" w:color="auto" w:fill="BDD6EE" w:themeFill="accent1" w:themeFillTint="66"/>
              <w:spacing w:before="0" w:after="0"/>
            </w:pPr>
            <w:r w:rsidRPr="00E40A38">
              <w:t>SOC + etranacogene dezaparvovec (2 x 10</w:t>
            </w:r>
            <w:r w:rsidRPr="007E5853">
              <w:rPr>
                <w:vertAlign w:val="superscript"/>
              </w:rPr>
              <w:t>13</w:t>
            </w:r>
            <w:r w:rsidRPr="00E40A38">
              <w:t xml:space="preserve"> </w:t>
            </w:r>
            <w:proofErr w:type="spellStart"/>
            <w:r w:rsidRPr="00E40A38">
              <w:t>gc</w:t>
            </w:r>
            <w:proofErr w:type="spellEnd"/>
            <w:r w:rsidRPr="00E40A38">
              <w:t>/kg)</w:t>
            </w:r>
          </w:p>
        </w:tc>
        <w:tc>
          <w:tcPr>
            <w:tcW w:w="897" w:type="pct"/>
            <w:shd w:val="clear" w:color="auto" w:fill="BDD6EE" w:themeFill="accent1" w:themeFillTint="66"/>
            <w:tcMar>
              <w:left w:w="85" w:type="dxa"/>
              <w:right w:w="85" w:type="dxa"/>
            </w:tcMar>
            <w:vAlign w:val="center"/>
          </w:tcPr>
          <w:p w14:paraId="779035E6" w14:textId="405693A3" w:rsidR="00560C01" w:rsidRPr="00E40A38" w:rsidRDefault="00560C01" w:rsidP="006F31B2">
            <w:pPr>
              <w:pStyle w:val="TableText"/>
              <w:shd w:val="clear" w:color="auto" w:fill="BDD6EE" w:themeFill="accent1" w:themeFillTint="66"/>
              <w:spacing w:before="0" w:after="0"/>
            </w:pPr>
            <w:r w:rsidRPr="00E40A38">
              <w:t>ABR 6–18 </w:t>
            </w:r>
            <w:proofErr w:type="spellStart"/>
            <w:r w:rsidRPr="00E40A38">
              <w:t>mo</w:t>
            </w:r>
            <w:proofErr w:type="spellEnd"/>
            <w:r w:rsidRPr="00E40A38">
              <w:t xml:space="preserve"> post-treatment</w:t>
            </w:r>
            <w:r w:rsidRPr="00E40A38">
              <w:br/>
              <w:t>Uncontaminated FIX activity</w:t>
            </w:r>
            <w:r w:rsidRPr="00E40A38">
              <w:br/>
              <w:t>FIX utilisation</w:t>
            </w:r>
            <w:r w:rsidRPr="00E40A38">
              <w:br/>
              <w:t>AEs</w:t>
            </w:r>
            <w:r w:rsidRPr="00E40A38">
              <w:br/>
              <w:t>EQ-5D-5L</w:t>
            </w:r>
            <w:r w:rsidRPr="00E40A38">
              <w:br/>
              <w:t>H</w:t>
            </w:r>
            <w:r w:rsidR="0001548F">
              <w:t>AEM</w:t>
            </w:r>
            <w:r w:rsidRPr="00E40A38">
              <w:t>-A-QoL</w:t>
            </w:r>
          </w:p>
        </w:tc>
        <w:tc>
          <w:tcPr>
            <w:tcW w:w="725" w:type="pct"/>
            <w:tcMar>
              <w:left w:w="85" w:type="dxa"/>
              <w:right w:w="85" w:type="dxa"/>
            </w:tcMar>
          </w:tcPr>
          <w:p w14:paraId="497DD0FE" w14:textId="28D5F56F" w:rsidR="001C34B0" w:rsidRPr="00203F74" w:rsidRDefault="00560C01" w:rsidP="006F31B2">
            <w:pPr>
              <w:pStyle w:val="TableText"/>
              <w:shd w:val="clear" w:color="auto" w:fill="BDD6EE" w:themeFill="accent1" w:themeFillTint="66"/>
              <w:spacing w:before="0" w:after="0"/>
              <w:rPr>
                <w:rFonts w:eastAsia="Times New Roman" w:cs="Arial"/>
                <w:snapToGrid w:val="0"/>
                <w:szCs w:val="20"/>
              </w:rPr>
            </w:pPr>
            <w:r w:rsidRPr="00203F74">
              <w:rPr>
                <w:rFonts w:eastAsia="Times New Roman" w:cs="Arial"/>
                <w:snapToGrid w:val="0"/>
                <w:szCs w:val="20"/>
              </w:rPr>
              <w:t xml:space="preserve">Yes </w:t>
            </w:r>
            <w:r w:rsidRPr="00203F74">
              <w:rPr>
                <w:rFonts w:eastAsia="Times New Roman" w:cs="Arial"/>
                <w:snapToGrid w:val="0"/>
                <w:szCs w:val="20"/>
              </w:rPr>
              <w:br/>
            </w:r>
            <w:r w:rsidR="001C34B0" w:rsidRPr="00203F74">
              <w:rPr>
                <w:rFonts w:eastAsia="Times New Roman" w:cs="Arial"/>
                <w:snapToGrid w:val="0"/>
                <w:szCs w:val="20"/>
              </w:rPr>
              <w:t xml:space="preserve">ADAR 1728: </w:t>
            </w:r>
            <w:r w:rsidR="001C34B0" w:rsidRPr="00203F74">
              <w:rPr>
                <w:rFonts w:eastAsia="Times New Roman" w:cs="Arial"/>
                <w:snapToGrid w:val="0"/>
                <w:szCs w:val="20"/>
              </w:rPr>
              <w:br/>
            </w:r>
            <w:r w:rsidRPr="00203F74">
              <w:rPr>
                <w:rFonts w:eastAsia="Times New Roman" w:cs="Arial"/>
                <w:snapToGrid w:val="0"/>
                <w:szCs w:val="20"/>
              </w:rPr>
              <w:t>FIX activity, ABR, SAEs, EQ-5D-5L</w:t>
            </w:r>
          </w:p>
          <w:p w14:paraId="7270C079" w14:textId="7C9073F8" w:rsidR="00560C01" w:rsidRPr="0076221B" w:rsidRDefault="001C34B0" w:rsidP="006F31B2">
            <w:pPr>
              <w:pStyle w:val="TableText"/>
              <w:spacing w:before="0" w:after="0"/>
            </w:pPr>
            <w:r w:rsidRPr="00203F74">
              <w:rPr>
                <w:rFonts w:eastAsia="Times New Roman" w:cs="Arial"/>
                <w:snapToGrid w:val="0"/>
                <w:szCs w:val="20"/>
              </w:rPr>
              <w:t>ADAR 1728.1:</w:t>
            </w:r>
            <w:r w:rsidRPr="00203F74">
              <w:rPr>
                <w:rFonts w:eastAsia="Times New Roman" w:cs="Arial"/>
                <w:snapToGrid w:val="0"/>
                <w:szCs w:val="20"/>
              </w:rPr>
              <w:br/>
              <w:t xml:space="preserve">FIX activity, ABR, </w:t>
            </w:r>
            <w:proofErr w:type="spellStart"/>
            <w:r w:rsidRPr="00203F74">
              <w:rPr>
                <w:rFonts w:eastAsia="Times New Roman" w:cs="Arial"/>
                <w:snapToGrid w:val="0"/>
                <w:szCs w:val="20"/>
              </w:rPr>
              <w:t>A</w:t>
            </w:r>
            <w:r w:rsidR="00433981" w:rsidRPr="00203F74">
              <w:rPr>
                <w:rFonts w:eastAsia="Times New Roman" w:cs="Arial"/>
                <w:snapToGrid w:val="0"/>
                <w:szCs w:val="20"/>
              </w:rPr>
              <w:t>jBR</w:t>
            </w:r>
            <w:proofErr w:type="spellEnd"/>
            <w:r w:rsidR="00433981" w:rsidRPr="00203F74">
              <w:rPr>
                <w:rFonts w:eastAsia="Times New Roman" w:cs="Arial"/>
                <w:snapToGrid w:val="0"/>
                <w:szCs w:val="20"/>
              </w:rPr>
              <w:t>, SAEs</w:t>
            </w:r>
          </w:p>
        </w:tc>
      </w:tr>
      <w:tr w:rsidR="001B3F1C" w:rsidRPr="00E40A38" w14:paraId="532F66A8" w14:textId="77777777" w:rsidTr="002B0DC8">
        <w:trPr>
          <w:tblHeader/>
        </w:trPr>
        <w:tc>
          <w:tcPr>
            <w:tcW w:w="699" w:type="pct"/>
            <w:shd w:val="clear" w:color="auto" w:fill="BDD6EE" w:themeFill="accent1" w:themeFillTint="66"/>
            <w:tcMar>
              <w:left w:w="85" w:type="dxa"/>
              <w:right w:w="85" w:type="dxa"/>
            </w:tcMar>
            <w:vAlign w:val="center"/>
          </w:tcPr>
          <w:p w14:paraId="69D531BF" w14:textId="65A46EE1" w:rsidR="00560C01" w:rsidRPr="00E40A38" w:rsidRDefault="00560C01" w:rsidP="006F31B2">
            <w:pPr>
              <w:pStyle w:val="TableText"/>
              <w:shd w:val="clear" w:color="auto" w:fill="BDD6EE" w:themeFill="accent1" w:themeFillTint="66"/>
              <w:spacing w:before="0" w:after="0"/>
            </w:pPr>
            <w:r w:rsidRPr="00E40A38">
              <w:t>Phase IIb</w:t>
            </w:r>
            <w:r w:rsidRPr="00E40A38">
              <w:br/>
              <w:t>AMT-061-01</w:t>
            </w:r>
            <w:r w:rsidRPr="00E40A38">
              <w:br/>
            </w:r>
            <w:hyperlink r:id="rId19" w:tooltip="Hyperlink to study entry on ClinicalTrials.gov website" w:history="1">
              <w:r w:rsidRPr="00612E51">
                <w:rPr>
                  <w:rStyle w:val="Hyperlink"/>
                  <w:color w:val="005AA8"/>
                </w:rPr>
                <w:t>NCT03489291</w:t>
              </w:r>
            </w:hyperlink>
            <w:r w:rsidRPr="00E40A38">
              <w:t xml:space="preserve"> </w:t>
            </w:r>
          </w:p>
        </w:tc>
        <w:tc>
          <w:tcPr>
            <w:tcW w:w="262" w:type="pct"/>
            <w:shd w:val="clear" w:color="auto" w:fill="BDD6EE" w:themeFill="accent1" w:themeFillTint="66"/>
            <w:tcMar>
              <w:left w:w="85" w:type="dxa"/>
              <w:right w:w="85" w:type="dxa"/>
            </w:tcMar>
            <w:vAlign w:val="center"/>
          </w:tcPr>
          <w:p w14:paraId="32E25FED" w14:textId="77777777" w:rsidR="00560C01" w:rsidRPr="00E40A38" w:rsidRDefault="00560C01" w:rsidP="006F31B2">
            <w:pPr>
              <w:pStyle w:val="TableText"/>
              <w:shd w:val="clear" w:color="auto" w:fill="BDD6EE" w:themeFill="accent1" w:themeFillTint="66"/>
              <w:spacing w:before="0" w:after="0"/>
            </w:pPr>
            <w:r w:rsidRPr="00E40A38">
              <w:t>3</w:t>
            </w:r>
          </w:p>
        </w:tc>
        <w:tc>
          <w:tcPr>
            <w:tcW w:w="844" w:type="pct"/>
            <w:shd w:val="clear" w:color="auto" w:fill="BDD6EE" w:themeFill="accent1" w:themeFillTint="66"/>
            <w:tcMar>
              <w:left w:w="85" w:type="dxa"/>
              <w:right w:w="85" w:type="dxa"/>
            </w:tcMar>
            <w:vAlign w:val="center"/>
          </w:tcPr>
          <w:p w14:paraId="3186E462" w14:textId="77777777" w:rsidR="00560C01" w:rsidRPr="00E40A38" w:rsidRDefault="00560C01" w:rsidP="006F31B2">
            <w:pPr>
              <w:pStyle w:val="TableText"/>
              <w:shd w:val="clear" w:color="auto" w:fill="BDD6EE" w:themeFill="accent1" w:themeFillTint="66"/>
              <w:spacing w:before="0" w:after="0"/>
            </w:pPr>
            <w:r w:rsidRPr="00E40A38">
              <w:t xml:space="preserve">Case series </w:t>
            </w:r>
            <w:r w:rsidRPr="00E40A38">
              <w:br/>
              <w:t>NR, MC, OL, SA</w:t>
            </w:r>
          </w:p>
          <w:p w14:paraId="1EF462EA" w14:textId="77777777" w:rsidR="00560C01" w:rsidRPr="00E40A38" w:rsidRDefault="00560C01" w:rsidP="006F31B2">
            <w:pPr>
              <w:pStyle w:val="TableText"/>
              <w:shd w:val="clear" w:color="auto" w:fill="BDD6EE" w:themeFill="accent1" w:themeFillTint="66"/>
              <w:spacing w:before="0" w:after="0"/>
            </w:pPr>
            <w:r w:rsidRPr="00E40A38">
              <w:t>Very high</w:t>
            </w:r>
          </w:p>
        </w:tc>
        <w:tc>
          <w:tcPr>
            <w:tcW w:w="707" w:type="pct"/>
            <w:shd w:val="clear" w:color="auto" w:fill="BDD6EE" w:themeFill="accent1" w:themeFillTint="66"/>
            <w:tcMar>
              <w:left w:w="85" w:type="dxa"/>
              <w:right w:w="85" w:type="dxa"/>
            </w:tcMar>
            <w:vAlign w:val="center"/>
          </w:tcPr>
          <w:p w14:paraId="20836049" w14:textId="77777777" w:rsidR="00560C01" w:rsidRPr="00E40A38" w:rsidRDefault="00560C01" w:rsidP="006F31B2">
            <w:pPr>
              <w:pStyle w:val="TableText"/>
              <w:shd w:val="clear" w:color="auto" w:fill="BDD6EE" w:themeFill="accent1" w:themeFillTint="66"/>
              <w:spacing w:before="0" w:after="0"/>
            </w:pPr>
            <w:r w:rsidRPr="00E40A38">
              <w:t>Adults with HMB (severe or moderate)</w:t>
            </w:r>
          </w:p>
        </w:tc>
        <w:tc>
          <w:tcPr>
            <w:tcW w:w="866" w:type="pct"/>
            <w:shd w:val="clear" w:color="auto" w:fill="BDD6EE" w:themeFill="accent1" w:themeFillTint="66"/>
            <w:tcMar>
              <w:left w:w="85" w:type="dxa"/>
              <w:right w:w="85" w:type="dxa"/>
            </w:tcMar>
            <w:vAlign w:val="center"/>
          </w:tcPr>
          <w:p w14:paraId="6B11899D" w14:textId="77777777" w:rsidR="00560C01" w:rsidRPr="00E40A38" w:rsidRDefault="00560C01" w:rsidP="006F31B2">
            <w:pPr>
              <w:pStyle w:val="TableText"/>
              <w:shd w:val="clear" w:color="auto" w:fill="BDD6EE" w:themeFill="accent1" w:themeFillTint="66"/>
              <w:spacing w:before="0" w:after="0"/>
            </w:pPr>
            <w:r w:rsidRPr="00E40A38">
              <w:t>etranacogene dezaparvovec (2 x 10</w:t>
            </w:r>
            <w:r w:rsidRPr="007E5853">
              <w:rPr>
                <w:vertAlign w:val="superscript"/>
              </w:rPr>
              <w:t>13</w:t>
            </w:r>
            <w:r w:rsidRPr="00E40A38">
              <w:t xml:space="preserve"> </w:t>
            </w:r>
            <w:proofErr w:type="spellStart"/>
            <w:r w:rsidRPr="00E40A38">
              <w:t>gc</w:t>
            </w:r>
            <w:proofErr w:type="spellEnd"/>
            <w:r w:rsidRPr="00E40A38">
              <w:t>/kg)</w:t>
            </w:r>
          </w:p>
        </w:tc>
        <w:tc>
          <w:tcPr>
            <w:tcW w:w="897" w:type="pct"/>
            <w:shd w:val="clear" w:color="auto" w:fill="BDD6EE" w:themeFill="accent1" w:themeFillTint="66"/>
            <w:tcMar>
              <w:left w:w="85" w:type="dxa"/>
              <w:right w:w="85" w:type="dxa"/>
            </w:tcMar>
            <w:vAlign w:val="center"/>
          </w:tcPr>
          <w:p w14:paraId="1AD9359D" w14:textId="77777777" w:rsidR="00560C01" w:rsidRPr="00E40A38" w:rsidRDefault="00560C01" w:rsidP="006F31B2">
            <w:pPr>
              <w:pStyle w:val="TableText"/>
              <w:shd w:val="clear" w:color="auto" w:fill="BDD6EE" w:themeFill="accent1" w:themeFillTint="66"/>
              <w:spacing w:before="0" w:after="0"/>
            </w:pPr>
            <w:r w:rsidRPr="00E40A38">
              <w:t>FIX activity at 6 </w:t>
            </w:r>
            <w:proofErr w:type="spellStart"/>
            <w:r w:rsidRPr="00E40A38">
              <w:t>wk</w:t>
            </w:r>
            <w:proofErr w:type="spellEnd"/>
            <w:r w:rsidRPr="00E40A38">
              <w:t xml:space="preserve"> post-treatment</w:t>
            </w:r>
          </w:p>
        </w:tc>
        <w:tc>
          <w:tcPr>
            <w:tcW w:w="725" w:type="pct"/>
            <w:shd w:val="clear" w:color="auto" w:fill="BDD6EE" w:themeFill="accent1" w:themeFillTint="66"/>
            <w:tcMar>
              <w:left w:w="85" w:type="dxa"/>
              <w:right w:w="85" w:type="dxa"/>
            </w:tcMar>
          </w:tcPr>
          <w:p w14:paraId="19EA78F7" w14:textId="77777777" w:rsidR="00560C01" w:rsidRPr="00E40A38" w:rsidRDefault="00560C01" w:rsidP="006F31B2">
            <w:pPr>
              <w:pStyle w:val="TableText"/>
              <w:shd w:val="clear" w:color="auto" w:fill="BDD6EE" w:themeFill="accent1" w:themeFillTint="66"/>
              <w:spacing w:before="0" w:after="0"/>
            </w:pPr>
            <w:r w:rsidRPr="00E40A38">
              <w:t xml:space="preserve">Yes </w:t>
            </w:r>
            <w:r w:rsidRPr="00E40A38">
              <w:br/>
              <w:t>(FIX activity)</w:t>
            </w:r>
          </w:p>
        </w:tc>
      </w:tr>
      <w:tr w:rsidR="001B3F1C" w:rsidRPr="00E40A38" w14:paraId="33904E24" w14:textId="77777777" w:rsidTr="002B0DC8">
        <w:trPr>
          <w:tblHeader/>
        </w:trPr>
        <w:tc>
          <w:tcPr>
            <w:tcW w:w="699" w:type="pct"/>
            <w:shd w:val="clear" w:color="auto" w:fill="BDD6EE" w:themeFill="accent1" w:themeFillTint="66"/>
            <w:tcMar>
              <w:left w:w="85" w:type="dxa"/>
              <w:right w:w="85" w:type="dxa"/>
            </w:tcMar>
            <w:vAlign w:val="center"/>
          </w:tcPr>
          <w:p w14:paraId="5C822D72" w14:textId="787A0BA4" w:rsidR="00560C01" w:rsidRPr="00E40A38" w:rsidRDefault="00560C01" w:rsidP="006F31B2">
            <w:pPr>
              <w:pStyle w:val="TableText"/>
              <w:shd w:val="clear" w:color="auto" w:fill="BDD6EE" w:themeFill="accent1" w:themeFillTint="66"/>
              <w:spacing w:before="0" w:after="0"/>
            </w:pPr>
            <w:r w:rsidRPr="00E40A38">
              <w:t>Phase I/II</w:t>
            </w:r>
            <w:r w:rsidRPr="00E40A38">
              <w:br/>
              <w:t>AMT-060-01</w:t>
            </w:r>
            <w:r w:rsidRPr="00E40A38">
              <w:br/>
            </w:r>
            <w:hyperlink r:id="rId20" w:tooltip="Hyperlink to study enty on ClinicalTrials.gov website" w:history="1">
              <w:r w:rsidRPr="00612E51">
                <w:rPr>
                  <w:rStyle w:val="Hyperlink"/>
                  <w:color w:val="005AA8"/>
                </w:rPr>
                <w:t>NCT02396342</w:t>
              </w:r>
            </w:hyperlink>
          </w:p>
        </w:tc>
        <w:tc>
          <w:tcPr>
            <w:tcW w:w="262" w:type="pct"/>
            <w:shd w:val="clear" w:color="auto" w:fill="BDD6EE" w:themeFill="accent1" w:themeFillTint="66"/>
            <w:tcMar>
              <w:left w:w="85" w:type="dxa"/>
              <w:right w:w="85" w:type="dxa"/>
            </w:tcMar>
            <w:vAlign w:val="center"/>
          </w:tcPr>
          <w:p w14:paraId="09165645" w14:textId="77777777" w:rsidR="00560C01" w:rsidRPr="00E40A38" w:rsidRDefault="00560C01" w:rsidP="006F31B2">
            <w:pPr>
              <w:pStyle w:val="TableText"/>
              <w:shd w:val="clear" w:color="auto" w:fill="BDD6EE" w:themeFill="accent1" w:themeFillTint="66"/>
              <w:spacing w:before="0" w:after="0"/>
            </w:pPr>
            <w:r w:rsidRPr="00E40A38">
              <w:t>10</w:t>
            </w:r>
          </w:p>
        </w:tc>
        <w:tc>
          <w:tcPr>
            <w:tcW w:w="844" w:type="pct"/>
            <w:shd w:val="clear" w:color="auto" w:fill="BDD6EE" w:themeFill="accent1" w:themeFillTint="66"/>
            <w:tcMar>
              <w:left w:w="85" w:type="dxa"/>
              <w:right w:w="85" w:type="dxa"/>
            </w:tcMar>
            <w:vAlign w:val="center"/>
          </w:tcPr>
          <w:p w14:paraId="38F83F1A" w14:textId="77777777" w:rsidR="00560C01" w:rsidRPr="00E40A38" w:rsidRDefault="00560C01" w:rsidP="006F31B2">
            <w:pPr>
              <w:pStyle w:val="TableText"/>
              <w:shd w:val="clear" w:color="auto" w:fill="BDD6EE" w:themeFill="accent1" w:themeFillTint="66"/>
              <w:spacing w:before="0" w:after="0"/>
            </w:pPr>
            <w:r w:rsidRPr="00E40A38">
              <w:t xml:space="preserve">Case series </w:t>
            </w:r>
            <w:r w:rsidRPr="00E40A38">
              <w:br/>
              <w:t>NR, MC, OL, SA</w:t>
            </w:r>
          </w:p>
          <w:p w14:paraId="26999E77" w14:textId="77777777" w:rsidR="00560C01" w:rsidRPr="00E40A38" w:rsidRDefault="00560C01" w:rsidP="006F31B2">
            <w:pPr>
              <w:pStyle w:val="TableText"/>
              <w:shd w:val="clear" w:color="auto" w:fill="BDD6EE" w:themeFill="accent1" w:themeFillTint="66"/>
              <w:spacing w:before="0" w:after="0"/>
            </w:pPr>
            <w:r w:rsidRPr="00E40A38">
              <w:t>Very high</w:t>
            </w:r>
          </w:p>
        </w:tc>
        <w:tc>
          <w:tcPr>
            <w:tcW w:w="707" w:type="pct"/>
            <w:shd w:val="clear" w:color="auto" w:fill="BDD6EE" w:themeFill="accent1" w:themeFillTint="66"/>
            <w:tcMar>
              <w:left w:w="85" w:type="dxa"/>
              <w:right w:w="85" w:type="dxa"/>
            </w:tcMar>
            <w:vAlign w:val="center"/>
          </w:tcPr>
          <w:p w14:paraId="6E6102C9" w14:textId="77777777" w:rsidR="00560C01" w:rsidRPr="00E40A38" w:rsidRDefault="00560C01" w:rsidP="006F31B2">
            <w:pPr>
              <w:pStyle w:val="TableText"/>
              <w:shd w:val="clear" w:color="auto" w:fill="BDD6EE" w:themeFill="accent1" w:themeFillTint="66"/>
              <w:spacing w:before="0" w:after="0"/>
            </w:pPr>
            <w:r w:rsidRPr="00E40A38">
              <w:t>Adults with HMB (severe or moderate)</w:t>
            </w:r>
          </w:p>
        </w:tc>
        <w:tc>
          <w:tcPr>
            <w:tcW w:w="866" w:type="pct"/>
            <w:shd w:val="clear" w:color="auto" w:fill="BDD6EE" w:themeFill="accent1" w:themeFillTint="66"/>
            <w:tcMar>
              <w:left w:w="85" w:type="dxa"/>
              <w:right w:w="85" w:type="dxa"/>
            </w:tcMar>
            <w:vAlign w:val="center"/>
          </w:tcPr>
          <w:p w14:paraId="1AB4C4C5" w14:textId="77777777" w:rsidR="00560C01" w:rsidRPr="004C70A3" w:rsidRDefault="00560C01" w:rsidP="006F31B2">
            <w:pPr>
              <w:pStyle w:val="TableText"/>
              <w:shd w:val="clear" w:color="auto" w:fill="BDD6EE" w:themeFill="accent1" w:themeFillTint="66"/>
              <w:spacing w:before="0" w:after="0"/>
            </w:pPr>
            <w:r w:rsidRPr="004C70A3">
              <w:t>AMT-060:</w:t>
            </w:r>
            <w:r w:rsidRPr="004C70A3">
              <w:br/>
              <w:t>5 x 10</w:t>
            </w:r>
            <w:r w:rsidRPr="004C70A3">
              <w:rPr>
                <w:vertAlign w:val="superscript"/>
              </w:rPr>
              <w:t>12</w:t>
            </w:r>
            <w:r w:rsidRPr="004C70A3">
              <w:t xml:space="preserve"> </w:t>
            </w:r>
            <w:proofErr w:type="spellStart"/>
            <w:r w:rsidRPr="004C70A3">
              <w:t>gc</w:t>
            </w:r>
            <w:proofErr w:type="spellEnd"/>
            <w:r w:rsidRPr="004C70A3">
              <w:t>/kg</w:t>
            </w:r>
            <w:r w:rsidRPr="004C70A3">
              <w:br/>
              <w:t>2 x 10</w:t>
            </w:r>
            <w:r w:rsidRPr="004C70A3">
              <w:rPr>
                <w:vertAlign w:val="superscript"/>
              </w:rPr>
              <w:t>13</w:t>
            </w:r>
            <w:r w:rsidRPr="004C70A3">
              <w:t xml:space="preserve"> </w:t>
            </w:r>
            <w:proofErr w:type="spellStart"/>
            <w:r w:rsidRPr="004C70A3">
              <w:t>gc</w:t>
            </w:r>
            <w:proofErr w:type="spellEnd"/>
            <w:r w:rsidRPr="004C70A3">
              <w:t>/kg</w:t>
            </w:r>
          </w:p>
        </w:tc>
        <w:tc>
          <w:tcPr>
            <w:tcW w:w="897" w:type="pct"/>
            <w:shd w:val="clear" w:color="auto" w:fill="BDD6EE" w:themeFill="accent1" w:themeFillTint="66"/>
            <w:tcMar>
              <w:left w:w="85" w:type="dxa"/>
              <w:right w:w="85" w:type="dxa"/>
            </w:tcMar>
            <w:vAlign w:val="center"/>
          </w:tcPr>
          <w:p w14:paraId="23ED74D6" w14:textId="77777777" w:rsidR="00560C01" w:rsidRPr="00E40A38" w:rsidRDefault="00560C01" w:rsidP="006F31B2">
            <w:pPr>
              <w:pStyle w:val="TableText"/>
              <w:shd w:val="clear" w:color="auto" w:fill="BDD6EE" w:themeFill="accent1" w:themeFillTint="66"/>
              <w:spacing w:before="0" w:after="0"/>
            </w:pPr>
            <w:r w:rsidRPr="00E40A38">
              <w:t>Frequency and incidence of AEs at 1 y, 5 y</w:t>
            </w:r>
          </w:p>
        </w:tc>
        <w:tc>
          <w:tcPr>
            <w:tcW w:w="725" w:type="pct"/>
            <w:shd w:val="clear" w:color="auto" w:fill="BDD6EE" w:themeFill="accent1" w:themeFillTint="66"/>
            <w:tcMar>
              <w:left w:w="85" w:type="dxa"/>
              <w:right w:w="85" w:type="dxa"/>
            </w:tcMar>
          </w:tcPr>
          <w:p w14:paraId="67A80337" w14:textId="77777777" w:rsidR="00560C01" w:rsidRPr="00E40A38" w:rsidRDefault="00560C01" w:rsidP="006F31B2">
            <w:pPr>
              <w:pStyle w:val="TableText"/>
              <w:shd w:val="clear" w:color="auto" w:fill="BDD6EE" w:themeFill="accent1" w:themeFillTint="66"/>
              <w:spacing w:before="0" w:after="0"/>
            </w:pPr>
            <w:r w:rsidRPr="00E40A38">
              <w:t>No</w:t>
            </w:r>
          </w:p>
        </w:tc>
      </w:tr>
    </w:tbl>
    <w:p w14:paraId="421289E7" w14:textId="728F9138" w:rsidR="00560C01" w:rsidRPr="00DA49E3" w:rsidRDefault="00560C01" w:rsidP="000C5255">
      <w:pPr>
        <w:pStyle w:val="TableFigureFooter"/>
        <w:shd w:val="clear" w:color="auto" w:fill="BDD6EE" w:themeFill="accent1" w:themeFillTint="66"/>
        <w:rPr>
          <w:rFonts w:eastAsiaTheme="minorEastAsia"/>
        </w:rPr>
      </w:pPr>
      <w:r w:rsidRPr="00E40A38">
        <w:t xml:space="preserve">ABR = annualised bleed rate; </w:t>
      </w:r>
      <w:r w:rsidR="00894527">
        <w:t xml:space="preserve">ADAR = Applicant Developed Assessment Report; </w:t>
      </w:r>
      <w:r w:rsidRPr="00E40A38">
        <w:t xml:space="preserve">AE = adverse event; </w:t>
      </w:r>
      <w:proofErr w:type="spellStart"/>
      <w:r w:rsidR="005231A9" w:rsidRPr="00331BFA">
        <w:rPr>
          <w:shd w:val="clear" w:color="auto" w:fill="FFFFFF" w:themeFill="background1"/>
        </w:rPr>
        <w:t>AjBR</w:t>
      </w:r>
      <w:proofErr w:type="spellEnd"/>
      <w:r w:rsidR="005231A9" w:rsidRPr="00331BFA">
        <w:rPr>
          <w:shd w:val="clear" w:color="auto" w:fill="FFFFFF" w:themeFill="background1"/>
        </w:rPr>
        <w:t xml:space="preserve"> = annualised joint bleed rate;</w:t>
      </w:r>
      <w:r w:rsidR="005231A9">
        <w:t xml:space="preserve"> </w:t>
      </w:r>
      <w:r w:rsidRPr="00DA49E3">
        <w:t xml:space="preserve">EQ-5D-5L = </w:t>
      </w:r>
      <w:proofErr w:type="spellStart"/>
      <w:r w:rsidRPr="00DA49E3">
        <w:t>EuroQol</w:t>
      </w:r>
      <w:proofErr w:type="spellEnd"/>
      <w:r w:rsidRPr="00DA49E3">
        <w:t xml:space="preserve"> 5-dimension health-related quality of life questionnaire–5 levels; </w:t>
      </w:r>
      <w:r w:rsidRPr="00DA49E3">
        <w:rPr>
          <w:rFonts w:eastAsiaTheme="minorEastAsia"/>
        </w:rPr>
        <w:t xml:space="preserve">FIX= factor IX; </w:t>
      </w:r>
      <w:proofErr w:type="spellStart"/>
      <w:r w:rsidRPr="00DA49E3">
        <w:rPr>
          <w:rFonts w:eastAsiaTheme="minorEastAsia"/>
        </w:rPr>
        <w:t>gc</w:t>
      </w:r>
      <w:proofErr w:type="spellEnd"/>
      <w:r w:rsidRPr="00DA49E3">
        <w:rPr>
          <w:rFonts w:eastAsiaTheme="minorEastAsia"/>
        </w:rPr>
        <w:t xml:space="preserve"> = gene copies; H</w:t>
      </w:r>
      <w:r w:rsidR="0001548F">
        <w:rPr>
          <w:rFonts w:eastAsiaTheme="minorEastAsia"/>
        </w:rPr>
        <w:t>AEM</w:t>
      </w:r>
      <w:r w:rsidRPr="00DA49E3">
        <w:rPr>
          <w:rFonts w:eastAsiaTheme="minorEastAsia"/>
        </w:rPr>
        <w:t xml:space="preserve">-A-QoL = Haemophilia Specific Quality of Life Index; HMB = haemophilia B; MC = multi-centre design; </w:t>
      </w:r>
      <w:proofErr w:type="spellStart"/>
      <w:r w:rsidRPr="00DA49E3">
        <w:rPr>
          <w:rFonts w:eastAsiaTheme="minorEastAsia"/>
        </w:rPr>
        <w:t>mo</w:t>
      </w:r>
      <w:proofErr w:type="spellEnd"/>
      <w:r w:rsidRPr="00DA49E3">
        <w:rPr>
          <w:rFonts w:eastAsiaTheme="minorEastAsia"/>
        </w:rPr>
        <w:t xml:space="preserve"> = month(s); N = number of participants; N/A = not applicable; NR = non-randomised design; OL = open label design; SA = single arm design; SAE = serious adverse event; SOC = standard of care; </w:t>
      </w:r>
      <w:proofErr w:type="spellStart"/>
      <w:r w:rsidRPr="00DA49E3">
        <w:rPr>
          <w:rFonts w:eastAsiaTheme="minorEastAsia"/>
        </w:rPr>
        <w:t>wk</w:t>
      </w:r>
      <w:proofErr w:type="spellEnd"/>
      <w:r w:rsidRPr="00DA49E3">
        <w:rPr>
          <w:rFonts w:eastAsiaTheme="minorEastAsia"/>
        </w:rPr>
        <w:t xml:space="preserve"> = week(s); y = year(s).</w:t>
      </w:r>
      <w:r w:rsidRPr="00DA49E3">
        <w:rPr>
          <w:rFonts w:eastAsiaTheme="minorEastAsia"/>
        </w:rPr>
        <w:br/>
        <w:t xml:space="preserve">a Risk of bias using the IHE Quality Appraisal Checklist for Case Series Studies (2016), Institute of Health Economics, Edmonton, Canada. </w:t>
      </w:r>
      <w:r w:rsidRPr="00DA49E3">
        <w:rPr>
          <w:rFonts w:eastAsiaTheme="minorEastAsia"/>
        </w:rPr>
        <w:br/>
        <w:t>b Only primary outcomes are indicated for the earlier phase studies.</w:t>
      </w:r>
      <w:r w:rsidRPr="00DA49E3">
        <w:rPr>
          <w:rFonts w:eastAsiaTheme="minorEastAsia"/>
        </w:rPr>
        <w:br/>
        <w:t>Source: Commentary Table 10 of MSAC 1728 ADAR</w:t>
      </w:r>
      <w:r w:rsidR="00BB3FEC" w:rsidRPr="00DA49E3">
        <w:rPr>
          <w:rFonts w:eastAsiaTheme="minorEastAsia"/>
        </w:rPr>
        <w:t xml:space="preserve"> </w:t>
      </w:r>
      <w:r w:rsidRPr="00DA49E3">
        <w:rPr>
          <w:rFonts w:eastAsiaTheme="minorEastAsia"/>
        </w:rPr>
        <w:t>+</w:t>
      </w:r>
      <w:r w:rsidR="00BB3FEC" w:rsidRPr="00DA49E3">
        <w:rPr>
          <w:rFonts w:eastAsiaTheme="minorEastAsia"/>
        </w:rPr>
        <w:t xml:space="preserve"> </w:t>
      </w:r>
      <w:r w:rsidRPr="00DA49E3">
        <w:rPr>
          <w:rFonts w:eastAsiaTheme="minorEastAsia"/>
        </w:rPr>
        <w:t>in-line commentary.</w:t>
      </w:r>
    </w:p>
    <w:p w14:paraId="40292AD8" w14:textId="7EEF1693" w:rsidR="006522D0" w:rsidRDefault="00A10B1F" w:rsidP="00A10B1F">
      <w:pPr>
        <w:pStyle w:val="Heading3"/>
      </w:pPr>
      <w:r>
        <w:t>Evidence for the anti-AAV5 Nab titre assay</w:t>
      </w:r>
    </w:p>
    <w:p w14:paraId="6D6FEF68" w14:textId="1EC898D5" w:rsidR="00510837" w:rsidRDefault="00173FC8" w:rsidP="00510837">
      <w:r w:rsidRPr="00E40A38">
        <w:t xml:space="preserve">The HOPE-B </w:t>
      </w:r>
      <w:r w:rsidR="00332A93">
        <w:t>study</w:t>
      </w:r>
      <w:r w:rsidR="00332A93" w:rsidRPr="00E40A38">
        <w:t xml:space="preserve"> </w:t>
      </w:r>
      <w:r w:rsidRPr="00E40A38">
        <w:t xml:space="preserve">also provided direct evidence for the predictive effect of the anti-AAV5 </w:t>
      </w:r>
      <w:proofErr w:type="spellStart"/>
      <w:r w:rsidRPr="00E40A38">
        <w:t>NAb</w:t>
      </w:r>
      <w:proofErr w:type="spellEnd"/>
      <w:r w:rsidRPr="00E40A38">
        <w:t xml:space="preserve"> assay with respect to treatment outcome</w:t>
      </w:r>
      <w:r w:rsidR="007C6045">
        <w:t xml:space="preserve"> (</w:t>
      </w:r>
      <w:r w:rsidR="00AE3304">
        <w:fldChar w:fldCharType="begin"/>
      </w:r>
      <w:r w:rsidR="00AE3304">
        <w:instrText xml:space="preserve"> REF _Ref207985538 \h </w:instrText>
      </w:r>
      <w:r w:rsidR="00AE3304">
        <w:fldChar w:fldCharType="separate"/>
      </w:r>
      <w:r w:rsidR="00AE3304">
        <w:t xml:space="preserve">Table </w:t>
      </w:r>
      <w:r w:rsidR="00AE3304">
        <w:rPr>
          <w:noProof/>
        </w:rPr>
        <w:t>6</w:t>
      </w:r>
      <w:r w:rsidR="00AE3304">
        <w:fldChar w:fldCharType="end"/>
      </w:r>
      <w:r w:rsidR="00AE3304">
        <w:t>).</w:t>
      </w:r>
      <w:r w:rsidR="00CE6569">
        <w:t xml:space="preserve"> </w:t>
      </w:r>
      <w:r w:rsidR="00F86E3A" w:rsidRPr="00E40A38">
        <w:t xml:space="preserve">No </w:t>
      </w:r>
      <w:r w:rsidR="0044223A">
        <w:t>subjects</w:t>
      </w:r>
      <w:r w:rsidR="0044223A" w:rsidRPr="00E40A38">
        <w:t xml:space="preserve"> </w:t>
      </w:r>
      <w:r w:rsidR="00F86E3A" w:rsidRPr="00E40A38">
        <w:t xml:space="preserve">were excluded from the </w:t>
      </w:r>
      <w:r w:rsidR="006B64AD">
        <w:t>study</w:t>
      </w:r>
      <w:r w:rsidR="00F86E3A" w:rsidRPr="00E40A38">
        <w:t xml:space="preserve"> </w:t>
      </w:r>
      <w:r w:rsidR="006B64AD">
        <w:t>on the basis of</w:t>
      </w:r>
      <w:r w:rsidR="00F86E3A" w:rsidRPr="00E40A38">
        <w:t xml:space="preserve"> pre-treatment anti-AAV5 </w:t>
      </w:r>
      <w:proofErr w:type="spellStart"/>
      <w:r w:rsidR="00F86E3A" w:rsidRPr="00E40A38">
        <w:t>NAb</w:t>
      </w:r>
      <w:proofErr w:type="spellEnd"/>
      <w:r w:rsidR="00F86E3A" w:rsidRPr="00E40A38">
        <w:t xml:space="preserve"> titre.</w:t>
      </w:r>
      <w:r w:rsidR="00AB4D8D">
        <w:t xml:space="preserve"> </w:t>
      </w:r>
    </w:p>
    <w:p w14:paraId="3F19D45B" w14:textId="789DF84A" w:rsidR="00510837" w:rsidRPr="00E40A38" w:rsidRDefault="009B186F" w:rsidP="00510837">
      <w:pPr>
        <w:pStyle w:val="Caption"/>
        <w:shd w:val="clear" w:color="auto" w:fill="BDD6EE" w:themeFill="accent1" w:themeFillTint="66"/>
        <w:rPr>
          <w:sz w:val="16"/>
          <w:szCs w:val="16"/>
        </w:rPr>
      </w:pPr>
      <w:bookmarkStart w:id="23" w:name="_Ref207985538"/>
      <w:r>
        <w:t xml:space="preserve">Table </w:t>
      </w:r>
      <w:r>
        <w:fldChar w:fldCharType="begin"/>
      </w:r>
      <w:r>
        <w:instrText xml:space="preserve"> SEQ Table \* ARABIC </w:instrText>
      </w:r>
      <w:r>
        <w:fldChar w:fldCharType="separate"/>
      </w:r>
      <w:r>
        <w:rPr>
          <w:noProof/>
        </w:rPr>
        <w:t>6</w:t>
      </w:r>
      <w:r>
        <w:rPr>
          <w:noProof/>
        </w:rPr>
        <w:fldChar w:fldCharType="end"/>
      </w:r>
      <w:bookmarkEnd w:id="23"/>
      <w:r w:rsidR="00AB4D8D">
        <w:t xml:space="preserve"> </w:t>
      </w:r>
      <w:r w:rsidR="00510837" w:rsidRPr="00E40A38">
        <w:t xml:space="preserve">Key features of the included evidence for assessing the 9-point anti-AAV5 </w:t>
      </w:r>
      <w:proofErr w:type="spellStart"/>
      <w:r w:rsidR="00510837" w:rsidRPr="00E40A38">
        <w:t>NAb</w:t>
      </w:r>
      <w:proofErr w:type="spellEnd"/>
      <w:r w:rsidR="00510837" w:rsidRPr="00E40A38">
        <w:t xml:space="preserve"> assay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features of the included evidence for assessing the 9-point anti-AAV5 NAb assay"/>
        <w:tblDescription w:val="This table shows the key features of the included evidence for assessing the 9-point anti-AAV5 NAb assay"/>
      </w:tblPr>
      <w:tblGrid>
        <w:gridCol w:w="1816"/>
        <w:gridCol w:w="3325"/>
        <w:gridCol w:w="2084"/>
        <w:gridCol w:w="1791"/>
      </w:tblGrid>
      <w:tr w:rsidR="001B3F1C" w:rsidRPr="00E40A38" w14:paraId="182E3C5D" w14:textId="77777777" w:rsidTr="002B0DC8">
        <w:trPr>
          <w:tblHeader/>
        </w:trPr>
        <w:tc>
          <w:tcPr>
            <w:tcW w:w="100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CF472A9" w14:textId="77777777" w:rsidR="00510837" w:rsidRPr="00E40A38" w:rsidRDefault="00510837" w:rsidP="00D6385B">
            <w:pPr>
              <w:pStyle w:val="In-tableHeading"/>
            </w:pPr>
            <w:r w:rsidRPr="00E40A38">
              <w:t>Criterion</w:t>
            </w:r>
          </w:p>
        </w:tc>
        <w:tc>
          <w:tcPr>
            <w:tcW w:w="184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8DFA1CD" w14:textId="77777777" w:rsidR="00510837" w:rsidRPr="00E40A38" w:rsidRDefault="00510837" w:rsidP="00D6385B">
            <w:pPr>
              <w:pStyle w:val="In-tableHeading"/>
            </w:pPr>
            <w:r w:rsidRPr="00E40A38">
              <w:t>Type of evidence supplied</w:t>
            </w:r>
          </w:p>
        </w:tc>
        <w:tc>
          <w:tcPr>
            <w:tcW w:w="115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64EF83C" w14:textId="77777777" w:rsidR="00510837" w:rsidRPr="00E40A38" w:rsidRDefault="00510837" w:rsidP="00D6385B">
            <w:pPr>
              <w:pStyle w:val="In-tableHeading"/>
            </w:pPr>
            <w:r w:rsidRPr="00E40A38">
              <w:t>Extent of evidence supplied</w:t>
            </w:r>
          </w:p>
        </w:tc>
        <w:tc>
          <w:tcPr>
            <w:tcW w:w="993"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95E991" w14:textId="77777777" w:rsidR="00510837" w:rsidRPr="00E40A38" w:rsidRDefault="00510837" w:rsidP="00D6385B">
            <w:pPr>
              <w:pStyle w:val="In-tableHeading"/>
            </w:pPr>
            <w:r w:rsidRPr="00E40A38">
              <w:t>Overall risk of bias in evidence base</w:t>
            </w:r>
          </w:p>
        </w:tc>
      </w:tr>
      <w:tr w:rsidR="001B3F1C" w:rsidRPr="00E40A38" w14:paraId="0D4A12A8" w14:textId="77777777" w:rsidTr="002B0DC8">
        <w:tc>
          <w:tcPr>
            <w:tcW w:w="100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CE89B6" w14:textId="77777777" w:rsidR="00510837" w:rsidRPr="00E40A38" w:rsidRDefault="00510837" w:rsidP="00510837">
            <w:pPr>
              <w:pStyle w:val="TableText"/>
              <w:shd w:val="clear" w:color="auto" w:fill="BDD6EE" w:themeFill="accent1" w:themeFillTint="66"/>
            </w:pPr>
            <w:r w:rsidRPr="00E40A38">
              <w:t>Correlation</w:t>
            </w:r>
          </w:p>
        </w:tc>
        <w:tc>
          <w:tcPr>
            <w:tcW w:w="184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14:paraId="4E85E15C" w14:textId="77777777" w:rsidR="00510837" w:rsidRPr="00E40A38" w:rsidRDefault="00510837" w:rsidP="00510837">
            <w:pPr>
              <w:pStyle w:val="TableText"/>
              <w:shd w:val="clear" w:color="auto" w:fill="BDD6EE" w:themeFill="accent1" w:themeFillTint="66"/>
            </w:pPr>
            <w:r w:rsidRPr="00E40A38">
              <w:t>Unpublished cross-sectional comparison of index test compared to clinical utility standard</w:t>
            </w:r>
          </w:p>
        </w:tc>
        <w:tc>
          <w:tcPr>
            <w:tcW w:w="115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2362E3" w14:textId="77777777" w:rsidR="00510837" w:rsidRPr="00E40A38" w:rsidRDefault="000833F1" w:rsidP="00510837">
            <w:pPr>
              <w:pStyle w:val="TableText"/>
              <w:shd w:val="clear" w:color="auto" w:fill="BDD6EE" w:themeFill="accent1" w:themeFillTint="66"/>
            </w:pPr>
            <w:sdt>
              <w:sdtPr>
                <w:id w:val="-1422487125"/>
                <w14:checkbox>
                  <w14:checked w14:val="1"/>
                  <w14:checkedState w14:val="2612" w14:font="MS Gothic"/>
                  <w14:uncheckedState w14:val="2610" w14:font="MS Gothic"/>
                </w14:checkbox>
              </w:sdtPr>
              <w:sdtEndPr/>
              <w:sdtContent>
                <w:r w:rsidR="00510837" w:rsidRPr="00E40A38">
                  <w:rPr>
                    <w:rFonts w:ascii="MS Gothic" w:eastAsia="MS Gothic" w:hAnsi="MS Gothic" w:hint="eastAsia"/>
                  </w:rPr>
                  <w:t>☒</w:t>
                </w:r>
              </w:sdtContent>
            </w:sdt>
            <w:r w:rsidR="00510837" w:rsidRPr="00E40A38">
              <w:tab/>
              <w:t>k=1</w:t>
            </w:r>
            <w:r w:rsidR="00510837" w:rsidRPr="00E40A38">
              <w:tab/>
              <w:t>n=30</w:t>
            </w:r>
          </w:p>
        </w:tc>
        <w:tc>
          <w:tcPr>
            <w:tcW w:w="99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95577C" w14:textId="77777777" w:rsidR="00510837" w:rsidRPr="00E40A38" w:rsidRDefault="00510837" w:rsidP="00510837">
            <w:pPr>
              <w:pStyle w:val="TableText"/>
              <w:shd w:val="clear" w:color="auto" w:fill="BDD6EE" w:themeFill="accent1" w:themeFillTint="66"/>
            </w:pPr>
            <w:r w:rsidRPr="00E40A38">
              <w:t>Not assessed</w:t>
            </w:r>
          </w:p>
        </w:tc>
      </w:tr>
      <w:tr w:rsidR="001B3F1C" w:rsidRPr="00E40A38" w14:paraId="6097858E" w14:textId="77777777" w:rsidTr="002B0DC8">
        <w:tc>
          <w:tcPr>
            <w:tcW w:w="1007"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BA7778" w14:textId="77777777" w:rsidR="00510837" w:rsidRPr="00E40A38" w:rsidRDefault="00510837" w:rsidP="00510837">
            <w:pPr>
              <w:pStyle w:val="TableText"/>
              <w:keepNext/>
              <w:shd w:val="clear" w:color="auto" w:fill="BDD6EE" w:themeFill="accent1" w:themeFillTint="66"/>
            </w:pPr>
            <w:r w:rsidRPr="00E40A38">
              <w:t>Accuracy and performance of the test (cross-sectional accuracy)</w:t>
            </w:r>
          </w:p>
        </w:tc>
        <w:tc>
          <w:tcPr>
            <w:tcW w:w="184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861887" w14:textId="77777777" w:rsidR="00510837" w:rsidRPr="00E40A38" w:rsidRDefault="00510837" w:rsidP="00510837">
            <w:pPr>
              <w:pStyle w:val="TableText"/>
              <w:keepNext/>
              <w:shd w:val="clear" w:color="auto" w:fill="BDD6EE" w:themeFill="accent1" w:themeFillTint="66"/>
            </w:pPr>
            <w:r w:rsidRPr="00E40A38">
              <w:t>No studies (note there is no established reference standard)</w:t>
            </w:r>
          </w:p>
        </w:tc>
        <w:tc>
          <w:tcPr>
            <w:tcW w:w="115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67B61B" w14:textId="77777777" w:rsidR="00510837" w:rsidRPr="00E40A38" w:rsidRDefault="000833F1" w:rsidP="00510837">
            <w:pPr>
              <w:pStyle w:val="TableText"/>
              <w:keepNext/>
              <w:shd w:val="clear" w:color="auto" w:fill="BDD6EE" w:themeFill="accent1" w:themeFillTint="66"/>
            </w:pPr>
            <w:sdt>
              <w:sdtPr>
                <w:id w:val="-461118462"/>
                <w14:checkbox>
                  <w14:checked w14:val="0"/>
                  <w14:checkedState w14:val="2612" w14:font="MS Gothic"/>
                  <w14:uncheckedState w14:val="2610" w14:font="MS Gothic"/>
                </w14:checkbox>
              </w:sdtPr>
              <w:sdtEndPr/>
              <w:sdtContent>
                <w:r w:rsidR="00510837" w:rsidRPr="00E40A38">
                  <w:rPr>
                    <w:rFonts w:ascii="MS Gothic" w:eastAsia="MS Gothic" w:hAnsi="MS Gothic" w:hint="eastAsia"/>
                    <w:lang w:val="en-US"/>
                  </w:rPr>
                  <w:t>☐</w:t>
                </w:r>
              </w:sdtContent>
            </w:sdt>
            <w:r w:rsidR="00510837" w:rsidRPr="00E40A38">
              <w:tab/>
              <w:t>k=0</w:t>
            </w:r>
            <w:r w:rsidR="00510837" w:rsidRPr="00E40A38">
              <w:tab/>
              <w:t>n=0</w:t>
            </w:r>
          </w:p>
        </w:tc>
        <w:tc>
          <w:tcPr>
            <w:tcW w:w="99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C1F317" w14:textId="77777777" w:rsidR="00510837" w:rsidRPr="00E40A38" w:rsidRDefault="00510837" w:rsidP="00510837">
            <w:pPr>
              <w:pStyle w:val="TableText"/>
              <w:keepNext/>
              <w:shd w:val="clear" w:color="auto" w:fill="BDD6EE" w:themeFill="accent1" w:themeFillTint="66"/>
            </w:pPr>
            <w:r w:rsidRPr="00E40A38">
              <w:t>NA</w:t>
            </w:r>
          </w:p>
        </w:tc>
      </w:tr>
      <w:tr w:rsidR="001B3F1C" w:rsidRPr="00E40A38" w14:paraId="5F162123" w14:textId="77777777" w:rsidTr="002B0DC8">
        <w:tc>
          <w:tcPr>
            <w:tcW w:w="1007"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EB8E60" w14:textId="77777777" w:rsidR="00510837" w:rsidRPr="00E40A38" w:rsidRDefault="000833F1" w:rsidP="00510837">
            <w:pPr>
              <w:pStyle w:val="TableText"/>
              <w:keepNext/>
              <w:shd w:val="clear" w:color="auto" w:fill="BDD6EE" w:themeFill="accent1" w:themeFillTint="66"/>
            </w:pPr>
            <w:sdt>
              <w:sdtPr>
                <w:id w:val="2101752436"/>
                <w14:checkbox>
                  <w14:checked w14:val="0"/>
                  <w14:checkedState w14:val="2612" w14:font="MS Gothic"/>
                  <w14:uncheckedState w14:val="2610" w14:font="MS Gothic"/>
                </w14:checkbox>
              </w:sdtPr>
              <w:sdtEndPr/>
              <w:sdtContent>
                <w:r w:rsidR="00510837" w:rsidRPr="00E40A38">
                  <w:t>C</w:t>
                </w:r>
              </w:sdtContent>
            </w:sdt>
            <w:proofErr w:type="spellStart"/>
            <w:r w:rsidR="00510837" w:rsidRPr="00E40A38">
              <w:t>hange</w:t>
            </w:r>
            <w:proofErr w:type="spellEnd"/>
            <w:r w:rsidR="00510837" w:rsidRPr="00E40A38">
              <w:t xml:space="preserve"> in patient management </w:t>
            </w:r>
          </w:p>
        </w:tc>
        <w:tc>
          <w:tcPr>
            <w:tcW w:w="184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C1C107" w14:textId="77777777" w:rsidR="00510837" w:rsidRPr="00E40A38" w:rsidRDefault="00510837" w:rsidP="00510837">
            <w:pPr>
              <w:pStyle w:val="TableText"/>
              <w:keepNext/>
              <w:shd w:val="clear" w:color="auto" w:fill="BDD6EE" w:themeFill="accent1" w:themeFillTint="66"/>
            </w:pPr>
            <w:r w:rsidRPr="00E40A38">
              <w:t>No studies</w:t>
            </w:r>
          </w:p>
        </w:tc>
        <w:tc>
          <w:tcPr>
            <w:tcW w:w="115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1726AC" w14:textId="10307FF9" w:rsidR="00510837" w:rsidRPr="00E40A38" w:rsidRDefault="000833F1" w:rsidP="00510837">
            <w:pPr>
              <w:pStyle w:val="TableText"/>
              <w:keepNext/>
              <w:shd w:val="clear" w:color="auto" w:fill="BDD6EE" w:themeFill="accent1" w:themeFillTint="66"/>
            </w:pPr>
            <w:sdt>
              <w:sdtPr>
                <w:id w:val="-396367467"/>
                <w14:checkbox>
                  <w14:checked w14:val="0"/>
                  <w14:checkedState w14:val="2612" w14:font="MS Gothic"/>
                  <w14:uncheckedState w14:val="2610" w14:font="MS Gothic"/>
                </w14:checkbox>
              </w:sdtPr>
              <w:sdtEndPr/>
              <w:sdtContent>
                <w:r w:rsidR="00E918AC">
                  <w:rPr>
                    <w:rFonts w:ascii="MS Gothic" w:eastAsia="MS Gothic" w:hAnsi="MS Gothic" w:hint="eastAsia"/>
                  </w:rPr>
                  <w:t>☐</w:t>
                </w:r>
              </w:sdtContent>
            </w:sdt>
            <w:r w:rsidR="00510837" w:rsidRPr="00E40A38">
              <w:tab/>
              <w:t>k=0</w:t>
            </w:r>
            <w:r w:rsidR="00510837" w:rsidRPr="00E40A38">
              <w:tab/>
              <w:t>n=0</w:t>
            </w:r>
          </w:p>
        </w:tc>
        <w:tc>
          <w:tcPr>
            <w:tcW w:w="99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337B82" w14:textId="77777777" w:rsidR="00510837" w:rsidRPr="00E40A38" w:rsidRDefault="00510837" w:rsidP="00510837">
            <w:pPr>
              <w:pStyle w:val="TableText"/>
              <w:keepNext/>
              <w:shd w:val="clear" w:color="auto" w:fill="BDD6EE" w:themeFill="accent1" w:themeFillTint="66"/>
            </w:pPr>
            <w:r w:rsidRPr="00E40A38">
              <w:t>NA</w:t>
            </w:r>
          </w:p>
        </w:tc>
      </w:tr>
      <w:tr w:rsidR="001B3F1C" w:rsidRPr="00E40A38" w14:paraId="427347BE" w14:textId="77777777" w:rsidTr="002B0DC8">
        <w:tc>
          <w:tcPr>
            <w:tcW w:w="1007" w:type="pct"/>
            <w:tcBorders>
              <w:top w:val="nil"/>
              <w:left w:val="single" w:sz="4" w:space="0" w:color="auto"/>
              <w:bottom w:val="single" w:sz="4" w:space="0" w:color="auto"/>
              <w:right w:val="single" w:sz="4" w:space="0" w:color="auto"/>
            </w:tcBorders>
            <w:shd w:val="clear" w:color="auto" w:fill="BDD6EE" w:themeFill="accent1" w:themeFillTint="66"/>
          </w:tcPr>
          <w:p w14:paraId="6F021FBE" w14:textId="77777777" w:rsidR="00510837" w:rsidRPr="00E40A38" w:rsidRDefault="000833F1" w:rsidP="00510837">
            <w:pPr>
              <w:pStyle w:val="TableText"/>
              <w:keepNext/>
              <w:shd w:val="clear" w:color="auto" w:fill="BDD6EE" w:themeFill="accent1" w:themeFillTint="66"/>
            </w:pPr>
            <w:sdt>
              <w:sdtPr>
                <w:id w:val="1385912277"/>
                <w14:checkbox>
                  <w14:checked w14:val="0"/>
                  <w14:checkedState w14:val="2612" w14:font="MS Gothic"/>
                  <w14:uncheckedState w14:val="2610" w14:font="MS Gothic"/>
                </w14:checkbox>
              </w:sdtPr>
              <w:sdtEndPr/>
              <w:sdtContent>
                <w:r w:rsidR="00510837" w:rsidRPr="00E40A38">
                  <w:t>P</w:t>
                </w:r>
              </w:sdtContent>
            </w:sdt>
            <w:proofErr w:type="spellStart"/>
            <w:r w:rsidR="00510837" w:rsidRPr="00E40A38">
              <w:t>redictive</w:t>
            </w:r>
            <w:proofErr w:type="spellEnd"/>
            <w:r w:rsidR="00510837" w:rsidRPr="00E40A38">
              <w:t xml:space="preserve"> effect (treatment effect variation) </w:t>
            </w:r>
          </w:p>
        </w:tc>
        <w:tc>
          <w:tcPr>
            <w:tcW w:w="1844" w:type="pct"/>
            <w:tcBorders>
              <w:top w:val="nil"/>
              <w:left w:val="single" w:sz="4" w:space="0" w:color="auto"/>
              <w:bottom w:val="single" w:sz="4" w:space="0" w:color="auto"/>
              <w:right w:val="single" w:sz="4" w:space="0" w:color="auto"/>
            </w:tcBorders>
            <w:shd w:val="clear" w:color="auto" w:fill="BDD6EE" w:themeFill="accent1" w:themeFillTint="66"/>
          </w:tcPr>
          <w:p w14:paraId="3F88A8AB" w14:textId="31347551" w:rsidR="00510837" w:rsidRPr="00E40A38" w:rsidRDefault="00510837" w:rsidP="00510837">
            <w:pPr>
              <w:pStyle w:val="TableText"/>
              <w:keepNext/>
              <w:shd w:val="clear" w:color="auto" w:fill="BDD6EE" w:themeFill="accent1" w:themeFillTint="66"/>
            </w:pPr>
            <w:r w:rsidRPr="00E40A38">
              <w:t xml:space="preserve">Comparison of outcomes in patients with pre-existing anti-AAV5 </w:t>
            </w:r>
            <w:proofErr w:type="spellStart"/>
            <w:r w:rsidRPr="00E40A38">
              <w:t>NAb</w:t>
            </w:r>
            <w:proofErr w:type="spellEnd"/>
            <w:r w:rsidRPr="00E40A38">
              <w:t xml:space="preserve"> and without who received </w:t>
            </w:r>
            <w:r w:rsidR="00377DDC">
              <w:t>ED</w:t>
            </w:r>
          </w:p>
        </w:tc>
        <w:tc>
          <w:tcPr>
            <w:tcW w:w="1156" w:type="pct"/>
            <w:tcBorders>
              <w:top w:val="nil"/>
              <w:left w:val="single" w:sz="4" w:space="0" w:color="auto"/>
              <w:bottom w:val="single" w:sz="4" w:space="0" w:color="auto"/>
              <w:right w:val="single" w:sz="4" w:space="0" w:color="auto"/>
            </w:tcBorders>
            <w:shd w:val="clear" w:color="auto" w:fill="BDD6EE" w:themeFill="accent1" w:themeFillTint="66"/>
          </w:tcPr>
          <w:p w14:paraId="78BB90A5" w14:textId="332B0769" w:rsidR="00510837" w:rsidRPr="00E40A38" w:rsidRDefault="000833F1" w:rsidP="00510837">
            <w:pPr>
              <w:pStyle w:val="TableText"/>
              <w:keepNext/>
              <w:shd w:val="clear" w:color="auto" w:fill="BDD6EE" w:themeFill="accent1" w:themeFillTint="66"/>
            </w:pPr>
            <w:sdt>
              <w:sdtPr>
                <w:id w:val="-625078808"/>
                <w14:checkbox>
                  <w14:checked w14:val="1"/>
                  <w14:checkedState w14:val="2612" w14:font="MS Gothic"/>
                  <w14:uncheckedState w14:val="2610" w14:font="MS Gothic"/>
                </w14:checkbox>
              </w:sdtPr>
              <w:sdtEndPr/>
              <w:sdtContent>
                <w:r w:rsidR="00510837" w:rsidRPr="00E40A38">
                  <w:rPr>
                    <w:rFonts w:ascii="MS Gothic" w:eastAsia="MS Gothic" w:hAnsi="MS Gothic" w:hint="eastAsia"/>
                  </w:rPr>
                  <w:t>☒</w:t>
                </w:r>
              </w:sdtContent>
            </w:sdt>
            <w:r w:rsidR="00510837" w:rsidRPr="00E40A38">
              <w:tab/>
              <w:t>k=1</w:t>
            </w:r>
            <w:r w:rsidR="00510837" w:rsidRPr="00E40A38">
              <w:tab/>
              <w:t xml:space="preserve">n=54 (21 with pre-existing anti-AAV5 </w:t>
            </w:r>
            <w:proofErr w:type="spellStart"/>
            <w:r w:rsidR="00510837" w:rsidRPr="00E40A38">
              <w:t>NAb</w:t>
            </w:r>
            <w:proofErr w:type="spellEnd"/>
            <w:r w:rsidR="00510837" w:rsidRPr="00E40A38">
              <w:t>)</w:t>
            </w:r>
          </w:p>
        </w:tc>
        <w:tc>
          <w:tcPr>
            <w:tcW w:w="993" w:type="pct"/>
            <w:tcBorders>
              <w:top w:val="nil"/>
              <w:left w:val="single" w:sz="4" w:space="0" w:color="auto"/>
              <w:bottom w:val="single" w:sz="4" w:space="0" w:color="auto"/>
              <w:right w:val="single" w:sz="4" w:space="0" w:color="auto"/>
            </w:tcBorders>
            <w:shd w:val="clear" w:color="auto" w:fill="BDD6EE" w:themeFill="accent1" w:themeFillTint="66"/>
          </w:tcPr>
          <w:p w14:paraId="4EA8F2B1" w14:textId="77777777" w:rsidR="00510837" w:rsidRPr="00E40A38" w:rsidRDefault="00510837" w:rsidP="00510837">
            <w:pPr>
              <w:pStyle w:val="TableText"/>
              <w:keepNext/>
              <w:shd w:val="clear" w:color="auto" w:fill="BDD6EE" w:themeFill="accent1" w:themeFillTint="66"/>
            </w:pPr>
            <w:r w:rsidRPr="00E40A38">
              <w:t>High</w:t>
            </w:r>
          </w:p>
        </w:tc>
      </w:tr>
    </w:tbl>
    <w:p w14:paraId="5B941CE3" w14:textId="45EA3D63" w:rsidR="00510837" w:rsidRDefault="00510837" w:rsidP="00863AB6">
      <w:pPr>
        <w:pStyle w:val="TableFigureFooter"/>
        <w:shd w:val="clear" w:color="auto" w:fill="BDD6EE" w:themeFill="accent1" w:themeFillTint="66"/>
        <w:spacing w:after="0"/>
      </w:pPr>
      <w:r w:rsidRPr="00E40A38">
        <w:t>AAV</w:t>
      </w:r>
      <w:r w:rsidR="00124EC4">
        <w:t>5</w:t>
      </w:r>
      <w:r w:rsidRPr="00E40A38">
        <w:t xml:space="preserve"> = adeno-associated virus</w:t>
      </w:r>
      <w:r w:rsidR="00124EC4">
        <w:t xml:space="preserve"> type 5</w:t>
      </w:r>
      <w:r w:rsidRPr="00E40A38">
        <w:t xml:space="preserve">; k = number of studies; n = number of </w:t>
      </w:r>
      <w:r w:rsidR="005755BD">
        <w:t>subjects</w:t>
      </w:r>
      <w:r w:rsidRPr="00E40A38">
        <w:t xml:space="preserve">; NA = not applicable; </w:t>
      </w:r>
      <w:proofErr w:type="spellStart"/>
      <w:r w:rsidRPr="00E40A38">
        <w:t>NAb</w:t>
      </w:r>
      <w:proofErr w:type="spellEnd"/>
      <w:r w:rsidRPr="00E40A38">
        <w:t xml:space="preserve"> = neutralising antibody.</w:t>
      </w:r>
    </w:p>
    <w:p w14:paraId="1D2036F6" w14:textId="32D192A3" w:rsidR="00716B69" w:rsidRPr="00A34725" w:rsidRDefault="00716B69" w:rsidP="007F70C0">
      <w:pPr>
        <w:pStyle w:val="TableFigureFooter"/>
        <w:shd w:val="clear" w:color="auto" w:fill="BDD6EE" w:themeFill="accent1" w:themeFillTint="66"/>
        <w:spacing w:before="0"/>
      </w:pPr>
      <w:r w:rsidRPr="00A34725">
        <w:rPr>
          <w:rFonts w:eastAsiaTheme="minorEastAsia"/>
        </w:rPr>
        <w:t>Source:</w:t>
      </w:r>
      <w:r w:rsidR="0049103F" w:rsidRPr="00A34725">
        <w:rPr>
          <w:rFonts w:eastAsiaTheme="minorEastAsia"/>
        </w:rPr>
        <w:t xml:space="preserve"> </w:t>
      </w:r>
      <w:r w:rsidR="00845264" w:rsidRPr="00A34725">
        <w:rPr>
          <w:rFonts w:eastAsiaTheme="minorEastAsia"/>
        </w:rPr>
        <w:t xml:space="preserve">Table 2 of </w:t>
      </w:r>
      <w:r w:rsidR="0049103F" w:rsidRPr="00A34725">
        <w:rPr>
          <w:rFonts w:eastAsiaTheme="minorEastAsia"/>
        </w:rPr>
        <w:t>Commentary</w:t>
      </w:r>
      <w:r w:rsidRPr="00A34725">
        <w:rPr>
          <w:rFonts w:eastAsiaTheme="minorEastAsia"/>
        </w:rPr>
        <w:t xml:space="preserve"> </w:t>
      </w:r>
      <w:r w:rsidR="0049103F" w:rsidRPr="00A34725">
        <w:rPr>
          <w:rFonts w:eastAsiaTheme="minorEastAsia"/>
        </w:rPr>
        <w:t xml:space="preserve">Executive </w:t>
      </w:r>
      <w:r w:rsidR="0049103F" w:rsidRPr="00977757">
        <w:rPr>
          <w:rFonts w:eastAsiaTheme="minorEastAsia"/>
        </w:rPr>
        <w:t>Summary</w:t>
      </w:r>
      <w:r w:rsidRPr="00A34725">
        <w:rPr>
          <w:rFonts w:eastAsiaTheme="minorEastAsia"/>
        </w:rPr>
        <w:t xml:space="preserve"> </w:t>
      </w:r>
      <w:r w:rsidR="00055EE3" w:rsidRPr="00A34725">
        <w:rPr>
          <w:rFonts w:eastAsiaTheme="minorEastAsia"/>
        </w:rPr>
        <w:t xml:space="preserve">for </w:t>
      </w:r>
      <w:r w:rsidRPr="00A34725">
        <w:rPr>
          <w:rFonts w:eastAsiaTheme="minorEastAsia"/>
        </w:rPr>
        <w:t>MSAC 1728.</w:t>
      </w:r>
    </w:p>
    <w:p w14:paraId="6B4487C7" w14:textId="7FDBCBF2" w:rsidR="00510837" w:rsidRPr="00510837" w:rsidRDefault="00972F2E" w:rsidP="006B1ECB">
      <w:pPr>
        <w:shd w:val="clear" w:color="auto" w:fill="BDD6EE" w:themeFill="accent1" w:themeFillTint="66"/>
      </w:pPr>
      <w:r w:rsidRPr="00E40A38">
        <w:lastRenderedPageBreak/>
        <w:t xml:space="preserve">The </w:t>
      </w:r>
      <w:r w:rsidR="00334853">
        <w:t xml:space="preserve">7-point </w:t>
      </w:r>
      <w:r w:rsidRPr="00E40A38">
        <w:t>assay used in the HOPE-B study is the clinical utility standard. The</w:t>
      </w:r>
      <w:r w:rsidRPr="00E40A38" w:rsidDel="001713D1">
        <w:t xml:space="preserve"> </w:t>
      </w:r>
      <w:r w:rsidRPr="00E40A38">
        <w:t xml:space="preserve">assay </w:t>
      </w:r>
      <w:r w:rsidR="001713D1">
        <w:t xml:space="preserve">that will be used in clinical practice </w:t>
      </w:r>
      <w:r w:rsidRPr="00E40A38">
        <w:t>is a modification of this assay using 9 dilutions rather than 7 to extend the reporting range. No published studies comparing the 7-point assay with the 9-point assay were presented.</w:t>
      </w:r>
      <w:r w:rsidR="00412F11">
        <w:t xml:space="preserve"> </w:t>
      </w:r>
      <w:r w:rsidR="00412F11" w:rsidRPr="00412F11">
        <w:t xml:space="preserve">The commentary noted </w:t>
      </w:r>
      <w:r w:rsidR="00770D14">
        <w:t xml:space="preserve">that </w:t>
      </w:r>
      <w:r w:rsidR="00BF00BC">
        <w:t xml:space="preserve">assay </w:t>
      </w:r>
      <w:r w:rsidR="00770D14">
        <w:t xml:space="preserve">correlation </w:t>
      </w:r>
      <w:r w:rsidR="00BF00BC">
        <w:t>was based on</w:t>
      </w:r>
      <w:r w:rsidR="00412F11" w:rsidRPr="00412F11">
        <w:t xml:space="preserve"> small sample size (n=30) and </w:t>
      </w:r>
      <w:r w:rsidR="00BF00BC">
        <w:t>a</w:t>
      </w:r>
      <w:r w:rsidR="00412F11" w:rsidRPr="00412F11">
        <w:t xml:space="preserve"> limited number of samples at the relevant decision threshold (around 1 in 900 using the 9-point assay) and considered the evidence extremely limited.</w:t>
      </w:r>
    </w:p>
    <w:p w14:paraId="3B9FC2AD" w14:textId="0712E891" w:rsidR="00772829" w:rsidRPr="00CE28E3" w:rsidRDefault="00772829" w:rsidP="003758CD">
      <w:pPr>
        <w:pStyle w:val="Heading2"/>
        <w:numPr>
          <w:ilvl w:val="0"/>
          <w:numId w:val="28"/>
        </w:numPr>
      </w:pPr>
      <w:bookmarkStart w:id="24" w:name="_Toc69491423"/>
      <w:r w:rsidRPr="00CE28E3">
        <w:t>Comparative safety</w:t>
      </w:r>
      <w:bookmarkEnd w:id="24"/>
    </w:p>
    <w:p w14:paraId="287FE0B1" w14:textId="453927CF" w:rsidR="00A45A73" w:rsidRPr="00E40A38" w:rsidRDefault="00377DDC" w:rsidP="00A45A73">
      <w:pPr>
        <w:pStyle w:val="Heading3"/>
      </w:pPr>
      <w:r>
        <w:t>E</w:t>
      </w:r>
      <w:r w:rsidRPr="00377DDC">
        <w:t xml:space="preserve">tranacogene dezaparvovec </w:t>
      </w:r>
      <w:r>
        <w:t>(</w:t>
      </w:r>
      <w:r w:rsidR="009F1E37">
        <w:t>ED</w:t>
      </w:r>
      <w:r>
        <w:t>)</w:t>
      </w:r>
    </w:p>
    <w:p w14:paraId="44A5BC28" w14:textId="77777777" w:rsidR="006C0432" w:rsidRPr="00E40A38" w:rsidRDefault="006C0432" w:rsidP="006E52E0">
      <w:pPr>
        <w:pStyle w:val="Heading4"/>
      </w:pPr>
      <w:r w:rsidRPr="00E40A38">
        <w:t>Acute peri-infusion adverse effects</w:t>
      </w:r>
    </w:p>
    <w:p w14:paraId="02EA81AC" w14:textId="3CB90D7C" w:rsidR="00625B53" w:rsidRDefault="006C0432" w:rsidP="006C0432">
      <w:pPr>
        <w:shd w:val="clear" w:color="auto" w:fill="BDD6EE" w:themeFill="accent1" w:themeFillTint="66"/>
      </w:pPr>
      <w:r w:rsidRPr="00E40A38">
        <w:t xml:space="preserve">Acute peri-infusion events were common; infusion reactions occurred in 6/54 </w:t>
      </w:r>
      <w:r w:rsidR="00E95E10">
        <w:t>subjects</w:t>
      </w:r>
      <w:r w:rsidR="00E95E10" w:rsidRPr="00E40A38">
        <w:t xml:space="preserve"> </w:t>
      </w:r>
      <w:r w:rsidRPr="00E40A38">
        <w:t xml:space="preserve">(11.1%). One subject prematurely discontinued treatment infusion due to hypersensitivity and received only a partial dose (10%) of </w:t>
      </w:r>
      <w:r w:rsidR="00377DDC">
        <w:t>ED</w:t>
      </w:r>
      <w:r w:rsidRPr="00E40A38">
        <w:t>. Three participants required a dose interruption</w:t>
      </w:r>
      <w:r w:rsidR="00D717DE">
        <w:t>.</w:t>
      </w:r>
      <w:r w:rsidR="008254C6">
        <w:t xml:space="preserve"> </w:t>
      </w:r>
    </w:p>
    <w:p w14:paraId="25301649" w14:textId="1FA3D7B3" w:rsidR="006C0432" w:rsidRDefault="0010723B" w:rsidP="006C0432">
      <w:pPr>
        <w:shd w:val="clear" w:color="auto" w:fill="BDD6EE" w:themeFill="accent1" w:themeFillTint="66"/>
      </w:pPr>
      <w:r>
        <w:t xml:space="preserve">The </w:t>
      </w:r>
      <w:r w:rsidR="00A672ED">
        <w:t xml:space="preserve">Australian PI for </w:t>
      </w:r>
      <w:r w:rsidR="00377DDC">
        <w:t xml:space="preserve">ED </w:t>
      </w:r>
      <w:r>
        <w:t xml:space="preserve">does not specify a pre-treatment regimen to reduce the risk of hypersensitivity reactions. </w:t>
      </w:r>
      <w:r w:rsidR="00DA306A">
        <w:t>However, i</w:t>
      </w:r>
      <w:r w:rsidR="00877131">
        <w:t xml:space="preserve">n the event of an infusion reaction during administration, the infusion </w:t>
      </w:r>
      <w:r w:rsidR="003C664F">
        <w:t xml:space="preserve">rate of </w:t>
      </w:r>
      <w:r w:rsidR="00FE5E22">
        <w:t xml:space="preserve">500 mL/hour (8 mL/minute) </w:t>
      </w:r>
      <w:r w:rsidR="00877131">
        <w:t xml:space="preserve">is slowed </w:t>
      </w:r>
      <w:r w:rsidR="005C2FDB">
        <w:t>or interrupted</w:t>
      </w:r>
      <w:r w:rsidR="009F082E">
        <w:t>,</w:t>
      </w:r>
      <w:r w:rsidR="00E07B73">
        <w:t xml:space="preserve"> and a corticosteroid or antihistamine</w:t>
      </w:r>
      <w:r w:rsidR="009F082E">
        <w:t xml:space="preserve"> may be considered, b</w:t>
      </w:r>
      <w:r w:rsidR="00B15273">
        <w:t>ased on clinical judgement</w:t>
      </w:r>
      <w:r w:rsidR="006C0432" w:rsidRPr="00E40A38">
        <w:t>.</w:t>
      </w:r>
      <w:r w:rsidR="00753895">
        <w:t xml:space="preserve"> </w:t>
      </w:r>
    </w:p>
    <w:p w14:paraId="0158B0D0" w14:textId="4D61048C" w:rsidR="00BD1241" w:rsidRPr="00BD1241" w:rsidRDefault="00BD1241" w:rsidP="002C1A69">
      <w:pPr>
        <w:pStyle w:val="Heading4"/>
      </w:pPr>
      <w:r>
        <w:t>Common adverse events</w:t>
      </w:r>
    </w:p>
    <w:p w14:paraId="2E7875BA" w14:textId="0D9639D7" w:rsidR="005232E0" w:rsidRDefault="00871211" w:rsidP="002C1A69">
      <w:pPr>
        <w:keepNext/>
        <w:keepLines/>
      </w:pPr>
      <w:r w:rsidRPr="00BB7E8E">
        <w:t xml:space="preserve">Up to the 4-year database extract date, 818 treatment-emergent adverse events (TEAEs) were reported in 54/54 (100%) subjects. Most TEAEs (603/818) were mild in severity. </w:t>
      </w:r>
      <w:r w:rsidR="005232E0" w:rsidRPr="00A3001A">
        <w:t xml:space="preserve">The post-treatment AEs occurring in at least 5% of </w:t>
      </w:r>
      <w:r w:rsidR="005755BD">
        <w:t>subjects</w:t>
      </w:r>
      <w:r w:rsidR="005755BD" w:rsidRPr="00A3001A">
        <w:t xml:space="preserve"> </w:t>
      </w:r>
      <w:r w:rsidR="005232E0" w:rsidRPr="00A3001A">
        <w:t>were mostly non-specific events suggestive of inflammatory or flu-like symptoms, except for elevated alanine aminotransferase (ALT), creatine kinase and aspartate aminotransferase (AST) enzymes</w:t>
      </w:r>
      <w:r w:rsidR="00F96F0D">
        <w:t xml:space="preserve"> (which indicate </w:t>
      </w:r>
      <w:r w:rsidR="00501088">
        <w:t xml:space="preserve">a </w:t>
      </w:r>
      <w:r w:rsidR="00501088" w:rsidRPr="009E1767">
        <w:t xml:space="preserve">reaction focused on the liver, consistent with the </w:t>
      </w:r>
      <w:r w:rsidR="00377DDC">
        <w:t>ED</w:t>
      </w:r>
      <w:r w:rsidR="00377DDC" w:rsidRPr="009E1767">
        <w:t xml:space="preserve"> </w:t>
      </w:r>
      <w:r w:rsidR="00501088" w:rsidRPr="009E1767">
        <w:t>mechanism of action and class effects observed with other AAV-based gene therapies</w:t>
      </w:r>
      <w:r w:rsidR="00501088">
        <w:t>)</w:t>
      </w:r>
      <w:r w:rsidR="005232E0" w:rsidRPr="00A3001A">
        <w:t xml:space="preserve">. </w:t>
      </w:r>
      <w:r w:rsidR="00CB7C19" w:rsidRPr="00DE4442">
        <w:t>More TEAEs (307/818) occurred within the first 6 months post dose than during any other 6-month post</w:t>
      </w:r>
      <w:r w:rsidR="00D92F67">
        <w:t>-</w:t>
      </w:r>
      <w:r w:rsidR="00CB7C19" w:rsidRPr="00DE4442">
        <w:t>dose time interval</w:t>
      </w:r>
      <w:r w:rsidR="00CB7C19">
        <w:t xml:space="preserve">. AE frequency remained </w:t>
      </w:r>
      <w:r w:rsidR="00AD5647">
        <w:t xml:space="preserve">relatively </w:t>
      </w:r>
      <w:r w:rsidR="00CB7C19">
        <w:t xml:space="preserve">stable across each time period from </w:t>
      </w:r>
      <w:r w:rsidR="00265F35">
        <w:t>M</w:t>
      </w:r>
      <w:r w:rsidR="00CB7C19">
        <w:t>onth 13 onwards</w:t>
      </w:r>
      <w:r w:rsidR="00474EB0">
        <w:t>.</w:t>
      </w:r>
    </w:p>
    <w:p w14:paraId="2E71F730" w14:textId="2FFE275A" w:rsidR="00E20E33" w:rsidRDefault="00CA1B77" w:rsidP="00C8058C">
      <w:r w:rsidRPr="00CA1B77">
        <w:t>A total of 110 TEAEs were reported between the 3- and 4-year database extracts.</w:t>
      </w:r>
      <w:r w:rsidR="00EF26CA">
        <w:t xml:space="preserve"> The most frequently reported were arthralgia (11</w:t>
      </w:r>
      <w:r w:rsidR="00551BA9">
        <w:t>.1</w:t>
      </w:r>
      <w:r w:rsidR="00EF26CA">
        <w:t>%), back pain (</w:t>
      </w:r>
      <w:r w:rsidR="00551BA9">
        <w:t>5.6%), depression (5.6%) and joint swelling (5.6%).</w:t>
      </w:r>
    </w:p>
    <w:p w14:paraId="29BF677C" w14:textId="2140581D" w:rsidR="004254FC" w:rsidRDefault="004254FC" w:rsidP="00A67A43">
      <w:pPr>
        <w:pStyle w:val="Heading4"/>
      </w:pPr>
      <w:r>
        <w:t>Treatment-related adverse events</w:t>
      </w:r>
    </w:p>
    <w:p w14:paraId="2AB504CB" w14:textId="3EFC8A33" w:rsidR="00B966DA" w:rsidRDefault="00D3403B" w:rsidP="00B966DA">
      <w:r>
        <w:t>At 48</w:t>
      </w:r>
      <w:r w:rsidR="00D61E06">
        <w:t xml:space="preserve"> </w:t>
      </w:r>
      <w:r>
        <w:t>month</w:t>
      </w:r>
      <w:r w:rsidR="00D61E06">
        <w:t>s</w:t>
      </w:r>
      <w:r w:rsidR="00BB64D7">
        <w:t xml:space="preserve">, </w:t>
      </w:r>
      <w:r w:rsidR="002067F0" w:rsidRPr="00BB7E8E">
        <w:t xml:space="preserve">TEAEs </w:t>
      </w:r>
      <w:r w:rsidR="00A957E6">
        <w:t xml:space="preserve">that were </w:t>
      </w:r>
      <w:r w:rsidR="008D27A3">
        <w:t xml:space="preserve">considered </w:t>
      </w:r>
      <w:r w:rsidR="002067F0" w:rsidRPr="00BB7E8E">
        <w:t xml:space="preserve">related to </w:t>
      </w:r>
      <w:r w:rsidR="00377DDC">
        <w:t>ED</w:t>
      </w:r>
      <w:r w:rsidR="00377DDC" w:rsidRPr="00BB7E8E">
        <w:t xml:space="preserve"> </w:t>
      </w:r>
      <w:r w:rsidR="002067F0" w:rsidRPr="00BB7E8E">
        <w:t>were reported in 39/54 subjects (98 events)</w:t>
      </w:r>
      <w:r w:rsidR="00A158C8">
        <w:t>. M</w:t>
      </w:r>
      <w:r w:rsidR="00626419">
        <w:t xml:space="preserve">ost </w:t>
      </w:r>
      <w:r w:rsidR="00911FF6">
        <w:t xml:space="preserve">treatment-related </w:t>
      </w:r>
      <w:r w:rsidR="00683519">
        <w:t xml:space="preserve">TEAEs </w:t>
      </w:r>
      <w:r w:rsidR="00626419">
        <w:t>(</w:t>
      </w:r>
      <w:r w:rsidR="00626419" w:rsidRPr="00626419">
        <w:t>92</w:t>
      </w:r>
      <w:r w:rsidR="00683519">
        <w:t>/98</w:t>
      </w:r>
      <w:r w:rsidR="00626419" w:rsidRPr="00626419">
        <w:t>) occurred within the first 3 months post dose</w:t>
      </w:r>
      <w:r w:rsidR="002067F0" w:rsidRPr="00BB7E8E">
        <w:t xml:space="preserve">. </w:t>
      </w:r>
      <w:r w:rsidR="00B966DA">
        <w:t xml:space="preserve">Between the 3- and 4-year database extracts, 3 TEAEs </w:t>
      </w:r>
      <w:r w:rsidR="00FE28FB">
        <w:t xml:space="preserve">that were considered </w:t>
      </w:r>
      <w:r w:rsidR="00E364B2">
        <w:t xml:space="preserve">potentially </w:t>
      </w:r>
      <w:r w:rsidR="00FE28FB">
        <w:t xml:space="preserve">treatment-related </w:t>
      </w:r>
      <w:r w:rsidR="00B966DA">
        <w:t>were reported in 3 subjects:</w:t>
      </w:r>
    </w:p>
    <w:p w14:paraId="7D85ADE5" w14:textId="1D17E3BA" w:rsidR="00B966DA" w:rsidRPr="00D47627" w:rsidRDefault="00B966DA" w:rsidP="003758CD">
      <w:pPr>
        <w:pStyle w:val="ListParagraph"/>
        <w:numPr>
          <w:ilvl w:val="0"/>
          <w:numId w:val="13"/>
        </w:numPr>
      </w:pPr>
      <w:r w:rsidRPr="00D47627">
        <w:t xml:space="preserve">mild metabolic-dysfunction associated liver disease without signs of steatohepatitis or </w:t>
      </w:r>
      <w:r w:rsidRPr="001B604A">
        <w:t>fibrosis</w:t>
      </w:r>
      <w:r w:rsidR="00502A7E" w:rsidRPr="001B604A">
        <w:t xml:space="preserve"> </w:t>
      </w:r>
      <w:r w:rsidR="00502A7E" w:rsidRPr="00D84B66">
        <w:t>–</w:t>
      </w:r>
      <w:r w:rsidRPr="00D84B66">
        <w:t xml:space="preserve"> </w:t>
      </w:r>
      <w:r w:rsidR="00DD50C6" w:rsidRPr="001B604A">
        <w:rPr>
          <w:b/>
          <w:bCs/>
        </w:rPr>
        <w:t>redacted</w:t>
      </w:r>
    </w:p>
    <w:p w14:paraId="0C6D1558" w14:textId="388809BF" w:rsidR="00B966DA" w:rsidRPr="00D47627" w:rsidRDefault="00973296" w:rsidP="003758CD">
      <w:pPr>
        <w:pStyle w:val="ListParagraph"/>
        <w:numPr>
          <w:ilvl w:val="0"/>
          <w:numId w:val="13"/>
        </w:numPr>
      </w:pPr>
      <w:r w:rsidRPr="00D47627">
        <w:t>i</w:t>
      </w:r>
      <w:r w:rsidR="00B966DA" w:rsidRPr="00D47627">
        <w:t xml:space="preserve">nsomnia </w:t>
      </w:r>
      <w:r w:rsidRPr="00D47627">
        <w:t>–</w:t>
      </w:r>
      <w:r w:rsidR="00B966DA" w:rsidRPr="00D47627">
        <w:t xml:space="preserve"> </w:t>
      </w:r>
      <w:r w:rsidR="00DD50C6" w:rsidRPr="00DD50C6">
        <w:rPr>
          <w:b/>
          <w:bCs/>
        </w:rPr>
        <w:t>redacted</w:t>
      </w:r>
    </w:p>
    <w:p w14:paraId="4C1F199C" w14:textId="506BF905" w:rsidR="00016FA4" w:rsidRPr="00D47627" w:rsidRDefault="00973296" w:rsidP="003758CD">
      <w:pPr>
        <w:pStyle w:val="ListParagraph"/>
        <w:numPr>
          <w:ilvl w:val="0"/>
          <w:numId w:val="13"/>
        </w:numPr>
      </w:pPr>
      <w:r w:rsidRPr="00D47627">
        <w:t>m</w:t>
      </w:r>
      <w:r w:rsidR="00B966DA" w:rsidRPr="00D47627">
        <w:t>yelodysplastic syndrome</w:t>
      </w:r>
      <w:r w:rsidR="004C6CD2" w:rsidRPr="00D47627">
        <w:t xml:space="preserve"> (MDS)</w:t>
      </w:r>
      <w:r w:rsidR="00B966DA" w:rsidRPr="00D47627">
        <w:t xml:space="preserve"> </w:t>
      </w:r>
      <w:r w:rsidRPr="00D47627">
        <w:t>–</w:t>
      </w:r>
      <w:r w:rsidR="00B966DA" w:rsidRPr="00D47627">
        <w:t xml:space="preserve"> </w:t>
      </w:r>
      <w:r w:rsidR="00DD50C6" w:rsidRPr="007950A5">
        <w:rPr>
          <w:b/>
          <w:bCs/>
        </w:rPr>
        <w:t>redacted</w:t>
      </w:r>
      <w:r w:rsidR="000D52E6" w:rsidRPr="00D47627">
        <w:t>.</w:t>
      </w:r>
    </w:p>
    <w:p w14:paraId="4D0468AD" w14:textId="2B65AB54" w:rsidR="004254FC" w:rsidRDefault="000277DE" w:rsidP="00A67A43">
      <w:pPr>
        <w:pStyle w:val="Heading4"/>
      </w:pPr>
      <w:r>
        <w:lastRenderedPageBreak/>
        <w:t>Serious adverse events</w:t>
      </w:r>
    </w:p>
    <w:p w14:paraId="6AE2F0CB" w14:textId="5CCA55E6" w:rsidR="00A07D80" w:rsidRDefault="00A07D80" w:rsidP="0050727E">
      <w:pPr>
        <w:shd w:val="clear" w:color="auto" w:fill="BDD6EE" w:themeFill="accent1" w:themeFillTint="66"/>
      </w:pPr>
      <w:r>
        <w:t xml:space="preserve">During the </w:t>
      </w:r>
      <w:r w:rsidR="000E571E">
        <w:t xml:space="preserve">6-month </w:t>
      </w:r>
      <w:r>
        <w:t xml:space="preserve">lead-in period of HOPE-B, 5 </w:t>
      </w:r>
      <w:r w:rsidR="00865E08" w:rsidRPr="00BB7E8E">
        <w:t>SAEs</w:t>
      </w:r>
      <w:r>
        <w:t xml:space="preserve"> </w:t>
      </w:r>
      <w:r w:rsidR="007335D4">
        <w:t xml:space="preserve">were reported </w:t>
      </w:r>
      <w:r>
        <w:t>in 4 subjects: muscle haemorrhage, gastrointestinal haemorrhage, haemophilic arthropathy, pseudoarthrosis</w:t>
      </w:r>
      <w:r w:rsidR="000E571E">
        <w:t xml:space="preserve"> and </w:t>
      </w:r>
      <w:proofErr w:type="spellStart"/>
      <w:r>
        <w:t>haemarthrosis</w:t>
      </w:r>
      <w:proofErr w:type="spellEnd"/>
      <w:r>
        <w:t>.</w:t>
      </w:r>
    </w:p>
    <w:p w14:paraId="64C1A9DF" w14:textId="29A97317" w:rsidR="0050727E" w:rsidRDefault="0050727E" w:rsidP="0050727E">
      <w:pPr>
        <w:shd w:val="clear" w:color="auto" w:fill="BDD6EE" w:themeFill="accent1" w:themeFillTint="66"/>
      </w:pPr>
      <w:r>
        <w:t xml:space="preserve">At 36 months post-treatment, 22 SAEs had occurred, of which </w:t>
      </w:r>
      <w:r w:rsidR="00D93877">
        <w:t xml:space="preserve">7 </w:t>
      </w:r>
      <w:r>
        <w:t xml:space="preserve">were bleeds or bleed-related, and a further </w:t>
      </w:r>
      <w:r w:rsidR="00D93877">
        <w:t>2</w:t>
      </w:r>
      <w:r>
        <w:t xml:space="preserve"> were arthroses or similar. These were considered consistent with events for a moderate-to-severe HMB patient population. Two SAEs of note were a death described as not treatment</w:t>
      </w:r>
      <w:r w:rsidR="00D93877">
        <w:t>-</w:t>
      </w:r>
      <w:r>
        <w:t xml:space="preserve">related and a case of hepatocellular carcinoma (HCC) in a </w:t>
      </w:r>
      <w:r w:rsidR="005755BD">
        <w:t>subject</w:t>
      </w:r>
      <w:r>
        <w:t xml:space="preserve"> with multiple risk factors (including a history of both hepatitis B and C and fatty liver disease).</w:t>
      </w:r>
    </w:p>
    <w:p w14:paraId="107A6FFE" w14:textId="58A5E7DE" w:rsidR="00C8058C" w:rsidRDefault="00A80FA6" w:rsidP="00C8058C">
      <w:r>
        <w:t>At 48</w:t>
      </w:r>
      <w:r w:rsidR="00D61E06">
        <w:t xml:space="preserve"> months</w:t>
      </w:r>
      <w:r w:rsidR="005579D7">
        <w:t xml:space="preserve"> post-treatment</w:t>
      </w:r>
      <w:r>
        <w:t xml:space="preserve">, </w:t>
      </w:r>
      <w:r w:rsidR="001B79F2">
        <w:t>a</w:t>
      </w:r>
      <w:r w:rsidR="00871211" w:rsidRPr="00BB7E8E">
        <w:t xml:space="preserve"> total of 32 SAEs were reported in 20/54 (37.0%) subjects.</w:t>
      </w:r>
      <w:r w:rsidR="00AA4820">
        <w:t xml:space="preserve"> </w:t>
      </w:r>
      <w:r w:rsidR="001A4BEB">
        <w:t>Ten</w:t>
      </w:r>
      <w:r w:rsidR="00FC5463" w:rsidRPr="00FC5463">
        <w:t xml:space="preserve"> SAEs were reported between the 3- and 4-year database extracts</w:t>
      </w:r>
      <w:r w:rsidR="005402A0">
        <w:t xml:space="preserve">: </w:t>
      </w:r>
      <w:r w:rsidR="00804CC8" w:rsidRPr="00804CC8">
        <w:t>knee prosthesis breakage, lumbosacral radiculopathy, hypertensive urgency, hypertensive emergency, coronary artery disease, atrioventricular block, worsening of depression, right eye blindness, glossopharyngeal schwannoma</w:t>
      </w:r>
      <w:r w:rsidR="00FF3E2E">
        <w:t xml:space="preserve"> and MDS</w:t>
      </w:r>
      <w:r w:rsidR="00804CC8" w:rsidRPr="00804CC8">
        <w:t xml:space="preserve">. All were judged to be not related to </w:t>
      </w:r>
      <w:r w:rsidR="00377DDC">
        <w:t>ED</w:t>
      </w:r>
      <w:r w:rsidR="00377DDC" w:rsidRPr="00804CC8">
        <w:t xml:space="preserve"> </w:t>
      </w:r>
      <w:r w:rsidR="00804CC8" w:rsidRPr="00804CC8">
        <w:t xml:space="preserve">by the study investigator, except for schwannoma (judged to be unlikely related) and MDS (judged to be </w:t>
      </w:r>
      <w:r w:rsidR="005611A8">
        <w:t xml:space="preserve">possibly </w:t>
      </w:r>
      <w:r w:rsidR="00804CC8" w:rsidRPr="00804CC8">
        <w:t xml:space="preserve">related). CSL Behring assessed the MDS case as unrelated to </w:t>
      </w:r>
      <w:r w:rsidR="00377DDC">
        <w:t>ED</w:t>
      </w:r>
      <w:r w:rsidR="00377DDC" w:rsidRPr="00804CC8">
        <w:t xml:space="preserve"> </w:t>
      </w:r>
      <w:r w:rsidR="00804CC8" w:rsidRPr="00804CC8">
        <w:t>because the subject had 2 allelic variants specific to MDS.</w:t>
      </w:r>
    </w:p>
    <w:p w14:paraId="3B9E3562" w14:textId="612A9BA4" w:rsidR="00451095" w:rsidRPr="00C8058C" w:rsidRDefault="00451095" w:rsidP="00451095">
      <w:pPr>
        <w:pStyle w:val="Heading4"/>
      </w:pPr>
      <w:r>
        <w:t>Neoplasms</w:t>
      </w:r>
    </w:p>
    <w:p w14:paraId="7562DE97" w14:textId="43E7FDA6" w:rsidR="00023469" w:rsidRDefault="001D3302" w:rsidP="00023469">
      <w:r w:rsidRPr="001D3302">
        <w:t xml:space="preserve">At 4 years, 16 neoplasms (including benign and malignant) were reported in 9 </w:t>
      </w:r>
      <w:r w:rsidR="00377DDC">
        <w:t>ED</w:t>
      </w:r>
      <w:r w:rsidR="00377DDC" w:rsidRPr="001D3302">
        <w:t xml:space="preserve"> </w:t>
      </w:r>
      <w:r w:rsidRPr="001D3302">
        <w:t>recipients</w:t>
      </w:r>
      <w:r>
        <w:t xml:space="preserve">. </w:t>
      </w:r>
      <w:r w:rsidR="00023469">
        <w:t xml:space="preserve">The 3 new neoplasms that emerged between the 36-month and 48-month datasets were </w:t>
      </w:r>
      <w:r w:rsidR="00EA7DB3">
        <w:t xml:space="preserve">skin papilloma (benign) and the cases of </w:t>
      </w:r>
      <w:r w:rsidR="00975C6E">
        <w:t>MDS</w:t>
      </w:r>
      <w:r w:rsidR="00EA7DB3">
        <w:t xml:space="preserve"> and</w:t>
      </w:r>
      <w:r w:rsidR="00023469">
        <w:t xml:space="preserve"> glossopharyngeal schwannoma</w:t>
      </w:r>
      <w:r w:rsidR="006F0285">
        <w:t xml:space="preserve"> (benign)</w:t>
      </w:r>
      <w:r w:rsidR="00EA7DB3">
        <w:t xml:space="preserve"> mentioned above</w:t>
      </w:r>
      <w:r w:rsidR="00023469">
        <w:t>.</w:t>
      </w:r>
    </w:p>
    <w:p w14:paraId="52DAA1D9" w14:textId="0E79935A" w:rsidR="00A45A73" w:rsidRDefault="00023469" w:rsidP="00023469">
      <w:r>
        <w:t xml:space="preserve">Of the 16 cumulative neoplasm events, 7 were malignant, observed in 6 </w:t>
      </w:r>
      <w:r w:rsidR="00BC6055">
        <w:t>subjects</w:t>
      </w:r>
      <w:r>
        <w:t xml:space="preserve">. Five of these neoplasms (in 4 </w:t>
      </w:r>
      <w:r w:rsidR="00BC6055">
        <w:t>subjects</w:t>
      </w:r>
      <w:r>
        <w:t xml:space="preserve">) were considered </w:t>
      </w:r>
      <w:r w:rsidR="00C923AD" w:rsidRPr="00C923AD">
        <w:t xml:space="preserve">AEs qualifying for special notification </w:t>
      </w:r>
      <w:r w:rsidR="00DE6119">
        <w:t>(</w:t>
      </w:r>
      <w:r>
        <w:t>AESIs</w:t>
      </w:r>
      <w:r w:rsidR="00DE6119">
        <w:t>)</w:t>
      </w:r>
      <w:r w:rsidR="00C462BF">
        <w:t>:</w:t>
      </w:r>
      <w:r>
        <w:t xml:space="preserve"> </w:t>
      </w:r>
      <w:r w:rsidR="00C462BF">
        <w:t>HCC</w:t>
      </w:r>
      <w:r>
        <w:t xml:space="preserve">, </w:t>
      </w:r>
      <w:r w:rsidR="00FD010D">
        <w:t>MDS</w:t>
      </w:r>
      <w:r>
        <w:t xml:space="preserve">, </w:t>
      </w:r>
      <w:r w:rsidR="00932DD3">
        <w:t xml:space="preserve">glossopharyngeal </w:t>
      </w:r>
      <w:r>
        <w:t xml:space="preserve">schwannoma, and 2 </w:t>
      </w:r>
      <w:r w:rsidR="00932DD3">
        <w:t>basal cell carcinomas.</w:t>
      </w:r>
      <w:r>
        <w:t xml:space="preserve"> </w:t>
      </w:r>
    </w:p>
    <w:p w14:paraId="6E5150A9" w14:textId="28A0C62E" w:rsidR="002F56FE" w:rsidRDefault="002F56FE" w:rsidP="00023469">
      <w:r w:rsidRPr="002F56FE">
        <w:t xml:space="preserve">The patient population evaluated in HOPE-B had a high rate of prior or ongoing hepatitis C (57.4%) and hepatitis B infection (16.7%), and HIV positivity (5.6%), which are known pre-existing risk factors for cancer. This may have contributed to the neoplasm events in HOPE-B; </w:t>
      </w:r>
      <w:r w:rsidR="00192C6E">
        <w:t>nonetheless,</w:t>
      </w:r>
      <w:r w:rsidRPr="002F56FE">
        <w:t xml:space="preserve"> 16 neoplasms over 4 years in a study population of 54 subjects is notable.</w:t>
      </w:r>
      <w:r w:rsidR="00AE0B2D">
        <w:rPr>
          <w:rStyle w:val="FootnoteReference"/>
        </w:rPr>
        <w:footnoteReference w:id="7"/>
      </w:r>
    </w:p>
    <w:p w14:paraId="641B751E" w14:textId="7D0C2B52" w:rsidR="0008073E" w:rsidRDefault="00212026" w:rsidP="006E52E0">
      <w:pPr>
        <w:pStyle w:val="Heading4"/>
      </w:pPr>
      <w:r>
        <w:t>Immune response</w:t>
      </w:r>
    </w:p>
    <w:p w14:paraId="0435E94E" w14:textId="4F17C7D1" w:rsidR="0081765A" w:rsidRPr="00E40A38" w:rsidRDefault="0081765A" w:rsidP="00276C1F">
      <w:pPr>
        <w:shd w:val="clear" w:color="auto" w:fill="BDD6EE" w:themeFill="accent1" w:themeFillTint="66"/>
      </w:pPr>
      <w:r w:rsidRPr="00E40A38">
        <w:t xml:space="preserve">Laboratory values were consistent with an initial post-infusion immune or inflammatory response, with an increase in some inflammatory markers, some evidence of adaptive (cell-based) immune mechanisms and a sustained humoral (antibody-based) response. Where reported as AEs, these events were typically managed with oral corticosteroid use. </w:t>
      </w:r>
    </w:p>
    <w:p w14:paraId="6B08C56B" w14:textId="1844FC0C" w:rsidR="00276C1F" w:rsidRDefault="001405DA" w:rsidP="00276C1F">
      <w:pPr>
        <w:shd w:val="clear" w:color="auto" w:fill="BDD6EE" w:themeFill="accent1" w:themeFillTint="66"/>
      </w:pPr>
      <w:r>
        <w:t>From the first p</w:t>
      </w:r>
      <w:r w:rsidRPr="00E40A38">
        <w:t>ost</w:t>
      </w:r>
      <w:r w:rsidR="008A4F39">
        <w:t>-</w:t>
      </w:r>
      <w:r w:rsidR="00276C1F" w:rsidRPr="00E40A38">
        <w:t>treatment</w:t>
      </w:r>
      <w:r>
        <w:t xml:space="preserve"> visit (for most, this was at Week 3)</w:t>
      </w:r>
      <w:r w:rsidR="00276C1F" w:rsidRPr="00E40A38">
        <w:t>, and throughout the remaining study period</w:t>
      </w:r>
      <w:r w:rsidR="008A1E4C">
        <w:t xml:space="preserve"> </w:t>
      </w:r>
      <w:r w:rsidR="008A1E4C" w:rsidRPr="00066C0E">
        <w:rPr>
          <w:shd w:val="clear" w:color="auto" w:fill="FFFFFF" w:themeFill="background1"/>
        </w:rPr>
        <w:t>(including through to the</w:t>
      </w:r>
      <w:r w:rsidR="008A1E4C">
        <w:rPr>
          <w:shd w:val="clear" w:color="auto" w:fill="FFFFFF" w:themeFill="background1"/>
        </w:rPr>
        <w:t xml:space="preserve"> 48</w:t>
      </w:r>
      <w:r w:rsidR="00CB45AF">
        <w:rPr>
          <w:shd w:val="clear" w:color="auto" w:fill="FFFFFF" w:themeFill="background1"/>
        </w:rPr>
        <w:t>-</w:t>
      </w:r>
      <w:r w:rsidR="008A1E4C">
        <w:rPr>
          <w:shd w:val="clear" w:color="auto" w:fill="FFFFFF" w:themeFill="background1"/>
        </w:rPr>
        <w:t>month data point)</w:t>
      </w:r>
      <w:r w:rsidR="00276C1F" w:rsidRPr="00E40A38">
        <w:t xml:space="preserve">, all </w:t>
      </w:r>
      <w:r w:rsidR="000B0618">
        <w:t>subjects</w:t>
      </w:r>
      <w:r w:rsidR="000B0618" w:rsidRPr="00E40A38">
        <w:t xml:space="preserve"> </w:t>
      </w:r>
      <w:r w:rsidR="00276C1F" w:rsidRPr="00E40A38">
        <w:t xml:space="preserve">experienced anti-AAV5 </w:t>
      </w:r>
      <w:proofErr w:type="spellStart"/>
      <w:r w:rsidR="00276C1F" w:rsidRPr="00E40A38">
        <w:t>NAb</w:t>
      </w:r>
      <w:proofErr w:type="spellEnd"/>
      <w:r w:rsidR="00276C1F" w:rsidRPr="00E40A38">
        <w:t xml:space="preserve"> titres at the upper limits of detection</w:t>
      </w:r>
      <w:r w:rsidR="00722F32">
        <w:t xml:space="preserve"> (&gt;8</w:t>
      </w:r>
      <w:r w:rsidR="004F4A73">
        <w:t>,</w:t>
      </w:r>
      <w:r w:rsidR="0086391F">
        <w:t>748)</w:t>
      </w:r>
      <w:r w:rsidR="00276C1F" w:rsidRPr="00E40A38">
        <w:t>. There was no relationship between these levels and treatment efficacy, however the commentary noted the very high post-treatment ti</w:t>
      </w:r>
      <w:r w:rsidR="000B7E61">
        <w:t>t</w:t>
      </w:r>
      <w:r w:rsidR="00276C1F" w:rsidRPr="00E40A38">
        <w:t xml:space="preserve">res </w:t>
      </w:r>
      <w:r w:rsidR="00276C1F" w:rsidRPr="00E40A38">
        <w:lastRenderedPageBreak/>
        <w:t>would interfere with other AAV-based gene therapies and thus preclude access to potential future HMB treatments.</w:t>
      </w:r>
    </w:p>
    <w:p w14:paraId="707B9E2D" w14:textId="67498CDF" w:rsidR="00276C1F" w:rsidRDefault="00D12C57" w:rsidP="00276C1F">
      <w:r w:rsidRPr="00D12C57">
        <w:t xml:space="preserve">No new events of </w:t>
      </w:r>
      <w:r w:rsidR="00A47EBB">
        <w:t>ALT</w:t>
      </w:r>
      <w:r w:rsidRPr="00D12C57">
        <w:t xml:space="preserve"> increased, </w:t>
      </w:r>
      <w:r w:rsidR="00A47EBB">
        <w:t>AST</w:t>
      </w:r>
      <w:r w:rsidRPr="00D12C57">
        <w:t xml:space="preserve"> increased, or </w:t>
      </w:r>
      <w:r w:rsidR="003A7A2D">
        <w:t>t</w:t>
      </w:r>
      <w:r w:rsidRPr="00D12C57">
        <w:t>ransaminase increased were reported between the 36- and 48-month analyses.</w:t>
      </w:r>
      <w:r w:rsidR="008A4869" w:rsidRPr="008A4869">
        <w:t xml:space="preserve"> No subjects have developed </w:t>
      </w:r>
      <w:r w:rsidR="008A4869">
        <w:t>post-infusion FIX</w:t>
      </w:r>
      <w:r w:rsidR="00E8152E">
        <w:t xml:space="preserve"> </w:t>
      </w:r>
      <w:r w:rsidR="008A4869" w:rsidRPr="008A4869">
        <w:t>inhibitors</w:t>
      </w:r>
      <w:r w:rsidR="00291B4B">
        <w:t>.</w:t>
      </w:r>
    </w:p>
    <w:p w14:paraId="52D4B027" w14:textId="277FFDBB" w:rsidR="00291B4B" w:rsidRDefault="00AA3421" w:rsidP="00AA3421">
      <w:pPr>
        <w:pStyle w:val="Heading4"/>
      </w:pPr>
      <w:r>
        <w:t>Lack of efficacy</w:t>
      </w:r>
    </w:p>
    <w:p w14:paraId="555F2A6A" w14:textId="5BE023CF" w:rsidR="00441B04" w:rsidRDefault="00441B04" w:rsidP="00CC2ED3">
      <w:pPr>
        <w:shd w:val="clear" w:color="auto" w:fill="BDD6EE" w:themeFill="accent1" w:themeFillTint="66"/>
      </w:pPr>
      <w:r w:rsidRPr="00073C90">
        <w:rPr>
          <w:shd w:val="clear" w:color="auto" w:fill="BDD6EE" w:themeFill="accent1" w:themeFillTint="66"/>
        </w:rPr>
        <w:t>Criteria for how lack of efficacy was determined were not described in the ADAR.</w:t>
      </w:r>
    </w:p>
    <w:p w14:paraId="745BCAB5" w14:textId="56887290" w:rsidR="00EB45F5" w:rsidRDefault="00EB45F5" w:rsidP="00EB45F5">
      <w:r>
        <w:t xml:space="preserve">Three </w:t>
      </w:r>
      <w:r w:rsidR="009C471A">
        <w:t xml:space="preserve">subjects </w:t>
      </w:r>
      <w:r>
        <w:t xml:space="preserve">experienced confirmed lack of efficacy, or </w:t>
      </w:r>
      <w:r w:rsidR="000D6F14">
        <w:t>loss of response</w:t>
      </w:r>
      <w:r>
        <w:t>, in the HOPE-B post-treatment period to 48 months:</w:t>
      </w:r>
    </w:p>
    <w:p w14:paraId="007C66B0" w14:textId="54CB9EC7" w:rsidR="00EB45F5" w:rsidRDefault="00E13A3D" w:rsidP="003758CD">
      <w:pPr>
        <w:pStyle w:val="ListParagraph"/>
        <w:numPr>
          <w:ilvl w:val="0"/>
          <w:numId w:val="13"/>
        </w:numPr>
        <w:shd w:val="clear" w:color="auto" w:fill="BDD6EE" w:themeFill="accent1" w:themeFillTint="66"/>
      </w:pPr>
      <w:r w:rsidRPr="00526191">
        <w:rPr>
          <w:b/>
          <w:bCs/>
        </w:rPr>
        <w:t>redacted</w:t>
      </w:r>
      <w:r w:rsidR="00CD6123" w:rsidRPr="00526191">
        <w:rPr>
          <w:b/>
          <w:bCs/>
        </w:rPr>
        <w:t xml:space="preserve"> </w:t>
      </w:r>
      <w:r w:rsidR="00531A69">
        <w:t xml:space="preserve">experienced lack of efficacy after </w:t>
      </w:r>
      <w:r w:rsidR="00EB45F5">
        <w:t>recei</w:t>
      </w:r>
      <w:r w:rsidR="00531A69">
        <w:t>pt</w:t>
      </w:r>
      <w:r w:rsidR="00EB45F5">
        <w:t xml:space="preserve"> </w:t>
      </w:r>
      <w:r w:rsidR="00531A69">
        <w:t xml:space="preserve">of </w:t>
      </w:r>
      <w:r w:rsidR="009B745B">
        <w:t>a partial (</w:t>
      </w:r>
      <w:r w:rsidR="00EB45F5">
        <w:t>10%</w:t>
      </w:r>
      <w:r w:rsidR="00625502">
        <w:t>)</w:t>
      </w:r>
      <w:r w:rsidR="00EB45F5">
        <w:t xml:space="preserve"> </w:t>
      </w:r>
      <w:r w:rsidR="00625502">
        <w:t xml:space="preserve">dose </w:t>
      </w:r>
      <w:r w:rsidR="00EB45F5">
        <w:t xml:space="preserve">of </w:t>
      </w:r>
      <w:r w:rsidR="00377DDC">
        <w:t xml:space="preserve">ED </w:t>
      </w:r>
      <w:r w:rsidR="00EB45F5">
        <w:t>following a hypersensitivity reaction</w:t>
      </w:r>
      <w:r w:rsidR="005532D9">
        <w:t xml:space="preserve"> and withdrew from the study at 24 </w:t>
      </w:r>
      <w:r w:rsidR="00A83422">
        <w:t>months</w:t>
      </w:r>
    </w:p>
    <w:p w14:paraId="3F7C14D3" w14:textId="1C4B69BD" w:rsidR="00EB45F5" w:rsidRDefault="00E13A3D" w:rsidP="003758CD">
      <w:pPr>
        <w:pStyle w:val="ListParagraph"/>
        <w:numPr>
          <w:ilvl w:val="0"/>
          <w:numId w:val="13"/>
        </w:numPr>
        <w:shd w:val="clear" w:color="auto" w:fill="BDD6EE" w:themeFill="accent1" w:themeFillTint="66"/>
      </w:pPr>
      <w:r w:rsidRPr="00526191">
        <w:rPr>
          <w:b/>
          <w:bCs/>
        </w:rPr>
        <w:t>redacted</w:t>
      </w:r>
      <w:r w:rsidR="00EB45F5">
        <w:t xml:space="preserve"> had a very high pre-treatment AAV5 </w:t>
      </w:r>
      <w:proofErr w:type="spellStart"/>
      <w:r w:rsidR="00EB45F5">
        <w:t>NAb</w:t>
      </w:r>
      <w:proofErr w:type="spellEnd"/>
      <w:r w:rsidR="00EB45F5">
        <w:t xml:space="preserve"> titre (3</w:t>
      </w:r>
      <w:r w:rsidR="00D378AC">
        <w:t>,</w:t>
      </w:r>
      <w:r w:rsidR="00EB45F5">
        <w:t xml:space="preserve">212.3) and </w:t>
      </w:r>
      <w:r w:rsidR="00E11F3D">
        <w:t xml:space="preserve">reported </w:t>
      </w:r>
      <w:r w:rsidR="00923CE7">
        <w:t xml:space="preserve">lack of efficacy on post-treatment Day 14; this </w:t>
      </w:r>
      <w:r w:rsidR="003421A2">
        <w:t xml:space="preserve">subject </w:t>
      </w:r>
      <w:r w:rsidR="00EB45F5">
        <w:t xml:space="preserve">would not be eligible for treatment under the proposed funding indication where anti-AAV5 </w:t>
      </w:r>
      <w:proofErr w:type="spellStart"/>
      <w:r w:rsidR="000A4A71">
        <w:t>NAb</w:t>
      </w:r>
      <w:proofErr w:type="spellEnd"/>
      <w:r w:rsidR="000A4A71">
        <w:t xml:space="preserve"> </w:t>
      </w:r>
      <w:r w:rsidR="00EB45F5">
        <w:t>titre is used as a criterion for access</w:t>
      </w:r>
    </w:p>
    <w:p w14:paraId="1637C6E9" w14:textId="49CB9892" w:rsidR="00EB45F5" w:rsidRDefault="00E13A3D" w:rsidP="003758CD">
      <w:pPr>
        <w:pStyle w:val="ListParagraph"/>
        <w:numPr>
          <w:ilvl w:val="0"/>
          <w:numId w:val="13"/>
        </w:numPr>
        <w:shd w:val="clear" w:color="auto" w:fill="BDD6EE" w:themeFill="accent1" w:themeFillTint="66"/>
      </w:pPr>
      <w:r w:rsidRPr="00526191">
        <w:rPr>
          <w:b/>
          <w:bCs/>
        </w:rPr>
        <w:t>redacted</w:t>
      </w:r>
      <w:r w:rsidR="00EB45F5">
        <w:t xml:space="preserve"> </w:t>
      </w:r>
      <w:r w:rsidR="00933B0D">
        <w:t xml:space="preserve">demonstrated initial FIX expression after </w:t>
      </w:r>
      <w:r w:rsidR="00377DDC">
        <w:t xml:space="preserve">ED </w:t>
      </w:r>
      <w:r w:rsidR="002A0F79">
        <w:t xml:space="preserve">but </w:t>
      </w:r>
      <w:r w:rsidR="00EB45F5">
        <w:t xml:space="preserve">experienced </w:t>
      </w:r>
      <w:r w:rsidR="002A0F79">
        <w:t xml:space="preserve">a </w:t>
      </w:r>
      <w:r w:rsidR="00EB45F5">
        <w:t xml:space="preserve">loss of </w:t>
      </w:r>
      <w:r w:rsidR="002A0F79">
        <w:t>FIX expression</w:t>
      </w:r>
      <w:r w:rsidR="00EB45F5">
        <w:t xml:space="preserve"> </w:t>
      </w:r>
      <w:r w:rsidR="003A2F5F">
        <w:t xml:space="preserve">and increased bleeding at </w:t>
      </w:r>
      <w:r w:rsidR="00EB45F5">
        <w:t xml:space="preserve">approximately 29 months post infusion </w:t>
      </w:r>
      <w:r w:rsidR="00E53C35">
        <w:t xml:space="preserve">and recommenced </w:t>
      </w:r>
      <w:r w:rsidR="008B5FD9">
        <w:t xml:space="preserve">continuous </w:t>
      </w:r>
      <w:r w:rsidR="005111C8">
        <w:t xml:space="preserve">FIX prophylaxis </w:t>
      </w:r>
      <w:r w:rsidR="00CF1778">
        <w:t xml:space="preserve">at 30 months </w:t>
      </w:r>
      <w:r w:rsidR="00EB45F5">
        <w:t xml:space="preserve">(pre-treatment anti-AAV5 </w:t>
      </w:r>
      <w:proofErr w:type="spellStart"/>
      <w:r w:rsidR="00085A55">
        <w:t>NAb</w:t>
      </w:r>
      <w:proofErr w:type="spellEnd"/>
      <w:r w:rsidR="00085A55">
        <w:t xml:space="preserve"> </w:t>
      </w:r>
      <w:r w:rsidR="00EB45F5">
        <w:t>titre was 98.5).</w:t>
      </w:r>
    </w:p>
    <w:p w14:paraId="4B9585EF" w14:textId="66651439" w:rsidR="00AA3421" w:rsidRPr="00AA3421" w:rsidRDefault="00EB45F5" w:rsidP="00EB45F5">
      <w:r>
        <w:t xml:space="preserve">No new </w:t>
      </w:r>
      <w:r w:rsidR="000D6F14">
        <w:t>cases of lack of efficacy</w:t>
      </w:r>
      <w:r>
        <w:t>/loss of response were reported in the period between the 3- and 4-year datasets.</w:t>
      </w:r>
    </w:p>
    <w:p w14:paraId="7B67378B" w14:textId="37F787B6" w:rsidR="00C70251" w:rsidRDefault="00C70251" w:rsidP="00C70251">
      <w:pPr>
        <w:pStyle w:val="Heading4"/>
      </w:pPr>
      <w:r>
        <w:t xml:space="preserve">AAV vector </w:t>
      </w:r>
      <w:r w:rsidR="00B51BC9">
        <w:t>(</w:t>
      </w:r>
      <w:r w:rsidR="00E80599">
        <w:t>deoxyribon</w:t>
      </w:r>
      <w:r w:rsidR="00B51BC9">
        <w:t xml:space="preserve">ucleic acid) </w:t>
      </w:r>
      <w:r>
        <w:t>DNA shedding</w:t>
      </w:r>
    </w:p>
    <w:p w14:paraId="7157831B" w14:textId="1CA0A42A" w:rsidR="00212026" w:rsidRDefault="00C70251" w:rsidP="00212026">
      <w:r w:rsidRPr="00C70251">
        <w:t xml:space="preserve">Although not an outcome specified in the PICO, AAV vector shedding was measured in semen and blood in the HOPE-B </w:t>
      </w:r>
      <w:r w:rsidR="00B51BC9">
        <w:t>study</w:t>
      </w:r>
      <w:r w:rsidRPr="00C70251">
        <w:t xml:space="preserve">. According to the 4-year database extract, the number of subjects who attained vector negative shedding in semen and blood was 45 (83.3%) and 47 (87.0%), respectively. The median time to attaining a vector shedding negative status was 43.7 weeks (95% </w:t>
      </w:r>
      <w:r w:rsidR="001F3B79">
        <w:t>confidence interval (</w:t>
      </w:r>
      <w:r w:rsidRPr="00C70251">
        <w:t>CI</w:t>
      </w:r>
      <w:r w:rsidR="001F3B79">
        <w:t>)</w:t>
      </w:r>
      <w:r w:rsidRPr="00C70251">
        <w:t xml:space="preserve"> 34.1, 51.9) in semen and 52.6 weeks (95% CI 48.1, 77.9) in blood.</w:t>
      </w:r>
    </w:p>
    <w:p w14:paraId="08A05EC7" w14:textId="2DC0FDBB" w:rsidR="00C70251" w:rsidRDefault="00845EC4" w:rsidP="00845EC4">
      <w:pPr>
        <w:pStyle w:val="Heading4"/>
      </w:pPr>
      <w:r>
        <w:t>Conclusion regarding safety</w:t>
      </w:r>
      <w:r w:rsidR="00077E35">
        <w:t xml:space="preserve"> of </w:t>
      </w:r>
      <w:r w:rsidR="00377DDC">
        <w:t>ED</w:t>
      </w:r>
    </w:p>
    <w:p w14:paraId="523CAA96" w14:textId="477582B5" w:rsidR="008C55A1" w:rsidRDefault="00A67F6D" w:rsidP="0050398D">
      <w:pPr>
        <w:shd w:val="clear" w:color="auto" w:fill="BDD6EE" w:themeFill="accent1" w:themeFillTint="66"/>
      </w:pPr>
      <w:r>
        <w:t>Gi</w:t>
      </w:r>
      <w:r w:rsidR="008C55A1" w:rsidRPr="00E40A38">
        <w:t xml:space="preserve">ven the HOPE-B study design, </w:t>
      </w:r>
      <w:r w:rsidR="00B03793">
        <w:t>r</w:t>
      </w:r>
      <w:r w:rsidR="008C55A1" w:rsidRPr="00E40A38">
        <w:t xml:space="preserve">are and common AEs will not be detectable in the clinical data. The </w:t>
      </w:r>
      <w:r>
        <w:t xml:space="preserve">study </w:t>
      </w:r>
      <w:r w:rsidR="008C55A1" w:rsidRPr="00E40A38">
        <w:t xml:space="preserve">design was not comparative nor was the sample size large enough to detect events in either the lead-in or post-treatment phases unless they were very common (that is, with a cumulative </w:t>
      </w:r>
      <w:r w:rsidR="0050398D">
        <w:t>1</w:t>
      </w:r>
      <w:r w:rsidR="008C55A1" w:rsidRPr="00E40A38">
        <w:t>-year incidence of at least 10%). While the investigators have assessed the HOPE-B AEs for treatment-relatedness, the commentary noted that the study design did not permit a true assessment of causality.</w:t>
      </w:r>
    </w:p>
    <w:p w14:paraId="78B7D8BD" w14:textId="48BC770E" w:rsidR="00770317" w:rsidRDefault="00475FFF" w:rsidP="00D6339F">
      <w:r>
        <w:t>Th</w:t>
      </w:r>
      <w:r w:rsidR="00AE1515" w:rsidRPr="00EA25E2">
        <w:t xml:space="preserve">e use of </w:t>
      </w:r>
      <w:r w:rsidR="00AC5688">
        <w:t>ED</w:t>
      </w:r>
      <w:r w:rsidR="00AE1515" w:rsidRPr="00EA25E2">
        <w:t xml:space="preserve"> </w:t>
      </w:r>
      <w:r w:rsidR="00E57AE9">
        <w:t xml:space="preserve">was </w:t>
      </w:r>
      <w:r w:rsidR="009060D2">
        <w:t xml:space="preserve">considered by the commentary to be </w:t>
      </w:r>
      <w:r w:rsidR="00212384" w:rsidRPr="00EA25E2">
        <w:t xml:space="preserve">inferior </w:t>
      </w:r>
      <w:r w:rsidR="00212384">
        <w:t>to standard of care for the outcomes of</w:t>
      </w:r>
      <w:r w:rsidR="00212384" w:rsidRPr="00EA25E2">
        <w:t xml:space="preserve"> </w:t>
      </w:r>
      <w:r w:rsidR="00212384">
        <w:t xml:space="preserve">acute </w:t>
      </w:r>
      <w:r w:rsidR="00212384" w:rsidRPr="00EA25E2">
        <w:t xml:space="preserve">peri-infusion </w:t>
      </w:r>
      <w:r w:rsidR="00A0742F">
        <w:t>AEs</w:t>
      </w:r>
      <w:r w:rsidR="00212384" w:rsidRPr="00EA25E2">
        <w:t xml:space="preserve"> and laboratory indicators of safety</w:t>
      </w:r>
      <w:r w:rsidR="00212384">
        <w:t xml:space="preserve"> (</w:t>
      </w:r>
      <w:r w:rsidR="007778D4">
        <w:t xml:space="preserve">specifically </w:t>
      </w:r>
      <w:r w:rsidR="00212384">
        <w:t>elevated liver enzymes)</w:t>
      </w:r>
      <w:r w:rsidR="00557EB3">
        <w:t xml:space="preserve">, which were </w:t>
      </w:r>
      <w:r w:rsidR="0035640F">
        <w:t>common TEA</w:t>
      </w:r>
      <w:r w:rsidR="00881BE5">
        <w:t>Es</w:t>
      </w:r>
      <w:r w:rsidR="00FA069F">
        <w:t xml:space="preserve"> </w:t>
      </w:r>
      <w:r w:rsidR="00DC2138">
        <w:t xml:space="preserve">in the </w:t>
      </w:r>
      <w:r w:rsidR="0064483F">
        <w:t xml:space="preserve">6 months following </w:t>
      </w:r>
      <w:r w:rsidR="00AC5688">
        <w:t xml:space="preserve">ED </w:t>
      </w:r>
      <w:r w:rsidR="0064483F">
        <w:t>administration</w:t>
      </w:r>
      <w:r w:rsidR="00212384" w:rsidRPr="00EA25E2">
        <w:t>.</w:t>
      </w:r>
      <w:r w:rsidR="00212384">
        <w:t xml:space="preserve"> </w:t>
      </w:r>
      <w:r w:rsidR="009A3635">
        <w:t>At 48 months, t</w:t>
      </w:r>
      <w:r w:rsidR="008C51CA">
        <w:t xml:space="preserve">he use of </w:t>
      </w:r>
      <w:r w:rsidR="00AC5688">
        <w:t xml:space="preserve">ED </w:t>
      </w:r>
      <w:r w:rsidR="008C51CA">
        <w:t xml:space="preserve">was </w:t>
      </w:r>
      <w:r w:rsidR="00B4024D">
        <w:t xml:space="preserve">considered </w:t>
      </w:r>
      <w:r w:rsidR="00824B25">
        <w:t>at least</w:t>
      </w:r>
      <w:r w:rsidR="00E57AE9">
        <w:t xml:space="preserve"> non-inferior </w:t>
      </w:r>
      <w:r w:rsidR="00770317">
        <w:t xml:space="preserve">to standard of care </w:t>
      </w:r>
      <w:r w:rsidR="00636E6C">
        <w:t xml:space="preserve">in terms of </w:t>
      </w:r>
      <w:r w:rsidR="00E57AE9">
        <w:t>AEs</w:t>
      </w:r>
      <w:r w:rsidR="00626554">
        <w:t>.</w:t>
      </w:r>
      <w:r w:rsidR="00F2710E">
        <w:t xml:space="preserve"> </w:t>
      </w:r>
      <w:r w:rsidR="001520A0" w:rsidRPr="001520A0">
        <w:t xml:space="preserve">More TEAE’s occurred within the first 6 months post </w:t>
      </w:r>
      <w:r w:rsidR="00AC5688">
        <w:t xml:space="preserve">ED </w:t>
      </w:r>
      <w:r w:rsidR="00A447C8">
        <w:t>administration</w:t>
      </w:r>
      <w:r w:rsidR="001520A0" w:rsidRPr="001520A0">
        <w:t xml:space="preserve"> than during any other 6-month period, with all 6-month periods (after Month 12) demonstrating a lower frequency of AE’s compared to the lead-in period</w:t>
      </w:r>
      <w:r w:rsidR="00A447C8">
        <w:t xml:space="preserve">. </w:t>
      </w:r>
    </w:p>
    <w:p w14:paraId="3B5772F1" w14:textId="307E4D59" w:rsidR="00D6339F" w:rsidRDefault="00770317" w:rsidP="00D6339F">
      <w:r>
        <w:lastRenderedPageBreak/>
        <w:t>T</w:t>
      </w:r>
      <w:r w:rsidRPr="00E40A38">
        <w:t xml:space="preserve">he safety profile of </w:t>
      </w:r>
      <w:r w:rsidR="00AC5688">
        <w:t>ED</w:t>
      </w:r>
      <w:r>
        <w:t xml:space="preserve"> </w:t>
      </w:r>
      <w:r w:rsidRPr="00E40A38">
        <w:t xml:space="preserve">beyond </w:t>
      </w:r>
      <w:r w:rsidR="00130470">
        <w:t>4</w:t>
      </w:r>
      <w:r w:rsidR="00130470" w:rsidRPr="00E40A38">
        <w:t xml:space="preserve"> </w:t>
      </w:r>
      <w:r w:rsidRPr="00E40A38">
        <w:t xml:space="preserve">years is uncertain </w:t>
      </w:r>
      <w:r w:rsidR="005E6CD6">
        <w:t>due to</w:t>
      </w:r>
      <w:r w:rsidRPr="00E40A38">
        <w:t xml:space="preserve"> the small number of </w:t>
      </w:r>
      <w:r w:rsidR="005F4BD2">
        <w:t>subjects</w:t>
      </w:r>
      <w:r w:rsidR="005F4BD2" w:rsidRPr="00E40A38">
        <w:t xml:space="preserve"> </w:t>
      </w:r>
      <w:r w:rsidRPr="00E40A38">
        <w:t>with longer follow</w:t>
      </w:r>
      <w:r w:rsidR="00960E79">
        <w:t xml:space="preserve"> </w:t>
      </w:r>
      <w:r w:rsidRPr="00E40A38">
        <w:t xml:space="preserve">up in the </w:t>
      </w:r>
      <w:r>
        <w:t xml:space="preserve">supportive </w:t>
      </w:r>
      <w:r w:rsidRPr="00E40A38">
        <w:t>studies</w:t>
      </w:r>
      <w:r w:rsidR="00291409">
        <w:t xml:space="preserve"> (</w:t>
      </w:r>
      <w:r w:rsidR="00584000">
        <w:t xml:space="preserve">3 </w:t>
      </w:r>
      <w:r w:rsidR="005F4BD2">
        <w:t>subjects</w:t>
      </w:r>
      <w:r w:rsidR="00584000">
        <w:t xml:space="preserve"> </w:t>
      </w:r>
      <w:r w:rsidR="004B17A3">
        <w:t xml:space="preserve">in </w:t>
      </w:r>
      <w:r w:rsidR="00291409" w:rsidRPr="00291409">
        <w:t xml:space="preserve">AMT-061-01 </w:t>
      </w:r>
      <w:r w:rsidR="004B17A3">
        <w:t xml:space="preserve">followed up to 5 years </w:t>
      </w:r>
      <w:r w:rsidR="00291409" w:rsidRPr="00291409">
        <w:t xml:space="preserve">and </w:t>
      </w:r>
      <w:r w:rsidR="004B17A3">
        <w:t xml:space="preserve">10 </w:t>
      </w:r>
      <w:r w:rsidR="005F4BD2">
        <w:t>subjects</w:t>
      </w:r>
      <w:r w:rsidR="004B17A3">
        <w:t xml:space="preserve"> in </w:t>
      </w:r>
      <w:r w:rsidR="00291409" w:rsidRPr="00291409">
        <w:t>AMT-060-01</w:t>
      </w:r>
      <w:r w:rsidR="00584000">
        <w:t xml:space="preserve"> </w:t>
      </w:r>
      <w:r w:rsidR="004B17A3">
        <w:t>followed up to 7 years</w:t>
      </w:r>
      <w:r w:rsidR="005D2B8D">
        <w:t>). N</w:t>
      </w:r>
      <w:r w:rsidR="00DB08F0">
        <w:t xml:space="preserve">o </w:t>
      </w:r>
      <w:r w:rsidR="005D2B8D">
        <w:t xml:space="preserve">longer-term follow-up </w:t>
      </w:r>
      <w:r w:rsidR="006B3D41">
        <w:t xml:space="preserve">data </w:t>
      </w:r>
      <w:r w:rsidR="00DB08F0">
        <w:t>from the</w:t>
      </w:r>
      <w:r w:rsidR="005D2B8D">
        <w:t xml:space="preserve"> supportive</w:t>
      </w:r>
      <w:r w:rsidR="00DB08F0">
        <w:t xml:space="preserve"> </w:t>
      </w:r>
      <w:r w:rsidR="0051511D">
        <w:t xml:space="preserve">studies were </w:t>
      </w:r>
      <w:r w:rsidR="00B441CF">
        <w:t>presented</w:t>
      </w:r>
      <w:r w:rsidR="004E7F0B">
        <w:t xml:space="preserve"> in the </w:t>
      </w:r>
      <w:r w:rsidR="2C5CFF00">
        <w:t xml:space="preserve">1728.1 </w:t>
      </w:r>
      <w:r w:rsidR="004E7F0B">
        <w:t>ADAR</w:t>
      </w:r>
      <w:r w:rsidRPr="00E40A38">
        <w:t>.</w:t>
      </w:r>
      <w:r w:rsidRPr="00B70675">
        <w:t xml:space="preserve"> </w:t>
      </w:r>
      <w:r w:rsidRPr="00723E5A">
        <w:t>The available follow-up is relatively short</w:t>
      </w:r>
      <w:r w:rsidR="00EC2408">
        <w:t xml:space="preserve"> </w:t>
      </w:r>
      <w:r w:rsidRPr="00723E5A">
        <w:t>term</w:t>
      </w:r>
      <w:r w:rsidR="00784A6E">
        <w:t xml:space="preserve"> </w:t>
      </w:r>
      <w:r w:rsidRPr="00723E5A">
        <w:t>given the intervention is not reversible, patients will be excluded from further AAV-based gene therapies, and patients are eligible from 18 years of age.</w:t>
      </w:r>
    </w:p>
    <w:p w14:paraId="5ECF4412" w14:textId="77777777" w:rsidR="007F0C9A" w:rsidRPr="00E40A38" w:rsidRDefault="007F0C9A" w:rsidP="006E52E0">
      <w:pPr>
        <w:pStyle w:val="Heading3"/>
      </w:pPr>
      <w:r w:rsidRPr="00E40A38">
        <w:t xml:space="preserve">Anti-AAV5 </w:t>
      </w:r>
      <w:proofErr w:type="spellStart"/>
      <w:r w:rsidRPr="00E40A38">
        <w:t>NAb</w:t>
      </w:r>
      <w:proofErr w:type="spellEnd"/>
      <w:r w:rsidRPr="00E40A38">
        <w:t xml:space="preserve"> titre assay</w:t>
      </w:r>
    </w:p>
    <w:p w14:paraId="50734027" w14:textId="24AC68E3" w:rsidR="007F0C9A" w:rsidRPr="00E40A38" w:rsidRDefault="007F0C9A" w:rsidP="007F0C9A">
      <w:pPr>
        <w:shd w:val="clear" w:color="auto" w:fill="BDD6EE" w:themeFill="accent1" w:themeFillTint="66"/>
      </w:pPr>
      <w:r w:rsidRPr="00E40A38">
        <w:t xml:space="preserve">Regarding direct harms, the assay </w:t>
      </w:r>
      <w:r w:rsidR="0007473B">
        <w:t xml:space="preserve">is inferior compared to no testing </w:t>
      </w:r>
      <w:r w:rsidR="005B0F79">
        <w:t xml:space="preserve">but </w:t>
      </w:r>
      <w:r w:rsidRPr="00E40A38">
        <w:t xml:space="preserve">did not pose additional harms compared to any other serology test. </w:t>
      </w:r>
    </w:p>
    <w:p w14:paraId="3CFD5C6B" w14:textId="78683368" w:rsidR="007F0C9A" w:rsidRPr="00D6339F" w:rsidRDefault="007F0C9A" w:rsidP="007F0C9A">
      <w:pPr>
        <w:shd w:val="clear" w:color="auto" w:fill="BDD6EE" w:themeFill="accent1" w:themeFillTint="66"/>
      </w:pPr>
      <w:r w:rsidRPr="00E40A38">
        <w:t xml:space="preserve">Indirect harms of the test could include patients being excluded from treatment with </w:t>
      </w:r>
      <w:r w:rsidR="00AC5688">
        <w:t>ED</w:t>
      </w:r>
      <w:r w:rsidR="00AC5688" w:rsidRPr="00E40A38">
        <w:t xml:space="preserve"> </w:t>
      </w:r>
      <w:r w:rsidRPr="00E40A38">
        <w:t xml:space="preserve">where it would be beneficial, or conversely receiving treatment </w:t>
      </w:r>
      <w:r w:rsidR="00513E0D">
        <w:t xml:space="preserve">with </w:t>
      </w:r>
      <w:r w:rsidR="00AC5688">
        <w:t xml:space="preserve">ED </w:t>
      </w:r>
      <w:r w:rsidRPr="00E40A38">
        <w:t xml:space="preserve">where it may not be effective </w:t>
      </w:r>
      <w:r w:rsidR="00A173E4">
        <w:t>(</w:t>
      </w:r>
      <w:r w:rsidRPr="00E40A38">
        <w:t>or where it may be less effective</w:t>
      </w:r>
      <w:r w:rsidR="00774345">
        <w:t>)</w:t>
      </w:r>
      <w:r w:rsidR="004F3DA9">
        <w:t xml:space="preserve"> </w:t>
      </w:r>
      <w:r w:rsidR="00F5041B">
        <w:t>with exposure</w:t>
      </w:r>
      <w:r w:rsidR="007F1ABA">
        <w:t xml:space="preserve"> to potential </w:t>
      </w:r>
      <w:r w:rsidR="00E86B27">
        <w:t>harms (</w:t>
      </w:r>
      <w:r w:rsidR="007343D7">
        <w:t xml:space="preserve">including risk of </w:t>
      </w:r>
      <w:r w:rsidR="00E86B27">
        <w:t xml:space="preserve">peri-infusion </w:t>
      </w:r>
      <w:r w:rsidR="00A0742F">
        <w:t>AEs</w:t>
      </w:r>
      <w:r w:rsidR="007343D7">
        <w:t>)</w:t>
      </w:r>
      <w:r w:rsidRPr="00E40A38">
        <w:t>.</w:t>
      </w:r>
    </w:p>
    <w:p w14:paraId="3717AA01" w14:textId="2B375078" w:rsidR="00772829" w:rsidRPr="00CE28E3" w:rsidRDefault="00772829" w:rsidP="003758CD">
      <w:pPr>
        <w:pStyle w:val="Heading2"/>
        <w:numPr>
          <w:ilvl w:val="0"/>
          <w:numId w:val="28"/>
        </w:numPr>
      </w:pPr>
      <w:bookmarkStart w:id="25" w:name="_Toc69491424"/>
      <w:r w:rsidRPr="00CE28E3">
        <w:t>Comparative effectiveness</w:t>
      </w:r>
      <w:bookmarkEnd w:id="25"/>
    </w:p>
    <w:p w14:paraId="23C151B8" w14:textId="1B153440" w:rsidR="002C72BB" w:rsidRPr="00E40A38" w:rsidRDefault="00465E25" w:rsidP="002C72BB">
      <w:pPr>
        <w:pStyle w:val="Heading3"/>
      </w:pPr>
      <w:r>
        <w:t>E</w:t>
      </w:r>
      <w:r w:rsidRPr="00377DDC">
        <w:t>tranacogene dezaparvovec</w:t>
      </w:r>
      <w:r>
        <w:t xml:space="preserve"> (ED)</w:t>
      </w:r>
    </w:p>
    <w:p w14:paraId="4A68CEE5" w14:textId="36DCDD4F" w:rsidR="002C72BB" w:rsidRDefault="002C72BB" w:rsidP="002C72BB">
      <w:pPr>
        <w:pStyle w:val="Heading4"/>
      </w:pPr>
      <w:r w:rsidRPr="00E40A38">
        <w:t>Bleeds and annualised bleed rate</w:t>
      </w:r>
      <w:r w:rsidR="00E059FC">
        <w:t xml:space="preserve"> (ABR)</w:t>
      </w:r>
    </w:p>
    <w:p w14:paraId="01B7069B" w14:textId="768CE66C" w:rsidR="003E7469" w:rsidRPr="00E40A38" w:rsidRDefault="003E7469" w:rsidP="003E7469">
      <w:pPr>
        <w:shd w:val="clear" w:color="auto" w:fill="BDD6EE" w:themeFill="accent1" w:themeFillTint="66"/>
      </w:pPr>
      <w:r w:rsidRPr="00E40A38">
        <w:t xml:space="preserve">The aim of the primary efficacy endpoint </w:t>
      </w:r>
      <w:r w:rsidR="003F444A">
        <w:t xml:space="preserve">in the HOPE-B study </w:t>
      </w:r>
      <w:r w:rsidRPr="00E40A38">
        <w:t xml:space="preserve">was to compare the adjusted ABR for the 12 months post stable FIX expression (i.e. </w:t>
      </w:r>
      <w:r w:rsidR="0048733F">
        <w:t>M</w:t>
      </w:r>
      <w:r w:rsidRPr="00E40A38">
        <w:t>onths 7-18 post</w:t>
      </w:r>
      <w:r w:rsidR="0048733F">
        <w:t xml:space="preserve"> </w:t>
      </w:r>
      <w:r w:rsidRPr="00E40A38">
        <w:t xml:space="preserve">treatment) to that from the 6-month lead-in period. The upper bound of the 95% </w:t>
      </w:r>
      <w:r w:rsidR="003F444A">
        <w:t xml:space="preserve">CI </w:t>
      </w:r>
      <w:r w:rsidRPr="00E40A38">
        <w:t xml:space="preserve">for the rate ratio </w:t>
      </w:r>
      <w:r w:rsidR="00546416">
        <w:t xml:space="preserve">(RR) </w:t>
      </w:r>
      <w:r w:rsidRPr="00E40A38">
        <w:t xml:space="preserve">was </w:t>
      </w:r>
      <w:r w:rsidR="003101B6">
        <w:t xml:space="preserve">0.64, which was </w:t>
      </w:r>
      <w:r w:rsidRPr="00E40A38">
        <w:t xml:space="preserve">less than the prespecified margin </w:t>
      </w:r>
      <w:r w:rsidR="00E20A65">
        <w:t xml:space="preserve">of </w:t>
      </w:r>
      <w:r w:rsidRPr="00E40A38">
        <w:t>1.8. Thus, the HOPE-B study met the non-inferiority criterion. A secondary inferential analysis of this endpoint subsequently established superiority, while the estimated reduction in the ABR between periods was 64% (RR = 0.36).</w:t>
      </w:r>
    </w:p>
    <w:p w14:paraId="2A57B492" w14:textId="4DA05659" w:rsidR="003E7469" w:rsidRPr="003E7469" w:rsidRDefault="00513277" w:rsidP="003E7469">
      <w:r>
        <w:t>Summary statistics</w:t>
      </w:r>
      <w:r w:rsidR="00A46B71">
        <w:t xml:space="preserve"> of bleeds a</w:t>
      </w:r>
      <w:r w:rsidR="00190BAE">
        <w:t>nd</w:t>
      </w:r>
      <w:r w:rsidR="00A46B71">
        <w:t xml:space="preserve"> ABR are presented in</w:t>
      </w:r>
      <w:r w:rsidR="007911C3">
        <w:t xml:space="preserve"> </w:t>
      </w:r>
      <w:r w:rsidR="007911C3">
        <w:fldChar w:fldCharType="begin"/>
      </w:r>
      <w:r w:rsidR="007911C3">
        <w:instrText xml:space="preserve"> REF _Ref207985710 \h </w:instrText>
      </w:r>
      <w:r w:rsidR="007911C3">
        <w:fldChar w:fldCharType="separate"/>
      </w:r>
      <w:r w:rsidR="007911C3">
        <w:t xml:space="preserve">Table </w:t>
      </w:r>
      <w:r w:rsidR="007911C3">
        <w:rPr>
          <w:noProof/>
        </w:rPr>
        <w:t>7</w:t>
      </w:r>
      <w:r w:rsidR="007911C3">
        <w:fldChar w:fldCharType="end"/>
      </w:r>
      <w:r w:rsidR="00A46B71">
        <w:t xml:space="preserve">. There was a statistically significant reduction in bleeds as measured by the rate ratio at all time points. </w:t>
      </w:r>
      <w:r w:rsidR="00BC10B4">
        <w:t>The adjusted ABR for all bleeding episodes increased between the 3- and 4-year datasets but remained statistically significantly lower than the lead-in period.</w:t>
      </w:r>
    </w:p>
    <w:p w14:paraId="1363AC92" w14:textId="37A94F93" w:rsidR="002B7EA8" w:rsidRPr="00E40A38" w:rsidRDefault="00747D6B" w:rsidP="00747D6B">
      <w:pPr>
        <w:pStyle w:val="Caption"/>
        <w:rPr>
          <w:rFonts w:cstheme="minorHAnsi"/>
          <w:lang w:val="en-US"/>
        </w:rPr>
      </w:pPr>
      <w:bookmarkStart w:id="26" w:name="_Ref207985710"/>
      <w:bookmarkStart w:id="27" w:name="_Ref164195858"/>
      <w:r>
        <w:t xml:space="preserve">Table </w:t>
      </w:r>
      <w:r>
        <w:fldChar w:fldCharType="begin"/>
      </w:r>
      <w:r>
        <w:instrText xml:space="preserve"> SEQ Table \* ARABIC </w:instrText>
      </w:r>
      <w:r>
        <w:fldChar w:fldCharType="separate"/>
      </w:r>
      <w:r>
        <w:rPr>
          <w:noProof/>
        </w:rPr>
        <w:t>7</w:t>
      </w:r>
      <w:r>
        <w:rPr>
          <w:noProof/>
        </w:rPr>
        <w:fldChar w:fldCharType="end"/>
      </w:r>
      <w:bookmarkEnd w:id="26"/>
      <w:r>
        <w:t xml:space="preserve"> </w:t>
      </w:r>
      <w:bookmarkEnd w:id="27"/>
      <w:r w:rsidR="002B7EA8" w:rsidRPr="00E40A38">
        <w:rPr>
          <w:rFonts w:cstheme="minorHAnsi"/>
          <w:lang w:val="en-US"/>
        </w:rPr>
        <w:t>Summary of bleeding episodes</w:t>
      </w:r>
      <w:r w:rsidR="00354721">
        <w:rPr>
          <w:rFonts w:cstheme="minorHAnsi"/>
          <w:lang w:val="en-US"/>
        </w:rPr>
        <w:t xml:space="preserve"> </w:t>
      </w:r>
      <w:r w:rsidR="00624887">
        <w:rPr>
          <w:rFonts w:cstheme="minorHAnsi"/>
          <w:lang w:val="en-US"/>
        </w:rPr>
        <w:t xml:space="preserve">in </w:t>
      </w:r>
      <w:r w:rsidR="002B7EA8" w:rsidRPr="00E40A38">
        <w:rPr>
          <w:rFonts w:cstheme="minorHAnsi"/>
          <w:lang w:val="en-US"/>
        </w:rPr>
        <w:t xml:space="preserve">HOPE-B </w:t>
      </w:r>
      <w:r w:rsidR="00354721">
        <w:rPr>
          <w:rFonts w:cstheme="minorHAnsi"/>
          <w:lang w:val="en-US"/>
        </w:rPr>
        <w:t>study</w:t>
      </w:r>
      <w:r w:rsidR="00C67A8C">
        <w:rPr>
          <w:rFonts w:cstheme="minorHAnsi"/>
          <w:lang w:val="en-US"/>
        </w:rPr>
        <w:t xml:space="preserve"> to 48</w:t>
      </w:r>
      <w:r w:rsidR="00682808">
        <w:rPr>
          <w:rFonts w:cstheme="minorHAnsi"/>
          <w:lang w:val="en-US"/>
        </w:rPr>
        <w:t xml:space="preserve"> months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bleeding episodes in HOPE-B trial at 48 months"/>
        <w:tblDescription w:val="This table shows a summary of bleeding episodes, ABR and rate ratio during the lead-in period, Month 7-18, Month7-24, Month 7-36 and Month 7-48."/>
      </w:tblPr>
      <w:tblGrid>
        <w:gridCol w:w="1838"/>
        <w:gridCol w:w="1322"/>
        <w:gridCol w:w="1464"/>
        <w:gridCol w:w="1464"/>
        <w:gridCol w:w="1464"/>
        <w:gridCol w:w="1464"/>
      </w:tblGrid>
      <w:tr w:rsidR="002B7EA8" w:rsidRPr="00E40A38" w14:paraId="79788083" w14:textId="3C0B84E0" w:rsidTr="005D76F9">
        <w:trPr>
          <w:tblHeader/>
        </w:trPr>
        <w:tc>
          <w:tcPr>
            <w:tcW w:w="1838" w:type="dxa"/>
            <w:shd w:val="clear" w:color="auto" w:fill="BDD6EE" w:themeFill="accent1" w:themeFillTint="66"/>
          </w:tcPr>
          <w:p w14:paraId="55A4753F" w14:textId="598F6659" w:rsidR="002B7EA8" w:rsidRPr="00313C53" w:rsidRDefault="00313C53" w:rsidP="001417FF">
            <w:pPr>
              <w:pStyle w:val="In-tableHeading"/>
              <w:spacing w:before="0" w:after="0"/>
            </w:pPr>
            <w:r>
              <w:t>Any bleeding episode</w:t>
            </w:r>
          </w:p>
        </w:tc>
        <w:tc>
          <w:tcPr>
            <w:tcW w:w="1322" w:type="dxa"/>
            <w:shd w:val="clear" w:color="auto" w:fill="BDD6EE" w:themeFill="accent1" w:themeFillTint="66"/>
            <w:tcMar>
              <w:left w:w="57" w:type="dxa"/>
              <w:right w:w="57" w:type="dxa"/>
            </w:tcMar>
          </w:tcPr>
          <w:p w14:paraId="2132DBC3" w14:textId="5906A25C" w:rsidR="002B7EA8" w:rsidRPr="007E5853" w:rsidRDefault="005141F1" w:rsidP="001417FF">
            <w:pPr>
              <w:pStyle w:val="In-tableHeading"/>
              <w:spacing w:before="0" w:after="0"/>
              <w:rPr>
                <w:rFonts w:cstheme="minorHAnsi"/>
                <w:szCs w:val="20"/>
              </w:rPr>
            </w:pPr>
            <w:r>
              <w:rPr>
                <w:rFonts w:cstheme="minorHAnsi"/>
                <w:szCs w:val="20"/>
              </w:rPr>
              <w:t>Lead-in period (N=54)</w:t>
            </w:r>
          </w:p>
        </w:tc>
        <w:tc>
          <w:tcPr>
            <w:tcW w:w="1464" w:type="dxa"/>
            <w:shd w:val="clear" w:color="auto" w:fill="BDD6EE" w:themeFill="accent1" w:themeFillTint="66"/>
            <w:tcMar>
              <w:left w:w="57" w:type="dxa"/>
              <w:right w:w="57" w:type="dxa"/>
            </w:tcMar>
          </w:tcPr>
          <w:p w14:paraId="37259491" w14:textId="25E5F458" w:rsidR="002B7EA8" w:rsidRPr="007E5853" w:rsidRDefault="002B7EA8" w:rsidP="001417FF">
            <w:pPr>
              <w:pStyle w:val="In-tableHeading"/>
              <w:spacing w:before="0" w:after="0"/>
              <w:rPr>
                <w:rFonts w:cstheme="minorHAnsi"/>
                <w:szCs w:val="20"/>
              </w:rPr>
            </w:pPr>
            <w:r w:rsidRPr="007E5853">
              <w:rPr>
                <w:rFonts w:cstheme="minorHAnsi"/>
                <w:szCs w:val="20"/>
              </w:rPr>
              <w:t xml:space="preserve">Month 7-18 </w:t>
            </w:r>
          </w:p>
        </w:tc>
        <w:tc>
          <w:tcPr>
            <w:tcW w:w="1464" w:type="dxa"/>
            <w:shd w:val="clear" w:color="auto" w:fill="BDD6EE" w:themeFill="accent1" w:themeFillTint="66"/>
            <w:tcMar>
              <w:left w:w="57" w:type="dxa"/>
              <w:right w:w="57" w:type="dxa"/>
            </w:tcMar>
          </w:tcPr>
          <w:p w14:paraId="37C15884" w14:textId="77777777" w:rsidR="002B7EA8" w:rsidRPr="007E5853" w:rsidRDefault="002B7EA8" w:rsidP="001417FF">
            <w:pPr>
              <w:pStyle w:val="In-tableHeading"/>
              <w:spacing w:before="0" w:after="0"/>
              <w:rPr>
                <w:rFonts w:cstheme="minorHAnsi"/>
                <w:szCs w:val="20"/>
              </w:rPr>
            </w:pPr>
            <w:r w:rsidRPr="007E5853">
              <w:rPr>
                <w:rFonts w:cstheme="minorHAnsi"/>
                <w:szCs w:val="20"/>
              </w:rPr>
              <w:t xml:space="preserve">Month 7-24 </w:t>
            </w:r>
          </w:p>
        </w:tc>
        <w:tc>
          <w:tcPr>
            <w:tcW w:w="1464" w:type="dxa"/>
            <w:shd w:val="clear" w:color="auto" w:fill="BDD6EE" w:themeFill="accent1" w:themeFillTint="66"/>
            <w:tcMar>
              <w:left w:w="57" w:type="dxa"/>
              <w:right w:w="57" w:type="dxa"/>
            </w:tcMar>
          </w:tcPr>
          <w:p w14:paraId="0F6D91A1" w14:textId="77777777" w:rsidR="002B7EA8" w:rsidRPr="007E5853" w:rsidRDefault="002B7EA8" w:rsidP="001417FF">
            <w:pPr>
              <w:pStyle w:val="In-tableHeading"/>
              <w:spacing w:before="0" w:after="0"/>
              <w:rPr>
                <w:rFonts w:cstheme="minorHAnsi"/>
                <w:szCs w:val="20"/>
              </w:rPr>
            </w:pPr>
            <w:r w:rsidRPr="007E5853">
              <w:rPr>
                <w:rFonts w:cstheme="minorHAnsi"/>
                <w:szCs w:val="20"/>
              </w:rPr>
              <w:t>Month 7-36</w:t>
            </w:r>
          </w:p>
        </w:tc>
        <w:tc>
          <w:tcPr>
            <w:tcW w:w="1464" w:type="dxa"/>
            <w:tcMar>
              <w:left w:w="57" w:type="dxa"/>
              <w:right w:w="57" w:type="dxa"/>
            </w:tcMar>
          </w:tcPr>
          <w:p w14:paraId="20F55999" w14:textId="25832C60" w:rsidR="002B7EA8" w:rsidRPr="000A0B14" w:rsidRDefault="003104C2" w:rsidP="001417FF">
            <w:pPr>
              <w:pStyle w:val="In-tableHeading"/>
              <w:spacing w:before="0" w:after="0"/>
              <w:rPr>
                <w:rFonts w:cstheme="minorHAnsi"/>
                <w:szCs w:val="20"/>
              </w:rPr>
            </w:pPr>
            <w:r w:rsidRPr="000A0B14">
              <w:rPr>
                <w:rFonts w:cstheme="minorHAnsi"/>
                <w:szCs w:val="20"/>
              </w:rPr>
              <w:t>Month 7-48</w:t>
            </w:r>
          </w:p>
        </w:tc>
      </w:tr>
      <w:tr w:rsidR="002B7EA8" w:rsidRPr="00E40A38" w14:paraId="6336CF70" w14:textId="4454909E" w:rsidTr="005D76F9">
        <w:tc>
          <w:tcPr>
            <w:tcW w:w="1838" w:type="dxa"/>
            <w:shd w:val="clear" w:color="auto" w:fill="BDD6EE" w:themeFill="accent1" w:themeFillTint="66"/>
          </w:tcPr>
          <w:p w14:paraId="1EE7162E" w14:textId="77777777" w:rsidR="002B7EA8" w:rsidRPr="00E40A38" w:rsidRDefault="002B7EA8" w:rsidP="001417FF">
            <w:pPr>
              <w:pStyle w:val="TableText"/>
              <w:keepNext/>
              <w:spacing w:before="0" w:after="0"/>
            </w:pPr>
            <w:r w:rsidRPr="00E40A38">
              <w:t>Any episode, n (%)</w:t>
            </w:r>
          </w:p>
        </w:tc>
        <w:tc>
          <w:tcPr>
            <w:tcW w:w="1322" w:type="dxa"/>
            <w:shd w:val="clear" w:color="auto" w:fill="BDD6EE" w:themeFill="accent1" w:themeFillTint="66"/>
            <w:tcMar>
              <w:left w:w="57" w:type="dxa"/>
              <w:right w:w="57" w:type="dxa"/>
            </w:tcMar>
          </w:tcPr>
          <w:p w14:paraId="224AAE77" w14:textId="77777777" w:rsidR="002B7EA8" w:rsidRPr="00E40A38" w:rsidRDefault="002B7EA8" w:rsidP="001417FF">
            <w:pPr>
              <w:pStyle w:val="TableText"/>
              <w:keepNext/>
              <w:spacing w:before="0" w:after="0"/>
            </w:pPr>
            <w:r w:rsidRPr="00E40A38">
              <w:t>40 (74.1)</w:t>
            </w:r>
          </w:p>
        </w:tc>
        <w:tc>
          <w:tcPr>
            <w:tcW w:w="1464" w:type="dxa"/>
            <w:shd w:val="clear" w:color="auto" w:fill="BDD6EE" w:themeFill="accent1" w:themeFillTint="66"/>
            <w:tcMar>
              <w:left w:w="57" w:type="dxa"/>
              <w:right w:w="57" w:type="dxa"/>
            </w:tcMar>
          </w:tcPr>
          <w:p w14:paraId="2613D736" w14:textId="77777777" w:rsidR="002B7EA8" w:rsidRPr="00E40A38" w:rsidRDefault="002B7EA8" w:rsidP="001417FF">
            <w:pPr>
              <w:pStyle w:val="TableText"/>
              <w:keepNext/>
              <w:spacing w:before="0" w:after="0"/>
            </w:pPr>
            <w:r w:rsidRPr="00E40A38">
              <w:t>20 (37.0)</w:t>
            </w:r>
          </w:p>
        </w:tc>
        <w:tc>
          <w:tcPr>
            <w:tcW w:w="1464" w:type="dxa"/>
            <w:shd w:val="clear" w:color="auto" w:fill="BDD6EE" w:themeFill="accent1" w:themeFillTint="66"/>
            <w:tcMar>
              <w:left w:w="57" w:type="dxa"/>
              <w:right w:w="57" w:type="dxa"/>
            </w:tcMar>
          </w:tcPr>
          <w:p w14:paraId="6233ED22" w14:textId="77777777" w:rsidR="002B7EA8" w:rsidRPr="00E40A38" w:rsidRDefault="002B7EA8" w:rsidP="001417FF">
            <w:pPr>
              <w:pStyle w:val="TableText"/>
              <w:keepNext/>
              <w:spacing w:before="0" w:after="0"/>
            </w:pPr>
            <w:r w:rsidRPr="00E40A38">
              <w:t>27 (50.0)</w:t>
            </w:r>
          </w:p>
        </w:tc>
        <w:tc>
          <w:tcPr>
            <w:tcW w:w="1464" w:type="dxa"/>
            <w:shd w:val="clear" w:color="auto" w:fill="BDD6EE" w:themeFill="accent1" w:themeFillTint="66"/>
            <w:tcMar>
              <w:left w:w="57" w:type="dxa"/>
              <w:right w:w="57" w:type="dxa"/>
            </w:tcMar>
          </w:tcPr>
          <w:p w14:paraId="7D1D2C3B" w14:textId="77777777" w:rsidR="002B7EA8" w:rsidRPr="00E40A38" w:rsidRDefault="002B7EA8" w:rsidP="001417FF">
            <w:pPr>
              <w:pStyle w:val="TableText"/>
              <w:keepNext/>
              <w:spacing w:before="0" w:after="0"/>
            </w:pPr>
            <w:r w:rsidRPr="00E40A38">
              <w:t>31 (57.4)</w:t>
            </w:r>
          </w:p>
        </w:tc>
        <w:tc>
          <w:tcPr>
            <w:tcW w:w="1464" w:type="dxa"/>
            <w:tcMar>
              <w:left w:w="57" w:type="dxa"/>
              <w:right w:w="57" w:type="dxa"/>
            </w:tcMar>
          </w:tcPr>
          <w:p w14:paraId="7B3CD2AA" w14:textId="2B8BE0E6" w:rsidR="002B7EA8" w:rsidRPr="000A0B14" w:rsidRDefault="00443CE0" w:rsidP="001417FF">
            <w:pPr>
              <w:pStyle w:val="TableText"/>
              <w:keepNext/>
              <w:spacing w:before="0" w:after="0"/>
            </w:pPr>
            <w:r w:rsidRPr="000A0B14">
              <w:t>32 (59.3)</w:t>
            </w:r>
          </w:p>
        </w:tc>
      </w:tr>
      <w:tr w:rsidR="002B7EA8" w:rsidRPr="00E40A38" w14:paraId="64E5C33C" w14:textId="409FDB4B" w:rsidTr="005D76F9">
        <w:tc>
          <w:tcPr>
            <w:tcW w:w="1838" w:type="dxa"/>
            <w:shd w:val="clear" w:color="auto" w:fill="BDD6EE" w:themeFill="accent1" w:themeFillTint="66"/>
          </w:tcPr>
          <w:p w14:paraId="48C0ED34" w14:textId="77777777" w:rsidR="002B7EA8" w:rsidRPr="00E40A38" w:rsidRDefault="002B7EA8" w:rsidP="001417FF">
            <w:pPr>
              <w:pStyle w:val="TableText"/>
              <w:keepNext/>
              <w:spacing w:before="0" w:after="0"/>
            </w:pPr>
            <w:r w:rsidRPr="00E40A38">
              <w:t>Zero episodes, n (%)</w:t>
            </w:r>
          </w:p>
        </w:tc>
        <w:tc>
          <w:tcPr>
            <w:tcW w:w="1322" w:type="dxa"/>
            <w:shd w:val="clear" w:color="auto" w:fill="BDD6EE" w:themeFill="accent1" w:themeFillTint="66"/>
            <w:tcMar>
              <w:left w:w="57" w:type="dxa"/>
              <w:right w:w="57" w:type="dxa"/>
            </w:tcMar>
          </w:tcPr>
          <w:p w14:paraId="2C58C4D9" w14:textId="77777777" w:rsidR="002B7EA8" w:rsidRPr="00E40A38" w:rsidRDefault="002B7EA8" w:rsidP="001417FF">
            <w:pPr>
              <w:pStyle w:val="TableText"/>
              <w:keepNext/>
              <w:spacing w:before="0" w:after="0"/>
            </w:pPr>
            <w:r w:rsidRPr="00E40A38">
              <w:t>14 (25.9)</w:t>
            </w:r>
          </w:p>
        </w:tc>
        <w:tc>
          <w:tcPr>
            <w:tcW w:w="1464" w:type="dxa"/>
            <w:shd w:val="clear" w:color="auto" w:fill="BDD6EE" w:themeFill="accent1" w:themeFillTint="66"/>
            <w:tcMar>
              <w:left w:w="57" w:type="dxa"/>
              <w:right w:w="57" w:type="dxa"/>
            </w:tcMar>
          </w:tcPr>
          <w:p w14:paraId="64849451" w14:textId="77777777" w:rsidR="002B7EA8" w:rsidRPr="00E40A38" w:rsidRDefault="002B7EA8" w:rsidP="001417FF">
            <w:pPr>
              <w:pStyle w:val="TableText"/>
              <w:keepNext/>
              <w:spacing w:before="0" w:after="0"/>
            </w:pPr>
            <w:r w:rsidRPr="00E40A38">
              <w:t>34 (63.0)</w:t>
            </w:r>
          </w:p>
        </w:tc>
        <w:tc>
          <w:tcPr>
            <w:tcW w:w="1464" w:type="dxa"/>
            <w:shd w:val="clear" w:color="auto" w:fill="BDD6EE" w:themeFill="accent1" w:themeFillTint="66"/>
            <w:tcMar>
              <w:left w:w="57" w:type="dxa"/>
              <w:right w:w="57" w:type="dxa"/>
            </w:tcMar>
          </w:tcPr>
          <w:p w14:paraId="4D3ADF50" w14:textId="77777777" w:rsidR="002B7EA8" w:rsidRPr="00E40A38" w:rsidRDefault="002B7EA8" w:rsidP="001417FF">
            <w:pPr>
              <w:pStyle w:val="TableText"/>
              <w:keepNext/>
              <w:spacing w:before="0" w:after="0"/>
            </w:pPr>
            <w:r w:rsidRPr="00E40A38">
              <w:t>27 (50.0)</w:t>
            </w:r>
          </w:p>
        </w:tc>
        <w:tc>
          <w:tcPr>
            <w:tcW w:w="1464" w:type="dxa"/>
            <w:shd w:val="clear" w:color="auto" w:fill="BDD6EE" w:themeFill="accent1" w:themeFillTint="66"/>
            <w:tcMar>
              <w:left w:w="57" w:type="dxa"/>
              <w:right w:w="57" w:type="dxa"/>
            </w:tcMar>
          </w:tcPr>
          <w:p w14:paraId="1BAD5D6C" w14:textId="5A51DB62" w:rsidR="002B7EA8" w:rsidRPr="00E40A38" w:rsidRDefault="002B7EA8" w:rsidP="001417FF">
            <w:pPr>
              <w:pStyle w:val="TableText"/>
              <w:keepNext/>
              <w:spacing w:before="0" w:after="0"/>
            </w:pPr>
            <w:r w:rsidRPr="00E40A38">
              <w:t>23 (42.6)</w:t>
            </w:r>
          </w:p>
        </w:tc>
        <w:tc>
          <w:tcPr>
            <w:tcW w:w="1464" w:type="dxa"/>
            <w:tcMar>
              <w:left w:w="57" w:type="dxa"/>
              <w:right w:w="57" w:type="dxa"/>
            </w:tcMar>
          </w:tcPr>
          <w:p w14:paraId="4FACAAE1" w14:textId="105C5050" w:rsidR="002B7EA8" w:rsidRPr="000A0B14" w:rsidRDefault="00EF24B8" w:rsidP="001417FF">
            <w:pPr>
              <w:pStyle w:val="TableText"/>
              <w:keepNext/>
              <w:spacing w:before="0" w:after="0"/>
            </w:pPr>
            <w:r w:rsidRPr="000A0B14">
              <w:t>22 (40.7)</w:t>
            </w:r>
          </w:p>
        </w:tc>
      </w:tr>
      <w:tr w:rsidR="00030741" w:rsidRPr="00E40A38" w14:paraId="453B03CB" w14:textId="77777777" w:rsidTr="005D76F9">
        <w:tc>
          <w:tcPr>
            <w:tcW w:w="1838" w:type="dxa"/>
            <w:shd w:val="clear" w:color="auto" w:fill="BDD6EE" w:themeFill="accent1" w:themeFillTint="66"/>
          </w:tcPr>
          <w:p w14:paraId="5AF61953" w14:textId="3DCFA87C" w:rsidR="00030741" w:rsidRPr="00E40A38" w:rsidRDefault="00AC2B33" w:rsidP="001417FF">
            <w:pPr>
              <w:pStyle w:val="TableText"/>
              <w:keepNext/>
              <w:spacing w:before="0" w:after="0"/>
            </w:pPr>
            <w:r>
              <w:t>Free of</w:t>
            </w:r>
            <w:r w:rsidR="00294C16">
              <w:t xml:space="preserve"> </w:t>
            </w:r>
            <w:r w:rsidR="00C24EDD">
              <w:t xml:space="preserve">continuous </w:t>
            </w:r>
            <w:r w:rsidR="00294C16">
              <w:t>routine prophylaxis</w:t>
            </w:r>
            <w:r w:rsidR="000F584D">
              <w:t>, n</w:t>
            </w:r>
            <w:r w:rsidR="00B357CB">
              <w:t> </w:t>
            </w:r>
            <w:r w:rsidR="000F584D">
              <w:t>(%)</w:t>
            </w:r>
          </w:p>
        </w:tc>
        <w:tc>
          <w:tcPr>
            <w:tcW w:w="1322" w:type="dxa"/>
            <w:shd w:val="clear" w:color="auto" w:fill="BDD6EE" w:themeFill="accent1" w:themeFillTint="66"/>
            <w:tcMar>
              <w:left w:w="57" w:type="dxa"/>
              <w:right w:w="57" w:type="dxa"/>
            </w:tcMar>
          </w:tcPr>
          <w:p w14:paraId="2E367CBD" w14:textId="016376A1" w:rsidR="00030741" w:rsidRPr="00E40A38" w:rsidRDefault="00053915" w:rsidP="001417FF">
            <w:pPr>
              <w:pStyle w:val="TableText"/>
              <w:keepNext/>
              <w:spacing w:before="0" w:after="0"/>
            </w:pPr>
            <w:r>
              <w:t>0</w:t>
            </w:r>
          </w:p>
        </w:tc>
        <w:tc>
          <w:tcPr>
            <w:tcW w:w="1464" w:type="dxa"/>
            <w:shd w:val="clear" w:color="auto" w:fill="BDD6EE" w:themeFill="accent1" w:themeFillTint="66"/>
            <w:tcMar>
              <w:left w:w="57" w:type="dxa"/>
              <w:right w:w="57" w:type="dxa"/>
            </w:tcMar>
          </w:tcPr>
          <w:p w14:paraId="7B5C349A" w14:textId="7A608549" w:rsidR="00030741" w:rsidRPr="00E40A38" w:rsidRDefault="00053915" w:rsidP="001417FF">
            <w:pPr>
              <w:pStyle w:val="TableText"/>
              <w:keepNext/>
              <w:spacing w:before="0" w:after="0"/>
            </w:pPr>
            <w:r>
              <w:t>52 (96.3)</w:t>
            </w:r>
          </w:p>
        </w:tc>
        <w:tc>
          <w:tcPr>
            <w:tcW w:w="1464" w:type="dxa"/>
            <w:shd w:val="clear" w:color="auto" w:fill="BDD6EE" w:themeFill="accent1" w:themeFillTint="66"/>
            <w:tcMar>
              <w:left w:w="57" w:type="dxa"/>
              <w:right w:w="57" w:type="dxa"/>
            </w:tcMar>
          </w:tcPr>
          <w:p w14:paraId="1B5ADEE6" w14:textId="613D0280" w:rsidR="00030741" w:rsidRPr="00E40A38" w:rsidRDefault="00053FBD" w:rsidP="001417FF">
            <w:pPr>
              <w:pStyle w:val="TableText"/>
              <w:keepNext/>
              <w:spacing w:before="0" w:after="0"/>
            </w:pPr>
            <w:r>
              <w:t>52 (96.3)</w:t>
            </w:r>
          </w:p>
        </w:tc>
        <w:tc>
          <w:tcPr>
            <w:tcW w:w="1464" w:type="dxa"/>
            <w:shd w:val="clear" w:color="auto" w:fill="BDD6EE" w:themeFill="accent1" w:themeFillTint="66"/>
            <w:tcMar>
              <w:left w:w="57" w:type="dxa"/>
              <w:right w:w="57" w:type="dxa"/>
            </w:tcMar>
          </w:tcPr>
          <w:p w14:paraId="0825E737" w14:textId="25C2F4E7" w:rsidR="00030741" w:rsidRPr="00E40A38" w:rsidRDefault="00EC7053" w:rsidP="001417FF">
            <w:pPr>
              <w:pStyle w:val="TableText"/>
              <w:keepNext/>
              <w:spacing w:before="0" w:after="0"/>
            </w:pPr>
            <w:r>
              <w:t>51 (94.4)</w:t>
            </w:r>
          </w:p>
        </w:tc>
        <w:tc>
          <w:tcPr>
            <w:tcW w:w="1464" w:type="dxa"/>
            <w:tcMar>
              <w:left w:w="57" w:type="dxa"/>
              <w:right w:w="57" w:type="dxa"/>
            </w:tcMar>
          </w:tcPr>
          <w:p w14:paraId="3123CB4D" w14:textId="003B49B7" w:rsidR="00030741" w:rsidRPr="000A0B14" w:rsidRDefault="00965615" w:rsidP="001417FF">
            <w:pPr>
              <w:pStyle w:val="TableText"/>
              <w:keepNext/>
              <w:spacing w:before="0" w:after="0"/>
            </w:pPr>
            <w:r w:rsidRPr="000A0B14">
              <w:t>51 (94.4)</w:t>
            </w:r>
          </w:p>
        </w:tc>
      </w:tr>
      <w:tr w:rsidR="002B7EA8" w:rsidRPr="00E40A38" w14:paraId="56C65D84" w14:textId="0583B703" w:rsidTr="005D76F9">
        <w:tc>
          <w:tcPr>
            <w:tcW w:w="1838" w:type="dxa"/>
            <w:shd w:val="clear" w:color="auto" w:fill="BDD6EE" w:themeFill="accent1" w:themeFillTint="66"/>
          </w:tcPr>
          <w:p w14:paraId="5D7FCE2E" w14:textId="77777777" w:rsidR="002B7EA8" w:rsidRPr="00E40A38" w:rsidRDefault="002B7EA8" w:rsidP="001417FF">
            <w:pPr>
              <w:pStyle w:val="TableText"/>
              <w:spacing w:before="0" w:after="0"/>
            </w:pPr>
            <w:r w:rsidRPr="00E40A38">
              <w:t xml:space="preserve">Unadjusted </w:t>
            </w:r>
            <w:proofErr w:type="spellStart"/>
            <w:r w:rsidRPr="00E40A38">
              <w:t>ABR</w:t>
            </w:r>
            <w:r w:rsidRPr="00E40A38">
              <w:rPr>
                <w:vertAlign w:val="superscript"/>
              </w:rPr>
              <w:t>a</w:t>
            </w:r>
            <w:proofErr w:type="spellEnd"/>
          </w:p>
        </w:tc>
        <w:tc>
          <w:tcPr>
            <w:tcW w:w="1322" w:type="dxa"/>
            <w:shd w:val="clear" w:color="auto" w:fill="BDD6EE" w:themeFill="accent1" w:themeFillTint="66"/>
            <w:tcMar>
              <w:left w:w="57" w:type="dxa"/>
              <w:right w:w="57" w:type="dxa"/>
            </w:tcMar>
          </w:tcPr>
          <w:p w14:paraId="0B159E72" w14:textId="77777777" w:rsidR="002B7EA8" w:rsidRPr="00E40A38" w:rsidRDefault="002B7EA8" w:rsidP="001417FF">
            <w:pPr>
              <w:pStyle w:val="TableText"/>
              <w:spacing w:before="0" w:after="0"/>
            </w:pPr>
            <w:r w:rsidRPr="00E40A38">
              <w:t>4.11</w:t>
            </w:r>
          </w:p>
        </w:tc>
        <w:tc>
          <w:tcPr>
            <w:tcW w:w="1464" w:type="dxa"/>
            <w:shd w:val="clear" w:color="auto" w:fill="BDD6EE" w:themeFill="accent1" w:themeFillTint="66"/>
            <w:tcMar>
              <w:left w:w="57" w:type="dxa"/>
              <w:right w:w="57" w:type="dxa"/>
            </w:tcMar>
          </w:tcPr>
          <w:p w14:paraId="576C25D3" w14:textId="77777777" w:rsidR="002B7EA8" w:rsidRPr="00E40A38" w:rsidRDefault="002B7EA8" w:rsidP="001417FF">
            <w:pPr>
              <w:pStyle w:val="TableText"/>
              <w:spacing w:before="0" w:after="0"/>
            </w:pPr>
            <w:r w:rsidRPr="00E40A38">
              <w:t>1.08</w:t>
            </w:r>
          </w:p>
        </w:tc>
        <w:tc>
          <w:tcPr>
            <w:tcW w:w="1464" w:type="dxa"/>
            <w:shd w:val="clear" w:color="auto" w:fill="BDD6EE" w:themeFill="accent1" w:themeFillTint="66"/>
            <w:tcMar>
              <w:left w:w="57" w:type="dxa"/>
              <w:right w:w="57" w:type="dxa"/>
            </w:tcMar>
          </w:tcPr>
          <w:p w14:paraId="6AF3E225" w14:textId="77777777" w:rsidR="002B7EA8" w:rsidRPr="00E40A38" w:rsidRDefault="002B7EA8" w:rsidP="001417FF">
            <w:pPr>
              <w:pStyle w:val="TableText"/>
              <w:spacing w:before="0" w:after="0"/>
            </w:pPr>
            <w:r w:rsidRPr="00E40A38">
              <w:t>0.99</w:t>
            </w:r>
          </w:p>
        </w:tc>
        <w:tc>
          <w:tcPr>
            <w:tcW w:w="1464" w:type="dxa"/>
            <w:shd w:val="clear" w:color="auto" w:fill="BDD6EE" w:themeFill="accent1" w:themeFillTint="66"/>
            <w:tcMar>
              <w:left w:w="57" w:type="dxa"/>
              <w:right w:w="57" w:type="dxa"/>
            </w:tcMar>
          </w:tcPr>
          <w:p w14:paraId="2937A51F" w14:textId="77777777" w:rsidR="002B7EA8" w:rsidRPr="00E40A38" w:rsidRDefault="002B7EA8" w:rsidP="001417FF">
            <w:pPr>
              <w:pStyle w:val="TableText"/>
              <w:spacing w:before="0" w:after="0"/>
            </w:pPr>
            <w:r w:rsidRPr="00E40A38">
              <w:t>0.90</w:t>
            </w:r>
          </w:p>
        </w:tc>
        <w:tc>
          <w:tcPr>
            <w:tcW w:w="1464" w:type="dxa"/>
            <w:tcMar>
              <w:left w:w="57" w:type="dxa"/>
              <w:right w:w="57" w:type="dxa"/>
            </w:tcMar>
          </w:tcPr>
          <w:p w14:paraId="29109847" w14:textId="3CDFB4E1" w:rsidR="002B7EA8" w:rsidRPr="000A0B14" w:rsidRDefault="00485BA6" w:rsidP="001417FF">
            <w:pPr>
              <w:pStyle w:val="TableText"/>
              <w:spacing w:before="0" w:after="0"/>
            </w:pPr>
            <w:r w:rsidRPr="000A0B14">
              <w:t>0.77</w:t>
            </w:r>
          </w:p>
        </w:tc>
      </w:tr>
      <w:tr w:rsidR="002B7EA8" w:rsidRPr="00E40A38" w14:paraId="19B3D45A" w14:textId="7F45D25C" w:rsidTr="005D76F9">
        <w:tc>
          <w:tcPr>
            <w:tcW w:w="1838" w:type="dxa"/>
            <w:shd w:val="clear" w:color="auto" w:fill="BDD6EE" w:themeFill="accent1" w:themeFillTint="66"/>
          </w:tcPr>
          <w:p w14:paraId="12FE8731" w14:textId="77777777" w:rsidR="002B7EA8" w:rsidRPr="00E40A38" w:rsidRDefault="002B7EA8" w:rsidP="001417FF">
            <w:pPr>
              <w:pStyle w:val="TableText"/>
              <w:spacing w:before="0" w:after="0"/>
            </w:pPr>
            <w:r w:rsidRPr="00E40A38">
              <w:t>Adjusted ABR (95% CI)</w:t>
            </w:r>
          </w:p>
        </w:tc>
        <w:tc>
          <w:tcPr>
            <w:tcW w:w="1322" w:type="dxa"/>
            <w:shd w:val="clear" w:color="auto" w:fill="BDD6EE" w:themeFill="accent1" w:themeFillTint="66"/>
            <w:tcMar>
              <w:left w:w="57" w:type="dxa"/>
              <w:right w:w="57" w:type="dxa"/>
            </w:tcMar>
          </w:tcPr>
          <w:p w14:paraId="49952E67" w14:textId="77777777" w:rsidR="002B7EA8" w:rsidRPr="00E40A38" w:rsidRDefault="002B7EA8" w:rsidP="001417FF">
            <w:pPr>
              <w:pStyle w:val="TableText"/>
              <w:spacing w:before="0" w:after="0"/>
            </w:pPr>
            <w:r w:rsidRPr="00E40A38">
              <w:t>4.19 (3.22, 5.45)</w:t>
            </w:r>
          </w:p>
        </w:tc>
        <w:tc>
          <w:tcPr>
            <w:tcW w:w="1464" w:type="dxa"/>
            <w:shd w:val="clear" w:color="auto" w:fill="BDD6EE" w:themeFill="accent1" w:themeFillTint="66"/>
            <w:tcMar>
              <w:left w:w="57" w:type="dxa"/>
              <w:right w:w="57" w:type="dxa"/>
            </w:tcMar>
          </w:tcPr>
          <w:p w14:paraId="7B2209D2" w14:textId="77777777" w:rsidR="002B7EA8" w:rsidRPr="00E40A38" w:rsidRDefault="002B7EA8" w:rsidP="001417FF">
            <w:pPr>
              <w:pStyle w:val="TableText"/>
              <w:spacing w:before="0" w:after="0"/>
            </w:pPr>
            <w:r w:rsidRPr="00E40A38">
              <w:t>1.51 (0.81, 2.82)</w:t>
            </w:r>
          </w:p>
        </w:tc>
        <w:tc>
          <w:tcPr>
            <w:tcW w:w="1464" w:type="dxa"/>
            <w:shd w:val="clear" w:color="auto" w:fill="BDD6EE" w:themeFill="accent1" w:themeFillTint="66"/>
            <w:tcMar>
              <w:left w:w="57" w:type="dxa"/>
              <w:right w:w="57" w:type="dxa"/>
            </w:tcMar>
          </w:tcPr>
          <w:p w14:paraId="63DFA669" w14:textId="77777777" w:rsidR="002B7EA8" w:rsidRPr="00E40A38" w:rsidRDefault="002B7EA8" w:rsidP="001417FF">
            <w:pPr>
              <w:pStyle w:val="TableText"/>
              <w:spacing w:before="0" w:after="0"/>
            </w:pPr>
            <w:r w:rsidRPr="00E40A38">
              <w:t>1.51 (0.83, 2.76)</w:t>
            </w:r>
          </w:p>
        </w:tc>
        <w:tc>
          <w:tcPr>
            <w:tcW w:w="1464" w:type="dxa"/>
            <w:shd w:val="clear" w:color="auto" w:fill="BDD6EE" w:themeFill="accent1" w:themeFillTint="66"/>
            <w:tcMar>
              <w:left w:w="57" w:type="dxa"/>
              <w:right w:w="57" w:type="dxa"/>
            </w:tcMar>
          </w:tcPr>
          <w:p w14:paraId="1600045B" w14:textId="77777777" w:rsidR="002B7EA8" w:rsidRPr="00E40A38" w:rsidRDefault="002B7EA8" w:rsidP="001417FF">
            <w:pPr>
              <w:pStyle w:val="TableText"/>
              <w:spacing w:before="0" w:after="0"/>
            </w:pPr>
            <w:r w:rsidRPr="00E40A38">
              <w:t>1.52 (0.81, 2.85)</w:t>
            </w:r>
          </w:p>
        </w:tc>
        <w:tc>
          <w:tcPr>
            <w:tcW w:w="1464" w:type="dxa"/>
            <w:tcMar>
              <w:left w:w="57" w:type="dxa"/>
              <w:right w:w="57" w:type="dxa"/>
            </w:tcMar>
          </w:tcPr>
          <w:p w14:paraId="34A41B31" w14:textId="645AD852" w:rsidR="002B7EA8" w:rsidRPr="000A0B14" w:rsidRDefault="005F01AB" w:rsidP="001417FF">
            <w:pPr>
              <w:pStyle w:val="TableText"/>
              <w:spacing w:before="0" w:after="0"/>
            </w:pPr>
            <w:r w:rsidRPr="000A0B14">
              <w:t>1.63</w:t>
            </w:r>
            <w:r w:rsidR="00C30F10" w:rsidRPr="000A0B14">
              <w:t xml:space="preserve"> </w:t>
            </w:r>
            <w:r w:rsidRPr="000A0B14">
              <w:t>(0.76, 3.48)</w:t>
            </w:r>
          </w:p>
        </w:tc>
      </w:tr>
      <w:tr w:rsidR="00D07071" w:rsidRPr="00E40A38" w14:paraId="4024E434" w14:textId="77777777" w:rsidTr="005D76F9">
        <w:tc>
          <w:tcPr>
            <w:tcW w:w="1838" w:type="dxa"/>
            <w:shd w:val="clear" w:color="auto" w:fill="BDD6EE" w:themeFill="accent1" w:themeFillTint="66"/>
          </w:tcPr>
          <w:p w14:paraId="5368C8AC" w14:textId="6325C60C" w:rsidR="00D07071" w:rsidRPr="00E40A38" w:rsidRDefault="00D07071" w:rsidP="001417FF">
            <w:pPr>
              <w:pStyle w:val="TableText"/>
              <w:spacing w:before="0" w:after="0"/>
            </w:pPr>
            <w:r w:rsidRPr="00E40A38">
              <w:t>Rate ratio (95% CI)</w:t>
            </w:r>
            <w:r w:rsidR="00CA7F56" w:rsidRPr="00F157AD">
              <w:rPr>
                <w:vertAlign w:val="superscript"/>
              </w:rPr>
              <w:t>b</w:t>
            </w:r>
          </w:p>
          <w:p w14:paraId="46E7E72C" w14:textId="75E75F40" w:rsidR="00D07071" w:rsidRPr="00E40A38" w:rsidRDefault="00D07071" w:rsidP="001417FF">
            <w:pPr>
              <w:pStyle w:val="TableText"/>
              <w:spacing w:before="0" w:after="0"/>
            </w:pPr>
            <w:r w:rsidRPr="00E40A38">
              <w:t>p-value</w:t>
            </w:r>
          </w:p>
        </w:tc>
        <w:tc>
          <w:tcPr>
            <w:tcW w:w="1322" w:type="dxa"/>
            <w:shd w:val="clear" w:color="auto" w:fill="BDD6EE" w:themeFill="accent1" w:themeFillTint="66"/>
            <w:tcMar>
              <w:left w:w="57" w:type="dxa"/>
              <w:right w:w="57" w:type="dxa"/>
            </w:tcMar>
          </w:tcPr>
          <w:p w14:paraId="499C5687" w14:textId="77777777" w:rsidR="00D07071" w:rsidRPr="00E40A38" w:rsidRDefault="00D07071" w:rsidP="001417FF">
            <w:pPr>
              <w:pStyle w:val="TableText"/>
              <w:spacing w:before="0" w:after="0"/>
            </w:pPr>
          </w:p>
        </w:tc>
        <w:tc>
          <w:tcPr>
            <w:tcW w:w="1464" w:type="dxa"/>
            <w:shd w:val="clear" w:color="auto" w:fill="BDD6EE" w:themeFill="accent1" w:themeFillTint="66"/>
            <w:tcMar>
              <w:left w:w="57" w:type="dxa"/>
              <w:right w:w="57" w:type="dxa"/>
            </w:tcMar>
          </w:tcPr>
          <w:p w14:paraId="1351D58D" w14:textId="77777777" w:rsidR="00D07071" w:rsidRPr="00E40A38" w:rsidRDefault="00D07071" w:rsidP="001417FF">
            <w:pPr>
              <w:pStyle w:val="TableText"/>
              <w:spacing w:before="0" w:after="0"/>
              <w:rPr>
                <w:b/>
                <w:bCs/>
              </w:rPr>
            </w:pPr>
            <w:r w:rsidRPr="00E40A38">
              <w:rPr>
                <w:b/>
                <w:bCs/>
              </w:rPr>
              <w:t>0.36 (0.20, 0.64)</w:t>
            </w:r>
          </w:p>
          <w:p w14:paraId="0DB06731" w14:textId="457A2BE2" w:rsidR="00D07071" w:rsidRPr="00E40A38" w:rsidRDefault="00D07071" w:rsidP="001417FF">
            <w:pPr>
              <w:pStyle w:val="TableText"/>
              <w:spacing w:before="0" w:after="0"/>
            </w:pPr>
            <w:r w:rsidRPr="00E40A38">
              <w:rPr>
                <w:b/>
                <w:bCs/>
              </w:rPr>
              <w:t>p=0.0002</w:t>
            </w:r>
          </w:p>
        </w:tc>
        <w:tc>
          <w:tcPr>
            <w:tcW w:w="1464" w:type="dxa"/>
            <w:shd w:val="clear" w:color="auto" w:fill="BDD6EE" w:themeFill="accent1" w:themeFillTint="66"/>
            <w:tcMar>
              <w:left w:w="57" w:type="dxa"/>
              <w:right w:w="57" w:type="dxa"/>
            </w:tcMar>
          </w:tcPr>
          <w:p w14:paraId="7AF256A3" w14:textId="77777777" w:rsidR="00D07071" w:rsidRPr="00E40A38" w:rsidRDefault="00D07071" w:rsidP="001417FF">
            <w:pPr>
              <w:pStyle w:val="TableText"/>
              <w:spacing w:before="0" w:after="0"/>
              <w:rPr>
                <w:b/>
                <w:bCs/>
              </w:rPr>
            </w:pPr>
            <w:r w:rsidRPr="00E40A38">
              <w:rPr>
                <w:b/>
                <w:bCs/>
              </w:rPr>
              <w:t>0.36 (0.21, 0.63)</w:t>
            </w:r>
          </w:p>
          <w:p w14:paraId="437376BA" w14:textId="3DF2ADBE" w:rsidR="00D07071" w:rsidRPr="00E40A38" w:rsidRDefault="00D07071" w:rsidP="001417FF">
            <w:pPr>
              <w:pStyle w:val="TableText"/>
              <w:spacing w:before="0" w:after="0"/>
            </w:pPr>
            <w:r w:rsidRPr="00E40A38">
              <w:rPr>
                <w:b/>
                <w:bCs/>
              </w:rPr>
              <w:t>p=0.0002</w:t>
            </w:r>
          </w:p>
        </w:tc>
        <w:tc>
          <w:tcPr>
            <w:tcW w:w="1464" w:type="dxa"/>
            <w:shd w:val="clear" w:color="auto" w:fill="BDD6EE" w:themeFill="accent1" w:themeFillTint="66"/>
            <w:tcMar>
              <w:left w:w="57" w:type="dxa"/>
              <w:right w:w="57" w:type="dxa"/>
            </w:tcMar>
          </w:tcPr>
          <w:p w14:paraId="220015B0" w14:textId="77777777" w:rsidR="00D07071" w:rsidRPr="00E40A38" w:rsidRDefault="00D07071" w:rsidP="001417FF">
            <w:pPr>
              <w:pStyle w:val="TableText"/>
              <w:spacing w:before="0" w:after="0"/>
              <w:rPr>
                <w:b/>
                <w:bCs/>
              </w:rPr>
            </w:pPr>
            <w:r w:rsidRPr="00E40A38">
              <w:rPr>
                <w:b/>
                <w:bCs/>
              </w:rPr>
              <w:t>0.36 (0.20, 0.66)</w:t>
            </w:r>
          </w:p>
          <w:p w14:paraId="3F9E92B0" w14:textId="784CB53C" w:rsidR="00D07071" w:rsidRPr="00E40A38" w:rsidRDefault="00D07071" w:rsidP="001417FF">
            <w:pPr>
              <w:pStyle w:val="TableText"/>
              <w:spacing w:before="0" w:after="0"/>
            </w:pPr>
            <w:r w:rsidRPr="00E40A38">
              <w:rPr>
                <w:b/>
                <w:bCs/>
              </w:rPr>
              <w:t>p=0.0004</w:t>
            </w:r>
          </w:p>
        </w:tc>
        <w:tc>
          <w:tcPr>
            <w:tcW w:w="1464" w:type="dxa"/>
            <w:tcMar>
              <w:left w:w="57" w:type="dxa"/>
              <w:right w:w="57" w:type="dxa"/>
            </w:tcMar>
          </w:tcPr>
          <w:p w14:paraId="1D8F8C7D" w14:textId="6E583B8D" w:rsidR="001B5790" w:rsidRPr="000A0B14" w:rsidRDefault="001B5790" w:rsidP="001417FF">
            <w:pPr>
              <w:pStyle w:val="TableText"/>
              <w:spacing w:before="0" w:after="0"/>
              <w:rPr>
                <w:b/>
                <w:bCs/>
              </w:rPr>
            </w:pPr>
            <w:r w:rsidRPr="000A0B14">
              <w:rPr>
                <w:b/>
                <w:bCs/>
              </w:rPr>
              <w:t>0.39</w:t>
            </w:r>
            <w:r w:rsidR="00C30F10" w:rsidRPr="000A0B14">
              <w:rPr>
                <w:b/>
                <w:bCs/>
              </w:rPr>
              <w:t xml:space="preserve"> </w:t>
            </w:r>
            <w:r w:rsidRPr="000A0B14">
              <w:rPr>
                <w:b/>
                <w:bCs/>
              </w:rPr>
              <w:t>(0.19, 0.81)</w:t>
            </w:r>
          </w:p>
          <w:p w14:paraId="416E50F7" w14:textId="270D676F" w:rsidR="00D07071" w:rsidRPr="000A0B14" w:rsidRDefault="001B5790" w:rsidP="001417FF">
            <w:pPr>
              <w:pStyle w:val="TableText"/>
              <w:spacing w:before="0" w:after="0"/>
              <w:rPr>
                <w:b/>
                <w:bCs/>
              </w:rPr>
            </w:pPr>
            <w:r w:rsidRPr="000A0B14">
              <w:rPr>
                <w:b/>
                <w:bCs/>
              </w:rPr>
              <w:t>p=0.0058</w:t>
            </w:r>
          </w:p>
        </w:tc>
      </w:tr>
    </w:tbl>
    <w:p w14:paraId="0B89BDA4" w14:textId="2511F51F" w:rsidR="002B7EA8" w:rsidRPr="00E40A38" w:rsidRDefault="002B7EA8" w:rsidP="00863AB6">
      <w:pPr>
        <w:pStyle w:val="TableFigureFooter"/>
        <w:shd w:val="clear" w:color="auto" w:fill="BDD6EE" w:themeFill="accent1" w:themeFillTint="66"/>
      </w:pPr>
      <w:r w:rsidRPr="00E40A38">
        <w:t>ABR = annualised bleeding rate; CI = confidence interval</w:t>
      </w:r>
      <w:r w:rsidR="003E2CEC">
        <w:t>.</w:t>
      </w:r>
      <w:r w:rsidRPr="00E40A38">
        <w:br/>
        <w:t xml:space="preserve">Note: One-sided p-value ≤ 0.025 for </w:t>
      </w:r>
      <w:r w:rsidR="00B47428">
        <w:t>p</w:t>
      </w:r>
      <w:r w:rsidRPr="00E40A38">
        <w:t>ost-treatment</w:t>
      </w:r>
      <w:r w:rsidR="00B47428">
        <w:t xml:space="preserve"> </w:t>
      </w:r>
      <w:r w:rsidRPr="00E40A38">
        <w:t>/</w:t>
      </w:r>
      <w:r w:rsidR="00B47428">
        <w:t xml:space="preserve"> l</w:t>
      </w:r>
      <w:r w:rsidRPr="00E40A38">
        <w:t>ead-</w:t>
      </w:r>
      <w:r w:rsidR="00B47428">
        <w:t>i</w:t>
      </w:r>
      <w:r w:rsidRPr="00E40A38">
        <w:t>n &lt; 1 is regarded as statistically significant.</w:t>
      </w:r>
      <w:r w:rsidRPr="00E40A38">
        <w:br/>
      </w:r>
      <w:bookmarkStart w:id="28" w:name="_Hlk164251119"/>
      <w:r w:rsidRPr="00E40A38">
        <w:t>a Unadjusted ABR is calculated as ratio of total (pooled) patient number of bleeds to total (pooled) patient time of observation (in years)</w:t>
      </w:r>
      <w:bookmarkEnd w:id="28"/>
      <w:r w:rsidR="00CA7F56">
        <w:br/>
        <w:t xml:space="preserve">b Rate ratio is calculated as </w:t>
      </w:r>
      <w:r w:rsidR="00CA7F56" w:rsidRPr="00CA7F56">
        <w:t>post-treatment / lead-in</w:t>
      </w:r>
      <w:r w:rsidR="00CA7F56">
        <w:t>.</w:t>
      </w:r>
      <w:r w:rsidRPr="00E40A38">
        <w:br/>
        <w:t>Source: Table 2-2</w:t>
      </w:r>
      <w:r w:rsidR="002D05FA">
        <w:t>4</w:t>
      </w:r>
      <w:r w:rsidRPr="00E40A38">
        <w:t xml:space="preserve"> of MSAC 1728</w:t>
      </w:r>
      <w:r w:rsidR="002D05FA">
        <w:t>.1</w:t>
      </w:r>
      <w:r w:rsidRPr="00E40A38">
        <w:t xml:space="preserve"> ADAR</w:t>
      </w:r>
      <w:r w:rsidR="00BB3FEC">
        <w:t xml:space="preserve"> </w:t>
      </w:r>
      <w:r w:rsidRPr="00E40A38">
        <w:t>+</w:t>
      </w:r>
      <w:r w:rsidR="00BB3FEC">
        <w:t xml:space="preserve"> </w:t>
      </w:r>
      <w:r w:rsidRPr="00E40A38">
        <w:t>in-line commentary.</w:t>
      </w:r>
    </w:p>
    <w:p w14:paraId="0BE2EEA5" w14:textId="5AD0F722" w:rsidR="001215C5" w:rsidRDefault="005E7EB0" w:rsidP="005E7EB0">
      <w:pPr>
        <w:rPr>
          <w:lang w:val="en-US"/>
        </w:rPr>
      </w:pPr>
      <w:r w:rsidRPr="00014C35">
        <w:rPr>
          <w:lang w:val="en-US"/>
        </w:rPr>
        <w:lastRenderedPageBreak/>
        <w:t xml:space="preserve">ABR by bleed subtype (spontaneous, traumatic, new and true, and joint), whether the bleed was FIX-treated or not, was substantially reduced compared to the </w:t>
      </w:r>
      <w:r w:rsidR="00AF134E">
        <w:rPr>
          <w:lang w:val="en-US"/>
        </w:rPr>
        <w:t>l</w:t>
      </w:r>
      <w:r w:rsidRPr="00014C35">
        <w:rPr>
          <w:lang w:val="en-US"/>
        </w:rPr>
        <w:t xml:space="preserve">ead-in </w:t>
      </w:r>
      <w:r w:rsidR="00AF134E">
        <w:rPr>
          <w:lang w:val="en-US"/>
        </w:rPr>
        <w:t>p</w:t>
      </w:r>
      <w:r w:rsidRPr="00014C35">
        <w:rPr>
          <w:lang w:val="en-US"/>
        </w:rPr>
        <w:t xml:space="preserve">eriod for Months 7 to 48 post dose. The reduction in ABR was statistically significant for all bleed subtypes </w:t>
      </w:r>
      <w:proofErr w:type="spellStart"/>
      <w:r w:rsidRPr="00A53CE2">
        <w:rPr>
          <w:lang w:val="en-US"/>
        </w:rPr>
        <w:t>analysed</w:t>
      </w:r>
      <w:proofErr w:type="spellEnd"/>
      <w:r w:rsidRPr="00A53CE2">
        <w:rPr>
          <w:lang w:val="en-US"/>
        </w:rPr>
        <w:t xml:space="preserve"> </w:t>
      </w:r>
      <w:r w:rsidRPr="00A53CE2">
        <w:t>(p</w:t>
      </w:r>
      <w:r w:rsidR="00FB0FC8">
        <w:t> </w:t>
      </w:r>
      <w:r w:rsidRPr="00A53CE2">
        <w:rPr>
          <w:lang w:val="en-US"/>
        </w:rPr>
        <w:t>≤</w:t>
      </w:r>
      <w:r w:rsidR="006F11C3">
        <w:rPr>
          <w:lang w:val="en-US"/>
        </w:rPr>
        <w:t> </w:t>
      </w:r>
      <w:r w:rsidRPr="00A53CE2">
        <w:rPr>
          <w:lang w:val="en-US"/>
        </w:rPr>
        <w:t>0.025</w:t>
      </w:r>
      <w:r w:rsidRPr="00A53CE2">
        <w:t>)</w:t>
      </w:r>
      <w:r w:rsidRPr="00A53CE2">
        <w:rPr>
          <w:lang w:val="en-US"/>
        </w:rPr>
        <w:t xml:space="preserve">, except for </w:t>
      </w:r>
      <w:r w:rsidR="00672E47">
        <w:rPr>
          <w:lang w:val="en-US"/>
        </w:rPr>
        <w:t xml:space="preserve">any </w:t>
      </w:r>
      <w:r w:rsidRPr="00A53CE2">
        <w:rPr>
          <w:lang w:val="en-US"/>
        </w:rPr>
        <w:t xml:space="preserve">FIX-treated bleeding episodes </w:t>
      </w:r>
      <w:r w:rsidRPr="00A53CE2">
        <w:t>(p</w:t>
      </w:r>
      <w:r w:rsidR="00FB0FC8">
        <w:t> </w:t>
      </w:r>
      <w:r w:rsidRPr="00A53CE2">
        <w:t>=</w:t>
      </w:r>
      <w:r w:rsidR="006F11C3">
        <w:t> </w:t>
      </w:r>
      <w:r w:rsidRPr="00A53CE2">
        <w:rPr>
          <w:lang w:val="en-US"/>
        </w:rPr>
        <w:t>0.0441</w:t>
      </w:r>
      <w:r w:rsidRPr="00A53CE2">
        <w:t xml:space="preserve">) </w:t>
      </w:r>
      <w:r w:rsidRPr="00A53CE2">
        <w:rPr>
          <w:lang w:val="en-US"/>
        </w:rPr>
        <w:t xml:space="preserve">and spontaneous FIX-treated bleeding episodes </w:t>
      </w:r>
      <w:r w:rsidRPr="00A53CE2">
        <w:t>(p</w:t>
      </w:r>
      <w:r w:rsidR="00FB0FC8">
        <w:t> </w:t>
      </w:r>
      <w:r w:rsidRPr="00A53CE2">
        <w:t>=</w:t>
      </w:r>
      <w:r w:rsidR="006F11C3">
        <w:t> </w:t>
      </w:r>
      <w:r w:rsidRPr="00A53CE2">
        <w:rPr>
          <w:lang w:val="en-US"/>
        </w:rPr>
        <w:t>0.0816</w:t>
      </w:r>
      <w:r w:rsidRPr="00A53CE2">
        <w:t xml:space="preserve">) </w:t>
      </w:r>
      <w:r w:rsidRPr="00A53CE2">
        <w:rPr>
          <w:lang w:val="en-US"/>
        </w:rPr>
        <w:t>at Months 7 to 48 post dose which saw nominal reductions</w:t>
      </w:r>
      <w:r w:rsidR="00A53CE2">
        <w:rPr>
          <w:lang w:val="en-US"/>
        </w:rPr>
        <w:t>.</w:t>
      </w:r>
    </w:p>
    <w:p w14:paraId="055D98A4" w14:textId="4D00A44D" w:rsidR="00644C50" w:rsidRDefault="00824EDE" w:rsidP="005E7EB0">
      <w:pPr>
        <w:rPr>
          <w:lang w:val="en-US"/>
        </w:rPr>
      </w:pPr>
      <w:r>
        <w:rPr>
          <w:lang w:val="en-US"/>
        </w:rPr>
        <w:t>P</w:t>
      </w:r>
      <w:r w:rsidR="00B40BE6">
        <w:rPr>
          <w:lang w:val="en-US"/>
        </w:rPr>
        <w:t xml:space="preserve">lots </w:t>
      </w:r>
      <w:r w:rsidR="00A46DA3">
        <w:rPr>
          <w:lang w:val="en-US"/>
        </w:rPr>
        <w:t>of bleeding episodes by subject</w:t>
      </w:r>
      <w:r w:rsidR="004E0630">
        <w:rPr>
          <w:lang w:val="en-US"/>
        </w:rPr>
        <w:t xml:space="preserve"> </w:t>
      </w:r>
      <w:r w:rsidR="00120E0F">
        <w:rPr>
          <w:lang w:val="en-US"/>
        </w:rPr>
        <w:t xml:space="preserve">were presented in the ADAR </w:t>
      </w:r>
      <w:r w:rsidR="004E0630">
        <w:rPr>
          <w:lang w:val="en-US"/>
        </w:rPr>
        <w:t>(</w:t>
      </w:r>
      <w:r w:rsidR="004A7EB5">
        <w:rPr>
          <w:lang w:val="en-US"/>
        </w:rPr>
        <w:t xml:space="preserve">shown below in </w:t>
      </w:r>
      <w:r w:rsidR="004E0630">
        <w:rPr>
          <w:lang w:val="en-US"/>
        </w:rPr>
        <w:fldChar w:fldCharType="begin"/>
      </w:r>
      <w:r w:rsidR="004E0630">
        <w:rPr>
          <w:lang w:val="en-US"/>
        </w:rPr>
        <w:instrText xml:space="preserve"> REF _Ref194929369 \h </w:instrText>
      </w:r>
      <w:r w:rsidR="004E0630">
        <w:rPr>
          <w:lang w:val="en-US"/>
        </w:rPr>
      </w:r>
      <w:r w:rsidR="004E0630">
        <w:rPr>
          <w:lang w:val="en-US"/>
        </w:rPr>
        <w:fldChar w:fldCharType="separate"/>
      </w:r>
      <w:r w:rsidR="00146997">
        <w:t xml:space="preserve">Figure </w:t>
      </w:r>
      <w:r w:rsidR="00146997">
        <w:rPr>
          <w:noProof/>
        </w:rPr>
        <w:t>1</w:t>
      </w:r>
      <w:r w:rsidR="004E0630">
        <w:rPr>
          <w:lang w:val="en-US"/>
        </w:rPr>
        <w:fldChar w:fldCharType="end"/>
      </w:r>
      <w:r w:rsidR="004E0630">
        <w:rPr>
          <w:lang w:val="en-US"/>
        </w:rPr>
        <w:t xml:space="preserve"> </w:t>
      </w:r>
      <w:r w:rsidR="00CF0AF3">
        <w:rPr>
          <w:lang w:val="en-US"/>
        </w:rPr>
        <w:t>–</w:t>
      </w:r>
      <w:r w:rsidR="004B3C0F">
        <w:rPr>
          <w:lang w:val="en-US"/>
        </w:rPr>
        <w:t xml:space="preserve"> </w:t>
      </w:r>
      <w:r w:rsidR="004E0630">
        <w:rPr>
          <w:lang w:val="en-US"/>
        </w:rPr>
        <w:t>all bleeds</w:t>
      </w:r>
      <w:r w:rsidR="0010573A">
        <w:rPr>
          <w:lang w:val="en-US"/>
        </w:rPr>
        <w:t>,</w:t>
      </w:r>
      <w:r w:rsidR="004E0630">
        <w:rPr>
          <w:lang w:val="en-US"/>
        </w:rPr>
        <w:t xml:space="preserve"> and </w:t>
      </w:r>
      <w:r w:rsidR="004E0630">
        <w:rPr>
          <w:lang w:val="en-US"/>
        </w:rPr>
        <w:fldChar w:fldCharType="begin"/>
      </w:r>
      <w:r w:rsidR="004E0630">
        <w:rPr>
          <w:lang w:val="en-US"/>
        </w:rPr>
        <w:instrText xml:space="preserve"> REF _Ref194929373 \h </w:instrText>
      </w:r>
      <w:r w:rsidR="004E0630">
        <w:rPr>
          <w:lang w:val="en-US"/>
        </w:rPr>
      </w:r>
      <w:r w:rsidR="004E0630">
        <w:rPr>
          <w:lang w:val="en-US"/>
        </w:rPr>
        <w:fldChar w:fldCharType="separate"/>
      </w:r>
      <w:r w:rsidR="00146997">
        <w:t xml:space="preserve">Figure </w:t>
      </w:r>
      <w:r w:rsidR="00146997">
        <w:rPr>
          <w:noProof/>
        </w:rPr>
        <w:t>2</w:t>
      </w:r>
      <w:r w:rsidR="004E0630">
        <w:rPr>
          <w:lang w:val="en-US"/>
        </w:rPr>
        <w:fldChar w:fldCharType="end"/>
      </w:r>
      <w:r w:rsidR="004E0630">
        <w:rPr>
          <w:lang w:val="en-US"/>
        </w:rPr>
        <w:t xml:space="preserve"> </w:t>
      </w:r>
      <w:r w:rsidR="00CF0AF3">
        <w:rPr>
          <w:lang w:val="en-US"/>
        </w:rPr>
        <w:t>–</w:t>
      </w:r>
      <w:r w:rsidR="004A7EB5">
        <w:rPr>
          <w:lang w:val="en-US"/>
        </w:rPr>
        <w:t xml:space="preserve"> </w:t>
      </w:r>
      <w:r w:rsidR="004E0630">
        <w:rPr>
          <w:lang w:val="en-US"/>
        </w:rPr>
        <w:t>joint bleeds)</w:t>
      </w:r>
      <w:r w:rsidR="00A46DA3">
        <w:rPr>
          <w:lang w:val="en-US"/>
        </w:rPr>
        <w:t xml:space="preserve">. </w:t>
      </w:r>
      <w:r w:rsidR="00F65ADF">
        <w:rPr>
          <w:lang w:val="en-US"/>
        </w:rPr>
        <w:t xml:space="preserve">The analysis excluded </w:t>
      </w:r>
      <w:r>
        <w:rPr>
          <w:lang w:val="en-US"/>
        </w:rPr>
        <w:t>2</w:t>
      </w:r>
      <w:r w:rsidR="006D4DCA">
        <w:rPr>
          <w:lang w:val="en-US"/>
        </w:rPr>
        <w:t xml:space="preserve"> </w:t>
      </w:r>
      <w:r w:rsidR="00F65ADF">
        <w:rPr>
          <w:lang w:val="en-US"/>
        </w:rPr>
        <w:t>non-responders</w:t>
      </w:r>
      <w:r w:rsidR="004A7EB5">
        <w:rPr>
          <w:lang w:val="en-US"/>
        </w:rPr>
        <w:t xml:space="preserve"> (</w:t>
      </w:r>
      <w:r w:rsidR="00955934" w:rsidRPr="00D84B66">
        <w:rPr>
          <w:b/>
          <w:bCs/>
          <w:lang w:val="en-US"/>
        </w:rPr>
        <w:t>redacted</w:t>
      </w:r>
      <w:r w:rsidR="004A7EB5">
        <w:rPr>
          <w:lang w:val="en-US"/>
        </w:rPr>
        <w:t>)</w:t>
      </w:r>
      <w:r w:rsidR="00F65ADF">
        <w:rPr>
          <w:lang w:val="en-US"/>
        </w:rPr>
        <w:t xml:space="preserve"> as they impacted the plots</w:t>
      </w:r>
      <w:r w:rsidR="006D4DCA">
        <w:rPr>
          <w:lang w:val="en-US"/>
        </w:rPr>
        <w:t>’</w:t>
      </w:r>
      <w:r w:rsidR="00F65ADF">
        <w:rPr>
          <w:lang w:val="en-US"/>
        </w:rPr>
        <w:t xml:space="preserve"> interpretability</w:t>
      </w:r>
      <w:r w:rsidR="6ECE6C52">
        <w:rPr>
          <w:lang w:val="en-US"/>
        </w:rPr>
        <w:t>.</w:t>
      </w:r>
      <w:r w:rsidR="00EC39DA">
        <w:rPr>
          <w:lang w:val="en-US"/>
        </w:rPr>
        <w:t xml:space="preserve"> </w:t>
      </w:r>
      <w:r w:rsidR="00955934">
        <w:rPr>
          <w:b/>
          <w:bCs/>
          <w:lang w:val="en-US"/>
        </w:rPr>
        <w:t xml:space="preserve">Redacted </w:t>
      </w:r>
      <w:r w:rsidR="35E259D4" w:rsidRPr="65568415">
        <w:rPr>
          <w:lang w:val="en-US"/>
        </w:rPr>
        <w:t>who had a hig</w:t>
      </w:r>
      <w:r w:rsidR="5C251197" w:rsidRPr="65568415">
        <w:rPr>
          <w:lang w:val="en-US"/>
        </w:rPr>
        <w:t>h</w:t>
      </w:r>
      <w:r w:rsidR="35E259D4" w:rsidRPr="65568415">
        <w:rPr>
          <w:lang w:val="en-US"/>
        </w:rPr>
        <w:t xml:space="preserve"> pre-treatment </w:t>
      </w:r>
      <w:proofErr w:type="spellStart"/>
      <w:r w:rsidR="35E259D4" w:rsidRPr="65568415">
        <w:rPr>
          <w:lang w:val="en-US"/>
        </w:rPr>
        <w:t>NAb</w:t>
      </w:r>
      <w:proofErr w:type="spellEnd"/>
      <w:r w:rsidR="35E259D4" w:rsidRPr="65568415">
        <w:rPr>
          <w:lang w:val="en-US"/>
        </w:rPr>
        <w:t xml:space="preserve"> </w:t>
      </w:r>
      <w:proofErr w:type="spellStart"/>
      <w:r w:rsidR="35E259D4" w:rsidRPr="65568415">
        <w:rPr>
          <w:lang w:val="en-US"/>
        </w:rPr>
        <w:t>titre</w:t>
      </w:r>
      <w:proofErr w:type="spellEnd"/>
      <w:r w:rsidR="35E259D4" w:rsidRPr="65568415">
        <w:rPr>
          <w:lang w:val="en-US"/>
        </w:rPr>
        <w:t xml:space="preserve"> (3212.3) would not be eligible for </w:t>
      </w:r>
      <w:r w:rsidR="00E26079">
        <w:rPr>
          <w:lang w:val="en-US"/>
        </w:rPr>
        <w:t>ED</w:t>
      </w:r>
      <w:r w:rsidR="00E26079" w:rsidRPr="65568415">
        <w:rPr>
          <w:lang w:val="en-US"/>
        </w:rPr>
        <w:t xml:space="preserve"> </w:t>
      </w:r>
      <w:r w:rsidR="35E259D4" w:rsidRPr="65568415">
        <w:rPr>
          <w:lang w:val="en-US"/>
        </w:rPr>
        <w:t xml:space="preserve">under the proposed eligibility </w:t>
      </w:r>
      <w:r w:rsidR="40DF2683" w:rsidRPr="1F2D4E79">
        <w:rPr>
          <w:lang w:val="en-US"/>
        </w:rPr>
        <w:t>criteria</w:t>
      </w:r>
      <w:r w:rsidR="35E259D4" w:rsidRPr="65568415">
        <w:rPr>
          <w:lang w:val="en-US"/>
        </w:rPr>
        <w:t xml:space="preserve"> and therefore their omission from the data </w:t>
      </w:r>
      <w:r w:rsidR="2F16A60F" w:rsidRPr="124F3E36">
        <w:rPr>
          <w:lang w:val="en-US"/>
        </w:rPr>
        <w:t>was considered</w:t>
      </w:r>
      <w:r w:rsidR="35E259D4" w:rsidRPr="65568415">
        <w:rPr>
          <w:lang w:val="en-US"/>
        </w:rPr>
        <w:t xml:space="preserve"> inconsequ</w:t>
      </w:r>
      <w:r w:rsidR="05E280EF" w:rsidRPr="65568415">
        <w:rPr>
          <w:lang w:val="en-US"/>
        </w:rPr>
        <w:t>ential.</w:t>
      </w:r>
      <w:r w:rsidR="35E259D4" w:rsidRPr="65568415">
        <w:rPr>
          <w:lang w:val="en-US"/>
        </w:rPr>
        <w:t xml:space="preserve"> </w:t>
      </w:r>
      <w:r w:rsidR="005F117F">
        <w:rPr>
          <w:b/>
          <w:bCs/>
          <w:lang w:val="en-US"/>
        </w:rPr>
        <w:t xml:space="preserve">Redacted </w:t>
      </w:r>
      <w:r w:rsidR="1BC8AA9D" w:rsidRPr="37EE89D0">
        <w:rPr>
          <w:lang w:val="en-US"/>
        </w:rPr>
        <w:t xml:space="preserve">received a partial dose of </w:t>
      </w:r>
      <w:r w:rsidR="00E26079">
        <w:rPr>
          <w:lang w:val="en-US"/>
        </w:rPr>
        <w:t>ED</w:t>
      </w:r>
      <w:r w:rsidR="00E26079" w:rsidRPr="65568415">
        <w:rPr>
          <w:lang w:val="en-US"/>
        </w:rPr>
        <w:t xml:space="preserve"> </w:t>
      </w:r>
      <w:r w:rsidR="34208416" w:rsidRPr="475F26A8">
        <w:rPr>
          <w:lang w:val="en-US"/>
        </w:rPr>
        <w:t>(</w:t>
      </w:r>
      <w:r w:rsidR="34208416" w:rsidRPr="37625B7F">
        <w:rPr>
          <w:lang w:val="en-US"/>
        </w:rPr>
        <w:t xml:space="preserve">due to a </w:t>
      </w:r>
      <w:r w:rsidR="34208416" w:rsidRPr="2B2E44B6">
        <w:rPr>
          <w:lang w:val="en-US"/>
        </w:rPr>
        <w:t>hypersensitivity</w:t>
      </w:r>
      <w:r w:rsidR="34208416" w:rsidRPr="37625B7F">
        <w:rPr>
          <w:lang w:val="en-US"/>
        </w:rPr>
        <w:t xml:space="preserve"> reaction</w:t>
      </w:r>
      <w:r w:rsidR="34208416" w:rsidRPr="4E0A2ECF">
        <w:rPr>
          <w:lang w:val="en-US"/>
        </w:rPr>
        <w:t>) and</w:t>
      </w:r>
      <w:r w:rsidR="35E259D4" w:rsidRPr="37625B7F">
        <w:rPr>
          <w:lang w:val="en-US"/>
        </w:rPr>
        <w:t xml:space="preserve"> </w:t>
      </w:r>
      <w:r w:rsidR="34208416" w:rsidRPr="52A736D4">
        <w:rPr>
          <w:lang w:val="en-US"/>
        </w:rPr>
        <w:t>continued on exogenous FIX therapy</w:t>
      </w:r>
      <w:r w:rsidR="34208416" w:rsidRPr="2C942388">
        <w:rPr>
          <w:lang w:val="en-US"/>
        </w:rPr>
        <w:t xml:space="preserve">. </w:t>
      </w:r>
      <w:r w:rsidR="34208416" w:rsidRPr="124F3E36">
        <w:rPr>
          <w:lang w:val="en-US"/>
        </w:rPr>
        <w:t xml:space="preserve">This </w:t>
      </w:r>
      <w:r w:rsidR="0D436B39" w:rsidRPr="124F3E36">
        <w:rPr>
          <w:lang w:val="en-US"/>
        </w:rPr>
        <w:t>s</w:t>
      </w:r>
      <w:r w:rsidR="34208416" w:rsidRPr="124F3E36">
        <w:rPr>
          <w:lang w:val="en-US"/>
        </w:rPr>
        <w:t>c</w:t>
      </w:r>
      <w:r w:rsidR="0D436B39" w:rsidRPr="124F3E36">
        <w:rPr>
          <w:lang w:val="en-US"/>
        </w:rPr>
        <w:t>enario</w:t>
      </w:r>
      <w:r w:rsidR="34208416" w:rsidRPr="2C942388">
        <w:rPr>
          <w:lang w:val="en-US"/>
        </w:rPr>
        <w:t xml:space="preserve"> could occur</w:t>
      </w:r>
      <w:r w:rsidR="35E259D4" w:rsidRPr="2C942388">
        <w:rPr>
          <w:lang w:val="en-US"/>
        </w:rPr>
        <w:t xml:space="preserve"> </w:t>
      </w:r>
      <w:r w:rsidR="34208416" w:rsidRPr="2C942388">
        <w:rPr>
          <w:lang w:val="en-US"/>
        </w:rPr>
        <w:t>in practice.</w:t>
      </w:r>
      <w:r w:rsidR="00F65ADF">
        <w:rPr>
          <w:lang w:val="en-US"/>
        </w:rPr>
        <w:t xml:space="preserve"> </w:t>
      </w:r>
      <w:r w:rsidR="005F117F">
        <w:rPr>
          <w:b/>
          <w:bCs/>
          <w:lang w:val="en-US"/>
        </w:rPr>
        <w:t xml:space="preserve">Redacted </w:t>
      </w:r>
      <w:r w:rsidR="00DD41D1">
        <w:rPr>
          <w:lang w:val="en-US"/>
        </w:rPr>
        <w:t xml:space="preserve">who lost efficacy </w:t>
      </w:r>
      <w:r w:rsidR="00313301">
        <w:rPr>
          <w:lang w:val="en-US"/>
        </w:rPr>
        <w:t xml:space="preserve">at approximately 29 months </w:t>
      </w:r>
      <w:r w:rsidR="001C7FA1">
        <w:rPr>
          <w:lang w:val="en-US"/>
        </w:rPr>
        <w:t xml:space="preserve">post-infusion </w:t>
      </w:r>
      <w:r w:rsidR="003A5719">
        <w:rPr>
          <w:lang w:val="en-US"/>
        </w:rPr>
        <w:t>wa</w:t>
      </w:r>
      <w:r w:rsidR="00DD41D1">
        <w:rPr>
          <w:lang w:val="en-US"/>
        </w:rPr>
        <w:t>s included</w:t>
      </w:r>
      <w:r w:rsidR="00B2762D">
        <w:rPr>
          <w:lang w:val="en-US"/>
        </w:rPr>
        <w:t xml:space="preserve"> in the analysis</w:t>
      </w:r>
      <w:r w:rsidR="00DD41D1">
        <w:rPr>
          <w:lang w:val="en-US"/>
        </w:rPr>
        <w:t>.</w:t>
      </w:r>
    </w:p>
    <w:p w14:paraId="6D837EE4" w14:textId="23F4AC6C" w:rsidR="00B339C7" w:rsidRDefault="00644C50" w:rsidP="00644C50">
      <w:r w:rsidRPr="00614BDC">
        <w:t xml:space="preserve">The commentary on ADAR 1728 identified 3 </w:t>
      </w:r>
      <w:r w:rsidR="00E23262">
        <w:t>subjects</w:t>
      </w:r>
      <w:r w:rsidRPr="00614BDC">
        <w:t xml:space="preserve"> </w:t>
      </w:r>
      <w:r w:rsidRPr="00D84B66">
        <w:t>(</w:t>
      </w:r>
      <w:r w:rsidR="00434CE6" w:rsidRPr="00D84B66">
        <w:rPr>
          <w:b/>
          <w:bCs/>
        </w:rPr>
        <w:t>redacted</w:t>
      </w:r>
      <w:r w:rsidRPr="00D84B66">
        <w:t>)</w:t>
      </w:r>
      <w:r>
        <w:t xml:space="preserve"> </w:t>
      </w:r>
      <w:r w:rsidRPr="00614BDC">
        <w:t>with at least 10 bleeds in the</w:t>
      </w:r>
      <w:r w:rsidRPr="002A2BC5">
        <w:t xml:space="preserve"> post-treatment </w:t>
      </w:r>
      <w:r>
        <w:t xml:space="preserve">period, </w:t>
      </w:r>
      <w:r w:rsidRPr="002A2BC5">
        <w:t>along with either &lt;</w:t>
      </w:r>
      <w:r w:rsidR="00C815F3">
        <w:t> </w:t>
      </w:r>
      <w:r w:rsidRPr="002A2BC5">
        <w:t xml:space="preserve">12% mean FIX activity or </w:t>
      </w:r>
      <w:r w:rsidR="007E33D3">
        <w:t>‘</w:t>
      </w:r>
      <w:r w:rsidRPr="002A2BC5">
        <w:t>contaminated</w:t>
      </w:r>
      <w:r w:rsidR="007E33D3">
        <w:t>’</w:t>
      </w:r>
      <w:r w:rsidRPr="002A2BC5">
        <w:t xml:space="preserve"> FIX activity (due to </w:t>
      </w:r>
      <w:r>
        <w:t xml:space="preserve">exogenous </w:t>
      </w:r>
      <w:r w:rsidRPr="002A2BC5">
        <w:t>FIX use) and moderate FIX consumption of at least 0.5</w:t>
      </w:r>
      <w:r w:rsidR="00C815F3">
        <w:t> </w:t>
      </w:r>
      <w:r w:rsidR="00636C06" w:rsidRPr="00E6558F">
        <w:t>–</w:t>
      </w:r>
      <w:r w:rsidR="00C815F3">
        <w:t> </w:t>
      </w:r>
      <w:r w:rsidRPr="002A2BC5">
        <w:t xml:space="preserve">1.0 infusions per month over the </w:t>
      </w:r>
      <w:r w:rsidR="00C815F3">
        <w:t>3</w:t>
      </w:r>
      <w:r w:rsidRPr="00E6558F">
        <w:t xml:space="preserve"> years. </w:t>
      </w:r>
      <w:r w:rsidR="002938C3">
        <w:t xml:space="preserve">The 48-month data </w:t>
      </w:r>
      <w:r w:rsidR="00157BB5">
        <w:t>showed that</w:t>
      </w:r>
      <w:r w:rsidR="00397B1B">
        <w:t xml:space="preserve"> a</w:t>
      </w:r>
      <w:r w:rsidR="00594429" w:rsidRPr="00E6558F">
        <w:t xml:space="preserve">ll </w:t>
      </w:r>
      <w:r w:rsidR="00594429">
        <w:t xml:space="preserve">3 </w:t>
      </w:r>
      <w:r w:rsidR="00AF57BB">
        <w:t xml:space="preserve">subjects </w:t>
      </w:r>
      <w:r w:rsidR="00397B1B">
        <w:t xml:space="preserve">continued to </w:t>
      </w:r>
      <w:r w:rsidR="00594429" w:rsidRPr="00E6558F">
        <w:t>ha</w:t>
      </w:r>
      <w:r w:rsidR="00397B1B">
        <w:t>ve</w:t>
      </w:r>
      <w:r w:rsidR="00594429" w:rsidRPr="00E6558F">
        <w:t xml:space="preserve"> elevated </w:t>
      </w:r>
      <w:r w:rsidR="00E310D9">
        <w:t>FIX-treated</w:t>
      </w:r>
      <w:r w:rsidR="00974582">
        <w:t xml:space="preserve"> </w:t>
      </w:r>
      <w:r w:rsidR="009967C0">
        <w:t xml:space="preserve">ABRs in the post-treatment period </w:t>
      </w:r>
      <w:r w:rsidR="00594429" w:rsidRPr="00E6558F">
        <w:t>compared to the rest of the cohort.</w:t>
      </w:r>
      <w:r w:rsidR="002938C3">
        <w:t xml:space="preserve"> </w:t>
      </w:r>
      <w:r w:rsidRPr="00E6558F">
        <w:t xml:space="preserve">At least 1 of these </w:t>
      </w:r>
      <w:r w:rsidR="00E23262">
        <w:t>subjects</w:t>
      </w:r>
      <w:r w:rsidRPr="00E6558F">
        <w:t xml:space="preserve"> (</w:t>
      </w:r>
      <w:r w:rsidR="00794B57" w:rsidRPr="00D84B66">
        <w:rPr>
          <w:b/>
          <w:bCs/>
        </w:rPr>
        <w:t>redacted</w:t>
      </w:r>
      <w:r w:rsidRPr="00D84B66">
        <w:t xml:space="preserve"> with pre-treatment </w:t>
      </w:r>
      <w:proofErr w:type="spellStart"/>
      <w:r w:rsidRPr="00D84B66">
        <w:t>NAb</w:t>
      </w:r>
      <w:proofErr w:type="spellEnd"/>
      <w:r w:rsidRPr="00D84B66">
        <w:t xml:space="preserve"> titre 449.9</w:t>
      </w:r>
      <w:r w:rsidRPr="00E6558F">
        <w:t>) still appear</w:t>
      </w:r>
      <w:r w:rsidR="00231F13">
        <w:t>ed</w:t>
      </w:r>
      <w:r w:rsidRPr="00E6558F">
        <w:t xml:space="preserve"> to be at risk of loss of efficacy </w:t>
      </w:r>
      <w:r w:rsidR="00BF6E88">
        <w:t xml:space="preserve">at 48 months </w:t>
      </w:r>
      <w:r w:rsidR="000F315A">
        <w:t>(</w:t>
      </w:r>
      <w:r w:rsidR="00FA1DDB">
        <w:t xml:space="preserve">their </w:t>
      </w:r>
      <w:r w:rsidR="000F315A">
        <w:t xml:space="preserve">post-treatment ABR </w:t>
      </w:r>
      <w:r w:rsidR="00E310D9">
        <w:t>wa</w:t>
      </w:r>
      <w:r w:rsidR="000F315A">
        <w:t>s not substantially reduced from the lead-in period).</w:t>
      </w:r>
    </w:p>
    <w:p w14:paraId="369FA923" w14:textId="5A3C890D" w:rsidR="00644C50" w:rsidRDefault="00644C50" w:rsidP="00644C50">
      <w:r w:rsidRPr="00E6558F">
        <w:t xml:space="preserve">As noted in the commentary </w:t>
      </w:r>
      <w:r>
        <w:t>on ADAR</w:t>
      </w:r>
      <w:r w:rsidRPr="00E6558F">
        <w:t xml:space="preserve"> 1728, </w:t>
      </w:r>
      <w:r w:rsidR="00434CE6">
        <w:rPr>
          <w:b/>
          <w:bCs/>
        </w:rPr>
        <w:t xml:space="preserve">redacted </w:t>
      </w:r>
      <w:r w:rsidR="00EF5019">
        <w:t xml:space="preserve">had </w:t>
      </w:r>
      <w:r w:rsidRPr="00E6558F">
        <w:t xml:space="preserve">a </w:t>
      </w:r>
      <w:r w:rsidR="00041A3E">
        <w:t xml:space="preserve">very </w:t>
      </w:r>
      <w:r w:rsidRPr="00E6558F">
        <w:t xml:space="preserve">high ABR </w:t>
      </w:r>
      <w:r w:rsidR="00636C47">
        <w:t xml:space="preserve">in the lead-in period </w:t>
      </w:r>
      <w:r w:rsidR="00A30EF3">
        <w:t>that</w:t>
      </w:r>
      <w:r w:rsidR="00A30EF3" w:rsidRPr="00E6558F">
        <w:t xml:space="preserve"> </w:t>
      </w:r>
      <w:r w:rsidR="00AF134E">
        <w:t>wa</w:t>
      </w:r>
      <w:r w:rsidRPr="00E6558F">
        <w:t xml:space="preserve">s </w:t>
      </w:r>
      <w:r w:rsidR="00B339C7">
        <w:t xml:space="preserve">substantially </w:t>
      </w:r>
      <w:r w:rsidRPr="00E6558F">
        <w:t xml:space="preserve">reduced </w:t>
      </w:r>
      <w:r w:rsidR="00636C47">
        <w:t>in the post-treatment period</w:t>
      </w:r>
      <w:r w:rsidR="00A30EF3">
        <w:t xml:space="preserve">, though </w:t>
      </w:r>
      <w:r w:rsidR="00BF7CBB">
        <w:t xml:space="preserve">this subject </w:t>
      </w:r>
      <w:r w:rsidR="00ED44C3">
        <w:t xml:space="preserve">continued to </w:t>
      </w:r>
      <w:r w:rsidR="00BF7CBB">
        <w:t xml:space="preserve">experience a </w:t>
      </w:r>
      <w:r w:rsidR="00C917C4">
        <w:t xml:space="preserve">high number of untreated bleeds </w:t>
      </w:r>
      <w:r w:rsidR="003B1EC4">
        <w:t>(</w:t>
      </w:r>
      <w:r w:rsidR="00CB4B56" w:rsidRPr="00CB4B56">
        <w:t xml:space="preserve">considered </w:t>
      </w:r>
      <w:r w:rsidR="00CB4B56">
        <w:t xml:space="preserve">by the ADAR to be </w:t>
      </w:r>
      <w:r w:rsidR="00CB4B56" w:rsidRPr="00CB4B56">
        <w:t>more subjective and milder in nature</w:t>
      </w:r>
      <w:r w:rsidR="00ED44C3">
        <w:t>)</w:t>
      </w:r>
      <w:r w:rsidRPr="00E6558F">
        <w:t>.</w:t>
      </w:r>
    </w:p>
    <w:p w14:paraId="14FC85A4" w14:textId="693980AF" w:rsidR="00644C50" w:rsidRDefault="002D7F01" w:rsidP="005E7EB0">
      <w:pPr>
        <w:rPr>
          <w:lang w:val="en-US"/>
        </w:rPr>
      </w:pPr>
      <w:r>
        <w:rPr>
          <w:lang w:val="en-US"/>
        </w:rPr>
        <w:t>J</w:t>
      </w:r>
      <w:r w:rsidRPr="002D7F01">
        <w:rPr>
          <w:lang w:val="en-US"/>
        </w:rPr>
        <w:t>oint bleeds (</w:t>
      </w:r>
      <w:proofErr w:type="spellStart"/>
      <w:r w:rsidRPr="002D7F01">
        <w:rPr>
          <w:lang w:val="en-US"/>
        </w:rPr>
        <w:t>haemarthrosis</w:t>
      </w:r>
      <w:proofErr w:type="spellEnd"/>
      <w:r w:rsidRPr="002D7F01">
        <w:rPr>
          <w:lang w:val="en-US"/>
        </w:rPr>
        <w:t>) are a major cause of significant morbidity and decreased quality of life in HMB patients</w:t>
      </w:r>
      <w:r>
        <w:rPr>
          <w:lang w:val="en-US"/>
        </w:rPr>
        <w:t>.</w:t>
      </w:r>
      <w:r w:rsidR="00FF001F" w:rsidRPr="00FF001F">
        <w:t xml:space="preserve"> </w:t>
      </w:r>
      <w:r w:rsidR="00FF001F">
        <w:rPr>
          <w:lang w:val="en-US"/>
        </w:rPr>
        <w:t xml:space="preserve">There was a </w:t>
      </w:r>
      <w:r w:rsidR="00FF001F" w:rsidRPr="00FF001F">
        <w:rPr>
          <w:lang w:val="en-US"/>
        </w:rPr>
        <w:t xml:space="preserve">significant reduction in joint </w:t>
      </w:r>
      <w:proofErr w:type="gramStart"/>
      <w:r w:rsidR="00FF001F" w:rsidRPr="00FF001F">
        <w:rPr>
          <w:lang w:val="en-US"/>
        </w:rPr>
        <w:t>bleeds</w:t>
      </w:r>
      <w:proofErr w:type="gramEnd"/>
      <w:r w:rsidR="00FF001F" w:rsidRPr="00FF001F">
        <w:rPr>
          <w:lang w:val="en-US"/>
        </w:rPr>
        <w:t xml:space="preserve"> (p</w:t>
      </w:r>
      <w:r w:rsidR="00E42ED9">
        <w:rPr>
          <w:lang w:val="en-US"/>
        </w:rPr>
        <w:t> </w:t>
      </w:r>
      <w:r w:rsidR="00FF001F" w:rsidRPr="00FF001F">
        <w:rPr>
          <w:lang w:val="en-US"/>
        </w:rPr>
        <w:t>&lt;</w:t>
      </w:r>
      <w:r w:rsidR="00E42ED9">
        <w:rPr>
          <w:lang w:val="en-US"/>
        </w:rPr>
        <w:t> </w:t>
      </w:r>
      <w:r w:rsidR="00FF001F" w:rsidRPr="00FF001F">
        <w:rPr>
          <w:lang w:val="en-US"/>
        </w:rPr>
        <w:t>0.0001</w:t>
      </w:r>
      <w:proofErr w:type="gramStart"/>
      <w:r w:rsidR="00FF001F" w:rsidRPr="00FF001F">
        <w:rPr>
          <w:lang w:val="en-US"/>
        </w:rPr>
        <w:t>)</w:t>
      </w:r>
      <w:proofErr w:type="gramEnd"/>
      <w:r w:rsidR="00FF001F" w:rsidRPr="00FF001F">
        <w:rPr>
          <w:lang w:val="en-US"/>
        </w:rPr>
        <w:t xml:space="preserve"> but they </w:t>
      </w:r>
      <w:r w:rsidR="00B47428">
        <w:rPr>
          <w:lang w:val="en-US"/>
        </w:rPr>
        <w:t>we</w:t>
      </w:r>
      <w:r w:rsidR="00FF001F" w:rsidRPr="00FF001F">
        <w:rPr>
          <w:lang w:val="en-US"/>
        </w:rPr>
        <w:t xml:space="preserve">re not eliminated in </w:t>
      </w:r>
      <w:r w:rsidR="007728C0">
        <w:rPr>
          <w:lang w:val="en-US"/>
        </w:rPr>
        <w:t>subjects</w:t>
      </w:r>
      <w:r w:rsidR="00FF001F" w:rsidRPr="00FF001F">
        <w:rPr>
          <w:lang w:val="en-US"/>
        </w:rPr>
        <w:t xml:space="preserve"> with a lower response to </w:t>
      </w:r>
      <w:r w:rsidR="0076049B">
        <w:t>ED</w:t>
      </w:r>
      <w:r w:rsidR="0076049B" w:rsidRPr="00E40A38">
        <w:t xml:space="preserve"> </w:t>
      </w:r>
      <w:r w:rsidR="00FF001F" w:rsidRPr="00FF001F">
        <w:rPr>
          <w:lang w:val="en-US"/>
        </w:rPr>
        <w:t>(i.e. FIX activity remaining in the mild range</w:t>
      </w:r>
      <w:r w:rsidR="008C0B3E">
        <w:rPr>
          <w:lang w:val="en-US"/>
        </w:rPr>
        <w:t xml:space="preserve">, </w:t>
      </w:r>
      <w:r w:rsidR="008C0B3E">
        <w:rPr>
          <w:lang w:val="en-US"/>
        </w:rPr>
        <w:fldChar w:fldCharType="begin"/>
      </w:r>
      <w:r w:rsidR="008C0B3E">
        <w:rPr>
          <w:lang w:val="en-US"/>
        </w:rPr>
        <w:instrText xml:space="preserve"> REF _Ref194929373 \h </w:instrText>
      </w:r>
      <w:r w:rsidR="008C0B3E">
        <w:rPr>
          <w:lang w:val="en-US"/>
        </w:rPr>
      </w:r>
      <w:r w:rsidR="008C0B3E">
        <w:rPr>
          <w:lang w:val="en-US"/>
        </w:rPr>
        <w:fldChar w:fldCharType="separate"/>
      </w:r>
      <w:r w:rsidR="00146997">
        <w:t xml:space="preserve">Figure </w:t>
      </w:r>
      <w:r w:rsidR="00146997">
        <w:rPr>
          <w:noProof/>
        </w:rPr>
        <w:t>2</w:t>
      </w:r>
      <w:r w:rsidR="008C0B3E">
        <w:rPr>
          <w:lang w:val="en-US"/>
        </w:rPr>
        <w:fldChar w:fldCharType="end"/>
      </w:r>
      <w:r w:rsidR="00FF001F" w:rsidRPr="00FF001F">
        <w:rPr>
          <w:lang w:val="en-US"/>
        </w:rPr>
        <w:t xml:space="preserve">). No joint bleeds occurred in the 2 </w:t>
      </w:r>
      <w:r w:rsidR="00E8427D">
        <w:rPr>
          <w:lang w:val="en-US"/>
        </w:rPr>
        <w:t>subjects</w:t>
      </w:r>
      <w:r w:rsidR="00FF001F" w:rsidRPr="00FF001F">
        <w:rPr>
          <w:lang w:val="en-US"/>
        </w:rPr>
        <w:t xml:space="preserve"> with uncontaminated FIX activity &lt;</w:t>
      </w:r>
      <w:r w:rsidR="00CD0C98">
        <w:rPr>
          <w:lang w:val="en-US"/>
        </w:rPr>
        <w:t> </w:t>
      </w:r>
      <w:r w:rsidR="00FF001F" w:rsidRPr="00FF001F">
        <w:rPr>
          <w:lang w:val="en-US"/>
        </w:rPr>
        <w:t xml:space="preserve">5% at Month 48 (one of those was the </w:t>
      </w:r>
      <w:r w:rsidR="00E8427D">
        <w:rPr>
          <w:lang w:val="en-US"/>
        </w:rPr>
        <w:t>subject</w:t>
      </w:r>
      <w:r w:rsidR="00FF001F" w:rsidRPr="00FF001F">
        <w:rPr>
          <w:lang w:val="en-US"/>
        </w:rPr>
        <w:t xml:space="preserve"> who experienced loss of efficacy at Month </w:t>
      </w:r>
      <w:r w:rsidR="00CD0C98">
        <w:rPr>
          <w:lang w:val="en-US"/>
        </w:rPr>
        <w:t>29</w:t>
      </w:r>
      <w:r w:rsidR="00FF001F" w:rsidRPr="00FF001F">
        <w:rPr>
          <w:lang w:val="en-US"/>
        </w:rPr>
        <w:t>).</w:t>
      </w:r>
    </w:p>
    <w:p w14:paraId="522C7A3C" w14:textId="2DF5D084" w:rsidR="00FF66C2" w:rsidRPr="00D84B66" w:rsidRDefault="006F2CC5" w:rsidP="001417FF">
      <w:pPr>
        <w:pStyle w:val="Caption"/>
        <w:keepNext w:val="0"/>
        <w:spacing w:after="360"/>
      </w:pPr>
      <w:bookmarkStart w:id="29" w:name="_Ref194929369"/>
      <w:r w:rsidRPr="00D84B66">
        <w:t xml:space="preserve">Figure </w:t>
      </w:r>
      <w:r w:rsidR="00146997" w:rsidRPr="00D84B66">
        <w:fldChar w:fldCharType="begin"/>
      </w:r>
      <w:r w:rsidR="00146997" w:rsidRPr="0060719A">
        <w:rPr>
          <w:highlight w:val="yellow"/>
        </w:rPr>
        <w:instrText xml:space="preserve"> SEQ Figure \* ARABIC </w:instrText>
      </w:r>
      <w:r w:rsidR="00146997" w:rsidRPr="00D84B66">
        <w:fldChar w:fldCharType="separate"/>
      </w:r>
      <w:r w:rsidR="00146997" w:rsidRPr="00D84B66">
        <w:t>1</w:t>
      </w:r>
      <w:r w:rsidR="00146997" w:rsidRPr="00D84B66">
        <w:fldChar w:fldCharType="end"/>
      </w:r>
      <w:bookmarkEnd w:id="29"/>
      <w:r w:rsidRPr="00D84B66">
        <w:tab/>
        <w:t>ABR in lead-in period versus post-treatment Month 7 to Month 48</w:t>
      </w:r>
      <w:r w:rsidR="00F13385" w:rsidRPr="00D84B66">
        <w:t xml:space="preserve"> in HOPE-B study</w:t>
      </w:r>
      <w:r w:rsidR="00EC4C81" w:rsidRPr="00D84B66">
        <w:t xml:space="preserve"> – All bleeds (responder analysis set)</w:t>
      </w:r>
    </w:p>
    <w:tbl>
      <w:tblPr>
        <w:tblStyle w:val="TableGrid"/>
        <w:tblW w:w="0" w:type="auto"/>
        <w:tblLook w:val="04A0" w:firstRow="1" w:lastRow="0" w:firstColumn="1" w:lastColumn="0" w:noHBand="0" w:noVBand="1"/>
      </w:tblPr>
      <w:tblGrid>
        <w:gridCol w:w="9016"/>
      </w:tblGrid>
      <w:tr w:rsidR="00FF66C2" w:rsidRPr="00FF66C2" w14:paraId="646C843C" w14:textId="77777777" w:rsidTr="00D84B66">
        <w:trPr>
          <w:trHeight w:val="458"/>
        </w:trPr>
        <w:tc>
          <w:tcPr>
            <w:tcW w:w="9016" w:type="dxa"/>
          </w:tcPr>
          <w:p w14:paraId="530AE7D4" w14:textId="09A3F4CC" w:rsidR="00FF66C2" w:rsidRPr="00D84B66" w:rsidRDefault="00FF66C2" w:rsidP="001417FF">
            <w:pPr>
              <w:rPr>
                <w:b/>
                <w:bCs/>
              </w:rPr>
            </w:pPr>
            <w:r w:rsidRPr="00D84B66">
              <w:rPr>
                <w:b/>
                <w:bCs/>
              </w:rPr>
              <w:t>Figure redacted</w:t>
            </w:r>
          </w:p>
        </w:tc>
      </w:tr>
    </w:tbl>
    <w:p w14:paraId="6CBB2D93" w14:textId="772A11F7" w:rsidR="00757A92" w:rsidRPr="00D84B66" w:rsidRDefault="00757A92" w:rsidP="001417FF">
      <w:pPr>
        <w:spacing w:before="0" w:after="0"/>
      </w:pPr>
    </w:p>
    <w:p w14:paraId="3AA89757" w14:textId="4EE2CD51" w:rsidR="00117D3A" w:rsidRPr="00D84B66" w:rsidRDefault="00117D3A" w:rsidP="001417FF">
      <w:pPr>
        <w:pStyle w:val="TableFigureFooter"/>
        <w:contextualSpacing/>
      </w:pPr>
      <w:r w:rsidRPr="00D84B66">
        <w:t xml:space="preserve">** If FIX activity levels at </w:t>
      </w:r>
      <w:r w:rsidR="004F06B3" w:rsidRPr="00D84B66">
        <w:t>M</w:t>
      </w:r>
      <w:r w:rsidRPr="00D84B66">
        <w:t xml:space="preserve">onth 48 were not feasible, the latest uncontaminated FIX levels obtained before </w:t>
      </w:r>
      <w:r w:rsidR="004F06B3" w:rsidRPr="00D84B66">
        <w:t>M</w:t>
      </w:r>
      <w:r w:rsidRPr="00D84B66">
        <w:t>onth 48 were used.</w:t>
      </w:r>
    </w:p>
    <w:p w14:paraId="6D781484" w14:textId="115FE509" w:rsidR="00EC4C81" w:rsidRPr="00D84B66" w:rsidRDefault="00117D3A" w:rsidP="001417FF">
      <w:pPr>
        <w:pStyle w:val="TableFigureFooter"/>
        <w:contextualSpacing/>
      </w:pPr>
      <w:r w:rsidRPr="00D84B66">
        <w:t xml:space="preserve">"Uncontaminated" means that the blood sampling did not occur within 5 half-lives of exogenous </w:t>
      </w:r>
      <w:r w:rsidR="004F06B3" w:rsidRPr="00D84B66">
        <w:t>F</w:t>
      </w:r>
      <w:r w:rsidRPr="00D84B66">
        <w:t>IX use.</w:t>
      </w:r>
    </w:p>
    <w:p w14:paraId="5AF19F2B" w14:textId="5BE3E8F8" w:rsidR="00117D3A" w:rsidRDefault="00117D3A" w:rsidP="001417FF">
      <w:pPr>
        <w:pStyle w:val="TableFigureFooter"/>
        <w:contextualSpacing/>
      </w:pPr>
      <w:r w:rsidRPr="00D84B66">
        <w:t xml:space="preserve">Source: </w:t>
      </w:r>
      <w:r w:rsidR="00037A7F" w:rsidRPr="00D84B66">
        <w:t>Figure 2.13 of MSAC 1728.1 ADAR</w:t>
      </w:r>
      <w:r w:rsidR="00BB3FEC" w:rsidRPr="00D84B66">
        <w:t xml:space="preserve"> </w:t>
      </w:r>
      <w:r w:rsidR="0053545F" w:rsidRPr="00D84B66">
        <w:t>+</w:t>
      </w:r>
      <w:r w:rsidR="00BB3FEC" w:rsidRPr="00D84B66">
        <w:t xml:space="preserve"> </w:t>
      </w:r>
      <w:r w:rsidR="0053545F" w:rsidRPr="00D84B66">
        <w:t>in-line commentary</w:t>
      </w:r>
      <w:r w:rsidR="009C0491">
        <w:t>.</w:t>
      </w:r>
    </w:p>
    <w:p w14:paraId="695E3C0A" w14:textId="33713965" w:rsidR="00D05343" w:rsidRPr="00D84B66" w:rsidRDefault="00D05343" w:rsidP="001417FF">
      <w:pPr>
        <w:pStyle w:val="Caption"/>
        <w:keepLines/>
        <w:spacing w:after="360"/>
        <w:jc w:val="both"/>
      </w:pPr>
      <w:bookmarkStart w:id="30" w:name="_Ref194929373"/>
      <w:r w:rsidRPr="00D84B66">
        <w:lastRenderedPageBreak/>
        <w:t xml:space="preserve">Figure </w:t>
      </w:r>
      <w:r w:rsidR="00146997">
        <w:fldChar w:fldCharType="begin"/>
      </w:r>
      <w:r w:rsidR="00146997">
        <w:instrText xml:space="preserve"> SEQ Figure \* ARABIC </w:instrText>
      </w:r>
      <w:r w:rsidR="00146997">
        <w:fldChar w:fldCharType="separate"/>
      </w:r>
      <w:r w:rsidR="00146997" w:rsidRPr="00D84B66">
        <w:t>2</w:t>
      </w:r>
      <w:r w:rsidR="00146997">
        <w:fldChar w:fldCharType="end"/>
      </w:r>
      <w:bookmarkEnd w:id="30"/>
      <w:r w:rsidRPr="00D84B66">
        <w:tab/>
        <w:t xml:space="preserve">ABR in lead-in period versus post-treatment </w:t>
      </w:r>
      <w:r w:rsidR="003978CD" w:rsidRPr="00D84B66">
        <w:t>Month 7 to 48</w:t>
      </w:r>
      <w:r w:rsidR="009E0189" w:rsidRPr="00D84B66">
        <w:t xml:space="preserve"> in HOPE-B study</w:t>
      </w:r>
      <w:r w:rsidR="003978CD" w:rsidRPr="00D84B66">
        <w:t xml:space="preserve"> – Joint </w:t>
      </w:r>
      <w:r w:rsidR="009E0189" w:rsidRPr="00D84B66">
        <w:t>b</w:t>
      </w:r>
      <w:r w:rsidR="003978CD" w:rsidRPr="00D84B66">
        <w:t>leeds (responder analysis set)</w:t>
      </w:r>
    </w:p>
    <w:tbl>
      <w:tblPr>
        <w:tblStyle w:val="TableGrid"/>
        <w:tblW w:w="0" w:type="auto"/>
        <w:tblLook w:val="04A0" w:firstRow="1" w:lastRow="0" w:firstColumn="1" w:lastColumn="0" w:noHBand="0" w:noVBand="1"/>
      </w:tblPr>
      <w:tblGrid>
        <w:gridCol w:w="9016"/>
      </w:tblGrid>
      <w:tr w:rsidR="00FF66C2" w:rsidRPr="00FF66C2" w14:paraId="2CEAED89" w14:textId="77777777" w:rsidTr="00D84B66">
        <w:trPr>
          <w:trHeight w:val="455"/>
        </w:trPr>
        <w:tc>
          <w:tcPr>
            <w:tcW w:w="9016" w:type="dxa"/>
          </w:tcPr>
          <w:p w14:paraId="3B7FB260" w14:textId="6796FF26" w:rsidR="00FF66C2" w:rsidRPr="00D84B66" w:rsidRDefault="00FF66C2" w:rsidP="001417FF">
            <w:pPr>
              <w:keepNext/>
              <w:keepLines/>
              <w:rPr>
                <w:b/>
                <w:bCs/>
              </w:rPr>
            </w:pPr>
            <w:r w:rsidRPr="00D84B66">
              <w:rPr>
                <w:b/>
                <w:bCs/>
              </w:rPr>
              <w:t>Figure redacted</w:t>
            </w:r>
          </w:p>
        </w:tc>
      </w:tr>
    </w:tbl>
    <w:p w14:paraId="698BE14E" w14:textId="32B146C4" w:rsidR="00E20C75" w:rsidRPr="00D84B66" w:rsidRDefault="00E20C75" w:rsidP="001417FF">
      <w:pPr>
        <w:pStyle w:val="Tablenotes0"/>
        <w:keepNext/>
        <w:keepLines/>
        <w:spacing w:before="0" w:after="0"/>
      </w:pPr>
    </w:p>
    <w:p w14:paraId="17AE3D93" w14:textId="36B06877" w:rsidR="00644C50" w:rsidRPr="00D84B66" w:rsidRDefault="00644C50" w:rsidP="001417FF">
      <w:pPr>
        <w:pStyle w:val="TableFigureFooter"/>
        <w:keepNext/>
        <w:keepLines/>
        <w:contextualSpacing/>
      </w:pPr>
      <w:r w:rsidRPr="00D84B66">
        <w:t xml:space="preserve">** If FIX activity levels at </w:t>
      </w:r>
      <w:r w:rsidR="00696288" w:rsidRPr="00D84B66">
        <w:t>M</w:t>
      </w:r>
      <w:r w:rsidRPr="00D84B66">
        <w:t xml:space="preserve">onth 48 were not feasible, the latest uncontaminated FIX levels obtained before </w:t>
      </w:r>
      <w:r w:rsidR="00696288" w:rsidRPr="00D84B66">
        <w:t>M</w:t>
      </w:r>
      <w:r w:rsidRPr="00D84B66">
        <w:t>onth 48 were used.</w:t>
      </w:r>
    </w:p>
    <w:p w14:paraId="127CFE08" w14:textId="1FF04959" w:rsidR="00644C50" w:rsidRPr="00D84B66" w:rsidRDefault="00644C50" w:rsidP="001417FF">
      <w:pPr>
        <w:pStyle w:val="TableFigureFooter"/>
        <w:keepNext/>
        <w:keepLines/>
        <w:contextualSpacing/>
      </w:pPr>
      <w:r w:rsidRPr="00D84B66">
        <w:t xml:space="preserve">"Uncontaminated" means that the blood sampling did not occur within 5 half-lives of exogenous </w:t>
      </w:r>
      <w:r w:rsidR="00CE0720" w:rsidRPr="00D84B66">
        <w:t>F</w:t>
      </w:r>
      <w:r w:rsidRPr="00D84B66">
        <w:t>IX use.</w:t>
      </w:r>
    </w:p>
    <w:p w14:paraId="45037BE8" w14:textId="52844260" w:rsidR="00644C50" w:rsidRDefault="00644C50" w:rsidP="001417FF">
      <w:pPr>
        <w:pStyle w:val="TableFigureFooter"/>
        <w:keepNext/>
        <w:keepLines/>
        <w:contextualSpacing/>
      </w:pPr>
      <w:r w:rsidRPr="00D84B66">
        <w:t>Source: Figure 2.15 of MSAC 1728.1 ADAR</w:t>
      </w:r>
      <w:r w:rsidR="004C4D52" w:rsidRPr="00D84B66">
        <w:t>.</w:t>
      </w:r>
      <w:r w:rsidR="001A4AEC">
        <w:t xml:space="preserve"> </w:t>
      </w:r>
    </w:p>
    <w:p w14:paraId="7FB12BF9" w14:textId="4A43D8F7" w:rsidR="00644C50" w:rsidRPr="001215C5" w:rsidRDefault="00513C7D" w:rsidP="00513C7D">
      <w:pPr>
        <w:pStyle w:val="Heading4"/>
      </w:pPr>
      <w:r>
        <w:t>F</w:t>
      </w:r>
      <w:r w:rsidR="00FB37EA">
        <w:t>IX</w:t>
      </w:r>
      <w:r>
        <w:t xml:space="preserve"> activity levels</w:t>
      </w:r>
    </w:p>
    <w:p w14:paraId="0045DBD7" w14:textId="77777777" w:rsidR="0018370D" w:rsidRDefault="00C34382" w:rsidP="00020165">
      <w:r>
        <w:t xml:space="preserve">FIX activity levels were </w:t>
      </w:r>
      <w:r w:rsidR="00214BB9">
        <w:t>analysed</w:t>
      </w:r>
      <w:r w:rsidR="00A5283F">
        <w:t xml:space="preserve"> </w:t>
      </w:r>
      <w:r w:rsidR="005C240A">
        <w:t xml:space="preserve">in the HOPE-B study </w:t>
      </w:r>
      <w:r w:rsidR="00214BB9">
        <w:t>using</w:t>
      </w:r>
      <w:r w:rsidR="00A5283F">
        <w:t xml:space="preserve"> </w:t>
      </w:r>
      <w:r w:rsidR="00E10B21">
        <w:t xml:space="preserve">‘uncontaminated’ </w:t>
      </w:r>
      <w:r w:rsidR="00A22C5F">
        <w:t>samples</w:t>
      </w:r>
      <w:r w:rsidR="007E44A1">
        <w:t xml:space="preserve">, </w:t>
      </w:r>
      <w:r w:rsidR="00BF6BC0">
        <w:t xml:space="preserve">where </w:t>
      </w:r>
      <w:r w:rsidR="00C575D4">
        <w:t>blood sampling did not occur within 5 half-lives of exogenous FIX use.</w:t>
      </w:r>
      <w:r w:rsidR="00E10B21">
        <w:t xml:space="preserve"> </w:t>
      </w:r>
      <w:r w:rsidR="00CD6A76">
        <w:t xml:space="preserve">Mean uncontaminated FIX </w:t>
      </w:r>
      <w:r w:rsidR="00B55F9C">
        <w:t xml:space="preserve">activity </w:t>
      </w:r>
      <w:r w:rsidR="00A71770">
        <w:t xml:space="preserve">was </w:t>
      </w:r>
      <w:r w:rsidR="0031133D">
        <w:t xml:space="preserve">increased compared to </w:t>
      </w:r>
      <w:r w:rsidR="0029343D">
        <w:t xml:space="preserve">baseline at </w:t>
      </w:r>
      <w:r w:rsidR="008D585A">
        <w:t>M</w:t>
      </w:r>
      <w:r w:rsidR="0029343D">
        <w:t xml:space="preserve">onths </w:t>
      </w:r>
      <w:r w:rsidR="003C265C" w:rsidRPr="00253101">
        <w:t>6, 12, 18, 24, 36, and 48 post</w:t>
      </w:r>
      <w:r w:rsidR="00352859">
        <w:t xml:space="preserve"> </w:t>
      </w:r>
      <w:r w:rsidR="003C265C" w:rsidRPr="00253101">
        <w:t>dose (p</w:t>
      </w:r>
      <w:r w:rsidR="00887F4E">
        <w:t> </w:t>
      </w:r>
      <w:r w:rsidR="003C265C" w:rsidRPr="00253101">
        <w:t>&lt;</w:t>
      </w:r>
      <w:r w:rsidR="00887F4E">
        <w:t> </w:t>
      </w:r>
      <w:r w:rsidR="003C265C" w:rsidRPr="00253101">
        <w:t>0.0001; not adjusted for multiplicity).</w:t>
      </w:r>
      <w:r w:rsidR="00A4680C">
        <w:t xml:space="preserve"> </w:t>
      </w:r>
    </w:p>
    <w:p w14:paraId="3A5804FE" w14:textId="089118AD" w:rsidR="00020165" w:rsidRPr="00020165" w:rsidRDefault="00821B22" w:rsidP="00020165">
      <w:r>
        <w:t xml:space="preserve">The commentary noted uncontaminated FIX activity over time </w:t>
      </w:r>
      <w:r w:rsidR="00241C65">
        <w:t>wa</w:t>
      </w:r>
      <w:r>
        <w:t xml:space="preserve">s biased towards </w:t>
      </w:r>
      <w:r w:rsidR="00476339">
        <w:t>subjects</w:t>
      </w:r>
      <w:r>
        <w:t xml:space="preserve"> who responded well to </w:t>
      </w:r>
      <w:r w:rsidR="00B214AD">
        <w:t>ED</w:t>
      </w:r>
      <w:r>
        <w:t xml:space="preserve">. Poor responders who required frequent FIX replacement </w:t>
      </w:r>
      <w:r w:rsidR="00241C65">
        <w:t>we</w:t>
      </w:r>
      <w:r>
        <w:t>re more likely to have had fewer uncontaminated samples and would be underrepresented</w:t>
      </w:r>
      <w:r w:rsidR="00BE4103">
        <w:t>.</w:t>
      </w:r>
      <w:r w:rsidR="002B0BB7">
        <w:t xml:space="preserve"> At Month 48</w:t>
      </w:r>
      <w:r w:rsidR="00D63924">
        <w:t xml:space="preserve">, the analysis </w:t>
      </w:r>
      <w:r w:rsidR="00246908">
        <w:t xml:space="preserve">excluded </w:t>
      </w:r>
      <w:r w:rsidR="00D63924">
        <w:t>7 subjects</w:t>
      </w:r>
      <w:r w:rsidR="0018370D">
        <w:t xml:space="preserve"> (</w:t>
      </w:r>
      <w:r w:rsidR="00447AA2">
        <w:t xml:space="preserve">2 </w:t>
      </w:r>
      <w:r w:rsidR="0018370D">
        <w:t xml:space="preserve">had </w:t>
      </w:r>
      <w:r w:rsidR="00447AA2">
        <w:t xml:space="preserve">experienced lack of efficacy, 1 </w:t>
      </w:r>
      <w:r w:rsidR="0018370D">
        <w:t xml:space="preserve">had </w:t>
      </w:r>
      <w:r w:rsidR="00447AA2">
        <w:t xml:space="preserve">lost treatment effect at 29 months, 1 had </w:t>
      </w:r>
      <w:r w:rsidR="00325298">
        <w:t xml:space="preserve">died </w:t>
      </w:r>
      <w:r w:rsidR="004779AA">
        <w:t>after cardiogenic shock, 1 had a liver transplant after</w:t>
      </w:r>
      <w:r w:rsidR="009304C8">
        <w:t xml:space="preserve"> </w:t>
      </w:r>
      <w:r w:rsidR="00A5200F">
        <w:t xml:space="preserve">a </w:t>
      </w:r>
      <w:r w:rsidR="009304C8">
        <w:t>diagnosis of HCC, and 2 had contami</w:t>
      </w:r>
      <w:r w:rsidR="007E44A1">
        <w:t>n</w:t>
      </w:r>
      <w:r w:rsidR="009304C8">
        <w:t xml:space="preserve">ated Month </w:t>
      </w:r>
      <w:r w:rsidR="007E44A1">
        <w:t>48 samples</w:t>
      </w:r>
      <w:r w:rsidR="0018370D">
        <w:t>)</w:t>
      </w:r>
      <w:r w:rsidR="007E44A1">
        <w:t>.</w:t>
      </w:r>
      <w:r w:rsidR="00D63924">
        <w:t xml:space="preserve"> </w:t>
      </w:r>
    </w:p>
    <w:p w14:paraId="1B1DB761" w14:textId="7F972B8B" w:rsidR="00BE4103" w:rsidRDefault="003F59FB" w:rsidP="00020165">
      <w:r w:rsidRPr="00285232">
        <w:t xml:space="preserve">At 48 months, </w:t>
      </w:r>
      <w:r w:rsidR="00170309" w:rsidRPr="00285232">
        <w:t>29.6%</w:t>
      </w:r>
      <w:r w:rsidRPr="00285232">
        <w:t xml:space="preserve"> of </w:t>
      </w:r>
      <w:r w:rsidR="00476339" w:rsidRPr="00285232">
        <w:t>subjects</w:t>
      </w:r>
      <w:r w:rsidRPr="00285232">
        <w:t xml:space="preserve"> could be regarded as non-haemophilic (FIX activity ≥</w:t>
      </w:r>
      <w:r w:rsidR="00170309" w:rsidRPr="00285232">
        <w:t> </w:t>
      </w:r>
      <w:r w:rsidRPr="00285232">
        <w:t xml:space="preserve">40%) based on FIX activity. 55.6% of </w:t>
      </w:r>
      <w:r w:rsidR="00476339" w:rsidRPr="00285232">
        <w:t>subjects</w:t>
      </w:r>
      <w:r w:rsidRPr="00285232">
        <w:t xml:space="preserve"> were in the mild HMB category (FIX activity 5</w:t>
      </w:r>
      <w:r w:rsidR="001C2697" w:rsidRPr="00285232">
        <w:t xml:space="preserve">% to </w:t>
      </w:r>
      <w:r w:rsidRPr="00285232">
        <w:t>&lt;</w:t>
      </w:r>
      <w:r w:rsidR="00C80E40" w:rsidRPr="00285232">
        <w:t> </w:t>
      </w:r>
      <w:r w:rsidRPr="00285232">
        <w:t>40%), of which the majority (</w:t>
      </w:r>
      <w:r w:rsidR="00575F11" w:rsidRPr="00285232">
        <w:t>9</w:t>
      </w:r>
      <w:r w:rsidRPr="00285232">
        <w:t>0%) were in the 12</w:t>
      </w:r>
      <w:r w:rsidR="004802A3" w:rsidRPr="00285232">
        <w:t> – </w:t>
      </w:r>
      <w:r w:rsidRPr="00285232">
        <w:t xml:space="preserve">40% grouping. Only 1 </w:t>
      </w:r>
      <w:r w:rsidR="00476339" w:rsidRPr="00285232">
        <w:t>subject</w:t>
      </w:r>
      <w:r w:rsidRPr="00285232">
        <w:t xml:space="preserve"> could be regarded as </w:t>
      </w:r>
      <w:r w:rsidR="00EA37B8" w:rsidRPr="00285232">
        <w:t xml:space="preserve">having </w:t>
      </w:r>
      <w:r w:rsidRPr="00285232">
        <w:t xml:space="preserve">moderate </w:t>
      </w:r>
      <w:r w:rsidR="00EA37B8" w:rsidRPr="00285232">
        <w:t xml:space="preserve">HMB at Month 48 </w:t>
      </w:r>
      <w:r w:rsidRPr="00285232">
        <w:t>(FIX activity 4.7%)</w:t>
      </w:r>
      <w:r w:rsidR="00EA37B8" w:rsidRPr="00285232">
        <w:t xml:space="preserve">; no </w:t>
      </w:r>
      <w:r w:rsidR="00476339" w:rsidRPr="00285232">
        <w:t xml:space="preserve">subjects </w:t>
      </w:r>
      <w:r w:rsidR="00EA37B8" w:rsidRPr="00285232">
        <w:t>could be regarded as having severe HMB</w:t>
      </w:r>
      <w:r w:rsidR="00C80E40" w:rsidRPr="00285232">
        <w:t xml:space="preserve"> (</w:t>
      </w:r>
      <w:r w:rsidR="00030E97" w:rsidRPr="00285232">
        <w:t>FIX activity &lt; 1%)</w:t>
      </w:r>
      <w:r w:rsidR="00D5595E" w:rsidRPr="00285232">
        <w:t xml:space="preserve">. </w:t>
      </w:r>
      <w:r w:rsidR="00D1204E" w:rsidRPr="00285232">
        <w:t>Additionally,</w:t>
      </w:r>
      <w:r w:rsidRPr="00285232">
        <w:t xml:space="preserve"> 3 </w:t>
      </w:r>
      <w:r w:rsidR="00476339" w:rsidRPr="00285232">
        <w:t>subjects</w:t>
      </w:r>
      <w:r w:rsidRPr="00285232">
        <w:t xml:space="preserve"> experienced lack of efficacy </w:t>
      </w:r>
      <w:r w:rsidR="004555AA" w:rsidRPr="00285232">
        <w:t>(</w:t>
      </w:r>
      <w:r w:rsidR="005C7967" w:rsidRPr="00285232">
        <w:t xml:space="preserve">including the subject </w:t>
      </w:r>
      <w:r w:rsidR="00CC69A5" w:rsidRPr="00285232">
        <w:t xml:space="preserve">who lost treatment effect </w:t>
      </w:r>
      <w:r w:rsidR="00BA0BB8" w:rsidRPr="00285232">
        <w:t xml:space="preserve">at Month 29 </w:t>
      </w:r>
      <w:r w:rsidR="00CC69A5" w:rsidRPr="00285232">
        <w:t xml:space="preserve">and </w:t>
      </w:r>
      <w:r w:rsidR="00ED58D2" w:rsidRPr="00285232">
        <w:t xml:space="preserve">returned to </w:t>
      </w:r>
      <w:r w:rsidR="007C0013" w:rsidRPr="00285232">
        <w:t xml:space="preserve">routine </w:t>
      </w:r>
      <w:r w:rsidR="00ED58D2" w:rsidRPr="00285232">
        <w:t>FIX prophylaxis</w:t>
      </w:r>
      <w:r w:rsidR="00BA0BB8" w:rsidRPr="00285232">
        <w:t xml:space="preserve"> at Month 30</w:t>
      </w:r>
      <w:r w:rsidR="00ED58D2" w:rsidRPr="00285232">
        <w:t>)</w:t>
      </w:r>
      <w:r w:rsidRPr="00285232">
        <w:t>.</w:t>
      </w:r>
    </w:p>
    <w:p w14:paraId="15412A75" w14:textId="59D4CEDF" w:rsidR="009B2568" w:rsidRDefault="009B2568" w:rsidP="001417FF">
      <w:r>
        <w:t xml:space="preserve">Patient categories were </w:t>
      </w:r>
      <w:r w:rsidR="000E0DF1">
        <w:t>reasonably</w:t>
      </w:r>
      <w:r>
        <w:t xml:space="preserve"> steady from the 18</w:t>
      </w:r>
      <w:r w:rsidR="000E0DF1">
        <w:t>-</w:t>
      </w:r>
      <w:r>
        <w:t>month to 48</w:t>
      </w:r>
      <w:r w:rsidR="000E0DF1">
        <w:t>-</w:t>
      </w:r>
      <w:r>
        <w:t>month time periods.</w:t>
      </w:r>
    </w:p>
    <w:p w14:paraId="302B07F4" w14:textId="4642D059" w:rsidR="00694ED8" w:rsidRPr="007E72BE" w:rsidRDefault="00694ED8" w:rsidP="001417FF">
      <w:pPr>
        <w:pStyle w:val="Caption"/>
        <w:spacing w:before="0" w:after="40"/>
      </w:pPr>
      <w:r w:rsidRPr="007E72BE">
        <w:t xml:space="preserve">Figure </w:t>
      </w:r>
      <w:r w:rsidR="00146997">
        <w:fldChar w:fldCharType="begin"/>
      </w:r>
      <w:r w:rsidR="00146997">
        <w:instrText xml:space="preserve"> SEQ Figure \* ARABIC </w:instrText>
      </w:r>
      <w:r w:rsidR="00146997">
        <w:fldChar w:fldCharType="separate"/>
      </w:r>
      <w:r w:rsidR="00146997" w:rsidRPr="007E72BE">
        <w:rPr>
          <w:noProof/>
        </w:rPr>
        <w:t>3</w:t>
      </w:r>
      <w:r w:rsidR="00146997">
        <w:rPr>
          <w:noProof/>
        </w:rPr>
        <w:fldChar w:fldCharType="end"/>
      </w:r>
      <w:r w:rsidRPr="007E72BE">
        <w:tab/>
      </w:r>
      <w:r w:rsidR="00A91D24" w:rsidRPr="007E72BE">
        <w:t xml:space="preserve">FIX activity level in HOPE-B </w:t>
      </w:r>
      <w:r w:rsidR="002F5985" w:rsidRPr="007E72BE">
        <w:t>subjects</w:t>
      </w:r>
      <w:r w:rsidR="00A91D24" w:rsidRPr="007E72BE">
        <w:t xml:space="preserve"> at 48 months</w:t>
      </w:r>
    </w:p>
    <w:p w14:paraId="62C30D27" w14:textId="77777777" w:rsidR="00BE4103" w:rsidRPr="007E72BE" w:rsidRDefault="00BE4103" w:rsidP="001417FF">
      <w:pPr>
        <w:spacing w:before="0" w:after="0"/>
      </w:pPr>
      <w:r w:rsidRPr="007E72BE">
        <w:rPr>
          <w:noProof/>
        </w:rPr>
        <w:drawing>
          <wp:inline distT="0" distB="0" distL="0" distR="0" wp14:anchorId="7B827E07" wp14:editId="59E42381">
            <wp:extent cx="5728335" cy="2638425"/>
            <wp:effectExtent l="0" t="0" r="5715" b="9525"/>
            <wp:docPr id="545280034" name="Picture 2" descr="Pie chart showing HMB disease categories based on FIX activity level in HOPE-B subjects at 48 months post-treatment. Figure also shows reasons for missing and uninterpretabl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80034" name="Picture 2" descr="Pie chart showing HMB disease categories based on FIX activity level in HOPE-B subjects at 48 months post-treatment. Figure also shows reasons for missing and uninterpretable dat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4417" cy="2655044"/>
                    </a:xfrm>
                    <a:prstGeom prst="rect">
                      <a:avLst/>
                    </a:prstGeom>
                    <a:noFill/>
                  </pic:spPr>
                </pic:pic>
              </a:graphicData>
            </a:graphic>
          </wp:inline>
        </w:drawing>
      </w:r>
    </w:p>
    <w:p w14:paraId="07DFCB7C" w14:textId="3E15A8EC" w:rsidR="001E1DDF" w:rsidRPr="007E72BE" w:rsidRDefault="001E1DDF" w:rsidP="001417FF">
      <w:pPr>
        <w:pStyle w:val="TableFigureFooter"/>
        <w:spacing w:before="0"/>
        <w:contextualSpacing/>
        <w:rPr>
          <w:lang w:val="en-US"/>
        </w:rPr>
      </w:pPr>
      <w:r w:rsidRPr="007E72BE">
        <w:rPr>
          <w:lang w:val="en-US"/>
        </w:rPr>
        <w:t xml:space="preserve">FIX = factor IX; HCC = hepatocellular carcinoma; </w:t>
      </w:r>
      <w:proofErr w:type="spellStart"/>
      <w:r w:rsidRPr="007E72BE">
        <w:rPr>
          <w:lang w:val="en-US"/>
        </w:rPr>
        <w:t>N</w:t>
      </w:r>
      <w:r w:rsidR="00300D83" w:rsidRPr="007E72BE">
        <w:rPr>
          <w:lang w:val="en-US"/>
        </w:rPr>
        <w:t>A</w:t>
      </w:r>
      <w:r w:rsidRPr="007E72BE">
        <w:rPr>
          <w:lang w:val="en-US"/>
        </w:rPr>
        <w:t>b</w:t>
      </w:r>
      <w:proofErr w:type="spellEnd"/>
      <w:r w:rsidRPr="007E72BE">
        <w:rPr>
          <w:lang w:val="en-US"/>
        </w:rPr>
        <w:t xml:space="preserve"> = </w:t>
      </w:r>
      <w:proofErr w:type="spellStart"/>
      <w:r w:rsidRPr="007E72BE">
        <w:rPr>
          <w:lang w:val="en-US"/>
        </w:rPr>
        <w:t>neutralising</w:t>
      </w:r>
      <w:proofErr w:type="spellEnd"/>
      <w:r w:rsidRPr="007E72BE">
        <w:rPr>
          <w:lang w:val="en-US"/>
        </w:rPr>
        <w:t xml:space="preserve"> antibody.</w:t>
      </w:r>
    </w:p>
    <w:p w14:paraId="214B2E5C" w14:textId="7020795B" w:rsidR="00BB310C" w:rsidRPr="007E72BE" w:rsidRDefault="00BB310C" w:rsidP="000C24AA">
      <w:pPr>
        <w:pStyle w:val="TableFigureFooter"/>
        <w:contextualSpacing/>
      </w:pPr>
      <w:r w:rsidRPr="007E72BE">
        <w:rPr>
          <w:lang w:val="en-US"/>
        </w:rPr>
        <w:t xml:space="preserve">Based on one-stage FIX activity levels from central laboratory results. Only ‘uncontaminated’ samples were included in analysis; i.e. blood sampling did not occur within </w:t>
      </w:r>
      <w:r w:rsidR="00146DD5" w:rsidRPr="007E72BE">
        <w:rPr>
          <w:lang w:val="en-US"/>
        </w:rPr>
        <w:t>5</w:t>
      </w:r>
      <w:r w:rsidRPr="007E72BE">
        <w:rPr>
          <w:lang w:val="en-US"/>
        </w:rPr>
        <w:t xml:space="preserve"> half-lives of exogenous FIX use.</w:t>
      </w:r>
    </w:p>
    <w:p w14:paraId="53A33E13" w14:textId="36BD4F9D" w:rsidR="009A10E5" w:rsidRPr="001806A8" w:rsidRDefault="009A10E5" w:rsidP="000C24AA">
      <w:pPr>
        <w:pStyle w:val="TableFigureFooter"/>
        <w:contextualSpacing/>
        <w:rPr>
          <w:lang w:val="en-US"/>
        </w:rPr>
      </w:pPr>
      <w:r w:rsidRPr="007E72BE">
        <w:rPr>
          <w:lang w:val="en-US"/>
        </w:rPr>
        <w:t>Source: Figure 2.17</w:t>
      </w:r>
      <w:r w:rsidR="004F77D9" w:rsidRPr="007E72BE">
        <w:rPr>
          <w:lang w:val="en-US"/>
        </w:rPr>
        <w:t xml:space="preserve"> of MSAC ADAR 1728.1</w:t>
      </w:r>
      <w:r w:rsidR="008330B8" w:rsidRPr="007E72BE">
        <w:rPr>
          <w:lang w:val="en-US"/>
        </w:rPr>
        <w:t>.</w:t>
      </w:r>
    </w:p>
    <w:p w14:paraId="59A4C5F5" w14:textId="78863023" w:rsidR="00BB310C" w:rsidRDefault="009502B7" w:rsidP="009502B7">
      <w:pPr>
        <w:pStyle w:val="Heading4"/>
      </w:pPr>
      <w:r>
        <w:lastRenderedPageBreak/>
        <w:t>FIX replacement use and prophylaxis</w:t>
      </w:r>
    </w:p>
    <w:p w14:paraId="25B6E2D0" w14:textId="48362286" w:rsidR="009502B7" w:rsidRPr="009502B7" w:rsidRDefault="00BE613A" w:rsidP="009502B7">
      <w:r w:rsidRPr="00E40A38">
        <w:t xml:space="preserve">Post-treatment FIX replacement therapy consumption </w:t>
      </w:r>
      <w:r w:rsidR="00B349C1">
        <w:t>(for prophylactic use and on-demand treatment</w:t>
      </w:r>
      <w:r w:rsidR="004F61FF">
        <w:t xml:space="preserve">, excluding </w:t>
      </w:r>
      <w:r w:rsidR="00D11BBB">
        <w:t xml:space="preserve">use for </w:t>
      </w:r>
      <w:r w:rsidR="004F61FF">
        <w:t>invasive procedures</w:t>
      </w:r>
      <w:r w:rsidR="00B349C1">
        <w:t xml:space="preserve">) </w:t>
      </w:r>
      <w:r w:rsidRPr="00E40A38">
        <w:t>decreased significantly from the pre-treatment lead-in period</w:t>
      </w:r>
      <w:r w:rsidR="00CF4857">
        <w:t xml:space="preserve"> </w:t>
      </w:r>
      <w:r w:rsidR="00574FC9">
        <w:t>(</w:t>
      </w:r>
      <w:r w:rsidR="00914B25">
        <w:fldChar w:fldCharType="begin"/>
      </w:r>
      <w:r w:rsidR="00914B25">
        <w:instrText xml:space="preserve"> REF _Ref207985851 \h </w:instrText>
      </w:r>
      <w:r w:rsidR="00914B25">
        <w:fldChar w:fldCharType="separate"/>
      </w:r>
      <w:r w:rsidR="00914B25">
        <w:t xml:space="preserve">Table </w:t>
      </w:r>
      <w:r w:rsidR="00914B25">
        <w:rPr>
          <w:noProof/>
        </w:rPr>
        <w:t>8</w:t>
      </w:r>
      <w:r w:rsidR="00914B25">
        <w:fldChar w:fldCharType="end"/>
      </w:r>
      <w:r w:rsidR="00574FC9">
        <w:t>)</w:t>
      </w:r>
      <w:r w:rsidR="005D246D" w:rsidRPr="00E40A38">
        <w:t>, with a percentage reduction of at least 95% at all timepoints.</w:t>
      </w:r>
    </w:p>
    <w:p w14:paraId="2B14450C" w14:textId="4E967801" w:rsidR="009577A6" w:rsidRDefault="007628BE" w:rsidP="007628BE">
      <w:pPr>
        <w:pStyle w:val="Caption"/>
      </w:pPr>
      <w:bookmarkStart w:id="31" w:name="_Ref207985851"/>
      <w:bookmarkStart w:id="32" w:name="_Ref194951763"/>
      <w:r>
        <w:t xml:space="preserve">Table </w:t>
      </w:r>
      <w:r>
        <w:fldChar w:fldCharType="begin"/>
      </w:r>
      <w:r>
        <w:instrText xml:space="preserve"> SEQ Table \* ARABIC </w:instrText>
      </w:r>
      <w:r>
        <w:fldChar w:fldCharType="separate"/>
      </w:r>
      <w:r>
        <w:rPr>
          <w:noProof/>
        </w:rPr>
        <w:t>8</w:t>
      </w:r>
      <w:r>
        <w:rPr>
          <w:noProof/>
        </w:rPr>
        <w:fldChar w:fldCharType="end"/>
      </w:r>
      <w:bookmarkEnd w:id="31"/>
      <w:r>
        <w:t xml:space="preserve"> </w:t>
      </w:r>
      <w:r w:rsidR="00914B25">
        <w:tab/>
      </w:r>
      <w:bookmarkEnd w:id="32"/>
      <w:r w:rsidR="009577A6">
        <w:t xml:space="preserve">Annualised consumption of FIX replacement therapy (IU/year) </w:t>
      </w:r>
      <w:r w:rsidR="00B40113">
        <w:t>in HOPE-B</w:t>
      </w:r>
      <w:r w:rsidR="00D16A9A">
        <w:t xml:space="preserve"> study</w:t>
      </w:r>
      <w:r w:rsidR="00292EBB">
        <w:t>,</w:t>
      </w:r>
      <w:r w:rsidR="00B40113">
        <w:t xml:space="preserve"> </w:t>
      </w:r>
      <w:r w:rsidR="009577A6">
        <w:t>excluding invasive procedures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ualised consumption of FIX replacement therapy (IU/year) in HOPE-B study, excluding invasive procedures"/>
        <w:tblDescription w:val="This table shows mean annualised FIX consumption during the lead-in period, and in years 1 to 4 post dose. "/>
      </w:tblPr>
      <w:tblGrid>
        <w:gridCol w:w="1696"/>
        <w:gridCol w:w="709"/>
        <w:gridCol w:w="1985"/>
        <w:gridCol w:w="3650"/>
        <w:gridCol w:w="976"/>
      </w:tblGrid>
      <w:tr w:rsidR="000D6DD3" w14:paraId="2C6E76F4" w14:textId="77777777" w:rsidTr="005D76F9">
        <w:trPr>
          <w:tblHeader/>
        </w:trPr>
        <w:tc>
          <w:tcPr>
            <w:tcW w:w="941" w:type="pct"/>
          </w:tcPr>
          <w:p w14:paraId="22C25522" w14:textId="0CFF84BE" w:rsidR="000D6DD3" w:rsidRDefault="00B4232A" w:rsidP="00070B98">
            <w:pPr>
              <w:pStyle w:val="In-tableHeading"/>
            </w:pPr>
            <w:r>
              <w:t>Time interval</w:t>
            </w:r>
          </w:p>
        </w:tc>
        <w:tc>
          <w:tcPr>
            <w:tcW w:w="393" w:type="pct"/>
          </w:tcPr>
          <w:p w14:paraId="1448AF4E" w14:textId="41942CA3" w:rsidR="000D6DD3" w:rsidRDefault="00B4232A" w:rsidP="00070B98">
            <w:pPr>
              <w:pStyle w:val="In-tableHeading"/>
            </w:pPr>
            <w:r>
              <w:t>N</w:t>
            </w:r>
          </w:p>
        </w:tc>
        <w:tc>
          <w:tcPr>
            <w:tcW w:w="1101" w:type="pct"/>
          </w:tcPr>
          <w:p w14:paraId="4379EE6B" w14:textId="72A74A9C" w:rsidR="000D6DD3" w:rsidRDefault="00B4232A" w:rsidP="00070B98">
            <w:pPr>
              <w:pStyle w:val="In-tableHeading"/>
            </w:pPr>
            <w:r>
              <w:t>Mean</w:t>
            </w:r>
            <w:r w:rsidR="00031241">
              <w:t xml:space="preserve"> IU/year</w:t>
            </w:r>
            <w:r>
              <w:t xml:space="preserve"> (SD)</w:t>
            </w:r>
          </w:p>
        </w:tc>
        <w:tc>
          <w:tcPr>
            <w:tcW w:w="2024" w:type="pct"/>
          </w:tcPr>
          <w:p w14:paraId="37BC69B8" w14:textId="3BCD96C2" w:rsidR="000D6DD3" w:rsidRDefault="00E451FC" w:rsidP="00070B98">
            <w:pPr>
              <w:pStyle w:val="In-tableHeading"/>
            </w:pPr>
            <w:r>
              <w:t xml:space="preserve">Mean difference </w:t>
            </w:r>
            <w:r w:rsidR="00166C49">
              <w:t>(</w:t>
            </w:r>
            <w:r w:rsidR="003F7AA6">
              <w:t>post</w:t>
            </w:r>
            <w:r w:rsidR="00D167E3">
              <w:t xml:space="preserve"> </w:t>
            </w:r>
            <w:r w:rsidR="003F7AA6">
              <w:t xml:space="preserve">dose – lead-in) </w:t>
            </w:r>
            <w:r>
              <w:t>(SD)</w:t>
            </w:r>
          </w:p>
        </w:tc>
        <w:tc>
          <w:tcPr>
            <w:tcW w:w="541" w:type="pct"/>
          </w:tcPr>
          <w:p w14:paraId="5230926E" w14:textId="3EF6AAD6" w:rsidR="000D6DD3" w:rsidRDefault="00402342" w:rsidP="00070B98">
            <w:pPr>
              <w:pStyle w:val="In-tableHeading"/>
            </w:pPr>
            <w:r>
              <w:t>p-value</w:t>
            </w:r>
          </w:p>
        </w:tc>
      </w:tr>
      <w:tr w:rsidR="000D6DD3" w14:paraId="61FDE2FE" w14:textId="77777777" w:rsidTr="005D76F9">
        <w:tc>
          <w:tcPr>
            <w:tcW w:w="941" w:type="pct"/>
          </w:tcPr>
          <w:p w14:paraId="24D6452F" w14:textId="73478AE4" w:rsidR="000D6DD3" w:rsidRDefault="00057572" w:rsidP="000D6DD3">
            <w:pPr>
              <w:pStyle w:val="TableText"/>
            </w:pPr>
            <w:r>
              <w:t>Lead-in period</w:t>
            </w:r>
          </w:p>
        </w:tc>
        <w:tc>
          <w:tcPr>
            <w:tcW w:w="393" w:type="pct"/>
          </w:tcPr>
          <w:p w14:paraId="4B28EE0C" w14:textId="5C1318A3" w:rsidR="000D6DD3" w:rsidRDefault="00412497" w:rsidP="000D6DD3">
            <w:pPr>
              <w:pStyle w:val="TableText"/>
            </w:pPr>
            <w:r>
              <w:t>54</w:t>
            </w:r>
          </w:p>
        </w:tc>
        <w:tc>
          <w:tcPr>
            <w:tcW w:w="1101" w:type="pct"/>
          </w:tcPr>
          <w:p w14:paraId="7C411141" w14:textId="339D8D47" w:rsidR="000D6DD3" w:rsidRDefault="00BA5238" w:rsidP="000D6DD3">
            <w:pPr>
              <w:pStyle w:val="TableText"/>
            </w:pPr>
            <w:r w:rsidRPr="00BA5238">
              <w:t>257,338.8 (149,013.1)</w:t>
            </w:r>
          </w:p>
        </w:tc>
        <w:tc>
          <w:tcPr>
            <w:tcW w:w="2024" w:type="pct"/>
          </w:tcPr>
          <w:p w14:paraId="673FF514" w14:textId="107A98C9" w:rsidR="000D6DD3" w:rsidRDefault="00EA17DB" w:rsidP="000D6DD3">
            <w:pPr>
              <w:pStyle w:val="TableText"/>
            </w:pPr>
            <w:r>
              <w:t>N/A</w:t>
            </w:r>
          </w:p>
        </w:tc>
        <w:tc>
          <w:tcPr>
            <w:tcW w:w="541" w:type="pct"/>
          </w:tcPr>
          <w:p w14:paraId="1BA9F3E2" w14:textId="1296D2DC" w:rsidR="000D6DD3" w:rsidRDefault="00B641C3" w:rsidP="000D6DD3">
            <w:pPr>
              <w:pStyle w:val="TableText"/>
            </w:pPr>
            <w:r>
              <w:t>-</w:t>
            </w:r>
          </w:p>
        </w:tc>
      </w:tr>
      <w:tr w:rsidR="000D6DD3" w14:paraId="46BDC42B" w14:textId="77777777" w:rsidTr="005D76F9">
        <w:tc>
          <w:tcPr>
            <w:tcW w:w="941" w:type="pct"/>
          </w:tcPr>
          <w:p w14:paraId="63FA0576" w14:textId="4AEFC541" w:rsidR="000D6DD3" w:rsidRDefault="00057572" w:rsidP="00057572">
            <w:pPr>
              <w:pStyle w:val="Tabletext0"/>
            </w:pPr>
            <w:r w:rsidRPr="009E504A">
              <w:t>Year 1 post</w:t>
            </w:r>
            <w:r w:rsidR="00D167E3">
              <w:t xml:space="preserve"> </w:t>
            </w:r>
            <w:r w:rsidRPr="009E504A">
              <w:t xml:space="preserve">dose </w:t>
            </w:r>
          </w:p>
        </w:tc>
        <w:tc>
          <w:tcPr>
            <w:tcW w:w="393" w:type="pct"/>
          </w:tcPr>
          <w:p w14:paraId="09B05BE2" w14:textId="43FE8BEC" w:rsidR="000D6DD3" w:rsidRDefault="00057572" w:rsidP="00057572">
            <w:pPr>
              <w:pStyle w:val="Tabletext0"/>
            </w:pPr>
            <w:r w:rsidRPr="009E504A">
              <w:rPr>
                <w:rFonts w:eastAsiaTheme="minorEastAsia"/>
                <w:lang w:val="en-GB"/>
              </w:rPr>
              <w:t>54</w:t>
            </w:r>
          </w:p>
        </w:tc>
        <w:tc>
          <w:tcPr>
            <w:tcW w:w="1101" w:type="pct"/>
          </w:tcPr>
          <w:p w14:paraId="4DC1A2AD" w14:textId="43EDD5FD" w:rsidR="000D6DD3" w:rsidRDefault="00CB1EA2" w:rsidP="000D6DD3">
            <w:pPr>
              <w:pStyle w:val="TableText"/>
            </w:pPr>
            <w:r w:rsidRPr="001C1EE3">
              <w:t>10,531.7 (29,870.5)</w:t>
            </w:r>
          </w:p>
        </w:tc>
        <w:tc>
          <w:tcPr>
            <w:tcW w:w="2024" w:type="pct"/>
          </w:tcPr>
          <w:p w14:paraId="188A9BD2" w14:textId="02C26D4F" w:rsidR="000D6DD3" w:rsidRDefault="00EA17DB" w:rsidP="000D6DD3">
            <w:pPr>
              <w:pStyle w:val="TableText"/>
            </w:pPr>
            <w:r w:rsidRPr="00B92AF9">
              <w:t>- 246,807.0 (149,280.9)</w:t>
            </w:r>
          </w:p>
        </w:tc>
        <w:tc>
          <w:tcPr>
            <w:tcW w:w="541" w:type="pct"/>
          </w:tcPr>
          <w:p w14:paraId="18887A05" w14:textId="6ACCC8C3" w:rsidR="000D6DD3" w:rsidRDefault="00166C49" w:rsidP="000D6DD3">
            <w:pPr>
              <w:pStyle w:val="TableText"/>
            </w:pPr>
            <w:r w:rsidRPr="003F36F5">
              <w:t>&lt; 0.0001</w:t>
            </w:r>
          </w:p>
        </w:tc>
      </w:tr>
      <w:tr w:rsidR="000D6DD3" w14:paraId="59009AA8" w14:textId="77777777" w:rsidTr="005D76F9">
        <w:tc>
          <w:tcPr>
            <w:tcW w:w="941" w:type="pct"/>
          </w:tcPr>
          <w:p w14:paraId="791B81DB" w14:textId="0A1F5834" w:rsidR="000D6DD3" w:rsidRDefault="00057572" w:rsidP="00057572">
            <w:pPr>
              <w:pStyle w:val="Tabletext0"/>
            </w:pPr>
            <w:r w:rsidRPr="009E504A">
              <w:t>Year 2 post</w:t>
            </w:r>
            <w:r w:rsidR="00D167E3">
              <w:t xml:space="preserve"> </w:t>
            </w:r>
            <w:r w:rsidRPr="009E504A">
              <w:t>dose</w:t>
            </w:r>
          </w:p>
        </w:tc>
        <w:tc>
          <w:tcPr>
            <w:tcW w:w="393" w:type="pct"/>
          </w:tcPr>
          <w:p w14:paraId="2F519F67" w14:textId="28C3B1A5" w:rsidR="000D6DD3" w:rsidRDefault="00057572" w:rsidP="00057572">
            <w:pPr>
              <w:pStyle w:val="Tabletext0"/>
            </w:pPr>
            <w:r w:rsidRPr="009E504A">
              <w:rPr>
                <w:rFonts w:eastAsiaTheme="minorEastAsia"/>
                <w:lang w:val="en-GB"/>
              </w:rPr>
              <w:t>54</w:t>
            </w:r>
          </w:p>
        </w:tc>
        <w:tc>
          <w:tcPr>
            <w:tcW w:w="1101" w:type="pct"/>
          </w:tcPr>
          <w:p w14:paraId="695CFB2C" w14:textId="77C0AA37" w:rsidR="000D6DD3" w:rsidRDefault="00166C49" w:rsidP="000D6DD3">
            <w:pPr>
              <w:pStyle w:val="TableText"/>
            </w:pPr>
            <w:r w:rsidRPr="001C1EE3">
              <w:t>8</w:t>
            </w:r>
            <w:r w:rsidR="00EC7E92">
              <w:t>,</w:t>
            </w:r>
            <w:r w:rsidRPr="001C1EE3">
              <w:t>777</w:t>
            </w:r>
            <w:r w:rsidR="00CB1EA2" w:rsidRPr="001C1EE3">
              <w:t>.2 (27,208.6)</w:t>
            </w:r>
          </w:p>
        </w:tc>
        <w:tc>
          <w:tcPr>
            <w:tcW w:w="2024" w:type="pct"/>
          </w:tcPr>
          <w:p w14:paraId="2F1CAF23" w14:textId="77E82412" w:rsidR="000D6DD3" w:rsidRDefault="00EA17DB" w:rsidP="000D6DD3">
            <w:pPr>
              <w:pStyle w:val="TableText"/>
            </w:pPr>
            <w:r w:rsidRPr="00B92AF9">
              <w:t>- 248,561.5 (153,996.0)</w:t>
            </w:r>
          </w:p>
        </w:tc>
        <w:tc>
          <w:tcPr>
            <w:tcW w:w="541" w:type="pct"/>
          </w:tcPr>
          <w:p w14:paraId="7A77979F" w14:textId="4D3EE0B4" w:rsidR="000D6DD3" w:rsidRDefault="00166C49" w:rsidP="000D6DD3">
            <w:pPr>
              <w:pStyle w:val="TableText"/>
            </w:pPr>
            <w:r w:rsidRPr="003F36F5">
              <w:t>&lt; 0.0001</w:t>
            </w:r>
          </w:p>
        </w:tc>
      </w:tr>
      <w:tr w:rsidR="000D6DD3" w14:paraId="5A686482" w14:textId="77777777" w:rsidTr="005D76F9">
        <w:tc>
          <w:tcPr>
            <w:tcW w:w="941" w:type="pct"/>
          </w:tcPr>
          <w:p w14:paraId="073A0E74" w14:textId="145C0AAB" w:rsidR="000D6DD3" w:rsidRDefault="00057572" w:rsidP="00057572">
            <w:pPr>
              <w:pStyle w:val="Tabletext0"/>
            </w:pPr>
            <w:r w:rsidRPr="009E504A">
              <w:t>Year 3 post</w:t>
            </w:r>
            <w:r w:rsidR="00D167E3">
              <w:t xml:space="preserve"> </w:t>
            </w:r>
            <w:r w:rsidRPr="009E504A">
              <w:t>dose</w:t>
            </w:r>
          </w:p>
        </w:tc>
        <w:tc>
          <w:tcPr>
            <w:tcW w:w="393" w:type="pct"/>
          </w:tcPr>
          <w:p w14:paraId="59492F70" w14:textId="12F3CCFE" w:rsidR="000D6DD3" w:rsidRDefault="00057572" w:rsidP="00057572">
            <w:pPr>
              <w:pStyle w:val="Tabletext0"/>
            </w:pPr>
            <w:r w:rsidRPr="009E504A">
              <w:rPr>
                <w:rFonts w:eastAsiaTheme="minorEastAsia"/>
                <w:lang w:val="en-GB"/>
              </w:rPr>
              <w:t>53</w:t>
            </w:r>
          </w:p>
        </w:tc>
        <w:tc>
          <w:tcPr>
            <w:tcW w:w="1101" w:type="pct"/>
          </w:tcPr>
          <w:p w14:paraId="67ADB779" w14:textId="5A3F45CE" w:rsidR="000D6DD3" w:rsidRDefault="00CB1EA2" w:rsidP="000D6DD3">
            <w:pPr>
              <w:pStyle w:val="TableText"/>
            </w:pPr>
            <w:r w:rsidRPr="001C1EE3">
              <w:t>10,217.8 (36,097.8)</w:t>
            </w:r>
          </w:p>
        </w:tc>
        <w:tc>
          <w:tcPr>
            <w:tcW w:w="2024" w:type="pct"/>
          </w:tcPr>
          <w:p w14:paraId="0E648A5B" w14:textId="1FBCC579" w:rsidR="000D6DD3" w:rsidRDefault="00EA17DB" w:rsidP="000D6DD3">
            <w:pPr>
              <w:pStyle w:val="TableText"/>
            </w:pPr>
            <w:r w:rsidRPr="00B92AF9">
              <w:t>- 245,483.6 (147,850.5)</w:t>
            </w:r>
          </w:p>
        </w:tc>
        <w:tc>
          <w:tcPr>
            <w:tcW w:w="541" w:type="pct"/>
          </w:tcPr>
          <w:p w14:paraId="421C8007" w14:textId="003F455E" w:rsidR="000D6DD3" w:rsidRDefault="00166C49" w:rsidP="000D6DD3">
            <w:pPr>
              <w:pStyle w:val="TableText"/>
            </w:pPr>
            <w:r w:rsidRPr="003F36F5">
              <w:t>&lt; 0.0001</w:t>
            </w:r>
          </w:p>
        </w:tc>
      </w:tr>
      <w:tr w:rsidR="000D6DD3" w14:paraId="055E4E00" w14:textId="77777777" w:rsidTr="005D76F9">
        <w:tc>
          <w:tcPr>
            <w:tcW w:w="941" w:type="pct"/>
          </w:tcPr>
          <w:p w14:paraId="71E4B281" w14:textId="223EDF65" w:rsidR="000D6DD3" w:rsidRPr="00526191" w:rsidRDefault="00057572" w:rsidP="00057572">
            <w:pPr>
              <w:pStyle w:val="Tabletext0"/>
            </w:pPr>
            <w:r w:rsidRPr="00526191">
              <w:t>Year 4 post</w:t>
            </w:r>
            <w:r w:rsidR="00D167E3" w:rsidRPr="00526191">
              <w:t xml:space="preserve"> </w:t>
            </w:r>
            <w:r w:rsidRPr="00526191">
              <w:t>dose</w:t>
            </w:r>
          </w:p>
        </w:tc>
        <w:tc>
          <w:tcPr>
            <w:tcW w:w="393" w:type="pct"/>
          </w:tcPr>
          <w:p w14:paraId="6DA0F28D" w14:textId="1751A8E9" w:rsidR="000D6DD3" w:rsidRPr="00526191" w:rsidRDefault="00057572" w:rsidP="00057572">
            <w:pPr>
              <w:pStyle w:val="Tabletext0"/>
            </w:pPr>
            <w:r w:rsidRPr="00526191">
              <w:rPr>
                <w:rFonts w:eastAsiaTheme="minorEastAsia"/>
                <w:lang w:val="en-GB"/>
              </w:rPr>
              <w:t>51</w:t>
            </w:r>
          </w:p>
        </w:tc>
        <w:tc>
          <w:tcPr>
            <w:tcW w:w="1101" w:type="pct"/>
          </w:tcPr>
          <w:p w14:paraId="5285F672" w14:textId="5A8D3A72" w:rsidR="000D6DD3" w:rsidRPr="00526191" w:rsidRDefault="00166C49" w:rsidP="000D6DD3">
            <w:pPr>
              <w:pStyle w:val="TableText"/>
            </w:pPr>
            <w:r w:rsidRPr="00526191">
              <w:t>9</w:t>
            </w:r>
            <w:r w:rsidR="003F7AA6" w:rsidRPr="00526191">
              <w:t>,</w:t>
            </w:r>
            <w:r w:rsidRPr="00526191">
              <w:t>431</w:t>
            </w:r>
            <w:r w:rsidR="00CB1EA2" w:rsidRPr="00526191">
              <w:t>.8 (41,959.6)</w:t>
            </w:r>
          </w:p>
        </w:tc>
        <w:tc>
          <w:tcPr>
            <w:tcW w:w="2024" w:type="pct"/>
          </w:tcPr>
          <w:p w14:paraId="784C4A8D" w14:textId="27F071F9" w:rsidR="000D6DD3" w:rsidRPr="00526191" w:rsidRDefault="00EA17DB" w:rsidP="000D6DD3">
            <w:pPr>
              <w:pStyle w:val="TableText"/>
            </w:pPr>
            <w:r w:rsidRPr="00526191">
              <w:t>- 250,627.7 (154,102.7)</w:t>
            </w:r>
          </w:p>
        </w:tc>
        <w:tc>
          <w:tcPr>
            <w:tcW w:w="541" w:type="pct"/>
          </w:tcPr>
          <w:p w14:paraId="21D50CF1" w14:textId="1654D0D0" w:rsidR="000D6DD3" w:rsidRPr="00526191" w:rsidRDefault="00166C49" w:rsidP="000D6DD3">
            <w:pPr>
              <w:pStyle w:val="TableText"/>
            </w:pPr>
            <w:r w:rsidRPr="00526191">
              <w:t>&lt; 0.0001</w:t>
            </w:r>
          </w:p>
        </w:tc>
      </w:tr>
    </w:tbl>
    <w:p w14:paraId="3D4B36E5" w14:textId="2577EC5D" w:rsidR="001D7A64" w:rsidRDefault="001D7A64" w:rsidP="000C24AA">
      <w:pPr>
        <w:pStyle w:val="TableFigureFooter"/>
        <w:contextualSpacing/>
      </w:pPr>
      <w:r>
        <w:t>CI = confidence interval; FIX = factor IX; IU = international units; N/A = not applicable; SD = standard deviation.</w:t>
      </w:r>
    </w:p>
    <w:p w14:paraId="7969F0E0" w14:textId="7B5BC042" w:rsidR="006C1E3C" w:rsidRDefault="006C1E3C" w:rsidP="000C24AA">
      <w:pPr>
        <w:pStyle w:val="TableFigureFooter"/>
        <w:contextualSpacing/>
      </w:pPr>
      <w:r>
        <w:t xml:space="preserve">Post dose </w:t>
      </w:r>
      <w:r w:rsidR="00CF0F1D">
        <w:t>time interval excluded information before Day 21 post dose.</w:t>
      </w:r>
    </w:p>
    <w:p w14:paraId="0C6011B0" w14:textId="603C5B8E" w:rsidR="00636AAC" w:rsidRDefault="00614BF2" w:rsidP="000C24AA">
      <w:pPr>
        <w:pStyle w:val="TableFigureFooter"/>
        <w:contextualSpacing/>
      </w:pPr>
      <w:r>
        <w:t>Source: Table 2.31</w:t>
      </w:r>
      <w:r w:rsidR="00FF5600">
        <w:t xml:space="preserve"> of MSAC </w:t>
      </w:r>
      <w:r w:rsidR="00787CDC">
        <w:t>ADAR 1728.1</w:t>
      </w:r>
      <w:r w:rsidR="000137E4">
        <w:t>.</w:t>
      </w:r>
    </w:p>
    <w:p w14:paraId="21D03283" w14:textId="75E10A2C" w:rsidR="00200DF7" w:rsidRDefault="00FF5C04" w:rsidP="00200DF7">
      <w:r>
        <w:t>A plot of</w:t>
      </w:r>
      <w:r w:rsidR="00CD4C3A" w:rsidRPr="00CD4C3A">
        <w:t xml:space="preserve"> annualised infusion rate (AIR) comparing </w:t>
      </w:r>
      <w:r w:rsidR="00191553">
        <w:t xml:space="preserve">the </w:t>
      </w:r>
      <w:r w:rsidR="00CD4C3A" w:rsidRPr="00CD4C3A">
        <w:t>lead-in period versus post-treatment period Month</w:t>
      </w:r>
      <w:r w:rsidR="009F24E2">
        <w:t>s</w:t>
      </w:r>
      <w:r w:rsidR="00CD4C3A" w:rsidRPr="00CD4C3A">
        <w:t xml:space="preserve"> 7 </w:t>
      </w:r>
      <w:r w:rsidR="00791207">
        <w:t>to</w:t>
      </w:r>
      <w:r w:rsidR="00CD4C3A" w:rsidRPr="00CD4C3A">
        <w:t xml:space="preserve"> 48</w:t>
      </w:r>
      <w:r w:rsidR="00191553">
        <w:t xml:space="preserve"> (</w:t>
      </w:r>
      <w:r w:rsidR="00191553">
        <w:fldChar w:fldCharType="begin"/>
      </w:r>
      <w:r w:rsidR="00191553">
        <w:instrText xml:space="preserve"> REF _Ref194952162 \h </w:instrText>
      </w:r>
      <w:r w:rsidR="00191553">
        <w:fldChar w:fldCharType="separate"/>
      </w:r>
      <w:r w:rsidR="00146997">
        <w:t xml:space="preserve">Figure </w:t>
      </w:r>
      <w:r w:rsidR="00146997">
        <w:rPr>
          <w:noProof/>
        </w:rPr>
        <w:t>4</w:t>
      </w:r>
      <w:r w:rsidR="00191553">
        <w:fldChar w:fldCharType="end"/>
      </w:r>
      <w:r w:rsidR="00191553">
        <w:t xml:space="preserve">) </w:t>
      </w:r>
      <w:r w:rsidR="00214E91">
        <w:t xml:space="preserve">shows that </w:t>
      </w:r>
      <w:r w:rsidR="00AE5C81">
        <w:t xml:space="preserve">subjects </w:t>
      </w:r>
      <w:r w:rsidR="004F12FE">
        <w:t>who experienced a lack of efficacy experienced a higher AIR compared to the responder population</w:t>
      </w:r>
      <w:r w:rsidR="00D326EB">
        <w:t xml:space="preserve"> for whom </w:t>
      </w:r>
      <w:r w:rsidR="009D1F3C">
        <w:t xml:space="preserve">the reduction in AIR </w:t>
      </w:r>
      <w:r w:rsidR="00791207">
        <w:t>wa</w:t>
      </w:r>
      <w:r w:rsidR="009D1F3C">
        <w:t>s substantial.</w:t>
      </w:r>
      <w:r w:rsidR="00CE66B8" w:rsidRPr="00CE66B8">
        <w:t xml:space="preserve"> </w:t>
      </w:r>
      <w:r w:rsidR="00CE66B8" w:rsidRPr="009E1E8F">
        <w:t xml:space="preserve">After </w:t>
      </w:r>
      <w:r w:rsidR="00B214AD">
        <w:t>ED</w:t>
      </w:r>
      <w:r w:rsidR="00CE66B8" w:rsidRPr="009E1E8F">
        <w:t xml:space="preserve"> treatment, 51/54 (94.4%) subjects discontinued and remained free of standard of care continuous FIX prophylaxis</w:t>
      </w:r>
      <w:r w:rsidR="00791207">
        <w:t xml:space="preserve"> </w:t>
      </w:r>
      <w:r w:rsidR="009C1395">
        <w:t>(</w:t>
      </w:r>
      <w:r w:rsidR="00271BE6" w:rsidRPr="00271BE6">
        <w:t xml:space="preserve">defined </w:t>
      </w:r>
      <w:r w:rsidR="009C1395">
        <w:t>as</w:t>
      </w:r>
      <w:r w:rsidR="00322815">
        <w:t xml:space="preserve"> </w:t>
      </w:r>
      <w:r w:rsidR="00271BE6" w:rsidRPr="00271BE6">
        <w:t xml:space="preserve">being </w:t>
      </w:r>
      <w:r w:rsidR="00B44452">
        <w:t>contaminated</w:t>
      </w:r>
      <w:r w:rsidR="00271BE6" w:rsidRPr="00271BE6">
        <w:t xml:space="preserve"> by exogenous </w:t>
      </w:r>
      <w:r w:rsidR="00791207">
        <w:t>F</w:t>
      </w:r>
      <w:r w:rsidR="00271BE6" w:rsidRPr="00271BE6">
        <w:t xml:space="preserve">IX </w:t>
      </w:r>
      <w:r w:rsidR="00791207">
        <w:t>(</w:t>
      </w:r>
      <w:r w:rsidR="00271BE6" w:rsidRPr="00271BE6">
        <w:t>by the 5</w:t>
      </w:r>
      <w:r w:rsidR="00750988">
        <w:t> </w:t>
      </w:r>
      <w:r w:rsidR="00271BE6" w:rsidRPr="00271BE6">
        <w:t>half</w:t>
      </w:r>
      <w:r w:rsidR="0001507E">
        <w:t>-</w:t>
      </w:r>
      <w:r w:rsidR="00271BE6" w:rsidRPr="00271BE6">
        <w:t>life rule</w:t>
      </w:r>
      <w:r w:rsidR="00791207">
        <w:t>)</w:t>
      </w:r>
      <w:r w:rsidR="00271BE6" w:rsidRPr="00271BE6">
        <w:t xml:space="preserve"> during </w:t>
      </w:r>
      <w:r w:rsidR="005005B5">
        <w:t>any</w:t>
      </w:r>
      <w:r w:rsidR="00271BE6" w:rsidRPr="00271BE6">
        <w:t xml:space="preserve"> contiguous </w:t>
      </w:r>
      <w:r w:rsidR="00791207">
        <w:t>3-</w:t>
      </w:r>
      <w:r w:rsidR="00271BE6" w:rsidRPr="00271BE6">
        <w:t xml:space="preserve">month period subsequent to </w:t>
      </w:r>
      <w:r w:rsidR="00F50652">
        <w:t>stable FIX expression</w:t>
      </w:r>
      <w:r w:rsidR="00271BE6" w:rsidRPr="00271BE6">
        <w:t xml:space="preserve"> </w:t>
      </w:r>
      <w:r w:rsidR="00BA6D9C">
        <w:t>at</w:t>
      </w:r>
      <w:r w:rsidR="00271BE6" w:rsidRPr="00271BE6">
        <w:t xml:space="preserve"> post</w:t>
      </w:r>
      <w:r w:rsidR="00D36735">
        <w:t xml:space="preserve"> </w:t>
      </w:r>
      <w:r w:rsidR="00271BE6" w:rsidRPr="00271BE6">
        <w:t>treatment Month 7</w:t>
      </w:r>
      <w:r w:rsidR="00C54B2B">
        <w:t>)</w:t>
      </w:r>
      <w:r w:rsidR="005D361B">
        <w:t>.</w:t>
      </w:r>
    </w:p>
    <w:p w14:paraId="42B174DC" w14:textId="5633C49A" w:rsidR="0033503E" w:rsidRPr="00D84B66" w:rsidRDefault="0033503E" w:rsidP="0033503E">
      <w:pPr>
        <w:pStyle w:val="Caption"/>
      </w:pPr>
      <w:bookmarkStart w:id="33" w:name="_Ref194952162"/>
      <w:r w:rsidRPr="00D84B66">
        <w:t xml:space="preserve">Figure </w:t>
      </w:r>
      <w:r w:rsidR="00146997">
        <w:fldChar w:fldCharType="begin"/>
      </w:r>
      <w:r w:rsidR="00146997">
        <w:instrText xml:space="preserve"> SEQ Figure \* ARABIC </w:instrText>
      </w:r>
      <w:r w:rsidR="00146997">
        <w:fldChar w:fldCharType="separate"/>
      </w:r>
      <w:r w:rsidR="00146997" w:rsidRPr="00D84B66">
        <w:t>4</w:t>
      </w:r>
      <w:r w:rsidR="00146997">
        <w:fldChar w:fldCharType="end"/>
      </w:r>
      <w:bookmarkEnd w:id="33"/>
      <w:r w:rsidRPr="00D84B66">
        <w:tab/>
      </w:r>
      <w:r w:rsidR="00F36BD5" w:rsidRPr="00D84B66">
        <w:t xml:space="preserve">AIR in lead-in period versus post-treatment </w:t>
      </w:r>
      <w:r w:rsidR="00D57F8E" w:rsidRPr="00D84B66">
        <w:t>M</w:t>
      </w:r>
      <w:r w:rsidR="00F36BD5" w:rsidRPr="00D84B66">
        <w:t xml:space="preserve">onth </w:t>
      </w:r>
      <w:r w:rsidR="000073D1" w:rsidRPr="00D84B66">
        <w:t xml:space="preserve">7 to </w:t>
      </w:r>
      <w:r w:rsidR="00585640" w:rsidRPr="00D84B66">
        <w:t>48</w:t>
      </w:r>
      <w:r w:rsidR="00B874C4" w:rsidRPr="00D84B66">
        <w:t xml:space="preserve"> </w:t>
      </w:r>
      <w:r w:rsidR="00FB651F" w:rsidRPr="00D84B66">
        <w:t xml:space="preserve">in HOPE-B study </w:t>
      </w:r>
      <w:r w:rsidR="00B874C4" w:rsidRPr="00D84B66">
        <w:t>(infusions per year, excluding invasive procedures)</w:t>
      </w:r>
    </w:p>
    <w:tbl>
      <w:tblPr>
        <w:tblStyle w:val="TableGrid"/>
        <w:tblW w:w="0" w:type="auto"/>
        <w:tblLook w:val="04A0" w:firstRow="1" w:lastRow="0" w:firstColumn="1" w:lastColumn="0" w:noHBand="0" w:noVBand="1"/>
      </w:tblPr>
      <w:tblGrid>
        <w:gridCol w:w="9016"/>
      </w:tblGrid>
      <w:tr w:rsidR="00E10DDE" w:rsidRPr="00E10DDE" w14:paraId="60AF727B" w14:textId="77777777" w:rsidTr="00D84B66">
        <w:trPr>
          <w:trHeight w:val="427"/>
        </w:trPr>
        <w:tc>
          <w:tcPr>
            <w:tcW w:w="9016" w:type="dxa"/>
          </w:tcPr>
          <w:p w14:paraId="480E1E5B" w14:textId="72333235" w:rsidR="00E10DDE" w:rsidRPr="00D84B66" w:rsidRDefault="00E10DDE" w:rsidP="00E10DDE">
            <w:pPr>
              <w:rPr>
                <w:b/>
                <w:bCs/>
              </w:rPr>
            </w:pPr>
            <w:r w:rsidRPr="00D84B66">
              <w:rPr>
                <w:b/>
                <w:bCs/>
              </w:rPr>
              <w:t>Figure redacted.</w:t>
            </w:r>
          </w:p>
        </w:tc>
      </w:tr>
    </w:tbl>
    <w:p w14:paraId="42AE72AD" w14:textId="4091E38E" w:rsidR="00D4258A" w:rsidRPr="00D84B66" w:rsidRDefault="005E1981" w:rsidP="000C24AA">
      <w:pPr>
        <w:pStyle w:val="TableFigureFooter"/>
        <w:contextualSpacing/>
      </w:pPr>
      <w:r>
        <w:br/>
      </w:r>
      <w:r w:rsidR="00D4258A" w:rsidRPr="00D84B66">
        <w:t>AIR</w:t>
      </w:r>
      <w:r w:rsidR="00D57F8E" w:rsidRPr="00D84B66">
        <w:t xml:space="preserve"> =</w:t>
      </w:r>
      <w:r w:rsidR="00D4258A" w:rsidRPr="00D84B66">
        <w:t xml:space="preserve"> </w:t>
      </w:r>
      <w:r w:rsidR="00D57F8E" w:rsidRPr="00D84B66">
        <w:t>a</w:t>
      </w:r>
      <w:r w:rsidR="00D4258A" w:rsidRPr="00D84B66">
        <w:t>nnuali</w:t>
      </w:r>
      <w:r w:rsidR="00D57F8E" w:rsidRPr="00D84B66">
        <w:t>s</w:t>
      </w:r>
      <w:r w:rsidR="00D4258A" w:rsidRPr="00D84B66">
        <w:t>ed infusion rate.</w:t>
      </w:r>
    </w:p>
    <w:p w14:paraId="7CAB0413" w14:textId="66971314" w:rsidR="001F5AA6" w:rsidRPr="007C7D8F" w:rsidRDefault="001F5AA6" w:rsidP="000C24AA">
      <w:pPr>
        <w:pStyle w:val="TableFigureFooter"/>
        <w:contextualSpacing/>
      </w:pPr>
      <w:r w:rsidRPr="00D84B66">
        <w:t>Source: Figure 2.19 of MSAC ADAR 1728.1</w:t>
      </w:r>
      <w:r w:rsidR="00E133A2" w:rsidRPr="00D84B66">
        <w:t>.</w:t>
      </w:r>
    </w:p>
    <w:p w14:paraId="70B52D38" w14:textId="293F14CC" w:rsidR="00B874C4" w:rsidRDefault="00323656" w:rsidP="00003ED5">
      <w:pPr>
        <w:pStyle w:val="Heading4"/>
      </w:pPr>
      <w:r>
        <w:t>Health-related quality of life (</w:t>
      </w:r>
      <w:proofErr w:type="spellStart"/>
      <w:r>
        <w:t>HRQoL</w:t>
      </w:r>
      <w:proofErr w:type="spellEnd"/>
      <w:r>
        <w:t>)</w:t>
      </w:r>
    </w:p>
    <w:p w14:paraId="24A339C8" w14:textId="2F75B578" w:rsidR="00B66941" w:rsidRPr="00B66941" w:rsidRDefault="00B66941" w:rsidP="00B66941">
      <w:r w:rsidRPr="00E40A38">
        <w:t xml:space="preserve">Pre- and post-treatment </w:t>
      </w:r>
      <w:proofErr w:type="spellStart"/>
      <w:r w:rsidRPr="00E40A38">
        <w:t>EuroQol</w:t>
      </w:r>
      <w:proofErr w:type="spellEnd"/>
      <w:r w:rsidRPr="00E40A38">
        <w:t xml:space="preserve"> 5-dimension 5 level questionnaire (EQ-5D-5L) results are presented in</w:t>
      </w:r>
      <w:r w:rsidR="003D6566">
        <w:t xml:space="preserve"> </w:t>
      </w:r>
      <w:r w:rsidR="003D6566">
        <w:fldChar w:fldCharType="begin"/>
      </w:r>
      <w:r w:rsidR="003D6566">
        <w:instrText xml:space="preserve"> REF _Ref207985983 \h </w:instrText>
      </w:r>
      <w:r w:rsidR="003D6566">
        <w:fldChar w:fldCharType="separate"/>
      </w:r>
      <w:r w:rsidR="003D6566">
        <w:t xml:space="preserve">Table </w:t>
      </w:r>
      <w:r w:rsidR="003D6566">
        <w:rPr>
          <w:noProof/>
        </w:rPr>
        <w:t>9</w:t>
      </w:r>
      <w:r w:rsidR="003D6566">
        <w:fldChar w:fldCharType="end"/>
      </w:r>
      <w:r w:rsidR="00AA1449">
        <w:t>. No st</w:t>
      </w:r>
      <w:r w:rsidR="00317FF3">
        <w:t xml:space="preserve">atistically significant differences were observed </w:t>
      </w:r>
      <w:r w:rsidR="006928C7">
        <w:t xml:space="preserve">between the lead-in period and </w:t>
      </w:r>
      <w:r w:rsidR="00257BB9">
        <w:t xml:space="preserve">any post-dose period. </w:t>
      </w:r>
      <w:r w:rsidR="004C0C1B" w:rsidRPr="004C0C1B">
        <w:t xml:space="preserve">These results indicate that any potential </w:t>
      </w:r>
      <w:proofErr w:type="spellStart"/>
      <w:r w:rsidR="004C0C1B" w:rsidRPr="004C0C1B">
        <w:t>HRQoL</w:t>
      </w:r>
      <w:proofErr w:type="spellEnd"/>
      <w:r w:rsidR="004C0C1B" w:rsidRPr="004C0C1B">
        <w:t xml:space="preserve"> benefit from </w:t>
      </w:r>
      <w:r w:rsidR="005A53CE">
        <w:t>ED</w:t>
      </w:r>
      <w:r w:rsidR="005A53CE" w:rsidRPr="004C0C1B">
        <w:t xml:space="preserve"> </w:t>
      </w:r>
      <w:r w:rsidR="004C0C1B" w:rsidRPr="004C0C1B">
        <w:t xml:space="preserve">is not maintained over the longer term. Furthermore, questionnaires completed within 2 weeks of a bleed were not included in the analysis, which could introduce bias because </w:t>
      </w:r>
      <w:r w:rsidR="00AE5C81">
        <w:t>subjects</w:t>
      </w:r>
      <w:r w:rsidR="00AE5C81" w:rsidRPr="004C0C1B">
        <w:t xml:space="preserve"> </w:t>
      </w:r>
      <w:r w:rsidR="004C0C1B" w:rsidRPr="004C0C1B">
        <w:t>with recent bleeding events may have been those with lack of efficacy or frequent bleeding episodes.</w:t>
      </w:r>
    </w:p>
    <w:p w14:paraId="308EFE72" w14:textId="1C45F3BC" w:rsidR="00953DD4" w:rsidRDefault="003D6566" w:rsidP="008B72FD">
      <w:pPr>
        <w:pStyle w:val="Caption"/>
        <w:keepLines/>
      </w:pPr>
      <w:bookmarkStart w:id="34" w:name="_Ref207985983"/>
      <w:bookmarkStart w:id="35" w:name="_Ref194953794"/>
      <w:r>
        <w:lastRenderedPageBreak/>
        <w:t xml:space="preserve">Table </w:t>
      </w:r>
      <w:r>
        <w:fldChar w:fldCharType="begin"/>
      </w:r>
      <w:r>
        <w:instrText xml:space="preserve"> SEQ Table \* ARABIC </w:instrText>
      </w:r>
      <w:r>
        <w:fldChar w:fldCharType="separate"/>
      </w:r>
      <w:r>
        <w:rPr>
          <w:noProof/>
        </w:rPr>
        <w:t>9</w:t>
      </w:r>
      <w:r>
        <w:rPr>
          <w:noProof/>
        </w:rPr>
        <w:fldChar w:fldCharType="end"/>
      </w:r>
      <w:bookmarkEnd w:id="34"/>
      <w:r>
        <w:t xml:space="preserve"> </w:t>
      </w:r>
      <w:r>
        <w:tab/>
      </w:r>
      <w:bookmarkEnd w:id="35"/>
      <w:r w:rsidR="007B7F83" w:rsidRPr="00E40A38">
        <w:t xml:space="preserve">EQ-5D-5L Index </w:t>
      </w:r>
      <w:r w:rsidR="005F45F7">
        <w:t>S</w:t>
      </w:r>
      <w:r w:rsidR="007B7F83" w:rsidRPr="00E40A38">
        <w:t xml:space="preserve">core </w:t>
      </w:r>
      <w:r w:rsidR="008728CC">
        <w:rPr>
          <w:rFonts w:cstheme="minorHAnsi"/>
          <w:lang w:val="en-US"/>
        </w:rPr>
        <w:t xml:space="preserve">in </w:t>
      </w:r>
      <w:r w:rsidR="007B7F83" w:rsidRPr="00E40A38">
        <w:rPr>
          <w:rFonts w:cstheme="minorHAnsi"/>
          <w:lang w:val="en-US"/>
        </w:rPr>
        <w:t>HOPE-B</w:t>
      </w:r>
      <w:r w:rsidR="008728CC">
        <w:rPr>
          <w:rFonts w:cstheme="minorHAnsi"/>
          <w:lang w:val="en-US"/>
        </w:rPr>
        <w:t xml:space="preserve">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Caption w:val="EQ-5D-5L Index Score in HOPE-B study "/>
        <w:tblDescription w:val="This table shows mean EQ-5D-5L Index score during the lead-in period and at Months 12, 24, 36 and 48."/>
      </w:tblPr>
      <w:tblGrid>
        <w:gridCol w:w="1838"/>
        <w:gridCol w:w="1436"/>
        <w:gridCol w:w="1436"/>
        <w:gridCol w:w="1436"/>
        <w:gridCol w:w="1435"/>
        <w:gridCol w:w="1435"/>
      </w:tblGrid>
      <w:tr w:rsidR="00FB1BDC" w:rsidRPr="00E40A38" w14:paraId="047FCC1F" w14:textId="77777777" w:rsidTr="00FC5FF8">
        <w:trPr>
          <w:trHeight w:val="55"/>
          <w:tblHeader/>
        </w:trPr>
        <w:tc>
          <w:tcPr>
            <w:tcW w:w="1019" w:type="pct"/>
            <w:tcMar>
              <w:top w:w="15" w:type="dxa"/>
              <w:left w:w="85" w:type="dxa"/>
              <w:bottom w:w="0" w:type="dxa"/>
              <w:right w:w="85" w:type="dxa"/>
            </w:tcMar>
            <w:vAlign w:val="center"/>
          </w:tcPr>
          <w:p w14:paraId="60A40ACC" w14:textId="517888D9" w:rsidR="009D2AE7" w:rsidRPr="00E40A38" w:rsidRDefault="007E09CE" w:rsidP="008B72FD">
            <w:pPr>
              <w:pStyle w:val="In-tableHeading"/>
              <w:keepLines/>
            </w:pPr>
            <w:r>
              <w:t>Analysis</w:t>
            </w:r>
          </w:p>
        </w:tc>
        <w:tc>
          <w:tcPr>
            <w:tcW w:w="796" w:type="pct"/>
            <w:tcMar>
              <w:left w:w="85" w:type="dxa"/>
              <w:right w:w="85" w:type="dxa"/>
            </w:tcMar>
            <w:vAlign w:val="center"/>
          </w:tcPr>
          <w:p w14:paraId="103F28B3" w14:textId="4B711E2D" w:rsidR="009D2AE7" w:rsidRPr="00E40A38" w:rsidRDefault="004634E3" w:rsidP="008B72FD">
            <w:pPr>
              <w:pStyle w:val="In-tableHeading"/>
              <w:keepLines/>
            </w:pPr>
            <w:r w:rsidRPr="009E04B4">
              <w:t xml:space="preserve">Lead-in </w:t>
            </w:r>
          </w:p>
        </w:tc>
        <w:tc>
          <w:tcPr>
            <w:tcW w:w="796" w:type="pct"/>
            <w:tcMar>
              <w:top w:w="15" w:type="dxa"/>
              <w:left w:w="85" w:type="dxa"/>
              <w:bottom w:w="0" w:type="dxa"/>
              <w:right w:w="85" w:type="dxa"/>
            </w:tcMar>
            <w:vAlign w:val="center"/>
          </w:tcPr>
          <w:p w14:paraId="620926C7" w14:textId="060CB6CD" w:rsidR="009D2AE7" w:rsidRPr="00E40A38" w:rsidRDefault="002D4DAD" w:rsidP="008B72FD">
            <w:pPr>
              <w:pStyle w:val="In-tableHeading"/>
              <w:keepLines/>
            </w:pPr>
            <w:r w:rsidRPr="00E40A38">
              <w:t>Month 12</w:t>
            </w:r>
          </w:p>
        </w:tc>
        <w:tc>
          <w:tcPr>
            <w:tcW w:w="796" w:type="pct"/>
            <w:tcMar>
              <w:top w:w="15" w:type="dxa"/>
              <w:left w:w="85" w:type="dxa"/>
              <w:bottom w:w="0" w:type="dxa"/>
              <w:right w:w="85" w:type="dxa"/>
            </w:tcMar>
            <w:vAlign w:val="center"/>
          </w:tcPr>
          <w:p w14:paraId="142192A3" w14:textId="0690D878" w:rsidR="009D2AE7" w:rsidRPr="00E40A38" w:rsidRDefault="002D4DAD" w:rsidP="008B72FD">
            <w:pPr>
              <w:pStyle w:val="In-tableHeading"/>
              <w:keepLines/>
            </w:pPr>
            <w:r w:rsidRPr="00E40A38">
              <w:t>Month 24</w:t>
            </w:r>
          </w:p>
        </w:tc>
        <w:tc>
          <w:tcPr>
            <w:tcW w:w="796" w:type="pct"/>
            <w:tcMar>
              <w:top w:w="15" w:type="dxa"/>
              <w:left w:w="85" w:type="dxa"/>
              <w:bottom w:w="0" w:type="dxa"/>
              <w:right w:w="85" w:type="dxa"/>
            </w:tcMar>
            <w:vAlign w:val="center"/>
          </w:tcPr>
          <w:p w14:paraId="670331BB" w14:textId="5E8B4E6C" w:rsidR="009D2AE7" w:rsidRPr="00E40A38" w:rsidRDefault="002D4DAD" w:rsidP="008B72FD">
            <w:pPr>
              <w:pStyle w:val="In-tableHeading"/>
              <w:keepLines/>
            </w:pPr>
            <w:r w:rsidRPr="00E40A38">
              <w:t>Month 36</w:t>
            </w:r>
          </w:p>
        </w:tc>
        <w:tc>
          <w:tcPr>
            <w:tcW w:w="796" w:type="pct"/>
            <w:tcMar>
              <w:top w:w="15" w:type="dxa"/>
              <w:left w:w="85" w:type="dxa"/>
              <w:bottom w:w="0" w:type="dxa"/>
              <w:right w:w="85" w:type="dxa"/>
            </w:tcMar>
            <w:vAlign w:val="center"/>
          </w:tcPr>
          <w:p w14:paraId="0097CDD2" w14:textId="0226FFE5" w:rsidR="009D2AE7" w:rsidRPr="00D84B66" w:rsidRDefault="002D4DAD" w:rsidP="008B72FD">
            <w:pPr>
              <w:pStyle w:val="In-tableHeading"/>
              <w:keepLines/>
            </w:pPr>
            <w:r w:rsidRPr="00D84B66">
              <w:t xml:space="preserve">Month </w:t>
            </w:r>
            <w:r w:rsidR="00B55E72" w:rsidRPr="00D84B66">
              <w:t>4</w:t>
            </w:r>
            <w:r w:rsidR="005070CC" w:rsidRPr="00D84B66">
              <w:t>8</w:t>
            </w:r>
          </w:p>
        </w:tc>
      </w:tr>
      <w:tr w:rsidR="00FB1BDC" w:rsidRPr="00E40A38" w14:paraId="3F387C8F" w14:textId="77777777" w:rsidTr="00AB58A6">
        <w:trPr>
          <w:trHeight w:val="522"/>
        </w:trPr>
        <w:tc>
          <w:tcPr>
            <w:tcW w:w="1019" w:type="pct"/>
            <w:tcMar>
              <w:top w:w="15" w:type="dxa"/>
              <w:left w:w="85" w:type="dxa"/>
              <w:bottom w:w="0" w:type="dxa"/>
              <w:right w:w="85" w:type="dxa"/>
            </w:tcMar>
            <w:vAlign w:val="center"/>
            <w:hideMark/>
          </w:tcPr>
          <w:p w14:paraId="49EABEFE" w14:textId="237DC5A4" w:rsidR="00605436" w:rsidRPr="00E40A38" w:rsidRDefault="00605436" w:rsidP="008B72FD">
            <w:pPr>
              <w:pStyle w:val="TableText"/>
              <w:keepNext/>
              <w:keepLines/>
              <w:rPr>
                <w:lang w:eastAsia="en-AU"/>
              </w:rPr>
            </w:pPr>
            <w:r w:rsidRPr="00E40A38">
              <w:rPr>
                <w:lang w:val="en-US" w:eastAsia="en-AU"/>
              </w:rPr>
              <w:t>LS mean (SE)</w:t>
            </w:r>
          </w:p>
        </w:tc>
        <w:tc>
          <w:tcPr>
            <w:tcW w:w="796" w:type="pct"/>
            <w:tcMar>
              <w:top w:w="15" w:type="dxa"/>
              <w:left w:w="85" w:type="dxa"/>
              <w:bottom w:w="0" w:type="dxa"/>
              <w:right w:w="85" w:type="dxa"/>
            </w:tcMar>
            <w:hideMark/>
          </w:tcPr>
          <w:p w14:paraId="4DADF8A7" w14:textId="401B218E" w:rsidR="00605436" w:rsidRPr="00E40A38" w:rsidRDefault="00605436" w:rsidP="008B72FD">
            <w:pPr>
              <w:pStyle w:val="TableText"/>
              <w:keepNext/>
              <w:keepLines/>
              <w:rPr>
                <w:lang w:eastAsia="en-AU"/>
              </w:rPr>
            </w:pPr>
            <w:r w:rsidRPr="00B84112">
              <w:t>0.</w:t>
            </w:r>
            <w:r w:rsidR="00D42409" w:rsidRPr="00B84112">
              <w:t>7937</w:t>
            </w:r>
            <w:r w:rsidRPr="00B84112">
              <w:t xml:space="preserve"> (0.</w:t>
            </w:r>
            <w:r w:rsidR="00D42409" w:rsidRPr="00B84112">
              <w:t>03241</w:t>
            </w:r>
            <w:r w:rsidRPr="00B84112">
              <w:t>)</w:t>
            </w:r>
            <w:r w:rsidR="00740D79">
              <w:br/>
              <w:t>N=50</w:t>
            </w:r>
          </w:p>
        </w:tc>
        <w:tc>
          <w:tcPr>
            <w:tcW w:w="796" w:type="pct"/>
            <w:tcMar>
              <w:top w:w="15" w:type="dxa"/>
              <w:left w:w="85" w:type="dxa"/>
              <w:bottom w:w="0" w:type="dxa"/>
              <w:right w:w="85" w:type="dxa"/>
            </w:tcMar>
            <w:hideMark/>
          </w:tcPr>
          <w:p w14:paraId="26290B77" w14:textId="2E58CBEB" w:rsidR="00605436" w:rsidRPr="00E40A38" w:rsidRDefault="00605436" w:rsidP="008B72FD">
            <w:pPr>
              <w:pStyle w:val="TableText"/>
              <w:keepNext/>
              <w:keepLines/>
              <w:rPr>
                <w:lang w:eastAsia="en-AU"/>
              </w:rPr>
            </w:pPr>
            <w:r w:rsidRPr="00B84112">
              <w:t>0.</w:t>
            </w:r>
            <w:r w:rsidR="00D42409" w:rsidRPr="00B84112">
              <w:t>8329</w:t>
            </w:r>
            <w:r w:rsidRPr="00B84112">
              <w:t xml:space="preserve"> (0.</w:t>
            </w:r>
            <w:r w:rsidR="00D42409" w:rsidRPr="00B84112">
              <w:t>02576</w:t>
            </w:r>
            <w:r w:rsidRPr="00B84112">
              <w:t>)</w:t>
            </w:r>
            <w:r w:rsidR="00740D79">
              <w:br/>
              <w:t>N=48</w:t>
            </w:r>
          </w:p>
        </w:tc>
        <w:tc>
          <w:tcPr>
            <w:tcW w:w="796" w:type="pct"/>
            <w:tcMar>
              <w:top w:w="15" w:type="dxa"/>
              <w:left w:w="85" w:type="dxa"/>
              <w:bottom w:w="0" w:type="dxa"/>
              <w:right w:w="85" w:type="dxa"/>
            </w:tcMar>
            <w:hideMark/>
          </w:tcPr>
          <w:p w14:paraId="0FA9A42F" w14:textId="219ADAB5" w:rsidR="00605436" w:rsidRPr="00E40A38" w:rsidRDefault="00605436" w:rsidP="008B72FD">
            <w:pPr>
              <w:pStyle w:val="TableText"/>
              <w:keepNext/>
              <w:keepLines/>
              <w:rPr>
                <w:lang w:eastAsia="en-AU"/>
              </w:rPr>
            </w:pPr>
            <w:r w:rsidRPr="00B84112">
              <w:t>0.</w:t>
            </w:r>
            <w:r w:rsidR="00D42409" w:rsidRPr="00B84112">
              <w:t>8388</w:t>
            </w:r>
            <w:r w:rsidRPr="00B84112">
              <w:t xml:space="preserve"> (0.</w:t>
            </w:r>
            <w:r w:rsidR="00D42409" w:rsidRPr="00B84112">
              <w:t>01992</w:t>
            </w:r>
            <w:r w:rsidRPr="00B84112">
              <w:t>)</w:t>
            </w:r>
            <w:r w:rsidR="00740D79">
              <w:br/>
              <w:t>N=50</w:t>
            </w:r>
          </w:p>
        </w:tc>
        <w:tc>
          <w:tcPr>
            <w:tcW w:w="796" w:type="pct"/>
            <w:tcMar>
              <w:top w:w="15" w:type="dxa"/>
              <w:left w:w="85" w:type="dxa"/>
              <w:bottom w:w="0" w:type="dxa"/>
              <w:right w:w="85" w:type="dxa"/>
            </w:tcMar>
            <w:hideMark/>
          </w:tcPr>
          <w:p w14:paraId="7A0C4B47" w14:textId="7A22D350" w:rsidR="00605436" w:rsidRPr="00E40A38" w:rsidRDefault="00D42409" w:rsidP="008B72FD">
            <w:pPr>
              <w:pStyle w:val="TableText"/>
              <w:keepNext/>
              <w:keepLines/>
              <w:rPr>
                <w:lang w:eastAsia="en-AU"/>
              </w:rPr>
            </w:pPr>
            <w:r w:rsidRPr="00B84112">
              <w:t xml:space="preserve">0.8221 </w:t>
            </w:r>
            <w:r w:rsidR="00D512BD">
              <w:t>(</w:t>
            </w:r>
            <w:r w:rsidR="00AD55EE" w:rsidRPr="00AD55EE">
              <w:t>0.02718</w:t>
            </w:r>
            <w:r w:rsidR="00AD55EE">
              <w:t>)</w:t>
            </w:r>
            <w:r w:rsidR="00740D79">
              <w:br/>
              <w:t>N=50</w:t>
            </w:r>
          </w:p>
        </w:tc>
        <w:tc>
          <w:tcPr>
            <w:tcW w:w="796" w:type="pct"/>
            <w:tcMar>
              <w:top w:w="15" w:type="dxa"/>
              <w:left w:w="85" w:type="dxa"/>
              <w:bottom w:w="0" w:type="dxa"/>
              <w:right w:w="85" w:type="dxa"/>
            </w:tcMar>
            <w:hideMark/>
          </w:tcPr>
          <w:p w14:paraId="44B0E970" w14:textId="75BB698C" w:rsidR="00605436" w:rsidRPr="000A0B14" w:rsidRDefault="00605436" w:rsidP="008B72FD">
            <w:pPr>
              <w:pStyle w:val="TableText"/>
              <w:keepNext/>
              <w:keepLines/>
              <w:rPr>
                <w:lang w:eastAsia="en-AU"/>
              </w:rPr>
            </w:pPr>
            <w:r w:rsidRPr="000A0B14">
              <w:t>0.</w:t>
            </w:r>
            <w:r w:rsidR="00153DEA" w:rsidRPr="000A0B14">
              <w:t xml:space="preserve">8024 </w:t>
            </w:r>
            <w:r w:rsidRPr="000A0B14">
              <w:t>(0.</w:t>
            </w:r>
            <w:r w:rsidR="00153DEA" w:rsidRPr="000A0B14">
              <w:t>02552</w:t>
            </w:r>
            <w:r w:rsidRPr="000A0B14">
              <w:t>)</w:t>
            </w:r>
            <w:r w:rsidR="00740D79" w:rsidRPr="000A0B14">
              <w:br/>
              <w:t>N=</w:t>
            </w:r>
            <w:r w:rsidR="00CE75EB" w:rsidRPr="000A0B14">
              <w:t>47</w:t>
            </w:r>
          </w:p>
        </w:tc>
      </w:tr>
      <w:tr w:rsidR="00606F35" w:rsidRPr="00E40A38" w14:paraId="1491E919" w14:textId="77777777" w:rsidTr="00AB58A6">
        <w:trPr>
          <w:trHeight w:val="522"/>
        </w:trPr>
        <w:tc>
          <w:tcPr>
            <w:tcW w:w="1019" w:type="pct"/>
            <w:tcMar>
              <w:top w:w="15" w:type="dxa"/>
              <w:left w:w="85" w:type="dxa"/>
              <w:bottom w:w="0" w:type="dxa"/>
              <w:right w:w="85" w:type="dxa"/>
            </w:tcMar>
            <w:vAlign w:val="center"/>
          </w:tcPr>
          <w:p w14:paraId="799E0398" w14:textId="6BD3275D" w:rsidR="00606F35" w:rsidRPr="00E40A38" w:rsidRDefault="00AF0872" w:rsidP="008B72FD">
            <w:pPr>
              <w:pStyle w:val="TableText"/>
              <w:keepNext/>
              <w:keepLines/>
              <w:rPr>
                <w:lang w:val="en-US" w:eastAsia="en-AU"/>
              </w:rPr>
            </w:pPr>
            <w:r>
              <w:rPr>
                <w:lang w:val="en-US" w:eastAsia="en-AU"/>
              </w:rPr>
              <w:t xml:space="preserve">Change </w:t>
            </w:r>
            <w:r w:rsidR="00272B24">
              <w:rPr>
                <w:lang w:val="en-US" w:eastAsia="en-AU"/>
              </w:rPr>
              <w:t>from lead-in</w:t>
            </w:r>
            <w:r w:rsidR="0079015D">
              <w:rPr>
                <w:lang w:val="en-US" w:eastAsia="en-AU"/>
              </w:rPr>
              <w:t>, LS mean (SE)</w:t>
            </w:r>
          </w:p>
        </w:tc>
        <w:tc>
          <w:tcPr>
            <w:tcW w:w="796" w:type="pct"/>
            <w:tcMar>
              <w:top w:w="15" w:type="dxa"/>
              <w:left w:w="85" w:type="dxa"/>
              <w:bottom w:w="0" w:type="dxa"/>
              <w:right w:w="85" w:type="dxa"/>
            </w:tcMar>
          </w:tcPr>
          <w:p w14:paraId="3DFCE790" w14:textId="1E9A1299" w:rsidR="00606F35" w:rsidRPr="00B84112" w:rsidRDefault="0079015D" w:rsidP="008B72FD">
            <w:pPr>
              <w:pStyle w:val="TableText"/>
              <w:keepNext/>
              <w:keepLines/>
            </w:pPr>
            <w:r>
              <w:t>-</w:t>
            </w:r>
          </w:p>
        </w:tc>
        <w:tc>
          <w:tcPr>
            <w:tcW w:w="796" w:type="pct"/>
            <w:tcMar>
              <w:top w:w="15" w:type="dxa"/>
              <w:left w:w="85" w:type="dxa"/>
              <w:bottom w:w="0" w:type="dxa"/>
              <w:right w:w="85" w:type="dxa"/>
            </w:tcMar>
          </w:tcPr>
          <w:p w14:paraId="2A4C5734" w14:textId="5037BF7B" w:rsidR="00606F35" w:rsidRPr="00B84112" w:rsidRDefault="00036B8F" w:rsidP="008B72FD">
            <w:pPr>
              <w:pStyle w:val="TableText"/>
              <w:keepNext/>
              <w:keepLines/>
            </w:pPr>
            <w:r w:rsidRPr="00036B8F">
              <w:t>0.0392 (0.01857)</w:t>
            </w:r>
            <w:r w:rsidR="00C436BB">
              <w:br/>
              <w:t>N=44</w:t>
            </w:r>
          </w:p>
        </w:tc>
        <w:tc>
          <w:tcPr>
            <w:tcW w:w="796" w:type="pct"/>
            <w:tcMar>
              <w:top w:w="15" w:type="dxa"/>
              <w:left w:w="85" w:type="dxa"/>
              <w:bottom w:w="0" w:type="dxa"/>
              <w:right w:w="85" w:type="dxa"/>
            </w:tcMar>
          </w:tcPr>
          <w:p w14:paraId="4DBA4234" w14:textId="0988CA39" w:rsidR="00606F35" w:rsidRPr="00B84112" w:rsidRDefault="009C05B1" w:rsidP="008B72FD">
            <w:pPr>
              <w:pStyle w:val="TableText"/>
              <w:keepNext/>
              <w:keepLines/>
            </w:pPr>
            <w:r w:rsidRPr="009C05B1">
              <w:t>0.0451 (0.02411)</w:t>
            </w:r>
            <w:r>
              <w:br/>
              <w:t>N=</w:t>
            </w:r>
            <w:r w:rsidR="006E427B">
              <w:t>4</w:t>
            </w:r>
            <w:r w:rsidR="005222F5">
              <w:t>7</w:t>
            </w:r>
          </w:p>
        </w:tc>
        <w:tc>
          <w:tcPr>
            <w:tcW w:w="796" w:type="pct"/>
            <w:tcMar>
              <w:top w:w="15" w:type="dxa"/>
              <w:left w:w="85" w:type="dxa"/>
              <w:bottom w:w="0" w:type="dxa"/>
              <w:right w:w="85" w:type="dxa"/>
            </w:tcMar>
          </w:tcPr>
          <w:p w14:paraId="7D8A9656" w14:textId="38079282" w:rsidR="00606F35" w:rsidRPr="00B84112" w:rsidRDefault="00236345" w:rsidP="008B72FD">
            <w:pPr>
              <w:pStyle w:val="TableText"/>
              <w:keepNext/>
              <w:keepLines/>
            </w:pPr>
            <w:r w:rsidRPr="00236345">
              <w:t>0.0284 (0.02740)</w:t>
            </w:r>
            <w:r>
              <w:br/>
              <w:t>N=</w:t>
            </w:r>
            <w:r w:rsidR="007644A5">
              <w:t>46</w:t>
            </w:r>
          </w:p>
        </w:tc>
        <w:tc>
          <w:tcPr>
            <w:tcW w:w="796" w:type="pct"/>
            <w:tcMar>
              <w:top w:w="15" w:type="dxa"/>
              <w:left w:w="85" w:type="dxa"/>
              <w:bottom w:w="0" w:type="dxa"/>
              <w:right w:w="85" w:type="dxa"/>
            </w:tcMar>
          </w:tcPr>
          <w:p w14:paraId="05CF38E6" w14:textId="77777777" w:rsidR="00606F35" w:rsidRPr="000A0B14" w:rsidRDefault="00C428E6" w:rsidP="008B72FD">
            <w:pPr>
              <w:pStyle w:val="TableText"/>
              <w:keepNext/>
              <w:keepLines/>
            </w:pPr>
            <w:r w:rsidRPr="000A0B14">
              <w:t>0.0086 (0.02826)</w:t>
            </w:r>
          </w:p>
          <w:p w14:paraId="48B64C17" w14:textId="7637EBD4" w:rsidR="008525E4" w:rsidRPr="000A0B14" w:rsidRDefault="00D63DAA" w:rsidP="008B72FD">
            <w:pPr>
              <w:pStyle w:val="TableText"/>
              <w:keepNext/>
              <w:keepLines/>
            </w:pPr>
            <w:r w:rsidRPr="000A0B14">
              <w:t>N=45</w:t>
            </w:r>
          </w:p>
        </w:tc>
      </w:tr>
      <w:tr w:rsidR="0021444C" w:rsidRPr="00E40A38" w14:paraId="72697E6B" w14:textId="77777777" w:rsidTr="00AB58A6">
        <w:trPr>
          <w:trHeight w:val="75"/>
        </w:trPr>
        <w:tc>
          <w:tcPr>
            <w:tcW w:w="1019" w:type="pct"/>
            <w:tcMar>
              <w:top w:w="15" w:type="dxa"/>
              <w:left w:w="85" w:type="dxa"/>
              <w:bottom w:w="0" w:type="dxa"/>
              <w:right w:w="85" w:type="dxa"/>
            </w:tcMar>
            <w:vAlign w:val="center"/>
            <w:hideMark/>
          </w:tcPr>
          <w:p w14:paraId="3ECE49CF" w14:textId="74DCD7E6" w:rsidR="00605436" w:rsidRPr="00E40A38" w:rsidRDefault="001E35E1" w:rsidP="008B72FD">
            <w:pPr>
              <w:pStyle w:val="TableText"/>
              <w:keepNext/>
              <w:keepLines/>
              <w:rPr>
                <w:lang w:eastAsia="en-AU"/>
              </w:rPr>
            </w:pPr>
            <w:r>
              <w:rPr>
                <w:lang w:val="en-US" w:eastAsia="en-AU"/>
              </w:rPr>
              <w:t>One</w:t>
            </w:r>
            <w:r w:rsidR="00AB58A6">
              <w:rPr>
                <w:lang w:val="en-US" w:eastAsia="en-AU"/>
              </w:rPr>
              <w:t>-</w:t>
            </w:r>
            <w:r>
              <w:rPr>
                <w:lang w:val="en-US" w:eastAsia="en-AU"/>
              </w:rPr>
              <w:t xml:space="preserve">sided </w:t>
            </w:r>
            <w:r w:rsidR="00605436" w:rsidRPr="00E40A38">
              <w:rPr>
                <w:lang w:val="en-US" w:eastAsia="en-AU"/>
              </w:rPr>
              <w:t>p-value</w:t>
            </w:r>
            <w:r w:rsidR="00494707">
              <w:rPr>
                <w:lang w:val="en-US" w:eastAsia="en-AU"/>
              </w:rPr>
              <w:t xml:space="preserve"> (change from lead-in)</w:t>
            </w:r>
          </w:p>
        </w:tc>
        <w:tc>
          <w:tcPr>
            <w:tcW w:w="796" w:type="pct"/>
            <w:tcMar>
              <w:top w:w="15" w:type="dxa"/>
              <w:left w:w="85" w:type="dxa"/>
              <w:bottom w:w="0" w:type="dxa"/>
              <w:right w:w="85" w:type="dxa"/>
            </w:tcMar>
            <w:vAlign w:val="center"/>
            <w:hideMark/>
          </w:tcPr>
          <w:p w14:paraId="0AF24D57" w14:textId="77777777" w:rsidR="00605436" w:rsidRPr="00E40A38" w:rsidRDefault="00605436" w:rsidP="008B72FD">
            <w:pPr>
              <w:pStyle w:val="TableText"/>
              <w:keepNext/>
              <w:keepLines/>
              <w:rPr>
                <w:lang w:eastAsia="en-AU"/>
              </w:rPr>
            </w:pPr>
            <w:r w:rsidRPr="00E40A38">
              <w:rPr>
                <w:lang w:val="en-GB" w:eastAsia="en-AU"/>
              </w:rPr>
              <w:t>-</w:t>
            </w:r>
          </w:p>
        </w:tc>
        <w:tc>
          <w:tcPr>
            <w:tcW w:w="796" w:type="pct"/>
            <w:tcMar>
              <w:top w:w="15" w:type="dxa"/>
              <w:left w:w="85" w:type="dxa"/>
              <w:bottom w:w="0" w:type="dxa"/>
              <w:right w:w="85" w:type="dxa"/>
            </w:tcMar>
            <w:vAlign w:val="center"/>
            <w:hideMark/>
          </w:tcPr>
          <w:p w14:paraId="0C8DAC7E" w14:textId="77777777" w:rsidR="00605436" w:rsidRPr="00E40A38" w:rsidRDefault="00605436" w:rsidP="008B72FD">
            <w:pPr>
              <w:pStyle w:val="TableText"/>
              <w:keepNext/>
              <w:keepLines/>
              <w:rPr>
                <w:lang w:eastAsia="en-AU"/>
              </w:rPr>
            </w:pPr>
            <w:r w:rsidRPr="00E40A38">
              <w:rPr>
                <w:lang w:val="en-US" w:eastAsia="en-AU"/>
              </w:rPr>
              <w:t>-</w:t>
            </w:r>
          </w:p>
        </w:tc>
        <w:tc>
          <w:tcPr>
            <w:tcW w:w="796" w:type="pct"/>
            <w:tcMar>
              <w:top w:w="15" w:type="dxa"/>
              <w:left w:w="85" w:type="dxa"/>
              <w:bottom w:w="0" w:type="dxa"/>
              <w:right w:w="85" w:type="dxa"/>
            </w:tcMar>
            <w:vAlign w:val="center"/>
            <w:hideMark/>
          </w:tcPr>
          <w:p w14:paraId="321F25DB" w14:textId="6E605EC2" w:rsidR="00605436" w:rsidRPr="00956994" w:rsidRDefault="00956994" w:rsidP="008B72FD">
            <w:pPr>
              <w:pStyle w:val="TableText"/>
              <w:keepNext/>
              <w:keepLines/>
            </w:pPr>
            <w:r w:rsidRPr="00956994">
              <w:t>0.0198</w:t>
            </w:r>
          </w:p>
        </w:tc>
        <w:tc>
          <w:tcPr>
            <w:tcW w:w="796" w:type="pct"/>
            <w:tcMar>
              <w:top w:w="15" w:type="dxa"/>
              <w:left w:w="85" w:type="dxa"/>
              <w:bottom w:w="0" w:type="dxa"/>
              <w:right w:w="85" w:type="dxa"/>
            </w:tcMar>
            <w:vAlign w:val="center"/>
            <w:hideMark/>
          </w:tcPr>
          <w:p w14:paraId="6FFC125B" w14:textId="7354A8D8" w:rsidR="00605436" w:rsidRPr="00956994" w:rsidRDefault="00956994" w:rsidP="008B72FD">
            <w:pPr>
              <w:pStyle w:val="TableText"/>
              <w:keepNext/>
              <w:keepLines/>
            </w:pPr>
            <w:r w:rsidRPr="00956994">
              <w:t>0.0335</w:t>
            </w:r>
          </w:p>
        </w:tc>
        <w:tc>
          <w:tcPr>
            <w:tcW w:w="796" w:type="pct"/>
            <w:tcMar>
              <w:top w:w="15" w:type="dxa"/>
              <w:left w:w="85" w:type="dxa"/>
              <w:bottom w:w="0" w:type="dxa"/>
              <w:right w:w="85" w:type="dxa"/>
            </w:tcMar>
            <w:vAlign w:val="center"/>
            <w:hideMark/>
          </w:tcPr>
          <w:p w14:paraId="3459180F" w14:textId="4A71A598" w:rsidR="00605436" w:rsidRPr="000A0B14" w:rsidRDefault="00956994" w:rsidP="008B72FD">
            <w:pPr>
              <w:pStyle w:val="TableText"/>
              <w:keepNext/>
              <w:keepLines/>
            </w:pPr>
            <w:r w:rsidRPr="000A0B14">
              <w:t>0.1524</w:t>
            </w:r>
          </w:p>
        </w:tc>
      </w:tr>
    </w:tbl>
    <w:p w14:paraId="5953355A" w14:textId="3F0A090C" w:rsidR="00A75448" w:rsidRDefault="004A7FAB" w:rsidP="008B72FD">
      <w:pPr>
        <w:pStyle w:val="TableFigureFooter"/>
        <w:keepNext/>
        <w:keepLines/>
        <w:contextualSpacing/>
        <w:rPr>
          <w:lang w:val="en-US"/>
        </w:rPr>
      </w:pPr>
      <w:r w:rsidRPr="00CF664F">
        <w:rPr>
          <w:lang w:val="en-US"/>
        </w:rPr>
        <w:t>EQ-5D-5L = EuroQoL-5 dimensions-5 levels; LS = least squares; SE = standard error</w:t>
      </w:r>
      <w:r w:rsidR="008728CC">
        <w:rPr>
          <w:lang w:val="en-US"/>
        </w:rPr>
        <w:t>.</w:t>
      </w:r>
    </w:p>
    <w:p w14:paraId="36CB47B0" w14:textId="6188875A" w:rsidR="00354DDD" w:rsidRDefault="00083835" w:rsidP="008B72FD">
      <w:pPr>
        <w:pStyle w:val="TableFigureFooter"/>
        <w:keepNext/>
        <w:keepLines/>
        <w:contextualSpacing/>
        <w:rPr>
          <w:lang w:val="en-US"/>
        </w:rPr>
      </w:pPr>
      <w:r>
        <w:rPr>
          <w:lang w:val="en-US"/>
        </w:rPr>
        <w:t>A h</w:t>
      </w:r>
      <w:r w:rsidR="00354DDD" w:rsidRPr="00354DDD">
        <w:rPr>
          <w:lang w:val="en-US"/>
        </w:rPr>
        <w:t xml:space="preserve">igher </w:t>
      </w:r>
      <w:r w:rsidR="007A6A0C">
        <w:rPr>
          <w:lang w:val="en-US"/>
        </w:rPr>
        <w:t xml:space="preserve">EQ-5D-5L </w:t>
      </w:r>
      <w:r w:rsidR="00354DDD" w:rsidRPr="00354DDD">
        <w:rPr>
          <w:lang w:val="en-US"/>
        </w:rPr>
        <w:t xml:space="preserve">score </w:t>
      </w:r>
      <w:r w:rsidR="00354DDD">
        <w:rPr>
          <w:lang w:val="en-US"/>
        </w:rPr>
        <w:t>i</w:t>
      </w:r>
      <w:r w:rsidR="00354DDD" w:rsidRPr="00354DDD">
        <w:rPr>
          <w:lang w:val="en-US"/>
        </w:rPr>
        <w:t xml:space="preserve">s considered </w:t>
      </w:r>
      <w:proofErr w:type="spellStart"/>
      <w:r w:rsidR="00354DDD" w:rsidRPr="00354DDD">
        <w:rPr>
          <w:lang w:val="en-US"/>
        </w:rPr>
        <w:t>favo</w:t>
      </w:r>
      <w:r w:rsidR="00B875FE">
        <w:rPr>
          <w:lang w:val="en-US"/>
        </w:rPr>
        <w:t>u</w:t>
      </w:r>
      <w:r w:rsidR="00354DDD" w:rsidRPr="00354DDD">
        <w:rPr>
          <w:lang w:val="en-US"/>
        </w:rPr>
        <w:t>rable</w:t>
      </w:r>
      <w:proofErr w:type="spellEnd"/>
      <w:r w:rsidR="00354DDD" w:rsidRPr="00354DDD">
        <w:rPr>
          <w:lang w:val="en-US"/>
        </w:rPr>
        <w:t xml:space="preserve">. </w:t>
      </w:r>
    </w:p>
    <w:p w14:paraId="7AB18742" w14:textId="0551EA1A" w:rsidR="00524C4D" w:rsidRDefault="00524C4D" w:rsidP="008B72FD">
      <w:pPr>
        <w:pStyle w:val="TableFigureFooter"/>
        <w:keepNext/>
        <w:keepLines/>
        <w:contextualSpacing/>
        <w:rPr>
          <w:lang w:val="en-US"/>
        </w:rPr>
      </w:pPr>
      <w:r>
        <w:rPr>
          <w:lang w:val="en-US"/>
        </w:rPr>
        <w:t xml:space="preserve">Source: </w:t>
      </w:r>
      <w:r w:rsidR="008914B7">
        <w:rPr>
          <w:lang w:val="en-US"/>
        </w:rPr>
        <w:t>Table 2.36 of MSAC ADAR 1728.1</w:t>
      </w:r>
      <w:r w:rsidR="008728CC">
        <w:rPr>
          <w:lang w:val="en-US"/>
        </w:rPr>
        <w:t>.</w:t>
      </w:r>
    </w:p>
    <w:p w14:paraId="5DA75C7F" w14:textId="2D9E750B" w:rsidR="00E66E76" w:rsidRDefault="002F220F" w:rsidP="0090720C">
      <w:r>
        <w:rPr>
          <w:lang w:val="en-US"/>
        </w:rPr>
        <w:t xml:space="preserve">Changes in HAEM-A-QoL results are </w:t>
      </w:r>
      <w:r w:rsidRPr="00924E20">
        <w:rPr>
          <w:lang w:val="en-US"/>
        </w:rPr>
        <w:t>presented in</w:t>
      </w:r>
      <w:r w:rsidR="003D6566">
        <w:rPr>
          <w:lang w:val="en-US"/>
        </w:rPr>
        <w:t xml:space="preserve"> </w:t>
      </w:r>
      <w:r w:rsidR="00924E20">
        <w:rPr>
          <w:lang w:val="en-US"/>
        </w:rPr>
        <w:fldChar w:fldCharType="begin"/>
      </w:r>
      <w:r w:rsidR="00924E20">
        <w:rPr>
          <w:lang w:val="en-US"/>
        </w:rPr>
        <w:instrText xml:space="preserve"> REF _Ref207986083 \h </w:instrText>
      </w:r>
      <w:r w:rsidR="00924E20">
        <w:rPr>
          <w:lang w:val="en-US"/>
        </w:rPr>
      </w:r>
      <w:r w:rsidR="00924E20">
        <w:rPr>
          <w:lang w:val="en-US"/>
        </w:rPr>
        <w:fldChar w:fldCharType="separate"/>
      </w:r>
      <w:r w:rsidR="00924E20">
        <w:t xml:space="preserve">Table </w:t>
      </w:r>
      <w:r w:rsidR="00924E20">
        <w:rPr>
          <w:noProof/>
        </w:rPr>
        <w:t>10</w:t>
      </w:r>
      <w:r w:rsidR="00924E20">
        <w:rPr>
          <w:lang w:val="en-US"/>
        </w:rPr>
        <w:fldChar w:fldCharType="end"/>
      </w:r>
      <w:r w:rsidR="00167D98">
        <w:rPr>
          <w:lang w:val="en-US"/>
        </w:rPr>
        <w:t xml:space="preserve">. At 48 months, HOPE-B </w:t>
      </w:r>
      <w:r w:rsidR="00AA0CA3">
        <w:rPr>
          <w:lang w:val="en-US"/>
        </w:rPr>
        <w:t xml:space="preserve">participants </w:t>
      </w:r>
      <w:r w:rsidR="00612652">
        <w:rPr>
          <w:lang w:val="en-US"/>
        </w:rPr>
        <w:t xml:space="preserve">showed statistically significant reductions </w:t>
      </w:r>
      <w:r w:rsidR="00867AB3">
        <w:rPr>
          <w:lang w:val="en-US"/>
        </w:rPr>
        <w:t>(</w:t>
      </w:r>
      <w:r w:rsidR="787F533B" w:rsidRPr="1397C8B2">
        <w:rPr>
          <w:lang w:val="en-US"/>
        </w:rPr>
        <w:t xml:space="preserve">indicating </w:t>
      </w:r>
      <w:r w:rsidR="7DA4F231" w:rsidRPr="1397C8B2">
        <w:rPr>
          <w:lang w:val="en-US"/>
        </w:rPr>
        <w:t>improvement</w:t>
      </w:r>
      <w:r w:rsidR="00867AB3">
        <w:rPr>
          <w:lang w:val="en-US"/>
        </w:rPr>
        <w:t xml:space="preserve">) </w:t>
      </w:r>
      <w:r w:rsidR="009F3A8E">
        <w:rPr>
          <w:lang w:val="en-US"/>
        </w:rPr>
        <w:t>in the total score</w:t>
      </w:r>
      <w:r w:rsidR="00606ED6">
        <w:rPr>
          <w:lang w:val="en-US"/>
        </w:rPr>
        <w:t xml:space="preserve"> and</w:t>
      </w:r>
      <w:r w:rsidR="00416C16">
        <w:rPr>
          <w:lang w:val="en-US"/>
        </w:rPr>
        <w:t xml:space="preserve"> in</w:t>
      </w:r>
      <w:r w:rsidR="00606ED6">
        <w:rPr>
          <w:lang w:val="en-US"/>
        </w:rPr>
        <w:t xml:space="preserve"> the feelings, treatment</w:t>
      </w:r>
      <w:r w:rsidR="00866A40">
        <w:rPr>
          <w:lang w:val="en-US"/>
        </w:rPr>
        <w:t xml:space="preserve"> and work/school domains. </w:t>
      </w:r>
      <w:r w:rsidR="004E2E83" w:rsidRPr="00E40A38">
        <w:t xml:space="preserve">The change in treatment domain may reflect a clinically meaningful reduced treatment burden of </w:t>
      </w:r>
      <w:r w:rsidR="00B214AD">
        <w:t>ED</w:t>
      </w:r>
      <w:r w:rsidR="004E2E83" w:rsidRPr="00E40A38">
        <w:t>.</w:t>
      </w:r>
      <w:r w:rsidR="00E6407D">
        <w:t xml:space="preserve"> </w:t>
      </w:r>
      <w:r w:rsidR="000A6968">
        <w:t xml:space="preserve">At </w:t>
      </w:r>
      <w:r w:rsidR="00F02DBC">
        <w:t xml:space="preserve">36 and </w:t>
      </w:r>
      <w:r w:rsidR="000A6968">
        <w:t xml:space="preserve">48 months, </w:t>
      </w:r>
      <w:r w:rsidR="00C56718">
        <w:t xml:space="preserve">the </w:t>
      </w:r>
      <w:r w:rsidR="007548B6">
        <w:t xml:space="preserve">least squares (LS) mean </w:t>
      </w:r>
      <w:r w:rsidR="004E094D">
        <w:t xml:space="preserve">reduction in the </w:t>
      </w:r>
      <w:r w:rsidR="00C56718">
        <w:t xml:space="preserve">future domain </w:t>
      </w:r>
      <w:r w:rsidR="00EE7F0B">
        <w:t>(</w:t>
      </w:r>
      <w:r w:rsidR="007548B6">
        <w:t xml:space="preserve">which </w:t>
      </w:r>
      <w:r w:rsidR="00EE7F0B" w:rsidRPr="00EE7F0B">
        <w:t>captures concerns about disease progression, treatment burden, career prospects, family life, and overall expectations for the future</w:t>
      </w:r>
      <w:r w:rsidR="00EE7F0B">
        <w:t xml:space="preserve">) </w:t>
      </w:r>
      <w:r w:rsidR="00C56718">
        <w:t>was n</w:t>
      </w:r>
      <w:r w:rsidR="001E4140">
        <w:t>o</w:t>
      </w:r>
      <w:r w:rsidR="00C56718">
        <w:t>t</w:t>
      </w:r>
      <w:r w:rsidR="001E4140">
        <w:t xml:space="preserve"> significant</w:t>
      </w:r>
      <w:r w:rsidR="004E094D">
        <w:t>ly</w:t>
      </w:r>
      <w:r w:rsidR="001E4140">
        <w:t xml:space="preserve"> </w:t>
      </w:r>
      <w:r w:rsidR="004E094D">
        <w:t>different to the lead-in period.</w:t>
      </w:r>
    </w:p>
    <w:p w14:paraId="61C6D852" w14:textId="310C942C" w:rsidR="00524C4D" w:rsidRDefault="00AA321A" w:rsidP="0090720C">
      <w:pPr>
        <w:rPr>
          <w:lang w:val="en-US"/>
        </w:rPr>
      </w:pPr>
      <w:r>
        <w:rPr>
          <w:lang w:val="en-US"/>
        </w:rPr>
        <w:t>Q</w:t>
      </w:r>
      <w:r w:rsidR="00E6407D" w:rsidRPr="00974577">
        <w:rPr>
          <w:lang w:val="en-US"/>
        </w:rPr>
        <w:t>uestionnaires completed within 2 weeks of a bleed were not included in the analysis</w:t>
      </w:r>
      <w:r w:rsidR="00373D7A">
        <w:rPr>
          <w:lang w:val="en-US"/>
        </w:rPr>
        <w:t>;</w:t>
      </w:r>
      <w:r w:rsidR="000B3596">
        <w:rPr>
          <w:lang w:val="en-US"/>
        </w:rPr>
        <w:t xml:space="preserve"> this could </w:t>
      </w:r>
      <w:r w:rsidR="00460F96" w:rsidRPr="00460F96">
        <w:rPr>
          <w:lang w:val="en-US"/>
        </w:rPr>
        <w:t xml:space="preserve">introduce bias because </w:t>
      </w:r>
      <w:r w:rsidR="00AA0CA3">
        <w:rPr>
          <w:lang w:val="en-US"/>
        </w:rPr>
        <w:t>subjects</w:t>
      </w:r>
      <w:r w:rsidR="00AA0CA3" w:rsidRPr="00460F96">
        <w:rPr>
          <w:lang w:val="en-US"/>
        </w:rPr>
        <w:t xml:space="preserve"> </w:t>
      </w:r>
      <w:r w:rsidR="00460F96" w:rsidRPr="00460F96">
        <w:rPr>
          <w:lang w:val="en-US"/>
        </w:rPr>
        <w:t>with recent bleeding events may have been those with lack of efficacy or frequent bleeding episodes</w:t>
      </w:r>
      <w:r w:rsidR="00E6407D">
        <w:rPr>
          <w:lang w:val="en-US"/>
        </w:rPr>
        <w:t>.</w:t>
      </w:r>
    </w:p>
    <w:p w14:paraId="45A1E956" w14:textId="4FBFC919" w:rsidR="000E5253" w:rsidRDefault="00924E20" w:rsidP="00924E20">
      <w:pPr>
        <w:pStyle w:val="Caption"/>
      </w:pPr>
      <w:bookmarkStart w:id="36" w:name="_Ref207986083"/>
      <w:bookmarkStart w:id="37" w:name="_Ref194954741"/>
      <w:r>
        <w:t xml:space="preserve">Table </w:t>
      </w:r>
      <w:r>
        <w:fldChar w:fldCharType="begin"/>
      </w:r>
      <w:r>
        <w:instrText xml:space="preserve"> SEQ Table \* ARABIC </w:instrText>
      </w:r>
      <w:r>
        <w:fldChar w:fldCharType="separate"/>
      </w:r>
      <w:r>
        <w:rPr>
          <w:noProof/>
        </w:rPr>
        <w:t>10</w:t>
      </w:r>
      <w:r>
        <w:rPr>
          <w:noProof/>
        </w:rPr>
        <w:fldChar w:fldCharType="end"/>
      </w:r>
      <w:bookmarkEnd w:id="36"/>
      <w:r>
        <w:t xml:space="preserve"> </w:t>
      </w:r>
      <w:r>
        <w:tab/>
      </w:r>
      <w:r w:rsidR="003D6566">
        <w:t>C</w:t>
      </w:r>
      <w:bookmarkEnd w:id="37"/>
      <w:r w:rsidR="000E5253">
        <w:t xml:space="preserve">hange from the </w:t>
      </w:r>
      <w:r w:rsidR="00373D7A">
        <w:t>l</w:t>
      </w:r>
      <w:r w:rsidR="000E5253">
        <w:t>ead-in period in HAEM-A-Qo</w:t>
      </w:r>
      <w:r w:rsidR="0083212F">
        <w:t>L</w:t>
      </w:r>
      <w:r w:rsidR="000E5253">
        <w:t xml:space="preserve"> Index Scores </w:t>
      </w:r>
      <w:r w:rsidR="00011C17">
        <w:t xml:space="preserve">in </w:t>
      </w:r>
      <w:r w:rsidR="000E5253">
        <w:t>HOPE-B</w:t>
      </w:r>
      <w:r w:rsidR="00011C17">
        <w:t xml:space="preserve">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Caption w:val="Change from the lead-In period in HAEM-A-QoL Index Scores in the HOPE-B study"/>
        <w:tblDescription w:val="This table shows mean HAEM-A-QoL Index Scores at Months 12, 24, 36 and 48."/>
      </w:tblPr>
      <w:tblGrid>
        <w:gridCol w:w="2135"/>
        <w:gridCol w:w="11"/>
        <w:gridCol w:w="1718"/>
        <w:gridCol w:w="1718"/>
        <w:gridCol w:w="1717"/>
        <w:gridCol w:w="1717"/>
      </w:tblGrid>
      <w:tr w:rsidR="00524C4D" w:rsidRPr="005571ED" w14:paraId="203E9175" w14:textId="5BCED41F" w:rsidTr="00784772">
        <w:trPr>
          <w:trHeight w:val="151"/>
          <w:tblHeader/>
        </w:trPr>
        <w:tc>
          <w:tcPr>
            <w:tcW w:w="1190" w:type="pct"/>
            <w:gridSpan w:val="2"/>
            <w:tcBorders>
              <w:bottom w:val="single" w:sz="4" w:space="0" w:color="auto"/>
            </w:tcBorders>
            <w:tcMar>
              <w:top w:w="15" w:type="dxa"/>
              <w:left w:w="108" w:type="dxa"/>
              <w:bottom w:w="0" w:type="dxa"/>
              <w:right w:w="108" w:type="dxa"/>
            </w:tcMar>
            <w:vAlign w:val="center"/>
          </w:tcPr>
          <w:p w14:paraId="472DFAB1" w14:textId="77777777" w:rsidR="00524C4D" w:rsidRPr="005571ED" w:rsidRDefault="00524C4D" w:rsidP="00B66744">
            <w:pPr>
              <w:pStyle w:val="In-tableHeading"/>
              <w:spacing w:before="0" w:after="0"/>
            </w:pPr>
            <w:r w:rsidRPr="005571ED">
              <w:t>Domain, statistic</w:t>
            </w:r>
          </w:p>
        </w:tc>
        <w:tc>
          <w:tcPr>
            <w:tcW w:w="953" w:type="pct"/>
            <w:tcBorders>
              <w:bottom w:val="single" w:sz="4" w:space="0" w:color="auto"/>
            </w:tcBorders>
            <w:tcMar>
              <w:top w:w="15" w:type="dxa"/>
              <w:left w:w="108" w:type="dxa"/>
              <w:bottom w:w="0" w:type="dxa"/>
              <w:right w:w="108" w:type="dxa"/>
            </w:tcMar>
            <w:vAlign w:val="center"/>
          </w:tcPr>
          <w:p w14:paraId="49F73643" w14:textId="77777777" w:rsidR="00524C4D" w:rsidRPr="005571ED" w:rsidRDefault="00524C4D" w:rsidP="00B66744">
            <w:pPr>
              <w:pStyle w:val="In-tableHeading"/>
              <w:spacing w:before="0" w:after="0"/>
            </w:pPr>
            <w:r w:rsidRPr="005571ED">
              <w:t>Month 12</w:t>
            </w:r>
          </w:p>
        </w:tc>
        <w:tc>
          <w:tcPr>
            <w:tcW w:w="953" w:type="pct"/>
            <w:tcBorders>
              <w:bottom w:val="single" w:sz="4" w:space="0" w:color="auto"/>
            </w:tcBorders>
            <w:tcMar>
              <w:top w:w="15" w:type="dxa"/>
              <w:left w:w="108" w:type="dxa"/>
              <w:bottom w:w="0" w:type="dxa"/>
              <w:right w:w="108" w:type="dxa"/>
            </w:tcMar>
            <w:vAlign w:val="center"/>
          </w:tcPr>
          <w:p w14:paraId="2BE979A3" w14:textId="77777777" w:rsidR="00524C4D" w:rsidRPr="005571ED" w:rsidRDefault="00524C4D" w:rsidP="00B66744">
            <w:pPr>
              <w:pStyle w:val="In-tableHeading"/>
              <w:spacing w:before="0" w:after="0"/>
            </w:pPr>
            <w:r w:rsidRPr="005571ED">
              <w:t>Month 24</w:t>
            </w:r>
          </w:p>
        </w:tc>
        <w:tc>
          <w:tcPr>
            <w:tcW w:w="952" w:type="pct"/>
            <w:tcBorders>
              <w:bottom w:val="single" w:sz="4" w:space="0" w:color="auto"/>
            </w:tcBorders>
            <w:tcMar>
              <w:top w:w="15" w:type="dxa"/>
              <w:left w:w="108" w:type="dxa"/>
              <w:bottom w:w="0" w:type="dxa"/>
              <w:right w:w="108" w:type="dxa"/>
            </w:tcMar>
            <w:vAlign w:val="center"/>
          </w:tcPr>
          <w:p w14:paraId="36EC3F20" w14:textId="77777777" w:rsidR="00524C4D" w:rsidRPr="005571ED" w:rsidRDefault="00524C4D" w:rsidP="00B66744">
            <w:pPr>
              <w:pStyle w:val="In-tableHeading"/>
              <w:spacing w:before="0" w:after="0"/>
            </w:pPr>
            <w:r w:rsidRPr="005571ED">
              <w:t>Month 36</w:t>
            </w:r>
          </w:p>
        </w:tc>
        <w:tc>
          <w:tcPr>
            <w:tcW w:w="952" w:type="pct"/>
            <w:tcBorders>
              <w:bottom w:val="single" w:sz="4" w:space="0" w:color="auto"/>
            </w:tcBorders>
            <w:tcMar>
              <w:top w:w="17" w:type="dxa"/>
              <w:left w:w="108" w:type="dxa"/>
              <w:right w:w="108" w:type="dxa"/>
            </w:tcMar>
          </w:tcPr>
          <w:p w14:paraId="40B09A6B" w14:textId="1E4E3B3E" w:rsidR="003D1139" w:rsidRPr="005B3D2A" w:rsidRDefault="005571ED" w:rsidP="00B66744">
            <w:pPr>
              <w:pStyle w:val="In-tableHeading"/>
              <w:spacing w:before="0" w:after="0"/>
            </w:pPr>
            <w:r w:rsidRPr="00D84B66">
              <w:t>Month 48</w:t>
            </w:r>
          </w:p>
        </w:tc>
      </w:tr>
      <w:tr w:rsidR="00524C4D" w:rsidRPr="00E40A38" w14:paraId="0B490C06" w14:textId="25BA1174" w:rsidTr="004A2E9D">
        <w:trPr>
          <w:trHeight w:val="132"/>
        </w:trPr>
        <w:tc>
          <w:tcPr>
            <w:tcW w:w="1184" w:type="pct"/>
            <w:tcBorders>
              <w:right w:val="nil"/>
            </w:tcBorders>
            <w:tcMar>
              <w:top w:w="15" w:type="dxa"/>
              <w:left w:w="108" w:type="dxa"/>
              <w:bottom w:w="0" w:type="dxa"/>
              <w:right w:w="108" w:type="dxa"/>
            </w:tcMar>
            <w:vAlign w:val="center"/>
          </w:tcPr>
          <w:p w14:paraId="1B5EFF63" w14:textId="77777777" w:rsidR="00524C4D" w:rsidRPr="00E40A38" w:rsidRDefault="00524C4D" w:rsidP="00B66744">
            <w:pPr>
              <w:pStyle w:val="TableText"/>
              <w:keepNext/>
              <w:spacing w:before="0" w:after="0"/>
              <w:rPr>
                <w:b/>
                <w:lang w:val="en-US" w:eastAsia="en-AU"/>
              </w:rPr>
            </w:pPr>
            <w:r w:rsidRPr="00E40A38">
              <w:rPr>
                <w:b/>
                <w:lang w:val="en-US" w:eastAsia="en-AU"/>
              </w:rPr>
              <w:t>Total</w:t>
            </w:r>
          </w:p>
        </w:tc>
        <w:tc>
          <w:tcPr>
            <w:tcW w:w="6" w:type="pct"/>
            <w:tcBorders>
              <w:left w:val="nil"/>
              <w:right w:val="nil"/>
            </w:tcBorders>
            <w:vAlign w:val="center"/>
          </w:tcPr>
          <w:p w14:paraId="26783030" w14:textId="77777777" w:rsidR="00524C4D" w:rsidRPr="00E40A38" w:rsidRDefault="00524C4D" w:rsidP="00B66744">
            <w:pPr>
              <w:pStyle w:val="TableText"/>
              <w:keepNext/>
              <w:spacing w:before="0" w:after="0"/>
              <w:rPr>
                <w:rFonts w:eastAsia="Times New Roman"/>
                <w:b/>
                <w:lang w:val="en-GB" w:eastAsia="en-AU"/>
              </w:rPr>
            </w:pPr>
          </w:p>
        </w:tc>
        <w:tc>
          <w:tcPr>
            <w:tcW w:w="953" w:type="pct"/>
            <w:tcBorders>
              <w:left w:val="nil"/>
              <w:right w:val="nil"/>
            </w:tcBorders>
            <w:vAlign w:val="center"/>
          </w:tcPr>
          <w:p w14:paraId="6BDD7641" w14:textId="77777777" w:rsidR="00524C4D" w:rsidRPr="00E40A38" w:rsidRDefault="00524C4D" w:rsidP="00B66744">
            <w:pPr>
              <w:pStyle w:val="TableText"/>
              <w:keepNext/>
              <w:spacing w:before="0" w:after="0"/>
              <w:rPr>
                <w:rFonts w:eastAsia="Times New Roman"/>
                <w:b/>
                <w:lang w:val="en-GB" w:eastAsia="en-AU"/>
              </w:rPr>
            </w:pPr>
          </w:p>
        </w:tc>
        <w:tc>
          <w:tcPr>
            <w:tcW w:w="1905" w:type="pct"/>
            <w:gridSpan w:val="2"/>
            <w:tcBorders>
              <w:left w:val="nil"/>
              <w:right w:val="nil"/>
            </w:tcBorders>
            <w:vAlign w:val="center"/>
          </w:tcPr>
          <w:p w14:paraId="2A0E8D22" w14:textId="77777777" w:rsidR="00524C4D" w:rsidRPr="00E40A38" w:rsidRDefault="00524C4D" w:rsidP="00B66744">
            <w:pPr>
              <w:pStyle w:val="TableText"/>
              <w:keepNext/>
              <w:spacing w:before="0" w:after="0"/>
              <w:rPr>
                <w:rFonts w:eastAsia="Times New Roman"/>
                <w:b/>
                <w:lang w:val="en-GB" w:eastAsia="en-AU"/>
              </w:rPr>
            </w:pPr>
          </w:p>
        </w:tc>
        <w:tc>
          <w:tcPr>
            <w:tcW w:w="952" w:type="pct"/>
            <w:tcBorders>
              <w:left w:val="nil"/>
            </w:tcBorders>
          </w:tcPr>
          <w:p w14:paraId="0B38DC1E" w14:textId="77777777" w:rsidR="003D1139" w:rsidRPr="005B3D2A" w:rsidRDefault="003D1139" w:rsidP="00B66744">
            <w:pPr>
              <w:pStyle w:val="TableText"/>
              <w:keepNext/>
              <w:spacing w:before="0" w:after="0"/>
              <w:rPr>
                <w:rFonts w:eastAsia="Times New Roman"/>
                <w:b/>
                <w:lang w:val="en-GB" w:eastAsia="en-AU"/>
              </w:rPr>
            </w:pPr>
          </w:p>
        </w:tc>
      </w:tr>
      <w:tr w:rsidR="00524C4D" w:rsidRPr="00E40A38" w14:paraId="31F2344A" w14:textId="46F72300" w:rsidTr="00784772">
        <w:trPr>
          <w:trHeight w:val="180"/>
        </w:trPr>
        <w:tc>
          <w:tcPr>
            <w:tcW w:w="1190" w:type="pct"/>
            <w:gridSpan w:val="2"/>
            <w:tcMar>
              <w:top w:w="15" w:type="dxa"/>
              <w:left w:w="108" w:type="dxa"/>
              <w:bottom w:w="0" w:type="dxa"/>
              <w:right w:w="108" w:type="dxa"/>
            </w:tcMar>
            <w:vAlign w:val="center"/>
            <w:hideMark/>
          </w:tcPr>
          <w:p w14:paraId="0C5EFE47" w14:textId="77777777" w:rsidR="00524C4D" w:rsidRPr="00E40A38" w:rsidRDefault="00524C4D" w:rsidP="00B66744">
            <w:pPr>
              <w:pStyle w:val="TableText"/>
              <w:keepNext/>
              <w:spacing w:before="0" w:after="0"/>
              <w:rPr>
                <w:rFonts w:ascii="Arial" w:eastAsia="Times New Roman" w:hAnsi="Arial"/>
                <w:lang w:eastAsia="en-AU"/>
              </w:rPr>
            </w:pPr>
            <w:r w:rsidRPr="00E40A38">
              <w:rPr>
                <w:lang w:val="en-US" w:eastAsia="en-AU"/>
              </w:rPr>
              <w:t>LS mean (SE)</w:t>
            </w:r>
          </w:p>
        </w:tc>
        <w:tc>
          <w:tcPr>
            <w:tcW w:w="953" w:type="pct"/>
            <w:tcMar>
              <w:top w:w="15" w:type="dxa"/>
              <w:left w:w="108" w:type="dxa"/>
              <w:bottom w:w="0" w:type="dxa"/>
              <w:right w:w="108" w:type="dxa"/>
            </w:tcMar>
            <w:hideMark/>
          </w:tcPr>
          <w:p w14:paraId="334D90D5" w14:textId="4FABB809" w:rsidR="00524C4D" w:rsidRPr="00E40A38" w:rsidRDefault="00524C4D" w:rsidP="00B66744">
            <w:pPr>
              <w:pStyle w:val="TableText"/>
              <w:keepNext/>
              <w:spacing w:before="0" w:after="0"/>
              <w:rPr>
                <w:rFonts w:ascii="Arial" w:eastAsia="Times New Roman" w:hAnsi="Arial"/>
                <w:lang w:eastAsia="en-AU"/>
              </w:rPr>
            </w:pPr>
            <w:r w:rsidRPr="00431EFB">
              <w:t>-</w:t>
            </w:r>
            <w:r w:rsidR="00436EEA" w:rsidRPr="00431EFB">
              <w:t xml:space="preserve"> 6.6</w:t>
            </w:r>
            <w:r w:rsidRPr="00431EFB">
              <w:t xml:space="preserve"> (0.</w:t>
            </w:r>
            <w:r w:rsidR="00436EEA" w:rsidRPr="00431EFB">
              <w:t>98</w:t>
            </w:r>
            <w:r w:rsidRPr="00431EFB">
              <w:t>)</w:t>
            </w:r>
          </w:p>
        </w:tc>
        <w:tc>
          <w:tcPr>
            <w:tcW w:w="953" w:type="pct"/>
            <w:tcMar>
              <w:top w:w="15" w:type="dxa"/>
              <w:left w:w="108" w:type="dxa"/>
              <w:bottom w:w="0" w:type="dxa"/>
              <w:right w:w="108" w:type="dxa"/>
            </w:tcMar>
            <w:hideMark/>
          </w:tcPr>
          <w:p w14:paraId="41BA0735" w14:textId="29542D61" w:rsidR="00524C4D" w:rsidRPr="00E40A38" w:rsidRDefault="00524C4D" w:rsidP="00B66744">
            <w:pPr>
              <w:pStyle w:val="TableText"/>
              <w:keepNext/>
              <w:spacing w:before="0" w:after="0"/>
              <w:rPr>
                <w:rFonts w:ascii="Arial" w:eastAsia="Times New Roman" w:hAnsi="Arial"/>
                <w:lang w:eastAsia="en-AU"/>
              </w:rPr>
            </w:pPr>
            <w:r w:rsidRPr="00431EFB">
              <w:t>-</w:t>
            </w:r>
            <w:r w:rsidR="00436EEA" w:rsidRPr="00431EFB">
              <w:t xml:space="preserve"> 5.7</w:t>
            </w:r>
            <w:r w:rsidRPr="00431EFB">
              <w:t xml:space="preserve"> (1.</w:t>
            </w:r>
            <w:r w:rsidR="00436EEA" w:rsidRPr="00431EFB">
              <w:t>58</w:t>
            </w:r>
            <w:r w:rsidRPr="00431EFB">
              <w:t>)</w:t>
            </w:r>
          </w:p>
        </w:tc>
        <w:tc>
          <w:tcPr>
            <w:tcW w:w="952" w:type="pct"/>
            <w:tcMar>
              <w:top w:w="15" w:type="dxa"/>
              <w:left w:w="108" w:type="dxa"/>
              <w:bottom w:w="0" w:type="dxa"/>
              <w:right w:w="108" w:type="dxa"/>
            </w:tcMar>
            <w:hideMark/>
          </w:tcPr>
          <w:p w14:paraId="18B34F34" w14:textId="2B2B54CF" w:rsidR="00524C4D" w:rsidRPr="00E40A38" w:rsidRDefault="00524C4D" w:rsidP="00B66744">
            <w:pPr>
              <w:pStyle w:val="TableText"/>
              <w:keepNext/>
              <w:spacing w:before="0" w:after="0"/>
              <w:rPr>
                <w:rFonts w:ascii="Arial" w:eastAsia="Times New Roman" w:hAnsi="Arial"/>
                <w:lang w:eastAsia="en-AU"/>
              </w:rPr>
            </w:pPr>
            <w:r w:rsidRPr="00431EFB">
              <w:t>-</w:t>
            </w:r>
            <w:r w:rsidR="00436EEA" w:rsidRPr="00431EFB">
              <w:t xml:space="preserve"> </w:t>
            </w:r>
            <w:r w:rsidRPr="00431EFB">
              <w:t>6.1 (1.</w:t>
            </w:r>
            <w:r w:rsidR="00436EEA" w:rsidRPr="00431EFB">
              <w:t>20</w:t>
            </w:r>
            <w:r w:rsidRPr="00431EFB">
              <w:t>)</w:t>
            </w:r>
          </w:p>
        </w:tc>
        <w:tc>
          <w:tcPr>
            <w:tcW w:w="952" w:type="pct"/>
            <w:tcMar>
              <w:top w:w="17" w:type="dxa"/>
              <w:left w:w="108" w:type="dxa"/>
              <w:right w:w="108" w:type="dxa"/>
            </w:tcMar>
          </w:tcPr>
          <w:p w14:paraId="73A43CE0" w14:textId="38614BD0" w:rsidR="003D1139" w:rsidRPr="000A0B14" w:rsidRDefault="00436EEA" w:rsidP="00B66744">
            <w:pPr>
              <w:pStyle w:val="TableText"/>
              <w:spacing w:before="0" w:after="0"/>
              <w:rPr>
                <w:rFonts w:eastAsia="Times New Roman"/>
                <w:lang w:val="en-GB" w:eastAsia="en-AU"/>
              </w:rPr>
            </w:pPr>
            <w:r w:rsidRPr="000A0B14">
              <w:t>- 7.3 (1.43)</w:t>
            </w:r>
          </w:p>
        </w:tc>
      </w:tr>
      <w:tr w:rsidR="00524C4D" w:rsidRPr="00E40A38" w14:paraId="6A4CE261" w14:textId="076D1365" w:rsidTr="00784772">
        <w:trPr>
          <w:trHeight w:val="243"/>
        </w:trPr>
        <w:tc>
          <w:tcPr>
            <w:tcW w:w="1190" w:type="pct"/>
            <w:gridSpan w:val="2"/>
            <w:tcMar>
              <w:top w:w="15" w:type="dxa"/>
              <w:left w:w="108" w:type="dxa"/>
              <w:bottom w:w="0" w:type="dxa"/>
              <w:right w:w="108" w:type="dxa"/>
            </w:tcMar>
            <w:vAlign w:val="center"/>
            <w:hideMark/>
          </w:tcPr>
          <w:p w14:paraId="33CCCFC7" w14:textId="77777777" w:rsidR="00524C4D" w:rsidRPr="00E40A38" w:rsidRDefault="00524C4D" w:rsidP="00B66744">
            <w:pPr>
              <w:pStyle w:val="TableText"/>
              <w:spacing w:before="0" w:after="0"/>
              <w:rPr>
                <w:rFonts w:ascii="Arial" w:eastAsia="Times New Roman" w:hAnsi="Arial"/>
                <w:lang w:eastAsia="en-AU"/>
              </w:rPr>
            </w:pPr>
            <w:r w:rsidRPr="00E40A38">
              <w:rPr>
                <w:lang w:val="en-US" w:eastAsia="en-AU"/>
              </w:rPr>
              <w:t>95% CI</w:t>
            </w:r>
          </w:p>
        </w:tc>
        <w:tc>
          <w:tcPr>
            <w:tcW w:w="953" w:type="pct"/>
            <w:tcMar>
              <w:top w:w="15" w:type="dxa"/>
              <w:left w:w="108" w:type="dxa"/>
              <w:bottom w:w="0" w:type="dxa"/>
              <w:right w:w="108" w:type="dxa"/>
            </w:tcMar>
            <w:hideMark/>
          </w:tcPr>
          <w:p w14:paraId="534BD76A" w14:textId="154F01FF" w:rsidR="00524C4D" w:rsidRPr="00E40A38" w:rsidRDefault="007D3D76" w:rsidP="00B66744">
            <w:pPr>
              <w:pStyle w:val="TableText"/>
              <w:spacing w:before="0" w:after="0"/>
              <w:rPr>
                <w:rFonts w:ascii="Arial" w:eastAsia="Times New Roman" w:hAnsi="Arial"/>
                <w:lang w:eastAsia="en-AU"/>
              </w:rPr>
            </w:pPr>
            <w:r w:rsidRPr="00451124">
              <w:t>- 8.6, - 4.6</w:t>
            </w:r>
          </w:p>
        </w:tc>
        <w:tc>
          <w:tcPr>
            <w:tcW w:w="953" w:type="pct"/>
            <w:tcMar>
              <w:top w:w="15" w:type="dxa"/>
              <w:left w:w="108" w:type="dxa"/>
              <w:bottom w:w="0" w:type="dxa"/>
              <w:right w:w="108" w:type="dxa"/>
            </w:tcMar>
            <w:hideMark/>
          </w:tcPr>
          <w:p w14:paraId="1F93DA59" w14:textId="59BD6D72" w:rsidR="00524C4D" w:rsidRPr="00E40A38" w:rsidRDefault="00524C4D" w:rsidP="00B66744">
            <w:pPr>
              <w:pStyle w:val="TableText"/>
              <w:spacing w:before="0" w:after="0"/>
              <w:rPr>
                <w:rFonts w:ascii="Arial" w:eastAsia="Times New Roman" w:hAnsi="Arial"/>
                <w:lang w:eastAsia="en-AU"/>
              </w:rPr>
            </w:pPr>
            <w:r w:rsidRPr="00451124">
              <w:t>-</w:t>
            </w:r>
            <w:r w:rsidR="007D3D76" w:rsidRPr="00451124">
              <w:t xml:space="preserve"> </w:t>
            </w:r>
            <w:r w:rsidRPr="00451124">
              <w:t>8.</w:t>
            </w:r>
            <w:r w:rsidR="007D3D76" w:rsidRPr="00451124">
              <w:t>9, - 2.</w:t>
            </w:r>
            <w:r w:rsidRPr="00451124">
              <w:t>6</w:t>
            </w:r>
          </w:p>
        </w:tc>
        <w:tc>
          <w:tcPr>
            <w:tcW w:w="952" w:type="pct"/>
            <w:tcMar>
              <w:top w:w="15" w:type="dxa"/>
              <w:left w:w="108" w:type="dxa"/>
              <w:bottom w:w="0" w:type="dxa"/>
              <w:right w:w="108" w:type="dxa"/>
            </w:tcMar>
            <w:hideMark/>
          </w:tcPr>
          <w:p w14:paraId="062C3DD6" w14:textId="0BC31356" w:rsidR="00524C4D" w:rsidRPr="00E40A38" w:rsidRDefault="00524C4D" w:rsidP="00B66744">
            <w:pPr>
              <w:pStyle w:val="TableText"/>
              <w:spacing w:before="0" w:after="0"/>
              <w:rPr>
                <w:rFonts w:ascii="Arial" w:eastAsia="Times New Roman" w:hAnsi="Arial"/>
                <w:lang w:eastAsia="en-AU"/>
              </w:rPr>
            </w:pPr>
            <w:r w:rsidRPr="00451124">
              <w:t>-</w:t>
            </w:r>
            <w:r w:rsidR="007D3D76" w:rsidRPr="00451124">
              <w:t xml:space="preserve"> </w:t>
            </w:r>
            <w:r w:rsidRPr="00451124">
              <w:t>8.</w:t>
            </w:r>
            <w:r w:rsidR="007D3D76" w:rsidRPr="00451124">
              <w:t xml:space="preserve">5, - </w:t>
            </w:r>
            <w:r w:rsidRPr="00451124">
              <w:t>3.</w:t>
            </w:r>
            <w:r w:rsidR="007D3D76" w:rsidRPr="00451124">
              <w:t>7</w:t>
            </w:r>
          </w:p>
        </w:tc>
        <w:tc>
          <w:tcPr>
            <w:tcW w:w="952" w:type="pct"/>
            <w:tcMar>
              <w:top w:w="17" w:type="dxa"/>
              <w:left w:w="108" w:type="dxa"/>
              <w:right w:w="108" w:type="dxa"/>
            </w:tcMar>
          </w:tcPr>
          <w:p w14:paraId="5548E8C3" w14:textId="55C98283" w:rsidR="003D1139" w:rsidRPr="000A0B14" w:rsidRDefault="007D3D76" w:rsidP="00B66744">
            <w:pPr>
              <w:pStyle w:val="TableText"/>
              <w:spacing w:before="0" w:after="0"/>
              <w:rPr>
                <w:rFonts w:eastAsia="Times New Roman"/>
                <w:lang w:val="en-GB" w:eastAsia="en-AU"/>
              </w:rPr>
            </w:pPr>
            <w:r w:rsidRPr="000A0B14">
              <w:t>- 10.2, - 4.4</w:t>
            </w:r>
          </w:p>
        </w:tc>
      </w:tr>
      <w:tr w:rsidR="00524C4D" w:rsidRPr="00E40A38" w14:paraId="387853B5" w14:textId="2718155B" w:rsidTr="00784772">
        <w:trPr>
          <w:trHeight w:val="262"/>
        </w:trPr>
        <w:tc>
          <w:tcPr>
            <w:tcW w:w="1190" w:type="pct"/>
            <w:gridSpan w:val="2"/>
            <w:tcBorders>
              <w:bottom w:val="single" w:sz="4" w:space="0" w:color="auto"/>
            </w:tcBorders>
            <w:tcMar>
              <w:top w:w="15" w:type="dxa"/>
              <w:left w:w="108" w:type="dxa"/>
              <w:bottom w:w="0" w:type="dxa"/>
              <w:right w:w="108" w:type="dxa"/>
            </w:tcMar>
            <w:vAlign w:val="center"/>
            <w:hideMark/>
          </w:tcPr>
          <w:p w14:paraId="22958074" w14:textId="77777777" w:rsidR="00524C4D" w:rsidRPr="00E40A38" w:rsidRDefault="00524C4D" w:rsidP="00B66744">
            <w:pPr>
              <w:pStyle w:val="TableText"/>
              <w:spacing w:before="0" w:after="0"/>
              <w:rPr>
                <w:rFonts w:ascii="Arial" w:eastAsia="Times New Roman" w:hAnsi="Arial"/>
                <w:lang w:eastAsia="en-AU"/>
              </w:rPr>
            </w:pPr>
            <w:r w:rsidRPr="00E40A38">
              <w:rPr>
                <w:lang w:val="en-US" w:eastAsia="en-AU"/>
              </w:rPr>
              <w:t>One-sided p-value</w:t>
            </w:r>
          </w:p>
        </w:tc>
        <w:tc>
          <w:tcPr>
            <w:tcW w:w="953" w:type="pct"/>
            <w:tcBorders>
              <w:bottom w:val="single" w:sz="4" w:space="0" w:color="auto"/>
            </w:tcBorders>
            <w:tcMar>
              <w:top w:w="15" w:type="dxa"/>
              <w:left w:w="108" w:type="dxa"/>
              <w:bottom w:w="0" w:type="dxa"/>
              <w:right w:w="108" w:type="dxa"/>
            </w:tcMar>
            <w:hideMark/>
          </w:tcPr>
          <w:p w14:paraId="5C6D941E" w14:textId="68BB9358" w:rsidR="00524C4D" w:rsidRPr="00E40A38" w:rsidRDefault="00524C4D" w:rsidP="00B66744">
            <w:pPr>
              <w:pStyle w:val="TableText"/>
              <w:spacing w:before="0" w:after="0"/>
              <w:rPr>
                <w:rFonts w:ascii="Arial" w:eastAsia="Times New Roman" w:hAnsi="Arial"/>
                <w:lang w:eastAsia="en-AU"/>
              </w:rPr>
            </w:pPr>
            <w:r w:rsidRPr="00451124">
              <w:t>&lt; 0.0001</w:t>
            </w:r>
          </w:p>
        </w:tc>
        <w:tc>
          <w:tcPr>
            <w:tcW w:w="953" w:type="pct"/>
            <w:tcBorders>
              <w:bottom w:val="single" w:sz="4" w:space="0" w:color="auto"/>
            </w:tcBorders>
            <w:tcMar>
              <w:top w:w="15" w:type="dxa"/>
              <w:left w:w="108" w:type="dxa"/>
              <w:bottom w:w="0" w:type="dxa"/>
              <w:right w:w="108" w:type="dxa"/>
            </w:tcMar>
            <w:hideMark/>
          </w:tcPr>
          <w:p w14:paraId="72D822A7" w14:textId="369ED188" w:rsidR="00524C4D" w:rsidRPr="00E40A38" w:rsidRDefault="007D3D76" w:rsidP="00B66744">
            <w:pPr>
              <w:pStyle w:val="TableText"/>
              <w:spacing w:before="0" w:after="0"/>
              <w:rPr>
                <w:rFonts w:ascii="Arial" w:eastAsia="Times New Roman" w:hAnsi="Arial"/>
                <w:lang w:eastAsia="en-AU"/>
              </w:rPr>
            </w:pPr>
            <w:r w:rsidRPr="00451124">
              <w:t>0.0003</w:t>
            </w:r>
          </w:p>
        </w:tc>
        <w:tc>
          <w:tcPr>
            <w:tcW w:w="952" w:type="pct"/>
            <w:tcBorders>
              <w:bottom w:val="single" w:sz="4" w:space="0" w:color="auto"/>
            </w:tcBorders>
            <w:tcMar>
              <w:top w:w="15" w:type="dxa"/>
              <w:left w:w="108" w:type="dxa"/>
              <w:bottom w:w="0" w:type="dxa"/>
              <w:right w:w="108" w:type="dxa"/>
            </w:tcMar>
            <w:hideMark/>
          </w:tcPr>
          <w:p w14:paraId="68B6661D" w14:textId="7870B8F8" w:rsidR="00524C4D" w:rsidRPr="00E40A38" w:rsidRDefault="00524C4D" w:rsidP="00B66744">
            <w:pPr>
              <w:pStyle w:val="TableText"/>
              <w:spacing w:before="0" w:after="0"/>
              <w:rPr>
                <w:rFonts w:ascii="Arial" w:eastAsia="Times New Roman" w:hAnsi="Arial"/>
                <w:lang w:eastAsia="en-AU"/>
              </w:rPr>
            </w:pPr>
            <w:r w:rsidRPr="00451124">
              <w:t>&lt; 0.0001</w:t>
            </w:r>
          </w:p>
        </w:tc>
        <w:tc>
          <w:tcPr>
            <w:tcW w:w="952" w:type="pct"/>
            <w:tcBorders>
              <w:bottom w:val="single" w:sz="4" w:space="0" w:color="auto"/>
            </w:tcBorders>
            <w:tcMar>
              <w:top w:w="17" w:type="dxa"/>
              <w:left w:w="108" w:type="dxa"/>
              <w:right w:w="108" w:type="dxa"/>
            </w:tcMar>
          </w:tcPr>
          <w:p w14:paraId="115C1CD6" w14:textId="1774EA79" w:rsidR="003D1139" w:rsidRPr="000A0B14" w:rsidRDefault="007D3D76" w:rsidP="00B66744">
            <w:pPr>
              <w:pStyle w:val="TableText"/>
              <w:spacing w:before="0" w:after="0"/>
              <w:rPr>
                <w:rFonts w:eastAsia="Times New Roman"/>
                <w:lang w:val="en-GB" w:eastAsia="en-AU"/>
              </w:rPr>
            </w:pPr>
            <w:r w:rsidRPr="000A0B14">
              <w:t>&lt; 0.0001</w:t>
            </w:r>
          </w:p>
        </w:tc>
      </w:tr>
      <w:tr w:rsidR="00524C4D" w:rsidRPr="00E40A38" w14:paraId="7A8EC580" w14:textId="6ECAD5A9" w:rsidTr="004A2E9D">
        <w:trPr>
          <w:trHeight w:val="193"/>
        </w:trPr>
        <w:tc>
          <w:tcPr>
            <w:tcW w:w="1184" w:type="pct"/>
            <w:tcBorders>
              <w:right w:val="nil"/>
            </w:tcBorders>
            <w:tcMar>
              <w:top w:w="15" w:type="dxa"/>
              <w:left w:w="108" w:type="dxa"/>
              <w:bottom w:w="0" w:type="dxa"/>
              <w:right w:w="108" w:type="dxa"/>
            </w:tcMar>
            <w:vAlign w:val="center"/>
          </w:tcPr>
          <w:p w14:paraId="7B30132D" w14:textId="77777777" w:rsidR="00524C4D" w:rsidRPr="00E40A38" w:rsidRDefault="00524C4D" w:rsidP="00B66744">
            <w:pPr>
              <w:pStyle w:val="TableText"/>
              <w:spacing w:before="0" w:after="0"/>
              <w:rPr>
                <w:b/>
                <w:lang w:val="en-US" w:eastAsia="en-AU"/>
              </w:rPr>
            </w:pPr>
            <w:r w:rsidRPr="00E40A38">
              <w:rPr>
                <w:b/>
                <w:lang w:val="en-US" w:eastAsia="en-AU"/>
              </w:rPr>
              <w:t>Feelings</w:t>
            </w:r>
          </w:p>
        </w:tc>
        <w:tc>
          <w:tcPr>
            <w:tcW w:w="6" w:type="pct"/>
            <w:tcBorders>
              <w:left w:val="nil"/>
              <w:right w:val="nil"/>
            </w:tcBorders>
            <w:vAlign w:val="center"/>
          </w:tcPr>
          <w:p w14:paraId="7E5CB009" w14:textId="77777777" w:rsidR="00524C4D" w:rsidRPr="00E40A38" w:rsidRDefault="00524C4D" w:rsidP="00B66744">
            <w:pPr>
              <w:pStyle w:val="TableText"/>
              <w:spacing w:before="0" w:after="0"/>
              <w:rPr>
                <w:rFonts w:eastAsia="Times New Roman"/>
                <w:b/>
                <w:lang w:val="en-GB" w:eastAsia="en-AU"/>
              </w:rPr>
            </w:pPr>
          </w:p>
        </w:tc>
        <w:tc>
          <w:tcPr>
            <w:tcW w:w="953" w:type="pct"/>
            <w:tcBorders>
              <w:left w:val="nil"/>
              <w:right w:val="nil"/>
            </w:tcBorders>
            <w:vAlign w:val="center"/>
          </w:tcPr>
          <w:p w14:paraId="44DA51DD" w14:textId="77777777" w:rsidR="00524C4D" w:rsidRPr="00E40A38" w:rsidRDefault="00524C4D" w:rsidP="00B66744">
            <w:pPr>
              <w:pStyle w:val="TableText"/>
              <w:spacing w:before="0" w:after="0"/>
              <w:rPr>
                <w:rFonts w:eastAsia="Times New Roman"/>
                <w:b/>
                <w:lang w:val="en-GB" w:eastAsia="en-AU"/>
              </w:rPr>
            </w:pPr>
          </w:p>
        </w:tc>
        <w:tc>
          <w:tcPr>
            <w:tcW w:w="1905" w:type="pct"/>
            <w:gridSpan w:val="2"/>
            <w:tcBorders>
              <w:left w:val="nil"/>
              <w:right w:val="nil"/>
            </w:tcBorders>
            <w:vAlign w:val="center"/>
          </w:tcPr>
          <w:p w14:paraId="06836A39" w14:textId="77777777" w:rsidR="00524C4D" w:rsidRPr="00E40A38" w:rsidRDefault="00524C4D" w:rsidP="00B66744">
            <w:pPr>
              <w:pStyle w:val="TableText"/>
              <w:spacing w:before="0" w:after="0"/>
              <w:rPr>
                <w:rFonts w:eastAsia="Times New Roman"/>
                <w:b/>
                <w:lang w:val="en-GB" w:eastAsia="en-AU"/>
              </w:rPr>
            </w:pPr>
          </w:p>
        </w:tc>
        <w:tc>
          <w:tcPr>
            <w:tcW w:w="952" w:type="pct"/>
            <w:tcBorders>
              <w:left w:val="nil"/>
            </w:tcBorders>
          </w:tcPr>
          <w:p w14:paraId="7B18ED5A" w14:textId="77777777" w:rsidR="003D1139" w:rsidRPr="005B3D2A" w:rsidRDefault="003D1139" w:rsidP="00B66744">
            <w:pPr>
              <w:pStyle w:val="TableText"/>
              <w:spacing w:before="0" w:after="0"/>
              <w:rPr>
                <w:rFonts w:eastAsia="Times New Roman"/>
                <w:b/>
                <w:lang w:val="en-GB" w:eastAsia="en-AU"/>
              </w:rPr>
            </w:pPr>
          </w:p>
        </w:tc>
      </w:tr>
      <w:tr w:rsidR="00524C4D" w:rsidRPr="00E40A38" w14:paraId="4F414313" w14:textId="0734A270" w:rsidTr="00784772">
        <w:trPr>
          <w:trHeight w:val="210"/>
        </w:trPr>
        <w:tc>
          <w:tcPr>
            <w:tcW w:w="1190" w:type="pct"/>
            <w:gridSpan w:val="2"/>
            <w:tcMar>
              <w:top w:w="15" w:type="dxa"/>
              <w:left w:w="108" w:type="dxa"/>
              <w:bottom w:w="0" w:type="dxa"/>
              <w:right w:w="108" w:type="dxa"/>
            </w:tcMar>
            <w:vAlign w:val="center"/>
            <w:hideMark/>
          </w:tcPr>
          <w:p w14:paraId="523BB390" w14:textId="77777777" w:rsidR="00524C4D" w:rsidRPr="00E40A38" w:rsidRDefault="00524C4D" w:rsidP="00B66744">
            <w:pPr>
              <w:pStyle w:val="TableText"/>
              <w:spacing w:before="0" w:after="0"/>
              <w:rPr>
                <w:rFonts w:ascii="Arial" w:eastAsia="Times New Roman" w:hAnsi="Arial"/>
                <w:lang w:eastAsia="en-AU"/>
              </w:rPr>
            </w:pPr>
            <w:r w:rsidRPr="00E40A38">
              <w:rPr>
                <w:lang w:val="en-US" w:eastAsia="en-AU"/>
              </w:rPr>
              <w:t>LS mean (SE)</w:t>
            </w:r>
          </w:p>
        </w:tc>
        <w:tc>
          <w:tcPr>
            <w:tcW w:w="953" w:type="pct"/>
            <w:tcMar>
              <w:top w:w="15" w:type="dxa"/>
              <w:left w:w="108" w:type="dxa"/>
              <w:bottom w:w="0" w:type="dxa"/>
              <w:right w:w="108" w:type="dxa"/>
            </w:tcMar>
            <w:hideMark/>
          </w:tcPr>
          <w:p w14:paraId="57648316" w14:textId="11265E54" w:rsidR="00524C4D" w:rsidRPr="00E40A38" w:rsidRDefault="00DC0B62" w:rsidP="00B66744">
            <w:pPr>
              <w:pStyle w:val="TableText"/>
              <w:spacing w:before="0" w:after="0"/>
              <w:rPr>
                <w:rFonts w:ascii="Arial" w:eastAsia="Times New Roman" w:hAnsi="Arial"/>
                <w:lang w:eastAsia="en-AU"/>
              </w:rPr>
            </w:pPr>
            <w:r w:rsidRPr="00044935">
              <w:t>- 9.0 (2.02)</w:t>
            </w:r>
          </w:p>
        </w:tc>
        <w:tc>
          <w:tcPr>
            <w:tcW w:w="953" w:type="pct"/>
            <w:tcMar>
              <w:top w:w="15" w:type="dxa"/>
              <w:left w:w="108" w:type="dxa"/>
              <w:bottom w:w="0" w:type="dxa"/>
              <w:right w:w="108" w:type="dxa"/>
            </w:tcMar>
            <w:hideMark/>
          </w:tcPr>
          <w:p w14:paraId="4605D2C9" w14:textId="20177C73" w:rsidR="00524C4D" w:rsidRPr="00E40A38" w:rsidRDefault="00DC0B62" w:rsidP="00B66744">
            <w:pPr>
              <w:pStyle w:val="TableText"/>
              <w:spacing w:before="0" w:after="0"/>
              <w:rPr>
                <w:rFonts w:ascii="Arial" w:eastAsia="Times New Roman" w:hAnsi="Arial"/>
                <w:lang w:eastAsia="en-AU"/>
              </w:rPr>
            </w:pPr>
            <w:r w:rsidRPr="00044935">
              <w:t>- 8.5 (2.17)</w:t>
            </w:r>
          </w:p>
        </w:tc>
        <w:tc>
          <w:tcPr>
            <w:tcW w:w="952" w:type="pct"/>
            <w:tcMar>
              <w:top w:w="15" w:type="dxa"/>
              <w:left w:w="108" w:type="dxa"/>
              <w:bottom w:w="0" w:type="dxa"/>
              <w:right w:w="108" w:type="dxa"/>
            </w:tcMar>
            <w:hideMark/>
          </w:tcPr>
          <w:p w14:paraId="68744328" w14:textId="74AEAFCC" w:rsidR="00524C4D" w:rsidRPr="00E40A38" w:rsidRDefault="00524C4D" w:rsidP="00B66744">
            <w:pPr>
              <w:pStyle w:val="TableText"/>
              <w:spacing w:before="0" w:after="0"/>
              <w:rPr>
                <w:rFonts w:ascii="Arial" w:eastAsia="Times New Roman" w:hAnsi="Arial"/>
                <w:lang w:eastAsia="en-AU"/>
              </w:rPr>
            </w:pPr>
            <w:r w:rsidRPr="00044935">
              <w:t>-</w:t>
            </w:r>
            <w:r w:rsidR="00DC0B62" w:rsidRPr="00044935">
              <w:t xml:space="preserve"> 10.0</w:t>
            </w:r>
            <w:r w:rsidRPr="00044935">
              <w:t xml:space="preserve"> (2.</w:t>
            </w:r>
            <w:r w:rsidR="00DC0B62" w:rsidRPr="00044935">
              <w:t>51</w:t>
            </w:r>
            <w:r w:rsidRPr="00044935">
              <w:t>)</w:t>
            </w:r>
          </w:p>
        </w:tc>
        <w:tc>
          <w:tcPr>
            <w:tcW w:w="952" w:type="pct"/>
            <w:tcMar>
              <w:top w:w="17" w:type="dxa"/>
              <w:left w:w="108" w:type="dxa"/>
              <w:right w:w="108" w:type="dxa"/>
            </w:tcMar>
          </w:tcPr>
          <w:p w14:paraId="1956B494" w14:textId="6C9B23A9" w:rsidR="003D1139" w:rsidRPr="000A0B14" w:rsidRDefault="00DC0B62" w:rsidP="00B66744">
            <w:pPr>
              <w:pStyle w:val="TableText"/>
              <w:spacing w:before="0" w:after="0"/>
              <w:rPr>
                <w:rFonts w:eastAsia="Times New Roman"/>
                <w:lang w:val="en-GB" w:eastAsia="en-AU"/>
              </w:rPr>
            </w:pPr>
            <w:r w:rsidRPr="000A0B14">
              <w:t>- 8.8 (2.89)</w:t>
            </w:r>
          </w:p>
        </w:tc>
      </w:tr>
      <w:tr w:rsidR="00524C4D" w:rsidRPr="00E40A38" w14:paraId="4E1F5059" w14:textId="4F2691E3" w:rsidTr="00784772">
        <w:trPr>
          <w:trHeight w:val="229"/>
        </w:trPr>
        <w:tc>
          <w:tcPr>
            <w:tcW w:w="1190" w:type="pct"/>
            <w:gridSpan w:val="2"/>
            <w:tcMar>
              <w:top w:w="15" w:type="dxa"/>
              <w:left w:w="108" w:type="dxa"/>
              <w:bottom w:w="0" w:type="dxa"/>
              <w:right w:w="108" w:type="dxa"/>
            </w:tcMar>
            <w:vAlign w:val="center"/>
            <w:hideMark/>
          </w:tcPr>
          <w:p w14:paraId="15B71F2C" w14:textId="77777777" w:rsidR="00524C4D" w:rsidRPr="00E40A38" w:rsidRDefault="00524C4D" w:rsidP="00B66744">
            <w:pPr>
              <w:pStyle w:val="TableText"/>
              <w:spacing w:before="0" w:after="0"/>
              <w:rPr>
                <w:rFonts w:ascii="Arial" w:eastAsia="Times New Roman" w:hAnsi="Arial"/>
                <w:lang w:eastAsia="en-AU"/>
              </w:rPr>
            </w:pPr>
            <w:r w:rsidRPr="00E40A38">
              <w:rPr>
                <w:lang w:val="en-US" w:eastAsia="en-AU"/>
              </w:rPr>
              <w:t>95% CI</w:t>
            </w:r>
          </w:p>
        </w:tc>
        <w:tc>
          <w:tcPr>
            <w:tcW w:w="953" w:type="pct"/>
            <w:tcMar>
              <w:top w:w="15" w:type="dxa"/>
              <w:left w:w="108" w:type="dxa"/>
              <w:bottom w:w="0" w:type="dxa"/>
              <w:right w:w="108" w:type="dxa"/>
            </w:tcMar>
            <w:hideMark/>
          </w:tcPr>
          <w:p w14:paraId="2D33AAB6" w14:textId="12D6AF0A" w:rsidR="00524C4D" w:rsidRPr="00E40A38" w:rsidRDefault="00DC0B62" w:rsidP="00B66744">
            <w:pPr>
              <w:pStyle w:val="TableText"/>
              <w:spacing w:before="0" w:after="0"/>
              <w:rPr>
                <w:rFonts w:ascii="Arial" w:eastAsia="Times New Roman" w:hAnsi="Arial"/>
                <w:lang w:eastAsia="en-AU"/>
              </w:rPr>
            </w:pPr>
            <w:r w:rsidRPr="00044935">
              <w:t>- 13.0, - 4.9</w:t>
            </w:r>
          </w:p>
        </w:tc>
        <w:tc>
          <w:tcPr>
            <w:tcW w:w="953" w:type="pct"/>
            <w:tcMar>
              <w:top w:w="15" w:type="dxa"/>
              <w:left w:w="108" w:type="dxa"/>
              <w:bottom w:w="0" w:type="dxa"/>
              <w:right w:w="108" w:type="dxa"/>
            </w:tcMar>
            <w:hideMark/>
          </w:tcPr>
          <w:p w14:paraId="3228C5C9" w14:textId="68C12CFC" w:rsidR="00524C4D" w:rsidRPr="00E40A38" w:rsidRDefault="00DC0B62" w:rsidP="00B66744">
            <w:pPr>
              <w:pStyle w:val="TableText"/>
              <w:spacing w:before="0" w:after="0"/>
              <w:rPr>
                <w:rFonts w:ascii="Arial" w:eastAsia="Times New Roman" w:hAnsi="Arial"/>
                <w:lang w:eastAsia="en-AU"/>
              </w:rPr>
            </w:pPr>
            <w:r w:rsidRPr="00044935">
              <w:t>- 12.8, - 4.1</w:t>
            </w:r>
          </w:p>
        </w:tc>
        <w:tc>
          <w:tcPr>
            <w:tcW w:w="952" w:type="pct"/>
            <w:tcMar>
              <w:top w:w="15" w:type="dxa"/>
              <w:left w:w="108" w:type="dxa"/>
              <w:bottom w:w="0" w:type="dxa"/>
              <w:right w:w="108" w:type="dxa"/>
            </w:tcMar>
            <w:hideMark/>
          </w:tcPr>
          <w:p w14:paraId="6138764D" w14:textId="331943F0" w:rsidR="00524C4D" w:rsidRPr="00E40A38" w:rsidRDefault="00DC0B62" w:rsidP="00B66744">
            <w:pPr>
              <w:pStyle w:val="TableText"/>
              <w:spacing w:before="0" w:after="0"/>
              <w:rPr>
                <w:rFonts w:ascii="Arial" w:eastAsia="Times New Roman" w:hAnsi="Arial"/>
                <w:lang w:eastAsia="en-AU"/>
              </w:rPr>
            </w:pPr>
            <w:r w:rsidRPr="00044935">
              <w:t>- 15.1, - 5.0</w:t>
            </w:r>
          </w:p>
        </w:tc>
        <w:tc>
          <w:tcPr>
            <w:tcW w:w="952" w:type="pct"/>
            <w:tcMar>
              <w:top w:w="17" w:type="dxa"/>
              <w:left w:w="108" w:type="dxa"/>
              <w:right w:w="108" w:type="dxa"/>
            </w:tcMar>
          </w:tcPr>
          <w:p w14:paraId="72BCD064" w14:textId="6B5013B8" w:rsidR="003D1139" w:rsidRPr="000A0B14" w:rsidRDefault="00DC0B62" w:rsidP="00B66744">
            <w:pPr>
              <w:pStyle w:val="TableText"/>
              <w:spacing w:before="0" w:after="0"/>
              <w:rPr>
                <w:rFonts w:eastAsia="Times New Roman"/>
                <w:lang w:val="en-GB" w:eastAsia="en-AU"/>
              </w:rPr>
            </w:pPr>
            <w:r w:rsidRPr="000A0B14">
              <w:t>- 14.6, - 3.0</w:t>
            </w:r>
          </w:p>
        </w:tc>
      </w:tr>
      <w:tr w:rsidR="00524C4D" w:rsidRPr="00E40A38" w14:paraId="0D851629" w14:textId="5525C56C" w:rsidTr="00784772">
        <w:trPr>
          <w:trHeight w:val="232"/>
        </w:trPr>
        <w:tc>
          <w:tcPr>
            <w:tcW w:w="1190" w:type="pct"/>
            <w:gridSpan w:val="2"/>
            <w:tcBorders>
              <w:bottom w:val="single" w:sz="4" w:space="0" w:color="auto"/>
            </w:tcBorders>
            <w:tcMar>
              <w:top w:w="15" w:type="dxa"/>
              <w:left w:w="108" w:type="dxa"/>
              <w:bottom w:w="0" w:type="dxa"/>
              <w:right w:w="108" w:type="dxa"/>
            </w:tcMar>
            <w:vAlign w:val="center"/>
            <w:hideMark/>
          </w:tcPr>
          <w:p w14:paraId="225A4126" w14:textId="77777777" w:rsidR="00524C4D" w:rsidRPr="00E40A38" w:rsidRDefault="00524C4D" w:rsidP="00B66744">
            <w:pPr>
              <w:pStyle w:val="TableText"/>
              <w:spacing w:before="0" w:after="0"/>
              <w:rPr>
                <w:rFonts w:ascii="Arial" w:eastAsia="Times New Roman" w:hAnsi="Arial"/>
                <w:lang w:eastAsia="en-AU"/>
              </w:rPr>
            </w:pPr>
            <w:r w:rsidRPr="00E40A38">
              <w:rPr>
                <w:lang w:val="en-US" w:eastAsia="en-AU"/>
              </w:rPr>
              <w:t>One-sided p-value</w:t>
            </w:r>
          </w:p>
        </w:tc>
        <w:tc>
          <w:tcPr>
            <w:tcW w:w="953" w:type="pct"/>
            <w:tcBorders>
              <w:bottom w:val="single" w:sz="4" w:space="0" w:color="auto"/>
            </w:tcBorders>
            <w:tcMar>
              <w:top w:w="15" w:type="dxa"/>
              <w:left w:w="108" w:type="dxa"/>
              <w:bottom w:w="0" w:type="dxa"/>
              <w:right w:w="108" w:type="dxa"/>
            </w:tcMar>
            <w:hideMark/>
          </w:tcPr>
          <w:p w14:paraId="7B8207F9" w14:textId="09000D14" w:rsidR="00524C4D" w:rsidRPr="00E40A38" w:rsidRDefault="00524C4D" w:rsidP="00B66744">
            <w:pPr>
              <w:pStyle w:val="TableText"/>
              <w:spacing w:before="0" w:after="0"/>
              <w:rPr>
                <w:rFonts w:ascii="Arial" w:eastAsia="Times New Roman" w:hAnsi="Arial"/>
                <w:lang w:eastAsia="en-AU"/>
              </w:rPr>
            </w:pPr>
            <w:r w:rsidRPr="00044935">
              <w:t>&lt; 0.0001</w:t>
            </w:r>
          </w:p>
        </w:tc>
        <w:tc>
          <w:tcPr>
            <w:tcW w:w="953" w:type="pct"/>
            <w:tcBorders>
              <w:bottom w:val="single" w:sz="4" w:space="0" w:color="auto"/>
            </w:tcBorders>
            <w:tcMar>
              <w:top w:w="15" w:type="dxa"/>
              <w:left w:w="108" w:type="dxa"/>
              <w:bottom w:w="0" w:type="dxa"/>
              <w:right w:w="108" w:type="dxa"/>
            </w:tcMar>
            <w:hideMark/>
          </w:tcPr>
          <w:p w14:paraId="4678CC00" w14:textId="13451A2E" w:rsidR="00524C4D" w:rsidRPr="00E40A38" w:rsidRDefault="00524C4D" w:rsidP="00B66744">
            <w:pPr>
              <w:pStyle w:val="TableText"/>
              <w:spacing w:before="0" w:after="0"/>
              <w:rPr>
                <w:rFonts w:ascii="Arial" w:eastAsia="Times New Roman" w:hAnsi="Arial"/>
                <w:lang w:eastAsia="en-AU"/>
              </w:rPr>
            </w:pPr>
            <w:r w:rsidRPr="00044935">
              <w:t>0.0001</w:t>
            </w:r>
          </w:p>
        </w:tc>
        <w:tc>
          <w:tcPr>
            <w:tcW w:w="952" w:type="pct"/>
            <w:tcBorders>
              <w:bottom w:val="single" w:sz="4" w:space="0" w:color="auto"/>
            </w:tcBorders>
            <w:tcMar>
              <w:top w:w="15" w:type="dxa"/>
              <w:left w:w="108" w:type="dxa"/>
              <w:bottom w:w="0" w:type="dxa"/>
              <w:right w:w="108" w:type="dxa"/>
            </w:tcMar>
            <w:hideMark/>
          </w:tcPr>
          <w:p w14:paraId="2336EF3F" w14:textId="65C55EA4" w:rsidR="00524C4D" w:rsidRPr="00E40A38" w:rsidRDefault="00524C4D" w:rsidP="00B66744">
            <w:pPr>
              <w:pStyle w:val="TableText"/>
              <w:spacing w:before="0" w:after="0"/>
              <w:rPr>
                <w:rFonts w:ascii="Arial" w:eastAsia="Times New Roman" w:hAnsi="Arial"/>
                <w:lang w:eastAsia="en-AU"/>
              </w:rPr>
            </w:pPr>
            <w:r w:rsidRPr="00044935">
              <w:t>0.0001</w:t>
            </w:r>
          </w:p>
        </w:tc>
        <w:tc>
          <w:tcPr>
            <w:tcW w:w="952" w:type="pct"/>
            <w:tcBorders>
              <w:bottom w:val="single" w:sz="4" w:space="0" w:color="auto"/>
            </w:tcBorders>
            <w:tcMar>
              <w:top w:w="17" w:type="dxa"/>
              <w:left w:w="108" w:type="dxa"/>
              <w:right w:w="108" w:type="dxa"/>
            </w:tcMar>
          </w:tcPr>
          <w:p w14:paraId="10D8413D" w14:textId="5FCCAB18" w:rsidR="003D1139" w:rsidRPr="000A0B14" w:rsidRDefault="00DC0B62" w:rsidP="00B66744">
            <w:pPr>
              <w:pStyle w:val="TableText"/>
              <w:spacing w:before="0" w:after="0"/>
              <w:rPr>
                <w:rFonts w:eastAsia="Times New Roman"/>
                <w:lang w:val="en-GB" w:eastAsia="en-AU"/>
              </w:rPr>
            </w:pPr>
            <w:r w:rsidRPr="000A0B14">
              <w:t>0.0018</w:t>
            </w:r>
          </w:p>
        </w:tc>
      </w:tr>
      <w:tr w:rsidR="00524C4D" w:rsidRPr="00E40A38" w14:paraId="0180ACA7" w14:textId="4181A557" w:rsidTr="004A2E9D">
        <w:trPr>
          <w:trHeight w:val="251"/>
        </w:trPr>
        <w:tc>
          <w:tcPr>
            <w:tcW w:w="1184" w:type="pct"/>
            <w:tcBorders>
              <w:right w:val="nil"/>
            </w:tcBorders>
            <w:tcMar>
              <w:top w:w="15" w:type="dxa"/>
              <w:left w:w="108" w:type="dxa"/>
              <w:bottom w:w="0" w:type="dxa"/>
              <w:right w:w="108" w:type="dxa"/>
            </w:tcMar>
            <w:vAlign w:val="center"/>
          </w:tcPr>
          <w:p w14:paraId="45AFE74E" w14:textId="77777777" w:rsidR="00524C4D" w:rsidRPr="00E40A38" w:rsidRDefault="00524C4D" w:rsidP="00B66744">
            <w:pPr>
              <w:pStyle w:val="TableText"/>
              <w:spacing w:before="0" w:after="0"/>
              <w:rPr>
                <w:b/>
                <w:lang w:val="en-US" w:eastAsia="en-AU"/>
              </w:rPr>
            </w:pPr>
            <w:r w:rsidRPr="00E40A38">
              <w:rPr>
                <w:b/>
                <w:lang w:val="en-US" w:eastAsia="en-AU"/>
              </w:rPr>
              <w:t>Treatment</w:t>
            </w:r>
          </w:p>
        </w:tc>
        <w:tc>
          <w:tcPr>
            <w:tcW w:w="6" w:type="pct"/>
            <w:tcBorders>
              <w:left w:val="nil"/>
              <w:right w:val="nil"/>
            </w:tcBorders>
            <w:vAlign w:val="center"/>
          </w:tcPr>
          <w:p w14:paraId="08496EF6" w14:textId="77777777" w:rsidR="00524C4D" w:rsidRPr="00E40A38" w:rsidRDefault="00524C4D" w:rsidP="00B66744">
            <w:pPr>
              <w:pStyle w:val="TableText"/>
              <w:spacing w:before="0" w:after="0"/>
              <w:rPr>
                <w:rFonts w:eastAsia="Times New Roman"/>
                <w:b/>
                <w:lang w:val="en-GB" w:eastAsia="en-AU"/>
              </w:rPr>
            </w:pPr>
          </w:p>
        </w:tc>
        <w:tc>
          <w:tcPr>
            <w:tcW w:w="953" w:type="pct"/>
            <w:tcBorders>
              <w:left w:val="nil"/>
              <w:right w:val="nil"/>
            </w:tcBorders>
            <w:vAlign w:val="center"/>
          </w:tcPr>
          <w:p w14:paraId="04327BC2" w14:textId="77777777" w:rsidR="00524C4D" w:rsidRPr="00E40A38" w:rsidRDefault="00524C4D" w:rsidP="00B66744">
            <w:pPr>
              <w:pStyle w:val="TableText"/>
              <w:spacing w:before="0" w:after="0"/>
              <w:rPr>
                <w:rFonts w:eastAsia="Times New Roman"/>
                <w:b/>
                <w:lang w:val="en-GB" w:eastAsia="en-AU"/>
              </w:rPr>
            </w:pPr>
          </w:p>
        </w:tc>
        <w:tc>
          <w:tcPr>
            <w:tcW w:w="1905" w:type="pct"/>
            <w:gridSpan w:val="2"/>
            <w:tcBorders>
              <w:left w:val="nil"/>
              <w:right w:val="nil"/>
            </w:tcBorders>
            <w:vAlign w:val="center"/>
          </w:tcPr>
          <w:p w14:paraId="1FC27148" w14:textId="77777777" w:rsidR="00524C4D" w:rsidRPr="00E40A38" w:rsidRDefault="00524C4D" w:rsidP="00B66744">
            <w:pPr>
              <w:pStyle w:val="TableText"/>
              <w:spacing w:before="0" w:after="0"/>
              <w:rPr>
                <w:rFonts w:eastAsia="Times New Roman"/>
                <w:b/>
                <w:lang w:val="en-GB" w:eastAsia="en-AU"/>
              </w:rPr>
            </w:pPr>
          </w:p>
        </w:tc>
        <w:tc>
          <w:tcPr>
            <w:tcW w:w="952" w:type="pct"/>
            <w:tcBorders>
              <w:left w:val="nil"/>
            </w:tcBorders>
          </w:tcPr>
          <w:p w14:paraId="43488418" w14:textId="77777777" w:rsidR="003D1139" w:rsidRPr="00D02FAD" w:rsidRDefault="003D1139" w:rsidP="00B66744">
            <w:pPr>
              <w:pStyle w:val="TableText"/>
              <w:spacing w:before="0" w:after="0"/>
              <w:rPr>
                <w:rFonts w:eastAsia="Times New Roman"/>
                <w:b/>
                <w:lang w:val="en-GB" w:eastAsia="en-AU"/>
              </w:rPr>
            </w:pPr>
          </w:p>
        </w:tc>
      </w:tr>
      <w:tr w:rsidR="00524C4D" w:rsidRPr="00E40A38" w14:paraId="50B735ED" w14:textId="4D4B5E17" w:rsidTr="00784772">
        <w:trPr>
          <w:trHeight w:val="269"/>
        </w:trPr>
        <w:tc>
          <w:tcPr>
            <w:tcW w:w="1190" w:type="pct"/>
            <w:gridSpan w:val="2"/>
            <w:tcMar>
              <w:top w:w="15" w:type="dxa"/>
              <w:left w:w="108" w:type="dxa"/>
              <w:bottom w:w="0" w:type="dxa"/>
              <w:right w:w="108" w:type="dxa"/>
            </w:tcMar>
            <w:vAlign w:val="center"/>
            <w:hideMark/>
          </w:tcPr>
          <w:p w14:paraId="406C3FCF" w14:textId="77777777" w:rsidR="00524C4D" w:rsidRPr="00E40A38" w:rsidRDefault="00524C4D" w:rsidP="00B66744">
            <w:pPr>
              <w:pStyle w:val="TableText"/>
              <w:spacing w:before="0" w:after="0"/>
              <w:rPr>
                <w:rFonts w:ascii="Arial" w:eastAsia="Times New Roman" w:hAnsi="Arial"/>
                <w:lang w:eastAsia="en-AU"/>
              </w:rPr>
            </w:pPr>
            <w:r w:rsidRPr="00E40A38">
              <w:rPr>
                <w:lang w:val="en-US" w:eastAsia="en-AU"/>
              </w:rPr>
              <w:t>LS mean (SE)</w:t>
            </w:r>
          </w:p>
        </w:tc>
        <w:tc>
          <w:tcPr>
            <w:tcW w:w="953" w:type="pct"/>
            <w:tcMar>
              <w:top w:w="15" w:type="dxa"/>
              <w:left w:w="108" w:type="dxa"/>
              <w:bottom w:w="0" w:type="dxa"/>
              <w:right w:w="108" w:type="dxa"/>
            </w:tcMar>
            <w:hideMark/>
          </w:tcPr>
          <w:p w14:paraId="13D8CA6F" w14:textId="2028E3D7" w:rsidR="00524C4D" w:rsidRPr="00E40A38" w:rsidRDefault="000A51C8" w:rsidP="00B66744">
            <w:pPr>
              <w:pStyle w:val="TableText"/>
              <w:spacing w:before="0" w:after="0"/>
              <w:rPr>
                <w:rFonts w:ascii="Arial" w:eastAsia="Times New Roman" w:hAnsi="Arial"/>
                <w:lang w:eastAsia="en-AU"/>
              </w:rPr>
            </w:pPr>
            <w:r w:rsidRPr="007B092E">
              <w:t xml:space="preserve">- 16.4 (2.13) </w:t>
            </w:r>
          </w:p>
        </w:tc>
        <w:tc>
          <w:tcPr>
            <w:tcW w:w="953" w:type="pct"/>
            <w:tcMar>
              <w:top w:w="15" w:type="dxa"/>
              <w:left w:w="108" w:type="dxa"/>
              <w:bottom w:w="0" w:type="dxa"/>
              <w:right w:w="108" w:type="dxa"/>
            </w:tcMar>
            <w:hideMark/>
          </w:tcPr>
          <w:p w14:paraId="7EDAC848" w14:textId="74830338" w:rsidR="00524C4D" w:rsidRPr="00E40A38" w:rsidRDefault="00524C4D" w:rsidP="00B66744">
            <w:pPr>
              <w:pStyle w:val="TableText"/>
              <w:spacing w:before="0" w:after="0"/>
              <w:rPr>
                <w:rFonts w:ascii="Arial" w:eastAsia="Times New Roman" w:hAnsi="Arial"/>
                <w:lang w:eastAsia="en-AU"/>
              </w:rPr>
            </w:pPr>
            <w:r w:rsidRPr="007B092E">
              <w:t>-</w:t>
            </w:r>
            <w:r w:rsidR="000A51C8" w:rsidRPr="007B092E">
              <w:t xml:space="preserve"> 11.4</w:t>
            </w:r>
            <w:r w:rsidRPr="007B092E">
              <w:t xml:space="preserve"> (2.</w:t>
            </w:r>
            <w:r w:rsidR="000A51C8" w:rsidRPr="007B092E">
              <w:t xml:space="preserve">46) </w:t>
            </w:r>
          </w:p>
        </w:tc>
        <w:tc>
          <w:tcPr>
            <w:tcW w:w="952" w:type="pct"/>
            <w:tcMar>
              <w:top w:w="15" w:type="dxa"/>
              <w:left w:w="108" w:type="dxa"/>
              <w:bottom w:w="0" w:type="dxa"/>
              <w:right w:w="108" w:type="dxa"/>
            </w:tcMar>
            <w:hideMark/>
          </w:tcPr>
          <w:p w14:paraId="2A4268B2" w14:textId="0B80CD7A" w:rsidR="00524C4D" w:rsidRPr="00E40A38" w:rsidRDefault="00524C4D" w:rsidP="00B66744">
            <w:pPr>
              <w:pStyle w:val="TableText"/>
              <w:spacing w:before="0" w:after="0"/>
              <w:rPr>
                <w:rFonts w:ascii="Arial" w:eastAsia="Times New Roman" w:hAnsi="Arial"/>
                <w:lang w:eastAsia="en-AU"/>
              </w:rPr>
            </w:pPr>
            <w:r w:rsidRPr="007B092E">
              <w:t>-</w:t>
            </w:r>
            <w:r w:rsidR="000A51C8" w:rsidRPr="007B092E">
              <w:t xml:space="preserve"> 14.9</w:t>
            </w:r>
            <w:r w:rsidRPr="007B092E">
              <w:t xml:space="preserve"> (2.</w:t>
            </w:r>
            <w:r w:rsidR="000A51C8" w:rsidRPr="007B092E">
              <w:t xml:space="preserve">26) </w:t>
            </w:r>
          </w:p>
        </w:tc>
        <w:tc>
          <w:tcPr>
            <w:tcW w:w="952" w:type="pct"/>
            <w:tcMar>
              <w:top w:w="17" w:type="dxa"/>
              <w:left w:w="108" w:type="dxa"/>
              <w:right w:w="108" w:type="dxa"/>
            </w:tcMar>
          </w:tcPr>
          <w:p w14:paraId="3AE61185" w14:textId="675769A1" w:rsidR="003D1139" w:rsidRPr="000A0B14" w:rsidRDefault="000A51C8" w:rsidP="00B66744">
            <w:pPr>
              <w:pStyle w:val="TableText"/>
              <w:spacing w:before="0" w:after="0"/>
              <w:rPr>
                <w:rFonts w:eastAsia="Times New Roman"/>
                <w:lang w:val="en-GB" w:eastAsia="en-AU"/>
              </w:rPr>
            </w:pPr>
            <w:r w:rsidRPr="000A0B14">
              <w:t xml:space="preserve">- 16.1 (2.25) </w:t>
            </w:r>
          </w:p>
        </w:tc>
      </w:tr>
      <w:tr w:rsidR="00524C4D" w:rsidRPr="00E40A38" w14:paraId="0E5EA51F" w14:textId="3B35105E" w:rsidTr="00784772">
        <w:trPr>
          <w:trHeight w:val="245"/>
        </w:trPr>
        <w:tc>
          <w:tcPr>
            <w:tcW w:w="1190" w:type="pct"/>
            <w:gridSpan w:val="2"/>
            <w:tcMar>
              <w:top w:w="15" w:type="dxa"/>
              <w:left w:w="108" w:type="dxa"/>
              <w:bottom w:w="0" w:type="dxa"/>
              <w:right w:w="108" w:type="dxa"/>
            </w:tcMar>
            <w:vAlign w:val="center"/>
            <w:hideMark/>
          </w:tcPr>
          <w:p w14:paraId="1F9CA6F5" w14:textId="77777777" w:rsidR="00524C4D" w:rsidRPr="00E40A38" w:rsidRDefault="00524C4D" w:rsidP="00B66744">
            <w:pPr>
              <w:pStyle w:val="TableText"/>
              <w:spacing w:before="0" w:after="0"/>
              <w:rPr>
                <w:rFonts w:ascii="Arial" w:eastAsia="Times New Roman" w:hAnsi="Arial"/>
                <w:lang w:eastAsia="en-AU"/>
              </w:rPr>
            </w:pPr>
            <w:r w:rsidRPr="00E40A38">
              <w:rPr>
                <w:lang w:val="en-US" w:eastAsia="en-AU"/>
              </w:rPr>
              <w:t>95% CI</w:t>
            </w:r>
          </w:p>
        </w:tc>
        <w:tc>
          <w:tcPr>
            <w:tcW w:w="953" w:type="pct"/>
            <w:tcMar>
              <w:top w:w="15" w:type="dxa"/>
              <w:left w:w="108" w:type="dxa"/>
              <w:bottom w:w="0" w:type="dxa"/>
              <w:right w:w="108" w:type="dxa"/>
            </w:tcMar>
            <w:hideMark/>
          </w:tcPr>
          <w:p w14:paraId="57BDC105" w14:textId="7BF23B55" w:rsidR="00524C4D" w:rsidRPr="00E40A38" w:rsidRDefault="000A51C8" w:rsidP="00B66744">
            <w:pPr>
              <w:pStyle w:val="TableText"/>
              <w:spacing w:before="0" w:after="0"/>
              <w:rPr>
                <w:rFonts w:ascii="Arial" w:eastAsia="Times New Roman" w:hAnsi="Arial"/>
                <w:lang w:eastAsia="en-AU"/>
              </w:rPr>
            </w:pPr>
            <w:r w:rsidRPr="007B092E">
              <w:t>- 20.6, - 12.1</w:t>
            </w:r>
          </w:p>
        </w:tc>
        <w:tc>
          <w:tcPr>
            <w:tcW w:w="953" w:type="pct"/>
            <w:tcMar>
              <w:top w:w="15" w:type="dxa"/>
              <w:left w:w="108" w:type="dxa"/>
              <w:bottom w:w="0" w:type="dxa"/>
              <w:right w:w="108" w:type="dxa"/>
            </w:tcMar>
            <w:hideMark/>
          </w:tcPr>
          <w:p w14:paraId="25A2C99D" w14:textId="729B6356" w:rsidR="00524C4D" w:rsidRPr="00E40A38" w:rsidRDefault="000A51C8" w:rsidP="00B66744">
            <w:pPr>
              <w:pStyle w:val="TableText"/>
              <w:spacing w:before="0" w:after="0"/>
              <w:rPr>
                <w:rFonts w:ascii="Arial" w:eastAsia="Times New Roman" w:hAnsi="Arial"/>
                <w:lang w:eastAsia="en-AU"/>
              </w:rPr>
            </w:pPr>
            <w:r w:rsidRPr="007B092E">
              <w:t>- 16.4, - 6.5</w:t>
            </w:r>
          </w:p>
        </w:tc>
        <w:tc>
          <w:tcPr>
            <w:tcW w:w="952" w:type="pct"/>
            <w:tcMar>
              <w:top w:w="15" w:type="dxa"/>
              <w:left w:w="108" w:type="dxa"/>
              <w:bottom w:w="0" w:type="dxa"/>
              <w:right w:w="108" w:type="dxa"/>
            </w:tcMar>
            <w:hideMark/>
          </w:tcPr>
          <w:p w14:paraId="711D5BFB" w14:textId="5B71C331" w:rsidR="00524C4D" w:rsidRPr="00E40A38" w:rsidRDefault="000A51C8" w:rsidP="00B66744">
            <w:pPr>
              <w:pStyle w:val="TableText"/>
              <w:spacing w:before="0" w:after="0"/>
              <w:rPr>
                <w:rFonts w:ascii="Arial" w:eastAsia="Times New Roman" w:hAnsi="Arial"/>
                <w:lang w:eastAsia="en-AU"/>
              </w:rPr>
            </w:pPr>
            <w:r w:rsidRPr="007B092E">
              <w:t>- 19.4, - 10.3</w:t>
            </w:r>
          </w:p>
        </w:tc>
        <w:tc>
          <w:tcPr>
            <w:tcW w:w="952" w:type="pct"/>
            <w:tcMar>
              <w:top w:w="17" w:type="dxa"/>
              <w:left w:w="108" w:type="dxa"/>
              <w:right w:w="108" w:type="dxa"/>
            </w:tcMar>
          </w:tcPr>
          <w:p w14:paraId="4996895D" w14:textId="365A208B" w:rsidR="003D1139" w:rsidRPr="000A0B14" w:rsidRDefault="000A51C8" w:rsidP="00B66744">
            <w:pPr>
              <w:pStyle w:val="TableText"/>
              <w:spacing w:before="0" w:after="0"/>
              <w:rPr>
                <w:rFonts w:eastAsia="Times New Roman"/>
                <w:lang w:val="en-GB" w:eastAsia="en-AU"/>
              </w:rPr>
            </w:pPr>
            <w:r w:rsidRPr="000A0B14">
              <w:t>- 20.7, - 11.6</w:t>
            </w:r>
          </w:p>
        </w:tc>
      </w:tr>
      <w:tr w:rsidR="00524C4D" w:rsidRPr="00E40A38" w14:paraId="1E669579" w14:textId="13E5235C" w:rsidTr="00784772">
        <w:trPr>
          <w:trHeight w:val="121"/>
        </w:trPr>
        <w:tc>
          <w:tcPr>
            <w:tcW w:w="1190" w:type="pct"/>
            <w:gridSpan w:val="2"/>
            <w:tcBorders>
              <w:bottom w:val="single" w:sz="4" w:space="0" w:color="auto"/>
            </w:tcBorders>
            <w:tcMar>
              <w:top w:w="15" w:type="dxa"/>
              <w:left w:w="108" w:type="dxa"/>
              <w:bottom w:w="0" w:type="dxa"/>
              <w:right w:w="108" w:type="dxa"/>
            </w:tcMar>
            <w:vAlign w:val="center"/>
            <w:hideMark/>
          </w:tcPr>
          <w:p w14:paraId="5FF15054" w14:textId="77777777" w:rsidR="00524C4D" w:rsidRPr="00E40A38" w:rsidRDefault="00524C4D" w:rsidP="00B66744">
            <w:pPr>
              <w:pStyle w:val="TableText"/>
              <w:spacing w:before="0" w:after="0"/>
              <w:rPr>
                <w:rFonts w:ascii="Arial" w:eastAsia="Times New Roman" w:hAnsi="Arial"/>
                <w:lang w:eastAsia="en-AU"/>
              </w:rPr>
            </w:pPr>
            <w:r w:rsidRPr="00E40A38">
              <w:rPr>
                <w:lang w:val="en-US" w:eastAsia="en-AU"/>
              </w:rPr>
              <w:t>One-sided p-value</w:t>
            </w:r>
          </w:p>
        </w:tc>
        <w:tc>
          <w:tcPr>
            <w:tcW w:w="953" w:type="pct"/>
            <w:tcBorders>
              <w:bottom w:val="single" w:sz="4" w:space="0" w:color="auto"/>
            </w:tcBorders>
            <w:tcMar>
              <w:top w:w="15" w:type="dxa"/>
              <w:left w:w="108" w:type="dxa"/>
              <w:bottom w:w="0" w:type="dxa"/>
              <w:right w:w="108" w:type="dxa"/>
            </w:tcMar>
            <w:hideMark/>
          </w:tcPr>
          <w:p w14:paraId="47A39DF4" w14:textId="0B005CC4" w:rsidR="00524C4D" w:rsidRPr="00E40A38" w:rsidRDefault="00524C4D" w:rsidP="00B66744">
            <w:pPr>
              <w:pStyle w:val="TableText"/>
              <w:spacing w:before="0" w:after="0"/>
              <w:rPr>
                <w:rFonts w:ascii="Arial" w:eastAsia="Times New Roman" w:hAnsi="Arial"/>
                <w:lang w:eastAsia="en-AU"/>
              </w:rPr>
            </w:pPr>
            <w:r w:rsidRPr="007B092E">
              <w:t>&lt; 0.0001</w:t>
            </w:r>
          </w:p>
        </w:tc>
        <w:tc>
          <w:tcPr>
            <w:tcW w:w="953" w:type="pct"/>
            <w:tcBorders>
              <w:bottom w:val="single" w:sz="4" w:space="0" w:color="auto"/>
            </w:tcBorders>
            <w:tcMar>
              <w:top w:w="15" w:type="dxa"/>
              <w:left w:w="108" w:type="dxa"/>
              <w:bottom w:w="0" w:type="dxa"/>
              <w:right w:w="108" w:type="dxa"/>
            </w:tcMar>
            <w:hideMark/>
          </w:tcPr>
          <w:p w14:paraId="6AEF61A5" w14:textId="423BB74C" w:rsidR="00524C4D" w:rsidRPr="00E40A38" w:rsidRDefault="00524C4D" w:rsidP="00B66744">
            <w:pPr>
              <w:pStyle w:val="TableText"/>
              <w:spacing w:before="0" w:after="0"/>
              <w:rPr>
                <w:rFonts w:ascii="Arial" w:eastAsia="Times New Roman" w:hAnsi="Arial"/>
                <w:lang w:eastAsia="en-AU"/>
              </w:rPr>
            </w:pPr>
            <w:r w:rsidRPr="007B092E">
              <w:t>&lt; 0.0001</w:t>
            </w:r>
          </w:p>
        </w:tc>
        <w:tc>
          <w:tcPr>
            <w:tcW w:w="952" w:type="pct"/>
            <w:tcBorders>
              <w:bottom w:val="single" w:sz="4" w:space="0" w:color="auto"/>
            </w:tcBorders>
            <w:tcMar>
              <w:top w:w="15" w:type="dxa"/>
              <w:left w:w="108" w:type="dxa"/>
              <w:bottom w:w="0" w:type="dxa"/>
              <w:right w:w="108" w:type="dxa"/>
            </w:tcMar>
            <w:hideMark/>
          </w:tcPr>
          <w:p w14:paraId="7C81E622" w14:textId="2DB29189" w:rsidR="00524C4D" w:rsidRPr="00E40A38" w:rsidRDefault="00524C4D" w:rsidP="00B66744">
            <w:pPr>
              <w:pStyle w:val="TableText"/>
              <w:spacing w:before="0" w:after="0"/>
              <w:rPr>
                <w:rFonts w:ascii="Arial" w:eastAsia="Times New Roman" w:hAnsi="Arial"/>
                <w:lang w:eastAsia="en-AU"/>
              </w:rPr>
            </w:pPr>
            <w:r w:rsidRPr="007B092E">
              <w:t>&lt; 0.0001</w:t>
            </w:r>
          </w:p>
        </w:tc>
        <w:tc>
          <w:tcPr>
            <w:tcW w:w="952" w:type="pct"/>
            <w:tcBorders>
              <w:bottom w:val="single" w:sz="4" w:space="0" w:color="auto"/>
            </w:tcBorders>
            <w:tcMar>
              <w:top w:w="17" w:type="dxa"/>
              <w:left w:w="108" w:type="dxa"/>
              <w:right w:w="108" w:type="dxa"/>
            </w:tcMar>
          </w:tcPr>
          <w:p w14:paraId="754DB072" w14:textId="3685F954" w:rsidR="003D1139" w:rsidRPr="000A0B14" w:rsidRDefault="000A51C8" w:rsidP="00B66744">
            <w:pPr>
              <w:pStyle w:val="TableText"/>
              <w:spacing w:before="0" w:after="0"/>
              <w:rPr>
                <w:rFonts w:eastAsia="Times New Roman"/>
                <w:lang w:val="en-GB" w:eastAsia="en-AU"/>
              </w:rPr>
            </w:pPr>
            <w:r w:rsidRPr="000A0B14">
              <w:t>&lt; 0.0001</w:t>
            </w:r>
          </w:p>
        </w:tc>
      </w:tr>
      <w:tr w:rsidR="00524C4D" w:rsidRPr="00E40A38" w14:paraId="32C5AF2B" w14:textId="1D276DD1" w:rsidTr="004A2E9D">
        <w:trPr>
          <w:trHeight w:val="251"/>
        </w:trPr>
        <w:tc>
          <w:tcPr>
            <w:tcW w:w="1184" w:type="pct"/>
            <w:tcBorders>
              <w:right w:val="nil"/>
            </w:tcBorders>
            <w:tcMar>
              <w:top w:w="15" w:type="dxa"/>
              <w:left w:w="108" w:type="dxa"/>
              <w:bottom w:w="0" w:type="dxa"/>
              <w:right w:w="108" w:type="dxa"/>
            </w:tcMar>
            <w:vAlign w:val="center"/>
          </w:tcPr>
          <w:p w14:paraId="608104D1" w14:textId="77777777" w:rsidR="00524C4D" w:rsidRPr="00E40A38" w:rsidRDefault="00524C4D" w:rsidP="00B66744">
            <w:pPr>
              <w:pStyle w:val="TableText"/>
              <w:spacing w:before="0" w:after="0"/>
              <w:rPr>
                <w:b/>
                <w:lang w:val="en-US" w:eastAsia="en-AU"/>
              </w:rPr>
            </w:pPr>
            <w:r w:rsidRPr="00E40A38">
              <w:rPr>
                <w:b/>
                <w:lang w:val="en-US" w:eastAsia="en-AU"/>
              </w:rPr>
              <w:t>Work / School</w:t>
            </w:r>
          </w:p>
        </w:tc>
        <w:tc>
          <w:tcPr>
            <w:tcW w:w="6" w:type="pct"/>
            <w:tcBorders>
              <w:left w:val="nil"/>
              <w:right w:val="nil"/>
            </w:tcBorders>
            <w:vAlign w:val="center"/>
          </w:tcPr>
          <w:p w14:paraId="50A2B92A" w14:textId="77777777" w:rsidR="00524C4D" w:rsidRPr="00E40A38" w:rsidRDefault="00524C4D" w:rsidP="00B66744">
            <w:pPr>
              <w:pStyle w:val="TableText"/>
              <w:spacing w:before="0" w:after="0"/>
              <w:rPr>
                <w:rFonts w:eastAsia="Times New Roman"/>
                <w:b/>
                <w:lang w:val="en-GB" w:eastAsia="en-AU"/>
              </w:rPr>
            </w:pPr>
          </w:p>
        </w:tc>
        <w:tc>
          <w:tcPr>
            <w:tcW w:w="953" w:type="pct"/>
            <w:tcBorders>
              <w:left w:val="nil"/>
              <w:right w:val="nil"/>
            </w:tcBorders>
            <w:vAlign w:val="center"/>
          </w:tcPr>
          <w:p w14:paraId="0DA66809" w14:textId="77777777" w:rsidR="00524C4D" w:rsidRPr="00E40A38" w:rsidRDefault="00524C4D" w:rsidP="00B66744">
            <w:pPr>
              <w:pStyle w:val="TableText"/>
              <w:spacing w:before="0" w:after="0"/>
              <w:rPr>
                <w:rFonts w:eastAsia="Times New Roman"/>
                <w:b/>
                <w:lang w:val="en-GB" w:eastAsia="en-AU"/>
              </w:rPr>
            </w:pPr>
          </w:p>
        </w:tc>
        <w:tc>
          <w:tcPr>
            <w:tcW w:w="1905" w:type="pct"/>
            <w:gridSpan w:val="2"/>
            <w:tcBorders>
              <w:left w:val="nil"/>
              <w:right w:val="nil"/>
            </w:tcBorders>
            <w:vAlign w:val="center"/>
          </w:tcPr>
          <w:p w14:paraId="43F1EAB3" w14:textId="77777777" w:rsidR="00524C4D" w:rsidRPr="00E40A38" w:rsidRDefault="00524C4D" w:rsidP="00B66744">
            <w:pPr>
              <w:pStyle w:val="TableText"/>
              <w:spacing w:before="0" w:after="0"/>
              <w:rPr>
                <w:rFonts w:eastAsia="Times New Roman"/>
                <w:b/>
                <w:lang w:val="en-GB" w:eastAsia="en-AU"/>
              </w:rPr>
            </w:pPr>
          </w:p>
        </w:tc>
        <w:tc>
          <w:tcPr>
            <w:tcW w:w="952" w:type="pct"/>
            <w:tcBorders>
              <w:left w:val="nil"/>
            </w:tcBorders>
          </w:tcPr>
          <w:p w14:paraId="4FC61E1C" w14:textId="77777777" w:rsidR="003D1139" w:rsidRPr="00D02FAD" w:rsidRDefault="003D1139" w:rsidP="00B66744">
            <w:pPr>
              <w:pStyle w:val="TableText"/>
              <w:spacing w:before="0" w:after="0"/>
              <w:rPr>
                <w:rFonts w:eastAsia="Times New Roman"/>
                <w:b/>
                <w:lang w:val="en-GB" w:eastAsia="en-AU"/>
              </w:rPr>
            </w:pPr>
          </w:p>
        </w:tc>
      </w:tr>
      <w:tr w:rsidR="00524C4D" w:rsidRPr="00E40A38" w14:paraId="6546EC27" w14:textId="0E5EF7FC" w:rsidTr="00784772">
        <w:trPr>
          <w:trHeight w:val="269"/>
        </w:trPr>
        <w:tc>
          <w:tcPr>
            <w:tcW w:w="1190" w:type="pct"/>
            <w:gridSpan w:val="2"/>
            <w:tcMar>
              <w:top w:w="15" w:type="dxa"/>
              <w:left w:w="108" w:type="dxa"/>
              <w:bottom w:w="0" w:type="dxa"/>
              <w:right w:w="108" w:type="dxa"/>
            </w:tcMar>
            <w:vAlign w:val="center"/>
            <w:hideMark/>
          </w:tcPr>
          <w:p w14:paraId="64DDCBCD" w14:textId="77777777" w:rsidR="00524C4D" w:rsidRPr="00E40A38" w:rsidRDefault="00524C4D" w:rsidP="00B66744">
            <w:pPr>
              <w:pStyle w:val="TableText"/>
              <w:spacing w:before="0" w:after="0"/>
              <w:rPr>
                <w:lang w:val="en-US" w:eastAsia="en-AU"/>
              </w:rPr>
            </w:pPr>
            <w:r w:rsidRPr="00E40A38">
              <w:rPr>
                <w:lang w:val="en-US" w:eastAsia="en-AU"/>
              </w:rPr>
              <w:t>LS mean (SE)</w:t>
            </w:r>
          </w:p>
        </w:tc>
        <w:tc>
          <w:tcPr>
            <w:tcW w:w="953" w:type="pct"/>
            <w:tcMar>
              <w:top w:w="15" w:type="dxa"/>
              <w:left w:w="108" w:type="dxa"/>
              <w:bottom w:w="0" w:type="dxa"/>
              <w:right w:w="108" w:type="dxa"/>
            </w:tcMar>
          </w:tcPr>
          <w:p w14:paraId="2BE066BE" w14:textId="11D7905F" w:rsidR="00524C4D" w:rsidRPr="00E40A38" w:rsidRDefault="008C3BC2" w:rsidP="00B66744">
            <w:pPr>
              <w:pStyle w:val="TableText"/>
              <w:spacing w:before="0" w:after="0"/>
              <w:rPr>
                <w:lang w:val="en-US" w:eastAsia="en-AU"/>
              </w:rPr>
            </w:pPr>
            <w:r w:rsidRPr="00492A9B">
              <w:t>- 5.9 (2.60)</w:t>
            </w:r>
          </w:p>
        </w:tc>
        <w:tc>
          <w:tcPr>
            <w:tcW w:w="953" w:type="pct"/>
            <w:tcMar>
              <w:top w:w="15" w:type="dxa"/>
              <w:left w:w="108" w:type="dxa"/>
              <w:bottom w:w="0" w:type="dxa"/>
              <w:right w:w="108" w:type="dxa"/>
            </w:tcMar>
          </w:tcPr>
          <w:p w14:paraId="5AD256BF" w14:textId="0A3F4782" w:rsidR="00524C4D" w:rsidRPr="00E40A38" w:rsidRDefault="00524C4D" w:rsidP="00B66744">
            <w:pPr>
              <w:pStyle w:val="TableText"/>
              <w:spacing w:before="0" w:after="0"/>
              <w:rPr>
                <w:lang w:val="en-US" w:eastAsia="en-AU"/>
              </w:rPr>
            </w:pPr>
            <w:r w:rsidRPr="00492A9B">
              <w:t>-</w:t>
            </w:r>
            <w:r w:rsidR="008C3BC2" w:rsidRPr="00492A9B">
              <w:t xml:space="preserve"> 3.</w:t>
            </w:r>
            <w:r w:rsidRPr="00492A9B">
              <w:t>5 (2.</w:t>
            </w:r>
            <w:r w:rsidR="008C3BC2" w:rsidRPr="00492A9B">
              <w:t>99</w:t>
            </w:r>
            <w:r w:rsidRPr="00492A9B">
              <w:t>)</w:t>
            </w:r>
          </w:p>
        </w:tc>
        <w:tc>
          <w:tcPr>
            <w:tcW w:w="952" w:type="pct"/>
            <w:tcMar>
              <w:top w:w="15" w:type="dxa"/>
              <w:left w:w="108" w:type="dxa"/>
              <w:bottom w:w="0" w:type="dxa"/>
              <w:right w:w="108" w:type="dxa"/>
            </w:tcMar>
          </w:tcPr>
          <w:p w14:paraId="5256C16A" w14:textId="7B13858C" w:rsidR="00524C4D" w:rsidRPr="00E40A38" w:rsidRDefault="008C3BC2" w:rsidP="00B66744">
            <w:pPr>
              <w:pStyle w:val="TableText"/>
              <w:spacing w:before="0" w:after="0"/>
              <w:rPr>
                <w:lang w:val="en-US" w:eastAsia="en-AU"/>
              </w:rPr>
            </w:pPr>
            <w:r w:rsidRPr="00492A9B">
              <w:t>- 6.3 (2.12)</w:t>
            </w:r>
          </w:p>
        </w:tc>
        <w:tc>
          <w:tcPr>
            <w:tcW w:w="952" w:type="pct"/>
            <w:tcMar>
              <w:top w:w="17" w:type="dxa"/>
              <w:left w:w="108" w:type="dxa"/>
              <w:right w:w="108" w:type="dxa"/>
            </w:tcMar>
          </w:tcPr>
          <w:p w14:paraId="50A62CC6" w14:textId="36F74ACA" w:rsidR="003D1139" w:rsidRPr="000A0B14" w:rsidRDefault="008C3BC2" w:rsidP="00B66744">
            <w:pPr>
              <w:pStyle w:val="TableText"/>
              <w:spacing w:before="0" w:after="0"/>
              <w:rPr>
                <w:lang w:val="en-US" w:eastAsia="en-AU"/>
              </w:rPr>
            </w:pPr>
            <w:r w:rsidRPr="000A0B14">
              <w:t>- 7.2 (2.09)</w:t>
            </w:r>
          </w:p>
        </w:tc>
      </w:tr>
      <w:tr w:rsidR="00524C4D" w:rsidRPr="00E40A38" w14:paraId="775221EA" w14:textId="160039BE" w:rsidTr="00784772">
        <w:trPr>
          <w:trHeight w:val="245"/>
        </w:trPr>
        <w:tc>
          <w:tcPr>
            <w:tcW w:w="1190" w:type="pct"/>
            <w:gridSpan w:val="2"/>
            <w:tcMar>
              <w:top w:w="15" w:type="dxa"/>
              <w:left w:w="108" w:type="dxa"/>
              <w:bottom w:w="0" w:type="dxa"/>
              <w:right w:w="108" w:type="dxa"/>
            </w:tcMar>
            <w:vAlign w:val="center"/>
            <w:hideMark/>
          </w:tcPr>
          <w:p w14:paraId="6CDE7C8A" w14:textId="77777777" w:rsidR="00524C4D" w:rsidRPr="00E40A38" w:rsidRDefault="00524C4D" w:rsidP="00B66744">
            <w:pPr>
              <w:pStyle w:val="TableText"/>
              <w:spacing w:before="0" w:after="0"/>
              <w:rPr>
                <w:lang w:val="en-US" w:eastAsia="en-AU"/>
              </w:rPr>
            </w:pPr>
            <w:r w:rsidRPr="00E40A38">
              <w:rPr>
                <w:lang w:val="en-US" w:eastAsia="en-AU"/>
              </w:rPr>
              <w:t>95% CI</w:t>
            </w:r>
          </w:p>
        </w:tc>
        <w:tc>
          <w:tcPr>
            <w:tcW w:w="953" w:type="pct"/>
            <w:tcMar>
              <w:top w:w="15" w:type="dxa"/>
              <w:left w:w="108" w:type="dxa"/>
              <w:bottom w:w="0" w:type="dxa"/>
              <w:right w:w="108" w:type="dxa"/>
            </w:tcMar>
          </w:tcPr>
          <w:p w14:paraId="2E5CBB50" w14:textId="47FCF5D5" w:rsidR="00524C4D" w:rsidRPr="00E40A38" w:rsidRDefault="008C3BC2" w:rsidP="00B66744">
            <w:pPr>
              <w:pStyle w:val="TableText"/>
              <w:spacing w:before="0" w:after="0"/>
              <w:rPr>
                <w:lang w:val="en-US" w:eastAsia="en-AU"/>
              </w:rPr>
            </w:pPr>
            <w:r w:rsidRPr="00492A9B">
              <w:t>- 11.1, - 0.7</w:t>
            </w:r>
          </w:p>
        </w:tc>
        <w:tc>
          <w:tcPr>
            <w:tcW w:w="953" w:type="pct"/>
            <w:tcMar>
              <w:top w:w="15" w:type="dxa"/>
              <w:left w:w="108" w:type="dxa"/>
              <w:bottom w:w="0" w:type="dxa"/>
              <w:right w:w="108" w:type="dxa"/>
            </w:tcMar>
          </w:tcPr>
          <w:p w14:paraId="368AA53C" w14:textId="3219B840" w:rsidR="00524C4D" w:rsidRPr="00E40A38" w:rsidRDefault="008C3BC2" w:rsidP="00B66744">
            <w:pPr>
              <w:pStyle w:val="TableText"/>
              <w:spacing w:before="0" w:after="0"/>
              <w:rPr>
                <w:lang w:val="en-US" w:eastAsia="en-AU"/>
              </w:rPr>
            </w:pPr>
            <w:r w:rsidRPr="00492A9B">
              <w:t>- 9.5, 2.5</w:t>
            </w:r>
          </w:p>
        </w:tc>
        <w:tc>
          <w:tcPr>
            <w:tcW w:w="952" w:type="pct"/>
            <w:tcMar>
              <w:top w:w="15" w:type="dxa"/>
              <w:left w:w="108" w:type="dxa"/>
              <w:bottom w:w="0" w:type="dxa"/>
              <w:right w:w="108" w:type="dxa"/>
            </w:tcMar>
          </w:tcPr>
          <w:p w14:paraId="7FF1B8F9" w14:textId="5D805D25" w:rsidR="00524C4D" w:rsidRPr="00E40A38" w:rsidRDefault="008C3BC2" w:rsidP="00B66744">
            <w:pPr>
              <w:pStyle w:val="TableText"/>
              <w:spacing w:before="0" w:after="0"/>
              <w:rPr>
                <w:lang w:val="en-US" w:eastAsia="en-AU"/>
              </w:rPr>
            </w:pPr>
            <w:r w:rsidRPr="00492A9B">
              <w:t>- 10.5, - 2.0</w:t>
            </w:r>
          </w:p>
        </w:tc>
        <w:tc>
          <w:tcPr>
            <w:tcW w:w="952" w:type="pct"/>
            <w:tcMar>
              <w:top w:w="17" w:type="dxa"/>
              <w:left w:w="108" w:type="dxa"/>
              <w:right w:w="108" w:type="dxa"/>
            </w:tcMar>
          </w:tcPr>
          <w:p w14:paraId="2E1E9AA5" w14:textId="208238FF" w:rsidR="003D1139" w:rsidRPr="000A0B14" w:rsidRDefault="008C3BC2" w:rsidP="00B66744">
            <w:pPr>
              <w:pStyle w:val="TableText"/>
              <w:spacing w:before="0" w:after="0"/>
              <w:rPr>
                <w:lang w:val="en-US" w:eastAsia="en-AU"/>
              </w:rPr>
            </w:pPr>
            <w:r w:rsidRPr="000A0B14">
              <w:t>- 11.4, - 3.0</w:t>
            </w:r>
          </w:p>
        </w:tc>
      </w:tr>
      <w:tr w:rsidR="00524C4D" w:rsidRPr="00E40A38" w14:paraId="4C1F5774" w14:textId="26A35556" w:rsidTr="00784772">
        <w:trPr>
          <w:trHeight w:val="121"/>
        </w:trPr>
        <w:tc>
          <w:tcPr>
            <w:tcW w:w="1190" w:type="pct"/>
            <w:gridSpan w:val="2"/>
            <w:tcBorders>
              <w:bottom w:val="single" w:sz="4" w:space="0" w:color="auto"/>
            </w:tcBorders>
            <w:tcMar>
              <w:top w:w="15" w:type="dxa"/>
              <w:left w:w="108" w:type="dxa"/>
              <w:bottom w:w="0" w:type="dxa"/>
              <w:right w:w="108" w:type="dxa"/>
            </w:tcMar>
            <w:vAlign w:val="center"/>
            <w:hideMark/>
          </w:tcPr>
          <w:p w14:paraId="24EBF8C8" w14:textId="77777777" w:rsidR="00524C4D" w:rsidRPr="00E40A38" w:rsidRDefault="00524C4D" w:rsidP="00B66744">
            <w:pPr>
              <w:pStyle w:val="TableText"/>
              <w:spacing w:before="0" w:after="0"/>
              <w:rPr>
                <w:lang w:val="en-US" w:eastAsia="en-AU"/>
              </w:rPr>
            </w:pPr>
            <w:r w:rsidRPr="00E40A38">
              <w:rPr>
                <w:lang w:val="en-US" w:eastAsia="en-AU"/>
              </w:rPr>
              <w:t>One-sided p-value</w:t>
            </w:r>
          </w:p>
        </w:tc>
        <w:tc>
          <w:tcPr>
            <w:tcW w:w="953" w:type="pct"/>
            <w:tcBorders>
              <w:bottom w:val="single" w:sz="4" w:space="0" w:color="auto"/>
            </w:tcBorders>
            <w:tcMar>
              <w:top w:w="15" w:type="dxa"/>
              <w:left w:w="108" w:type="dxa"/>
              <w:bottom w:w="0" w:type="dxa"/>
              <w:right w:w="108" w:type="dxa"/>
            </w:tcMar>
          </w:tcPr>
          <w:p w14:paraId="0BB3E45B" w14:textId="3ED15F56" w:rsidR="00524C4D" w:rsidRPr="00E40A38" w:rsidRDefault="008C3BC2" w:rsidP="00B66744">
            <w:pPr>
              <w:pStyle w:val="TableText"/>
              <w:spacing w:before="0" w:after="0"/>
              <w:rPr>
                <w:lang w:val="en-US" w:eastAsia="en-AU"/>
              </w:rPr>
            </w:pPr>
            <w:r w:rsidRPr="00492A9B">
              <w:t>0.0136</w:t>
            </w:r>
          </w:p>
        </w:tc>
        <w:tc>
          <w:tcPr>
            <w:tcW w:w="953" w:type="pct"/>
            <w:tcBorders>
              <w:bottom w:val="single" w:sz="4" w:space="0" w:color="auto"/>
            </w:tcBorders>
            <w:tcMar>
              <w:top w:w="15" w:type="dxa"/>
              <w:left w:w="108" w:type="dxa"/>
              <w:bottom w:w="0" w:type="dxa"/>
              <w:right w:w="108" w:type="dxa"/>
            </w:tcMar>
          </w:tcPr>
          <w:p w14:paraId="0F4C266B" w14:textId="09D93001" w:rsidR="00524C4D" w:rsidRPr="00E40A38" w:rsidRDefault="00524C4D" w:rsidP="00B66744">
            <w:pPr>
              <w:pStyle w:val="TableText"/>
              <w:spacing w:before="0" w:after="0"/>
              <w:rPr>
                <w:lang w:val="en-US" w:eastAsia="en-AU"/>
              </w:rPr>
            </w:pPr>
            <w:r w:rsidRPr="00492A9B">
              <w:t>0.</w:t>
            </w:r>
            <w:r w:rsidR="008C3BC2" w:rsidRPr="00492A9B">
              <w:t>1247</w:t>
            </w:r>
          </w:p>
        </w:tc>
        <w:tc>
          <w:tcPr>
            <w:tcW w:w="952" w:type="pct"/>
            <w:tcBorders>
              <w:bottom w:val="single" w:sz="4" w:space="0" w:color="auto"/>
            </w:tcBorders>
            <w:tcMar>
              <w:top w:w="15" w:type="dxa"/>
              <w:left w:w="108" w:type="dxa"/>
              <w:bottom w:w="0" w:type="dxa"/>
              <w:right w:w="108" w:type="dxa"/>
            </w:tcMar>
          </w:tcPr>
          <w:p w14:paraId="776A828D" w14:textId="3DED18C9" w:rsidR="00524C4D" w:rsidRPr="00E40A38" w:rsidRDefault="00524C4D" w:rsidP="00B66744">
            <w:pPr>
              <w:pStyle w:val="TableText"/>
              <w:spacing w:before="0" w:after="0"/>
              <w:rPr>
                <w:lang w:val="en-US" w:eastAsia="en-AU"/>
              </w:rPr>
            </w:pPr>
            <w:r w:rsidRPr="00492A9B">
              <w:t>0.</w:t>
            </w:r>
            <w:r w:rsidR="008C3BC2" w:rsidRPr="00492A9B">
              <w:t>0023</w:t>
            </w:r>
          </w:p>
        </w:tc>
        <w:tc>
          <w:tcPr>
            <w:tcW w:w="952" w:type="pct"/>
            <w:tcBorders>
              <w:bottom w:val="single" w:sz="4" w:space="0" w:color="auto"/>
            </w:tcBorders>
            <w:tcMar>
              <w:top w:w="17" w:type="dxa"/>
              <w:left w:w="108" w:type="dxa"/>
              <w:right w:w="108" w:type="dxa"/>
            </w:tcMar>
          </w:tcPr>
          <w:p w14:paraId="631FE62E" w14:textId="4BDC9FA0" w:rsidR="003D1139" w:rsidRPr="000A0B14" w:rsidRDefault="008C3BC2" w:rsidP="00B66744">
            <w:pPr>
              <w:pStyle w:val="TableText"/>
              <w:spacing w:before="0" w:after="0"/>
              <w:rPr>
                <w:lang w:val="en-US" w:eastAsia="en-AU"/>
              </w:rPr>
            </w:pPr>
            <w:r w:rsidRPr="000A0B14">
              <w:t>0.0005</w:t>
            </w:r>
          </w:p>
        </w:tc>
      </w:tr>
      <w:tr w:rsidR="00524C4D" w:rsidRPr="00E40A38" w14:paraId="3EB3799D" w14:textId="51F08C04" w:rsidTr="004A2E9D">
        <w:trPr>
          <w:trHeight w:val="251"/>
        </w:trPr>
        <w:tc>
          <w:tcPr>
            <w:tcW w:w="1184" w:type="pct"/>
            <w:tcBorders>
              <w:right w:val="nil"/>
            </w:tcBorders>
            <w:tcMar>
              <w:top w:w="15" w:type="dxa"/>
              <w:left w:w="108" w:type="dxa"/>
              <w:bottom w:w="0" w:type="dxa"/>
              <w:right w:w="108" w:type="dxa"/>
            </w:tcMar>
            <w:vAlign w:val="center"/>
          </w:tcPr>
          <w:p w14:paraId="696ADD45" w14:textId="77777777" w:rsidR="00524C4D" w:rsidRPr="00E40A38" w:rsidRDefault="00524C4D" w:rsidP="00B66744">
            <w:pPr>
              <w:pStyle w:val="TableText"/>
              <w:spacing w:before="0" w:after="0"/>
              <w:rPr>
                <w:b/>
                <w:lang w:val="en-US" w:eastAsia="en-AU"/>
              </w:rPr>
            </w:pPr>
            <w:r w:rsidRPr="00E40A38">
              <w:rPr>
                <w:b/>
                <w:lang w:val="en-US" w:eastAsia="en-AU"/>
              </w:rPr>
              <w:t>Future</w:t>
            </w:r>
          </w:p>
        </w:tc>
        <w:tc>
          <w:tcPr>
            <w:tcW w:w="6" w:type="pct"/>
            <w:tcBorders>
              <w:left w:val="nil"/>
              <w:right w:val="nil"/>
            </w:tcBorders>
            <w:vAlign w:val="center"/>
          </w:tcPr>
          <w:p w14:paraId="43B7A1FE" w14:textId="77777777" w:rsidR="00524C4D" w:rsidRPr="00E40A38" w:rsidRDefault="00524C4D" w:rsidP="00B66744">
            <w:pPr>
              <w:pStyle w:val="TableText"/>
              <w:spacing w:before="0" w:after="0"/>
              <w:rPr>
                <w:b/>
                <w:lang w:val="en-US" w:eastAsia="en-AU"/>
              </w:rPr>
            </w:pPr>
          </w:p>
        </w:tc>
        <w:tc>
          <w:tcPr>
            <w:tcW w:w="953" w:type="pct"/>
            <w:tcBorders>
              <w:left w:val="nil"/>
              <w:right w:val="nil"/>
            </w:tcBorders>
            <w:vAlign w:val="center"/>
          </w:tcPr>
          <w:p w14:paraId="76CE65C3" w14:textId="77777777" w:rsidR="00524C4D" w:rsidRPr="00E40A38" w:rsidRDefault="00524C4D" w:rsidP="00B66744">
            <w:pPr>
              <w:pStyle w:val="TableText"/>
              <w:spacing w:before="0" w:after="0"/>
              <w:rPr>
                <w:b/>
                <w:lang w:val="en-US" w:eastAsia="en-AU"/>
              </w:rPr>
            </w:pPr>
          </w:p>
        </w:tc>
        <w:tc>
          <w:tcPr>
            <w:tcW w:w="1905" w:type="pct"/>
            <w:gridSpan w:val="2"/>
            <w:tcBorders>
              <w:left w:val="nil"/>
              <w:right w:val="nil"/>
            </w:tcBorders>
            <w:vAlign w:val="center"/>
          </w:tcPr>
          <w:p w14:paraId="6722D788" w14:textId="77777777" w:rsidR="00524C4D" w:rsidRPr="00E40A38" w:rsidRDefault="00524C4D" w:rsidP="00B66744">
            <w:pPr>
              <w:pStyle w:val="TableText"/>
              <w:spacing w:before="0" w:after="0"/>
              <w:rPr>
                <w:b/>
                <w:lang w:val="en-US" w:eastAsia="en-AU"/>
              </w:rPr>
            </w:pPr>
          </w:p>
        </w:tc>
        <w:tc>
          <w:tcPr>
            <w:tcW w:w="952" w:type="pct"/>
            <w:tcBorders>
              <w:left w:val="nil"/>
            </w:tcBorders>
          </w:tcPr>
          <w:p w14:paraId="6AF2A008" w14:textId="77777777" w:rsidR="003D1139" w:rsidRPr="00D02FAD" w:rsidRDefault="003D1139" w:rsidP="00B66744">
            <w:pPr>
              <w:pStyle w:val="TableText"/>
              <w:spacing w:before="0" w:after="0"/>
              <w:rPr>
                <w:b/>
                <w:lang w:val="en-US" w:eastAsia="en-AU"/>
              </w:rPr>
            </w:pPr>
          </w:p>
        </w:tc>
      </w:tr>
      <w:tr w:rsidR="00524C4D" w:rsidRPr="00E40A38" w14:paraId="37166D2B" w14:textId="6F22969C" w:rsidTr="00784772">
        <w:trPr>
          <w:trHeight w:val="269"/>
        </w:trPr>
        <w:tc>
          <w:tcPr>
            <w:tcW w:w="1190" w:type="pct"/>
            <w:gridSpan w:val="2"/>
            <w:tcMar>
              <w:top w:w="15" w:type="dxa"/>
              <w:left w:w="108" w:type="dxa"/>
              <w:bottom w:w="0" w:type="dxa"/>
              <w:right w:w="108" w:type="dxa"/>
            </w:tcMar>
            <w:vAlign w:val="center"/>
            <w:hideMark/>
          </w:tcPr>
          <w:p w14:paraId="064D4385" w14:textId="77777777" w:rsidR="00524C4D" w:rsidRPr="00E40A38" w:rsidRDefault="00524C4D" w:rsidP="00B66744">
            <w:pPr>
              <w:pStyle w:val="TableText"/>
              <w:spacing w:before="0" w:after="0"/>
              <w:rPr>
                <w:lang w:val="en-US" w:eastAsia="en-AU"/>
              </w:rPr>
            </w:pPr>
            <w:r w:rsidRPr="00E40A38">
              <w:rPr>
                <w:lang w:val="en-US" w:eastAsia="en-AU"/>
              </w:rPr>
              <w:t>LS mean (SE)</w:t>
            </w:r>
          </w:p>
        </w:tc>
        <w:tc>
          <w:tcPr>
            <w:tcW w:w="953" w:type="pct"/>
            <w:tcMar>
              <w:top w:w="15" w:type="dxa"/>
              <w:left w:w="108" w:type="dxa"/>
              <w:bottom w:w="0" w:type="dxa"/>
              <w:right w:w="108" w:type="dxa"/>
            </w:tcMar>
          </w:tcPr>
          <w:p w14:paraId="5D2403BB" w14:textId="4765E040" w:rsidR="00524C4D" w:rsidRPr="00E40A38" w:rsidRDefault="00BD645B" w:rsidP="00B66744">
            <w:pPr>
              <w:pStyle w:val="TableText"/>
              <w:spacing w:before="0" w:after="0"/>
              <w:rPr>
                <w:lang w:val="en-US" w:eastAsia="en-AU"/>
              </w:rPr>
            </w:pPr>
            <w:r w:rsidRPr="007B54A6">
              <w:t xml:space="preserve">- 6.1 (2.14) </w:t>
            </w:r>
          </w:p>
        </w:tc>
        <w:tc>
          <w:tcPr>
            <w:tcW w:w="953" w:type="pct"/>
            <w:tcMar>
              <w:top w:w="15" w:type="dxa"/>
              <w:left w:w="108" w:type="dxa"/>
              <w:bottom w:w="0" w:type="dxa"/>
              <w:right w:w="108" w:type="dxa"/>
            </w:tcMar>
          </w:tcPr>
          <w:p w14:paraId="49B00289" w14:textId="2AAC1864" w:rsidR="00524C4D" w:rsidRPr="00E40A38" w:rsidRDefault="00BD645B" w:rsidP="00B66744">
            <w:pPr>
              <w:pStyle w:val="TableText"/>
              <w:spacing w:before="0" w:after="0"/>
              <w:rPr>
                <w:lang w:val="en-US" w:eastAsia="en-AU"/>
              </w:rPr>
            </w:pPr>
            <w:r w:rsidRPr="007B54A6">
              <w:t xml:space="preserve">- 6.6 (2.15) </w:t>
            </w:r>
          </w:p>
        </w:tc>
        <w:tc>
          <w:tcPr>
            <w:tcW w:w="952" w:type="pct"/>
            <w:tcMar>
              <w:top w:w="15" w:type="dxa"/>
              <w:left w:w="108" w:type="dxa"/>
              <w:bottom w:w="0" w:type="dxa"/>
              <w:right w:w="108" w:type="dxa"/>
            </w:tcMar>
          </w:tcPr>
          <w:p w14:paraId="005E274D" w14:textId="0786B5F3" w:rsidR="00524C4D" w:rsidRPr="00E40A38" w:rsidRDefault="00524C4D" w:rsidP="00B66744">
            <w:pPr>
              <w:pStyle w:val="TableText"/>
              <w:spacing w:before="0" w:after="0"/>
              <w:rPr>
                <w:lang w:val="en-US" w:eastAsia="en-AU"/>
              </w:rPr>
            </w:pPr>
            <w:r w:rsidRPr="007B54A6">
              <w:t>-</w:t>
            </w:r>
            <w:r w:rsidR="00BD645B" w:rsidRPr="007B54A6">
              <w:t xml:space="preserve"> 4.3</w:t>
            </w:r>
            <w:r w:rsidRPr="007B54A6">
              <w:t xml:space="preserve"> (2.</w:t>
            </w:r>
            <w:r w:rsidR="00BD645B" w:rsidRPr="007B54A6">
              <w:t xml:space="preserve">56) </w:t>
            </w:r>
          </w:p>
        </w:tc>
        <w:tc>
          <w:tcPr>
            <w:tcW w:w="952" w:type="pct"/>
            <w:tcMar>
              <w:top w:w="17" w:type="dxa"/>
              <w:left w:w="108" w:type="dxa"/>
              <w:right w:w="108" w:type="dxa"/>
            </w:tcMar>
          </w:tcPr>
          <w:p w14:paraId="218F5449" w14:textId="55FEECEA" w:rsidR="003D1139" w:rsidRPr="000A0B14" w:rsidRDefault="00BD645B" w:rsidP="00B66744">
            <w:pPr>
              <w:pStyle w:val="TableText"/>
              <w:spacing w:before="0" w:after="0"/>
              <w:rPr>
                <w:lang w:val="en-US" w:eastAsia="en-AU"/>
              </w:rPr>
            </w:pPr>
            <w:r w:rsidRPr="000A0B14">
              <w:t xml:space="preserve">- 4.9 (2.45) </w:t>
            </w:r>
          </w:p>
        </w:tc>
      </w:tr>
      <w:tr w:rsidR="00524C4D" w:rsidRPr="00E40A38" w14:paraId="4D629960" w14:textId="12E6131B" w:rsidTr="00784772">
        <w:trPr>
          <w:trHeight w:val="245"/>
        </w:trPr>
        <w:tc>
          <w:tcPr>
            <w:tcW w:w="1190" w:type="pct"/>
            <w:gridSpan w:val="2"/>
            <w:tcMar>
              <w:top w:w="15" w:type="dxa"/>
              <w:left w:w="108" w:type="dxa"/>
              <w:bottom w:w="0" w:type="dxa"/>
              <w:right w:w="108" w:type="dxa"/>
            </w:tcMar>
            <w:vAlign w:val="center"/>
            <w:hideMark/>
          </w:tcPr>
          <w:p w14:paraId="7266ED4D" w14:textId="77777777" w:rsidR="00524C4D" w:rsidRPr="00E40A38" w:rsidRDefault="00524C4D" w:rsidP="00B66744">
            <w:pPr>
              <w:pStyle w:val="TableText"/>
              <w:spacing w:before="0" w:after="0"/>
              <w:rPr>
                <w:lang w:val="en-US" w:eastAsia="en-AU"/>
              </w:rPr>
            </w:pPr>
            <w:r w:rsidRPr="00E40A38">
              <w:rPr>
                <w:lang w:val="en-US" w:eastAsia="en-AU"/>
              </w:rPr>
              <w:t>95% CI</w:t>
            </w:r>
          </w:p>
        </w:tc>
        <w:tc>
          <w:tcPr>
            <w:tcW w:w="953" w:type="pct"/>
            <w:tcMar>
              <w:top w:w="15" w:type="dxa"/>
              <w:left w:w="108" w:type="dxa"/>
              <w:bottom w:w="0" w:type="dxa"/>
              <w:right w:w="108" w:type="dxa"/>
            </w:tcMar>
          </w:tcPr>
          <w:p w14:paraId="71AA93A9" w14:textId="66611CBE" w:rsidR="00524C4D" w:rsidRPr="00E40A38" w:rsidRDefault="00BD645B" w:rsidP="00B66744">
            <w:pPr>
              <w:pStyle w:val="TableText"/>
              <w:spacing w:before="0" w:after="0"/>
              <w:rPr>
                <w:lang w:val="en-US" w:eastAsia="en-AU"/>
              </w:rPr>
            </w:pPr>
            <w:r w:rsidRPr="007B54A6">
              <w:t>- 10.4, - 1.8</w:t>
            </w:r>
          </w:p>
        </w:tc>
        <w:tc>
          <w:tcPr>
            <w:tcW w:w="953" w:type="pct"/>
            <w:tcMar>
              <w:top w:w="15" w:type="dxa"/>
              <w:left w:w="108" w:type="dxa"/>
              <w:bottom w:w="0" w:type="dxa"/>
              <w:right w:w="108" w:type="dxa"/>
            </w:tcMar>
          </w:tcPr>
          <w:p w14:paraId="37EFC1CA" w14:textId="1666D202" w:rsidR="00524C4D" w:rsidRPr="00E40A38" w:rsidRDefault="00BD645B" w:rsidP="00B66744">
            <w:pPr>
              <w:pStyle w:val="TableText"/>
              <w:spacing w:before="0" w:after="0"/>
              <w:rPr>
                <w:lang w:val="en-US" w:eastAsia="en-AU"/>
              </w:rPr>
            </w:pPr>
            <w:r w:rsidRPr="007B54A6">
              <w:t>- 11.0, - 2.3</w:t>
            </w:r>
          </w:p>
        </w:tc>
        <w:tc>
          <w:tcPr>
            <w:tcW w:w="952" w:type="pct"/>
            <w:tcMar>
              <w:top w:w="15" w:type="dxa"/>
              <w:left w:w="108" w:type="dxa"/>
              <w:bottom w:w="0" w:type="dxa"/>
              <w:right w:w="108" w:type="dxa"/>
            </w:tcMar>
          </w:tcPr>
          <w:p w14:paraId="03EA44EB" w14:textId="0B4A764A" w:rsidR="00524C4D" w:rsidRPr="00E40A38" w:rsidRDefault="00BD645B" w:rsidP="00B66744">
            <w:pPr>
              <w:pStyle w:val="TableText"/>
              <w:spacing w:before="0" w:after="0"/>
              <w:rPr>
                <w:lang w:val="en-US" w:eastAsia="en-AU"/>
              </w:rPr>
            </w:pPr>
            <w:r w:rsidRPr="007B54A6">
              <w:t>- 9.5, 0.8</w:t>
            </w:r>
          </w:p>
        </w:tc>
        <w:tc>
          <w:tcPr>
            <w:tcW w:w="952" w:type="pct"/>
            <w:tcMar>
              <w:top w:w="17" w:type="dxa"/>
              <w:left w:w="108" w:type="dxa"/>
              <w:right w:w="108" w:type="dxa"/>
            </w:tcMar>
          </w:tcPr>
          <w:p w14:paraId="2F33A5BD" w14:textId="42A8ACB5" w:rsidR="003D1139" w:rsidRPr="000A0B14" w:rsidRDefault="00BD645B" w:rsidP="00B66744">
            <w:pPr>
              <w:pStyle w:val="TableText"/>
              <w:spacing w:before="0" w:after="0"/>
              <w:rPr>
                <w:lang w:val="en-US" w:eastAsia="en-AU"/>
              </w:rPr>
            </w:pPr>
            <w:r w:rsidRPr="000A0B14">
              <w:t>- 9.8, 0.0</w:t>
            </w:r>
          </w:p>
        </w:tc>
      </w:tr>
      <w:tr w:rsidR="00524C4D" w:rsidRPr="00E40A38" w14:paraId="59A54BBA" w14:textId="5522CE67" w:rsidTr="00CC5F59">
        <w:trPr>
          <w:trHeight w:val="121"/>
        </w:trPr>
        <w:tc>
          <w:tcPr>
            <w:tcW w:w="1190" w:type="pct"/>
            <w:gridSpan w:val="2"/>
            <w:tcMar>
              <w:top w:w="15" w:type="dxa"/>
              <w:left w:w="108" w:type="dxa"/>
              <w:bottom w:w="0" w:type="dxa"/>
              <w:right w:w="108" w:type="dxa"/>
            </w:tcMar>
            <w:vAlign w:val="center"/>
            <w:hideMark/>
          </w:tcPr>
          <w:p w14:paraId="5AA2E5F1" w14:textId="77777777" w:rsidR="00524C4D" w:rsidRPr="00E40A38" w:rsidRDefault="00524C4D" w:rsidP="00B66744">
            <w:pPr>
              <w:pStyle w:val="TableText"/>
              <w:spacing w:before="0" w:after="0"/>
              <w:rPr>
                <w:lang w:val="en-US" w:eastAsia="en-AU"/>
              </w:rPr>
            </w:pPr>
            <w:r w:rsidRPr="00E40A38">
              <w:rPr>
                <w:lang w:val="en-US" w:eastAsia="en-AU"/>
              </w:rPr>
              <w:t>One-sided p-value</w:t>
            </w:r>
          </w:p>
        </w:tc>
        <w:tc>
          <w:tcPr>
            <w:tcW w:w="953" w:type="pct"/>
            <w:tcMar>
              <w:top w:w="15" w:type="dxa"/>
              <w:left w:w="108" w:type="dxa"/>
              <w:bottom w:w="0" w:type="dxa"/>
              <w:right w:w="108" w:type="dxa"/>
            </w:tcMar>
          </w:tcPr>
          <w:p w14:paraId="365C483C" w14:textId="16DDE2E1" w:rsidR="00524C4D" w:rsidRPr="00E40A38" w:rsidRDefault="00524C4D" w:rsidP="00B66744">
            <w:pPr>
              <w:pStyle w:val="TableText"/>
              <w:spacing w:before="0" w:after="0"/>
              <w:rPr>
                <w:lang w:val="en-US" w:eastAsia="en-AU"/>
              </w:rPr>
            </w:pPr>
            <w:r w:rsidRPr="007B54A6">
              <w:t>0.</w:t>
            </w:r>
            <w:r w:rsidR="00BD645B" w:rsidRPr="007B54A6">
              <w:t>0032</w:t>
            </w:r>
          </w:p>
        </w:tc>
        <w:tc>
          <w:tcPr>
            <w:tcW w:w="953" w:type="pct"/>
            <w:tcMar>
              <w:top w:w="15" w:type="dxa"/>
              <w:left w:w="108" w:type="dxa"/>
              <w:bottom w:w="0" w:type="dxa"/>
              <w:right w:w="108" w:type="dxa"/>
            </w:tcMar>
          </w:tcPr>
          <w:p w14:paraId="0D4BFF0A" w14:textId="44D27363" w:rsidR="00524C4D" w:rsidRPr="00E40A38" w:rsidRDefault="00524C4D" w:rsidP="00B66744">
            <w:pPr>
              <w:pStyle w:val="TableText"/>
              <w:spacing w:before="0" w:after="0"/>
              <w:rPr>
                <w:lang w:val="en-US" w:eastAsia="en-AU"/>
              </w:rPr>
            </w:pPr>
            <w:r w:rsidRPr="007B54A6">
              <w:t>0.</w:t>
            </w:r>
            <w:r w:rsidR="00BD645B" w:rsidRPr="007B54A6">
              <w:t>0016</w:t>
            </w:r>
          </w:p>
        </w:tc>
        <w:tc>
          <w:tcPr>
            <w:tcW w:w="952" w:type="pct"/>
            <w:tcMar>
              <w:top w:w="15" w:type="dxa"/>
              <w:left w:w="108" w:type="dxa"/>
              <w:bottom w:w="0" w:type="dxa"/>
              <w:right w:w="108" w:type="dxa"/>
            </w:tcMar>
          </w:tcPr>
          <w:p w14:paraId="3783E2EC" w14:textId="479674A4" w:rsidR="00524C4D" w:rsidRPr="00E40A38" w:rsidRDefault="00524C4D" w:rsidP="00B66744">
            <w:pPr>
              <w:pStyle w:val="TableText"/>
              <w:spacing w:before="0" w:after="0"/>
              <w:rPr>
                <w:lang w:val="en-US" w:eastAsia="en-AU"/>
              </w:rPr>
            </w:pPr>
            <w:r w:rsidRPr="007B54A6">
              <w:t>0.</w:t>
            </w:r>
            <w:r w:rsidR="00BD645B" w:rsidRPr="007B54A6">
              <w:t>0477</w:t>
            </w:r>
          </w:p>
        </w:tc>
        <w:tc>
          <w:tcPr>
            <w:tcW w:w="952" w:type="pct"/>
            <w:tcMar>
              <w:top w:w="17" w:type="dxa"/>
              <w:left w:w="108" w:type="dxa"/>
              <w:right w:w="108" w:type="dxa"/>
            </w:tcMar>
          </w:tcPr>
          <w:p w14:paraId="45E92946" w14:textId="7205A4BF" w:rsidR="003D1139" w:rsidRPr="000A0B14" w:rsidRDefault="00BD645B" w:rsidP="00B66744">
            <w:pPr>
              <w:pStyle w:val="TableText"/>
              <w:spacing w:before="0" w:after="0"/>
              <w:rPr>
                <w:lang w:val="en-US" w:eastAsia="en-AU"/>
              </w:rPr>
            </w:pPr>
            <w:r w:rsidRPr="000A0B14">
              <w:t>0.0251</w:t>
            </w:r>
          </w:p>
        </w:tc>
      </w:tr>
    </w:tbl>
    <w:p w14:paraId="226C9BEC" w14:textId="10805774" w:rsidR="004D463D" w:rsidRDefault="004D463D" w:rsidP="000C24AA">
      <w:pPr>
        <w:pStyle w:val="TableFigureFooter"/>
        <w:contextualSpacing/>
      </w:pPr>
      <w:r w:rsidRPr="00C703AE">
        <w:t>CI = confidence interval; H</w:t>
      </w:r>
      <w:r w:rsidR="00771B03">
        <w:t>AEM</w:t>
      </w:r>
      <w:r w:rsidRPr="00C703AE">
        <w:t>-A-QoL = H</w:t>
      </w:r>
      <w:r w:rsidR="009558B5">
        <w:t>a</w:t>
      </w:r>
      <w:r w:rsidRPr="00C703AE">
        <w:t>emophilia Quality of Life Questionnaire for Adults; LS = least squares; SE = standard error.</w:t>
      </w:r>
    </w:p>
    <w:p w14:paraId="05C117F9" w14:textId="736F9200" w:rsidR="00DD43BD" w:rsidRPr="00B66941" w:rsidRDefault="00AE42D1" w:rsidP="001E0E68">
      <w:pPr>
        <w:pStyle w:val="TableFigureFooter"/>
        <w:contextualSpacing/>
      </w:pPr>
      <w:r w:rsidRPr="00C703AE">
        <w:t>A one-sided p-value of ≤ 0.025 for post</w:t>
      </w:r>
      <w:r w:rsidR="00D167E3">
        <w:t xml:space="preserve"> </w:t>
      </w:r>
      <w:r w:rsidRPr="00C703AE">
        <w:t>dose - lead-in &gt;</w:t>
      </w:r>
      <w:r w:rsidR="00A91475">
        <w:t> </w:t>
      </w:r>
      <w:r w:rsidRPr="00C703AE">
        <w:t>0 was statistically significant. p-values were not adjusted for multiplicity.</w:t>
      </w:r>
      <w:r w:rsidR="00D15DB5">
        <w:t xml:space="preserve"> </w:t>
      </w:r>
      <w:r w:rsidR="00D15DB5">
        <w:br/>
      </w:r>
      <w:r w:rsidR="004D463D">
        <w:t xml:space="preserve">Source: </w:t>
      </w:r>
      <w:r w:rsidR="00A91475">
        <w:t>A</w:t>
      </w:r>
      <w:r w:rsidR="004D463D">
        <w:t>dapted from Table 2.35</w:t>
      </w:r>
      <w:r w:rsidR="004A2E9D">
        <w:t xml:space="preserve"> of MSAC ADAR 1728.1</w:t>
      </w:r>
      <w:r w:rsidR="00A91475">
        <w:t>.</w:t>
      </w:r>
      <w:r w:rsidR="00F10FA6">
        <w:t>Conclusion regarding effectiveness</w:t>
      </w:r>
      <w:r w:rsidR="00416C16">
        <w:t xml:space="preserve"> of </w:t>
      </w:r>
      <w:r w:rsidR="00B214AD" w:rsidRPr="00E40A38">
        <w:rPr>
          <w:iCs/>
        </w:rPr>
        <w:t>etranacogene dezaparvovec</w:t>
      </w:r>
      <w:r w:rsidR="00B214AD">
        <w:rPr>
          <w:iCs/>
        </w:rPr>
        <w:t xml:space="preserve"> (</w:t>
      </w:r>
      <w:r w:rsidR="00B214AD">
        <w:t>ED)</w:t>
      </w:r>
    </w:p>
    <w:p w14:paraId="62F96E74" w14:textId="5A70CB99" w:rsidR="004355E9" w:rsidRPr="00E40A38" w:rsidRDefault="004355E9" w:rsidP="004355E9">
      <w:r w:rsidRPr="00E40A38">
        <w:lastRenderedPageBreak/>
        <w:t xml:space="preserve">The HOPE-B study showed a significant benefit over </w:t>
      </w:r>
      <w:r w:rsidR="00C3633B">
        <w:t>48</w:t>
      </w:r>
      <w:r w:rsidRPr="00E40A38">
        <w:t xml:space="preserve"> months follow</w:t>
      </w:r>
      <w:r w:rsidR="001C0068">
        <w:t xml:space="preserve"> </w:t>
      </w:r>
      <w:r w:rsidRPr="00E40A38">
        <w:t>up in terms of bleeds, FIX activity and FIX use</w:t>
      </w:r>
      <w:r w:rsidR="00052B38">
        <w:t>. A benefit in</w:t>
      </w:r>
      <w:r w:rsidRPr="00E40A38">
        <w:t xml:space="preserve"> quality of life</w:t>
      </w:r>
      <w:r w:rsidR="008378D5">
        <w:t xml:space="preserve"> was demonstrated with a haemophilia</w:t>
      </w:r>
      <w:r w:rsidR="00E466C3">
        <w:t>-</w:t>
      </w:r>
      <w:r w:rsidR="008378D5">
        <w:t xml:space="preserve">specific </w:t>
      </w:r>
      <w:r w:rsidR="00F43123">
        <w:t xml:space="preserve">tool </w:t>
      </w:r>
      <w:r w:rsidR="00C87A2B">
        <w:t>(HAEM</w:t>
      </w:r>
      <w:r w:rsidR="00F43123">
        <w:t xml:space="preserve">-A-QoL) </w:t>
      </w:r>
      <w:r w:rsidR="008378D5">
        <w:t xml:space="preserve">but no difference was observed with a </w:t>
      </w:r>
      <w:r w:rsidR="004A4169">
        <w:t>generic measure</w:t>
      </w:r>
      <w:r w:rsidR="00176C18">
        <w:t xml:space="preserve"> </w:t>
      </w:r>
      <w:r w:rsidR="0004779E">
        <w:t xml:space="preserve">of </w:t>
      </w:r>
      <w:proofErr w:type="spellStart"/>
      <w:r w:rsidR="0004779E">
        <w:t>HRQoL</w:t>
      </w:r>
      <w:proofErr w:type="spellEnd"/>
      <w:r w:rsidR="0004779E">
        <w:t xml:space="preserve"> </w:t>
      </w:r>
      <w:r w:rsidR="00176C18">
        <w:t>(</w:t>
      </w:r>
      <w:r w:rsidR="0004779E">
        <w:t>EQ-5D-5L</w:t>
      </w:r>
      <w:r w:rsidR="00176C18">
        <w:t>)</w:t>
      </w:r>
      <w:r w:rsidR="004A4169">
        <w:t>.</w:t>
      </w:r>
      <w:r w:rsidRPr="00E40A38">
        <w:t xml:space="preserve"> </w:t>
      </w:r>
      <w:r w:rsidR="004A1B84">
        <w:t>Outcomes</w:t>
      </w:r>
      <w:r w:rsidRPr="00E40A38">
        <w:t xml:space="preserve"> were </w:t>
      </w:r>
      <w:r w:rsidR="004A1B84">
        <w:t xml:space="preserve">stable from </w:t>
      </w:r>
      <w:r w:rsidR="004F137E">
        <w:t>36 to 48 months follow up</w:t>
      </w:r>
      <w:r w:rsidRPr="00E40A38">
        <w:t xml:space="preserve">. The size of the </w:t>
      </w:r>
      <w:r w:rsidR="004F137E">
        <w:t>treatment</w:t>
      </w:r>
      <w:r w:rsidRPr="00E40A38">
        <w:t xml:space="preserve"> effect was substantial and suggested that despite the low-level evidence </w:t>
      </w:r>
      <w:r w:rsidR="00FA7857">
        <w:t>–</w:t>
      </w:r>
      <w:r w:rsidRPr="00E40A38">
        <w:t xml:space="preserve"> lacking in a parallel control group </w:t>
      </w:r>
      <w:r w:rsidR="00FA7857">
        <w:t>–</w:t>
      </w:r>
      <w:r w:rsidRPr="00E40A38">
        <w:t xml:space="preserve"> treatment efficacy was supported. However, the magnitude of this benefit compared to best standard of care and the durability of these effects </w:t>
      </w:r>
      <w:r w:rsidRPr="00E40A38" w:rsidDel="00DF682A">
        <w:t xml:space="preserve">was </w:t>
      </w:r>
      <w:r w:rsidRPr="00E40A38">
        <w:t>uncertain.</w:t>
      </w:r>
    </w:p>
    <w:p w14:paraId="6E51053B" w14:textId="77777777" w:rsidR="00A0494E" w:rsidRPr="00E40A38" w:rsidRDefault="00A0494E" w:rsidP="00A0494E">
      <w:pPr>
        <w:pStyle w:val="Heading3"/>
      </w:pPr>
      <w:r w:rsidRPr="00E40A38">
        <w:t xml:space="preserve">Anti-AAV5 </w:t>
      </w:r>
      <w:proofErr w:type="spellStart"/>
      <w:r w:rsidRPr="00E40A38">
        <w:t>NAb</w:t>
      </w:r>
      <w:proofErr w:type="spellEnd"/>
      <w:r w:rsidRPr="00E40A38">
        <w:t xml:space="preserve"> titre assay</w:t>
      </w:r>
    </w:p>
    <w:p w14:paraId="3542A065" w14:textId="77777777" w:rsidR="00A0494E" w:rsidRPr="00E40A38" w:rsidRDefault="00A0494E" w:rsidP="00A0494E">
      <w:pPr>
        <w:pStyle w:val="Heading4"/>
      </w:pPr>
      <w:r w:rsidRPr="00E40A38">
        <w:t>Direct evidence</w:t>
      </w:r>
    </w:p>
    <w:p w14:paraId="2E40E3B8" w14:textId="2FD3214F" w:rsidR="005D0303" w:rsidRDefault="00DA79C8" w:rsidP="00F144BC">
      <w:pPr>
        <w:shd w:val="clear" w:color="auto" w:fill="BDD6EE" w:themeFill="accent1" w:themeFillTint="66"/>
      </w:pPr>
      <w:r w:rsidRPr="00E40A38">
        <w:t>During the HOPE-B</w:t>
      </w:r>
      <w:r w:rsidRPr="00E40A38" w:rsidDel="00412BE2">
        <w:t xml:space="preserve"> </w:t>
      </w:r>
      <w:r w:rsidRPr="00E40A38">
        <w:t xml:space="preserve">study, </w:t>
      </w:r>
      <w:r w:rsidR="00002005">
        <w:t>subject</w:t>
      </w:r>
      <w:r w:rsidRPr="00E40A38">
        <w:t xml:space="preserve">s were tested for anti-AAV5 titre at screening and then at each of the monthly visits prior to </w:t>
      </w:r>
      <w:r w:rsidR="00B214AD">
        <w:t>ED</w:t>
      </w:r>
      <w:r w:rsidR="00B214AD" w:rsidRPr="00E40A38">
        <w:t xml:space="preserve"> </w:t>
      </w:r>
      <w:r w:rsidRPr="00E40A38">
        <w:t xml:space="preserve">infusion. The pre-treatment value on the day of infusion was reported as the </w:t>
      </w:r>
      <w:r w:rsidR="00002005" w:rsidRPr="007F70C0">
        <w:t>subject</w:t>
      </w:r>
      <w:r w:rsidRPr="007F70C0">
        <w:t>’s titre. Of the 54</w:t>
      </w:r>
      <w:r w:rsidRPr="00E40A38">
        <w:t xml:space="preserve"> treated participants, 21 were positive for anti-AAV5 </w:t>
      </w:r>
      <w:proofErr w:type="spellStart"/>
      <w:r w:rsidRPr="00E40A38">
        <w:t>NAbs</w:t>
      </w:r>
      <w:proofErr w:type="spellEnd"/>
      <w:r w:rsidR="00ED4F26">
        <w:t xml:space="preserve"> </w:t>
      </w:r>
      <w:r w:rsidR="00B5447E">
        <w:t xml:space="preserve">(titre </w:t>
      </w:r>
      <w:r w:rsidR="003E3A66">
        <w:t>range 9 to</w:t>
      </w:r>
      <w:r w:rsidR="00C268C3">
        <w:t xml:space="preserve"> 3</w:t>
      </w:r>
      <w:r w:rsidR="00D378AC">
        <w:t>,</w:t>
      </w:r>
      <w:r w:rsidR="00C268C3">
        <w:t>212.3)</w:t>
      </w:r>
      <w:r w:rsidRPr="00E566BA">
        <w:t>.</w:t>
      </w:r>
      <w:r w:rsidRPr="00E40A38">
        <w:t xml:space="preserve"> There was limited variability in the pre-treatment titre recorded at each visit. Where variability was observed, it is unknown if this was due to natural variability in the </w:t>
      </w:r>
      <w:r w:rsidR="00002005">
        <w:t>subject</w:t>
      </w:r>
      <w:r w:rsidRPr="00E40A38">
        <w:t xml:space="preserve"> or due to the nature of the </w:t>
      </w:r>
      <w:r w:rsidR="00FF7331">
        <w:t>anti-</w:t>
      </w:r>
      <w:r w:rsidRPr="00E40A38">
        <w:t xml:space="preserve">AAV5 </w:t>
      </w:r>
      <w:proofErr w:type="spellStart"/>
      <w:r w:rsidRPr="00E40A38">
        <w:t>NAb</w:t>
      </w:r>
      <w:proofErr w:type="spellEnd"/>
      <w:r w:rsidRPr="00E40A38">
        <w:t xml:space="preserve"> test. </w:t>
      </w:r>
    </w:p>
    <w:p w14:paraId="56FCB713" w14:textId="57212979" w:rsidR="00DA79C8" w:rsidRPr="00E40A38" w:rsidRDefault="005D0303" w:rsidP="005D0303">
      <w:r>
        <w:t>I</w:t>
      </w:r>
      <w:r w:rsidR="00A02A9A" w:rsidRPr="00F144BC">
        <w:t>t was noted that in a few instances, pre-treatment titre increased above 1:700 (7-point assay) during the pre-treatment period and was below 1:700 on infusion day.</w:t>
      </w:r>
    </w:p>
    <w:p w14:paraId="7FFA43AE" w14:textId="0B929FF3" w:rsidR="00DF3570" w:rsidRPr="00E40A38" w:rsidRDefault="00DF3570" w:rsidP="00DF3570">
      <w:r w:rsidRPr="00E40A38">
        <w:t xml:space="preserve">The HOPE-B study pre-specified a subgroup analysis reporting ABR change from baseline based on </w:t>
      </w:r>
      <w:r w:rsidR="00237338">
        <w:t>anti-</w:t>
      </w:r>
      <w:r w:rsidRPr="00E40A38">
        <w:t xml:space="preserve">AAV5 </w:t>
      </w:r>
      <w:proofErr w:type="spellStart"/>
      <w:r w:rsidRPr="00E40A38">
        <w:t>NAb</w:t>
      </w:r>
      <w:proofErr w:type="spellEnd"/>
      <w:r w:rsidRPr="00E40A38">
        <w:t xml:space="preserve"> titre status. The unadjusted ABR for the titre negative group at </w:t>
      </w:r>
      <w:r>
        <w:t>48</w:t>
      </w:r>
      <w:r w:rsidRPr="00E40A38">
        <w:t xml:space="preserve"> months was 0.</w:t>
      </w:r>
      <w:r w:rsidR="00BD2211">
        <w:t>56</w:t>
      </w:r>
      <w:r w:rsidRPr="00E40A38">
        <w:t>, whereas for the titre positive group it was 1.</w:t>
      </w:r>
      <w:r w:rsidR="00BD2211">
        <w:t>18 (</w:t>
      </w:r>
      <w:r w:rsidR="009D4E4C">
        <w:fldChar w:fldCharType="begin"/>
      </w:r>
      <w:r w:rsidR="009D4E4C">
        <w:instrText xml:space="preserve"> REF _Ref207986394 \h </w:instrText>
      </w:r>
      <w:r w:rsidR="009D4E4C">
        <w:fldChar w:fldCharType="separate"/>
      </w:r>
      <w:r w:rsidR="009D4E4C">
        <w:t xml:space="preserve">Table </w:t>
      </w:r>
      <w:r w:rsidR="009D4E4C">
        <w:rPr>
          <w:noProof/>
        </w:rPr>
        <w:t>11</w:t>
      </w:r>
      <w:r w:rsidR="009D4E4C">
        <w:fldChar w:fldCharType="end"/>
      </w:r>
      <w:r w:rsidR="00822B42">
        <w:t>).</w:t>
      </w:r>
    </w:p>
    <w:p w14:paraId="0E89B321" w14:textId="12535F7F" w:rsidR="00B72040" w:rsidRPr="00E40A38" w:rsidRDefault="00B72040" w:rsidP="00B72040">
      <w:pPr>
        <w:shd w:val="clear" w:color="auto" w:fill="BDD6EE" w:themeFill="accent1" w:themeFillTint="66"/>
      </w:pPr>
      <w:r w:rsidRPr="00E40A38">
        <w:t xml:space="preserve">In the adjusted analyses, the rate ratio </w:t>
      </w:r>
      <w:r w:rsidR="00AF213A">
        <w:t>(</w:t>
      </w:r>
      <w:r w:rsidR="005B309D">
        <w:t>i.e. adjusted ABR post treatment /adjusted ABR in the lead-in period</w:t>
      </w:r>
      <w:r w:rsidR="00AF213A">
        <w:t>)</w:t>
      </w:r>
      <w:r w:rsidRPr="00E40A38">
        <w:t xml:space="preserve"> for the titre negative group was considerably lower than that for the titre positive group and the latter did not reach </w:t>
      </w:r>
      <w:r w:rsidR="003203EC">
        <w:t xml:space="preserve">statistical </w:t>
      </w:r>
      <w:r w:rsidRPr="00E40A38">
        <w:t xml:space="preserve">significance. Excluding the </w:t>
      </w:r>
      <w:r w:rsidR="00002005">
        <w:t>subject</w:t>
      </w:r>
      <w:r w:rsidRPr="00E40A38">
        <w:t xml:space="preserve"> with a very high pre-treatment titre, who would be excluded under the proposed indication, th</w:t>
      </w:r>
      <w:r w:rsidR="006777B0">
        <w:t>e</w:t>
      </w:r>
      <w:r w:rsidRPr="00E40A38">
        <w:t xml:space="preserve"> rate ratio </w:t>
      </w:r>
      <w:r w:rsidR="006777B0" w:rsidRPr="006777B0">
        <w:t xml:space="preserve">was significantly reduced at Month 7-18 and Month 7-24, but not for later time periods, likely driven by the </w:t>
      </w:r>
      <w:r w:rsidR="00AA0CA3">
        <w:t>subject</w:t>
      </w:r>
      <w:r w:rsidR="006777B0" w:rsidRPr="006777B0">
        <w:t xml:space="preserve"> who resumed prophylaxis at 30 months.</w:t>
      </w:r>
    </w:p>
    <w:p w14:paraId="6812BB12" w14:textId="3D48BCE4" w:rsidR="00822B42" w:rsidRDefault="009D4E4C" w:rsidP="000A5DF1">
      <w:pPr>
        <w:pStyle w:val="Caption"/>
      </w:pPr>
      <w:bookmarkStart w:id="38" w:name="_Ref207986394"/>
      <w:bookmarkStart w:id="39" w:name="_Ref194955923"/>
      <w:r>
        <w:lastRenderedPageBreak/>
        <w:t xml:space="preserve">Table </w:t>
      </w:r>
      <w:r>
        <w:fldChar w:fldCharType="begin"/>
      </w:r>
      <w:r>
        <w:instrText xml:space="preserve"> SEQ Table \* ARABIC </w:instrText>
      </w:r>
      <w:r>
        <w:fldChar w:fldCharType="separate"/>
      </w:r>
      <w:r>
        <w:rPr>
          <w:noProof/>
        </w:rPr>
        <w:t>11</w:t>
      </w:r>
      <w:r>
        <w:rPr>
          <w:noProof/>
        </w:rPr>
        <w:fldChar w:fldCharType="end"/>
      </w:r>
      <w:bookmarkEnd w:id="38"/>
      <w:r>
        <w:t xml:space="preserve"> </w:t>
      </w:r>
      <w:bookmarkEnd w:id="39"/>
      <w:r w:rsidR="00822B42" w:rsidRPr="00E40A38">
        <w:t xml:space="preserve">Annualised bleed rate in </w:t>
      </w:r>
      <w:r w:rsidR="00FF7331">
        <w:t>anti-</w:t>
      </w:r>
      <w:r w:rsidR="00822B42" w:rsidRPr="00E40A38">
        <w:t xml:space="preserve">AAV5 titre negative versus </w:t>
      </w:r>
      <w:r w:rsidR="00FF7331">
        <w:t>anti-</w:t>
      </w:r>
      <w:r w:rsidR="00822B42" w:rsidRPr="00E40A38">
        <w:t>AAV5 titre positive</w:t>
      </w:r>
      <w:r w:rsidR="00DA19EE">
        <w:rPr>
          <w:vertAlign w:val="superscript"/>
        </w:rPr>
        <w:t xml:space="preserve"> </w:t>
      </w:r>
      <w:r w:rsidR="00B930AF">
        <w:t>subjects in</w:t>
      </w:r>
      <w:r w:rsidR="00822B42" w:rsidRPr="00E40A38">
        <w:t xml:space="preserve"> HOPE-B</w:t>
      </w:r>
      <w:r w:rsidR="00B930AF">
        <w:t xml:space="preserve"> study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ualised bleed rate in AAV5 titre negative versus AAV5 titre positivea participants, HOPE-B"/>
        <w:tblDescription w:val="This table shows the annualised bleed rate in AAV5 titre negative subjects (n=33, AAV5 titre positive subjects (n=21), and AAV5 titre positive subjects excluding the high titre patient (n=20).   "/>
      </w:tblPr>
      <w:tblGrid>
        <w:gridCol w:w="2405"/>
        <w:gridCol w:w="284"/>
        <w:gridCol w:w="283"/>
        <w:gridCol w:w="425"/>
        <w:gridCol w:w="426"/>
        <w:gridCol w:w="141"/>
        <w:gridCol w:w="638"/>
        <w:gridCol w:w="519"/>
        <w:gridCol w:w="952"/>
        <w:gridCol w:w="346"/>
        <w:gridCol w:w="239"/>
        <w:gridCol w:w="567"/>
        <w:gridCol w:w="319"/>
        <w:gridCol w:w="173"/>
        <w:gridCol w:w="216"/>
        <w:gridCol w:w="1083"/>
      </w:tblGrid>
      <w:tr w:rsidR="00585B98" w:rsidRPr="00E40A38" w14:paraId="028E0B9B" w14:textId="7DAA1332" w:rsidTr="005D76F9">
        <w:trPr>
          <w:tblHeader/>
        </w:trPr>
        <w:tc>
          <w:tcPr>
            <w:tcW w:w="2405" w:type="dxa"/>
          </w:tcPr>
          <w:p w14:paraId="42650FF8" w14:textId="77777777" w:rsidR="00395D3F" w:rsidRPr="00E40A38" w:rsidRDefault="00395D3F" w:rsidP="005F426F">
            <w:pPr>
              <w:pStyle w:val="In-tableHeading"/>
              <w:keepLines/>
            </w:pPr>
            <w:r w:rsidRPr="00E40A38">
              <w:t>Any bleeding episode</w:t>
            </w:r>
          </w:p>
        </w:tc>
        <w:tc>
          <w:tcPr>
            <w:tcW w:w="1418" w:type="dxa"/>
            <w:gridSpan w:val="4"/>
            <w:vAlign w:val="center"/>
          </w:tcPr>
          <w:p w14:paraId="3A2284DF" w14:textId="77777777" w:rsidR="00395D3F" w:rsidRPr="00E40A38" w:rsidRDefault="00395D3F" w:rsidP="005F426F">
            <w:pPr>
              <w:pStyle w:val="In-tableHeading"/>
              <w:keepLines/>
            </w:pPr>
            <w:r w:rsidRPr="00E40A38">
              <w:t>Lead-in period</w:t>
            </w:r>
          </w:p>
        </w:tc>
        <w:tc>
          <w:tcPr>
            <w:tcW w:w="2835" w:type="dxa"/>
            <w:gridSpan w:val="6"/>
          </w:tcPr>
          <w:p w14:paraId="59502871" w14:textId="77777777" w:rsidR="00395D3F" w:rsidRPr="00E40A38" w:rsidRDefault="00395D3F" w:rsidP="005F426F">
            <w:pPr>
              <w:pStyle w:val="In-tableHeading"/>
              <w:keepLines/>
            </w:pPr>
            <w:r w:rsidRPr="00E40A38">
              <w:t>Post treatment period (N=54)</w:t>
            </w:r>
          </w:p>
        </w:tc>
        <w:tc>
          <w:tcPr>
            <w:tcW w:w="567" w:type="dxa"/>
          </w:tcPr>
          <w:p w14:paraId="732C5130" w14:textId="77777777" w:rsidR="00395D3F" w:rsidRPr="00E40A38" w:rsidRDefault="00395D3F" w:rsidP="005F426F">
            <w:pPr>
              <w:pStyle w:val="In-tableHeading"/>
              <w:keepLines/>
            </w:pPr>
          </w:p>
        </w:tc>
        <w:tc>
          <w:tcPr>
            <w:tcW w:w="708" w:type="dxa"/>
            <w:gridSpan w:val="3"/>
          </w:tcPr>
          <w:p w14:paraId="06338BFD" w14:textId="77777777" w:rsidR="00395D3F" w:rsidRPr="007A3C93" w:rsidRDefault="00395D3F" w:rsidP="005F426F">
            <w:pPr>
              <w:pStyle w:val="In-tableHeading"/>
              <w:keepLines/>
            </w:pPr>
          </w:p>
        </w:tc>
        <w:tc>
          <w:tcPr>
            <w:tcW w:w="1083" w:type="dxa"/>
          </w:tcPr>
          <w:p w14:paraId="00AF64B2" w14:textId="77777777" w:rsidR="00395D3F" w:rsidRPr="007A3C93" w:rsidRDefault="00395D3F" w:rsidP="005F426F">
            <w:pPr>
              <w:pStyle w:val="In-tableHeading"/>
              <w:keepLines/>
            </w:pPr>
          </w:p>
        </w:tc>
      </w:tr>
      <w:tr w:rsidR="00585B98" w:rsidRPr="00E40A38" w14:paraId="488F4990" w14:textId="1423B3DC" w:rsidTr="005D76F9">
        <w:trPr>
          <w:tblHeader/>
        </w:trPr>
        <w:tc>
          <w:tcPr>
            <w:tcW w:w="2405" w:type="dxa"/>
          </w:tcPr>
          <w:p w14:paraId="1E5FF09C" w14:textId="77777777" w:rsidR="00395D3F" w:rsidRPr="00E40A38" w:rsidRDefault="00395D3F" w:rsidP="005F426F">
            <w:pPr>
              <w:pStyle w:val="In-tableHeading"/>
              <w:keepLines/>
            </w:pPr>
          </w:p>
        </w:tc>
        <w:tc>
          <w:tcPr>
            <w:tcW w:w="1418" w:type="dxa"/>
            <w:gridSpan w:val="4"/>
          </w:tcPr>
          <w:p w14:paraId="619E4619" w14:textId="77777777" w:rsidR="00395D3F" w:rsidRPr="00E40A38" w:rsidRDefault="00395D3F" w:rsidP="005F426F">
            <w:pPr>
              <w:pStyle w:val="In-tableHeading"/>
              <w:keepLines/>
              <w:rPr>
                <w:bCs/>
              </w:rPr>
            </w:pPr>
            <w:r w:rsidRPr="00E40A38">
              <w:rPr>
                <w:bCs/>
              </w:rPr>
              <w:t>(N=54)</w:t>
            </w:r>
          </w:p>
        </w:tc>
        <w:tc>
          <w:tcPr>
            <w:tcW w:w="1298" w:type="dxa"/>
            <w:gridSpan w:val="3"/>
          </w:tcPr>
          <w:p w14:paraId="0FF40B1F" w14:textId="77777777" w:rsidR="00395D3F" w:rsidRPr="00E40A38" w:rsidRDefault="00395D3F" w:rsidP="005F426F">
            <w:pPr>
              <w:pStyle w:val="In-tableHeading"/>
              <w:keepLines/>
            </w:pPr>
            <w:r w:rsidRPr="00E40A38">
              <w:t xml:space="preserve">Month 7-18 </w:t>
            </w:r>
          </w:p>
        </w:tc>
        <w:tc>
          <w:tcPr>
            <w:tcW w:w="1298" w:type="dxa"/>
            <w:gridSpan w:val="2"/>
          </w:tcPr>
          <w:p w14:paraId="205B562B" w14:textId="77777777" w:rsidR="00395D3F" w:rsidRPr="00E40A38" w:rsidRDefault="00395D3F" w:rsidP="005F426F">
            <w:pPr>
              <w:pStyle w:val="In-tableHeading"/>
              <w:keepLines/>
            </w:pPr>
            <w:r w:rsidRPr="00E40A38">
              <w:t xml:space="preserve">Month 7-24 </w:t>
            </w:r>
          </w:p>
        </w:tc>
        <w:tc>
          <w:tcPr>
            <w:tcW w:w="1298" w:type="dxa"/>
            <w:gridSpan w:val="4"/>
          </w:tcPr>
          <w:p w14:paraId="6B05620C" w14:textId="77777777" w:rsidR="00395D3F" w:rsidRPr="00E40A38" w:rsidRDefault="00395D3F" w:rsidP="005F426F">
            <w:pPr>
              <w:pStyle w:val="In-tableHeading"/>
              <w:keepLines/>
            </w:pPr>
            <w:r w:rsidRPr="00E40A38">
              <w:t>Month 7-36</w:t>
            </w:r>
          </w:p>
        </w:tc>
        <w:tc>
          <w:tcPr>
            <w:tcW w:w="1299" w:type="dxa"/>
            <w:gridSpan w:val="2"/>
          </w:tcPr>
          <w:p w14:paraId="38B7BCE3" w14:textId="3C345ED2" w:rsidR="00395D3F" w:rsidRPr="007A3C93" w:rsidRDefault="003303F5" w:rsidP="005F426F">
            <w:pPr>
              <w:pStyle w:val="In-tableHeading"/>
              <w:keepLines/>
            </w:pPr>
            <w:r w:rsidRPr="00D84B66">
              <w:t>Month 7-48</w:t>
            </w:r>
          </w:p>
        </w:tc>
      </w:tr>
      <w:tr w:rsidR="00585B98" w:rsidRPr="00E40A38" w14:paraId="3D9A9089" w14:textId="14F1440F" w:rsidTr="005D76F9">
        <w:tc>
          <w:tcPr>
            <w:tcW w:w="2689" w:type="dxa"/>
            <w:gridSpan w:val="2"/>
          </w:tcPr>
          <w:p w14:paraId="3C060609" w14:textId="6BC20D4A" w:rsidR="00395D3F" w:rsidRPr="00E40A38" w:rsidRDefault="00FF7331" w:rsidP="005F426F">
            <w:pPr>
              <w:pStyle w:val="TableText"/>
              <w:keepNext/>
              <w:keepLines/>
              <w:rPr>
                <w:b/>
              </w:rPr>
            </w:pPr>
            <w:r>
              <w:rPr>
                <w:b/>
              </w:rPr>
              <w:t>Anti-</w:t>
            </w:r>
            <w:r w:rsidR="00395D3F" w:rsidRPr="00E40A38">
              <w:rPr>
                <w:b/>
              </w:rPr>
              <w:t>AAV5 titre negative (n=33)</w:t>
            </w:r>
          </w:p>
        </w:tc>
        <w:tc>
          <w:tcPr>
            <w:tcW w:w="1134" w:type="dxa"/>
            <w:gridSpan w:val="3"/>
          </w:tcPr>
          <w:p w14:paraId="4E225040" w14:textId="77777777" w:rsidR="00395D3F" w:rsidRPr="00E40A38" w:rsidRDefault="00395D3F" w:rsidP="005F426F">
            <w:pPr>
              <w:pStyle w:val="TableText"/>
              <w:keepNext/>
              <w:keepLines/>
            </w:pPr>
          </w:p>
        </w:tc>
        <w:tc>
          <w:tcPr>
            <w:tcW w:w="1298" w:type="dxa"/>
            <w:gridSpan w:val="3"/>
          </w:tcPr>
          <w:p w14:paraId="156D7DF2" w14:textId="77777777" w:rsidR="00395D3F" w:rsidRPr="00E40A38" w:rsidRDefault="00395D3F" w:rsidP="005F426F">
            <w:pPr>
              <w:pStyle w:val="TableText"/>
              <w:keepNext/>
              <w:keepLines/>
            </w:pPr>
          </w:p>
        </w:tc>
        <w:tc>
          <w:tcPr>
            <w:tcW w:w="1298" w:type="dxa"/>
            <w:gridSpan w:val="2"/>
          </w:tcPr>
          <w:p w14:paraId="24856676" w14:textId="77777777" w:rsidR="00395D3F" w:rsidRPr="00E40A38" w:rsidRDefault="00395D3F" w:rsidP="005F426F">
            <w:pPr>
              <w:pStyle w:val="TableText"/>
              <w:keepNext/>
              <w:keepLines/>
            </w:pPr>
          </w:p>
        </w:tc>
        <w:tc>
          <w:tcPr>
            <w:tcW w:w="1298" w:type="dxa"/>
            <w:gridSpan w:val="4"/>
          </w:tcPr>
          <w:p w14:paraId="2CB88387" w14:textId="77777777" w:rsidR="00395D3F" w:rsidRPr="00E40A38" w:rsidRDefault="00395D3F" w:rsidP="005F426F">
            <w:pPr>
              <w:pStyle w:val="TableText"/>
              <w:keepNext/>
              <w:keepLines/>
            </w:pPr>
          </w:p>
        </w:tc>
        <w:tc>
          <w:tcPr>
            <w:tcW w:w="1299" w:type="dxa"/>
            <w:gridSpan w:val="2"/>
          </w:tcPr>
          <w:p w14:paraId="06CCA581" w14:textId="77777777" w:rsidR="00395D3F" w:rsidRPr="007A3C93" w:rsidRDefault="00395D3F" w:rsidP="005F426F">
            <w:pPr>
              <w:pStyle w:val="TableText"/>
              <w:keepNext/>
              <w:keepLines/>
            </w:pPr>
          </w:p>
        </w:tc>
      </w:tr>
      <w:tr w:rsidR="00CF6488" w:rsidRPr="00E40A38" w14:paraId="436F38AE" w14:textId="4D42B287" w:rsidTr="005D76F9">
        <w:tc>
          <w:tcPr>
            <w:tcW w:w="2405" w:type="dxa"/>
          </w:tcPr>
          <w:p w14:paraId="6DA79DFA" w14:textId="59563AEF" w:rsidR="00395D3F" w:rsidRPr="00E40A38" w:rsidRDefault="00395D3F" w:rsidP="005F426F">
            <w:pPr>
              <w:pStyle w:val="TableText"/>
              <w:keepNext/>
              <w:keepLines/>
            </w:pPr>
            <w:r w:rsidRPr="00E40A38">
              <w:t xml:space="preserve">Unadjusted </w:t>
            </w:r>
            <w:proofErr w:type="spellStart"/>
            <w:r w:rsidRPr="00E40A38">
              <w:t>ABR</w:t>
            </w:r>
            <w:r w:rsidR="004324D4">
              <w:rPr>
                <w:vertAlign w:val="superscript"/>
              </w:rPr>
              <w:t>a</w:t>
            </w:r>
            <w:proofErr w:type="spellEnd"/>
          </w:p>
        </w:tc>
        <w:tc>
          <w:tcPr>
            <w:tcW w:w="1418" w:type="dxa"/>
            <w:gridSpan w:val="4"/>
            <w:shd w:val="clear" w:color="auto" w:fill="BDD6EE" w:themeFill="accent1" w:themeFillTint="66"/>
          </w:tcPr>
          <w:p w14:paraId="5264613A" w14:textId="77777777" w:rsidR="00395D3F" w:rsidRPr="00E40A38" w:rsidRDefault="00395D3F" w:rsidP="005F426F">
            <w:pPr>
              <w:pStyle w:val="TableText"/>
              <w:keepNext/>
              <w:keepLines/>
            </w:pPr>
            <w:r w:rsidRPr="00E40A38">
              <w:t xml:space="preserve">3.76 </w:t>
            </w:r>
          </w:p>
        </w:tc>
        <w:tc>
          <w:tcPr>
            <w:tcW w:w="1298" w:type="dxa"/>
            <w:gridSpan w:val="3"/>
            <w:shd w:val="clear" w:color="auto" w:fill="BDD6EE" w:themeFill="accent1" w:themeFillTint="66"/>
          </w:tcPr>
          <w:p w14:paraId="6FF2CD00" w14:textId="77777777" w:rsidR="00395D3F" w:rsidRPr="00E40A38" w:rsidRDefault="00395D3F" w:rsidP="005F426F">
            <w:pPr>
              <w:pStyle w:val="TableText"/>
              <w:keepNext/>
              <w:keepLines/>
            </w:pPr>
            <w:r w:rsidRPr="00E40A38">
              <w:t xml:space="preserve">0.90 </w:t>
            </w:r>
          </w:p>
        </w:tc>
        <w:tc>
          <w:tcPr>
            <w:tcW w:w="1298" w:type="dxa"/>
            <w:gridSpan w:val="2"/>
            <w:shd w:val="clear" w:color="auto" w:fill="BDD6EE" w:themeFill="accent1" w:themeFillTint="66"/>
          </w:tcPr>
          <w:p w14:paraId="50AF7E86" w14:textId="77777777" w:rsidR="00395D3F" w:rsidRPr="00E40A38" w:rsidRDefault="00395D3F" w:rsidP="005F426F">
            <w:pPr>
              <w:pStyle w:val="TableText"/>
              <w:keepNext/>
              <w:keepLines/>
            </w:pPr>
            <w:r w:rsidRPr="00E40A38">
              <w:t xml:space="preserve">0.79 </w:t>
            </w:r>
          </w:p>
        </w:tc>
        <w:tc>
          <w:tcPr>
            <w:tcW w:w="1298" w:type="dxa"/>
            <w:gridSpan w:val="4"/>
            <w:shd w:val="clear" w:color="auto" w:fill="BDD6EE" w:themeFill="accent1" w:themeFillTint="66"/>
          </w:tcPr>
          <w:p w14:paraId="7795A887" w14:textId="77777777" w:rsidR="00395D3F" w:rsidRPr="00E40A38" w:rsidRDefault="00395D3F" w:rsidP="005F426F">
            <w:pPr>
              <w:pStyle w:val="TableText"/>
              <w:keepNext/>
              <w:keepLines/>
            </w:pPr>
            <w:r w:rsidRPr="00E40A38">
              <w:t>0.63</w:t>
            </w:r>
          </w:p>
        </w:tc>
        <w:tc>
          <w:tcPr>
            <w:tcW w:w="1299" w:type="dxa"/>
            <w:gridSpan w:val="2"/>
          </w:tcPr>
          <w:p w14:paraId="12C7B4EB" w14:textId="7E337730" w:rsidR="00395D3F" w:rsidRPr="00D84B66" w:rsidRDefault="00273BAD" w:rsidP="005F426F">
            <w:pPr>
              <w:pStyle w:val="TableText"/>
              <w:keepNext/>
              <w:keepLines/>
            </w:pPr>
            <w:r w:rsidRPr="00D84B66">
              <w:t>0.56</w:t>
            </w:r>
          </w:p>
        </w:tc>
      </w:tr>
      <w:tr w:rsidR="00CF6488" w:rsidRPr="00E40A38" w14:paraId="0F004BE6" w14:textId="76D4DB0B" w:rsidTr="005D76F9">
        <w:tc>
          <w:tcPr>
            <w:tcW w:w="2405" w:type="dxa"/>
          </w:tcPr>
          <w:p w14:paraId="1CDE4BF2" w14:textId="77777777" w:rsidR="00395D3F" w:rsidRPr="00E40A38" w:rsidRDefault="00395D3F" w:rsidP="005F426F">
            <w:pPr>
              <w:pStyle w:val="TableText"/>
              <w:keepNext/>
              <w:keepLines/>
            </w:pPr>
            <w:r w:rsidRPr="00E40A38">
              <w:t>Adjusted ABR (95% CI)</w:t>
            </w:r>
          </w:p>
          <w:p w14:paraId="17144980" w14:textId="77777777" w:rsidR="00395D3F" w:rsidRPr="00E40A38" w:rsidRDefault="00395D3F" w:rsidP="005F426F">
            <w:pPr>
              <w:pStyle w:val="TableText"/>
              <w:keepNext/>
              <w:keepLines/>
            </w:pPr>
            <w:r w:rsidRPr="00E40A38">
              <w:t>Primary endpoint definition</w:t>
            </w:r>
          </w:p>
        </w:tc>
        <w:tc>
          <w:tcPr>
            <w:tcW w:w="1418" w:type="dxa"/>
            <w:gridSpan w:val="4"/>
            <w:shd w:val="clear" w:color="auto" w:fill="BDD6EE" w:themeFill="accent1" w:themeFillTint="66"/>
          </w:tcPr>
          <w:p w14:paraId="00546B07" w14:textId="619E705A" w:rsidR="00395D3F" w:rsidRPr="00E40A38" w:rsidRDefault="00395D3F" w:rsidP="005F426F">
            <w:pPr>
              <w:pStyle w:val="TableText"/>
              <w:keepNext/>
              <w:keepLines/>
            </w:pPr>
            <w:r w:rsidRPr="00E40A38">
              <w:t xml:space="preserve">3.79 </w:t>
            </w:r>
            <w:r w:rsidR="00CF6488">
              <w:br/>
            </w:r>
            <w:r w:rsidRPr="00E40A38">
              <w:t>(2.55, 5.63)</w:t>
            </w:r>
          </w:p>
        </w:tc>
        <w:tc>
          <w:tcPr>
            <w:tcW w:w="1298" w:type="dxa"/>
            <w:gridSpan w:val="3"/>
            <w:shd w:val="clear" w:color="auto" w:fill="BDD6EE" w:themeFill="accent1" w:themeFillTint="66"/>
          </w:tcPr>
          <w:p w14:paraId="419A8F82" w14:textId="7BBA31E0" w:rsidR="00395D3F" w:rsidRPr="00E40A38" w:rsidRDefault="00395D3F" w:rsidP="005F426F">
            <w:pPr>
              <w:pStyle w:val="TableText"/>
              <w:keepNext/>
              <w:keepLines/>
            </w:pPr>
            <w:r w:rsidRPr="00E40A38">
              <w:t xml:space="preserve">0.93 </w:t>
            </w:r>
            <w:r w:rsidR="00CF6488">
              <w:br/>
            </w:r>
            <w:r w:rsidRPr="00E40A38">
              <w:t>(0.44, 1.98)</w:t>
            </w:r>
          </w:p>
        </w:tc>
        <w:tc>
          <w:tcPr>
            <w:tcW w:w="1298" w:type="dxa"/>
            <w:gridSpan w:val="2"/>
            <w:shd w:val="clear" w:color="auto" w:fill="BDD6EE" w:themeFill="accent1" w:themeFillTint="66"/>
          </w:tcPr>
          <w:p w14:paraId="61804F42" w14:textId="31184D32" w:rsidR="00395D3F" w:rsidRPr="00E40A38" w:rsidRDefault="00395D3F" w:rsidP="005F426F">
            <w:pPr>
              <w:pStyle w:val="TableText"/>
              <w:keepNext/>
              <w:keepLines/>
            </w:pPr>
            <w:r w:rsidRPr="00E40A38">
              <w:t xml:space="preserve">0.80 </w:t>
            </w:r>
            <w:r w:rsidR="00CF6488">
              <w:br/>
            </w:r>
            <w:r w:rsidRPr="00E40A38">
              <w:t>(0.39, 1.67)</w:t>
            </w:r>
          </w:p>
        </w:tc>
        <w:tc>
          <w:tcPr>
            <w:tcW w:w="1298" w:type="dxa"/>
            <w:gridSpan w:val="4"/>
            <w:shd w:val="clear" w:color="auto" w:fill="BDD6EE" w:themeFill="accent1" w:themeFillTint="66"/>
          </w:tcPr>
          <w:p w14:paraId="126D87D2" w14:textId="0C564385" w:rsidR="00395D3F" w:rsidRPr="00E40A38" w:rsidRDefault="00395D3F" w:rsidP="005F426F">
            <w:pPr>
              <w:pStyle w:val="TableText"/>
              <w:keepNext/>
              <w:keepLines/>
            </w:pPr>
            <w:r w:rsidRPr="00E40A38">
              <w:t xml:space="preserve">0.64 </w:t>
            </w:r>
            <w:r w:rsidR="00CF6488">
              <w:br/>
            </w:r>
            <w:r w:rsidRPr="00E40A38">
              <w:t>(0.33, 1.24)</w:t>
            </w:r>
          </w:p>
        </w:tc>
        <w:tc>
          <w:tcPr>
            <w:tcW w:w="1299" w:type="dxa"/>
            <w:gridSpan w:val="2"/>
          </w:tcPr>
          <w:p w14:paraId="5EE42F21" w14:textId="6468FC50" w:rsidR="00395D3F" w:rsidRPr="00D84B66" w:rsidRDefault="00AC3D4E" w:rsidP="005F426F">
            <w:pPr>
              <w:pStyle w:val="TableText"/>
              <w:keepNext/>
              <w:keepLines/>
            </w:pPr>
            <w:r w:rsidRPr="00D84B66">
              <w:t xml:space="preserve">0.57 </w:t>
            </w:r>
            <w:r w:rsidR="00CF6488" w:rsidRPr="00D84B66">
              <w:br/>
            </w:r>
            <w:r w:rsidRPr="00D84B66">
              <w:t>(0.31, 1.07)</w:t>
            </w:r>
          </w:p>
        </w:tc>
      </w:tr>
      <w:tr w:rsidR="00CF6488" w:rsidRPr="00E40A38" w14:paraId="21B84435" w14:textId="08A2911B" w:rsidTr="005D76F9">
        <w:tc>
          <w:tcPr>
            <w:tcW w:w="2405" w:type="dxa"/>
          </w:tcPr>
          <w:p w14:paraId="6F3AE5EE" w14:textId="62E970AB" w:rsidR="00395D3F" w:rsidRPr="00E40A38" w:rsidRDefault="00395D3F" w:rsidP="005F426F">
            <w:pPr>
              <w:pStyle w:val="TableText"/>
              <w:keepNext/>
              <w:keepLines/>
            </w:pPr>
            <w:r w:rsidRPr="00E40A38">
              <w:t xml:space="preserve">Rate </w:t>
            </w:r>
            <w:proofErr w:type="spellStart"/>
            <w:r w:rsidRPr="00E40A38">
              <w:t>ratio</w:t>
            </w:r>
            <w:r w:rsidR="00FD2CE4" w:rsidRPr="00FD2CE4">
              <w:rPr>
                <w:vertAlign w:val="superscript"/>
              </w:rPr>
              <w:t>b</w:t>
            </w:r>
            <w:proofErr w:type="spellEnd"/>
            <w:r w:rsidR="007A2345">
              <w:t xml:space="preserve"> </w:t>
            </w:r>
            <w:r w:rsidR="007E02D0">
              <w:br/>
            </w:r>
            <w:r w:rsidRPr="00E40A38">
              <w:t>(2-sided Wald 95% CI)</w:t>
            </w:r>
            <w:r w:rsidR="007E02D0">
              <w:br/>
            </w:r>
            <w:r w:rsidRPr="00E40A38">
              <w:t>p-value</w:t>
            </w:r>
          </w:p>
        </w:tc>
        <w:tc>
          <w:tcPr>
            <w:tcW w:w="1418" w:type="dxa"/>
            <w:gridSpan w:val="4"/>
            <w:shd w:val="clear" w:color="auto" w:fill="BDD6EE" w:themeFill="accent1" w:themeFillTint="66"/>
          </w:tcPr>
          <w:p w14:paraId="4193C69C" w14:textId="77777777" w:rsidR="00395D3F" w:rsidRPr="00E40A38" w:rsidRDefault="00395D3F" w:rsidP="005F426F">
            <w:pPr>
              <w:pStyle w:val="TableText"/>
              <w:keepNext/>
              <w:keepLines/>
            </w:pPr>
            <w:r w:rsidRPr="00E40A38">
              <w:t>-</w:t>
            </w:r>
          </w:p>
        </w:tc>
        <w:tc>
          <w:tcPr>
            <w:tcW w:w="1298" w:type="dxa"/>
            <w:gridSpan w:val="3"/>
            <w:shd w:val="clear" w:color="auto" w:fill="BDD6EE" w:themeFill="accent1" w:themeFillTint="66"/>
          </w:tcPr>
          <w:p w14:paraId="5D371EEB" w14:textId="2AA46F57" w:rsidR="00395D3F" w:rsidRPr="00E40A38" w:rsidRDefault="00395D3F" w:rsidP="005F426F">
            <w:pPr>
              <w:pStyle w:val="TableText"/>
              <w:keepNext/>
              <w:keepLines/>
              <w:rPr>
                <w:b/>
              </w:rPr>
            </w:pPr>
            <w:r w:rsidRPr="00E40A38">
              <w:rPr>
                <w:b/>
              </w:rPr>
              <w:t xml:space="preserve">0.25 </w:t>
            </w:r>
            <w:r w:rsidR="00CF6488">
              <w:rPr>
                <w:b/>
              </w:rPr>
              <w:br/>
            </w:r>
            <w:r w:rsidRPr="00E40A38">
              <w:rPr>
                <w:b/>
              </w:rPr>
              <w:t>(0.14, 0.43)</w:t>
            </w:r>
            <w:r w:rsidR="00B043E6">
              <w:rPr>
                <w:b/>
              </w:rPr>
              <w:br/>
            </w:r>
            <w:r w:rsidRPr="00E40A38">
              <w:rPr>
                <w:b/>
              </w:rPr>
              <w:t>p&lt;0.0001</w:t>
            </w:r>
          </w:p>
        </w:tc>
        <w:tc>
          <w:tcPr>
            <w:tcW w:w="1298" w:type="dxa"/>
            <w:gridSpan w:val="2"/>
            <w:shd w:val="clear" w:color="auto" w:fill="BDD6EE" w:themeFill="accent1" w:themeFillTint="66"/>
          </w:tcPr>
          <w:p w14:paraId="26AA0BD1" w14:textId="01503420" w:rsidR="00395D3F" w:rsidRPr="00E40A38" w:rsidRDefault="00395D3F" w:rsidP="005F426F">
            <w:pPr>
              <w:pStyle w:val="TableText"/>
              <w:keepNext/>
              <w:keepLines/>
              <w:rPr>
                <w:b/>
              </w:rPr>
            </w:pPr>
            <w:r w:rsidRPr="00E40A38">
              <w:rPr>
                <w:b/>
              </w:rPr>
              <w:t xml:space="preserve">0.21 </w:t>
            </w:r>
            <w:r w:rsidR="00CF6488">
              <w:rPr>
                <w:b/>
              </w:rPr>
              <w:br/>
            </w:r>
            <w:r w:rsidRPr="00E40A38">
              <w:rPr>
                <w:b/>
              </w:rPr>
              <w:t>(0.12, 0.37)</w:t>
            </w:r>
            <w:r w:rsidR="00B043E6">
              <w:rPr>
                <w:b/>
              </w:rPr>
              <w:br/>
            </w:r>
            <w:r w:rsidRPr="00E40A38">
              <w:rPr>
                <w:b/>
              </w:rPr>
              <w:t xml:space="preserve">p&lt;0.0001 </w:t>
            </w:r>
          </w:p>
        </w:tc>
        <w:tc>
          <w:tcPr>
            <w:tcW w:w="1298" w:type="dxa"/>
            <w:gridSpan w:val="4"/>
            <w:shd w:val="clear" w:color="auto" w:fill="BDD6EE" w:themeFill="accent1" w:themeFillTint="66"/>
          </w:tcPr>
          <w:p w14:paraId="649420B9" w14:textId="7CEC6917" w:rsidR="00395D3F" w:rsidRPr="00E40A38" w:rsidRDefault="00395D3F" w:rsidP="005F426F">
            <w:pPr>
              <w:pStyle w:val="TableText"/>
              <w:keepNext/>
              <w:keepLines/>
              <w:rPr>
                <w:b/>
              </w:rPr>
            </w:pPr>
            <w:r w:rsidRPr="00E40A38">
              <w:rPr>
                <w:b/>
              </w:rPr>
              <w:t xml:space="preserve">0.17 </w:t>
            </w:r>
            <w:r w:rsidR="00CF6488">
              <w:rPr>
                <w:b/>
              </w:rPr>
              <w:br/>
            </w:r>
            <w:r w:rsidRPr="00E40A38">
              <w:rPr>
                <w:b/>
              </w:rPr>
              <w:t>(0.10, 0.28)</w:t>
            </w:r>
            <w:r w:rsidR="00B043E6">
              <w:rPr>
                <w:b/>
              </w:rPr>
              <w:br/>
            </w:r>
            <w:r w:rsidRPr="00E40A38">
              <w:rPr>
                <w:b/>
              </w:rPr>
              <w:t>p&lt;0.0001</w:t>
            </w:r>
          </w:p>
        </w:tc>
        <w:tc>
          <w:tcPr>
            <w:tcW w:w="1299" w:type="dxa"/>
            <w:gridSpan w:val="2"/>
          </w:tcPr>
          <w:p w14:paraId="5FA57D97" w14:textId="1488A3C6" w:rsidR="00395D3F" w:rsidRPr="00D84B66" w:rsidRDefault="00AC3D4E" w:rsidP="005F426F">
            <w:pPr>
              <w:pStyle w:val="TableText"/>
              <w:keepNext/>
              <w:keepLines/>
              <w:rPr>
                <w:b/>
              </w:rPr>
            </w:pPr>
            <w:r w:rsidRPr="00D84B66">
              <w:rPr>
                <w:b/>
              </w:rPr>
              <w:t xml:space="preserve">0.15 </w:t>
            </w:r>
            <w:r w:rsidR="00CF6488" w:rsidRPr="00D84B66">
              <w:rPr>
                <w:b/>
              </w:rPr>
              <w:br/>
            </w:r>
            <w:r w:rsidRPr="00D84B66">
              <w:rPr>
                <w:b/>
              </w:rPr>
              <w:t>(0.09, 0.25)</w:t>
            </w:r>
            <w:r w:rsidR="00B043E6" w:rsidRPr="00D84B66">
              <w:rPr>
                <w:b/>
                <w:bCs/>
              </w:rPr>
              <w:br/>
            </w:r>
            <w:r w:rsidR="00DD4EAB" w:rsidRPr="00D84B66">
              <w:rPr>
                <w:b/>
                <w:bCs/>
              </w:rPr>
              <w:t>p&lt;0.0001</w:t>
            </w:r>
          </w:p>
        </w:tc>
      </w:tr>
      <w:tr w:rsidR="00585B98" w:rsidRPr="00E40A38" w14:paraId="4F15A7CA" w14:textId="1708BFDE" w:rsidTr="005D76F9">
        <w:tc>
          <w:tcPr>
            <w:tcW w:w="2972" w:type="dxa"/>
            <w:gridSpan w:val="3"/>
          </w:tcPr>
          <w:p w14:paraId="351D676B" w14:textId="1E3AA21B" w:rsidR="00395D3F" w:rsidRPr="00E40A38" w:rsidRDefault="00FF7331" w:rsidP="005F426F">
            <w:pPr>
              <w:pStyle w:val="TableText"/>
              <w:keepNext/>
              <w:keepLines/>
              <w:rPr>
                <w:b/>
                <w:vertAlign w:val="superscript"/>
              </w:rPr>
            </w:pPr>
            <w:r>
              <w:rPr>
                <w:b/>
              </w:rPr>
              <w:t>Anti-</w:t>
            </w:r>
            <w:r w:rsidR="00395D3F" w:rsidRPr="00E40A38">
              <w:rPr>
                <w:b/>
              </w:rPr>
              <w:t>AAV5 titre all positive (n=21)</w:t>
            </w:r>
            <w:r w:rsidR="004324D4">
              <w:rPr>
                <w:vertAlign w:val="superscript"/>
              </w:rPr>
              <w:t>c</w:t>
            </w:r>
          </w:p>
        </w:tc>
        <w:tc>
          <w:tcPr>
            <w:tcW w:w="851" w:type="dxa"/>
            <w:gridSpan w:val="2"/>
          </w:tcPr>
          <w:p w14:paraId="44153642" w14:textId="77777777" w:rsidR="00395D3F" w:rsidRPr="00E40A38" w:rsidRDefault="00395D3F" w:rsidP="005F426F">
            <w:pPr>
              <w:pStyle w:val="TableText"/>
              <w:keepNext/>
              <w:keepLines/>
            </w:pPr>
          </w:p>
        </w:tc>
        <w:tc>
          <w:tcPr>
            <w:tcW w:w="1298" w:type="dxa"/>
            <w:gridSpan w:val="3"/>
          </w:tcPr>
          <w:p w14:paraId="7CCF5944" w14:textId="77777777" w:rsidR="00395D3F" w:rsidRPr="00E40A38" w:rsidRDefault="00395D3F" w:rsidP="005F426F">
            <w:pPr>
              <w:pStyle w:val="TableText"/>
              <w:keepNext/>
              <w:keepLines/>
            </w:pPr>
          </w:p>
        </w:tc>
        <w:tc>
          <w:tcPr>
            <w:tcW w:w="1298" w:type="dxa"/>
            <w:gridSpan w:val="2"/>
          </w:tcPr>
          <w:p w14:paraId="39A076FF" w14:textId="77777777" w:rsidR="00395D3F" w:rsidRPr="00E40A38" w:rsidRDefault="00395D3F" w:rsidP="005F426F">
            <w:pPr>
              <w:pStyle w:val="TableText"/>
              <w:keepNext/>
              <w:keepLines/>
            </w:pPr>
          </w:p>
        </w:tc>
        <w:tc>
          <w:tcPr>
            <w:tcW w:w="1298" w:type="dxa"/>
            <w:gridSpan w:val="4"/>
          </w:tcPr>
          <w:p w14:paraId="5C01E0B0" w14:textId="77777777" w:rsidR="00395D3F" w:rsidRPr="00E40A38" w:rsidRDefault="00395D3F" w:rsidP="005F426F">
            <w:pPr>
              <w:pStyle w:val="TableText"/>
              <w:keepNext/>
              <w:keepLines/>
            </w:pPr>
          </w:p>
        </w:tc>
        <w:tc>
          <w:tcPr>
            <w:tcW w:w="1299" w:type="dxa"/>
            <w:gridSpan w:val="2"/>
          </w:tcPr>
          <w:p w14:paraId="45B56B89" w14:textId="77777777" w:rsidR="00395D3F" w:rsidRPr="007A3C93" w:rsidRDefault="00395D3F" w:rsidP="005F426F">
            <w:pPr>
              <w:pStyle w:val="TableText"/>
              <w:keepNext/>
              <w:keepLines/>
            </w:pPr>
          </w:p>
        </w:tc>
      </w:tr>
      <w:tr w:rsidR="00CF6488" w:rsidRPr="00E40A38" w14:paraId="526C19A3" w14:textId="4F919FA1" w:rsidTr="005D76F9">
        <w:tc>
          <w:tcPr>
            <w:tcW w:w="2405" w:type="dxa"/>
          </w:tcPr>
          <w:p w14:paraId="0CD2C0C9" w14:textId="4F388980" w:rsidR="00395D3F" w:rsidRPr="00E40A38" w:rsidRDefault="00395D3F" w:rsidP="005F426F">
            <w:pPr>
              <w:pStyle w:val="TableText"/>
              <w:keepNext/>
              <w:keepLines/>
            </w:pPr>
            <w:r w:rsidRPr="00E40A38">
              <w:t xml:space="preserve">Unadjusted </w:t>
            </w:r>
            <w:proofErr w:type="spellStart"/>
            <w:r w:rsidRPr="00E40A38">
              <w:t>ABR</w:t>
            </w:r>
            <w:r w:rsidR="004324D4">
              <w:rPr>
                <w:vertAlign w:val="superscript"/>
              </w:rPr>
              <w:t>a</w:t>
            </w:r>
            <w:proofErr w:type="spellEnd"/>
          </w:p>
        </w:tc>
        <w:tc>
          <w:tcPr>
            <w:tcW w:w="1418" w:type="dxa"/>
            <w:gridSpan w:val="4"/>
            <w:shd w:val="clear" w:color="auto" w:fill="BDD6EE" w:themeFill="accent1" w:themeFillTint="66"/>
          </w:tcPr>
          <w:p w14:paraId="0C3A8EAD" w14:textId="77777777" w:rsidR="00395D3F" w:rsidRPr="00E40A38" w:rsidRDefault="00395D3F" w:rsidP="005F426F">
            <w:pPr>
              <w:pStyle w:val="TableText"/>
              <w:keepNext/>
              <w:keepLines/>
            </w:pPr>
            <w:r w:rsidRPr="00E40A38">
              <w:t xml:space="preserve">4.64 </w:t>
            </w:r>
          </w:p>
        </w:tc>
        <w:tc>
          <w:tcPr>
            <w:tcW w:w="1298" w:type="dxa"/>
            <w:gridSpan w:val="3"/>
            <w:shd w:val="clear" w:color="auto" w:fill="BDD6EE" w:themeFill="accent1" w:themeFillTint="66"/>
          </w:tcPr>
          <w:p w14:paraId="3D804A68" w14:textId="77777777" w:rsidR="00395D3F" w:rsidRPr="00E40A38" w:rsidRDefault="00395D3F" w:rsidP="005F426F">
            <w:pPr>
              <w:pStyle w:val="TableText"/>
              <w:keepNext/>
              <w:keepLines/>
            </w:pPr>
            <w:r w:rsidRPr="00E40A38">
              <w:t>1.40</w:t>
            </w:r>
          </w:p>
        </w:tc>
        <w:tc>
          <w:tcPr>
            <w:tcW w:w="1298" w:type="dxa"/>
            <w:gridSpan w:val="2"/>
            <w:shd w:val="clear" w:color="auto" w:fill="BDD6EE" w:themeFill="accent1" w:themeFillTint="66"/>
          </w:tcPr>
          <w:p w14:paraId="7DB33D29" w14:textId="77777777" w:rsidR="00395D3F" w:rsidRPr="00E40A38" w:rsidRDefault="00395D3F" w:rsidP="005F426F">
            <w:pPr>
              <w:pStyle w:val="TableText"/>
              <w:keepNext/>
              <w:keepLines/>
            </w:pPr>
            <w:r w:rsidRPr="00E40A38">
              <w:t>1.37</w:t>
            </w:r>
          </w:p>
        </w:tc>
        <w:tc>
          <w:tcPr>
            <w:tcW w:w="1298" w:type="dxa"/>
            <w:gridSpan w:val="4"/>
            <w:shd w:val="clear" w:color="auto" w:fill="BDD6EE" w:themeFill="accent1" w:themeFillTint="66"/>
          </w:tcPr>
          <w:p w14:paraId="603E55BD" w14:textId="77777777" w:rsidR="00395D3F" w:rsidRPr="00E40A38" w:rsidRDefault="00395D3F" w:rsidP="005F426F">
            <w:pPr>
              <w:pStyle w:val="TableText"/>
              <w:keepNext/>
              <w:keepLines/>
            </w:pPr>
            <w:r w:rsidRPr="00E40A38">
              <w:t>1.42</w:t>
            </w:r>
          </w:p>
        </w:tc>
        <w:tc>
          <w:tcPr>
            <w:tcW w:w="1299" w:type="dxa"/>
            <w:gridSpan w:val="2"/>
          </w:tcPr>
          <w:p w14:paraId="20A5D1A3" w14:textId="62876D22" w:rsidR="00395D3F" w:rsidRPr="00D84B66" w:rsidRDefault="00AF136C" w:rsidP="005F426F">
            <w:pPr>
              <w:pStyle w:val="TableText"/>
              <w:keepNext/>
              <w:keepLines/>
            </w:pPr>
            <w:r w:rsidRPr="00D84B66">
              <w:t>1.18</w:t>
            </w:r>
          </w:p>
        </w:tc>
      </w:tr>
      <w:tr w:rsidR="00CF6488" w:rsidRPr="00E40A38" w14:paraId="34E33674" w14:textId="6F587530" w:rsidTr="005D76F9">
        <w:tc>
          <w:tcPr>
            <w:tcW w:w="2405" w:type="dxa"/>
          </w:tcPr>
          <w:p w14:paraId="18206439" w14:textId="77777777" w:rsidR="00395D3F" w:rsidRPr="00E40A38" w:rsidRDefault="00395D3F" w:rsidP="005F426F">
            <w:pPr>
              <w:pStyle w:val="TableText"/>
              <w:keepNext/>
              <w:keepLines/>
            </w:pPr>
            <w:r w:rsidRPr="00E40A38">
              <w:t>Adjusted ABR (95% CI)</w:t>
            </w:r>
          </w:p>
          <w:p w14:paraId="2DB1A8AA" w14:textId="77777777" w:rsidR="00395D3F" w:rsidRPr="00E40A38" w:rsidRDefault="00395D3F" w:rsidP="005F426F">
            <w:pPr>
              <w:pStyle w:val="TableText"/>
              <w:keepNext/>
              <w:keepLines/>
            </w:pPr>
            <w:r w:rsidRPr="00E40A38">
              <w:t>Primary endpoint definition</w:t>
            </w:r>
          </w:p>
        </w:tc>
        <w:tc>
          <w:tcPr>
            <w:tcW w:w="1418" w:type="dxa"/>
            <w:gridSpan w:val="4"/>
            <w:shd w:val="clear" w:color="auto" w:fill="BDD6EE" w:themeFill="accent1" w:themeFillTint="66"/>
          </w:tcPr>
          <w:p w14:paraId="13A03FF4" w14:textId="7CEE6B7C" w:rsidR="00395D3F" w:rsidRPr="00E40A38" w:rsidRDefault="00395D3F" w:rsidP="005F426F">
            <w:pPr>
              <w:pStyle w:val="TableText"/>
              <w:keepNext/>
              <w:keepLines/>
              <w:rPr>
                <w:highlight w:val="yellow"/>
              </w:rPr>
            </w:pPr>
            <w:r w:rsidRPr="00E40A38">
              <w:t xml:space="preserve">4.97 </w:t>
            </w:r>
            <w:r w:rsidR="00CF6488">
              <w:br/>
            </w:r>
            <w:r w:rsidRPr="00E40A38">
              <w:t>(3.66, 6.75)</w:t>
            </w:r>
          </w:p>
        </w:tc>
        <w:tc>
          <w:tcPr>
            <w:tcW w:w="1298" w:type="dxa"/>
            <w:gridSpan w:val="3"/>
            <w:shd w:val="clear" w:color="auto" w:fill="BDD6EE" w:themeFill="accent1" w:themeFillTint="66"/>
          </w:tcPr>
          <w:p w14:paraId="05C21DFB" w14:textId="58FFB114" w:rsidR="00395D3F" w:rsidRPr="00E40A38" w:rsidRDefault="00395D3F" w:rsidP="005F426F">
            <w:pPr>
              <w:pStyle w:val="TableText"/>
              <w:keepNext/>
              <w:keepLines/>
              <w:rPr>
                <w:highlight w:val="yellow"/>
              </w:rPr>
            </w:pPr>
            <w:r w:rsidRPr="00E40A38">
              <w:t xml:space="preserve">8.77 </w:t>
            </w:r>
            <w:r w:rsidR="00CF6488">
              <w:br/>
            </w:r>
            <w:r w:rsidRPr="00E40A38">
              <w:t>(1.97, 39.06)</w:t>
            </w:r>
          </w:p>
        </w:tc>
        <w:tc>
          <w:tcPr>
            <w:tcW w:w="1298" w:type="dxa"/>
            <w:gridSpan w:val="2"/>
            <w:shd w:val="clear" w:color="auto" w:fill="BDD6EE" w:themeFill="accent1" w:themeFillTint="66"/>
          </w:tcPr>
          <w:p w14:paraId="0304CB5A" w14:textId="64393769" w:rsidR="00395D3F" w:rsidRPr="00E40A38" w:rsidRDefault="00395D3F" w:rsidP="005F426F">
            <w:pPr>
              <w:pStyle w:val="TableText"/>
              <w:keepNext/>
              <w:keepLines/>
            </w:pPr>
            <w:r w:rsidRPr="00E40A38">
              <w:t xml:space="preserve">12.59 </w:t>
            </w:r>
            <w:r w:rsidR="00CF6488">
              <w:br/>
            </w:r>
            <w:r w:rsidRPr="00E40A38">
              <w:t>(2.95, 53.66)</w:t>
            </w:r>
          </w:p>
        </w:tc>
        <w:tc>
          <w:tcPr>
            <w:tcW w:w="1298" w:type="dxa"/>
            <w:gridSpan w:val="4"/>
            <w:shd w:val="clear" w:color="auto" w:fill="BDD6EE" w:themeFill="accent1" w:themeFillTint="66"/>
          </w:tcPr>
          <w:p w14:paraId="69F9F2C4" w14:textId="020FAD9C" w:rsidR="00395D3F" w:rsidRPr="00E40A38" w:rsidRDefault="00395D3F" w:rsidP="005F426F">
            <w:pPr>
              <w:pStyle w:val="TableText"/>
              <w:keepNext/>
              <w:keepLines/>
            </w:pPr>
            <w:r w:rsidRPr="00E40A38">
              <w:t xml:space="preserve">17.71 </w:t>
            </w:r>
            <w:r w:rsidR="00CF6488">
              <w:br/>
            </w:r>
            <w:r w:rsidRPr="00E40A38">
              <w:t>(3.98, 78.72)</w:t>
            </w:r>
          </w:p>
        </w:tc>
        <w:tc>
          <w:tcPr>
            <w:tcW w:w="1299" w:type="dxa"/>
            <w:gridSpan w:val="2"/>
          </w:tcPr>
          <w:p w14:paraId="2F94A95A" w14:textId="2E83F3D1" w:rsidR="00395D3F" w:rsidRPr="002D5EC4" w:rsidRDefault="009B4F01" w:rsidP="005F426F">
            <w:pPr>
              <w:pStyle w:val="TableText"/>
              <w:keepNext/>
              <w:keepLines/>
            </w:pPr>
            <w:r w:rsidRPr="000A0B14">
              <w:t xml:space="preserve">26.03 </w:t>
            </w:r>
            <w:r w:rsidR="00CF6488" w:rsidRPr="000A0B14">
              <w:br/>
            </w:r>
            <w:r w:rsidRPr="000A0B14">
              <w:t>(5.60, 121.01)</w:t>
            </w:r>
          </w:p>
        </w:tc>
      </w:tr>
      <w:tr w:rsidR="00CF6488" w:rsidRPr="00E40A38" w14:paraId="2239754B" w14:textId="322069B4" w:rsidTr="005D76F9">
        <w:tc>
          <w:tcPr>
            <w:tcW w:w="2405" w:type="dxa"/>
          </w:tcPr>
          <w:p w14:paraId="7DEEC97C" w14:textId="4A4CCE7E" w:rsidR="00395D3F" w:rsidRPr="00E40A38" w:rsidRDefault="00395D3F" w:rsidP="005F426F">
            <w:pPr>
              <w:pStyle w:val="TableText"/>
              <w:keepNext/>
              <w:keepLines/>
            </w:pPr>
            <w:r w:rsidRPr="00E40A38">
              <w:t xml:space="preserve">Rate </w:t>
            </w:r>
            <w:proofErr w:type="spellStart"/>
            <w:r w:rsidRPr="00E40A38">
              <w:t>ratio</w:t>
            </w:r>
            <w:r w:rsidR="00FD2CE4" w:rsidRPr="00FD2CE4">
              <w:rPr>
                <w:vertAlign w:val="superscript"/>
              </w:rPr>
              <w:t>b</w:t>
            </w:r>
            <w:proofErr w:type="spellEnd"/>
            <w:r w:rsidR="007A2345">
              <w:t xml:space="preserve"> </w:t>
            </w:r>
            <w:r w:rsidR="007E02D0">
              <w:br/>
            </w:r>
            <w:r w:rsidRPr="00E40A38">
              <w:t>(2-sided Wald 95% CI)</w:t>
            </w:r>
            <w:r w:rsidR="007E02D0">
              <w:br/>
            </w:r>
            <w:r w:rsidRPr="00E40A38">
              <w:t>p-value</w:t>
            </w:r>
          </w:p>
        </w:tc>
        <w:tc>
          <w:tcPr>
            <w:tcW w:w="1418" w:type="dxa"/>
            <w:gridSpan w:val="4"/>
            <w:shd w:val="clear" w:color="auto" w:fill="BDD6EE" w:themeFill="accent1" w:themeFillTint="66"/>
          </w:tcPr>
          <w:p w14:paraId="4CB4A3C4" w14:textId="77777777" w:rsidR="00395D3F" w:rsidRPr="00E40A38" w:rsidRDefault="00395D3F" w:rsidP="005F426F">
            <w:pPr>
              <w:pStyle w:val="TableText"/>
              <w:keepNext/>
              <w:keepLines/>
            </w:pPr>
            <w:r w:rsidRPr="00E40A38">
              <w:t>-</w:t>
            </w:r>
          </w:p>
        </w:tc>
        <w:tc>
          <w:tcPr>
            <w:tcW w:w="1298" w:type="dxa"/>
            <w:gridSpan w:val="3"/>
            <w:shd w:val="clear" w:color="auto" w:fill="BDD6EE" w:themeFill="accent1" w:themeFillTint="66"/>
          </w:tcPr>
          <w:p w14:paraId="48FB6AA6" w14:textId="172D70F9" w:rsidR="00395D3F" w:rsidRPr="00E40A38" w:rsidRDefault="00395D3F" w:rsidP="005F426F">
            <w:pPr>
              <w:pStyle w:val="TableText"/>
              <w:keepNext/>
              <w:keepLines/>
            </w:pPr>
            <w:r w:rsidRPr="00E40A38">
              <w:t xml:space="preserve">1.77 </w:t>
            </w:r>
            <w:r w:rsidR="00CF6488">
              <w:br/>
            </w:r>
            <w:r w:rsidRPr="00E40A38">
              <w:t>(0.41, 7.62)</w:t>
            </w:r>
            <w:r w:rsidR="00B043E6">
              <w:br/>
            </w:r>
            <w:r w:rsidRPr="00E40A38">
              <w:t xml:space="preserve">p=0.2232 </w:t>
            </w:r>
          </w:p>
        </w:tc>
        <w:tc>
          <w:tcPr>
            <w:tcW w:w="1298" w:type="dxa"/>
            <w:gridSpan w:val="2"/>
            <w:shd w:val="clear" w:color="auto" w:fill="BDD6EE" w:themeFill="accent1" w:themeFillTint="66"/>
          </w:tcPr>
          <w:p w14:paraId="703730FA" w14:textId="4553B4FB" w:rsidR="00395D3F" w:rsidRPr="00E40A38" w:rsidRDefault="00395D3F" w:rsidP="005F426F">
            <w:pPr>
              <w:pStyle w:val="TableText"/>
              <w:keepNext/>
              <w:keepLines/>
            </w:pPr>
            <w:r w:rsidRPr="00E40A38">
              <w:t xml:space="preserve">2.56 </w:t>
            </w:r>
            <w:r w:rsidR="00CF6488">
              <w:br/>
            </w:r>
            <w:r w:rsidRPr="00E40A38">
              <w:t>(0.61, 10.66)</w:t>
            </w:r>
            <w:r w:rsidR="00B043E6">
              <w:br/>
            </w:r>
            <w:r w:rsidRPr="00E40A38">
              <w:t xml:space="preserve">p=0.0986 </w:t>
            </w:r>
          </w:p>
        </w:tc>
        <w:tc>
          <w:tcPr>
            <w:tcW w:w="1298" w:type="dxa"/>
            <w:gridSpan w:val="4"/>
            <w:shd w:val="clear" w:color="auto" w:fill="BDD6EE" w:themeFill="accent1" w:themeFillTint="66"/>
          </w:tcPr>
          <w:p w14:paraId="105EDC63" w14:textId="3752E7B0" w:rsidR="00395D3F" w:rsidRPr="00E40A38" w:rsidRDefault="00395D3F" w:rsidP="005F426F">
            <w:pPr>
              <w:pStyle w:val="TableText"/>
              <w:keepNext/>
              <w:keepLines/>
            </w:pPr>
            <w:r w:rsidRPr="00E40A38">
              <w:t xml:space="preserve">3.62 </w:t>
            </w:r>
            <w:r w:rsidR="00CF6488">
              <w:br/>
            </w:r>
            <w:r w:rsidRPr="00E40A38">
              <w:t>(0.82, 15.98)</w:t>
            </w:r>
            <w:r w:rsidR="00B043E6">
              <w:br/>
            </w:r>
            <w:r w:rsidRPr="00E40A38">
              <w:t>p=0.9556</w:t>
            </w:r>
          </w:p>
        </w:tc>
        <w:tc>
          <w:tcPr>
            <w:tcW w:w="1299" w:type="dxa"/>
            <w:gridSpan w:val="2"/>
          </w:tcPr>
          <w:p w14:paraId="2083E0C8" w14:textId="46AD5668" w:rsidR="00395D3F" w:rsidRPr="002D5EC4" w:rsidRDefault="009B4F01" w:rsidP="005F426F">
            <w:pPr>
              <w:pStyle w:val="TableText"/>
              <w:keepNext/>
              <w:keepLines/>
            </w:pPr>
            <w:r w:rsidRPr="000A0B14">
              <w:t xml:space="preserve">5.38 </w:t>
            </w:r>
            <w:r w:rsidR="00CF6488" w:rsidRPr="000A0B14">
              <w:br/>
            </w:r>
            <w:r w:rsidRPr="000A0B14">
              <w:t>(1.14, 25.27)</w:t>
            </w:r>
            <w:r w:rsidR="00B043E6" w:rsidRPr="000A0B14">
              <w:br/>
            </w:r>
            <w:r w:rsidR="00A8402F" w:rsidRPr="000A0B14">
              <w:t>p</w:t>
            </w:r>
            <w:r w:rsidR="00EA172B" w:rsidRPr="000A0B14">
              <w:t>=0.9835</w:t>
            </w:r>
          </w:p>
        </w:tc>
      </w:tr>
      <w:tr w:rsidR="00F76EF0" w:rsidRPr="00E40A38" w14:paraId="4C69AFD8" w14:textId="67021D49" w:rsidTr="005D76F9">
        <w:tc>
          <w:tcPr>
            <w:tcW w:w="3397" w:type="dxa"/>
            <w:gridSpan w:val="4"/>
          </w:tcPr>
          <w:p w14:paraId="115581FC" w14:textId="1FAFE6D2" w:rsidR="00395D3F" w:rsidRPr="00E40A38" w:rsidRDefault="00FF7331" w:rsidP="005F426F">
            <w:pPr>
              <w:pStyle w:val="TableText"/>
              <w:keepNext/>
              <w:keepLines/>
              <w:rPr>
                <w:b/>
                <w:vertAlign w:val="superscript"/>
              </w:rPr>
            </w:pPr>
            <w:r>
              <w:rPr>
                <w:b/>
              </w:rPr>
              <w:t>Anti-</w:t>
            </w:r>
            <w:r w:rsidR="00395D3F" w:rsidRPr="00E40A38">
              <w:rPr>
                <w:b/>
              </w:rPr>
              <w:t xml:space="preserve">AAV5 titre </w:t>
            </w:r>
            <w:r w:rsidR="00E5585F">
              <w:rPr>
                <w:b/>
              </w:rPr>
              <w:t xml:space="preserve">&gt;LOD and </w:t>
            </w:r>
            <w:r w:rsidR="00395D3F" w:rsidRPr="00E40A38">
              <w:rPr>
                <w:b/>
              </w:rPr>
              <w:t>&lt;3000 (n=20)</w:t>
            </w:r>
            <w:r w:rsidR="004324D4">
              <w:rPr>
                <w:vertAlign w:val="superscript"/>
              </w:rPr>
              <w:t>c</w:t>
            </w:r>
          </w:p>
        </w:tc>
        <w:tc>
          <w:tcPr>
            <w:tcW w:w="567" w:type="dxa"/>
            <w:gridSpan w:val="2"/>
          </w:tcPr>
          <w:p w14:paraId="18685BD1" w14:textId="77777777" w:rsidR="00395D3F" w:rsidRPr="00E40A38" w:rsidRDefault="00395D3F" w:rsidP="005F426F">
            <w:pPr>
              <w:pStyle w:val="TableText"/>
              <w:keepNext/>
              <w:keepLines/>
            </w:pPr>
          </w:p>
        </w:tc>
        <w:tc>
          <w:tcPr>
            <w:tcW w:w="638" w:type="dxa"/>
          </w:tcPr>
          <w:p w14:paraId="76972E66" w14:textId="77777777" w:rsidR="00395D3F" w:rsidRPr="00E40A38" w:rsidRDefault="00395D3F" w:rsidP="005F426F">
            <w:pPr>
              <w:pStyle w:val="TableText"/>
              <w:keepNext/>
              <w:keepLines/>
            </w:pPr>
          </w:p>
        </w:tc>
        <w:tc>
          <w:tcPr>
            <w:tcW w:w="1471" w:type="dxa"/>
            <w:gridSpan w:val="2"/>
          </w:tcPr>
          <w:p w14:paraId="20DBF837" w14:textId="77777777" w:rsidR="00395D3F" w:rsidRPr="00E40A38" w:rsidRDefault="00395D3F" w:rsidP="005F426F">
            <w:pPr>
              <w:pStyle w:val="TableText"/>
              <w:keepNext/>
              <w:keepLines/>
            </w:pPr>
          </w:p>
        </w:tc>
        <w:tc>
          <w:tcPr>
            <w:tcW w:w="1471" w:type="dxa"/>
            <w:gridSpan w:val="4"/>
          </w:tcPr>
          <w:p w14:paraId="31CE24E2" w14:textId="77777777" w:rsidR="00395D3F" w:rsidRPr="00E40A38" w:rsidRDefault="00395D3F" w:rsidP="005F426F">
            <w:pPr>
              <w:pStyle w:val="TableText"/>
              <w:keepNext/>
              <w:keepLines/>
            </w:pPr>
          </w:p>
        </w:tc>
        <w:tc>
          <w:tcPr>
            <w:tcW w:w="1472" w:type="dxa"/>
            <w:gridSpan w:val="3"/>
          </w:tcPr>
          <w:p w14:paraId="572A615E" w14:textId="77777777" w:rsidR="00395D3F" w:rsidRPr="002D5EC4" w:rsidRDefault="00395D3F" w:rsidP="005F426F">
            <w:pPr>
              <w:pStyle w:val="TableText"/>
              <w:keepNext/>
              <w:keepLines/>
            </w:pPr>
          </w:p>
        </w:tc>
      </w:tr>
      <w:tr w:rsidR="00CF6488" w:rsidRPr="00E40A38" w14:paraId="4CAB48EF" w14:textId="08B35251" w:rsidTr="005D76F9">
        <w:tc>
          <w:tcPr>
            <w:tcW w:w="2405" w:type="dxa"/>
          </w:tcPr>
          <w:p w14:paraId="0D8BBEB9" w14:textId="48817856" w:rsidR="00395D3F" w:rsidRPr="00E40A38" w:rsidRDefault="00395D3F" w:rsidP="005F426F">
            <w:pPr>
              <w:pStyle w:val="TableText"/>
              <w:keepNext/>
              <w:keepLines/>
            </w:pPr>
            <w:r w:rsidRPr="00E40A38">
              <w:t xml:space="preserve">Unadjusted </w:t>
            </w:r>
            <w:proofErr w:type="spellStart"/>
            <w:r w:rsidRPr="00E40A38">
              <w:t>ABR</w:t>
            </w:r>
            <w:r w:rsidR="004324D4">
              <w:rPr>
                <w:vertAlign w:val="superscript"/>
              </w:rPr>
              <w:t>a</w:t>
            </w:r>
            <w:proofErr w:type="spellEnd"/>
          </w:p>
        </w:tc>
        <w:tc>
          <w:tcPr>
            <w:tcW w:w="1418" w:type="dxa"/>
            <w:gridSpan w:val="4"/>
            <w:shd w:val="clear" w:color="auto" w:fill="BDD6EE" w:themeFill="accent1" w:themeFillTint="66"/>
          </w:tcPr>
          <w:p w14:paraId="45207D19" w14:textId="77777777" w:rsidR="00395D3F" w:rsidRPr="00E40A38" w:rsidRDefault="00395D3F" w:rsidP="005F426F">
            <w:pPr>
              <w:pStyle w:val="TableText"/>
              <w:keepNext/>
              <w:keepLines/>
            </w:pPr>
            <w:r w:rsidRPr="00E40A38">
              <w:t>4.84</w:t>
            </w:r>
          </w:p>
        </w:tc>
        <w:tc>
          <w:tcPr>
            <w:tcW w:w="1298" w:type="dxa"/>
            <w:gridSpan w:val="3"/>
            <w:shd w:val="clear" w:color="auto" w:fill="BDD6EE" w:themeFill="accent1" w:themeFillTint="66"/>
          </w:tcPr>
          <w:p w14:paraId="0A6C0346" w14:textId="77777777" w:rsidR="00395D3F" w:rsidRPr="00E40A38" w:rsidRDefault="00395D3F" w:rsidP="005F426F">
            <w:pPr>
              <w:pStyle w:val="TableText"/>
              <w:keepNext/>
              <w:keepLines/>
            </w:pPr>
            <w:r w:rsidRPr="00E40A38">
              <w:t>1.13</w:t>
            </w:r>
          </w:p>
        </w:tc>
        <w:tc>
          <w:tcPr>
            <w:tcW w:w="1298" w:type="dxa"/>
            <w:gridSpan w:val="2"/>
            <w:shd w:val="clear" w:color="auto" w:fill="BDD6EE" w:themeFill="accent1" w:themeFillTint="66"/>
          </w:tcPr>
          <w:p w14:paraId="6CC64A13" w14:textId="77777777" w:rsidR="00395D3F" w:rsidRPr="00E40A38" w:rsidRDefault="00395D3F" w:rsidP="005F426F">
            <w:pPr>
              <w:pStyle w:val="TableText"/>
              <w:keepNext/>
              <w:keepLines/>
            </w:pPr>
            <w:r w:rsidRPr="00E40A38">
              <w:t>1.18</w:t>
            </w:r>
          </w:p>
        </w:tc>
        <w:tc>
          <w:tcPr>
            <w:tcW w:w="1298" w:type="dxa"/>
            <w:gridSpan w:val="4"/>
            <w:shd w:val="clear" w:color="auto" w:fill="BDD6EE" w:themeFill="accent1" w:themeFillTint="66"/>
          </w:tcPr>
          <w:p w14:paraId="0E14BD35" w14:textId="77777777" w:rsidR="00395D3F" w:rsidRPr="00E40A38" w:rsidRDefault="00395D3F" w:rsidP="005F426F">
            <w:pPr>
              <w:pStyle w:val="TableText"/>
              <w:keepNext/>
              <w:keepLines/>
            </w:pPr>
            <w:r w:rsidRPr="00E40A38">
              <w:t>1.30</w:t>
            </w:r>
          </w:p>
        </w:tc>
        <w:tc>
          <w:tcPr>
            <w:tcW w:w="1299" w:type="dxa"/>
            <w:gridSpan w:val="2"/>
          </w:tcPr>
          <w:p w14:paraId="6269B2CF" w14:textId="014D3483" w:rsidR="00395D3F" w:rsidRPr="000A0B14" w:rsidRDefault="007A1625" w:rsidP="005F426F">
            <w:pPr>
              <w:pStyle w:val="TableText"/>
              <w:keepNext/>
              <w:keepLines/>
            </w:pPr>
            <w:r w:rsidRPr="000A0B14">
              <w:t>1.10</w:t>
            </w:r>
          </w:p>
        </w:tc>
      </w:tr>
      <w:tr w:rsidR="00CF6488" w:rsidRPr="00E40A38" w14:paraId="0D8F07AC" w14:textId="4E95B893" w:rsidTr="005D76F9">
        <w:tc>
          <w:tcPr>
            <w:tcW w:w="2405" w:type="dxa"/>
          </w:tcPr>
          <w:p w14:paraId="6219D8E1" w14:textId="77777777" w:rsidR="00395D3F" w:rsidRPr="00E40A38" w:rsidRDefault="00395D3F" w:rsidP="005F426F">
            <w:pPr>
              <w:pStyle w:val="TableText"/>
              <w:keepNext/>
              <w:keepLines/>
            </w:pPr>
            <w:r w:rsidRPr="00E40A38">
              <w:t>Adjusted ABR (95% CI)</w:t>
            </w:r>
          </w:p>
          <w:p w14:paraId="14A22AB3" w14:textId="77777777" w:rsidR="00395D3F" w:rsidRPr="00E40A38" w:rsidRDefault="00395D3F" w:rsidP="005F426F">
            <w:pPr>
              <w:pStyle w:val="TableText"/>
              <w:keepNext/>
              <w:keepLines/>
            </w:pPr>
            <w:r w:rsidRPr="00E40A38">
              <w:t>Primary endpoint definition</w:t>
            </w:r>
          </w:p>
        </w:tc>
        <w:tc>
          <w:tcPr>
            <w:tcW w:w="1418" w:type="dxa"/>
            <w:gridSpan w:val="4"/>
            <w:shd w:val="clear" w:color="auto" w:fill="BDD6EE" w:themeFill="accent1" w:themeFillTint="66"/>
          </w:tcPr>
          <w:p w14:paraId="2C4CCB47" w14:textId="6DAF6624" w:rsidR="00395D3F" w:rsidRPr="00E40A38" w:rsidRDefault="00395D3F" w:rsidP="005F426F">
            <w:pPr>
              <w:pStyle w:val="TableText"/>
              <w:keepNext/>
              <w:keepLines/>
              <w:rPr>
                <w:highlight w:val="yellow"/>
              </w:rPr>
            </w:pPr>
            <w:r w:rsidRPr="00E40A38">
              <w:t xml:space="preserve">4.30 </w:t>
            </w:r>
            <w:r w:rsidR="00CF6488">
              <w:br/>
            </w:r>
            <w:r w:rsidRPr="00E40A38">
              <w:t>(3.08, 6.00)</w:t>
            </w:r>
          </w:p>
        </w:tc>
        <w:tc>
          <w:tcPr>
            <w:tcW w:w="1298" w:type="dxa"/>
            <w:gridSpan w:val="3"/>
            <w:shd w:val="clear" w:color="auto" w:fill="BDD6EE" w:themeFill="accent1" w:themeFillTint="66"/>
          </w:tcPr>
          <w:p w14:paraId="191F29C1" w14:textId="458BDA1B" w:rsidR="00395D3F" w:rsidRPr="00E40A38" w:rsidRDefault="00395D3F" w:rsidP="005F426F">
            <w:pPr>
              <w:pStyle w:val="TableText"/>
              <w:keepNext/>
              <w:keepLines/>
              <w:rPr>
                <w:highlight w:val="yellow"/>
              </w:rPr>
            </w:pPr>
            <w:r w:rsidRPr="00E40A38">
              <w:t xml:space="preserve">1.30 </w:t>
            </w:r>
            <w:r w:rsidR="00CF6488">
              <w:br/>
            </w:r>
            <w:r w:rsidRPr="00E40A38">
              <w:t>(0.63, 2.71)</w:t>
            </w:r>
          </w:p>
        </w:tc>
        <w:tc>
          <w:tcPr>
            <w:tcW w:w="1298" w:type="dxa"/>
            <w:gridSpan w:val="2"/>
            <w:shd w:val="clear" w:color="auto" w:fill="BDD6EE" w:themeFill="accent1" w:themeFillTint="66"/>
          </w:tcPr>
          <w:p w14:paraId="5B91851D" w14:textId="213B24FD" w:rsidR="00395D3F" w:rsidRPr="00E40A38" w:rsidRDefault="00395D3F" w:rsidP="005F426F">
            <w:pPr>
              <w:pStyle w:val="TableText"/>
              <w:keepNext/>
              <w:keepLines/>
              <w:rPr>
                <w:highlight w:val="yellow"/>
              </w:rPr>
            </w:pPr>
            <w:r w:rsidRPr="00E40A38">
              <w:t xml:space="preserve">1.65 </w:t>
            </w:r>
            <w:r w:rsidR="00CF6488">
              <w:br/>
            </w:r>
            <w:r w:rsidRPr="00E40A38">
              <w:t>(0.84, 3.26)</w:t>
            </w:r>
          </w:p>
        </w:tc>
        <w:tc>
          <w:tcPr>
            <w:tcW w:w="1298" w:type="dxa"/>
            <w:gridSpan w:val="4"/>
            <w:shd w:val="clear" w:color="auto" w:fill="BDD6EE" w:themeFill="accent1" w:themeFillTint="66"/>
          </w:tcPr>
          <w:p w14:paraId="78AC859E" w14:textId="7506CCF5" w:rsidR="00395D3F" w:rsidRPr="00E40A38" w:rsidRDefault="00395D3F" w:rsidP="005F426F">
            <w:pPr>
              <w:pStyle w:val="TableText"/>
              <w:keepNext/>
              <w:keepLines/>
            </w:pPr>
            <w:r w:rsidRPr="00E40A38">
              <w:t xml:space="preserve">2.14 </w:t>
            </w:r>
            <w:r w:rsidR="00CF6488">
              <w:br/>
            </w:r>
            <w:r w:rsidRPr="00E40A38">
              <w:t xml:space="preserve">(0.96, 4.77) </w:t>
            </w:r>
          </w:p>
        </w:tc>
        <w:tc>
          <w:tcPr>
            <w:tcW w:w="1299" w:type="dxa"/>
            <w:gridSpan w:val="2"/>
          </w:tcPr>
          <w:p w14:paraId="60D6AD7A" w14:textId="20F1C50C" w:rsidR="00395D3F" w:rsidRPr="000A0B14" w:rsidRDefault="0081125A" w:rsidP="005F426F">
            <w:pPr>
              <w:pStyle w:val="TableText"/>
              <w:keepNext/>
              <w:keepLines/>
            </w:pPr>
            <w:r w:rsidRPr="000A0B14">
              <w:t xml:space="preserve">2.81 </w:t>
            </w:r>
            <w:r w:rsidR="00CF6488" w:rsidRPr="000A0B14">
              <w:br/>
            </w:r>
            <w:r w:rsidRPr="000A0B14">
              <w:t>(0.86, 9.17)</w:t>
            </w:r>
          </w:p>
        </w:tc>
      </w:tr>
      <w:tr w:rsidR="00CF6488" w:rsidRPr="00E40A38" w14:paraId="3783DAB4" w14:textId="0B6419FB" w:rsidTr="005D76F9">
        <w:tc>
          <w:tcPr>
            <w:tcW w:w="2405" w:type="dxa"/>
          </w:tcPr>
          <w:p w14:paraId="70E06D24" w14:textId="0EB53CC7" w:rsidR="00395D3F" w:rsidRPr="00E40A38" w:rsidRDefault="00395D3F" w:rsidP="005F426F">
            <w:pPr>
              <w:pStyle w:val="TableText"/>
              <w:keepNext/>
              <w:keepLines/>
            </w:pPr>
            <w:r w:rsidRPr="00E40A38">
              <w:t xml:space="preserve">Rate </w:t>
            </w:r>
            <w:proofErr w:type="spellStart"/>
            <w:r w:rsidRPr="00E40A38">
              <w:t>ratio</w:t>
            </w:r>
            <w:r w:rsidR="00FD2CE4" w:rsidRPr="00FD2CE4">
              <w:rPr>
                <w:vertAlign w:val="superscript"/>
              </w:rPr>
              <w:t>b</w:t>
            </w:r>
            <w:proofErr w:type="spellEnd"/>
            <w:r w:rsidR="007A2345">
              <w:t xml:space="preserve"> </w:t>
            </w:r>
            <w:r w:rsidR="007E02D0">
              <w:br/>
            </w:r>
            <w:r w:rsidRPr="00E40A38">
              <w:t>(2-sided Wald 95% CI)</w:t>
            </w:r>
            <w:r w:rsidR="007E02D0">
              <w:br/>
            </w:r>
            <w:r w:rsidRPr="00E40A38">
              <w:t>p-value</w:t>
            </w:r>
          </w:p>
        </w:tc>
        <w:tc>
          <w:tcPr>
            <w:tcW w:w="1418" w:type="dxa"/>
            <w:gridSpan w:val="4"/>
            <w:shd w:val="clear" w:color="auto" w:fill="BDD6EE" w:themeFill="accent1" w:themeFillTint="66"/>
          </w:tcPr>
          <w:p w14:paraId="6CC7EC12" w14:textId="77777777" w:rsidR="00395D3F" w:rsidRPr="00E40A38" w:rsidRDefault="00395D3F" w:rsidP="005F426F">
            <w:pPr>
              <w:pStyle w:val="TableText"/>
              <w:keepNext/>
              <w:keepLines/>
            </w:pPr>
            <w:r w:rsidRPr="00E40A38">
              <w:t>-</w:t>
            </w:r>
          </w:p>
        </w:tc>
        <w:tc>
          <w:tcPr>
            <w:tcW w:w="1298" w:type="dxa"/>
            <w:gridSpan w:val="3"/>
            <w:shd w:val="clear" w:color="auto" w:fill="BDD6EE" w:themeFill="accent1" w:themeFillTint="66"/>
          </w:tcPr>
          <w:p w14:paraId="4CB86141" w14:textId="6CBB6F72" w:rsidR="00395D3F" w:rsidRPr="00E40A38" w:rsidRDefault="00395D3F" w:rsidP="005F426F">
            <w:pPr>
              <w:pStyle w:val="TableText"/>
              <w:keepNext/>
              <w:keepLines/>
              <w:rPr>
                <w:b/>
                <w:bCs/>
              </w:rPr>
            </w:pPr>
            <w:r w:rsidRPr="00E40A38">
              <w:rPr>
                <w:b/>
                <w:bCs/>
              </w:rPr>
              <w:t xml:space="preserve">0.30 </w:t>
            </w:r>
            <w:r w:rsidR="00CF6488">
              <w:rPr>
                <w:b/>
                <w:bCs/>
              </w:rPr>
              <w:br/>
            </w:r>
            <w:r w:rsidRPr="00E40A38">
              <w:rPr>
                <w:b/>
                <w:bCs/>
              </w:rPr>
              <w:t>(0.15, 0.62)</w:t>
            </w:r>
            <w:r w:rsidR="00B043E6">
              <w:rPr>
                <w:b/>
                <w:bCs/>
              </w:rPr>
              <w:br/>
            </w:r>
            <w:r w:rsidRPr="00E40A38">
              <w:rPr>
                <w:b/>
                <w:bCs/>
              </w:rPr>
              <w:t>p=0.0005</w:t>
            </w:r>
          </w:p>
        </w:tc>
        <w:tc>
          <w:tcPr>
            <w:tcW w:w="1298" w:type="dxa"/>
            <w:gridSpan w:val="2"/>
            <w:shd w:val="clear" w:color="auto" w:fill="BDD6EE" w:themeFill="accent1" w:themeFillTint="66"/>
          </w:tcPr>
          <w:p w14:paraId="5877D80C" w14:textId="65CC613E" w:rsidR="00395D3F" w:rsidRPr="00E40A38" w:rsidRDefault="00395D3F" w:rsidP="005F426F">
            <w:pPr>
              <w:pStyle w:val="TableText"/>
              <w:keepNext/>
              <w:keepLines/>
              <w:rPr>
                <w:b/>
                <w:bCs/>
              </w:rPr>
            </w:pPr>
            <w:r w:rsidRPr="00E40A38">
              <w:rPr>
                <w:b/>
                <w:bCs/>
              </w:rPr>
              <w:t xml:space="preserve">0.39 </w:t>
            </w:r>
            <w:r w:rsidR="00CF6488">
              <w:rPr>
                <w:b/>
                <w:bCs/>
              </w:rPr>
              <w:br/>
            </w:r>
            <w:r w:rsidRPr="00E40A38">
              <w:rPr>
                <w:b/>
                <w:bCs/>
              </w:rPr>
              <w:t>(0.18, 0.82)</w:t>
            </w:r>
            <w:r w:rsidR="00B043E6">
              <w:rPr>
                <w:b/>
                <w:bCs/>
              </w:rPr>
              <w:br/>
            </w:r>
            <w:r w:rsidRPr="00E40A38">
              <w:rPr>
                <w:b/>
                <w:bCs/>
              </w:rPr>
              <w:t xml:space="preserve">p=0.0065 </w:t>
            </w:r>
          </w:p>
        </w:tc>
        <w:tc>
          <w:tcPr>
            <w:tcW w:w="1298" w:type="dxa"/>
            <w:gridSpan w:val="4"/>
            <w:shd w:val="clear" w:color="auto" w:fill="BDD6EE" w:themeFill="accent1" w:themeFillTint="66"/>
          </w:tcPr>
          <w:p w14:paraId="08A8319C" w14:textId="703614E4" w:rsidR="00395D3F" w:rsidRPr="00E40A38" w:rsidRDefault="00395D3F" w:rsidP="005F426F">
            <w:pPr>
              <w:pStyle w:val="TableText"/>
              <w:keepNext/>
              <w:keepLines/>
            </w:pPr>
            <w:r w:rsidRPr="00E40A38">
              <w:t xml:space="preserve">0.49 </w:t>
            </w:r>
            <w:r w:rsidR="00CF6488">
              <w:br/>
            </w:r>
            <w:r w:rsidRPr="00E40A38">
              <w:t>(0.21, 1.16)</w:t>
            </w:r>
            <w:r w:rsidR="00B043E6">
              <w:br/>
            </w:r>
            <w:r w:rsidRPr="00E40A38">
              <w:t>p=0.0532</w:t>
            </w:r>
          </w:p>
        </w:tc>
        <w:tc>
          <w:tcPr>
            <w:tcW w:w="1299" w:type="dxa"/>
            <w:gridSpan w:val="2"/>
          </w:tcPr>
          <w:p w14:paraId="1A456763" w14:textId="76212284" w:rsidR="00395D3F" w:rsidRPr="000A0B14" w:rsidRDefault="00FF6283" w:rsidP="005F426F">
            <w:pPr>
              <w:pStyle w:val="TableText"/>
              <w:keepNext/>
              <w:keepLines/>
            </w:pPr>
            <w:r w:rsidRPr="000A0B14">
              <w:t xml:space="preserve">0.64 </w:t>
            </w:r>
            <w:r w:rsidR="00CF6488" w:rsidRPr="000A0B14">
              <w:br/>
            </w:r>
            <w:r w:rsidRPr="000A0B14">
              <w:t>(0.19, 2.12)</w:t>
            </w:r>
            <w:r w:rsidR="00B043E6" w:rsidRPr="000A0B14">
              <w:br/>
            </w:r>
            <w:r w:rsidRPr="000A0B14">
              <w:t>p=0.2292</w:t>
            </w:r>
          </w:p>
        </w:tc>
      </w:tr>
    </w:tbl>
    <w:p w14:paraId="586A0B99" w14:textId="64A44FEE" w:rsidR="00395D3F" w:rsidRPr="00E40A38" w:rsidRDefault="00395D3F" w:rsidP="005F426F">
      <w:pPr>
        <w:pStyle w:val="TableFigureFooter"/>
        <w:keepNext/>
        <w:keepLines/>
      </w:pPr>
      <w:r w:rsidRPr="00E40A38">
        <w:t>AAV5 = adeno-associated virus type 5; ABR = annualised bleed rate; CI = confidence interval</w:t>
      </w:r>
      <w:r w:rsidR="00340496">
        <w:t>; LOD = limit of detection</w:t>
      </w:r>
      <w:r w:rsidRPr="00E40A38">
        <w:t>.</w:t>
      </w:r>
      <w:r w:rsidRPr="00E40A38">
        <w:br/>
        <w:t xml:space="preserve">Note: </w:t>
      </w:r>
      <w:r w:rsidR="00CE311D">
        <w:t>V</w:t>
      </w:r>
      <w:r w:rsidRPr="00E40A38">
        <w:t xml:space="preserve">alues in bold met criteria for statistical significance. </w:t>
      </w:r>
      <w:r w:rsidRPr="00E40A38">
        <w:br/>
      </w:r>
      <w:r w:rsidR="004324D4">
        <w:t>a</w:t>
      </w:r>
      <w:r w:rsidR="004324D4" w:rsidRPr="00E40A38">
        <w:rPr>
          <w:b/>
          <w:bCs/>
        </w:rPr>
        <w:t xml:space="preserve"> </w:t>
      </w:r>
      <w:r w:rsidR="004324D4" w:rsidRPr="00E40A38">
        <w:t>Unadjusted ABR is calculated as ratio of total (pooled) patient number of bleeds to total (pooled) patient time of observation (in years).</w:t>
      </w:r>
      <w:r w:rsidR="004324D4" w:rsidRPr="00E40A38">
        <w:br/>
      </w:r>
      <w:r w:rsidR="004324D4">
        <w:t xml:space="preserve">b </w:t>
      </w:r>
      <w:r w:rsidR="002610DF">
        <w:t xml:space="preserve">Rate ratio is </w:t>
      </w:r>
      <w:r w:rsidR="00BA43F3">
        <w:t>adjusted AB</w:t>
      </w:r>
      <w:r w:rsidR="00EF46D0">
        <w:t>R post-treatment / lead-in</w:t>
      </w:r>
      <w:r w:rsidR="00FD2CE4">
        <w:t>.</w:t>
      </w:r>
      <w:r w:rsidR="004324D4">
        <w:br/>
        <w:t>c</w:t>
      </w:r>
      <w:r w:rsidRPr="00E40A38">
        <w:t xml:space="preserve"> Two </w:t>
      </w:r>
      <w:r w:rsidR="00FF7331">
        <w:t>anti-</w:t>
      </w:r>
      <w:r w:rsidRPr="00E40A38">
        <w:t>AAV5 titre positive analysis sets are shown, all titre positive (n=21) and titre &lt;3000 (n=20)</w:t>
      </w:r>
      <w:r w:rsidR="00983378">
        <w:t>,</w:t>
      </w:r>
      <w:r w:rsidRPr="00E40A38">
        <w:t xml:space="preserve"> which excludes the high antibody titre </w:t>
      </w:r>
      <w:r w:rsidR="00E307C9">
        <w:t>subject</w:t>
      </w:r>
      <w:r w:rsidRPr="00E40A38">
        <w:t xml:space="preserve"> </w:t>
      </w:r>
      <w:r w:rsidR="00E307C9">
        <w:t>(</w:t>
      </w:r>
      <w:r w:rsidRPr="00E40A38">
        <w:t>15-42-259</w:t>
      </w:r>
      <w:r w:rsidR="00E307C9">
        <w:t>)</w:t>
      </w:r>
      <w:r w:rsidRPr="00E40A38">
        <w:t xml:space="preserve">. </w:t>
      </w:r>
      <w:r w:rsidRPr="007E5853">
        <w:t>The highest titre in the &lt;3000 analysis was 678 (7-point assay).</w:t>
      </w:r>
      <w:r w:rsidRPr="00E40A38">
        <w:br/>
        <w:t xml:space="preserve">Source: </w:t>
      </w:r>
      <w:r w:rsidR="00CE311D">
        <w:t>A</w:t>
      </w:r>
      <w:r w:rsidRPr="00E40A38">
        <w:t xml:space="preserve">dapted from </w:t>
      </w:r>
      <w:r w:rsidR="00CE311D">
        <w:t>Table 2.37</w:t>
      </w:r>
      <w:r w:rsidRPr="00E40A38">
        <w:t xml:space="preserve"> of MSAC 1728</w:t>
      </w:r>
      <w:r w:rsidR="00CE311D">
        <w:t>.1</w:t>
      </w:r>
      <w:r w:rsidRPr="00E40A38">
        <w:t xml:space="preserve"> ADAR</w:t>
      </w:r>
      <w:r w:rsidR="00BB3FEC">
        <w:t xml:space="preserve"> </w:t>
      </w:r>
      <w:r w:rsidRPr="00E40A38">
        <w:t>+</w:t>
      </w:r>
      <w:r w:rsidR="00BB3FEC">
        <w:t xml:space="preserve"> </w:t>
      </w:r>
      <w:r w:rsidRPr="00E40A38">
        <w:t>in-line commentary.</w:t>
      </w:r>
    </w:p>
    <w:p w14:paraId="06533AF0" w14:textId="56D91149" w:rsidR="00F10FA6" w:rsidRPr="00F10FA6" w:rsidRDefault="00BE22C6" w:rsidP="00F10FA6">
      <w:r w:rsidRPr="00DB343F">
        <w:rPr>
          <w:lang w:bidi="en-US"/>
        </w:rPr>
        <w:t xml:space="preserve">After </w:t>
      </w:r>
      <w:r w:rsidR="00B214AD">
        <w:t>ED</w:t>
      </w:r>
      <w:r w:rsidRPr="00DB343F">
        <w:rPr>
          <w:lang w:bidi="en-US"/>
        </w:rPr>
        <w:t xml:space="preserve"> treatment, mean FIX activity </w:t>
      </w:r>
      <w:r w:rsidR="002B6B3F">
        <w:rPr>
          <w:lang w:bidi="en-US"/>
        </w:rPr>
        <w:t>increases</w:t>
      </w:r>
      <w:r w:rsidR="002B6B3F" w:rsidRPr="002B6B3F">
        <w:rPr>
          <w:lang w:bidi="en-US"/>
        </w:rPr>
        <w:t xml:space="preserve"> </w:t>
      </w:r>
      <w:r w:rsidRPr="00DB343F">
        <w:rPr>
          <w:lang w:bidi="en-US"/>
        </w:rPr>
        <w:t>were statistically significant at Months 6, 12, 18, 24, 36, and 48 post</w:t>
      </w:r>
      <w:r w:rsidR="00D167E3">
        <w:rPr>
          <w:lang w:bidi="en-US"/>
        </w:rPr>
        <w:t xml:space="preserve"> </w:t>
      </w:r>
      <w:r w:rsidRPr="00DB343F">
        <w:rPr>
          <w:lang w:bidi="en-US"/>
        </w:rPr>
        <w:t xml:space="preserve">dose </w:t>
      </w:r>
      <w:r w:rsidR="002B6B3F">
        <w:rPr>
          <w:lang w:bidi="en-US"/>
        </w:rPr>
        <w:t xml:space="preserve">compared with lead-in </w:t>
      </w:r>
      <w:r w:rsidR="002B6B3F" w:rsidRPr="00DB343F">
        <w:rPr>
          <w:lang w:bidi="en-US"/>
        </w:rPr>
        <w:t xml:space="preserve">in </w:t>
      </w:r>
      <w:r w:rsidR="00E164E7" w:rsidRPr="00DB343F">
        <w:rPr>
          <w:lang w:bidi="en-US"/>
        </w:rPr>
        <w:t xml:space="preserve">subjects with and without AAV5 </w:t>
      </w:r>
      <w:proofErr w:type="spellStart"/>
      <w:r w:rsidR="00E164E7" w:rsidRPr="00DB343F">
        <w:rPr>
          <w:lang w:bidi="en-US"/>
        </w:rPr>
        <w:t>NAb</w:t>
      </w:r>
      <w:proofErr w:type="spellEnd"/>
      <w:r w:rsidR="00E164E7" w:rsidRPr="00DB343F">
        <w:rPr>
          <w:lang w:bidi="en-US"/>
        </w:rPr>
        <w:t xml:space="preserve"> at baseline </w:t>
      </w:r>
      <w:r w:rsidRPr="00DB343F">
        <w:rPr>
          <w:lang w:bidi="en-US"/>
        </w:rPr>
        <w:t>(p</w:t>
      </w:r>
      <w:r w:rsidR="000728FD">
        <w:rPr>
          <w:lang w:bidi="en-US"/>
        </w:rPr>
        <w:t> </w:t>
      </w:r>
      <w:r w:rsidRPr="00DB343F">
        <w:rPr>
          <w:lang w:bidi="en-US"/>
        </w:rPr>
        <w:t>&lt;</w:t>
      </w:r>
      <w:r w:rsidR="000728FD">
        <w:rPr>
          <w:lang w:bidi="en-US"/>
        </w:rPr>
        <w:t> </w:t>
      </w:r>
      <w:r w:rsidRPr="00DB343F">
        <w:rPr>
          <w:lang w:bidi="en-US"/>
        </w:rPr>
        <w:t xml:space="preserve">0.0001; not adjusted for multiplicity). </w:t>
      </w:r>
      <w:r w:rsidRPr="00DB343F">
        <w:t xml:space="preserve">The levels of FIX </w:t>
      </w:r>
      <w:r w:rsidR="0068199C">
        <w:t>we</w:t>
      </w:r>
      <w:r w:rsidRPr="00DB343F">
        <w:t>re numerically lower in the AAV</w:t>
      </w:r>
      <w:r w:rsidR="00BE43A2">
        <w:t>5</w:t>
      </w:r>
      <w:r w:rsidRPr="00DB343F">
        <w:t xml:space="preserve"> titre positive group compared to the AAV</w:t>
      </w:r>
      <w:r w:rsidR="00BE43A2">
        <w:t>5</w:t>
      </w:r>
      <w:r w:rsidRPr="00DB343F">
        <w:t xml:space="preserve"> titre negative group and this difference persist</w:t>
      </w:r>
      <w:r w:rsidR="0068199C">
        <w:t>ed</w:t>
      </w:r>
      <w:r w:rsidRPr="00DB343F">
        <w:t xml:space="preserve"> throughout the post-treatment period to 4 years. The difference</w:t>
      </w:r>
      <w:r w:rsidR="005A4990">
        <w:t xml:space="preserve"> between subgroups</w:t>
      </w:r>
      <w:r w:rsidRPr="00DB343F">
        <w:t xml:space="preserve"> </w:t>
      </w:r>
      <w:r w:rsidR="0068199C">
        <w:t>wa</w:t>
      </w:r>
      <w:r w:rsidRPr="00DB343F">
        <w:t>s not statistically significant</w:t>
      </w:r>
      <w:r w:rsidR="009A5A3A">
        <w:t xml:space="preserve"> (</w:t>
      </w:r>
      <w:r w:rsidR="009A5A3A">
        <w:fldChar w:fldCharType="begin"/>
      </w:r>
      <w:r w:rsidR="009A5A3A">
        <w:instrText xml:space="preserve"> REF _Ref194997635 \h </w:instrText>
      </w:r>
      <w:r w:rsidR="009A5A3A">
        <w:fldChar w:fldCharType="separate"/>
      </w:r>
      <w:r w:rsidR="00146997">
        <w:t xml:space="preserve">Figure </w:t>
      </w:r>
      <w:r w:rsidR="00146997">
        <w:rPr>
          <w:noProof/>
        </w:rPr>
        <w:t>5</w:t>
      </w:r>
      <w:r w:rsidR="009A5A3A">
        <w:fldChar w:fldCharType="end"/>
      </w:r>
      <w:r w:rsidR="009A5A3A">
        <w:t>)</w:t>
      </w:r>
      <w:r w:rsidRPr="00DB343F">
        <w:t>.</w:t>
      </w:r>
      <w:r w:rsidR="009A5A3A">
        <w:t xml:space="preserve"> </w:t>
      </w:r>
      <w:r w:rsidR="008527E7" w:rsidRPr="008527E7">
        <w:t>The analysis at Month 48 exclude</w:t>
      </w:r>
      <w:r w:rsidR="0068199C">
        <w:t>d</w:t>
      </w:r>
      <w:r w:rsidR="008527E7" w:rsidRPr="008527E7">
        <w:t xml:space="preserve"> 7 patients</w:t>
      </w:r>
      <w:r w:rsidR="00793BA2">
        <w:t>,</w:t>
      </w:r>
      <w:r w:rsidR="002C1E22">
        <w:t xml:space="preserve"> all with positive</w:t>
      </w:r>
      <w:r w:rsidR="008527E7" w:rsidRPr="008527E7">
        <w:t xml:space="preserve"> pre-treatment AAV5 </w:t>
      </w:r>
      <w:proofErr w:type="spellStart"/>
      <w:r w:rsidR="008527E7" w:rsidRPr="008527E7">
        <w:t>NAb</w:t>
      </w:r>
      <w:proofErr w:type="spellEnd"/>
      <w:r w:rsidR="008527E7" w:rsidRPr="008527E7">
        <w:t xml:space="preserve"> </w:t>
      </w:r>
      <w:r w:rsidR="0029541C">
        <w:t xml:space="preserve">(range </w:t>
      </w:r>
      <w:r w:rsidR="008527E7" w:rsidRPr="008527E7">
        <w:t>11.1 to 3</w:t>
      </w:r>
      <w:r w:rsidR="0029541C">
        <w:t>,</w:t>
      </w:r>
      <w:r w:rsidR="008527E7" w:rsidRPr="008527E7">
        <w:t>212.3</w:t>
      </w:r>
      <w:r w:rsidR="0029541C">
        <w:t xml:space="preserve">). The highest titre patient </w:t>
      </w:r>
      <w:r w:rsidR="0084388D">
        <w:t>wa</w:t>
      </w:r>
      <w:r w:rsidR="0029541C">
        <w:t xml:space="preserve">s appropriately excluded as they would not be </w:t>
      </w:r>
      <w:r w:rsidR="00FB3F61">
        <w:t>eligible</w:t>
      </w:r>
      <w:r w:rsidR="0029541C">
        <w:t xml:space="preserve"> under the proposed population</w:t>
      </w:r>
      <w:r w:rsidR="00F77042">
        <w:t>.</w:t>
      </w:r>
      <w:r w:rsidR="002B7925" w:rsidRPr="002B7925">
        <w:rPr>
          <w:lang w:eastAsia="en-AU"/>
        </w:rPr>
        <w:t xml:space="preserve"> </w:t>
      </w:r>
      <w:r w:rsidR="004D1D4F">
        <w:rPr>
          <w:lang w:eastAsia="en-AU"/>
        </w:rPr>
        <w:t xml:space="preserve">The other 6 exclusions were </w:t>
      </w:r>
      <w:r w:rsidR="00481EB0">
        <w:rPr>
          <w:lang w:eastAsia="en-AU"/>
        </w:rPr>
        <w:t xml:space="preserve">for </w:t>
      </w:r>
      <w:r w:rsidR="00481EB0">
        <w:t xml:space="preserve">lack of efficacy </w:t>
      </w:r>
      <w:r w:rsidR="00BB5D42">
        <w:t xml:space="preserve">after receiving 10% </w:t>
      </w:r>
      <w:r w:rsidR="00B214AD">
        <w:t xml:space="preserve">ED </w:t>
      </w:r>
      <w:r w:rsidR="00BB5D42">
        <w:t xml:space="preserve">dose </w:t>
      </w:r>
      <w:r w:rsidR="00481EB0">
        <w:t xml:space="preserve">(1), loss of treatment effect at 29 months (1), death after cardiogenic shock (1), liver transplant after diagnosis of HCC (1), and contaminated Month 48 samples (2). </w:t>
      </w:r>
      <w:r w:rsidR="002B7925" w:rsidRPr="00FC7D66">
        <w:rPr>
          <w:lang w:eastAsia="en-AU"/>
        </w:rPr>
        <w:t xml:space="preserve">No clinically meaningful correlation was identified between a subject’s AAV5 </w:t>
      </w:r>
      <w:proofErr w:type="spellStart"/>
      <w:r w:rsidR="002B7925" w:rsidRPr="00FC7D66">
        <w:rPr>
          <w:lang w:eastAsia="en-AU"/>
        </w:rPr>
        <w:t>NAb</w:t>
      </w:r>
      <w:proofErr w:type="spellEnd"/>
      <w:r w:rsidR="002B7925" w:rsidRPr="00FC7D66">
        <w:rPr>
          <w:lang w:eastAsia="en-AU"/>
        </w:rPr>
        <w:t xml:space="preserve"> tit</w:t>
      </w:r>
      <w:r w:rsidR="0084388D">
        <w:rPr>
          <w:lang w:eastAsia="en-AU"/>
        </w:rPr>
        <w:t>re</w:t>
      </w:r>
      <w:r w:rsidR="002B7925" w:rsidRPr="00FC7D66">
        <w:rPr>
          <w:lang w:eastAsia="en-AU"/>
        </w:rPr>
        <w:t xml:space="preserve"> at baseline (up to a tit</w:t>
      </w:r>
      <w:r w:rsidR="0084388D">
        <w:rPr>
          <w:lang w:eastAsia="en-AU"/>
        </w:rPr>
        <w:t>re</w:t>
      </w:r>
      <w:r w:rsidR="002B7925" w:rsidRPr="00FC7D66">
        <w:rPr>
          <w:lang w:eastAsia="en-AU"/>
        </w:rPr>
        <w:t xml:space="preserve"> of 1:700) and their FIX activity at Month 48 post dose.</w:t>
      </w:r>
    </w:p>
    <w:p w14:paraId="7A4C67C5" w14:textId="0A82C503" w:rsidR="00A664C0" w:rsidRPr="00526191" w:rsidRDefault="00A664C0" w:rsidP="00A664C0">
      <w:pPr>
        <w:pStyle w:val="Caption"/>
      </w:pPr>
      <w:bookmarkStart w:id="40" w:name="_Ref194997635"/>
      <w:r w:rsidRPr="00526191">
        <w:lastRenderedPageBreak/>
        <w:t xml:space="preserve">Figure </w:t>
      </w:r>
      <w:r w:rsidR="00146997" w:rsidRPr="00612BEB">
        <w:fldChar w:fldCharType="begin"/>
      </w:r>
      <w:r w:rsidR="00146997" w:rsidRPr="00526191">
        <w:instrText xml:space="preserve"> SEQ Figure \* ARABIC </w:instrText>
      </w:r>
      <w:r w:rsidR="00146997" w:rsidRPr="00612BEB">
        <w:fldChar w:fldCharType="separate"/>
      </w:r>
      <w:r w:rsidR="00146997" w:rsidRPr="00526191">
        <w:rPr>
          <w:noProof/>
        </w:rPr>
        <w:t>5</w:t>
      </w:r>
      <w:r w:rsidR="00146997" w:rsidRPr="00612BEB">
        <w:rPr>
          <w:noProof/>
        </w:rPr>
        <w:fldChar w:fldCharType="end"/>
      </w:r>
      <w:bookmarkEnd w:id="40"/>
      <w:r w:rsidRPr="00526191">
        <w:tab/>
      </w:r>
      <w:r w:rsidR="007C346A" w:rsidRPr="00526191">
        <w:t xml:space="preserve">FIX activity, </w:t>
      </w:r>
      <w:r w:rsidR="005622B1" w:rsidRPr="00526191">
        <w:t>anti-</w:t>
      </w:r>
      <w:r w:rsidR="007C346A" w:rsidRPr="00526191">
        <w:t>AAV5 titre positive v</w:t>
      </w:r>
      <w:r w:rsidR="00510E2B" w:rsidRPr="00526191">
        <w:t>ersus</w:t>
      </w:r>
      <w:r w:rsidR="007C346A" w:rsidRPr="00526191">
        <w:t xml:space="preserve"> negative (change from baseline, LS mean % over time, with 95% CI)</w:t>
      </w:r>
      <w:r w:rsidR="003C47CB" w:rsidRPr="00526191">
        <w:t xml:space="preserve"> in HOPE-B study</w:t>
      </w:r>
    </w:p>
    <w:p w14:paraId="29D6A590" w14:textId="7D80A742" w:rsidR="00683038" w:rsidRPr="002F3386" w:rsidRDefault="00EE1015" w:rsidP="00483367">
      <w:pPr>
        <w:pBdr>
          <w:top w:val="single" w:sz="4" w:space="1" w:color="auto"/>
          <w:left w:val="single" w:sz="4" w:space="4" w:color="auto"/>
          <w:bottom w:val="single" w:sz="4" w:space="1" w:color="auto"/>
          <w:right w:val="single" w:sz="4" w:space="4" w:color="auto"/>
        </w:pBdr>
        <w:spacing w:after="0"/>
        <w:jc w:val="center"/>
        <w:rPr>
          <w:highlight w:val="yellow"/>
        </w:rPr>
      </w:pPr>
      <w:r w:rsidRPr="002F3386">
        <w:rPr>
          <w:noProof/>
          <w:highlight w:val="yellow"/>
        </w:rPr>
        <w:drawing>
          <wp:inline distT="0" distB="0" distL="0" distR="0" wp14:anchorId="7E3483B9" wp14:editId="26676A13">
            <wp:extent cx="5562600" cy="3419475"/>
            <wp:effectExtent l="0" t="0" r="0" b="9525"/>
            <wp:docPr id="5" name="Picture 5" descr="This figure shows a bar chart of FIX activity in anti-AAV5 titre positive subjects compared to anti-AAV5 titre negative subjects at month 6, 12, 18, 24, 36 and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figure shows a bar chart of FIX activity in anti-AAV5 titre positive subjects compared to anti-AAV5 titre negative subjects at month 6, 12, 18, 24, 36 and 48."/>
                    <pic:cNvPicPr/>
                  </pic:nvPicPr>
                  <pic:blipFill rotWithShape="1">
                    <a:blip r:embed="rId22" cstate="print">
                      <a:extLst>
                        <a:ext uri="{28A0092B-C50C-407E-A947-70E740481C1C}">
                          <a14:useLocalDpi xmlns:a14="http://schemas.microsoft.com/office/drawing/2010/main" val="0"/>
                        </a:ext>
                      </a:extLst>
                    </a:blip>
                    <a:srcRect l="1163" t="2360" r="1784" b="3514"/>
                    <a:stretch/>
                  </pic:blipFill>
                  <pic:spPr bwMode="auto">
                    <a:xfrm>
                      <a:off x="0" y="0"/>
                      <a:ext cx="5562600" cy="3419475"/>
                    </a:xfrm>
                    <a:prstGeom prst="rect">
                      <a:avLst/>
                    </a:prstGeom>
                    <a:ln>
                      <a:noFill/>
                    </a:ln>
                    <a:extLst>
                      <a:ext uri="{53640926-AAD7-44D8-BBD7-CCE9431645EC}">
                        <a14:shadowObscured xmlns:a14="http://schemas.microsoft.com/office/drawing/2010/main"/>
                      </a:ext>
                    </a:extLst>
                  </pic:spPr>
                </pic:pic>
              </a:graphicData>
            </a:graphic>
          </wp:inline>
        </w:drawing>
      </w:r>
    </w:p>
    <w:p w14:paraId="44D5F3A5" w14:textId="1733448B" w:rsidR="00BE22C6" w:rsidRPr="00612BEB" w:rsidRDefault="000B4A86" w:rsidP="000C24AA">
      <w:pPr>
        <w:pStyle w:val="TableFigureFooter"/>
        <w:contextualSpacing/>
      </w:pPr>
      <w:r w:rsidRPr="00612BEB">
        <w:t>AAV5 = adeno-associated virus type 5; CI = confidence interval; FIX = factor IX; LS = least squares.</w:t>
      </w:r>
    </w:p>
    <w:p w14:paraId="1DA0E2AA" w14:textId="067187A3" w:rsidR="00403A09" w:rsidRDefault="000B4A86" w:rsidP="000C24AA">
      <w:pPr>
        <w:pStyle w:val="TableFigureFooter"/>
        <w:contextualSpacing/>
      </w:pPr>
      <w:r w:rsidRPr="00612BEB">
        <w:t xml:space="preserve">Source: Commentary Figure 1 </w:t>
      </w:r>
      <w:r w:rsidR="00CC660C" w:rsidRPr="00612BEB">
        <w:t xml:space="preserve">(data from Table 2.38) </w:t>
      </w:r>
      <w:r w:rsidRPr="00612BEB">
        <w:t>of MSAC 1728.1 ADAR</w:t>
      </w:r>
      <w:r w:rsidR="00BB3FEC" w:rsidRPr="00612BEB">
        <w:t xml:space="preserve"> </w:t>
      </w:r>
      <w:r w:rsidRPr="00612BEB">
        <w:t>+</w:t>
      </w:r>
      <w:r w:rsidR="00BB3FEC" w:rsidRPr="00612BEB">
        <w:t xml:space="preserve"> </w:t>
      </w:r>
      <w:r w:rsidRPr="00612BEB">
        <w:t>in-line commentary</w:t>
      </w:r>
      <w:r w:rsidR="009A0182" w:rsidRPr="00612BEB">
        <w:t>.</w:t>
      </w:r>
      <w:r w:rsidR="00403A09">
        <w:br/>
      </w:r>
      <w:r w:rsidR="00403A09" w:rsidRPr="00403A09">
        <w:rPr>
          <w:szCs w:val="18"/>
        </w:rPr>
        <w:t>Note that the results presented in Figure 5 are derived from post-hoc analyses conducted during the evaluation specifically for the purposes of informing the MSAC consideration. These analyses were not part of the pre-specified statistical plan for the HOPE-B study.  Interpretation of the results and their application should therefore be limited to seeking to understand the basis for the MSAC outcome and should not be used for any other purpose.</w:t>
      </w:r>
    </w:p>
    <w:p w14:paraId="1F5C4B11" w14:textId="346189F2" w:rsidR="0089566E" w:rsidRDefault="0089566E" w:rsidP="0089566E">
      <w:pPr>
        <w:pStyle w:val="Heading4"/>
      </w:pPr>
      <w:r>
        <w:t xml:space="preserve">Correlation of clinical utility standard </w:t>
      </w:r>
      <w:r w:rsidR="001E0D09">
        <w:t>against proposed test</w:t>
      </w:r>
    </w:p>
    <w:p w14:paraId="3043E8FB" w14:textId="10B10321" w:rsidR="006D12CF" w:rsidRDefault="00925DBD" w:rsidP="00C83DD9">
      <w:pPr>
        <w:shd w:val="clear" w:color="auto" w:fill="BDD6EE" w:themeFill="accent1" w:themeFillTint="66"/>
        <w:rPr>
          <w:shd w:val="clear" w:color="auto" w:fill="BDD6EE" w:themeFill="accent1" w:themeFillTint="66"/>
        </w:rPr>
      </w:pPr>
      <w:r w:rsidRPr="00EF7CD8">
        <w:rPr>
          <w:shd w:val="clear" w:color="auto" w:fill="BDD6EE" w:themeFill="accent1" w:themeFillTint="66"/>
        </w:rPr>
        <w:t xml:space="preserve">The assay used in the HOPE-B study – the clinical </w:t>
      </w:r>
      <w:r w:rsidR="001670B2">
        <w:rPr>
          <w:shd w:val="clear" w:color="auto" w:fill="BDD6EE" w:themeFill="accent1" w:themeFillTint="66"/>
        </w:rPr>
        <w:t>utility</w:t>
      </w:r>
      <w:r w:rsidR="001670B2" w:rsidRPr="00EF7CD8">
        <w:rPr>
          <w:shd w:val="clear" w:color="auto" w:fill="BDD6EE" w:themeFill="accent1" w:themeFillTint="66"/>
        </w:rPr>
        <w:t xml:space="preserve"> </w:t>
      </w:r>
      <w:r w:rsidRPr="00EF7CD8">
        <w:rPr>
          <w:shd w:val="clear" w:color="auto" w:fill="BDD6EE" w:themeFill="accent1" w:themeFillTint="66"/>
        </w:rPr>
        <w:t>standard – was a 7-point assay. The proposed test is a 9-point assay. The tests are undertaken in the same laboratory and use the same technical approach, differing only in the number of dilutions undertaken to extend the range. The data provided suggest that the</w:t>
      </w:r>
      <w:r w:rsidR="003F080A">
        <w:rPr>
          <w:shd w:val="clear" w:color="auto" w:fill="BDD6EE" w:themeFill="accent1" w:themeFillTint="66"/>
        </w:rPr>
        <w:t xml:space="preserve"> tests</w:t>
      </w:r>
      <w:r w:rsidRPr="00EF7CD8">
        <w:rPr>
          <w:shd w:val="clear" w:color="auto" w:fill="BDD6EE" w:themeFill="accent1" w:themeFillTint="66"/>
        </w:rPr>
        <w:t xml:space="preserve"> are sufficiently well correlated</w:t>
      </w:r>
      <w:r w:rsidR="00981488">
        <w:rPr>
          <w:shd w:val="clear" w:color="auto" w:fill="BDD6EE" w:themeFill="accent1" w:themeFillTint="66"/>
        </w:rPr>
        <w:t xml:space="preserve"> (</w:t>
      </w:r>
      <w:r w:rsidR="008C28B1">
        <w:rPr>
          <w:shd w:val="clear" w:color="auto" w:fill="BDD6EE" w:themeFill="accent1" w:themeFillTint="66"/>
        </w:rPr>
        <w:t xml:space="preserve">adjusted </w:t>
      </w:r>
      <w:r w:rsidR="008B110C">
        <w:rPr>
          <w:shd w:val="clear" w:color="auto" w:fill="BDD6EE" w:themeFill="accent1" w:themeFillTint="66"/>
        </w:rPr>
        <w:t>R</w:t>
      </w:r>
      <w:r w:rsidR="00891B90" w:rsidRPr="00891B90">
        <w:rPr>
          <w:shd w:val="clear" w:color="auto" w:fill="BDD6EE" w:themeFill="accent1" w:themeFillTint="66"/>
          <w:vertAlign w:val="superscript"/>
        </w:rPr>
        <w:t>2</w:t>
      </w:r>
      <w:r w:rsidR="00891B90">
        <w:rPr>
          <w:shd w:val="clear" w:color="auto" w:fill="BDD6EE" w:themeFill="accent1" w:themeFillTint="66"/>
        </w:rPr>
        <w:t xml:space="preserve"> value of 0.9632</w:t>
      </w:r>
      <w:r w:rsidR="001D2BE5">
        <w:rPr>
          <w:shd w:val="clear" w:color="auto" w:fill="BDD6EE" w:themeFill="accent1" w:themeFillTint="66"/>
        </w:rPr>
        <w:t xml:space="preserve"> across </w:t>
      </w:r>
      <w:r w:rsidR="006328ED">
        <w:rPr>
          <w:shd w:val="clear" w:color="auto" w:fill="BDD6EE" w:themeFill="accent1" w:themeFillTint="66"/>
        </w:rPr>
        <w:t>the range of titres evaluated from 30 donors</w:t>
      </w:r>
      <w:r w:rsidR="000B40F2">
        <w:rPr>
          <w:shd w:val="clear" w:color="auto" w:fill="BDD6EE" w:themeFill="accent1" w:themeFillTint="66"/>
        </w:rPr>
        <w:t xml:space="preserve">, and </w:t>
      </w:r>
      <w:r w:rsidR="008B110C">
        <w:rPr>
          <w:shd w:val="clear" w:color="auto" w:fill="BDD6EE" w:themeFill="accent1" w:themeFillTint="66"/>
        </w:rPr>
        <w:t>adjusted R</w:t>
      </w:r>
      <w:r w:rsidR="008B110C" w:rsidRPr="00891B90">
        <w:rPr>
          <w:shd w:val="clear" w:color="auto" w:fill="BDD6EE" w:themeFill="accent1" w:themeFillTint="66"/>
          <w:vertAlign w:val="superscript"/>
        </w:rPr>
        <w:t>2</w:t>
      </w:r>
      <w:r w:rsidR="008B110C">
        <w:rPr>
          <w:shd w:val="clear" w:color="auto" w:fill="BDD6EE" w:themeFill="accent1" w:themeFillTint="66"/>
        </w:rPr>
        <w:t xml:space="preserve"> value of 0.</w:t>
      </w:r>
      <w:r w:rsidR="00EF0151">
        <w:rPr>
          <w:shd w:val="clear" w:color="auto" w:fill="BDD6EE" w:themeFill="accent1" w:themeFillTint="66"/>
        </w:rPr>
        <w:t xml:space="preserve">9939 in the reflex assay </w:t>
      </w:r>
      <w:r w:rsidR="00880461">
        <w:rPr>
          <w:shd w:val="clear" w:color="auto" w:fill="BDD6EE" w:themeFill="accent1" w:themeFillTint="66"/>
        </w:rPr>
        <w:t xml:space="preserve">across the range of titres evaluated </w:t>
      </w:r>
      <w:r w:rsidR="001C7D21">
        <w:rPr>
          <w:shd w:val="clear" w:color="auto" w:fill="BDD6EE" w:themeFill="accent1" w:themeFillTint="66"/>
        </w:rPr>
        <w:t>from 12 donors</w:t>
      </w:r>
      <w:r w:rsidR="00891B90">
        <w:rPr>
          <w:shd w:val="clear" w:color="auto" w:fill="BDD6EE" w:themeFill="accent1" w:themeFillTint="66"/>
        </w:rPr>
        <w:t>)</w:t>
      </w:r>
      <w:r w:rsidR="0051502D">
        <w:rPr>
          <w:shd w:val="clear" w:color="auto" w:fill="BDD6EE" w:themeFill="accent1" w:themeFillTint="66"/>
        </w:rPr>
        <w:t>.</w:t>
      </w:r>
    </w:p>
    <w:p w14:paraId="2E9BE3C2" w14:textId="325A23BC" w:rsidR="00D6470B" w:rsidRDefault="0051502D" w:rsidP="00C83DD9">
      <w:pPr>
        <w:shd w:val="clear" w:color="auto" w:fill="BDD6EE" w:themeFill="accent1" w:themeFillTint="66"/>
        <w:rPr>
          <w:shd w:val="clear" w:color="auto" w:fill="BDD6EE" w:themeFill="accent1" w:themeFillTint="66"/>
        </w:rPr>
      </w:pPr>
      <w:r w:rsidRPr="0051502D">
        <w:rPr>
          <w:shd w:val="clear" w:color="auto" w:fill="BDD6EE" w:themeFill="accent1" w:themeFillTint="66"/>
        </w:rPr>
        <w:t xml:space="preserve">The linearity validation in </w:t>
      </w:r>
      <w:r w:rsidR="00782E25">
        <w:rPr>
          <w:shd w:val="clear" w:color="auto" w:fill="BDD6EE" w:themeFill="accent1" w:themeFillTint="66"/>
        </w:rPr>
        <w:t>t</w:t>
      </w:r>
      <w:r w:rsidRPr="0051502D">
        <w:rPr>
          <w:shd w:val="clear" w:color="auto" w:fill="BDD6EE" w:themeFill="accent1" w:themeFillTint="66"/>
        </w:rPr>
        <w:t xml:space="preserve">he </w:t>
      </w:r>
      <w:r w:rsidR="00C97487">
        <w:rPr>
          <w:shd w:val="clear" w:color="auto" w:fill="BDD6EE" w:themeFill="accent1" w:themeFillTint="66"/>
        </w:rPr>
        <w:t xml:space="preserve">studies of the </w:t>
      </w:r>
      <w:r w:rsidR="00782E25">
        <w:rPr>
          <w:shd w:val="clear" w:color="auto" w:fill="BDD6EE" w:themeFill="accent1" w:themeFillTint="66"/>
        </w:rPr>
        <w:t xml:space="preserve">9-point </w:t>
      </w:r>
      <w:r>
        <w:rPr>
          <w:shd w:val="clear" w:color="auto" w:fill="BDD6EE" w:themeFill="accent1" w:themeFillTint="66"/>
        </w:rPr>
        <w:t>anti-</w:t>
      </w:r>
      <w:r w:rsidRPr="0051502D">
        <w:rPr>
          <w:shd w:val="clear" w:color="auto" w:fill="BDD6EE" w:themeFill="accent1" w:themeFillTint="66"/>
        </w:rPr>
        <w:t>AAV5</w:t>
      </w:r>
      <w:r>
        <w:rPr>
          <w:shd w:val="clear" w:color="auto" w:fill="BDD6EE" w:themeFill="accent1" w:themeFillTint="66"/>
        </w:rPr>
        <w:t xml:space="preserve"> </w:t>
      </w:r>
      <w:proofErr w:type="spellStart"/>
      <w:r w:rsidRPr="0051502D">
        <w:rPr>
          <w:shd w:val="clear" w:color="auto" w:fill="BDD6EE" w:themeFill="accent1" w:themeFillTint="66"/>
        </w:rPr>
        <w:t>NAb</w:t>
      </w:r>
      <w:proofErr w:type="spellEnd"/>
      <w:r w:rsidRPr="0051502D">
        <w:rPr>
          <w:shd w:val="clear" w:color="auto" w:fill="BDD6EE" w:themeFill="accent1" w:themeFillTint="66"/>
        </w:rPr>
        <w:t xml:space="preserve"> </w:t>
      </w:r>
      <w:r w:rsidR="00C97487">
        <w:rPr>
          <w:shd w:val="clear" w:color="auto" w:fill="BDD6EE" w:themeFill="accent1" w:themeFillTint="66"/>
        </w:rPr>
        <w:t xml:space="preserve">assay </w:t>
      </w:r>
      <w:r w:rsidR="00D04358">
        <w:rPr>
          <w:shd w:val="clear" w:color="auto" w:fill="BDD6EE" w:themeFill="accent1" w:themeFillTint="66"/>
        </w:rPr>
        <w:t>with</w:t>
      </w:r>
      <w:r w:rsidRPr="0051502D">
        <w:rPr>
          <w:shd w:val="clear" w:color="auto" w:fill="BDD6EE" w:themeFill="accent1" w:themeFillTint="66"/>
        </w:rPr>
        <w:t xml:space="preserve"> reflex testing demonstrated</w:t>
      </w:r>
      <w:r>
        <w:rPr>
          <w:shd w:val="clear" w:color="auto" w:fill="BDD6EE" w:themeFill="accent1" w:themeFillTint="66"/>
        </w:rPr>
        <w:t xml:space="preserve"> </w:t>
      </w:r>
      <w:r w:rsidR="00C810F0" w:rsidRPr="00C810F0">
        <w:rPr>
          <w:shd w:val="clear" w:color="auto" w:fill="BDD6EE" w:themeFill="accent1" w:themeFillTint="66"/>
        </w:rPr>
        <w:t xml:space="preserve">the maximal reporting range for testing </w:t>
      </w:r>
      <w:r w:rsidR="00782E25">
        <w:rPr>
          <w:shd w:val="clear" w:color="auto" w:fill="BDD6EE" w:themeFill="accent1" w:themeFillTint="66"/>
        </w:rPr>
        <w:t xml:space="preserve">was </w:t>
      </w:r>
      <w:r w:rsidR="00C810F0" w:rsidRPr="00C810F0">
        <w:rPr>
          <w:shd w:val="clear" w:color="auto" w:fill="BDD6EE" w:themeFill="accent1" w:themeFillTint="66"/>
        </w:rPr>
        <w:t>up to a tit</w:t>
      </w:r>
      <w:r w:rsidR="00CE38E5">
        <w:rPr>
          <w:shd w:val="clear" w:color="auto" w:fill="BDD6EE" w:themeFill="accent1" w:themeFillTint="66"/>
        </w:rPr>
        <w:t>re</w:t>
      </w:r>
      <w:r w:rsidR="00C810F0" w:rsidRPr="00C810F0">
        <w:rPr>
          <w:shd w:val="clear" w:color="auto" w:fill="BDD6EE" w:themeFill="accent1" w:themeFillTint="66"/>
        </w:rPr>
        <w:t xml:space="preserve"> of 4400</w:t>
      </w:r>
      <w:r w:rsidR="001170F5">
        <w:rPr>
          <w:shd w:val="clear" w:color="auto" w:fill="BDD6EE" w:themeFill="accent1" w:themeFillTint="66"/>
        </w:rPr>
        <w:t xml:space="preserve"> (</w:t>
      </w:r>
      <w:r w:rsidR="00C62155">
        <w:rPr>
          <w:shd w:val="clear" w:color="auto" w:fill="BDD6EE" w:themeFill="accent1" w:themeFillTint="66"/>
        </w:rPr>
        <w:t>1100</w:t>
      </w:r>
      <w:r w:rsidR="00D04358">
        <w:rPr>
          <w:shd w:val="clear" w:color="auto" w:fill="BDD6EE" w:themeFill="accent1" w:themeFillTint="66"/>
        </w:rPr>
        <w:t xml:space="preserve"> without reflex testing</w:t>
      </w:r>
      <w:r w:rsidR="00C62155">
        <w:rPr>
          <w:shd w:val="clear" w:color="auto" w:fill="BDD6EE" w:themeFill="accent1" w:themeFillTint="66"/>
        </w:rPr>
        <w:t>)</w:t>
      </w:r>
      <w:r w:rsidR="00A50E5D">
        <w:rPr>
          <w:shd w:val="clear" w:color="auto" w:fill="BDD6EE" w:themeFill="accent1" w:themeFillTint="66"/>
        </w:rPr>
        <w:t>.</w:t>
      </w:r>
    </w:p>
    <w:p w14:paraId="7B5B3E44" w14:textId="0FDC7AA4" w:rsidR="00D6470B" w:rsidRDefault="00A50E5D" w:rsidP="00C83DD9">
      <w:pPr>
        <w:shd w:val="clear" w:color="auto" w:fill="BDD6EE" w:themeFill="accent1" w:themeFillTint="66"/>
        <w:rPr>
          <w:shd w:val="clear" w:color="auto" w:fill="BDD6EE" w:themeFill="accent1" w:themeFillTint="66"/>
        </w:rPr>
      </w:pPr>
      <w:r w:rsidRPr="00A50E5D">
        <w:rPr>
          <w:shd w:val="clear" w:color="auto" w:fill="BDD6EE" w:themeFill="accent1" w:themeFillTint="66"/>
        </w:rPr>
        <w:t>The precision and reproducibility stud</w:t>
      </w:r>
      <w:r w:rsidR="001C0A3F">
        <w:rPr>
          <w:shd w:val="clear" w:color="auto" w:fill="BDD6EE" w:themeFill="accent1" w:themeFillTint="66"/>
        </w:rPr>
        <w:t>ies</w:t>
      </w:r>
      <w:r w:rsidRPr="00A50E5D">
        <w:rPr>
          <w:shd w:val="clear" w:color="auto" w:fill="BDD6EE" w:themeFill="accent1" w:themeFillTint="66"/>
        </w:rPr>
        <w:t xml:space="preserve"> for the </w:t>
      </w:r>
      <w:r w:rsidR="001C0A3F">
        <w:rPr>
          <w:shd w:val="clear" w:color="auto" w:fill="BDD6EE" w:themeFill="accent1" w:themeFillTint="66"/>
        </w:rPr>
        <w:t xml:space="preserve">9-point </w:t>
      </w:r>
      <w:r w:rsidR="00D1099B">
        <w:rPr>
          <w:shd w:val="clear" w:color="auto" w:fill="BDD6EE" w:themeFill="accent1" w:themeFillTint="66"/>
        </w:rPr>
        <w:t>anti-</w:t>
      </w:r>
      <w:r w:rsidRPr="00A50E5D">
        <w:rPr>
          <w:shd w:val="clear" w:color="auto" w:fill="BDD6EE" w:themeFill="accent1" w:themeFillTint="66"/>
        </w:rPr>
        <w:t xml:space="preserve">AAV5-NAb assay met the acceptance criteria for operator-to-operator, between-reader, and lot-to-lot precision for each of the four </w:t>
      </w:r>
      <w:r w:rsidR="00E162D6">
        <w:rPr>
          <w:shd w:val="clear" w:color="auto" w:fill="BDD6EE" w:themeFill="accent1" w:themeFillTint="66"/>
        </w:rPr>
        <w:t xml:space="preserve">AAV5 </w:t>
      </w:r>
      <w:proofErr w:type="spellStart"/>
      <w:r w:rsidR="00E162D6">
        <w:rPr>
          <w:shd w:val="clear" w:color="auto" w:fill="BDD6EE" w:themeFill="accent1" w:themeFillTint="66"/>
        </w:rPr>
        <w:t>NAb</w:t>
      </w:r>
      <w:proofErr w:type="spellEnd"/>
      <w:r w:rsidR="00E162D6">
        <w:rPr>
          <w:shd w:val="clear" w:color="auto" w:fill="BDD6EE" w:themeFill="accent1" w:themeFillTint="66"/>
        </w:rPr>
        <w:t xml:space="preserve"> standard </w:t>
      </w:r>
      <w:r w:rsidR="00EA21FC">
        <w:rPr>
          <w:shd w:val="clear" w:color="auto" w:fill="BDD6EE" w:themeFill="accent1" w:themeFillTint="66"/>
        </w:rPr>
        <w:t>serum samples (</w:t>
      </w:r>
      <w:r w:rsidRPr="00A50E5D">
        <w:rPr>
          <w:shd w:val="clear" w:color="auto" w:fill="BDD6EE" w:themeFill="accent1" w:themeFillTint="66"/>
        </w:rPr>
        <w:t>panel members</w:t>
      </w:r>
      <w:r w:rsidR="00EA21FC">
        <w:rPr>
          <w:shd w:val="clear" w:color="auto" w:fill="BDD6EE" w:themeFill="accent1" w:themeFillTint="66"/>
        </w:rPr>
        <w:t>)</w:t>
      </w:r>
      <w:r w:rsidR="00E964E1">
        <w:rPr>
          <w:shd w:val="clear" w:color="auto" w:fill="BDD6EE" w:themeFill="accent1" w:themeFillTint="66"/>
        </w:rPr>
        <w:t xml:space="preserve"> with approximate titres from 110 to 900.</w:t>
      </w:r>
      <w:r w:rsidR="00DD0E35">
        <w:rPr>
          <w:shd w:val="clear" w:color="auto" w:fill="BDD6EE" w:themeFill="accent1" w:themeFillTint="66"/>
        </w:rPr>
        <w:t xml:space="preserve"> </w:t>
      </w:r>
      <w:r w:rsidR="002A04D1">
        <w:rPr>
          <w:shd w:val="clear" w:color="auto" w:fill="BDD6EE" w:themeFill="accent1" w:themeFillTint="66"/>
        </w:rPr>
        <w:t xml:space="preserve">Acceptance criteria were also met for </w:t>
      </w:r>
      <w:r w:rsidR="00605763">
        <w:rPr>
          <w:shd w:val="clear" w:color="auto" w:fill="BDD6EE" w:themeFill="accent1" w:themeFillTint="66"/>
        </w:rPr>
        <w:t>operator-to-operator precision for the 9-point reflex assay.</w:t>
      </w:r>
    </w:p>
    <w:p w14:paraId="6BAED307" w14:textId="1751A63B" w:rsidR="00C83DD9" w:rsidRDefault="00DD0E35" w:rsidP="00C83DD9">
      <w:pPr>
        <w:shd w:val="clear" w:color="auto" w:fill="BDD6EE" w:themeFill="accent1" w:themeFillTint="66"/>
      </w:pPr>
      <w:r w:rsidRPr="00DD0E35">
        <w:rPr>
          <w:shd w:val="clear" w:color="auto" w:fill="BDD6EE" w:themeFill="accent1" w:themeFillTint="66"/>
        </w:rPr>
        <w:t xml:space="preserve">The reference range of the </w:t>
      </w:r>
      <w:proofErr w:type="spellStart"/>
      <w:r w:rsidRPr="00DD0E35">
        <w:rPr>
          <w:shd w:val="clear" w:color="auto" w:fill="BDD6EE" w:themeFill="accent1" w:themeFillTint="66"/>
        </w:rPr>
        <w:t>NAb</w:t>
      </w:r>
      <w:proofErr w:type="spellEnd"/>
      <w:r w:rsidRPr="00DD0E35">
        <w:rPr>
          <w:shd w:val="clear" w:color="auto" w:fill="BDD6EE" w:themeFill="accent1" w:themeFillTint="66"/>
        </w:rPr>
        <w:t xml:space="preserve"> assay was established by evaluating sera from 60 apparently healthy adult male</w:t>
      </w:r>
      <w:r w:rsidR="009D7AB7">
        <w:rPr>
          <w:shd w:val="clear" w:color="auto" w:fill="BDD6EE" w:themeFill="accent1" w:themeFillTint="66"/>
        </w:rPr>
        <w:t xml:space="preserve"> volunteer</w:t>
      </w:r>
      <w:r w:rsidRPr="00DD0E35">
        <w:rPr>
          <w:shd w:val="clear" w:color="auto" w:fill="BDD6EE" w:themeFill="accent1" w:themeFillTint="66"/>
        </w:rPr>
        <w:t xml:space="preserve">s. </w:t>
      </w:r>
      <w:r w:rsidR="00F251F2">
        <w:rPr>
          <w:shd w:val="clear" w:color="auto" w:fill="BDD6EE" w:themeFill="accent1" w:themeFillTint="66"/>
        </w:rPr>
        <w:t xml:space="preserve">The reference range was determined to be between </w:t>
      </w:r>
      <w:r w:rsidR="00D61373">
        <w:rPr>
          <w:shd w:val="clear" w:color="auto" w:fill="BDD6EE" w:themeFill="accent1" w:themeFillTint="66"/>
        </w:rPr>
        <w:t>18.5 a</w:t>
      </w:r>
      <w:r w:rsidR="00934B8D">
        <w:rPr>
          <w:shd w:val="clear" w:color="auto" w:fill="BDD6EE" w:themeFill="accent1" w:themeFillTint="66"/>
        </w:rPr>
        <w:t>n</w:t>
      </w:r>
      <w:r w:rsidR="00D61373">
        <w:rPr>
          <w:shd w:val="clear" w:color="auto" w:fill="BDD6EE" w:themeFill="accent1" w:themeFillTint="66"/>
        </w:rPr>
        <w:t>d 3487 (including the reflex test).</w:t>
      </w:r>
    </w:p>
    <w:p w14:paraId="070FC5E5" w14:textId="3262EA98" w:rsidR="00464385" w:rsidRDefault="00925DBD" w:rsidP="001E0D09">
      <w:r>
        <w:t>No additional data w</w:t>
      </w:r>
      <w:r w:rsidR="003F080A">
        <w:t>ere</w:t>
      </w:r>
      <w:r>
        <w:t xml:space="preserve"> provided in </w:t>
      </w:r>
      <w:r w:rsidR="003F080A">
        <w:t xml:space="preserve">ADAR </w:t>
      </w:r>
      <w:r w:rsidR="0049112C">
        <w:t xml:space="preserve">1728.1 </w:t>
      </w:r>
      <w:r w:rsidR="003F080A">
        <w:t xml:space="preserve">to support correlation of the </w:t>
      </w:r>
      <w:r w:rsidR="00EC76A2">
        <w:t>7-point and 9-point assays</w:t>
      </w:r>
      <w:r>
        <w:t>.</w:t>
      </w:r>
    </w:p>
    <w:p w14:paraId="6F43DDB6" w14:textId="1CF8479D" w:rsidR="001E0D09" w:rsidRPr="001E0D09" w:rsidRDefault="006033E2" w:rsidP="001E0D09">
      <w:r>
        <w:lastRenderedPageBreak/>
        <w:t xml:space="preserve">The FDA has notified the </w:t>
      </w:r>
      <w:r w:rsidR="00A232B6">
        <w:t xml:space="preserve">applicant that </w:t>
      </w:r>
      <w:r w:rsidR="009C2E24">
        <w:t xml:space="preserve">the </w:t>
      </w:r>
      <w:r w:rsidR="008E6B1A">
        <w:t xml:space="preserve">post-marketing requirement </w:t>
      </w:r>
      <w:r w:rsidR="009C2E24">
        <w:t xml:space="preserve">‘to validate a sensitive and accurate assay for the detection of anti-AAV5 neutralizing antibodies, specifically to detect anti-AAV5 </w:t>
      </w:r>
      <w:proofErr w:type="spellStart"/>
      <w:r w:rsidR="009C2E24">
        <w:t>NAb</w:t>
      </w:r>
      <w:proofErr w:type="spellEnd"/>
      <w:r w:rsidR="009C2E24">
        <w:t xml:space="preserve"> </w:t>
      </w:r>
      <w:proofErr w:type="spellStart"/>
      <w:r w:rsidR="009C2E24">
        <w:t>titers</w:t>
      </w:r>
      <w:proofErr w:type="spellEnd"/>
      <w:r w:rsidR="009C2E24">
        <w:t xml:space="preserve"> up to 1:1400 or higher’ </w:t>
      </w:r>
      <w:r w:rsidR="00F7167B">
        <w:t>has been fulfilled (May</w:t>
      </w:r>
      <w:r w:rsidR="008D71C1">
        <w:t xml:space="preserve"> </w:t>
      </w:r>
      <w:r w:rsidR="00F7167B">
        <w:t>2024)</w:t>
      </w:r>
      <w:r w:rsidR="00710D72">
        <w:t>.</w:t>
      </w:r>
      <w:r w:rsidR="00576332">
        <w:t xml:space="preserve"> </w:t>
      </w:r>
      <w:r w:rsidR="00710D72">
        <w:t>H</w:t>
      </w:r>
      <w:r w:rsidR="00576332">
        <w:t>owever</w:t>
      </w:r>
      <w:r w:rsidR="00710D72">
        <w:t>,</w:t>
      </w:r>
      <w:r w:rsidR="00576332">
        <w:t xml:space="preserve"> </w:t>
      </w:r>
      <w:r w:rsidR="00972895">
        <w:t>a second</w:t>
      </w:r>
      <w:r w:rsidR="00576332">
        <w:t xml:space="preserve"> post-marketing requirement</w:t>
      </w:r>
      <w:r w:rsidR="00972895">
        <w:t xml:space="preserve"> </w:t>
      </w:r>
      <w:r w:rsidR="00576332">
        <w:t>remain</w:t>
      </w:r>
      <w:r w:rsidR="00972895">
        <w:t>s</w:t>
      </w:r>
      <w:r w:rsidR="00576332">
        <w:t xml:space="preserve"> open</w:t>
      </w:r>
      <w:r w:rsidR="00472303">
        <w:t xml:space="preserve"> </w:t>
      </w:r>
      <w:r w:rsidR="00944C71">
        <w:t xml:space="preserve">– </w:t>
      </w:r>
      <w:r w:rsidR="00472303">
        <w:t xml:space="preserve">a post-market </w:t>
      </w:r>
      <w:r w:rsidR="005B1D1B">
        <w:t xml:space="preserve">study to assess the association of </w:t>
      </w:r>
      <w:r w:rsidR="00882C3C">
        <w:t xml:space="preserve">ED </w:t>
      </w:r>
      <w:r w:rsidR="005B1D1B">
        <w:t>failure and anti-AAV</w:t>
      </w:r>
      <w:r w:rsidR="00C927D9">
        <w:t>5</w:t>
      </w:r>
      <w:r w:rsidR="005B1D1B">
        <w:t xml:space="preserve"> </w:t>
      </w:r>
      <w:proofErr w:type="spellStart"/>
      <w:r w:rsidR="00C927D9">
        <w:t>NAbs</w:t>
      </w:r>
      <w:proofErr w:type="spellEnd"/>
      <w:r w:rsidR="005B1D1B">
        <w:t xml:space="preserve"> including at least 10 patients with high </w:t>
      </w:r>
      <w:r w:rsidR="00944C71">
        <w:t>(</w:t>
      </w:r>
      <w:r w:rsidR="005B1D1B">
        <w:t>1:1400 or higher</w:t>
      </w:r>
      <w:r w:rsidR="00944C71">
        <w:t>)</w:t>
      </w:r>
      <w:r w:rsidR="00C927D9">
        <w:t xml:space="preserve"> pre-treatment anti-AAV5 </w:t>
      </w:r>
      <w:proofErr w:type="spellStart"/>
      <w:r w:rsidR="00C927D9">
        <w:t>NAbs</w:t>
      </w:r>
      <w:proofErr w:type="spellEnd"/>
      <w:r w:rsidR="00576332">
        <w:t>.</w:t>
      </w:r>
    </w:p>
    <w:p w14:paraId="213924C6" w14:textId="59D36F29" w:rsidR="00772829" w:rsidRDefault="00772829" w:rsidP="00D33F5F">
      <w:pPr>
        <w:pStyle w:val="Heading3"/>
      </w:pPr>
      <w:r w:rsidRPr="00223664">
        <w:t>Clinical claim</w:t>
      </w:r>
    </w:p>
    <w:p w14:paraId="20973371" w14:textId="5C01071B" w:rsidR="00464385" w:rsidRDefault="00955138" w:rsidP="00955138">
      <w:r>
        <w:t>The ADAR</w:t>
      </w:r>
      <w:r w:rsidR="00A66AA4">
        <w:t xml:space="preserve"> concluded that, in comparison to standard care for HMB with no gene therapy, </w:t>
      </w:r>
      <w:r w:rsidR="00882C3C">
        <w:t xml:space="preserve">ED </w:t>
      </w:r>
      <w:r w:rsidR="00E75B26">
        <w:t>had</w:t>
      </w:r>
      <w:r w:rsidR="00ED0EF9">
        <w:t xml:space="preserve"> n</w:t>
      </w:r>
      <w:r w:rsidR="00ED0EF9" w:rsidRPr="00ED0EF9">
        <w:t>on-inferior and acceptable safety outcomes</w:t>
      </w:r>
      <w:r w:rsidR="00ED0EF9">
        <w:t xml:space="preserve"> and superior efficacy outcomes including superior </w:t>
      </w:r>
      <w:proofErr w:type="spellStart"/>
      <w:r w:rsidR="004D5145">
        <w:t>HRQoL</w:t>
      </w:r>
      <w:proofErr w:type="spellEnd"/>
      <w:r w:rsidR="00ED0EF9">
        <w:t>.</w:t>
      </w:r>
    </w:p>
    <w:p w14:paraId="26818D41" w14:textId="5EE4E10C" w:rsidR="00ED0EF9" w:rsidRDefault="00ED0EF9" w:rsidP="00955138">
      <w:r>
        <w:t xml:space="preserve">The commentary </w:t>
      </w:r>
      <w:r w:rsidR="00E05851">
        <w:t>consider</w:t>
      </w:r>
      <w:r w:rsidR="004D5145">
        <w:t>ed</w:t>
      </w:r>
      <w:r w:rsidR="00E05851">
        <w:t xml:space="preserve"> that these outcomes </w:t>
      </w:r>
      <w:r w:rsidR="008457D6">
        <w:t>we</w:t>
      </w:r>
      <w:r w:rsidR="00E05851">
        <w:t>re not all supported by the evidence and concluded th</w:t>
      </w:r>
      <w:r w:rsidR="00820E78">
        <w:t>e following</w:t>
      </w:r>
      <w:r w:rsidR="00D95311">
        <w:t xml:space="preserve"> for patients with severe to moderately severe HMB</w:t>
      </w:r>
      <w:r w:rsidR="00525689">
        <w:t>.</w:t>
      </w:r>
    </w:p>
    <w:p w14:paraId="13FE47F1" w14:textId="7CC8B3B5" w:rsidR="00076666" w:rsidRDefault="00076666" w:rsidP="00F81B73">
      <w:pPr>
        <w:keepNext/>
      </w:pPr>
      <w:r>
        <w:t>Safety</w:t>
      </w:r>
      <w:r w:rsidR="00525689">
        <w:t>:</w:t>
      </w:r>
    </w:p>
    <w:p w14:paraId="149F9D59" w14:textId="2C45CAB3" w:rsidR="00CF3FEF" w:rsidRDefault="008939E0" w:rsidP="003758CD">
      <w:pPr>
        <w:pStyle w:val="ListParagraph"/>
        <w:numPr>
          <w:ilvl w:val="0"/>
          <w:numId w:val="15"/>
        </w:numPr>
      </w:pPr>
      <w:r>
        <w:t>Overall</w:t>
      </w:r>
      <w:r w:rsidR="00031D14">
        <w:t>,</w:t>
      </w:r>
      <w:r>
        <w:t xml:space="preserve"> </w:t>
      </w:r>
      <w:r w:rsidR="00882C3C">
        <w:t xml:space="preserve">ED </w:t>
      </w:r>
      <w:r>
        <w:t>ha</w:t>
      </w:r>
      <w:r w:rsidR="00E75B26">
        <w:t>d</w:t>
      </w:r>
      <w:r>
        <w:t xml:space="preserve"> non-inferior safety at 48</w:t>
      </w:r>
      <w:r w:rsidR="00031D14">
        <w:t xml:space="preserve"> </w:t>
      </w:r>
      <w:r>
        <w:t>month</w:t>
      </w:r>
      <w:r w:rsidR="00031D14">
        <w:t>s</w:t>
      </w:r>
      <w:r>
        <w:t xml:space="preserve"> follow up compared with standard of care.</w:t>
      </w:r>
    </w:p>
    <w:p w14:paraId="6DABF6B8" w14:textId="590D8357" w:rsidR="008939E0" w:rsidRDefault="008939E0" w:rsidP="003758CD">
      <w:pPr>
        <w:pStyle w:val="ListParagraph"/>
        <w:numPr>
          <w:ilvl w:val="1"/>
          <w:numId w:val="15"/>
        </w:numPr>
      </w:pPr>
      <w:r w:rsidRPr="00527D00">
        <w:t xml:space="preserve">The use of </w:t>
      </w:r>
      <w:r w:rsidR="00882C3C">
        <w:t>ED</w:t>
      </w:r>
      <w:r w:rsidR="00882C3C" w:rsidRPr="00527D00">
        <w:t xml:space="preserve"> </w:t>
      </w:r>
      <w:r w:rsidRPr="00527D00">
        <w:t>result</w:t>
      </w:r>
      <w:r w:rsidR="00E75B26">
        <w:t>ed</w:t>
      </w:r>
      <w:r w:rsidRPr="00527D00">
        <w:t xml:space="preserve"> in at least non-inferior safety for medium-term </w:t>
      </w:r>
      <w:r w:rsidR="00E75B26">
        <w:t>AEs</w:t>
      </w:r>
      <w:r>
        <w:t xml:space="preserve"> (up to 48 months post-infusion)</w:t>
      </w:r>
    </w:p>
    <w:p w14:paraId="5F85854F" w14:textId="6E2B31D7" w:rsidR="00A065EF" w:rsidRPr="00577681" w:rsidRDefault="00A065EF" w:rsidP="003758CD">
      <w:pPr>
        <w:pStyle w:val="ListParagraph"/>
        <w:numPr>
          <w:ilvl w:val="1"/>
          <w:numId w:val="15"/>
        </w:numPr>
      </w:pPr>
      <w:r w:rsidRPr="003F1C46">
        <w:t xml:space="preserve">The use of </w:t>
      </w:r>
      <w:r w:rsidR="00882C3C">
        <w:t>ED</w:t>
      </w:r>
      <w:r w:rsidR="00882C3C" w:rsidRPr="003F1C46">
        <w:t xml:space="preserve"> </w:t>
      </w:r>
      <w:r w:rsidRPr="003F1C46">
        <w:t>result</w:t>
      </w:r>
      <w:r w:rsidR="00E75B26">
        <w:t>ed</w:t>
      </w:r>
      <w:r w:rsidRPr="003F1C46">
        <w:t xml:space="preserve"> in inferior safety for the outcomes of peri-infusion AEs and laboratory indicators of safety</w:t>
      </w:r>
      <w:r>
        <w:t>.</w:t>
      </w:r>
    </w:p>
    <w:p w14:paraId="25EA8C00" w14:textId="162FBEEB" w:rsidR="00076666" w:rsidRDefault="007D0CEA" w:rsidP="00F81B73">
      <w:pPr>
        <w:keepNext/>
      </w:pPr>
      <w:r>
        <w:t>Effectiveness</w:t>
      </w:r>
      <w:r w:rsidR="00525689">
        <w:t>:</w:t>
      </w:r>
    </w:p>
    <w:p w14:paraId="176B10C1" w14:textId="22C9FB00" w:rsidR="008041B0" w:rsidRDefault="008041B0" w:rsidP="003758CD">
      <w:pPr>
        <w:pStyle w:val="ListParagraph"/>
        <w:numPr>
          <w:ilvl w:val="0"/>
          <w:numId w:val="15"/>
        </w:numPr>
      </w:pPr>
      <w:r w:rsidRPr="00527D00">
        <w:t xml:space="preserve">The use of </w:t>
      </w:r>
      <w:r w:rsidR="00882C3C">
        <w:t>ED</w:t>
      </w:r>
      <w:r w:rsidRPr="00527D00">
        <w:t xml:space="preserve"> resulted in superior effectiveness compared with standard of care for annualised bleed rates, </w:t>
      </w:r>
      <w:r w:rsidR="002A6FD1" w:rsidRPr="002A6FD1">
        <w:t>joint bleed rates</w:t>
      </w:r>
      <w:r w:rsidR="00527D00">
        <w:t xml:space="preserve">, </w:t>
      </w:r>
      <w:r w:rsidRPr="00527D00">
        <w:t xml:space="preserve">endogenous FIX activity, change in patient disease categorisation and </w:t>
      </w:r>
      <w:r w:rsidR="001F62E7">
        <w:t>e</w:t>
      </w:r>
      <w:r w:rsidR="00043226">
        <w:t xml:space="preserve">xogenous </w:t>
      </w:r>
      <w:r w:rsidRPr="00527D00">
        <w:t xml:space="preserve">FIX utilisation. </w:t>
      </w:r>
    </w:p>
    <w:p w14:paraId="14A2122D" w14:textId="07D6B59B" w:rsidR="00DD3E8F" w:rsidRPr="00E40A38" w:rsidRDefault="00DD3E8F" w:rsidP="003758CD">
      <w:pPr>
        <w:pStyle w:val="ListParagraph"/>
        <w:numPr>
          <w:ilvl w:val="0"/>
          <w:numId w:val="15"/>
        </w:numPr>
      </w:pPr>
      <w:r w:rsidRPr="00E40A38">
        <w:t xml:space="preserve">There were insufficient data available to establish the effectiveness of </w:t>
      </w:r>
      <w:r w:rsidR="00882C3C">
        <w:t>ED</w:t>
      </w:r>
      <w:r w:rsidR="00882C3C" w:rsidRPr="00E40A38">
        <w:t xml:space="preserve"> </w:t>
      </w:r>
      <w:r w:rsidRPr="00E40A38">
        <w:t xml:space="preserve">compared with standard of care for the outcome of resolution of target joint bleeding. </w:t>
      </w:r>
    </w:p>
    <w:p w14:paraId="13649483" w14:textId="012297A3" w:rsidR="00DD3E8F" w:rsidRDefault="00330E71" w:rsidP="003758CD">
      <w:pPr>
        <w:pStyle w:val="ListParagraph"/>
        <w:numPr>
          <w:ilvl w:val="0"/>
          <w:numId w:val="15"/>
        </w:numPr>
      </w:pPr>
      <w:r w:rsidRPr="00E40A38">
        <w:t xml:space="preserve">The use of </w:t>
      </w:r>
      <w:r w:rsidR="00882C3C">
        <w:t>ED</w:t>
      </w:r>
      <w:r w:rsidR="00882C3C" w:rsidRPr="00E40A38">
        <w:t xml:space="preserve"> </w:t>
      </w:r>
      <w:r w:rsidRPr="00E40A38">
        <w:t xml:space="preserve">resulted in non-inferior effectiveness compared with standard of care over </w:t>
      </w:r>
      <w:r w:rsidR="00F611EA">
        <w:t>48</w:t>
      </w:r>
      <w:r w:rsidRPr="00E40A38">
        <w:t xml:space="preserve"> months for </w:t>
      </w:r>
      <w:proofErr w:type="spellStart"/>
      <w:r w:rsidRPr="00E40A38">
        <w:t>HRQoL</w:t>
      </w:r>
      <w:proofErr w:type="spellEnd"/>
      <w:r w:rsidRPr="00E40A38">
        <w:t xml:space="preserve"> outcomes.</w:t>
      </w:r>
      <w:r w:rsidR="005B3281" w:rsidRPr="005B3281">
        <w:t xml:space="preserve"> </w:t>
      </w:r>
      <w:r w:rsidR="005B3281" w:rsidRPr="00E40A38">
        <w:t xml:space="preserve">The small sample size of the key </w:t>
      </w:r>
      <w:r w:rsidR="005B3281">
        <w:t>study</w:t>
      </w:r>
      <w:r w:rsidR="005B3281" w:rsidRPr="00E40A38">
        <w:t xml:space="preserve"> was likely to be a limitation for establishing superiority for these outcomes.</w:t>
      </w:r>
    </w:p>
    <w:p w14:paraId="11516BC2" w14:textId="3D49607E" w:rsidR="00527D00" w:rsidRDefault="00527D00" w:rsidP="003758CD">
      <w:pPr>
        <w:pStyle w:val="ListParagraph"/>
        <w:numPr>
          <w:ilvl w:val="0"/>
          <w:numId w:val="15"/>
        </w:numPr>
      </w:pPr>
      <w:r w:rsidRPr="00E40A38">
        <w:t xml:space="preserve">The use of </w:t>
      </w:r>
      <w:r w:rsidR="00882C3C">
        <w:t>ED</w:t>
      </w:r>
      <w:r w:rsidR="00882C3C" w:rsidRPr="00E40A38">
        <w:t xml:space="preserve"> </w:t>
      </w:r>
      <w:r w:rsidRPr="00E40A38">
        <w:t xml:space="preserve">in patients who were </w:t>
      </w:r>
      <w:r w:rsidR="00AB7FCB">
        <w:t>anti-</w:t>
      </w:r>
      <w:r w:rsidRPr="00E40A38">
        <w:t xml:space="preserve">AAV5 </w:t>
      </w:r>
      <w:proofErr w:type="spellStart"/>
      <w:r w:rsidRPr="00E40A38">
        <w:t>NAb</w:t>
      </w:r>
      <w:proofErr w:type="spellEnd"/>
      <w:r w:rsidRPr="00E40A38">
        <w:t xml:space="preserve"> positive trended towards inferior effectiveness compared to patients who were </w:t>
      </w:r>
      <w:r w:rsidR="00AB7FCB">
        <w:t>anti-</w:t>
      </w:r>
      <w:r w:rsidRPr="00E40A38">
        <w:t xml:space="preserve">AAV5 </w:t>
      </w:r>
      <w:proofErr w:type="spellStart"/>
      <w:r w:rsidRPr="00E40A38">
        <w:t>NAb</w:t>
      </w:r>
      <w:proofErr w:type="spellEnd"/>
      <w:r w:rsidRPr="00E40A38">
        <w:t xml:space="preserve"> negative, however</w:t>
      </w:r>
      <w:r>
        <w:t xml:space="preserve"> in both subgroups, the use of </w:t>
      </w:r>
      <w:r w:rsidR="00882C3C">
        <w:t xml:space="preserve">ED </w:t>
      </w:r>
      <w:r>
        <w:t>resulted in superior effectiveness compared with standard of care.</w:t>
      </w:r>
    </w:p>
    <w:p w14:paraId="46AA09C2" w14:textId="184B1FDF" w:rsidR="00AE7A6D" w:rsidRPr="00E40A38" w:rsidRDefault="00F226EA" w:rsidP="003758CD">
      <w:pPr>
        <w:pStyle w:val="ListParagraph"/>
        <w:numPr>
          <w:ilvl w:val="0"/>
          <w:numId w:val="15"/>
        </w:numPr>
      </w:pPr>
      <w:r w:rsidRPr="00F226EA">
        <w:t xml:space="preserve">There were patients </w:t>
      </w:r>
      <w:r w:rsidR="006554B8">
        <w:t>who experienced</w:t>
      </w:r>
      <w:r w:rsidRPr="00F226EA">
        <w:t xml:space="preserve"> lack of efficacy and reduced efficacy. The sample size was too small for the factors contributing to this to be established.</w:t>
      </w:r>
    </w:p>
    <w:p w14:paraId="7FA7410D" w14:textId="77777777" w:rsidR="00E615E0" w:rsidRDefault="00573459" w:rsidP="007D0CEA">
      <w:r w:rsidRPr="00573459">
        <w:t xml:space="preserve">All clinical conclusions were limited to a follow-up period of </w:t>
      </w:r>
      <w:r>
        <w:t>48</w:t>
      </w:r>
      <w:r w:rsidRPr="00573459">
        <w:t xml:space="preserve"> months.</w:t>
      </w:r>
      <w:r>
        <w:t xml:space="preserve"> The</w:t>
      </w:r>
      <w:r w:rsidR="007636C0">
        <w:t xml:space="preserve"> clinical conclusions remained stable from </w:t>
      </w:r>
      <w:r w:rsidR="00E11F2F">
        <w:t>36 to 48 months and no further loss of efficacy was reported over this period.</w:t>
      </w:r>
      <w:r w:rsidRPr="00573459">
        <w:t xml:space="preserve"> </w:t>
      </w:r>
    </w:p>
    <w:p w14:paraId="5B4029AE" w14:textId="14C19508" w:rsidR="007D0CEA" w:rsidRPr="00223664" w:rsidRDefault="00573459" w:rsidP="00E615E0">
      <w:pPr>
        <w:shd w:val="clear" w:color="auto" w:fill="BDD6EE" w:themeFill="accent1" w:themeFillTint="66"/>
      </w:pPr>
      <w:r w:rsidRPr="00E11F2F">
        <w:rPr>
          <w:shd w:val="clear" w:color="auto" w:fill="BDD6EE" w:themeFill="accent1" w:themeFillTint="66"/>
        </w:rPr>
        <w:t xml:space="preserve">The commentary noted that </w:t>
      </w:r>
      <w:r w:rsidR="00882C3C">
        <w:rPr>
          <w:shd w:val="clear" w:color="auto" w:fill="BDD6EE" w:themeFill="accent1" w:themeFillTint="66"/>
        </w:rPr>
        <w:t>ED</w:t>
      </w:r>
      <w:r w:rsidR="00882C3C" w:rsidRPr="00E11F2F">
        <w:rPr>
          <w:shd w:val="clear" w:color="auto" w:fill="BDD6EE" w:themeFill="accent1" w:themeFillTint="66"/>
        </w:rPr>
        <w:t xml:space="preserve"> </w:t>
      </w:r>
      <w:r w:rsidRPr="00E11F2F">
        <w:rPr>
          <w:shd w:val="clear" w:color="auto" w:fill="BDD6EE" w:themeFill="accent1" w:themeFillTint="66"/>
        </w:rPr>
        <w:t>is intended for life-time treatment, is irreversible and likely precludes patients from accessing treatments in the future. Treatments for HMB (gene therapies and non-gene therapies) are likely to evolve rapidly.</w:t>
      </w:r>
    </w:p>
    <w:p w14:paraId="0D09C9E4" w14:textId="5D404066" w:rsidR="00772829" w:rsidRPr="00CE28E3" w:rsidRDefault="00772829" w:rsidP="005F426F">
      <w:pPr>
        <w:pStyle w:val="Heading2"/>
        <w:numPr>
          <w:ilvl w:val="0"/>
          <w:numId w:val="28"/>
        </w:numPr>
      </w:pPr>
      <w:bookmarkStart w:id="41" w:name="_Toc69491425"/>
      <w:r w:rsidRPr="00CE28E3">
        <w:lastRenderedPageBreak/>
        <w:t>Economic evaluation</w:t>
      </w:r>
      <w:bookmarkEnd w:id="41"/>
    </w:p>
    <w:p w14:paraId="4E840B56" w14:textId="7CFD87D6" w:rsidR="00976388" w:rsidRDefault="007D1378" w:rsidP="005F426F">
      <w:pPr>
        <w:keepNext/>
        <w:keepLines/>
        <w:rPr>
          <w:rFonts w:eastAsia="Times New Roman" w:cs="Arial"/>
        </w:rPr>
      </w:pPr>
      <w:r w:rsidRPr="007D1378">
        <w:rPr>
          <w:rFonts w:eastAsia="Times New Roman" w:cs="Arial"/>
        </w:rPr>
        <w:t xml:space="preserve">A cost-utility analysis </w:t>
      </w:r>
      <w:r w:rsidR="00F616D9">
        <w:rPr>
          <w:rFonts w:eastAsia="Times New Roman" w:cs="Arial"/>
        </w:rPr>
        <w:t>(CUA)</w:t>
      </w:r>
      <w:r w:rsidRPr="007D1378">
        <w:rPr>
          <w:rFonts w:eastAsia="Times New Roman" w:cs="Arial"/>
        </w:rPr>
        <w:t xml:space="preserve"> was </w:t>
      </w:r>
      <w:r w:rsidR="00976388">
        <w:rPr>
          <w:rFonts w:eastAsia="Times New Roman" w:cs="Arial"/>
        </w:rPr>
        <w:t>presented in the ADAR</w:t>
      </w:r>
      <w:r w:rsidRPr="007D1378">
        <w:rPr>
          <w:rFonts w:eastAsia="Times New Roman" w:cs="Arial"/>
        </w:rPr>
        <w:t xml:space="preserve">. </w:t>
      </w:r>
      <w:r w:rsidR="00730DEF">
        <w:rPr>
          <w:rFonts w:eastAsia="Times New Roman" w:cs="Arial"/>
        </w:rPr>
        <w:t xml:space="preserve">The model </w:t>
      </w:r>
      <w:r w:rsidR="00D910DD">
        <w:rPr>
          <w:rFonts w:eastAsia="Times New Roman" w:cs="Arial"/>
        </w:rPr>
        <w:t>wa</w:t>
      </w:r>
      <w:r w:rsidR="00730DEF">
        <w:rPr>
          <w:rFonts w:eastAsia="Times New Roman" w:cs="Arial"/>
        </w:rPr>
        <w:t>s composed of two phases:</w:t>
      </w:r>
    </w:p>
    <w:p w14:paraId="579A2A3A" w14:textId="6198A8C8" w:rsidR="00695215" w:rsidRDefault="00A86281" w:rsidP="005F426F">
      <w:pPr>
        <w:pStyle w:val="ListParagraph"/>
        <w:keepNext/>
        <w:keepLines/>
        <w:numPr>
          <w:ilvl w:val="0"/>
          <w:numId w:val="19"/>
        </w:numPr>
        <w:rPr>
          <w:rFonts w:eastAsia="Times New Roman" w:cs="Arial"/>
        </w:rPr>
      </w:pPr>
      <w:r>
        <w:rPr>
          <w:rFonts w:eastAsia="Times New Roman" w:cs="Arial"/>
        </w:rPr>
        <w:t>A</w:t>
      </w:r>
      <w:r w:rsidR="00730DEF">
        <w:rPr>
          <w:rFonts w:eastAsia="Times New Roman" w:cs="Arial"/>
        </w:rPr>
        <w:t xml:space="preserve"> short-term decision tree </w:t>
      </w:r>
      <w:r w:rsidR="00C63EAB">
        <w:rPr>
          <w:rFonts w:eastAsia="Times New Roman" w:cs="Arial"/>
        </w:rPr>
        <w:t xml:space="preserve">characterising the </w:t>
      </w:r>
      <w:r w:rsidR="003F550B">
        <w:rPr>
          <w:rFonts w:eastAsia="Times New Roman" w:cs="Arial"/>
        </w:rPr>
        <w:t xml:space="preserve">assessment of eligibility </w:t>
      </w:r>
      <w:r w:rsidR="00D955F8">
        <w:rPr>
          <w:rFonts w:eastAsia="Times New Roman" w:cs="Arial"/>
        </w:rPr>
        <w:t xml:space="preserve">screening for </w:t>
      </w:r>
      <w:r w:rsidR="00882C3C">
        <w:rPr>
          <w:rFonts w:eastAsia="Times New Roman" w:cs="Arial"/>
        </w:rPr>
        <w:t xml:space="preserve">ED </w:t>
      </w:r>
      <w:r w:rsidR="00D955F8">
        <w:rPr>
          <w:rFonts w:eastAsia="Times New Roman" w:cs="Arial"/>
        </w:rPr>
        <w:t>treatment</w:t>
      </w:r>
      <w:r w:rsidR="005E6D08">
        <w:rPr>
          <w:rFonts w:eastAsia="Times New Roman" w:cs="Arial"/>
        </w:rPr>
        <w:t>.</w:t>
      </w:r>
    </w:p>
    <w:p w14:paraId="381973BA" w14:textId="2A46009B" w:rsidR="00730DEF" w:rsidRPr="00730DEF" w:rsidRDefault="00A86281" w:rsidP="005F426F">
      <w:pPr>
        <w:pStyle w:val="ListParagraph"/>
        <w:keepNext/>
        <w:keepLines/>
        <w:numPr>
          <w:ilvl w:val="0"/>
          <w:numId w:val="19"/>
        </w:numPr>
        <w:rPr>
          <w:rFonts w:eastAsia="Times New Roman" w:cs="Arial"/>
        </w:rPr>
      </w:pPr>
      <w:r>
        <w:rPr>
          <w:rFonts w:eastAsia="Times New Roman" w:cs="Arial"/>
        </w:rPr>
        <w:t>A</w:t>
      </w:r>
      <w:r w:rsidR="0083166D">
        <w:rPr>
          <w:rFonts w:eastAsia="Times New Roman" w:cs="Arial"/>
        </w:rPr>
        <w:t xml:space="preserve"> long</w:t>
      </w:r>
      <w:r w:rsidR="00167D8C">
        <w:rPr>
          <w:rFonts w:eastAsia="Times New Roman" w:cs="Arial"/>
        </w:rPr>
        <w:t xml:space="preserve"> </w:t>
      </w:r>
      <w:r w:rsidR="0083166D">
        <w:rPr>
          <w:rFonts w:eastAsia="Times New Roman" w:cs="Arial"/>
        </w:rPr>
        <w:t xml:space="preserve">term (15 years) </w:t>
      </w:r>
      <w:r w:rsidR="00D50469">
        <w:rPr>
          <w:rFonts w:eastAsia="Times New Roman" w:cs="Arial"/>
        </w:rPr>
        <w:t xml:space="preserve">Markov model with </w:t>
      </w:r>
      <w:r w:rsidR="00D910DD">
        <w:rPr>
          <w:rFonts w:eastAsia="Times New Roman" w:cs="Arial"/>
        </w:rPr>
        <w:t>5</w:t>
      </w:r>
      <w:r w:rsidR="00D50469">
        <w:rPr>
          <w:rFonts w:eastAsia="Times New Roman" w:cs="Arial"/>
        </w:rPr>
        <w:t xml:space="preserve"> health states</w:t>
      </w:r>
      <w:r w:rsidR="00D910DD">
        <w:rPr>
          <w:rFonts w:eastAsia="Times New Roman" w:cs="Arial"/>
        </w:rPr>
        <w:t>,</w:t>
      </w:r>
      <w:r w:rsidR="003D6EE5">
        <w:rPr>
          <w:rFonts w:eastAsia="Times New Roman" w:cs="Arial"/>
        </w:rPr>
        <w:t xml:space="preserve"> </w:t>
      </w:r>
      <w:r w:rsidR="00D910DD">
        <w:rPr>
          <w:rFonts w:eastAsia="Times New Roman" w:cs="Arial"/>
        </w:rPr>
        <w:t>4</w:t>
      </w:r>
      <w:r w:rsidR="00C74DB5">
        <w:rPr>
          <w:rFonts w:eastAsia="Times New Roman" w:cs="Arial"/>
        </w:rPr>
        <w:t xml:space="preserve"> of which</w:t>
      </w:r>
      <w:r w:rsidR="003D6EE5">
        <w:rPr>
          <w:rFonts w:eastAsia="Times New Roman" w:cs="Arial"/>
        </w:rPr>
        <w:t xml:space="preserve"> model the extent of joint damage via the Pettersson Score (PS)</w:t>
      </w:r>
      <w:r w:rsidR="002E5869">
        <w:rPr>
          <w:rFonts w:eastAsia="Times New Roman" w:cs="Arial"/>
        </w:rPr>
        <w:t xml:space="preserve">. </w:t>
      </w:r>
      <w:r w:rsidR="00B42B3F">
        <w:rPr>
          <w:rFonts w:eastAsia="Times New Roman" w:cs="Arial"/>
        </w:rPr>
        <w:t xml:space="preserve">Transition probabilities </w:t>
      </w:r>
      <w:r w:rsidR="00D910DD">
        <w:rPr>
          <w:rFonts w:eastAsia="Times New Roman" w:cs="Arial"/>
        </w:rPr>
        <w:t>we</w:t>
      </w:r>
      <w:r w:rsidR="00AB08FC">
        <w:rPr>
          <w:rFonts w:eastAsia="Times New Roman" w:cs="Arial"/>
        </w:rPr>
        <w:t xml:space="preserve">re informed by </w:t>
      </w:r>
      <w:r w:rsidR="00B8715E" w:rsidRPr="00E40A38">
        <w:t>general Australian population mortality rates adjusted by a standardised mortality ratio (SMR) in HMB patients</w:t>
      </w:r>
      <w:r w:rsidR="0096762C">
        <w:t xml:space="preserve"> and by </w:t>
      </w:r>
      <w:r w:rsidR="00F5389B">
        <w:t>outcomes reported in the HOPE-B study (</w:t>
      </w:r>
      <w:r w:rsidR="005063D4" w:rsidRPr="00E40A38">
        <w:t>FIX activity levels, annualised bleeding rates,</w:t>
      </w:r>
      <w:r w:rsidR="00957CAF">
        <w:t xml:space="preserve"> annualised joint bleeding rates,</w:t>
      </w:r>
      <w:r w:rsidR="005063D4" w:rsidRPr="00E40A38">
        <w:t xml:space="preserve"> annualised FIX consumption, and incidence of SAEs</w:t>
      </w:r>
      <w:r w:rsidR="005063D4">
        <w:t>)</w:t>
      </w:r>
      <w:r w:rsidR="00957CAF">
        <w:t>.</w:t>
      </w:r>
    </w:p>
    <w:p w14:paraId="4D8D9D32" w14:textId="0A980359" w:rsidR="007D1378" w:rsidRPr="007D1378" w:rsidRDefault="00957CAF" w:rsidP="007D1378">
      <w:pPr>
        <w:rPr>
          <w:rFonts w:eastAsia="Times New Roman" w:cs="Arial"/>
        </w:rPr>
      </w:pPr>
      <w:r>
        <w:rPr>
          <w:rFonts w:eastAsia="Times New Roman" w:cs="Arial"/>
        </w:rPr>
        <w:t>An overview of t</w:t>
      </w:r>
      <w:r w:rsidR="007D1378" w:rsidRPr="007D1378">
        <w:rPr>
          <w:rFonts w:eastAsia="Times New Roman" w:cs="Arial"/>
        </w:rPr>
        <w:t xml:space="preserve">he economic </w:t>
      </w:r>
      <w:r>
        <w:rPr>
          <w:rFonts w:eastAsia="Times New Roman" w:cs="Arial"/>
        </w:rPr>
        <w:t>model</w:t>
      </w:r>
      <w:r w:rsidR="007D1378" w:rsidRPr="007D1378">
        <w:rPr>
          <w:rFonts w:eastAsia="Times New Roman" w:cs="Arial"/>
        </w:rPr>
        <w:t xml:space="preserve"> is </w:t>
      </w:r>
      <w:r>
        <w:rPr>
          <w:rFonts w:eastAsia="Times New Roman" w:cs="Arial"/>
        </w:rPr>
        <w:t>provided</w:t>
      </w:r>
      <w:r w:rsidR="007D1378" w:rsidRPr="007D1378">
        <w:rPr>
          <w:rFonts w:eastAsia="Times New Roman" w:cs="Arial"/>
        </w:rPr>
        <w:t xml:space="preserve"> in</w:t>
      </w:r>
      <w:r w:rsidR="009D4E4C">
        <w:rPr>
          <w:rFonts w:eastAsia="Times New Roman" w:cs="Arial"/>
        </w:rPr>
        <w:t xml:space="preserve"> </w:t>
      </w:r>
      <w:r w:rsidR="009D4E4C">
        <w:rPr>
          <w:rFonts w:eastAsia="Times New Roman" w:cs="Arial"/>
        </w:rPr>
        <w:fldChar w:fldCharType="begin"/>
      </w:r>
      <w:r w:rsidR="009D4E4C">
        <w:rPr>
          <w:rFonts w:eastAsia="Times New Roman" w:cs="Arial"/>
        </w:rPr>
        <w:instrText xml:space="preserve"> REF _Ref207986465 \h </w:instrText>
      </w:r>
      <w:r w:rsidR="009D4E4C">
        <w:rPr>
          <w:rFonts w:eastAsia="Times New Roman" w:cs="Arial"/>
        </w:rPr>
      </w:r>
      <w:r w:rsidR="009D4E4C">
        <w:rPr>
          <w:rFonts w:eastAsia="Times New Roman" w:cs="Arial"/>
        </w:rPr>
        <w:fldChar w:fldCharType="separate"/>
      </w:r>
      <w:r w:rsidR="009D4E4C">
        <w:t xml:space="preserve">Table </w:t>
      </w:r>
      <w:r w:rsidR="009D4E4C">
        <w:rPr>
          <w:noProof/>
        </w:rPr>
        <w:t>12</w:t>
      </w:r>
      <w:r w:rsidR="009D4E4C">
        <w:rPr>
          <w:rFonts w:eastAsia="Times New Roman" w:cs="Arial"/>
        </w:rPr>
        <w:fldChar w:fldCharType="end"/>
      </w:r>
      <w:r w:rsidR="001A466E">
        <w:rPr>
          <w:rFonts w:eastAsia="Times New Roman" w:cs="Arial"/>
        </w:rPr>
        <w:t>. G</w:t>
      </w:r>
      <w:r w:rsidR="00651AE0">
        <w:rPr>
          <w:rFonts w:eastAsia="Times New Roman" w:cs="Arial"/>
        </w:rPr>
        <w:t xml:space="preserve">raphical depictions are provided in </w:t>
      </w:r>
      <w:r w:rsidR="00F962A2">
        <w:rPr>
          <w:rFonts w:eastAsia="Times New Roman" w:cs="Arial"/>
        </w:rPr>
        <w:fldChar w:fldCharType="begin"/>
      </w:r>
      <w:r w:rsidR="00F962A2">
        <w:rPr>
          <w:rFonts w:eastAsia="Times New Roman" w:cs="Arial"/>
        </w:rPr>
        <w:instrText xml:space="preserve"> REF _Ref196922807 \h </w:instrText>
      </w:r>
      <w:r w:rsidR="00F962A2">
        <w:rPr>
          <w:rFonts w:eastAsia="Times New Roman" w:cs="Arial"/>
        </w:rPr>
      </w:r>
      <w:r w:rsidR="00F962A2">
        <w:rPr>
          <w:rFonts w:eastAsia="Times New Roman" w:cs="Arial"/>
        </w:rPr>
        <w:fldChar w:fldCharType="separate"/>
      </w:r>
      <w:r w:rsidR="00146997">
        <w:t xml:space="preserve">Figure </w:t>
      </w:r>
      <w:r w:rsidR="00146997">
        <w:rPr>
          <w:noProof/>
        </w:rPr>
        <w:t>6</w:t>
      </w:r>
      <w:r w:rsidR="00F962A2">
        <w:rPr>
          <w:rFonts w:eastAsia="Times New Roman" w:cs="Arial"/>
        </w:rPr>
        <w:fldChar w:fldCharType="end"/>
      </w:r>
      <w:r w:rsidR="00F962A2">
        <w:rPr>
          <w:rFonts w:eastAsia="Times New Roman" w:cs="Arial"/>
        </w:rPr>
        <w:t xml:space="preserve"> (initial decision tree) and </w:t>
      </w:r>
      <w:r w:rsidR="00F962A2">
        <w:rPr>
          <w:rFonts w:eastAsia="Times New Roman" w:cs="Arial"/>
        </w:rPr>
        <w:fldChar w:fldCharType="begin"/>
      </w:r>
      <w:r w:rsidR="00F962A2">
        <w:rPr>
          <w:rFonts w:eastAsia="Times New Roman" w:cs="Arial"/>
        </w:rPr>
        <w:instrText xml:space="preserve"> REF _Ref196922819 \h </w:instrText>
      </w:r>
      <w:r w:rsidR="00F962A2">
        <w:rPr>
          <w:rFonts w:eastAsia="Times New Roman" w:cs="Arial"/>
        </w:rPr>
      </w:r>
      <w:r w:rsidR="00F962A2">
        <w:rPr>
          <w:rFonts w:eastAsia="Times New Roman" w:cs="Arial"/>
        </w:rPr>
        <w:fldChar w:fldCharType="separate"/>
      </w:r>
      <w:r w:rsidR="00146997">
        <w:t xml:space="preserve">Figure </w:t>
      </w:r>
      <w:r w:rsidR="00146997">
        <w:rPr>
          <w:noProof/>
        </w:rPr>
        <w:t>7</w:t>
      </w:r>
      <w:r w:rsidR="00F962A2">
        <w:rPr>
          <w:rFonts w:eastAsia="Times New Roman" w:cs="Arial"/>
        </w:rPr>
        <w:fldChar w:fldCharType="end"/>
      </w:r>
      <w:r w:rsidR="00F962A2">
        <w:rPr>
          <w:rFonts w:eastAsia="Times New Roman" w:cs="Arial"/>
        </w:rPr>
        <w:t xml:space="preserve"> (long term Markov model)</w:t>
      </w:r>
      <w:r w:rsidR="007D1378" w:rsidRPr="007D1378">
        <w:rPr>
          <w:rFonts w:eastAsia="Times New Roman" w:cs="Arial"/>
        </w:rPr>
        <w:t>.</w:t>
      </w:r>
    </w:p>
    <w:p w14:paraId="196974B3" w14:textId="0923E5DA" w:rsidR="00251388" w:rsidRDefault="009D4E4C" w:rsidP="009D4E4C">
      <w:pPr>
        <w:pStyle w:val="Caption"/>
      </w:pPr>
      <w:bookmarkStart w:id="42" w:name="_Ref207986465"/>
      <w:bookmarkStart w:id="43" w:name="_Ref195032417"/>
      <w:r>
        <w:t xml:space="preserve">Table </w:t>
      </w:r>
      <w:r>
        <w:fldChar w:fldCharType="begin"/>
      </w:r>
      <w:r>
        <w:instrText xml:space="preserve"> SEQ Table \* ARABIC </w:instrText>
      </w:r>
      <w:r>
        <w:fldChar w:fldCharType="separate"/>
      </w:r>
      <w:r>
        <w:rPr>
          <w:noProof/>
        </w:rPr>
        <w:t>12</w:t>
      </w:r>
      <w:r>
        <w:rPr>
          <w:noProof/>
        </w:rPr>
        <w:fldChar w:fldCharType="end"/>
      </w:r>
      <w:bookmarkEnd w:id="42"/>
      <w:r>
        <w:t xml:space="preserve"> </w:t>
      </w:r>
      <w:bookmarkEnd w:id="43"/>
      <w:r w:rsidR="00251388" w:rsidRPr="007D1378">
        <w:t>Summary of the economic evaluation</w:t>
      </w:r>
    </w:p>
    <w:tbl>
      <w:tblPr>
        <w:tblStyle w:val="TableGrid"/>
        <w:tblW w:w="9634" w:type="dxa"/>
        <w:tblLook w:val="04A0" w:firstRow="1" w:lastRow="0" w:firstColumn="1" w:lastColumn="0" w:noHBand="0" w:noVBand="1"/>
        <w:tblCaption w:val="Summary of the economic evaluation"/>
        <w:tblDescription w:val="This table summarises components of the economic evaluation. It includes the perspective, population, intervention, comparator, type of analysis, outcomes, time horizon, methods used, health states, cycle length, transition probabilities, discount rate and software used."/>
      </w:tblPr>
      <w:tblGrid>
        <w:gridCol w:w="2122"/>
        <w:gridCol w:w="7512"/>
      </w:tblGrid>
      <w:tr w:rsidR="007D1378" w:rsidRPr="007D1378" w14:paraId="2FDA7677" w14:textId="77777777" w:rsidTr="00794C6B">
        <w:trPr>
          <w:tblHead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6ED98" w14:textId="77777777" w:rsidR="007D1378" w:rsidRPr="007D1378" w:rsidRDefault="007D1378" w:rsidP="005F426F">
            <w:pPr>
              <w:pStyle w:val="TableHeading0"/>
              <w:spacing w:before="0" w:after="0"/>
              <w:rPr>
                <w:rFonts w:eastAsiaTheme="majorEastAsia"/>
              </w:rPr>
            </w:pPr>
            <w:bookmarkStart w:id="44" w:name="Title_Table5"/>
            <w:bookmarkStart w:id="45" w:name="_Ref69725870"/>
            <w:bookmarkEnd w:id="44"/>
            <w:r w:rsidRPr="007D1378">
              <w:rPr>
                <w:rFonts w:eastAsiaTheme="majorEastAsia"/>
              </w:rPr>
              <w:t>Component</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59C50" w14:textId="77777777" w:rsidR="007D1378" w:rsidRPr="007D1378" w:rsidRDefault="007D1378" w:rsidP="005F426F">
            <w:pPr>
              <w:pStyle w:val="TableHeading0"/>
              <w:spacing w:before="0" w:after="0"/>
              <w:rPr>
                <w:rFonts w:eastAsiaTheme="majorEastAsia"/>
              </w:rPr>
            </w:pPr>
            <w:r w:rsidRPr="007D1378">
              <w:rPr>
                <w:rFonts w:eastAsiaTheme="majorEastAsia"/>
              </w:rPr>
              <w:t>Description</w:t>
            </w:r>
          </w:p>
        </w:tc>
      </w:tr>
      <w:tr w:rsidR="007D1378" w:rsidRPr="007D1378" w14:paraId="487B56E8" w14:textId="77777777" w:rsidTr="002C6F72">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F7F0E" w14:textId="77777777" w:rsidR="007D1378" w:rsidRPr="007D1378" w:rsidRDefault="007D1378" w:rsidP="005F426F">
            <w:pPr>
              <w:pStyle w:val="TableText"/>
              <w:spacing w:before="0" w:after="0"/>
              <w:rPr>
                <w:rFonts w:cs="Times New Roman"/>
                <w:lang w:val="en-US"/>
              </w:rPr>
            </w:pPr>
            <w:r w:rsidRPr="007D1378">
              <w:rPr>
                <w:lang w:val="en-US"/>
              </w:rPr>
              <w:t>Perspective</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F4088" w14:textId="7A90B958" w:rsidR="007D1378" w:rsidRPr="00DD496E" w:rsidRDefault="007B336C" w:rsidP="005F426F">
            <w:pPr>
              <w:pStyle w:val="TableText"/>
              <w:spacing w:before="0" w:after="0"/>
              <w:rPr>
                <w:rFonts w:cs="Arial"/>
                <w:i/>
                <w:lang w:val="en-US"/>
              </w:rPr>
            </w:pPr>
            <w:r>
              <w:rPr>
                <w:lang w:val="en-US"/>
              </w:rPr>
              <w:t>H</w:t>
            </w:r>
            <w:r w:rsidR="007D1378" w:rsidRPr="007D1378">
              <w:rPr>
                <w:lang w:val="en-US"/>
              </w:rPr>
              <w:t>ealthcare perspective</w:t>
            </w:r>
          </w:p>
        </w:tc>
      </w:tr>
      <w:tr w:rsidR="007D1378" w:rsidRPr="007D1378" w14:paraId="0238E97E" w14:textId="77777777" w:rsidTr="002C6F72">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1D048" w14:textId="77777777" w:rsidR="007D1378" w:rsidRPr="007D1378" w:rsidRDefault="007D1378" w:rsidP="005F426F">
            <w:pPr>
              <w:pStyle w:val="TableText"/>
              <w:spacing w:before="0" w:after="0"/>
              <w:rPr>
                <w:lang w:val="en-US"/>
              </w:rPr>
            </w:pPr>
            <w:r w:rsidRPr="007D1378">
              <w:rPr>
                <w:lang w:val="en-US"/>
              </w:rPr>
              <w:t>Population</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0375E" w14:textId="78B079FF" w:rsidR="007D1378" w:rsidRPr="007D1378" w:rsidRDefault="007D1378" w:rsidP="005F426F">
            <w:pPr>
              <w:pStyle w:val="TableText"/>
              <w:spacing w:before="0" w:after="0"/>
              <w:rPr>
                <w:lang w:val="en-US"/>
              </w:rPr>
            </w:pPr>
            <w:r w:rsidRPr="007D1378">
              <w:rPr>
                <w:lang w:val="en-US"/>
              </w:rPr>
              <w:t xml:space="preserve">Adult patients (≥18 years) with severe or moderately severe HMB (FIX activity ≤2%) without </w:t>
            </w:r>
            <w:r w:rsidR="001E5754">
              <w:rPr>
                <w:lang w:val="en-US"/>
              </w:rPr>
              <w:t xml:space="preserve">FIX </w:t>
            </w:r>
            <w:r w:rsidRPr="007D1378">
              <w:rPr>
                <w:lang w:val="en-US"/>
              </w:rPr>
              <w:t>inhibitors, who are receiving regular prophylaxis using FIX concentrate</w:t>
            </w:r>
          </w:p>
        </w:tc>
      </w:tr>
      <w:tr w:rsidR="007D1378" w:rsidRPr="007D1378" w14:paraId="2AA5B630" w14:textId="77777777" w:rsidTr="002C6F72">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2402B" w14:textId="77777777" w:rsidR="007D1378" w:rsidRPr="007D1378" w:rsidRDefault="007D1378" w:rsidP="005F426F">
            <w:pPr>
              <w:pStyle w:val="TableText"/>
              <w:spacing w:before="0" w:after="0"/>
              <w:rPr>
                <w:lang w:val="en-US"/>
              </w:rPr>
            </w:pPr>
            <w:r w:rsidRPr="007D1378">
              <w:rPr>
                <w:lang w:val="en-US"/>
              </w:rPr>
              <w:t>Intervention</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490B5" w14:textId="25451849" w:rsidR="007D1378" w:rsidRPr="007D1378" w:rsidRDefault="007D1378" w:rsidP="005F426F">
            <w:pPr>
              <w:pStyle w:val="TableText"/>
              <w:spacing w:before="0" w:after="0"/>
              <w:rPr>
                <w:lang w:val="en-US"/>
              </w:rPr>
            </w:pPr>
            <w:r w:rsidRPr="007D1378">
              <w:rPr>
                <w:lang w:val="en-US"/>
              </w:rPr>
              <w:t>Screening: Conventional tests for FIX inhibitors, active hepatitis, or severe liver disease</w:t>
            </w:r>
          </w:p>
          <w:p w14:paraId="6C59972A" w14:textId="75EAA1ED" w:rsidR="007D1378" w:rsidRPr="0019602C" w:rsidRDefault="007D1378" w:rsidP="005F426F">
            <w:pPr>
              <w:pStyle w:val="TableText"/>
              <w:spacing w:before="0" w:after="0"/>
            </w:pPr>
            <w:r w:rsidRPr="0019602C">
              <w:t xml:space="preserve">Testing: </w:t>
            </w:r>
            <w:bookmarkStart w:id="46" w:name="_Hlk155875218"/>
            <w:r w:rsidRPr="0019602C">
              <w:t xml:space="preserve">Precision for Medicine </w:t>
            </w:r>
            <w:r w:rsidR="00DD496E">
              <w:t>(</w:t>
            </w:r>
            <w:proofErr w:type="spellStart"/>
            <w:r w:rsidR="00DD496E">
              <w:t>PfM</w:t>
            </w:r>
            <w:proofErr w:type="spellEnd"/>
            <w:r w:rsidR="00DD496E">
              <w:t>)</w:t>
            </w:r>
            <w:r w:rsidRPr="0019602C">
              <w:t xml:space="preserve"> 9-point luciferase assay </w:t>
            </w:r>
            <w:bookmarkEnd w:id="46"/>
            <w:r w:rsidR="00A226A7">
              <w:t xml:space="preserve">(anti-AAV5 </w:t>
            </w:r>
            <w:proofErr w:type="spellStart"/>
            <w:r w:rsidR="00A226A7">
              <w:t>NAb</w:t>
            </w:r>
            <w:proofErr w:type="spellEnd"/>
            <w:r w:rsidR="00D21E33">
              <w:t xml:space="preserve"> test)</w:t>
            </w:r>
          </w:p>
          <w:p w14:paraId="44090F88" w14:textId="023F65FE" w:rsidR="007D1378" w:rsidRPr="007D1378" w:rsidRDefault="007D1378" w:rsidP="005F426F">
            <w:pPr>
              <w:pStyle w:val="TableText"/>
              <w:spacing w:before="0" w:after="0"/>
              <w:rPr>
                <w:lang w:val="en-US"/>
              </w:rPr>
            </w:pPr>
            <w:r w:rsidRPr="007D1378">
              <w:rPr>
                <w:lang w:val="en-US"/>
              </w:rPr>
              <w:t xml:space="preserve">Treatment: Single IV infusion of </w:t>
            </w:r>
            <w:r w:rsidR="00882C3C">
              <w:rPr>
                <w:lang w:val="en-US"/>
              </w:rPr>
              <w:t>ED</w:t>
            </w:r>
            <w:r w:rsidR="00882C3C" w:rsidRPr="007D1378">
              <w:rPr>
                <w:lang w:val="en-US"/>
              </w:rPr>
              <w:t xml:space="preserve"> </w:t>
            </w:r>
            <w:r w:rsidRPr="007D1378">
              <w:rPr>
                <w:lang w:val="en-US"/>
              </w:rPr>
              <w:t>at a dose of 2 × 10</w:t>
            </w:r>
            <w:r w:rsidRPr="007D1378">
              <w:rPr>
                <w:rFonts w:cs="Times New Roman"/>
                <w:vertAlign w:val="superscript"/>
                <w:lang w:val="en-US"/>
              </w:rPr>
              <w:t>13</w:t>
            </w:r>
            <w:r w:rsidRPr="007D1378">
              <w:rPr>
                <w:lang w:val="en-US"/>
              </w:rPr>
              <w:t xml:space="preserve"> </w:t>
            </w:r>
            <w:proofErr w:type="spellStart"/>
            <w:r w:rsidRPr="007D1378">
              <w:rPr>
                <w:lang w:val="en-US"/>
              </w:rPr>
              <w:t>gc</w:t>
            </w:r>
            <w:proofErr w:type="spellEnd"/>
            <w:r w:rsidRPr="007D1378">
              <w:rPr>
                <w:lang w:val="en-US"/>
              </w:rPr>
              <w:t>/kg</w:t>
            </w:r>
          </w:p>
        </w:tc>
      </w:tr>
      <w:tr w:rsidR="007D1378" w:rsidRPr="007D1378" w14:paraId="0B111054" w14:textId="77777777" w:rsidTr="002C6F72">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B2ADA" w14:textId="77777777" w:rsidR="007D1378" w:rsidRPr="007D1378" w:rsidRDefault="007D1378" w:rsidP="005F426F">
            <w:pPr>
              <w:pStyle w:val="TableText"/>
              <w:spacing w:before="0" w:after="0"/>
              <w:rPr>
                <w:lang w:val="en-US"/>
              </w:rPr>
            </w:pPr>
            <w:r w:rsidRPr="007D1378">
              <w:rPr>
                <w:lang w:val="en-US"/>
              </w:rPr>
              <w:t>Comparator</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7B7C1" w14:textId="1F23C073" w:rsidR="007D1378" w:rsidRPr="007D1378" w:rsidRDefault="007D1378" w:rsidP="005F426F">
            <w:pPr>
              <w:pStyle w:val="TableText"/>
              <w:spacing w:before="0" w:after="0"/>
              <w:rPr>
                <w:lang w:val="en-US"/>
              </w:rPr>
            </w:pPr>
            <w:r w:rsidRPr="007D1378">
              <w:rPr>
                <w:lang w:val="en-US"/>
              </w:rPr>
              <w:t xml:space="preserve">Standard care </w:t>
            </w:r>
            <w:r w:rsidR="00984FF0">
              <w:rPr>
                <w:lang w:val="en-US"/>
              </w:rPr>
              <w:t>(continuous prophylaxis with FIX replacement therapy)</w:t>
            </w:r>
            <w:r w:rsidRPr="007D1378">
              <w:rPr>
                <w:lang w:val="en-US"/>
              </w:rPr>
              <w:t xml:space="preserve">; no anti-AAV5 </w:t>
            </w:r>
            <w:proofErr w:type="spellStart"/>
            <w:r w:rsidRPr="007D1378">
              <w:rPr>
                <w:lang w:val="en-US"/>
              </w:rPr>
              <w:t>NAb</w:t>
            </w:r>
            <w:proofErr w:type="spellEnd"/>
            <w:r w:rsidRPr="007D1378">
              <w:rPr>
                <w:lang w:val="en-US"/>
              </w:rPr>
              <w:t xml:space="preserve"> test or gene therapy</w:t>
            </w:r>
          </w:p>
        </w:tc>
      </w:tr>
      <w:tr w:rsidR="007D1378" w:rsidRPr="007D1378" w14:paraId="24E6CCC6" w14:textId="77777777" w:rsidTr="002C6F72">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C163F" w14:textId="77777777" w:rsidR="007D1378" w:rsidRPr="007D1378" w:rsidRDefault="007D1378" w:rsidP="005F426F">
            <w:pPr>
              <w:pStyle w:val="TableText"/>
              <w:spacing w:before="0" w:after="0"/>
              <w:rPr>
                <w:lang w:val="en-US"/>
              </w:rPr>
            </w:pPr>
            <w:r w:rsidRPr="007D1378">
              <w:rPr>
                <w:lang w:val="en-US"/>
              </w:rPr>
              <w:t>Type of analysis</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E3D69" w14:textId="77777777" w:rsidR="007D1378" w:rsidRPr="007D1378" w:rsidRDefault="007D1378" w:rsidP="005F426F">
            <w:pPr>
              <w:pStyle w:val="TableText"/>
              <w:spacing w:before="0" w:after="0"/>
              <w:rPr>
                <w:lang w:val="en-US"/>
              </w:rPr>
            </w:pPr>
            <w:r w:rsidRPr="007D1378">
              <w:rPr>
                <w:lang w:val="en-US"/>
              </w:rPr>
              <w:t>Cost utility analysis</w:t>
            </w:r>
          </w:p>
        </w:tc>
      </w:tr>
      <w:tr w:rsidR="007D1378" w:rsidRPr="007D1378" w14:paraId="5AB7E5B8" w14:textId="77777777" w:rsidTr="002C6F72">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A837F" w14:textId="77777777" w:rsidR="007D1378" w:rsidRPr="007D1378" w:rsidRDefault="007D1378" w:rsidP="005F426F">
            <w:pPr>
              <w:pStyle w:val="TableText"/>
              <w:spacing w:before="0" w:after="0"/>
              <w:rPr>
                <w:lang w:val="en-US"/>
              </w:rPr>
            </w:pPr>
            <w:r w:rsidRPr="007D1378">
              <w:rPr>
                <w:lang w:val="en-US"/>
              </w:rPr>
              <w:t>Outcomes</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3887C" w14:textId="6DFE91CF" w:rsidR="007D1378" w:rsidRPr="007D1378" w:rsidRDefault="007D1378" w:rsidP="005F426F">
            <w:pPr>
              <w:pStyle w:val="TableText"/>
              <w:spacing w:before="0" w:after="0"/>
              <w:rPr>
                <w:lang w:val="en-US"/>
              </w:rPr>
            </w:pPr>
            <w:r w:rsidRPr="007D1378">
              <w:rPr>
                <w:lang w:val="en-US"/>
              </w:rPr>
              <w:t>Quality</w:t>
            </w:r>
            <w:r w:rsidR="006F0E65">
              <w:rPr>
                <w:lang w:val="en-US"/>
              </w:rPr>
              <w:t>-</w:t>
            </w:r>
            <w:r w:rsidRPr="007D1378">
              <w:rPr>
                <w:lang w:val="en-US"/>
              </w:rPr>
              <w:t>adjusted life years gained</w:t>
            </w:r>
          </w:p>
        </w:tc>
      </w:tr>
      <w:tr w:rsidR="007D1378" w:rsidRPr="007D1378" w14:paraId="5E26A615" w14:textId="77777777" w:rsidTr="002C6F72">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4BA87" w14:textId="77777777" w:rsidR="007D1378" w:rsidRPr="007D1378" w:rsidRDefault="007D1378" w:rsidP="005F426F">
            <w:pPr>
              <w:pStyle w:val="TableText"/>
              <w:spacing w:before="0" w:after="0"/>
              <w:rPr>
                <w:lang w:val="en-US"/>
              </w:rPr>
            </w:pPr>
            <w:r w:rsidRPr="007D1378">
              <w:rPr>
                <w:lang w:val="en-US"/>
              </w:rPr>
              <w:t>Time horizon</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4CE2F" w14:textId="61603AB4" w:rsidR="007D1378" w:rsidRPr="00B25940" w:rsidRDefault="007D1378" w:rsidP="005F426F">
            <w:pPr>
              <w:pStyle w:val="TableText"/>
              <w:spacing w:before="0" w:after="0"/>
              <w:rPr>
                <w:lang w:val="en-US"/>
              </w:rPr>
            </w:pPr>
            <w:r w:rsidRPr="007D1378">
              <w:rPr>
                <w:lang w:val="en-US"/>
              </w:rPr>
              <w:t xml:space="preserve">15 years </w:t>
            </w:r>
            <w:r w:rsidR="00D66F4E">
              <w:rPr>
                <w:lang w:val="en-US"/>
              </w:rPr>
              <w:t>in the base case (versus 4 years in the HOPE-B study)</w:t>
            </w:r>
          </w:p>
        </w:tc>
      </w:tr>
      <w:tr w:rsidR="007D1378" w:rsidRPr="007D1378" w14:paraId="22BD2D28" w14:textId="77777777" w:rsidTr="002C6F72">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E58A3" w14:textId="77777777" w:rsidR="007D1378" w:rsidRPr="007D1378" w:rsidRDefault="007D1378" w:rsidP="005F426F">
            <w:pPr>
              <w:pStyle w:val="TableText"/>
              <w:spacing w:before="0" w:after="0"/>
              <w:rPr>
                <w:lang w:val="en-US"/>
              </w:rPr>
            </w:pPr>
            <w:r w:rsidRPr="007D1378">
              <w:rPr>
                <w:lang w:val="en-US"/>
              </w:rPr>
              <w:t>Methods used</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B1300" w14:textId="5C6FF79A" w:rsidR="007D1378" w:rsidRPr="007D1378" w:rsidRDefault="007D1378" w:rsidP="005F426F">
            <w:pPr>
              <w:pStyle w:val="TableText"/>
              <w:spacing w:before="0" w:after="0"/>
              <w:rPr>
                <w:lang w:val="en-US"/>
              </w:rPr>
            </w:pPr>
            <w:r w:rsidRPr="007D1378">
              <w:rPr>
                <w:lang w:val="en-US"/>
              </w:rPr>
              <w:t xml:space="preserve">Initial decision tree </w:t>
            </w:r>
            <w:r w:rsidR="000659DF">
              <w:rPr>
                <w:lang w:val="en-US"/>
              </w:rPr>
              <w:t>followed by</w:t>
            </w:r>
            <w:r w:rsidRPr="007D1378">
              <w:rPr>
                <w:lang w:val="en-US"/>
              </w:rPr>
              <w:t xml:space="preserve"> long term </w:t>
            </w:r>
            <w:r w:rsidR="00F579A9">
              <w:rPr>
                <w:lang w:val="en-US"/>
              </w:rPr>
              <w:t>‘</w:t>
            </w:r>
            <w:r w:rsidRPr="007D1378">
              <w:rPr>
                <w:lang w:val="en-US"/>
              </w:rPr>
              <w:t>five state</w:t>
            </w:r>
            <w:r w:rsidR="00F579A9">
              <w:rPr>
                <w:lang w:val="en-US"/>
              </w:rPr>
              <w:t>’</w:t>
            </w:r>
            <w:r w:rsidRPr="007D1378">
              <w:rPr>
                <w:lang w:val="en-US"/>
              </w:rPr>
              <w:t xml:space="preserve"> Markov state transition model </w:t>
            </w:r>
          </w:p>
          <w:p w14:paraId="60F499CD" w14:textId="77777777" w:rsidR="007D1378" w:rsidRPr="007D1378" w:rsidRDefault="007D1378" w:rsidP="005F426F">
            <w:pPr>
              <w:pStyle w:val="TableText"/>
              <w:spacing w:before="0" w:after="0"/>
              <w:rPr>
                <w:lang w:val="en-US"/>
              </w:rPr>
            </w:pPr>
            <w:r w:rsidRPr="007D1378">
              <w:rPr>
                <w:lang w:val="en-US"/>
              </w:rPr>
              <w:t xml:space="preserve">Cohort expected value calculation methods </w:t>
            </w:r>
          </w:p>
        </w:tc>
      </w:tr>
      <w:tr w:rsidR="007D1378" w:rsidRPr="007D1378" w14:paraId="57A330DC" w14:textId="77777777" w:rsidTr="002C6F72">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435CB" w14:textId="77777777" w:rsidR="007D1378" w:rsidRPr="007D1378" w:rsidRDefault="007D1378" w:rsidP="005F426F">
            <w:pPr>
              <w:pStyle w:val="TableText"/>
              <w:spacing w:before="0" w:after="0"/>
              <w:rPr>
                <w:lang w:val="en-US"/>
              </w:rPr>
            </w:pPr>
            <w:r w:rsidRPr="007D1378">
              <w:rPr>
                <w:lang w:val="en-US"/>
              </w:rPr>
              <w:t>Health states</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07CD9" w14:textId="7E6BFAAE" w:rsidR="007D1378" w:rsidRPr="00A1695C" w:rsidRDefault="006F0E65" w:rsidP="005F426F">
            <w:pPr>
              <w:pStyle w:val="TableText"/>
              <w:spacing w:before="0" w:after="0"/>
              <w:rPr>
                <w:rFonts w:cs="Times New Roman"/>
                <w:szCs w:val="20"/>
                <w:lang w:val="en-US"/>
              </w:rPr>
            </w:pPr>
            <w:r>
              <w:rPr>
                <w:lang w:val="en-US"/>
              </w:rPr>
              <w:t>4</w:t>
            </w:r>
            <w:r w:rsidR="007D1378" w:rsidRPr="007D1378">
              <w:rPr>
                <w:lang w:val="en-US"/>
              </w:rPr>
              <w:t xml:space="preserve"> health states based on Pet</w:t>
            </w:r>
            <w:r w:rsidR="001515B9">
              <w:rPr>
                <w:lang w:val="en-US"/>
              </w:rPr>
              <w:t>t</w:t>
            </w:r>
            <w:r w:rsidR="007D1378" w:rsidRPr="007D1378">
              <w:rPr>
                <w:lang w:val="en-US"/>
              </w:rPr>
              <w:t xml:space="preserve">ersson Score categories: </w:t>
            </w:r>
            <w:r w:rsidR="007D1378" w:rsidRPr="00A1695C">
              <w:rPr>
                <w:rFonts w:cs="Times New Roman"/>
                <w:szCs w:val="20"/>
                <w:lang w:val="en-US"/>
              </w:rPr>
              <w:t>0-4; 5-12; 13-20; 21-28</w:t>
            </w:r>
          </w:p>
          <w:p w14:paraId="6D224AF9" w14:textId="77777777" w:rsidR="007D1378" w:rsidRPr="00840EE2" w:rsidRDefault="007D1378" w:rsidP="005F426F">
            <w:pPr>
              <w:pStyle w:val="TableText"/>
              <w:spacing w:before="0" w:after="0"/>
            </w:pPr>
            <w:r w:rsidRPr="00840EE2">
              <w:t>Dead</w:t>
            </w:r>
          </w:p>
        </w:tc>
      </w:tr>
      <w:tr w:rsidR="007D1378" w:rsidRPr="004105A8" w14:paraId="585B25ED" w14:textId="77777777" w:rsidTr="002C6F72">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6523F" w14:textId="77777777" w:rsidR="007D1378" w:rsidRPr="004105A8" w:rsidRDefault="007D1378" w:rsidP="005F426F">
            <w:pPr>
              <w:pStyle w:val="TableText"/>
              <w:spacing w:before="0" w:after="0"/>
            </w:pPr>
            <w:r w:rsidRPr="004105A8">
              <w:t>Cycle length</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E0B0F" w14:textId="77777777" w:rsidR="007D1378" w:rsidRPr="004105A8" w:rsidRDefault="007D1378" w:rsidP="005F426F">
            <w:pPr>
              <w:pStyle w:val="TableText"/>
              <w:spacing w:before="0" w:after="0"/>
            </w:pPr>
            <w:r w:rsidRPr="004105A8">
              <w:t>6 months</w:t>
            </w:r>
          </w:p>
        </w:tc>
      </w:tr>
      <w:tr w:rsidR="007D1378" w:rsidRPr="007D1378" w14:paraId="4947FDEB" w14:textId="77777777" w:rsidTr="002C6F72">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AC905" w14:textId="77777777" w:rsidR="007D1378" w:rsidRPr="007D1378" w:rsidRDefault="007D1378" w:rsidP="005F426F">
            <w:pPr>
              <w:pStyle w:val="TableText"/>
              <w:spacing w:before="0" w:after="0"/>
              <w:rPr>
                <w:rFonts w:cs="Times New Roman"/>
              </w:rPr>
            </w:pPr>
            <w:r w:rsidRPr="007D1378">
              <w:rPr>
                <w:lang w:val="en-US"/>
              </w:rPr>
              <w:t>Transition probabilities</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E8913" w14:textId="77777777" w:rsidR="007D1378" w:rsidRPr="007D1378" w:rsidRDefault="007D1378" w:rsidP="005F426F">
            <w:pPr>
              <w:pStyle w:val="TableText"/>
              <w:spacing w:before="0" w:after="0"/>
              <w:rPr>
                <w:lang w:val="en-US"/>
              </w:rPr>
            </w:pPr>
            <w:r w:rsidRPr="007D1378">
              <w:rPr>
                <w:lang w:val="en-US"/>
              </w:rPr>
              <w:t>Decision tree:</w:t>
            </w:r>
          </w:p>
          <w:p w14:paraId="102D89F4" w14:textId="1B9B6E37" w:rsidR="007D1378" w:rsidRPr="007D1378" w:rsidRDefault="007D1378" w:rsidP="005F426F">
            <w:pPr>
              <w:pStyle w:val="TableText"/>
              <w:numPr>
                <w:ilvl w:val="0"/>
                <w:numId w:val="20"/>
              </w:numPr>
              <w:spacing w:before="0" w:after="0"/>
              <w:rPr>
                <w:lang w:val="en-US"/>
              </w:rPr>
            </w:pPr>
            <w:r w:rsidRPr="007D1378">
              <w:rPr>
                <w:lang w:val="en-US"/>
              </w:rPr>
              <w:t>Point prevalence of anti-AAV</w:t>
            </w:r>
            <w:r w:rsidR="00E87CF8">
              <w:rPr>
                <w:lang w:val="en-US"/>
              </w:rPr>
              <w:t>5</w:t>
            </w:r>
            <w:r w:rsidRPr="007D1378">
              <w:rPr>
                <w:lang w:val="en-US"/>
              </w:rPr>
              <w:t xml:space="preserve"> </w:t>
            </w:r>
            <w:proofErr w:type="spellStart"/>
            <w:r w:rsidRPr="007D1378">
              <w:rPr>
                <w:lang w:val="en-US"/>
              </w:rPr>
              <w:t>NAb</w:t>
            </w:r>
            <w:proofErr w:type="spellEnd"/>
            <w:r w:rsidRPr="007D1378">
              <w:rPr>
                <w:lang w:val="en-US"/>
              </w:rPr>
              <w:t xml:space="preserve"> &gt; 1:900</w:t>
            </w:r>
          </w:p>
          <w:p w14:paraId="3E12066B" w14:textId="77777777" w:rsidR="007D1378" w:rsidRPr="007D1378" w:rsidRDefault="007D1378" w:rsidP="005F426F">
            <w:pPr>
              <w:pStyle w:val="TableText"/>
              <w:numPr>
                <w:ilvl w:val="0"/>
                <w:numId w:val="20"/>
              </w:numPr>
              <w:spacing w:before="0" w:after="0"/>
              <w:rPr>
                <w:lang w:val="en-US"/>
              </w:rPr>
            </w:pPr>
            <w:r w:rsidRPr="007D1378">
              <w:rPr>
                <w:lang w:val="en-US"/>
              </w:rPr>
              <w:t>Probability of a false negative result using proposed assay</w:t>
            </w:r>
          </w:p>
          <w:p w14:paraId="548D1A3A" w14:textId="6C5380DA" w:rsidR="007D1378" w:rsidRPr="007D1378" w:rsidRDefault="007D1378" w:rsidP="005F426F">
            <w:pPr>
              <w:pStyle w:val="TableText"/>
              <w:spacing w:before="0" w:after="0"/>
              <w:rPr>
                <w:lang w:val="en-US"/>
              </w:rPr>
            </w:pPr>
            <w:r w:rsidRPr="007D1378">
              <w:rPr>
                <w:lang w:val="en-US"/>
              </w:rPr>
              <w:t xml:space="preserve">Markov model: </w:t>
            </w:r>
          </w:p>
          <w:p w14:paraId="4433F75D" w14:textId="77777777" w:rsidR="007D1378" w:rsidRPr="007D1378" w:rsidRDefault="007D1378" w:rsidP="005F426F">
            <w:pPr>
              <w:pStyle w:val="TableText"/>
              <w:numPr>
                <w:ilvl w:val="0"/>
                <w:numId w:val="21"/>
              </w:numPr>
              <w:spacing w:before="0" w:after="0"/>
              <w:rPr>
                <w:lang w:val="en-US"/>
              </w:rPr>
            </w:pPr>
            <w:r w:rsidRPr="007D1378">
              <w:rPr>
                <w:lang w:val="en-US"/>
              </w:rPr>
              <w:t>General population mortality</w:t>
            </w:r>
          </w:p>
          <w:p w14:paraId="18A591E4" w14:textId="77777777" w:rsidR="007D1378" w:rsidRPr="007D1378" w:rsidRDefault="007D1378" w:rsidP="005F426F">
            <w:pPr>
              <w:pStyle w:val="TableText"/>
              <w:numPr>
                <w:ilvl w:val="0"/>
                <w:numId w:val="21"/>
              </w:numPr>
              <w:spacing w:before="0" w:after="0"/>
              <w:rPr>
                <w:lang w:val="en-US"/>
              </w:rPr>
            </w:pPr>
            <w:proofErr w:type="spellStart"/>
            <w:r w:rsidRPr="007D1378">
              <w:rPr>
                <w:lang w:val="en-US"/>
              </w:rPr>
              <w:t>Standardised</w:t>
            </w:r>
            <w:proofErr w:type="spellEnd"/>
            <w:r w:rsidRPr="007D1378">
              <w:rPr>
                <w:lang w:val="en-US"/>
              </w:rPr>
              <w:t xml:space="preserve"> mortality ratio for HMB</w:t>
            </w:r>
          </w:p>
          <w:p w14:paraId="22DA88E9" w14:textId="77777777" w:rsidR="007D1378" w:rsidRPr="007D1378" w:rsidRDefault="007D1378" w:rsidP="005F426F">
            <w:pPr>
              <w:pStyle w:val="TableText"/>
              <w:numPr>
                <w:ilvl w:val="0"/>
                <w:numId w:val="21"/>
              </w:numPr>
              <w:spacing w:before="0" w:after="0"/>
              <w:rPr>
                <w:lang w:val="en-US"/>
              </w:rPr>
            </w:pPr>
            <w:r w:rsidRPr="007D1378">
              <w:rPr>
                <w:lang w:val="en-US"/>
              </w:rPr>
              <w:t>FIX concentrations above threshold (% of patients)</w:t>
            </w:r>
          </w:p>
          <w:p w14:paraId="34C30526" w14:textId="77777777" w:rsidR="007D1378" w:rsidRPr="007D1378" w:rsidRDefault="007D1378" w:rsidP="005F426F">
            <w:pPr>
              <w:pStyle w:val="TableText"/>
              <w:numPr>
                <w:ilvl w:val="0"/>
                <w:numId w:val="21"/>
              </w:numPr>
              <w:spacing w:before="0" w:after="0"/>
              <w:rPr>
                <w:lang w:val="en-US"/>
              </w:rPr>
            </w:pPr>
            <w:r w:rsidRPr="007D1378">
              <w:rPr>
                <w:lang w:val="en-US"/>
              </w:rPr>
              <w:t>FIX prophylaxis proportion (% of patients)</w:t>
            </w:r>
          </w:p>
          <w:p w14:paraId="38A9469E" w14:textId="77777777" w:rsidR="007D1378" w:rsidRPr="007D1378" w:rsidRDefault="007D1378" w:rsidP="005F426F">
            <w:pPr>
              <w:pStyle w:val="TableText"/>
              <w:numPr>
                <w:ilvl w:val="0"/>
                <w:numId w:val="21"/>
              </w:numPr>
              <w:spacing w:before="0" w:after="0"/>
              <w:rPr>
                <w:lang w:val="en-US"/>
              </w:rPr>
            </w:pPr>
            <w:proofErr w:type="spellStart"/>
            <w:r w:rsidRPr="007D1378">
              <w:rPr>
                <w:lang w:val="en-US"/>
              </w:rPr>
              <w:t>Annualised</w:t>
            </w:r>
            <w:proofErr w:type="spellEnd"/>
            <w:r w:rsidRPr="007D1378">
              <w:rPr>
                <w:lang w:val="en-US"/>
              </w:rPr>
              <w:t xml:space="preserve"> bleeding rate (events/cycle)</w:t>
            </w:r>
          </w:p>
          <w:p w14:paraId="5106DDA2" w14:textId="77777777" w:rsidR="007D1378" w:rsidRPr="007D1378" w:rsidRDefault="007D1378" w:rsidP="005F426F">
            <w:pPr>
              <w:pStyle w:val="TableText"/>
              <w:numPr>
                <w:ilvl w:val="0"/>
                <w:numId w:val="21"/>
              </w:numPr>
              <w:spacing w:before="0" w:after="0"/>
              <w:rPr>
                <w:lang w:val="en-US"/>
              </w:rPr>
            </w:pPr>
            <w:proofErr w:type="spellStart"/>
            <w:r w:rsidRPr="007D1378">
              <w:rPr>
                <w:lang w:val="en-US"/>
              </w:rPr>
              <w:t>Annualised</w:t>
            </w:r>
            <w:proofErr w:type="spellEnd"/>
            <w:r w:rsidRPr="007D1378">
              <w:rPr>
                <w:lang w:val="en-US"/>
              </w:rPr>
              <w:t xml:space="preserve"> FIX consumption (IU/cycle) </w:t>
            </w:r>
          </w:p>
          <w:p w14:paraId="0F717F93" w14:textId="7AC80FC0" w:rsidR="007D1378" w:rsidRPr="007D1378" w:rsidRDefault="007D1378" w:rsidP="005F426F">
            <w:pPr>
              <w:pStyle w:val="TableText"/>
              <w:numPr>
                <w:ilvl w:val="0"/>
                <w:numId w:val="21"/>
              </w:numPr>
              <w:spacing w:before="0" w:after="0"/>
              <w:rPr>
                <w:lang w:val="en-US"/>
              </w:rPr>
            </w:pPr>
            <w:r w:rsidRPr="007D1378">
              <w:rPr>
                <w:lang w:val="en-US"/>
              </w:rPr>
              <w:t>Number of bleeds per Petters</w:t>
            </w:r>
            <w:r w:rsidR="00F47C70">
              <w:rPr>
                <w:lang w:val="en-US"/>
              </w:rPr>
              <w:t>s</w:t>
            </w:r>
            <w:r w:rsidRPr="007D1378">
              <w:rPr>
                <w:lang w:val="en-US"/>
              </w:rPr>
              <w:t>on Score increment</w:t>
            </w:r>
          </w:p>
          <w:p w14:paraId="1037D736" w14:textId="21A0B8CF" w:rsidR="007D1378" w:rsidRPr="007D1378" w:rsidRDefault="00364B96" w:rsidP="005F426F">
            <w:pPr>
              <w:pStyle w:val="TableText"/>
              <w:numPr>
                <w:ilvl w:val="0"/>
                <w:numId w:val="21"/>
              </w:numPr>
              <w:spacing w:before="0" w:after="0"/>
              <w:rPr>
                <w:lang w:val="en-US"/>
              </w:rPr>
            </w:pPr>
            <w:r>
              <w:rPr>
                <w:lang w:val="en-US"/>
              </w:rPr>
              <w:t>SAE</w:t>
            </w:r>
            <w:r w:rsidR="007D1378" w:rsidRPr="007D1378">
              <w:rPr>
                <w:lang w:val="en-US"/>
              </w:rPr>
              <w:t xml:space="preserve"> incidence (events/cycle)</w:t>
            </w:r>
          </w:p>
        </w:tc>
      </w:tr>
      <w:tr w:rsidR="007D1378" w:rsidRPr="007D1378" w14:paraId="4EEB1A8C" w14:textId="77777777" w:rsidTr="002C6F72">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50F43" w14:textId="77777777" w:rsidR="007D1378" w:rsidRPr="007D1378" w:rsidRDefault="007D1378" w:rsidP="005F426F">
            <w:pPr>
              <w:pStyle w:val="TableText"/>
              <w:spacing w:before="0" w:after="0"/>
              <w:rPr>
                <w:lang w:val="en-US"/>
              </w:rPr>
            </w:pPr>
            <w:r w:rsidRPr="007D1378">
              <w:rPr>
                <w:lang w:val="en-US"/>
              </w:rPr>
              <w:t>Discount rate</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76F4" w14:textId="77777777" w:rsidR="007D1378" w:rsidRPr="007D1378" w:rsidRDefault="007D1378" w:rsidP="005F426F">
            <w:pPr>
              <w:pStyle w:val="TableText"/>
              <w:spacing w:before="0" w:after="0"/>
              <w:rPr>
                <w:lang w:val="en-US"/>
              </w:rPr>
            </w:pPr>
            <w:r w:rsidRPr="007D1378">
              <w:rPr>
                <w:lang w:val="en-US"/>
              </w:rPr>
              <w:t>Annual rate of 5% for both costs and outcomes</w:t>
            </w:r>
          </w:p>
        </w:tc>
      </w:tr>
      <w:tr w:rsidR="007D1378" w:rsidRPr="007D1378" w14:paraId="4D0AB1B5" w14:textId="77777777" w:rsidTr="002C6F72">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657A2" w14:textId="77777777" w:rsidR="007D1378" w:rsidRPr="007D1378" w:rsidRDefault="007D1378" w:rsidP="005F426F">
            <w:pPr>
              <w:pStyle w:val="TableText"/>
              <w:spacing w:before="0" w:after="0"/>
              <w:rPr>
                <w:lang w:val="en-US"/>
              </w:rPr>
            </w:pPr>
            <w:r w:rsidRPr="007D1378">
              <w:rPr>
                <w:lang w:val="en-US"/>
              </w:rPr>
              <w:t>Software</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CB578" w14:textId="77777777" w:rsidR="007D1378" w:rsidRPr="007D1378" w:rsidRDefault="007D1378" w:rsidP="005F426F">
            <w:pPr>
              <w:pStyle w:val="TableText"/>
              <w:spacing w:before="0" w:after="0"/>
              <w:rPr>
                <w:lang w:val="en-US"/>
              </w:rPr>
            </w:pPr>
            <w:r w:rsidRPr="007D1378">
              <w:rPr>
                <w:lang w:val="en-US"/>
              </w:rPr>
              <w:t>Microsoft Excel</w:t>
            </w:r>
          </w:p>
        </w:tc>
      </w:tr>
    </w:tbl>
    <w:p w14:paraId="4E427A9F" w14:textId="075EE9E6" w:rsidR="0095367C" w:rsidRDefault="007D1378" w:rsidP="0095367C">
      <w:pPr>
        <w:pStyle w:val="Tablenotes"/>
        <w:rPr>
          <w:rFonts w:eastAsiaTheme="minorEastAsia"/>
        </w:rPr>
      </w:pPr>
      <w:r w:rsidRPr="0095367C">
        <w:rPr>
          <w:rFonts w:eastAsiaTheme="minorEastAsia"/>
        </w:rPr>
        <w:t xml:space="preserve">AAV </w:t>
      </w:r>
      <w:proofErr w:type="spellStart"/>
      <w:r w:rsidRPr="0095367C">
        <w:rPr>
          <w:rFonts w:eastAsiaTheme="minorEastAsia"/>
        </w:rPr>
        <w:t>N</w:t>
      </w:r>
      <w:r w:rsidR="00F47C70">
        <w:rPr>
          <w:rFonts w:eastAsiaTheme="minorEastAsia"/>
        </w:rPr>
        <w:t>A</w:t>
      </w:r>
      <w:r w:rsidRPr="0095367C">
        <w:rPr>
          <w:rFonts w:eastAsiaTheme="minorEastAsia"/>
        </w:rPr>
        <w:t>b</w:t>
      </w:r>
      <w:proofErr w:type="spellEnd"/>
      <w:r w:rsidRPr="0095367C">
        <w:rPr>
          <w:rFonts w:eastAsiaTheme="minorEastAsia"/>
        </w:rPr>
        <w:t xml:space="preserve"> = </w:t>
      </w:r>
      <w:r w:rsidR="00916976" w:rsidRPr="00916976">
        <w:rPr>
          <w:rFonts w:eastAsiaTheme="minorEastAsia"/>
        </w:rPr>
        <w:t>adeno-associated virus type 5</w:t>
      </w:r>
      <w:r w:rsidRPr="0095367C">
        <w:rPr>
          <w:rFonts w:eastAsiaTheme="minorEastAsia"/>
        </w:rPr>
        <w:t xml:space="preserve"> neutralising antibody; FIX = factor IX; </w:t>
      </w:r>
      <w:proofErr w:type="spellStart"/>
      <w:r w:rsidR="00E46053" w:rsidRPr="00E40A38">
        <w:t>gc</w:t>
      </w:r>
      <w:proofErr w:type="spellEnd"/>
      <w:r w:rsidR="00E46053" w:rsidRPr="00E40A38">
        <w:t>/kg = gene copies per kilogram</w:t>
      </w:r>
      <w:r w:rsidR="00E46053">
        <w:t>;</w:t>
      </w:r>
      <w:r w:rsidR="00E46053" w:rsidRPr="0095367C">
        <w:rPr>
          <w:rFonts w:eastAsiaTheme="minorEastAsia"/>
        </w:rPr>
        <w:t xml:space="preserve"> </w:t>
      </w:r>
      <w:r w:rsidRPr="0095367C">
        <w:rPr>
          <w:rFonts w:eastAsiaTheme="minorEastAsia"/>
        </w:rPr>
        <w:t xml:space="preserve">HMB = haemophilia B; </w:t>
      </w:r>
      <w:r w:rsidR="00100630" w:rsidRPr="0095367C">
        <w:t>IU = international units</w:t>
      </w:r>
      <w:r w:rsidR="0036661B" w:rsidRPr="0095367C">
        <w:t>; IV = intravenous</w:t>
      </w:r>
      <w:r w:rsidR="003D2570">
        <w:t>; SAE = serious adverse event</w:t>
      </w:r>
      <w:r w:rsidRPr="0095367C">
        <w:rPr>
          <w:rFonts w:eastAsiaTheme="minorEastAsia"/>
        </w:rPr>
        <w:t xml:space="preserve">. </w:t>
      </w:r>
    </w:p>
    <w:p w14:paraId="58270D19" w14:textId="79EBEDA3" w:rsidR="007D1378" w:rsidRPr="0095367C" w:rsidRDefault="00A56868" w:rsidP="00FD261B">
      <w:pPr>
        <w:pStyle w:val="Tablenotes"/>
        <w:spacing w:after="360"/>
        <w:rPr>
          <w:rFonts w:eastAsiaTheme="minorEastAsia"/>
        </w:rPr>
      </w:pPr>
      <w:r w:rsidRPr="0095367C">
        <w:rPr>
          <w:rFonts w:eastAsiaTheme="minorEastAsia"/>
        </w:rPr>
        <w:t xml:space="preserve">Source: </w:t>
      </w:r>
      <w:r w:rsidR="0095367C" w:rsidRPr="0095367C">
        <w:rPr>
          <w:rFonts w:eastAsiaTheme="minorEastAsia"/>
        </w:rPr>
        <w:t>Table 3.1 of MSAC 1728.1 ADAR + in-line commentary</w:t>
      </w:r>
      <w:r w:rsidR="00A72003">
        <w:rPr>
          <w:rFonts w:eastAsiaTheme="minorEastAsia"/>
        </w:rPr>
        <w:t>.</w:t>
      </w:r>
    </w:p>
    <w:p w14:paraId="1C7C3205" w14:textId="28C263C1" w:rsidR="001259CB" w:rsidRDefault="001259CB" w:rsidP="001259CB">
      <w:pPr>
        <w:pStyle w:val="Caption"/>
      </w:pPr>
      <w:bookmarkStart w:id="47" w:name="_Ref196922807"/>
      <w:r>
        <w:lastRenderedPageBreak/>
        <w:t xml:space="preserve">Figure </w:t>
      </w:r>
      <w:r w:rsidR="00146997">
        <w:fldChar w:fldCharType="begin"/>
      </w:r>
      <w:r w:rsidR="00146997">
        <w:instrText xml:space="preserve"> SEQ Figure \* ARABIC </w:instrText>
      </w:r>
      <w:r w:rsidR="00146997">
        <w:fldChar w:fldCharType="separate"/>
      </w:r>
      <w:r w:rsidR="00146997">
        <w:rPr>
          <w:noProof/>
        </w:rPr>
        <w:t>6</w:t>
      </w:r>
      <w:r w:rsidR="00146997">
        <w:rPr>
          <w:noProof/>
        </w:rPr>
        <w:fldChar w:fldCharType="end"/>
      </w:r>
      <w:bookmarkEnd w:id="47"/>
      <w:r>
        <w:tab/>
      </w:r>
      <w:r w:rsidR="0026603E">
        <w:t>Initial decision tree</w:t>
      </w:r>
    </w:p>
    <w:p w14:paraId="4E4D8543" w14:textId="3F853960" w:rsidR="1A06A265" w:rsidRDefault="00C16B1F" w:rsidP="00871AF4">
      <w:pPr>
        <w:pBdr>
          <w:top w:val="single" w:sz="4" w:space="1" w:color="auto"/>
          <w:left w:val="single" w:sz="4" w:space="4" w:color="auto"/>
          <w:bottom w:val="single" w:sz="4" w:space="1" w:color="auto"/>
          <w:right w:val="single" w:sz="4" w:space="4" w:color="auto"/>
        </w:pBdr>
        <w:spacing w:after="0"/>
      </w:pPr>
      <w:r>
        <w:rPr>
          <w:noProof/>
        </w:rPr>
        <w:drawing>
          <wp:inline distT="0" distB="0" distL="0" distR="0" wp14:anchorId="073B05F5" wp14:editId="3BA39D33">
            <wp:extent cx="5702750" cy="1802921"/>
            <wp:effectExtent l="0" t="0" r="0" b="6985"/>
            <wp:docPr id="875505908" name="Picture 4" descr="This figure shows the initial decision tree where patients are screened for eligibility and undergo pre-treatment anti-AAV5 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3">
                      <a:extLst>
                        <a:ext uri="{28A0092B-C50C-407E-A947-70E740481C1C}">
                          <a14:useLocalDpi xmlns:a14="http://schemas.microsoft.com/office/drawing/2010/main" val="0"/>
                        </a:ext>
                      </a:extLst>
                    </a:blip>
                    <a:stretch>
                      <a:fillRect/>
                    </a:stretch>
                  </pic:blipFill>
                  <pic:spPr>
                    <a:xfrm>
                      <a:off x="0" y="0"/>
                      <a:ext cx="5702750" cy="1802921"/>
                    </a:xfrm>
                    <a:prstGeom prst="rect">
                      <a:avLst/>
                    </a:prstGeom>
                  </pic:spPr>
                </pic:pic>
              </a:graphicData>
            </a:graphic>
          </wp:inline>
        </w:drawing>
      </w:r>
    </w:p>
    <w:p w14:paraId="2DE1D107" w14:textId="35F1E53E" w:rsidR="0026603E" w:rsidRDefault="00C16B1F" w:rsidP="00871AF4">
      <w:pPr>
        <w:pStyle w:val="Tablenotes"/>
        <w:spacing w:after="0"/>
      </w:pPr>
      <w:r>
        <w:t xml:space="preserve">INT = </w:t>
      </w:r>
      <w:r w:rsidR="00F6032C">
        <w:t xml:space="preserve">ED </w:t>
      </w:r>
      <w:r w:rsidR="0091405D">
        <w:t xml:space="preserve">test-treatment </w:t>
      </w:r>
      <w:r>
        <w:t>intervention</w:t>
      </w:r>
      <w:r w:rsidR="0091405D">
        <w:t>; SOC = standard of care</w:t>
      </w:r>
      <w:r w:rsidR="002C52D0">
        <w:t>.</w:t>
      </w:r>
    </w:p>
    <w:p w14:paraId="55FCCEB3" w14:textId="356DA753" w:rsidR="0D3BBA49" w:rsidRDefault="0FDA4301" w:rsidP="74D17CD8">
      <w:pPr>
        <w:pStyle w:val="TableFigureFooter"/>
        <w:spacing w:before="0" w:after="0"/>
        <w:contextualSpacing/>
        <w:rPr>
          <w:lang w:val="en-US"/>
        </w:rPr>
      </w:pPr>
      <w:r w:rsidRPr="6F0C2656">
        <w:rPr>
          <w:lang w:val="en-US"/>
        </w:rPr>
        <w:t xml:space="preserve">Source: Figure </w:t>
      </w:r>
      <w:r w:rsidR="00D140CB" w:rsidRPr="61959671">
        <w:rPr>
          <w:lang w:val="en-US"/>
        </w:rPr>
        <w:t>3</w:t>
      </w:r>
      <w:r w:rsidR="00D140CB" w:rsidRPr="6F0C2656">
        <w:rPr>
          <w:lang w:val="en-US"/>
        </w:rPr>
        <w:t xml:space="preserve">.1 </w:t>
      </w:r>
      <w:r w:rsidR="00D140CB" w:rsidRPr="61959671">
        <w:rPr>
          <w:lang w:val="en-US"/>
        </w:rPr>
        <w:t>of</w:t>
      </w:r>
      <w:r w:rsidRPr="6F0C2656">
        <w:rPr>
          <w:lang w:val="en-US"/>
        </w:rPr>
        <w:t xml:space="preserve"> MSAC ADAR 1728.1.</w:t>
      </w:r>
    </w:p>
    <w:p w14:paraId="0FF7C0CB" w14:textId="44AD9AEB" w:rsidR="0026603E" w:rsidRDefault="0026603E" w:rsidP="0026603E">
      <w:pPr>
        <w:pStyle w:val="Caption"/>
      </w:pPr>
      <w:bookmarkStart w:id="48" w:name="_Ref196922819"/>
      <w:r>
        <w:t xml:space="preserve">Figure </w:t>
      </w:r>
      <w:r w:rsidR="00146997">
        <w:fldChar w:fldCharType="begin"/>
      </w:r>
      <w:r w:rsidR="00146997">
        <w:instrText xml:space="preserve"> SEQ Figure \* ARABIC </w:instrText>
      </w:r>
      <w:r w:rsidR="00146997">
        <w:fldChar w:fldCharType="separate"/>
      </w:r>
      <w:r w:rsidR="00146997">
        <w:rPr>
          <w:noProof/>
        </w:rPr>
        <w:t>7</w:t>
      </w:r>
      <w:r w:rsidR="00146997">
        <w:rPr>
          <w:noProof/>
        </w:rPr>
        <w:fldChar w:fldCharType="end"/>
      </w:r>
      <w:bookmarkEnd w:id="48"/>
      <w:r>
        <w:tab/>
      </w:r>
      <w:r w:rsidR="00F07429">
        <w:t>Long term Markov model</w:t>
      </w:r>
    </w:p>
    <w:p w14:paraId="2B6C5E4F" w14:textId="7D7AB9EE" w:rsidR="00F07429" w:rsidRDefault="00E31706" w:rsidP="00D44A49">
      <w:pPr>
        <w:pBdr>
          <w:top w:val="single" w:sz="4" w:space="1" w:color="auto"/>
          <w:left w:val="single" w:sz="4" w:space="4" w:color="auto"/>
          <w:bottom w:val="single" w:sz="4" w:space="1" w:color="auto"/>
          <w:right w:val="single" w:sz="4" w:space="4" w:color="auto"/>
        </w:pBdr>
        <w:spacing w:after="0"/>
        <w:jc w:val="center"/>
      </w:pPr>
      <w:r>
        <w:rPr>
          <w:noProof/>
        </w:rPr>
        <w:drawing>
          <wp:inline distT="0" distB="0" distL="0" distR="0" wp14:anchorId="6B9631EE" wp14:editId="1FAD6823">
            <wp:extent cx="5072332" cy="1906420"/>
            <wp:effectExtent l="0" t="0" r="0" b="0"/>
            <wp:docPr id="1315018231" name="Picture 5" descr="This figure shows that long-term Markov model. It has five health states; four based on Pettersson Score and d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18231" name="Picture 5" descr="This figure shows that long-term Markov model. It has five health states; four based on Pettersson Score and dea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78165" cy="1908612"/>
                    </a:xfrm>
                    <a:prstGeom prst="rect">
                      <a:avLst/>
                    </a:prstGeom>
                    <a:noFill/>
                  </pic:spPr>
                </pic:pic>
              </a:graphicData>
            </a:graphic>
          </wp:inline>
        </w:drawing>
      </w:r>
    </w:p>
    <w:p w14:paraId="10CE20A9" w14:textId="70A87681" w:rsidR="00F07429" w:rsidRPr="00F07429" w:rsidRDefault="00E31706" w:rsidP="00832B89">
      <w:pPr>
        <w:pStyle w:val="Tablenotes"/>
        <w:spacing w:after="0"/>
      </w:pPr>
      <w:r>
        <w:t>PS = Pettersson Score</w:t>
      </w:r>
    </w:p>
    <w:p w14:paraId="4ED63C1B" w14:textId="0D481D02" w:rsidR="710D995E" w:rsidRDefault="6370B6ED" w:rsidP="00832B89">
      <w:pPr>
        <w:pStyle w:val="TableFigureFooter"/>
        <w:spacing w:after="0"/>
        <w:contextualSpacing/>
        <w:rPr>
          <w:lang w:val="en-US"/>
        </w:rPr>
      </w:pPr>
      <w:r w:rsidRPr="2F6D0EEE">
        <w:rPr>
          <w:lang w:val="en-US"/>
        </w:rPr>
        <w:t>Source: Figure 3.2 of MSAC ADAR 1728.1.</w:t>
      </w:r>
    </w:p>
    <w:p w14:paraId="75FEA844" w14:textId="0D364882" w:rsidR="00A509DA" w:rsidRDefault="004E4414" w:rsidP="007D1378">
      <w:pPr>
        <w:rPr>
          <w:rFonts w:eastAsia="Times New Roman" w:cs="Arial"/>
        </w:rPr>
      </w:pPr>
      <w:r>
        <w:rPr>
          <w:rFonts w:eastAsia="Times New Roman" w:cs="Arial"/>
        </w:rPr>
        <w:t>T</w:t>
      </w:r>
      <w:r w:rsidR="00EB0ACD">
        <w:rPr>
          <w:rFonts w:eastAsia="Times New Roman" w:cs="Arial"/>
        </w:rPr>
        <w:t xml:space="preserve">he </w:t>
      </w:r>
      <w:r w:rsidR="0075385F">
        <w:rPr>
          <w:rFonts w:eastAsia="Times New Roman" w:cs="Arial"/>
        </w:rPr>
        <w:t xml:space="preserve">initial </w:t>
      </w:r>
      <w:r w:rsidR="00EB0ACD">
        <w:rPr>
          <w:rFonts w:eastAsia="Times New Roman" w:cs="Arial"/>
        </w:rPr>
        <w:t>decision tree</w:t>
      </w:r>
      <w:r>
        <w:rPr>
          <w:rFonts w:eastAsia="Times New Roman" w:cs="Arial"/>
        </w:rPr>
        <w:t xml:space="preserve"> </w:t>
      </w:r>
      <w:r w:rsidR="00F73B99">
        <w:rPr>
          <w:rFonts w:eastAsia="Times New Roman" w:cs="Arial"/>
        </w:rPr>
        <w:t>identified</w:t>
      </w:r>
      <w:r w:rsidR="001466C6">
        <w:rPr>
          <w:rFonts w:eastAsia="Times New Roman" w:cs="Arial"/>
        </w:rPr>
        <w:t xml:space="preserve"> </w:t>
      </w:r>
      <w:r w:rsidR="00F73B99">
        <w:rPr>
          <w:rFonts w:eastAsia="Times New Roman" w:cs="Arial"/>
        </w:rPr>
        <w:t xml:space="preserve">patients who receive </w:t>
      </w:r>
      <w:r w:rsidR="00882C3C">
        <w:rPr>
          <w:rFonts w:eastAsia="Times New Roman" w:cs="Arial"/>
        </w:rPr>
        <w:t xml:space="preserve">ED </w:t>
      </w:r>
      <w:r w:rsidR="00F73B99">
        <w:rPr>
          <w:rFonts w:eastAsia="Times New Roman" w:cs="Arial"/>
        </w:rPr>
        <w:t xml:space="preserve">from the </w:t>
      </w:r>
      <w:r w:rsidR="00700C17">
        <w:rPr>
          <w:rFonts w:eastAsia="Times New Roman" w:cs="Arial"/>
        </w:rPr>
        <w:t>potentially</w:t>
      </w:r>
      <w:r w:rsidR="001466C6">
        <w:rPr>
          <w:rFonts w:eastAsia="Times New Roman" w:cs="Arial"/>
        </w:rPr>
        <w:t xml:space="preserve"> eligible population</w:t>
      </w:r>
      <w:r w:rsidR="00B9044E">
        <w:rPr>
          <w:rFonts w:eastAsia="Times New Roman" w:cs="Arial"/>
        </w:rPr>
        <w:t>.</w:t>
      </w:r>
      <w:r w:rsidR="001466C6">
        <w:rPr>
          <w:rFonts w:eastAsia="Times New Roman" w:cs="Arial"/>
        </w:rPr>
        <w:t xml:space="preserve"> </w:t>
      </w:r>
      <w:r w:rsidR="001A0BDD">
        <w:rPr>
          <w:rFonts w:eastAsia="Times New Roman" w:cs="Arial"/>
        </w:rPr>
        <w:t>It had two stages, firstly</w:t>
      </w:r>
      <w:r w:rsidR="001466C6">
        <w:rPr>
          <w:rFonts w:eastAsia="Times New Roman" w:cs="Arial"/>
        </w:rPr>
        <w:t xml:space="preserve"> screening for the presence of FIX inhibitors, active hepatitis </w:t>
      </w:r>
      <w:r w:rsidR="008E0598">
        <w:rPr>
          <w:rFonts w:eastAsia="Times New Roman" w:cs="Arial"/>
        </w:rPr>
        <w:t>and</w:t>
      </w:r>
      <w:r w:rsidR="00644D98">
        <w:rPr>
          <w:rFonts w:eastAsia="Times New Roman" w:cs="Arial"/>
        </w:rPr>
        <w:t xml:space="preserve"> severe liver disease. </w:t>
      </w:r>
      <w:r w:rsidR="001A0BDD">
        <w:rPr>
          <w:rFonts w:eastAsia="Times New Roman" w:cs="Arial"/>
        </w:rPr>
        <w:t>Secondly, i</w:t>
      </w:r>
      <w:r w:rsidR="00644D98">
        <w:rPr>
          <w:rFonts w:eastAsia="Times New Roman" w:cs="Arial"/>
        </w:rPr>
        <w:t>n those who pass screening</w:t>
      </w:r>
      <w:r w:rsidR="00A73415">
        <w:rPr>
          <w:rFonts w:eastAsia="Times New Roman" w:cs="Arial"/>
        </w:rPr>
        <w:t xml:space="preserve">, anti-AAV5 </w:t>
      </w:r>
      <w:r w:rsidR="00C05650">
        <w:rPr>
          <w:rFonts w:eastAsia="Times New Roman" w:cs="Arial"/>
        </w:rPr>
        <w:t>N</w:t>
      </w:r>
      <w:r w:rsidR="008209AD">
        <w:rPr>
          <w:rFonts w:eastAsia="Times New Roman" w:cs="Arial"/>
        </w:rPr>
        <w:t>a</w:t>
      </w:r>
      <w:r w:rsidR="00C05650">
        <w:rPr>
          <w:rFonts w:eastAsia="Times New Roman" w:cs="Arial"/>
        </w:rPr>
        <w:t>b</w:t>
      </w:r>
      <w:r w:rsidR="00A73415">
        <w:rPr>
          <w:rFonts w:eastAsia="Times New Roman" w:cs="Arial"/>
        </w:rPr>
        <w:t xml:space="preserve"> </w:t>
      </w:r>
      <w:r w:rsidR="00E13EEF">
        <w:rPr>
          <w:rFonts w:eastAsia="Times New Roman" w:cs="Arial"/>
        </w:rPr>
        <w:t xml:space="preserve">testing </w:t>
      </w:r>
      <w:r w:rsidR="000D0E75">
        <w:rPr>
          <w:rFonts w:eastAsia="Times New Roman" w:cs="Arial"/>
        </w:rPr>
        <w:t>where</w:t>
      </w:r>
      <w:r w:rsidR="00E13EEF">
        <w:rPr>
          <w:rFonts w:eastAsia="Times New Roman" w:cs="Arial"/>
        </w:rPr>
        <w:t xml:space="preserve"> </w:t>
      </w:r>
      <w:r w:rsidR="00792E5A">
        <w:rPr>
          <w:rFonts w:eastAsia="Times New Roman" w:cs="Arial"/>
        </w:rPr>
        <w:t>patients with a titre &lt;1:900</w:t>
      </w:r>
      <w:r w:rsidR="00E13EEF">
        <w:rPr>
          <w:rFonts w:eastAsia="Times New Roman" w:cs="Arial"/>
        </w:rPr>
        <w:t xml:space="preserve"> </w:t>
      </w:r>
      <w:r w:rsidR="000E4DFB">
        <w:rPr>
          <w:rFonts w:eastAsia="Times New Roman" w:cs="Arial"/>
        </w:rPr>
        <w:t>progre</w:t>
      </w:r>
      <w:r w:rsidR="00100652">
        <w:rPr>
          <w:rFonts w:eastAsia="Times New Roman" w:cs="Arial"/>
        </w:rPr>
        <w:t>ssed</w:t>
      </w:r>
      <w:r w:rsidR="000E4DFB">
        <w:rPr>
          <w:rFonts w:eastAsia="Times New Roman" w:cs="Arial"/>
        </w:rPr>
        <w:t xml:space="preserve"> to treatment (</w:t>
      </w:r>
      <w:r w:rsidR="000E4DFB">
        <w:rPr>
          <w:rFonts w:eastAsia="Times New Roman" w:cs="Arial"/>
        </w:rPr>
        <w:fldChar w:fldCharType="begin"/>
      </w:r>
      <w:r w:rsidR="000E4DFB">
        <w:rPr>
          <w:rFonts w:eastAsia="Times New Roman" w:cs="Arial"/>
        </w:rPr>
        <w:instrText xml:space="preserve"> REF _Ref196922807 \h </w:instrText>
      </w:r>
      <w:r w:rsidR="000E4DFB">
        <w:rPr>
          <w:rFonts w:eastAsia="Times New Roman" w:cs="Arial"/>
        </w:rPr>
      </w:r>
      <w:r w:rsidR="000E4DFB">
        <w:rPr>
          <w:rFonts w:eastAsia="Times New Roman" w:cs="Arial"/>
        </w:rPr>
        <w:fldChar w:fldCharType="separate"/>
      </w:r>
      <w:r w:rsidR="00146997">
        <w:t xml:space="preserve">Figure </w:t>
      </w:r>
      <w:r w:rsidR="00146997">
        <w:rPr>
          <w:noProof/>
        </w:rPr>
        <w:t>6</w:t>
      </w:r>
      <w:r w:rsidR="000E4DFB">
        <w:rPr>
          <w:rFonts w:eastAsia="Times New Roman" w:cs="Arial"/>
        </w:rPr>
        <w:fldChar w:fldCharType="end"/>
      </w:r>
      <w:r w:rsidR="000E4DFB">
        <w:rPr>
          <w:rFonts w:eastAsia="Times New Roman" w:cs="Arial"/>
        </w:rPr>
        <w:t>). The decision tree include</w:t>
      </w:r>
      <w:r w:rsidR="00100652">
        <w:rPr>
          <w:rFonts w:eastAsia="Times New Roman" w:cs="Arial"/>
        </w:rPr>
        <w:t>d</w:t>
      </w:r>
      <w:r w:rsidR="000E4DFB">
        <w:rPr>
          <w:rFonts w:eastAsia="Times New Roman" w:cs="Arial"/>
        </w:rPr>
        <w:t xml:space="preserve"> </w:t>
      </w:r>
      <w:r w:rsidR="001D4E23">
        <w:rPr>
          <w:rFonts w:eastAsia="Times New Roman" w:cs="Arial"/>
        </w:rPr>
        <w:t xml:space="preserve">false negative test results where a test wrongly indicates </w:t>
      </w:r>
      <w:r w:rsidR="000B0FE9" w:rsidRPr="000B0FE9">
        <w:rPr>
          <w:rFonts w:eastAsia="Times New Roman" w:cs="Arial"/>
        </w:rPr>
        <w:t xml:space="preserve">that the anti-AAV5 </w:t>
      </w:r>
      <w:proofErr w:type="spellStart"/>
      <w:r w:rsidR="005853BE">
        <w:rPr>
          <w:rFonts w:eastAsia="Times New Roman" w:cs="Arial"/>
        </w:rPr>
        <w:t>NAb</w:t>
      </w:r>
      <w:proofErr w:type="spellEnd"/>
      <w:r w:rsidR="005853BE">
        <w:rPr>
          <w:rFonts w:eastAsia="Times New Roman" w:cs="Arial"/>
        </w:rPr>
        <w:t xml:space="preserve"> </w:t>
      </w:r>
      <w:r w:rsidR="000B0FE9" w:rsidRPr="000B0FE9">
        <w:rPr>
          <w:rFonts w:eastAsia="Times New Roman" w:cs="Arial"/>
        </w:rPr>
        <w:t xml:space="preserve">titre is below the threshold of 1:900, which led to a person receiving </w:t>
      </w:r>
      <w:r w:rsidR="00882C3C">
        <w:rPr>
          <w:rFonts w:eastAsia="Times New Roman" w:cs="Arial"/>
        </w:rPr>
        <w:t>ED</w:t>
      </w:r>
      <w:r w:rsidR="00882C3C" w:rsidRPr="000B0FE9">
        <w:rPr>
          <w:rFonts w:eastAsia="Times New Roman" w:cs="Arial"/>
        </w:rPr>
        <w:t xml:space="preserve"> </w:t>
      </w:r>
      <w:r w:rsidR="000B0FE9" w:rsidRPr="000B0FE9">
        <w:rPr>
          <w:rFonts w:eastAsia="Times New Roman" w:cs="Arial"/>
        </w:rPr>
        <w:t xml:space="preserve">who </w:t>
      </w:r>
      <w:r w:rsidR="00100652">
        <w:rPr>
          <w:rFonts w:eastAsia="Times New Roman" w:cs="Arial"/>
        </w:rPr>
        <w:t>was</w:t>
      </w:r>
      <w:r w:rsidR="000B0FE9" w:rsidRPr="000B0FE9">
        <w:rPr>
          <w:rFonts w:eastAsia="Times New Roman" w:cs="Arial"/>
        </w:rPr>
        <w:t xml:space="preserve"> not appropriate for treatment.</w:t>
      </w:r>
      <w:r w:rsidR="00233A8B" w:rsidRPr="64D8F491">
        <w:rPr>
          <w:rFonts w:eastAsia="Times New Roman" w:cs="Arial"/>
        </w:rPr>
        <w:t xml:space="preserve"> In the model these false negatives are assumed to receive no benefit from </w:t>
      </w:r>
      <w:r w:rsidR="00882C3C">
        <w:rPr>
          <w:rFonts w:eastAsia="Times New Roman" w:cs="Arial"/>
        </w:rPr>
        <w:t>ED</w:t>
      </w:r>
      <w:r w:rsidR="00882C3C" w:rsidRPr="64D8F491">
        <w:rPr>
          <w:rFonts w:eastAsia="Times New Roman" w:cs="Arial"/>
        </w:rPr>
        <w:t xml:space="preserve"> </w:t>
      </w:r>
      <w:r w:rsidR="00233A8B" w:rsidRPr="64D8F491">
        <w:rPr>
          <w:rFonts w:eastAsia="Times New Roman" w:cs="Arial"/>
        </w:rPr>
        <w:t xml:space="preserve">and therefore </w:t>
      </w:r>
      <w:r w:rsidR="005C30DB" w:rsidRPr="64D8F491">
        <w:rPr>
          <w:rFonts w:eastAsia="Times New Roman" w:cs="Arial"/>
        </w:rPr>
        <w:t>their</w:t>
      </w:r>
      <w:r w:rsidR="00DB757B" w:rsidRPr="64D8F491">
        <w:rPr>
          <w:rFonts w:eastAsia="Times New Roman" w:cs="Arial"/>
        </w:rPr>
        <w:t xml:space="preserve"> health</w:t>
      </w:r>
      <w:r w:rsidR="005C30DB" w:rsidRPr="64D8F491">
        <w:rPr>
          <w:rFonts w:eastAsia="Times New Roman" w:cs="Arial"/>
        </w:rPr>
        <w:t xml:space="preserve"> outcomes are </w:t>
      </w:r>
      <w:r w:rsidR="00E811C1" w:rsidRPr="64D8F491">
        <w:rPr>
          <w:rFonts w:eastAsia="Times New Roman" w:cs="Arial"/>
        </w:rPr>
        <w:t>assumed to be equal to standard of care</w:t>
      </w:r>
      <w:r w:rsidR="00EC5E4A" w:rsidRPr="64D8F491">
        <w:rPr>
          <w:rFonts w:eastAsia="Times New Roman" w:cs="Arial"/>
        </w:rPr>
        <w:t>.</w:t>
      </w:r>
      <w:r w:rsidR="007240FB">
        <w:rPr>
          <w:rFonts w:eastAsia="Times New Roman" w:cs="Arial"/>
        </w:rPr>
        <w:t xml:space="preserve"> </w:t>
      </w:r>
      <w:r w:rsidR="0038782A">
        <w:rPr>
          <w:rFonts w:eastAsia="Times New Roman" w:cs="Arial"/>
        </w:rPr>
        <w:t xml:space="preserve">Repeat anti-AAV5 </w:t>
      </w:r>
      <w:proofErr w:type="spellStart"/>
      <w:r w:rsidR="0038782A">
        <w:rPr>
          <w:rFonts w:eastAsia="Times New Roman" w:cs="Arial"/>
        </w:rPr>
        <w:t>N</w:t>
      </w:r>
      <w:r w:rsidR="00A377ED">
        <w:rPr>
          <w:rFonts w:eastAsia="Times New Roman" w:cs="Arial"/>
        </w:rPr>
        <w:t>A</w:t>
      </w:r>
      <w:r w:rsidR="0038782A">
        <w:rPr>
          <w:rFonts w:eastAsia="Times New Roman" w:cs="Arial"/>
        </w:rPr>
        <w:t>b</w:t>
      </w:r>
      <w:proofErr w:type="spellEnd"/>
      <w:r w:rsidR="0038782A">
        <w:rPr>
          <w:rFonts w:eastAsia="Times New Roman" w:cs="Arial"/>
        </w:rPr>
        <w:t xml:space="preserve"> testing, if required, was not included in the decision tree</w:t>
      </w:r>
      <w:r w:rsidR="004D294A">
        <w:rPr>
          <w:rFonts w:eastAsia="Times New Roman" w:cs="Arial"/>
        </w:rPr>
        <w:t xml:space="preserve"> </w:t>
      </w:r>
      <w:r w:rsidR="00A377ED">
        <w:rPr>
          <w:rFonts w:eastAsia="Times New Roman" w:cs="Arial"/>
        </w:rPr>
        <w:t>n</w:t>
      </w:r>
      <w:r w:rsidR="004D294A">
        <w:rPr>
          <w:rFonts w:eastAsia="Times New Roman" w:cs="Arial"/>
        </w:rPr>
        <w:t>or accounted for in the costs</w:t>
      </w:r>
      <w:r w:rsidR="008B5265">
        <w:rPr>
          <w:rFonts w:eastAsia="Times New Roman" w:cs="Arial"/>
        </w:rPr>
        <w:t>.</w:t>
      </w:r>
    </w:p>
    <w:p w14:paraId="2433CD7E" w14:textId="05391337" w:rsidR="00324E0B" w:rsidRDefault="0087668B" w:rsidP="007D1378">
      <w:pPr>
        <w:rPr>
          <w:rFonts w:eastAsia="Times New Roman" w:cs="Arial"/>
        </w:rPr>
      </w:pPr>
      <w:r>
        <w:rPr>
          <w:rFonts w:eastAsia="Times New Roman" w:cs="Arial"/>
        </w:rPr>
        <w:t xml:space="preserve">The </w:t>
      </w:r>
      <w:r w:rsidR="00AD11F8">
        <w:rPr>
          <w:rFonts w:eastAsia="Times New Roman" w:cs="Arial"/>
        </w:rPr>
        <w:t>long-term Markov</w:t>
      </w:r>
      <w:r>
        <w:rPr>
          <w:rFonts w:eastAsia="Times New Roman" w:cs="Arial"/>
        </w:rPr>
        <w:t xml:space="preserve"> model </w:t>
      </w:r>
      <w:r w:rsidR="00206374">
        <w:rPr>
          <w:rFonts w:eastAsia="Times New Roman" w:cs="Arial"/>
        </w:rPr>
        <w:t xml:space="preserve">included </w:t>
      </w:r>
      <w:r w:rsidR="00182865">
        <w:rPr>
          <w:rFonts w:eastAsia="Times New Roman" w:cs="Arial"/>
        </w:rPr>
        <w:t xml:space="preserve">4 </w:t>
      </w:r>
      <w:r w:rsidR="00206374">
        <w:rPr>
          <w:rFonts w:eastAsia="Times New Roman" w:cs="Arial"/>
        </w:rPr>
        <w:t xml:space="preserve">health states that </w:t>
      </w:r>
      <w:r w:rsidR="00182865">
        <w:rPr>
          <w:rFonts w:eastAsia="Times New Roman" w:cs="Arial"/>
        </w:rPr>
        <w:t>we</w:t>
      </w:r>
      <w:r w:rsidR="00005641">
        <w:rPr>
          <w:rFonts w:eastAsia="Times New Roman" w:cs="Arial"/>
        </w:rPr>
        <w:t>re</w:t>
      </w:r>
      <w:r w:rsidR="00E03487">
        <w:rPr>
          <w:rFonts w:eastAsia="Times New Roman" w:cs="Arial"/>
        </w:rPr>
        <w:t xml:space="preserve"> associated with progression of haemophilia-related joint damage</w:t>
      </w:r>
      <w:r w:rsidR="00425389">
        <w:rPr>
          <w:rFonts w:eastAsia="Times New Roman" w:cs="Arial"/>
        </w:rPr>
        <w:t>. Transition through these health states occurred following an accumulation of joint bleeds</w:t>
      </w:r>
      <w:r w:rsidR="00117720">
        <w:rPr>
          <w:rFonts w:eastAsia="Times New Roman" w:cs="Arial"/>
        </w:rPr>
        <w:t>,</w:t>
      </w:r>
      <w:r w:rsidR="00720F9D">
        <w:rPr>
          <w:rFonts w:eastAsia="Times New Roman" w:cs="Arial"/>
        </w:rPr>
        <w:t xml:space="preserve"> with </w:t>
      </w:r>
      <w:r w:rsidR="005C73D0">
        <w:rPr>
          <w:rFonts w:eastAsia="Times New Roman" w:cs="Arial"/>
        </w:rPr>
        <w:t xml:space="preserve">12.6 joint bleeds </w:t>
      </w:r>
      <w:r w:rsidR="00BE5D52">
        <w:rPr>
          <w:rFonts w:eastAsia="Times New Roman" w:cs="Arial"/>
        </w:rPr>
        <w:t>leading patients to advance 1 PS unit</w:t>
      </w:r>
      <w:r w:rsidR="00B812A9">
        <w:rPr>
          <w:rFonts w:eastAsia="Times New Roman" w:cs="Arial"/>
        </w:rPr>
        <w:t xml:space="preserve"> and a PS score of 28 </w:t>
      </w:r>
      <w:r w:rsidR="00FD2CEC">
        <w:rPr>
          <w:rFonts w:eastAsia="Times New Roman" w:cs="Arial"/>
        </w:rPr>
        <w:t xml:space="preserve">indicating a requirement for </w:t>
      </w:r>
      <w:r w:rsidR="00B3425D">
        <w:rPr>
          <w:rFonts w:eastAsia="Times New Roman" w:cs="Arial"/>
        </w:rPr>
        <w:t>joint replacement</w:t>
      </w:r>
      <w:r w:rsidR="00FD2CEC">
        <w:rPr>
          <w:rFonts w:eastAsia="Times New Roman" w:cs="Arial"/>
        </w:rPr>
        <w:t xml:space="preserve"> </w:t>
      </w:r>
      <w:r w:rsidR="00574F64">
        <w:rPr>
          <w:rFonts w:eastAsia="Times New Roman" w:cs="Arial"/>
        </w:rPr>
        <w:t>surgery</w:t>
      </w:r>
      <w:r w:rsidR="00A47FDE">
        <w:rPr>
          <w:rFonts w:eastAsia="Times New Roman" w:cs="Arial"/>
        </w:rPr>
        <w:t xml:space="preserve">. Initial distribution across these health states </w:t>
      </w:r>
      <w:r w:rsidR="00324E0B">
        <w:rPr>
          <w:rFonts w:eastAsia="Times New Roman" w:cs="Arial"/>
        </w:rPr>
        <w:t xml:space="preserve">was intended to </w:t>
      </w:r>
      <w:r w:rsidR="00862A54">
        <w:rPr>
          <w:rFonts w:eastAsia="Times New Roman" w:cs="Arial"/>
        </w:rPr>
        <w:t>reflec</w:t>
      </w:r>
      <w:r w:rsidR="00324E0B">
        <w:rPr>
          <w:rFonts w:eastAsia="Times New Roman" w:cs="Arial"/>
        </w:rPr>
        <w:t>t</w:t>
      </w:r>
      <w:r w:rsidR="00862A54">
        <w:rPr>
          <w:rFonts w:eastAsia="Times New Roman" w:cs="Arial"/>
        </w:rPr>
        <w:t xml:space="preserve"> the</w:t>
      </w:r>
      <w:r w:rsidR="00A47FDE">
        <w:rPr>
          <w:rFonts w:eastAsia="Times New Roman" w:cs="Arial"/>
        </w:rPr>
        <w:t xml:space="preserve"> </w:t>
      </w:r>
      <w:r w:rsidR="00324E0B">
        <w:rPr>
          <w:rFonts w:eastAsia="Times New Roman" w:cs="Arial"/>
        </w:rPr>
        <w:t>different levels of arthroplasty in the starting cohort.</w:t>
      </w:r>
      <w:r w:rsidR="00FB60AE">
        <w:rPr>
          <w:rFonts w:eastAsia="Times New Roman" w:cs="Arial"/>
        </w:rPr>
        <w:t xml:space="preserve"> </w:t>
      </w:r>
    </w:p>
    <w:p w14:paraId="55DDB226" w14:textId="10B3D3B0" w:rsidR="008209AD" w:rsidRDefault="00386E85" w:rsidP="007D1378">
      <w:pPr>
        <w:rPr>
          <w:rFonts w:eastAsia="Times New Roman" w:cs="Arial"/>
        </w:rPr>
      </w:pPr>
      <w:r>
        <w:rPr>
          <w:rFonts w:eastAsia="Times New Roman" w:cs="Arial"/>
        </w:rPr>
        <w:t>Th</w:t>
      </w:r>
      <w:r w:rsidR="00B52FEB">
        <w:rPr>
          <w:rFonts w:eastAsia="Times New Roman" w:cs="Arial"/>
        </w:rPr>
        <w:t>e Markov model</w:t>
      </w:r>
      <w:r>
        <w:rPr>
          <w:rFonts w:eastAsia="Times New Roman" w:cs="Arial"/>
        </w:rPr>
        <w:t xml:space="preserve"> </w:t>
      </w:r>
      <w:r w:rsidR="00B52FEB">
        <w:rPr>
          <w:rFonts w:eastAsia="Times New Roman" w:cs="Arial"/>
        </w:rPr>
        <w:t>wa</w:t>
      </w:r>
      <w:r>
        <w:rPr>
          <w:rFonts w:eastAsia="Times New Roman" w:cs="Arial"/>
        </w:rPr>
        <w:t>s more reflective of HMB than the economic evaluation</w:t>
      </w:r>
      <w:r w:rsidR="00A90A03">
        <w:rPr>
          <w:rFonts w:eastAsia="Times New Roman" w:cs="Arial"/>
        </w:rPr>
        <w:t xml:space="preserve"> presented in </w:t>
      </w:r>
      <w:r w:rsidR="00E12F6F">
        <w:rPr>
          <w:rFonts w:eastAsia="Times New Roman" w:cs="Arial"/>
        </w:rPr>
        <w:t>ADAR</w:t>
      </w:r>
      <w:r w:rsidR="00B66744">
        <w:rPr>
          <w:rFonts w:eastAsia="Times New Roman" w:cs="Arial"/>
        </w:rPr>
        <w:t> </w:t>
      </w:r>
      <w:r w:rsidR="00A90A03">
        <w:rPr>
          <w:rFonts w:eastAsia="Times New Roman" w:cs="Arial"/>
        </w:rPr>
        <w:t>1728</w:t>
      </w:r>
      <w:r w:rsidR="00E17329">
        <w:rPr>
          <w:rFonts w:eastAsia="Times New Roman" w:cs="Arial"/>
        </w:rPr>
        <w:t xml:space="preserve"> but t</w:t>
      </w:r>
      <w:r w:rsidR="00931D30">
        <w:rPr>
          <w:rFonts w:eastAsia="Times New Roman" w:cs="Arial"/>
        </w:rPr>
        <w:t xml:space="preserve">he </w:t>
      </w:r>
      <w:r w:rsidR="00890728">
        <w:rPr>
          <w:rFonts w:eastAsia="Times New Roman" w:cs="Arial"/>
        </w:rPr>
        <w:t>commentary consider</w:t>
      </w:r>
      <w:r w:rsidR="00FE7E75">
        <w:rPr>
          <w:rFonts w:eastAsia="Times New Roman" w:cs="Arial"/>
        </w:rPr>
        <w:t>ed</w:t>
      </w:r>
      <w:r w:rsidR="00890728">
        <w:rPr>
          <w:rFonts w:eastAsia="Times New Roman" w:cs="Arial"/>
        </w:rPr>
        <w:t xml:space="preserve"> that </w:t>
      </w:r>
      <w:r w:rsidR="00B35549">
        <w:rPr>
          <w:rFonts w:eastAsia="Times New Roman" w:cs="Arial"/>
        </w:rPr>
        <w:t xml:space="preserve">development of the model was limited by </w:t>
      </w:r>
      <w:r w:rsidR="00BF2988">
        <w:rPr>
          <w:rFonts w:eastAsia="Times New Roman" w:cs="Arial"/>
        </w:rPr>
        <w:t xml:space="preserve">the availability of </w:t>
      </w:r>
      <w:r w:rsidR="00890728">
        <w:rPr>
          <w:rFonts w:eastAsia="Times New Roman" w:cs="Arial"/>
        </w:rPr>
        <w:t xml:space="preserve">reliable </w:t>
      </w:r>
      <w:r w:rsidR="00BF2988">
        <w:rPr>
          <w:rFonts w:eastAsia="Times New Roman" w:cs="Arial"/>
        </w:rPr>
        <w:t xml:space="preserve">data to inform </w:t>
      </w:r>
      <w:r w:rsidR="0096539C">
        <w:rPr>
          <w:rFonts w:eastAsia="Times New Roman" w:cs="Arial"/>
        </w:rPr>
        <w:t>it</w:t>
      </w:r>
      <w:r w:rsidR="00890728">
        <w:rPr>
          <w:rFonts w:eastAsia="Times New Roman" w:cs="Arial"/>
        </w:rPr>
        <w:t xml:space="preserve">. The HOPE-B </w:t>
      </w:r>
      <w:r w:rsidR="00FE7E75">
        <w:rPr>
          <w:rFonts w:eastAsia="Times New Roman" w:cs="Arial"/>
        </w:rPr>
        <w:t>study</w:t>
      </w:r>
      <w:r w:rsidR="00890728">
        <w:rPr>
          <w:rFonts w:eastAsia="Times New Roman" w:cs="Arial"/>
        </w:rPr>
        <w:t xml:space="preserve"> </w:t>
      </w:r>
      <w:r w:rsidR="00B82280">
        <w:rPr>
          <w:rFonts w:eastAsia="Times New Roman" w:cs="Arial"/>
        </w:rPr>
        <w:t xml:space="preserve">did not have sufficient power </w:t>
      </w:r>
      <w:r w:rsidR="0012296C">
        <w:rPr>
          <w:rFonts w:eastAsia="Times New Roman" w:cs="Arial"/>
        </w:rPr>
        <w:t>n</w:t>
      </w:r>
      <w:r w:rsidR="00B82280">
        <w:rPr>
          <w:rFonts w:eastAsia="Times New Roman" w:cs="Arial"/>
        </w:rPr>
        <w:t>or follow</w:t>
      </w:r>
      <w:r w:rsidR="007740E6">
        <w:rPr>
          <w:rFonts w:eastAsia="Times New Roman" w:cs="Arial"/>
        </w:rPr>
        <w:t xml:space="preserve"> </w:t>
      </w:r>
      <w:r w:rsidR="00B82280">
        <w:rPr>
          <w:rFonts w:eastAsia="Times New Roman" w:cs="Arial"/>
        </w:rPr>
        <w:t xml:space="preserve">up to provide data </w:t>
      </w:r>
      <w:r w:rsidR="005866CD">
        <w:rPr>
          <w:rFonts w:eastAsia="Times New Roman" w:cs="Arial"/>
        </w:rPr>
        <w:t xml:space="preserve">on </w:t>
      </w:r>
      <w:r w:rsidR="00FF61A1">
        <w:rPr>
          <w:rFonts w:eastAsia="Times New Roman" w:cs="Arial"/>
        </w:rPr>
        <w:t xml:space="preserve">the natural history of HMB and </w:t>
      </w:r>
      <w:r w:rsidR="00201592">
        <w:rPr>
          <w:rFonts w:eastAsia="Times New Roman" w:cs="Arial"/>
        </w:rPr>
        <w:t>the studies used to inform the model were</w:t>
      </w:r>
      <w:r w:rsidR="00264F7D">
        <w:rPr>
          <w:rFonts w:eastAsia="Times New Roman" w:cs="Arial"/>
        </w:rPr>
        <w:t xml:space="preserve"> </w:t>
      </w:r>
      <w:r w:rsidR="00264F7D">
        <w:rPr>
          <w:rFonts w:eastAsia="Times New Roman" w:cs="Arial"/>
        </w:rPr>
        <w:lastRenderedPageBreak/>
        <w:t xml:space="preserve">also small, </w:t>
      </w:r>
      <w:r w:rsidR="00DD6B1C">
        <w:rPr>
          <w:rFonts w:eastAsia="Times New Roman" w:cs="Arial"/>
        </w:rPr>
        <w:t>dated and tended to be in younger populations including paediatric patients</w:t>
      </w:r>
      <w:r w:rsidR="004953E3">
        <w:rPr>
          <w:rFonts w:eastAsia="Times New Roman" w:cs="Arial"/>
        </w:rPr>
        <w:t>,</w:t>
      </w:r>
      <w:r w:rsidR="002024E8">
        <w:rPr>
          <w:rFonts w:eastAsia="Times New Roman" w:cs="Arial"/>
        </w:rPr>
        <w:t xml:space="preserve"> as would be expected for a rar</w:t>
      </w:r>
      <w:r w:rsidR="00827F95">
        <w:rPr>
          <w:rFonts w:eastAsia="Times New Roman" w:cs="Arial"/>
        </w:rPr>
        <w:t>e condition</w:t>
      </w:r>
      <w:r w:rsidR="00BF1369">
        <w:rPr>
          <w:rFonts w:eastAsia="Times New Roman" w:cs="Arial"/>
        </w:rPr>
        <w:t xml:space="preserve">. </w:t>
      </w:r>
      <w:r w:rsidR="00C41815">
        <w:rPr>
          <w:rFonts w:eastAsia="Times New Roman" w:cs="Arial"/>
        </w:rPr>
        <w:t>Therefore, in addressin</w:t>
      </w:r>
      <w:r w:rsidR="00227DF4">
        <w:rPr>
          <w:rFonts w:eastAsia="Times New Roman" w:cs="Arial"/>
        </w:rPr>
        <w:t xml:space="preserve">g </w:t>
      </w:r>
      <w:r w:rsidR="00C2484A">
        <w:rPr>
          <w:rFonts w:eastAsia="Times New Roman" w:cs="Arial"/>
        </w:rPr>
        <w:t xml:space="preserve">the oversimplification of the earlier model, the </w:t>
      </w:r>
      <w:r w:rsidR="005D585E">
        <w:rPr>
          <w:rFonts w:eastAsia="Times New Roman" w:cs="Arial"/>
        </w:rPr>
        <w:t>revised model necessarily introduce</w:t>
      </w:r>
      <w:r w:rsidR="002950D3">
        <w:rPr>
          <w:rFonts w:eastAsia="Times New Roman" w:cs="Arial"/>
        </w:rPr>
        <w:t>d</w:t>
      </w:r>
      <w:r w:rsidR="005D585E">
        <w:rPr>
          <w:rFonts w:eastAsia="Times New Roman" w:cs="Arial"/>
        </w:rPr>
        <w:t xml:space="preserve"> additional uncertainty. </w:t>
      </w:r>
    </w:p>
    <w:p w14:paraId="234D2082" w14:textId="44A09106" w:rsidR="0087668B" w:rsidRDefault="008209AD" w:rsidP="007D1378">
      <w:pPr>
        <w:rPr>
          <w:rFonts w:eastAsia="Times New Roman" w:cs="Arial"/>
        </w:rPr>
      </w:pPr>
      <w:r>
        <w:rPr>
          <w:rFonts w:eastAsia="Times New Roman" w:cs="Arial"/>
        </w:rPr>
        <w:t>D</w:t>
      </w:r>
      <w:r w:rsidR="009C1D6E" w:rsidRPr="009C1D6E">
        <w:rPr>
          <w:rFonts w:eastAsia="Times New Roman" w:cs="Arial"/>
        </w:rPr>
        <w:t xml:space="preserve">ue to the high number of joint bleeds required to progress to a different health state, progression through them </w:t>
      </w:r>
      <w:r>
        <w:rPr>
          <w:rFonts w:eastAsia="Times New Roman" w:cs="Arial"/>
        </w:rPr>
        <w:t>wa</w:t>
      </w:r>
      <w:r w:rsidR="009C1D6E" w:rsidRPr="009C1D6E">
        <w:rPr>
          <w:rFonts w:eastAsia="Times New Roman" w:cs="Arial"/>
        </w:rPr>
        <w:t>s slow and the health state distribution did not differ between the intervention and comparator over the model time horizon.</w:t>
      </w:r>
      <w:r w:rsidR="007A2A65" w:rsidRPr="007A2A65">
        <w:t xml:space="preserve"> </w:t>
      </w:r>
      <w:r w:rsidR="00376CF1">
        <w:t>D</w:t>
      </w:r>
      <w:r w:rsidR="007A2A65" w:rsidRPr="007A2A65">
        <w:rPr>
          <w:rFonts w:eastAsia="Times New Roman" w:cs="Arial"/>
        </w:rPr>
        <w:t xml:space="preserve">ifferences in QALYs </w:t>
      </w:r>
      <w:r w:rsidR="007A2A65">
        <w:rPr>
          <w:rFonts w:eastAsia="Times New Roman" w:cs="Arial"/>
        </w:rPr>
        <w:t>we</w:t>
      </w:r>
      <w:r w:rsidR="007A2A65" w:rsidRPr="007A2A65">
        <w:rPr>
          <w:rFonts w:eastAsia="Times New Roman" w:cs="Arial"/>
        </w:rPr>
        <w:t xml:space="preserve">re driven by </w:t>
      </w:r>
      <w:r w:rsidR="007E111A">
        <w:rPr>
          <w:rFonts w:eastAsia="Times New Roman" w:cs="Arial"/>
        </w:rPr>
        <w:t>quality</w:t>
      </w:r>
      <w:r w:rsidR="00594ED1">
        <w:rPr>
          <w:rFonts w:eastAsia="Times New Roman" w:cs="Arial"/>
        </w:rPr>
        <w:t>-</w:t>
      </w:r>
      <w:r w:rsidR="007E111A">
        <w:rPr>
          <w:rFonts w:eastAsia="Times New Roman" w:cs="Arial"/>
        </w:rPr>
        <w:t>of</w:t>
      </w:r>
      <w:r w:rsidR="00594ED1">
        <w:rPr>
          <w:rFonts w:eastAsia="Times New Roman" w:cs="Arial"/>
        </w:rPr>
        <w:t>-</w:t>
      </w:r>
      <w:r w:rsidR="007E111A">
        <w:rPr>
          <w:rFonts w:eastAsia="Times New Roman" w:cs="Arial"/>
        </w:rPr>
        <w:t>life</w:t>
      </w:r>
      <w:r w:rsidR="007A2A65" w:rsidRPr="007A2A65">
        <w:rPr>
          <w:rFonts w:eastAsia="Times New Roman" w:cs="Arial"/>
        </w:rPr>
        <w:t xml:space="preserve"> decrements applied for bleeding events.</w:t>
      </w:r>
      <w:r w:rsidR="007E111A">
        <w:rPr>
          <w:rFonts w:eastAsia="Times New Roman" w:cs="Arial"/>
        </w:rPr>
        <w:t xml:space="preserve"> </w:t>
      </w:r>
      <w:r w:rsidR="008E075E">
        <w:rPr>
          <w:rFonts w:eastAsia="Times New Roman" w:cs="Arial"/>
        </w:rPr>
        <w:t>T</w:t>
      </w:r>
      <w:r w:rsidR="007E111A">
        <w:rPr>
          <w:rFonts w:eastAsia="Times New Roman" w:cs="Arial"/>
        </w:rPr>
        <w:t xml:space="preserve">he assignment of costs was </w:t>
      </w:r>
      <w:r w:rsidR="00863A5F">
        <w:rPr>
          <w:rFonts w:eastAsia="Times New Roman" w:cs="Arial"/>
        </w:rPr>
        <w:t>influence</w:t>
      </w:r>
      <w:r>
        <w:rPr>
          <w:rFonts w:eastAsia="Times New Roman" w:cs="Arial"/>
        </w:rPr>
        <w:t>d</w:t>
      </w:r>
      <w:r w:rsidR="00863A5F">
        <w:rPr>
          <w:rFonts w:eastAsia="Times New Roman" w:cs="Arial"/>
        </w:rPr>
        <w:t xml:space="preserve"> by </w:t>
      </w:r>
      <w:r w:rsidR="00B06677">
        <w:rPr>
          <w:rFonts w:eastAsia="Times New Roman" w:cs="Arial"/>
        </w:rPr>
        <w:t>people in the intervention group fa</w:t>
      </w:r>
      <w:r w:rsidR="005D78DA">
        <w:rPr>
          <w:rFonts w:eastAsia="Times New Roman" w:cs="Arial"/>
        </w:rPr>
        <w:t>lling below a FIX threshold</w:t>
      </w:r>
      <w:r w:rsidR="00191CB6">
        <w:rPr>
          <w:rFonts w:eastAsia="Times New Roman" w:cs="Arial"/>
        </w:rPr>
        <w:t xml:space="preserve"> of 5%</w:t>
      </w:r>
      <w:r w:rsidR="005D78DA">
        <w:rPr>
          <w:rFonts w:eastAsia="Times New Roman" w:cs="Arial"/>
        </w:rPr>
        <w:t xml:space="preserve"> and resuming prophyla</w:t>
      </w:r>
      <w:r w:rsidR="00C559AA">
        <w:rPr>
          <w:rFonts w:eastAsia="Times New Roman" w:cs="Arial"/>
        </w:rPr>
        <w:t>c</w:t>
      </w:r>
      <w:r w:rsidR="00DB3F87">
        <w:rPr>
          <w:rFonts w:eastAsia="Times New Roman" w:cs="Arial"/>
        </w:rPr>
        <w:t>tic</w:t>
      </w:r>
      <w:r w:rsidR="00C559AA">
        <w:rPr>
          <w:rFonts w:eastAsia="Times New Roman" w:cs="Arial"/>
        </w:rPr>
        <w:t xml:space="preserve"> FIX</w:t>
      </w:r>
      <w:r w:rsidR="006979EC" w:rsidRPr="006979EC">
        <w:rPr>
          <w:rFonts w:eastAsia="Times New Roman" w:cs="Arial"/>
        </w:rPr>
        <w:t xml:space="preserve"> </w:t>
      </w:r>
      <w:r w:rsidR="006979EC">
        <w:rPr>
          <w:rFonts w:eastAsia="Times New Roman" w:cs="Arial"/>
        </w:rPr>
        <w:t>replacement therapy</w:t>
      </w:r>
      <w:r w:rsidR="00DB3F87">
        <w:rPr>
          <w:rFonts w:eastAsia="Times New Roman" w:cs="Arial"/>
        </w:rPr>
        <w:t>.</w:t>
      </w:r>
      <w:r w:rsidR="00AA5084">
        <w:rPr>
          <w:rFonts w:eastAsia="Times New Roman" w:cs="Arial"/>
        </w:rPr>
        <w:t xml:space="preserve"> </w:t>
      </w:r>
      <w:r w:rsidR="00FD2AB7">
        <w:rPr>
          <w:rFonts w:eastAsia="Times New Roman" w:cs="Arial"/>
        </w:rPr>
        <w:t>Therefore,</w:t>
      </w:r>
      <w:r w:rsidR="00AA5084">
        <w:rPr>
          <w:rFonts w:eastAsia="Times New Roman" w:cs="Arial"/>
        </w:rPr>
        <w:t xml:space="preserve"> the model structure </w:t>
      </w:r>
      <w:r w:rsidR="00A81729">
        <w:rPr>
          <w:rFonts w:eastAsia="Times New Roman" w:cs="Arial"/>
        </w:rPr>
        <w:t>cannot be interpreted based on</w:t>
      </w:r>
      <w:r w:rsidR="00AA5084">
        <w:rPr>
          <w:rFonts w:eastAsia="Times New Roman" w:cs="Arial"/>
        </w:rPr>
        <w:t xml:space="preserve"> </w:t>
      </w:r>
      <w:r w:rsidR="00AA5084">
        <w:rPr>
          <w:rFonts w:eastAsia="Times New Roman" w:cs="Arial"/>
        </w:rPr>
        <w:fldChar w:fldCharType="begin"/>
      </w:r>
      <w:r w:rsidR="00AA5084">
        <w:rPr>
          <w:rFonts w:eastAsia="Times New Roman" w:cs="Arial"/>
        </w:rPr>
        <w:instrText xml:space="preserve"> REF _Ref196922819 \h </w:instrText>
      </w:r>
      <w:r w:rsidR="00AA5084">
        <w:rPr>
          <w:rFonts w:eastAsia="Times New Roman" w:cs="Arial"/>
        </w:rPr>
      </w:r>
      <w:r w:rsidR="00AA5084">
        <w:rPr>
          <w:rFonts w:eastAsia="Times New Roman" w:cs="Arial"/>
        </w:rPr>
        <w:fldChar w:fldCharType="separate"/>
      </w:r>
      <w:r w:rsidR="00146997">
        <w:t xml:space="preserve">Figure </w:t>
      </w:r>
      <w:r w:rsidR="00146997">
        <w:rPr>
          <w:noProof/>
        </w:rPr>
        <w:t>7</w:t>
      </w:r>
      <w:r w:rsidR="00AA5084">
        <w:rPr>
          <w:rFonts w:eastAsia="Times New Roman" w:cs="Arial"/>
        </w:rPr>
        <w:fldChar w:fldCharType="end"/>
      </w:r>
      <w:r w:rsidR="00FD2AB7">
        <w:rPr>
          <w:rFonts w:eastAsia="Times New Roman" w:cs="Arial"/>
        </w:rPr>
        <w:t xml:space="preserve"> </w:t>
      </w:r>
      <w:r w:rsidR="00A81729">
        <w:rPr>
          <w:rFonts w:eastAsia="Times New Roman" w:cs="Arial"/>
        </w:rPr>
        <w:t xml:space="preserve">alone. </w:t>
      </w:r>
    </w:p>
    <w:p w14:paraId="0CD13490" w14:textId="66B271BA" w:rsidR="00EA510B" w:rsidRDefault="00EA510B" w:rsidP="007D1378">
      <w:pPr>
        <w:rPr>
          <w:rFonts w:eastAsia="Times New Roman" w:cs="Arial"/>
        </w:rPr>
      </w:pPr>
      <w:r>
        <w:rPr>
          <w:rFonts w:eastAsia="Times New Roman" w:cs="Arial"/>
        </w:rPr>
        <w:t xml:space="preserve">The model included </w:t>
      </w:r>
      <w:r w:rsidR="007551A5">
        <w:rPr>
          <w:rFonts w:eastAsia="Times New Roman" w:cs="Arial"/>
        </w:rPr>
        <w:t xml:space="preserve">additional costs associated with </w:t>
      </w:r>
      <w:r w:rsidR="00D71318">
        <w:rPr>
          <w:rFonts w:eastAsia="Times New Roman" w:cs="Arial"/>
        </w:rPr>
        <w:t xml:space="preserve">ED </w:t>
      </w:r>
      <w:r w:rsidR="007551A5">
        <w:rPr>
          <w:rFonts w:eastAsia="Times New Roman" w:cs="Arial"/>
        </w:rPr>
        <w:t>treatment (screening, testing and monitoring)</w:t>
      </w:r>
      <w:r w:rsidR="006836B1">
        <w:rPr>
          <w:rFonts w:eastAsia="Times New Roman" w:cs="Arial"/>
        </w:rPr>
        <w:t xml:space="preserve"> though </w:t>
      </w:r>
      <w:r w:rsidR="006836B1" w:rsidRPr="006836B1">
        <w:rPr>
          <w:rFonts w:eastAsia="Times New Roman" w:cs="Arial"/>
        </w:rPr>
        <w:t>the base case</w:t>
      </w:r>
      <w:r w:rsidR="006836B1">
        <w:rPr>
          <w:rFonts w:eastAsia="Times New Roman" w:cs="Arial"/>
        </w:rPr>
        <w:t xml:space="preserve"> assumed that</w:t>
      </w:r>
      <w:r w:rsidR="006836B1" w:rsidRPr="006836B1">
        <w:rPr>
          <w:rFonts w:eastAsia="Times New Roman" w:cs="Arial"/>
        </w:rPr>
        <w:t xml:space="preserve"> routine HMB management and monitoring costs </w:t>
      </w:r>
      <w:r w:rsidR="006836B1">
        <w:rPr>
          <w:rFonts w:eastAsia="Times New Roman" w:cs="Arial"/>
        </w:rPr>
        <w:t>we</w:t>
      </w:r>
      <w:r w:rsidR="006836B1" w:rsidRPr="006836B1">
        <w:rPr>
          <w:rFonts w:eastAsia="Times New Roman" w:cs="Arial"/>
        </w:rPr>
        <w:t>re equal for all patients, irrespective of treatment status</w:t>
      </w:r>
      <w:r w:rsidR="006836B1">
        <w:rPr>
          <w:rFonts w:eastAsia="Times New Roman" w:cs="Arial"/>
        </w:rPr>
        <w:t>.</w:t>
      </w:r>
      <w:r w:rsidR="00BB657D">
        <w:rPr>
          <w:rFonts w:eastAsia="Times New Roman" w:cs="Arial"/>
        </w:rPr>
        <w:t xml:space="preserve"> </w:t>
      </w:r>
      <w:r w:rsidR="00A55B82">
        <w:rPr>
          <w:rFonts w:eastAsia="Times New Roman" w:cs="Arial"/>
        </w:rPr>
        <w:t>S</w:t>
      </w:r>
      <w:r w:rsidR="002372CB">
        <w:rPr>
          <w:rFonts w:eastAsia="Times New Roman" w:cs="Arial"/>
        </w:rPr>
        <w:t xml:space="preserve">taged annual payments </w:t>
      </w:r>
      <w:r w:rsidR="007F6AD9">
        <w:rPr>
          <w:rFonts w:eastAsia="Times New Roman" w:cs="Arial"/>
        </w:rPr>
        <w:t xml:space="preserve">were incorporated </w:t>
      </w:r>
      <w:r w:rsidR="00C47051">
        <w:rPr>
          <w:rFonts w:eastAsia="Times New Roman" w:cs="Arial"/>
        </w:rPr>
        <w:t xml:space="preserve">based on </w:t>
      </w:r>
      <w:r w:rsidR="002372CB">
        <w:rPr>
          <w:rFonts w:eastAsia="Times New Roman" w:cs="Arial"/>
        </w:rPr>
        <w:t>the proposed risk-share arrangement</w:t>
      </w:r>
      <w:r w:rsidR="00F457CC">
        <w:rPr>
          <w:rFonts w:eastAsia="Times New Roman" w:cs="Arial"/>
        </w:rPr>
        <w:t>,</w:t>
      </w:r>
      <w:r w:rsidR="00E7723F">
        <w:rPr>
          <w:rFonts w:eastAsia="Times New Roman" w:cs="Arial"/>
        </w:rPr>
        <w:t xml:space="preserve"> which reduces the upfront cost burden</w:t>
      </w:r>
      <w:r w:rsidR="002372CB">
        <w:rPr>
          <w:rFonts w:eastAsia="Times New Roman" w:cs="Arial"/>
        </w:rPr>
        <w:t>.</w:t>
      </w:r>
    </w:p>
    <w:p w14:paraId="2778D790" w14:textId="079E5C68" w:rsidR="00F73744" w:rsidRDefault="00F73744" w:rsidP="00F73744">
      <w:pPr>
        <w:pStyle w:val="Heading3"/>
      </w:pPr>
      <w:r>
        <w:t>Time horizon and extrapolation of trial results</w:t>
      </w:r>
    </w:p>
    <w:p w14:paraId="618BE939" w14:textId="6C21371D" w:rsidR="00B56163" w:rsidRDefault="00392099" w:rsidP="007D1378">
      <w:pPr>
        <w:rPr>
          <w:rFonts w:eastAsia="Times New Roman" w:cs="Arial"/>
        </w:rPr>
      </w:pPr>
      <w:r w:rsidRPr="00392099">
        <w:rPr>
          <w:rFonts w:eastAsia="Times New Roman" w:cs="Arial"/>
        </w:rPr>
        <w:t>MSAC did not consider the 25-year time horizon in ADAR 1728 to be reasonable and requested a reduced time horizon in a re</w:t>
      </w:r>
      <w:r w:rsidR="00D606D3">
        <w:rPr>
          <w:rFonts w:eastAsia="Times New Roman" w:cs="Arial"/>
        </w:rPr>
        <w:t>application</w:t>
      </w:r>
      <w:r w:rsidRPr="00392099">
        <w:rPr>
          <w:rFonts w:eastAsia="Times New Roman" w:cs="Arial"/>
        </w:rPr>
        <w:t xml:space="preserve">. The base case in ADAR 1728.1 applied a ‘truncated’ 15-year time horizon, to reflect a more conservative trade-off than proposed in the original </w:t>
      </w:r>
      <w:r w:rsidR="00D606D3">
        <w:rPr>
          <w:rFonts w:eastAsia="Times New Roman" w:cs="Arial"/>
        </w:rPr>
        <w:t>application</w:t>
      </w:r>
      <w:r w:rsidRPr="00392099">
        <w:rPr>
          <w:rFonts w:eastAsia="Times New Roman" w:cs="Arial"/>
        </w:rPr>
        <w:t xml:space="preserve">, between the likely lifetime duration of clinical effects of </w:t>
      </w:r>
      <w:r w:rsidR="00D71318">
        <w:rPr>
          <w:rFonts w:eastAsia="Times New Roman" w:cs="Arial"/>
        </w:rPr>
        <w:t>ED</w:t>
      </w:r>
      <w:r w:rsidR="00D71318" w:rsidRPr="00392099">
        <w:rPr>
          <w:rFonts w:eastAsia="Times New Roman" w:cs="Arial"/>
        </w:rPr>
        <w:t xml:space="preserve"> </w:t>
      </w:r>
      <w:r w:rsidRPr="00392099">
        <w:rPr>
          <w:rFonts w:eastAsia="Times New Roman" w:cs="Arial"/>
        </w:rPr>
        <w:t>treatment and the currently available clinical evidence.</w:t>
      </w:r>
      <w:r w:rsidR="00B349D8">
        <w:rPr>
          <w:rFonts w:eastAsia="Times New Roman" w:cs="Arial"/>
        </w:rPr>
        <w:t xml:space="preserve"> </w:t>
      </w:r>
      <w:r w:rsidR="00932DF0">
        <w:rPr>
          <w:rFonts w:eastAsia="Times New Roman" w:cs="Arial"/>
        </w:rPr>
        <w:t xml:space="preserve">Extrapolation of the long-term durability of FIX activity levels after </w:t>
      </w:r>
      <w:r w:rsidR="00D71318">
        <w:rPr>
          <w:rFonts w:eastAsia="Times New Roman" w:cs="Arial"/>
        </w:rPr>
        <w:t xml:space="preserve">ED </w:t>
      </w:r>
      <w:r w:rsidR="009A4BC7">
        <w:rPr>
          <w:rFonts w:eastAsia="Times New Roman" w:cs="Arial"/>
        </w:rPr>
        <w:t>wa</w:t>
      </w:r>
      <w:r w:rsidR="00B468C5">
        <w:rPr>
          <w:rFonts w:eastAsia="Times New Roman" w:cs="Arial"/>
        </w:rPr>
        <w:t xml:space="preserve">s based on a published analysis and updated to include </w:t>
      </w:r>
      <w:r w:rsidR="00750612">
        <w:rPr>
          <w:rFonts w:eastAsia="Times New Roman" w:cs="Arial"/>
        </w:rPr>
        <w:t>48-month follow-up data from</w:t>
      </w:r>
      <w:r w:rsidR="002F2AF6">
        <w:rPr>
          <w:rFonts w:eastAsia="Times New Roman" w:cs="Arial"/>
        </w:rPr>
        <w:t xml:space="preserve"> the</w:t>
      </w:r>
      <w:r w:rsidR="00750612">
        <w:rPr>
          <w:rFonts w:eastAsia="Times New Roman" w:cs="Arial"/>
        </w:rPr>
        <w:t xml:space="preserve"> HOPE-B</w:t>
      </w:r>
      <w:r w:rsidR="002F2AF6">
        <w:rPr>
          <w:rFonts w:eastAsia="Times New Roman" w:cs="Arial"/>
        </w:rPr>
        <w:t xml:space="preserve"> study. </w:t>
      </w:r>
    </w:p>
    <w:p w14:paraId="1BD012C0" w14:textId="514C4CD8" w:rsidR="002B6E69" w:rsidRDefault="00B81913" w:rsidP="002B6E69">
      <w:pPr>
        <w:shd w:val="clear" w:color="auto" w:fill="BDD6EE" w:themeFill="accent1" w:themeFillTint="66"/>
      </w:pPr>
      <w:r w:rsidRPr="00255157">
        <w:rPr>
          <w:shd w:val="clear" w:color="auto" w:fill="BDD6EE" w:themeFill="accent1" w:themeFillTint="66"/>
        </w:rPr>
        <w:t xml:space="preserve">The long-term FIX activity levels in the model were estimated using a mixed linear model with data from the HOPE-B study and AMT-061-01 study considering covariates: (1) pre-existing AAV5 </w:t>
      </w:r>
      <w:proofErr w:type="spellStart"/>
      <w:r w:rsidRPr="00255157">
        <w:rPr>
          <w:shd w:val="clear" w:color="auto" w:fill="BDD6EE" w:themeFill="accent1" w:themeFillTint="66"/>
        </w:rPr>
        <w:t>NAb</w:t>
      </w:r>
      <w:proofErr w:type="spellEnd"/>
      <w:r w:rsidRPr="00255157">
        <w:rPr>
          <w:shd w:val="clear" w:color="auto" w:fill="BDD6EE" w:themeFill="accent1" w:themeFillTint="66"/>
        </w:rPr>
        <w:t xml:space="preserve"> titres; and (2) post-infusion ALT elevations within 90 days. The extrapolation analysis excluded </w:t>
      </w:r>
      <w:r w:rsidR="0057755D">
        <w:rPr>
          <w:shd w:val="clear" w:color="auto" w:fill="BDD6EE" w:themeFill="accent1" w:themeFillTint="66"/>
        </w:rPr>
        <w:t>2</w:t>
      </w:r>
      <w:r w:rsidRPr="00255157">
        <w:rPr>
          <w:shd w:val="clear" w:color="auto" w:fill="BDD6EE" w:themeFill="accent1" w:themeFillTint="66"/>
        </w:rPr>
        <w:t xml:space="preserve"> patients who did not respond to </w:t>
      </w:r>
      <w:r w:rsidR="00D71318">
        <w:rPr>
          <w:shd w:val="clear" w:color="auto" w:fill="BDD6EE" w:themeFill="accent1" w:themeFillTint="66"/>
        </w:rPr>
        <w:t>ED</w:t>
      </w:r>
      <w:r w:rsidRPr="00255157">
        <w:rPr>
          <w:shd w:val="clear" w:color="auto" w:fill="BDD6EE" w:themeFill="accent1" w:themeFillTint="66"/>
        </w:rPr>
        <w:t>.</w:t>
      </w:r>
      <w:r w:rsidR="00507086">
        <w:t xml:space="preserve"> </w:t>
      </w:r>
    </w:p>
    <w:p w14:paraId="07B31DCA" w14:textId="6A4B45CC" w:rsidR="00B81913" w:rsidRPr="00E40A38" w:rsidRDefault="0057755D" w:rsidP="00255157">
      <w:r>
        <w:t>The extrapolation a</w:t>
      </w:r>
      <w:r w:rsidR="00507086">
        <w:t>nalys</w:t>
      </w:r>
      <w:r w:rsidR="002A163E">
        <w:t>i</w:t>
      </w:r>
      <w:r w:rsidR="00507086">
        <w:t>s w</w:t>
      </w:r>
      <w:r w:rsidR="002A163E">
        <w:t>as</w:t>
      </w:r>
      <w:r w:rsidR="00507086">
        <w:t xml:space="preserve"> adjusted </w:t>
      </w:r>
      <w:r w:rsidR="00507086">
        <w:rPr>
          <w:i/>
          <w:iCs/>
        </w:rPr>
        <w:t>post-hoc</w:t>
      </w:r>
      <w:r w:rsidR="00507086">
        <w:t xml:space="preserve"> to include </w:t>
      </w:r>
      <w:r w:rsidR="00A84264">
        <w:t xml:space="preserve">these </w:t>
      </w:r>
      <w:r w:rsidR="002B6E69">
        <w:t xml:space="preserve">2 </w:t>
      </w:r>
      <w:r w:rsidR="002A163E">
        <w:t>treatment failures</w:t>
      </w:r>
      <w:r w:rsidR="00CD4A75">
        <w:t xml:space="preserve"> and the </w:t>
      </w:r>
      <w:r w:rsidR="00FD2B78">
        <w:t>patient with loss of efficacy</w:t>
      </w:r>
      <w:r w:rsidR="00C10939">
        <w:t xml:space="preserve"> at 29 months</w:t>
      </w:r>
      <w:r w:rsidR="00A84264">
        <w:t>.</w:t>
      </w:r>
      <w:r w:rsidR="00B81913" w:rsidRPr="00E40A38">
        <w:t xml:space="preserve"> </w:t>
      </w:r>
    </w:p>
    <w:p w14:paraId="20313642" w14:textId="11BC3FA1" w:rsidR="00CC7EDB" w:rsidRPr="00E40A38" w:rsidRDefault="00CC7EDB" w:rsidP="00CC7EDB">
      <w:pPr>
        <w:shd w:val="clear" w:color="auto" w:fill="BDD6EE" w:themeFill="accent1" w:themeFillTint="66"/>
      </w:pPr>
      <w:r w:rsidRPr="00E40A38">
        <w:t xml:space="preserve">The commentary noted that the extrapolation analysis had some important limitations. Patients requiring external FIX after treatment with </w:t>
      </w:r>
      <w:r w:rsidR="00D71318">
        <w:t>ED</w:t>
      </w:r>
      <w:r w:rsidR="00D71318" w:rsidRPr="00E40A38">
        <w:t xml:space="preserve"> </w:t>
      </w:r>
      <w:r w:rsidRPr="00E40A38">
        <w:t>likely had FIX activity levels contaminated and those records were excluded from the analysis. This might lead to selective omission of data from patients responding poorly to the intervention. As a consequence:</w:t>
      </w:r>
    </w:p>
    <w:p w14:paraId="1AFB3335" w14:textId="77777777" w:rsidR="00CC7EDB" w:rsidRPr="00E40A38" w:rsidRDefault="00CC7EDB" w:rsidP="003758CD">
      <w:pPr>
        <w:pStyle w:val="ListParagraph"/>
        <w:numPr>
          <w:ilvl w:val="0"/>
          <w:numId w:val="22"/>
        </w:numPr>
        <w:shd w:val="clear" w:color="auto" w:fill="BDD6EE" w:themeFill="accent1" w:themeFillTint="66"/>
      </w:pPr>
      <w:r w:rsidRPr="00E40A38">
        <w:t>patients with poorer responses may have been underrepresented, overstating treatment effectiveness</w:t>
      </w:r>
    </w:p>
    <w:p w14:paraId="31E838B2" w14:textId="77777777" w:rsidR="00CC7EDB" w:rsidRPr="00E40A38" w:rsidRDefault="00CC7EDB" w:rsidP="003758CD">
      <w:pPr>
        <w:pStyle w:val="ListParagraph"/>
        <w:numPr>
          <w:ilvl w:val="0"/>
          <w:numId w:val="22"/>
        </w:numPr>
        <w:shd w:val="clear" w:color="auto" w:fill="BDD6EE" w:themeFill="accent1" w:themeFillTint="66"/>
      </w:pPr>
      <w:r w:rsidRPr="00E40A38">
        <w:t>variability in responses for these patients could also have been underestimated if measurements during periods of poor response were excluded.</w:t>
      </w:r>
    </w:p>
    <w:p w14:paraId="34D3C03C" w14:textId="01F11E16" w:rsidR="00CC7EDB" w:rsidRDefault="00CC7EDB" w:rsidP="00CC7EDB">
      <w:pPr>
        <w:shd w:val="clear" w:color="auto" w:fill="BDD6EE" w:themeFill="accent1" w:themeFillTint="66"/>
      </w:pPr>
      <w:r w:rsidRPr="00E40A38">
        <w:t xml:space="preserve">Additionally, the model assumed data were missing at random, while the commentary noted that missingness was probably related to treatment response, since FIX activity level records for patients requiring FIX replacement were excluded. The small number of patients and limited follow-up available in the clinical studies increased uncertainties about durability of treatment that </w:t>
      </w:r>
      <w:r w:rsidR="002C07FE">
        <w:t>we</w:t>
      </w:r>
      <w:r w:rsidRPr="00E40A38">
        <w:t>re not accounted for in the extrapolation analysis.</w:t>
      </w:r>
    </w:p>
    <w:p w14:paraId="6B9C76E6" w14:textId="22BCF794" w:rsidR="000F4978" w:rsidRPr="00E40A38" w:rsidRDefault="009B5419" w:rsidP="000F4978">
      <w:r>
        <w:lastRenderedPageBreak/>
        <w:t xml:space="preserve">A FIX activity threshold of 5% was used </w:t>
      </w:r>
      <w:r w:rsidR="00066C85">
        <w:t xml:space="preserve">to predict </w:t>
      </w:r>
      <w:r w:rsidR="004F392D">
        <w:t xml:space="preserve">return to prophylaxis and </w:t>
      </w:r>
      <w:r w:rsidR="009744C8">
        <w:t xml:space="preserve">comparator bleeding rates. The commentary considered this </w:t>
      </w:r>
      <w:r w:rsidR="00C54804">
        <w:t xml:space="preserve">the most plausible threshold and noted its consistency with </w:t>
      </w:r>
      <w:r w:rsidR="003963CF">
        <w:t xml:space="preserve">discontinuation of </w:t>
      </w:r>
      <w:r w:rsidR="001733CC">
        <w:t xml:space="preserve">FIX infusions in </w:t>
      </w:r>
      <w:r w:rsidR="00B26D87">
        <w:t xml:space="preserve">the </w:t>
      </w:r>
      <w:r w:rsidR="001733CC">
        <w:t>HOPE-B</w:t>
      </w:r>
      <w:r w:rsidR="00B26D87">
        <w:t xml:space="preserve"> study</w:t>
      </w:r>
      <w:r w:rsidR="001733CC">
        <w:t>.</w:t>
      </w:r>
    </w:p>
    <w:p w14:paraId="12314866" w14:textId="57F4F4B7" w:rsidR="00B81913" w:rsidRDefault="00934CA9" w:rsidP="00934CA9">
      <w:pPr>
        <w:pStyle w:val="Heading3"/>
      </w:pPr>
      <w:r>
        <w:t>Results</w:t>
      </w:r>
    </w:p>
    <w:p w14:paraId="1DE04F3A" w14:textId="3D159EF0" w:rsidR="000909A0" w:rsidRDefault="00294216" w:rsidP="007274BB">
      <w:r>
        <w:t xml:space="preserve">The results of the </w:t>
      </w:r>
      <w:r w:rsidR="008B6DA9">
        <w:t>CUA</w:t>
      </w:r>
      <w:r>
        <w:t xml:space="preserve"> were driven by the costs </w:t>
      </w:r>
      <w:r w:rsidR="00964F9F">
        <w:t>of treatment</w:t>
      </w:r>
      <w:r w:rsidR="006B4156">
        <w:t xml:space="preserve"> in each arm.</w:t>
      </w:r>
      <w:r w:rsidR="00EC34A4">
        <w:t xml:space="preserve"> Both treatment</w:t>
      </w:r>
      <w:r w:rsidR="00D07D93">
        <w:t xml:space="preserve"> option</w:t>
      </w:r>
      <w:r w:rsidR="00EC34A4">
        <w:t xml:space="preserve">s are effective and therefore </w:t>
      </w:r>
      <w:r w:rsidR="005C66C8">
        <w:t xml:space="preserve">neither group progresses through the health states </w:t>
      </w:r>
      <w:r w:rsidR="00E72F8D">
        <w:t>within the 15-year time horizon in the base case</w:t>
      </w:r>
      <w:r w:rsidR="00337963">
        <w:t>,</w:t>
      </w:r>
      <w:r w:rsidR="00DB01C0">
        <w:t xml:space="preserve"> </w:t>
      </w:r>
      <w:r w:rsidR="0042626B">
        <w:t xml:space="preserve">limiting the influence of </w:t>
      </w:r>
      <w:r w:rsidR="00DB01C0">
        <w:t>additional costs</w:t>
      </w:r>
      <w:r w:rsidR="001E4247">
        <w:t>, or QALY loss,</w:t>
      </w:r>
      <w:r w:rsidR="00DB01C0">
        <w:t xml:space="preserve"> associated with disease progression</w:t>
      </w:r>
      <w:r w:rsidR="00E72F8D">
        <w:t>.</w:t>
      </w:r>
      <w:r w:rsidR="00CA4FEB">
        <w:t xml:space="preserve"> However, as bleeds are associated with a transitory QALY decrement, QALYs are consistently </w:t>
      </w:r>
      <w:r w:rsidR="0007528E">
        <w:t>slightly higher in the intervention group at all time points.</w:t>
      </w:r>
    </w:p>
    <w:p w14:paraId="61B17C26" w14:textId="24B0A7D7" w:rsidR="007274BB" w:rsidRPr="007274BB" w:rsidRDefault="000909A0" w:rsidP="007274BB">
      <w:r>
        <w:t xml:space="preserve">Due to the </w:t>
      </w:r>
      <w:r w:rsidR="00636334">
        <w:t xml:space="preserve">annual </w:t>
      </w:r>
      <w:r>
        <w:t>stage</w:t>
      </w:r>
      <w:r w:rsidR="00636334">
        <w:t>d</w:t>
      </w:r>
      <w:r>
        <w:t xml:space="preserve"> payment, </w:t>
      </w:r>
      <w:r w:rsidR="0074457D">
        <w:t>incremental costs duri</w:t>
      </w:r>
      <w:r w:rsidR="009D3578">
        <w:t xml:space="preserve">ng the initial </w:t>
      </w:r>
      <w:r w:rsidR="002C412C">
        <w:t>6</w:t>
      </w:r>
      <w:r w:rsidR="00636334">
        <w:t xml:space="preserve">-month </w:t>
      </w:r>
      <w:r w:rsidR="009D3578">
        <w:t xml:space="preserve">cycles of the model </w:t>
      </w:r>
      <w:r w:rsidR="00636334">
        <w:t>are ‘lumpy’</w:t>
      </w:r>
      <w:r w:rsidR="002C412C">
        <w:t>,</w:t>
      </w:r>
      <w:r w:rsidR="006310EB">
        <w:t xml:space="preserve"> however the </w:t>
      </w:r>
      <w:r w:rsidR="00483B42">
        <w:t xml:space="preserve">intervention </w:t>
      </w:r>
      <w:r w:rsidR="0075720A">
        <w:t>becomes consistently cost</w:t>
      </w:r>
      <w:r w:rsidR="00496E67">
        <w:t xml:space="preserve"> </w:t>
      </w:r>
      <w:r w:rsidR="0075720A">
        <w:t xml:space="preserve">saving from </w:t>
      </w:r>
      <w:r w:rsidR="00C30FB8">
        <w:t>around 11 years</w:t>
      </w:r>
      <w:r w:rsidR="00CD6F41">
        <w:t xml:space="preserve"> and is dominant in the 15-year base case analysis.</w:t>
      </w:r>
    </w:p>
    <w:p w14:paraId="2E86D17A" w14:textId="3EBBAC52" w:rsidR="00ED4DA5" w:rsidRPr="00ED4DA5" w:rsidRDefault="007D1378" w:rsidP="00ED4DA5">
      <w:r w:rsidRPr="007D1378">
        <w:t>The stepped economic evaluation results are provided in</w:t>
      </w:r>
      <w:r w:rsidR="009D4E4C">
        <w:t xml:space="preserve"> </w:t>
      </w:r>
      <w:r w:rsidR="009D4E4C">
        <w:fldChar w:fldCharType="begin"/>
      </w:r>
      <w:r w:rsidR="009D4E4C">
        <w:instrText xml:space="preserve"> REF _Ref207986521 \h </w:instrText>
      </w:r>
      <w:r w:rsidR="009D4E4C">
        <w:fldChar w:fldCharType="separate"/>
      </w:r>
      <w:r w:rsidR="009D4E4C">
        <w:t xml:space="preserve">Table </w:t>
      </w:r>
      <w:r w:rsidR="009D4E4C">
        <w:rPr>
          <w:noProof/>
        </w:rPr>
        <w:t>13</w:t>
      </w:r>
      <w:r w:rsidR="009D4E4C">
        <w:fldChar w:fldCharType="end"/>
      </w:r>
      <w:r w:rsidR="00977F4A" w:rsidRPr="00977F4A">
        <w:t>.</w:t>
      </w:r>
      <w:r w:rsidR="008A3DA6">
        <w:t xml:space="preserve"> </w:t>
      </w:r>
      <w:r w:rsidR="00911D55">
        <w:t>The trial-based result</w:t>
      </w:r>
      <w:r w:rsidR="00A2789A">
        <w:t xml:space="preserve">s </w:t>
      </w:r>
      <w:r w:rsidR="00C44B7F">
        <w:t xml:space="preserve">at </w:t>
      </w:r>
      <w:r w:rsidR="00E67C58">
        <w:t>4</w:t>
      </w:r>
      <w:r w:rsidR="00C44B7F">
        <w:t xml:space="preserve"> years </w:t>
      </w:r>
      <w:r w:rsidR="00A2789A">
        <w:t xml:space="preserve">include reducing </w:t>
      </w:r>
      <w:r w:rsidR="00911D55">
        <w:t xml:space="preserve">the number of payments </w:t>
      </w:r>
      <w:r w:rsidR="00D67C14">
        <w:t xml:space="preserve">from 10 </w:t>
      </w:r>
      <w:r w:rsidR="00911D55">
        <w:t>to 4.</w:t>
      </w:r>
    </w:p>
    <w:p w14:paraId="6DA8B9E1" w14:textId="19B53BCD" w:rsidR="002B0047" w:rsidRDefault="009D4E4C" w:rsidP="009D4E4C">
      <w:pPr>
        <w:pStyle w:val="Caption"/>
      </w:pPr>
      <w:bookmarkStart w:id="49" w:name="_Ref207986521"/>
      <w:bookmarkStart w:id="50" w:name="_Ref195079610"/>
      <w:r>
        <w:t xml:space="preserve">Table </w:t>
      </w:r>
      <w:r>
        <w:fldChar w:fldCharType="begin"/>
      </w:r>
      <w:r>
        <w:instrText xml:space="preserve"> SEQ Table \* ARABIC </w:instrText>
      </w:r>
      <w:r>
        <w:fldChar w:fldCharType="separate"/>
      </w:r>
      <w:r>
        <w:rPr>
          <w:noProof/>
        </w:rPr>
        <w:t>13</w:t>
      </w:r>
      <w:r>
        <w:rPr>
          <w:noProof/>
        </w:rPr>
        <w:fldChar w:fldCharType="end"/>
      </w:r>
      <w:bookmarkEnd w:id="49"/>
      <w:r>
        <w:t xml:space="preserve"> </w:t>
      </w:r>
      <w:bookmarkEnd w:id="50"/>
      <w:r w:rsidR="002B0047">
        <w:t>Results of the stepped economic analysis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s of the stepped economic analysis"/>
        <w:tblDescription w:val="This table shows the results of the stepped economic evaluation for a 4-year, 10-year and 15-year time horizon."/>
      </w:tblPr>
      <w:tblGrid>
        <w:gridCol w:w="2689"/>
        <w:gridCol w:w="1581"/>
        <w:gridCol w:w="1582"/>
        <w:gridCol w:w="1582"/>
        <w:gridCol w:w="1582"/>
      </w:tblGrid>
      <w:tr w:rsidR="006C18B7" w14:paraId="765763A0" w14:textId="77777777" w:rsidTr="005D76F9">
        <w:trPr>
          <w:tblHeader/>
        </w:trPr>
        <w:tc>
          <w:tcPr>
            <w:tcW w:w="2689" w:type="dxa"/>
          </w:tcPr>
          <w:p w14:paraId="52F79F73" w14:textId="77777777" w:rsidR="006C18B7" w:rsidRDefault="006C18B7" w:rsidP="00815076">
            <w:pPr>
              <w:pStyle w:val="TableHeading"/>
            </w:pPr>
            <w:r>
              <w:t>Step</w:t>
            </w:r>
          </w:p>
        </w:tc>
        <w:tc>
          <w:tcPr>
            <w:tcW w:w="1581" w:type="dxa"/>
          </w:tcPr>
          <w:p w14:paraId="00ACF2C5" w14:textId="7DE1B011" w:rsidR="006C18B7" w:rsidRDefault="00D71318" w:rsidP="00815076">
            <w:pPr>
              <w:pStyle w:val="TableHeading"/>
            </w:pPr>
            <w:r>
              <w:t>ED</w:t>
            </w:r>
          </w:p>
        </w:tc>
        <w:tc>
          <w:tcPr>
            <w:tcW w:w="1582" w:type="dxa"/>
          </w:tcPr>
          <w:p w14:paraId="05EA29F0" w14:textId="5299398A" w:rsidR="006C18B7" w:rsidRDefault="006C18B7" w:rsidP="00815076">
            <w:pPr>
              <w:pStyle w:val="TableHeading"/>
            </w:pPr>
            <w:r>
              <w:t xml:space="preserve">Standard of </w:t>
            </w:r>
            <w:r w:rsidR="00EB26C8">
              <w:t>c</w:t>
            </w:r>
            <w:r>
              <w:t>are</w:t>
            </w:r>
          </w:p>
        </w:tc>
        <w:tc>
          <w:tcPr>
            <w:tcW w:w="1582" w:type="dxa"/>
          </w:tcPr>
          <w:p w14:paraId="0357A2C6" w14:textId="77777777" w:rsidR="006C18B7" w:rsidRDefault="006C18B7" w:rsidP="00815076">
            <w:pPr>
              <w:pStyle w:val="TableHeading"/>
            </w:pPr>
            <w:r>
              <w:t>Increment</w:t>
            </w:r>
          </w:p>
        </w:tc>
        <w:tc>
          <w:tcPr>
            <w:tcW w:w="1582" w:type="dxa"/>
          </w:tcPr>
          <w:p w14:paraId="540C48F3" w14:textId="77777777" w:rsidR="006C18B7" w:rsidRDefault="006C18B7" w:rsidP="00815076">
            <w:pPr>
              <w:pStyle w:val="TableHeading"/>
            </w:pPr>
            <w:r>
              <w:t>ICER ($/QALY)</w:t>
            </w:r>
          </w:p>
        </w:tc>
      </w:tr>
      <w:tr w:rsidR="006C18B7" w14:paraId="0FB21C3F" w14:textId="77777777" w:rsidTr="005D76F9">
        <w:tc>
          <w:tcPr>
            <w:tcW w:w="2689" w:type="dxa"/>
          </w:tcPr>
          <w:p w14:paraId="1195D53B" w14:textId="262B178A" w:rsidR="006C18B7" w:rsidRDefault="006C18B7" w:rsidP="00C44B7F">
            <w:pPr>
              <w:pStyle w:val="TableText1"/>
              <w:jc w:val="left"/>
            </w:pPr>
            <w:r>
              <w:t xml:space="preserve">Comparative study data; </w:t>
            </w:r>
            <w:r w:rsidR="00164EB4">
              <w:t>t</w:t>
            </w:r>
            <w:r>
              <w:t>rial</w:t>
            </w:r>
            <w:r w:rsidR="00164EB4">
              <w:t>-</w:t>
            </w:r>
            <w:r>
              <w:t>based</w:t>
            </w:r>
            <w:r w:rsidR="00C44B7F">
              <w:br/>
              <w:t>T</w:t>
            </w:r>
            <w:r>
              <w:t xml:space="preserve">ime horizon </w:t>
            </w:r>
            <w:r w:rsidR="00727E30">
              <w:t>4</w:t>
            </w:r>
            <w:r>
              <w:t xml:space="preserve"> </w:t>
            </w:r>
            <w:proofErr w:type="spellStart"/>
            <w:r>
              <w:t>years</w:t>
            </w:r>
            <w:r w:rsidR="007C3A25" w:rsidRPr="00B01B30">
              <w:rPr>
                <w:vertAlign w:val="superscript"/>
              </w:rPr>
              <w:t>a</w:t>
            </w:r>
            <w:proofErr w:type="spellEnd"/>
          </w:p>
        </w:tc>
        <w:tc>
          <w:tcPr>
            <w:tcW w:w="1581" w:type="dxa"/>
          </w:tcPr>
          <w:p w14:paraId="3C2205AF" w14:textId="77777777" w:rsidR="006C18B7" w:rsidRDefault="006C18B7" w:rsidP="001C3178">
            <w:pPr>
              <w:pStyle w:val="TableText1"/>
            </w:pPr>
          </w:p>
        </w:tc>
        <w:tc>
          <w:tcPr>
            <w:tcW w:w="1582" w:type="dxa"/>
          </w:tcPr>
          <w:p w14:paraId="0040EED5" w14:textId="77777777" w:rsidR="006C18B7" w:rsidRDefault="006C18B7" w:rsidP="001C3178">
            <w:pPr>
              <w:pStyle w:val="TableText1"/>
            </w:pPr>
          </w:p>
        </w:tc>
        <w:tc>
          <w:tcPr>
            <w:tcW w:w="1582" w:type="dxa"/>
          </w:tcPr>
          <w:p w14:paraId="56171634" w14:textId="77777777" w:rsidR="006C18B7" w:rsidRDefault="006C18B7" w:rsidP="001C3178">
            <w:pPr>
              <w:pStyle w:val="TableText1"/>
            </w:pPr>
          </w:p>
        </w:tc>
        <w:tc>
          <w:tcPr>
            <w:tcW w:w="1582" w:type="dxa"/>
          </w:tcPr>
          <w:p w14:paraId="4EBBA4E7" w14:textId="77777777" w:rsidR="006C18B7" w:rsidRDefault="006C18B7" w:rsidP="001C3178">
            <w:pPr>
              <w:pStyle w:val="TableText1"/>
            </w:pPr>
          </w:p>
        </w:tc>
      </w:tr>
      <w:tr w:rsidR="00815076" w14:paraId="5762F02C" w14:textId="77777777" w:rsidTr="005D76F9">
        <w:tc>
          <w:tcPr>
            <w:tcW w:w="2689" w:type="dxa"/>
          </w:tcPr>
          <w:p w14:paraId="3EF246B2" w14:textId="77777777" w:rsidR="00815076" w:rsidRDefault="00815076" w:rsidP="00815076">
            <w:pPr>
              <w:pStyle w:val="TableText1"/>
            </w:pPr>
            <w:r>
              <w:t>Costs</w:t>
            </w:r>
          </w:p>
        </w:tc>
        <w:tc>
          <w:tcPr>
            <w:tcW w:w="1581" w:type="dxa"/>
          </w:tcPr>
          <w:p w14:paraId="6F8F0223" w14:textId="5004C4FF" w:rsidR="00815076" w:rsidRPr="00D84B66" w:rsidRDefault="00815076" w:rsidP="00815076">
            <w:pPr>
              <w:pStyle w:val="TableText1"/>
            </w:pPr>
            <w:r w:rsidRPr="00D84B66">
              <w:t>$</w:t>
            </w:r>
            <w:r w:rsidR="008837A2" w:rsidRPr="00D84B66">
              <w:rPr>
                <w:b/>
                <w:bCs/>
              </w:rPr>
              <w:t>redacted</w:t>
            </w:r>
          </w:p>
        </w:tc>
        <w:tc>
          <w:tcPr>
            <w:tcW w:w="1582" w:type="dxa"/>
          </w:tcPr>
          <w:p w14:paraId="5C51F2FF" w14:textId="173A5637" w:rsidR="00815076" w:rsidRPr="008837A2" w:rsidRDefault="00815076" w:rsidP="00815076">
            <w:pPr>
              <w:pStyle w:val="TableText1"/>
            </w:pPr>
            <w:r w:rsidRPr="008837A2">
              <w:t>$916,759</w:t>
            </w:r>
          </w:p>
        </w:tc>
        <w:tc>
          <w:tcPr>
            <w:tcW w:w="1582" w:type="dxa"/>
          </w:tcPr>
          <w:p w14:paraId="4EE40B42" w14:textId="6206454C" w:rsidR="00815076" w:rsidRPr="008837A2" w:rsidRDefault="00815076" w:rsidP="00815076">
            <w:pPr>
              <w:pStyle w:val="TableText1"/>
            </w:pPr>
            <w:r w:rsidRPr="00D84B66">
              <w:t>$</w:t>
            </w:r>
            <w:r w:rsidR="008837A2" w:rsidRPr="00D84B66">
              <w:rPr>
                <w:b/>
                <w:bCs/>
              </w:rPr>
              <w:t>redacted</w:t>
            </w:r>
          </w:p>
        </w:tc>
        <w:tc>
          <w:tcPr>
            <w:tcW w:w="1582" w:type="dxa"/>
          </w:tcPr>
          <w:p w14:paraId="1D90CF07" w14:textId="259D6C92" w:rsidR="00815076" w:rsidRPr="008837A2" w:rsidRDefault="00815076" w:rsidP="00815076">
            <w:pPr>
              <w:pStyle w:val="TableText1"/>
            </w:pPr>
            <w:r w:rsidRPr="00D84B66">
              <w:t>$</w:t>
            </w:r>
            <w:r w:rsidR="008837A2" w:rsidRPr="00D84B66">
              <w:rPr>
                <w:b/>
                <w:bCs/>
              </w:rPr>
              <w:t>redacted</w:t>
            </w:r>
          </w:p>
        </w:tc>
      </w:tr>
      <w:tr w:rsidR="007A4791" w14:paraId="12754DDE" w14:textId="77777777" w:rsidTr="005D76F9">
        <w:tc>
          <w:tcPr>
            <w:tcW w:w="2689" w:type="dxa"/>
          </w:tcPr>
          <w:p w14:paraId="09A49D68" w14:textId="77777777" w:rsidR="007A4791" w:rsidRDefault="007A4791" w:rsidP="007A4791">
            <w:pPr>
              <w:pStyle w:val="TableText1"/>
            </w:pPr>
            <w:r>
              <w:t>QALY</w:t>
            </w:r>
          </w:p>
        </w:tc>
        <w:tc>
          <w:tcPr>
            <w:tcW w:w="1581" w:type="dxa"/>
          </w:tcPr>
          <w:p w14:paraId="0B3754F5" w14:textId="52A4A80C" w:rsidR="007A4791" w:rsidRDefault="007A4791" w:rsidP="007A4791">
            <w:pPr>
              <w:pStyle w:val="TableText1"/>
            </w:pPr>
            <w:r w:rsidRPr="00FD25E3">
              <w:t>2.99</w:t>
            </w:r>
          </w:p>
        </w:tc>
        <w:tc>
          <w:tcPr>
            <w:tcW w:w="1582" w:type="dxa"/>
          </w:tcPr>
          <w:p w14:paraId="64C2FAFE" w14:textId="11CFBF36" w:rsidR="007A4791" w:rsidRDefault="007A4791" w:rsidP="007A4791">
            <w:pPr>
              <w:pStyle w:val="TableText1"/>
            </w:pPr>
            <w:r w:rsidRPr="00FD25E3">
              <w:t>2.96</w:t>
            </w:r>
          </w:p>
        </w:tc>
        <w:tc>
          <w:tcPr>
            <w:tcW w:w="1582" w:type="dxa"/>
          </w:tcPr>
          <w:p w14:paraId="2723C0C3" w14:textId="69E72ED7" w:rsidR="007A4791" w:rsidRDefault="007A4791" w:rsidP="007A4791">
            <w:pPr>
              <w:pStyle w:val="TableText1"/>
            </w:pPr>
            <w:r w:rsidRPr="00FD25E3">
              <w:t>0.027</w:t>
            </w:r>
          </w:p>
        </w:tc>
        <w:tc>
          <w:tcPr>
            <w:tcW w:w="1582" w:type="dxa"/>
          </w:tcPr>
          <w:p w14:paraId="21A6AE31" w14:textId="77777777" w:rsidR="007A4791" w:rsidRDefault="007A4791" w:rsidP="007A4791">
            <w:pPr>
              <w:pStyle w:val="TableText1"/>
            </w:pPr>
          </w:p>
        </w:tc>
      </w:tr>
      <w:tr w:rsidR="006C18B7" w14:paraId="01D13222" w14:textId="77777777" w:rsidTr="005D76F9">
        <w:tc>
          <w:tcPr>
            <w:tcW w:w="2689" w:type="dxa"/>
          </w:tcPr>
          <w:p w14:paraId="3938FCBD" w14:textId="1969C232" w:rsidR="006C18B7" w:rsidRDefault="006C18B7" w:rsidP="00C44B7F">
            <w:pPr>
              <w:pStyle w:val="TableText1"/>
              <w:jc w:val="left"/>
            </w:pPr>
            <w:r>
              <w:t>Study evidence extrapolated</w:t>
            </w:r>
            <w:r w:rsidR="00C44B7F">
              <w:br/>
              <w:t>T</w:t>
            </w:r>
            <w:r>
              <w:t xml:space="preserve">ime horizon 10 years </w:t>
            </w:r>
          </w:p>
        </w:tc>
        <w:tc>
          <w:tcPr>
            <w:tcW w:w="1581" w:type="dxa"/>
          </w:tcPr>
          <w:p w14:paraId="5A44B640" w14:textId="77777777" w:rsidR="006C18B7" w:rsidRDefault="006C18B7" w:rsidP="001C3178">
            <w:pPr>
              <w:pStyle w:val="TableText1"/>
            </w:pPr>
          </w:p>
        </w:tc>
        <w:tc>
          <w:tcPr>
            <w:tcW w:w="1582" w:type="dxa"/>
          </w:tcPr>
          <w:p w14:paraId="19109C0E" w14:textId="77777777" w:rsidR="006C18B7" w:rsidRDefault="006C18B7" w:rsidP="001C3178">
            <w:pPr>
              <w:pStyle w:val="TableText1"/>
            </w:pPr>
          </w:p>
        </w:tc>
        <w:tc>
          <w:tcPr>
            <w:tcW w:w="1582" w:type="dxa"/>
          </w:tcPr>
          <w:p w14:paraId="2D3F80A8" w14:textId="77777777" w:rsidR="006C18B7" w:rsidRDefault="006C18B7" w:rsidP="001C3178">
            <w:pPr>
              <w:pStyle w:val="TableText1"/>
            </w:pPr>
          </w:p>
        </w:tc>
        <w:tc>
          <w:tcPr>
            <w:tcW w:w="1582" w:type="dxa"/>
          </w:tcPr>
          <w:p w14:paraId="78377004" w14:textId="77777777" w:rsidR="006C18B7" w:rsidRDefault="006C18B7" w:rsidP="001C3178">
            <w:pPr>
              <w:pStyle w:val="TableText1"/>
            </w:pPr>
          </w:p>
        </w:tc>
      </w:tr>
      <w:tr w:rsidR="007A4791" w14:paraId="4EDA7A4F" w14:textId="77777777" w:rsidTr="005D76F9">
        <w:tc>
          <w:tcPr>
            <w:tcW w:w="2689" w:type="dxa"/>
          </w:tcPr>
          <w:p w14:paraId="517CEC63" w14:textId="77777777" w:rsidR="007A4791" w:rsidRDefault="007A4791" w:rsidP="007A4791">
            <w:pPr>
              <w:pStyle w:val="TableText1"/>
            </w:pPr>
            <w:r>
              <w:t>Costs</w:t>
            </w:r>
          </w:p>
        </w:tc>
        <w:tc>
          <w:tcPr>
            <w:tcW w:w="1581" w:type="dxa"/>
          </w:tcPr>
          <w:p w14:paraId="408567FC" w14:textId="235AEF76" w:rsidR="007A4791" w:rsidRDefault="008837A2" w:rsidP="007A4791">
            <w:pPr>
              <w:pStyle w:val="TableText1"/>
            </w:pPr>
            <w:r w:rsidRPr="006360E9">
              <w:t>$</w:t>
            </w:r>
            <w:r w:rsidRPr="006360E9">
              <w:rPr>
                <w:b/>
                <w:bCs/>
              </w:rPr>
              <w:t>redacted</w:t>
            </w:r>
          </w:p>
        </w:tc>
        <w:tc>
          <w:tcPr>
            <w:tcW w:w="1582" w:type="dxa"/>
          </w:tcPr>
          <w:p w14:paraId="58F30D1B" w14:textId="276988B4" w:rsidR="007A4791" w:rsidRDefault="007A4791" w:rsidP="007A4791">
            <w:pPr>
              <w:pStyle w:val="TableText1"/>
            </w:pPr>
            <w:r w:rsidRPr="007C785E">
              <w:t>$1,959,000</w:t>
            </w:r>
          </w:p>
        </w:tc>
        <w:tc>
          <w:tcPr>
            <w:tcW w:w="1582" w:type="dxa"/>
          </w:tcPr>
          <w:p w14:paraId="7F4AA77C" w14:textId="72A15436" w:rsidR="007A4791" w:rsidRDefault="008837A2" w:rsidP="007A4791">
            <w:pPr>
              <w:pStyle w:val="TableText1"/>
            </w:pPr>
            <w:r w:rsidRPr="006360E9">
              <w:t>$</w:t>
            </w:r>
            <w:r w:rsidRPr="006360E9">
              <w:rPr>
                <w:b/>
                <w:bCs/>
              </w:rPr>
              <w:t>redacted</w:t>
            </w:r>
          </w:p>
        </w:tc>
        <w:tc>
          <w:tcPr>
            <w:tcW w:w="1582" w:type="dxa"/>
          </w:tcPr>
          <w:p w14:paraId="6E0848B7" w14:textId="32288D5C" w:rsidR="007A4791" w:rsidRDefault="008837A2" w:rsidP="007A4791">
            <w:pPr>
              <w:pStyle w:val="TableText1"/>
            </w:pPr>
            <w:r w:rsidRPr="006360E9">
              <w:t>$</w:t>
            </w:r>
            <w:r w:rsidRPr="006360E9">
              <w:rPr>
                <w:b/>
                <w:bCs/>
              </w:rPr>
              <w:t>redacted</w:t>
            </w:r>
          </w:p>
        </w:tc>
      </w:tr>
      <w:tr w:rsidR="007A4791" w14:paraId="36C2C9E0" w14:textId="77777777" w:rsidTr="005D76F9">
        <w:tc>
          <w:tcPr>
            <w:tcW w:w="2689" w:type="dxa"/>
          </w:tcPr>
          <w:p w14:paraId="2E92FCD8" w14:textId="77777777" w:rsidR="007A4791" w:rsidRDefault="007A4791" w:rsidP="007A4791">
            <w:pPr>
              <w:pStyle w:val="TableText1"/>
            </w:pPr>
            <w:r>
              <w:t>QALY</w:t>
            </w:r>
          </w:p>
        </w:tc>
        <w:tc>
          <w:tcPr>
            <w:tcW w:w="1581" w:type="dxa"/>
          </w:tcPr>
          <w:p w14:paraId="57FAC3A2" w14:textId="303530E1" w:rsidR="007A4791" w:rsidRDefault="007A4791" w:rsidP="007A4791">
            <w:pPr>
              <w:pStyle w:val="TableText1"/>
            </w:pPr>
            <w:r w:rsidRPr="007C785E">
              <w:t>6.39</w:t>
            </w:r>
          </w:p>
        </w:tc>
        <w:tc>
          <w:tcPr>
            <w:tcW w:w="1582" w:type="dxa"/>
          </w:tcPr>
          <w:p w14:paraId="4A2FFD89" w14:textId="03A10733" w:rsidR="007A4791" w:rsidRDefault="007A4791" w:rsidP="007A4791">
            <w:pPr>
              <w:pStyle w:val="TableText1"/>
            </w:pPr>
            <w:r w:rsidRPr="007C785E">
              <w:t>6.33</w:t>
            </w:r>
          </w:p>
        </w:tc>
        <w:tc>
          <w:tcPr>
            <w:tcW w:w="1582" w:type="dxa"/>
          </w:tcPr>
          <w:p w14:paraId="2E1E48E3" w14:textId="539DF2BD" w:rsidR="007A4791" w:rsidRDefault="007A4791" w:rsidP="007A4791">
            <w:pPr>
              <w:pStyle w:val="TableText1"/>
            </w:pPr>
            <w:r w:rsidRPr="007C785E">
              <w:t>0.059</w:t>
            </w:r>
          </w:p>
        </w:tc>
        <w:tc>
          <w:tcPr>
            <w:tcW w:w="1582" w:type="dxa"/>
          </w:tcPr>
          <w:p w14:paraId="5ADEF751" w14:textId="77777777" w:rsidR="007A4791" w:rsidRDefault="007A4791" w:rsidP="007A4791">
            <w:pPr>
              <w:pStyle w:val="TableText1"/>
            </w:pPr>
          </w:p>
        </w:tc>
      </w:tr>
      <w:tr w:rsidR="006C18B7" w14:paraId="21EEAB30" w14:textId="77777777" w:rsidTr="005D76F9">
        <w:tc>
          <w:tcPr>
            <w:tcW w:w="2689" w:type="dxa"/>
          </w:tcPr>
          <w:p w14:paraId="69C75BFB" w14:textId="1F305CC3" w:rsidR="006C18B7" w:rsidRDefault="006C18B7" w:rsidP="00C44B7F">
            <w:pPr>
              <w:pStyle w:val="TableText1"/>
              <w:jc w:val="left"/>
            </w:pPr>
            <w:r>
              <w:t>Study evidence extrapolated</w:t>
            </w:r>
            <w:r w:rsidR="00C44B7F">
              <w:br/>
              <w:t>T</w:t>
            </w:r>
            <w:r>
              <w:t xml:space="preserve">ime horizon </w:t>
            </w:r>
            <w:r w:rsidR="00727E30">
              <w:t>1</w:t>
            </w:r>
            <w:r>
              <w:t>5 years</w:t>
            </w:r>
          </w:p>
        </w:tc>
        <w:tc>
          <w:tcPr>
            <w:tcW w:w="1581" w:type="dxa"/>
          </w:tcPr>
          <w:p w14:paraId="2020A293" w14:textId="77777777" w:rsidR="006C18B7" w:rsidRDefault="006C18B7" w:rsidP="001C3178">
            <w:pPr>
              <w:pStyle w:val="TableText1"/>
            </w:pPr>
          </w:p>
        </w:tc>
        <w:tc>
          <w:tcPr>
            <w:tcW w:w="1582" w:type="dxa"/>
          </w:tcPr>
          <w:p w14:paraId="1F099495" w14:textId="77777777" w:rsidR="006C18B7" w:rsidRDefault="006C18B7" w:rsidP="001C3178">
            <w:pPr>
              <w:pStyle w:val="TableText1"/>
            </w:pPr>
          </w:p>
        </w:tc>
        <w:tc>
          <w:tcPr>
            <w:tcW w:w="1582" w:type="dxa"/>
          </w:tcPr>
          <w:p w14:paraId="4D95CDED" w14:textId="77777777" w:rsidR="006C18B7" w:rsidRDefault="006C18B7" w:rsidP="001C3178">
            <w:pPr>
              <w:pStyle w:val="TableText1"/>
            </w:pPr>
          </w:p>
        </w:tc>
        <w:tc>
          <w:tcPr>
            <w:tcW w:w="1582" w:type="dxa"/>
          </w:tcPr>
          <w:p w14:paraId="0709E6FA" w14:textId="77777777" w:rsidR="006C18B7" w:rsidRDefault="006C18B7" w:rsidP="001C3178">
            <w:pPr>
              <w:pStyle w:val="TableText1"/>
            </w:pPr>
          </w:p>
        </w:tc>
      </w:tr>
      <w:tr w:rsidR="00072B07" w14:paraId="1E2D6CA4" w14:textId="77777777" w:rsidTr="005D76F9">
        <w:tc>
          <w:tcPr>
            <w:tcW w:w="2689" w:type="dxa"/>
          </w:tcPr>
          <w:p w14:paraId="5C2A03E9" w14:textId="77777777" w:rsidR="00072B07" w:rsidRDefault="00072B07" w:rsidP="00072B07">
            <w:pPr>
              <w:pStyle w:val="TableText1"/>
            </w:pPr>
            <w:r>
              <w:t>Costs</w:t>
            </w:r>
          </w:p>
        </w:tc>
        <w:tc>
          <w:tcPr>
            <w:tcW w:w="1581" w:type="dxa"/>
          </w:tcPr>
          <w:p w14:paraId="52E4F9AE" w14:textId="6B5ED999" w:rsidR="00072B07" w:rsidRDefault="008837A2" w:rsidP="00072B07">
            <w:pPr>
              <w:pStyle w:val="TableText1"/>
            </w:pPr>
            <w:r w:rsidRPr="006360E9">
              <w:t>$</w:t>
            </w:r>
            <w:r w:rsidRPr="006360E9">
              <w:rPr>
                <w:b/>
                <w:bCs/>
              </w:rPr>
              <w:t>redacted</w:t>
            </w:r>
          </w:p>
        </w:tc>
        <w:tc>
          <w:tcPr>
            <w:tcW w:w="1582" w:type="dxa"/>
          </w:tcPr>
          <w:p w14:paraId="354B619A" w14:textId="06B8D9B0" w:rsidR="00072B07" w:rsidRDefault="00072B07" w:rsidP="00072B07">
            <w:pPr>
              <w:pStyle w:val="TableText1"/>
            </w:pPr>
            <w:r w:rsidRPr="00AC2713">
              <w:t>$2,582,233</w:t>
            </w:r>
          </w:p>
        </w:tc>
        <w:tc>
          <w:tcPr>
            <w:tcW w:w="1582" w:type="dxa"/>
          </w:tcPr>
          <w:p w14:paraId="27EC1F2C" w14:textId="04C34569" w:rsidR="00072B07" w:rsidRDefault="00072B07" w:rsidP="00072B07">
            <w:pPr>
              <w:pStyle w:val="TableText1"/>
            </w:pPr>
            <w:r w:rsidRPr="00AC2713">
              <w:t>-</w:t>
            </w:r>
            <w:r w:rsidR="008837A2" w:rsidRPr="006360E9">
              <w:t>$</w:t>
            </w:r>
            <w:r w:rsidR="008837A2" w:rsidRPr="006360E9">
              <w:rPr>
                <w:b/>
                <w:bCs/>
              </w:rPr>
              <w:t>redacted</w:t>
            </w:r>
          </w:p>
        </w:tc>
        <w:tc>
          <w:tcPr>
            <w:tcW w:w="1582" w:type="dxa"/>
          </w:tcPr>
          <w:p w14:paraId="2874A6BD" w14:textId="524A8C15" w:rsidR="00072B07" w:rsidRDefault="00ED581C" w:rsidP="00072B07">
            <w:pPr>
              <w:pStyle w:val="TableText1"/>
            </w:pPr>
            <w:r w:rsidRPr="00ED581C">
              <w:t>-$</w:t>
            </w:r>
            <w:r w:rsidR="008837A2" w:rsidRPr="006360E9">
              <w:rPr>
                <w:b/>
                <w:bCs/>
              </w:rPr>
              <w:t>redacted</w:t>
            </w:r>
          </w:p>
        </w:tc>
      </w:tr>
      <w:tr w:rsidR="00072B07" w14:paraId="444D222C" w14:textId="77777777" w:rsidTr="005D76F9">
        <w:tc>
          <w:tcPr>
            <w:tcW w:w="2689" w:type="dxa"/>
          </w:tcPr>
          <w:p w14:paraId="4FAD8A19" w14:textId="77777777" w:rsidR="00072B07" w:rsidRDefault="00072B07" w:rsidP="00072B07">
            <w:pPr>
              <w:pStyle w:val="TableText1"/>
            </w:pPr>
            <w:r>
              <w:t>QALY</w:t>
            </w:r>
          </w:p>
        </w:tc>
        <w:tc>
          <w:tcPr>
            <w:tcW w:w="1581" w:type="dxa"/>
          </w:tcPr>
          <w:p w14:paraId="4F97B59A" w14:textId="6BEAF701" w:rsidR="00072B07" w:rsidRDefault="00072B07" w:rsidP="00072B07">
            <w:pPr>
              <w:pStyle w:val="TableText1"/>
            </w:pPr>
            <w:r w:rsidRPr="00AC2713">
              <w:t>8.43</w:t>
            </w:r>
          </w:p>
        </w:tc>
        <w:tc>
          <w:tcPr>
            <w:tcW w:w="1582" w:type="dxa"/>
          </w:tcPr>
          <w:p w14:paraId="0A1EAA98" w14:textId="3012D5E1" w:rsidR="00072B07" w:rsidRDefault="00072B07" w:rsidP="00072B07">
            <w:pPr>
              <w:pStyle w:val="TableText1"/>
            </w:pPr>
            <w:r w:rsidRPr="00AC2713">
              <w:t>8.35</w:t>
            </w:r>
          </w:p>
        </w:tc>
        <w:tc>
          <w:tcPr>
            <w:tcW w:w="1582" w:type="dxa"/>
          </w:tcPr>
          <w:p w14:paraId="55832DEF" w14:textId="5DA3DD99" w:rsidR="00072B07" w:rsidRDefault="00072B07" w:rsidP="00072B07">
            <w:pPr>
              <w:pStyle w:val="TableText1"/>
            </w:pPr>
            <w:r w:rsidRPr="00AC2713">
              <w:t>0.077</w:t>
            </w:r>
          </w:p>
        </w:tc>
        <w:tc>
          <w:tcPr>
            <w:tcW w:w="1582" w:type="dxa"/>
          </w:tcPr>
          <w:p w14:paraId="248603D1" w14:textId="77777777" w:rsidR="00072B07" w:rsidRDefault="00072B07" w:rsidP="00072B07">
            <w:pPr>
              <w:pStyle w:val="TableText1"/>
            </w:pPr>
          </w:p>
        </w:tc>
      </w:tr>
    </w:tbl>
    <w:p w14:paraId="6B091997" w14:textId="2624941E" w:rsidR="000B6618" w:rsidRDefault="00552DFA" w:rsidP="00985649">
      <w:pPr>
        <w:pStyle w:val="Tablenotes"/>
      </w:pPr>
      <w:r>
        <w:t>ICER = incremental cost-effectiveness ratio; QALY = quality adjusted life year</w:t>
      </w:r>
      <w:r w:rsidR="0028340D">
        <w:t>.</w:t>
      </w:r>
    </w:p>
    <w:p w14:paraId="52BFD147" w14:textId="78CB7995" w:rsidR="007C3A25" w:rsidRDefault="007C3A25" w:rsidP="007C3A25">
      <w:pPr>
        <w:pStyle w:val="Tablenotes"/>
      </w:pPr>
      <w:r w:rsidRPr="007C3A25">
        <w:t>a</w:t>
      </w:r>
      <w:r>
        <w:t xml:space="preserve"> </w:t>
      </w:r>
      <w:r w:rsidR="00801D1B">
        <w:t xml:space="preserve">Results for the </w:t>
      </w:r>
      <w:r w:rsidR="001109BD">
        <w:t>4</w:t>
      </w:r>
      <w:r w:rsidR="00445DF4">
        <w:t>-</w:t>
      </w:r>
      <w:r w:rsidR="001109BD">
        <w:t xml:space="preserve">year time horizon </w:t>
      </w:r>
      <w:r w:rsidR="00801D1B">
        <w:t xml:space="preserve">were </w:t>
      </w:r>
      <w:r w:rsidR="00625D42">
        <w:t xml:space="preserve">calculated by the </w:t>
      </w:r>
      <w:r w:rsidR="00B01B30">
        <w:t>c</w:t>
      </w:r>
      <w:r w:rsidR="00625D42">
        <w:t xml:space="preserve">ommentary </w:t>
      </w:r>
      <w:r w:rsidR="00801D1B">
        <w:t xml:space="preserve">and </w:t>
      </w:r>
      <w:r w:rsidR="001109BD">
        <w:t>assume</w:t>
      </w:r>
      <w:r w:rsidR="0003116B">
        <w:t>d</w:t>
      </w:r>
      <w:r w:rsidR="001109BD">
        <w:t xml:space="preserve"> </w:t>
      </w:r>
      <w:r w:rsidR="00951C22">
        <w:t>payment over</w:t>
      </w:r>
      <w:r w:rsidR="001109BD">
        <w:t xml:space="preserve"> 4 equal </w:t>
      </w:r>
      <w:r w:rsidR="00445DF4">
        <w:t>instalments</w:t>
      </w:r>
      <w:r w:rsidR="006E3850">
        <w:t xml:space="preserve"> rather than 10</w:t>
      </w:r>
      <w:r w:rsidR="007073BE">
        <w:t>.</w:t>
      </w:r>
      <w:r w:rsidR="001D4A5D">
        <w:t xml:space="preserve"> </w:t>
      </w:r>
      <w:r w:rsidR="00147F1B">
        <w:t xml:space="preserve">The </w:t>
      </w:r>
      <w:r w:rsidR="003F75CB">
        <w:t xml:space="preserve">ICER for the </w:t>
      </w:r>
      <w:r w:rsidR="002F7379">
        <w:t xml:space="preserve">4-year time horizon </w:t>
      </w:r>
      <w:r w:rsidR="003E6691">
        <w:t xml:space="preserve">presented in the </w:t>
      </w:r>
      <w:r w:rsidR="00147F1B">
        <w:t xml:space="preserve">ADAR </w:t>
      </w:r>
      <w:r w:rsidR="00CF72FD">
        <w:t>(</w:t>
      </w:r>
      <w:r w:rsidR="00AE264B">
        <w:t>$</w:t>
      </w:r>
      <w:r w:rsidR="00641254" w:rsidRPr="00641254">
        <w:rPr>
          <w:b/>
          <w:bCs/>
        </w:rPr>
        <w:t>redacted</w:t>
      </w:r>
      <w:r w:rsidR="003B1BEF">
        <w:t>/QALY</w:t>
      </w:r>
      <w:r w:rsidR="00CF72FD">
        <w:t xml:space="preserve">) </w:t>
      </w:r>
      <w:r w:rsidR="003B1BEF">
        <w:t xml:space="preserve">was calculated without adjustment </w:t>
      </w:r>
      <w:r w:rsidR="00042DF5">
        <w:t>to</w:t>
      </w:r>
      <w:r w:rsidR="00AE264B">
        <w:t xml:space="preserve"> the number of </w:t>
      </w:r>
      <w:r w:rsidR="00D71318">
        <w:t xml:space="preserve">ED </w:t>
      </w:r>
      <w:r w:rsidR="00AE264B">
        <w:t>payments</w:t>
      </w:r>
      <w:r w:rsidR="00CF72FD">
        <w:t>.</w:t>
      </w:r>
      <w:r w:rsidR="00D74881">
        <w:t xml:space="preserve"> </w:t>
      </w:r>
    </w:p>
    <w:p w14:paraId="56A68D00" w14:textId="2C54BD10" w:rsidR="002448BA" w:rsidRPr="001F7CF8" w:rsidRDefault="002448BA" w:rsidP="000701E4">
      <w:pPr>
        <w:pStyle w:val="Tablenotes"/>
        <w:spacing w:after="360"/>
      </w:pPr>
      <w:r w:rsidRPr="000701E4">
        <w:t>Source:</w:t>
      </w:r>
      <w:r w:rsidR="00862BFC">
        <w:t xml:space="preserve"> </w:t>
      </w:r>
      <w:r w:rsidR="00A72003" w:rsidRPr="00722B37">
        <w:t xml:space="preserve">Commentary </w:t>
      </w:r>
      <w:r w:rsidR="00A72003" w:rsidRPr="00722B37">
        <w:rPr>
          <w:rFonts w:eastAsiaTheme="minorEastAsia"/>
        </w:rPr>
        <w:t xml:space="preserve">Table </w:t>
      </w:r>
      <w:r w:rsidR="000701E4" w:rsidRPr="00722B37">
        <w:rPr>
          <w:rFonts w:eastAsiaTheme="minorEastAsia"/>
        </w:rPr>
        <w:t>7</w:t>
      </w:r>
      <w:r w:rsidR="000701E4">
        <w:rPr>
          <w:rFonts w:eastAsiaTheme="minorEastAsia"/>
        </w:rPr>
        <w:t xml:space="preserve"> </w:t>
      </w:r>
      <w:r w:rsidR="00A72003" w:rsidRPr="0095367C">
        <w:rPr>
          <w:rFonts w:eastAsiaTheme="minorEastAsia"/>
        </w:rPr>
        <w:t>of MSAC 1728.1 ADAR + in-line commentary</w:t>
      </w:r>
      <w:r w:rsidR="00A72003">
        <w:rPr>
          <w:rFonts w:eastAsiaTheme="minorEastAsia"/>
        </w:rPr>
        <w:t>.</w:t>
      </w:r>
    </w:p>
    <w:bookmarkEnd w:id="45"/>
    <w:p w14:paraId="58EACA0E" w14:textId="58B3740F" w:rsidR="00AD3C13" w:rsidRDefault="00CD552B" w:rsidP="00AD3C13">
      <w:r>
        <w:t>Key drivers of the model were</w:t>
      </w:r>
      <w:r w:rsidR="00AD3C13">
        <w:t xml:space="preserve"> the time horizon</w:t>
      </w:r>
      <w:r w:rsidR="00A1469A">
        <w:t xml:space="preserve">, the presence of the </w:t>
      </w:r>
      <w:r w:rsidR="00182785">
        <w:t>outcomes</w:t>
      </w:r>
      <w:r w:rsidR="0025458D">
        <w:t>-</w:t>
      </w:r>
      <w:r w:rsidR="00182785">
        <w:t>based agreement</w:t>
      </w:r>
      <w:r w:rsidR="00C24282">
        <w:t xml:space="preserve">, </w:t>
      </w:r>
      <w:r w:rsidR="00182785">
        <w:t xml:space="preserve">the </w:t>
      </w:r>
      <w:r w:rsidR="002E16A9">
        <w:t xml:space="preserve">cost of the comparator </w:t>
      </w:r>
      <w:r w:rsidR="00C24282">
        <w:t xml:space="preserve">and </w:t>
      </w:r>
      <w:r w:rsidR="00C25934">
        <w:t>the event-based utility decrements</w:t>
      </w:r>
      <w:r w:rsidR="002E16A9">
        <w:t xml:space="preserve"> (</w:t>
      </w:r>
      <w:r w:rsidR="009D4E4C">
        <w:fldChar w:fldCharType="begin"/>
      </w:r>
      <w:r w:rsidR="009D4E4C">
        <w:instrText xml:space="preserve"> REF _Ref207986557 \h </w:instrText>
      </w:r>
      <w:r w:rsidR="009D4E4C">
        <w:fldChar w:fldCharType="separate"/>
      </w:r>
      <w:r w:rsidR="009D4E4C">
        <w:t xml:space="preserve">Table </w:t>
      </w:r>
      <w:r w:rsidR="009D4E4C">
        <w:rPr>
          <w:noProof/>
        </w:rPr>
        <w:t>14</w:t>
      </w:r>
      <w:r w:rsidR="009D4E4C">
        <w:fldChar w:fldCharType="end"/>
      </w:r>
      <w:r w:rsidR="002E16A9">
        <w:t>).</w:t>
      </w:r>
    </w:p>
    <w:p w14:paraId="14FB2EC0" w14:textId="0F926ABA" w:rsidR="002E16A9" w:rsidRDefault="009D4E4C" w:rsidP="000A5DF1">
      <w:pPr>
        <w:pStyle w:val="Caption"/>
      </w:pPr>
      <w:bookmarkStart w:id="51" w:name="_Ref207986557"/>
      <w:bookmarkStart w:id="52" w:name="_Ref195041345"/>
      <w:r>
        <w:lastRenderedPageBreak/>
        <w:t xml:space="preserve">Table </w:t>
      </w:r>
      <w:r>
        <w:fldChar w:fldCharType="begin"/>
      </w:r>
      <w:r>
        <w:instrText xml:space="preserve"> SEQ Table \* ARABIC </w:instrText>
      </w:r>
      <w:r>
        <w:fldChar w:fldCharType="separate"/>
      </w:r>
      <w:r>
        <w:rPr>
          <w:noProof/>
        </w:rPr>
        <w:t>14</w:t>
      </w:r>
      <w:r>
        <w:rPr>
          <w:noProof/>
        </w:rPr>
        <w:fldChar w:fldCharType="end"/>
      </w:r>
      <w:bookmarkEnd w:id="51"/>
      <w:r>
        <w:t xml:space="preserve"> </w:t>
      </w:r>
      <w:bookmarkEnd w:id="52"/>
      <w:r w:rsidR="002E16A9" w:rsidRPr="002E16A9">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drivers of the model"/>
        <w:tblDescription w:val="This table summarises the key drivers of the model. These are the time horizon, the outcomes-based agreement, cost of the comparator, and the event-based utility decrements for bleeding."/>
      </w:tblPr>
      <w:tblGrid>
        <w:gridCol w:w="1271"/>
        <w:gridCol w:w="3260"/>
        <w:gridCol w:w="4485"/>
      </w:tblGrid>
      <w:tr w:rsidR="00750608" w:rsidRPr="00750608" w14:paraId="14FFC017" w14:textId="77777777" w:rsidTr="000D0C9F">
        <w:trPr>
          <w:tblHeader/>
        </w:trPr>
        <w:tc>
          <w:tcPr>
            <w:tcW w:w="705" w:type="pct"/>
            <w:tcMar>
              <w:left w:w="85" w:type="dxa"/>
              <w:right w:w="85" w:type="dxa"/>
            </w:tcMar>
            <w:vAlign w:val="center"/>
          </w:tcPr>
          <w:p w14:paraId="18F29DCE" w14:textId="77777777" w:rsidR="00750608" w:rsidRPr="00750608" w:rsidRDefault="00750608" w:rsidP="005F426F">
            <w:pPr>
              <w:pStyle w:val="In-tableHeading"/>
              <w:keepLines/>
            </w:pPr>
            <w:r w:rsidRPr="00750608">
              <w:t>Description</w:t>
            </w:r>
          </w:p>
        </w:tc>
        <w:tc>
          <w:tcPr>
            <w:tcW w:w="1808" w:type="pct"/>
            <w:tcMar>
              <w:left w:w="85" w:type="dxa"/>
              <w:right w:w="85" w:type="dxa"/>
            </w:tcMar>
            <w:vAlign w:val="center"/>
          </w:tcPr>
          <w:p w14:paraId="2E9C93E5" w14:textId="4A417E5C" w:rsidR="00750608" w:rsidRPr="00125DC0" w:rsidRDefault="00750608" w:rsidP="005F426F">
            <w:pPr>
              <w:pStyle w:val="In-tableHeading"/>
              <w:keepLines/>
            </w:pPr>
            <w:r w:rsidRPr="00125DC0">
              <w:t>Method/</w:t>
            </w:r>
            <w:r w:rsidR="000D0C9F" w:rsidRPr="00125DC0">
              <w:t>v</w:t>
            </w:r>
            <w:r w:rsidRPr="00125DC0">
              <w:t>alue</w:t>
            </w:r>
          </w:p>
        </w:tc>
        <w:tc>
          <w:tcPr>
            <w:tcW w:w="2487" w:type="pct"/>
            <w:tcMar>
              <w:left w:w="85" w:type="dxa"/>
              <w:right w:w="85" w:type="dxa"/>
            </w:tcMar>
            <w:vAlign w:val="center"/>
          </w:tcPr>
          <w:p w14:paraId="47E28A8A" w14:textId="77777777" w:rsidR="00750608" w:rsidRPr="00125DC0" w:rsidRDefault="00750608" w:rsidP="005F426F">
            <w:pPr>
              <w:pStyle w:val="In-tableHeading"/>
              <w:keepLines/>
              <w:rPr>
                <w:b w:val="0"/>
              </w:rPr>
            </w:pPr>
            <w:r w:rsidRPr="00125DC0">
              <w:t>Impact</w:t>
            </w:r>
          </w:p>
          <w:p w14:paraId="58E99B82" w14:textId="5659D4FE" w:rsidR="00750608" w:rsidRPr="00125DC0" w:rsidRDefault="00750608" w:rsidP="005F426F">
            <w:pPr>
              <w:pStyle w:val="In-tableHeading"/>
              <w:keepLines/>
            </w:pPr>
            <w:r w:rsidRPr="00125DC0">
              <w:rPr>
                <w:rFonts w:cs="Arial"/>
                <w:szCs w:val="20"/>
              </w:rPr>
              <w:t xml:space="preserve">Base case: </w:t>
            </w:r>
            <w:r w:rsidR="000D0C9F" w:rsidRPr="00125DC0">
              <w:rPr>
                <w:rFonts w:cs="Arial"/>
                <w:szCs w:val="20"/>
              </w:rPr>
              <w:t>-</w:t>
            </w:r>
            <w:r w:rsidRPr="00125DC0">
              <w:rPr>
                <w:rFonts w:cs="Arial"/>
                <w:szCs w:val="20"/>
              </w:rPr>
              <w:t>$</w:t>
            </w:r>
            <w:r w:rsidR="00125DC0" w:rsidRPr="00D84B66">
              <w:rPr>
                <w:rFonts w:cs="Arial"/>
                <w:szCs w:val="20"/>
              </w:rPr>
              <w:t>redacted</w:t>
            </w:r>
            <w:r w:rsidRPr="00125DC0">
              <w:rPr>
                <w:rFonts w:cs="Arial"/>
                <w:szCs w:val="20"/>
              </w:rPr>
              <w:t>/QALY gained</w:t>
            </w:r>
          </w:p>
        </w:tc>
      </w:tr>
      <w:tr w:rsidR="00750608" w:rsidRPr="00750608" w14:paraId="71A6BB94" w14:textId="77777777" w:rsidTr="000D0C9F">
        <w:tc>
          <w:tcPr>
            <w:tcW w:w="705" w:type="pct"/>
            <w:tcMar>
              <w:left w:w="85" w:type="dxa"/>
              <w:right w:w="85" w:type="dxa"/>
            </w:tcMar>
          </w:tcPr>
          <w:p w14:paraId="3279017B" w14:textId="77777777" w:rsidR="00750608" w:rsidRPr="00750608" w:rsidRDefault="00750608" w:rsidP="005F426F">
            <w:pPr>
              <w:pStyle w:val="TableText"/>
              <w:keepNext/>
              <w:keepLines/>
              <w:rPr>
                <w:lang w:val="en-US"/>
              </w:rPr>
            </w:pPr>
            <w:r w:rsidRPr="00750608">
              <w:rPr>
                <w:lang w:val="en-US"/>
              </w:rPr>
              <w:t>Time horizon</w:t>
            </w:r>
          </w:p>
        </w:tc>
        <w:tc>
          <w:tcPr>
            <w:tcW w:w="1808" w:type="pct"/>
            <w:tcMar>
              <w:left w:w="85" w:type="dxa"/>
              <w:right w:w="85" w:type="dxa"/>
            </w:tcMar>
          </w:tcPr>
          <w:p w14:paraId="673A9E54" w14:textId="67F6A518" w:rsidR="00750608" w:rsidRPr="00125DC0" w:rsidRDefault="00172685" w:rsidP="005F426F">
            <w:pPr>
              <w:pStyle w:val="TableText"/>
              <w:keepNext/>
              <w:keepLines/>
              <w:rPr>
                <w:lang w:val="en-US"/>
              </w:rPr>
            </w:pPr>
            <w:r w:rsidRPr="00125DC0">
              <w:rPr>
                <w:lang w:val="en-US"/>
              </w:rPr>
              <w:t xml:space="preserve">Treatment effect continued beyond </w:t>
            </w:r>
            <w:r w:rsidR="005B4EBE" w:rsidRPr="00125DC0">
              <w:rPr>
                <w:lang w:val="en-US"/>
              </w:rPr>
              <w:t xml:space="preserve">the </w:t>
            </w:r>
            <w:r w:rsidRPr="00125DC0">
              <w:rPr>
                <w:lang w:val="en-US"/>
              </w:rPr>
              <w:t xml:space="preserve">4-year study period </w:t>
            </w:r>
            <w:r w:rsidR="000002E5" w:rsidRPr="00125DC0">
              <w:rPr>
                <w:lang w:val="en-US"/>
              </w:rPr>
              <w:t>for up to 15 years</w:t>
            </w:r>
            <w:r w:rsidR="0084719B" w:rsidRPr="00125DC0">
              <w:rPr>
                <w:lang w:val="en-US"/>
              </w:rPr>
              <w:t xml:space="preserve">. Waning of FIX activity level </w:t>
            </w:r>
            <w:r w:rsidR="005B4EBE" w:rsidRPr="00125DC0">
              <w:rPr>
                <w:lang w:val="en-US"/>
              </w:rPr>
              <w:t xml:space="preserve">was </w:t>
            </w:r>
            <w:r w:rsidR="0084719B" w:rsidRPr="00125DC0">
              <w:rPr>
                <w:lang w:val="en-US"/>
              </w:rPr>
              <w:t>extrapolated from study data.</w:t>
            </w:r>
            <w:r w:rsidR="00750608" w:rsidRPr="00125DC0">
              <w:rPr>
                <w:lang w:val="en-US"/>
              </w:rPr>
              <w:t xml:space="preserve"> </w:t>
            </w:r>
          </w:p>
        </w:tc>
        <w:tc>
          <w:tcPr>
            <w:tcW w:w="2487" w:type="pct"/>
            <w:tcMar>
              <w:left w:w="85" w:type="dxa"/>
              <w:right w:w="85" w:type="dxa"/>
            </w:tcMar>
          </w:tcPr>
          <w:p w14:paraId="67F25500" w14:textId="40917300" w:rsidR="00B815A5" w:rsidRPr="00125DC0" w:rsidRDefault="00B815A5" w:rsidP="005F426F">
            <w:pPr>
              <w:pStyle w:val="TableText"/>
              <w:keepNext/>
              <w:keepLines/>
              <w:rPr>
                <w:rFonts w:eastAsia="Times New Roman" w:cs="Arial"/>
                <w:lang w:val="en-US"/>
              </w:rPr>
            </w:pPr>
            <w:r w:rsidRPr="00125DC0">
              <w:rPr>
                <w:lang w:val="en-US"/>
              </w:rPr>
              <w:t xml:space="preserve">High, </w:t>
            </w:r>
            <w:proofErr w:type="spellStart"/>
            <w:r w:rsidRPr="00125DC0">
              <w:rPr>
                <w:lang w:val="en-US"/>
              </w:rPr>
              <w:t>favours</w:t>
            </w:r>
            <w:proofErr w:type="spellEnd"/>
            <w:r w:rsidRPr="00125DC0">
              <w:rPr>
                <w:lang w:val="en-US"/>
              </w:rPr>
              <w:t xml:space="preserve"> intervention</w:t>
            </w:r>
          </w:p>
          <w:p w14:paraId="4ED8E3C4" w14:textId="4F4CF822" w:rsidR="00750608" w:rsidRPr="00125DC0" w:rsidRDefault="00D20FA7" w:rsidP="005F426F">
            <w:pPr>
              <w:pStyle w:val="TableText"/>
              <w:keepNext/>
              <w:keepLines/>
              <w:rPr>
                <w:lang w:val="en-US"/>
              </w:rPr>
            </w:pPr>
            <w:r w:rsidRPr="00125DC0">
              <w:rPr>
                <w:lang w:val="en-US"/>
              </w:rPr>
              <w:t>Reducing the time horizon from 15 years to 4 years</w:t>
            </w:r>
            <w:r w:rsidR="00C71B12" w:rsidRPr="00125DC0">
              <w:rPr>
                <w:lang w:val="en-US"/>
              </w:rPr>
              <w:t xml:space="preserve"> (with paym</w:t>
            </w:r>
            <w:r w:rsidR="00D17E25" w:rsidRPr="00125DC0">
              <w:rPr>
                <w:lang w:val="en-US"/>
              </w:rPr>
              <w:t>ent over 4</w:t>
            </w:r>
            <w:r w:rsidR="00DD59B8" w:rsidRPr="00125DC0">
              <w:rPr>
                <w:lang w:val="en-US"/>
              </w:rPr>
              <w:t xml:space="preserve"> </w:t>
            </w:r>
            <w:r w:rsidR="00D17E25" w:rsidRPr="00125DC0">
              <w:rPr>
                <w:lang w:val="en-US"/>
              </w:rPr>
              <w:t>years)</w:t>
            </w:r>
            <w:r w:rsidRPr="00125DC0">
              <w:rPr>
                <w:lang w:val="en-US"/>
              </w:rPr>
              <w:t xml:space="preserve"> resulted in </w:t>
            </w:r>
            <w:r w:rsidR="008D5389" w:rsidRPr="00125DC0">
              <w:rPr>
                <w:lang w:val="en-US"/>
              </w:rPr>
              <w:t>an ICER of $</w:t>
            </w:r>
            <w:r w:rsidR="00125DC0" w:rsidRPr="00D84B66">
              <w:rPr>
                <w:b/>
                <w:bCs/>
                <w:lang w:val="en-US"/>
              </w:rPr>
              <w:t>redacted</w:t>
            </w:r>
            <w:r w:rsidR="006758CC" w:rsidRPr="00125DC0">
              <w:rPr>
                <w:lang w:val="en-US"/>
              </w:rPr>
              <w:t>.</w:t>
            </w:r>
          </w:p>
        </w:tc>
      </w:tr>
      <w:tr w:rsidR="00750608" w:rsidRPr="00750608" w14:paraId="05E00382" w14:textId="77777777" w:rsidTr="000D0C9F">
        <w:tc>
          <w:tcPr>
            <w:tcW w:w="705" w:type="pct"/>
            <w:tcMar>
              <w:left w:w="85" w:type="dxa"/>
              <w:right w:w="85" w:type="dxa"/>
            </w:tcMar>
          </w:tcPr>
          <w:p w14:paraId="247713C1" w14:textId="4C3E50A7" w:rsidR="00750608" w:rsidRPr="00750608" w:rsidRDefault="00750608" w:rsidP="005F426F">
            <w:pPr>
              <w:pStyle w:val="TableText"/>
              <w:keepNext/>
              <w:keepLines/>
              <w:rPr>
                <w:lang w:val="en-US"/>
              </w:rPr>
            </w:pPr>
            <w:r w:rsidRPr="00750608">
              <w:rPr>
                <w:lang w:val="en-US"/>
              </w:rPr>
              <w:t>Outcomes</w:t>
            </w:r>
            <w:r w:rsidR="00ED6C3B">
              <w:rPr>
                <w:lang w:val="en-US"/>
              </w:rPr>
              <w:t>-</w:t>
            </w:r>
            <w:r w:rsidRPr="00750608">
              <w:rPr>
                <w:lang w:val="en-US"/>
              </w:rPr>
              <w:t xml:space="preserve">based agreement </w:t>
            </w:r>
          </w:p>
        </w:tc>
        <w:tc>
          <w:tcPr>
            <w:tcW w:w="1808" w:type="pct"/>
            <w:tcMar>
              <w:left w:w="85" w:type="dxa"/>
              <w:right w:w="85" w:type="dxa"/>
            </w:tcMar>
          </w:tcPr>
          <w:p w14:paraId="073D97AD" w14:textId="10F43A00" w:rsidR="00750608" w:rsidRPr="00125DC0" w:rsidRDefault="00357806" w:rsidP="005F426F">
            <w:pPr>
              <w:pStyle w:val="TableText"/>
              <w:keepNext/>
              <w:keepLines/>
              <w:rPr>
                <w:lang w:val="en-US"/>
              </w:rPr>
            </w:pPr>
            <w:r w:rsidRPr="00125DC0">
              <w:rPr>
                <w:lang w:val="en-US"/>
              </w:rPr>
              <w:t>The risk</w:t>
            </w:r>
            <w:r w:rsidR="00ED6C3B" w:rsidRPr="00125DC0">
              <w:rPr>
                <w:lang w:val="en-US"/>
              </w:rPr>
              <w:t>-</w:t>
            </w:r>
            <w:r w:rsidRPr="00125DC0">
              <w:rPr>
                <w:lang w:val="en-US"/>
              </w:rPr>
              <w:t xml:space="preserve">share </w:t>
            </w:r>
            <w:r w:rsidR="00ED6C3B" w:rsidRPr="00125DC0">
              <w:rPr>
                <w:lang w:val="en-US"/>
              </w:rPr>
              <w:t>proposal</w:t>
            </w:r>
            <w:r w:rsidR="007827D1" w:rsidRPr="00125DC0">
              <w:rPr>
                <w:lang w:val="en-US"/>
              </w:rPr>
              <w:t xml:space="preserve"> </w:t>
            </w:r>
            <w:r w:rsidR="00F10878" w:rsidRPr="000A0B14">
              <w:rPr>
                <w:b/>
                <w:bCs/>
                <w:lang w:val="en-US"/>
              </w:rPr>
              <w:t>redacted</w:t>
            </w:r>
            <w:r w:rsidR="00BB1BD8" w:rsidRPr="00612BEB">
              <w:rPr>
                <w:lang w:val="en-US"/>
              </w:rPr>
              <w:t>.</w:t>
            </w:r>
          </w:p>
        </w:tc>
        <w:tc>
          <w:tcPr>
            <w:tcW w:w="2487" w:type="pct"/>
            <w:tcMar>
              <w:left w:w="85" w:type="dxa"/>
              <w:right w:w="85" w:type="dxa"/>
            </w:tcMar>
          </w:tcPr>
          <w:p w14:paraId="072ECCE8" w14:textId="0E68B325" w:rsidR="00665490" w:rsidRPr="00125DC0" w:rsidRDefault="00665490" w:rsidP="005F426F">
            <w:pPr>
              <w:pStyle w:val="TableText"/>
              <w:keepNext/>
              <w:keepLines/>
              <w:rPr>
                <w:rFonts w:eastAsia="Times New Roman" w:cs="Arial"/>
                <w:lang w:val="en-US"/>
              </w:rPr>
            </w:pPr>
            <w:r w:rsidRPr="00125DC0">
              <w:rPr>
                <w:lang w:val="en-US"/>
              </w:rPr>
              <w:t xml:space="preserve">High, </w:t>
            </w:r>
            <w:proofErr w:type="spellStart"/>
            <w:r w:rsidRPr="00125DC0">
              <w:rPr>
                <w:lang w:val="en-US"/>
              </w:rPr>
              <w:t>favours</w:t>
            </w:r>
            <w:proofErr w:type="spellEnd"/>
            <w:r w:rsidRPr="00125DC0">
              <w:rPr>
                <w:lang w:val="en-US"/>
              </w:rPr>
              <w:t xml:space="preserve"> intervention</w:t>
            </w:r>
          </w:p>
          <w:p w14:paraId="6B963130" w14:textId="3365C554" w:rsidR="00750608" w:rsidRPr="00125DC0" w:rsidRDefault="00C72C31" w:rsidP="005F426F">
            <w:pPr>
              <w:pStyle w:val="TableText"/>
              <w:keepNext/>
              <w:keepLines/>
              <w:rPr>
                <w:rFonts w:eastAsia="Times New Roman" w:cs="Arial"/>
                <w:lang w:val="en-US"/>
              </w:rPr>
            </w:pPr>
            <w:r w:rsidRPr="00125DC0">
              <w:rPr>
                <w:lang w:val="en-US"/>
              </w:rPr>
              <w:t>Without the</w:t>
            </w:r>
            <w:r w:rsidR="00750608" w:rsidRPr="00125DC0">
              <w:rPr>
                <w:rFonts w:eastAsia="Times New Roman" w:cs="Arial"/>
                <w:lang w:val="en-US"/>
              </w:rPr>
              <w:t xml:space="preserve"> outcomes-based agreement </w:t>
            </w:r>
            <w:r w:rsidRPr="00125DC0">
              <w:rPr>
                <w:rFonts w:eastAsia="Times New Roman" w:cs="Arial"/>
                <w:lang w:val="en-US"/>
              </w:rPr>
              <w:t xml:space="preserve">the ICER is </w:t>
            </w:r>
            <w:r w:rsidR="00315105" w:rsidRPr="00125DC0">
              <w:rPr>
                <w:rFonts w:eastAsia="Times New Roman" w:cs="Arial"/>
                <w:lang w:val="en-US"/>
              </w:rPr>
              <w:t>in</w:t>
            </w:r>
            <w:r w:rsidR="00D80EAC" w:rsidRPr="00125DC0">
              <w:rPr>
                <w:rFonts w:eastAsia="Times New Roman" w:cs="Arial"/>
                <w:lang w:val="en-US"/>
              </w:rPr>
              <w:t>creas</w:t>
            </w:r>
            <w:r w:rsidR="00315105" w:rsidRPr="00125DC0">
              <w:rPr>
                <w:rFonts w:eastAsia="Times New Roman" w:cs="Arial"/>
                <w:lang w:val="en-US"/>
              </w:rPr>
              <w:t xml:space="preserve">ed </w:t>
            </w:r>
            <w:r w:rsidRPr="00125DC0">
              <w:rPr>
                <w:rFonts w:eastAsia="Times New Roman" w:cs="Arial"/>
                <w:lang w:val="en-US"/>
              </w:rPr>
              <w:t>b</w:t>
            </w:r>
            <w:r w:rsidR="004D324F" w:rsidRPr="00125DC0">
              <w:rPr>
                <w:rFonts w:eastAsia="Times New Roman" w:cs="Arial"/>
                <w:lang w:val="en-US"/>
              </w:rPr>
              <w:t xml:space="preserve">y </w:t>
            </w:r>
            <w:r w:rsidR="00F825F0" w:rsidRPr="00D84B66">
              <w:rPr>
                <w:rFonts w:eastAsia="Times New Roman" w:cs="Arial"/>
                <w:lang w:val="en-US"/>
              </w:rPr>
              <w:t>36</w:t>
            </w:r>
            <w:r w:rsidR="00F825F0" w:rsidRPr="00125DC0">
              <w:rPr>
                <w:rFonts w:eastAsia="Times New Roman" w:cs="Arial"/>
                <w:lang w:val="en-US"/>
              </w:rPr>
              <w:t>%</w:t>
            </w:r>
            <w:r w:rsidR="005B1EFD" w:rsidRPr="00125DC0">
              <w:rPr>
                <w:rFonts w:eastAsia="Times New Roman" w:cs="Arial"/>
                <w:lang w:val="en-US"/>
              </w:rPr>
              <w:t xml:space="preserve"> </w:t>
            </w:r>
            <w:r w:rsidR="00274D34" w:rsidRPr="00125DC0">
              <w:rPr>
                <w:rFonts w:eastAsia="Times New Roman" w:cs="Arial"/>
                <w:lang w:val="en-US"/>
              </w:rPr>
              <w:t>(</w:t>
            </w:r>
            <w:r w:rsidR="005B1EFD" w:rsidRPr="00125DC0">
              <w:rPr>
                <w:rFonts w:eastAsia="Times New Roman" w:cs="Arial"/>
                <w:lang w:val="en-US"/>
              </w:rPr>
              <w:t>but</w:t>
            </w:r>
            <w:r w:rsidRPr="00125DC0">
              <w:rPr>
                <w:rFonts w:eastAsia="Times New Roman" w:cs="Arial"/>
                <w:lang w:val="en-US"/>
              </w:rPr>
              <w:t xml:space="preserve"> remains dominant</w:t>
            </w:r>
            <w:r w:rsidR="00274D34" w:rsidRPr="00125DC0">
              <w:rPr>
                <w:rFonts w:eastAsia="Times New Roman" w:cs="Arial"/>
                <w:lang w:val="en-US"/>
              </w:rPr>
              <w:t>)</w:t>
            </w:r>
            <w:r w:rsidR="004D324F" w:rsidRPr="00125DC0">
              <w:rPr>
                <w:rFonts w:eastAsia="Times New Roman" w:cs="Arial"/>
                <w:lang w:val="en-US"/>
              </w:rPr>
              <w:t>.</w:t>
            </w:r>
            <w:r w:rsidR="00750608" w:rsidRPr="00125DC0">
              <w:rPr>
                <w:rFonts w:eastAsia="Times New Roman" w:cs="Arial"/>
                <w:lang w:val="en-US"/>
              </w:rPr>
              <w:t xml:space="preserve"> </w:t>
            </w:r>
          </w:p>
          <w:p w14:paraId="60F0830A" w14:textId="56D816ED" w:rsidR="00AE73BB" w:rsidRPr="00125DC0" w:rsidRDefault="00B019CD" w:rsidP="005F426F">
            <w:pPr>
              <w:pStyle w:val="TableText"/>
              <w:keepNext/>
              <w:keepLines/>
              <w:rPr>
                <w:lang w:val="en-US"/>
              </w:rPr>
            </w:pPr>
            <w:r w:rsidRPr="00125DC0">
              <w:rPr>
                <w:lang w:val="en-US"/>
              </w:rPr>
              <w:t>A</w:t>
            </w:r>
            <w:r w:rsidR="00AE73BB" w:rsidRPr="00125DC0">
              <w:rPr>
                <w:lang w:val="en-US"/>
              </w:rPr>
              <w:t xml:space="preserve"> </w:t>
            </w:r>
            <w:r w:rsidR="005F39D0" w:rsidRPr="00125DC0">
              <w:rPr>
                <w:lang w:val="en-US"/>
              </w:rPr>
              <w:t>single upfront payment</w:t>
            </w:r>
            <w:r w:rsidR="004147F7" w:rsidRPr="00125DC0">
              <w:rPr>
                <w:lang w:val="en-US"/>
              </w:rPr>
              <w:t xml:space="preserve"> results in an ICER of</w:t>
            </w:r>
            <w:r w:rsidR="005F39D0" w:rsidRPr="00125DC0">
              <w:rPr>
                <w:lang w:val="en-US"/>
              </w:rPr>
              <w:t xml:space="preserve"> </w:t>
            </w:r>
            <w:r w:rsidR="004147F7" w:rsidRPr="00125DC0">
              <w:rPr>
                <w:lang w:val="en-US"/>
              </w:rPr>
              <w:t>$</w:t>
            </w:r>
            <w:r w:rsidR="00125DC0" w:rsidRPr="00D84B66">
              <w:rPr>
                <w:lang w:val="en-US"/>
              </w:rPr>
              <w:t>redacted</w:t>
            </w:r>
            <w:r w:rsidR="00C42D75" w:rsidRPr="00125DC0">
              <w:rPr>
                <w:lang w:val="en-US"/>
              </w:rPr>
              <w:t xml:space="preserve"> and the intervention is no longer dominant over the 15-year time horizon</w:t>
            </w:r>
            <w:r w:rsidR="009F6C4A" w:rsidRPr="00125DC0">
              <w:rPr>
                <w:lang w:val="en-US"/>
              </w:rPr>
              <w:t>.</w:t>
            </w:r>
          </w:p>
        </w:tc>
      </w:tr>
      <w:tr w:rsidR="00886DD7" w:rsidRPr="00750608" w14:paraId="3BBE7A61" w14:textId="77777777" w:rsidTr="000D0C9F">
        <w:tc>
          <w:tcPr>
            <w:tcW w:w="705" w:type="pct"/>
            <w:tcMar>
              <w:left w:w="85" w:type="dxa"/>
              <w:right w:w="85" w:type="dxa"/>
            </w:tcMar>
          </w:tcPr>
          <w:p w14:paraId="6625EF93" w14:textId="22239F73" w:rsidR="00886DD7" w:rsidRPr="00750608" w:rsidRDefault="00886DD7" w:rsidP="005F426F">
            <w:pPr>
              <w:pStyle w:val="TableText"/>
              <w:keepNext/>
              <w:keepLines/>
              <w:rPr>
                <w:lang w:val="en-US"/>
              </w:rPr>
            </w:pPr>
            <w:r>
              <w:rPr>
                <w:lang w:val="en-US"/>
              </w:rPr>
              <w:t>Cost of the comparator</w:t>
            </w:r>
          </w:p>
        </w:tc>
        <w:tc>
          <w:tcPr>
            <w:tcW w:w="1808" w:type="pct"/>
            <w:tcMar>
              <w:left w:w="85" w:type="dxa"/>
              <w:right w:w="85" w:type="dxa"/>
            </w:tcMar>
          </w:tcPr>
          <w:p w14:paraId="5864CDB7" w14:textId="3AF4757D" w:rsidR="00886DD7" w:rsidRPr="00125DC0" w:rsidRDefault="00886DD7" w:rsidP="005F426F">
            <w:pPr>
              <w:pStyle w:val="TableText"/>
              <w:keepNext/>
              <w:keepLines/>
              <w:rPr>
                <w:lang w:val="en-US"/>
              </w:rPr>
            </w:pPr>
            <w:r w:rsidRPr="00125DC0">
              <w:rPr>
                <w:lang w:val="en-US"/>
              </w:rPr>
              <w:t xml:space="preserve">Extended half-life FIX </w:t>
            </w:r>
            <w:r w:rsidR="00495E1D" w:rsidRPr="00125DC0">
              <w:rPr>
                <w:lang w:val="en-US"/>
              </w:rPr>
              <w:t xml:space="preserve">price of </w:t>
            </w:r>
            <w:r w:rsidR="00C53ADC" w:rsidRPr="00125DC0">
              <w:rPr>
                <w:lang w:val="en-US"/>
              </w:rPr>
              <w:t>$</w:t>
            </w:r>
            <w:r w:rsidR="00125DC0" w:rsidRPr="00D84B66">
              <w:rPr>
                <w:b/>
                <w:bCs/>
                <w:lang w:val="en-US"/>
              </w:rPr>
              <w:t>redacted</w:t>
            </w:r>
            <w:r w:rsidR="003D15B4" w:rsidRPr="00125DC0">
              <w:rPr>
                <w:lang w:val="en-US"/>
              </w:rPr>
              <w:t xml:space="preserve"> per IU.</w:t>
            </w:r>
          </w:p>
        </w:tc>
        <w:tc>
          <w:tcPr>
            <w:tcW w:w="2487" w:type="pct"/>
            <w:tcMar>
              <w:left w:w="85" w:type="dxa"/>
              <w:right w:w="85" w:type="dxa"/>
            </w:tcMar>
          </w:tcPr>
          <w:p w14:paraId="0D4AFFC4" w14:textId="56FAAA53" w:rsidR="00886DD7" w:rsidRPr="00125DC0" w:rsidRDefault="0083174A" w:rsidP="005F426F">
            <w:pPr>
              <w:pStyle w:val="TableText"/>
              <w:keepNext/>
              <w:keepLines/>
              <w:rPr>
                <w:rFonts w:eastAsia="Times New Roman" w:cs="Arial"/>
                <w:lang w:val="en-US"/>
              </w:rPr>
            </w:pPr>
            <w:r w:rsidRPr="00125DC0">
              <w:rPr>
                <w:lang w:val="en-US"/>
              </w:rPr>
              <w:t>High</w:t>
            </w:r>
            <w:r w:rsidR="003D15B4" w:rsidRPr="00125DC0">
              <w:rPr>
                <w:rFonts w:eastAsia="Times New Roman" w:cs="Arial"/>
                <w:lang w:val="en-US"/>
              </w:rPr>
              <w:t xml:space="preserve">, </w:t>
            </w:r>
            <w:proofErr w:type="spellStart"/>
            <w:r w:rsidR="003D15B4" w:rsidRPr="00125DC0">
              <w:rPr>
                <w:rFonts w:eastAsia="Times New Roman" w:cs="Arial"/>
                <w:lang w:val="en-US"/>
              </w:rPr>
              <w:t>favours</w:t>
            </w:r>
            <w:proofErr w:type="spellEnd"/>
            <w:r w:rsidR="003D15B4" w:rsidRPr="00125DC0">
              <w:rPr>
                <w:rFonts w:eastAsia="Times New Roman" w:cs="Arial"/>
                <w:lang w:val="en-US"/>
              </w:rPr>
              <w:t xml:space="preserve"> intervention</w:t>
            </w:r>
          </w:p>
          <w:p w14:paraId="2E34D43A" w14:textId="4F4C0BC2" w:rsidR="003D15B4" w:rsidRPr="00125DC0" w:rsidRDefault="003D15B4" w:rsidP="005F426F">
            <w:pPr>
              <w:pStyle w:val="TableText"/>
              <w:keepNext/>
              <w:keepLines/>
              <w:rPr>
                <w:lang w:val="en-US"/>
              </w:rPr>
            </w:pPr>
            <w:r w:rsidRPr="00125DC0">
              <w:rPr>
                <w:lang w:val="en-US"/>
              </w:rPr>
              <w:t xml:space="preserve">A price reduction of </w:t>
            </w:r>
            <w:r w:rsidR="00D62C6F" w:rsidRPr="00125DC0">
              <w:rPr>
                <w:lang w:val="en-US"/>
              </w:rPr>
              <w:t xml:space="preserve">25% </w:t>
            </w:r>
            <w:r w:rsidR="00912B51" w:rsidRPr="00125DC0">
              <w:rPr>
                <w:lang w:val="en-US"/>
              </w:rPr>
              <w:t xml:space="preserve">increased the </w:t>
            </w:r>
            <w:r w:rsidR="00221468" w:rsidRPr="00125DC0">
              <w:rPr>
                <w:lang w:val="en-US"/>
              </w:rPr>
              <w:t xml:space="preserve">ICER to </w:t>
            </w:r>
            <w:r w:rsidR="005411E4" w:rsidRPr="00125DC0">
              <w:rPr>
                <w:lang w:val="en-US"/>
              </w:rPr>
              <w:t>$</w:t>
            </w:r>
            <w:r w:rsidR="00125DC0" w:rsidRPr="00D84B66">
              <w:rPr>
                <w:b/>
                <w:bCs/>
                <w:lang w:val="en-US"/>
              </w:rPr>
              <w:t>redacted</w:t>
            </w:r>
            <w:r w:rsidR="001F5A9E" w:rsidRPr="00125DC0">
              <w:rPr>
                <w:lang w:val="en-US"/>
              </w:rPr>
              <w:t xml:space="preserve"> and the intervention is no longer dominant over the 15-year time horizon.</w:t>
            </w:r>
          </w:p>
        </w:tc>
      </w:tr>
      <w:tr w:rsidR="0087778F" w:rsidRPr="00750608" w14:paraId="5562FF15" w14:textId="77777777" w:rsidTr="000D0C9F">
        <w:tc>
          <w:tcPr>
            <w:tcW w:w="705" w:type="pct"/>
            <w:tcMar>
              <w:left w:w="85" w:type="dxa"/>
              <w:right w:w="85" w:type="dxa"/>
            </w:tcMar>
          </w:tcPr>
          <w:p w14:paraId="4C67A110" w14:textId="78DAEC3A" w:rsidR="0087778F" w:rsidRDefault="00E4580A" w:rsidP="005F426F">
            <w:pPr>
              <w:pStyle w:val="TableText"/>
              <w:keepNext/>
              <w:keepLines/>
              <w:rPr>
                <w:lang w:val="en-US"/>
              </w:rPr>
            </w:pPr>
            <w:r>
              <w:rPr>
                <w:lang w:val="en-US"/>
              </w:rPr>
              <w:t>E</w:t>
            </w:r>
            <w:r w:rsidR="009B71EF">
              <w:rPr>
                <w:lang w:val="en-US"/>
              </w:rPr>
              <w:t>vent</w:t>
            </w:r>
            <w:r w:rsidR="004628FA">
              <w:rPr>
                <w:lang w:val="en-US"/>
              </w:rPr>
              <w:t>-</w:t>
            </w:r>
            <w:r>
              <w:rPr>
                <w:lang w:val="en-US"/>
              </w:rPr>
              <w:t xml:space="preserve">based </w:t>
            </w:r>
            <w:r w:rsidR="00580888">
              <w:rPr>
                <w:lang w:val="en-US"/>
              </w:rPr>
              <w:t xml:space="preserve">utility </w:t>
            </w:r>
            <w:r w:rsidR="009B71EF">
              <w:rPr>
                <w:lang w:val="en-US"/>
              </w:rPr>
              <w:t>decrements</w:t>
            </w:r>
          </w:p>
        </w:tc>
        <w:tc>
          <w:tcPr>
            <w:tcW w:w="1808" w:type="pct"/>
            <w:tcMar>
              <w:left w:w="85" w:type="dxa"/>
              <w:right w:w="85" w:type="dxa"/>
            </w:tcMar>
          </w:tcPr>
          <w:p w14:paraId="3E9ACE69" w14:textId="45D7A225" w:rsidR="0087778F" w:rsidRPr="00125DC0" w:rsidRDefault="007A30C8" w:rsidP="005F426F">
            <w:pPr>
              <w:pStyle w:val="TableText"/>
              <w:keepNext/>
              <w:keepLines/>
              <w:rPr>
                <w:lang w:val="en-US"/>
              </w:rPr>
            </w:pPr>
            <w:r w:rsidRPr="00125DC0">
              <w:rPr>
                <w:lang w:val="en-US"/>
              </w:rPr>
              <w:t xml:space="preserve">QALY decrements </w:t>
            </w:r>
            <w:r w:rsidR="00B809D4" w:rsidRPr="00125DC0">
              <w:rPr>
                <w:lang w:val="en-US"/>
              </w:rPr>
              <w:t xml:space="preserve">decreased to </w:t>
            </w:r>
            <w:r w:rsidR="003B40F5" w:rsidRPr="00125DC0">
              <w:rPr>
                <w:lang w:val="en-US"/>
              </w:rPr>
              <w:t>-0.001 for all events (</w:t>
            </w:r>
            <w:r w:rsidR="005F0E80" w:rsidRPr="00125DC0">
              <w:rPr>
                <w:lang w:val="en-US"/>
              </w:rPr>
              <w:t>joi</w:t>
            </w:r>
            <w:r w:rsidR="001204A4" w:rsidRPr="00125DC0">
              <w:rPr>
                <w:lang w:val="en-US"/>
              </w:rPr>
              <w:t>nt</w:t>
            </w:r>
            <w:r w:rsidR="005F0E80" w:rsidRPr="00125DC0">
              <w:rPr>
                <w:lang w:val="en-US"/>
              </w:rPr>
              <w:t xml:space="preserve"> and non</w:t>
            </w:r>
            <w:r w:rsidR="001204A4" w:rsidRPr="00125DC0">
              <w:rPr>
                <w:lang w:val="en-US"/>
              </w:rPr>
              <w:t xml:space="preserve">-joint </w:t>
            </w:r>
            <w:r w:rsidR="003B40F5" w:rsidRPr="00125DC0">
              <w:rPr>
                <w:lang w:val="en-US"/>
              </w:rPr>
              <w:t>bleed</w:t>
            </w:r>
            <w:r w:rsidR="001204A4" w:rsidRPr="00125DC0">
              <w:rPr>
                <w:lang w:val="en-US"/>
              </w:rPr>
              <w:t>s</w:t>
            </w:r>
            <w:r w:rsidR="003B40F5" w:rsidRPr="00125DC0">
              <w:rPr>
                <w:lang w:val="en-US"/>
              </w:rPr>
              <w:t xml:space="preserve">, joint </w:t>
            </w:r>
            <w:r w:rsidR="005F0E80" w:rsidRPr="00125DC0">
              <w:rPr>
                <w:lang w:val="en-US"/>
              </w:rPr>
              <w:t>replacement,</w:t>
            </w:r>
            <w:r w:rsidR="003B40F5" w:rsidRPr="00125DC0">
              <w:rPr>
                <w:lang w:val="en-US"/>
              </w:rPr>
              <w:t xml:space="preserve"> and SAEs)</w:t>
            </w:r>
          </w:p>
        </w:tc>
        <w:tc>
          <w:tcPr>
            <w:tcW w:w="2487" w:type="pct"/>
            <w:tcMar>
              <w:left w:w="85" w:type="dxa"/>
              <w:right w:w="85" w:type="dxa"/>
            </w:tcMar>
          </w:tcPr>
          <w:p w14:paraId="17C188B1" w14:textId="58BCC378" w:rsidR="0087778F" w:rsidRPr="00125DC0" w:rsidRDefault="003B40F5" w:rsidP="005F426F">
            <w:pPr>
              <w:pStyle w:val="TableText"/>
              <w:keepNext/>
              <w:keepLines/>
              <w:rPr>
                <w:lang w:val="en-US"/>
              </w:rPr>
            </w:pPr>
            <w:r w:rsidRPr="00125DC0">
              <w:rPr>
                <w:lang w:val="en-US"/>
              </w:rPr>
              <w:t>High</w:t>
            </w:r>
          </w:p>
          <w:p w14:paraId="53ED65B0" w14:textId="336BF907" w:rsidR="003B40F5" w:rsidRPr="00125DC0" w:rsidRDefault="0083366E" w:rsidP="005F426F">
            <w:pPr>
              <w:pStyle w:val="TableText"/>
              <w:keepNext/>
              <w:keepLines/>
              <w:rPr>
                <w:lang w:val="en-US"/>
              </w:rPr>
            </w:pPr>
            <w:r w:rsidRPr="00125DC0">
              <w:rPr>
                <w:lang w:val="en-US"/>
              </w:rPr>
              <w:t>Joint and non-joint bleed</w:t>
            </w:r>
            <w:r w:rsidR="003F558E" w:rsidRPr="00125DC0">
              <w:rPr>
                <w:lang w:val="en-US"/>
              </w:rPr>
              <w:t xml:space="preserve"> rates</w:t>
            </w:r>
            <w:r w:rsidRPr="00125DC0">
              <w:rPr>
                <w:lang w:val="en-US"/>
              </w:rPr>
              <w:t xml:space="preserve"> differ between arms. </w:t>
            </w:r>
            <w:r w:rsidR="00A47552" w:rsidRPr="00125DC0">
              <w:rPr>
                <w:lang w:val="en-US"/>
              </w:rPr>
              <w:t>A smaller</w:t>
            </w:r>
            <w:r w:rsidR="003B40F5" w:rsidRPr="00125DC0">
              <w:rPr>
                <w:lang w:val="en-US"/>
              </w:rPr>
              <w:t xml:space="preserve"> QALY decrement </w:t>
            </w:r>
            <w:r w:rsidR="0044142E" w:rsidRPr="00125DC0">
              <w:rPr>
                <w:lang w:val="en-US"/>
              </w:rPr>
              <w:t xml:space="preserve">leads to a smaller overall QALY </w:t>
            </w:r>
            <w:r w:rsidR="00EC729E" w:rsidRPr="00125DC0">
              <w:rPr>
                <w:lang w:val="en-US"/>
              </w:rPr>
              <w:t>difference,</w:t>
            </w:r>
            <w:r w:rsidR="00C93A55" w:rsidRPr="00125DC0">
              <w:rPr>
                <w:lang w:val="en-US"/>
              </w:rPr>
              <w:t xml:space="preserve"> and the smaller denominator leads to a more negative ICER</w:t>
            </w:r>
            <w:r w:rsidR="00D26920" w:rsidRPr="00125DC0">
              <w:rPr>
                <w:lang w:val="en-US"/>
              </w:rPr>
              <w:t xml:space="preserve"> (</w:t>
            </w:r>
            <w:r w:rsidR="000C3724" w:rsidRPr="00125DC0">
              <w:rPr>
                <w:lang w:val="en-US"/>
              </w:rPr>
              <w:t>-$</w:t>
            </w:r>
            <w:r w:rsidR="00125DC0" w:rsidRPr="00D84B66">
              <w:rPr>
                <w:b/>
                <w:bCs/>
                <w:lang w:val="en-US"/>
              </w:rPr>
              <w:t>redacted</w:t>
            </w:r>
            <w:r w:rsidR="00D847EE" w:rsidRPr="00125DC0">
              <w:rPr>
                <w:lang w:val="en-US"/>
              </w:rPr>
              <w:t>)</w:t>
            </w:r>
            <w:r w:rsidR="00EC729E" w:rsidRPr="00125DC0">
              <w:rPr>
                <w:lang w:val="en-US"/>
              </w:rPr>
              <w:t>.</w:t>
            </w:r>
            <w:r w:rsidR="00A616A3" w:rsidRPr="00125DC0">
              <w:rPr>
                <w:lang w:val="en-US"/>
              </w:rPr>
              <w:t xml:space="preserve"> </w:t>
            </w:r>
          </w:p>
        </w:tc>
      </w:tr>
    </w:tbl>
    <w:p w14:paraId="31441D06" w14:textId="66EEB3E6" w:rsidR="00750608" w:rsidRDefault="00D654C5" w:rsidP="005F426F">
      <w:pPr>
        <w:pStyle w:val="Tablenotes"/>
        <w:keepNext/>
        <w:keepLines/>
        <w:rPr>
          <w:lang w:eastAsia="en-AU"/>
        </w:rPr>
      </w:pPr>
      <w:r>
        <w:rPr>
          <w:lang w:eastAsia="en-AU"/>
        </w:rPr>
        <w:t xml:space="preserve">FIX = Factor IX; </w:t>
      </w:r>
      <w:r w:rsidR="00750608" w:rsidRPr="00750608">
        <w:rPr>
          <w:lang w:eastAsia="en-AU"/>
        </w:rPr>
        <w:t xml:space="preserve">ICER = incremental cost-effectiveness ratio; </w:t>
      </w:r>
      <w:r>
        <w:rPr>
          <w:lang w:eastAsia="en-AU"/>
        </w:rPr>
        <w:t xml:space="preserve">IU = international unit; </w:t>
      </w:r>
      <w:r w:rsidR="00750608" w:rsidRPr="00750608">
        <w:rPr>
          <w:lang w:eastAsia="en-AU"/>
        </w:rPr>
        <w:t>QALY = quality-adjusted life year</w:t>
      </w:r>
      <w:r w:rsidR="000E1F4A">
        <w:rPr>
          <w:lang w:eastAsia="en-AU"/>
        </w:rPr>
        <w:t>; SAE = serious adverse event</w:t>
      </w:r>
      <w:r w:rsidR="00750608" w:rsidRPr="00750608">
        <w:rPr>
          <w:lang w:eastAsia="en-AU"/>
        </w:rPr>
        <w:t xml:space="preserve">. </w:t>
      </w:r>
    </w:p>
    <w:p w14:paraId="176D358E" w14:textId="79E36FBF" w:rsidR="002448BA" w:rsidRPr="00750608" w:rsidRDefault="002448BA" w:rsidP="005F426F">
      <w:pPr>
        <w:pStyle w:val="Tablenotes"/>
        <w:keepNext/>
        <w:keepLines/>
        <w:rPr>
          <w:lang w:eastAsia="en-AU"/>
        </w:rPr>
      </w:pPr>
      <w:r>
        <w:rPr>
          <w:lang w:eastAsia="en-AU"/>
        </w:rPr>
        <w:t xml:space="preserve">Source: </w:t>
      </w:r>
      <w:r w:rsidR="00E95FAA">
        <w:rPr>
          <w:lang w:eastAsia="en-AU"/>
        </w:rPr>
        <w:t>C</w:t>
      </w:r>
      <w:r>
        <w:rPr>
          <w:lang w:eastAsia="en-AU"/>
        </w:rPr>
        <w:t>ompiled for the executive summary</w:t>
      </w:r>
      <w:r w:rsidR="00E95FAA">
        <w:rPr>
          <w:lang w:eastAsia="en-AU"/>
        </w:rPr>
        <w:t>.</w:t>
      </w:r>
    </w:p>
    <w:p w14:paraId="1C4E6B9D" w14:textId="7221CB97" w:rsidR="00CD552B" w:rsidRDefault="00006737" w:rsidP="00CD552B">
      <w:pPr>
        <w:pStyle w:val="Heading3"/>
      </w:pPr>
      <w:r>
        <w:t>Sensitivity analysis</w:t>
      </w:r>
    </w:p>
    <w:p w14:paraId="56EB7C23" w14:textId="67B574F1" w:rsidR="00610ABA" w:rsidRDefault="008B5B67" w:rsidP="00330A0A">
      <w:r w:rsidRPr="00CE28E3">
        <w:t xml:space="preserve">The results of </w:t>
      </w:r>
      <w:r w:rsidRPr="00585D8F">
        <w:t xml:space="preserve">key </w:t>
      </w:r>
      <w:r w:rsidRPr="00585D8F">
        <w:rPr>
          <w:rStyle w:val="InstructionaltextChar"/>
          <w:color w:val="auto"/>
        </w:rPr>
        <w:t>univariate</w:t>
      </w:r>
      <w:r w:rsidR="00585D8F" w:rsidRPr="00585D8F">
        <w:rPr>
          <w:rStyle w:val="InstructionaltextChar"/>
          <w:color w:val="auto"/>
        </w:rPr>
        <w:t xml:space="preserve"> </w:t>
      </w:r>
      <w:r w:rsidRPr="00585D8F">
        <w:t>sensitivity</w:t>
      </w:r>
      <w:r w:rsidRPr="00CE28E3">
        <w:t xml:space="preserve"> analyses are summarised </w:t>
      </w:r>
      <w:r w:rsidR="002B0047">
        <w:t>in</w:t>
      </w:r>
      <w:r w:rsidR="009D4E4C">
        <w:t xml:space="preserve"> </w:t>
      </w:r>
      <w:r w:rsidR="009D4E4C">
        <w:fldChar w:fldCharType="begin"/>
      </w:r>
      <w:r w:rsidR="009D4E4C">
        <w:instrText xml:space="preserve"> REF _Ref207986596 \h </w:instrText>
      </w:r>
      <w:r w:rsidR="009D4E4C">
        <w:fldChar w:fldCharType="separate"/>
      </w:r>
      <w:r w:rsidR="009D4E4C">
        <w:t xml:space="preserve">Table </w:t>
      </w:r>
      <w:r w:rsidR="009D4E4C">
        <w:rPr>
          <w:noProof/>
        </w:rPr>
        <w:t>15</w:t>
      </w:r>
      <w:r w:rsidR="009D4E4C">
        <w:fldChar w:fldCharType="end"/>
      </w:r>
      <w:r w:rsidRPr="00CE28E3">
        <w:t>.</w:t>
      </w:r>
    </w:p>
    <w:p w14:paraId="4A503D89" w14:textId="3A8293E9" w:rsidR="005C1942" w:rsidRPr="00125DC0" w:rsidRDefault="002448BA" w:rsidP="00E82030">
      <w:r>
        <w:t>The mode</w:t>
      </w:r>
      <w:r w:rsidR="005C1942">
        <w:t>l</w:t>
      </w:r>
      <w:r>
        <w:t xml:space="preserve"> was highly sensitive to the time horizon employed</w:t>
      </w:r>
      <w:r w:rsidR="00656867">
        <w:t xml:space="preserve"> with the threshold for dominance between 11 and 12 years</w:t>
      </w:r>
      <w:r w:rsidR="008C7A00">
        <w:t xml:space="preserve">. The commentary considered the </w:t>
      </w:r>
      <w:r w:rsidR="00E82030">
        <w:t>10-year</w:t>
      </w:r>
      <w:r w:rsidR="008C7A00">
        <w:t xml:space="preserve"> time horizon critical </w:t>
      </w:r>
      <w:r w:rsidR="00F10878" w:rsidRPr="00F10878">
        <w:rPr>
          <w:b/>
          <w:bCs/>
        </w:rPr>
        <w:t>redacted</w:t>
      </w:r>
      <w:r w:rsidR="008C7A00">
        <w:t xml:space="preserve">. </w:t>
      </w:r>
      <w:r w:rsidR="00F54C17" w:rsidRPr="00B72007">
        <w:t>The high ICER</w:t>
      </w:r>
      <w:r w:rsidR="00F54C17">
        <w:t xml:space="preserve"> of</w:t>
      </w:r>
      <w:r w:rsidR="008518D7">
        <w:t xml:space="preserve"> </w:t>
      </w:r>
      <w:r w:rsidR="00F54C17" w:rsidRPr="00F54C17">
        <w:t>$</w:t>
      </w:r>
      <w:r w:rsidR="001E4FF7" w:rsidRPr="00D84B66">
        <w:rPr>
          <w:b/>
          <w:bCs/>
        </w:rPr>
        <w:t>redacted</w:t>
      </w:r>
      <w:r w:rsidR="00F54C17" w:rsidRPr="00B72007">
        <w:t xml:space="preserve"> </w:t>
      </w:r>
      <w:r w:rsidR="008764C2">
        <w:t>over</w:t>
      </w:r>
      <w:r w:rsidR="00E77090">
        <w:t xml:space="preserve"> a 10-year horizon </w:t>
      </w:r>
      <w:r w:rsidR="00F54C17">
        <w:t>is</w:t>
      </w:r>
      <w:r w:rsidR="00F54C17" w:rsidRPr="00B72007">
        <w:t xml:space="preserve"> driven by the high costs for </w:t>
      </w:r>
      <w:r w:rsidR="00D71318">
        <w:t>ED</w:t>
      </w:r>
      <w:r w:rsidR="00F54C17" w:rsidRPr="00B72007">
        <w:t xml:space="preserve">, the relatively high ongoing costs for FIX and the relatively small QALY difference in relation to these costs. </w:t>
      </w:r>
      <w:r w:rsidR="00E82030">
        <w:t xml:space="preserve">Under the base case, the price of </w:t>
      </w:r>
      <w:r w:rsidR="00D71318">
        <w:t xml:space="preserve">ED </w:t>
      </w:r>
      <w:r w:rsidR="00E82030" w:rsidRPr="00125DC0">
        <w:t>needs to be reduced to approximately $</w:t>
      </w:r>
      <w:r w:rsidR="001E4FF7" w:rsidRPr="00125DC0">
        <w:rPr>
          <w:b/>
          <w:bCs/>
        </w:rPr>
        <w:t>redacted</w:t>
      </w:r>
      <w:r w:rsidR="001E4FF7" w:rsidRPr="00125DC0">
        <w:t xml:space="preserve"> </w:t>
      </w:r>
      <w:r w:rsidR="00E82030" w:rsidRPr="00125DC0">
        <w:t xml:space="preserve">to reach dominance in a 10-year time horizon </w:t>
      </w:r>
      <w:r w:rsidR="001E4FF7" w:rsidRPr="00D84B66">
        <w:rPr>
          <w:b/>
          <w:bCs/>
        </w:rPr>
        <w:t>redacted</w:t>
      </w:r>
      <w:r w:rsidR="00E82030" w:rsidRPr="00D84B66">
        <w:t>.</w:t>
      </w:r>
      <w:r w:rsidR="00770DB4" w:rsidRPr="00125DC0">
        <w:t xml:space="preserve"> </w:t>
      </w:r>
      <w:r w:rsidR="005C1942" w:rsidRPr="00125DC0">
        <w:t xml:space="preserve">The model is also sensitive to assumptions around </w:t>
      </w:r>
      <w:r w:rsidR="00322AD7" w:rsidRPr="00125DC0">
        <w:t>FIX price.</w:t>
      </w:r>
    </w:p>
    <w:p w14:paraId="73E76977" w14:textId="2C301C65" w:rsidR="004C038C" w:rsidRDefault="00AE6D19" w:rsidP="00E82030">
      <w:r w:rsidRPr="00125DC0">
        <w:t>Sensitivity analysis was undertaken to explore the impact</w:t>
      </w:r>
      <w:r w:rsidR="00C65D3B" w:rsidRPr="00125DC0">
        <w:t xml:space="preserve"> of a loss of treatment effect across the entire cohort after 4 years (the duration of follow</w:t>
      </w:r>
      <w:r w:rsidR="00AB213D" w:rsidRPr="00125DC0">
        <w:t xml:space="preserve"> </w:t>
      </w:r>
      <w:r w:rsidR="00C65D3B" w:rsidRPr="00125DC0">
        <w:t xml:space="preserve">up in </w:t>
      </w:r>
      <w:r w:rsidR="00821D9F" w:rsidRPr="00125DC0">
        <w:t xml:space="preserve">the </w:t>
      </w:r>
      <w:r w:rsidR="00C65D3B" w:rsidRPr="00125DC0">
        <w:t>HOPE-B</w:t>
      </w:r>
      <w:r w:rsidR="00821D9F" w:rsidRPr="00125DC0">
        <w:t xml:space="preserve"> study</w:t>
      </w:r>
      <w:r w:rsidR="00C65D3B" w:rsidRPr="00125DC0">
        <w:t>) and after 10 years</w:t>
      </w:r>
      <w:r w:rsidR="001E4FF7" w:rsidRPr="00D84B66">
        <w:t xml:space="preserve"> </w:t>
      </w:r>
      <w:r w:rsidR="001E4FF7" w:rsidRPr="00D84B66">
        <w:rPr>
          <w:b/>
          <w:bCs/>
        </w:rPr>
        <w:t>redacted</w:t>
      </w:r>
      <w:r w:rsidR="00C65D3B" w:rsidRPr="00D84B66">
        <w:t>.</w:t>
      </w:r>
      <w:r w:rsidRPr="00125DC0">
        <w:t xml:space="preserve"> </w:t>
      </w:r>
      <w:r w:rsidR="001A0253" w:rsidRPr="00125DC0">
        <w:t>Analyses assuming loss of treatment effect at 4 years counter-intuitively resulted in increased cost-utility (</w:t>
      </w:r>
      <w:r w:rsidR="00F062D0" w:rsidRPr="00125DC0">
        <w:t>ICER of -</w:t>
      </w:r>
      <w:r w:rsidR="0041691D" w:rsidRPr="00125DC0">
        <w:t> </w:t>
      </w:r>
      <w:r w:rsidR="00F062D0" w:rsidRPr="00D84B66">
        <w:rPr>
          <w:b/>
          <w:bCs/>
        </w:rPr>
        <w:t>$</w:t>
      </w:r>
      <w:r w:rsidR="00125DC0" w:rsidRPr="00D84B66">
        <w:rPr>
          <w:b/>
          <w:bCs/>
        </w:rPr>
        <w:t>redacted</w:t>
      </w:r>
      <w:r w:rsidR="00F062D0" w:rsidRPr="004E5848">
        <w:t>)</w:t>
      </w:r>
      <w:r w:rsidR="00F062D0" w:rsidRPr="00125DC0">
        <w:t xml:space="preserve"> </w:t>
      </w:r>
      <w:r w:rsidR="001A0253" w:rsidRPr="00125DC0">
        <w:t>compared with loss of treatment effect at 10 years</w:t>
      </w:r>
      <w:r w:rsidR="00F062D0" w:rsidRPr="00125DC0">
        <w:t xml:space="preserve"> (ICER of </w:t>
      </w:r>
      <w:r w:rsidR="009839B8" w:rsidRPr="00125DC0">
        <w:t>$</w:t>
      </w:r>
      <w:r w:rsidR="00125DC0" w:rsidRPr="00D84B66">
        <w:rPr>
          <w:b/>
          <w:bCs/>
        </w:rPr>
        <w:t>redacted</w:t>
      </w:r>
      <w:r w:rsidR="009839B8" w:rsidRPr="00125DC0">
        <w:t>)</w:t>
      </w:r>
      <w:r w:rsidR="001A0253" w:rsidRPr="00125DC0">
        <w:t xml:space="preserve"> because the </w:t>
      </w:r>
      <w:r w:rsidR="00125DC0" w:rsidRPr="00D84B66">
        <w:rPr>
          <w:b/>
          <w:bCs/>
        </w:rPr>
        <w:t>redacted</w:t>
      </w:r>
      <w:r w:rsidR="001A0253" w:rsidRPr="00125DC0">
        <w:t>.</w:t>
      </w:r>
    </w:p>
    <w:p w14:paraId="2D12DDD1" w14:textId="72322F95" w:rsidR="00D57D35" w:rsidRDefault="002910B3" w:rsidP="00330A0A">
      <w:r>
        <w:rPr>
          <w:rFonts w:eastAsia="Times New Roman" w:cs="Arial"/>
          <w:color w:val="000000" w:themeColor="text1"/>
        </w:rPr>
        <w:t>The model was very sensitive to the event</w:t>
      </w:r>
      <w:r w:rsidR="00821D9F">
        <w:rPr>
          <w:rFonts w:eastAsia="Times New Roman" w:cs="Arial"/>
          <w:color w:val="000000" w:themeColor="text1"/>
        </w:rPr>
        <w:t>-</w:t>
      </w:r>
      <w:r>
        <w:rPr>
          <w:rFonts w:eastAsia="Times New Roman" w:cs="Arial"/>
          <w:color w:val="000000" w:themeColor="text1"/>
        </w:rPr>
        <w:t>based utility decrements applied for bleeds</w:t>
      </w:r>
      <w:r w:rsidR="007C14E4">
        <w:rPr>
          <w:rFonts w:eastAsia="Times New Roman" w:cs="Arial"/>
          <w:color w:val="000000" w:themeColor="text1"/>
        </w:rPr>
        <w:t>,</w:t>
      </w:r>
      <w:r>
        <w:rPr>
          <w:rFonts w:eastAsia="Times New Roman" w:cs="Arial"/>
          <w:color w:val="000000" w:themeColor="text1"/>
        </w:rPr>
        <w:t xml:space="preserve"> joint bleeds</w:t>
      </w:r>
      <w:r w:rsidR="00BB148A">
        <w:rPr>
          <w:rFonts w:eastAsia="Times New Roman" w:cs="Arial"/>
          <w:color w:val="000000" w:themeColor="text1"/>
        </w:rPr>
        <w:t>, joint surgery and SAEs and removal of these decrements result</w:t>
      </w:r>
      <w:r w:rsidR="00180103">
        <w:rPr>
          <w:rFonts w:eastAsia="Times New Roman" w:cs="Arial"/>
          <w:color w:val="000000" w:themeColor="text1"/>
        </w:rPr>
        <w:t>ed</w:t>
      </w:r>
      <w:r w:rsidR="00BB148A">
        <w:rPr>
          <w:rFonts w:eastAsia="Times New Roman" w:cs="Arial"/>
          <w:color w:val="000000" w:themeColor="text1"/>
        </w:rPr>
        <w:t xml:space="preserve"> in no difference in QALYs between intervention and comparator.</w:t>
      </w:r>
      <w:r w:rsidR="00C821FA">
        <w:rPr>
          <w:rFonts w:eastAsia="Times New Roman" w:cs="Arial"/>
          <w:color w:val="000000" w:themeColor="text1"/>
        </w:rPr>
        <w:t xml:space="preserve"> </w:t>
      </w:r>
      <w:r w:rsidR="003D0A14">
        <w:rPr>
          <w:rFonts w:eastAsia="Times New Roman" w:cs="Arial"/>
          <w:color w:val="000000" w:themeColor="text1"/>
        </w:rPr>
        <w:t>Although there w</w:t>
      </w:r>
      <w:r w:rsidR="00254D23">
        <w:rPr>
          <w:rFonts w:eastAsia="Times New Roman" w:cs="Arial"/>
          <w:color w:val="000000" w:themeColor="text1"/>
        </w:rPr>
        <w:t>ere</w:t>
      </w:r>
      <w:r w:rsidR="003D0A14">
        <w:rPr>
          <w:rFonts w:eastAsia="Times New Roman" w:cs="Arial"/>
          <w:color w:val="000000" w:themeColor="text1"/>
        </w:rPr>
        <w:t xml:space="preserve"> no statistically significant differences in EQ-5D-5L in HOPE-B at any time point</w:t>
      </w:r>
      <w:r w:rsidR="005F600C">
        <w:rPr>
          <w:rFonts w:eastAsia="Times New Roman" w:cs="Arial"/>
          <w:color w:val="000000" w:themeColor="text1"/>
        </w:rPr>
        <w:t xml:space="preserve"> post treatment compared with the </w:t>
      </w:r>
      <w:r w:rsidR="00541054">
        <w:rPr>
          <w:rFonts w:eastAsia="Times New Roman" w:cs="Arial"/>
          <w:color w:val="000000" w:themeColor="text1"/>
        </w:rPr>
        <w:t>lead-in period</w:t>
      </w:r>
      <w:r w:rsidR="003D0A14">
        <w:rPr>
          <w:rFonts w:eastAsia="Times New Roman" w:cs="Arial"/>
          <w:color w:val="000000" w:themeColor="text1"/>
        </w:rPr>
        <w:t xml:space="preserve">, these were used to inform QALY differences </w:t>
      </w:r>
      <w:r w:rsidR="00612A2C">
        <w:rPr>
          <w:rFonts w:eastAsia="Times New Roman" w:cs="Arial"/>
          <w:color w:val="000000" w:themeColor="text1"/>
        </w:rPr>
        <w:t>in ADAR 1728</w:t>
      </w:r>
      <w:r w:rsidR="00C36BA4">
        <w:rPr>
          <w:rFonts w:eastAsia="Times New Roman" w:cs="Arial"/>
          <w:color w:val="000000" w:themeColor="text1"/>
        </w:rPr>
        <w:t xml:space="preserve"> rather than event-based decrements</w:t>
      </w:r>
      <w:r w:rsidR="00612A2C">
        <w:rPr>
          <w:rFonts w:eastAsia="Times New Roman" w:cs="Arial"/>
          <w:color w:val="000000" w:themeColor="text1"/>
        </w:rPr>
        <w:t>.</w:t>
      </w:r>
    </w:p>
    <w:p w14:paraId="7C013311" w14:textId="2C875B4E" w:rsidR="00B26070" w:rsidRDefault="009D4E4C" w:rsidP="009D4E4C">
      <w:pPr>
        <w:pStyle w:val="Caption"/>
      </w:pPr>
      <w:bookmarkStart w:id="53" w:name="_Ref207986596"/>
      <w:bookmarkStart w:id="54" w:name="_Ref195081195"/>
      <w:r>
        <w:lastRenderedPageBreak/>
        <w:t xml:space="preserve">Table </w:t>
      </w:r>
      <w:r>
        <w:fldChar w:fldCharType="begin"/>
      </w:r>
      <w:r>
        <w:instrText xml:space="preserve"> SEQ Table \* ARABIC </w:instrText>
      </w:r>
      <w:r>
        <w:fldChar w:fldCharType="separate"/>
      </w:r>
      <w:r>
        <w:rPr>
          <w:noProof/>
        </w:rPr>
        <w:t>15</w:t>
      </w:r>
      <w:r>
        <w:rPr>
          <w:noProof/>
        </w:rPr>
        <w:fldChar w:fldCharType="end"/>
      </w:r>
      <w:bookmarkEnd w:id="53"/>
      <w:r>
        <w:t xml:space="preserve"> </w:t>
      </w:r>
      <w:bookmarkEnd w:id="54"/>
      <w:r w:rsidR="00B26070">
        <w:t>Key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Key sensitivity analyses"/>
        <w:tblDescription w:val="This table summarises key sensitivity analyses around the time horizon, starting age, annualised FIX xonsumption, FIX threshold, joint bleeds per PS increment, and event-based utility decrements."/>
      </w:tblPr>
      <w:tblGrid>
        <w:gridCol w:w="4391"/>
        <w:gridCol w:w="1702"/>
        <w:gridCol w:w="1700"/>
        <w:gridCol w:w="1223"/>
      </w:tblGrid>
      <w:tr w:rsidR="008B5B67" w:rsidRPr="00CE28E3" w14:paraId="69171B90" w14:textId="77777777" w:rsidTr="002A01EA">
        <w:trPr>
          <w:cantSplit/>
          <w:trHeight w:val="420"/>
          <w:tblHeader/>
        </w:trPr>
        <w:tc>
          <w:tcPr>
            <w:tcW w:w="2435" w:type="pct"/>
            <w:vAlign w:val="center"/>
          </w:tcPr>
          <w:p w14:paraId="202CD84C" w14:textId="77777777" w:rsidR="008B5B67" w:rsidRPr="00CE28E3" w:rsidRDefault="008B5B67" w:rsidP="00135FC9">
            <w:pPr>
              <w:pStyle w:val="In-tableHeading"/>
            </w:pPr>
            <w:bookmarkStart w:id="55" w:name="Title_Table11" w:colFirst="0" w:colLast="0"/>
            <w:bookmarkStart w:id="56" w:name="_Hlk68276702"/>
            <w:r w:rsidRPr="00CE28E3">
              <w:t>Analyses</w:t>
            </w:r>
          </w:p>
        </w:tc>
        <w:tc>
          <w:tcPr>
            <w:tcW w:w="944" w:type="pct"/>
            <w:vAlign w:val="center"/>
          </w:tcPr>
          <w:p w14:paraId="7372A868" w14:textId="77777777" w:rsidR="008B5B67" w:rsidRPr="00CE28E3" w:rsidRDefault="008B5B67" w:rsidP="00135FC9">
            <w:pPr>
              <w:pStyle w:val="In-tableHeading"/>
              <w:jc w:val="center"/>
            </w:pPr>
            <w:r w:rsidRPr="00CE28E3">
              <w:t>Incremental cost</w:t>
            </w:r>
          </w:p>
        </w:tc>
        <w:tc>
          <w:tcPr>
            <w:tcW w:w="943" w:type="pct"/>
            <w:vAlign w:val="center"/>
          </w:tcPr>
          <w:p w14:paraId="10B3A4F5" w14:textId="77777777" w:rsidR="008B5B67" w:rsidRPr="00CE28E3" w:rsidRDefault="008B5B67" w:rsidP="00135FC9">
            <w:pPr>
              <w:pStyle w:val="In-tableHeading"/>
              <w:jc w:val="center"/>
            </w:pPr>
            <w:r w:rsidRPr="00CE28E3">
              <w:t>Incremental QALY</w:t>
            </w:r>
          </w:p>
        </w:tc>
        <w:tc>
          <w:tcPr>
            <w:tcW w:w="678" w:type="pct"/>
            <w:vAlign w:val="center"/>
          </w:tcPr>
          <w:p w14:paraId="56CBF231" w14:textId="77777777" w:rsidR="008B5B67" w:rsidRPr="00CE28E3" w:rsidRDefault="008B5B67" w:rsidP="00135FC9">
            <w:pPr>
              <w:pStyle w:val="In-tableHeading"/>
              <w:jc w:val="center"/>
            </w:pPr>
            <w:r w:rsidRPr="00CE28E3">
              <w:t>ICER</w:t>
            </w:r>
          </w:p>
        </w:tc>
      </w:tr>
      <w:bookmarkEnd w:id="55"/>
      <w:tr w:rsidR="008B5B67" w:rsidRPr="00CE28E3" w14:paraId="451EB8ED" w14:textId="77777777" w:rsidTr="002A01EA">
        <w:trPr>
          <w:cantSplit/>
        </w:trPr>
        <w:tc>
          <w:tcPr>
            <w:tcW w:w="2435" w:type="pct"/>
          </w:tcPr>
          <w:p w14:paraId="36895461" w14:textId="77777777" w:rsidR="008B5B67" w:rsidRPr="00CE28E3" w:rsidRDefault="008B5B67" w:rsidP="00211DC3">
            <w:pPr>
              <w:pStyle w:val="TableText"/>
              <w:keepNext/>
              <w:rPr>
                <w:b/>
              </w:rPr>
            </w:pPr>
            <w:r w:rsidRPr="00CE28E3">
              <w:rPr>
                <w:b/>
              </w:rPr>
              <w:t>Base case</w:t>
            </w:r>
          </w:p>
        </w:tc>
        <w:tc>
          <w:tcPr>
            <w:tcW w:w="944" w:type="pct"/>
          </w:tcPr>
          <w:p w14:paraId="4D76EAC0" w14:textId="4CBE271B" w:rsidR="008B5B67" w:rsidRPr="00CE28E3" w:rsidRDefault="00553CA9" w:rsidP="00211DC3">
            <w:pPr>
              <w:pStyle w:val="TableText"/>
              <w:keepNext/>
              <w:jc w:val="center"/>
              <w:rPr>
                <w:b/>
                <w:highlight w:val="black"/>
              </w:rPr>
            </w:pPr>
            <w:r w:rsidRPr="00461266">
              <w:rPr>
                <w:b/>
              </w:rPr>
              <w:t>-$</w:t>
            </w:r>
            <w:r w:rsidR="00461266" w:rsidRPr="00D84B66">
              <w:rPr>
                <w:b/>
              </w:rPr>
              <w:t>redacted</w:t>
            </w:r>
          </w:p>
        </w:tc>
        <w:tc>
          <w:tcPr>
            <w:tcW w:w="943" w:type="pct"/>
          </w:tcPr>
          <w:p w14:paraId="66189599" w14:textId="3028B456" w:rsidR="008B5B67" w:rsidRPr="00CE28E3" w:rsidRDefault="00F4223D" w:rsidP="00211DC3">
            <w:pPr>
              <w:pStyle w:val="TableText"/>
              <w:keepNext/>
              <w:jc w:val="center"/>
              <w:rPr>
                <w:b/>
              </w:rPr>
            </w:pPr>
            <w:r w:rsidRPr="00F4223D">
              <w:rPr>
                <w:rFonts w:eastAsia="Calibri"/>
                <w:b/>
                <w:szCs w:val="20"/>
              </w:rPr>
              <w:t>0.077</w:t>
            </w:r>
          </w:p>
        </w:tc>
        <w:tc>
          <w:tcPr>
            <w:tcW w:w="678" w:type="pct"/>
          </w:tcPr>
          <w:p w14:paraId="58300438" w14:textId="35EF1D89" w:rsidR="008B5B67" w:rsidRPr="00CE28E3" w:rsidRDefault="009D3EE8" w:rsidP="00211DC3">
            <w:pPr>
              <w:pStyle w:val="TableText"/>
              <w:keepNext/>
              <w:jc w:val="center"/>
              <w:rPr>
                <w:b/>
                <w:highlight w:val="black"/>
              </w:rPr>
            </w:pPr>
            <w:r w:rsidRPr="009D3EE8">
              <w:rPr>
                <w:rFonts w:eastAsia="Calibri"/>
                <w:b/>
                <w:szCs w:val="20"/>
              </w:rPr>
              <w:t>-$</w:t>
            </w:r>
            <w:r w:rsidR="00461266" w:rsidRPr="006360E9">
              <w:rPr>
                <w:b/>
                <w:bCs/>
              </w:rPr>
              <w:t>redacted</w:t>
            </w:r>
          </w:p>
        </w:tc>
      </w:tr>
      <w:tr w:rsidR="002450BD" w:rsidRPr="00CE28E3" w14:paraId="00742E59" w14:textId="77777777" w:rsidTr="002A01EA">
        <w:trPr>
          <w:cantSplit/>
        </w:trPr>
        <w:tc>
          <w:tcPr>
            <w:tcW w:w="2435" w:type="pct"/>
          </w:tcPr>
          <w:p w14:paraId="648CA0C4" w14:textId="40D9CDCA" w:rsidR="002450BD" w:rsidRPr="00CE28E3" w:rsidRDefault="002450BD" w:rsidP="002450BD">
            <w:pPr>
              <w:pStyle w:val="TableText"/>
              <w:keepNext/>
            </w:pPr>
            <w:r>
              <w:t>Time horizon: 1</w:t>
            </w:r>
            <w:r w:rsidRPr="00CE28E3">
              <w:t>0 years</w:t>
            </w:r>
            <w:r w:rsidR="000A0F3C">
              <w:t xml:space="preserve"> </w:t>
            </w:r>
            <w:r w:rsidR="00406588">
              <w:br/>
            </w:r>
            <w:r w:rsidR="00BB47AC">
              <w:t>(base case</w:t>
            </w:r>
            <w:r w:rsidR="00406588">
              <w:t>:</w:t>
            </w:r>
            <w:r w:rsidR="000A0F3C">
              <w:t xml:space="preserve"> 15 years</w:t>
            </w:r>
            <w:r w:rsidR="00BB47AC">
              <w:t>)</w:t>
            </w:r>
          </w:p>
        </w:tc>
        <w:tc>
          <w:tcPr>
            <w:tcW w:w="944" w:type="pct"/>
          </w:tcPr>
          <w:p w14:paraId="02006748" w14:textId="314CEBBC" w:rsidR="002450BD" w:rsidRPr="00CE28E3" w:rsidRDefault="002450BD" w:rsidP="002450BD">
            <w:pPr>
              <w:pStyle w:val="TableText"/>
              <w:keepNext/>
              <w:jc w:val="center"/>
              <w:rPr>
                <w:highlight w:val="black"/>
              </w:rPr>
            </w:pPr>
            <w:r w:rsidRPr="00A51EAD">
              <w:t>$</w:t>
            </w:r>
            <w:r w:rsidR="00461266" w:rsidRPr="00D84B66">
              <w:rPr>
                <w:b/>
                <w:bCs/>
              </w:rPr>
              <w:t>redacted</w:t>
            </w:r>
          </w:p>
        </w:tc>
        <w:tc>
          <w:tcPr>
            <w:tcW w:w="943" w:type="pct"/>
          </w:tcPr>
          <w:p w14:paraId="6486F418" w14:textId="01B34F67" w:rsidR="002450BD" w:rsidRPr="00CE28E3" w:rsidRDefault="002450BD" w:rsidP="002450BD">
            <w:pPr>
              <w:pStyle w:val="TableText"/>
              <w:keepNext/>
              <w:jc w:val="center"/>
            </w:pPr>
            <w:r w:rsidRPr="0062291D">
              <w:rPr>
                <w:rFonts w:eastAsia="Calibri"/>
                <w:szCs w:val="20"/>
              </w:rPr>
              <w:t>0.059</w:t>
            </w:r>
          </w:p>
        </w:tc>
        <w:tc>
          <w:tcPr>
            <w:tcW w:w="678" w:type="pct"/>
          </w:tcPr>
          <w:p w14:paraId="284F2CBE" w14:textId="6EFC5267" w:rsidR="002450BD" w:rsidRPr="00CE28E3" w:rsidRDefault="002450BD" w:rsidP="002450BD">
            <w:pPr>
              <w:pStyle w:val="TableText"/>
              <w:keepNext/>
              <w:jc w:val="center"/>
              <w:rPr>
                <w:highlight w:val="black"/>
              </w:rPr>
            </w:pPr>
            <w:r w:rsidRPr="002D3D1C">
              <w:rPr>
                <w:rFonts w:eastAsia="Calibri"/>
                <w:szCs w:val="20"/>
              </w:rPr>
              <w:t>$</w:t>
            </w:r>
            <w:r w:rsidR="00461266" w:rsidRPr="006360E9">
              <w:rPr>
                <w:b/>
                <w:bCs/>
              </w:rPr>
              <w:t>redacted</w:t>
            </w:r>
          </w:p>
        </w:tc>
      </w:tr>
      <w:tr w:rsidR="007B7A3B" w:rsidRPr="00CE28E3" w14:paraId="39A19222" w14:textId="77777777" w:rsidTr="002A01EA">
        <w:trPr>
          <w:cantSplit/>
        </w:trPr>
        <w:tc>
          <w:tcPr>
            <w:tcW w:w="2435" w:type="pct"/>
          </w:tcPr>
          <w:p w14:paraId="4887811C" w14:textId="09BA7FA2" w:rsidR="007B7A3B" w:rsidRDefault="007B7A3B" w:rsidP="002450BD">
            <w:pPr>
              <w:pStyle w:val="TableText"/>
              <w:keepNext/>
            </w:pPr>
            <w:r>
              <w:t>Starting age: 18 years</w:t>
            </w:r>
            <w:r w:rsidR="002634FB">
              <w:t xml:space="preserve"> </w:t>
            </w:r>
            <w:r w:rsidR="00406588">
              <w:br/>
            </w:r>
            <w:r w:rsidR="00BB47AC">
              <w:t>(base case</w:t>
            </w:r>
            <w:r w:rsidR="00406588">
              <w:t>:</w:t>
            </w:r>
            <w:r w:rsidR="002634FB">
              <w:t xml:space="preserve"> </w:t>
            </w:r>
            <w:r w:rsidR="00544D91">
              <w:t>43</w:t>
            </w:r>
            <w:r w:rsidR="00D3285D">
              <w:t xml:space="preserve"> </w:t>
            </w:r>
            <w:r w:rsidR="00BB47AC">
              <w:t>years</w:t>
            </w:r>
            <w:r w:rsidR="00D3285D">
              <w:t>)</w:t>
            </w:r>
          </w:p>
        </w:tc>
        <w:tc>
          <w:tcPr>
            <w:tcW w:w="944" w:type="pct"/>
          </w:tcPr>
          <w:p w14:paraId="1170FB4C" w14:textId="60F221B7" w:rsidR="007B7A3B" w:rsidRPr="00A51EAD" w:rsidRDefault="00F7737A" w:rsidP="002450BD">
            <w:pPr>
              <w:pStyle w:val="TableText"/>
              <w:keepNext/>
              <w:jc w:val="center"/>
            </w:pPr>
            <w:r w:rsidRPr="00F7737A">
              <w:t>-$</w:t>
            </w:r>
            <w:r w:rsidR="00461266" w:rsidRPr="006360E9">
              <w:rPr>
                <w:b/>
                <w:bCs/>
              </w:rPr>
              <w:t>redacted</w:t>
            </w:r>
          </w:p>
        </w:tc>
        <w:tc>
          <w:tcPr>
            <w:tcW w:w="943" w:type="pct"/>
          </w:tcPr>
          <w:p w14:paraId="36654A35" w14:textId="4609B921" w:rsidR="007B7A3B" w:rsidRPr="0062291D" w:rsidRDefault="009175C9" w:rsidP="002450BD">
            <w:pPr>
              <w:pStyle w:val="TableText"/>
              <w:keepNext/>
              <w:jc w:val="center"/>
              <w:rPr>
                <w:rFonts w:eastAsia="Calibri"/>
                <w:szCs w:val="20"/>
              </w:rPr>
            </w:pPr>
            <w:r w:rsidRPr="009175C9">
              <w:rPr>
                <w:rFonts w:eastAsia="Calibri"/>
                <w:szCs w:val="20"/>
              </w:rPr>
              <w:t>0.080</w:t>
            </w:r>
          </w:p>
        </w:tc>
        <w:tc>
          <w:tcPr>
            <w:tcW w:w="678" w:type="pct"/>
          </w:tcPr>
          <w:p w14:paraId="66DCA48D" w14:textId="440463B0" w:rsidR="007B7A3B" w:rsidRPr="002D3D1C" w:rsidRDefault="009175C9" w:rsidP="002450BD">
            <w:pPr>
              <w:pStyle w:val="TableText"/>
              <w:keepNext/>
              <w:jc w:val="center"/>
              <w:rPr>
                <w:rFonts w:eastAsia="Calibri"/>
                <w:szCs w:val="20"/>
              </w:rPr>
            </w:pPr>
            <w:r w:rsidRPr="009175C9">
              <w:rPr>
                <w:rFonts w:eastAsia="Calibri"/>
                <w:szCs w:val="20"/>
              </w:rPr>
              <w:t>-$</w:t>
            </w:r>
            <w:r w:rsidR="00461266" w:rsidRPr="006360E9">
              <w:rPr>
                <w:b/>
                <w:bCs/>
              </w:rPr>
              <w:t>redacted</w:t>
            </w:r>
          </w:p>
        </w:tc>
      </w:tr>
      <w:tr w:rsidR="002450BD" w:rsidRPr="00CE28E3" w14:paraId="607079A8" w14:textId="12BA454D" w:rsidTr="002A01EA">
        <w:trPr>
          <w:cantSplit/>
          <w:trHeight w:val="283"/>
        </w:trPr>
        <w:tc>
          <w:tcPr>
            <w:tcW w:w="2435" w:type="pct"/>
          </w:tcPr>
          <w:p w14:paraId="176BBBDF" w14:textId="6D3494DE" w:rsidR="002450BD" w:rsidRPr="00CE28E3" w:rsidRDefault="002450BD" w:rsidP="002450BD">
            <w:pPr>
              <w:pStyle w:val="TableText"/>
              <w:keepNext/>
            </w:pPr>
            <w:r>
              <w:t>AFC where FIX activity is ≤5% = 195,000 IU/year/patient</w:t>
            </w:r>
            <w:r w:rsidR="00E07FFD">
              <w:t xml:space="preserve"> </w:t>
            </w:r>
            <w:r w:rsidR="00406588">
              <w:br/>
            </w:r>
            <w:r w:rsidR="00BB47AC">
              <w:t>(base case</w:t>
            </w:r>
            <w:r w:rsidR="00406588">
              <w:t>:</w:t>
            </w:r>
            <w:r w:rsidR="00E07FFD">
              <w:t xml:space="preserve"> </w:t>
            </w:r>
            <w:r w:rsidR="00D240B0">
              <w:t>260,000</w:t>
            </w:r>
            <w:r w:rsidR="00BB47AC">
              <w:t xml:space="preserve"> IU/year</w:t>
            </w:r>
            <w:r w:rsidR="00537C6C">
              <w:t>/patient</w:t>
            </w:r>
            <w:r w:rsidR="00BB47AC">
              <w:t>)</w:t>
            </w:r>
          </w:p>
        </w:tc>
        <w:tc>
          <w:tcPr>
            <w:tcW w:w="944" w:type="pct"/>
          </w:tcPr>
          <w:p w14:paraId="1B13088B" w14:textId="77713A97" w:rsidR="002450BD" w:rsidRPr="00CE28E3" w:rsidRDefault="0029432A" w:rsidP="002450BD">
            <w:pPr>
              <w:pStyle w:val="TableText"/>
              <w:keepNext/>
              <w:jc w:val="center"/>
              <w:rPr>
                <w:rFonts w:eastAsia="Calibri"/>
                <w:szCs w:val="20"/>
              </w:rPr>
            </w:pPr>
            <w:r w:rsidRPr="0029432A">
              <w:t>-$</w:t>
            </w:r>
            <w:r w:rsidR="00461266" w:rsidRPr="006360E9">
              <w:rPr>
                <w:b/>
                <w:bCs/>
              </w:rPr>
              <w:t>redacted</w:t>
            </w:r>
          </w:p>
        </w:tc>
        <w:tc>
          <w:tcPr>
            <w:tcW w:w="943" w:type="pct"/>
          </w:tcPr>
          <w:p w14:paraId="443B8E9E" w14:textId="1689BD15" w:rsidR="002450BD" w:rsidRPr="00CE28E3" w:rsidRDefault="00BE0B6E" w:rsidP="002450BD">
            <w:pPr>
              <w:pStyle w:val="TableText"/>
              <w:keepNext/>
              <w:jc w:val="center"/>
              <w:rPr>
                <w:rFonts w:eastAsia="Calibri"/>
                <w:szCs w:val="20"/>
              </w:rPr>
            </w:pPr>
            <w:r w:rsidRPr="00BE0B6E">
              <w:rPr>
                <w:rFonts w:eastAsia="Calibri"/>
                <w:szCs w:val="20"/>
              </w:rPr>
              <w:t>0.077</w:t>
            </w:r>
          </w:p>
        </w:tc>
        <w:tc>
          <w:tcPr>
            <w:tcW w:w="678" w:type="pct"/>
          </w:tcPr>
          <w:p w14:paraId="3BDB203C" w14:textId="4DE1A306" w:rsidR="002450BD" w:rsidRPr="00CE28E3" w:rsidRDefault="002450BD" w:rsidP="002450BD">
            <w:pPr>
              <w:pStyle w:val="TableText"/>
              <w:keepNext/>
              <w:jc w:val="center"/>
              <w:rPr>
                <w:rFonts w:eastAsia="Calibri"/>
                <w:szCs w:val="20"/>
              </w:rPr>
            </w:pPr>
            <w:r w:rsidRPr="001E7AE5">
              <w:rPr>
                <w:rFonts w:eastAsia="Calibri"/>
                <w:szCs w:val="20"/>
              </w:rPr>
              <w:t>-$</w:t>
            </w:r>
            <w:r w:rsidR="00461266" w:rsidRPr="006360E9">
              <w:rPr>
                <w:b/>
                <w:bCs/>
              </w:rPr>
              <w:t>redacted</w:t>
            </w:r>
          </w:p>
        </w:tc>
      </w:tr>
      <w:tr w:rsidR="00276AEB" w:rsidRPr="00CE28E3" w14:paraId="52E2F4E2" w14:textId="77777777" w:rsidTr="002A01EA">
        <w:trPr>
          <w:cantSplit/>
          <w:trHeight w:val="283"/>
        </w:trPr>
        <w:tc>
          <w:tcPr>
            <w:tcW w:w="2435" w:type="pct"/>
          </w:tcPr>
          <w:p w14:paraId="2B871DE9" w14:textId="1654511F" w:rsidR="00276AEB" w:rsidRDefault="001D3151" w:rsidP="00211DC3">
            <w:pPr>
              <w:pStyle w:val="TableText"/>
              <w:keepNext/>
            </w:pPr>
            <w:r>
              <w:t>FIX threshold &lt;2%</w:t>
            </w:r>
            <w:r w:rsidR="002634FB">
              <w:t xml:space="preserve"> </w:t>
            </w:r>
            <w:r w:rsidR="00406588">
              <w:br/>
            </w:r>
            <w:r w:rsidR="00BB47AC">
              <w:t>(base case</w:t>
            </w:r>
            <w:r w:rsidR="00406588">
              <w:t>:</w:t>
            </w:r>
            <w:r w:rsidR="002634FB">
              <w:t xml:space="preserve"> &lt;5%</w:t>
            </w:r>
            <w:r w:rsidR="00BB47AC">
              <w:t>)</w:t>
            </w:r>
          </w:p>
        </w:tc>
        <w:tc>
          <w:tcPr>
            <w:tcW w:w="944" w:type="pct"/>
          </w:tcPr>
          <w:p w14:paraId="799349BC" w14:textId="6437F3DF" w:rsidR="00276AEB" w:rsidRPr="003B2975" w:rsidRDefault="005E76EA" w:rsidP="00211DC3">
            <w:pPr>
              <w:pStyle w:val="TableText"/>
              <w:keepNext/>
              <w:jc w:val="center"/>
              <w:rPr>
                <w:rFonts w:eastAsia="Calibri"/>
                <w:szCs w:val="20"/>
              </w:rPr>
            </w:pPr>
            <w:r w:rsidRPr="005E76EA">
              <w:rPr>
                <w:rFonts w:eastAsia="Calibri"/>
                <w:szCs w:val="20"/>
              </w:rPr>
              <w:t>-$</w:t>
            </w:r>
            <w:r w:rsidR="00461266" w:rsidRPr="006360E9">
              <w:rPr>
                <w:b/>
                <w:bCs/>
              </w:rPr>
              <w:t>redacted</w:t>
            </w:r>
          </w:p>
        </w:tc>
        <w:tc>
          <w:tcPr>
            <w:tcW w:w="943" w:type="pct"/>
          </w:tcPr>
          <w:p w14:paraId="2280A630" w14:textId="5A60C64E" w:rsidR="00276AEB" w:rsidRPr="00027CB0" w:rsidRDefault="005E76EA" w:rsidP="00211DC3">
            <w:pPr>
              <w:pStyle w:val="TableText"/>
              <w:keepNext/>
              <w:jc w:val="center"/>
              <w:rPr>
                <w:rFonts w:eastAsia="Calibri"/>
                <w:szCs w:val="20"/>
              </w:rPr>
            </w:pPr>
            <w:r w:rsidRPr="005E76EA">
              <w:rPr>
                <w:rFonts w:eastAsia="Calibri"/>
                <w:szCs w:val="20"/>
              </w:rPr>
              <w:t>0.078</w:t>
            </w:r>
          </w:p>
        </w:tc>
        <w:tc>
          <w:tcPr>
            <w:tcW w:w="678" w:type="pct"/>
          </w:tcPr>
          <w:p w14:paraId="3C7440B3" w14:textId="519391EB" w:rsidR="00276AEB" w:rsidRPr="00535A7D" w:rsidRDefault="005E76EA" w:rsidP="00211DC3">
            <w:pPr>
              <w:pStyle w:val="TableText"/>
              <w:keepNext/>
              <w:jc w:val="center"/>
              <w:rPr>
                <w:rFonts w:eastAsia="Calibri"/>
                <w:szCs w:val="20"/>
              </w:rPr>
            </w:pPr>
            <w:r w:rsidRPr="005E76EA">
              <w:rPr>
                <w:rFonts w:eastAsia="Calibri"/>
                <w:szCs w:val="20"/>
              </w:rPr>
              <w:t>-$</w:t>
            </w:r>
            <w:r w:rsidR="00461266" w:rsidRPr="006360E9">
              <w:rPr>
                <w:b/>
                <w:bCs/>
              </w:rPr>
              <w:t>redacted</w:t>
            </w:r>
          </w:p>
        </w:tc>
      </w:tr>
      <w:tr w:rsidR="00630C2D" w:rsidRPr="00CE28E3" w14:paraId="31F2DA65" w14:textId="77777777" w:rsidTr="002A01EA">
        <w:trPr>
          <w:cantSplit/>
          <w:trHeight w:val="283"/>
        </w:trPr>
        <w:tc>
          <w:tcPr>
            <w:tcW w:w="2435" w:type="pct"/>
          </w:tcPr>
          <w:p w14:paraId="3E1A99D0" w14:textId="39A0BFAE" w:rsidR="00630C2D" w:rsidRDefault="00630C2D" w:rsidP="00211DC3">
            <w:pPr>
              <w:pStyle w:val="TableText"/>
              <w:keepNext/>
            </w:pPr>
            <w:r>
              <w:t>Joint bleeds per PS increment 6.5</w:t>
            </w:r>
            <w:r w:rsidR="00981849">
              <w:t>2</w:t>
            </w:r>
            <w:r w:rsidR="00E07FFD">
              <w:t xml:space="preserve"> </w:t>
            </w:r>
            <w:r w:rsidR="00406588">
              <w:br/>
            </w:r>
            <w:r w:rsidR="00BB47AC">
              <w:t>(base case</w:t>
            </w:r>
            <w:r w:rsidR="00406588">
              <w:t>:</w:t>
            </w:r>
            <w:r w:rsidR="00E07FFD">
              <w:t xml:space="preserve"> </w:t>
            </w:r>
            <w:r w:rsidR="00D06253">
              <w:t>12.6)</w:t>
            </w:r>
          </w:p>
        </w:tc>
        <w:tc>
          <w:tcPr>
            <w:tcW w:w="944" w:type="pct"/>
          </w:tcPr>
          <w:p w14:paraId="1D8B89B2" w14:textId="2551D165" w:rsidR="00630C2D" w:rsidRPr="003B2975" w:rsidRDefault="00733A83" w:rsidP="00211DC3">
            <w:pPr>
              <w:pStyle w:val="TableText"/>
              <w:keepNext/>
              <w:jc w:val="center"/>
              <w:rPr>
                <w:rFonts w:eastAsia="Calibri"/>
                <w:szCs w:val="20"/>
              </w:rPr>
            </w:pPr>
            <w:r w:rsidRPr="00733A83">
              <w:rPr>
                <w:rFonts w:eastAsia="Calibri"/>
                <w:szCs w:val="20"/>
              </w:rPr>
              <w:t>-$</w:t>
            </w:r>
            <w:r w:rsidR="00461266" w:rsidRPr="006360E9">
              <w:rPr>
                <w:b/>
                <w:bCs/>
              </w:rPr>
              <w:t>redacted</w:t>
            </w:r>
          </w:p>
        </w:tc>
        <w:tc>
          <w:tcPr>
            <w:tcW w:w="943" w:type="pct"/>
          </w:tcPr>
          <w:p w14:paraId="0D2E2FEF" w14:textId="62D25DB3" w:rsidR="00630C2D" w:rsidRPr="00027CB0" w:rsidRDefault="00276AEB" w:rsidP="00211DC3">
            <w:pPr>
              <w:pStyle w:val="TableText"/>
              <w:keepNext/>
              <w:jc w:val="center"/>
              <w:rPr>
                <w:rFonts w:eastAsia="Calibri"/>
                <w:szCs w:val="20"/>
              </w:rPr>
            </w:pPr>
            <w:r w:rsidRPr="00276AEB">
              <w:rPr>
                <w:rFonts w:eastAsia="Calibri"/>
                <w:szCs w:val="20"/>
              </w:rPr>
              <w:t>0.096</w:t>
            </w:r>
          </w:p>
        </w:tc>
        <w:tc>
          <w:tcPr>
            <w:tcW w:w="678" w:type="pct"/>
          </w:tcPr>
          <w:p w14:paraId="3FF19521" w14:textId="4EDACE2E" w:rsidR="00630C2D" w:rsidRPr="00535A7D" w:rsidRDefault="00FC3A0A" w:rsidP="00211DC3">
            <w:pPr>
              <w:pStyle w:val="TableText"/>
              <w:keepNext/>
              <w:jc w:val="center"/>
              <w:rPr>
                <w:rFonts w:eastAsia="Calibri"/>
                <w:szCs w:val="20"/>
              </w:rPr>
            </w:pPr>
            <w:r w:rsidRPr="00FC3A0A">
              <w:rPr>
                <w:rFonts w:eastAsia="Calibri"/>
                <w:szCs w:val="20"/>
              </w:rPr>
              <w:t>-$</w:t>
            </w:r>
            <w:r w:rsidR="00461266" w:rsidRPr="006360E9">
              <w:rPr>
                <w:b/>
                <w:bCs/>
              </w:rPr>
              <w:t>redacted</w:t>
            </w:r>
          </w:p>
        </w:tc>
      </w:tr>
      <w:tr w:rsidR="00D02AB1" w:rsidRPr="00CE28E3" w14:paraId="21645173" w14:textId="77777777" w:rsidTr="002A01EA">
        <w:trPr>
          <w:cantSplit/>
          <w:trHeight w:val="283"/>
        </w:trPr>
        <w:tc>
          <w:tcPr>
            <w:tcW w:w="2435" w:type="pct"/>
          </w:tcPr>
          <w:p w14:paraId="22802C81" w14:textId="006B2F2C" w:rsidR="00D02AB1" w:rsidRDefault="00D07B62" w:rsidP="00211DC3">
            <w:pPr>
              <w:pStyle w:val="TableText"/>
              <w:keepNext/>
            </w:pPr>
            <w:r>
              <w:t>No e</w:t>
            </w:r>
            <w:r w:rsidR="00D02AB1">
              <w:t>vent</w:t>
            </w:r>
            <w:r w:rsidR="000705E3">
              <w:t>-</w:t>
            </w:r>
            <w:r w:rsidR="00D02AB1">
              <w:t xml:space="preserve">based </w:t>
            </w:r>
            <w:r w:rsidR="004628FA">
              <w:t xml:space="preserve">utility </w:t>
            </w:r>
            <w:r w:rsidR="00D02AB1">
              <w:t xml:space="preserve">decrements </w:t>
            </w:r>
            <w:r>
              <w:t xml:space="preserve">(bleeds, joint bleeds, </w:t>
            </w:r>
            <w:r w:rsidR="00CF5640">
              <w:t>joint surgery, SAEs)</w:t>
            </w:r>
            <w:r w:rsidR="009C2D68">
              <w:t xml:space="preserve"> </w:t>
            </w:r>
            <w:r w:rsidR="00406588">
              <w:br/>
            </w:r>
            <w:r w:rsidR="009C2D68">
              <w:t>(base case</w:t>
            </w:r>
            <w:r w:rsidR="00406588">
              <w:t>:</w:t>
            </w:r>
            <w:r w:rsidR="009C2D68">
              <w:t xml:space="preserve"> </w:t>
            </w:r>
            <w:r w:rsidR="00150265">
              <w:t>-0.003 to -0.03)</w:t>
            </w:r>
          </w:p>
        </w:tc>
        <w:tc>
          <w:tcPr>
            <w:tcW w:w="944" w:type="pct"/>
          </w:tcPr>
          <w:p w14:paraId="2A38132D" w14:textId="3B24A748" w:rsidR="00D02AB1" w:rsidRPr="001C3F48" w:rsidRDefault="00AE04ED" w:rsidP="00211DC3">
            <w:pPr>
              <w:pStyle w:val="TableText"/>
              <w:keepNext/>
              <w:jc w:val="center"/>
              <w:rPr>
                <w:rFonts w:eastAsia="Calibri"/>
                <w:szCs w:val="20"/>
              </w:rPr>
            </w:pPr>
            <w:r w:rsidRPr="00AE04ED">
              <w:rPr>
                <w:rFonts w:eastAsia="Calibri"/>
                <w:szCs w:val="20"/>
              </w:rPr>
              <w:t>-$</w:t>
            </w:r>
            <w:r w:rsidR="00461266" w:rsidRPr="006360E9">
              <w:rPr>
                <w:b/>
                <w:bCs/>
              </w:rPr>
              <w:t>redacted</w:t>
            </w:r>
          </w:p>
        </w:tc>
        <w:tc>
          <w:tcPr>
            <w:tcW w:w="943" w:type="pct"/>
          </w:tcPr>
          <w:p w14:paraId="444475AC" w14:textId="7C8B30CE" w:rsidR="00D02AB1" w:rsidRPr="00D20E0A" w:rsidRDefault="00C70024" w:rsidP="00211DC3">
            <w:pPr>
              <w:pStyle w:val="TableText"/>
              <w:keepNext/>
              <w:jc w:val="center"/>
              <w:rPr>
                <w:rFonts w:eastAsia="Calibri"/>
                <w:szCs w:val="20"/>
              </w:rPr>
            </w:pPr>
            <w:r w:rsidRPr="00C70024">
              <w:rPr>
                <w:rFonts w:eastAsia="Calibri"/>
                <w:szCs w:val="20"/>
              </w:rPr>
              <w:t>0.000</w:t>
            </w:r>
          </w:p>
        </w:tc>
        <w:tc>
          <w:tcPr>
            <w:tcW w:w="678" w:type="pct"/>
          </w:tcPr>
          <w:p w14:paraId="11631689" w14:textId="6605BCC0" w:rsidR="00D02AB1" w:rsidRPr="00FC3A0A" w:rsidRDefault="00A85E79" w:rsidP="00211DC3">
            <w:pPr>
              <w:pStyle w:val="TableText"/>
              <w:keepNext/>
              <w:jc w:val="center"/>
              <w:rPr>
                <w:rFonts w:eastAsia="Calibri"/>
                <w:szCs w:val="20"/>
              </w:rPr>
            </w:pPr>
            <w:r>
              <w:rPr>
                <w:rFonts w:eastAsia="Calibri"/>
                <w:szCs w:val="20"/>
              </w:rPr>
              <w:t>NC</w:t>
            </w:r>
          </w:p>
        </w:tc>
      </w:tr>
    </w:tbl>
    <w:p w14:paraId="1449AA11" w14:textId="421871C8" w:rsidR="008B5B67" w:rsidRPr="00272509" w:rsidRDefault="00CD6E45" w:rsidP="00AD1700">
      <w:pPr>
        <w:pStyle w:val="Tablenotes"/>
      </w:pPr>
      <w:bookmarkStart w:id="57" w:name="_Hlk68276759"/>
      <w:bookmarkEnd w:id="56"/>
      <w:r w:rsidRPr="00CD6E45">
        <w:rPr>
          <w:rFonts w:eastAsia="Calibri"/>
        </w:rPr>
        <w:t>AFC = annualised FIX consumption</w:t>
      </w:r>
      <w:r>
        <w:rPr>
          <w:rFonts w:eastAsia="Calibri"/>
        </w:rPr>
        <w:t xml:space="preserve">; </w:t>
      </w:r>
      <w:r w:rsidR="00272509">
        <w:rPr>
          <w:rFonts w:eastAsia="Calibri"/>
        </w:rPr>
        <w:t xml:space="preserve">FIX = Factor IX; </w:t>
      </w:r>
      <w:r w:rsidR="0045093D" w:rsidRPr="0045093D">
        <w:rPr>
          <w:rFonts w:eastAsia="Calibri"/>
        </w:rPr>
        <w:t>ICER = incremental cost-effectiveness ratio</w:t>
      </w:r>
      <w:r w:rsidR="00BE09C7" w:rsidRPr="0095367C">
        <w:rPr>
          <w:rFonts w:eastAsiaTheme="minorEastAsia"/>
        </w:rPr>
        <w:t xml:space="preserve">; </w:t>
      </w:r>
      <w:r w:rsidR="00BE09C7" w:rsidRPr="0095367C">
        <w:t>IU = international units;</w:t>
      </w:r>
      <w:r w:rsidR="005E024C">
        <w:t xml:space="preserve"> NC = not calculable;</w:t>
      </w:r>
      <w:r w:rsidR="0045093D" w:rsidRPr="0045093D">
        <w:rPr>
          <w:rFonts w:eastAsia="Calibri"/>
        </w:rPr>
        <w:t xml:space="preserve"> </w:t>
      </w:r>
      <w:r w:rsidR="007B600E">
        <w:rPr>
          <w:rFonts w:eastAsia="Calibri"/>
        </w:rPr>
        <w:t xml:space="preserve">PS = Pettersson Score; </w:t>
      </w:r>
      <w:r w:rsidR="008B5B67" w:rsidRPr="00CE28E3">
        <w:rPr>
          <w:rFonts w:eastAsia="Calibri"/>
        </w:rPr>
        <w:t>QALY = quality adjusted life year</w:t>
      </w:r>
      <w:r w:rsidR="00CF5640">
        <w:rPr>
          <w:rFonts w:eastAsia="Calibri"/>
        </w:rPr>
        <w:t>; SAEs = serious adverse events</w:t>
      </w:r>
      <w:r w:rsidR="008B5B67" w:rsidRPr="00CE28E3">
        <w:rPr>
          <w:rFonts w:eastAsia="Calibri"/>
        </w:rPr>
        <w:t>.</w:t>
      </w:r>
      <w:r w:rsidR="0045093D">
        <w:rPr>
          <w:rFonts w:eastAsia="Calibri"/>
        </w:rPr>
        <w:t xml:space="preserve"> </w:t>
      </w:r>
    </w:p>
    <w:p w14:paraId="7900B021" w14:textId="7F2D23C0" w:rsidR="00AB2D9C" w:rsidRDefault="007B600E" w:rsidP="00AD1700">
      <w:pPr>
        <w:pStyle w:val="Tablenotes"/>
      </w:pPr>
      <w:r>
        <w:t xml:space="preserve">Source: </w:t>
      </w:r>
      <w:r w:rsidR="00821D9F">
        <w:t>A</w:t>
      </w:r>
      <w:r>
        <w:t xml:space="preserve">dapted from Table </w:t>
      </w:r>
      <w:r w:rsidR="00AD1700">
        <w:t>3.20 of MSAC ADAR 1728 + in-line commentary</w:t>
      </w:r>
      <w:r w:rsidR="00E22AAD">
        <w:t>.</w:t>
      </w:r>
    </w:p>
    <w:p w14:paraId="4DD7727D" w14:textId="7195DF30" w:rsidR="00AB2D9C" w:rsidRPr="00C94628" w:rsidRDefault="00AB2D9C" w:rsidP="000A5DF1">
      <w:pPr>
        <w:pStyle w:val="Heading3"/>
      </w:pPr>
      <w:r w:rsidRPr="00C94628">
        <w:t>Post-ESC additional analyses</w:t>
      </w:r>
    </w:p>
    <w:p w14:paraId="5D50034B" w14:textId="77777777" w:rsidR="00AB2D9C" w:rsidRPr="005971D3" w:rsidRDefault="00AB2D9C" w:rsidP="00AB2D9C">
      <w:pPr>
        <w:pStyle w:val="BodyText"/>
        <w:rPr>
          <w:lang w:val="en-US"/>
        </w:rPr>
      </w:pPr>
      <w:r w:rsidRPr="005971D3">
        <w:rPr>
          <w:lang w:val="en-US"/>
        </w:rPr>
        <w:t>At the June 2025 ESC</w:t>
      </w:r>
      <w:r>
        <w:rPr>
          <w:lang w:val="en-US"/>
        </w:rPr>
        <w:t xml:space="preserve"> meeting, ESC requested </w:t>
      </w:r>
      <w:r w:rsidRPr="005971D3">
        <w:rPr>
          <w:lang w:val="en-US"/>
        </w:rPr>
        <w:t xml:space="preserve">the assessment group </w:t>
      </w:r>
      <w:r>
        <w:rPr>
          <w:lang w:val="en-US"/>
        </w:rPr>
        <w:t xml:space="preserve">to </w:t>
      </w:r>
      <w:r w:rsidRPr="005971D3">
        <w:rPr>
          <w:lang w:val="en-US"/>
        </w:rPr>
        <w:t>undertake additional analyses</w:t>
      </w:r>
      <w:r>
        <w:rPr>
          <w:lang w:val="en-US"/>
        </w:rPr>
        <w:t xml:space="preserve"> on w</w:t>
      </w:r>
      <w:r w:rsidRPr="005971D3">
        <w:rPr>
          <w:lang w:val="en-US"/>
        </w:rPr>
        <w:t xml:space="preserve">hat the price of </w:t>
      </w:r>
      <w:r>
        <w:t xml:space="preserve">ED </w:t>
      </w:r>
      <w:r w:rsidRPr="005971D3">
        <w:rPr>
          <w:lang w:val="en-US"/>
        </w:rPr>
        <w:t>would</w:t>
      </w:r>
      <w:r>
        <w:t xml:space="preserve"> </w:t>
      </w:r>
      <w:r w:rsidRPr="005971D3">
        <w:rPr>
          <w:lang w:val="en-US"/>
        </w:rPr>
        <w:t>need to be, in order to be cost neutral (compared to the comparator) at 10 years</w:t>
      </w:r>
      <w:r>
        <w:rPr>
          <w:lang w:val="en-US"/>
        </w:rPr>
        <w:t xml:space="preserve">. </w:t>
      </w:r>
      <w:r w:rsidRPr="00A56C41">
        <w:rPr>
          <w:lang w:val="en-US"/>
        </w:rPr>
        <w:t xml:space="preserve">The assessment group conducted these analyses using: </w:t>
      </w:r>
    </w:p>
    <w:p w14:paraId="619B44F0" w14:textId="5FC690EE" w:rsidR="00AB2D9C" w:rsidRPr="005971D3" w:rsidDel="005236EF" w:rsidRDefault="00AB2D9C" w:rsidP="00AB2D9C">
      <w:pPr>
        <w:numPr>
          <w:ilvl w:val="1"/>
          <w:numId w:val="27"/>
        </w:numPr>
        <w:contextualSpacing/>
        <w:rPr>
          <w:lang w:val="en-US"/>
        </w:rPr>
      </w:pPr>
      <w:r w:rsidRPr="00375AFF">
        <w:rPr>
          <w:lang w:val="en-US"/>
        </w:rPr>
        <w:t xml:space="preserve">FIX usage data from HOPE-B study </w:t>
      </w:r>
      <w:r w:rsidRPr="00A56C41">
        <w:rPr>
          <w:lang w:val="en-US"/>
        </w:rPr>
        <w:t xml:space="preserve">and the ADAR FIX replacement therapy prices (presented in this </w:t>
      </w:r>
      <w:r w:rsidR="005F600D">
        <w:rPr>
          <w:lang w:val="en-US"/>
        </w:rPr>
        <w:t>section</w:t>
      </w:r>
      <w:r w:rsidRPr="00A56C41">
        <w:rPr>
          <w:lang w:val="en-US"/>
        </w:rPr>
        <w:t>)</w:t>
      </w:r>
    </w:p>
    <w:p w14:paraId="1CB08C39" w14:textId="77777777" w:rsidR="00AB2D9C" w:rsidRDefault="00AB2D9C" w:rsidP="00AB2D9C">
      <w:pPr>
        <w:numPr>
          <w:ilvl w:val="1"/>
          <w:numId w:val="27"/>
        </w:numPr>
        <w:contextualSpacing/>
      </w:pPr>
      <w:r w:rsidRPr="005971D3" w:rsidDel="005236EF">
        <w:rPr>
          <w:lang w:val="en-US"/>
        </w:rPr>
        <w:t xml:space="preserve">FIX </w:t>
      </w:r>
      <w:r>
        <w:rPr>
          <w:lang w:val="en-US"/>
        </w:rPr>
        <w:t>usage data from the HOPE-B study and effective FIX replacement therapy prices (presented in the CIC section)</w:t>
      </w:r>
    </w:p>
    <w:p w14:paraId="3C0022CD" w14:textId="77777777" w:rsidR="00AB2D9C" w:rsidDel="005236EF" w:rsidRDefault="00AB2D9C" w:rsidP="00AB2D9C">
      <w:pPr>
        <w:numPr>
          <w:ilvl w:val="1"/>
          <w:numId w:val="27"/>
        </w:numPr>
        <w:contextualSpacing/>
      </w:pPr>
      <w:r w:rsidRPr="005971D3">
        <w:rPr>
          <w:lang w:val="en-US"/>
        </w:rPr>
        <w:t>FIX</w:t>
      </w:r>
      <w:r>
        <w:rPr>
          <w:lang w:val="en-US"/>
        </w:rPr>
        <w:t xml:space="preserve"> usage data from the 2023-2024 ABDR</w:t>
      </w:r>
      <w:r w:rsidRPr="005971D3">
        <w:rPr>
          <w:lang w:val="en-US"/>
        </w:rPr>
        <w:t xml:space="preserve"> provided by the NBA</w:t>
      </w:r>
      <w:r>
        <w:rPr>
          <w:lang w:val="en-US"/>
        </w:rPr>
        <w:t xml:space="preserve"> and effective FIX replacement therapy prices (presented in the CIC section</w:t>
      </w:r>
      <w:r w:rsidRPr="005971D3" w:rsidDel="005236EF">
        <w:rPr>
          <w:lang w:val="en-US"/>
        </w:rPr>
        <w:t>)</w:t>
      </w:r>
      <w:r>
        <w:rPr>
          <w:lang w:val="en-US"/>
        </w:rPr>
        <w:t>.</w:t>
      </w:r>
    </w:p>
    <w:p w14:paraId="6C43DFDF" w14:textId="77777777" w:rsidR="00AB2D9C" w:rsidRPr="00575B38" w:rsidRDefault="00AB2D9C" w:rsidP="000A5DF1">
      <w:pPr>
        <w:pStyle w:val="Heading4"/>
        <w:rPr>
          <w:color w:val="FF0000"/>
          <w:highlight w:val="yellow"/>
        </w:rPr>
      </w:pPr>
      <w:r w:rsidRPr="005971D3">
        <w:t>Cost neu</w:t>
      </w:r>
      <w:r>
        <w:t>t</w:t>
      </w:r>
      <w:r w:rsidRPr="005971D3">
        <w:t>ral at 10 years using HOPE-B data</w:t>
      </w:r>
      <w:r>
        <w:t xml:space="preserve"> and </w:t>
      </w:r>
      <w:r w:rsidRPr="005971D3">
        <w:t>ADAR FIX replacement therapy prices</w:t>
      </w:r>
    </w:p>
    <w:p w14:paraId="02F06035" w14:textId="2696BED3" w:rsidR="00AB2D9C" w:rsidRPr="005971D3" w:rsidRDefault="00AB2D9C" w:rsidP="00AB2D9C">
      <w:pPr>
        <w:pStyle w:val="BodyText"/>
      </w:pPr>
      <w:r w:rsidRPr="00884358">
        <w:t>The ADAR base case used a price of $</w:t>
      </w:r>
      <w:r w:rsidR="00541AF6" w:rsidRPr="00D84B66">
        <w:rPr>
          <w:b/>
          <w:bCs/>
        </w:rPr>
        <w:t>redacted</w:t>
      </w:r>
      <w:r w:rsidRPr="00884358">
        <w:t>/IU for standard half-life (SHL) FIX and $</w:t>
      </w:r>
      <w:r w:rsidR="00541AF6" w:rsidRPr="00D84B66">
        <w:rPr>
          <w:b/>
          <w:bCs/>
        </w:rPr>
        <w:t>redacted</w:t>
      </w:r>
      <w:r w:rsidRPr="00884358">
        <w:t>/IU for extended half-life (EHL) FIX. Using the ADAR’s base case inputs over a time horizon of 10 years, the ICER is $</w:t>
      </w:r>
      <w:r w:rsidR="00541AF6" w:rsidRPr="00D84B66">
        <w:rPr>
          <w:b/>
          <w:bCs/>
        </w:rPr>
        <w:t>redacted</w:t>
      </w:r>
      <w:r w:rsidRPr="00884358">
        <w:t>. The price of ED needs to be reduced from $</w:t>
      </w:r>
      <w:r w:rsidR="00541AF6" w:rsidRPr="00D84B66">
        <w:rPr>
          <w:b/>
          <w:bCs/>
        </w:rPr>
        <w:t>redacted</w:t>
      </w:r>
      <w:r w:rsidR="00541AF6" w:rsidRPr="00D84B66" w:rsidDel="00541AF6">
        <w:t xml:space="preserve"> </w:t>
      </w:r>
      <w:r w:rsidRPr="00884358">
        <w:t>(proposed in ADAR 1728.1) to $</w:t>
      </w:r>
      <w:r w:rsidR="00541AF6" w:rsidRPr="00D84B66">
        <w:rPr>
          <w:b/>
          <w:bCs/>
        </w:rPr>
        <w:t>redacted</w:t>
      </w:r>
      <w:r w:rsidR="00541AF6" w:rsidRPr="00D84B66" w:rsidDel="00541AF6">
        <w:t xml:space="preserve"> </w:t>
      </w:r>
      <w:r w:rsidRPr="00884358">
        <w:t>to be cost neutral at 10 years.</w:t>
      </w:r>
    </w:p>
    <w:p w14:paraId="5AA77DD6" w14:textId="5FB2F33E" w:rsidR="00AB2D9C" w:rsidRPr="005971D3" w:rsidRDefault="00C758CD" w:rsidP="000A5DF1">
      <w:pPr>
        <w:pStyle w:val="Caption"/>
      </w:pPr>
      <w:r>
        <w:t xml:space="preserve">Table </w:t>
      </w:r>
      <w:r>
        <w:fldChar w:fldCharType="begin"/>
      </w:r>
      <w:r>
        <w:instrText xml:space="preserve"> SEQ Table \* ARABIC </w:instrText>
      </w:r>
      <w:r>
        <w:fldChar w:fldCharType="separate"/>
      </w:r>
      <w:r>
        <w:rPr>
          <w:noProof/>
        </w:rPr>
        <w:t>16</w:t>
      </w:r>
      <w:r>
        <w:rPr>
          <w:noProof/>
        </w:rPr>
        <w:fldChar w:fldCharType="end"/>
      </w:r>
      <w:r w:rsidR="00AB2D9C" w:rsidRPr="009D4E4C">
        <w:t xml:space="preserve"> </w:t>
      </w:r>
      <w:r>
        <w:t xml:space="preserve">ED </w:t>
      </w:r>
      <w:r w:rsidR="00AB2D9C" w:rsidRPr="009D4E4C">
        <w:t>price to achieve cost neutrality at 10 years (using inputs from ADAR 1728.1 base case)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617"/>
        <w:gridCol w:w="1617"/>
        <w:gridCol w:w="1617"/>
        <w:gridCol w:w="1618"/>
      </w:tblGrid>
      <w:tr w:rsidR="00AB2D9C" w:rsidRPr="005971D3" w14:paraId="52A0E652" w14:textId="77777777" w:rsidTr="005D76F9">
        <w:tc>
          <w:tcPr>
            <w:tcW w:w="2547" w:type="dxa"/>
          </w:tcPr>
          <w:p w14:paraId="66935781" w14:textId="77777777" w:rsidR="00AB2D9C" w:rsidRPr="005971D3" w:rsidRDefault="00AB2D9C" w:rsidP="00FB47D5">
            <w:pPr>
              <w:pStyle w:val="BodyText"/>
              <w:spacing w:before="40" w:after="40"/>
              <w:rPr>
                <w:rFonts w:ascii="Arial Narrow" w:hAnsi="Arial Narrow"/>
                <w:b/>
                <w:sz w:val="20"/>
              </w:rPr>
            </w:pPr>
            <w:r w:rsidRPr="005971D3">
              <w:rPr>
                <w:rFonts w:ascii="Arial Narrow" w:hAnsi="Arial Narrow"/>
                <w:b/>
                <w:sz w:val="20"/>
              </w:rPr>
              <w:t>Analysis</w:t>
            </w:r>
          </w:p>
        </w:tc>
        <w:tc>
          <w:tcPr>
            <w:tcW w:w="1617" w:type="dxa"/>
          </w:tcPr>
          <w:p w14:paraId="3D90DBC3" w14:textId="77777777" w:rsidR="00AB2D9C" w:rsidRPr="005971D3" w:rsidRDefault="00AB2D9C" w:rsidP="00FB47D5">
            <w:pPr>
              <w:pStyle w:val="BodyText"/>
              <w:spacing w:before="40" w:after="40"/>
              <w:rPr>
                <w:rFonts w:ascii="Arial Narrow" w:hAnsi="Arial Narrow"/>
                <w:b/>
                <w:sz w:val="20"/>
              </w:rPr>
            </w:pPr>
            <w:r w:rsidRPr="005971D3">
              <w:rPr>
                <w:rFonts w:ascii="Arial Narrow" w:hAnsi="Arial Narrow"/>
                <w:b/>
                <w:sz w:val="20"/>
              </w:rPr>
              <w:t>SOC AFC (IU/yr/patient)</w:t>
            </w:r>
          </w:p>
        </w:tc>
        <w:tc>
          <w:tcPr>
            <w:tcW w:w="1617" w:type="dxa"/>
          </w:tcPr>
          <w:p w14:paraId="794B90E4" w14:textId="77777777" w:rsidR="00AB2D9C" w:rsidRPr="005971D3" w:rsidRDefault="00AB2D9C" w:rsidP="00FB47D5">
            <w:pPr>
              <w:pStyle w:val="BodyText"/>
              <w:spacing w:before="40" w:after="40"/>
              <w:rPr>
                <w:rFonts w:ascii="Arial Narrow" w:hAnsi="Arial Narrow"/>
                <w:b/>
                <w:sz w:val="20"/>
              </w:rPr>
            </w:pPr>
            <w:r w:rsidRPr="005971D3">
              <w:rPr>
                <w:rFonts w:ascii="Arial Narrow" w:hAnsi="Arial Narrow"/>
                <w:b/>
                <w:sz w:val="20"/>
              </w:rPr>
              <w:t>FIX price</w:t>
            </w:r>
          </w:p>
        </w:tc>
        <w:tc>
          <w:tcPr>
            <w:tcW w:w="1617" w:type="dxa"/>
          </w:tcPr>
          <w:p w14:paraId="63027EDA" w14:textId="77777777" w:rsidR="00AB2D9C" w:rsidRPr="005971D3" w:rsidRDefault="00AB2D9C" w:rsidP="00FB47D5">
            <w:pPr>
              <w:pStyle w:val="BodyText"/>
              <w:spacing w:before="40" w:after="40"/>
              <w:rPr>
                <w:rFonts w:ascii="Arial Narrow" w:hAnsi="Arial Narrow"/>
                <w:b/>
                <w:sz w:val="20"/>
              </w:rPr>
            </w:pPr>
            <w:r w:rsidRPr="005971D3">
              <w:rPr>
                <w:rFonts w:ascii="Arial Narrow" w:hAnsi="Arial Narrow"/>
                <w:b/>
                <w:sz w:val="20"/>
              </w:rPr>
              <w:t xml:space="preserve">Price of </w:t>
            </w:r>
            <w:r>
              <w:rPr>
                <w:rFonts w:ascii="Arial Narrow" w:hAnsi="Arial Narrow"/>
                <w:b/>
                <w:sz w:val="20"/>
              </w:rPr>
              <w:t>ED</w:t>
            </w:r>
          </w:p>
        </w:tc>
        <w:tc>
          <w:tcPr>
            <w:tcW w:w="1618" w:type="dxa"/>
          </w:tcPr>
          <w:p w14:paraId="71C94D21" w14:textId="77777777" w:rsidR="00AB2D9C" w:rsidRPr="005971D3" w:rsidRDefault="00AB2D9C" w:rsidP="00FB47D5">
            <w:pPr>
              <w:pStyle w:val="BodyText"/>
              <w:spacing w:before="40" w:after="40"/>
              <w:rPr>
                <w:rFonts w:ascii="Arial Narrow" w:hAnsi="Arial Narrow"/>
                <w:b/>
                <w:sz w:val="20"/>
              </w:rPr>
            </w:pPr>
            <w:r w:rsidRPr="005971D3">
              <w:rPr>
                <w:rFonts w:ascii="Arial Narrow" w:hAnsi="Arial Narrow"/>
                <w:b/>
                <w:sz w:val="20"/>
              </w:rPr>
              <w:t>ICER</w:t>
            </w:r>
          </w:p>
        </w:tc>
      </w:tr>
      <w:tr w:rsidR="00AB2D9C" w:rsidRPr="005971D3" w14:paraId="16EA5DFC" w14:textId="77777777" w:rsidTr="005D76F9">
        <w:tc>
          <w:tcPr>
            <w:tcW w:w="2547" w:type="dxa"/>
          </w:tcPr>
          <w:p w14:paraId="01B0B108" w14:textId="77777777" w:rsidR="00AB2D9C" w:rsidRPr="005971D3" w:rsidRDefault="00AB2D9C" w:rsidP="00FB47D5">
            <w:pPr>
              <w:pStyle w:val="BodyText"/>
              <w:spacing w:before="40" w:after="40"/>
              <w:rPr>
                <w:rFonts w:ascii="Arial Narrow" w:hAnsi="Arial Narrow"/>
                <w:sz w:val="20"/>
              </w:rPr>
            </w:pPr>
            <w:r w:rsidRPr="005971D3">
              <w:rPr>
                <w:rFonts w:ascii="Arial Narrow" w:hAnsi="Arial Narrow"/>
                <w:sz w:val="20"/>
              </w:rPr>
              <w:t>Base case</w:t>
            </w:r>
          </w:p>
        </w:tc>
        <w:tc>
          <w:tcPr>
            <w:tcW w:w="1617" w:type="dxa"/>
          </w:tcPr>
          <w:p w14:paraId="72844031" w14:textId="77777777" w:rsidR="00AB2D9C" w:rsidRPr="005971D3" w:rsidRDefault="00AB2D9C" w:rsidP="00FB47D5">
            <w:pPr>
              <w:pStyle w:val="BodyText"/>
              <w:spacing w:before="40" w:after="40"/>
              <w:rPr>
                <w:rFonts w:ascii="Arial Narrow" w:hAnsi="Arial Narrow"/>
                <w:sz w:val="20"/>
              </w:rPr>
            </w:pPr>
            <w:r w:rsidRPr="005971D3">
              <w:rPr>
                <w:rFonts w:ascii="Arial Narrow" w:hAnsi="Arial Narrow"/>
                <w:sz w:val="20"/>
              </w:rPr>
              <w:t>257,339</w:t>
            </w:r>
          </w:p>
        </w:tc>
        <w:tc>
          <w:tcPr>
            <w:tcW w:w="1617" w:type="dxa"/>
          </w:tcPr>
          <w:p w14:paraId="569F9229" w14:textId="0023726F" w:rsidR="00AB2D9C" w:rsidRPr="00E33667" w:rsidRDefault="00AB2D9C" w:rsidP="00FB47D5">
            <w:pPr>
              <w:pStyle w:val="BodyText"/>
              <w:spacing w:before="40" w:after="40"/>
              <w:rPr>
                <w:rFonts w:ascii="Arial Narrow" w:hAnsi="Arial Narrow"/>
                <w:sz w:val="20"/>
              </w:rPr>
            </w:pPr>
            <w:r w:rsidRPr="00E33667">
              <w:rPr>
                <w:rFonts w:ascii="Arial Narrow" w:hAnsi="Arial Narrow"/>
                <w:sz w:val="20"/>
              </w:rPr>
              <w:t>SHL $</w:t>
            </w:r>
            <w:r w:rsidR="00884358" w:rsidRPr="006360E9">
              <w:rPr>
                <w:rFonts w:ascii="Arial Narrow" w:hAnsi="Arial Narrow"/>
                <w:b/>
                <w:bCs/>
                <w:sz w:val="20"/>
              </w:rPr>
              <w:t>redacted</w:t>
            </w:r>
            <w:r w:rsidRPr="00E33667">
              <w:rPr>
                <w:rFonts w:ascii="Arial Narrow" w:hAnsi="Arial Narrow"/>
                <w:sz w:val="20"/>
              </w:rPr>
              <w:t>/IU</w:t>
            </w:r>
          </w:p>
          <w:p w14:paraId="42B71120" w14:textId="6AE9AE44" w:rsidR="00AB2D9C" w:rsidRPr="00E33667" w:rsidRDefault="00AB2D9C" w:rsidP="00FB47D5">
            <w:pPr>
              <w:pStyle w:val="BodyText"/>
              <w:spacing w:before="40" w:after="40"/>
              <w:rPr>
                <w:rFonts w:ascii="Arial Narrow" w:hAnsi="Arial Narrow"/>
                <w:sz w:val="20"/>
              </w:rPr>
            </w:pPr>
            <w:r w:rsidRPr="00E33667">
              <w:rPr>
                <w:rFonts w:ascii="Arial Narrow" w:hAnsi="Arial Narrow"/>
                <w:sz w:val="20"/>
              </w:rPr>
              <w:t>EHL $</w:t>
            </w:r>
            <w:r w:rsidR="00884358" w:rsidRPr="006360E9">
              <w:rPr>
                <w:rFonts w:ascii="Arial Narrow" w:hAnsi="Arial Narrow"/>
                <w:b/>
                <w:bCs/>
                <w:sz w:val="20"/>
              </w:rPr>
              <w:t>redacted</w:t>
            </w:r>
            <w:r w:rsidRPr="00E33667">
              <w:rPr>
                <w:rFonts w:ascii="Arial Narrow" w:hAnsi="Arial Narrow"/>
                <w:sz w:val="20"/>
              </w:rPr>
              <w:t>/IU</w:t>
            </w:r>
          </w:p>
        </w:tc>
        <w:tc>
          <w:tcPr>
            <w:tcW w:w="1617" w:type="dxa"/>
          </w:tcPr>
          <w:p w14:paraId="0418D77D" w14:textId="288CC1CE" w:rsidR="00AB2D9C" w:rsidRPr="005971D3" w:rsidRDefault="00AB2D9C" w:rsidP="00FB47D5">
            <w:pPr>
              <w:pStyle w:val="BodyText"/>
              <w:spacing w:before="40" w:after="40"/>
              <w:rPr>
                <w:rFonts w:ascii="Arial Narrow" w:hAnsi="Arial Narrow"/>
                <w:sz w:val="20"/>
              </w:rPr>
            </w:pPr>
            <w:r w:rsidRPr="005971D3">
              <w:rPr>
                <w:rFonts w:ascii="Arial Narrow" w:hAnsi="Arial Narrow"/>
                <w:sz w:val="20"/>
              </w:rPr>
              <w:t>$</w:t>
            </w:r>
            <w:r w:rsidR="00884358" w:rsidRPr="00D84B66">
              <w:rPr>
                <w:rFonts w:ascii="Arial Narrow" w:hAnsi="Arial Narrow"/>
                <w:b/>
                <w:bCs/>
                <w:sz w:val="20"/>
              </w:rPr>
              <w:t>redacted</w:t>
            </w:r>
          </w:p>
        </w:tc>
        <w:tc>
          <w:tcPr>
            <w:tcW w:w="1618" w:type="dxa"/>
          </w:tcPr>
          <w:p w14:paraId="480F883D" w14:textId="3AF3BA54" w:rsidR="00AB2D9C" w:rsidRPr="005971D3" w:rsidRDefault="00AB2D9C" w:rsidP="00FB47D5">
            <w:pPr>
              <w:pStyle w:val="BodyText"/>
              <w:spacing w:before="40" w:after="40"/>
              <w:rPr>
                <w:rFonts w:ascii="Arial Narrow" w:hAnsi="Arial Narrow"/>
                <w:sz w:val="20"/>
              </w:rPr>
            </w:pPr>
            <w:r w:rsidRPr="005971D3">
              <w:rPr>
                <w:rFonts w:ascii="Arial Narrow" w:hAnsi="Arial Narrow"/>
                <w:sz w:val="20"/>
              </w:rPr>
              <w:t>$</w:t>
            </w:r>
            <w:r w:rsidR="00884358" w:rsidRPr="006360E9">
              <w:rPr>
                <w:rFonts w:ascii="Arial Narrow" w:hAnsi="Arial Narrow"/>
                <w:b/>
                <w:bCs/>
                <w:sz w:val="20"/>
              </w:rPr>
              <w:t>redacted</w:t>
            </w:r>
            <w:r w:rsidR="00884358" w:rsidRPr="0049527E" w:rsidDel="00884358">
              <w:rPr>
                <w:rFonts w:ascii="Arial Narrow" w:hAnsi="Arial Narrow"/>
                <w:sz w:val="20"/>
                <w:highlight w:val="yellow"/>
              </w:rPr>
              <w:t xml:space="preserve"> </w:t>
            </w:r>
          </w:p>
        </w:tc>
      </w:tr>
      <w:tr w:rsidR="00AB2D9C" w:rsidRPr="005971D3" w14:paraId="311744A3" w14:textId="77777777" w:rsidTr="005D76F9">
        <w:tc>
          <w:tcPr>
            <w:tcW w:w="2547" w:type="dxa"/>
          </w:tcPr>
          <w:p w14:paraId="38244D83" w14:textId="77777777" w:rsidR="00AB2D9C" w:rsidRPr="005971D3" w:rsidRDefault="00AB2D9C" w:rsidP="00FB47D5">
            <w:pPr>
              <w:pStyle w:val="BodyText"/>
              <w:spacing w:before="40" w:after="40"/>
              <w:rPr>
                <w:rFonts w:ascii="Arial Narrow" w:hAnsi="Arial Narrow"/>
                <w:sz w:val="20"/>
              </w:rPr>
            </w:pPr>
            <w:r w:rsidRPr="005971D3">
              <w:rPr>
                <w:rFonts w:ascii="Arial Narrow" w:hAnsi="Arial Narrow"/>
                <w:sz w:val="20"/>
              </w:rPr>
              <w:t xml:space="preserve">Cost neutral price for </w:t>
            </w:r>
            <w:r>
              <w:rPr>
                <w:rFonts w:ascii="Arial Narrow" w:hAnsi="Arial Narrow"/>
                <w:sz w:val="20"/>
              </w:rPr>
              <w:t>ED</w:t>
            </w:r>
          </w:p>
        </w:tc>
        <w:tc>
          <w:tcPr>
            <w:tcW w:w="1617" w:type="dxa"/>
          </w:tcPr>
          <w:p w14:paraId="63BE6092" w14:textId="77777777" w:rsidR="00AB2D9C" w:rsidRPr="005971D3" w:rsidRDefault="00AB2D9C" w:rsidP="00FB47D5">
            <w:pPr>
              <w:pStyle w:val="BodyText"/>
              <w:spacing w:before="40" w:after="40"/>
              <w:rPr>
                <w:rFonts w:ascii="Arial Narrow" w:hAnsi="Arial Narrow"/>
                <w:sz w:val="20"/>
              </w:rPr>
            </w:pPr>
            <w:r w:rsidRPr="005971D3">
              <w:rPr>
                <w:rFonts w:ascii="Arial Narrow" w:hAnsi="Arial Narrow"/>
                <w:sz w:val="20"/>
              </w:rPr>
              <w:t>257,339</w:t>
            </w:r>
          </w:p>
        </w:tc>
        <w:tc>
          <w:tcPr>
            <w:tcW w:w="1617" w:type="dxa"/>
          </w:tcPr>
          <w:p w14:paraId="198BB3E8" w14:textId="333FEEB9" w:rsidR="00AB2D9C" w:rsidRPr="00E33667" w:rsidRDefault="00AB2D9C" w:rsidP="00FB47D5">
            <w:pPr>
              <w:pStyle w:val="BodyText"/>
              <w:spacing w:before="40" w:after="40"/>
              <w:rPr>
                <w:rFonts w:ascii="Arial Narrow" w:hAnsi="Arial Narrow"/>
                <w:sz w:val="20"/>
              </w:rPr>
            </w:pPr>
            <w:r w:rsidRPr="00E33667">
              <w:rPr>
                <w:rFonts w:ascii="Arial Narrow" w:hAnsi="Arial Narrow"/>
                <w:sz w:val="20"/>
              </w:rPr>
              <w:t>SHL $</w:t>
            </w:r>
            <w:r w:rsidR="00884358" w:rsidRPr="006360E9">
              <w:rPr>
                <w:rFonts w:ascii="Arial Narrow" w:hAnsi="Arial Narrow"/>
                <w:b/>
                <w:bCs/>
                <w:sz w:val="20"/>
              </w:rPr>
              <w:t>redacted</w:t>
            </w:r>
            <w:r w:rsidRPr="00E33667">
              <w:rPr>
                <w:rFonts w:ascii="Arial Narrow" w:hAnsi="Arial Narrow"/>
                <w:sz w:val="20"/>
              </w:rPr>
              <w:t>/IU</w:t>
            </w:r>
          </w:p>
          <w:p w14:paraId="1F819038" w14:textId="36B6109D" w:rsidR="00AB2D9C" w:rsidRPr="00E33667" w:rsidRDefault="00AB2D9C" w:rsidP="00FB47D5">
            <w:pPr>
              <w:pStyle w:val="BodyText"/>
              <w:spacing w:before="40" w:after="40"/>
              <w:rPr>
                <w:rFonts w:ascii="Arial Narrow" w:hAnsi="Arial Narrow"/>
                <w:sz w:val="20"/>
              </w:rPr>
            </w:pPr>
            <w:r w:rsidRPr="00E33667">
              <w:rPr>
                <w:rFonts w:ascii="Arial Narrow" w:hAnsi="Arial Narrow"/>
                <w:sz w:val="20"/>
              </w:rPr>
              <w:t>EHL $</w:t>
            </w:r>
            <w:r w:rsidR="00884358" w:rsidRPr="006360E9">
              <w:rPr>
                <w:rFonts w:ascii="Arial Narrow" w:hAnsi="Arial Narrow"/>
                <w:b/>
                <w:bCs/>
                <w:sz w:val="20"/>
              </w:rPr>
              <w:t>redacted</w:t>
            </w:r>
            <w:r w:rsidRPr="00E33667">
              <w:rPr>
                <w:rFonts w:ascii="Arial Narrow" w:hAnsi="Arial Narrow"/>
                <w:sz w:val="20"/>
              </w:rPr>
              <w:t>/IU</w:t>
            </w:r>
          </w:p>
        </w:tc>
        <w:tc>
          <w:tcPr>
            <w:tcW w:w="1617" w:type="dxa"/>
          </w:tcPr>
          <w:p w14:paraId="48866C04" w14:textId="01A835F9" w:rsidR="00AB2D9C" w:rsidRPr="005971D3" w:rsidRDefault="00AB2D9C" w:rsidP="00FB47D5">
            <w:pPr>
              <w:pStyle w:val="BodyText"/>
              <w:spacing w:before="40" w:after="40"/>
              <w:rPr>
                <w:rFonts w:ascii="Arial Narrow" w:hAnsi="Arial Narrow"/>
                <w:sz w:val="20"/>
              </w:rPr>
            </w:pPr>
            <w:r w:rsidRPr="005971D3">
              <w:rPr>
                <w:rFonts w:ascii="Arial Narrow" w:hAnsi="Arial Narrow"/>
                <w:sz w:val="20"/>
              </w:rPr>
              <w:t>$</w:t>
            </w:r>
            <w:r w:rsidR="00884358" w:rsidRPr="006360E9">
              <w:rPr>
                <w:rFonts w:ascii="Arial Narrow" w:hAnsi="Arial Narrow"/>
                <w:b/>
                <w:bCs/>
                <w:sz w:val="20"/>
              </w:rPr>
              <w:t>redacted</w:t>
            </w:r>
          </w:p>
        </w:tc>
        <w:tc>
          <w:tcPr>
            <w:tcW w:w="1618" w:type="dxa"/>
          </w:tcPr>
          <w:p w14:paraId="67EAADB7" w14:textId="2CDEC1F9" w:rsidR="00AB2D9C" w:rsidRPr="005971D3" w:rsidRDefault="00AB2D9C" w:rsidP="00FB47D5">
            <w:pPr>
              <w:pStyle w:val="BodyText"/>
              <w:spacing w:before="40" w:after="40"/>
              <w:rPr>
                <w:rFonts w:ascii="Arial Narrow" w:hAnsi="Arial Narrow"/>
                <w:sz w:val="20"/>
              </w:rPr>
            </w:pPr>
            <w:r w:rsidRPr="005971D3">
              <w:rPr>
                <w:rFonts w:ascii="Arial Narrow" w:hAnsi="Arial Narrow"/>
                <w:sz w:val="20"/>
              </w:rPr>
              <w:t>cost neutral</w:t>
            </w:r>
          </w:p>
        </w:tc>
      </w:tr>
    </w:tbl>
    <w:p w14:paraId="64B0DE0E" w14:textId="77777777" w:rsidR="00AB2D9C" w:rsidRPr="00FB47D5" w:rsidRDefault="00AB2D9C" w:rsidP="00FB47D5">
      <w:pPr>
        <w:pStyle w:val="BodyText"/>
        <w:spacing w:before="0" w:after="0"/>
        <w:rPr>
          <w:rFonts w:ascii="Arial Narrow" w:hAnsi="Arial Narrow"/>
          <w:sz w:val="18"/>
        </w:rPr>
      </w:pPr>
      <w:r w:rsidRPr="00FB47D5">
        <w:rPr>
          <w:rFonts w:ascii="Arial Narrow" w:hAnsi="Arial Narrow"/>
          <w:sz w:val="18"/>
        </w:rPr>
        <w:t>AFC = annualised FIX consumption; EHL = extended half-life; FIX = Factor IX; ICER = incremental cost effectiveness ratio; IU = international units; SHL = standard half-life; SOC = standard of care; yr = year.</w:t>
      </w:r>
    </w:p>
    <w:p w14:paraId="7043ABCE" w14:textId="77777777" w:rsidR="00AB2D9C" w:rsidRPr="00FB47D5" w:rsidRDefault="00AB2D9C" w:rsidP="00FB47D5">
      <w:pPr>
        <w:pStyle w:val="BodyText"/>
        <w:spacing w:before="0" w:after="0"/>
        <w:rPr>
          <w:rFonts w:ascii="Arial Narrow" w:hAnsi="Arial Narrow"/>
          <w:sz w:val="18"/>
        </w:rPr>
      </w:pPr>
      <w:r w:rsidRPr="00FB47D5">
        <w:rPr>
          <w:rFonts w:ascii="Arial Narrow" w:hAnsi="Arial Narrow"/>
          <w:sz w:val="18"/>
        </w:rPr>
        <w:t>Note: Analyses assume FIX replacement therapy for prophylaxis is 85% EHL, 15% SHL.</w:t>
      </w:r>
    </w:p>
    <w:p w14:paraId="25AE2BAC" w14:textId="5CEB3E6F" w:rsidR="00772829" w:rsidRDefault="00772829" w:rsidP="003758CD">
      <w:pPr>
        <w:pStyle w:val="Heading2"/>
        <w:numPr>
          <w:ilvl w:val="0"/>
          <w:numId w:val="28"/>
        </w:numPr>
      </w:pPr>
      <w:bookmarkStart w:id="58" w:name="_Toc69491426"/>
      <w:bookmarkEnd w:id="57"/>
      <w:r w:rsidRPr="00CE28E3">
        <w:lastRenderedPageBreak/>
        <w:t>Financial/budgetary impacts</w:t>
      </w:r>
      <w:bookmarkEnd w:id="58"/>
    </w:p>
    <w:p w14:paraId="03BF271D" w14:textId="7492247F" w:rsidR="00C562E3" w:rsidRDefault="00ED4088" w:rsidP="00D868BD">
      <w:pPr>
        <w:shd w:val="clear" w:color="auto" w:fill="BDD6EE" w:themeFill="accent1" w:themeFillTint="66"/>
      </w:pPr>
      <w:r>
        <w:t>W</w:t>
      </w:r>
      <w:r w:rsidR="006B01AA">
        <w:t>A</w:t>
      </w:r>
      <w:r w:rsidR="00626D21" w:rsidRPr="00E40A38">
        <w:t xml:space="preserve"> mixed epidemiology and market-based approach </w:t>
      </w:r>
      <w:r w:rsidR="006B01AA">
        <w:t xml:space="preserve">was used </w:t>
      </w:r>
      <w:r w:rsidR="00626D21" w:rsidRPr="00E40A38">
        <w:t xml:space="preserve">to estimate the uptake and financial implications for the proposed introduction of </w:t>
      </w:r>
      <w:r w:rsidR="00D71318">
        <w:t>ED</w:t>
      </w:r>
      <w:r w:rsidR="00D71318" w:rsidRPr="00E40A38">
        <w:t xml:space="preserve"> </w:t>
      </w:r>
      <w:r w:rsidR="00626D21" w:rsidRPr="00E40A38">
        <w:t>for the treatment of HMB</w:t>
      </w:r>
      <w:r w:rsidR="006B01AA">
        <w:t xml:space="preserve"> in Australia</w:t>
      </w:r>
      <w:r w:rsidR="00626D21" w:rsidRPr="00E40A38">
        <w:t>.</w:t>
      </w:r>
      <w:r w:rsidR="00D868BD">
        <w:t xml:space="preserve"> </w:t>
      </w:r>
      <w:r w:rsidR="001B6E5D" w:rsidRPr="001B6E5D">
        <w:t>The eligible patient population was estimated from ABDR data and assumed to have a stable growth rate.</w:t>
      </w:r>
    </w:p>
    <w:p w14:paraId="462ED06B" w14:textId="0E6989B3" w:rsidR="00643F2E" w:rsidRDefault="006B01AA" w:rsidP="000D1FE4">
      <w:r>
        <w:t>T</w:t>
      </w:r>
      <w:r w:rsidRPr="006B01AA">
        <w:t xml:space="preserve">he </w:t>
      </w:r>
      <w:r w:rsidR="00BC58F5">
        <w:t xml:space="preserve">ADAR claimed </w:t>
      </w:r>
      <w:r w:rsidR="002C78A8">
        <w:t xml:space="preserve">the </w:t>
      </w:r>
      <w:r w:rsidR="00D71318">
        <w:t xml:space="preserve">ED </w:t>
      </w:r>
      <w:r w:rsidR="00D83F84">
        <w:t xml:space="preserve">uptake </w:t>
      </w:r>
      <w:r w:rsidR="00DC3BCE">
        <w:t xml:space="preserve">estimates </w:t>
      </w:r>
      <w:r w:rsidRPr="006B01AA">
        <w:t xml:space="preserve">from the original </w:t>
      </w:r>
      <w:r w:rsidR="00D606D3">
        <w:t>application</w:t>
      </w:r>
      <w:r w:rsidRPr="006B01AA">
        <w:t xml:space="preserve"> </w:t>
      </w:r>
      <w:r w:rsidR="00DC3BCE">
        <w:t>were</w:t>
      </w:r>
      <w:r w:rsidRPr="006B01AA">
        <w:t xml:space="preserve"> realistic and probable</w:t>
      </w:r>
      <w:r w:rsidR="00084545">
        <w:t xml:space="preserve"> </w:t>
      </w:r>
      <w:r w:rsidR="003B397D">
        <w:t xml:space="preserve">and are </w:t>
      </w:r>
      <w:r w:rsidR="00084545">
        <w:t xml:space="preserve">supported </w:t>
      </w:r>
      <w:r w:rsidR="00B84FB9">
        <w:t xml:space="preserve">by </w:t>
      </w:r>
      <w:r w:rsidR="003B397D">
        <w:t>slow uptake in international markets</w:t>
      </w:r>
      <w:r w:rsidR="001169B8">
        <w:t>.</w:t>
      </w:r>
      <w:r w:rsidR="00C46425">
        <w:t xml:space="preserve"> </w:t>
      </w:r>
      <w:r w:rsidR="001169B8">
        <w:t>The ADAR</w:t>
      </w:r>
      <w:r w:rsidR="00C46425">
        <w:t xml:space="preserve"> </w:t>
      </w:r>
      <w:r w:rsidR="00643F2E" w:rsidRPr="00643F2E">
        <w:t xml:space="preserve">reiterated that a large influx of patients electing </w:t>
      </w:r>
      <w:r w:rsidR="005E7991">
        <w:t xml:space="preserve">to receive </w:t>
      </w:r>
      <w:r w:rsidR="00D71318">
        <w:t>ED</w:t>
      </w:r>
      <w:r w:rsidR="00D71318" w:rsidRPr="00643F2E">
        <w:t xml:space="preserve"> </w:t>
      </w:r>
      <w:r w:rsidR="00643F2E" w:rsidRPr="00643F2E">
        <w:t xml:space="preserve">in the first years </w:t>
      </w:r>
      <w:r w:rsidR="00093E30">
        <w:t>would be</w:t>
      </w:r>
      <w:r w:rsidR="00643F2E" w:rsidRPr="00643F2E">
        <w:t xml:space="preserve"> highly unlikely</w:t>
      </w:r>
      <w:r w:rsidR="001169B8">
        <w:t xml:space="preserve"> due to p</w:t>
      </w:r>
      <w:r w:rsidR="00915D3A">
        <w:t>atient considerations</w:t>
      </w:r>
      <w:r w:rsidR="001169B8">
        <w:t>,</w:t>
      </w:r>
      <w:r w:rsidR="00915D3A">
        <w:t xml:space="preserve"> includ</w:t>
      </w:r>
      <w:r w:rsidR="001169B8">
        <w:t>ing</w:t>
      </w:r>
      <w:r w:rsidR="00915D3A">
        <w:t xml:space="preserve"> their willingness or apprehension to receive innovative therapies</w:t>
      </w:r>
      <w:r w:rsidR="001169B8">
        <w:t xml:space="preserve">, as well as </w:t>
      </w:r>
      <w:r w:rsidR="00BD4CD5">
        <w:t>the</w:t>
      </w:r>
      <w:r w:rsidR="007B58C0">
        <w:t>ir</w:t>
      </w:r>
      <w:r w:rsidR="00BD4CD5">
        <w:t xml:space="preserve"> </w:t>
      </w:r>
      <w:r w:rsidR="00643F2E" w:rsidRPr="00643F2E">
        <w:t xml:space="preserve">‘suitability’ </w:t>
      </w:r>
      <w:r w:rsidR="00174B6E">
        <w:t>to</w:t>
      </w:r>
      <w:r w:rsidR="00643F2E" w:rsidRPr="00643F2E">
        <w:t xml:space="preserve"> receive gene therapy</w:t>
      </w:r>
      <w:r w:rsidR="00D8759A">
        <w:t>, which</w:t>
      </w:r>
      <w:r w:rsidR="00643F2E" w:rsidRPr="00643F2E">
        <w:t xml:space="preserve"> </w:t>
      </w:r>
      <w:r w:rsidR="004C1C6D">
        <w:t>encompasses</w:t>
      </w:r>
      <w:r w:rsidR="00643F2E" w:rsidRPr="00643F2E">
        <w:t xml:space="preserve"> career </w:t>
      </w:r>
      <w:r w:rsidR="00CE05A8">
        <w:t>and travel</w:t>
      </w:r>
      <w:r w:rsidR="00643F2E" w:rsidRPr="00643F2E">
        <w:t xml:space="preserve"> plans, </w:t>
      </w:r>
      <w:r w:rsidR="004C1C6D">
        <w:t>as well as</w:t>
      </w:r>
      <w:r w:rsidR="00643F2E" w:rsidRPr="00643F2E">
        <w:t xml:space="preserve"> </w:t>
      </w:r>
      <w:r w:rsidR="00CE05A8">
        <w:t>their</w:t>
      </w:r>
      <w:r w:rsidR="00643F2E" w:rsidRPr="00643F2E">
        <w:t xml:space="preserve"> ability to follow the post</w:t>
      </w:r>
      <w:r w:rsidR="00251AC1">
        <w:t xml:space="preserve"> </w:t>
      </w:r>
      <w:r w:rsidR="00643F2E" w:rsidRPr="00643F2E">
        <w:t xml:space="preserve">dose monitoring requirements. </w:t>
      </w:r>
      <w:r w:rsidR="00FA49A6">
        <w:t>H</w:t>
      </w:r>
      <w:r w:rsidR="00882571">
        <w:t xml:space="preserve">owever, </w:t>
      </w:r>
      <w:r w:rsidR="00B13886">
        <w:t xml:space="preserve">the ADAR acknowledged </w:t>
      </w:r>
      <w:r w:rsidR="008456C9">
        <w:t xml:space="preserve">inherent uncertainty in the estimates and the commentary noted </w:t>
      </w:r>
      <w:r w:rsidR="00882571">
        <w:t xml:space="preserve">that </w:t>
      </w:r>
      <w:r w:rsidR="00374840">
        <w:t>uptake</w:t>
      </w:r>
      <w:r w:rsidR="00882571">
        <w:t xml:space="preserve"> of </w:t>
      </w:r>
      <w:r w:rsidR="00D71318">
        <w:t xml:space="preserve">ED </w:t>
      </w:r>
      <w:r w:rsidR="00882571">
        <w:t xml:space="preserve">could increase as more data on </w:t>
      </w:r>
      <w:r w:rsidR="008E7B4A">
        <w:t>longer</w:t>
      </w:r>
      <w:r w:rsidR="00882571">
        <w:t xml:space="preserve">-term safety and efficacy </w:t>
      </w:r>
      <w:r w:rsidR="008E7B4A">
        <w:t xml:space="preserve">of </w:t>
      </w:r>
      <w:r w:rsidR="00D71318">
        <w:t xml:space="preserve">ED </w:t>
      </w:r>
      <w:r w:rsidR="00882571">
        <w:t>becomes available.</w:t>
      </w:r>
    </w:p>
    <w:p w14:paraId="193B8399" w14:textId="26B044AC" w:rsidR="009C548C" w:rsidRDefault="00D05DD4" w:rsidP="000D1FE4">
      <w:r w:rsidRPr="00D05DD4">
        <w:t xml:space="preserve">As per the updated </w:t>
      </w:r>
      <w:r w:rsidR="00F76EF0">
        <w:t>risk-share proposal</w:t>
      </w:r>
      <w:r w:rsidRPr="00D05DD4">
        <w:t xml:space="preserve">, the </w:t>
      </w:r>
      <w:r w:rsidR="001C678A">
        <w:t xml:space="preserve">financial estimates </w:t>
      </w:r>
      <w:r w:rsidR="00E9393C">
        <w:t>assume</w:t>
      </w:r>
      <w:r w:rsidR="00A469BB">
        <w:t>d</w:t>
      </w:r>
      <w:r w:rsidR="00E9393C">
        <w:t xml:space="preserve"> the </w:t>
      </w:r>
      <w:r w:rsidRPr="00D05DD4">
        <w:t xml:space="preserve">total cost </w:t>
      </w:r>
      <w:r w:rsidR="008E1030">
        <w:t xml:space="preserve">per </w:t>
      </w:r>
      <w:r w:rsidR="00D71318">
        <w:t>ED</w:t>
      </w:r>
      <w:r w:rsidR="00D71318" w:rsidRPr="00D05DD4">
        <w:t xml:space="preserve"> </w:t>
      </w:r>
      <w:r w:rsidR="00100261">
        <w:t xml:space="preserve">infusion </w:t>
      </w:r>
      <w:r w:rsidR="00A469BB" w:rsidRPr="00112908">
        <w:t>wa</w:t>
      </w:r>
      <w:r w:rsidRPr="00112908">
        <w:t xml:space="preserve">s </w:t>
      </w:r>
      <w:r w:rsidR="001F730D" w:rsidRPr="00D84B66">
        <w:rPr>
          <w:b/>
          <w:bCs/>
        </w:rPr>
        <w:t>redacted</w:t>
      </w:r>
      <w:r w:rsidRPr="00D05DD4">
        <w:t xml:space="preserve"> that </w:t>
      </w:r>
      <w:r w:rsidR="006F2625">
        <w:t>we</w:t>
      </w:r>
      <w:r w:rsidRPr="00D05DD4">
        <w:t xml:space="preserve">re linked to an outcomes-based agreement. </w:t>
      </w:r>
      <w:r w:rsidR="00FB6BE9">
        <w:t>The</w:t>
      </w:r>
      <w:r w:rsidRPr="00D05DD4">
        <w:t xml:space="preserve"> base</w:t>
      </w:r>
      <w:r w:rsidR="00F140D1">
        <w:t xml:space="preserve"> </w:t>
      </w:r>
      <w:r w:rsidRPr="00D05DD4">
        <w:t xml:space="preserve">case </w:t>
      </w:r>
      <w:r w:rsidR="00FB6BE9">
        <w:t xml:space="preserve">conservatively </w:t>
      </w:r>
      <w:r w:rsidRPr="00D05DD4">
        <w:t>assume</w:t>
      </w:r>
      <w:r w:rsidR="00FB6BE9">
        <w:t xml:space="preserve">d </w:t>
      </w:r>
      <w:r w:rsidRPr="00D05DD4">
        <w:t xml:space="preserve">that no patients </w:t>
      </w:r>
      <w:r w:rsidR="00FB6BE9">
        <w:t>fail</w:t>
      </w:r>
      <w:r w:rsidRPr="00D05DD4">
        <w:t xml:space="preserve"> treatment, and thus the financial analysis include</w:t>
      </w:r>
      <w:r w:rsidR="00FB6BE9">
        <w:t>d</w:t>
      </w:r>
      <w:r w:rsidRPr="00D05DD4">
        <w:t xml:space="preserve"> the full cost of </w:t>
      </w:r>
      <w:r w:rsidR="00D71318">
        <w:t>ED</w:t>
      </w:r>
      <w:r w:rsidR="00D71318" w:rsidRPr="00D05DD4">
        <w:t xml:space="preserve"> </w:t>
      </w:r>
      <w:r w:rsidRPr="00D05DD4">
        <w:t>for each patient</w:t>
      </w:r>
      <w:r w:rsidR="00B5220F">
        <w:t xml:space="preserve"> over the 6-year projection period</w:t>
      </w:r>
      <w:r w:rsidR="004A1895">
        <w:t xml:space="preserve"> (noting</w:t>
      </w:r>
      <w:r w:rsidR="00D74AE4" w:rsidRPr="00D05DD4">
        <w:t xml:space="preserve"> that </w:t>
      </w:r>
      <w:r w:rsidR="00BC46A7">
        <w:t>6 years was insufficient</w:t>
      </w:r>
      <w:r w:rsidR="00D74AE4">
        <w:t xml:space="preserve"> </w:t>
      </w:r>
      <w:r w:rsidR="002D045A">
        <w:t xml:space="preserve">to </w:t>
      </w:r>
      <w:r w:rsidR="00D74AE4">
        <w:t>capture all</w:t>
      </w:r>
      <w:r w:rsidR="00D74AE4" w:rsidRPr="00D05DD4">
        <w:t xml:space="preserve"> payments</w:t>
      </w:r>
      <w:r w:rsidR="004A1895">
        <w:t>)</w:t>
      </w:r>
      <w:r w:rsidR="00D74AE4" w:rsidRPr="00D05DD4">
        <w:t>.</w:t>
      </w:r>
    </w:p>
    <w:p w14:paraId="121B2431" w14:textId="7CDB894F" w:rsidR="004D75AA" w:rsidRDefault="00BC46A7" w:rsidP="000D1FE4">
      <w:r>
        <w:t xml:space="preserve">The </w:t>
      </w:r>
      <w:r w:rsidR="00485253">
        <w:t>financial analysis</w:t>
      </w:r>
      <w:r>
        <w:t xml:space="preserve"> captured</w:t>
      </w:r>
      <w:r w:rsidR="00BC05AA" w:rsidRPr="00BC05AA">
        <w:t xml:space="preserve"> costs related to screening, </w:t>
      </w:r>
      <w:r w:rsidR="00882E84">
        <w:t>administration</w:t>
      </w:r>
      <w:r w:rsidR="00BC05AA" w:rsidRPr="00BC05AA">
        <w:t>, management of infusion</w:t>
      </w:r>
      <w:r w:rsidR="00882E84">
        <w:t>-</w:t>
      </w:r>
      <w:r w:rsidR="00BC05AA" w:rsidRPr="00BC05AA">
        <w:t xml:space="preserve">related reactions </w:t>
      </w:r>
      <w:r w:rsidR="00BC05AA">
        <w:t>(</w:t>
      </w:r>
      <w:r w:rsidR="00BC05AA" w:rsidRPr="00BC05AA">
        <w:t xml:space="preserve">raised transaminases </w:t>
      </w:r>
      <w:r w:rsidR="002B1A41">
        <w:t xml:space="preserve">treated with oral corticosteroids) </w:t>
      </w:r>
      <w:r w:rsidR="00BC05AA" w:rsidRPr="00BC05AA">
        <w:t xml:space="preserve">and long-term monitoring </w:t>
      </w:r>
      <w:r w:rsidR="00A37BAF">
        <w:t xml:space="preserve">of </w:t>
      </w:r>
      <w:r w:rsidR="004C78A1">
        <w:t xml:space="preserve">liver function and FIX activity </w:t>
      </w:r>
      <w:r w:rsidR="003129FC">
        <w:t>(</w:t>
      </w:r>
      <w:r w:rsidR="00A26A20">
        <w:t xml:space="preserve">although </w:t>
      </w:r>
      <w:r w:rsidR="004D75AA">
        <w:t>the calculations</w:t>
      </w:r>
      <w:r w:rsidR="00A26A20">
        <w:t xml:space="preserve"> </w:t>
      </w:r>
      <w:r w:rsidR="00A23AE6">
        <w:t xml:space="preserve">only </w:t>
      </w:r>
      <w:r w:rsidR="004D75AA">
        <w:t>accounted</w:t>
      </w:r>
      <w:r w:rsidR="00A23AE6">
        <w:t xml:space="preserve"> for</w:t>
      </w:r>
      <w:r w:rsidR="00BC05AA" w:rsidRPr="00BC05AA">
        <w:t xml:space="preserve"> 5 years</w:t>
      </w:r>
      <w:r w:rsidR="00932178">
        <w:t xml:space="preserve">, </w:t>
      </w:r>
      <w:r w:rsidR="00477E5B">
        <w:t xml:space="preserve">rather than </w:t>
      </w:r>
      <w:r w:rsidR="00477E5B" w:rsidRPr="00112908">
        <w:t xml:space="preserve">the </w:t>
      </w:r>
      <w:r w:rsidR="00050D4B" w:rsidRPr="00D84B66">
        <w:rPr>
          <w:b/>
          <w:bCs/>
        </w:rPr>
        <w:t>r</w:t>
      </w:r>
      <w:r w:rsidR="00112908" w:rsidRPr="00D84B66">
        <w:rPr>
          <w:b/>
          <w:bCs/>
        </w:rPr>
        <w:t>edacted</w:t>
      </w:r>
      <w:r w:rsidR="003129FC">
        <w:t>)</w:t>
      </w:r>
      <w:r w:rsidR="002B1A41">
        <w:t>.</w:t>
      </w:r>
      <w:r w:rsidR="0086737A">
        <w:t xml:space="preserve"> </w:t>
      </w:r>
      <w:r w:rsidR="0086737A" w:rsidRPr="0086737A">
        <w:t xml:space="preserve">For simplicity in the </w:t>
      </w:r>
      <w:r w:rsidR="004D75AA">
        <w:t>financial analysis</w:t>
      </w:r>
      <w:r w:rsidR="0086737A" w:rsidRPr="0086737A">
        <w:t xml:space="preserve">, </w:t>
      </w:r>
      <w:r w:rsidR="0032724D">
        <w:t>healthcare resource use</w:t>
      </w:r>
      <w:r w:rsidR="0086737A" w:rsidRPr="0086737A">
        <w:t xml:space="preserve"> </w:t>
      </w:r>
      <w:r w:rsidR="004C78A1">
        <w:t xml:space="preserve">costs </w:t>
      </w:r>
      <w:r w:rsidR="0086737A">
        <w:t>we</w:t>
      </w:r>
      <w:r w:rsidR="0086737A" w:rsidRPr="0086737A">
        <w:t>re all assumed to occur in the year</w:t>
      </w:r>
      <w:r w:rsidR="00AB682B">
        <w:t xml:space="preserve"> that </w:t>
      </w:r>
      <w:r w:rsidR="00D71318">
        <w:t xml:space="preserve">ED </w:t>
      </w:r>
      <w:r w:rsidR="00ED4911">
        <w:t>was administered</w:t>
      </w:r>
      <w:r w:rsidR="0086737A" w:rsidRPr="0086737A">
        <w:t>.</w:t>
      </w:r>
      <w:r w:rsidR="008456C9">
        <w:t xml:space="preserve"> </w:t>
      </w:r>
    </w:p>
    <w:p w14:paraId="688F3E6E" w14:textId="4F1EA8D6" w:rsidR="00476C0A" w:rsidRDefault="00A14CAA" w:rsidP="000D1FE4">
      <w:r>
        <w:t xml:space="preserve">The commentary noted that </w:t>
      </w:r>
      <w:r w:rsidR="007B5F74">
        <w:t xml:space="preserve">screening </w:t>
      </w:r>
      <w:r w:rsidR="00795992">
        <w:t xml:space="preserve">costs </w:t>
      </w:r>
      <w:r w:rsidR="00657E1D">
        <w:t>were likely underestimated</w:t>
      </w:r>
      <w:r w:rsidR="00523CCF">
        <w:t xml:space="preserve"> </w:t>
      </w:r>
      <w:r w:rsidR="00BC2297">
        <w:t xml:space="preserve">because these costs were applied to patients who </w:t>
      </w:r>
      <w:r w:rsidR="46C2EAC8">
        <w:t>receive</w:t>
      </w:r>
      <w:r w:rsidR="2EEB2609">
        <w:t>d</w:t>
      </w:r>
      <w:r w:rsidR="00BC2297">
        <w:t xml:space="preserve"> </w:t>
      </w:r>
      <w:r w:rsidR="00D71318">
        <w:t xml:space="preserve">ED </w:t>
      </w:r>
      <w:r w:rsidR="00BC2297">
        <w:t xml:space="preserve">rather than </w:t>
      </w:r>
      <w:r w:rsidR="00D53553">
        <w:t xml:space="preserve">those </w:t>
      </w:r>
      <w:r w:rsidR="00BC2297">
        <w:t xml:space="preserve">screened for eligibility. The additional cost to the MBS for screen failures </w:t>
      </w:r>
      <w:r w:rsidR="00476C0A">
        <w:t>would</w:t>
      </w:r>
      <w:r w:rsidR="00BC2297">
        <w:t xml:space="preserve"> become material if the proportion of HMB patients who are willing to receive </w:t>
      </w:r>
      <w:r w:rsidR="00D71318">
        <w:t xml:space="preserve">ED </w:t>
      </w:r>
      <w:r w:rsidR="00BC2297">
        <w:t>is higher than anticipated in the ADAR.</w:t>
      </w:r>
    </w:p>
    <w:p w14:paraId="1F9173D9" w14:textId="1FB8E6D1" w:rsidR="00A14CAA" w:rsidRDefault="00476C0A" w:rsidP="000D1FE4">
      <w:r>
        <w:t>C</w:t>
      </w:r>
      <w:r w:rsidR="00192C2C">
        <w:t xml:space="preserve">osts for </w:t>
      </w:r>
      <w:r w:rsidR="00FD2CB0">
        <w:t>multidisciplinary team meetin</w:t>
      </w:r>
      <w:r w:rsidR="00170DA0">
        <w:t xml:space="preserve">gs, </w:t>
      </w:r>
      <w:r w:rsidR="0021792E">
        <w:t>counselling</w:t>
      </w:r>
      <w:r w:rsidR="00EB0E06">
        <w:t>/psychosocial support</w:t>
      </w:r>
      <w:r w:rsidR="0021792E">
        <w:t xml:space="preserve"> </w:t>
      </w:r>
      <w:r w:rsidR="00987B7B">
        <w:t>(</w:t>
      </w:r>
      <w:r w:rsidR="00DD30B9">
        <w:t>outlined</w:t>
      </w:r>
      <w:r w:rsidR="00987B7B">
        <w:t xml:space="preserve"> in the AHCDO</w:t>
      </w:r>
      <w:r w:rsidR="00782A4E">
        <w:t xml:space="preserve"> </w:t>
      </w:r>
      <w:r w:rsidR="00782A4E" w:rsidRPr="00E40A38">
        <w:t>Gene Therapy Roadmap)</w:t>
      </w:r>
      <w:r w:rsidR="00747801">
        <w:t>, baseline hep</w:t>
      </w:r>
      <w:r w:rsidR="00705A88">
        <w:t>atic ultrasound</w:t>
      </w:r>
      <w:r w:rsidR="00987B7B">
        <w:t xml:space="preserve"> </w:t>
      </w:r>
      <w:r w:rsidR="0021792E">
        <w:t xml:space="preserve">and </w:t>
      </w:r>
      <w:r w:rsidR="00192C2C">
        <w:t>management of adverse events</w:t>
      </w:r>
      <w:r w:rsidR="004B5BFA">
        <w:t xml:space="preserve"> (</w:t>
      </w:r>
      <w:r w:rsidR="00C6465D">
        <w:t xml:space="preserve">such as hypersensitivity reactions or </w:t>
      </w:r>
      <w:r w:rsidR="00D74AE4">
        <w:t>bleeding</w:t>
      </w:r>
      <w:r w:rsidR="004B5BFA">
        <w:t>)</w:t>
      </w:r>
      <w:r w:rsidR="00192C2C">
        <w:t xml:space="preserve"> were not incorporated</w:t>
      </w:r>
      <w:r w:rsidR="006E6798">
        <w:t xml:space="preserve"> in the financial analyses</w:t>
      </w:r>
      <w:r w:rsidR="00600AEA">
        <w:t>.</w:t>
      </w:r>
      <w:r w:rsidR="00CE7141">
        <w:t xml:space="preserve"> </w:t>
      </w:r>
    </w:p>
    <w:p w14:paraId="2A45AFE6" w14:textId="40167594" w:rsidR="00EB7F2E" w:rsidRDefault="00483081" w:rsidP="000D1FE4">
      <w:r>
        <w:t xml:space="preserve">The financial impact of </w:t>
      </w:r>
      <w:r w:rsidR="00D71318">
        <w:t>ED</w:t>
      </w:r>
      <w:r>
        <w:t xml:space="preserve"> </w:t>
      </w:r>
      <w:r w:rsidR="00FC79F4">
        <w:t xml:space="preserve">to the </w:t>
      </w:r>
      <w:r w:rsidR="00254485">
        <w:t>N</w:t>
      </w:r>
      <w:r w:rsidR="00FC79F4">
        <w:t xml:space="preserve">ational </w:t>
      </w:r>
      <w:r w:rsidR="00254485">
        <w:t>B</w:t>
      </w:r>
      <w:r w:rsidR="00FC79F4">
        <w:t xml:space="preserve">lood </w:t>
      </w:r>
      <w:r w:rsidR="00254485">
        <w:t>A</w:t>
      </w:r>
      <w:r w:rsidR="00FC79F4">
        <w:t xml:space="preserve">greement and other </w:t>
      </w:r>
      <w:r w:rsidR="003E5629">
        <w:t xml:space="preserve">government </w:t>
      </w:r>
      <w:r w:rsidR="00FC79F4">
        <w:t xml:space="preserve">health </w:t>
      </w:r>
      <w:r w:rsidR="003E5629">
        <w:t xml:space="preserve">budgets </w:t>
      </w:r>
      <w:r>
        <w:t>is shown in</w:t>
      </w:r>
      <w:r w:rsidR="00C758CD">
        <w:t xml:space="preserve"> </w:t>
      </w:r>
      <w:r w:rsidR="00663770">
        <w:fldChar w:fldCharType="begin"/>
      </w:r>
      <w:r w:rsidR="00663770">
        <w:instrText xml:space="preserve"> REF _Ref207986766 \h </w:instrText>
      </w:r>
      <w:r w:rsidR="00663770">
        <w:fldChar w:fldCharType="separate"/>
      </w:r>
      <w:r w:rsidR="00663770">
        <w:t xml:space="preserve">Table </w:t>
      </w:r>
      <w:r w:rsidR="00663770">
        <w:rPr>
          <w:noProof/>
        </w:rPr>
        <w:t>17</w:t>
      </w:r>
      <w:r w:rsidR="00663770">
        <w:fldChar w:fldCharType="end"/>
      </w:r>
      <w:r w:rsidR="00FC79F4">
        <w:t>.</w:t>
      </w:r>
      <w:r w:rsidR="00137120">
        <w:t xml:space="preserve"> </w:t>
      </w:r>
      <w:r w:rsidR="00DA0F94">
        <w:t>MBS costs were calculated using 100% of the schedule fee (including patient copayment</w:t>
      </w:r>
      <w:r w:rsidR="00DA0F94" w:rsidRPr="00832B89">
        <w:t xml:space="preserve">). </w:t>
      </w:r>
      <w:r w:rsidR="00FF7CD6" w:rsidRPr="00832B89">
        <w:t>The</w:t>
      </w:r>
      <w:r w:rsidR="518C0363" w:rsidRPr="00832B89">
        <w:t xml:space="preserve"> financial</w:t>
      </w:r>
      <w:r w:rsidR="00FF7CD6" w:rsidRPr="00832B89">
        <w:t xml:space="preserve"> estimates</w:t>
      </w:r>
      <w:r w:rsidR="46C78BB8" w:rsidRPr="00832B89">
        <w:t xml:space="preserve"> presented in </w:t>
      </w:r>
      <w:r w:rsidR="00900E03">
        <w:fldChar w:fldCharType="begin"/>
      </w:r>
      <w:r w:rsidR="00900E03">
        <w:instrText xml:space="preserve"> REF _Ref207986766 \h </w:instrText>
      </w:r>
      <w:r w:rsidR="00900E03">
        <w:fldChar w:fldCharType="separate"/>
      </w:r>
      <w:r w:rsidR="00900E03">
        <w:t xml:space="preserve">Table </w:t>
      </w:r>
      <w:r w:rsidR="00900E03">
        <w:rPr>
          <w:noProof/>
        </w:rPr>
        <w:t>17</w:t>
      </w:r>
      <w:r w:rsidR="00900E03">
        <w:fldChar w:fldCharType="end"/>
      </w:r>
      <w:r w:rsidR="00900E03">
        <w:t xml:space="preserve"> </w:t>
      </w:r>
      <w:r w:rsidR="005C305D" w:rsidRPr="00832B89">
        <w:t>are</w:t>
      </w:r>
      <w:r w:rsidR="00367E4C" w:rsidRPr="00832B89">
        <w:t xml:space="preserve"> slightly </w:t>
      </w:r>
      <w:r w:rsidR="005C305D" w:rsidRPr="00832B89">
        <w:t>different</w:t>
      </w:r>
      <w:r w:rsidR="00367E4C" w:rsidRPr="00832B89">
        <w:t xml:space="preserve"> </w:t>
      </w:r>
      <w:r w:rsidR="00F60B72" w:rsidRPr="00832B89">
        <w:t xml:space="preserve">from those provided in the ADAR because </w:t>
      </w:r>
      <w:r w:rsidR="00CC1417" w:rsidRPr="00832B89">
        <w:t xml:space="preserve">they incorporate </w:t>
      </w:r>
      <w:r w:rsidR="008519B2" w:rsidRPr="00832B89">
        <w:t xml:space="preserve">the cost of a </w:t>
      </w:r>
      <w:r w:rsidR="00291351" w:rsidRPr="00832B89">
        <w:t>baseline liver ultrasound in all patients</w:t>
      </w:r>
      <w:r w:rsidR="00D168FA" w:rsidRPr="00832B89">
        <w:t>,</w:t>
      </w:r>
      <w:r w:rsidR="00D168FA">
        <w:t xml:space="preserve"> </w:t>
      </w:r>
      <w:r w:rsidR="00CA3A85">
        <w:t xml:space="preserve">assume corticosteroid use in 16.7% of </w:t>
      </w:r>
      <w:r w:rsidR="00D20661">
        <w:t>patients (from HOPE-B</w:t>
      </w:r>
      <w:r w:rsidR="00291351">
        <w:t>) and</w:t>
      </w:r>
      <w:r w:rsidR="00CC1417">
        <w:t xml:space="preserve"> correct</w:t>
      </w:r>
      <w:r w:rsidR="0019168E">
        <w:t xml:space="preserve"> the calculation of</w:t>
      </w:r>
      <w:r w:rsidR="00CC1417">
        <w:t xml:space="preserve"> </w:t>
      </w:r>
      <w:r w:rsidR="005117AF">
        <w:t xml:space="preserve">FIX </w:t>
      </w:r>
      <w:r w:rsidR="0019168E">
        <w:t>costs</w:t>
      </w:r>
      <w:r w:rsidR="00291351">
        <w:t>.</w:t>
      </w:r>
    </w:p>
    <w:p w14:paraId="3141D925" w14:textId="52E60884" w:rsidR="003B7B41" w:rsidRDefault="00EF4CB8" w:rsidP="000D1FE4">
      <w:r w:rsidRPr="00EF4CB8">
        <w:t>The estimates assume</w:t>
      </w:r>
      <w:r w:rsidR="00EB7F2E">
        <w:t>d</w:t>
      </w:r>
      <w:r w:rsidRPr="00EF4CB8">
        <w:t xml:space="preserve"> an average of 9,740 IU/year FIX </w:t>
      </w:r>
      <w:r w:rsidR="007C6155">
        <w:t xml:space="preserve">replacement therapy </w:t>
      </w:r>
      <w:r w:rsidRPr="00EF4CB8">
        <w:t xml:space="preserve">after treatment with </w:t>
      </w:r>
      <w:r w:rsidR="00D71318">
        <w:t>ED</w:t>
      </w:r>
      <w:r w:rsidRPr="00EF4CB8">
        <w:t xml:space="preserve">, based on 4-year data from </w:t>
      </w:r>
      <w:r w:rsidR="00EB7F2E">
        <w:t xml:space="preserve">the </w:t>
      </w:r>
      <w:r w:rsidRPr="00EF4CB8">
        <w:t>HOPE-B</w:t>
      </w:r>
      <w:r w:rsidR="00EB7F2E">
        <w:t xml:space="preserve"> study</w:t>
      </w:r>
      <w:r w:rsidRPr="00EF4CB8">
        <w:t xml:space="preserve">. Costs </w:t>
      </w:r>
      <w:r w:rsidR="00EB7F2E">
        <w:t>we</w:t>
      </w:r>
      <w:r w:rsidRPr="00EF4CB8">
        <w:t>re calculated using $</w:t>
      </w:r>
      <w:r w:rsidR="0087751D" w:rsidRPr="00D84B66">
        <w:rPr>
          <w:b/>
          <w:bCs/>
        </w:rPr>
        <w:t>redacted</w:t>
      </w:r>
      <w:r w:rsidRPr="00EF4CB8">
        <w:t xml:space="preserve">/IU for </w:t>
      </w:r>
      <w:proofErr w:type="spellStart"/>
      <w:r w:rsidRPr="00EF4CB8">
        <w:t>Alprolix</w:t>
      </w:r>
      <w:proofErr w:type="spellEnd"/>
      <w:r w:rsidRPr="00EF4CB8">
        <w:t xml:space="preserve"> (</w:t>
      </w:r>
      <w:r w:rsidR="00B13FA0" w:rsidRPr="007E5742">
        <w:t>EHL</w:t>
      </w:r>
      <w:r w:rsidRPr="00EF4CB8">
        <w:t>) and $</w:t>
      </w:r>
      <w:r w:rsidR="0087751D" w:rsidRPr="00D84B66">
        <w:rPr>
          <w:b/>
          <w:bCs/>
        </w:rPr>
        <w:t>redacted</w:t>
      </w:r>
      <w:r w:rsidR="0087751D" w:rsidRPr="00D84B66">
        <w:t>/</w:t>
      </w:r>
      <w:r w:rsidRPr="0087751D">
        <w:t xml:space="preserve">IU for </w:t>
      </w:r>
      <w:proofErr w:type="spellStart"/>
      <w:r w:rsidRPr="0087751D">
        <w:t>Benefix</w:t>
      </w:r>
      <w:proofErr w:type="spellEnd"/>
      <w:r w:rsidRPr="0087751D">
        <w:t xml:space="preserve"> (SHL),</w:t>
      </w:r>
      <w:r w:rsidRPr="00EF4CB8">
        <w:t xml:space="preserve"> assuming </w:t>
      </w:r>
      <w:r w:rsidR="00B4260F">
        <w:t xml:space="preserve">EHL has </w:t>
      </w:r>
      <w:r w:rsidR="00C619BF" w:rsidRPr="00EF4CB8">
        <w:t>85% market share</w:t>
      </w:r>
      <w:r w:rsidR="00EB7F2E">
        <w:t xml:space="preserve">. </w:t>
      </w:r>
      <w:r w:rsidR="00554ED3">
        <w:t xml:space="preserve">The commentary noted that </w:t>
      </w:r>
      <w:r w:rsidR="000C3779">
        <w:t xml:space="preserve">the total </w:t>
      </w:r>
      <w:r w:rsidR="00BD6159">
        <w:t xml:space="preserve">cost of FIX use after treatment with </w:t>
      </w:r>
      <w:r w:rsidR="00D71318">
        <w:t xml:space="preserve">ED </w:t>
      </w:r>
      <w:r w:rsidR="00BD6159">
        <w:t>is underestimated</w:t>
      </w:r>
      <w:r w:rsidR="00E70784">
        <w:t xml:space="preserve"> because </w:t>
      </w:r>
      <w:r w:rsidR="00C2303B">
        <w:t>the calculations</w:t>
      </w:r>
      <w:r w:rsidR="00971A0A">
        <w:t xml:space="preserve"> exclude</w:t>
      </w:r>
      <w:r w:rsidR="00C2303B">
        <w:t xml:space="preserve">d </w:t>
      </w:r>
      <w:r w:rsidR="00710F5F">
        <w:t>FIX use during invasive procedures and</w:t>
      </w:r>
      <w:r w:rsidR="00C2303B">
        <w:t xml:space="preserve"> during</w:t>
      </w:r>
      <w:r w:rsidR="00971A0A">
        <w:t xml:space="preserve"> the first 21 days after </w:t>
      </w:r>
      <w:r w:rsidR="00D71318">
        <w:t xml:space="preserve">ED </w:t>
      </w:r>
      <w:r w:rsidR="00971A0A">
        <w:t>administration when patients remain on routine FIX prophylaxis</w:t>
      </w:r>
      <w:r w:rsidR="007D2B58">
        <w:t>.</w:t>
      </w:r>
    </w:p>
    <w:p w14:paraId="33FCA9D4" w14:textId="7BB884FF" w:rsidR="00D428B9" w:rsidRDefault="00C758CD" w:rsidP="00C758CD">
      <w:pPr>
        <w:pStyle w:val="Caption"/>
        <w:rPr>
          <w:rFonts w:cstheme="minorHAnsi"/>
          <w:lang w:val="en-US"/>
        </w:rPr>
      </w:pPr>
      <w:bookmarkStart w:id="59" w:name="_Ref207986766"/>
      <w:bookmarkStart w:id="60" w:name="_Ref194958446"/>
      <w:r>
        <w:lastRenderedPageBreak/>
        <w:t xml:space="preserve">Table </w:t>
      </w:r>
      <w:r>
        <w:fldChar w:fldCharType="begin"/>
      </w:r>
      <w:r>
        <w:instrText xml:space="preserve"> SEQ Table \* ARABIC </w:instrText>
      </w:r>
      <w:r>
        <w:fldChar w:fldCharType="separate"/>
      </w:r>
      <w:r>
        <w:rPr>
          <w:noProof/>
        </w:rPr>
        <w:t>17</w:t>
      </w:r>
      <w:r>
        <w:rPr>
          <w:noProof/>
        </w:rPr>
        <w:fldChar w:fldCharType="end"/>
      </w:r>
      <w:bookmarkEnd w:id="59"/>
      <w:r>
        <w:t xml:space="preserve"> </w:t>
      </w:r>
      <w:bookmarkEnd w:id="60"/>
      <w:r w:rsidR="008C79E5">
        <w:rPr>
          <w:rFonts w:cstheme="minorHAnsi"/>
          <w:lang w:val="en-US"/>
        </w:rPr>
        <w:t xml:space="preserve">Financial implications of funding </w:t>
      </w:r>
      <w:r w:rsidR="00D71318">
        <w:rPr>
          <w:rFonts w:cstheme="minorHAnsi"/>
          <w:lang w:val="en-US"/>
        </w:rPr>
        <w:t>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inancial implications of funding Hemgenix"/>
        <w:tblDescription w:val="This table summarises the financial implications of funding Hemgenix over the first 6 years. It includes the overall net financial impact of funding Hemgenix to all government budgets and specifically to the National Blood Agreement."/>
      </w:tblPr>
      <w:tblGrid>
        <w:gridCol w:w="1980"/>
        <w:gridCol w:w="1134"/>
        <w:gridCol w:w="1134"/>
        <w:gridCol w:w="1134"/>
        <w:gridCol w:w="1134"/>
        <w:gridCol w:w="1276"/>
        <w:gridCol w:w="1224"/>
      </w:tblGrid>
      <w:tr w:rsidR="00705437" w:rsidRPr="001D4632" w14:paraId="279608E1" w14:textId="77777777" w:rsidTr="005D76F9">
        <w:trPr>
          <w:tblHeader/>
        </w:trPr>
        <w:tc>
          <w:tcPr>
            <w:tcW w:w="1980" w:type="dxa"/>
            <w:tcMar>
              <w:left w:w="85" w:type="dxa"/>
              <w:right w:w="85" w:type="dxa"/>
            </w:tcMar>
          </w:tcPr>
          <w:p w14:paraId="377EF493" w14:textId="487E0EF6" w:rsidR="001D4632" w:rsidRPr="001D4632" w:rsidRDefault="00D870B3" w:rsidP="003960F7">
            <w:pPr>
              <w:pStyle w:val="In-tableHeading"/>
            </w:pPr>
            <w:r>
              <w:t>Parameter</w:t>
            </w:r>
          </w:p>
        </w:tc>
        <w:tc>
          <w:tcPr>
            <w:tcW w:w="1134" w:type="dxa"/>
            <w:tcMar>
              <w:left w:w="85" w:type="dxa"/>
              <w:right w:w="85" w:type="dxa"/>
            </w:tcMar>
          </w:tcPr>
          <w:p w14:paraId="1C797848" w14:textId="77777777" w:rsidR="001D4632" w:rsidRPr="001D4632" w:rsidRDefault="001D4632" w:rsidP="008D05A8">
            <w:pPr>
              <w:pStyle w:val="In-tableHeading"/>
              <w:jc w:val="right"/>
            </w:pPr>
            <w:r w:rsidRPr="001D4632">
              <w:t>Year 1</w:t>
            </w:r>
          </w:p>
        </w:tc>
        <w:tc>
          <w:tcPr>
            <w:tcW w:w="1134" w:type="dxa"/>
            <w:tcMar>
              <w:left w:w="85" w:type="dxa"/>
              <w:right w:w="85" w:type="dxa"/>
            </w:tcMar>
          </w:tcPr>
          <w:p w14:paraId="7B082391" w14:textId="77777777" w:rsidR="001D4632" w:rsidRPr="001D4632" w:rsidRDefault="001D4632" w:rsidP="008D05A8">
            <w:pPr>
              <w:pStyle w:val="In-tableHeading"/>
              <w:jc w:val="right"/>
            </w:pPr>
            <w:r w:rsidRPr="001D4632">
              <w:t>Year 2</w:t>
            </w:r>
          </w:p>
        </w:tc>
        <w:tc>
          <w:tcPr>
            <w:tcW w:w="1134" w:type="dxa"/>
            <w:tcMar>
              <w:left w:w="85" w:type="dxa"/>
              <w:right w:w="85" w:type="dxa"/>
            </w:tcMar>
          </w:tcPr>
          <w:p w14:paraId="02496179" w14:textId="77777777" w:rsidR="001D4632" w:rsidRPr="001D4632" w:rsidRDefault="001D4632" w:rsidP="008D05A8">
            <w:pPr>
              <w:pStyle w:val="In-tableHeading"/>
              <w:jc w:val="right"/>
            </w:pPr>
            <w:r w:rsidRPr="001D4632">
              <w:t>Year 3</w:t>
            </w:r>
          </w:p>
        </w:tc>
        <w:tc>
          <w:tcPr>
            <w:tcW w:w="1134" w:type="dxa"/>
            <w:tcMar>
              <w:left w:w="85" w:type="dxa"/>
              <w:right w:w="85" w:type="dxa"/>
            </w:tcMar>
          </w:tcPr>
          <w:p w14:paraId="542D12BB" w14:textId="77777777" w:rsidR="001D4632" w:rsidRPr="001D4632" w:rsidRDefault="001D4632" w:rsidP="008D05A8">
            <w:pPr>
              <w:pStyle w:val="In-tableHeading"/>
              <w:jc w:val="right"/>
            </w:pPr>
            <w:r w:rsidRPr="001D4632">
              <w:t>Year 4</w:t>
            </w:r>
          </w:p>
        </w:tc>
        <w:tc>
          <w:tcPr>
            <w:tcW w:w="1276" w:type="dxa"/>
            <w:tcMar>
              <w:left w:w="85" w:type="dxa"/>
              <w:right w:w="85" w:type="dxa"/>
            </w:tcMar>
          </w:tcPr>
          <w:p w14:paraId="60347D7B" w14:textId="77777777" w:rsidR="001D4632" w:rsidRPr="001D4632" w:rsidRDefault="001D4632" w:rsidP="008D05A8">
            <w:pPr>
              <w:pStyle w:val="In-tableHeading"/>
              <w:jc w:val="right"/>
            </w:pPr>
            <w:r w:rsidRPr="001D4632">
              <w:t>Year 5</w:t>
            </w:r>
          </w:p>
        </w:tc>
        <w:tc>
          <w:tcPr>
            <w:tcW w:w="1224" w:type="dxa"/>
            <w:tcMar>
              <w:left w:w="85" w:type="dxa"/>
              <w:right w:w="85" w:type="dxa"/>
            </w:tcMar>
          </w:tcPr>
          <w:p w14:paraId="58BEB797" w14:textId="77777777" w:rsidR="001D4632" w:rsidRPr="001D4632" w:rsidRDefault="001D4632" w:rsidP="008D05A8">
            <w:pPr>
              <w:pStyle w:val="In-tableHeading"/>
              <w:jc w:val="right"/>
            </w:pPr>
            <w:r w:rsidRPr="001D4632">
              <w:t>Year 6</w:t>
            </w:r>
          </w:p>
        </w:tc>
      </w:tr>
      <w:tr w:rsidR="00705437" w:rsidRPr="001D4632" w14:paraId="7B8DBEEF" w14:textId="77777777" w:rsidTr="005D76F9">
        <w:tc>
          <w:tcPr>
            <w:tcW w:w="1980" w:type="dxa"/>
            <w:tcMar>
              <w:left w:w="85" w:type="dxa"/>
              <w:right w:w="85" w:type="dxa"/>
            </w:tcMar>
          </w:tcPr>
          <w:p w14:paraId="2F3F6B20" w14:textId="5FD4688B" w:rsidR="00551CAC" w:rsidRPr="001D4632" w:rsidRDefault="00551CAC" w:rsidP="00551CAC">
            <w:pPr>
              <w:pStyle w:val="TableText"/>
              <w:rPr>
                <w:lang w:val="en-US"/>
              </w:rPr>
            </w:pPr>
            <w:r>
              <w:rPr>
                <w:lang w:val="en-US"/>
              </w:rPr>
              <w:t>Assumed uptake rate</w:t>
            </w:r>
          </w:p>
        </w:tc>
        <w:tc>
          <w:tcPr>
            <w:tcW w:w="1134" w:type="dxa"/>
            <w:tcMar>
              <w:left w:w="85" w:type="dxa"/>
              <w:right w:w="85" w:type="dxa"/>
            </w:tcMar>
          </w:tcPr>
          <w:p w14:paraId="2EFD709C" w14:textId="353D6E6B" w:rsidR="00551CAC" w:rsidRPr="00D84B66" w:rsidRDefault="00FD4833" w:rsidP="00551CAC">
            <w:pPr>
              <w:pStyle w:val="TableText"/>
              <w:jc w:val="right"/>
              <w:rPr>
                <w:lang w:val="en-US"/>
              </w:rPr>
            </w:pPr>
            <w:r w:rsidRPr="00D84B66">
              <w:rPr>
                <w:b/>
                <w:bCs/>
              </w:rPr>
              <w:t>redacted</w:t>
            </w:r>
            <w:r w:rsidR="00551CAC" w:rsidRPr="00D84B66">
              <w:t>%</w:t>
            </w:r>
          </w:p>
        </w:tc>
        <w:tc>
          <w:tcPr>
            <w:tcW w:w="1134" w:type="dxa"/>
            <w:tcMar>
              <w:left w:w="85" w:type="dxa"/>
              <w:right w:w="85" w:type="dxa"/>
            </w:tcMar>
          </w:tcPr>
          <w:p w14:paraId="4BD5DD2C" w14:textId="10C1BDBD" w:rsidR="00551CAC" w:rsidRPr="00D84B66" w:rsidRDefault="00705437" w:rsidP="00551CAC">
            <w:pPr>
              <w:pStyle w:val="TableText"/>
              <w:jc w:val="right"/>
              <w:rPr>
                <w:lang w:val="en-US"/>
              </w:rPr>
            </w:pPr>
            <w:r w:rsidRPr="00D84B66">
              <w:rPr>
                <w:b/>
                <w:bCs/>
              </w:rPr>
              <w:t>redacted</w:t>
            </w:r>
            <w:r w:rsidR="00551CAC" w:rsidRPr="00D84B66">
              <w:t>%</w:t>
            </w:r>
          </w:p>
        </w:tc>
        <w:tc>
          <w:tcPr>
            <w:tcW w:w="1134" w:type="dxa"/>
            <w:tcMar>
              <w:left w:w="85" w:type="dxa"/>
              <w:right w:w="85" w:type="dxa"/>
            </w:tcMar>
          </w:tcPr>
          <w:p w14:paraId="6692CC48" w14:textId="7398BE58" w:rsidR="00551CAC" w:rsidRPr="00D84B66" w:rsidRDefault="00705437" w:rsidP="00551CAC">
            <w:pPr>
              <w:pStyle w:val="TableText"/>
              <w:jc w:val="right"/>
              <w:rPr>
                <w:lang w:val="en-US"/>
              </w:rPr>
            </w:pPr>
            <w:r w:rsidRPr="00D84B66">
              <w:rPr>
                <w:b/>
                <w:bCs/>
              </w:rPr>
              <w:t>redacted</w:t>
            </w:r>
            <w:r w:rsidR="00551CAC" w:rsidRPr="00D84B66">
              <w:t>%</w:t>
            </w:r>
          </w:p>
        </w:tc>
        <w:tc>
          <w:tcPr>
            <w:tcW w:w="1134" w:type="dxa"/>
            <w:tcMar>
              <w:left w:w="85" w:type="dxa"/>
              <w:right w:w="85" w:type="dxa"/>
            </w:tcMar>
          </w:tcPr>
          <w:p w14:paraId="28B3C431" w14:textId="45CB2922" w:rsidR="00551CAC" w:rsidRPr="00D84B66" w:rsidRDefault="00705437" w:rsidP="00551CAC">
            <w:pPr>
              <w:pStyle w:val="TableText"/>
              <w:jc w:val="right"/>
              <w:rPr>
                <w:lang w:val="en-US"/>
              </w:rPr>
            </w:pPr>
            <w:r w:rsidRPr="00D84B66">
              <w:rPr>
                <w:b/>
                <w:bCs/>
              </w:rPr>
              <w:t>redacted</w:t>
            </w:r>
            <w:r w:rsidR="00551CAC" w:rsidRPr="00D84B66">
              <w:t>%</w:t>
            </w:r>
          </w:p>
        </w:tc>
        <w:tc>
          <w:tcPr>
            <w:tcW w:w="1276" w:type="dxa"/>
            <w:tcMar>
              <w:left w:w="85" w:type="dxa"/>
              <w:right w:w="85" w:type="dxa"/>
            </w:tcMar>
          </w:tcPr>
          <w:p w14:paraId="137A6412" w14:textId="1DF5DE3C" w:rsidR="00551CAC" w:rsidRPr="00D84B66" w:rsidRDefault="00705437" w:rsidP="00551CAC">
            <w:pPr>
              <w:pStyle w:val="TableText"/>
              <w:jc w:val="right"/>
              <w:rPr>
                <w:lang w:val="en-US"/>
              </w:rPr>
            </w:pPr>
            <w:r w:rsidRPr="00D84B66">
              <w:rPr>
                <w:b/>
                <w:bCs/>
              </w:rPr>
              <w:t>redacted</w:t>
            </w:r>
            <w:r w:rsidR="00551CAC" w:rsidRPr="00D84B66">
              <w:t>%</w:t>
            </w:r>
          </w:p>
        </w:tc>
        <w:tc>
          <w:tcPr>
            <w:tcW w:w="1224" w:type="dxa"/>
            <w:tcMar>
              <w:left w:w="85" w:type="dxa"/>
              <w:right w:w="85" w:type="dxa"/>
            </w:tcMar>
          </w:tcPr>
          <w:p w14:paraId="595DB8F7" w14:textId="7C5B7850" w:rsidR="00551CAC" w:rsidRPr="00D84B66" w:rsidRDefault="00705437" w:rsidP="00551CAC">
            <w:pPr>
              <w:pStyle w:val="TableText"/>
              <w:jc w:val="right"/>
              <w:rPr>
                <w:lang w:val="en-US"/>
              </w:rPr>
            </w:pPr>
            <w:r w:rsidRPr="00D84B66">
              <w:rPr>
                <w:b/>
                <w:bCs/>
              </w:rPr>
              <w:t>redacted</w:t>
            </w:r>
            <w:r w:rsidR="00551CAC" w:rsidRPr="00D84B66">
              <w:t>%</w:t>
            </w:r>
          </w:p>
        </w:tc>
      </w:tr>
      <w:tr w:rsidR="00705437" w:rsidRPr="001D4632" w14:paraId="3070459D" w14:textId="77777777" w:rsidTr="005D76F9">
        <w:tc>
          <w:tcPr>
            <w:tcW w:w="1980" w:type="dxa"/>
            <w:tcMar>
              <w:left w:w="85" w:type="dxa"/>
              <w:right w:w="85" w:type="dxa"/>
            </w:tcMar>
          </w:tcPr>
          <w:p w14:paraId="41DF5E3B" w14:textId="7B7E3ACD" w:rsidR="001D4632" w:rsidRPr="001D4632" w:rsidRDefault="001D4632" w:rsidP="003960F7">
            <w:pPr>
              <w:pStyle w:val="TableText"/>
              <w:rPr>
                <w:lang w:val="en-US"/>
              </w:rPr>
            </w:pPr>
            <w:r w:rsidRPr="001D4632">
              <w:rPr>
                <w:lang w:val="en-US"/>
              </w:rPr>
              <w:t xml:space="preserve">Patients electing </w:t>
            </w:r>
            <w:r w:rsidR="00F6032C">
              <w:rPr>
                <w:lang w:val="en-US"/>
              </w:rPr>
              <w:t>ED</w:t>
            </w:r>
          </w:p>
        </w:tc>
        <w:tc>
          <w:tcPr>
            <w:tcW w:w="1134" w:type="dxa"/>
            <w:tcMar>
              <w:left w:w="85" w:type="dxa"/>
              <w:right w:w="85" w:type="dxa"/>
            </w:tcMar>
          </w:tcPr>
          <w:p w14:paraId="312EC3A5" w14:textId="539BD5DD" w:rsidR="001D4632" w:rsidRPr="00D84B66" w:rsidRDefault="00705437" w:rsidP="008D05A8">
            <w:pPr>
              <w:pStyle w:val="TableText"/>
              <w:jc w:val="right"/>
              <w:rPr>
                <w:lang w:val="en-US"/>
              </w:rPr>
            </w:pPr>
            <w:r w:rsidRPr="00D84B66">
              <w:rPr>
                <w:b/>
                <w:bCs/>
              </w:rPr>
              <w:t>redacted</w:t>
            </w:r>
            <w:r w:rsidRPr="00D84B66" w:rsidDel="00705437">
              <w:rPr>
                <w:lang w:val="en-US"/>
              </w:rPr>
              <w:t xml:space="preserve"> </w:t>
            </w:r>
          </w:p>
        </w:tc>
        <w:tc>
          <w:tcPr>
            <w:tcW w:w="1134" w:type="dxa"/>
            <w:tcMar>
              <w:left w:w="85" w:type="dxa"/>
              <w:right w:w="85" w:type="dxa"/>
            </w:tcMar>
          </w:tcPr>
          <w:p w14:paraId="6A144BFC" w14:textId="1C685408" w:rsidR="001D4632" w:rsidRPr="00D84B66" w:rsidRDefault="00705437" w:rsidP="008D05A8">
            <w:pPr>
              <w:pStyle w:val="TableText"/>
              <w:jc w:val="right"/>
              <w:rPr>
                <w:lang w:val="en-US"/>
              </w:rPr>
            </w:pPr>
            <w:r w:rsidRPr="00D84B66">
              <w:rPr>
                <w:b/>
                <w:bCs/>
              </w:rPr>
              <w:t>redacted</w:t>
            </w:r>
            <w:r w:rsidRPr="00D84B66" w:rsidDel="00705437">
              <w:rPr>
                <w:lang w:val="en-US"/>
              </w:rPr>
              <w:t xml:space="preserve"> </w:t>
            </w:r>
          </w:p>
        </w:tc>
        <w:tc>
          <w:tcPr>
            <w:tcW w:w="1134" w:type="dxa"/>
            <w:tcMar>
              <w:left w:w="85" w:type="dxa"/>
              <w:right w:w="85" w:type="dxa"/>
            </w:tcMar>
          </w:tcPr>
          <w:p w14:paraId="27B3E17C" w14:textId="696C7B17" w:rsidR="001D4632" w:rsidRPr="00D84B66" w:rsidRDefault="00705437" w:rsidP="008D05A8">
            <w:pPr>
              <w:pStyle w:val="TableText"/>
              <w:jc w:val="right"/>
              <w:rPr>
                <w:lang w:val="en-US"/>
              </w:rPr>
            </w:pPr>
            <w:r w:rsidRPr="00D84B66">
              <w:rPr>
                <w:b/>
                <w:bCs/>
              </w:rPr>
              <w:t>redacted</w:t>
            </w:r>
            <w:r w:rsidRPr="00D84B66" w:rsidDel="00705437">
              <w:rPr>
                <w:lang w:val="en-US"/>
              </w:rPr>
              <w:t xml:space="preserve"> </w:t>
            </w:r>
          </w:p>
        </w:tc>
        <w:tc>
          <w:tcPr>
            <w:tcW w:w="1134" w:type="dxa"/>
            <w:tcMar>
              <w:left w:w="85" w:type="dxa"/>
              <w:right w:w="85" w:type="dxa"/>
            </w:tcMar>
          </w:tcPr>
          <w:p w14:paraId="3ADE0AD8" w14:textId="01BB0670" w:rsidR="001D4632" w:rsidRPr="00D84B66" w:rsidRDefault="00705437" w:rsidP="008D05A8">
            <w:pPr>
              <w:pStyle w:val="TableText"/>
              <w:jc w:val="right"/>
              <w:rPr>
                <w:lang w:val="en-US"/>
              </w:rPr>
            </w:pPr>
            <w:r w:rsidRPr="00D84B66">
              <w:rPr>
                <w:b/>
                <w:bCs/>
              </w:rPr>
              <w:t>redacted</w:t>
            </w:r>
            <w:r w:rsidRPr="00D84B66" w:rsidDel="00705437">
              <w:rPr>
                <w:lang w:val="en-US"/>
              </w:rPr>
              <w:t xml:space="preserve"> </w:t>
            </w:r>
          </w:p>
        </w:tc>
        <w:tc>
          <w:tcPr>
            <w:tcW w:w="1276" w:type="dxa"/>
            <w:tcMar>
              <w:left w:w="85" w:type="dxa"/>
              <w:right w:w="85" w:type="dxa"/>
            </w:tcMar>
          </w:tcPr>
          <w:p w14:paraId="7352CE2B" w14:textId="7EF2AB6F" w:rsidR="001D4632" w:rsidRPr="00D84B66" w:rsidRDefault="00705437" w:rsidP="008D05A8">
            <w:pPr>
              <w:pStyle w:val="TableText"/>
              <w:jc w:val="right"/>
              <w:rPr>
                <w:lang w:val="en-US"/>
              </w:rPr>
            </w:pPr>
            <w:r w:rsidRPr="00D84B66">
              <w:rPr>
                <w:b/>
                <w:bCs/>
              </w:rPr>
              <w:t>redacted</w:t>
            </w:r>
            <w:r w:rsidRPr="00D84B66" w:rsidDel="00705437">
              <w:rPr>
                <w:lang w:val="en-US"/>
              </w:rPr>
              <w:t xml:space="preserve"> </w:t>
            </w:r>
          </w:p>
        </w:tc>
        <w:tc>
          <w:tcPr>
            <w:tcW w:w="1224" w:type="dxa"/>
            <w:tcMar>
              <w:left w:w="85" w:type="dxa"/>
              <w:right w:w="85" w:type="dxa"/>
            </w:tcMar>
          </w:tcPr>
          <w:p w14:paraId="4ABC2F52" w14:textId="3EA7BCBC" w:rsidR="001D4632" w:rsidRPr="00D84B66" w:rsidRDefault="00705437" w:rsidP="008D05A8">
            <w:pPr>
              <w:pStyle w:val="TableText"/>
              <w:jc w:val="right"/>
              <w:rPr>
                <w:lang w:val="en-US"/>
              </w:rPr>
            </w:pPr>
            <w:r w:rsidRPr="00D84B66">
              <w:rPr>
                <w:b/>
                <w:bCs/>
              </w:rPr>
              <w:t>redacted</w:t>
            </w:r>
            <w:r w:rsidRPr="00D84B66" w:rsidDel="00705437">
              <w:rPr>
                <w:lang w:val="en-US"/>
              </w:rPr>
              <w:t xml:space="preserve"> </w:t>
            </w:r>
          </w:p>
        </w:tc>
      </w:tr>
      <w:tr w:rsidR="00705437" w:rsidRPr="001D4632" w14:paraId="7E1AF2C0" w14:textId="77777777" w:rsidTr="005D76F9">
        <w:tc>
          <w:tcPr>
            <w:tcW w:w="1980" w:type="dxa"/>
            <w:tcMar>
              <w:left w:w="85" w:type="dxa"/>
              <w:right w:w="85" w:type="dxa"/>
            </w:tcMar>
          </w:tcPr>
          <w:p w14:paraId="0C222617" w14:textId="34A2B82B" w:rsidR="00CC71FF" w:rsidRPr="001D4632" w:rsidRDefault="00CC71FF" w:rsidP="00CC71FF">
            <w:pPr>
              <w:pStyle w:val="TableText"/>
              <w:rPr>
                <w:lang w:val="en-US"/>
              </w:rPr>
            </w:pPr>
            <w:r>
              <w:rPr>
                <w:lang w:val="en-US"/>
              </w:rPr>
              <w:t xml:space="preserve">Cumulative patients electing </w:t>
            </w:r>
            <w:r w:rsidR="00F6032C">
              <w:rPr>
                <w:lang w:val="en-US"/>
              </w:rPr>
              <w:t>ED</w:t>
            </w:r>
          </w:p>
        </w:tc>
        <w:tc>
          <w:tcPr>
            <w:tcW w:w="1134" w:type="dxa"/>
            <w:tcMar>
              <w:left w:w="85" w:type="dxa"/>
              <w:right w:w="85" w:type="dxa"/>
            </w:tcMar>
          </w:tcPr>
          <w:p w14:paraId="151BF927" w14:textId="272191D8" w:rsidR="00CC71FF" w:rsidRPr="00D84B66" w:rsidRDefault="00705437" w:rsidP="00CC71FF">
            <w:pPr>
              <w:pStyle w:val="TableText"/>
              <w:jc w:val="right"/>
              <w:rPr>
                <w:lang w:val="en-US"/>
              </w:rPr>
            </w:pPr>
            <w:r w:rsidRPr="00D84B66">
              <w:rPr>
                <w:b/>
                <w:bCs/>
              </w:rPr>
              <w:t>redacted</w:t>
            </w:r>
            <w:r w:rsidRPr="00D84B66" w:rsidDel="00705437">
              <w:t xml:space="preserve"> </w:t>
            </w:r>
          </w:p>
        </w:tc>
        <w:tc>
          <w:tcPr>
            <w:tcW w:w="1134" w:type="dxa"/>
            <w:tcMar>
              <w:left w:w="85" w:type="dxa"/>
              <w:right w:w="85" w:type="dxa"/>
            </w:tcMar>
          </w:tcPr>
          <w:p w14:paraId="6D321ADE" w14:textId="4DE4C29E" w:rsidR="00CC71FF" w:rsidRPr="00D84B66" w:rsidRDefault="00705437" w:rsidP="00CC71FF">
            <w:pPr>
              <w:pStyle w:val="TableText"/>
              <w:jc w:val="right"/>
              <w:rPr>
                <w:lang w:val="en-US"/>
              </w:rPr>
            </w:pPr>
            <w:r w:rsidRPr="00D84B66">
              <w:rPr>
                <w:b/>
                <w:bCs/>
              </w:rPr>
              <w:t>redacted</w:t>
            </w:r>
            <w:r w:rsidRPr="00D84B66" w:rsidDel="00705437">
              <w:t xml:space="preserve"> </w:t>
            </w:r>
          </w:p>
        </w:tc>
        <w:tc>
          <w:tcPr>
            <w:tcW w:w="1134" w:type="dxa"/>
            <w:tcMar>
              <w:left w:w="85" w:type="dxa"/>
              <w:right w:w="85" w:type="dxa"/>
            </w:tcMar>
          </w:tcPr>
          <w:p w14:paraId="363D9E5A" w14:textId="5C0AF53F" w:rsidR="00CC71FF" w:rsidRPr="00D84B66" w:rsidRDefault="00705437" w:rsidP="00CC71FF">
            <w:pPr>
              <w:pStyle w:val="TableText"/>
              <w:jc w:val="right"/>
              <w:rPr>
                <w:lang w:val="en-US"/>
              </w:rPr>
            </w:pPr>
            <w:r w:rsidRPr="00D84B66">
              <w:rPr>
                <w:b/>
                <w:bCs/>
              </w:rPr>
              <w:t>redacted</w:t>
            </w:r>
            <w:r w:rsidRPr="00D84B66" w:rsidDel="00705437">
              <w:t xml:space="preserve"> </w:t>
            </w:r>
          </w:p>
        </w:tc>
        <w:tc>
          <w:tcPr>
            <w:tcW w:w="1134" w:type="dxa"/>
            <w:tcMar>
              <w:left w:w="85" w:type="dxa"/>
              <w:right w:w="85" w:type="dxa"/>
            </w:tcMar>
          </w:tcPr>
          <w:p w14:paraId="74F0A527" w14:textId="2B6F6787" w:rsidR="00CC71FF" w:rsidRPr="00D84B66" w:rsidRDefault="00705437" w:rsidP="00CC71FF">
            <w:pPr>
              <w:pStyle w:val="TableText"/>
              <w:jc w:val="right"/>
              <w:rPr>
                <w:lang w:val="en-US"/>
              </w:rPr>
            </w:pPr>
            <w:r w:rsidRPr="00D84B66">
              <w:rPr>
                <w:b/>
                <w:bCs/>
              </w:rPr>
              <w:t>redacted</w:t>
            </w:r>
            <w:r w:rsidRPr="00D84B66" w:rsidDel="00705437">
              <w:t xml:space="preserve"> </w:t>
            </w:r>
          </w:p>
        </w:tc>
        <w:tc>
          <w:tcPr>
            <w:tcW w:w="1276" w:type="dxa"/>
            <w:tcMar>
              <w:left w:w="85" w:type="dxa"/>
              <w:right w:w="85" w:type="dxa"/>
            </w:tcMar>
          </w:tcPr>
          <w:p w14:paraId="4EFCCDCA" w14:textId="6BE36043" w:rsidR="00CC71FF" w:rsidRPr="00D84B66" w:rsidRDefault="00705437" w:rsidP="00CC71FF">
            <w:pPr>
              <w:pStyle w:val="TableText"/>
              <w:jc w:val="right"/>
              <w:rPr>
                <w:lang w:val="en-US"/>
              </w:rPr>
            </w:pPr>
            <w:r w:rsidRPr="00D84B66">
              <w:rPr>
                <w:b/>
                <w:bCs/>
              </w:rPr>
              <w:t>redacted</w:t>
            </w:r>
            <w:r w:rsidRPr="00D84B66" w:rsidDel="00705437">
              <w:t xml:space="preserve"> </w:t>
            </w:r>
          </w:p>
        </w:tc>
        <w:tc>
          <w:tcPr>
            <w:tcW w:w="1224" w:type="dxa"/>
            <w:tcMar>
              <w:left w:w="85" w:type="dxa"/>
              <w:right w:w="85" w:type="dxa"/>
            </w:tcMar>
          </w:tcPr>
          <w:p w14:paraId="536FABB4" w14:textId="0CF0C95A" w:rsidR="00CC71FF" w:rsidRPr="00D84B66" w:rsidRDefault="00705437" w:rsidP="00CC71FF">
            <w:pPr>
              <w:pStyle w:val="TableText"/>
              <w:jc w:val="right"/>
              <w:rPr>
                <w:lang w:val="en-US"/>
              </w:rPr>
            </w:pPr>
            <w:r w:rsidRPr="00D84B66">
              <w:rPr>
                <w:b/>
                <w:bCs/>
              </w:rPr>
              <w:t>redacted</w:t>
            </w:r>
            <w:r w:rsidRPr="00D84B66" w:rsidDel="00705437">
              <w:t xml:space="preserve"> </w:t>
            </w:r>
          </w:p>
        </w:tc>
      </w:tr>
      <w:tr w:rsidR="00705437" w:rsidRPr="001D4632" w14:paraId="18417F3F" w14:textId="77777777" w:rsidTr="005D76F9">
        <w:tc>
          <w:tcPr>
            <w:tcW w:w="1980" w:type="dxa"/>
            <w:tcMar>
              <w:left w:w="85" w:type="dxa"/>
              <w:right w:w="85" w:type="dxa"/>
            </w:tcMar>
          </w:tcPr>
          <w:p w14:paraId="5E2B764B" w14:textId="61802076" w:rsidR="001D4632" w:rsidRPr="001D4632" w:rsidRDefault="001D4632" w:rsidP="003960F7">
            <w:pPr>
              <w:pStyle w:val="TableText"/>
              <w:rPr>
                <w:lang w:val="en-US"/>
              </w:rPr>
            </w:pPr>
            <w:r w:rsidRPr="001D4632">
              <w:rPr>
                <w:lang w:val="en-US"/>
              </w:rPr>
              <w:t xml:space="preserve">Cost to the </w:t>
            </w:r>
            <w:r w:rsidR="00254485">
              <w:rPr>
                <w:lang w:val="en-US"/>
              </w:rPr>
              <w:t>N</w:t>
            </w:r>
            <w:r w:rsidRPr="001D4632">
              <w:rPr>
                <w:lang w:val="en-US"/>
              </w:rPr>
              <w:t xml:space="preserve">ational </w:t>
            </w:r>
            <w:r w:rsidR="00254485">
              <w:rPr>
                <w:lang w:val="en-US"/>
              </w:rPr>
              <w:t>B</w:t>
            </w:r>
            <w:r w:rsidRPr="001D4632">
              <w:rPr>
                <w:lang w:val="en-US"/>
              </w:rPr>
              <w:t xml:space="preserve">lood </w:t>
            </w:r>
            <w:r w:rsidR="00254485">
              <w:rPr>
                <w:lang w:val="en-US"/>
              </w:rPr>
              <w:t>A</w:t>
            </w:r>
            <w:r w:rsidRPr="001D4632">
              <w:rPr>
                <w:lang w:val="en-US"/>
              </w:rPr>
              <w:t xml:space="preserve">greement – </w:t>
            </w:r>
            <w:r w:rsidR="00F6032C">
              <w:rPr>
                <w:lang w:val="en-US"/>
              </w:rPr>
              <w:t>ED</w:t>
            </w:r>
          </w:p>
        </w:tc>
        <w:tc>
          <w:tcPr>
            <w:tcW w:w="1134" w:type="dxa"/>
            <w:tcMar>
              <w:left w:w="85" w:type="dxa"/>
              <w:right w:w="85" w:type="dxa"/>
            </w:tcMar>
          </w:tcPr>
          <w:p w14:paraId="4466086B" w14:textId="0D32382D" w:rsidR="001D4632" w:rsidRPr="00D84B66" w:rsidRDefault="001D4632" w:rsidP="008D05A8">
            <w:pPr>
              <w:pStyle w:val="TableText"/>
              <w:jc w:val="right"/>
              <w:rPr>
                <w:lang w:val="en-US"/>
              </w:rPr>
            </w:pPr>
            <w:r w:rsidRPr="00D84B66">
              <w:rPr>
                <w:lang w:val="en-US"/>
              </w:rPr>
              <w:t>$</w:t>
            </w:r>
            <w:r w:rsidR="00705437" w:rsidRPr="00D84B66">
              <w:rPr>
                <w:b/>
                <w:bCs/>
              </w:rPr>
              <w:t>redacted</w:t>
            </w:r>
            <w:r w:rsidR="00705437" w:rsidRPr="00D84B66" w:rsidDel="00705437">
              <w:rPr>
                <w:lang w:val="en-US"/>
              </w:rPr>
              <w:t xml:space="preserve"> </w:t>
            </w:r>
          </w:p>
        </w:tc>
        <w:tc>
          <w:tcPr>
            <w:tcW w:w="1134" w:type="dxa"/>
            <w:tcMar>
              <w:left w:w="85" w:type="dxa"/>
              <w:right w:w="85" w:type="dxa"/>
            </w:tcMar>
          </w:tcPr>
          <w:p w14:paraId="195DBD4D" w14:textId="5AA1CD58" w:rsidR="001D4632" w:rsidRPr="00D84B66" w:rsidRDefault="00705437" w:rsidP="008D05A8">
            <w:pPr>
              <w:pStyle w:val="TableText"/>
              <w:jc w:val="right"/>
              <w:rPr>
                <w:lang w:val="en-US"/>
              </w:rPr>
            </w:pPr>
            <w:r w:rsidRPr="00D84B66">
              <w:rPr>
                <w:lang w:val="en-US"/>
              </w:rPr>
              <w:t>$</w:t>
            </w:r>
            <w:r w:rsidRPr="00D84B66">
              <w:rPr>
                <w:b/>
                <w:bCs/>
              </w:rPr>
              <w:t>redacted</w:t>
            </w:r>
            <w:r w:rsidRPr="00D84B66" w:rsidDel="00705437">
              <w:rPr>
                <w:lang w:val="en-US"/>
              </w:rPr>
              <w:t xml:space="preserve"> </w:t>
            </w:r>
          </w:p>
        </w:tc>
        <w:tc>
          <w:tcPr>
            <w:tcW w:w="1134" w:type="dxa"/>
            <w:tcMar>
              <w:left w:w="85" w:type="dxa"/>
              <w:right w:w="85" w:type="dxa"/>
            </w:tcMar>
          </w:tcPr>
          <w:p w14:paraId="3C33F0F0" w14:textId="0C4F8F40" w:rsidR="001D4632" w:rsidRPr="00D84B66" w:rsidRDefault="00705437" w:rsidP="008D05A8">
            <w:pPr>
              <w:pStyle w:val="TableText"/>
              <w:jc w:val="right"/>
              <w:rPr>
                <w:lang w:val="en-US"/>
              </w:rPr>
            </w:pPr>
            <w:r w:rsidRPr="00D84B66">
              <w:rPr>
                <w:lang w:val="en-US"/>
              </w:rPr>
              <w:t>$</w:t>
            </w:r>
            <w:r w:rsidRPr="00D84B66">
              <w:rPr>
                <w:b/>
                <w:bCs/>
              </w:rPr>
              <w:t>redacted</w:t>
            </w:r>
            <w:r w:rsidRPr="00D84B66" w:rsidDel="00705437">
              <w:rPr>
                <w:lang w:val="en-US"/>
              </w:rPr>
              <w:t xml:space="preserve"> </w:t>
            </w:r>
          </w:p>
        </w:tc>
        <w:tc>
          <w:tcPr>
            <w:tcW w:w="1134" w:type="dxa"/>
            <w:tcMar>
              <w:left w:w="85" w:type="dxa"/>
              <w:right w:w="85" w:type="dxa"/>
            </w:tcMar>
          </w:tcPr>
          <w:p w14:paraId="2FAF0958" w14:textId="63373B67" w:rsidR="001D4632" w:rsidRPr="00D84B66" w:rsidRDefault="00705437" w:rsidP="008D05A8">
            <w:pPr>
              <w:pStyle w:val="TableText"/>
              <w:jc w:val="right"/>
              <w:rPr>
                <w:lang w:val="en-US"/>
              </w:rPr>
            </w:pPr>
            <w:r w:rsidRPr="00D84B66">
              <w:rPr>
                <w:lang w:val="en-US"/>
              </w:rPr>
              <w:t>$</w:t>
            </w:r>
            <w:r w:rsidRPr="00D84B66">
              <w:rPr>
                <w:b/>
                <w:bCs/>
              </w:rPr>
              <w:t>redacted</w:t>
            </w:r>
            <w:r w:rsidRPr="00D84B66" w:rsidDel="00705437">
              <w:rPr>
                <w:lang w:val="en-US"/>
              </w:rPr>
              <w:t xml:space="preserve"> </w:t>
            </w:r>
          </w:p>
        </w:tc>
        <w:tc>
          <w:tcPr>
            <w:tcW w:w="1276" w:type="dxa"/>
            <w:tcMar>
              <w:left w:w="85" w:type="dxa"/>
              <w:right w:w="85" w:type="dxa"/>
            </w:tcMar>
          </w:tcPr>
          <w:p w14:paraId="69064CDC" w14:textId="58EEBE40" w:rsidR="001D4632" w:rsidRPr="00D84B66" w:rsidRDefault="00705437" w:rsidP="008D05A8">
            <w:pPr>
              <w:pStyle w:val="TableText"/>
              <w:jc w:val="right"/>
              <w:rPr>
                <w:lang w:val="en-US"/>
              </w:rPr>
            </w:pPr>
            <w:r w:rsidRPr="00D84B66">
              <w:rPr>
                <w:lang w:val="en-US"/>
              </w:rPr>
              <w:t>$</w:t>
            </w:r>
            <w:r w:rsidRPr="00D84B66">
              <w:rPr>
                <w:b/>
                <w:bCs/>
              </w:rPr>
              <w:t>redacted</w:t>
            </w:r>
            <w:r w:rsidRPr="00D84B66" w:rsidDel="00705437">
              <w:rPr>
                <w:lang w:val="en-US"/>
              </w:rPr>
              <w:t xml:space="preserve"> </w:t>
            </w:r>
          </w:p>
        </w:tc>
        <w:tc>
          <w:tcPr>
            <w:tcW w:w="1224" w:type="dxa"/>
            <w:tcMar>
              <w:left w:w="85" w:type="dxa"/>
              <w:right w:w="85" w:type="dxa"/>
            </w:tcMar>
          </w:tcPr>
          <w:p w14:paraId="31BF703C" w14:textId="5A05834D" w:rsidR="001D4632" w:rsidRPr="00D84B66" w:rsidRDefault="00705437" w:rsidP="008D05A8">
            <w:pPr>
              <w:pStyle w:val="TableText"/>
              <w:jc w:val="right"/>
              <w:rPr>
                <w:lang w:val="en-US"/>
              </w:rPr>
            </w:pPr>
            <w:r w:rsidRPr="00D84B66">
              <w:rPr>
                <w:lang w:val="en-US"/>
              </w:rPr>
              <w:t>$</w:t>
            </w:r>
            <w:r w:rsidRPr="00D84B66">
              <w:rPr>
                <w:b/>
                <w:bCs/>
              </w:rPr>
              <w:t>redacted</w:t>
            </w:r>
            <w:r w:rsidRPr="00D84B66" w:rsidDel="00705437">
              <w:rPr>
                <w:lang w:val="en-US"/>
              </w:rPr>
              <w:t xml:space="preserve"> </w:t>
            </w:r>
          </w:p>
        </w:tc>
      </w:tr>
      <w:tr w:rsidR="00705437" w:rsidRPr="001D4632" w14:paraId="274BCAAD" w14:textId="77777777" w:rsidTr="005D76F9">
        <w:tc>
          <w:tcPr>
            <w:tcW w:w="1980" w:type="dxa"/>
            <w:tcMar>
              <w:left w:w="85" w:type="dxa"/>
              <w:right w:w="85" w:type="dxa"/>
            </w:tcMar>
          </w:tcPr>
          <w:p w14:paraId="23BB5860" w14:textId="4A4F9078" w:rsidR="001D4632" w:rsidRPr="001D4632" w:rsidRDefault="001D4632" w:rsidP="003960F7">
            <w:pPr>
              <w:pStyle w:val="TableText"/>
              <w:rPr>
                <w:lang w:val="en-US"/>
              </w:rPr>
            </w:pPr>
            <w:r w:rsidRPr="001D4632">
              <w:rPr>
                <w:lang w:val="en-US"/>
              </w:rPr>
              <w:t xml:space="preserve">Cost to the </w:t>
            </w:r>
            <w:r w:rsidR="00254485">
              <w:rPr>
                <w:lang w:val="en-US"/>
              </w:rPr>
              <w:t>National Blood Agreement</w:t>
            </w:r>
            <w:r w:rsidRPr="001D4632">
              <w:rPr>
                <w:lang w:val="en-US"/>
              </w:rPr>
              <w:t xml:space="preserve"> – change in use of FIX </w:t>
            </w:r>
            <w:proofErr w:type="spellStart"/>
            <w:r w:rsidRPr="001D4632">
              <w:rPr>
                <w:lang w:val="en-US"/>
              </w:rPr>
              <w:t>therapy</w:t>
            </w:r>
            <w:r w:rsidRPr="00D95FED">
              <w:rPr>
                <w:vertAlign w:val="superscript"/>
                <w:lang w:val="en-US"/>
              </w:rPr>
              <w:t>a</w:t>
            </w:r>
            <w:proofErr w:type="spellEnd"/>
          </w:p>
        </w:tc>
        <w:tc>
          <w:tcPr>
            <w:tcW w:w="1134" w:type="dxa"/>
            <w:tcMar>
              <w:left w:w="85" w:type="dxa"/>
              <w:right w:w="85" w:type="dxa"/>
            </w:tcMar>
          </w:tcPr>
          <w:p w14:paraId="653A0F19" w14:textId="356A6DA7" w:rsidR="001D4632" w:rsidRPr="00D84B66" w:rsidRDefault="001D4632" w:rsidP="008D05A8">
            <w:pPr>
              <w:pStyle w:val="TableText"/>
              <w:jc w:val="right"/>
              <w:rPr>
                <w:lang w:val="en-US"/>
              </w:rPr>
            </w:pPr>
            <w:r w:rsidRPr="00D84B66">
              <w:rPr>
                <w:lang w:val="en-US"/>
              </w:rPr>
              <w:t>-</w:t>
            </w:r>
            <w:r w:rsidR="00705437" w:rsidRPr="00D84B66">
              <w:rPr>
                <w:lang w:val="en-US"/>
              </w:rPr>
              <w:t>$</w:t>
            </w:r>
            <w:r w:rsidR="00705437" w:rsidRPr="00D84B66">
              <w:rPr>
                <w:b/>
                <w:bCs/>
              </w:rPr>
              <w:t>redacted</w:t>
            </w:r>
            <w:r w:rsidR="00705437" w:rsidRPr="00D84B66" w:rsidDel="00705437">
              <w:rPr>
                <w:lang w:val="en-US"/>
              </w:rPr>
              <w:t xml:space="preserve"> </w:t>
            </w:r>
          </w:p>
        </w:tc>
        <w:tc>
          <w:tcPr>
            <w:tcW w:w="1134" w:type="dxa"/>
            <w:tcMar>
              <w:left w:w="85" w:type="dxa"/>
              <w:right w:w="85" w:type="dxa"/>
            </w:tcMar>
          </w:tcPr>
          <w:p w14:paraId="7F622312" w14:textId="4EFD7C5B" w:rsidR="001D4632" w:rsidRPr="00D84B66" w:rsidRDefault="001D4632" w:rsidP="008D05A8">
            <w:pPr>
              <w:pStyle w:val="TableText"/>
              <w:jc w:val="right"/>
              <w:rPr>
                <w:lang w:val="en-US"/>
              </w:rPr>
            </w:pPr>
            <w:r w:rsidRPr="00D84B66">
              <w:rPr>
                <w:lang w:val="en-US"/>
              </w:rPr>
              <w:t>-</w:t>
            </w:r>
            <w:r w:rsidR="00705437" w:rsidRPr="00D84B66">
              <w:rPr>
                <w:lang w:val="en-US"/>
              </w:rPr>
              <w:t>$</w:t>
            </w:r>
            <w:r w:rsidR="00705437" w:rsidRPr="00D84B66">
              <w:rPr>
                <w:b/>
                <w:bCs/>
              </w:rPr>
              <w:t>redacted</w:t>
            </w:r>
            <w:r w:rsidR="00705437" w:rsidRPr="00D84B66" w:rsidDel="00705437">
              <w:rPr>
                <w:lang w:val="en-US"/>
              </w:rPr>
              <w:t xml:space="preserve"> </w:t>
            </w:r>
          </w:p>
        </w:tc>
        <w:tc>
          <w:tcPr>
            <w:tcW w:w="1134" w:type="dxa"/>
            <w:tcMar>
              <w:left w:w="85" w:type="dxa"/>
              <w:right w:w="85" w:type="dxa"/>
            </w:tcMar>
          </w:tcPr>
          <w:p w14:paraId="72E86671" w14:textId="6D987CFB" w:rsidR="001D4632" w:rsidRPr="00D84B66" w:rsidRDefault="001D4632" w:rsidP="008D05A8">
            <w:pPr>
              <w:pStyle w:val="TableText"/>
              <w:jc w:val="right"/>
              <w:rPr>
                <w:lang w:val="en-US"/>
              </w:rPr>
            </w:pPr>
            <w:r w:rsidRPr="00D84B66">
              <w:rPr>
                <w:lang w:val="en-US"/>
              </w:rPr>
              <w:t>-</w:t>
            </w:r>
            <w:r w:rsidR="00705437" w:rsidRPr="00D84B66">
              <w:rPr>
                <w:lang w:val="en-US"/>
              </w:rPr>
              <w:t>$</w:t>
            </w:r>
            <w:r w:rsidR="00705437" w:rsidRPr="00D84B66">
              <w:rPr>
                <w:b/>
                <w:bCs/>
              </w:rPr>
              <w:t>redacted</w:t>
            </w:r>
            <w:r w:rsidR="00705437" w:rsidRPr="00D84B66" w:rsidDel="00705437">
              <w:rPr>
                <w:lang w:val="en-US"/>
              </w:rPr>
              <w:t xml:space="preserve"> </w:t>
            </w:r>
          </w:p>
        </w:tc>
        <w:tc>
          <w:tcPr>
            <w:tcW w:w="1134" w:type="dxa"/>
            <w:tcMar>
              <w:left w:w="85" w:type="dxa"/>
              <w:right w:w="85" w:type="dxa"/>
            </w:tcMar>
          </w:tcPr>
          <w:p w14:paraId="58AEF576" w14:textId="0DFFA5CB" w:rsidR="001D4632" w:rsidRPr="00D84B66" w:rsidRDefault="001D4632" w:rsidP="008D05A8">
            <w:pPr>
              <w:pStyle w:val="TableText"/>
              <w:jc w:val="right"/>
              <w:rPr>
                <w:lang w:val="en-US"/>
              </w:rPr>
            </w:pPr>
            <w:r w:rsidRPr="00D84B66">
              <w:rPr>
                <w:lang w:val="en-US"/>
              </w:rPr>
              <w:t>-</w:t>
            </w:r>
            <w:r w:rsidR="00705437" w:rsidRPr="00D84B66">
              <w:rPr>
                <w:lang w:val="en-US"/>
              </w:rPr>
              <w:t>$</w:t>
            </w:r>
            <w:r w:rsidR="00705437" w:rsidRPr="00D84B66">
              <w:rPr>
                <w:b/>
                <w:bCs/>
              </w:rPr>
              <w:t>redacted</w:t>
            </w:r>
            <w:r w:rsidR="00705437" w:rsidRPr="00D84B66" w:rsidDel="00705437">
              <w:rPr>
                <w:lang w:val="en-US"/>
              </w:rPr>
              <w:t xml:space="preserve"> </w:t>
            </w:r>
          </w:p>
        </w:tc>
        <w:tc>
          <w:tcPr>
            <w:tcW w:w="1276" w:type="dxa"/>
            <w:tcMar>
              <w:left w:w="85" w:type="dxa"/>
              <w:right w:w="85" w:type="dxa"/>
            </w:tcMar>
          </w:tcPr>
          <w:p w14:paraId="4B0B85CF" w14:textId="364AA7B9" w:rsidR="001D4632" w:rsidRPr="00D84B66" w:rsidRDefault="001D4632" w:rsidP="008D05A8">
            <w:pPr>
              <w:pStyle w:val="TableText"/>
              <w:jc w:val="right"/>
              <w:rPr>
                <w:lang w:val="en-US"/>
              </w:rPr>
            </w:pPr>
            <w:r w:rsidRPr="00D84B66">
              <w:rPr>
                <w:lang w:val="en-US"/>
              </w:rPr>
              <w:t>-</w:t>
            </w:r>
            <w:r w:rsidR="00705437" w:rsidRPr="00D84B66">
              <w:rPr>
                <w:lang w:val="en-US"/>
              </w:rPr>
              <w:t>$</w:t>
            </w:r>
            <w:r w:rsidR="00705437" w:rsidRPr="00D84B66">
              <w:rPr>
                <w:b/>
                <w:bCs/>
              </w:rPr>
              <w:t>redacted</w:t>
            </w:r>
            <w:r w:rsidR="00705437" w:rsidRPr="00D84B66" w:rsidDel="00705437">
              <w:rPr>
                <w:lang w:val="en-US"/>
              </w:rPr>
              <w:t xml:space="preserve"> </w:t>
            </w:r>
          </w:p>
        </w:tc>
        <w:tc>
          <w:tcPr>
            <w:tcW w:w="1224" w:type="dxa"/>
            <w:tcMar>
              <w:left w:w="85" w:type="dxa"/>
              <w:right w:w="85" w:type="dxa"/>
            </w:tcMar>
          </w:tcPr>
          <w:p w14:paraId="14193D27" w14:textId="691142B0" w:rsidR="001D4632" w:rsidRPr="00D84B66" w:rsidRDefault="001D4632" w:rsidP="008D05A8">
            <w:pPr>
              <w:pStyle w:val="TableText"/>
              <w:jc w:val="right"/>
              <w:rPr>
                <w:lang w:val="en-US"/>
              </w:rPr>
            </w:pPr>
            <w:r w:rsidRPr="00D84B66">
              <w:rPr>
                <w:lang w:val="en-US"/>
              </w:rPr>
              <w:t>-</w:t>
            </w:r>
            <w:r w:rsidR="00705437" w:rsidRPr="00D84B66">
              <w:rPr>
                <w:lang w:val="en-US"/>
              </w:rPr>
              <w:t>$</w:t>
            </w:r>
            <w:r w:rsidR="00705437" w:rsidRPr="00D84B66">
              <w:rPr>
                <w:b/>
                <w:bCs/>
              </w:rPr>
              <w:t>redacted</w:t>
            </w:r>
            <w:r w:rsidR="00705437" w:rsidRPr="00D84B66" w:rsidDel="00705437">
              <w:rPr>
                <w:lang w:val="en-US"/>
              </w:rPr>
              <w:t xml:space="preserve"> </w:t>
            </w:r>
          </w:p>
        </w:tc>
      </w:tr>
      <w:tr w:rsidR="00705437" w:rsidRPr="001D4632" w14:paraId="481F80C1" w14:textId="77777777" w:rsidTr="005D76F9">
        <w:tc>
          <w:tcPr>
            <w:tcW w:w="1980" w:type="dxa"/>
            <w:tcMar>
              <w:left w:w="85" w:type="dxa"/>
              <w:right w:w="85" w:type="dxa"/>
            </w:tcMar>
          </w:tcPr>
          <w:p w14:paraId="21AB0998" w14:textId="77777777" w:rsidR="001D4632" w:rsidRPr="001D4632" w:rsidRDefault="001D4632" w:rsidP="003960F7">
            <w:pPr>
              <w:pStyle w:val="TableText"/>
              <w:rPr>
                <w:lang w:val="en-US"/>
              </w:rPr>
            </w:pPr>
            <w:r w:rsidRPr="001D4632">
              <w:rPr>
                <w:lang w:val="en-US"/>
              </w:rPr>
              <w:t xml:space="preserve">Change in use of other healthcare </w:t>
            </w:r>
            <w:proofErr w:type="spellStart"/>
            <w:r w:rsidRPr="001D4632">
              <w:rPr>
                <w:lang w:val="en-US"/>
              </w:rPr>
              <w:t>resources</w:t>
            </w:r>
            <w:r w:rsidRPr="00D95FED">
              <w:rPr>
                <w:vertAlign w:val="superscript"/>
                <w:lang w:val="en-US"/>
              </w:rPr>
              <w:t>b</w:t>
            </w:r>
            <w:proofErr w:type="spellEnd"/>
          </w:p>
        </w:tc>
        <w:tc>
          <w:tcPr>
            <w:tcW w:w="1134" w:type="dxa"/>
            <w:tcMar>
              <w:left w:w="85" w:type="dxa"/>
              <w:right w:w="85" w:type="dxa"/>
            </w:tcMar>
          </w:tcPr>
          <w:p w14:paraId="399BCF48" w14:textId="164A1B75" w:rsidR="001D4632" w:rsidRPr="00D84B66" w:rsidRDefault="00705437" w:rsidP="008D05A8">
            <w:pPr>
              <w:pStyle w:val="TableText"/>
              <w:jc w:val="right"/>
              <w:rPr>
                <w:lang w:val="en-US"/>
              </w:rPr>
            </w:pPr>
            <w:r w:rsidRPr="00D84B66">
              <w:rPr>
                <w:lang w:val="en-US"/>
              </w:rPr>
              <w:t>$</w:t>
            </w:r>
            <w:r w:rsidRPr="00D84B66">
              <w:rPr>
                <w:b/>
                <w:bCs/>
              </w:rPr>
              <w:t>redacted</w:t>
            </w:r>
            <w:r w:rsidRPr="00D84B66" w:rsidDel="00705437">
              <w:rPr>
                <w:lang w:val="en-US"/>
              </w:rPr>
              <w:t xml:space="preserve"> </w:t>
            </w:r>
          </w:p>
        </w:tc>
        <w:tc>
          <w:tcPr>
            <w:tcW w:w="1134" w:type="dxa"/>
            <w:tcMar>
              <w:left w:w="85" w:type="dxa"/>
              <w:right w:w="85" w:type="dxa"/>
            </w:tcMar>
          </w:tcPr>
          <w:p w14:paraId="296BC670" w14:textId="340C1E2A" w:rsidR="001D4632" w:rsidRPr="00D84B66" w:rsidRDefault="00705437" w:rsidP="008D05A8">
            <w:pPr>
              <w:pStyle w:val="TableText"/>
              <w:jc w:val="right"/>
              <w:rPr>
                <w:lang w:val="en-US"/>
              </w:rPr>
            </w:pPr>
            <w:r w:rsidRPr="00D84B66">
              <w:rPr>
                <w:lang w:val="en-US"/>
              </w:rPr>
              <w:t>$</w:t>
            </w:r>
            <w:r w:rsidRPr="00D84B66">
              <w:rPr>
                <w:b/>
                <w:bCs/>
              </w:rPr>
              <w:t>redacted</w:t>
            </w:r>
            <w:r w:rsidRPr="00D84B66" w:rsidDel="00705437">
              <w:rPr>
                <w:lang w:val="en-US"/>
              </w:rPr>
              <w:t xml:space="preserve"> </w:t>
            </w:r>
          </w:p>
        </w:tc>
        <w:tc>
          <w:tcPr>
            <w:tcW w:w="1134" w:type="dxa"/>
            <w:tcMar>
              <w:left w:w="85" w:type="dxa"/>
              <w:right w:w="85" w:type="dxa"/>
            </w:tcMar>
          </w:tcPr>
          <w:p w14:paraId="26A882E4" w14:textId="4FEDEFBF" w:rsidR="001D4632" w:rsidRPr="00D84B66" w:rsidRDefault="00705437" w:rsidP="008D05A8">
            <w:pPr>
              <w:pStyle w:val="TableText"/>
              <w:jc w:val="right"/>
              <w:rPr>
                <w:lang w:val="en-US"/>
              </w:rPr>
            </w:pPr>
            <w:r w:rsidRPr="00D84B66">
              <w:rPr>
                <w:lang w:val="en-US"/>
              </w:rPr>
              <w:t>$</w:t>
            </w:r>
            <w:r w:rsidRPr="00D84B66">
              <w:rPr>
                <w:b/>
                <w:bCs/>
              </w:rPr>
              <w:t>redacted</w:t>
            </w:r>
            <w:r w:rsidRPr="00D84B66" w:rsidDel="00705437">
              <w:rPr>
                <w:lang w:val="en-US"/>
              </w:rPr>
              <w:t xml:space="preserve"> </w:t>
            </w:r>
          </w:p>
        </w:tc>
        <w:tc>
          <w:tcPr>
            <w:tcW w:w="1134" w:type="dxa"/>
            <w:tcMar>
              <w:left w:w="85" w:type="dxa"/>
              <w:right w:w="85" w:type="dxa"/>
            </w:tcMar>
          </w:tcPr>
          <w:p w14:paraId="29B23441" w14:textId="76135EF4" w:rsidR="001D4632" w:rsidRPr="00D84B66" w:rsidRDefault="00705437" w:rsidP="008D05A8">
            <w:pPr>
              <w:pStyle w:val="TableText"/>
              <w:jc w:val="right"/>
              <w:rPr>
                <w:lang w:val="en-US"/>
              </w:rPr>
            </w:pPr>
            <w:r w:rsidRPr="00D84B66">
              <w:rPr>
                <w:lang w:val="en-US"/>
              </w:rPr>
              <w:t>$</w:t>
            </w:r>
            <w:r w:rsidRPr="00D84B66">
              <w:rPr>
                <w:b/>
                <w:bCs/>
              </w:rPr>
              <w:t>redacted</w:t>
            </w:r>
            <w:r w:rsidRPr="00D84B66" w:rsidDel="00705437">
              <w:rPr>
                <w:lang w:val="en-US"/>
              </w:rPr>
              <w:t xml:space="preserve"> </w:t>
            </w:r>
          </w:p>
        </w:tc>
        <w:tc>
          <w:tcPr>
            <w:tcW w:w="1276" w:type="dxa"/>
            <w:tcMar>
              <w:left w:w="85" w:type="dxa"/>
              <w:right w:w="85" w:type="dxa"/>
            </w:tcMar>
          </w:tcPr>
          <w:p w14:paraId="348B69C5" w14:textId="602EBE69" w:rsidR="001D4632" w:rsidRPr="00D84B66" w:rsidRDefault="00705437" w:rsidP="008D05A8">
            <w:pPr>
              <w:pStyle w:val="TableText"/>
              <w:jc w:val="right"/>
              <w:rPr>
                <w:lang w:val="en-US"/>
              </w:rPr>
            </w:pPr>
            <w:r w:rsidRPr="00D84B66">
              <w:rPr>
                <w:lang w:val="en-US"/>
              </w:rPr>
              <w:t>$</w:t>
            </w:r>
            <w:r w:rsidRPr="00D84B66">
              <w:rPr>
                <w:b/>
                <w:bCs/>
              </w:rPr>
              <w:t>redacted</w:t>
            </w:r>
            <w:r w:rsidRPr="00D84B66" w:rsidDel="00705437">
              <w:rPr>
                <w:lang w:val="en-US"/>
              </w:rPr>
              <w:t xml:space="preserve"> </w:t>
            </w:r>
          </w:p>
        </w:tc>
        <w:tc>
          <w:tcPr>
            <w:tcW w:w="1224" w:type="dxa"/>
            <w:tcMar>
              <w:left w:w="85" w:type="dxa"/>
              <w:right w:w="85" w:type="dxa"/>
            </w:tcMar>
          </w:tcPr>
          <w:p w14:paraId="63658155" w14:textId="7C4BA113" w:rsidR="001D4632" w:rsidRPr="00D84B66" w:rsidRDefault="00705437" w:rsidP="008D05A8">
            <w:pPr>
              <w:pStyle w:val="TableText"/>
              <w:jc w:val="right"/>
              <w:rPr>
                <w:lang w:val="en-US"/>
              </w:rPr>
            </w:pPr>
            <w:r w:rsidRPr="00D84B66">
              <w:rPr>
                <w:lang w:val="en-US"/>
              </w:rPr>
              <w:t>$</w:t>
            </w:r>
            <w:r w:rsidRPr="00D84B66">
              <w:rPr>
                <w:b/>
                <w:bCs/>
              </w:rPr>
              <w:t>redacted</w:t>
            </w:r>
            <w:r w:rsidRPr="00D84B66" w:rsidDel="00705437">
              <w:rPr>
                <w:lang w:val="en-US"/>
              </w:rPr>
              <w:t xml:space="preserve"> </w:t>
            </w:r>
          </w:p>
        </w:tc>
      </w:tr>
      <w:tr w:rsidR="00705437" w:rsidRPr="001D4632" w14:paraId="2DF83EE0" w14:textId="77777777" w:rsidTr="005D76F9">
        <w:tc>
          <w:tcPr>
            <w:tcW w:w="1980" w:type="dxa"/>
            <w:tcMar>
              <w:left w:w="85" w:type="dxa"/>
              <w:right w:w="85" w:type="dxa"/>
            </w:tcMar>
          </w:tcPr>
          <w:p w14:paraId="7B9B5502" w14:textId="05A7F6E6" w:rsidR="001D4632" w:rsidRPr="003476C0" w:rsidRDefault="003476C0" w:rsidP="003960F7">
            <w:pPr>
              <w:pStyle w:val="TableText"/>
              <w:rPr>
                <w:b/>
                <w:bCs/>
                <w:lang w:val="en-US"/>
              </w:rPr>
            </w:pPr>
            <w:r>
              <w:rPr>
                <w:b/>
                <w:bCs/>
                <w:lang w:val="en-US"/>
              </w:rPr>
              <w:t>Overall n</w:t>
            </w:r>
            <w:r w:rsidR="001D4632" w:rsidRPr="003476C0">
              <w:rPr>
                <w:b/>
                <w:bCs/>
                <w:lang w:val="en-US"/>
              </w:rPr>
              <w:t xml:space="preserve">et financial impact of funding </w:t>
            </w:r>
            <w:proofErr w:type="spellStart"/>
            <w:r w:rsidR="009F1E37">
              <w:rPr>
                <w:b/>
                <w:bCs/>
                <w:lang w:val="en-US"/>
              </w:rPr>
              <w:t>ED</w:t>
            </w:r>
            <w:r w:rsidR="001D4632" w:rsidRPr="003476C0">
              <w:rPr>
                <w:b/>
                <w:bCs/>
                <w:vertAlign w:val="superscript"/>
                <w:lang w:val="en-US"/>
              </w:rPr>
              <w:t>c</w:t>
            </w:r>
            <w:proofErr w:type="spellEnd"/>
          </w:p>
        </w:tc>
        <w:tc>
          <w:tcPr>
            <w:tcW w:w="1134" w:type="dxa"/>
            <w:tcMar>
              <w:left w:w="85" w:type="dxa"/>
              <w:right w:w="85" w:type="dxa"/>
            </w:tcMar>
          </w:tcPr>
          <w:p w14:paraId="11193952" w14:textId="56AE5439" w:rsidR="001D4632" w:rsidRPr="00D84B66" w:rsidRDefault="00705437" w:rsidP="008D05A8">
            <w:pPr>
              <w:pStyle w:val="TableText"/>
              <w:jc w:val="right"/>
              <w:rPr>
                <w:b/>
                <w:bCs/>
                <w:lang w:val="en-US"/>
              </w:rPr>
            </w:pPr>
            <w:r w:rsidRPr="00D84B66">
              <w:rPr>
                <w:b/>
                <w:bCs/>
                <w:lang w:val="en-US"/>
              </w:rPr>
              <w:t>$</w:t>
            </w:r>
            <w:r w:rsidRPr="00D84B66">
              <w:rPr>
                <w:b/>
                <w:bCs/>
              </w:rPr>
              <w:t>redacted</w:t>
            </w:r>
          </w:p>
        </w:tc>
        <w:tc>
          <w:tcPr>
            <w:tcW w:w="1134" w:type="dxa"/>
            <w:tcMar>
              <w:left w:w="85" w:type="dxa"/>
              <w:right w:w="85" w:type="dxa"/>
            </w:tcMar>
          </w:tcPr>
          <w:p w14:paraId="0FB8C18E" w14:textId="78E20457" w:rsidR="001D4632" w:rsidRPr="00D84B66" w:rsidRDefault="00705437" w:rsidP="008D05A8">
            <w:pPr>
              <w:pStyle w:val="TableText"/>
              <w:jc w:val="right"/>
              <w:rPr>
                <w:b/>
                <w:bCs/>
                <w:lang w:val="en-US"/>
              </w:rPr>
            </w:pPr>
            <w:r w:rsidRPr="00D84B66">
              <w:rPr>
                <w:b/>
                <w:bCs/>
                <w:lang w:val="en-US"/>
              </w:rPr>
              <w:t>$</w:t>
            </w:r>
            <w:r w:rsidRPr="00D84B66">
              <w:rPr>
                <w:b/>
                <w:bCs/>
              </w:rPr>
              <w:t>redacted</w:t>
            </w:r>
          </w:p>
        </w:tc>
        <w:tc>
          <w:tcPr>
            <w:tcW w:w="1134" w:type="dxa"/>
            <w:tcMar>
              <w:left w:w="85" w:type="dxa"/>
              <w:right w:w="85" w:type="dxa"/>
            </w:tcMar>
          </w:tcPr>
          <w:p w14:paraId="3DE611FE" w14:textId="11CD848E" w:rsidR="001D4632" w:rsidRPr="00D84B66" w:rsidRDefault="00705437" w:rsidP="008D05A8">
            <w:pPr>
              <w:pStyle w:val="TableText"/>
              <w:jc w:val="right"/>
              <w:rPr>
                <w:b/>
                <w:bCs/>
                <w:lang w:val="en-US"/>
              </w:rPr>
            </w:pPr>
            <w:r w:rsidRPr="00D84B66">
              <w:rPr>
                <w:b/>
                <w:bCs/>
                <w:lang w:val="en-US"/>
              </w:rPr>
              <w:t>$</w:t>
            </w:r>
            <w:r w:rsidRPr="00D84B66">
              <w:rPr>
                <w:b/>
                <w:bCs/>
              </w:rPr>
              <w:t>redacted</w:t>
            </w:r>
          </w:p>
        </w:tc>
        <w:tc>
          <w:tcPr>
            <w:tcW w:w="1134" w:type="dxa"/>
            <w:tcMar>
              <w:left w:w="85" w:type="dxa"/>
              <w:right w:w="85" w:type="dxa"/>
            </w:tcMar>
          </w:tcPr>
          <w:p w14:paraId="3E4D19F6" w14:textId="1462F44F" w:rsidR="001D4632" w:rsidRPr="00D84B66" w:rsidRDefault="00705437" w:rsidP="008D05A8">
            <w:pPr>
              <w:pStyle w:val="TableText"/>
              <w:jc w:val="right"/>
              <w:rPr>
                <w:b/>
                <w:bCs/>
                <w:lang w:val="en-US"/>
              </w:rPr>
            </w:pPr>
            <w:r w:rsidRPr="00D84B66">
              <w:rPr>
                <w:b/>
                <w:bCs/>
                <w:lang w:val="en-US"/>
              </w:rPr>
              <w:t>$</w:t>
            </w:r>
            <w:r w:rsidRPr="00D84B66">
              <w:rPr>
                <w:b/>
                <w:bCs/>
              </w:rPr>
              <w:t>redacted</w:t>
            </w:r>
          </w:p>
        </w:tc>
        <w:tc>
          <w:tcPr>
            <w:tcW w:w="1276" w:type="dxa"/>
            <w:tcMar>
              <w:left w:w="85" w:type="dxa"/>
              <w:right w:w="85" w:type="dxa"/>
            </w:tcMar>
          </w:tcPr>
          <w:p w14:paraId="2EE9C04B" w14:textId="3343416F" w:rsidR="001D4632" w:rsidRPr="00D84B66" w:rsidRDefault="00705437" w:rsidP="008D05A8">
            <w:pPr>
              <w:pStyle w:val="TableText"/>
              <w:jc w:val="right"/>
              <w:rPr>
                <w:b/>
                <w:bCs/>
                <w:lang w:val="en-US"/>
              </w:rPr>
            </w:pPr>
            <w:r w:rsidRPr="00D84B66">
              <w:rPr>
                <w:b/>
                <w:bCs/>
                <w:lang w:val="en-US"/>
              </w:rPr>
              <w:t>$</w:t>
            </w:r>
            <w:r w:rsidRPr="00D84B66">
              <w:rPr>
                <w:b/>
                <w:bCs/>
              </w:rPr>
              <w:t>redacted</w:t>
            </w:r>
          </w:p>
        </w:tc>
        <w:tc>
          <w:tcPr>
            <w:tcW w:w="1224" w:type="dxa"/>
            <w:tcMar>
              <w:left w:w="85" w:type="dxa"/>
              <w:right w:w="85" w:type="dxa"/>
            </w:tcMar>
          </w:tcPr>
          <w:p w14:paraId="5882D37D" w14:textId="363204C9" w:rsidR="001D4632" w:rsidRPr="00D84B66" w:rsidRDefault="00705437" w:rsidP="008D05A8">
            <w:pPr>
              <w:pStyle w:val="TableText"/>
              <w:jc w:val="right"/>
              <w:rPr>
                <w:b/>
                <w:bCs/>
                <w:lang w:val="en-US"/>
              </w:rPr>
            </w:pPr>
            <w:r w:rsidRPr="00D84B66">
              <w:rPr>
                <w:b/>
                <w:bCs/>
                <w:lang w:val="en-US"/>
              </w:rPr>
              <w:t>$</w:t>
            </w:r>
            <w:r w:rsidRPr="00D84B66">
              <w:rPr>
                <w:b/>
                <w:bCs/>
              </w:rPr>
              <w:t>redacted</w:t>
            </w:r>
          </w:p>
        </w:tc>
      </w:tr>
      <w:tr w:rsidR="00705437" w:rsidRPr="001D4632" w14:paraId="5792EAF7" w14:textId="77777777" w:rsidTr="005D76F9">
        <w:tc>
          <w:tcPr>
            <w:tcW w:w="1980" w:type="dxa"/>
            <w:tcMar>
              <w:left w:w="85" w:type="dxa"/>
              <w:right w:w="85" w:type="dxa"/>
            </w:tcMar>
          </w:tcPr>
          <w:p w14:paraId="2790D066" w14:textId="270A5AB0" w:rsidR="001D4632" w:rsidRPr="003476C0" w:rsidRDefault="001D4632" w:rsidP="003960F7">
            <w:pPr>
              <w:pStyle w:val="TableText"/>
              <w:rPr>
                <w:b/>
                <w:bCs/>
                <w:lang w:val="en-US"/>
              </w:rPr>
            </w:pPr>
            <w:r w:rsidRPr="003476C0">
              <w:rPr>
                <w:b/>
                <w:bCs/>
                <w:lang w:val="en-US"/>
              </w:rPr>
              <w:t xml:space="preserve">Net financial impact to the </w:t>
            </w:r>
            <w:r w:rsidR="00254485">
              <w:rPr>
                <w:b/>
                <w:bCs/>
                <w:lang w:val="en-US"/>
              </w:rPr>
              <w:t xml:space="preserve">National Blood </w:t>
            </w:r>
            <w:proofErr w:type="spellStart"/>
            <w:r w:rsidR="00254485">
              <w:rPr>
                <w:b/>
                <w:bCs/>
                <w:lang w:val="en-US"/>
              </w:rPr>
              <w:t>Agreement</w:t>
            </w:r>
            <w:r w:rsidRPr="003476C0">
              <w:rPr>
                <w:b/>
                <w:bCs/>
                <w:vertAlign w:val="superscript"/>
                <w:lang w:val="en-US"/>
              </w:rPr>
              <w:t>d</w:t>
            </w:r>
            <w:proofErr w:type="spellEnd"/>
          </w:p>
        </w:tc>
        <w:tc>
          <w:tcPr>
            <w:tcW w:w="1134" w:type="dxa"/>
            <w:tcMar>
              <w:left w:w="85" w:type="dxa"/>
              <w:right w:w="85" w:type="dxa"/>
            </w:tcMar>
          </w:tcPr>
          <w:p w14:paraId="7997954B" w14:textId="175470A9" w:rsidR="001D4632" w:rsidRPr="00D84B66" w:rsidRDefault="00705437" w:rsidP="008D05A8">
            <w:pPr>
              <w:pStyle w:val="TableText"/>
              <w:jc w:val="right"/>
              <w:rPr>
                <w:b/>
                <w:bCs/>
                <w:lang w:val="en-US"/>
              </w:rPr>
            </w:pPr>
            <w:r w:rsidRPr="00D84B66">
              <w:rPr>
                <w:b/>
                <w:bCs/>
                <w:lang w:val="en-US"/>
              </w:rPr>
              <w:t>$</w:t>
            </w:r>
            <w:r w:rsidRPr="00D84B66">
              <w:rPr>
                <w:b/>
                <w:bCs/>
              </w:rPr>
              <w:t>redacted</w:t>
            </w:r>
          </w:p>
        </w:tc>
        <w:tc>
          <w:tcPr>
            <w:tcW w:w="1134" w:type="dxa"/>
            <w:tcMar>
              <w:left w:w="85" w:type="dxa"/>
              <w:right w:w="85" w:type="dxa"/>
            </w:tcMar>
          </w:tcPr>
          <w:p w14:paraId="47475FF2" w14:textId="1D72CCD4" w:rsidR="001D4632" w:rsidRPr="00D84B66" w:rsidRDefault="00705437" w:rsidP="008D05A8">
            <w:pPr>
              <w:pStyle w:val="TableText"/>
              <w:jc w:val="right"/>
              <w:rPr>
                <w:b/>
                <w:bCs/>
                <w:lang w:val="en-US"/>
              </w:rPr>
            </w:pPr>
            <w:r w:rsidRPr="00D84B66">
              <w:rPr>
                <w:b/>
                <w:bCs/>
                <w:lang w:val="en-US"/>
              </w:rPr>
              <w:t>$</w:t>
            </w:r>
            <w:r w:rsidRPr="00D84B66">
              <w:rPr>
                <w:b/>
                <w:bCs/>
              </w:rPr>
              <w:t>redacted</w:t>
            </w:r>
          </w:p>
        </w:tc>
        <w:tc>
          <w:tcPr>
            <w:tcW w:w="1134" w:type="dxa"/>
            <w:tcMar>
              <w:left w:w="85" w:type="dxa"/>
              <w:right w:w="85" w:type="dxa"/>
            </w:tcMar>
          </w:tcPr>
          <w:p w14:paraId="1838B0F1" w14:textId="582894CA" w:rsidR="001D4632" w:rsidRPr="00D84B66" w:rsidRDefault="00705437" w:rsidP="008D05A8">
            <w:pPr>
              <w:pStyle w:val="TableText"/>
              <w:jc w:val="right"/>
              <w:rPr>
                <w:b/>
                <w:bCs/>
                <w:lang w:val="en-US"/>
              </w:rPr>
            </w:pPr>
            <w:r w:rsidRPr="00D84B66">
              <w:rPr>
                <w:b/>
                <w:bCs/>
                <w:lang w:val="en-US"/>
              </w:rPr>
              <w:t>$</w:t>
            </w:r>
            <w:r w:rsidRPr="00D84B66">
              <w:rPr>
                <w:b/>
                <w:bCs/>
              </w:rPr>
              <w:t>redacted</w:t>
            </w:r>
          </w:p>
        </w:tc>
        <w:tc>
          <w:tcPr>
            <w:tcW w:w="1134" w:type="dxa"/>
            <w:tcMar>
              <w:left w:w="85" w:type="dxa"/>
              <w:right w:w="85" w:type="dxa"/>
            </w:tcMar>
          </w:tcPr>
          <w:p w14:paraId="51E8C1DA" w14:textId="27E0F6EE" w:rsidR="001D4632" w:rsidRPr="00D84B66" w:rsidRDefault="001D4632" w:rsidP="008D05A8">
            <w:pPr>
              <w:pStyle w:val="TableText"/>
              <w:jc w:val="right"/>
              <w:rPr>
                <w:b/>
                <w:bCs/>
                <w:lang w:val="en-US"/>
              </w:rPr>
            </w:pPr>
            <w:r w:rsidRPr="00D84B66">
              <w:rPr>
                <w:b/>
                <w:bCs/>
                <w:lang w:val="en-US"/>
              </w:rPr>
              <w:t>$</w:t>
            </w:r>
            <w:r w:rsidR="00F562CE">
              <w:rPr>
                <w:b/>
                <w:bCs/>
                <w:lang w:val="en-US"/>
              </w:rPr>
              <w:t>redacte</w:t>
            </w:r>
            <w:r w:rsidR="007B5F59">
              <w:rPr>
                <w:b/>
                <w:bCs/>
                <w:lang w:val="en-US"/>
              </w:rPr>
              <w:t>d</w:t>
            </w:r>
          </w:p>
        </w:tc>
        <w:tc>
          <w:tcPr>
            <w:tcW w:w="1276" w:type="dxa"/>
            <w:tcMar>
              <w:left w:w="85" w:type="dxa"/>
              <w:right w:w="85" w:type="dxa"/>
            </w:tcMar>
          </w:tcPr>
          <w:p w14:paraId="696199CA" w14:textId="7C6DD15D" w:rsidR="001D4632" w:rsidRPr="00D84B66" w:rsidRDefault="00705437" w:rsidP="008D05A8">
            <w:pPr>
              <w:pStyle w:val="TableText"/>
              <w:jc w:val="right"/>
              <w:rPr>
                <w:b/>
                <w:bCs/>
                <w:lang w:val="en-US"/>
              </w:rPr>
            </w:pPr>
            <w:r w:rsidRPr="00D84B66">
              <w:rPr>
                <w:b/>
                <w:bCs/>
                <w:lang w:val="en-US"/>
              </w:rPr>
              <w:t>$</w:t>
            </w:r>
            <w:r w:rsidRPr="00D84B66">
              <w:rPr>
                <w:b/>
                <w:bCs/>
              </w:rPr>
              <w:t>redacted</w:t>
            </w:r>
          </w:p>
        </w:tc>
        <w:tc>
          <w:tcPr>
            <w:tcW w:w="1224" w:type="dxa"/>
            <w:tcMar>
              <w:left w:w="85" w:type="dxa"/>
              <w:right w:w="85" w:type="dxa"/>
            </w:tcMar>
          </w:tcPr>
          <w:p w14:paraId="6055D32A" w14:textId="1C05D2E0" w:rsidR="001D4632" w:rsidRPr="00D84B66" w:rsidRDefault="00705437" w:rsidP="008D05A8">
            <w:pPr>
              <w:pStyle w:val="TableText"/>
              <w:jc w:val="right"/>
              <w:rPr>
                <w:b/>
                <w:bCs/>
                <w:lang w:val="en-US"/>
              </w:rPr>
            </w:pPr>
            <w:r w:rsidRPr="00D84B66">
              <w:rPr>
                <w:b/>
                <w:bCs/>
                <w:lang w:val="en-US"/>
              </w:rPr>
              <w:t>$</w:t>
            </w:r>
            <w:r w:rsidRPr="00D84B66">
              <w:rPr>
                <w:b/>
                <w:bCs/>
              </w:rPr>
              <w:t>redacted</w:t>
            </w:r>
          </w:p>
        </w:tc>
      </w:tr>
      <w:tr w:rsidR="00705437" w:rsidRPr="001D4632" w14:paraId="12115D0F" w14:textId="77777777" w:rsidTr="005D76F9">
        <w:tc>
          <w:tcPr>
            <w:tcW w:w="1980" w:type="dxa"/>
            <w:tcMar>
              <w:left w:w="85" w:type="dxa"/>
              <w:right w:w="85" w:type="dxa"/>
            </w:tcMar>
          </w:tcPr>
          <w:p w14:paraId="3A4CF779" w14:textId="77777777" w:rsidR="001D4632" w:rsidRPr="001D4632" w:rsidRDefault="001D4632" w:rsidP="00812C75">
            <w:pPr>
              <w:pStyle w:val="TableText"/>
              <w:rPr>
                <w:lang w:val="en-US"/>
              </w:rPr>
            </w:pPr>
            <w:r w:rsidRPr="001D4632">
              <w:rPr>
                <w:lang w:val="en-US"/>
              </w:rPr>
              <w:t>States and Territories (37%)</w:t>
            </w:r>
          </w:p>
        </w:tc>
        <w:tc>
          <w:tcPr>
            <w:tcW w:w="1134" w:type="dxa"/>
            <w:tcMar>
              <w:left w:w="85" w:type="dxa"/>
              <w:right w:w="85" w:type="dxa"/>
            </w:tcMar>
          </w:tcPr>
          <w:p w14:paraId="35BEAC75" w14:textId="5B002CFB" w:rsidR="001D4632" w:rsidRPr="00D84B66" w:rsidRDefault="00705437" w:rsidP="008D05A8">
            <w:pPr>
              <w:pStyle w:val="TableText"/>
              <w:jc w:val="right"/>
              <w:rPr>
                <w:lang w:val="en-US"/>
              </w:rPr>
            </w:pPr>
            <w:r w:rsidRPr="00D84B66">
              <w:rPr>
                <w:lang w:val="en-US"/>
              </w:rPr>
              <w:t>$</w:t>
            </w:r>
            <w:r w:rsidRPr="00D84B66">
              <w:rPr>
                <w:b/>
                <w:bCs/>
              </w:rPr>
              <w:t>redacted</w:t>
            </w:r>
            <w:r w:rsidRPr="00D84B66" w:rsidDel="00705437">
              <w:rPr>
                <w:lang w:val="en-US"/>
              </w:rPr>
              <w:t xml:space="preserve"> </w:t>
            </w:r>
          </w:p>
        </w:tc>
        <w:tc>
          <w:tcPr>
            <w:tcW w:w="1134" w:type="dxa"/>
            <w:tcMar>
              <w:left w:w="85" w:type="dxa"/>
              <w:right w:w="85" w:type="dxa"/>
            </w:tcMar>
          </w:tcPr>
          <w:p w14:paraId="6EEAD3A0" w14:textId="30CA9232" w:rsidR="001D4632" w:rsidRPr="00D84B66" w:rsidRDefault="00705437" w:rsidP="008D05A8">
            <w:pPr>
              <w:pStyle w:val="TableText"/>
              <w:jc w:val="right"/>
              <w:rPr>
                <w:lang w:val="en-US"/>
              </w:rPr>
            </w:pPr>
            <w:r w:rsidRPr="00D84B66">
              <w:rPr>
                <w:lang w:val="en-US"/>
              </w:rPr>
              <w:t>$</w:t>
            </w:r>
            <w:r w:rsidRPr="00D84B66">
              <w:rPr>
                <w:b/>
                <w:bCs/>
              </w:rPr>
              <w:t>redacted</w:t>
            </w:r>
            <w:r w:rsidRPr="00D84B66" w:rsidDel="00705437">
              <w:rPr>
                <w:lang w:val="en-US"/>
              </w:rPr>
              <w:t xml:space="preserve"> </w:t>
            </w:r>
          </w:p>
        </w:tc>
        <w:tc>
          <w:tcPr>
            <w:tcW w:w="1134" w:type="dxa"/>
            <w:tcMar>
              <w:left w:w="85" w:type="dxa"/>
              <w:right w:w="85" w:type="dxa"/>
            </w:tcMar>
          </w:tcPr>
          <w:p w14:paraId="41C59A22" w14:textId="6657490D" w:rsidR="001D4632" w:rsidRPr="00D84B66" w:rsidRDefault="00705437" w:rsidP="008D05A8">
            <w:pPr>
              <w:pStyle w:val="TableText"/>
              <w:jc w:val="right"/>
              <w:rPr>
                <w:lang w:val="en-US"/>
              </w:rPr>
            </w:pPr>
            <w:r w:rsidRPr="00D84B66">
              <w:rPr>
                <w:lang w:val="en-US"/>
              </w:rPr>
              <w:t>$</w:t>
            </w:r>
            <w:r w:rsidRPr="00D84B66">
              <w:rPr>
                <w:b/>
                <w:bCs/>
              </w:rPr>
              <w:t>redacted</w:t>
            </w:r>
          </w:p>
        </w:tc>
        <w:tc>
          <w:tcPr>
            <w:tcW w:w="1134" w:type="dxa"/>
            <w:tcMar>
              <w:left w:w="85" w:type="dxa"/>
              <w:right w:w="85" w:type="dxa"/>
            </w:tcMar>
          </w:tcPr>
          <w:p w14:paraId="54B6F1AD" w14:textId="3D9A5D1A" w:rsidR="001D4632" w:rsidRPr="00D84B66" w:rsidRDefault="00705437" w:rsidP="008D05A8">
            <w:pPr>
              <w:pStyle w:val="TableText"/>
              <w:jc w:val="right"/>
              <w:rPr>
                <w:lang w:val="en-US"/>
              </w:rPr>
            </w:pPr>
            <w:r w:rsidRPr="00D84B66">
              <w:rPr>
                <w:lang w:val="en-US"/>
              </w:rPr>
              <w:t>$</w:t>
            </w:r>
            <w:r w:rsidRPr="00D84B66">
              <w:rPr>
                <w:b/>
                <w:bCs/>
              </w:rPr>
              <w:t>redacted</w:t>
            </w:r>
          </w:p>
        </w:tc>
        <w:tc>
          <w:tcPr>
            <w:tcW w:w="1276" w:type="dxa"/>
            <w:tcMar>
              <w:left w:w="85" w:type="dxa"/>
              <w:right w:w="85" w:type="dxa"/>
            </w:tcMar>
          </w:tcPr>
          <w:p w14:paraId="09626633" w14:textId="65F27F11" w:rsidR="001D4632" w:rsidRPr="00D84B66" w:rsidRDefault="00705437" w:rsidP="008D05A8">
            <w:pPr>
              <w:pStyle w:val="TableText"/>
              <w:jc w:val="right"/>
              <w:rPr>
                <w:lang w:val="en-US"/>
              </w:rPr>
            </w:pPr>
            <w:r w:rsidRPr="00D84B66">
              <w:rPr>
                <w:lang w:val="en-US"/>
              </w:rPr>
              <w:t>$</w:t>
            </w:r>
            <w:r w:rsidRPr="00D84B66">
              <w:rPr>
                <w:b/>
                <w:bCs/>
              </w:rPr>
              <w:t>redacted</w:t>
            </w:r>
          </w:p>
        </w:tc>
        <w:tc>
          <w:tcPr>
            <w:tcW w:w="1224" w:type="dxa"/>
            <w:tcMar>
              <w:left w:w="85" w:type="dxa"/>
              <w:right w:w="85" w:type="dxa"/>
            </w:tcMar>
          </w:tcPr>
          <w:p w14:paraId="1EF758AB" w14:textId="23019A1A" w:rsidR="001D4632" w:rsidRPr="00D84B66" w:rsidRDefault="00705437" w:rsidP="008D05A8">
            <w:pPr>
              <w:pStyle w:val="TableText"/>
              <w:jc w:val="right"/>
              <w:rPr>
                <w:lang w:val="en-US"/>
              </w:rPr>
            </w:pPr>
            <w:r w:rsidRPr="00D84B66">
              <w:rPr>
                <w:lang w:val="en-US"/>
              </w:rPr>
              <w:t>$</w:t>
            </w:r>
            <w:r w:rsidRPr="00D84B66">
              <w:rPr>
                <w:b/>
                <w:bCs/>
              </w:rPr>
              <w:t>redacted</w:t>
            </w:r>
          </w:p>
        </w:tc>
      </w:tr>
      <w:tr w:rsidR="00705437" w:rsidRPr="001D4632" w14:paraId="4CBBD84D" w14:textId="77777777" w:rsidTr="005D76F9">
        <w:tc>
          <w:tcPr>
            <w:tcW w:w="1980" w:type="dxa"/>
            <w:tcMar>
              <w:left w:w="85" w:type="dxa"/>
              <w:right w:w="85" w:type="dxa"/>
            </w:tcMar>
          </w:tcPr>
          <w:p w14:paraId="3F2BC01F" w14:textId="77777777" w:rsidR="001D4632" w:rsidRPr="001D4632" w:rsidRDefault="001D4632" w:rsidP="00812C75">
            <w:pPr>
              <w:pStyle w:val="TableText"/>
              <w:rPr>
                <w:lang w:val="en-US"/>
              </w:rPr>
            </w:pPr>
            <w:r w:rsidRPr="001D4632">
              <w:rPr>
                <w:lang w:val="en-US"/>
              </w:rPr>
              <w:t>Commonwealth (63%)</w:t>
            </w:r>
          </w:p>
        </w:tc>
        <w:tc>
          <w:tcPr>
            <w:tcW w:w="1134" w:type="dxa"/>
            <w:tcMar>
              <w:left w:w="85" w:type="dxa"/>
              <w:right w:w="85" w:type="dxa"/>
            </w:tcMar>
          </w:tcPr>
          <w:p w14:paraId="0C763D88" w14:textId="6E606CE4" w:rsidR="001D4632" w:rsidRPr="00D84B66" w:rsidRDefault="00705437" w:rsidP="008D05A8">
            <w:pPr>
              <w:pStyle w:val="TableText"/>
              <w:jc w:val="right"/>
              <w:rPr>
                <w:lang w:val="en-US"/>
              </w:rPr>
            </w:pPr>
            <w:r w:rsidRPr="00D84B66">
              <w:rPr>
                <w:lang w:val="en-US"/>
              </w:rPr>
              <w:t>$</w:t>
            </w:r>
            <w:r w:rsidRPr="00D84B66">
              <w:rPr>
                <w:b/>
                <w:bCs/>
              </w:rPr>
              <w:t>redacted</w:t>
            </w:r>
          </w:p>
        </w:tc>
        <w:tc>
          <w:tcPr>
            <w:tcW w:w="1134" w:type="dxa"/>
            <w:tcMar>
              <w:left w:w="85" w:type="dxa"/>
              <w:right w:w="85" w:type="dxa"/>
            </w:tcMar>
          </w:tcPr>
          <w:p w14:paraId="2F233CD6" w14:textId="043E60D1" w:rsidR="001D4632" w:rsidRPr="00D84B66" w:rsidRDefault="00705437" w:rsidP="008D05A8">
            <w:pPr>
              <w:pStyle w:val="TableText"/>
              <w:jc w:val="right"/>
              <w:rPr>
                <w:lang w:val="en-US"/>
              </w:rPr>
            </w:pPr>
            <w:r w:rsidRPr="00D84B66">
              <w:rPr>
                <w:lang w:val="en-US"/>
              </w:rPr>
              <w:t>$</w:t>
            </w:r>
            <w:r w:rsidRPr="00D84B66">
              <w:rPr>
                <w:b/>
                <w:bCs/>
              </w:rPr>
              <w:t>redacted</w:t>
            </w:r>
          </w:p>
        </w:tc>
        <w:tc>
          <w:tcPr>
            <w:tcW w:w="1134" w:type="dxa"/>
            <w:tcMar>
              <w:left w:w="85" w:type="dxa"/>
              <w:right w:w="85" w:type="dxa"/>
            </w:tcMar>
          </w:tcPr>
          <w:p w14:paraId="75E19A95" w14:textId="6814DA4F" w:rsidR="001D4632" w:rsidRPr="00D84B66" w:rsidRDefault="00705437" w:rsidP="008D05A8">
            <w:pPr>
              <w:pStyle w:val="TableText"/>
              <w:jc w:val="right"/>
              <w:rPr>
                <w:lang w:val="en-US"/>
              </w:rPr>
            </w:pPr>
            <w:r w:rsidRPr="00D84B66">
              <w:rPr>
                <w:lang w:val="en-US"/>
              </w:rPr>
              <w:t>$</w:t>
            </w:r>
            <w:r w:rsidRPr="00D84B66">
              <w:rPr>
                <w:b/>
                <w:bCs/>
              </w:rPr>
              <w:t>redacted</w:t>
            </w:r>
          </w:p>
        </w:tc>
        <w:tc>
          <w:tcPr>
            <w:tcW w:w="1134" w:type="dxa"/>
            <w:tcMar>
              <w:left w:w="85" w:type="dxa"/>
              <w:right w:w="85" w:type="dxa"/>
            </w:tcMar>
          </w:tcPr>
          <w:p w14:paraId="6AF432D9" w14:textId="0308053C" w:rsidR="001D4632" w:rsidRPr="00D84B66" w:rsidRDefault="00705437" w:rsidP="008D05A8">
            <w:pPr>
              <w:pStyle w:val="TableText"/>
              <w:jc w:val="right"/>
              <w:rPr>
                <w:lang w:val="en-US"/>
              </w:rPr>
            </w:pPr>
            <w:r w:rsidRPr="00D84B66">
              <w:rPr>
                <w:lang w:val="en-US"/>
              </w:rPr>
              <w:t>$</w:t>
            </w:r>
            <w:r w:rsidRPr="00D84B66">
              <w:rPr>
                <w:b/>
                <w:bCs/>
              </w:rPr>
              <w:t>redacted</w:t>
            </w:r>
          </w:p>
        </w:tc>
        <w:tc>
          <w:tcPr>
            <w:tcW w:w="1276" w:type="dxa"/>
            <w:tcMar>
              <w:left w:w="85" w:type="dxa"/>
              <w:right w:w="85" w:type="dxa"/>
            </w:tcMar>
          </w:tcPr>
          <w:p w14:paraId="354F9E40" w14:textId="65BD7DED" w:rsidR="001D4632" w:rsidRPr="00D84B66" w:rsidRDefault="00705437" w:rsidP="008D05A8">
            <w:pPr>
              <w:pStyle w:val="TableText"/>
              <w:jc w:val="right"/>
              <w:rPr>
                <w:lang w:val="en-US"/>
              </w:rPr>
            </w:pPr>
            <w:r w:rsidRPr="00D84B66">
              <w:rPr>
                <w:lang w:val="en-US"/>
              </w:rPr>
              <w:t>$</w:t>
            </w:r>
            <w:r w:rsidRPr="00D84B66">
              <w:rPr>
                <w:b/>
                <w:bCs/>
              </w:rPr>
              <w:t>redacted</w:t>
            </w:r>
          </w:p>
        </w:tc>
        <w:tc>
          <w:tcPr>
            <w:tcW w:w="1224" w:type="dxa"/>
            <w:tcMar>
              <w:left w:w="85" w:type="dxa"/>
              <w:right w:w="85" w:type="dxa"/>
            </w:tcMar>
          </w:tcPr>
          <w:p w14:paraId="4A76DAFC" w14:textId="3194D09B" w:rsidR="001D4632" w:rsidRPr="00D84B66" w:rsidRDefault="00705437" w:rsidP="008D05A8">
            <w:pPr>
              <w:pStyle w:val="TableText"/>
              <w:jc w:val="right"/>
              <w:rPr>
                <w:lang w:val="en-US"/>
              </w:rPr>
            </w:pPr>
            <w:r w:rsidRPr="00D84B66">
              <w:rPr>
                <w:lang w:val="en-US"/>
              </w:rPr>
              <w:t>$</w:t>
            </w:r>
            <w:r w:rsidRPr="00D84B66">
              <w:rPr>
                <w:b/>
                <w:bCs/>
              </w:rPr>
              <w:t>redacted</w:t>
            </w:r>
          </w:p>
        </w:tc>
      </w:tr>
    </w:tbl>
    <w:p w14:paraId="27BB8643" w14:textId="733BD10B" w:rsidR="00E418AE" w:rsidRPr="008367EB" w:rsidRDefault="00E418AE" w:rsidP="00421326">
      <w:pPr>
        <w:pStyle w:val="TableFigureFooter"/>
        <w:contextualSpacing/>
      </w:pPr>
      <w:r w:rsidRPr="008367EB">
        <w:t>FIX = Factor IX</w:t>
      </w:r>
      <w:r w:rsidR="008367EB" w:rsidRPr="008367EB">
        <w:t>.</w:t>
      </w:r>
    </w:p>
    <w:p w14:paraId="7DB7D51A" w14:textId="76664A59" w:rsidR="00796C9E" w:rsidRPr="008367EB" w:rsidRDefault="00796C9E" w:rsidP="00421326">
      <w:pPr>
        <w:pStyle w:val="TableFigureFooter"/>
        <w:contextualSpacing/>
      </w:pPr>
      <w:r w:rsidRPr="008367EB">
        <w:t xml:space="preserve">a </w:t>
      </w:r>
      <w:r w:rsidR="00FE11FA" w:rsidRPr="008367EB">
        <w:t>Incorporated correction of error in</w:t>
      </w:r>
      <w:r w:rsidRPr="008367EB">
        <w:t xml:space="preserve"> </w:t>
      </w:r>
      <w:r w:rsidR="00181346" w:rsidRPr="008367EB">
        <w:t xml:space="preserve">calculation of </w:t>
      </w:r>
      <w:r w:rsidR="00FE11FA" w:rsidRPr="008367EB">
        <w:t xml:space="preserve">FIX </w:t>
      </w:r>
      <w:r w:rsidR="00181346" w:rsidRPr="008367EB">
        <w:t xml:space="preserve">replacement therapy </w:t>
      </w:r>
      <w:r w:rsidR="00FE11FA" w:rsidRPr="008367EB">
        <w:t>cos</w:t>
      </w:r>
      <w:r w:rsidR="00181346" w:rsidRPr="008367EB">
        <w:t>ts</w:t>
      </w:r>
      <w:r w:rsidR="007F060B">
        <w:t xml:space="preserve"> (</w:t>
      </w:r>
      <w:r w:rsidR="00D40734">
        <w:t xml:space="preserve">the ADAR </w:t>
      </w:r>
      <w:r w:rsidR="00A03EFE">
        <w:t>applied annual FIX consumption rather than</w:t>
      </w:r>
      <w:r w:rsidR="0098733C">
        <w:t xml:space="preserve"> </w:t>
      </w:r>
      <w:r w:rsidR="00A03EFE">
        <w:t xml:space="preserve">annual </w:t>
      </w:r>
      <w:r w:rsidR="00DB2020">
        <w:t xml:space="preserve">FIX </w:t>
      </w:r>
      <w:r w:rsidR="0098733C">
        <w:t>cost</w:t>
      </w:r>
      <w:r w:rsidR="00A03EFE">
        <w:t xml:space="preserve"> in the calculation)</w:t>
      </w:r>
      <w:r w:rsidR="00FE11FA" w:rsidRPr="008367EB">
        <w:t>.</w:t>
      </w:r>
    </w:p>
    <w:p w14:paraId="10772F93" w14:textId="73F66D50" w:rsidR="00796C9E" w:rsidRPr="008367EB" w:rsidRDefault="00796C9E" w:rsidP="00421326">
      <w:pPr>
        <w:pStyle w:val="TableFigureFooter"/>
        <w:contextualSpacing/>
      </w:pPr>
      <w:r w:rsidRPr="008367EB">
        <w:t>b Include</w:t>
      </w:r>
      <w:r w:rsidR="00F4626C" w:rsidRPr="008367EB">
        <w:t>d</w:t>
      </w:r>
      <w:r w:rsidRPr="008367EB">
        <w:t xml:space="preserve"> healthcare resource</w:t>
      </w:r>
      <w:r w:rsidR="00AB13DB" w:rsidRPr="008367EB">
        <w:t xml:space="preserve"> use</w:t>
      </w:r>
      <w:r w:rsidRPr="008367EB">
        <w:t xml:space="preserve"> for screening</w:t>
      </w:r>
      <w:r w:rsidR="00EF7B71" w:rsidRPr="008367EB">
        <w:t xml:space="preserve"> (</w:t>
      </w:r>
      <w:r w:rsidR="00B57B96">
        <w:t>collection of serum sample, anti-AAV5 Nab test,</w:t>
      </w:r>
      <w:r w:rsidR="00B57B96" w:rsidRPr="008367EB">
        <w:t xml:space="preserve"> </w:t>
      </w:r>
      <w:r w:rsidR="00B57B96">
        <w:t xml:space="preserve">FIX inhibitor test, test for active infections, liver enzyme testing, </w:t>
      </w:r>
      <w:r w:rsidR="00EF7B71" w:rsidRPr="008367EB">
        <w:t>baseline liver ultrasound</w:t>
      </w:r>
      <w:r w:rsidR="00B57B96">
        <w:t>, specialist consultation</w:t>
      </w:r>
      <w:r w:rsidR="00EF7B71" w:rsidRPr="008367EB">
        <w:t>)</w:t>
      </w:r>
      <w:r w:rsidRPr="008367EB">
        <w:t xml:space="preserve">, </w:t>
      </w:r>
      <w:r w:rsidR="00D71318">
        <w:t>ED</w:t>
      </w:r>
      <w:r w:rsidR="00D71318" w:rsidRPr="008367EB">
        <w:t xml:space="preserve"> </w:t>
      </w:r>
      <w:r w:rsidRPr="008367EB">
        <w:t>administration</w:t>
      </w:r>
      <w:r w:rsidR="00B57B96">
        <w:t xml:space="preserve"> (specialist attendance, infusion cost)</w:t>
      </w:r>
      <w:r w:rsidR="00EF7B71" w:rsidRPr="008367EB">
        <w:t xml:space="preserve">, </w:t>
      </w:r>
      <w:r w:rsidR="00D33744" w:rsidRPr="008367EB">
        <w:t>management of infusion-related reactions (</w:t>
      </w:r>
      <w:r w:rsidR="00B57B96">
        <w:t xml:space="preserve">corticosteroid treatment </w:t>
      </w:r>
      <w:r w:rsidR="00D33744" w:rsidRPr="008367EB">
        <w:t xml:space="preserve">in 16.7% of </w:t>
      </w:r>
      <w:r w:rsidR="00473DBC" w:rsidRPr="008367EB">
        <w:t xml:space="preserve">patients) </w:t>
      </w:r>
      <w:r w:rsidRPr="008367EB">
        <w:t xml:space="preserve">and </w:t>
      </w:r>
      <w:r w:rsidR="002F016C" w:rsidRPr="008367EB">
        <w:t xml:space="preserve">differential </w:t>
      </w:r>
      <w:r w:rsidRPr="008367EB">
        <w:t>monitoring</w:t>
      </w:r>
      <w:r w:rsidR="00AB13DB" w:rsidRPr="008367EB">
        <w:t xml:space="preserve"> costs</w:t>
      </w:r>
      <w:r w:rsidR="00B57B96">
        <w:t xml:space="preserve"> (specialist attendance, liver enzymes test, FIX % activity test, </w:t>
      </w:r>
      <w:r w:rsidR="00153923">
        <w:t xml:space="preserve">abdominal ultrasounds and </w:t>
      </w:r>
      <w:r w:rsidR="00B57B96">
        <w:t>test</w:t>
      </w:r>
      <w:r w:rsidR="0074550E">
        <w:t>s</w:t>
      </w:r>
      <w:r w:rsidR="00B57B96">
        <w:t xml:space="preserve"> for alpha-fetoprotein [in 79.7% of patients with pre-existing risk factors for hepatocellular carcinoma])</w:t>
      </w:r>
      <w:r w:rsidRPr="008367EB">
        <w:t xml:space="preserve">. MBS </w:t>
      </w:r>
      <w:r w:rsidR="00426321">
        <w:t xml:space="preserve">and PBS </w:t>
      </w:r>
      <w:r w:rsidRPr="008367EB">
        <w:t>costs based on Schedule fee (includ</w:t>
      </w:r>
      <w:r w:rsidR="00A412FD" w:rsidRPr="008367EB">
        <w:t>ing</w:t>
      </w:r>
      <w:r w:rsidRPr="008367EB">
        <w:t xml:space="preserve"> patient copayment).</w:t>
      </w:r>
    </w:p>
    <w:p w14:paraId="4768C7E2" w14:textId="4FCC887A" w:rsidR="00796C9E" w:rsidRPr="008367EB" w:rsidRDefault="00796C9E" w:rsidP="00421326">
      <w:pPr>
        <w:pStyle w:val="TableFigureFooter"/>
        <w:contextualSpacing/>
      </w:pPr>
      <w:r w:rsidRPr="008367EB">
        <w:t>c</w:t>
      </w:r>
      <w:r w:rsidR="004D24CB" w:rsidRPr="008367EB">
        <w:t xml:space="preserve"> </w:t>
      </w:r>
      <w:r w:rsidR="00D71318">
        <w:t>ED</w:t>
      </w:r>
      <w:r w:rsidRPr="008367EB">
        <w:t xml:space="preserve">, FIX </w:t>
      </w:r>
      <w:r w:rsidR="00BF13B0" w:rsidRPr="008367EB">
        <w:t xml:space="preserve">replacement therapy </w:t>
      </w:r>
      <w:r w:rsidRPr="008367EB">
        <w:t xml:space="preserve">and other healthcare resource use. </w:t>
      </w:r>
    </w:p>
    <w:p w14:paraId="0BA83F2F" w14:textId="36898041" w:rsidR="009828D3" w:rsidRPr="008367EB" w:rsidRDefault="00796C9E" w:rsidP="008367EB">
      <w:pPr>
        <w:pStyle w:val="TableFigureFooter"/>
        <w:contextualSpacing/>
      </w:pPr>
      <w:r w:rsidRPr="008367EB">
        <w:t xml:space="preserve">d </w:t>
      </w:r>
      <w:r w:rsidR="00D71318">
        <w:t>ED</w:t>
      </w:r>
      <w:r w:rsidR="00D71318" w:rsidRPr="008367EB">
        <w:t xml:space="preserve"> </w:t>
      </w:r>
      <w:r w:rsidR="003476C0" w:rsidRPr="008367EB">
        <w:t xml:space="preserve">and </w:t>
      </w:r>
      <w:r w:rsidR="00EE6623" w:rsidRPr="008367EB">
        <w:t xml:space="preserve">FIX </w:t>
      </w:r>
      <w:r w:rsidR="00D80DEF" w:rsidRPr="008367EB">
        <w:t xml:space="preserve">replacement </w:t>
      </w:r>
      <w:r w:rsidR="00EE6623" w:rsidRPr="008367EB">
        <w:t>therapy only</w:t>
      </w:r>
      <w:r w:rsidRPr="008367EB">
        <w:t>.</w:t>
      </w:r>
    </w:p>
    <w:p w14:paraId="161FD92B" w14:textId="22ED0625" w:rsidR="006218F5" w:rsidRPr="008367EB" w:rsidRDefault="006218F5" w:rsidP="008367EB">
      <w:pPr>
        <w:pStyle w:val="TableFigureFooter"/>
        <w:contextualSpacing/>
      </w:pPr>
      <w:r w:rsidRPr="008367EB">
        <w:t xml:space="preserve">Source: Commentary </w:t>
      </w:r>
      <w:r w:rsidRPr="00F03041">
        <w:t xml:space="preserve">Table </w:t>
      </w:r>
      <w:r w:rsidR="00F03041" w:rsidRPr="00F03041">
        <w:t>13</w:t>
      </w:r>
      <w:r w:rsidRPr="00E40A38">
        <w:t xml:space="preserve"> of MSAC 1728</w:t>
      </w:r>
      <w:r>
        <w:t>.1</w:t>
      </w:r>
      <w:r w:rsidRPr="00E40A38">
        <w:t xml:space="preserve"> ADAR</w:t>
      </w:r>
      <w:r w:rsidR="00BB3FEC">
        <w:t xml:space="preserve"> </w:t>
      </w:r>
      <w:r w:rsidRPr="00E40A38">
        <w:t>+</w:t>
      </w:r>
      <w:r w:rsidR="00BB3FEC">
        <w:t xml:space="preserve"> </w:t>
      </w:r>
      <w:r w:rsidRPr="00E40A38">
        <w:t>in-line commentary.</w:t>
      </w:r>
    </w:p>
    <w:p w14:paraId="74A280BC" w14:textId="4B4183A8" w:rsidR="00995868" w:rsidRDefault="00995868" w:rsidP="00995868">
      <w:r w:rsidRPr="00137120">
        <w:t xml:space="preserve">The </w:t>
      </w:r>
      <w:r w:rsidR="00B56C8C">
        <w:t xml:space="preserve">risk-share proposal </w:t>
      </w:r>
      <w:r w:rsidR="00B06086" w:rsidRPr="00D84B66">
        <w:rPr>
          <w:b/>
          <w:bCs/>
        </w:rPr>
        <w:t>redacted</w:t>
      </w:r>
      <w:r w:rsidR="00B06086" w:rsidRPr="00D84B66">
        <w:t xml:space="preserve"> </w:t>
      </w:r>
      <w:r w:rsidRPr="00B06086">
        <w:t>significantly</w:t>
      </w:r>
      <w:r w:rsidRPr="00C93DBF">
        <w:t xml:space="preserve"> reduce</w:t>
      </w:r>
      <w:r w:rsidR="00B56C8C" w:rsidRPr="00C93DBF">
        <w:t>d</w:t>
      </w:r>
      <w:r w:rsidRPr="00C93DBF">
        <w:t xml:space="preserve"> the upfront budget impact.</w:t>
      </w:r>
      <w:r>
        <w:t xml:space="preserve"> The ADAR claimed that </w:t>
      </w:r>
      <w:r w:rsidR="00D71318">
        <w:t>ED</w:t>
      </w:r>
      <w:r w:rsidR="00D71318" w:rsidRPr="005540E5">
        <w:t xml:space="preserve"> </w:t>
      </w:r>
      <w:r>
        <w:t>wa</w:t>
      </w:r>
      <w:r w:rsidRPr="005540E5">
        <w:t>s expected to be cost</w:t>
      </w:r>
      <w:r w:rsidR="0032123C">
        <w:t xml:space="preserve"> </w:t>
      </w:r>
      <w:r w:rsidRPr="005540E5">
        <w:t xml:space="preserve">saving to the </w:t>
      </w:r>
      <w:r w:rsidR="00254485">
        <w:t>National Blood Agreement</w:t>
      </w:r>
      <w:r w:rsidRPr="005540E5">
        <w:t xml:space="preserve"> and </w:t>
      </w:r>
      <w:r>
        <w:t>would</w:t>
      </w:r>
      <w:r w:rsidRPr="005540E5">
        <w:t xml:space="preserve"> accumulate cost</w:t>
      </w:r>
      <w:r w:rsidR="0032123C">
        <w:t xml:space="preserve"> </w:t>
      </w:r>
      <w:r w:rsidRPr="005540E5">
        <w:t>savings due to compounding cost</w:t>
      </w:r>
      <w:r w:rsidR="0032123C">
        <w:t xml:space="preserve"> </w:t>
      </w:r>
      <w:r w:rsidRPr="005540E5">
        <w:t>offsets</w:t>
      </w:r>
      <w:r>
        <w:t>. However,</w:t>
      </w:r>
      <w:r w:rsidRPr="005540E5">
        <w:t xml:space="preserve"> </w:t>
      </w:r>
      <w:r>
        <w:t xml:space="preserve">these </w:t>
      </w:r>
      <w:r w:rsidRPr="007D317E">
        <w:t xml:space="preserve">cost savings </w:t>
      </w:r>
      <w:r>
        <w:t>did</w:t>
      </w:r>
      <w:r w:rsidRPr="007D317E">
        <w:t xml:space="preserve"> not materialise </w:t>
      </w:r>
      <w:r w:rsidR="00635823">
        <w:t>in</w:t>
      </w:r>
      <w:r w:rsidRPr="007D317E">
        <w:t xml:space="preserve"> the </w:t>
      </w:r>
      <w:r>
        <w:t xml:space="preserve">6-year projections in </w:t>
      </w:r>
      <w:r w:rsidR="000D242D">
        <w:fldChar w:fldCharType="begin"/>
      </w:r>
      <w:r w:rsidR="000D242D">
        <w:instrText xml:space="preserve"> REF _Ref207986766 \h </w:instrText>
      </w:r>
      <w:r w:rsidR="000D242D">
        <w:fldChar w:fldCharType="separate"/>
      </w:r>
      <w:r w:rsidR="000D242D">
        <w:t xml:space="preserve">Table </w:t>
      </w:r>
      <w:r w:rsidR="000D242D">
        <w:rPr>
          <w:noProof/>
        </w:rPr>
        <w:t>17</w:t>
      </w:r>
      <w:r w:rsidR="000D242D">
        <w:fldChar w:fldCharType="end"/>
      </w:r>
      <w:r w:rsidR="000D242D">
        <w:t xml:space="preserve"> </w:t>
      </w:r>
      <w:r>
        <w:t>(</w:t>
      </w:r>
      <w:r w:rsidR="00416773">
        <w:t>nor</w:t>
      </w:r>
      <w:r>
        <w:t xml:space="preserve"> the </w:t>
      </w:r>
      <w:r w:rsidRPr="007D317E">
        <w:t>10</w:t>
      </w:r>
      <w:r>
        <w:t>-</w:t>
      </w:r>
      <w:r w:rsidRPr="007D317E">
        <w:t>year project</w:t>
      </w:r>
      <w:r>
        <w:t>ions</w:t>
      </w:r>
      <w:r w:rsidRPr="007D317E">
        <w:t xml:space="preserve"> in the financial estimate workbook</w:t>
      </w:r>
      <w:r>
        <w:t>).</w:t>
      </w:r>
    </w:p>
    <w:p w14:paraId="19319B91" w14:textId="10A996E1" w:rsidR="00995868" w:rsidRDefault="00995868" w:rsidP="00995868">
      <w:r w:rsidRPr="00255F89">
        <w:t xml:space="preserve">The change in healthcare resource utilisation associated with </w:t>
      </w:r>
      <w:r w:rsidR="00D71318">
        <w:t>ED</w:t>
      </w:r>
      <w:r w:rsidR="00D71318" w:rsidRPr="00255F89">
        <w:t xml:space="preserve"> </w:t>
      </w:r>
      <w:r>
        <w:t>wa</w:t>
      </w:r>
      <w:r w:rsidRPr="00255F89">
        <w:t>s relatively small</w:t>
      </w:r>
      <w:r>
        <w:t xml:space="preserve"> in comparison to the acquisition costs of </w:t>
      </w:r>
      <w:r w:rsidR="00D71318">
        <w:t xml:space="preserve">ED </w:t>
      </w:r>
      <w:r>
        <w:t xml:space="preserve">and </w:t>
      </w:r>
      <w:r w:rsidRPr="00795992">
        <w:t xml:space="preserve">current FIX </w:t>
      </w:r>
      <w:r>
        <w:t>replacement therapy</w:t>
      </w:r>
      <w:r w:rsidRPr="00255F89">
        <w:t>.</w:t>
      </w:r>
      <w:r w:rsidR="00416773">
        <w:t xml:space="preserve"> Given that</w:t>
      </w:r>
      <w:r w:rsidR="00416773" w:rsidRPr="008456C9">
        <w:t xml:space="preserve"> </w:t>
      </w:r>
      <w:r w:rsidR="00D71318">
        <w:t xml:space="preserve">ED </w:t>
      </w:r>
      <w:r w:rsidR="00416773">
        <w:t>would be prescribed and administered at</w:t>
      </w:r>
      <w:r w:rsidR="00416773" w:rsidRPr="008456C9">
        <w:t xml:space="preserve"> HTCs, healthcare resource use costs may be </w:t>
      </w:r>
      <w:r w:rsidR="008F3312">
        <w:t>incurred</w:t>
      </w:r>
      <w:r w:rsidR="00416773" w:rsidRPr="008456C9">
        <w:t xml:space="preserve"> by the public system and/or the MBS.</w:t>
      </w:r>
    </w:p>
    <w:p w14:paraId="28847034" w14:textId="19BA7753" w:rsidR="007215B5" w:rsidRDefault="000D242D" w:rsidP="00995868">
      <w:r>
        <w:fldChar w:fldCharType="begin"/>
      </w:r>
      <w:r>
        <w:instrText xml:space="preserve"> REF _Ref207986891 \h </w:instrText>
      </w:r>
      <w:r>
        <w:fldChar w:fldCharType="separate"/>
      </w:r>
      <w:r>
        <w:t xml:space="preserve">Table </w:t>
      </w:r>
      <w:r>
        <w:rPr>
          <w:noProof/>
        </w:rPr>
        <w:t>18</w:t>
      </w:r>
      <w:r>
        <w:fldChar w:fldCharType="end"/>
      </w:r>
      <w:r>
        <w:t xml:space="preserve"> </w:t>
      </w:r>
      <w:r w:rsidR="001C3FF5">
        <w:t>shows the impact of</w:t>
      </w:r>
      <w:r w:rsidR="005E5F74">
        <w:t xml:space="preserve"> </w:t>
      </w:r>
      <w:r w:rsidR="00BB6779">
        <w:t xml:space="preserve">key uncertainties </w:t>
      </w:r>
      <w:r w:rsidR="005E5F74">
        <w:t>in the financial estimates (</w:t>
      </w:r>
      <w:r w:rsidR="00DF2AD8">
        <w:t xml:space="preserve">assumed </w:t>
      </w:r>
      <w:r w:rsidR="005E5F74">
        <w:t xml:space="preserve">uptake rate and </w:t>
      </w:r>
      <w:r w:rsidR="00807154">
        <w:t xml:space="preserve">standard of care </w:t>
      </w:r>
      <w:r w:rsidR="001C3FF5">
        <w:t>FIX consumption</w:t>
      </w:r>
      <w:r w:rsidR="00807154">
        <w:t>)</w:t>
      </w:r>
      <w:r w:rsidR="00201627">
        <w:t>.</w:t>
      </w:r>
    </w:p>
    <w:p w14:paraId="6A12FFB5" w14:textId="44628F20" w:rsidR="00AE2D57" w:rsidRDefault="000D242D" w:rsidP="00FB47D5">
      <w:pPr>
        <w:pStyle w:val="Caption"/>
        <w:keepLines/>
        <w:rPr>
          <w:rFonts w:cstheme="minorHAnsi"/>
          <w:lang w:val="en-US"/>
        </w:rPr>
      </w:pPr>
      <w:bookmarkStart w:id="61" w:name="_Ref207986891"/>
      <w:bookmarkStart w:id="62" w:name="_Ref195040351"/>
      <w:bookmarkStart w:id="63" w:name="_Ref195087775"/>
      <w:r>
        <w:lastRenderedPageBreak/>
        <w:t xml:space="preserve">Table </w:t>
      </w:r>
      <w:r>
        <w:fldChar w:fldCharType="begin"/>
      </w:r>
      <w:r>
        <w:instrText xml:space="preserve"> SEQ Table \* ARABIC </w:instrText>
      </w:r>
      <w:r>
        <w:fldChar w:fldCharType="separate"/>
      </w:r>
      <w:r>
        <w:rPr>
          <w:noProof/>
        </w:rPr>
        <w:t>18</w:t>
      </w:r>
      <w:r>
        <w:rPr>
          <w:noProof/>
        </w:rPr>
        <w:fldChar w:fldCharType="end"/>
      </w:r>
      <w:bookmarkEnd w:id="61"/>
      <w:r>
        <w:t xml:space="preserve"> </w:t>
      </w:r>
      <w:bookmarkEnd w:id="62"/>
      <w:bookmarkEnd w:id="63"/>
      <w:r w:rsidR="00CD5753">
        <w:rPr>
          <w:rFonts w:cstheme="minorHAnsi"/>
          <w:lang w:val="en-US"/>
        </w:rPr>
        <w:t xml:space="preserve">Results of scenario analyses on the </w:t>
      </w:r>
      <w:r w:rsidR="00643279">
        <w:rPr>
          <w:rFonts w:cstheme="minorHAnsi"/>
          <w:lang w:val="en-US"/>
        </w:rPr>
        <w:t xml:space="preserve">net </w:t>
      </w:r>
      <w:r w:rsidR="00CD5753">
        <w:rPr>
          <w:rFonts w:cstheme="minorHAnsi"/>
          <w:lang w:val="en-US"/>
        </w:rPr>
        <w:t>f</w:t>
      </w:r>
      <w:r w:rsidR="00AE2D57">
        <w:rPr>
          <w:rFonts w:cstheme="minorHAnsi"/>
          <w:lang w:val="en-US"/>
        </w:rPr>
        <w:t xml:space="preserve">inancial implications of funding </w:t>
      </w:r>
      <w:r w:rsidR="00F6032C">
        <w:rPr>
          <w:rFonts w:cstheme="minorHAnsi"/>
          <w:lang w:val="en-US"/>
        </w:rPr>
        <w:t>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sults of scenario analyses on the net financial implications of funding Hemgenix"/>
        <w:tblDescription w:val="This table summarises the results of scenario analyses of key uncertainties on the net financial implications of funding Hemgenix over the first 6 years. The scenarios include a higher uptake of Hemgenix, and lower and higher FIX consumption use for standard of care."/>
      </w:tblPr>
      <w:tblGrid>
        <w:gridCol w:w="1234"/>
        <w:gridCol w:w="1171"/>
        <w:gridCol w:w="1039"/>
        <w:gridCol w:w="1363"/>
        <w:gridCol w:w="1363"/>
        <w:gridCol w:w="1363"/>
        <w:gridCol w:w="1483"/>
      </w:tblGrid>
      <w:tr w:rsidR="00117BBB" w:rsidRPr="001D4632" w14:paraId="7C4DFC94" w14:textId="77777777" w:rsidTr="005D76F9">
        <w:trPr>
          <w:tblHeader/>
        </w:trPr>
        <w:tc>
          <w:tcPr>
            <w:tcW w:w="1234" w:type="dxa"/>
            <w:tcMar>
              <w:left w:w="85" w:type="dxa"/>
              <w:right w:w="85" w:type="dxa"/>
            </w:tcMar>
            <w:vAlign w:val="bottom"/>
          </w:tcPr>
          <w:p w14:paraId="75E8B099" w14:textId="7F2E6433" w:rsidR="00AE2D57" w:rsidRPr="001D4632" w:rsidRDefault="00D870B3" w:rsidP="00B66744">
            <w:pPr>
              <w:pStyle w:val="In-tableHeading"/>
              <w:keepLines/>
              <w:spacing w:before="0" w:after="0"/>
            </w:pPr>
            <w:r>
              <w:t>Parameter</w:t>
            </w:r>
          </w:p>
        </w:tc>
        <w:tc>
          <w:tcPr>
            <w:tcW w:w="1171" w:type="dxa"/>
            <w:tcMar>
              <w:left w:w="85" w:type="dxa"/>
              <w:right w:w="85" w:type="dxa"/>
            </w:tcMar>
          </w:tcPr>
          <w:p w14:paraId="7ACBC25B" w14:textId="77777777" w:rsidR="00AE2D57" w:rsidRPr="001D4632" w:rsidRDefault="00AE2D57" w:rsidP="00B66744">
            <w:pPr>
              <w:pStyle w:val="In-tableHeading"/>
              <w:keepLines/>
              <w:spacing w:before="0" w:after="0"/>
              <w:jc w:val="right"/>
            </w:pPr>
            <w:r w:rsidRPr="001D4632">
              <w:t>Year 1</w:t>
            </w:r>
          </w:p>
        </w:tc>
        <w:tc>
          <w:tcPr>
            <w:tcW w:w="1039" w:type="dxa"/>
            <w:tcMar>
              <w:left w:w="85" w:type="dxa"/>
              <w:right w:w="85" w:type="dxa"/>
            </w:tcMar>
          </w:tcPr>
          <w:p w14:paraId="75EC2919" w14:textId="77777777" w:rsidR="00AE2D57" w:rsidRPr="001D4632" w:rsidRDefault="00AE2D57" w:rsidP="00B66744">
            <w:pPr>
              <w:pStyle w:val="In-tableHeading"/>
              <w:keepLines/>
              <w:spacing w:before="0" w:after="0"/>
              <w:jc w:val="right"/>
            </w:pPr>
            <w:r w:rsidRPr="001D4632">
              <w:t>Year 2</w:t>
            </w:r>
          </w:p>
        </w:tc>
        <w:tc>
          <w:tcPr>
            <w:tcW w:w="1363" w:type="dxa"/>
            <w:tcMar>
              <w:left w:w="85" w:type="dxa"/>
              <w:right w:w="85" w:type="dxa"/>
            </w:tcMar>
          </w:tcPr>
          <w:p w14:paraId="7FF190A6" w14:textId="77777777" w:rsidR="00AE2D57" w:rsidRPr="001D4632" w:rsidRDefault="00AE2D57" w:rsidP="00B66744">
            <w:pPr>
              <w:pStyle w:val="In-tableHeading"/>
              <w:keepLines/>
              <w:spacing w:before="0" w:after="0"/>
              <w:jc w:val="right"/>
            </w:pPr>
            <w:r w:rsidRPr="001D4632">
              <w:t>Year 3</w:t>
            </w:r>
          </w:p>
        </w:tc>
        <w:tc>
          <w:tcPr>
            <w:tcW w:w="1363" w:type="dxa"/>
            <w:tcMar>
              <w:left w:w="85" w:type="dxa"/>
              <w:right w:w="85" w:type="dxa"/>
            </w:tcMar>
          </w:tcPr>
          <w:p w14:paraId="71473826" w14:textId="77777777" w:rsidR="00AE2D57" w:rsidRPr="001D4632" w:rsidRDefault="00AE2D57" w:rsidP="00B66744">
            <w:pPr>
              <w:pStyle w:val="In-tableHeading"/>
              <w:keepLines/>
              <w:spacing w:before="0" w:after="0"/>
              <w:jc w:val="right"/>
            </w:pPr>
            <w:r w:rsidRPr="001D4632">
              <w:t>Year 4</w:t>
            </w:r>
          </w:p>
        </w:tc>
        <w:tc>
          <w:tcPr>
            <w:tcW w:w="1363" w:type="dxa"/>
            <w:tcMar>
              <w:left w:w="85" w:type="dxa"/>
              <w:right w:w="85" w:type="dxa"/>
            </w:tcMar>
          </w:tcPr>
          <w:p w14:paraId="5441EFC8" w14:textId="77777777" w:rsidR="00AE2D57" w:rsidRPr="001D4632" w:rsidRDefault="00AE2D57" w:rsidP="00B66744">
            <w:pPr>
              <w:pStyle w:val="In-tableHeading"/>
              <w:keepLines/>
              <w:spacing w:before="0" w:after="0"/>
              <w:jc w:val="right"/>
            </w:pPr>
            <w:r w:rsidRPr="001D4632">
              <w:t>Year 5</w:t>
            </w:r>
          </w:p>
        </w:tc>
        <w:tc>
          <w:tcPr>
            <w:tcW w:w="1483" w:type="dxa"/>
            <w:tcMar>
              <w:left w:w="85" w:type="dxa"/>
              <w:right w:w="85" w:type="dxa"/>
            </w:tcMar>
          </w:tcPr>
          <w:p w14:paraId="0098ADBE" w14:textId="77777777" w:rsidR="00AE2D57" w:rsidRPr="001D4632" w:rsidRDefault="00AE2D57" w:rsidP="00B66744">
            <w:pPr>
              <w:pStyle w:val="In-tableHeading"/>
              <w:keepLines/>
              <w:spacing w:before="0" w:after="0"/>
              <w:jc w:val="right"/>
            </w:pPr>
            <w:r w:rsidRPr="001D4632">
              <w:t>Year 6</w:t>
            </w:r>
          </w:p>
        </w:tc>
      </w:tr>
      <w:tr w:rsidR="00117BBB" w:rsidRPr="001C14DD" w14:paraId="5D725238" w14:textId="77777777" w:rsidTr="005D76F9">
        <w:tc>
          <w:tcPr>
            <w:tcW w:w="1234" w:type="dxa"/>
            <w:tcMar>
              <w:left w:w="85" w:type="dxa"/>
              <w:right w:w="85" w:type="dxa"/>
            </w:tcMar>
          </w:tcPr>
          <w:p w14:paraId="2A54FB16" w14:textId="30CF36F0" w:rsidR="001C14DD" w:rsidRPr="001C14DD" w:rsidRDefault="00C902FE" w:rsidP="00B66744">
            <w:pPr>
              <w:pStyle w:val="TableText"/>
              <w:keepNext/>
              <w:keepLines/>
              <w:spacing w:before="0" w:after="0"/>
              <w:rPr>
                <w:b/>
                <w:bCs/>
                <w:lang w:val="en-US"/>
              </w:rPr>
            </w:pPr>
            <w:r>
              <w:rPr>
                <w:b/>
                <w:bCs/>
                <w:lang w:val="en-US"/>
              </w:rPr>
              <w:t>Higher uptake rate</w:t>
            </w:r>
          </w:p>
        </w:tc>
        <w:tc>
          <w:tcPr>
            <w:tcW w:w="1171" w:type="dxa"/>
            <w:tcMar>
              <w:left w:w="85" w:type="dxa"/>
              <w:right w:w="85" w:type="dxa"/>
            </w:tcMar>
          </w:tcPr>
          <w:p w14:paraId="19314DA4" w14:textId="77777777" w:rsidR="001C14DD" w:rsidRPr="001C14DD" w:rsidRDefault="001C14DD" w:rsidP="00B66744">
            <w:pPr>
              <w:pStyle w:val="TableText"/>
              <w:keepNext/>
              <w:keepLines/>
              <w:spacing w:before="0" w:after="0"/>
              <w:jc w:val="right"/>
              <w:rPr>
                <w:b/>
                <w:bCs/>
                <w:lang w:val="en-US"/>
              </w:rPr>
            </w:pPr>
          </w:p>
        </w:tc>
        <w:tc>
          <w:tcPr>
            <w:tcW w:w="1039" w:type="dxa"/>
            <w:tcMar>
              <w:left w:w="85" w:type="dxa"/>
              <w:right w:w="85" w:type="dxa"/>
            </w:tcMar>
          </w:tcPr>
          <w:p w14:paraId="137C4D78" w14:textId="77777777" w:rsidR="001C14DD" w:rsidRPr="001C14DD" w:rsidRDefault="001C14DD" w:rsidP="00B66744">
            <w:pPr>
              <w:pStyle w:val="TableText"/>
              <w:keepNext/>
              <w:keepLines/>
              <w:spacing w:before="0" w:after="0"/>
              <w:jc w:val="right"/>
              <w:rPr>
                <w:b/>
                <w:bCs/>
                <w:lang w:val="en-US"/>
              </w:rPr>
            </w:pPr>
          </w:p>
        </w:tc>
        <w:tc>
          <w:tcPr>
            <w:tcW w:w="1363" w:type="dxa"/>
            <w:tcMar>
              <w:left w:w="85" w:type="dxa"/>
              <w:right w:w="85" w:type="dxa"/>
            </w:tcMar>
          </w:tcPr>
          <w:p w14:paraId="22B4B39C" w14:textId="77777777" w:rsidR="001C14DD" w:rsidRPr="001C14DD" w:rsidRDefault="001C14DD" w:rsidP="00B66744">
            <w:pPr>
              <w:pStyle w:val="TableText"/>
              <w:keepNext/>
              <w:keepLines/>
              <w:spacing w:before="0" w:after="0"/>
              <w:jc w:val="right"/>
              <w:rPr>
                <w:b/>
                <w:bCs/>
                <w:lang w:val="en-US"/>
              </w:rPr>
            </w:pPr>
          </w:p>
        </w:tc>
        <w:tc>
          <w:tcPr>
            <w:tcW w:w="1363" w:type="dxa"/>
            <w:tcMar>
              <w:left w:w="85" w:type="dxa"/>
              <w:right w:w="85" w:type="dxa"/>
            </w:tcMar>
          </w:tcPr>
          <w:p w14:paraId="095B384C" w14:textId="77777777" w:rsidR="001C14DD" w:rsidRPr="001C14DD" w:rsidRDefault="001C14DD" w:rsidP="00B66744">
            <w:pPr>
              <w:pStyle w:val="TableText"/>
              <w:keepNext/>
              <w:keepLines/>
              <w:spacing w:before="0" w:after="0"/>
              <w:jc w:val="right"/>
              <w:rPr>
                <w:b/>
                <w:bCs/>
                <w:lang w:val="en-US"/>
              </w:rPr>
            </w:pPr>
          </w:p>
        </w:tc>
        <w:tc>
          <w:tcPr>
            <w:tcW w:w="1363" w:type="dxa"/>
            <w:tcMar>
              <w:left w:w="85" w:type="dxa"/>
              <w:right w:w="85" w:type="dxa"/>
            </w:tcMar>
          </w:tcPr>
          <w:p w14:paraId="0B8B802C" w14:textId="77777777" w:rsidR="001C14DD" w:rsidRPr="001C14DD" w:rsidRDefault="001C14DD" w:rsidP="00B66744">
            <w:pPr>
              <w:pStyle w:val="TableText"/>
              <w:keepNext/>
              <w:keepLines/>
              <w:spacing w:before="0" w:after="0"/>
              <w:jc w:val="right"/>
              <w:rPr>
                <w:b/>
                <w:bCs/>
                <w:lang w:val="en-US"/>
              </w:rPr>
            </w:pPr>
          </w:p>
        </w:tc>
        <w:tc>
          <w:tcPr>
            <w:tcW w:w="1483" w:type="dxa"/>
            <w:tcMar>
              <w:left w:w="85" w:type="dxa"/>
              <w:right w:w="85" w:type="dxa"/>
            </w:tcMar>
          </w:tcPr>
          <w:p w14:paraId="01C0D32F" w14:textId="77777777" w:rsidR="001C14DD" w:rsidRPr="001C14DD" w:rsidRDefault="001C14DD" w:rsidP="00B66744">
            <w:pPr>
              <w:pStyle w:val="TableText"/>
              <w:keepNext/>
              <w:keepLines/>
              <w:spacing w:before="0" w:after="0"/>
              <w:jc w:val="right"/>
              <w:rPr>
                <w:b/>
                <w:bCs/>
                <w:lang w:val="en-US"/>
              </w:rPr>
            </w:pPr>
          </w:p>
        </w:tc>
      </w:tr>
      <w:tr w:rsidR="00117BBB" w:rsidRPr="001D4632" w14:paraId="0BA1BFED" w14:textId="77777777" w:rsidTr="005D76F9">
        <w:tc>
          <w:tcPr>
            <w:tcW w:w="1234" w:type="dxa"/>
            <w:tcMar>
              <w:left w:w="85" w:type="dxa"/>
              <w:right w:w="85" w:type="dxa"/>
            </w:tcMar>
          </w:tcPr>
          <w:p w14:paraId="56DFC090" w14:textId="77777777" w:rsidR="00A47CD7" w:rsidRPr="001D4632" w:rsidRDefault="00A47CD7" w:rsidP="00B66744">
            <w:pPr>
              <w:pStyle w:val="TableText"/>
              <w:keepNext/>
              <w:keepLines/>
              <w:spacing w:before="0" w:after="0"/>
              <w:rPr>
                <w:lang w:val="en-US"/>
              </w:rPr>
            </w:pPr>
            <w:r>
              <w:rPr>
                <w:lang w:val="en-US"/>
              </w:rPr>
              <w:t>Assumed uptake rate</w:t>
            </w:r>
          </w:p>
        </w:tc>
        <w:tc>
          <w:tcPr>
            <w:tcW w:w="1171" w:type="dxa"/>
            <w:tcMar>
              <w:left w:w="85" w:type="dxa"/>
              <w:right w:w="85" w:type="dxa"/>
            </w:tcMar>
          </w:tcPr>
          <w:p w14:paraId="60EB30FF" w14:textId="319EA89E" w:rsidR="00A47CD7" w:rsidRPr="00D84B66" w:rsidRDefault="00A47CD7" w:rsidP="00B66744">
            <w:pPr>
              <w:pStyle w:val="TableText"/>
              <w:keepNext/>
              <w:keepLines/>
              <w:spacing w:before="0" w:after="0"/>
              <w:jc w:val="right"/>
              <w:rPr>
                <w:lang w:val="en-US"/>
              </w:rPr>
            </w:pPr>
            <w:r w:rsidRPr="00D84B66">
              <w:t>5%</w:t>
            </w:r>
          </w:p>
        </w:tc>
        <w:tc>
          <w:tcPr>
            <w:tcW w:w="1039" w:type="dxa"/>
            <w:tcMar>
              <w:left w:w="85" w:type="dxa"/>
              <w:right w:w="85" w:type="dxa"/>
            </w:tcMar>
          </w:tcPr>
          <w:p w14:paraId="39C39AED" w14:textId="4E5D6BE6" w:rsidR="00A47CD7" w:rsidRPr="00D84B66" w:rsidRDefault="00A47CD7" w:rsidP="00B66744">
            <w:pPr>
              <w:pStyle w:val="TableText"/>
              <w:keepNext/>
              <w:keepLines/>
              <w:spacing w:before="0" w:after="0"/>
              <w:jc w:val="right"/>
              <w:rPr>
                <w:lang w:val="en-US"/>
              </w:rPr>
            </w:pPr>
            <w:r w:rsidRPr="00D84B66">
              <w:t>10%</w:t>
            </w:r>
          </w:p>
        </w:tc>
        <w:tc>
          <w:tcPr>
            <w:tcW w:w="1363" w:type="dxa"/>
            <w:tcMar>
              <w:left w:w="85" w:type="dxa"/>
              <w:right w:w="85" w:type="dxa"/>
            </w:tcMar>
          </w:tcPr>
          <w:p w14:paraId="201B4C58" w14:textId="401C012B" w:rsidR="00A47CD7" w:rsidRPr="00D84B66" w:rsidRDefault="00A47CD7" w:rsidP="00B66744">
            <w:pPr>
              <w:pStyle w:val="TableText"/>
              <w:keepNext/>
              <w:keepLines/>
              <w:spacing w:before="0" w:after="0"/>
              <w:jc w:val="right"/>
              <w:rPr>
                <w:lang w:val="en-US"/>
              </w:rPr>
            </w:pPr>
            <w:r w:rsidRPr="00D84B66">
              <w:t>15%</w:t>
            </w:r>
          </w:p>
        </w:tc>
        <w:tc>
          <w:tcPr>
            <w:tcW w:w="1363" w:type="dxa"/>
            <w:tcMar>
              <w:left w:w="85" w:type="dxa"/>
              <w:right w:w="85" w:type="dxa"/>
            </w:tcMar>
          </w:tcPr>
          <w:p w14:paraId="524C8211" w14:textId="42697604" w:rsidR="00A47CD7" w:rsidRPr="00D84B66" w:rsidRDefault="00A47CD7" w:rsidP="00B66744">
            <w:pPr>
              <w:pStyle w:val="TableText"/>
              <w:keepNext/>
              <w:keepLines/>
              <w:spacing w:before="0" w:after="0"/>
              <w:jc w:val="right"/>
              <w:rPr>
                <w:lang w:val="en-US"/>
              </w:rPr>
            </w:pPr>
            <w:r w:rsidRPr="00D84B66">
              <w:t>20%</w:t>
            </w:r>
          </w:p>
        </w:tc>
        <w:tc>
          <w:tcPr>
            <w:tcW w:w="1363" w:type="dxa"/>
            <w:tcMar>
              <w:left w:w="85" w:type="dxa"/>
              <w:right w:w="85" w:type="dxa"/>
            </w:tcMar>
          </w:tcPr>
          <w:p w14:paraId="5C26A58F" w14:textId="333A32B1" w:rsidR="00A47CD7" w:rsidRPr="00D84B66" w:rsidRDefault="00A47CD7" w:rsidP="00B66744">
            <w:pPr>
              <w:pStyle w:val="TableText"/>
              <w:keepNext/>
              <w:keepLines/>
              <w:spacing w:before="0" w:after="0"/>
              <w:jc w:val="right"/>
              <w:rPr>
                <w:lang w:val="en-US"/>
              </w:rPr>
            </w:pPr>
            <w:r w:rsidRPr="00D84B66">
              <w:t>25%</w:t>
            </w:r>
          </w:p>
        </w:tc>
        <w:tc>
          <w:tcPr>
            <w:tcW w:w="1483" w:type="dxa"/>
            <w:tcMar>
              <w:left w:w="85" w:type="dxa"/>
              <w:right w:w="85" w:type="dxa"/>
            </w:tcMar>
          </w:tcPr>
          <w:p w14:paraId="51AA418E" w14:textId="6402361B" w:rsidR="00A47CD7" w:rsidRPr="00D84B66" w:rsidRDefault="00A47CD7" w:rsidP="00B66744">
            <w:pPr>
              <w:pStyle w:val="TableText"/>
              <w:keepNext/>
              <w:keepLines/>
              <w:spacing w:before="0" w:after="0"/>
              <w:jc w:val="right"/>
              <w:rPr>
                <w:lang w:val="en-US"/>
              </w:rPr>
            </w:pPr>
            <w:r w:rsidRPr="00D84B66">
              <w:t>30%</w:t>
            </w:r>
          </w:p>
        </w:tc>
      </w:tr>
      <w:tr w:rsidR="00117BBB" w:rsidRPr="001D4632" w14:paraId="622346B6" w14:textId="77777777" w:rsidTr="005D76F9">
        <w:tc>
          <w:tcPr>
            <w:tcW w:w="1234" w:type="dxa"/>
            <w:tcMar>
              <w:left w:w="85" w:type="dxa"/>
              <w:right w:w="85" w:type="dxa"/>
            </w:tcMar>
          </w:tcPr>
          <w:p w14:paraId="574CAAAF" w14:textId="550DDCC6" w:rsidR="00A47CD7" w:rsidRPr="001D4632" w:rsidRDefault="00A47CD7" w:rsidP="00B66744">
            <w:pPr>
              <w:pStyle w:val="TableText"/>
              <w:keepNext/>
              <w:keepLines/>
              <w:spacing w:before="0" w:after="0"/>
              <w:rPr>
                <w:lang w:val="en-US"/>
              </w:rPr>
            </w:pPr>
            <w:r w:rsidRPr="001D4632">
              <w:rPr>
                <w:lang w:val="en-US"/>
              </w:rPr>
              <w:t xml:space="preserve">Patients electing </w:t>
            </w:r>
            <w:r w:rsidR="00D71318">
              <w:rPr>
                <w:lang w:val="en-US"/>
              </w:rPr>
              <w:t>ED</w:t>
            </w:r>
          </w:p>
        </w:tc>
        <w:tc>
          <w:tcPr>
            <w:tcW w:w="1171" w:type="dxa"/>
            <w:tcMar>
              <w:left w:w="85" w:type="dxa"/>
              <w:right w:w="85" w:type="dxa"/>
            </w:tcMar>
          </w:tcPr>
          <w:p w14:paraId="333CCF45" w14:textId="6E877237" w:rsidR="00A47CD7" w:rsidRPr="00D84B66" w:rsidRDefault="00C02A47" w:rsidP="00B66744">
            <w:pPr>
              <w:pStyle w:val="TableText"/>
              <w:keepNext/>
              <w:keepLines/>
              <w:spacing w:before="0" w:after="0"/>
              <w:jc w:val="right"/>
              <w:rPr>
                <w:lang w:val="en-US"/>
              </w:rPr>
            </w:pPr>
            <w:r w:rsidRPr="00D84B66">
              <w:rPr>
                <w:b/>
                <w:bCs/>
              </w:rPr>
              <w:t>redacted</w:t>
            </w:r>
          </w:p>
        </w:tc>
        <w:tc>
          <w:tcPr>
            <w:tcW w:w="1039" w:type="dxa"/>
            <w:tcMar>
              <w:left w:w="85" w:type="dxa"/>
              <w:right w:w="85" w:type="dxa"/>
            </w:tcMar>
          </w:tcPr>
          <w:p w14:paraId="3EE85FC9" w14:textId="5D35A961" w:rsidR="00A47CD7" w:rsidRPr="00D84B66" w:rsidRDefault="00C02A47" w:rsidP="00B66744">
            <w:pPr>
              <w:pStyle w:val="TableText"/>
              <w:keepNext/>
              <w:keepLines/>
              <w:spacing w:before="0" w:after="0"/>
              <w:jc w:val="right"/>
              <w:rPr>
                <w:lang w:val="en-US"/>
              </w:rPr>
            </w:pPr>
            <w:r w:rsidRPr="00D84B66">
              <w:rPr>
                <w:b/>
                <w:bCs/>
              </w:rPr>
              <w:t>redacted</w:t>
            </w:r>
          </w:p>
        </w:tc>
        <w:tc>
          <w:tcPr>
            <w:tcW w:w="1363" w:type="dxa"/>
            <w:tcMar>
              <w:left w:w="85" w:type="dxa"/>
              <w:right w:w="85" w:type="dxa"/>
            </w:tcMar>
          </w:tcPr>
          <w:p w14:paraId="73AF7410" w14:textId="6EAFE2C0" w:rsidR="00A47CD7" w:rsidRPr="00D84B66" w:rsidRDefault="00C02A47" w:rsidP="00B66744">
            <w:pPr>
              <w:pStyle w:val="TableText"/>
              <w:keepNext/>
              <w:keepLines/>
              <w:spacing w:before="0" w:after="0"/>
              <w:jc w:val="right"/>
              <w:rPr>
                <w:lang w:val="en-US"/>
              </w:rPr>
            </w:pPr>
            <w:r w:rsidRPr="00D84B66">
              <w:rPr>
                <w:b/>
                <w:bCs/>
              </w:rPr>
              <w:t>redacted</w:t>
            </w:r>
            <w:r w:rsidRPr="00D84B66" w:rsidDel="00C02A47">
              <w:t xml:space="preserve"> </w:t>
            </w:r>
          </w:p>
        </w:tc>
        <w:tc>
          <w:tcPr>
            <w:tcW w:w="1363" w:type="dxa"/>
            <w:tcMar>
              <w:left w:w="85" w:type="dxa"/>
              <w:right w:w="85" w:type="dxa"/>
            </w:tcMar>
          </w:tcPr>
          <w:p w14:paraId="2D04860C" w14:textId="6C9ACAE5" w:rsidR="00A47CD7" w:rsidRPr="00D84B66" w:rsidRDefault="00C02A47" w:rsidP="00B66744">
            <w:pPr>
              <w:pStyle w:val="TableText"/>
              <w:keepNext/>
              <w:keepLines/>
              <w:spacing w:before="0" w:after="0"/>
              <w:jc w:val="right"/>
              <w:rPr>
                <w:lang w:val="en-US"/>
              </w:rPr>
            </w:pPr>
            <w:r w:rsidRPr="00D84B66">
              <w:rPr>
                <w:b/>
                <w:bCs/>
              </w:rPr>
              <w:t>redacted</w:t>
            </w:r>
            <w:r w:rsidRPr="00D84B66" w:rsidDel="00C02A47">
              <w:t xml:space="preserve"> </w:t>
            </w:r>
          </w:p>
        </w:tc>
        <w:tc>
          <w:tcPr>
            <w:tcW w:w="1363" w:type="dxa"/>
            <w:tcMar>
              <w:left w:w="85" w:type="dxa"/>
              <w:right w:w="85" w:type="dxa"/>
            </w:tcMar>
          </w:tcPr>
          <w:p w14:paraId="21973422" w14:textId="0966A9CE" w:rsidR="00A47CD7" w:rsidRPr="00D84B66" w:rsidRDefault="00C02A47" w:rsidP="00B66744">
            <w:pPr>
              <w:pStyle w:val="TableText"/>
              <w:keepNext/>
              <w:keepLines/>
              <w:spacing w:before="0" w:after="0"/>
              <w:jc w:val="right"/>
              <w:rPr>
                <w:lang w:val="en-US"/>
              </w:rPr>
            </w:pPr>
            <w:r w:rsidRPr="00D84B66">
              <w:rPr>
                <w:b/>
                <w:bCs/>
              </w:rPr>
              <w:t>redacted</w:t>
            </w:r>
            <w:r w:rsidRPr="00D84B66" w:rsidDel="00C02A47">
              <w:t xml:space="preserve"> </w:t>
            </w:r>
          </w:p>
        </w:tc>
        <w:tc>
          <w:tcPr>
            <w:tcW w:w="1483" w:type="dxa"/>
            <w:tcMar>
              <w:left w:w="85" w:type="dxa"/>
              <w:right w:w="85" w:type="dxa"/>
            </w:tcMar>
          </w:tcPr>
          <w:p w14:paraId="40B7B18D" w14:textId="428D0BFE" w:rsidR="00A47CD7" w:rsidRPr="00D84B66" w:rsidRDefault="00C02A47" w:rsidP="00B66744">
            <w:pPr>
              <w:pStyle w:val="TableText"/>
              <w:keepNext/>
              <w:keepLines/>
              <w:spacing w:before="0" w:after="0"/>
              <w:jc w:val="right"/>
              <w:rPr>
                <w:lang w:val="en-US"/>
              </w:rPr>
            </w:pPr>
            <w:r w:rsidRPr="00D84B66">
              <w:rPr>
                <w:b/>
                <w:bCs/>
              </w:rPr>
              <w:t>redacted</w:t>
            </w:r>
            <w:r w:rsidRPr="00D84B66" w:rsidDel="00C02A47">
              <w:t xml:space="preserve"> </w:t>
            </w:r>
          </w:p>
        </w:tc>
      </w:tr>
      <w:tr w:rsidR="00117BBB" w:rsidRPr="001D4632" w14:paraId="7A76C808" w14:textId="77777777" w:rsidTr="005D76F9">
        <w:tc>
          <w:tcPr>
            <w:tcW w:w="1234" w:type="dxa"/>
            <w:tcMar>
              <w:left w:w="85" w:type="dxa"/>
              <w:right w:w="85" w:type="dxa"/>
            </w:tcMar>
          </w:tcPr>
          <w:p w14:paraId="7E5CA1CF" w14:textId="0FDB8A20" w:rsidR="00A47CD7" w:rsidRPr="001D4632" w:rsidRDefault="00A47CD7" w:rsidP="00B66744">
            <w:pPr>
              <w:pStyle w:val="TableText"/>
              <w:keepNext/>
              <w:keepLines/>
              <w:spacing w:before="0" w:after="0"/>
              <w:rPr>
                <w:lang w:val="en-US"/>
              </w:rPr>
            </w:pPr>
            <w:r>
              <w:rPr>
                <w:lang w:val="en-US"/>
              </w:rPr>
              <w:t xml:space="preserve">Cumulative patients electing </w:t>
            </w:r>
            <w:r w:rsidR="00D71318">
              <w:rPr>
                <w:lang w:val="en-US"/>
              </w:rPr>
              <w:t>ED</w:t>
            </w:r>
          </w:p>
        </w:tc>
        <w:tc>
          <w:tcPr>
            <w:tcW w:w="1171" w:type="dxa"/>
            <w:tcMar>
              <w:left w:w="85" w:type="dxa"/>
              <w:right w:w="85" w:type="dxa"/>
            </w:tcMar>
          </w:tcPr>
          <w:p w14:paraId="42B87F68" w14:textId="0C263271" w:rsidR="00A47CD7" w:rsidRPr="00D84B66" w:rsidRDefault="00C02A47" w:rsidP="00B66744">
            <w:pPr>
              <w:pStyle w:val="TableText"/>
              <w:keepNext/>
              <w:keepLines/>
              <w:spacing w:before="0" w:after="0"/>
              <w:jc w:val="right"/>
              <w:rPr>
                <w:lang w:val="en-US"/>
              </w:rPr>
            </w:pPr>
            <w:r w:rsidRPr="00D84B66">
              <w:rPr>
                <w:b/>
                <w:bCs/>
              </w:rPr>
              <w:t>redacted</w:t>
            </w:r>
          </w:p>
        </w:tc>
        <w:tc>
          <w:tcPr>
            <w:tcW w:w="1039" w:type="dxa"/>
            <w:tcMar>
              <w:left w:w="85" w:type="dxa"/>
              <w:right w:w="85" w:type="dxa"/>
            </w:tcMar>
          </w:tcPr>
          <w:p w14:paraId="3AFC8057" w14:textId="3069CAA8" w:rsidR="00A47CD7" w:rsidRPr="00D84B66" w:rsidRDefault="00C02A47" w:rsidP="00B66744">
            <w:pPr>
              <w:pStyle w:val="TableText"/>
              <w:keepNext/>
              <w:keepLines/>
              <w:spacing w:before="0" w:after="0"/>
              <w:jc w:val="right"/>
              <w:rPr>
                <w:lang w:val="en-US"/>
              </w:rPr>
            </w:pPr>
            <w:r w:rsidRPr="00D84B66">
              <w:rPr>
                <w:b/>
                <w:bCs/>
              </w:rPr>
              <w:t>redacted</w:t>
            </w:r>
            <w:r w:rsidRPr="00D84B66" w:rsidDel="00C02A47">
              <w:t xml:space="preserve"> </w:t>
            </w:r>
          </w:p>
        </w:tc>
        <w:tc>
          <w:tcPr>
            <w:tcW w:w="1363" w:type="dxa"/>
            <w:tcMar>
              <w:left w:w="85" w:type="dxa"/>
              <w:right w:w="85" w:type="dxa"/>
            </w:tcMar>
          </w:tcPr>
          <w:p w14:paraId="03D44EFE" w14:textId="65904BF2" w:rsidR="00A47CD7" w:rsidRPr="00D84B66" w:rsidRDefault="00C02A47" w:rsidP="00B66744">
            <w:pPr>
              <w:pStyle w:val="TableText"/>
              <w:keepNext/>
              <w:keepLines/>
              <w:spacing w:before="0" w:after="0"/>
              <w:jc w:val="right"/>
              <w:rPr>
                <w:lang w:val="en-US"/>
              </w:rPr>
            </w:pPr>
            <w:r w:rsidRPr="00D84B66">
              <w:rPr>
                <w:b/>
                <w:bCs/>
              </w:rPr>
              <w:t>redacted</w:t>
            </w:r>
            <w:r w:rsidRPr="00D84B66" w:rsidDel="00C02A47">
              <w:t xml:space="preserve"> </w:t>
            </w:r>
          </w:p>
        </w:tc>
        <w:tc>
          <w:tcPr>
            <w:tcW w:w="1363" w:type="dxa"/>
            <w:tcMar>
              <w:left w:w="85" w:type="dxa"/>
              <w:right w:w="85" w:type="dxa"/>
            </w:tcMar>
          </w:tcPr>
          <w:p w14:paraId="02E72165" w14:textId="6BBE769A" w:rsidR="00A47CD7" w:rsidRPr="00D84B66" w:rsidRDefault="00C02A47" w:rsidP="00B66744">
            <w:pPr>
              <w:pStyle w:val="TableText"/>
              <w:keepNext/>
              <w:keepLines/>
              <w:spacing w:before="0" w:after="0"/>
              <w:jc w:val="right"/>
              <w:rPr>
                <w:lang w:val="en-US"/>
              </w:rPr>
            </w:pPr>
            <w:r w:rsidRPr="00D84B66">
              <w:rPr>
                <w:b/>
                <w:bCs/>
              </w:rPr>
              <w:t>redacted</w:t>
            </w:r>
            <w:r w:rsidRPr="00D84B66" w:rsidDel="00C02A47">
              <w:t xml:space="preserve"> </w:t>
            </w:r>
          </w:p>
        </w:tc>
        <w:tc>
          <w:tcPr>
            <w:tcW w:w="1363" w:type="dxa"/>
            <w:tcMar>
              <w:left w:w="85" w:type="dxa"/>
              <w:right w:w="85" w:type="dxa"/>
            </w:tcMar>
          </w:tcPr>
          <w:p w14:paraId="77F8DF3A" w14:textId="04D8DD2C" w:rsidR="00A47CD7" w:rsidRPr="00D84B66" w:rsidRDefault="00C02A47" w:rsidP="00B66744">
            <w:pPr>
              <w:pStyle w:val="TableText"/>
              <w:keepNext/>
              <w:keepLines/>
              <w:spacing w:before="0" w:after="0"/>
              <w:jc w:val="right"/>
              <w:rPr>
                <w:lang w:val="en-US"/>
              </w:rPr>
            </w:pPr>
            <w:r w:rsidRPr="00D84B66">
              <w:rPr>
                <w:b/>
                <w:bCs/>
              </w:rPr>
              <w:t>redacted</w:t>
            </w:r>
            <w:r w:rsidRPr="00D84B66" w:rsidDel="00C02A47">
              <w:t xml:space="preserve"> </w:t>
            </w:r>
          </w:p>
        </w:tc>
        <w:tc>
          <w:tcPr>
            <w:tcW w:w="1483" w:type="dxa"/>
            <w:tcMar>
              <w:left w:w="85" w:type="dxa"/>
              <w:right w:w="85" w:type="dxa"/>
            </w:tcMar>
          </w:tcPr>
          <w:p w14:paraId="2198B57A" w14:textId="0EA991C4" w:rsidR="00A47CD7" w:rsidRPr="00D84B66" w:rsidRDefault="00C02A47" w:rsidP="00B66744">
            <w:pPr>
              <w:pStyle w:val="TableText"/>
              <w:keepNext/>
              <w:keepLines/>
              <w:spacing w:before="0" w:after="0"/>
              <w:jc w:val="right"/>
              <w:rPr>
                <w:lang w:val="en-US"/>
              </w:rPr>
            </w:pPr>
            <w:r w:rsidRPr="00D84B66">
              <w:rPr>
                <w:b/>
                <w:bCs/>
              </w:rPr>
              <w:t>redacted</w:t>
            </w:r>
            <w:r w:rsidRPr="00D84B66" w:rsidDel="00C02A47">
              <w:t xml:space="preserve"> </w:t>
            </w:r>
          </w:p>
        </w:tc>
      </w:tr>
      <w:tr w:rsidR="00117BBB" w:rsidRPr="001D4632" w14:paraId="427AF192" w14:textId="77777777" w:rsidTr="005D76F9">
        <w:tc>
          <w:tcPr>
            <w:tcW w:w="1234" w:type="dxa"/>
            <w:tcMar>
              <w:left w:w="85" w:type="dxa"/>
              <w:right w:w="85" w:type="dxa"/>
            </w:tcMar>
          </w:tcPr>
          <w:p w14:paraId="1E284FEA" w14:textId="067EC005" w:rsidR="00F763A8" w:rsidRPr="002717B3" w:rsidRDefault="00F763A8" w:rsidP="00B66744">
            <w:pPr>
              <w:pStyle w:val="TableText"/>
              <w:keepNext/>
              <w:keepLines/>
              <w:spacing w:before="0" w:after="0"/>
              <w:rPr>
                <w:lang w:val="en-US"/>
              </w:rPr>
            </w:pPr>
            <w:r w:rsidRPr="002717B3">
              <w:rPr>
                <w:lang w:val="en-US"/>
              </w:rPr>
              <w:t xml:space="preserve">Overall net financial impact of funding </w:t>
            </w:r>
            <w:proofErr w:type="spellStart"/>
            <w:r w:rsidR="009F1E37">
              <w:rPr>
                <w:lang w:val="en-US"/>
              </w:rPr>
              <w:t>ED</w:t>
            </w:r>
            <w:r>
              <w:rPr>
                <w:vertAlign w:val="superscript"/>
                <w:lang w:val="en-US"/>
              </w:rPr>
              <w:t>a</w:t>
            </w:r>
            <w:proofErr w:type="spellEnd"/>
          </w:p>
        </w:tc>
        <w:tc>
          <w:tcPr>
            <w:tcW w:w="1171" w:type="dxa"/>
            <w:tcMar>
              <w:left w:w="85" w:type="dxa"/>
              <w:right w:w="85" w:type="dxa"/>
            </w:tcMar>
          </w:tcPr>
          <w:p w14:paraId="0B8E85F3" w14:textId="557E9511" w:rsidR="00F763A8" w:rsidRPr="00D84B66" w:rsidRDefault="00F763A8" w:rsidP="00B66744">
            <w:pPr>
              <w:pStyle w:val="TableText"/>
              <w:keepNext/>
              <w:keepLines/>
              <w:spacing w:before="0" w:after="0"/>
              <w:jc w:val="right"/>
              <w:rPr>
                <w:lang w:val="en-US"/>
              </w:rPr>
            </w:pPr>
            <w:r w:rsidRPr="00D84B66">
              <w:t>$</w:t>
            </w:r>
            <w:r w:rsidR="00C02A47" w:rsidRPr="00D84B66">
              <w:rPr>
                <w:b/>
                <w:bCs/>
              </w:rPr>
              <w:t>redacted</w:t>
            </w:r>
            <w:r w:rsidR="00C02A47" w:rsidRPr="00D84B66" w:rsidDel="00C02A47">
              <w:t xml:space="preserve"> </w:t>
            </w:r>
          </w:p>
        </w:tc>
        <w:tc>
          <w:tcPr>
            <w:tcW w:w="1039" w:type="dxa"/>
            <w:tcMar>
              <w:left w:w="85" w:type="dxa"/>
              <w:right w:w="85" w:type="dxa"/>
            </w:tcMar>
          </w:tcPr>
          <w:p w14:paraId="75B568C2" w14:textId="7429819E" w:rsidR="00F763A8" w:rsidRPr="00D84B66" w:rsidRDefault="00F763A8" w:rsidP="00B66744">
            <w:pPr>
              <w:pStyle w:val="TableText"/>
              <w:keepNext/>
              <w:keepLines/>
              <w:spacing w:before="0" w:after="0"/>
              <w:jc w:val="right"/>
              <w:rPr>
                <w:lang w:val="en-US"/>
              </w:rPr>
            </w:pPr>
            <w:r w:rsidRPr="00D84B66">
              <w:t>$</w:t>
            </w:r>
            <w:r w:rsidR="000F427A" w:rsidRPr="00D84B66">
              <w:rPr>
                <w:b/>
                <w:bCs/>
              </w:rPr>
              <w:t>redacted</w:t>
            </w:r>
          </w:p>
        </w:tc>
        <w:tc>
          <w:tcPr>
            <w:tcW w:w="1363" w:type="dxa"/>
            <w:tcMar>
              <w:left w:w="85" w:type="dxa"/>
              <w:right w:w="85" w:type="dxa"/>
            </w:tcMar>
          </w:tcPr>
          <w:p w14:paraId="4B80BE21" w14:textId="775E7F6F" w:rsidR="00F763A8" w:rsidRPr="00D84B66" w:rsidRDefault="00F763A8" w:rsidP="00B66744">
            <w:pPr>
              <w:pStyle w:val="TableText"/>
              <w:keepNext/>
              <w:keepLines/>
              <w:spacing w:before="0" w:after="0"/>
              <w:jc w:val="right"/>
              <w:rPr>
                <w:lang w:val="en-US"/>
              </w:rPr>
            </w:pPr>
            <w:r w:rsidRPr="00D84B66">
              <w:t>$</w:t>
            </w:r>
            <w:r w:rsidR="006A04F8" w:rsidRPr="00D84B66">
              <w:rPr>
                <w:b/>
                <w:bCs/>
              </w:rPr>
              <w:t>redacted</w:t>
            </w:r>
          </w:p>
        </w:tc>
        <w:tc>
          <w:tcPr>
            <w:tcW w:w="1363" w:type="dxa"/>
            <w:tcMar>
              <w:left w:w="85" w:type="dxa"/>
              <w:right w:w="85" w:type="dxa"/>
            </w:tcMar>
          </w:tcPr>
          <w:p w14:paraId="250AE84F" w14:textId="7F4BBB08" w:rsidR="00F763A8" w:rsidRPr="00D84B66" w:rsidRDefault="00F763A8" w:rsidP="00B66744">
            <w:pPr>
              <w:pStyle w:val="TableText"/>
              <w:keepNext/>
              <w:keepLines/>
              <w:spacing w:before="0" w:after="0"/>
              <w:jc w:val="right"/>
              <w:rPr>
                <w:lang w:val="en-US"/>
              </w:rPr>
            </w:pPr>
            <w:r w:rsidRPr="00D84B66">
              <w:t>$</w:t>
            </w:r>
            <w:r w:rsidR="006A04F8" w:rsidRPr="00D84B66">
              <w:rPr>
                <w:b/>
                <w:bCs/>
              </w:rPr>
              <w:t>redacted</w:t>
            </w:r>
          </w:p>
        </w:tc>
        <w:tc>
          <w:tcPr>
            <w:tcW w:w="1363" w:type="dxa"/>
            <w:tcMar>
              <w:left w:w="85" w:type="dxa"/>
              <w:right w:w="85" w:type="dxa"/>
            </w:tcMar>
          </w:tcPr>
          <w:p w14:paraId="2E7EDCE4" w14:textId="17532FE6" w:rsidR="00F763A8" w:rsidRPr="00D84B66" w:rsidRDefault="00F763A8" w:rsidP="00B66744">
            <w:pPr>
              <w:pStyle w:val="TableText"/>
              <w:keepNext/>
              <w:keepLines/>
              <w:spacing w:before="0" w:after="0"/>
              <w:jc w:val="right"/>
              <w:rPr>
                <w:lang w:val="en-US"/>
              </w:rPr>
            </w:pPr>
            <w:r w:rsidRPr="00D84B66">
              <w:t>$</w:t>
            </w:r>
            <w:r w:rsidR="00117BBB" w:rsidRPr="00D84B66">
              <w:rPr>
                <w:b/>
                <w:bCs/>
              </w:rPr>
              <w:t>redacted</w:t>
            </w:r>
          </w:p>
        </w:tc>
        <w:tc>
          <w:tcPr>
            <w:tcW w:w="1483" w:type="dxa"/>
            <w:tcMar>
              <w:left w:w="85" w:type="dxa"/>
              <w:right w:w="85" w:type="dxa"/>
            </w:tcMar>
          </w:tcPr>
          <w:p w14:paraId="53ECE786" w14:textId="6D61461F" w:rsidR="00F763A8" w:rsidRPr="00D84B66" w:rsidRDefault="00F763A8" w:rsidP="00B66744">
            <w:pPr>
              <w:pStyle w:val="TableText"/>
              <w:keepNext/>
              <w:keepLines/>
              <w:spacing w:before="0" w:after="0"/>
              <w:jc w:val="right"/>
              <w:rPr>
                <w:lang w:val="en-US"/>
              </w:rPr>
            </w:pPr>
            <w:r w:rsidRPr="00D84B66">
              <w:t>$</w:t>
            </w:r>
            <w:r w:rsidR="00117BBB" w:rsidRPr="00D84B66">
              <w:rPr>
                <w:b/>
                <w:bCs/>
              </w:rPr>
              <w:t>redacted</w:t>
            </w:r>
          </w:p>
        </w:tc>
      </w:tr>
      <w:tr w:rsidR="00117BBB" w:rsidRPr="001D4632" w14:paraId="21AFA5A1" w14:textId="77777777" w:rsidTr="005D76F9">
        <w:tc>
          <w:tcPr>
            <w:tcW w:w="1234" w:type="dxa"/>
            <w:tcMar>
              <w:left w:w="85" w:type="dxa"/>
              <w:right w:w="85" w:type="dxa"/>
            </w:tcMar>
          </w:tcPr>
          <w:p w14:paraId="01924B7B" w14:textId="4E716D1D" w:rsidR="00F763A8" w:rsidRPr="002717B3" w:rsidRDefault="00F763A8" w:rsidP="00B66744">
            <w:pPr>
              <w:pStyle w:val="TableText"/>
              <w:keepNext/>
              <w:keepLines/>
              <w:spacing w:before="0" w:after="0"/>
              <w:rPr>
                <w:lang w:val="en-US"/>
              </w:rPr>
            </w:pPr>
            <w:r w:rsidRPr="002717B3">
              <w:rPr>
                <w:lang w:val="en-US"/>
              </w:rPr>
              <w:t xml:space="preserve">Net financial impact to the </w:t>
            </w:r>
            <w:r w:rsidR="00254485">
              <w:rPr>
                <w:lang w:val="en-US"/>
              </w:rPr>
              <w:t xml:space="preserve">National Blood </w:t>
            </w:r>
            <w:proofErr w:type="spellStart"/>
            <w:r w:rsidR="00254485">
              <w:rPr>
                <w:lang w:val="en-US"/>
              </w:rPr>
              <w:t>Agreement</w:t>
            </w:r>
            <w:r>
              <w:rPr>
                <w:vertAlign w:val="superscript"/>
                <w:lang w:val="en-US"/>
              </w:rPr>
              <w:t>b</w:t>
            </w:r>
            <w:proofErr w:type="spellEnd"/>
          </w:p>
        </w:tc>
        <w:tc>
          <w:tcPr>
            <w:tcW w:w="1171" w:type="dxa"/>
            <w:tcMar>
              <w:left w:w="85" w:type="dxa"/>
              <w:right w:w="85" w:type="dxa"/>
            </w:tcMar>
          </w:tcPr>
          <w:p w14:paraId="64664E33" w14:textId="337C95C2" w:rsidR="00F763A8" w:rsidRPr="00D84B66" w:rsidRDefault="00F763A8" w:rsidP="00B66744">
            <w:pPr>
              <w:pStyle w:val="TableText"/>
              <w:keepNext/>
              <w:keepLines/>
              <w:spacing w:before="0" w:after="0"/>
              <w:jc w:val="right"/>
              <w:rPr>
                <w:lang w:val="en-US"/>
              </w:rPr>
            </w:pPr>
            <w:r w:rsidRPr="00D84B66">
              <w:t>$</w:t>
            </w:r>
            <w:r w:rsidR="00E94828" w:rsidRPr="00D84B66">
              <w:rPr>
                <w:b/>
                <w:bCs/>
              </w:rPr>
              <w:t>redacted</w:t>
            </w:r>
          </w:p>
        </w:tc>
        <w:tc>
          <w:tcPr>
            <w:tcW w:w="1039" w:type="dxa"/>
            <w:tcMar>
              <w:left w:w="85" w:type="dxa"/>
              <w:right w:w="85" w:type="dxa"/>
            </w:tcMar>
          </w:tcPr>
          <w:p w14:paraId="43D2F449" w14:textId="4D89F7D0" w:rsidR="00F763A8" w:rsidRPr="00D84B66" w:rsidRDefault="00E94828" w:rsidP="00B66744">
            <w:pPr>
              <w:pStyle w:val="TableText"/>
              <w:keepNext/>
              <w:keepLines/>
              <w:spacing w:before="0" w:after="0"/>
              <w:jc w:val="right"/>
              <w:rPr>
                <w:lang w:val="en-US"/>
              </w:rPr>
            </w:pPr>
            <w:r w:rsidRPr="00D84B66">
              <w:t>$</w:t>
            </w:r>
            <w:r w:rsidRPr="00D84B66">
              <w:rPr>
                <w:b/>
                <w:bCs/>
              </w:rPr>
              <w:t>redacted</w:t>
            </w:r>
          </w:p>
        </w:tc>
        <w:tc>
          <w:tcPr>
            <w:tcW w:w="1363" w:type="dxa"/>
            <w:tcMar>
              <w:left w:w="85" w:type="dxa"/>
              <w:right w:w="85" w:type="dxa"/>
            </w:tcMar>
          </w:tcPr>
          <w:p w14:paraId="0EF28032" w14:textId="40F4B337" w:rsidR="00F763A8" w:rsidRPr="00D84B66" w:rsidRDefault="00E94828" w:rsidP="00B66744">
            <w:pPr>
              <w:pStyle w:val="TableText"/>
              <w:keepNext/>
              <w:keepLines/>
              <w:spacing w:before="0" w:after="0"/>
              <w:jc w:val="right"/>
              <w:rPr>
                <w:lang w:val="en-US"/>
              </w:rPr>
            </w:pPr>
            <w:r w:rsidRPr="00D84B66">
              <w:t>$</w:t>
            </w:r>
            <w:r w:rsidRPr="00D84B66">
              <w:rPr>
                <w:b/>
                <w:bCs/>
              </w:rPr>
              <w:t>redacted</w:t>
            </w:r>
          </w:p>
        </w:tc>
        <w:tc>
          <w:tcPr>
            <w:tcW w:w="1363" w:type="dxa"/>
            <w:tcMar>
              <w:left w:w="85" w:type="dxa"/>
              <w:right w:w="85" w:type="dxa"/>
            </w:tcMar>
          </w:tcPr>
          <w:p w14:paraId="082CB251" w14:textId="068C17DB" w:rsidR="00F763A8" w:rsidRPr="00D84B66" w:rsidRDefault="00E94828" w:rsidP="00B66744">
            <w:pPr>
              <w:pStyle w:val="TableText"/>
              <w:keepNext/>
              <w:keepLines/>
              <w:spacing w:before="0" w:after="0"/>
              <w:jc w:val="right"/>
              <w:rPr>
                <w:lang w:val="en-US"/>
              </w:rPr>
            </w:pPr>
            <w:r w:rsidRPr="00D84B66">
              <w:t>$</w:t>
            </w:r>
            <w:r w:rsidRPr="00D84B66">
              <w:rPr>
                <w:b/>
                <w:bCs/>
              </w:rPr>
              <w:t>redacted</w:t>
            </w:r>
          </w:p>
        </w:tc>
        <w:tc>
          <w:tcPr>
            <w:tcW w:w="1363" w:type="dxa"/>
            <w:tcMar>
              <w:left w:w="85" w:type="dxa"/>
              <w:right w:w="85" w:type="dxa"/>
            </w:tcMar>
          </w:tcPr>
          <w:p w14:paraId="35C19116" w14:textId="477BDBFD" w:rsidR="00F763A8" w:rsidRPr="00D84B66" w:rsidRDefault="00E94828" w:rsidP="00B66744">
            <w:pPr>
              <w:pStyle w:val="TableText"/>
              <w:keepNext/>
              <w:keepLines/>
              <w:spacing w:before="0" w:after="0"/>
              <w:jc w:val="right"/>
              <w:rPr>
                <w:lang w:val="en-US"/>
              </w:rPr>
            </w:pPr>
            <w:r w:rsidRPr="00D84B66">
              <w:t>$</w:t>
            </w:r>
            <w:r w:rsidRPr="00D84B66">
              <w:rPr>
                <w:b/>
                <w:bCs/>
              </w:rPr>
              <w:t>redacted</w:t>
            </w:r>
          </w:p>
        </w:tc>
        <w:tc>
          <w:tcPr>
            <w:tcW w:w="1483" w:type="dxa"/>
            <w:tcMar>
              <w:left w:w="85" w:type="dxa"/>
              <w:right w:w="85" w:type="dxa"/>
            </w:tcMar>
          </w:tcPr>
          <w:p w14:paraId="5DE7D3A7" w14:textId="75B351EC" w:rsidR="00F763A8" w:rsidRPr="00D84B66" w:rsidRDefault="00E94828" w:rsidP="00B66744">
            <w:pPr>
              <w:pStyle w:val="TableText"/>
              <w:keepNext/>
              <w:keepLines/>
              <w:spacing w:before="0" w:after="0"/>
              <w:jc w:val="right"/>
              <w:rPr>
                <w:lang w:val="en-US"/>
              </w:rPr>
            </w:pPr>
            <w:r w:rsidRPr="00D84B66">
              <w:t>$</w:t>
            </w:r>
            <w:r w:rsidRPr="00D84B66">
              <w:rPr>
                <w:b/>
                <w:bCs/>
              </w:rPr>
              <w:t>redacted</w:t>
            </w:r>
          </w:p>
        </w:tc>
      </w:tr>
      <w:tr w:rsidR="00117BBB" w:rsidRPr="001D4632" w14:paraId="0529266E" w14:textId="77777777" w:rsidTr="005D76F9">
        <w:tc>
          <w:tcPr>
            <w:tcW w:w="1234" w:type="dxa"/>
            <w:tcMar>
              <w:left w:w="85" w:type="dxa"/>
              <w:right w:w="85" w:type="dxa"/>
            </w:tcMar>
          </w:tcPr>
          <w:p w14:paraId="194ED84A" w14:textId="0CDB9CA1" w:rsidR="00005B63" w:rsidRDefault="00005B63" w:rsidP="00B66744">
            <w:pPr>
              <w:pStyle w:val="TableText"/>
              <w:keepNext/>
              <w:keepLines/>
              <w:spacing w:before="0" w:after="0"/>
              <w:rPr>
                <w:lang w:val="en-US"/>
              </w:rPr>
            </w:pPr>
            <w:r>
              <w:rPr>
                <w:b/>
                <w:bCs/>
                <w:lang w:val="en-US"/>
              </w:rPr>
              <w:t>Standard of care FIX consumption lower (-25%)</w:t>
            </w:r>
          </w:p>
        </w:tc>
        <w:tc>
          <w:tcPr>
            <w:tcW w:w="1171" w:type="dxa"/>
            <w:tcMar>
              <w:left w:w="85" w:type="dxa"/>
              <w:right w:w="85" w:type="dxa"/>
            </w:tcMar>
          </w:tcPr>
          <w:p w14:paraId="00CC5D7D" w14:textId="77777777" w:rsidR="00005B63" w:rsidRPr="008F1D39" w:rsidRDefault="00005B63" w:rsidP="00B66744">
            <w:pPr>
              <w:pStyle w:val="TableText"/>
              <w:keepNext/>
              <w:keepLines/>
              <w:spacing w:before="0" w:after="0"/>
              <w:jc w:val="right"/>
            </w:pPr>
          </w:p>
        </w:tc>
        <w:tc>
          <w:tcPr>
            <w:tcW w:w="1039" w:type="dxa"/>
            <w:tcMar>
              <w:left w:w="85" w:type="dxa"/>
              <w:right w:w="85" w:type="dxa"/>
            </w:tcMar>
          </w:tcPr>
          <w:p w14:paraId="3B2B2647" w14:textId="77777777" w:rsidR="00005B63" w:rsidRPr="008F1D39" w:rsidRDefault="00005B63" w:rsidP="00B66744">
            <w:pPr>
              <w:pStyle w:val="TableText"/>
              <w:keepNext/>
              <w:keepLines/>
              <w:spacing w:before="0" w:after="0"/>
              <w:jc w:val="right"/>
            </w:pPr>
          </w:p>
        </w:tc>
        <w:tc>
          <w:tcPr>
            <w:tcW w:w="1363" w:type="dxa"/>
            <w:tcMar>
              <w:left w:w="85" w:type="dxa"/>
              <w:right w:w="85" w:type="dxa"/>
            </w:tcMar>
          </w:tcPr>
          <w:p w14:paraId="01684F89" w14:textId="77777777" w:rsidR="00005B63" w:rsidRPr="008F1D39" w:rsidRDefault="00005B63" w:rsidP="00B66744">
            <w:pPr>
              <w:pStyle w:val="TableText"/>
              <w:keepNext/>
              <w:keepLines/>
              <w:spacing w:before="0" w:after="0"/>
              <w:jc w:val="right"/>
            </w:pPr>
          </w:p>
        </w:tc>
        <w:tc>
          <w:tcPr>
            <w:tcW w:w="1363" w:type="dxa"/>
            <w:tcMar>
              <w:left w:w="85" w:type="dxa"/>
              <w:right w:w="85" w:type="dxa"/>
            </w:tcMar>
          </w:tcPr>
          <w:p w14:paraId="19BFDC44" w14:textId="77777777" w:rsidR="00005B63" w:rsidRPr="008F1D39" w:rsidRDefault="00005B63" w:rsidP="00B66744">
            <w:pPr>
              <w:pStyle w:val="TableText"/>
              <w:keepNext/>
              <w:keepLines/>
              <w:spacing w:before="0" w:after="0"/>
              <w:jc w:val="right"/>
            </w:pPr>
          </w:p>
        </w:tc>
        <w:tc>
          <w:tcPr>
            <w:tcW w:w="1363" w:type="dxa"/>
            <w:tcMar>
              <w:left w:w="85" w:type="dxa"/>
              <w:right w:w="85" w:type="dxa"/>
            </w:tcMar>
          </w:tcPr>
          <w:p w14:paraId="7071D798" w14:textId="77777777" w:rsidR="00005B63" w:rsidRPr="008F1D39" w:rsidRDefault="00005B63" w:rsidP="00B66744">
            <w:pPr>
              <w:pStyle w:val="TableText"/>
              <w:keepNext/>
              <w:keepLines/>
              <w:spacing w:before="0" w:after="0"/>
              <w:jc w:val="right"/>
            </w:pPr>
          </w:p>
        </w:tc>
        <w:tc>
          <w:tcPr>
            <w:tcW w:w="1483" w:type="dxa"/>
            <w:tcMar>
              <w:left w:w="85" w:type="dxa"/>
              <w:right w:w="85" w:type="dxa"/>
            </w:tcMar>
          </w:tcPr>
          <w:p w14:paraId="5A68E514" w14:textId="77777777" w:rsidR="00005B63" w:rsidRPr="008F1D39" w:rsidRDefault="00005B63" w:rsidP="00B66744">
            <w:pPr>
              <w:pStyle w:val="TableText"/>
              <w:keepNext/>
              <w:keepLines/>
              <w:spacing w:before="0" w:after="0"/>
              <w:jc w:val="right"/>
            </w:pPr>
          </w:p>
        </w:tc>
      </w:tr>
      <w:tr w:rsidR="00117BBB" w:rsidRPr="001D4632" w14:paraId="160A297F" w14:textId="77777777" w:rsidTr="005D76F9">
        <w:tc>
          <w:tcPr>
            <w:tcW w:w="1234" w:type="dxa"/>
            <w:tcMar>
              <w:left w:w="85" w:type="dxa"/>
              <w:right w:w="85" w:type="dxa"/>
            </w:tcMar>
          </w:tcPr>
          <w:p w14:paraId="3788F905" w14:textId="47992E7F" w:rsidR="00297957" w:rsidRPr="002717B3" w:rsidRDefault="00CC0FD2" w:rsidP="00B66744">
            <w:pPr>
              <w:pStyle w:val="TableText"/>
              <w:keepNext/>
              <w:keepLines/>
              <w:spacing w:before="0" w:after="0"/>
              <w:rPr>
                <w:lang w:val="en-US"/>
              </w:rPr>
            </w:pPr>
            <w:r>
              <w:rPr>
                <w:lang w:val="en-US"/>
              </w:rPr>
              <w:t>Cumulative patients</w:t>
            </w:r>
            <w:r w:rsidR="00297957" w:rsidRPr="001D4632">
              <w:rPr>
                <w:lang w:val="en-US"/>
              </w:rPr>
              <w:t xml:space="preserve"> electing </w:t>
            </w:r>
            <w:r w:rsidR="00D71318">
              <w:rPr>
                <w:lang w:val="en-US"/>
              </w:rPr>
              <w:t>ED</w:t>
            </w:r>
          </w:p>
        </w:tc>
        <w:tc>
          <w:tcPr>
            <w:tcW w:w="1171" w:type="dxa"/>
            <w:tcMar>
              <w:left w:w="85" w:type="dxa"/>
              <w:right w:w="85" w:type="dxa"/>
            </w:tcMar>
          </w:tcPr>
          <w:p w14:paraId="1CC5F88E" w14:textId="2C37826E" w:rsidR="00297957" w:rsidRPr="00D84B66" w:rsidRDefault="003307C7" w:rsidP="00B66744">
            <w:pPr>
              <w:pStyle w:val="TableText"/>
              <w:keepNext/>
              <w:keepLines/>
              <w:spacing w:before="0" w:after="0"/>
              <w:jc w:val="right"/>
            </w:pPr>
            <w:r w:rsidRPr="00D84B66">
              <w:rPr>
                <w:b/>
                <w:bCs/>
              </w:rPr>
              <w:t>redacted</w:t>
            </w:r>
            <w:r w:rsidRPr="00D84B66" w:rsidDel="003307C7">
              <w:t xml:space="preserve"> </w:t>
            </w:r>
          </w:p>
        </w:tc>
        <w:tc>
          <w:tcPr>
            <w:tcW w:w="1039" w:type="dxa"/>
            <w:tcMar>
              <w:left w:w="85" w:type="dxa"/>
              <w:right w:w="85" w:type="dxa"/>
            </w:tcMar>
          </w:tcPr>
          <w:p w14:paraId="71DD1ADA" w14:textId="68936DB5" w:rsidR="00297957" w:rsidRPr="00D84B66" w:rsidRDefault="003307C7" w:rsidP="00B66744">
            <w:pPr>
              <w:pStyle w:val="TableText"/>
              <w:keepNext/>
              <w:keepLines/>
              <w:spacing w:before="0" w:after="0"/>
              <w:jc w:val="right"/>
            </w:pPr>
            <w:r w:rsidRPr="00D84B66">
              <w:rPr>
                <w:b/>
                <w:bCs/>
              </w:rPr>
              <w:t>redacted</w:t>
            </w:r>
            <w:r w:rsidRPr="00D84B66" w:rsidDel="003307C7">
              <w:t xml:space="preserve"> </w:t>
            </w:r>
          </w:p>
        </w:tc>
        <w:tc>
          <w:tcPr>
            <w:tcW w:w="1363" w:type="dxa"/>
            <w:tcMar>
              <w:left w:w="85" w:type="dxa"/>
              <w:right w:w="85" w:type="dxa"/>
            </w:tcMar>
          </w:tcPr>
          <w:p w14:paraId="4A5C1109" w14:textId="7AE497FC" w:rsidR="00297957" w:rsidRPr="00D84B66" w:rsidRDefault="003307C7" w:rsidP="00B66744">
            <w:pPr>
              <w:pStyle w:val="TableText"/>
              <w:keepNext/>
              <w:keepLines/>
              <w:spacing w:before="0" w:after="0"/>
              <w:jc w:val="right"/>
            </w:pPr>
            <w:r w:rsidRPr="00D84B66">
              <w:rPr>
                <w:b/>
                <w:bCs/>
              </w:rPr>
              <w:t>redacted</w:t>
            </w:r>
            <w:r w:rsidRPr="00D84B66" w:rsidDel="003307C7">
              <w:t xml:space="preserve"> </w:t>
            </w:r>
          </w:p>
        </w:tc>
        <w:tc>
          <w:tcPr>
            <w:tcW w:w="1363" w:type="dxa"/>
            <w:tcMar>
              <w:left w:w="85" w:type="dxa"/>
              <w:right w:w="85" w:type="dxa"/>
            </w:tcMar>
          </w:tcPr>
          <w:p w14:paraId="49065937" w14:textId="2EA79995" w:rsidR="00297957" w:rsidRPr="00D84B66" w:rsidRDefault="003307C7" w:rsidP="00B66744">
            <w:pPr>
              <w:pStyle w:val="TableText"/>
              <w:keepNext/>
              <w:keepLines/>
              <w:spacing w:before="0" w:after="0"/>
              <w:jc w:val="right"/>
            </w:pPr>
            <w:r w:rsidRPr="00D84B66">
              <w:rPr>
                <w:b/>
                <w:bCs/>
              </w:rPr>
              <w:t>redacted</w:t>
            </w:r>
            <w:r w:rsidRPr="00D84B66" w:rsidDel="003307C7">
              <w:t xml:space="preserve"> </w:t>
            </w:r>
          </w:p>
        </w:tc>
        <w:tc>
          <w:tcPr>
            <w:tcW w:w="1363" w:type="dxa"/>
            <w:tcMar>
              <w:left w:w="85" w:type="dxa"/>
              <w:right w:w="85" w:type="dxa"/>
            </w:tcMar>
          </w:tcPr>
          <w:p w14:paraId="13996FBF" w14:textId="6EBBA67E" w:rsidR="00297957" w:rsidRPr="00D84B66" w:rsidRDefault="003307C7" w:rsidP="00B66744">
            <w:pPr>
              <w:pStyle w:val="TableText"/>
              <w:keepNext/>
              <w:keepLines/>
              <w:spacing w:before="0" w:after="0"/>
              <w:jc w:val="right"/>
            </w:pPr>
            <w:r w:rsidRPr="00D84B66">
              <w:rPr>
                <w:b/>
                <w:bCs/>
              </w:rPr>
              <w:t>redacted</w:t>
            </w:r>
            <w:r w:rsidRPr="00D84B66" w:rsidDel="003307C7">
              <w:t xml:space="preserve"> </w:t>
            </w:r>
          </w:p>
        </w:tc>
        <w:tc>
          <w:tcPr>
            <w:tcW w:w="1483" w:type="dxa"/>
            <w:tcMar>
              <w:left w:w="85" w:type="dxa"/>
              <w:right w:w="85" w:type="dxa"/>
            </w:tcMar>
          </w:tcPr>
          <w:p w14:paraId="0060A0EC" w14:textId="2FEF26E9" w:rsidR="00297957" w:rsidRPr="00D84B66" w:rsidRDefault="003307C7" w:rsidP="00B66744">
            <w:pPr>
              <w:pStyle w:val="TableText"/>
              <w:keepNext/>
              <w:keepLines/>
              <w:spacing w:before="0" w:after="0"/>
              <w:jc w:val="right"/>
            </w:pPr>
            <w:r w:rsidRPr="00D84B66">
              <w:rPr>
                <w:b/>
                <w:bCs/>
              </w:rPr>
              <w:t>redacted</w:t>
            </w:r>
            <w:r w:rsidRPr="00D84B66" w:rsidDel="003307C7">
              <w:t xml:space="preserve"> </w:t>
            </w:r>
          </w:p>
        </w:tc>
      </w:tr>
      <w:tr w:rsidR="00117BBB" w:rsidRPr="001D4632" w14:paraId="11CB2F3F" w14:textId="77777777" w:rsidTr="005D76F9">
        <w:tc>
          <w:tcPr>
            <w:tcW w:w="1234" w:type="dxa"/>
            <w:tcMar>
              <w:left w:w="85" w:type="dxa"/>
              <w:right w:w="85" w:type="dxa"/>
            </w:tcMar>
          </w:tcPr>
          <w:p w14:paraId="6F25D6B5" w14:textId="5256B8C2" w:rsidR="003E6A50" w:rsidRPr="001D4632" w:rsidRDefault="003E6A50" w:rsidP="00B66744">
            <w:pPr>
              <w:pStyle w:val="TableText"/>
              <w:keepNext/>
              <w:keepLines/>
              <w:spacing w:before="0" w:after="0"/>
              <w:rPr>
                <w:lang w:val="en-US"/>
              </w:rPr>
            </w:pPr>
            <w:r w:rsidRPr="002717B3">
              <w:rPr>
                <w:lang w:val="en-US"/>
              </w:rPr>
              <w:t xml:space="preserve">Overall net financial impact of funding </w:t>
            </w:r>
            <w:proofErr w:type="spellStart"/>
            <w:r w:rsidR="009F1E37">
              <w:rPr>
                <w:lang w:val="en-US"/>
              </w:rPr>
              <w:t>ED</w:t>
            </w:r>
            <w:r>
              <w:rPr>
                <w:vertAlign w:val="superscript"/>
                <w:lang w:val="en-US"/>
              </w:rPr>
              <w:t>a</w:t>
            </w:r>
            <w:proofErr w:type="spellEnd"/>
          </w:p>
        </w:tc>
        <w:tc>
          <w:tcPr>
            <w:tcW w:w="1171" w:type="dxa"/>
            <w:tcMar>
              <w:left w:w="85" w:type="dxa"/>
              <w:right w:w="85" w:type="dxa"/>
            </w:tcMar>
          </w:tcPr>
          <w:p w14:paraId="19AABD97" w14:textId="61769ADE" w:rsidR="003E6A50" w:rsidRPr="00D84B66" w:rsidRDefault="009F01B4" w:rsidP="00B66744">
            <w:pPr>
              <w:pStyle w:val="TableText"/>
              <w:keepNext/>
              <w:keepLines/>
              <w:spacing w:before="0" w:after="0"/>
              <w:jc w:val="right"/>
              <w:rPr>
                <w:lang w:val="en-US"/>
              </w:rPr>
            </w:pPr>
            <w:r w:rsidRPr="00D84B66">
              <w:t>$</w:t>
            </w:r>
            <w:r w:rsidRPr="00D84B66">
              <w:rPr>
                <w:b/>
                <w:bCs/>
              </w:rPr>
              <w:t>redacted</w:t>
            </w:r>
          </w:p>
        </w:tc>
        <w:tc>
          <w:tcPr>
            <w:tcW w:w="1039" w:type="dxa"/>
            <w:tcMar>
              <w:left w:w="85" w:type="dxa"/>
              <w:right w:w="85" w:type="dxa"/>
            </w:tcMar>
          </w:tcPr>
          <w:p w14:paraId="4638099F" w14:textId="1E2016DC" w:rsidR="003E6A50" w:rsidRPr="00D84B66" w:rsidRDefault="009F01B4" w:rsidP="00B66744">
            <w:pPr>
              <w:pStyle w:val="TableText"/>
              <w:keepNext/>
              <w:keepLines/>
              <w:spacing w:before="0" w:after="0"/>
              <w:jc w:val="right"/>
              <w:rPr>
                <w:lang w:val="en-US"/>
              </w:rPr>
            </w:pPr>
            <w:r w:rsidRPr="00D84B66">
              <w:t>$</w:t>
            </w:r>
            <w:r w:rsidRPr="00D84B66">
              <w:rPr>
                <w:b/>
                <w:bCs/>
              </w:rPr>
              <w:t>redacted</w:t>
            </w:r>
          </w:p>
        </w:tc>
        <w:tc>
          <w:tcPr>
            <w:tcW w:w="1363" w:type="dxa"/>
            <w:tcMar>
              <w:left w:w="85" w:type="dxa"/>
              <w:right w:w="85" w:type="dxa"/>
            </w:tcMar>
          </w:tcPr>
          <w:p w14:paraId="6ED5E257" w14:textId="5019B217" w:rsidR="003E6A50" w:rsidRPr="00D84B66" w:rsidRDefault="009F01B4" w:rsidP="00B66744">
            <w:pPr>
              <w:pStyle w:val="TableText"/>
              <w:keepNext/>
              <w:keepLines/>
              <w:spacing w:before="0" w:after="0"/>
              <w:jc w:val="right"/>
              <w:rPr>
                <w:lang w:val="en-US"/>
              </w:rPr>
            </w:pPr>
            <w:r w:rsidRPr="00D84B66">
              <w:t>$</w:t>
            </w:r>
            <w:r w:rsidRPr="00D84B66">
              <w:rPr>
                <w:b/>
                <w:bCs/>
              </w:rPr>
              <w:t>redacted</w:t>
            </w:r>
          </w:p>
        </w:tc>
        <w:tc>
          <w:tcPr>
            <w:tcW w:w="1363" w:type="dxa"/>
            <w:tcMar>
              <w:left w:w="85" w:type="dxa"/>
              <w:right w:w="85" w:type="dxa"/>
            </w:tcMar>
          </w:tcPr>
          <w:p w14:paraId="1E590BAF" w14:textId="04D1F0BB" w:rsidR="003E6A50" w:rsidRPr="00D84B66" w:rsidRDefault="009F01B4" w:rsidP="00B66744">
            <w:pPr>
              <w:pStyle w:val="TableText"/>
              <w:keepNext/>
              <w:keepLines/>
              <w:spacing w:before="0" w:after="0"/>
              <w:jc w:val="right"/>
              <w:rPr>
                <w:lang w:val="en-US"/>
              </w:rPr>
            </w:pPr>
            <w:r w:rsidRPr="00D84B66">
              <w:t>$</w:t>
            </w:r>
            <w:r w:rsidRPr="00D84B66">
              <w:rPr>
                <w:b/>
                <w:bCs/>
              </w:rPr>
              <w:t>redacted</w:t>
            </w:r>
          </w:p>
        </w:tc>
        <w:tc>
          <w:tcPr>
            <w:tcW w:w="1363" w:type="dxa"/>
            <w:tcMar>
              <w:left w:w="85" w:type="dxa"/>
              <w:right w:w="85" w:type="dxa"/>
            </w:tcMar>
          </w:tcPr>
          <w:p w14:paraId="5921F796" w14:textId="050CD748" w:rsidR="003E6A50" w:rsidRPr="00D84B66" w:rsidRDefault="009F01B4" w:rsidP="00B66744">
            <w:pPr>
              <w:pStyle w:val="TableText"/>
              <w:keepNext/>
              <w:keepLines/>
              <w:spacing w:before="0" w:after="0"/>
              <w:jc w:val="right"/>
              <w:rPr>
                <w:lang w:val="en-US"/>
              </w:rPr>
            </w:pPr>
            <w:r w:rsidRPr="00D84B66">
              <w:t>$</w:t>
            </w:r>
            <w:r w:rsidRPr="00D84B66">
              <w:rPr>
                <w:b/>
                <w:bCs/>
              </w:rPr>
              <w:t>redacted</w:t>
            </w:r>
          </w:p>
        </w:tc>
        <w:tc>
          <w:tcPr>
            <w:tcW w:w="1483" w:type="dxa"/>
            <w:tcMar>
              <w:left w:w="85" w:type="dxa"/>
              <w:right w:w="85" w:type="dxa"/>
            </w:tcMar>
          </w:tcPr>
          <w:p w14:paraId="07242C7B" w14:textId="58AB921D" w:rsidR="003E6A50" w:rsidRPr="00D84B66" w:rsidRDefault="009F01B4" w:rsidP="00B66744">
            <w:pPr>
              <w:pStyle w:val="TableText"/>
              <w:keepNext/>
              <w:keepLines/>
              <w:spacing w:before="0" w:after="0"/>
              <w:jc w:val="right"/>
              <w:rPr>
                <w:lang w:val="en-US"/>
              </w:rPr>
            </w:pPr>
            <w:r w:rsidRPr="00D84B66">
              <w:t>$</w:t>
            </w:r>
            <w:r w:rsidRPr="00D84B66">
              <w:rPr>
                <w:b/>
                <w:bCs/>
              </w:rPr>
              <w:t>redacted</w:t>
            </w:r>
          </w:p>
        </w:tc>
      </w:tr>
      <w:tr w:rsidR="00117BBB" w:rsidRPr="001D4632" w14:paraId="02C5D1E6" w14:textId="77777777" w:rsidTr="005D76F9">
        <w:tc>
          <w:tcPr>
            <w:tcW w:w="1234" w:type="dxa"/>
            <w:tcMar>
              <w:left w:w="85" w:type="dxa"/>
              <w:right w:w="85" w:type="dxa"/>
            </w:tcMar>
          </w:tcPr>
          <w:p w14:paraId="3AE03F15" w14:textId="6764C0E6" w:rsidR="003E6A50" w:rsidRPr="001D4632" w:rsidRDefault="003E6A50" w:rsidP="00B66744">
            <w:pPr>
              <w:pStyle w:val="TableText"/>
              <w:keepNext/>
              <w:keepLines/>
              <w:spacing w:before="0" w:after="0"/>
              <w:rPr>
                <w:lang w:val="en-US"/>
              </w:rPr>
            </w:pPr>
            <w:r w:rsidRPr="002717B3">
              <w:rPr>
                <w:lang w:val="en-US"/>
              </w:rPr>
              <w:t xml:space="preserve">Net financial impact to the </w:t>
            </w:r>
            <w:r w:rsidR="00254485">
              <w:rPr>
                <w:lang w:val="en-US"/>
              </w:rPr>
              <w:t xml:space="preserve">National Blood </w:t>
            </w:r>
            <w:proofErr w:type="spellStart"/>
            <w:r w:rsidR="00254485">
              <w:rPr>
                <w:lang w:val="en-US"/>
              </w:rPr>
              <w:t>Agreement</w:t>
            </w:r>
            <w:r>
              <w:rPr>
                <w:vertAlign w:val="superscript"/>
                <w:lang w:val="en-US"/>
              </w:rPr>
              <w:t>b</w:t>
            </w:r>
            <w:proofErr w:type="spellEnd"/>
          </w:p>
        </w:tc>
        <w:tc>
          <w:tcPr>
            <w:tcW w:w="1171" w:type="dxa"/>
            <w:tcMar>
              <w:left w:w="85" w:type="dxa"/>
              <w:right w:w="85" w:type="dxa"/>
            </w:tcMar>
          </w:tcPr>
          <w:p w14:paraId="47E0CF23" w14:textId="4B4A8623" w:rsidR="003E6A50" w:rsidRPr="00D84B66" w:rsidRDefault="009F01B4" w:rsidP="00B66744">
            <w:pPr>
              <w:pStyle w:val="TableText"/>
              <w:keepNext/>
              <w:keepLines/>
              <w:spacing w:before="0" w:after="0"/>
              <w:jc w:val="right"/>
              <w:rPr>
                <w:lang w:val="en-US"/>
              </w:rPr>
            </w:pPr>
            <w:r w:rsidRPr="00D84B66">
              <w:t>$</w:t>
            </w:r>
            <w:r w:rsidRPr="00D84B66">
              <w:rPr>
                <w:b/>
                <w:bCs/>
              </w:rPr>
              <w:t>redacted</w:t>
            </w:r>
          </w:p>
        </w:tc>
        <w:tc>
          <w:tcPr>
            <w:tcW w:w="1039" w:type="dxa"/>
            <w:tcMar>
              <w:left w:w="85" w:type="dxa"/>
              <w:right w:w="85" w:type="dxa"/>
            </w:tcMar>
          </w:tcPr>
          <w:p w14:paraId="167748A2" w14:textId="0508C74F" w:rsidR="003E6A50" w:rsidRPr="00D84B66" w:rsidRDefault="009F01B4" w:rsidP="00B66744">
            <w:pPr>
              <w:pStyle w:val="TableText"/>
              <w:keepNext/>
              <w:keepLines/>
              <w:spacing w:before="0" w:after="0"/>
              <w:jc w:val="right"/>
              <w:rPr>
                <w:lang w:val="en-US"/>
              </w:rPr>
            </w:pPr>
            <w:r w:rsidRPr="00D84B66">
              <w:t>$</w:t>
            </w:r>
            <w:r w:rsidRPr="00D84B66">
              <w:rPr>
                <w:b/>
                <w:bCs/>
              </w:rPr>
              <w:t>redacted</w:t>
            </w:r>
          </w:p>
        </w:tc>
        <w:tc>
          <w:tcPr>
            <w:tcW w:w="1363" w:type="dxa"/>
            <w:tcMar>
              <w:left w:w="85" w:type="dxa"/>
              <w:right w:w="85" w:type="dxa"/>
            </w:tcMar>
          </w:tcPr>
          <w:p w14:paraId="792A3D4C" w14:textId="3CD2C5F7" w:rsidR="003E6A50" w:rsidRPr="00D84B66" w:rsidRDefault="009F01B4" w:rsidP="00B66744">
            <w:pPr>
              <w:pStyle w:val="TableText"/>
              <w:keepNext/>
              <w:keepLines/>
              <w:spacing w:before="0" w:after="0"/>
              <w:jc w:val="right"/>
              <w:rPr>
                <w:lang w:val="en-US"/>
              </w:rPr>
            </w:pPr>
            <w:r w:rsidRPr="00D84B66">
              <w:t>$</w:t>
            </w:r>
            <w:r w:rsidRPr="00D84B66">
              <w:rPr>
                <w:b/>
                <w:bCs/>
              </w:rPr>
              <w:t>redacted</w:t>
            </w:r>
          </w:p>
        </w:tc>
        <w:tc>
          <w:tcPr>
            <w:tcW w:w="1363" w:type="dxa"/>
            <w:tcMar>
              <w:left w:w="85" w:type="dxa"/>
              <w:right w:w="85" w:type="dxa"/>
            </w:tcMar>
          </w:tcPr>
          <w:p w14:paraId="647E93A1" w14:textId="7D016B45" w:rsidR="003E6A50" w:rsidRPr="00D84B66" w:rsidRDefault="009F01B4" w:rsidP="00B66744">
            <w:pPr>
              <w:pStyle w:val="TableText"/>
              <w:keepNext/>
              <w:keepLines/>
              <w:spacing w:before="0" w:after="0"/>
              <w:jc w:val="right"/>
              <w:rPr>
                <w:lang w:val="en-US"/>
              </w:rPr>
            </w:pPr>
            <w:r w:rsidRPr="00D84B66">
              <w:t>$</w:t>
            </w:r>
            <w:r w:rsidRPr="00D84B66">
              <w:rPr>
                <w:b/>
                <w:bCs/>
              </w:rPr>
              <w:t>redacted</w:t>
            </w:r>
          </w:p>
        </w:tc>
        <w:tc>
          <w:tcPr>
            <w:tcW w:w="1363" w:type="dxa"/>
            <w:tcMar>
              <w:left w:w="85" w:type="dxa"/>
              <w:right w:w="85" w:type="dxa"/>
            </w:tcMar>
          </w:tcPr>
          <w:p w14:paraId="66F26D9D" w14:textId="3A7D2E67" w:rsidR="003E6A50" w:rsidRPr="00D84B66" w:rsidRDefault="009F01B4" w:rsidP="00B66744">
            <w:pPr>
              <w:pStyle w:val="TableText"/>
              <w:keepNext/>
              <w:keepLines/>
              <w:spacing w:before="0" w:after="0"/>
              <w:jc w:val="right"/>
              <w:rPr>
                <w:lang w:val="en-US"/>
              </w:rPr>
            </w:pPr>
            <w:r w:rsidRPr="00D84B66">
              <w:t>$</w:t>
            </w:r>
            <w:r w:rsidRPr="00D84B66">
              <w:rPr>
                <w:b/>
                <w:bCs/>
              </w:rPr>
              <w:t>redacted</w:t>
            </w:r>
          </w:p>
        </w:tc>
        <w:tc>
          <w:tcPr>
            <w:tcW w:w="1483" w:type="dxa"/>
            <w:tcMar>
              <w:left w:w="85" w:type="dxa"/>
              <w:right w:w="85" w:type="dxa"/>
            </w:tcMar>
          </w:tcPr>
          <w:p w14:paraId="7D640FF9" w14:textId="6F69F477" w:rsidR="003E6A50" w:rsidRPr="00D84B66" w:rsidRDefault="009F01B4" w:rsidP="00B66744">
            <w:pPr>
              <w:pStyle w:val="TableText"/>
              <w:keepNext/>
              <w:keepLines/>
              <w:spacing w:before="0" w:after="0"/>
              <w:jc w:val="right"/>
              <w:rPr>
                <w:lang w:val="en-US"/>
              </w:rPr>
            </w:pPr>
            <w:r w:rsidRPr="00D84B66">
              <w:t>$</w:t>
            </w:r>
            <w:r w:rsidRPr="00D84B66">
              <w:rPr>
                <w:b/>
                <w:bCs/>
              </w:rPr>
              <w:t>redacted</w:t>
            </w:r>
          </w:p>
        </w:tc>
      </w:tr>
      <w:tr w:rsidR="00117BBB" w:rsidRPr="001D4632" w14:paraId="498A91B9" w14:textId="77777777" w:rsidTr="005D76F9">
        <w:trPr>
          <w:trHeight w:val="690"/>
        </w:trPr>
        <w:tc>
          <w:tcPr>
            <w:tcW w:w="1234" w:type="dxa"/>
            <w:tcMar>
              <w:left w:w="85" w:type="dxa"/>
              <w:right w:w="85" w:type="dxa"/>
            </w:tcMar>
          </w:tcPr>
          <w:p w14:paraId="786F5DB9" w14:textId="47231261" w:rsidR="00005B63" w:rsidRDefault="00005B63" w:rsidP="00B66744">
            <w:pPr>
              <w:pStyle w:val="TableText"/>
              <w:keepNext/>
              <w:keepLines/>
              <w:spacing w:before="0" w:after="0"/>
              <w:rPr>
                <w:lang w:val="en-US"/>
              </w:rPr>
            </w:pPr>
            <w:r>
              <w:rPr>
                <w:b/>
                <w:bCs/>
                <w:lang w:val="en-US"/>
              </w:rPr>
              <w:t>Standard of care FIX consumption higher (+25%)</w:t>
            </w:r>
          </w:p>
        </w:tc>
        <w:tc>
          <w:tcPr>
            <w:tcW w:w="1171" w:type="dxa"/>
            <w:tcMar>
              <w:left w:w="85" w:type="dxa"/>
              <w:right w:w="85" w:type="dxa"/>
            </w:tcMar>
          </w:tcPr>
          <w:p w14:paraId="636B6B54" w14:textId="77777777" w:rsidR="00005B63" w:rsidRPr="008F1D39" w:rsidRDefault="00005B63" w:rsidP="00B66744">
            <w:pPr>
              <w:pStyle w:val="TableText"/>
              <w:keepNext/>
              <w:keepLines/>
              <w:spacing w:before="0" w:after="0"/>
              <w:jc w:val="right"/>
            </w:pPr>
          </w:p>
        </w:tc>
        <w:tc>
          <w:tcPr>
            <w:tcW w:w="1039" w:type="dxa"/>
            <w:tcMar>
              <w:left w:w="85" w:type="dxa"/>
              <w:right w:w="85" w:type="dxa"/>
            </w:tcMar>
          </w:tcPr>
          <w:p w14:paraId="2B016FBA" w14:textId="77777777" w:rsidR="00005B63" w:rsidRPr="008F1D39" w:rsidRDefault="00005B63" w:rsidP="00B66744">
            <w:pPr>
              <w:pStyle w:val="TableText"/>
              <w:keepNext/>
              <w:keepLines/>
              <w:spacing w:before="0" w:after="0"/>
              <w:jc w:val="right"/>
            </w:pPr>
          </w:p>
        </w:tc>
        <w:tc>
          <w:tcPr>
            <w:tcW w:w="1363" w:type="dxa"/>
            <w:tcMar>
              <w:left w:w="85" w:type="dxa"/>
              <w:right w:w="85" w:type="dxa"/>
            </w:tcMar>
          </w:tcPr>
          <w:p w14:paraId="7127EFDC" w14:textId="77777777" w:rsidR="00005B63" w:rsidRPr="008F1D39" w:rsidRDefault="00005B63" w:rsidP="00B66744">
            <w:pPr>
              <w:pStyle w:val="TableText"/>
              <w:keepNext/>
              <w:keepLines/>
              <w:spacing w:before="0" w:after="0"/>
              <w:jc w:val="right"/>
            </w:pPr>
          </w:p>
        </w:tc>
        <w:tc>
          <w:tcPr>
            <w:tcW w:w="1363" w:type="dxa"/>
            <w:tcMar>
              <w:left w:w="85" w:type="dxa"/>
              <w:right w:w="85" w:type="dxa"/>
            </w:tcMar>
          </w:tcPr>
          <w:p w14:paraId="2429BB17" w14:textId="77777777" w:rsidR="00005B63" w:rsidRPr="008F1D39" w:rsidRDefault="00005B63" w:rsidP="00B66744">
            <w:pPr>
              <w:pStyle w:val="TableText"/>
              <w:keepNext/>
              <w:keepLines/>
              <w:spacing w:before="0" w:after="0"/>
              <w:jc w:val="right"/>
            </w:pPr>
          </w:p>
        </w:tc>
        <w:tc>
          <w:tcPr>
            <w:tcW w:w="1363" w:type="dxa"/>
            <w:tcMar>
              <w:left w:w="85" w:type="dxa"/>
              <w:right w:w="85" w:type="dxa"/>
            </w:tcMar>
          </w:tcPr>
          <w:p w14:paraId="6FFB380B" w14:textId="77777777" w:rsidR="00005B63" w:rsidRPr="008F1D39" w:rsidRDefault="00005B63" w:rsidP="00B66744">
            <w:pPr>
              <w:pStyle w:val="TableText"/>
              <w:keepNext/>
              <w:keepLines/>
              <w:spacing w:before="0" w:after="0"/>
              <w:jc w:val="right"/>
            </w:pPr>
          </w:p>
        </w:tc>
        <w:tc>
          <w:tcPr>
            <w:tcW w:w="1483" w:type="dxa"/>
            <w:tcMar>
              <w:left w:w="85" w:type="dxa"/>
              <w:right w:w="85" w:type="dxa"/>
            </w:tcMar>
          </w:tcPr>
          <w:p w14:paraId="13A20445" w14:textId="77777777" w:rsidR="00005B63" w:rsidRPr="008F1D39" w:rsidRDefault="00005B63" w:rsidP="00B66744">
            <w:pPr>
              <w:pStyle w:val="TableText"/>
              <w:keepNext/>
              <w:keepLines/>
              <w:spacing w:before="0" w:after="0"/>
              <w:jc w:val="right"/>
            </w:pPr>
          </w:p>
        </w:tc>
      </w:tr>
      <w:tr w:rsidR="00117BBB" w:rsidRPr="001D4632" w14:paraId="060C5265" w14:textId="77777777" w:rsidTr="005D76F9">
        <w:tc>
          <w:tcPr>
            <w:tcW w:w="1234" w:type="dxa"/>
            <w:tcMar>
              <w:left w:w="85" w:type="dxa"/>
              <w:right w:w="85" w:type="dxa"/>
            </w:tcMar>
          </w:tcPr>
          <w:p w14:paraId="32BB47CF" w14:textId="63FAC716" w:rsidR="00297957" w:rsidRPr="002717B3" w:rsidRDefault="00CC0FD2" w:rsidP="00B66744">
            <w:pPr>
              <w:pStyle w:val="TableText"/>
              <w:keepNext/>
              <w:keepLines/>
              <w:spacing w:before="0" w:after="0"/>
              <w:rPr>
                <w:lang w:val="en-US"/>
              </w:rPr>
            </w:pPr>
            <w:r>
              <w:rPr>
                <w:lang w:val="en-US"/>
              </w:rPr>
              <w:t>Cumulative patients</w:t>
            </w:r>
            <w:r w:rsidR="00297957" w:rsidRPr="001D4632">
              <w:rPr>
                <w:lang w:val="en-US"/>
              </w:rPr>
              <w:t xml:space="preserve"> electing </w:t>
            </w:r>
            <w:r w:rsidR="00D71318">
              <w:rPr>
                <w:lang w:val="en-US"/>
              </w:rPr>
              <w:t>ED</w:t>
            </w:r>
          </w:p>
        </w:tc>
        <w:tc>
          <w:tcPr>
            <w:tcW w:w="1171" w:type="dxa"/>
            <w:tcMar>
              <w:left w:w="85" w:type="dxa"/>
              <w:right w:w="85" w:type="dxa"/>
            </w:tcMar>
          </w:tcPr>
          <w:p w14:paraId="55BE9D13" w14:textId="7F610270" w:rsidR="00297957" w:rsidRPr="00D84B66" w:rsidRDefault="003307C7" w:rsidP="00B66744">
            <w:pPr>
              <w:pStyle w:val="TableText"/>
              <w:keepNext/>
              <w:keepLines/>
              <w:spacing w:before="0" w:after="0"/>
              <w:jc w:val="right"/>
            </w:pPr>
            <w:r w:rsidRPr="00D84B66">
              <w:rPr>
                <w:b/>
                <w:bCs/>
              </w:rPr>
              <w:t>redacted</w:t>
            </w:r>
            <w:r w:rsidRPr="00D84B66" w:rsidDel="003307C7">
              <w:t xml:space="preserve"> </w:t>
            </w:r>
          </w:p>
        </w:tc>
        <w:tc>
          <w:tcPr>
            <w:tcW w:w="1039" w:type="dxa"/>
            <w:tcMar>
              <w:left w:w="85" w:type="dxa"/>
              <w:right w:w="85" w:type="dxa"/>
            </w:tcMar>
          </w:tcPr>
          <w:p w14:paraId="0C9CC9AE" w14:textId="47A783B7" w:rsidR="00297957" w:rsidRPr="00D84B66" w:rsidRDefault="003307C7" w:rsidP="00B66744">
            <w:pPr>
              <w:pStyle w:val="TableText"/>
              <w:keepNext/>
              <w:keepLines/>
              <w:spacing w:before="0" w:after="0"/>
              <w:jc w:val="right"/>
            </w:pPr>
            <w:r w:rsidRPr="00D84B66">
              <w:rPr>
                <w:b/>
                <w:bCs/>
              </w:rPr>
              <w:t>redacted</w:t>
            </w:r>
            <w:r w:rsidRPr="00D84B66" w:rsidDel="003307C7">
              <w:t xml:space="preserve"> </w:t>
            </w:r>
          </w:p>
        </w:tc>
        <w:tc>
          <w:tcPr>
            <w:tcW w:w="1363" w:type="dxa"/>
            <w:tcMar>
              <w:left w:w="85" w:type="dxa"/>
              <w:right w:w="85" w:type="dxa"/>
            </w:tcMar>
          </w:tcPr>
          <w:p w14:paraId="75F1E1A3" w14:textId="0074D53B" w:rsidR="00297957" w:rsidRPr="00D84B66" w:rsidRDefault="003307C7" w:rsidP="00B66744">
            <w:pPr>
              <w:pStyle w:val="TableText"/>
              <w:keepNext/>
              <w:keepLines/>
              <w:spacing w:before="0" w:after="0"/>
              <w:jc w:val="right"/>
            </w:pPr>
            <w:r w:rsidRPr="00D84B66">
              <w:rPr>
                <w:b/>
                <w:bCs/>
              </w:rPr>
              <w:t>redacted</w:t>
            </w:r>
            <w:r w:rsidRPr="00D84B66" w:rsidDel="003307C7">
              <w:t xml:space="preserve"> </w:t>
            </w:r>
          </w:p>
        </w:tc>
        <w:tc>
          <w:tcPr>
            <w:tcW w:w="1363" w:type="dxa"/>
            <w:tcMar>
              <w:left w:w="85" w:type="dxa"/>
              <w:right w:w="85" w:type="dxa"/>
            </w:tcMar>
          </w:tcPr>
          <w:p w14:paraId="5B6A2AB7" w14:textId="1D24F26E" w:rsidR="00297957" w:rsidRPr="00D84B66" w:rsidRDefault="003307C7" w:rsidP="00B66744">
            <w:pPr>
              <w:pStyle w:val="TableText"/>
              <w:keepNext/>
              <w:keepLines/>
              <w:spacing w:before="0" w:after="0"/>
              <w:jc w:val="right"/>
            </w:pPr>
            <w:r w:rsidRPr="00D84B66">
              <w:rPr>
                <w:b/>
                <w:bCs/>
              </w:rPr>
              <w:t>redacted</w:t>
            </w:r>
            <w:r w:rsidRPr="00D84B66" w:rsidDel="003307C7">
              <w:t xml:space="preserve"> </w:t>
            </w:r>
          </w:p>
        </w:tc>
        <w:tc>
          <w:tcPr>
            <w:tcW w:w="1363" w:type="dxa"/>
            <w:tcMar>
              <w:left w:w="85" w:type="dxa"/>
              <w:right w:w="85" w:type="dxa"/>
            </w:tcMar>
          </w:tcPr>
          <w:p w14:paraId="12F59C1B" w14:textId="2D753011" w:rsidR="00297957" w:rsidRPr="00D84B66" w:rsidRDefault="003307C7" w:rsidP="00B66744">
            <w:pPr>
              <w:pStyle w:val="TableText"/>
              <w:keepNext/>
              <w:keepLines/>
              <w:spacing w:before="0" w:after="0"/>
              <w:jc w:val="right"/>
            </w:pPr>
            <w:r w:rsidRPr="00D84B66">
              <w:rPr>
                <w:b/>
                <w:bCs/>
              </w:rPr>
              <w:t>redacted</w:t>
            </w:r>
            <w:r w:rsidRPr="00D84B66" w:rsidDel="003307C7">
              <w:t xml:space="preserve"> </w:t>
            </w:r>
          </w:p>
        </w:tc>
        <w:tc>
          <w:tcPr>
            <w:tcW w:w="1483" w:type="dxa"/>
            <w:tcMar>
              <w:left w:w="85" w:type="dxa"/>
              <w:right w:w="85" w:type="dxa"/>
            </w:tcMar>
          </w:tcPr>
          <w:p w14:paraId="73726151" w14:textId="03C1D3CF" w:rsidR="00297957" w:rsidRPr="00D84B66" w:rsidRDefault="003307C7" w:rsidP="00B66744">
            <w:pPr>
              <w:pStyle w:val="TableText"/>
              <w:keepNext/>
              <w:keepLines/>
              <w:spacing w:before="0" w:after="0"/>
              <w:jc w:val="right"/>
            </w:pPr>
            <w:r w:rsidRPr="00D84B66">
              <w:rPr>
                <w:b/>
                <w:bCs/>
              </w:rPr>
              <w:t>redacted</w:t>
            </w:r>
            <w:r w:rsidRPr="00D84B66" w:rsidDel="003307C7">
              <w:t xml:space="preserve"> </w:t>
            </w:r>
          </w:p>
        </w:tc>
      </w:tr>
      <w:tr w:rsidR="00117BBB" w:rsidRPr="001D4632" w14:paraId="1231ABDA" w14:textId="77777777" w:rsidTr="005D76F9">
        <w:tc>
          <w:tcPr>
            <w:tcW w:w="1234" w:type="dxa"/>
            <w:tcMar>
              <w:left w:w="85" w:type="dxa"/>
              <w:right w:w="85" w:type="dxa"/>
            </w:tcMar>
          </w:tcPr>
          <w:p w14:paraId="6CDC0FAC" w14:textId="7644CB6C" w:rsidR="009B51AE" w:rsidRPr="001D4632" w:rsidRDefault="009B51AE" w:rsidP="00B66744">
            <w:pPr>
              <w:pStyle w:val="TableText"/>
              <w:keepNext/>
              <w:keepLines/>
              <w:spacing w:before="0" w:after="0"/>
              <w:rPr>
                <w:lang w:val="en-US"/>
              </w:rPr>
            </w:pPr>
            <w:r w:rsidRPr="002717B3">
              <w:rPr>
                <w:lang w:val="en-US"/>
              </w:rPr>
              <w:t xml:space="preserve">Overall net financial impact of funding </w:t>
            </w:r>
            <w:proofErr w:type="spellStart"/>
            <w:r w:rsidR="009F1E37">
              <w:rPr>
                <w:lang w:val="en-US"/>
              </w:rPr>
              <w:t>ED</w:t>
            </w:r>
            <w:r>
              <w:rPr>
                <w:vertAlign w:val="superscript"/>
                <w:lang w:val="en-US"/>
              </w:rPr>
              <w:t>a</w:t>
            </w:r>
            <w:proofErr w:type="spellEnd"/>
          </w:p>
        </w:tc>
        <w:tc>
          <w:tcPr>
            <w:tcW w:w="1171" w:type="dxa"/>
            <w:tcMar>
              <w:left w:w="85" w:type="dxa"/>
              <w:right w:w="85" w:type="dxa"/>
            </w:tcMar>
          </w:tcPr>
          <w:p w14:paraId="515219EB" w14:textId="216908D4" w:rsidR="009B51AE" w:rsidRPr="00D84B66" w:rsidRDefault="009B51AE" w:rsidP="00B66744">
            <w:pPr>
              <w:pStyle w:val="TableText"/>
              <w:keepNext/>
              <w:keepLines/>
              <w:spacing w:before="0" w:after="0"/>
              <w:jc w:val="right"/>
              <w:rPr>
                <w:lang w:val="en-US"/>
              </w:rPr>
            </w:pPr>
            <w:r w:rsidRPr="00D84B66">
              <w:t>-</w:t>
            </w:r>
            <w:r w:rsidR="003307C7" w:rsidRPr="00D84B66">
              <w:t>$</w:t>
            </w:r>
            <w:r w:rsidR="003307C7" w:rsidRPr="00D84B66">
              <w:rPr>
                <w:b/>
                <w:bCs/>
              </w:rPr>
              <w:t>redacted</w:t>
            </w:r>
            <w:r w:rsidR="003307C7" w:rsidRPr="00D84B66" w:rsidDel="003307C7">
              <w:t xml:space="preserve"> </w:t>
            </w:r>
          </w:p>
        </w:tc>
        <w:tc>
          <w:tcPr>
            <w:tcW w:w="1039" w:type="dxa"/>
            <w:tcMar>
              <w:left w:w="85" w:type="dxa"/>
              <w:right w:w="85" w:type="dxa"/>
            </w:tcMar>
          </w:tcPr>
          <w:p w14:paraId="55B91D84" w14:textId="55846E21" w:rsidR="009B51AE" w:rsidRPr="00D84B66" w:rsidRDefault="009B51AE" w:rsidP="00B66744">
            <w:pPr>
              <w:pStyle w:val="TableText"/>
              <w:keepNext/>
              <w:keepLines/>
              <w:spacing w:before="0" w:after="0"/>
              <w:jc w:val="right"/>
              <w:rPr>
                <w:lang w:val="en-US"/>
              </w:rPr>
            </w:pPr>
            <w:r w:rsidRPr="00D84B66">
              <w:t>-</w:t>
            </w:r>
            <w:r w:rsidR="003307C7" w:rsidRPr="00D84B66">
              <w:t>$</w:t>
            </w:r>
            <w:r w:rsidR="003307C7" w:rsidRPr="00D84B66">
              <w:rPr>
                <w:b/>
                <w:bCs/>
              </w:rPr>
              <w:t>redacted</w:t>
            </w:r>
          </w:p>
        </w:tc>
        <w:tc>
          <w:tcPr>
            <w:tcW w:w="1363" w:type="dxa"/>
            <w:tcMar>
              <w:left w:w="85" w:type="dxa"/>
              <w:right w:w="85" w:type="dxa"/>
            </w:tcMar>
          </w:tcPr>
          <w:p w14:paraId="39AE464B" w14:textId="5481BBE8" w:rsidR="009B51AE" w:rsidRPr="00D84B66" w:rsidRDefault="009B51AE" w:rsidP="00B66744">
            <w:pPr>
              <w:pStyle w:val="TableText"/>
              <w:keepNext/>
              <w:keepLines/>
              <w:spacing w:before="0" w:after="0"/>
              <w:jc w:val="right"/>
              <w:rPr>
                <w:lang w:val="en-US"/>
              </w:rPr>
            </w:pPr>
            <w:r w:rsidRPr="00D84B66">
              <w:t>-</w:t>
            </w:r>
            <w:r w:rsidR="003307C7" w:rsidRPr="00D84B66">
              <w:t>$</w:t>
            </w:r>
            <w:r w:rsidR="003307C7" w:rsidRPr="00D84B66">
              <w:rPr>
                <w:b/>
                <w:bCs/>
              </w:rPr>
              <w:t>redacted</w:t>
            </w:r>
            <w:r w:rsidR="003307C7" w:rsidRPr="00D84B66" w:rsidDel="003307C7">
              <w:t xml:space="preserve"> </w:t>
            </w:r>
          </w:p>
        </w:tc>
        <w:tc>
          <w:tcPr>
            <w:tcW w:w="1363" w:type="dxa"/>
            <w:tcMar>
              <w:left w:w="85" w:type="dxa"/>
              <w:right w:w="85" w:type="dxa"/>
            </w:tcMar>
          </w:tcPr>
          <w:p w14:paraId="6DCB6FF4" w14:textId="10129DE8" w:rsidR="009B51AE" w:rsidRPr="00D84B66" w:rsidRDefault="009B51AE" w:rsidP="00B66744">
            <w:pPr>
              <w:pStyle w:val="TableText"/>
              <w:keepNext/>
              <w:keepLines/>
              <w:spacing w:before="0" w:after="0"/>
              <w:jc w:val="right"/>
              <w:rPr>
                <w:lang w:val="en-US"/>
              </w:rPr>
            </w:pPr>
            <w:r w:rsidRPr="00D84B66">
              <w:t>-</w:t>
            </w:r>
            <w:r w:rsidR="003307C7" w:rsidRPr="00D84B66">
              <w:t>$</w:t>
            </w:r>
            <w:r w:rsidR="003307C7" w:rsidRPr="00D84B66">
              <w:rPr>
                <w:b/>
                <w:bCs/>
              </w:rPr>
              <w:t>redacted</w:t>
            </w:r>
            <w:r w:rsidR="003307C7" w:rsidRPr="00D84B66" w:rsidDel="003307C7">
              <w:t xml:space="preserve"> </w:t>
            </w:r>
          </w:p>
        </w:tc>
        <w:tc>
          <w:tcPr>
            <w:tcW w:w="1363" w:type="dxa"/>
            <w:tcMar>
              <w:left w:w="85" w:type="dxa"/>
              <w:right w:w="85" w:type="dxa"/>
            </w:tcMar>
          </w:tcPr>
          <w:p w14:paraId="3092D323" w14:textId="354092F7" w:rsidR="009B51AE" w:rsidRPr="00D84B66" w:rsidRDefault="009B51AE" w:rsidP="00B66744">
            <w:pPr>
              <w:pStyle w:val="TableText"/>
              <w:keepNext/>
              <w:keepLines/>
              <w:spacing w:before="0" w:after="0"/>
              <w:jc w:val="right"/>
              <w:rPr>
                <w:lang w:val="en-US"/>
              </w:rPr>
            </w:pPr>
            <w:r w:rsidRPr="00D84B66">
              <w:t>-</w:t>
            </w:r>
            <w:r w:rsidR="003307C7" w:rsidRPr="00D84B66">
              <w:t>$</w:t>
            </w:r>
            <w:r w:rsidR="003307C7" w:rsidRPr="00D84B66">
              <w:rPr>
                <w:b/>
                <w:bCs/>
              </w:rPr>
              <w:t>redacted</w:t>
            </w:r>
            <w:r w:rsidR="003307C7" w:rsidRPr="00D84B66" w:rsidDel="003307C7">
              <w:t xml:space="preserve"> </w:t>
            </w:r>
          </w:p>
        </w:tc>
        <w:tc>
          <w:tcPr>
            <w:tcW w:w="1483" w:type="dxa"/>
            <w:tcMar>
              <w:left w:w="85" w:type="dxa"/>
              <w:right w:w="85" w:type="dxa"/>
            </w:tcMar>
          </w:tcPr>
          <w:p w14:paraId="0BBAA3FC" w14:textId="0952E4BA" w:rsidR="009B51AE" w:rsidRPr="00D84B66" w:rsidRDefault="009B51AE" w:rsidP="00B66744">
            <w:pPr>
              <w:pStyle w:val="TableText"/>
              <w:keepNext/>
              <w:keepLines/>
              <w:spacing w:before="0" w:after="0"/>
              <w:jc w:val="right"/>
              <w:rPr>
                <w:lang w:val="en-US"/>
              </w:rPr>
            </w:pPr>
            <w:r w:rsidRPr="00D84B66">
              <w:t>-</w:t>
            </w:r>
            <w:r w:rsidR="003307C7" w:rsidRPr="00D84B66">
              <w:t>$</w:t>
            </w:r>
            <w:r w:rsidR="003307C7" w:rsidRPr="00D84B66">
              <w:rPr>
                <w:b/>
                <w:bCs/>
              </w:rPr>
              <w:t>redacted</w:t>
            </w:r>
            <w:r w:rsidR="003307C7" w:rsidRPr="00D84B66" w:rsidDel="003307C7">
              <w:t xml:space="preserve"> </w:t>
            </w:r>
          </w:p>
        </w:tc>
      </w:tr>
      <w:tr w:rsidR="00117BBB" w:rsidRPr="001D4632" w14:paraId="41AE3E10" w14:textId="77777777" w:rsidTr="005D76F9">
        <w:tc>
          <w:tcPr>
            <w:tcW w:w="1234" w:type="dxa"/>
            <w:tcMar>
              <w:left w:w="85" w:type="dxa"/>
              <w:right w:w="85" w:type="dxa"/>
            </w:tcMar>
          </w:tcPr>
          <w:p w14:paraId="169A919B" w14:textId="2B8E437F" w:rsidR="009B51AE" w:rsidRPr="001D4632" w:rsidRDefault="009B51AE" w:rsidP="00B66744">
            <w:pPr>
              <w:pStyle w:val="TableText"/>
              <w:keepNext/>
              <w:keepLines/>
              <w:spacing w:before="0" w:after="0"/>
              <w:rPr>
                <w:lang w:val="en-US"/>
              </w:rPr>
            </w:pPr>
            <w:r w:rsidRPr="002717B3">
              <w:rPr>
                <w:lang w:val="en-US"/>
              </w:rPr>
              <w:t xml:space="preserve">Net financial impact to the </w:t>
            </w:r>
            <w:r w:rsidR="00254485">
              <w:rPr>
                <w:lang w:val="en-US"/>
              </w:rPr>
              <w:t xml:space="preserve">National Blood </w:t>
            </w:r>
            <w:proofErr w:type="spellStart"/>
            <w:r w:rsidR="00254485">
              <w:rPr>
                <w:lang w:val="en-US"/>
              </w:rPr>
              <w:t>Agreement</w:t>
            </w:r>
            <w:r>
              <w:rPr>
                <w:vertAlign w:val="superscript"/>
                <w:lang w:val="en-US"/>
              </w:rPr>
              <w:t>b</w:t>
            </w:r>
            <w:proofErr w:type="spellEnd"/>
          </w:p>
        </w:tc>
        <w:tc>
          <w:tcPr>
            <w:tcW w:w="1171" w:type="dxa"/>
            <w:tcMar>
              <w:left w:w="85" w:type="dxa"/>
              <w:right w:w="85" w:type="dxa"/>
            </w:tcMar>
          </w:tcPr>
          <w:p w14:paraId="42D09EC1" w14:textId="45B4342F" w:rsidR="009B51AE" w:rsidRPr="00D84B66" w:rsidRDefault="009B51AE" w:rsidP="00B66744">
            <w:pPr>
              <w:pStyle w:val="TableText"/>
              <w:keepNext/>
              <w:keepLines/>
              <w:spacing w:before="0" w:after="0"/>
              <w:jc w:val="right"/>
              <w:rPr>
                <w:lang w:val="en-US"/>
              </w:rPr>
            </w:pPr>
            <w:r w:rsidRPr="00D84B66">
              <w:t>-</w:t>
            </w:r>
            <w:r w:rsidR="003307C7" w:rsidRPr="00D84B66">
              <w:t>$</w:t>
            </w:r>
            <w:r w:rsidR="003307C7" w:rsidRPr="00D84B66">
              <w:rPr>
                <w:b/>
                <w:bCs/>
              </w:rPr>
              <w:t>redacted</w:t>
            </w:r>
          </w:p>
        </w:tc>
        <w:tc>
          <w:tcPr>
            <w:tcW w:w="1039" w:type="dxa"/>
            <w:tcMar>
              <w:left w:w="85" w:type="dxa"/>
              <w:right w:w="85" w:type="dxa"/>
            </w:tcMar>
          </w:tcPr>
          <w:p w14:paraId="58673BD6" w14:textId="2D42B97B" w:rsidR="009B51AE" w:rsidRPr="00D84B66" w:rsidRDefault="009B51AE" w:rsidP="00B66744">
            <w:pPr>
              <w:pStyle w:val="TableText"/>
              <w:keepNext/>
              <w:keepLines/>
              <w:spacing w:before="0" w:after="0"/>
              <w:jc w:val="right"/>
              <w:rPr>
                <w:lang w:val="en-US"/>
              </w:rPr>
            </w:pPr>
            <w:r w:rsidRPr="00D84B66">
              <w:t>-</w:t>
            </w:r>
            <w:r w:rsidR="003307C7" w:rsidRPr="00D84B66">
              <w:t>$</w:t>
            </w:r>
            <w:r w:rsidR="003307C7" w:rsidRPr="00D84B66">
              <w:rPr>
                <w:b/>
                <w:bCs/>
              </w:rPr>
              <w:t>redacted</w:t>
            </w:r>
          </w:p>
        </w:tc>
        <w:tc>
          <w:tcPr>
            <w:tcW w:w="1363" w:type="dxa"/>
            <w:tcMar>
              <w:left w:w="85" w:type="dxa"/>
              <w:right w:w="85" w:type="dxa"/>
            </w:tcMar>
          </w:tcPr>
          <w:p w14:paraId="0B6F65E6" w14:textId="73D26551" w:rsidR="009B51AE" w:rsidRPr="00D84B66" w:rsidRDefault="009B51AE" w:rsidP="00B66744">
            <w:pPr>
              <w:pStyle w:val="TableText"/>
              <w:keepNext/>
              <w:keepLines/>
              <w:spacing w:before="0" w:after="0"/>
              <w:jc w:val="right"/>
              <w:rPr>
                <w:lang w:val="en-US"/>
              </w:rPr>
            </w:pPr>
            <w:r w:rsidRPr="00D84B66">
              <w:t>-</w:t>
            </w:r>
            <w:r w:rsidR="003307C7" w:rsidRPr="00D84B66">
              <w:t>$</w:t>
            </w:r>
            <w:r w:rsidR="003307C7" w:rsidRPr="00D84B66">
              <w:rPr>
                <w:b/>
                <w:bCs/>
              </w:rPr>
              <w:t>redacted</w:t>
            </w:r>
            <w:r w:rsidR="003307C7" w:rsidRPr="00D84B66" w:rsidDel="003307C7">
              <w:t xml:space="preserve"> </w:t>
            </w:r>
          </w:p>
        </w:tc>
        <w:tc>
          <w:tcPr>
            <w:tcW w:w="1363" w:type="dxa"/>
            <w:tcMar>
              <w:left w:w="85" w:type="dxa"/>
              <w:right w:w="85" w:type="dxa"/>
            </w:tcMar>
          </w:tcPr>
          <w:p w14:paraId="4BA4E446" w14:textId="6985D91F" w:rsidR="009B51AE" w:rsidRPr="00D84B66" w:rsidRDefault="009B51AE" w:rsidP="00B66744">
            <w:pPr>
              <w:pStyle w:val="TableText"/>
              <w:keepNext/>
              <w:keepLines/>
              <w:spacing w:before="0" w:after="0"/>
              <w:jc w:val="right"/>
              <w:rPr>
                <w:lang w:val="en-US"/>
              </w:rPr>
            </w:pPr>
            <w:r w:rsidRPr="00D84B66">
              <w:t>-</w:t>
            </w:r>
            <w:r w:rsidR="003307C7" w:rsidRPr="00D84B66">
              <w:t>$</w:t>
            </w:r>
            <w:r w:rsidR="003307C7" w:rsidRPr="00D84B66">
              <w:rPr>
                <w:b/>
                <w:bCs/>
              </w:rPr>
              <w:t>redacted</w:t>
            </w:r>
            <w:r w:rsidR="003307C7" w:rsidRPr="00D84B66" w:rsidDel="003307C7">
              <w:t xml:space="preserve"> </w:t>
            </w:r>
          </w:p>
        </w:tc>
        <w:tc>
          <w:tcPr>
            <w:tcW w:w="1363" w:type="dxa"/>
            <w:tcMar>
              <w:left w:w="85" w:type="dxa"/>
              <w:right w:w="85" w:type="dxa"/>
            </w:tcMar>
          </w:tcPr>
          <w:p w14:paraId="0FD6225B" w14:textId="4EE76E7A" w:rsidR="009B51AE" w:rsidRPr="00D84B66" w:rsidRDefault="009B51AE" w:rsidP="00B66744">
            <w:pPr>
              <w:pStyle w:val="TableText"/>
              <w:keepNext/>
              <w:keepLines/>
              <w:spacing w:before="0" w:after="0"/>
              <w:jc w:val="right"/>
              <w:rPr>
                <w:lang w:val="en-US"/>
              </w:rPr>
            </w:pPr>
            <w:r w:rsidRPr="00D84B66">
              <w:t>-</w:t>
            </w:r>
            <w:r w:rsidR="003307C7" w:rsidRPr="00D84B66">
              <w:t>$</w:t>
            </w:r>
            <w:r w:rsidR="003307C7" w:rsidRPr="00D84B66">
              <w:rPr>
                <w:b/>
                <w:bCs/>
              </w:rPr>
              <w:t>redacted</w:t>
            </w:r>
            <w:r w:rsidR="003307C7" w:rsidRPr="00D84B66" w:rsidDel="003307C7">
              <w:t xml:space="preserve"> </w:t>
            </w:r>
          </w:p>
        </w:tc>
        <w:tc>
          <w:tcPr>
            <w:tcW w:w="1483" w:type="dxa"/>
            <w:tcMar>
              <w:left w:w="85" w:type="dxa"/>
              <w:right w:w="85" w:type="dxa"/>
            </w:tcMar>
          </w:tcPr>
          <w:p w14:paraId="24F0B721" w14:textId="1F860D99" w:rsidR="009B51AE" w:rsidRPr="00D84B66" w:rsidRDefault="009B51AE" w:rsidP="00B66744">
            <w:pPr>
              <w:pStyle w:val="TableText"/>
              <w:keepNext/>
              <w:keepLines/>
              <w:spacing w:before="0" w:after="0"/>
              <w:jc w:val="right"/>
              <w:rPr>
                <w:lang w:val="en-US"/>
              </w:rPr>
            </w:pPr>
            <w:r w:rsidRPr="00D84B66">
              <w:t>-</w:t>
            </w:r>
            <w:r w:rsidR="003307C7" w:rsidRPr="00D84B66">
              <w:t>$</w:t>
            </w:r>
            <w:r w:rsidR="003307C7" w:rsidRPr="00D84B66">
              <w:rPr>
                <w:b/>
                <w:bCs/>
              </w:rPr>
              <w:t>redacted</w:t>
            </w:r>
            <w:r w:rsidR="003307C7" w:rsidRPr="00D84B66" w:rsidDel="003307C7">
              <w:t xml:space="preserve"> </w:t>
            </w:r>
          </w:p>
        </w:tc>
      </w:tr>
    </w:tbl>
    <w:p w14:paraId="30E6A8BB" w14:textId="77777777" w:rsidR="008367EB" w:rsidRPr="008367EB" w:rsidRDefault="008367EB" w:rsidP="00FB47D5">
      <w:pPr>
        <w:pStyle w:val="TableFigureFooter"/>
        <w:keepNext/>
        <w:keepLines/>
        <w:contextualSpacing/>
      </w:pPr>
      <w:r w:rsidRPr="008367EB">
        <w:t>FIX = Factor IX.</w:t>
      </w:r>
    </w:p>
    <w:p w14:paraId="0B521EA8" w14:textId="483CF0AF" w:rsidR="0090779D" w:rsidRPr="008367EB" w:rsidRDefault="007F4AE4" w:rsidP="00FB47D5">
      <w:pPr>
        <w:pStyle w:val="TableFigureFooter"/>
        <w:keepNext/>
        <w:keepLines/>
        <w:contextualSpacing/>
      </w:pPr>
      <w:r w:rsidRPr="008367EB">
        <w:t>a</w:t>
      </w:r>
      <w:r w:rsidR="0090779D" w:rsidRPr="008367EB">
        <w:t xml:space="preserve"> </w:t>
      </w:r>
      <w:r w:rsidR="00D71318">
        <w:t>ED</w:t>
      </w:r>
      <w:r w:rsidR="0090779D" w:rsidRPr="008367EB">
        <w:t xml:space="preserve">, FIX replacement therapy and other healthcare resource use. </w:t>
      </w:r>
    </w:p>
    <w:p w14:paraId="4C664AD8" w14:textId="0B87BB68" w:rsidR="0090779D" w:rsidRPr="008367EB" w:rsidRDefault="007F4AE4" w:rsidP="008367EB">
      <w:pPr>
        <w:pStyle w:val="TableFigureFooter"/>
        <w:contextualSpacing/>
      </w:pPr>
      <w:r w:rsidRPr="008367EB">
        <w:t>b</w:t>
      </w:r>
      <w:r w:rsidR="0090779D" w:rsidRPr="008367EB">
        <w:t xml:space="preserve"> </w:t>
      </w:r>
      <w:r w:rsidR="00D71318">
        <w:t>ED</w:t>
      </w:r>
      <w:r w:rsidR="00D71318" w:rsidRPr="008367EB">
        <w:t xml:space="preserve"> </w:t>
      </w:r>
      <w:r w:rsidR="0090779D" w:rsidRPr="008367EB">
        <w:t>and FIX replacement therapy only.</w:t>
      </w:r>
    </w:p>
    <w:p w14:paraId="5C8CE5C5" w14:textId="0072185E" w:rsidR="008367EB" w:rsidRPr="008367EB" w:rsidRDefault="008367EB" w:rsidP="008367EB">
      <w:pPr>
        <w:pStyle w:val="TableFigureFooter"/>
        <w:contextualSpacing/>
      </w:pPr>
      <w:r w:rsidRPr="008367EB">
        <w:t xml:space="preserve">Source: Commentary </w:t>
      </w:r>
      <w:r w:rsidRPr="000B54B1">
        <w:t>Table 1</w:t>
      </w:r>
      <w:r w:rsidR="000B54B1" w:rsidRPr="000B54B1">
        <w:t>4</w:t>
      </w:r>
      <w:r w:rsidRPr="008367EB">
        <w:t xml:space="preserve"> of MSAC 1728.1 ADAR</w:t>
      </w:r>
      <w:r w:rsidR="00BB3FEC">
        <w:t xml:space="preserve"> </w:t>
      </w:r>
      <w:r w:rsidRPr="008367EB">
        <w:t>+</w:t>
      </w:r>
      <w:r w:rsidR="00BB3FEC">
        <w:t xml:space="preserve"> </w:t>
      </w:r>
      <w:r w:rsidRPr="008367EB">
        <w:t>in-line commentary.</w:t>
      </w:r>
    </w:p>
    <w:p w14:paraId="7838A9FF" w14:textId="57B169B2" w:rsidR="00772829" w:rsidRDefault="00772829" w:rsidP="003758CD">
      <w:pPr>
        <w:pStyle w:val="Heading2"/>
        <w:numPr>
          <w:ilvl w:val="0"/>
          <w:numId w:val="28"/>
        </w:numPr>
      </w:pPr>
      <w:bookmarkStart w:id="64" w:name="_Toc69491427"/>
      <w:r w:rsidRPr="00CE28E3">
        <w:lastRenderedPageBreak/>
        <w:t xml:space="preserve">Other relevant </w:t>
      </w:r>
      <w:bookmarkEnd w:id="64"/>
      <w:r w:rsidR="00FA5766">
        <w:t>information</w:t>
      </w:r>
    </w:p>
    <w:p w14:paraId="08DC55C4" w14:textId="37D78788" w:rsidR="004D3E9A" w:rsidRDefault="004D3E9A" w:rsidP="004D3E9A">
      <w:pPr>
        <w:pStyle w:val="Heading3"/>
      </w:pPr>
      <w:r>
        <w:t>Other gene therapies for haemophilia B</w:t>
      </w:r>
    </w:p>
    <w:p w14:paraId="07D2F9AD" w14:textId="3217BD9A" w:rsidR="004D3E9A" w:rsidRDefault="004D3E9A" w:rsidP="004D3E9A">
      <w:r>
        <w:t xml:space="preserve">Clinical </w:t>
      </w:r>
      <w:r w:rsidR="006B64AD">
        <w:t>studies</w:t>
      </w:r>
      <w:r>
        <w:t xml:space="preserve"> have been completed for </w:t>
      </w:r>
      <w:r w:rsidR="0063669F">
        <w:t xml:space="preserve">at least </w:t>
      </w:r>
      <w:r w:rsidR="005A319A">
        <w:t xml:space="preserve">3 </w:t>
      </w:r>
      <w:r>
        <w:t xml:space="preserve">other gene therapies in patients with </w:t>
      </w:r>
      <w:r w:rsidR="006B64AD">
        <w:t xml:space="preserve">severe to </w:t>
      </w:r>
      <w:r w:rsidRPr="00FD03EB">
        <w:t xml:space="preserve">moderately severe </w:t>
      </w:r>
      <w:r>
        <w:t>HMB</w:t>
      </w:r>
      <w:r w:rsidRPr="00FD03EB">
        <w:t xml:space="preserve"> (FIX activity ≤2%)</w:t>
      </w:r>
      <w:r>
        <w:t>:</w:t>
      </w:r>
    </w:p>
    <w:p w14:paraId="43C12189" w14:textId="0CC8BF2D" w:rsidR="004D3E9A" w:rsidRDefault="004D3E9A" w:rsidP="003758CD">
      <w:pPr>
        <w:pStyle w:val="ListParagraph"/>
        <w:numPr>
          <w:ilvl w:val="0"/>
          <w:numId w:val="11"/>
        </w:numPr>
      </w:pPr>
      <w:proofErr w:type="spellStart"/>
      <w:r>
        <w:t>fidanacogene</w:t>
      </w:r>
      <w:proofErr w:type="spellEnd"/>
      <w:r>
        <w:t xml:space="preserve"> </w:t>
      </w:r>
      <w:proofErr w:type="spellStart"/>
      <w:r>
        <w:t>elaparvovec</w:t>
      </w:r>
      <w:proofErr w:type="spellEnd"/>
      <w:r>
        <w:t xml:space="preserve"> (also known as SPK-9001, PF-06838435, </w:t>
      </w:r>
      <w:proofErr w:type="spellStart"/>
      <w:r>
        <w:t>Durveqtix</w:t>
      </w:r>
      <w:proofErr w:type="spellEnd"/>
      <w:r>
        <w:t xml:space="preserve"> and </w:t>
      </w:r>
      <w:proofErr w:type="spellStart"/>
      <w:r>
        <w:t>Beqvez</w:t>
      </w:r>
      <w:proofErr w:type="spellEnd"/>
      <w:r>
        <w:t>)</w:t>
      </w:r>
      <w:r w:rsidR="002B5DAD">
        <w:t>,</w:t>
      </w:r>
      <w:r>
        <w:t xml:space="preserve"> developed by Spark Therapeutics and licensed to Pfizer</w:t>
      </w:r>
    </w:p>
    <w:p w14:paraId="129D17D2" w14:textId="77777777" w:rsidR="005A319A" w:rsidRDefault="004D3E9A" w:rsidP="003758CD">
      <w:pPr>
        <w:pStyle w:val="ListParagraph"/>
        <w:numPr>
          <w:ilvl w:val="0"/>
          <w:numId w:val="11"/>
        </w:numPr>
      </w:pPr>
      <w:proofErr w:type="spellStart"/>
      <w:r w:rsidRPr="00026FB4">
        <w:t>verbrinacogene</w:t>
      </w:r>
      <w:proofErr w:type="spellEnd"/>
      <w:r w:rsidRPr="00026FB4">
        <w:t xml:space="preserve"> </w:t>
      </w:r>
      <w:proofErr w:type="spellStart"/>
      <w:r w:rsidRPr="00026FB4">
        <w:t>setparvovec</w:t>
      </w:r>
      <w:proofErr w:type="spellEnd"/>
      <w:r>
        <w:t xml:space="preserve"> (also known as FLT180a)</w:t>
      </w:r>
      <w:r w:rsidR="002B5DAD">
        <w:t>,</w:t>
      </w:r>
      <w:r>
        <w:t xml:space="preserve"> developed by Freeline Therapeutics (now Spur Therapeutics)</w:t>
      </w:r>
    </w:p>
    <w:p w14:paraId="63306DBE" w14:textId="17FE7424" w:rsidR="004D3E9A" w:rsidRDefault="00410549" w:rsidP="003758CD">
      <w:pPr>
        <w:pStyle w:val="ListParagraph"/>
        <w:numPr>
          <w:ilvl w:val="0"/>
          <w:numId w:val="11"/>
        </w:numPr>
      </w:pPr>
      <w:proofErr w:type="spellStart"/>
      <w:r>
        <w:t>dalnacogene</w:t>
      </w:r>
      <w:proofErr w:type="spellEnd"/>
      <w:r>
        <w:t xml:space="preserve"> </w:t>
      </w:r>
      <w:proofErr w:type="spellStart"/>
      <w:r w:rsidR="002318D5">
        <w:t>ponparvovec</w:t>
      </w:r>
      <w:proofErr w:type="spellEnd"/>
      <w:r w:rsidR="002318D5">
        <w:t xml:space="preserve"> </w:t>
      </w:r>
      <w:r w:rsidR="00D968FB">
        <w:t>(also known as BBM-H901)</w:t>
      </w:r>
      <w:r w:rsidR="00CD1A79">
        <w:t xml:space="preserve">, developed </w:t>
      </w:r>
      <w:r w:rsidR="009B511B">
        <w:t>by</w:t>
      </w:r>
      <w:r w:rsidR="00D968FB">
        <w:t xml:space="preserve"> </w:t>
      </w:r>
      <w:r w:rsidR="001C2999">
        <w:t>Belief Biomed</w:t>
      </w:r>
      <w:r w:rsidR="009C5AE2">
        <w:t xml:space="preserve"> and </w:t>
      </w:r>
      <w:r w:rsidR="00C04B76">
        <w:t xml:space="preserve">being </w:t>
      </w:r>
      <w:r w:rsidR="009C5AE2">
        <w:t>commercialised in mainland China, Hong Kong and Macau</w:t>
      </w:r>
      <w:r w:rsidR="00C43122">
        <w:t xml:space="preserve"> </w:t>
      </w:r>
      <w:r w:rsidR="009C5AE2">
        <w:t>by Takeda China</w:t>
      </w:r>
      <w:r w:rsidR="004D3E9A">
        <w:t>.</w:t>
      </w:r>
    </w:p>
    <w:p w14:paraId="53EEFE38" w14:textId="29FA158C" w:rsidR="004D3E9A" w:rsidRDefault="004D3E9A" w:rsidP="004D3E9A">
      <w:r>
        <w:t xml:space="preserve">A </w:t>
      </w:r>
      <w:r w:rsidR="00880773">
        <w:t>P</w:t>
      </w:r>
      <w:r>
        <w:t xml:space="preserve">hase 3 study of </w:t>
      </w:r>
      <w:proofErr w:type="spellStart"/>
      <w:r>
        <w:t>fidanacogene</w:t>
      </w:r>
      <w:proofErr w:type="spellEnd"/>
      <w:r>
        <w:t xml:space="preserve"> </w:t>
      </w:r>
      <w:proofErr w:type="spellStart"/>
      <w:r>
        <w:t>elaparvovec</w:t>
      </w:r>
      <w:proofErr w:type="spellEnd"/>
      <w:r>
        <w:t xml:space="preserve"> (BENEGENE-2, </w:t>
      </w:r>
      <w:hyperlink r:id="rId25" w:tooltip="Hyperlink to BENEGENE-2 entry on ClinicalTrials.gov website" w:history="1">
        <w:r w:rsidRPr="00F759A6">
          <w:rPr>
            <w:rStyle w:val="Hyperlink"/>
            <w:iCs/>
          </w:rPr>
          <w:t>NCT03861273</w:t>
        </w:r>
      </w:hyperlink>
      <w:r>
        <w:rPr>
          <w:iCs/>
        </w:rPr>
        <w:t xml:space="preserve">) was the basis for regulatory approval by Health Canada in December 2023 and the FDA in April 2024. </w:t>
      </w:r>
      <w:r>
        <w:t xml:space="preserve">However, global development and commercialisation was </w:t>
      </w:r>
      <w:hyperlink r:id="rId26" w:tooltip="Hyperllink to Reuters article" w:history="1">
        <w:r w:rsidRPr="00F9799B">
          <w:rPr>
            <w:rStyle w:val="Hyperlink"/>
          </w:rPr>
          <w:t>discontinued by Pfizer</w:t>
        </w:r>
      </w:hyperlink>
      <w:r>
        <w:t xml:space="preserve"> in February 2025, citing ‘soft demand from patients and their doctors’. Pfizer claimed that discontinuation was due to several reasons, including ‘limited interest’ in gene therapies for the bleeding disorder.</w:t>
      </w:r>
    </w:p>
    <w:p w14:paraId="76C5445B" w14:textId="702E3928" w:rsidR="004D3E9A" w:rsidRDefault="004D3E9A" w:rsidP="004D3E9A">
      <w:r>
        <w:t xml:space="preserve">Phase 1/2 studies of </w:t>
      </w:r>
      <w:proofErr w:type="spellStart"/>
      <w:r>
        <w:t>verbrinacogene</w:t>
      </w:r>
      <w:proofErr w:type="spellEnd"/>
      <w:r>
        <w:t xml:space="preserve"> </w:t>
      </w:r>
      <w:proofErr w:type="spellStart"/>
      <w:r>
        <w:t>setparvovec</w:t>
      </w:r>
      <w:proofErr w:type="spellEnd"/>
      <w:r>
        <w:t xml:space="preserve"> (B-AMAZE, </w:t>
      </w:r>
      <w:hyperlink r:id="rId27" w:tooltip="Hyperlink to study entry on ClinicalTrials.gov website" w:history="1">
        <w:r w:rsidRPr="007552FA">
          <w:rPr>
            <w:rStyle w:val="Hyperlink"/>
          </w:rPr>
          <w:t>NCT03369444</w:t>
        </w:r>
      </w:hyperlink>
      <w:r>
        <w:t xml:space="preserve">; B-LIEVE, </w:t>
      </w:r>
      <w:hyperlink r:id="rId28" w:tooltip="Hyperlink to study entry on ClinicalTrials.gov website" w:history="1">
        <w:r w:rsidRPr="007552FA">
          <w:rPr>
            <w:rStyle w:val="Hyperlink"/>
          </w:rPr>
          <w:t>NCT05164471</w:t>
        </w:r>
      </w:hyperlink>
      <w:r>
        <w:t>) were terminated early and clinical development has been paused ‘for business priorities’.</w:t>
      </w:r>
    </w:p>
    <w:p w14:paraId="533A796C" w14:textId="42AA1445" w:rsidR="00F347CD" w:rsidRDefault="009C3717" w:rsidP="009C3717">
      <w:pPr>
        <w:pStyle w:val="Heading3"/>
      </w:pPr>
      <w:r>
        <w:t>Other prophylactic therapies for haemophilia B</w:t>
      </w:r>
    </w:p>
    <w:p w14:paraId="0F757167" w14:textId="4EADD8C3" w:rsidR="009C3717" w:rsidRDefault="008D34F9" w:rsidP="009C3717">
      <w:r>
        <w:t xml:space="preserve">Two </w:t>
      </w:r>
      <w:r w:rsidR="006007F5">
        <w:t xml:space="preserve">new </w:t>
      </w:r>
      <w:r>
        <w:t xml:space="preserve">prophylactic therapies </w:t>
      </w:r>
      <w:r w:rsidR="00982F8B">
        <w:t xml:space="preserve">administered by subcutaneous injection </w:t>
      </w:r>
      <w:r w:rsidR="00FD2690">
        <w:t xml:space="preserve">(prefilled pen) </w:t>
      </w:r>
      <w:r>
        <w:t xml:space="preserve">are </w:t>
      </w:r>
      <w:r w:rsidR="006007F5">
        <w:t xml:space="preserve">registered </w:t>
      </w:r>
      <w:r w:rsidR="003A7DDC">
        <w:t xml:space="preserve">for use </w:t>
      </w:r>
      <w:r w:rsidR="006007F5">
        <w:t>in Australia</w:t>
      </w:r>
      <w:r w:rsidR="00D94020">
        <w:t xml:space="preserve"> for HMB </w:t>
      </w:r>
      <w:r w:rsidR="00901319">
        <w:t>(</w:t>
      </w:r>
      <w:r w:rsidR="00D94020">
        <w:t xml:space="preserve">and haemophilia A </w:t>
      </w:r>
      <w:r w:rsidR="00901319">
        <w:t>[</w:t>
      </w:r>
      <w:r w:rsidR="00D94020">
        <w:t>HMA</w:t>
      </w:r>
      <w:r w:rsidR="00901319">
        <w:t>]</w:t>
      </w:r>
      <w:r w:rsidR="00D94020">
        <w:t>)</w:t>
      </w:r>
      <w:r w:rsidR="00802E1F">
        <w:t>, but ne</w:t>
      </w:r>
      <w:r w:rsidR="00F265CE">
        <w:t>ither has yet received funding approval</w:t>
      </w:r>
      <w:r w:rsidR="005C036A">
        <w:t>.</w:t>
      </w:r>
    </w:p>
    <w:p w14:paraId="10555556" w14:textId="2A6BB9B9" w:rsidR="008909F6" w:rsidRDefault="00713103" w:rsidP="00713103">
      <w:proofErr w:type="spellStart"/>
      <w:r>
        <w:t>C</w:t>
      </w:r>
      <w:r w:rsidR="00EA454F">
        <w:t>on</w:t>
      </w:r>
      <w:r w:rsidR="00F016D1">
        <w:t>cizumab</w:t>
      </w:r>
      <w:proofErr w:type="spellEnd"/>
      <w:r w:rsidR="00F016D1">
        <w:t xml:space="preserve"> (</w:t>
      </w:r>
      <w:r w:rsidR="002A14E1">
        <w:t>brand name</w:t>
      </w:r>
      <w:r w:rsidR="00AD6667">
        <w:t xml:space="preserve"> </w:t>
      </w:r>
      <w:proofErr w:type="spellStart"/>
      <w:r w:rsidR="00AD6667">
        <w:t>Alhemo</w:t>
      </w:r>
      <w:proofErr w:type="spellEnd"/>
      <w:r w:rsidR="008727C6">
        <w:t>, developed by Novo Nordisk</w:t>
      </w:r>
      <w:r w:rsidR="00AD6667">
        <w:t>)</w:t>
      </w:r>
      <w:r w:rsidR="005F0E3E">
        <w:t xml:space="preserve"> is a humanised monoclonal antibody</w:t>
      </w:r>
      <w:r w:rsidR="00333B78">
        <w:t xml:space="preserve"> </w:t>
      </w:r>
      <w:r w:rsidR="00765646">
        <w:t xml:space="preserve">administered </w:t>
      </w:r>
      <w:r w:rsidR="001466A7">
        <w:t xml:space="preserve">once </w:t>
      </w:r>
      <w:r w:rsidR="0022642D">
        <w:t>daily</w:t>
      </w:r>
      <w:r w:rsidR="00647E0E">
        <w:t xml:space="preserve">. </w:t>
      </w:r>
      <w:r w:rsidR="00FF4065">
        <w:t>The TGA</w:t>
      </w:r>
      <w:r w:rsidR="004022EF">
        <w:t>-approved</w:t>
      </w:r>
      <w:r w:rsidR="00FF4065">
        <w:t xml:space="preserve"> indication</w:t>
      </w:r>
      <w:r w:rsidR="001D1B77">
        <w:t xml:space="preserve"> (effective 14 January 2025)</w:t>
      </w:r>
      <w:r w:rsidR="00A25D43">
        <w:t xml:space="preserve"> is</w:t>
      </w:r>
      <w:r w:rsidR="008909F6">
        <w:t>:</w:t>
      </w:r>
    </w:p>
    <w:p w14:paraId="1743B814" w14:textId="4F1A481E" w:rsidR="00BD0657" w:rsidRDefault="008909F6" w:rsidP="008909F6">
      <w:pPr>
        <w:ind w:left="567" w:right="521"/>
      </w:pPr>
      <w:r>
        <w:t>‘</w:t>
      </w:r>
      <w:proofErr w:type="spellStart"/>
      <w:r w:rsidR="007C3E9C">
        <w:t>Alhemo</w:t>
      </w:r>
      <w:proofErr w:type="spellEnd"/>
      <w:r w:rsidR="007C3E9C">
        <w:t xml:space="preserve"> is indicated </w:t>
      </w:r>
      <w:r w:rsidR="002F0AA0" w:rsidRPr="002F0AA0">
        <w:t xml:space="preserve">where prophylaxis is required to prevent or reduce the frequency of bleeding in patients at least 12 years of age who have: </w:t>
      </w:r>
      <w:r w:rsidR="00156E76">
        <w:br/>
      </w:r>
      <w:r w:rsidR="00EC1B59">
        <w:rPr>
          <w:rFonts w:ascii="Wingdings" w:eastAsia="Wingdings" w:hAnsi="Wingdings" w:cs="Wingdings"/>
        </w:rPr>
        <w:t>□</w:t>
      </w:r>
      <w:r w:rsidR="00EC1B59">
        <w:t xml:space="preserve"> </w:t>
      </w:r>
      <w:r w:rsidR="00F35DEF">
        <w:t>HM</w:t>
      </w:r>
      <w:r w:rsidR="002F0AA0" w:rsidRPr="002F0AA0">
        <w:t xml:space="preserve">B (congenital FIX deficiency) </w:t>
      </w:r>
      <w:r w:rsidR="00156E76">
        <w:br/>
      </w:r>
      <w:r w:rsidR="00EC1B59">
        <w:rPr>
          <w:rFonts w:ascii="Wingdings" w:eastAsia="Wingdings" w:hAnsi="Wingdings" w:cs="Wingdings"/>
        </w:rPr>
        <w:t>□</w:t>
      </w:r>
      <w:r w:rsidR="00EC1B59">
        <w:t xml:space="preserve"> </w:t>
      </w:r>
      <w:r w:rsidR="00F35DEF">
        <w:t>HM</w:t>
      </w:r>
      <w:r w:rsidR="002F0AA0" w:rsidRPr="002F0AA0">
        <w:t xml:space="preserve">B (congenital FIX deficiency) with FIX inhibitors </w:t>
      </w:r>
      <w:r w:rsidR="00156E76">
        <w:br/>
      </w:r>
      <w:r w:rsidR="00EC1B59">
        <w:rPr>
          <w:rFonts w:ascii="Wingdings" w:eastAsia="Wingdings" w:hAnsi="Wingdings" w:cs="Wingdings"/>
        </w:rPr>
        <w:t>□</w:t>
      </w:r>
      <w:r w:rsidR="00EC1B59">
        <w:t xml:space="preserve"> </w:t>
      </w:r>
      <w:r w:rsidR="00E957AC">
        <w:t>HM</w:t>
      </w:r>
      <w:r w:rsidR="002F0AA0" w:rsidRPr="002F0AA0">
        <w:t xml:space="preserve">A (congenital factor VIII [FVIII] deficiency) </w:t>
      </w:r>
      <w:r w:rsidR="00156E76">
        <w:br/>
      </w:r>
      <w:r w:rsidR="00EC1B59">
        <w:rPr>
          <w:rFonts w:ascii="Wingdings" w:eastAsia="Wingdings" w:hAnsi="Wingdings" w:cs="Wingdings"/>
        </w:rPr>
        <w:t>□</w:t>
      </w:r>
      <w:r w:rsidR="00EC1B59">
        <w:t xml:space="preserve"> </w:t>
      </w:r>
      <w:r w:rsidR="00E957AC">
        <w:t>HM</w:t>
      </w:r>
      <w:r w:rsidR="002F0AA0" w:rsidRPr="002F0AA0">
        <w:t>A (congenital FVIII deficiency) with FVIII inhibitors</w:t>
      </w:r>
      <w:r w:rsidR="004859CA">
        <w:t>.</w:t>
      </w:r>
      <w:r w:rsidR="00804DF9">
        <w:t>’</w:t>
      </w:r>
    </w:p>
    <w:p w14:paraId="7FBE47F1" w14:textId="417BF969" w:rsidR="00567596" w:rsidRDefault="002A14E1" w:rsidP="008909F6">
      <w:proofErr w:type="spellStart"/>
      <w:r>
        <w:t>M</w:t>
      </w:r>
      <w:r w:rsidR="004F3389">
        <w:t>ars</w:t>
      </w:r>
      <w:r w:rsidR="00B66C3E">
        <w:t>tacimab</w:t>
      </w:r>
      <w:proofErr w:type="spellEnd"/>
      <w:r w:rsidR="00B66C3E">
        <w:t xml:space="preserve"> (</w:t>
      </w:r>
      <w:r>
        <w:t>brand name</w:t>
      </w:r>
      <w:r w:rsidR="00667124">
        <w:t xml:space="preserve"> </w:t>
      </w:r>
      <w:proofErr w:type="spellStart"/>
      <w:r w:rsidR="00667124">
        <w:t>Hym</w:t>
      </w:r>
      <w:r w:rsidR="004B0919">
        <w:t>pav</w:t>
      </w:r>
      <w:r w:rsidR="003119E5">
        <w:t>zi</w:t>
      </w:r>
      <w:proofErr w:type="spellEnd"/>
      <w:r w:rsidR="008727C6">
        <w:t>, developed by Pfizer</w:t>
      </w:r>
      <w:r w:rsidR="003119E5">
        <w:t>)</w:t>
      </w:r>
      <w:r w:rsidR="005F0E3E">
        <w:t xml:space="preserve"> is a</w:t>
      </w:r>
      <w:r w:rsidR="000415DD">
        <w:t xml:space="preserve"> fully human monoclonal antibody</w:t>
      </w:r>
      <w:r w:rsidR="00EF2209">
        <w:t xml:space="preserve"> </w:t>
      </w:r>
      <w:r w:rsidR="00606A30">
        <w:t>administered</w:t>
      </w:r>
      <w:r w:rsidR="001466A7">
        <w:t xml:space="preserve"> once</w:t>
      </w:r>
      <w:r w:rsidR="00606A30">
        <w:t xml:space="preserve"> weekly</w:t>
      </w:r>
      <w:r>
        <w:t xml:space="preserve">. </w:t>
      </w:r>
      <w:r w:rsidR="00D94020">
        <w:t>The</w:t>
      </w:r>
      <w:r w:rsidR="008D5EC8">
        <w:t xml:space="preserve"> TGA</w:t>
      </w:r>
      <w:r w:rsidR="004022EF">
        <w:t>-</w:t>
      </w:r>
      <w:r w:rsidR="004022EF" w:rsidRPr="004022EF">
        <w:t xml:space="preserve"> </w:t>
      </w:r>
      <w:r w:rsidR="004022EF">
        <w:t>approved</w:t>
      </w:r>
      <w:r w:rsidR="008D5EC8">
        <w:t xml:space="preserve"> </w:t>
      </w:r>
      <w:r w:rsidR="004022EF">
        <w:t>indication</w:t>
      </w:r>
      <w:r w:rsidR="00E957AC">
        <w:t xml:space="preserve"> </w:t>
      </w:r>
      <w:r w:rsidR="008D5EC8">
        <w:t xml:space="preserve">(effective </w:t>
      </w:r>
      <w:r w:rsidR="00A40F87">
        <w:t>18 February</w:t>
      </w:r>
      <w:r w:rsidR="008D5EC8">
        <w:t xml:space="preserve"> 2025)</w:t>
      </w:r>
      <w:r w:rsidR="00E957AC">
        <w:t xml:space="preserve"> is</w:t>
      </w:r>
      <w:r w:rsidR="00567596">
        <w:t>:</w:t>
      </w:r>
      <w:r w:rsidR="0014104A">
        <w:t xml:space="preserve"> </w:t>
      </w:r>
    </w:p>
    <w:p w14:paraId="54075C37" w14:textId="28E3E963" w:rsidR="00AD6667" w:rsidRPr="009C3717" w:rsidRDefault="00567596" w:rsidP="00C616FF">
      <w:pPr>
        <w:ind w:left="567" w:right="521"/>
      </w:pPr>
      <w:r>
        <w:t>‘</w:t>
      </w:r>
      <w:proofErr w:type="spellStart"/>
      <w:r w:rsidR="00F35DEF">
        <w:t>Hympavzi</w:t>
      </w:r>
      <w:proofErr w:type="spellEnd"/>
      <w:r w:rsidR="00F35DEF">
        <w:t xml:space="preserve"> is indicated </w:t>
      </w:r>
      <w:r w:rsidR="008909F6">
        <w:t xml:space="preserve">for routine prophylaxis of bleeding episodes in patients 12 years </w:t>
      </w:r>
      <w:r w:rsidR="00A40F87">
        <w:t xml:space="preserve">of age </w:t>
      </w:r>
      <w:r w:rsidR="008909F6">
        <w:t>and older with:</w:t>
      </w:r>
      <w:r w:rsidR="00C616FF">
        <w:br/>
      </w:r>
      <w:r w:rsidR="00641290">
        <w:rPr>
          <w:rFonts w:ascii="Wingdings" w:eastAsia="Wingdings" w:hAnsi="Wingdings" w:cs="Wingdings"/>
        </w:rPr>
        <w:t>□</w:t>
      </w:r>
      <w:r w:rsidR="00641290">
        <w:t xml:space="preserve"> </w:t>
      </w:r>
      <w:r w:rsidR="004A67C0">
        <w:t>s</w:t>
      </w:r>
      <w:r w:rsidR="008909F6">
        <w:t xml:space="preserve">evere </w:t>
      </w:r>
      <w:r w:rsidR="00E957AC">
        <w:t>HM</w:t>
      </w:r>
      <w:r w:rsidR="008909F6">
        <w:t xml:space="preserve">A (congenital </w:t>
      </w:r>
      <w:r w:rsidR="004A67C0">
        <w:t>F</w:t>
      </w:r>
      <w:r w:rsidR="008909F6">
        <w:t xml:space="preserve">VIII deficiency, FVIII &lt;1%) without </w:t>
      </w:r>
      <w:r w:rsidR="00D521AE">
        <w:t>F</w:t>
      </w:r>
      <w:r w:rsidR="008909F6">
        <w:t>VIII inhibitors</w:t>
      </w:r>
      <w:r w:rsidR="00C616FF">
        <w:br/>
      </w:r>
      <w:r w:rsidR="00641290">
        <w:rPr>
          <w:rFonts w:ascii="Wingdings" w:eastAsia="Wingdings" w:hAnsi="Wingdings" w:cs="Wingdings"/>
        </w:rPr>
        <w:t>□</w:t>
      </w:r>
      <w:r w:rsidR="00641290">
        <w:t xml:space="preserve"> </w:t>
      </w:r>
      <w:r w:rsidR="00307DE5">
        <w:t>s</w:t>
      </w:r>
      <w:r w:rsidR="008909F6">
        <w:t xml:space="preserve">evere </w:t>
      </w:r>
      <w:r w:rsidR="00E957AC">
        <w:t>HM</w:t>
      </w:r>
      <w:r w:rsidR="008909F6">
        <w:t xml:space="preserve">B (congenital </w:t>
      </w:r>
      <w:r w:rsidR="00307DE5">
        <w:t>F</w:t>
      </w:r>
      <w:r w:rsidR="008909F6">
        <w:t xml:space="preserve">IX deficiency, FIX &lt;1%) without </w:t>
      </w:r>
      <w:r w:rsidR="00D521AE">
        <w:t>F</w:t>
      </w:r>
      <w:r w:rsidR="008909F6">
        <w:t>IX inhibitors</w:t>
      </w:r>
      <w:r w:rsidR="004859CA">
        <w:t>.</w:t>
      </w:r>
      <w:r w:rsidR="004108D0">
        <w:t>’</w:t>
      </w:r>
    </w:p>
    <w:p w14:paraId="6E40E8F2" w14:textId="22230EE6" w:rsidR="00037302" w:rsidRDefault="00037302" w:rsidP="003758CD">
      <w:pPr>
        <w:pStyle w:val="Heading2"/>
        <w:numPr>
          <w:ilvl w:val="0"/>
          <w:numId w:val="28"/>
        </w:numPr>
      </w:pPr>
      <w:bookmarkStart w:id="65" w:name="_Toc69491428"/>
      <w:r>
        <w:t>Committee-</w:t>
      </w:r>
      <w:r w:rsidR="00487C85">
        <w:t>i</w:t>
      </w:r>
      <w:r>
        <w:t>n-</w:t>
      </w:r>
      <w:r w:rsidR="00487C85">
        <w:t>c</w:t>
      </w:r>
      <w:r>
        <w:t>onfidence information</w:t>
      </w:r>
      <w:bookmarkEnd w:id="65"/>
    </w:p>
    <w:p w14:paraId="7FD88A74" w14:textId="199260BE" w:rsidR="00C7311B" w:rsidRPr="00263BA8" w:rsidRDefault="00C7311B" w:rsidP="001E0E68">
      <w:pPr>
        <w:rPr>
          <w:b/>
          <w:bCs/>
        </w:rPr>
      </w:pPr>
      <w:r w:rsidRPr="00263BA8">
        <w:rPr>
          <w:b/>
          <w:bCs/>
        </w:rPr>
        <w:t>Redacted.</w:t>
      </w:r>
    </w:p>
    <w:p w14:paraId="39D09AEB" w14:textId="77777777" w:rsidR="005400A4" w:rsidRPr="00A737D1" w:rsidRDefault="005400A4" w:rsidP="003758CD">
      <w:pPr>
        <w:pStyle w:val="Heading2"/>
        <w:numPr>
          <w:ilvl w:val="0"/>
          <w:numId w:val="28"/>
        </w:numPr>
      </w:pPr>
      <w:bookmarkStart w:id="66" w:name="_Toc145678765"/>
      <w:bookmarkStart w:id="67" w:name="_Toc150172410"/>
      <w:bookmarkStart w:id="68" w:name="_Toc153462785"/>
      <w:r w:rsidRPr="003A793E">
        <w:lastRenderedPageBreak/>
        <w:t>Key issues from ESC to MSAC</w:t>
      </w:r>
    </w:p>
    <w:bookmarkEnd w:id="66"/>
    <w:bookmarkEnd w:id="67"/>
    <w:bookmarkEnd w:id="68"/>
    <w:p w14:paraId="185A0BB8" w14:textId="77777777" w:rsidR="00A57DC0" w:rsidRPr="002A21A6" w:rsidRDefault="00A57DC0" w:rsidP="00A57DC0">
      <w:pPr>
        <w:pStyle w:val="BoxName0"/>
      </w:pPr>
      <w:r w:rsidRPr="002A21A6">
        <w:t>Main issues for MSAC consideration</w:t>
      </w:r>
    </w:p>
    <w:p w14:paraId="51805C19" w14:textId="77777777" w:rsidR="00A57DC0" w:rsidRPr="002A21A6" w:rsidRDefault="00A57DC0" w:rsidP="00A57DC0">
      <w:pPr>
        <w:pStyle w:val="BoxName0"/>
      </w:pPr>
      <w:r w:rsidRPr="002A21A6">
        <w:t>Clinical issues:</w:t>
      </w:r>
    </w:p>
    <w:p w14:paraId="445A0525" w14:textId="77777777" w:rsidR="00A57DC0" w:rsidRPr="002A21A6" w:rsidRDefault="00A57DC0" w:rsidP="00A57DC0">
      <w:pPr>
        <w:pStyle w:val="BoxBullet"/>
        <w:numPr>
          <w:ilvl w:val="0"/>
          <w:numId w:val="0"/>
        </w:numPr>
        <w:rPr>
          <w:i/>
          <w:iCs/>
        </w:rPr>
      </w:pPr>
      <w:r w:rsidRPr="002A21A6">
        <w:rPr>
          <w:i/>
          <w:iCs/>
        </w:rPr>
        <w:t xml:space="preserve">Anti-AAV5 </w:t>
      </w:r>
      <w:proofErr w:type="spellStart"/>
      <w:r w:rsidRPr="002A21A6">
        <w:rPr>
          <w:i/>
          <w:iCs/>
        </w:rPr>
        <w:t>NAb</w:t>
      </w:r>
      <w:proofErr w:type="spellEnd"/>
      <w:r w:rsidRPr="002A21A6">
        <w:rPr>
          <w:i/>
          <w:iCs/>
        </w:rPr>
        <w:t xml:space="preserve"> testing:</w:t>
      </w:r>
    </w:p>
    <w:p w14:paraId="4C844305" w14:textId="77777777" w:rsidR="00A57DC0" w:rsidRPr="002A21A6" w:rsidRDefault="00A57DC0" w:rsidP="00A57DC0">
      <w:pPr>
        <w:pStyle w:val="BoxBullet"/>
        <w:rPr>
          <w:b/>
          <w:bCs/>
        </w:rPr>
      </w:pPr>
      <w:r w:rsidRPr="002A21A6">
        <w:t>No reference standard is currently available to determine the accuracy of the anti-adeno-associated virus type 5 (anti-AAV5) neutralising antibodies (</w:t>
      </w:r>
      <w:proofErr w:type="spellStart"/>
      <w:r w:rsidRPr="002A21A6">
        <w:t>NAb</w:t>
      </w:r>
      <w:proofErr w:type="spellEnd"/>
      <w:r w:rsidRPr="002A21A6">
        <w:t xml:space="preserve">) assay. The 7-point anti-AAV5 </w:t>
      </w:r>
      <w:proofErr w:type="spellStart"/>
      <w:r w:rsidRPr="002A21A6">
        <w:t>NAb</w:t>
      </w:r>
      <w:proofErr w:type="spellEnd"/>
      <w:r w:rsidRPr="002A21A6">
        <w:t xml:space="preserve"> assay (used in the HOPE-B study) and the 9-point anti-AAV5 </w:t>
      </w:r>
      <w:proofErr w:type="spellStart"/>
      <w:r w:rsidRPr="002A21A6">
        <w:t>NAb</w:t>
      </w:r>
      <w:proofErr w:type="spellEnd"/>
      <w:r w:rsidRPr="002A21A6">
        <w:t xml:space="preserve"> assay (proposed in this application) differ only by the number of dilution points. Limited data on the correlation between the 7-point and 9-point assay were reported, but data are unpublished and were not provided. Likewise, limited data on the precision and reproducibility of the 9-point assay were described but not provided. The appropriateness of the proposed 1:900 titre threshold with the 9-point assay is currently unclear. There is an evidence gap for patients with titres between 1:900 to 1:4417 on the 9-point assay (corresponding to 1:700 and 1:3212 in the 7-point assay), and such patients may be excluded inappropriately. </w:t>
      </w:r>
    </w:p>
    <w:p w14:paraId="090BE3D9" w14:textId="77777777" w:rsidR="00A57DC0" w:rsidRPr="002A21A6" w:rsidRDefault="00A57DC0" w:rsidP="00A57DC0">
      <w:pPr>
        <w:pStyle w:val="BoxBullet"/>
        <w:rPr>
          <w:b/>
          <w:bCs/>
        </w:rPr>
      </w:pPr>
      <w:r w:rsidRPr="002A21A6">
        <w:t xml:space="preserve">Although the applicant described </w:t>
      </w:r>
      <w:proofErr w:type="spellStart"/>
      <w:r w:rsidRPr="002A21A6">
        <w:t>NAb</w:t>
      </w:r>
      <w:proofErr w:type="spellEnd"/>
      <w:r w:rsidRPr="002A21A6">
        <w:t xml:space="preserve"> testing as a complementary tool, its role in determining eligibility suggests functional co-dependency. Given its clinical use in selecting patients, ESC considered that a co-dependent assessment may be warranted, but the evidence presented in the ADAR does not allow such an assessment. </w:t>
      </w:r>
    </w:p>
    <w:p w14:paraId="2830A4D2" w14:textId="77777777" w:rsidR="00A57DC0" w:rsidRPr="002A21A6" w:rsidRDefault="00A57DC0" w:rsidP="00A57DC0">
      <w:pPr>
        <w:pStyle w:val="BoxBullet"/>
        <w:rPr>
          <w:b/>
          <w:bCs/>
        </w:rPr>
      </w:pPr>
      <w:r w:rsidRPr="002A21A6">
        <w:t>ESC expressed concern that the uncertain performance of the assay could lead to misclassification. False positive results indicating titres above the 1:900 could inappropriately exclude patients from treatment. False-negative results indicating titres below the 1:900 threshold could expose patient to treatment emergent adverse events (TEAEs) without meaningful clinical gain.</w:t>
      </w:r>
    </w:p>
    <w:p w14:paraId="6D2FCD79" w14:textId="77777777" w:rsidR="00A57DC0" w:rsidRPr="002A21A6" w:rsidRDefault="00A57DC0" w:rsidP="00A57DC0">
      <w:pPr>
        <w:pStyle w:val="BoxBullet"/>
        <w:rPr>
          <w:b/>
          <w:bCs/>
        </w:rPr>
      </w:pPr>
      <w:r w:rsidRPr="002A21A6">
        <w:t xml:space="preserve">Patients with high baseline anti-AAV5 </w:t>
      </w:r>
      <w:proofErr w:type="spellStart"/>
      <w:r w:rsidRPr="002A21A6">
        <w:t>NAb</w:t>
      </w:r>
      <w:proofErr w:type="spellEnd"/>
      <w:r w:rsidRPr="002A21A6">
        <w:t xml:space="preserve"> titres had lower FIX activity across all timepoints compared to patients with low titres, however, the evidence does not clearly support baseline Nab titre as a reliable predictor of treatment response. There appeared to be a difference in annualised bleeding rate between </w:t>
      </w:r>
      <w:proofErr w:type="spellStart"/>
      <w:r w:rsidRPr="002A21A6">
        <w:t>NAb</w:t>
      </w:r>
      <w:proofErr w:type="spellEnd"/>
      <w:r w:rsidRPr="002A21A6">
        <w:t xml:space="preserve"> positive and negative subgroups, but it was not reported if this was statistically significant.</w:t>
      </w:r>
    </w:p>
    <w:p w14:paraId="5DEA9C35" w14:textId="77777777" w:rsidR="00A57DC0" w:rsidRPr="002A21A6" w:rsidRDefault="00A57DC0" w:rsidP="00A57DC0">
      <w:pPr>
        <w:pStyle w:val="BoxBullet"/>
        <w:numPr>
          <w:ilvl w:val="0"/>
          <w:numId w:val="0"/>
        </w:numPr>
        <w:rPr>
          <w:i/>
          <w:iCs/>
        </w:rPr>
      </w:pPr>
      <w:r w:rsidRPr="002A21A6">
        <w:rPr>
          <w:i/>
          <w:iCs/>
        </w:rPr>
        <w:t>Etranacogene dezaparvovec treatment:</w:t>
      </w:r>
    </w:p>
    <w:p w14:paraId="0C7783D6" w14:textId="0BC8BAB4" w:rsidR="00A57DC0" w:rsidRPr="002A21A6" w:rsidRDefault="00A57DC0" w:rsidP="00A57DC0">
      <w:pPr>
        <w:pStyle w:val="BoxBullet"/>
        <w:rPr>
          <w:b/>
          <w:bCs/>
        </w:rPr>
      </w:pPr>
      <w:r w:rsidRPr="002A21A6">
        <w:t>MSAC previously requested longer-term clinical evidence for etranacogene dezaparvovec (</w:t>
      </w:r>
      <w:r w:rsidR="00F2219A" w:rsidRPr="002A21A6">
        <w:t>ED</w:t>
      </w:r>
      <w:r w:rsidRPr="002A21A6">
        <w:t xml:space="preserve">) in Haemophilia B (HMB). The applicant has supplied data for one additional year (i.e., a total of 4 years post-treatment) in this reapplication. The additional follow-up data (i.e. from 36 months to 48 months) from the 54 patients in the HOPE-B study showed sustained efficacy, including stable annualised bleeding rates, stable endogenous FIX activity, and reduced FIX usage. However, the durability of effect beyond 4 years remains unknown. The longer-term data (5-year and 15-year extension studies) are not yet available, and the single-arm design and small sample size limit interpretation of long-term safety and effectiveness. </w:t>
      </w:r>
    </w:p>
    <w:p w14:paraId="60094F67" w14:textId="77777777" w:rsidR="00A57DC0" w:rsidRPr="002A21A6" w:rsidRDefault="00A57DC0" w:rsidP="00A57DC0">
      <w:pPr>
        <w:pStyle w:val="BoxBullet"/>
        <w:rPr>
          <w:b/>
          <w:bCs/>
        </w:rPr>
      </w:pPr>
      <w:r w:rsidRPr="002A21A6">
        <w:t>The economic model may overestimate the true treatment effect due to under-representation of patients with poor or no response. While most participants achieved mild or non-haemophiliac status, some continued to bleed despite elevated FIX activity, indicating variability in treatment response.</w:t>
      </w:r>
    </w:p>
    <w:p w14:paraId="60381821" w14:textId="77777777" w:rsidR="00A57DC0" w:rsidRPr="002A21A6" w:rsidRDefault="00A57DC0" w:rsidP="00A57DC0">
      <w:pPr>
        <w:pStyle w:val="BoxBullet"/>
        <w:rPr>
          <w:b/>
          <w:bCs/>
        </w:rPr>
      </w:pPr>
      <w:r w:rsidRPr="002A21A6">
        <w:t xml:space="preserve">Some patients continued to bleed post-treatment. Subgroup differences by ancestry and liver steatosis were suggested in the forest plot for Annualised Bleed Rate (ABR) at 48 months presented in the ADAR. Possible effect modification by these patient characteristics was not explored in the ADAR, creating uncertainty as to whether the treatment is effective in all potential subgroups of the clinical population. </w:t>
      </w:r>
    </w:p>
    <w:p w14:paraId="6302918A" w14:textId="77777777" w:rsidR="00A57DC0" w:rsidRPr="002A21A6" w:rsidRDefault="00A57DC0" w:rsidP="00A57DC0">
      <w:pPr>
        <w:pStyle w:val="BoxBullet"/>
        <w:rPr>
          <w:b/>
          <w:bCs/>
        </w:rPr>
      </w:pPr>
      <w:r w:rsidRPr="002A21A6">
        <w:lastRenderedPageBreak/>
        <w:t xml:space="preserve">ESC advised that including a ratio of annualised FIX infusion rate (AIR) (pre- vs post-treatment) alongside ABR could serve as an additional treatment response measure to aid with decision-making. </w:t>
      </w:r>
    </w:p>
    <w:p w14:paraId="74963605" w14:textId="77777777" w:rsidR="00A57DC0" w:rsidRPr="002A21A6" w:rsidRDefault="00A57DC0" w:rsidP="00A57DC0">
      <w:pPr>
        <w:pStyle w:val="BoxHeading"/>
      </w:pPr>
      <w:r w:rsidRPr="002A21A6">
        <w:t>Economic issues:</w:t>
      </w:r>
    </w:p>
    <w:p w14:paraId="41A34452" w14:textId="31296791" w:rsidR="00A57DC0" w:rsidRPr="002A21A6" w:rsidRDefault="00A57DC0" w:rsidP="00A57DC0">
      <w:pPr>
        <w:pStyle w:val="BoxBullet"/>
      </w:pPr>
      <w:r w:rsidRPr="002A21A6">
        <w:t>The revised economic model has a structure that includes health states related to natural history, addresses ESC’s previous concerns in regarding the extrapolation and threshold for FIX % activity, and has a reduced time horizon (from 25 years to 15 years). However, the 15-year time horizon was not well justified, and the assumptions of long-term treatment durability were not well-supported. ESC advised that a 10-year horizon is preferred</w:t>
      </w:r>
      <w:r w:rsidRPr="002A21A6">
        <w:rPr>
          <w:b/>
          <w:bCs/>
        </w:rPr>
        <w:t xml:space="preserve"> </w:t>
      </w:r>
      <w:r w:rsidR="00125DC0" w:rsidRPr="002A21A6">
        <w:rPr>
          <w:b/>
          <w:bCs/>
        </w:rPr>
        <w:t>redacted</w:t>
      </w:r>
      <w:r w:rsidRPr="002A21A6">
        <w:t>.</w:t>
      </w:r>
    </w:p>
    <w:p w14:paraId="2F80C3D9" w14:textId="7FEC8AD4" w:rsidR="00A57DC0" w:rsidRPr="002A21A6" w:rsidRDefault="00A57DC0" w:rsidP="00A57DC0">
      <w:pPr>
        <w:pStyle w:val="BoxBullet"/>
      </w:pPr>
      <w:r w:rsidRPr="002A21A6">
        <w:t xml:space="preserve">The proposed price of </w:t>
      </w:r>
      <w:r w:rsidR="00860DF3" w:rsidRPr="002A21A6">
        <w:t>ED</w:t>
      </w:r>
      <w:r w:rsidRPr="002A21A6">
        <w:t xml:space="preserve"> is over $</w:t>
      </w:r>
      <w:r w:rsidR="007F682F" w:rsidRPr="002A21A6">
        <w:rPr>
          <w:b/>
          <w:bCs/>
        </w:rPr>
        <w:t>redacted</w:t>
      </w:r>
      <w:r w:rsidRPr="002A21A6">
        <w:t xml:space="preserve"> per patient, which ESC advised is high relative to the uncertain long-term benefits and minimal additional QALY gains. The incremental cost-effectiveness ratios (ICERs) were extremely high at 4 years ($</w:t>
      </w:r>
      <w:r w:rsidR="007F682F" w:rsidRPr="002A21A6">
        <w:rPr>
          <w:b/>
          <w:bCs/>
        </w:rPr>
        <w:t>redacted</w:t>
      </w:r>
      <w:r w:rsidR="007F682F" w:rsidRPr="002A21A6">
        <w:t xml:space="preserve"> </w:t>
      </w:r>
      <w:r w:rsidRPr="002A21A6">
        <w:t>per QALY gained), reduced at 10 years ($</w:t>
      </w:r>
      <w:r w:rsidR="007F682F" w:rsidRPr="002A21A6">
        <w:rPr>
          <w:b/>
          <w:bCs/>
        </w:rPr>
        <w:t>redacted</w:t>
      </w:r>
      <w:r w:rsidRPr="002A21A6">
        <w:t xml:space="preserve"> per QALY gained), and dominant (-$</w:t>
      </w:r>
      <w:r w:rsidR="007F682F" w:rsidRPr="002A21A6">
        <w:rPr>
          <w:b/>
          <w:bCs/>
        </w:rPr>
        <w:t>redacted</w:t>
      </w:r>
      <w:r w:rsidRPr="002A21A6">
        <w:t xml:space="preserve"> per QALY gained) at 15 years. However, ESC noted that these ICERs are uncertain due to limited clinical inputs, outdated health state proportion data, and exclusion of non-responders from FIX activity analysis, likely overstating treatment effectiveness. The model omitted several relevant costs such as imaging, long-term monitoring and consultations which would lead to underestimated total costs.  </w:t>
      </w:r>
    </w:p>
    <w:p w14:paraId="79E62F4D" w14:textId="45293B89" w:rsidR="00A57DC0" w:rsidRPr="002A21A6" w:rsidRDefault="00A57DC0" w:rsidP="00A57DC0">
      <w:pPr>
        <w:pStyle w:val="BoxBullet"/>
      </w:pPr>
      <w:r w:rsidRPr="002A21A6">
        <w:t xml:space="preserve">ESC requested the assessment group undertake additional analysis to estimate a price for </w:t>
      </w:r>
      <w:r w:rsidR="00860DF3" w:rsidRPr="002A21A6">
        <w:t xml:space="preserve">ED </w:t>
      </w:r>
      <w:r w:rsidRPr="002A21A6">
        <w:t xml:space="preserve">that would be cost neutral at 10 years. Subsequently, the assessment group produced an Addendum. Using the HOPE-B study data and the ADAR FIX replacement therapy prices, the price of </w:t>
      </w:r>
      <w:r w:rsidR="00860DF3" w:rsidRPr="002A21A6">
        <w:t xml:space="preserve">ED </w:t>
      </w:r>
      <w:r w:rsidRPr="002A21A6">
        <w:t>would need to be reduced from the proposed $</w:t>
      </w:r>
      <w:r w:rsidR="002315F9" w:rsidRPr="002A21A6">
        <w:rPr>
          <w:b/>
          <w:bCs/>
        </w:rPr>
        <w:t>redacted</w:t>
      </w:r>
      <w:r w:rsidRPr="002A21A6">
        <w:t xml:space="preserve"> to $</w:t>
      </w:r>
      <w:r w:rsidR="002315F9" w:rsidRPr="002A21A6">
        <w:rPr>
          <w:b/>
          <w:bCs/>
        </w:rPr>
        <w:t>redacted</w:t>
      </w:r>
      <w:r w:rsidRPr="002A21A6">
        <w:t xml:space="preserve"> to achieve cost neutrality at 10 years. If current FIX replacement therapy prices were used instead, the price of </w:t>
      </w:r>
      <w:r w:rsidR="00860DF3" w:rsidRPr="002A21A6">
        <w:t xml:space="preserve">ED </w:t>
      </w:r>
      <w:r w:rsidRPr="002A21A6">
        <w:t xml:space="preserve">would need to be further reduced to </w:t>
      </w:r>
      <w:r w:rsidRPr="002A21A6">
        <w:rPr>
          <w:b/>
          <w:bCs/>
        </w:rPr>
        <w:t>$</w:t>
      </w:r>
      <w:r w:rsidR="00142A32" w:rsidRPr="002A21A6">
        <w:rPr>
          <w:b/>
          <w:bCs/>
        </w:rPr>
        <w:t>redacted</w:t>
      </w:r>
      <w:r w:rsidRPr="002A21A6">
        <w:t>. Incorporating both current FIX prices and adjusted annualised FIX consumption (AFC) based on unpublished ABDR 2023-24 data, the cost neutral price would need to be further reduced to $</w:t>
      </w:r>
      <w:r w:rsidR="0019182B" w:rsidRPr="002A21A6">
        <w:rPr>
          <w:b/>
          <w:bCs/>
        </w:rPr>
        <w:t>redacted</w:t>
      </w:r>
      <w:r w:rsidRPr="002A21A6">
        <w:t xml:space="preserve">. </w:t>
      </w:r>
    </w:p>
    <w:p w14:paraId="0EB18427" w14:textId="77777777" w:rsidR="00A57DC0" w:rsidRPr="002A21A6" w:rsidRDefault="00A57DC0" w:rsidP="00A57DC0">
      <w:pPr>
        <w:pStyle w:val="BoxBullet"/>
        <w:numPr>
          <w:ilvl w:val="0"/>
          <w:numId w:val="0"/>
        </w:numPr>
        <w:rPr>
          <w:b/>
          <w:bCs/>
        </w:rPr>
      </w:pPr>
      <w:r w:rsidRPr="002A21A6">
        <w:rPr>
          <w:b/>
          <w:bCs/>
        </w:rPr>
        <w:t>Financial issues:</w:t>
      </w:r>
    </w:p>
    <w:p w14:paraId="4B27844A" w14:textId="59DDE00B" w:rsidR="00A57DC0" w:rsidRPr="002A21A6" w:rsidRDefault="00A57DC0" w:rsidP="00A57DC0">
      <w:pPr>
        <w:pStyle w:val="BoxBullet"/>
      </w:pPr>
      <w:r w:rsidRPr="002A21A6">
        <w:t xml:space="preserve">The actual uptake of gene therapy in patients with HMB remains uncertain. As of late 2024, only </w:t>
      </w:r>
      <w:r w:rsidR="00C360B1" w:rsidRPr="002A21A6">
        <w:rPr>
          <w:b/>
          <w:bCs/>
        </w:rPr>
        <w:t>redacted</w:t>
      </w:r>
      <w:r w:rsidRPr="002A21A6">
        <w:t xml:space="preserve"> patients had received </w:t>
      </w:r>
      <w:r w:rsidR="00860DF3" w:rsidRPr="002A21A6">
        <w:t xml:space="preserve">ED </w:t>
      </w:r>
      <w:r w:rsidRPr="002A21A6">
        <w:t>globally, with low uptake attributed to system barriers, RSA monitoring requirements, and the availability of effective therapy with FIX.</w:t>
      </w:r>
    </w:p>
    <w:p w14:paraId="460AE698" w14:textId="77777777" w:rsidR="00A57DC0" w:rsidRPr="002A21A6" w:rsidRDefault="00A57DC0" w:rsidP="00A57DC0">
      <w:pPr>
        <w:pStyle w:val="BoxHeading"/>
      </w:pPr>
      <w:r w:rsidRPr="002A21A6">
        <w:t>Other relevant information:</w:t>
      </w:r>
    </w:p>
    <w:p w14:paraId="2B3D3BA6" w14:textId="750E68D9" w:rsidR="00A57DC0" w:rsidRPr="002A21A6" w:rsidRDefault="00860DF3" w:rsidP="00A57DC0">
      <w:pPr>
        <w:pStyle w:val="BoxBullet"/>
      </w:pPr>
      <w:r w:rsidRPr="002A21A6">
        <w:t>ED</w:t>
      </w:r>
      <w:r w:rsidR="00A57DC0" w:rsidRPr="002A21A6">
        <w:t xml:space="preserve"> has been granted provisional registration by the Therapeutic Goods Administration (TGA) and is due to be reviewed by the TGA in 2026.  </w:t>
      </w:r>
    </w:p>
    <w:p w14:paraId="67260E64" w14:textId="31938E16" w:rsidR="00A57DC0" w:rsidRPr="002A21A6" w:rsidRDefault="00A57DC0" w:rsidP="00A57DC0">
      <w:pPr>
        <w:pStyle w:val="BoxBullet"/>
      </w:pPr>
      <w:r w:rsidRPr="002A21A6">
        <w:t xml:space="preserve">The applicant proposed a </w:t>
      </w:r>
      <w:r w:rsidR="00EE37C8" w:rsidRPr="002A21A6">
        <w:rPr>
          <w:b/>
          <w:bCs/>
        </w:rPr>
        <w:t>redacted</w:t>
      </w:r>
      <w:r w:rsidRPr="002A21A6">
        <w:t>% price reduction (from $</w:t>
      </w:r>
      <w:r w:rsidR="00EE37C8" w:rsidRPr="002A21A6">
        <w:rPr>
          <w:b/>
          <w:bCs/>
        </w:rPr>
        <w:t>redacted</w:t>
      </w:r>
      <w:r w:rsidRPr="002A21A6">
        <w:t xml:space="preserve"> to $</w:t>
      </w:r>
      <w:r w:rsidR="00EE37C8" w:rsidRPr="002A21A6">
        <w:rPr>
          <w:b/>
          <w:bCs/>
        </w:rPr>
        <w:t>redacted</w:t>
      </w:r>
      <w:r w:rsidRPr="002A21A6">
        <w:t xml:space="preserve">), </w:t>
      </w:r>
      <w:r w:rsidR="00EE37C8" w:rsidRPr="002A21A6">
        <w:rPr>
          <w:b/>
          <w:bCs/>
        </w:rPr>
        <w:t>redacted</w:t>
      </w:r>
      <w:r w:rsidRPr="002A21A6">
        <w:rPr>
          <w:b/>
          <w:bCs/>
        </w:rPr>
        <w:t>.</w:t>
      </w:r>
    </w:p>
    <w:p w14:paraId="3A031049" w14:textId="78C448DE" w:rsidR="00A57DC0" w:rsidRPr="002A21A6" w:rsidRDefault="00A57DC0" w:rsidP="00A57DC0">
      <w:pPr>
        <w:pStyle w:val="BoxBullet"/>
      </w:pPr>
      <w:r w:rsidRPr="002A21A6">
        <w:t>ESC advised that the proposed RSA presents implementation challenges and contains language open to interpretation. ESC agreed with the suggestions in the commentary on how the RSA terms could be refined and advised that any formal RSA be based on the Deed of Agreement template</w:t>
      </w:r>
      <w:r w:rsidRPr="002A21A6">
        <w:rPr>
          <w:rStyle w:val="FootnoteReference"/>
        </w:rPr>
        <w:footnoteReference w:id="8"/>
      </w:r>
      <w:r w:rsidRPr="002A21A6">
        <w:t xml:space="preserve"> refined by the department for the PBS over many years.    </w:t>
      </w:r>
    </w:p>
    <w:p w14:paraId="229480F6" w14:textId="18AE569B" w:rsidR="00A57DC0" w:rsidRPr="002A21A6" w:rsidRDefault="00A57DC0" w:rsidP="00A57DC0">
      <w:pPr>
        <w:pStyle w:val="BoxBullet"/>
        <w:rPr>
          <w:b/>
          <w:bCs/>
        </w:rPr>
      </w:pPr>
      <w:r w:rsidRPr="002A21A6">
        <w:t xml:space="preserve">ESC advised that the proposed </w:t>
      </w:r>
      <w:r w:rsidRPr="002A21A6">
        <w:rPr>
          <w:b/>
          <w:bCs/>
        </w:rPr>
        <w:t>re</w:t>
      </w:r>
      <w:r w:rsidR="00805145" w:rsidRPr="002A21A6">
        <w:rPr>
          <w:b/>
          <w:bCs/>
        </w:rPr>
        <w:t>dacted</w:t>
      </w:r>
      <w:r w:rsidRPr="002A21A6">
        <w:t>.</w:t>
      </w:r>
    </w:p>
    <w:p w14:paraId="362418F0" w14:textId="0FC2FA5A" w:rsidR="00A57DC0" w:rsidRPr="002A21A6" w:rsidRDefault="00A57DC0" w:rsidP="00A57DC0">
      <w:pPr>
        <w:pStyle w:val="BoxBullet"/>
        <w:rPr>
          <w:b/>
          <w:bCs/>
        </w:rPr>
      </w:pPr>
      <w:r w:rsidRPr="002A21A6">
        <w:rPr>
          <w:b/>
          <w:bCs/>
        </w:rPr>
        <w:t>R</w:t>
      </w:r>
      <w:r w:rsidR="00656DE6" w:rsidRPr="002A21A6">
        <w:rPr>
          <w:b/>
          <w:bCs/>
        </w:rPr>
        <w:t>edacted</w:t>
      </w:r>
      <w:r w:rsidRPr="002A21A6">
        <w:t xml:space="preserve">. </w:t>
      </w:r>
    </w:p>
    <w:p w14:paraId="0861AD99" w14:textId="77777777" w:rsidR="000A0B14" w:rsidRDefault="000A0B14" w:rsidP="001A4A3B">
      <w:pPr>
        <w:rPr>
          <w:rStyle w:val="Strong"/>
        </w:rPr>
      </w:pPr>
    </w:p>
    <w:p w14:paraId="736A0D92" w14:textId="2874154B" w:rsidR="001A4A3B" w:rsidRDefault="001A4A3B" w:rsidP="00B66744">
      <w:pPr>
        <w:keepNext/>
        <w:keepLines/>
        <w:rPr>
          <w:rStyle w:val="Strong"/>
        </w:rPr>
      </w:pPr>
      <w:r w:rsidRPr="00194327">
        <w:rPr>
          <w:rStyle w:val="Strong"/>
        </w:rPr>
        <w:lastRenderedPageBreak/>
        <w:t>ESC discussion</w:t>
      </w:r>
    </w:p>
    <w:p w14:paraId="46979479" w14:textId="77777777" w:rsidR="001A4A3B" w:rsidRDefault="001A4A3B" w:rsidP="00B66744">
      <w:pPr>
        <w:keepNext/>
        <w:keepLines/>
      </w:pPr>
      <w:r>
        <w:t>ESC noted that this re-application application from CSL Behring requested public funding through the National Blood Agreement for etranacogene dezaparvovec (</w:t>
      </w:r>
      <w:proofErr w:type="spellStart"/>
      <w:r>
        <w:t>Hemgenix</w:t>
      </w:r>
      <w:proofErr w:type="spellEnd"/>
      <w:r>
        <w:t>®) infusion, a gene therapy for the treatment of moderately severe and severe congenital haemophilia B (</w:t>
      </w:r>
      <w:proofErr w:type="spellStart"/>
      <w:r>
        <w:t>cHMB</w:t>
      </w:r>
      <w:proofErr w:type="spellEnd"/>
      <w:r>
        <w:t xml:space="preserve">). </w:t>
      </w:r>
      <w:proofErr w:type="spellStart"/>
      <w:r>
        <w:t>cHMB</w:t>
      </w:r>
      <w:proofErr w:type="spellEnd"/>
      <w:r>
        <w:t xml:space="preserve"> is a rare, X-linked recessive bleeding disorder that results in reduced levels of clotting factor IX (FIX). </w:t>
      </w:r>
    </w:p>
    <w:p w14:paraId="4027B84E" w14:textId="5F16F36F" w:rsidR="001A4A3B" w:rsidRDefault="001A4A3B" w:rsidP="001A4A3B">
      <w:r>
        <w:t>Etranacogene dezaparvovec (</w:t>
      </w:r>
      <w:r w:rsidR="00860DF3">
        <w:t>ED</w:t>
      </w:r>
      <w:r>
        <w:t xml:space="preserve">) is a somatic gene therapy in which an inactive adeno-associated virus type 5 (AAV5) vector is used to introduce a copy of the FIX gene into liver cells, which then produce functional FIX (of the Padua variant). The therapy is proposed to be a one-off, once-per-lifetime treatment; however, patients may still require FIX for on-demand and/or prophylaxis use after </w:t>
      </w:r>
      <w:r w:rsidR="00860DF3">
        <w:t xml:space="preserve">ED </w:t>
      </w:r>
      <w:r>
        <w:t>treatment.</w:t>
      </w:r>
    </w:p>
    <w:p w14:paraId="4ED653B7" w14:textId="5B9F7156" w:rsidR="001A4A3B" w:rsidRDefault="001A4A3B" w:rsidP="001A4A3B">
      <w:r>
        <w:t>ESC noted that MSAC had not supported this application at its August 2024 meeting (</w:t>
      </w:r>
      <w:hyperlink r:id="rId29" w:history="1">
        <w:r w:rsidRPr="00B45FE2">
          <w:rPr>
            <w:rStyle w:val="Hyperlink"/>
          </w:rPr>
          <w:t>PSD 1728</w:t>
        </w:r>
      </w:hyperlink>
      <w:r>
        <w:t xml:space="preserve">). MSAC noted the limited, low certainty clinical evidence indicated </w:t>
      </w:r>
      <w:r w:rsidR="00860DF3">
        <w:t xml:space="preserve">ED </w:t>
      </w:r>
      <w:r>
        <w:t xml:space="preserve">may be effective for some patients in the short term but considered that there was substantial inter-individual variability in the patient response to </w:t>
      </w:r>
      <w:r w:rsidR="00860DF3">
        <w:t>ED</w:t>
      </w:r>
      <w:r>
        <w:t xml:space="preserve">. MSAC also considered the </w:t>
      </w:r>
      <w:r w:rsidRPr="009D0F62">
        <w:t xml:space="preserve">clinical evidence (3-year follow-up) was insufficient to substantiate </w:t>
      </w:r>
      <w:r>
        <w:t>its</w:t>
      </w:r>
      <w:r w:rsidRPr="009D0F62">
        <w:t xml:space="preserve"> </w:t>
      </w:r>
      <w:r>
        <w:t xml:space="preserve">long-term safety and effectiveness. Furthermore, </w:t>
      </w:r>
      <w:r w:rsidRPr="0067581F">
        <w:t xml:space="preserve">MSAC considered the neutralising antibody test essential for determining patient eligibility to </w:t>
      </w:r>
      <w:r w:rsidR="00860DF3">
        <w:t>ED</w:t>
      </w:r>
      <w:r w:rsidRPr="0067581F">
        <w:t>, but noted this test has not been validated</w:t>
      </w:r>
      <w:r>
        <w:t xml:space="preserve">. MSAC also considered </w:t>
      </w:r>
      <w:r w:rsidRPr="0067581F">
        <w:t xml:space="preserve">that the cost effectiveness of </w:t>
      </w:r>
      <w:r w:rsidR="00860DF3">
        <w:t xml:space="preserve">ED </w:t>
      </w:r>
      <w:r w:rsidRPr="0067581F">
        <w:t>compared to factor IX replacement therapy was highly uncertain due to the uncertainties in both the clinical evidence and the oversimplified economic model</w:t>
      </w:r>
      <w:r>
        <w:t xml:space="preserve">. </w:t>
      </w:r>
    </w:p>
    <w:p w14:paraId="0F5662FC" w14:textId="0ECBDC11" w:rsidR="001A4A3B" w:rsidRDefault="001A4A3B" w:rsidP="001A4A3B">
      <w:r>
        <w:t>At the time of its consideration, ESC noted and welcomed input from one organisation (</w:t>
      </w:r>
      <w:r w:rsidRPr="00583EED">
        <w:t>Australian Haemophilia Centre Directors' Organisation</w:t>
      </w:r>
      <w:r>
        <w:t xml:space="preserve">) received via public consultation. ESC considered it important that informed patient consent for treatment is obtained, as patients treated with </w:t>
      </w:r>
      <w:r w:rsidR="00860DF3">
        <w:t xml:space="preserve">ED </w:t>
      </w:r>
      <w:r>
        <w:t>may not be able to receive any other AAV-based gene therapies in the future. ESC noted that t</w:t>
      </w:r>
      <w:r w:rsidRPr="00770765">
        <w:t xml:space="preserve">reatments for </w:t>
      </w:r>
      <w:proofErr w:type="spellStart"/>
      <w:r>
        <w:t>c</w:t>
      </w:r>
      <w:r w:rsidRPr="00770765">
        <w:t>HMB</w:t>
      </w:r>
      <w:proofErr w:type="spellEnd"/>
      <w:r w:rsidRPr="00770765">
        <w:t xml:space="preserve"> (gene therapies and non-gene therapies) are likely to evolve rapidly</w:t>
      </w:r>
      <w:r>
        <w:t xml:space="preserve">, with several such therapies on the horizon. </w:t>
      </w:r>
    </w:p>
    <w:p w14:paraId="00200650" w14:textId="3DC63A43" w:rsidR="001A4A3B" w:rsidRDefault="001A4A3B" w:rsidP="001A4A3B">
      <w:r>
        <w:t xml:space="preserve">ESC considered that the clinical need or demand for </w:t>
      </w:r>
      <w:r w:rsidR="00860DF3">
        <w:t xml:space="preserve">ED </w:t>
      </w:r>
      <w:r>
        <w:t xml:space="preserve">compared to standard care is not clear, as FIX infusion is available as on-demand and prophylactic therapy.  </w:t>
      </w:r>
    </w:p>
    <w:p w14:paraId="679ED758" w14:textId="78B5FE1E" w:rsidR="001A4A3B" w:rsidRDefault="001A4A3B" w:rsidP="001A4A3B">
      <w:r>
        <w:t xml:space="preserve">ESC noted the reapplication included </w:t>
      </w:r>
      <w:r w:rsidRPr="742235FC">
        <w:rPr>
          <w:lang w:val="en-US"/>
        </w:rPr>
        <w:t xml:space="preserve">anti-AAV5 </w:t>
      </w:r>
      <w:proofErr w:type="spellStart"/>
      <w:r w:rsidRPr="742235FC">
        <w:rPr>
          <w:lang w:val="en-US"/>
        </w:rPr>
        <w:t>NAb</w:t>
      </w:r>
      <w:proofErr w:type="spellEnd"/>
      <w:r w:rsidRPr="742235FC">
        <w:rPr>
          <w:lang w:val="en-US"/>
        </w:rPr>
        <w:t xml:space="preserve"> </w:t>
      </w:r>
      <w:r>
        <w:t xml:space="preserve">testing as an eligibility requirement to access the treatment, as patients with high Nab titres may have a poorer response to the AAV5-based </w:t>
      </w:r>
      <w:r w:rsidR="00860DF3">
        <w:t>ED</w:t>
      </w:r>
      <w:r>
        <w:t xml:space="preserve">. While the HOPE-B study used a 7-point assay for </w:t>
      </w:r>
      <w:r w:rsidRPr="742235FC">
        <w:rPr>
          <w:lang w:val="en-US"/>
        </w:rPr>
        <w:t xml:space="preserve">anti-AAV5 </w:t>
      </w:r>
      <w:proofErr w:type="spellStart"/>
      <w:r w:rsidRPr="742235FC">
        <w:rPr>
          <w:lang w:val="en-US"/>
        </w:rPr>
        <w:t>NAb</w:t>
      </w:r>
      <w:proofErr w:type="spellEnd"/>
      <w:r w:rsidRPr="742235FC">
        <w:rPr>
          <w:lang w:val="en-US"/>
        </w:rPr>
        <w:t xml:space="preserve"> </w:t>
      </w:r>
      <w:r>
        <w:t xml:space="preserve">testing, the applicant has proposed to use a 9-point assay </w:t>
      </w:r>
      <w:r w:rsidRPr="00D7434E">
        <w:t>in clinical practice</w:t>
      </w:r>
      <w:r>
        <w:t>.</w:t>
      </w:r>
    </w:p>
    <w:p w14:paraId="53B83238" w14:textId="78E2C6AC" w:rsidR="001A4A3B" w:rsidRDefault="001A4A3B" w:rsidP="001A4A3B">
      <w:r>
        <w:t xml:space="preserve">ESC also noted the proposed population for funding was </w:t>
      </w:r>
      <w:r w:rsidRPr="00942A00">
        <w:t>restrict</w:t>
      </w:r>
      <w:r>
        <w:t>ed</w:t>
      </w:r>
      <w:r w:rsidRPr="00942A00">
        <w:t xml:space="preserve"> to adult patients </w:t>
      </w:r>
      <w:r w:rsidRPr="00973663">
        <w:t>≥</w:t>
      </w:r>
      <w:r w:rsidRPr="00942A00">
        <w:t>18 years old</w:t>
      </w:r>
      <w:r>
        <w:t xml:space="preserve"> and who have</w:t>
      </w:r>
      <w:r w:rsidRPr="00942A00">
        <w:t xml:space="preserve"> no inhibitor formation against expressed FIX protein.</w:t>
      </w:r>
      <w:r>
        <w:t xml:space="preserve"> ESC noted the clinical management algorithm, where patients with moderate to severe disease (based on FIX activity levels) and with no active FIX inhibitor would be offered the </w:t>
      </w:r>
      <w:proofErr w:type="spellStart"/>
      <w:r>
        <w:t>NAb</w:t>
      </w:r>
      <w:proofErr w:type="spellEnd"/>
      <w:r>
        <w:t xml:space="preserve"> testing. Those who are found to have a </w:t>
      </w:r>
      <w:proofErr w:type="spellStart"/>
      <w:r>
        <w:t>NAb</w:t>
      </w:r>
      <w:proofErr w:type="spellEnd"/>
      <w:r>
        <w:t xml:space="preserve"> titre of &lt;1:900 on a 9-point assay are proposed to be eligible for </w:t>
      </w:r>
      <w:r w:rsidR="00860DF3">
        <w:t>ED</w:t>
      </w:r>
      <w:r>
        <w:t>.</w:t>
      </w:r>
    </w:p>
    <w:p w14:paraId="5C6B821B" w14:textId="77777777" w:rsidR="001A4A3B" w:rsidRDefault="001A4A3B" w:rsidP="001A4A3B">
      <w:r>
        <w:t xml:space="preserve">ESC noted that the </w:t>
      </w:r>
      <w:r w:rsidRPr="001E7EC5">
        <w:t xml:space="preserve">evidence </w:t>
      </w:r>
      <w:r>
        <w:t xml:space="preserve">provided </w:t>
      </w:r>
      <w:r w:rsidRPr="001E7EC5">
        <w:t xml:space="preserve">to support </w:t>
      </w:r>
      <w:r>
        <w:t xml:space="preserve">the </w:t>
      </w:r>
      <w:r w:rsidRPr="001E7EC5">
        <w:t xml:space="preserve">proposed anti-AAV5 </w:t>
      </w:r>
      <w:proofErr w:type="spellStart"/>
      <w:r w:rsidRPr="001E7EC5">
        <w:t>NAb</w:t>
      </w:r>
      <w:proofErr w:type="spellEnd"/>
      <w:r w:rsidRPr="001E7EC5">
        <w:t xml:space="preserve"> assay titre threshold</w:t>
      </w:r>
      <w:r>
        <w:t xml:space="preserve"> was primarily from the HOPE-B study, </w:t>
      </w:r>
      <w:r w:rsidRPr="001E7EC5">
        <w:t xml:space="preserve">supplemented by </w:t>
      </w:r>
      <w:r>
        <w:t xml:space="preserve">a </w:t>
      </w:r>
      <w:r w:rsidRPr="001E7EC5">
        <w:t>systematic lit</w:t>
      </w:r>
      <w:r>
        <w:t>erature</w:t>
      </w:r>
      <w:r w:rsidRPr="001E7EC5">
        <w:t xml:space="preserve"> search. </w:t>
      </w:r>
      <w:r>
        <w:t xml:space="preserve">In the </w:t>
      </w:r>
      <w:r w:rsidRPr="00AC3C6B">
        <w:t>HOPE-B</w:t>
      </w:r>
      <w:r>
        <w:t xml:space="preserve"> study, </w:t>
      </w:r>
      <w:r w:rsidRPr="00AC3C6B">
        <w:t>33</w:t>
      </w:r>
      <w:r>
        <w:t> </w:t>
      </w:r>
      <w:r w:rsidRPr="00AC3C6B">
        <w:t xml:space="preserve">subjects </w:t>
      </w:r>
      <w:r>
        <w:t>were</w:t>
      </w:r>
      <w:r w:rsidRPr="00AC3C6B">
        <w:t xml:space="preserve"> titre</w:t>
      </w:r>
      <w:r>
        <w:t>-</w:t>
      </w:r>
      <w:r w:rsidRPr="00AC3C6B">
        <w:t>negative</w:t>
      </w:r>
      <w:r>
        <w:t xml:space="preserve"> and </w:t>
      </w:r>
      <w:r w:rsidRPr="00AC3C6B">
        <w:t xml:space="preserve">21 </w:t>
      </w:r>
      <w:r>
        <w:t xml:space="preserve">were </w:t>
      </w:r>
      <w:r w:rsidRPr="00AC3C6B">
        <w:t>titre</w:t>
      </w:r>
      <w:r>
        <w:t>-</w:t>
      </w:r>
      <w:r w:rsidRPr="00AC3C6B">
        <w:t>positive</w:t>
      </w:r>
      <w:r w:rsidRPr="00AB6E1A">
        <w:t xml:space="preserve"> </w:t>
      </w:r>
      <w:r w:rsidRPr="00AC3C6B">
        <w:t>pre-</w:t>
      </w:r>
      <w:r>
        <w:t>treatment</w:t>
      </w:r>
      <w:r w:rsidRPr="00AC3C6B">
        <w:t>. Only 1</w:t>
      </w:r>
      <w:r>
        <w:t> </w:t>
      </w:r>
      <w:r w:rsidRPr="00AC3C6B">
        <w:t xml:space="preserve">subject had </w:t>
      </w:r>
      <w:r>
        <w:t xml:space="preserve">a </w:t>
      </w:r>
      <w:r w:rsidRPr="00AC3C6B">
        <w:t>pre-</w:t>
      </w:r>
      <w:r>
        <w:t>treatment</w:t>
      </w:r>
      <w:r w:rsidRPr="00AC3C6B">
        <w:t xml:space="preserve"> titre above 1:</w:t>
      </w:r>
      <w:r>
        <w:t xml:space="preserve">700 on the 7-point scale (corresponding to </w:t>
      </w:r>
      <w:r w:rsidRPr="00AC3C6B">
        <w:t>1:900</w:t>
      </w:r>
      <w:r>
        <w:t xml:space="preserve"> on the 9-point scale)</w:t>
      </w:r>
      <w:r w:rsidRPr="00AC3C6B">
        <w:t xml:space="preserve">. </w:t>
      </w:r>
      <w:r>
        <w:t>Although d</w:t>
      </w:r>
      <w:r w:rsidRPr="00AC3C6B">
        <w:t>ata show</w:t>
      </w:r>
      <w:r>
        <w:t>ed</w:t>
      </w:r>
      <w:r w:rsidRPr="00AC3C6B">
        <w:t xml:space="preserve"> numerically lower response in </w:t>
      </w:r>
      <w:r>
        <w:t xml:space="preserve">Nab titre-positive </w:t>
      </w:r>
      <w:r w:rsidRPr="00AC3C6B">
        <w:t>patients</w:t>
      </w:r>
      <w:r>
        <w:t>, ESC considered this i</w:t>
      </w:r>
      <w:r w:rsidRPr="00AC3C6B">
        <w:t xml:space="preserve">nsufficient to demonstrate appropriateness of </w:t>
      </w:r>
      <w:r>
        <w:t xml:space="preserve">the </w:t>
      </w:r>
      <w:r w:rsidRPr="00AC3C6B">
        <w:t>1:900 threshold.</w:t>
      </w:r>
      <w:r w:rsidRPr="00832281">
        <w:t xml:space="preserve"> </w:t>
      </w:r>
      <w:r>
        <w:t xml:space="preserve">ESC also noted that an </w:t>
      </w:r>
      <w:r w:rsidRPr="00AC3C6B">
        <w:t>FDA</w:t>
      </w:r>
      <w:r>
        <w:t>-</w:t>
      </w:r>
      <w:r w:rsidRPr="00AC3C6B">
        <w:t>mandated study</w:t>
      </w:r>
      <w:r>
        <w:t xml:space="preserve"> aimed at</w:t>
      </w:r>
      <w:r w:rsidRPr="00AC3C6B">
        <w:t xml:space="preserve"> </w:t>
      </w:r>
      <w:r>
        <w:t>redefining</w:t>
      </w:r>
      <w:r w:rsidRPr="00AC3C6B">
        <w:t xml:space="preserve"> </w:t>
      </w:r>
      <w:r>
        <w:t xml:space="preserve">the </w:t>
      </w:r>
      <w:r w:rsidRPr="00AC3C6B">
        <w:t xml:space="preserve">appropriate threshold for predicting </w:t>
      </w:r>
      <w:r>
        <w:t xml:space="preserve">treatment </w:t>
      </w:r>
      <w:r w:rsidRPr="00AC3C6B">
        <w:t>response</w:t>
      </w:r>
      <w:r>
        <w:t xml:space="preserve"> is underway,</w:t>
      </w:r>
      <w:r w:rsidRPr="00AC3C6B">
        <w:t xml:space="preserve"> but </w:t>
      </w:r>
      <w:r>
        <w:t xml:space="preserve">these </w:t>
      </w:r>
      <w:r w:rsidRPr="00AC3C6B">
        <w:t xml:space="preserve">results </w:t>
      </w:r>
      <w:r>
        <w:t xml:space="preserve">will not be available until </w:t>
      </w:r>
      <w:r w:rsidRPr="00AC3C6B">
        <w:t>after Oct</w:t>
      </w:r>
      <w:r>
        <w:t>ober</w:t>
      </w:r>
      <w:r w:rsidRPr="00AC3C6B">
        <w:t xml:space="preserve"> 2028.</w:t>
      </w:r>
    </w:p>
    <w:p w14:paraId="236B3800" w14:textId="33BD3EC2" w:rsidR="001A4A3B" w:rsidRDefault="001A4A3B" w:rsidP="001A4A3B">
      <w:r w:rsidRPr="00821F89">
        <w:lastRenderedPageBreak/>
        <w:t xml:space="preserve">ESC considered that plots of </w:t>
      </w:r>
      <w:proofErr w:type="spellStart"/>
      <w:r w:rsidRPr="00821F89">
        <w:t>NAb</w:t>
      </w:r>
      <w:proofErr w:type="spellEnd"/>
      <w:r w:rsidRPr="00821F89">
        <w:t xml:space="preserve"> titre vs bleed ratio and other outcomes </w:t>
      </w:r>
      <w:r>
        <w:t>would</w:t>
      </w:r>
      <w:r w:rsidRPr="00821F89">
        <w:t xml:space="preserve"> be helpful</w:t>
      </w:r>
      <w:r>
        <w:t xml:space="preserve"> for MSAC decision-making</w:t>
      </w:r>
      <w:r w:rsidRPr="00F75FBD">
        <w:t xml:space="preserve">. </w:t>
      </w:r>
      <w:r w:rsidRPr="00821F89">
        <w:t xml:space="preserve">ESC considered that it would be </w:t>
      </w:r>
      <w:r>
        <w:t>informative</w:t>
      </w:r>
      <w:r w:rsidRPr="00821F89">
        <w:t xml:space="preserve"> for the applicant to report the statistical significance of the difference in </w:t>
      </w:r>
      <w:r>
        <w:t>treatment effect</w:t>
      </w:r>
      <w:r w:rsidRPr="00821F89">
        <w:t xml:space="preserve"> </w:t>
      </w:r>
      <w:r>
        <w:t xml:space="preserve">between the baseline </w:t>
      </w:r>
      <w:proofErr w:type="spellStart"/>
      <w:r>
        <w:t>NAb</w:t>
      </w:r>
      <w:proofErr w:type="spellEnd"/>
      <w:r>
        <w:t xml:space="preserve"> titre category subgroups to help assess this likely treatment effect modifier</w:t>
      </w:r>
      <w:r w:rsidRPr="00821F89">
        <w:t>.</w:t>
      </w:r>
      <w:r>
        <w:t xml:space="preserve"> Regarding the relationship between FIX activity and anti-AAV5 titre, ESC considered lower Nab titres appeared to be associated with increased FIX activity, however</w:t>
      </w:r>
      <w:r w:rsidRPr="004B1267">
        <w:t xml:space="preserve"> </w:t>
      </w:r>
      <w:r>
        <w:t xml:space="preserve">these results were based on a </w:t>
      </w:r>
      <w:r w:rsidRPr="004B1267">
        <w:t xml:space="preserve">subset of </w:t>
      </w:r>
      <w:r>
        <w:t xml:space="preserve">patients who were most likely to respond to </w:t>
      </w:r>
      <w:r w:rsidR="005203CA">
        <w:t>ED</w:t>
      </w:r>
      <w:r>
        <w:t xml:space="preserve">. ESC noted wide variation within the patient group, as some patients with low </w:t>
      </w:r>
      <w:proofErr w:type="spellStart"/>
      <w:r>
        <w:t>NAbs</w:t>
      </w:r>
      <w:proofErr w:type="spellEnd"/>
      <w:r>
        <w:t xml:space="preserve"> also had low FIX activity after treatment. ESC noted that, contrary to MSAC’s view, </w:t>
      </w:r>
      <w:r w:rsidRPr="00F75FBD">
        <w:t xml:space="preserve">the applicant maintains that the </w:t>
      </w:r>
      <w:proofErr w:type="spellStart"/>
      <w:r w:rsidRPr="00F75FBD">
        <w:t>NAb</w:t>
      </w:r>
      <w:proofErr w:type="spellEnd"/>
      <w:r w:rsidRPr="00F75FBD">
        <w:t xml:space="preserve"> testing is not essential</w:t>
      </w:r>
      <w:r>
        <w:t xml:space="preserve"> </w:t>
      </w:r>
      <w:r w:rsidRPr="00F75FBD">
        <w:t xml:space="preserve">and is not </w:t>
      </w:r>
      <w:r>
        <w:t xml:space="preserve">a </w:t>
      </w:r>
      <w:r w:rsidRPr="00F75FBD">
        <w:t>co-dependent</w:t>
      </w:r>
      <w:r>
        <w:t xml:space="preserve"> technology </w:t>
      </w:r>
      <w:r w:rsidRPr="00F75FBD">
        <w:t xml:space="preserve">but rather </w:t>
      </w:r>
      <w:r>
        <w:t xml:space="preserve">is </w:t>
      </w:r>
      <w:r w:rsidRPr="00F75FBD">
        <w:t xml:space="preserve">a complementary test that was added to </w:t>
      </w:r>
      <w:r>
        <w:t xml:space="preserve">the </w:t>
      </w:r>
      <w:r w:rsidRPr="00F75FBD">
        <w:t>eligibility criteria</w:t>
      </w:r>
      <w:r>
        <w:t>.</w:t>
      </w:r>
    </w:p>
    <w:p w14:paraId="63502AF2" w14:textId="1199B658" w:rsidR="001A4A3B" w:rsidRDefault="001A4A3B" w:rsidP="001A4A3B">
      <w:r>
        <w:t xml:space="preserve">The applicant highlighted the </w:t>
      </w:r>
      <w:r w:rsidRPr="001E7EC5">
        <w:t>FDA</w:t>
      </w:r>
      <w:r>
        <w:t xml:space="preserve">’s </w:t>
      </w:r>
      <w:r w:rsidRPr="001E7EC5">
        <w:t>notification that</w:t>
      </w:r>
      <w:r>
        <w:t xml:space="preserve"> a</w:t>
      </w:r>
      <w:r w:rsidRPr="001E7EC5">
        <w:t xml:space="preserve"> post-marketing requirement </w:t>
      </w:r>
      <w:r>
        <w:t>‘</w:t>
      </w:r>
      <w:r w:rsidRPr="001E7EC5">
        <w:t xml:space="preserve">to validate a sensitive and accurate assay for the detection of anti-AAV5 neutralizing antibodies, specifically to detect anti-AAV5 </w:t>
      </w:r>
      <w:proofErr w:type="spellStart"/>
      <w:r w:rsidRPr="001E7EC5">
        <w:t>NAb</w:t>
      </w:r>
      <w:proofErr w:type="spellEnd"/>
      <w:r w:rsidRPr="001E7EC5">
        <w:t xml:space="preserve"> titres up to 1:1400 or higher</w:t>
      </w:r>
      <w:r>
        <w:t>’</w:t>
      </w:r>
      <w:r w:rsidRPr="001E7EC5">
        <w:t xml:space="preserve"> </w:t>
      </w:r>
      <w:r>
        <w:t>had been</w:t>
      </w:r>
      <w:r w:rsidRPr="001E7EC5">
        <w:t xml:space="preserve"> fulfilled.</w:t>
      </w:r>
      <w:r>
        <w:t xml:space="preserve"> ESC agreed with the commentary that, aside from this</w:t>
      </w:r>
      <w:r w:rsidRPr="005F7026">
        <w:t xml:space="preserve"> FDA notification, </w:t>
      </w:r>
      <w:r>
        <w:t xml:space="preserve">the </w:t>
      </w:r>
      <w:r w:rsidRPr="005F7026">
        <w:t xml:space="preserve">only new </w:t>
      </w:r>
      <w:r>
        <w:t>information provided in this reapplication</w:t>
      </w:r>
      <w:r w:rsidRPr="005F7026">
        <w:t xml:space="preserve"> </w:t>
      </w:r>
      <w:r>
        <w:t>includes</w:t>
      </w:r>
      <w:r w:rsidRPr="005F7026">
        <w:t xml:space="preserve"> test turnaround time, test failures and updated </w:t>
      </w:r>
      <w:r>
        <w:t xml:space="preserve">predictive value </w:t>
      </w:r>
      <w:r w:rsidRPr="005F7026">
        <w:t xml:space="preserve">data for </w:t>
      </w:r>
      <w:r>
        <w:t>treatment</w:t>
      </w:r>
      <w:r w:rsidRPr="005F7026">
        <w:t xml:space="preserve"> response at 48</w:t>
      </w:r>
      <w:r>
        <w:t> </w:t>
      </w:r>
      <w:r w:rsidRPr="005F7026">
        <w:t>months</w:t>
      </w:r>
      <w:r>
        <w:t xml:space="preserve">. </w:t>
      </w:r>
    </w:p>
    <w:p w14:paraId="158C62AE" w14:textId="77777777" w:rsidR="001A4A3B" w:rsidRDefault="001A4A3B" w:rsidP="001A4A3B">
      <w:r>
        <w:t>ESC considered that the d</w:t>
      </w:r>
      <w:r w:rsidRPr="005F7026">
        <w:t>ata to support test accuracy remain limited</w:t>
      </w:r>
      <w:r>
        <w:t>,</w:t>
      </w:r>
      <w:r w:rsidRPr="005F7026">
        <w:t xml:space="preserve"> </w:t>
      </w:r>
      <w:r>
        <w:t xml:space="preserve">with </w:t>
      </w:r>
      <w:r w:rsidRPr="005F7026">
        <w:t xml:space="preserve">no additional evidence </w:t>
      </w:r>
      <w:r>
        <w:t xml:space="preserve">provided </w:t>
      </w:r>
      <w:r w:rsidRPr="005F7026">
        <w:t xml:space="preserve">to support </w:t>
      </w:r>
      <w:r>
        <w:t xml:space="preserve">the </w:t>
      </w:r>
      <w:r w:rsidRPr="005F7026">
        <w:t xml:space="preserve">validity of </w:t>
      </w:r>
      <w:r>
        <w:t xml:space="preserve">the </w:t>
      </w:r>
      <w:r w:rsidRPr="005F7026">
        <w:t xml:space="preserve">assay beyond correlation between </w:t>
      </w:r>
      <w:r>
        <w:t xml:space="preserve">the </w:t>
      </w:r>
      <w:r w:rsidRPr="005F7026">
        <w:t xml:space="preserve">7- and 9- point </w:t>
      </w:r>
      <w:r>
        <w:t xml:space="preserve">assay </w:t>
      </w:r>
      <w:r w:rsidRPr="005F7026">
        <w:t>versions</w:t>
      </w:r>
      <w:r>
        <w:t>, and n</w:t>
      </w:r>
      <w:r w:rsidRPr="000D2222">
        <w:t>o published studies comparing</w:t>
      </w:r>
      <w:r>
        <w:t xml:space="preserve"> the</w:t>
      </w:r>
      <w:r w:rsidRPr="000D2222">
        <w:t xml:space="preserve"> 9-point </w:t>
      </w:r>
      <w:r>
        <w:t>and</w:t>
      </w:r>
      <w:r w:rsidRPr="000D2222">
        <w:t xml:space="preserve"> 7-point assay</w:t>
      </w:r>
      <w:r>
        <w:t>s</w:t>
      </w:r>
      <w:r w:rsidRPr="000D2222">
        <w:t>.</w:t>
      </w:r>
      <w:r>
        <w:t xml:space="preserve"> T</w:t>
      </w:r>
      <w:r w:rsidRPr="002B3F48">
        <w:t xml:space="preserve">he HOPE-B </w:t>
      </w:r>
      <w:r>
        <w:t>study used</w:t>
      </w:r>
      <w:r w:rsidRPr="002B3F48">
        <w:t xml:space="preserve"> </w:t>
      </w:r>
      <w:r>
        <w:t>the</w:t>
      </w:r>
      <w:r w:rsidRPr="002B3F48">
        <w:t xml:space="preserve"> 7-point assay</w:t>
      </w:r>
      <w:r>
        <w:t>, but the</w:t>
      </w:r>
      <w:r w:rsidRPr="002B3F48">
        <w:t xml:space="preserve"> </w:t>
      </w:r>
      <w:r>
        <w:t xml:space="preserve">applicant-developed assessment report (ADAR) </w:t>
      </w:r>
      <w:r w:rsidRPr="002B3F48">
        <w:t xml:space="preserve">proposed </w:t>
      </w:r>
      <w:r>
        <w:t>the</w:t>
      </w:r>
      <w:r w:rsidRPr="002B3F48">
        <w:t xml:space="preserve"> 9-point assay</w:t>
      </w:r>
      <w:r w:rsidRPr="00821F89">
        <w:t xml:space="preserve">. </w:t>
      </w:r>
    </w:p>
    <w:p w14:paraId="45B25BBE" w14:textId="287CC391" w:rsidR="001A4A3B" w:rsidRDefault="001A4A3B" w:rsidP="001A4A3B">
      <w:r>
        <w:t xml:space="preserve">ESC raised concerns </w:t>
      </w:r>
      <w:r w:rsidRPr="000D2222">
        <w:t xml:space="preserve">that a </w:t>
      </w:r>
      <w:r>
        <w:t xml:space="preserve">false-negative </w:t>
      </w:r>
      <w:r w:rsidRPr="000D2222">
        <w:t xml:space="preserve">test result </w:t>
      </w:r>
      <w:r>
        <w:t xml:space="preserve">incorrectly </w:t>
      </w:r>
      <w:r w:rsidRPr="000D2222">
        <w:t>indicat</w:t>
      </w:r>
      <w:r>
        <w:t>ing an</w:t>
      </w:r>
      <w:r w:rsidRPr="000D2222">
        <w:t xml:space="preserve"> anti-AAV5 titre below the threshold of 1:900 </w:t>
      </w:r>
      <w:r>
        <w:t>may</w:t>
      </w:r>
      <w:r w:rsidRPr="000D2222">
        <w:t xml:space="preserve"> lead to a person receiving </w:t>
      </w:r>
      <w:r w:rsidR="005203CA">
        <w:t>ED</w:t>
      </w:r>
      <w:r w:rsidR="005203CA" w:rsidRPr="000D2222">
        <w:t xml:space="preserve"> </w:t>
      </w:r>
      <w:r w:rsidRPr="000D2222">
        <w:t xml:space="preserve">who is </w:t>
      </w:r>
      <w:r>
        <w:t>less likely to benefit from</w:t>
      </w:r>
      <w:r w:rsidRPr="000D2222">
        <w:t xml:space="preserve"> treatment.</w:t>
      </w:r>
      <w:r>
        <w:t xml:space="preserve"> ESC considered that there is an e</w:t>
      </w:r>
      <w:r w:rsidRPr="000D2222">
        <w:t xml:space="preserve">vidence gap for individuals with a titre between 1:900 and 1:4417 </w:t>
      </w:r>
      <w:r>
        <w:t>(</w:t>
      </w:r>
      <w:r w:rsidRPr="000D2222">
        <w:t xml:space="preserve">corresponding to 1:700 and 1:3212 </w:t>
      </w:r>
      <w:r>
        <w:t>with</w:t>
      </w:r>
      <w:r w:rsidRPr="000D2222">
        <w:t xml:space="preserve"> the 7-point assay</w:t>
      </w:r>
      <w:r>
        <w:t>)</w:t>
      </w:r>
      <w:r w:rsidRPr="000D2222">
        <w:t xml:space="preserve"> in relation to the likelihood of whether a person will receive benefit from </w:t>
      </w:r>
      <w:r w:rsidR="005203CA">
        <w:t xml:space="preserve">ED </w:t>
      </w:r>
      <w:r>
        <w:t>(and who, if treated,</w:t>
      </w:r>
      <w:r w:rsidR="005203CA">
        <w:t xml:space="preserve"> </w:t>
      </w:r>
      <w:r>
        <w:t>will be subject to a risk of treatment emergent adverse events (TE</w:t>
      </w:r>
      <w:r w:rsidRPr="000D2222">
        <w:t>AEs</w:t>
      </w:r>
      <w:r>
        <w:t>))</w:t>
      </w:r>
      <w:r w:rsidRPr="000D2222">
        <w:t>.</w:t>
      </w:r>
    </w:p>
    <w:p w14:paraId="66765A25" w14:textId="77777777" w:rsidR="001A4A3B" w:rsidRDefault="001A4A3B" w:rsidP="001A4A3B">
      <w:r>
        <w:t xml:space="preserve">ESC considered that the limited evidence on analytical performance of the test appears to demonstrate a relationship between bleeding episodes and pre-treatment Nab titre depending on the baseline </w:t>
      </w:r>
      <w:proofErr w:type="spellStart"/>
      <w:r>
        <w:t>NAb</w:t>
      </w:r>
      <w:proofErr w:type="spellEnd"/>
      <w:r>
        <w:t xml:space="preserve"> titre from months 7 to 48 post-treatment, but this is highly uncertain due to the limited evidence, wide confidence intervals of rate ratios, and significant interpatient variability</w:t>
      </w:r>
      <w:r w:rsidRPr="00821F89">
        <w:t xml:space="preserve">.  </w:t>
      </w:r>
    </w:p>
    <w:p w14:paraId="656D1A47" w14:textId="55675350" w:rsidR="001A4A3B" w:rsidRDefault="001A4A3B" w:rsidP="001A4A3B">
      <w:r>
        <w:t xml:space="preserve">Regarding the evidence on safety of </w:t>
      </w:r>
      <w:r w:rsidR="005203CA">
        <w:t>ED</w:t>
      </w:r>
      <w:r>
        <w:t xml:space="preserve">, ESC noted that the </w:t>
      </w:r>
      <w:r w:rsidRPr="00960465">
        <w:t>HOPE-B study design was not comparative</w:t>
      </w:r>
      <w:r>
        <w:t>,</w:t>
      </w:r>
      <w:r w:rsidRPr="00960465">
        <w:t xml:space="preserve"> </w:t>
      </w:r>
      <w:r>
        <w:t>and</w:t>
      </w:r>
      <w:r w:rsidRPr="00960465">
        <w:t xml:space="preserve"> the </w:t>
      </w:r>
      <w:r>
        <w:t xml:space="preserve">small </w:t>
      </w:r>
      <w:r w:rsidRPr="00960465">
        <w:t xml:space="preserve">sample size </w:t>
      </w:r>
      <w:r>
        <w:t>limited the ability</w:t>
      </w:r>
      <w:r w:rsidRPr="00960465">
        <w:t xml:space="preserve"> to detect </w:t>
      </w:r>
      <w:r>
        <w:t xml:space="preserve">safety </w:t>
      </w:r>
      <w:r w:rsidRPr="00960465">
        <w:t>events in either the lead-in or post-treatment phases unless they were very common (</w:t>
      </w:r>
      <w:r>
        <w:t>i.e.</w:t>
      </w:r>
      <w:r w:rsidRPr="00960465">
        <w:t xml:space="preserve"> </w:t>
      </w:r>
      <w:r>
        <w:t>with</w:t>
      </w:r>
      <w:r w:rsidRPr="00960465">
        <w:t xml:space="preserve"> a cumulative 1-year incidence of at least 10%). </w:t>
      </w:r>
    </w:p>
    <w:p w14:paraId="2595F1A8" w14:textId="7937E30E" w:rsidR="001A4A3B" w:rsidRDefault="001A4A3B" w:rsidP="001A4A3B">
      <w:r>
        <w:t xml:space="preserve">ESC noted that the commentary considered </w:t>
      </w:r>
      <w:r w:rsidR="005203CA">
        <w:t>ED</w:t>
      </w:r>
      <w:r w:rsidR="005203CA" w:rsidRPr="00960465">
        <w:t xml:space="preserve"> </w:t>
      </w:r>
      <w:r>
        <w:t xml:space="preserve">had </w:t>
      </w:r>
      <w:r w:rsidRPr="00960465">
        <w:t xml:space="preserve">inferior </w:t>
      </w:r>
      <w:r>
        <w:t xml:space="preserve">safety compared </w:t>
      </w:r>
      <w:r w:rsidRPr="00960465">
        <w:t xml:space="preserve">to </w:t>
      </w:r>
      <w:r>
        <w:t xml:space="preserve">the </w:t>
      </w:r>
      <w:r w:rsidRPr="00960465">
        <w:t xml:space="preserve">standard of care for acute peri-infusion AEs and laboratory </w:t>
      </w:r>
      <w:r>
        <w:t>safety</w:t>
      </w:r>
      <w:r w:rsidRPr="00960465">
        <w:t xml:space="preserve"> indicators</w:t>
      </w:r>
      <w:r>
        <w:t>, particularly</w:t>
      </w:r>
      <w:r w:rsidRPr="00960465">
        <w:t xml:space="preserve"> elevated liver enzymes</w:t>
      </w:r>
      <w:r>
        <w:t>- both of</w:t>
      </w:r>
      <w:r w:rsidRPr="00960465">
        <w:t xml:space="preserve"> which were common TEAEs in the 6</w:t>
      </w:r>
      <w:r>
        <w:t> </w:t>
      </w:r>
      <w:r w:rsidRPr="00960465">
        <w:t xml:space="preserve">months following </w:t>
      </w:r>
      <w:r w:rsidR="005203CA">
        <w:t>ED</w:t>
      </w:r>
      <w:r w:rsidR="005203CA" w:rsidRPr="00960465">
        <w:t xml:space="preserve"> </w:t>
      </w:r>
      <w:r w:rsidRPr="00960465">
        <w:t xml:space="preserve">administration. </w:t>
      </w:r>
      <w:r>
        <w:t>ESC further noted that at</w:t>
      </w:r>
      <w:r w:rsidRPr="00960465">
        <w:t xml:space="preserve"> 48</w:t>
      </w:r>
      <w:r>
        <w:t> </w:t>
      </w:r>
      <w:r w:rsidRPr="00960465">
        <w:t xml:space="preserve">months, the use of </w:t>
      </w:r>
      <w:r w:rsidR="005203CA">
        <w:t>ED</w:t>
      </w:r>
      <w:r w:rsidR="005203CA" w:rsidRPr="00960465">
        <w:t xml:space="preserve"> </w:t>
      </w:r>
      <w:r w:rsidRPr="00960465">
        <w:t>was considered at least non-inferior to standard of care in terms of AEs</w:t>
      </w:r>
      <w:r>
        <w:t>, with m</w:t>
      </w:r>
      <w:r w:rsidRPr="00960465">
        <w:t xml:space="preserve">ore TEAEs </w:t>
      </w:r>
      <w:r>
        <w:t>occurring</w:t>
      </w:r>
      <w:r w:rsidRPr="00960465">
        <w:t xml:space="preserve"> within the first 6</w:t>
      </w:r>
      <w:r>
        <w:t> </w:t>
      </w:r>
      <w:r w:rsidRPr="00960465">
        <w:t>months post</w:t>
      </w:r>
      <w:r>
        <w:t>-</w:t>
      </w:r>
      <w:r w:rsidR="005203CA">
        <w:t>ED</w:t>
      </w:r>
      <w:r w:rsidR="005203CA" w:rsidRPr="00960465">
        <w:t xml:space="preserve"> </w:t>
      </w:r>
      <w:r w:rsidRPr="00960465">
        <w:t xml:space="preserve">administration than during any other 6-month period, with all 6-month periods after </w:t>
      </w:r>
      <w:r>
        <w:t>m</w:t>
      </w:r>
      <w:r w:rsidRPr="00960465">
        <w:t xml:space="preserve">onth 12 demonstrating a lower frequency of AE’s compared to the lead-in period. </w:t>
      </w:r>
      <w:r>
        <w:t>Beyond the 4 years, ESC considered that the safety of</w:t>
      </w:r>
      <w:r w:rsidRPr="00960465">
        <w:t xml:space="preserve"> </w:t>
      </w:r>
      <w:r w:rsidR="005203CA">
        <w:t>ED</w:t>
      </w:r>
      <w:r w:rsidR="005203CA" w:rsidRPr="00960465">
        <w:t xml:space="preserve"> </w:t>
      </w:r>
      <w:r w:rsidRPr="00960465">
        <w:t>is uncertain due to the small number of subjects with longer follow up in the supportive studies</w:t>
      </w:r>
      <w:r>
        <w:t xml:space="preserve">, and no longer-term </w:t>
      </w:r>
      <w:r w:rsidRPr="00960465">
        <w:t>follow-up data from the</w:t>
      </w:r>
      <w:r>
        <w:t>se</w:t>
      </w:r>
      <w:r w:rsidRPr="00960465">
        <w:t xml:space="preserve"> studies were presented in the ADAR. </w:t>
      </w:r>
    </w:p>
    <w:p w14:paraId="04648809" w14:textId="3FCF5779" w:rsidR="001A4A3B" w:rsidRDefault="001A4A3B" w:rsidP="001A4A3B">
      <w:r>
        <w:lastRenderedPageBreak/>
        <w:t xml:space="preserve">ESC noted that the clinical evidence </w:t>
      </w:r>
      <w:r w:rsidRPr="00CA27DD">
        <w:t>for</w:t>
      </w:r>
      <w:r>
        <w:t xml:space="preserve"> the effectiveness of </w:t>
      </w:r>
      <w:r w:rsidR="005203CA">
        <w:t>ED</w:t>
      </w:r>
      <w:r w:rsidR="005203CA" w:rsidRPr="00CA27DD">
        <w:t xml:space="preserve"> </w:t>
      </w:r>
      <w:r w:rsidRPr="00CA27DD">
        <w:t xml:space="preserve">was informed by </w:t>
      </w:r>
      <w:r>
        <w:t>3</w:t>
      </w:r>
      <w:r w:rsidRPr="00CA27DD">
        <w:t xml:space="preserve"> single-arm observational studies, </w:t>
      </w:r>
      <w:r>
        <w:t>however</w:t>
      </w:r>
      <w:r w:rsidRPr="00CA27DD">
        <w:t xml:space="preserve"> the HOPE-B study (</w:t>
      </w:r>
      <w:r w:rsidRPr="00B12153">
        <w:rPr>
          <w:i/>
          <w:iCs/>
        </w:rPr>
        <w:t>n</w:t>
      </w:r>
      <w:r>
        <w:t> </w:t>
      </w:r>
      <w:r w:rsidRPr="00CA27DD">
        <w:t>=</w:t>
      </w:r>
      <w:r>
        <w:t> </w:t>
      </w:r>
      <w:r w:rsidRPr="00CA27DD">
        <w:t>54</w:t>
      </w:r>
      <w:r>
        <w:t xml:space="preserve"> </w:t>
      </w:r>
      <w:r w:rsidRPr="3E12197B">
        <w:t>patients with severe</w:t>
      </w:r>
      <w:r>
        <w:t xml:space="preserve"> or moderately severe</w:t>
      </w:r>
      <w:r w:rsidRPr="3E12197B">
        <w:t xml:space="preserve"> </w:t>
      </w:r>
      <w:proofErr w:type="spellStart"/>
      <w:r w:rsidRPr="3E12197B">
        <w:t>cHMB</w:t>
      </w:r>
      <w:proofErr w:type="spellEnd"/>
      <w:r w:rsidRPr="3E12197B">
        <w:t xml:space="preserve"> treated with </w:t>
      </w:r>
      <w:r w:rsidR="005203CA">
        <w:t>ED</w:t>
      </w:r>
      <w:r w:rsidRPr="00CA27DD">
        <w:t xml:space="preserve">) provided the </w:t>
      </w:r>
      <w:r>
        <w:t>pivotal</w:t>
      </w:r>
      <w:r w:rsidRPr="00CA27DD">
        <w:t xml:space="preserve"> evidence. </w:t>
      </w:r>
      <w:r>
        <w:t>The</w:t>
      </w:r>
      <w:r w:rsidRPr="00CA27DD">
        <w:t xml:space="preserve"> outcomes </w:t>
      </w:r>
      <w:r>
        <w:t xml:space="preserve">considered </w:t>
      </w:r>
      <w:r w:rsidRPr="00CA27DD">
        <w:t xml:space="preserve">from the HOPE-B study </w:t>
      </w:r>
      <w:r>
        <w:t>were</w:t>
      </w:r>
      <w:r w:rsidRPr="00CA27DD">
        <w:t xml:space="preserve"> annualised bleeding rate (ABR)</w:t>
      </w:r>
      <w:r>
        <w:t xml:space="preserve"> 6-48 months post-treatment</w:t>
      </w:r>
      <w:r w:rsidRPr="00CA27DD">
        <w:t xml:space="preserve">, uncontaminated FIX activity, FIX </w:t>
      </w:r>
      <w:r>
        <w:t>utilisation</w:t>
      </w:r>
      <w:r w:rsidRPr="00CA27DD">
        <w:t xml:space="preserve">, AEs, </w:t>
      </w:r>
      <w:r>
        <w:t xml:space="preserve">and </w:t>
      </w:r>
      <w:r w:rsidRPr="00CA27DD">
        <w:t xml:space="preserve">EQ-5D-5L and Haem-A-QoL scores. </w:t>
      </w:r>
      <w:r>
        <w:t xml:space="preserve">This application incorporated </w:t>
      </w:r>
      <w:r w:rsidRPr="006447FB">
        <w:t>4-year data from the HOPE-B study</w:t>
      </w:r>
      <w:r>
        <w:t xml:space="preserve"> (compared to the previously available 3-year data); however, these extended</w:t>
      </w:r>
      <w:r w:rsidRPr="006447FB">
        <w:t xml:space="preserve"> data d</w:t>
      </w:r>
      <w:r>
        <w:t>id</w:t>
      </w:r>
      <w:r w:rsidRPr="006447FB">
        <w:t xml:space="preserve"> not address durability of clinical effectiveness or longer-term risk of adverse effects. </w:t>
      </w:r>
      <w:r>
        <w:t>The f</w:t>
      </w:r>
      <w:r w:rsidRPr="006447FB">
        <w:t xml:space="preserve">inal analysis of safety and efficacy of HOPE-B data </w:t>
      </w:r>
      <w:r>
        <w:t xml:space="preserve">is </w:t>
      </w:r>
      <w:r w:rsidRPr="006447FB">
        <w:t>planned for 5</w:t>
      </w:r>
      <w:r>
        <w:t> </w:t>
      </w:r>
      <w:r w:rsidRPr="006447FB">
        <w:t>years post-</w:t>
      </w:r>
      <w:r>
        <w:t>treatment, and an</w:t>
      </w:r>
      <w:r w:rsidRPr="006447FB">
        <w:t xml:space="preserve"> extension study will collect data to 15</w:t>
      </w:r>
      <w:r>
        <w:t> </w:t>
      </w:r>
      <w:r w:rsidRPr="006447FB">
        <w:t>years post-</w:t>
      </w:r>
      <w:r>
        <w:t xml:space="preserve">treatment </w:t>
      </w:r>
      <w:r w:rsidRPr="006447FB">
        <w:t>(study completion 2035).</w:t>
      </w:r>
      <w:r>
        <w:t xml:space="preserve"> ESC considered that the </w:t>
      </w:r>
      <w:r w:rsidRPr="003B5939">
        <w:t>longer</w:t>
      </w:r>
      <w:r>
        <w:t>-</w:t>
      </w:r>
      <w:r w:rsidRPr="003B5939">
        <w:t xml:space="preserve">term effectiveness and safety </w:t>
      </w:r>
      <w:r>
        <w:t xml:space="preserve">of </w:t>
      </w:r>
      <w:r w:rsidR="005203CA">
        <w:t xml:space="preserve">ED </w:t>
      </w:r>
      <w:r w:rsidRPr="003B5939">
        <w:t>remain highly uncertain.</w:t>
      </w:r>
      <w:r>
        <w:t xml:space="preserve"> </w:t>
      </w:r>
    </w:p>
    <w:p w14:paraId="1FC3781F" w14:textId="105B8B1C" w:rsidR="001A4A3B" w:rsidRDefault="001A4A3B" w:rsidP="001A4A3B">
      <w:r>
        <w:t xml:space="preserve">ESC noted that one of the outcomes for assessing treatment effectiveness was ABRs. The adjusted ABR was 1.63 (95% CI 0.76, 3.48) and the rate ratio was </w:t>
      </w:r>
      <w:r w:rsidRPr="0073434F">
        <w:t>0.39 (</w:t>
      </w:r>
      <w:r w:rsidRPr="0073434F">
        <w:rPr>
          <w:i/>
          <w:iCs/>
        </w:rPr>
        <w:t>P</w:t>
      </w:r>
      <w:r>
        <w:t> </w:t>
      </w:r>
      <w:r w:rsidRPr="0073434F">
        <w:t>=</w:t>
      </w:r>
      <w:r>
        <w:t> </w:t>
      </w:r>
      <w:r w:rsidRPr="0073434F">
        <w:t>0.0058</w:t>
      </w:r>
      <w:r>
        <w:t>, 95% CI </w:t>
      </w:r>
      <w:r w:rsidRPr="0073434F">
        <w:t>0.19, 0.81)</w:t>
      </w:r>
      <w:r>
        <w:t xml:space="preserve">. Comparing </w:t>
      </w:r>
      <w:r w:rsidRPr="00D47564">
        <w:t>pre-</w:t>
      </w:r>
      <w:r>
        <w:t xml:space="preserve"> and</w:t>
      </w:r>
      <w:r w:rsidRPr="00D47564">
        <w:t xml:space="preserve"> post-</w:t>
      </w:r>
      <w:r>
        <w:t xml:space="preserve">treatment </w:t>
      </w:r>
      <w:r w:rsidRPr="00D47564">
        <w:t>ABR</w:t>
      </w:r>
      <w:r>
        <w:t>s</w:t>
      </w:r>
      <w:r w:rsidRPr="00D47564">
        <w:t xml:space="preserve"> </w:t>
      </w:r>
      <w:r>
        <w:t xml:space="preserve">for all </w:t>
      </w:r>
      <w:r w:rsidRPr="00D47564">
        <w:t>bleeds</w:t>
      </w:r>
      <w:r>
        <w:t xml:space="preserve">, ESC considered the treatment to be effective for most patients; however, </w:t>
      </w:r>
      <w:r w:rsidRPr="00CE693D">
        <w:t>3</w:t>
      </w:r>
      <w:r>
        <w:t> </w:t>
      </w:r>
      <w:r w:rsidRPr="00CE693D">
        <w:t xml:space="preserve">patients </w:t>
      </w:r>
      <w:r>
        <w:t>experienced</w:t>
      </w:r>
      <w:r w:rsidRPr="00CE693D">
        <w:t xml:space="preserve"> ≥10 bleeds post-treatment </w:t>
      </w:r>
      <w:r>
        <w:t>and had</w:t>
      </w:r>
      <w:r w:rsidRPr="00CE693D">
        <w:t xml:space="preserve"> &lt;12% mean FIX activity or ‘contaminated’ FIX activity (</w:t>
      </w:r>
      <w:r>
        <w:t xml:space="preserve">due to </w:t>
      </w:r>
      <w:r w:rsidRPr="00CE693D">
        <w:t>exogenous FIX)</w:t>
      </w:r>
      <w:r>
        <w:t>,</w:t>
      </w:r>
      <w:r w:rsidRPr="00CE693D">
        <w:t xml:space="preserve"> </w:t>
      </w:r>
      <w:r>
        <w:t>and</w:t>
      </w:r>
      <w:r w:rsidRPr="00CE693D">
        <w:t xml:space="preserve"> moderate FIX consumption (≥0.5–1.0 infusions per month)</w:t>
      </w:r>
      <w:r>
        <w:t>, indicating continued</w:t>
      </w:r>
      <w:r w:rsidRPr="00CE693D">
        <w:t xml:space="preserve"> </w:t>
      </w:r>
      <w:r>
        <w:t>bleeding episodes</w:t>
      </w:r>
      <w:r w:rsidRPr="00CE693D">
        <w:t xml:space="preserve"> 36–48</w:t>
      </w:r>
      <w:r>
        <w:t> </w:t>
      </w:r>
      <w:r w:rsidRPr="00CE693D">
        <w:t xml:space="preserve">months post-treatment. </w:t>
      </w:r>
      <w:r>
        <w:t xml:space="preserve">Similarly, when comparing the </w:t>
      </w:r>
      <w:r w:rsidRPr="00D47564">
        <w:t>ABR pre-</w:t>
      </w:r>
      <w:r>
        <w:t xml:space="preserve"> versus</w:t>
      </w:r>
      <w:r w:rsidRPr="00D47564">
        <w:t xml:space="preserve"> post-</w:t>
      </w:r>
      <w:r>
        <w:t xml:space="preserve">treatment for joint </w:t>
      </w:r>
      <w:r w:rsidRPr="00D47564">
        <w:t>bleeds</w:t>
      </w:r>
      <w:r>
        <w:t xml:space="preserve">, ESC considered that the </w:t>
      </w:r>
      <w:r w:rsidR="005203CA">
        <w:t xml:space="preserve">ED </w:t>
      </w:r>
      <w:r>
        <w:t>does appear to be effective for most patients, but does not prevent all bleeds, and is not effective in all patients.</w:t>
      </w:r>
    </w:p>
    <w:p w14:paraId="28E3EF3E" w14:textId="77777777" w:rsidR="001A4A3B" w:rsidRDefault="001A4A3B" w:rsidP="001A4A3B">
      <w:r>
        <w:t>ESC also noted that the subgroup analysis shown in the ADAR forest plot appears to indicate a difference in effectiveness based on patient ancestry (labelled as Race in the plot) and baseline s</w:t>
      </w:r>
      <w:r w:rsidRPr="00A12F53">
        <w:t>teatosis</w:t>
      </w:r>
      <w:r>
        <w:t xml:space="preserve"> grade, which was not addressed in the ADAR.</w:t>
      </w:r>
      <w:r w:rsidRPr="00F86774">
        <w:t xml:space="preserve"> </w:t>
      </w:r>
      <w:r w:rsidRPr="00821F89">
        <w:t xml:space="preserve">ESC considered that it would be </w:t>
      </w:r>
      <w:r>
        <w:t>informative</w:t>
      </w:r>
      <w:r w:rsidRPr="00821F89">
        <w:t xml:space="preserve"> for the applicants to report the statistical significance of the difference in </w:t>
      </w:r>
      <w:r>
        <w:t>ABR</w:t>
      </w:r>
      <w:r w:rsidRPr="00821F89">
        <w:t xml:space="preserve"> ratios </w:t>
      </w:r>
      <w:r>
        <w:t>between strata for these two possible treatment effect modifiers</w:t>
      </w:r>
      <w:r w:rsidRPr="00821F89">
        <w:t>.</w:t>
      </w:r>
      <w:r>
        <w:t xml:space="preserve"> </w:t>
      </w:r>
    </w:p>
    <w:p w14:paraId="4B5DD6EB" w14:textId="175E081B" w:rsidR="001A4A3B" w:rsidRDefault="001A4A3B" w:rsidP="001A4A3B">
      <w:r>
        <w:t xml:space="preserve">Overall, ESC considered that </w:t>
      </w:r>
      <w:r w:rsidR="005203CA">
        <w:t>ED</w:t>
      </w:r>
      <w:r>
        <w:t xml:space="preserve"> had inferior safety and superior effectiveness compared to standard care, although longer term safety and effectiveness outcomes were uncertain, with data limited to 48 months’ follow-up. There was some evidence that effectiveness was modified by pre-treatment </w:t>
      </w:r>
      <w:proofErr w:type="spellStart"/>
      <w:r>
        <w:t>NAb</w:t>
      </w:r>
      <w:proofErr w:type="spellEnd"/>
      <w:r>
        <w:t xml:space="preserve"> levels (i.e. supporting a claim of codependency), and refinement of the test threshold may increase effectiveness in a selected subgroup. Based on the FIX replacement use and prophylaxis data, ESC considered that patients expressing endogenous FIX were still receiving FIX. ESC queried if a ratio of annualised infusion rate (AIR) pre- and post-treatment could be calculated similar to ABR, which could provide an additional response measure to aid with decision-making. </w:t>
      </w:r>
    </w:p>
    <w:p w14:paraId="6A0AD474" w14:textId="77777777" w:rsidR="001A4A3B" w:rsidRDefault="001A4A3B" w:rsidP="001A4A3B">
      <w:r>
        <w:t>ESC considered that i</w:t>
      </w:r>
      <w:r w:rsidRPr="005E4653">
        <w:t>f this application is supported, MSAC may w</w:t>
      </w:r>
      <w:r>
        <w:t>ish</w:t>
      </w:r>
      <w:r w:rsidRPr="005E4653">
        <w:t xml:space="preserve"> to consider requiring a well-conducted registry</w:t>
      </w:r>
      <w:r>
        <w:t>-based</w:t>
      </w:r>
      <w:r w:rsidRPr="005E4653">
        <w:t xml:space="preserve"> cohort study, to collect </w:t>
      </w:r>
      <w:r>
        <w:t>robust long-term</w:t>
      </w:r>
      <w:r w:rsidRPr="005E4653">
        <w:t xml:space="preserve"> </w:t>
      </w:r>
      <w:r>
        <w:t xml:space="preserve">clinical outcome </w:t>
      </w:r>
      <w:r w:rsidRPr="005E4653">
        <w:t>data</w:t>
      </w:r>
      <w:r>
        <w:t xml:space="preserve"> to complement the HOPE-B results</w:t>
      </w:r>
      <w:r w:rsidRPr="005E4653">
        <w:t>.</w:t>
      </w:r>
      <w:r>
        <w:t xml:space="preserve"> ESC noted the pre-ESC response indicated that discussions were underway with stakeholders to advance this possibility. </w:t>
      </w:r>
    </w:p>
    <w:p w14:paraId="3C85533D" w14:textId="4B367036" w:rsidR="001A4A3B" w:rsidRDefault="001A4A3B" w:rsidP="001A4A3B">
      <w:pPr>
        <w:pStyle w:val="NormalBeforeBullet0"/>
      </w:pPr>
      <w:r>
        <w:t xml:space="preserve">ESC noted that the main issue affecting the economic evaluation and financial implications is the extremely high cost of </w:t>
      </w:r>
      <w:r w:rsidR="005203CA">
        <w:t>ED</w:t>
      </w:r>
      <w:r>
        <w:t xml:space="preserve">, at more </w:t>
      </w:r>
      <w:r w:rsidRPr="00C70E53">
        <w:t>than $</w:t>
      </w:r>
      <w:r w:rsidR="00F2118A" w:rsidRPr="00D84B66">
        <w:rPr>
          <w:b/>
          <w:bCs/>
        </w:rPr>
        <w:t>redacted</w:t>
      </w:r>
      <w:r w:rsidRPr="00C70E53">
        <w:t xml:space="preserve"> per patient for one infusion ($</w:t>
      </w:r>
      <w:r w:rsidR="00F2118A" w:rsidRPr="00D84B66">
        <w:rPr>
          <w:b/>
          <w:bCs/>
        </w:rPr>
        <w:t>redacted</w:t>
      </w:r>
      <w:r w:rsidRPr="00C70E53">
        <w:t xml:space="preserve"> in the original application; $</w:t>
      </w:r>
      <w:r w:rsidR="00F2118A" w:rsidRPr="00D84B66">
        <w:rPr>
          <w:b/>
          <w:bCs/>
        </w:rPr>
        <w:t>redacted</w:t>
      </w:r>
      <w:r w:rsidRPr="00C70E53">
        <w:t xml:space="preserve"> in the reapplication). </w:t>
      </w:r>
    </w:p>
    <w:p w14:paraId="61D7109E" w14:textId="77777777" w:rsidR="001A4A3B" w:rsidRDefault="001A4A3B" w:rsidP="001A4A3B">
      <w:pPr>
        <w:pStyle w:val="NormalBeforeBullet0"/>
      </w:pPr>
      <w:r>
        <w:t xml:space="preserve">Due to the claim of </w:t>
      </w:r>
      <w:r w:rsidRPr="00744FC7">
        <w:t>clinical superiority</w:t>
      </w:r>
      <w:r>
        <w:t xml:space="preserve"> and</w:t>
      </w:r>
      <w:r w:rsidRPr="00744FC7">
        <w:t xml:space="preserve"> non-inferior safety,</w:t>
      </w:r>
      <w:r>
        <w:t xml:space="preserve"> ESC considered a</w:t>
      </w:r>
      <w:r w:rsidRPr="00744FC7">
        <w:t xml:space="preserve"> cost-utility analysis </w:t>
      </w:r>
      <w:r>
        <w:t xml:space="preserve">is appropriate. </w:t>
      </w:r>
    </w:p>
    <w:p w14:paraId="12A565DA" w14:textId="77777777" w:rsidR="001A4A3B" w:rsidRDefault="001A4A3B" w:rsidP="001A4A3B">
      <w:pPr>
        <w:pStyle w:val="NormalBeforeBullet0"/>
      </w:pPr>
      <w:r>
        <w:t xml:space="preserve">The reapplication presented a revised economic model comprising an initial decision tree followed by a long-term 5-state Markov model (4 health states based on Pettersson Score </w:t>
      </w:r>
      <w:r>
        <w:lastRenderedPageBreak/>
        <w:t>categories [0–4, 5–12, 13–20, 21–28] and dead). The six-month cycle length of the model aligns with the HOPE-B data. ESC noted several potential issues with the model:</w:t>
      </w:r>
    </w:p>
    <w:p w14:paraId="6E41179C" w14:textId="77777777" w:rsidR="001A4A3B" w:rsidRPr="001E73EC" w:rsidRDefault="001A4A3B" w:rsidP="003758CD">
      <w:pPr>
        <w:pStyle w:val="Bullet"/>
        <w:numPr>
          <w:ilvl w:val="0"/>
          <w:numId w:val="24"/>
        </w:numPr>
        <w:spacing w:before="0"/>
        <w:rPr>
          <w:rFonts w:ascii="Franklin Gothic Book" w:hAnsi="Franklin Gothic Book"/>
        </w:rPr>
      </w:pPr>
      <w:r w:rsidRPr="001E73EC">
        <w:rPr>
          <w:rFonts w:ascii="Franklin Gothic Book" w:hAnsi="Franklin Gothic Book"/>
        </w:rPr>
        <w:t xml:space="preserve">The proportions of people starting in each health state </w:t>
      </w:r>
      <w:r>
        <w:rPr>
          <w:rFonts w:ascii="Franklin Gothic Book" w:hAnsi="Franklin Gothic Book"/>
        </w:rPr>
        <w:t>were</w:t>
      </w:r>
      <w:r w:rsidRPr="001E73EC">
        <w:rPr>
          <w:rFonts w:ascii="Franklin Gothic Book" w:hAnsi="Franklin Gothic Book"/>
        </w:rPr>
        <w:t xml:space="preserve"> based on old</w:t>
      </w:r>
      <w:r>
        <w:rPr>
          <w:rFonts w:ascii="Franklin Gothic Book" w:hAnsi="Franklin Gothic Book"/>
        </w:rPr>
        <w:t>er</w:t>
      </w:r>
      <w:r w:rsidRPr="001E73EC">
        <w:rPr>
          <w:rFonts w:ascii="Franklin Gothic Book" w:hAnsi="Franklin Gothic Book"/>
        </w:rPr>
        <w:t xml:space="preserve"> data </w:t>
      </w:r>
      <w:r>
        <w:rPr>
          <w:rFonts w:ascii="Franklin Gothic Book" w:hAnsi="Franklin Gothic Book"/>
        </w:rPr>
        <w:t xml:space="preserve">from </w:t>
      </w:r>
      <w:r w:rsidRPr="001E73EC">
        <w:rPr>
          <w:rFonts w:ascii="Franklin Gothic Book" w:hAnsi="Franklin Gothic Book"/>
        </w:rPr>
        <w:t xml:space="preserve">1997 </w:t>
      </w:r>
      <w:r>
        <w:rPr>
          <w:rFonts w:ascii="Franklin Gothic Book" w:hAnsi="Franklin Gothic Book"/>
        </w:rPr>
        <w:t>that was</w:t>
      </w:r>
      <w:r w:rsidRPr="001E73EC">
        <w:rPr>
          <w:rFonts w:ascii="Franklin Gothic Book" w:hAnsi="Franklin Gothic Book"/>
        </w:rPr>
        <w:t xml:space="preserve"> not </w:t>
      </w:r>
      <w:r>
        <w:rPr>
          <w:rFonts w:ascii="Franklin Gothic Book" w:hAnsi="Franklin Gothic Book"/>
        </w:rPr>
        <w:t>reflective of the current patient population who would be using FIX replacement therapy</w:t>
      </w:r>
      <w:r w:rsidRPr="001E73EC">
        <w:rPr>
          <w:rFonts w:ascii="Franklin Gothic Book" w:hAnsi="Franklin Gothic Book"/>
        </w:rPr>
        <w:t>.</w:t>
      </w:r>
    </w:p>
    <w:p w14:paraId="5233BD72" w14:textId="77777777" w:rsidR="001A4A3B" w:rsidRPr="00911557" w:rsidRDefault="001A4A3B" w:rsidP="001A4A3B">
      <w:pPr>
        <w:pStyle w:val="BulletBeforeDash"/>
      </w:pPr>
      <w:r w:rsidRPr="00911557">
        <w:t>The excess mortality was not well justified</w:t>
      </w:r>
      <w:r w:rsidRPr="742235FC">
        <w:t>,</w:t>
      </w:r>
      <w:r w:rsidRPr="00911557">
        <w:t xml:space="preserve"> and the survival benefit was not appropriate</w:t>
      </w:r>
      <w:r w:rsidRPr="742235FC">
        <w:t>.</w:t>
      </w:r>
      <w:r>
        <w:br/>
      </w:r>
    </w:p>
    <w:p w14:paraId="25F7AF55" w14:textId="77777777" w:rsidR="001A4A3B" w:rsidRPr="001E73EC" w:rsidRDefault="001A4A3B" w:rsidP="003758CD">
      <w:pPr>
        <w:pStyle w:val="Bullet"/>
        <w:numPr>
          <w:ilvl w:val="0"/>
          <w:numId w:val="24"/>
        </w:numPr>
        <w:spacing w:before="0"/>
        <w:rPr>
          <w:rFonts w:ascii="Franklin Gothic Book" w:hAnsi="Franklin Gothic Book"/>
        </w:rPr>
      </w:pPr>
      <w:r w:rsidRPr="001E73EC">
        <w:rPr>
          <w:rFonts w:ascii="Franklin Gothic Book" w:hAnsi="Franklin Gothic Book"/>
        </w:rPr>
        <w:t xml:space="preserve">The HOPE-B study informed the number of bleeds per Pettersson Score increment, but the patients assumed in the model do not align with the study because the HOPE-B study included patients with high and low </w:t>
      </w:r>
      <w:proofErr w:type="spellStart"/>
      <w:r w:rsidRPr="001E73EC">
        <w:rPr>
          <w:rFonts w:ascii="Franklin Gothic Book" w:hAnsi="Franklin Gothic Book"/>
        </w:rPr>
        <w:t>NAb</w:t>
      </w:r>
      <w:proofErr w:type="spellEnd"/>
      <w:r w:rsidRPr="001E73EC">
        <w:rPr>
          <w:rFonts w:ascii="Franklin Gothic Book" w:hAnsi="Franklin Gothic Book"/>
        </w:rPr>
        <w:t xml:space="preserve"> titres, and the model includes those with negative </w:t>
      </w:r>
      <w:proofErr w:type="spellStart"/>
      <w:r w:rsidRPr="001E73EC">
        <w:rPr>
          <w:rFonts w:ascii="Franklin Gothic Book" w:hAnsi="Franklin Gothic Book"/>
        </w:rPr>
        <w:t>NAb</w:t>
      </w:r>
      <w:proofErr w:type="spellEnd"/>
      <w:r w:rsidRPr="001E73EC">
        <w:rPr>
          <w:rFonts w:ascii="Franklin Gothic Book" w:hAnsi="Franklin Gothic Book"/>
        </w:rPr>
        <w:t xml:space="preserve"> only.</w:t>
      </w:r>
    </w:p>
    <w:p w14:paraId="2A0E1F74" w14:textId="77777777" w:rsidR="001A4A3B" w:rsidRPr="001E73EC" w:rsidRDefault="001A4A3B" w:rsidP="003758CD">
      <w:pPr>
        <w:pStyle w:val="Bullet"/>
        <w:numPr>
          <w:ilvl w:val="0"/>
          <w:numId w:val="24"/>
        </w:numPr>
        <w:spacing w:before="0"/>
        <w:rPr>
          <w:rFonts w:ascii="Franklin Gothic Book" w:hAnsi="Franklin Gothic Book"/>
        </w:rPr>
      </w:pPr>
      <w:r w:rsidRPr="001E73EC">
        <w:rPr>
          <w:rFonts w:ascii="Franklin Gothic Book" w:hAnsi="Franklin Gothic Book"/>
        </w:rPr>
        <w:t>The serious adverse events (SAEs) may be double counted in the model if the model already includes bleeding episodes.</w:t>
      </w:r>
    </w:p>
    <w:p w14:paraId="7AD97B3B" w14:textId="77777777" w:rsidR="001A4A3B" w:rsidRPr="001E73EC" w:rsidRDefault="001A4A3B" w:rsidP="003758CD">
      <w:pPr>
        <w:pStyle w:val="Bullet"/>
        <w:numPr>
          <w:ilvl w:val="0"/>
          <w:numId w:val="24"/>
        </w:numPr>
        <w:spacing w:before="0"/>
        <w:rPr>
          <w:rFonts w:ascii="Franklin Gothic Book" w:hAnsi="Franklin Gothic Book"/>
        </w:rPr>
      </w:pPr>
      <w:r w:rsidRPr="001E73EC">
        <w:rPr>
          <w:rFonts w:ascii="Franklin Gothic Book" w:hAnsi="Franklin Gothic Book"/>
        </w:rPr>
        <w:t xml:space="preserve">Some costs were missing, including hepatologist consultations and </w:t>
      </w:r>
      <w:r w:rsidRPr="009D5C00">
        <w:rPr>
          <w:rFonts w:ascii="Franklin Gothic Book" w:hAnsi="Franklin Gothic Book"/>
        </w:rPr>
        <w:t>pre-treatment</w:t>
      </w:r>
      <w:r w:rsidRPr="001E73EC">
        <w:rPr>
          <w:rFonts w:ascii="Franklin Gothic Book" w:hAnsi="Franklin Gothic Book"/>
        </w:rPr>
        <w:t xml:space="preserve"> abdominal ultrasound.</w:t>
      </w:r>
    </w:p>
    <w:p w14:paraId="04597B53" w14:textId="77777777" w:rsidR="001A4A3B" w:rsidRPr="009C6993" w:rsidRDefault="001A4A3B" w:rsidP="003758CD">
      <w:pPr>
        <w:pStyle w:val="BulletLast"/>
        <w:numPr>
          <w:ilvl w:val="0"/>
          <w:numId w:val="24"/>
        </w:numPr>
      </w:pPr>
      <w:r w:rsidRPr="009C6993">
        <w:t>The monitoring costs were assumed to be equal in all health states, and ESC considered this unlikely.</w:t>
      </w:r>
    </w:p>
    <w:p w14:paraId="77DCE069" w14:textId="77777777" w:rsidR="001A4A3B" w:rsidRDefault="001A4A3B" w:rsidP="001A4A3B">
      <w:r>
        <w:t xml:space="preserve">ESC noted that the model used a 15-year time horizon extrapolated from 4 years of follow-up data. However, ESC considered the evidence supporting many of the model inputs was limited, and the applicability of these assumptions to the Australian context not justified. In addition, the model was not adequately validated. </w:t>
      </w:r>
    </w:p>
    <w:p w14:paraId="6F9A245D" w14:textId="496F2036" w:rsidR="001A4A3B" w:rsidRPr="001E73EC" w:rsidRDefault="001A4A3B" w:rsidP="001A4A3B">
      <w:pPr>
        <w:rPr>
          <w:rFonts w:eastAsia="Times New Roman" w:cs="Arial"/>
        </w:rPr>
      </w:pPr>
      <w:r>
        <w:t xml:space="preserve">ESC considered that the concerns raised regarding the original application remain. Specifically, the long-term durability of the treatment effect remains highly uncertain. </w:t>
      </w:r>
      <w:r w:rsidRPr="742235FC">
        <w:rPr>
          <w:rFonts w:eastAsia="Times New Roman" w:cs="Arial"/>
        </w:rPr>
        <w:t xml:space="preserve">ESC noted that the extrapolation of the long-term durability of FIX activity levels after </w:t>
      </w:r>
      <w:r w:rsidR="00B01573">
        <w:rPr>
          <w:rFonts w:eastAsia="Times New Roman" w:cs="Arial"/>
        </w:rPr>
        <w:t>ED</w:t>
      </w:r>
      <w:r w:rsidR="00B01573" w:rsidRPr="742235FC">
        <w:rPr>
          <w:rFonts w:eastAsia="Times New Roman" w:cs="Arial"/>
        </w:rPr>
        <w:t xml:space="preserve"> </w:t>
      </w:r>
      <w:r w:rsidRPr="742235FC">
        <w:rPr>
          <w:rFonts w:eastAsia="Times New Roman" w:cs="Arial"/>
        </w:rPr>
        <w:t>was based on a published analysis and updated to include 48-month follow-up data from the HOPE-B study</w:t>
      </w:r>
      <w:r>
        <w:t xml:space="preserve">. Patients who required exogenous FIX after </w:t>
      </w:r>
      <w:r w:rsidR="00B01573">
        <w:t xml:space="preserve">ED </w:t>
      </w:r>
      <w:r>
        <w:t xml:space="preserve">administration were excluded from analysis due to “contaminated” FIX levels, which ESC considered may have led to underrepresentation of patients with poorer responses, thus overstating the effectiveness of </w:t>
      </w:r>
      <w:r w:rsidR="00B01573">
        <w:t>ED</w:t>
      </w:r>
      <w:r>
        <w:t>. ESC further considered that the variability in responses for these patients could have also been underestimated if measurements during periods of poor response were excluded.</w:t>
      </w:r>
    </w:p>
    <w:p w14:paraId="0771E652" w14:textId="7FDE52E1" w:rsidR="001A4A3B" w:rsidRDefault="001A4A3B" w:rsidP="001A4A3B">
      <w:r>
        <w:t xml:space="preserve">ESC also noted that the ADAR did not include a literature search of model-based cost-effectiveness analyses for haemophilia treatments. Based on a literature search undertaken by the assessment group, ESC noted that the long-term benefits from </w:t>
      </w:r>
      <w:r w:rsidR="00B01573">
        <w:t xml:space="preserve">ED </w:t>
      </w:r>
      <w:r>
        <w:t xml:space="preserve">treatment are highly uncertain, with all models assuming a non-waning, durable effect. Both FIX and </w:t>
      </w:r>
      <w:r w:rsidR="00B01573">
        <w:t xml:space="preserve">ED </w:t>
      </w:r>
      <w:r>
        <w:t xml:space="preserve">are high-cost therapies, but there is considerable uncertainty regarding the claims of cost saving for </w:t>
      </w:r>
      <w:r w:rsidR="00B01573">
        <w:t>ED</w:t>
      </w:r>
      <w:r>
        <w:t xml:space="preserve">. ESC noted an assessment from Canada (CADTH 2024) found that while </w:t>
      </w:r>
      <w:r w:rsidR="00B01573">
        <w:t xml:space="preserve">ED </w:t>
      </w:r>
      <w:r>
        <w:t xml:space="preserve">was less costly and more effective than the comparators in the base-case analysis, ED’s cost savings were potentially overestimated due to uncertainty around bleed rate assumptions over the long-term. </w:t>
      </w:r>
    </w:p>
    <w:p w14:paraId="379D85DF" w14:textId="30A077C9" w:rsidR="001A4A3B" w:rsidRPr="00380BD4" w:rsidRDefault="001A4A3B" w:rsidP="001A4A3B">
      <w:pPr>
        <w:pStyle w:val="NormalBeforeBullet0"/>
      </w:pPr>
      <w:r w:rsidRPr="00D84B66">
        <w:t>ESC noted that the base case incremental cost-effectiveness ratios (ICERs) were $</w:t>
      </w:r>
      <w:r w:rsidR="002C6DC7" w:rsidRPr="00D84B66">
        <w:rPr>
          <w:b/>
          <w:bCs/>
        </w:rPr>
        <w:t>redacted</w:t>
      </w:r>
      <w:r w:rsidRPr="00D84B66">
        <w:t xml:space="preserve"> per quality-adjusted life year (QALY) at 4 years, $</w:t>
      </w:r>
      <w:r w:rsidR="002C6DC7" w:rsidRPr="00D84B66">
        <w:rPr>
          <w:b/>
          <w:bCs/>
        </w:rPr>
        <w:t>redacted</w:t>
      </w:r>
      <w:r w:rsidRPr="00D84B66">
        <w:t xml:space="preserve"> per QALY at 10 years (extrapolated), and dominant (–$</w:t>
      </w:r>
      <w:r w:rsidR="00A82013" w:rsidRPr="00D84B66">
        <w:rPr>
          <w:b/>
          <w:bCs/>
        </w:rPr>
        <w:t>redacted</w:t>
      </w:r>
      <w:r w:rsidRPr="00D84B66">
        <w:t xml:space="preserve"> per QALY) after 15 years (extrapolated). ESC considered that a 10-year time horizon more appropriate</w:t>
      </w:r>
      <w:r w:rsidR="00F96AC6" w:rsidRPr="00D84B66">
        <w:t xml:space="preserve"> </w:t>
      </w:r>
      <w:r w:rsidR="00F96AC6" w:rsidRPr="00D84B66">
        <w:rPr>
          <w:b/>
          <w:bCs/>
        </w:rPr>
        <w:t>redacted</w:t>
      </w:r>
      <w:r w:rsidRPr="00D84B66">
        <w:t xml:space="preserve">. ESC noted that the sensitivity analysis showed the main drivers of the ICER were the cost of </w:t>
      </w:r>
      <w:r w:rsidR="00B01573" w:rsidRPr="00D84B66">
        <w:t>ED</w:t>
      </w:r>
      <w:r w:rsidRPr="00D84B66">
        <w:t>, the high ongoing costs for FIX, and the relatively small QALY difference. ESC noted that, when considering the FIX prices used in the base case (SHL $</w:t>
      </w:r>
      <w:r w:rsidR="00BF4E40" w:rsidRPr="00D84B66">
        <w:rPr>
          <w:b/>
          <w:bCs/>
        </w:rPr>
        <w:t>redacted</w:t>
      </w:r>
      <w:r w:rsidRPr="00D84B66">
        <w:t>/IU and EHL $</w:t>
      </w:r>
      <w:r w:rsidR="00BF4E40" w:rsidRPr="00D84B66">
        <w:rPr>
          <w:b/>
          <w:bCs/>
        </w:rPr>
        <w:t>redacted</w:t>
      </w:r>
      <w:r w:rsidRPr="00D84B66">
        <w:rPr>
          <w:b/>
          <w:bCs/>
        </w:rPr>
        <w:t>/</w:t>
      </w:r>
      <w:r w:rsidRPr="00D84B66">
        <w:t xml:space="preserve">IU), the proposed price of </w:t>
      </w:r>
      <w:r w:rsidR="00B01573" w:rsidRPr="00D84B66">
        <w:t xml:space="preserve">ED </w:t>
      </w:r>
      <w:r w:rsidRPr="00D84B66">
        <w:t>($</w:t>
      </w:r>
      <w:r w:rsidR="005E610C" w:rsidRPr="00D84B66">
        <w:rPr>
          <w:b/>
          <w:bCs/>
        </w:rPr>
        <w:t>redacted</w:t>
      </w:r>
      <w:r w:rsidRPr="00D84B66">
        <w:t>) needs to be reduced to approximately:</w:t>
      </w:r>
    </w:p>
    <w:p w14:paraId="31258AB0" w14:textId="0B81B8BE" w:rsidR="001A4A3B" w:rsidRPr="001E73EC" w:rsidRDefault="001A4A3B" w:rsidP="003758CD">
      <w:pPr>
        <w:pStyle w:val="Bullet"/>
        <w:numPr>
          <w:ilvl w:val="0"/>
          <w:numId w:val="24"/>
        </w:numPr>
        <w:spacing w:before="0"/>
        <w:rPr>
          <w:rFonts w:ascii="Franklin Gothic Book" w:hAnsi="Franklin Gothic Book"/>
        </w:rPr>
      </w:pPr>
      <w:r w:rsidRPr="001E73EC">
        <w:rPr>
          <w:rFonts w:ascii="Franklin Gothic Book" w:hAnsi="Franklin Gothic Book"/>
        </w:rPr>
        <w:t>$</w:t>
      </w:r>
      <w:r w:rsidR="00183342" w:rsidRPr="00D84B66">
        <w:rPr>
          <w:rFonts w:ascii="Franklin Gothic Book" w:hAnsi="Franklin Gothic Book"/>
          <w:b/>
          <w:bCs/>
        </w:rPr>
        <w:t>redacted</w:t>
      </w:r>
      <w:r w:rsidR="00183342">
        <w:rPr>
          <w:rFonts w:ascii="Franklin Gothic Book" w:hAnsi="Franklin Gothic Book"/>
        </w:rPr>
        <w:t xml:space="preserve"> </w:t>
      </w:r>
      <w:r w:rsidRPr="001E73EC">
        <w:rPr>
          <w:rFonts w:ascii="Franklin Gothic Book" w:hAnsi="Franklin Gothic Book"/>
        </w:rPr>
        <w:t xml:space="preserve">to reach dominance </w:t>
      </w:r>
      <w:r>
        <w:rPr>
          <w:rFonts w:ascii="Franklin Gothic Book" w:hAnsi="Franklin Gothic Book"/>
        </w:rPr>
        <w:t>over</w:t>
      </w:r>
      <w:r w:rsidRPr="001E73EC">
        <w:rPr>
          <w:rFonts w:ascii="Franklin Gothic Book" w:hAnsi="Franklin Gothic Book"/>
        </w:rPr>
        <w:t xml:space="preserve"> a 10-year time horizon (</w:t>
      </w:r>
      <w:r w:rsidR="00F96AC6" w:rsidRPr="009D6E50">
        <w:rPr>
          <w:rFonts w:ascii="Franklin Gothic Book" w:hAnsi="Franklin Gothic Book"/>
          <w:b/>
          <w:bCs/>
        </w:rPr>
        <w:t>redacted</w:t>
      </w:r>
      <w:r w:rsidRPr="004E5848">
        <w:rPr>
          <w:rFonts w:ascii="Franklin Gothic Book" w:hAnsi="Franklin Gothic Book"/>
        </w:rPr>
        <w:t>), assuming 10 payment instalments</w:t>
      </w:r>
      <w:r w:rsidRPr="001E73EC">
        <w:rPr>
          <w:rFonts w:ascii="Franklin Gothic Book" w:hAnsi="Franklin Gothic Book"/>
        </w:rPr>
        <w:t xml:space="preserve">; </w:t>
      </w:r>
      <w:r w:rsidRPr="0092046E">
        <w:rPr>
          <w:rFonts w:ascii="Franklin Gothic Book" w:hAnsi="Franklin Gothic Book"/>
        </w:rPr>
        <w:t xml:space="preserve">or </w:t>
      </w:r>
      <w:r w:rsidRPr="001E0E68">
        <w:rPr>
          <w:rFonts w:ascii="Franklin Gothic Book" w:hAnsi="Franklin Gothic Book"/>
          <w:b/>
          <w:bCs/>
        </w:rPr>
        <w:t>$</w:t>
      </w:r>
      <w:r w:rsidR="00142A32" w:rsidRPr="001E0E68">
        <w:rPr>
          <w:rFonts w:ascii="Franklin Gothic Book" w:hAnsi="Franklin Gothic Book"/>
          <w:b/>
          <w:bCs/>
        </w:rPr>
        <w:t>redacted</w:t>
      </w:r>
      <w:r w:rsidRPr="0092046E">
        <w:rPr>
          <w:rFonts w:ascii="Franklin Gothic Book" w:hAnsi="Franklin Gothic Book"/>
        </w:rPr>
        <w:t xml:space="preserve"> when taking into account current prices of the two therapies used </w:t>
      </w:r>
      <w:r w:rsidRPr="0092046E">
        <w:rPr>
          <w:rFonts w:ascii="Franklin Gothic Book" w:hAnsi="Franklin Gothic Book"/>
        </w:rPr>
        <w:lastRenderedPageBreak/>
        <w:t xml:space="preserve">for routine prophylaxis- ALPROLIX and </w:t>
      </w:r>
      <w:proofErr w:type="spellStart"/>
      <w:r w:rsidRPr="0092046E">
        <w:rPr>
          <w:rFonts w:ascii="Franklin Gothic Book" w:hAnsi="Franklin Gothic Book"/>
        </w:rPr>
        <w:t>BeneFIX</w:t>
      </w:r>
      <w:proofErr w:type="spellEnd"/>
      <w:r w:rsidRPr="0092046E">
        <w:rPr>
          <w:rFonts w:ascii="Franklin Gothic Book" w:hAnsi="Franklin Gothic Book"/>
        </w:rPr>
        <w:t xml:space="preserve"> (a </w:t>
      </w:r>
      <w:r w:rsidR="00142A32" w:rsidRPr="00C73F4B">
        <w:rPr>
          <w:rFonts w:ascii="Franklin Gothic Book" w:hAnsi="Franklin Gothic Book"/>
          <w:b/>
          <w:bCs/>
        </w:rPr>
        <w:t>redacted</w:t>
      </w:r>
      <w:r w:rsidRPr="001E0E68">
        <w:rPr>
          <w:rFonts w:ascii="Franklin Gothic Book" w:hAnsi="Franklin Gothic Book"/>
          <w:b/>
          <w:bCs/>
        </w:rPr>
        <w:t>%</w:t>
      </w:r>
      <w:r w:rsidRPr="0092046E">
        <w:rPr>
          <w:rFonts w:ascii="Franklin Gothic Book" w:hAnsi="Franklin Gothic Book"/>
        </w:rPr>
        <w:t xml:space="preserve"> price reduction relative to the current proposed price of </w:t>
      </w:r>
      <w:r w:rsidRPr="002B0DC8">
        <w:rPr>
          <w:rFonts w:ascii="Franklin Gothic Book" w:hAnsi="Franklin Gothic Book"/>
        </w:rPr>
        <w:t>$</w:t>
      </w:r>
      <w:r w:rsidR="00183342" w:rsidRPr="00D84B66">
        <w:rPr>
          <w:rFonts w:ascii="Franklin Gothic Book" w:hAnsi="Franklin Gothic Book"/>
          <w:b/>
          <w:bCs/>
        </w:rPr>
        <w:t>redacted</w:t>
      </w:r>
      <w:r w:rsidRPr="0092046E">
        <w:rPr>
          <w:rFonts w:ascii="Franklin Gothic Book" w:hAnsi="Franklin Gothic Book"/>
        </w:rPr>
        <w:t>)</w:t>
      </w:r>
    </w:p>
    <w:p w14:paraId="08465124" w14:textId="1409C457" w:rsidR="001A4A3B" w:rsidRDefault="001A4A3B" w:rsidP="003758CD">
      <w:pPr>
        <w:pStyle w:val="BulletLast"/>
        <w:numPr>
          <w:ilvl w:val="0"/>
          <w:numId w:val="24"/>
        </w:numPr>
      </w:pPr>
      <w:r w:rsidRPr="00380BD4">
        <w:t>$</w:t>
      </w:r>
      <w:r w:rsidR="00BF4E40" w:rsidRPr="00D84B66">
        <w:rPr>
          <w:b/>
          <w:bCs/>
        </w:rPr>
        <w:t>redacted</w:t>
      </w:r>
      <w:r w:rsidRPr="00380BD4">
        <w:t xml:space="preserve"> to reach dominance at 4</w:t>
      </w:r>
      <w:r>
        <w:t> </w:t>
      </w:r>
      <w:r w:rsidRPr="00380BD4">
        <w:t>years (the duration of follow-up in HOPE-B</w:t>
      </w:r>
      <w:r w:rsidRPr="00F34D43">
        <w:t xml:space="preserve">), assuming 4 payment instalments; </w:t>
      </w:r>
      <w:r w:rsidRPr="00F9033F">
        <w:t>or</w:t>
      </w:r>
      <w:r w:rsidRPr="00380BD4">
        <w:t xml:space="preserve"> </w:t>
      </w:r>
      <w:r w:rsidRPr="001E0E68">
        <w:rPr>
          <w:b/>
          <w:bCs/>
        </w:rPr>
        <w:t>$</w:t>
      </w:r>
      <w:r w:rsidR="00142A32" w:rsidRPr="00C73F4B">
        <w:rPr>
          <w:b/>
          <w:bCs/>
        </w:rPr>
        <w:t>redacted</w:t>
      </w:r>
      <w:r w:rsidR="00142A32" w:rsidRPr="0092046E">
        <w:t xml:space="preserve"> </w:t>
      </w:r>
      <w:r>
        <w:t xml:space="preserve">when taking into account current prices of the two therapies used for </w:t>
      </w:r>
      <w:r w:rsidRPr="00DA66AA">
        <w:t>routine prophylaxis</w:t>
      </w:r>
      <w:r>
        <w:t xml:space="preserve">- </w:t>
      </w:r>
      <w:r w:rsidRPr="00CD4A34">
        <w:t>ALPROLIX</w:t>
      </w:r>
      <w:r>
        <w:t xml:space="preserve"> and </w:t>
      </w:r>
      <w:proofErr w:type="spellStart"/>
      <w:r>
        <w:t>BeneFIX</w:t>
      </w:r>
      <w:proofErr w:type="spellEnd"/>
      <w:r>
        <w:t xml:space="preserve"> </w:t>
      </w:r>
      <w:r w:rsidRPr="00380BD4">
        <w:t xml:space="preserve">(a </w:t>
      </w:r>
      <w:r w:rsidR="00142A32" w:rsidRPr="00C73F4B">
        <w:rPr>
          <w:b/>
          <w:bCs/>
        </w:rPr>
        <w:t>redacted%</w:t>
      </w:r>
      <w:r w:rsidRPr="00380BD4">
        <w:t xml:space="preserve"> price reduction</w:t>
      </w:r>
      <w:r>
        <w:t xml:space="preserve"> relative to the current proposed price of $</w:t>
      </w:r>
      <w:r w:rsidR="00BF4E40" w:rsidRPr="00D84B66">
        <w:rPr>
          <w:b/>
          <w:bCs/>
        </w:rPr>
        <w:t>redacted</w:t>
      </w:r>
      <w:r w:rsidRPr="00380BD4">
        <w:t>)</w:t>
      </w:r>
      <w:r>
        <w:t>.</w:t>
      </w:r>
    </w:p>
    <w:p w14:paraId="0CA38555" w14:textId="71F6920F" w:rsidR="001A4A3B" w:rsidRDefault="001A4A3B" w:rsidP="001A4A3B">
      <w:pPr>
        <w:pStyle w:val="BulletLast"/>
        <w:numPr>
          <w:ilvl w:val="0"/>
          <w:numId w:val="0"/>
        </w:numPr>
      </w:pPr>
      <w:r>
        <w:t xml:space="preserve">ESC noted that the </w:t>
      </w:r>
      <w:r w:rsidRPr="00420FC4">
        <w:t xml:space="preserve">approximate price for </w:t>
      </w:r>
      <w:r w:rsidR="00B01573">
        <w:t>ED</w:t>
      </w:r>
      <w:r w:rsidR="00B01573" w:rsidRPr="00420FC4">
        <w:t xml:space="preserve"> </w:t>
      </w:r>
      <w:r w:rsidRPr="00420FC4">
        <w:t>to reach an ICER of $100,000</w:t>
      </w:r>
      <w:r>
        <w:t>/QALY</w:t>
      </w:r>
      <w:r w:rsidRPr="00420FC4">
        <w:t xml:space="preserve"> at</w:t>
      </w:r>
    </w:p>
    <w:p w14:paraId="783ECAA5" w14:textId="7F5B2349" w:rsidR="001A4A3B" w:rsidRPr="00F34D43" w:rsidRDefault="001A4A3B" w:rsidP="003758CD">
      <w:pPr>
        <w:pStyle w:val="BulletLast"/>
        <w:numPr>
          <w:ilvl w:val="0"/>
          <w:numId w:val="26"/>
        </w:numPr>
      </w:pPr>
      <w:r w:rsidRPr="00F34D43">
        <w:t>4 years</w:t>
      </w:r>
      <w:r w:rsidRPr="00F34D43">
        <w:rPr>
          <w:rFonts w:eastAsiaTheme="minorHAnsi" w:cstheme="minorBidi"/>
          <w:color w:val="auto"/>
          <w:szCs w:val="22"/>
          <w:lang w:eastAsia="en-US"/>
        </w:rPr>
        <w:t xml:space="preserve"> </w:t>
      </w:r>
      <w:r w:rsidRPr="00F34D43">
        <w:t>is $</w:t>
      </w:r>
      <w:r w:rsidR="00BF4E40" w:rsidRPr="00F34D43">
        <w:rPr>
          <w:b/>
        </w:rPr>
        <w:t>redacted</w:t>
      </w:r>
      <w:r w:rsidRPr="00F34D43">
        <w:t xml:space="preserve"> (with </w:t>
      </w:r>
      <w:r w:rsidRPr="00F34D43" w:rsidDel="00656DE6">
        <w:t>4 payment instalments</w:t>
      </w:r>
      <w:r w:rsidRPr="00F34D43">
        <w:t xml:space="preserve">) or a price of </w:t>
      </w:r>
      <w:r w:rsidR="00142A32" w:rsidRPr="00F34D43">
        <w:rPr>
          <w:b/>
        </w:rPr>
        <w:t>$redacted</w:t>
      </w:r>
      <w:r w:rsidR="00142A32" w:rsidRPr="00F34D43">
        <w:t xml:space="preserve"> </w:t>
      </w:r>
      <w:r w:rsidRPr="00F34D43">
        <w:t xml:space="preserve">when taking into account current prices of the two therapies used for routine prophylaxis- ALPROLIX and </w:t>
      </w:r>
      <w:proofErr w:type="spellStart"/>
      <w:r w:rsidRPr="00F34D43">
        <w:t>BeneFIX</w:t>
      </w:r>
      <w:proofErr w:type="spellEnd"/>
    </w:p>
    <w:p w14:paraId="1BF101B2" w14:textId="66659B0F" w:rsidR="001A4A3B" w:rsidRPr="00F34D43" w:rsidRDefault="001A4A3B" w:rsidP="003758CD">
      <w:pPr>
        <w:pStyle w:val="BulletLast"/>
        <w:numPr>
          <w:ilvl w:val="0"/>
          <w:numId w:val="26"/>
        </w:numPr>
      </w:pPr>
      <w:r w:rsidRPr="00F34D43">
        <w:t>7 years is $</w:t>
      </w:r>
      <w:r w:rsidR="00BF4E40" w:rsidRPr="00F34D43">
        <w:rPr>
          <w:b/>
        </w:rPr>
        <w:t>redacted</w:t>
      </w:r>
      <w:r w:rsidRPr="00F34D43">
        <w:t xml:space="preserve"> (with </w:t>
      </w:r>
      <w:r w:rsidRPr="00F34D43" w:rsidDel="00656DE6">
        <w:t>7 payment instalments</w:t>
      </w:r>
      <w:r w:rsidRPr="00F34D43">
        <w:t xml:space="preserve">) or a price of </w:t>
      </w:r>
      <w:r w:rsidR="00142A32" w:rsidRPr="00F34D43">
        <w:rPr>
          <w:b/>
        </w:rPr>
        <w:t>$redacted</w:t>
      </w:r>
      <w:r w:rsidR="00142A32" w:rsidRPr="00F34D43">
        <w:t xml:space="preserve"> </w:t>
      </w:r>
      <w:r w:rsidRPr="00F34D43">
        <w:t xml:space="preserve">when taking into account current prices of the two therapies used for routine prophylaxis- ALPROLIX and </w:t>
      </w:r>
      <w:proofErr w:type="spellStart"/>
      <w:r w:rsidRPr="00F34D43">
        <w:t>BeneFIX</w:t>
      </w:r>
      <w:proofErr w:type="spellEnd"/>
      <w:r w:rsidRPr="00F34D43">
        <w:t>.</w:t>
      </w:r>
    </w:p>
    <w:p w14:paraId="07DAD6EB" w14:textId="62FA6BE2" w:rsidR="001A4A3B" w:rsidRPr="00F34D43" w:rsidRDefault="001A4A3B" w:rsidP="003758CD">
      <w:pPr>
        <w:pStyle w:val="BulletLast"/>
        <w:numPr>
          <w:ilvl w:val="0"/>
          <w:numId w:val="26"/>
        </w:numPr>
      </w:pPr>
      <w:r w:rsidRPr="00F34D43">
        <w:t>10 years is $</w:t>
      </w:r>
      <w:r w:rsidR="00BF4E40" w:rsidRPr="00F34D43">
        <w:rPr>
          <w:b/>
        </w:rPr>
        <w:t>redacted</w:t>
      </w:r>
      <w:r w:rsidRPr="00F34D43">
        <w:t xml:space="preserve"> (with </w:t>
      </w:r>
      <w:r w:rsidRPr="00F34D43" w:rsidDel="00656DE6">
        <w:t>10 payment instalments</w:t>
      </w:r>
      <w:r w:rsidRPr="00F34D43">
        <w:t xml:space="preserve">) or a price of </w:t>
      </w:r>
      <w:r w:rsidR="00142A32" w:rsidRPr="00F34D43">
        <w:rPr>
          <w:b/>
        </w:rPr>
        <w:t>$redacted</w:t>
      </w:r>
      <w:r w:rsidR="00142A32" w:rsidRPr="00F34D43">
        <w:t xml:space="preserve"> </w:t>
      </w:r>
      <w:r w:rsidRPr="00F34D43">
        <w:t xml:space="preserve">when taking into account current prices of the two therapies used for routine prophylaxis- ALPROLIX and </w:t>
      </w:r>
      <w:proofErr w:type="spellStart"/>
      <w:r w:rsidRPr="00F34D43">
        <w:t>BeneFIX</w:t>
      </w:r>
      <w:proofErr w:type="spellEnd"/>
      <w:r w:rsidRPr="00F34D43">
        <w:t>.</w:t>
      </w:r>
    </w:p>
    <w:p w14:paraId="7173B342" w14:textId="1B4E2F48" w:rsidR="001A4A3B" w:rsidRDefault="001A4A3B" w:rsidP="001A4A3B">
      <w:r>
        <w:t xml:space="preserve">ESC acknowledged that the revised economic model structure in this application is improved and informative for understanding cost implications but remains highly uncertain due to limited long term clinical evidence and the absence of evidence of survival and quality-of-life advantage with </w:t>
      </w:r>
      <w:r w:rsidR="00B01573">
        <w:t>ED</w:t>
      </w:r>
      <w:r>
        <w:t>.</w:t>
      </w:r>
    </w:p>
    <w:p w14:paraId="7EB0EC86" w14:textId="77777777" w:rsidR="001A4A3B" w:rsidRDefault="001A4A3B" w:rsidP="001A4A3B">
      <w:pPr>
        <w:pStyle w:val="NormalBeforeBullet0"/>
      </w:pPr>
      <w:r>
        <w:t>ESC noted the resubmitted financial impact included additional costs as requested by MSAC:</w:t>
      </w:r>
    </w:p>
    <w:p w14:paraId="646ED321" w14:textId="77777777" w:rsidR="001A4A3B" w:rsidRPr="001E73EC" w:rsidRDefault="001A4A3B" w:rsidP="003758CD">
      <w:pPr>
        <w:pStyle w:val="Bullet"/>
        <w:numPr>
          <w:ilvl w:val="0"/>
          <w:numId w:val="24"/>
        </w:numPr>
        <w:spacing w:before="0"/>
        <w:rPr>
          <w:rFonts w:ascii="Franklin Gothic Book" w:hAnsi="Franklin Gothic Book"/>
        </w:rPr>
      </w:pPr>
      <w:r w:rsidRPr="001E73EC">
        <w:rPr>
          <w:rFonts w:ascii="Franklin Gothic Book" w:hAnsi="Franklin Gothic Book"/>
        </w:rPr>
        <w:t>additional eligibility criteria</w:t>
      </w:r>
    </w:p>
    <w:p w14:paraId="0AA67BF9" w14:textId="77777777" w:rsidR="001A4A3B" w:rsidRPr="001E73EC" w:rsidRDefault="001A4A3B" w:rsidP="003758CD">
      <w:pPr>
        <w:pStyle w:val="Bullet"/>
        <w:numPr>
          <w:ilvl w:val="0"/>
          <w:numId w:val="24"/>
        </w:numPr>
        <w:spacing w:before="0"/>
        <w:rPr>
          <w:rFonts w:ascii="Franklin Gothic Book" w:hAnsi="Franklin Gothic Book"/>
        </w:rPr>
      </w:pPr>
      <w:r w:rsidRPr="001E73EC">
        <w:rPr>
          <w:rFonts w:ascii="Franklin Gothic Book" w:hAnsi="Franklin Gothic Book"/>
        </w:rPr>
        <w:t>additional evidence to support the estimated utilisation</w:t>
      </w:r>
    </w:p>
    <w:p w14:paraId="2FEEB0E9" w14:textId="77777777" w:rsidR="001A4A3B" w:rsidRPr="001E73EC" w:rsidRDefault="001A4A3B" w:rsidP="003758CD">
      <w:pPr>
        <w:pStyle w:val="Bullet"/>
        <w:numPr>
          <w:ilvl w:val="0"/>
          <w:numId w:val="24"/>
        </w:numPr>
        <w:spacing w:before="0"/>
        <w:rPr>
          <w:rFonts w:ascii="Franklin Gothic Book" w:hAnsi="Franklin Gothic Book"/>
        </w:rPr>
      </w:pPr>
      <w:r w:rsidRPr="001E73EC">
        <w:rPr>
          <w:rFonts w:ascii="Franklin Gothic Book" w:hAnsi="Franklin Gothic Book"/>
        </w:rPr>
        <w:t>pre-treatment testing and screening and post-treatment monitoring costs, including AEs</w:t>
      </w:r>
    </w:p>
    <w:p w14:paraId="7305AFFC" w14:textId="77777777" w:rsidR="001A4A3B" w:rsidRPr="00235689" w:rsidRDefault="001A4A3B" w:rsidP="003758CD">
      <w:pPr>
        <w:pStyle w:val="BulletLast"/>
        <w:numPr>
          <w:ilvl w:val="0"/>
          <w:numId w:val="24"/>
        </w:numPr>
      </w:pPr>
      <w:r w:rsidRPr="00235689">
        <w:t>estimates that included the payment schedule as per the proposed RSA.</w:t>
      </w:r>
    </w:p>
    <w:p w14:paraId="3C3D527B" w14:textId="73927F6F" w:rsidR="001A4A3B" w:rsidRDefault="001A4A3B" w:rsidP="001A4A3B">
      <w:r>
        <w:t xml:space="preserve">ESC noted that the net financial impact of funding </w:t>
      </w:r>
      <w:r w:rsidR="00B01573">
        <w:t xml:space="preserve">ED </w:t>
      </w:r>
      <w:r>
        <w:t>(</w:t>
      </w:r>
      <w:r w:rsidRPr="008A6B34">
        <w:t>considering the current prices of FIX therapies</w:t>
      </w:r>
      <w:r>
        <w:t xml:space="preserve">) was </w:t>
      </w:r>
      <w:r w:rsidR="00142A32" w:rsidRPr="00C73F4B">
        <w:rPr>
          <w:b/>
          <w:bCs/>
        </w:rPr>
        <w:t>$redacted</w:t>
      </w:r>
      <w:r w:rsidR="00142A32" w:rsidRPr="0092046E">
        <w:t xml:space="preserve"> </w:t>
      </w:r>
      <w:r>
        <w:t xml:space="preserve">in year 1 to </w:t>
      </w:r>
      <w:r w:rsidR="00142A32" w:rsidRPr="00C73F4B">
        <w:rPr>
          <w:b/>
          <w:bCs/>
        </w:rPr>
        <w:t>$redacted</w:t>
      </w:r>
      <w:r w:rsidR="00142A32" w:rsidRPr="0092046E">
        <w:t xml:space="preserve"> </w:t>
      </w:r>
      <w:r>
        <w:t>in year 6. Most of these costs would be for the National Blood Agreement, with the states and territories responsible for 37% of these costs and the Australian Government responsible for the remaining 63%.</w:t>
      </w:r>
    </w:p>
    <w:p w14:paraId="1791FCF2" w14:textId="15DCAAD3" w:rsidR="001A4A3B" w:rsidRDefault="001A4A3B" w:rsidP="001A4A3B">
      <w:r>
        <w:t xml:space="preserve">ESC compared </w:t>
      </w:r>
      <w:r w:rsidR="003B4585">
        <w:t xml:space="preserve">ED </w:t>
      </w:r>
      <w:r>
        <w:t xml:space="preserve">with other previously considered highly specialised therapies. </w:t>
      </w:r>
      <w:proofErr w:type="spellStart"/>
      <w:r>
        <w:t>V</w:t>
      </w:r>
      <w:r w:rsidRPr="00631CA4">
        <w:t>oretigene</w:t>
      </w:r>
      <w:proofErr w:type="spellEnd"/>
      <w:r w:rsidRPr="00631CA4">
        <w:t xml:space="preserve"> </w:t>
      </w:r>
      <w:proofErr w:type="spellStart"/>
      <w:r w:rsidRPr="00631CA4">
        <w:t>neparvovec</w:t>
      </w:r>
      <w:proofErr w:type="spellEnd"/>
      <w:r>
        <w:t xml:space="preserve"> (Luxturna</w:t>
      </w:r>
      <w:r w:rsidRPr="002727E5">
        <w:rPr>
          <w:vertAlign w:val="superscript"/>
        </w:rPr>
        <w:t>®</w:t>
      </w:r>
      <w:r>
        <w:t>) (</w:t>
      </w:r>
      <w:hyperlink r:id="rId30" w:history="1">
        <w:r w:rsidRPr="00FA701C">
          <w:rPr>
            <w:rStyle w:val="Hyperlink"/>
          </w:rPr>
          <w:t>MSAC application 1623</w:t>
        </w:r>
      </w:hyperlink>
      <w:r>
        <w:t xml:space="preserve">) was supported at a cost of </w:t>
      </w:r>
      <w:r w:rsidR="00142A32" w:rsidRPr="00C73F4B">
        <w:rPr>
          <w:b/>
          <w:bCs/>
        </w:rPr>
        <w:t>$redacted</w:t>
      </w:r>
      <w:r w:rsidR="00142A32" w:rsidRPr="0092046E">
        <w:t xml:space="preserve"> </w:t>
      </w:r>
      <w:r>
        <w:t xml:space="preserve">per patient. ESC noted that there was a high clinical need for this therapy as there were no alternative treatments for this condition and patients would eventually progress to blindness, and a stronger evidence base (a randomised controlled trial </w:t>
      </w:r>
      <w:r w:rsidRPr="00CE3B87">
        <w:rPr>
          <w:i/>
          <w:iCs/>
        </w:rPr>
        <w:t>(n</w:t>
      </w:r>
      <w:r>
        <w:t xml:space="preserve"> = 29) with 7 years follow-up) than for </w:t>
      </w:r>
      <w:r w:rsidR="003B4585">
        <w:t>ED</w:t>
      </w:r>
      <w:r>
        <w:t xml:space="preserve">. ESC noted that the RSA for </w:t>
      </w:r>
      <w:proofErr w:type="spellStart"/>
      <w:r>
        <w:t>v</w:t>
      </w:r>
      <w:r w:rsidRPr="00631CA4">
        <w:t>oretigene</w:t>
      </w:r>
      <w:proofErr w:type="spellEnd"/>
      <w:r w:rsidRPr="00631CA4">
        <w:t xml:space="preserve"> </w:t>
      </w:r>
      <w:proofErr w:type="spellStart"/>
      <w:r w:rsidRPr="00631CA4">
        <w:t>neparvovec</w:t>
      </w:r>
      <w:proofErr w:type="spellEnd"/>
      <w:r>
        <w:t xml:space="preserve"> was very detailed and included multiple requirements. ESC further noted that other high-cost therapies, such as CAR-T therapies (considered by MSAC) and nusinersen and </w:t>
      </w:r>
      <w:proofErr w:type="spellStart"/>
      <w:r w:rsidRPr="004C0753">
        <w:t>onasemnogene</w:t>
      </w:r>
      <w:proofErr w:type="spellEnd"/>
      <w:r w:rsidRPr="004C0753">
        <w:t xml:space="preserve"> </w:t>
      </w:r>
      <w:proofErr w:type="spellStart"/>
      <w:r w:rsidRPr="004C0753">
        <w:t>abeparvovec</w:t>
      </w:r>
      <w:proofErr w:type="spellEnd"/>
      <w:r>
        <w:t xml:space="preserve"> (considered by PBAC), are all substantially less expensive than the proposed price for </w:t>
      </w:r>
      <w:r w:rsidR="00B01573">
        <w:t>ED</w:t>
      </w:r>
      <w:r>
        <w:t>.</w:t>
      </w:r>
    </w:p>
    <w:p w14:paraId="56A19599" w14:textId="3C09AA59" w:rsidR="001A4A3B" w:rsidRDefault="001A4A3B" w:rsidP="001A4A3B">
      <w:r>
        <w:t xml:space="preserve">ESC noted other relevant significant factors, including that global uptake of </w:t>
      </w:r>
      <w:r w:rsidR="00B01573">
        <w:t xml:space="preserve">ED </w:t>
      </w:r>
      <w:r>
        <w:t xml:space="preserve">has been low, likely due to other upcoming therapies, system barriers and the effectiveness of FIX treatment and prophylaxis. The </w:t>
      </w:r>
      <w:r w:rsidRPr="00770765">
        <w:t>ADAR report</w:t>
      </w:r>
      <w:r>
        <w:t>ed</w:t>
      </w:r>
      <w:r w:rsidRPr="00770765">
        <w:t xml:space="preserve"> </w:t>
      </w:r>
      <w:r>
        <w:t xml:space="preserve">that </w:t>
      </w:r>
      <w:r w:rsidR="00483703" w:rsidRPr="00D84B66">
        <w:rPr>
          <w:b/>
          <w:bCs/>
        </w:rPr>
        <w:t>redacted</w:t>
      </w:r>
      <w:r w:rsidRPr="00483703">
        <w:t> </w:t>
      </w:r>
      <w:r w:rsidRPr="00770765">
        <w:t xml:space="preserve">patients </w:t>
      </w:r>
      <w:r>
        <w:t xml:space="preserve">had received </w:t>
      </w:r>
      <w:r w:rsidR="00B01573">
        <w:t xml:space="preserve">ED </w:t>
      </w:r>
      <w:r>
        <w:t xml:space="preserve">and were participating in </w:t>
      </w:r>
      <w:r w:rsidRPr="00770765">
        <w:t xml:space="preserve">post-marketing </w:t>
      </w:r>
      <w:r>
        <w:t xml:space="preserve">studies </w:t>
      </w:r>
      <w:r w:rsidRPr="00770765">
        <w:t xml:space="preserve">in </w:t>
      </w:r>
      <w:r>
        <w:t xml:space="preserve">the </w:t>
      </w:r>
      <w:r w:rsidRPr="00770765">
        <w:t>US and France (</w:t>
      </w:r>
      <w:r>
        <w:t xml:space="preserve">up </w:t>
      </w:r>
      <w:r w:rsidRPr="00770765">
        <w:t>to Nov</w:t>
      </w:r>
      <w:r>
        <w:t>ember</w:t>
      </w:r>
      <w:r w:rsidRPr="00770765">
        <w:t xml:space="preserve"> 2024).</w:t>
      </w:r>
      <w:r>
        <w:t xml:space="preserve"> ESC noted the pre-ESC response explained that this low uptake was </w:t>
      </w:r>
      <w:r w:rsidRPr="00860C83">
        <w:t>partly due to</w:t>
      </w:r>
      <w:r>
        <w:t xml:space="preserve"> the operation of </w:t>
      </w:r>
      <w:r w:rsidRPr="00860C83">
        <w:t>RSA</w:t>
      </w:r>
      <w:r>
        <w:t>s</w:t>
      </w:r>
      <w:r w:rsidRPr="00860C83">
        <w:t xml:space="preserve"> with individual monitoring requirements and other barriers which delay treatment</w:t>
      </w:r>
      <w:r>
        <w:t xml:space="preserve">. ESC also noted that </w:t>
      </w:r>
      <w:r w:rsidR="00B01573">
        <w:lastRenderedPageBreak/>
        <w:t xml:space="preserve">ED </w:t>
      </w:r>
      <w:r>
        <w:t>currently holds a provisional registration by the Therapeutic Goods Administration (TGA), with this status due to be reviewed in 2026. ESC also raised a concern regarding potential supply constraints, which may affect the ability of the sponsor to supply the treatment in Australia.</w:t>
      </w:r>
    </w:p>
    <w:p w14:paraId="0FF4E594" w14:textId="610105B1" w:rsidR="001A4A3B" w:rsidRDefault="001A4A3B" w:rsidP="001A4A3B">
      <w:r>
        <w:t xml:space="preserve">ESC noted that the funding for </w:t>
      </w:r>
      <w:r w:rsidR="00B01573">
        <w:t xml:space="preserve">ED </w:t>
      </w:r>
      <w:r>
        <w:t xml:space="preserve">is proposed through the National Blood Agreement; </w:t>
      </w:r>
      <w:r w:rsidR="00142A32" w:rsidRPr="001E0E68">
        <w:rPr>
          <w:b/>
          <w:bCs/>
        </w:rPr>
        <w:t>redacted</w:t>
      </w:r>
      <w:r w:rsidRPr="001E0E68">
        <w:t xml:space="preserve">. </w:t>
      </w:r>
      <w:r>
        <w:t xml:space="preserve">ESC also noted that cost savings associated with the use of </w:t>
      </w:r>
      <w:r w:rsidR="00B01573">
        <w:t>ED</w:t>
      </w:r>
      <w:r>
        <w:t xml:space="preserve">, due to its use as an alternative or complement to FIX, would accrue to the </w:t>
      </w:r>
      <w:r w:rsidR="002E30C8">
        <w:t>National Blood Agreement</w:t>
      </w:r>
      <w:r>
        <w:t xml:space="preserve">. However, ESC also noted that any decision to fund </w:t>
      </w:r>
      <w:r w:rsidR="00B01573">
        <w:t xml:space="preserve">ED </w:t>
      </w:r>
      <w:r>
        <w:t xml:space="preserve">under the National Blood Agreement is a decision of all governments, facilitated through the Jurisdictional Blood Committee ahead of consideration by all health ministers. </w:t>
      </w:r>
    </w:p>
    <w:p w14:paraId="41180DD2" w14:textId="3EE067AD" w:rsidR="001A4A3B" w:rsidRDefault="001A4A3B" w:rsidP="001A4A3B">
      <w:r w:rsidRPr="00070C3C">
        <w:t>ESC reviewed the proposed RSA. The applicant proposed a price reduction of ~</w:t>
      </w:r>
      <w:r w:rsidR="00070C3C" w:rsidRPr="00D84B66">
        <w:rPr>
          <w:b/>
          <w:bCs/>
        </w:rPr>
        <w:t>redacted</w:t>
      </w:r>
      <w:r w:rsidRPr="00D84B66">
        <w:t>%</w:t>
      </w:r>
      <w:r w:rsidRPr="00070C3C">
        <w:t xml:space="preserve"> (from $</w:t>
      </w:r>
      <w:r w:rsidR="00BA2D26" w:rsidRPr="00D84B66">
        <w:rPr>
          <w:b/>
          <w:bCs/>
        </w:rPr>
        <w:t>redacted</w:t>
      </w:r>
      <w:r w:rsidRPr="00070C3C">
        <w:t xml:space="preserve"> to $</w:t>
      </w:r>
      <w:r w:rsidR="00BA2D26" w:rsidRPr="00D84B66">
        <w:rPr>
          <w:b/>
          <w:bCs/>
        </w:rPr>
        <w:t>redacted</w:t>
      </w:r>
      <w:r w:rsidRPr="00D84B66">
        <w:rPr>
          <w:b/>
          <w:bCs/>
        </w:rPr>
        <w:t>),</w:t>
      </w:r>
      <w:r w:rsidRPr="00070C3C">
        <w:t xml:space="preserve"> with </w:t>
      </w:r>
      <w:r w:rsidR="00070C3C" w:rsidRPr="00D84B66">
        <w:rPr>
          <w:b/>
          <w:bCs/>
        </w:rPr>
        <w:t>redacted</w:t>
      </w:r>
      <w:r w:rsidRPr="00D84B66">
        <w:t>.</w:t>
      </w:r>
      <w:r w:rsidRPr="00070C3C">
        <w:t xml:space="preserve"> The RSA </w:t>
      </w:r>
      <w:r w:rsidR="00BA2D26" w:rsidRPr="00D84B66">
        <w:rPr>
          <w:b/>
          <w:bCs/>
        </w:rPr>
        <w:t>redacted</w:t>
      </w:r>
      <w:r w:rsidRPr="00D84B66">
        <w:t>.</w:t>
      </w:r>
      <w:r w:rsidRPr="00070C3C">
        <w:t xml:space="preserve"> </w:t>
      </w:r>
    </w:p>
    <w:p w14:paraId="52D70DD3" w14:textId="1A4D4264" w:rsidR="001A4A3B" w:rsidRDefault="001A4A3B" w:rsidP="001A4A3B">
      <w:r w:rsidRPr="00812C93">
        <w:t xml:space="preserve">ESC agreed with the commentary that the proposed </w:t>
      </w:r>
      <w:r w:rsidRPr="00195853">
        <w:t xml:space="preserve">RSA was not entirely feasible from an implementation perspective and was open to interpretation, and agreed with the specific proposals made by the commentary on how to further amend the RSA. Thus, clarification around the wording would be required. ESC considered the proposed price reduction to be inadequate and noted that the </w:t>
      </w:r>
      <w:r w:rsidR="00FF2D46" w:rsidRPr="00195853">
        <w:rPr>
          <w:b/>
          <w:bCs/>
        </w:rPr>
        <w:t>r</w:t>
      </w:r>
      <w:r w:rsidRPr="00195853">
        <w:rPr>
          <w:b/>
          <w:bCs/>
        </w:rPr>
        <w:t>e</w:t>
      </w:r>
      <w:r w:rsidR="00FF2D46" w:rsidRPr="00195853">
        <w:rPr>
          <w:b/>
          <w:bCs/>
        </w:rPr>
        <w:t>dacted</w:t>
      </w:r>
      <w:r w:rsidRPr="00195853">
        <w:t xml:space="preserve"> were not a price reduction. ESC noted in the pre-ESC response the applicant’s willingness to work with the Department on the RSA. ESC queried whether the applicant would be willing to fund the data collection process for the RSA, and, if so, whether appropriate independence and access to the results would apply. ESC requested the applicant to share treatment failure criteria from </w:t>
      </w:r>
      <w:r w:rsidR="00B01573" w:rsidRPr="00195853">
        <w:t xml:space="preserve">ED </w:t>
      </w:r>
      <w:r w:rsidRPr="00195853">
        <w:t>RSAs in other jurisdictions.</w:t>
      </w:r>
    </w:p>
    <w:p w14:paraId="1F3A3E02" w14:textId="342314C0" w:rsidR="001A4A3B" w:rsidRDefault="00E4533A" w:rsidP="001A4A3B">
      <w:r>
        <w:rPr>
          <w:b/>
        </w:rPr>
        <w:t>Redacted</w:t>
      </w:r>
      <w:r w:rsidR="0090506A">
        <w:t>.</w:t>
      </w:r>
      <w:r w:rsidR="001A4A3B" w:rsidRPr="00D84B66">
        <w:t xml:space="preserve"> </w:t>
      </w:r>
      <w:r w:rsidR="001A4A3B" w:rsidRPr="00612BEB" w:rsidDel="00894334">
        <w:t>Alternatively, ESC proposed using other outcomes from the HOPE-B study, such as pre- and post-treatment ABR or annualised bleed ratio, with a trough FIX activity of &lt;12%.</w:t>
      </w:r>
    </w:p>
    <w:p w14:paraId="18698ADA" w14:textId="7D6A2DDC" w:rsidR="001A4A3B" w:rsidRDefault="001A4A3B" w:rsidP="001A4A3B">
      <w:r>
        <w:t xml:space="preserve">ESC also noted the </w:t>
      </w:r>
      <w:r w:rsidR="004C33AE">
        <w:rPr>
          <w:b/>
          <w:bCs/>
        </w:rPr>
        <w:t xml:space="preserve">redacted. </w:t>
      </w:r>
    </w:p>
    <w:p w14:paraId="2400828C" w14:textId="77777777" w:rsidR="001A4A3B" w:rsidRDefault="001A4A3B" w:rsidP="001A4A3B">
      <w:r>
        <w:t>ESC requested additional information from the applicant to address remaining clinical uncertainties:</w:t>
      </w:r>
    </w:p>
    <w:p w14:paraId="429CF4EC" w14:textId="77777777" w:rsidR="001A4A3B" w:rsidRDefault="001A4A3B" w:rsidP="003758CD">
      <w:pPr>
        <w:pStyle w:val="ListParagraph"/>
        <w:numPr>
          <w:ilvl w:val="0"/>
          <w:numId w:val="26"/>
        </w:numPr>
      </w:pPr>
      <w:r>
        <w:t>Using the HOPE-B data, calculate</w:t>
      </w:r>
      <w:r w:rsidRPr="009E6130">
        <w:t xml:space="preserve"> a ratio of annualised infusion rate (AIR) pre- and post-treatment </w:t>
      </w:r>
      <w:r>
        <w:t>(</w:t>
      </w:r>
      <w:r w:rsidRPr="009E6130">
        <w:t>similar to ABR</w:t>
      </w:r>
      <w:r>
        <w:t>) based on the data from the clinical evidence on effectiveness</w:t>
      </w:r>
      <w:r w:rsidRPr="009E6130">
        <w:t>, which could provide an additional response measure to aid with decision-makin</w:t>
      </w:r>
      <w:r>
        <w:t>g</w:t>
      </w:r>
    </w:p>
    <w:p w14:paraId="1A6CE731" w14:textId="77777777" w:rsidR="001A4A3B" w:rsidRDefault="001A4A3B" w:rsidP="003758CD">
      <w:pPr>
        <w:pStyle w:val="ListParagraph"/>
        <w:numPr>
          <w:ilvl w:val="0"/>
          <w:numId w:val="26"/>
        </w:numPr>
      </w:pPr>
      <w:r>
        <w:t>Provide additional e</w:t>
      </w:r>
      <w:r w:rsidRPr="00821F89">
        <w:t>vidence for effect modification</w:t>
      </w:r>
      <w:r>
        <w:t xml:space="preserve"> in the form of the </w:t>
      </w:r>
      <w:r w:rsidRPr="00821F89">
        <w:t>statistical significance of difference</w:t>
      </w:r>
      <w:r>
        <w:t>s</w:t>
      </w:r>
      <w:r w:rsidRPr="00821F89">
        <w:t xml:space="preserve"> in effect on all outcomes for AAV5 Nab</w:t>
      </w:r>
      <w:r>
        <w:t xml:space="preserve"> positive</w:t>
      </w:r>
      <w:r w:rsidRPr="00821F89">
        <w:t xml:space="preserve"> vs Nab</w:t>
      </w:r>
      <w:r>
        <w:t xml:space="preserve"> negative</w:t>
      </w:r>
      <w:r w:rsidRPr="00821F89">
        <w:t>, and for Nab ≥1:700 (7-point assay) vs Nab&lt;1:700 (</w:t>
      </w:r>
      <w:r>
        <w:t xml:space="preserve">the </w:t>
      </w:r>
      <w:r w:rsidRPr="00821F89">
        <w:t xml:space="preserve">proposed eligibility criterion). </w:t>
      </w:r>
    </w:p>
    <w:p w14:paraId="5EEDF407" w14:textId="77777777" w:rsidR="001A4A3B" w:rsidRDefault="001A4A3B" w:rsidP="003758CD">
      <w:pPr>
        <w:pStyle w:val="ListParagraph"/>
        <w:numPr>
          <w:ilvl w:val="0"/>
          <w:numId w:val="26"/>
        </w:numPr>
      </w:pPr>
      <w:r>
        <w:t>P</w:t>
      </w:r>
      <w:r w:rsidRPr="00821F89">
        <w:t>rovide individual patient data and plots for pre-treatment AAV5 Nab titre vs annualised bleed ratio for all 54 HOPE-B patients</w:t>
      </w:r>
      <w:r>
        <w:t xml:space="preserve"> and </w:t>
      </w:r>
      <w:r w:rsidRPr="00821F89">
        <w:t>indicate on the plot of F-IX activity vs Nab titre the patients who had a major bleed</w:t>
      </w:r>
      <w:r>
        <w:t>.</w:t>
      </w:r>
    </w:p>
    <w:p w14:paraId="69B79758" w14:textId="77777777" w:rsidR="001A4A3B" w:rsidRDefault="001A4A3B" w:rsidP="003758CD">
      <w:pPr>
        <w:pStyle w:val="ListParagraph"/>
        <w:numPr>
          <w:ilvl w:val="0"/>
          <w:numId w:val="26"/>
        </w:numPr>
      </w:pPr>
      <w:r>
        <w:t>Provide e</w:t>
      </w:r>
      <w:r w:rsidRPr="00C74B62">
        <w:t xml:space="preserve">vidence for other </w:t>
      </w:r>
      <w:r>
        <w:t xml:space="preserve">possible </w:t>
      </w:r>
      <w:r w:rsidRPr="00C74B62">
        <w:t>effect modifier</w:t>
      </w:r>
      <w:r>
        <w:t>s such as the</w:t>
      </w:r>
      <w:r w:rsidRPr="00C74B62">
        <w:t xml:space="preserve"> statistical significance of difference in effect on ABR ratio for White vs Non-white patients, </w:t>
      </w:r>
      <w:r>
        <w:t>for</w:t>
      </w:r>
      <w:r w:rsidRPr="00C74B62">
        <w:t xml:space="preserve"> Steatosis grade ≥ 2 vs &lt;2, </w:t>
      </w:r>
      <w:r>
        <w:t xml:space="preserve">and for </w:t>
      </w:r>
      <w:r w:rsidRPr="00C74B62">
        <w:t xml:space="preserve">presence/absence of joint disease </w:t>
      </w:r>
      <w:r>
        <w:t xml:space="preserve">at baseline </w:t>
      </w:r>
      <w:r w:rsidRPr="00C74B62">
        <w:t>in HOPE-B</w:t>
      </w:r>
      <w:r>
        <w:t>.</w:t>
      </w:r>
    </w:p>
    <w:p w14:paraId="4335ECE6" w14:textId="77777777" w:rsidR="001A4A3B" w:rsidRDefault="001A4A3B" w:rsidP="003758CD">
      <w:pPr>
        <w:pStyle w:val="ListParagraph"/>
        <w:numPr>
          <w:ilvl w:val="0"/>
          <w:numId w:val="26"/>
        </w:numPr>
      </w:pPr>
      <w:r>
        <w:t xml:space="preserve">Provide </w:t>
      </w:r>
      <w:r w:rsidRPr="00E75D28">
        <w:t>more details on the analytical performance studies, including characteristics of the people donating serum for the correlation studies, and on the ‘panel’ members, and data points for the reproducibility and precision studies</w:t>
      </w:r>
    </w:p>
    <w:p w14:paraId="06CE1CE8" w14:textId="77777777" w:rsidR="001A4A3B" w:rsidRDefault="001A4A3B" w:rsidP="003758CD">
      <w:pPr>
        <w:pStyle w:val="ListParagraph"/>
        <w:numPr>
          <w:ilvl w:val="0"/>
          <w:numId w:val="26"/>
        </w:numPr>
      </w:pPr>
      <w:r>
        <w:t>Provide information on the f</w:t>
      </w:r>
      <w:r w:rsidRPr="001377AD">
        <w:t xml:space="preserve">ailure criteria used for </w:t>
      </w:r>
      <w:r>
        <w:t>performance-based funding arrangements</w:t>
      </w:r>
      <w:r w:rsidRPr="001377AD">
        <w:t xml:space="preserve"> in other countries where </w:t>
      </w:r>
      <w:r>
        <w:t>available.</w:t>
      </w:r>
    </w:p>
    <w:p w14:paraId="2C37B298" w14:textId="29D3973B" w:rsidR="001A4A3B" w:rsidRPr="00E17FC4" w:rsidRDefault="001A4A3B" w:rsidP="001A4A3B">
      <w:r w:rsidRPr="00E17FC4">
        <w:t xml:space="preserve">ESC also requested that the applicant should review the financial modelling and </w:t>
      </w:r>
    </w:p>
    <w:p w14:paraId="6FCB418A" w14:textId="20714688" w:rsidR="001A4A3B" w:rsidRPr="00E17FC4" w:rsidRDefault="001A4A3B" w:rsidP="003758CD">
      <w:pPr>
        <w:pStyle w:val="ListParagraph"/>
        <w:numPr>
          <w:ilvl w:val="0"/>
          <w:numId w:val="26"/>
        </w:numPr>
      </w:pPr>
      <w:r w:rsidRPr="00E17FC4">
        <w:t xml:space="preserve">consider whether there are any ongoing monitoring costs beyond 5 years and report 10-year financial </w:t>
      </w:r>
      <w:r w:rsidRPr="00477AF5">
        <w:t xml:space="preserve">estimates </w:t>
      </w:r>
      <w:r w:rsidRPr="00F34D43">
        <w:t>(</w:t>
      </w:r>
      <w:r w:rsidR="00F10878" w:rsidRPr="00F34D43">
        <w:rPr>
          <w:b/>
          <w:bCs/>
        </w:rPr>
        <w:t>redacted</w:t>
      </w:r>
      <w:r w:rsidRPr="00F34D43">
        <w:t>)</w:t>
      </w:r>
      <w:r w:rsidRPr="00E17FC4">
        <w:t xml:space="preserve"> ahead of MSAC consideration of this application </w:t>
      </w:r>
      <w:r w:rsidRPr="00E17FC4">
        <w:lastRenderedPageBreak/>
        <w:t xml:space="preserve">including all other relevant implementation, patient counselling, consultation costs that are missing  </w:t>
      </w:r>
    </w:p>
    <w:p w14:paraId="491F069D" w14:textId="7D6D47AD" w:rsidR="001A4A3B" w:rsidRPr="00E17FC4" w:rsidRDefault="001A4A3B" w:rsidP="001A4A3B">
      <w:pPr>
        <w:pStyle w:val="ListParagraph"/>
        <w:numPr>
          <w:ilvl w:val="0"/>
          <w:numId w:val="26"/>
        </w:numPr>
        <w:rPr>
          <w:b/>
          <w:bCs/>
        </w:rPr>
      </w:pPr>
      <w:r w:rsidRPr="00E17FC4">
        <w:rPr>
          <w:noProof/>
        </w:rPr>
        <mc:AlternateContent>
          <mc:Choice Requires="wps">
            <w:drawing>
              <wp:anchor distT="0" distB="0" distL="114300" distR="114300" simplePos="0" relativeHeight="251658240" behindDoc="0" locked="0" layoutInCell="1" allowOverlap="1" wp14:anchorId="464D8103" wp14:editId="265B30F9">
                <wp:simplePos x="0" y="0"/>
                <wp:positionH relativeFrom="column">
                  <wp:posOffset>73660</wp:posOffset>
                </wp:positionH>
                <wp:positionV relativeFrom="paragraph">
                  <wp:posOffset>448310</wp:posOffset>
                </wp:positionV>
                <wp:extent cx="5839460" cy="2199005"/>
                <wp:effectExtent l="0" t="0" r="2794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2199005"/>
                        </a:xfrm>
                        <a:prstGeom prst="rect">
                          <a:avLst/>
                        </a:prstGeom>
                        <a:solidFill>
                          <a:srgbClr val="FFFFFF"/>
                        </a:solidFill>
                        <a:ln w="9525">
                          <a:solidFill>
                            <a:srgbClr val="000000"/>
                          </a:solidFill>
                          <a:miter lim="800000"/>
                          <a:headEnd/>
                          <a:tailEnd/>
                        </a:ln>
                      </wps:spPr>
                      <wps:txbx>
                        <w:txbxContent>
                          <w:p w14:paraId="73D1F2A0" w14:textId="4572667B" w:rsidR="001A4A3B" w:rsidRPr="00DE6B2D" w:rsidRDefault="001A4A3B" w:rsidP="001A4A3B">
                            <w:pPr>
                              <w:rPr>
                                <w:iCs/>
                              </w:rPr>
                            </w:pPr>
                            <w:r>
                              <w:t xml:space="preserve">Note: As ESC raised concerns regarding the proposed price for </w:t>
                            </w:r>
                            <w:r w:rsidR="00B01573">
                              <w:t>ED</w:t>
                            </w:r>
                            <w:r>
                              <w:t xml:space="preserve">, ESC requested </w:t>
                            </w:r>
                            <w:r w:rsidRPr="001E73EC">
                              <w:t xml:space="preserve">the assessment group </w:t>
                            </w:r>
                            <w:r>
                              <w:t xml:space="preserve">undertake additional analysis to estimate a price for </w:t>
                            </w:r>
                            <w:r w:rsidR="00B01573">
                              <w:t xml:space="preserve">ED </w:t>
                            </w:r>
                            <w:r>
                              <w:t>that would be cost neutral at 10 years. T</w:t>
                            </w:r>
                            <w:r w:rsidRPr="00E26CA5">
                              <w:t xml:space="preserve">he assessment group </w:t>
                            </w:r>
                            <w:r>
                              <w:t xml:space="preserve">subsequently </w:t>
                            </w:r>
                            <w:r w:rsidRPr="00E26CA5">
                              <w:t>produced an Addendum</w:t>
                            </w:r>
                            <w:r>
                              <w:t>. To achieve cost neutrality over a 10-year time horizon using the HOPE-B study data and the FIX replacement therapy prices from the ADAR base case (</w:t>
                            </w:r>
                            <w:r w:rsidRPr="00B76E90">
                              <w:t>$</w:t>
                            </w:r>
                            <w:r w:rsidR="00E06B76" w:rsidRPr="00F546AB">
                              <w:rPr>
                                <w:b/>
                                <w:bCs/>
                              </w:rPr>
                              <w:t>redacted</w:t>
                            </w:r>
                            <w:r w:rsidRPr="00B76E90">
                              <w:t xml:space="preserve">/IU for </w:t>
                            </w:r>
                            <w:r>
                              <w:t>SHL</w:t>
                            </w:r>
                            <w:r w:rsidRPr="00B76E90">
                              <w:t xml:space="preserve"> and $</w:t>
                            </w:r>
                            <w:r w:rsidR="00E06B76" w:rsidRPr="00F546AB">
                              <w:rPr>
                                <w:b/>
                                <w:bCs/>
                              </w:rPr>
                              <w:t>redacted</w:t>
                            </w:r>
                            <w:r w:rsidRPr="00B76E90">
                              <w:t>/IU for EHL</w:t>
                            </w:r>
                            <w:r>
                              <w:t xml:space="preserve">), the price of </w:t>
                            </w:r>
                            <w:r w:rsidR="00B01573">
                              <w:t xml:space="preserve">ED </w:t>
                            </w:r>
                            <w:r>
                              <w:t>would need to be reduced from the proposed $</w:t>
                            </w:r>
                            <w:r w:rsidR="00576BD5" w:rsidRPr="00F546AB">
                              <w:rPr>
                                <w:b/>
                                <w:bCs/>
                              </w:rPr>
                              <w:t>redacted</w:t>
                            </w:r>
                            <w:r w:rsidR="00265779" w:rsidRPr="00D84B66">
                              <w:t xml:space="preserve"> </w:t>
                            </w:r>
                            <w:r w:rsidRPr="00F546AB">
                              <w:t>t</w:t>
                            </w:r>
                            <w:r>
                              <w:t>o $</w:t>
                            </w:r>
                            <w:r w:rsidR="00265779" w:rsidRPr="00C73F4B">
                              <w:rPr>
                                <w:b/>
                                <w:bCs/>
                              </w:rPr>
                              <w:t>redacted</w:t>
                            </w:r>
                            <w:r>
                              <w:t xml:space="preserve">. To achieve cost neutrality over a 10-year time horizon using the HOPE-B study data and the current FIX replacement therapy prices, </w:t>
                            </w:r>
                            <w:r w:rsidRPr="00D23B9C">
                              <w:t xml:space="preserve">the cost of </w:t>
                            </w:r>
                            <w:r w:rsidR="00B01573">
                              <w:t>ED</w:t>
                            </w:r>
                            <w:r w:rsidR="00B01573" w:rsidRPr="00D23B9C">
                              <w:t xml:space="preserve"> </w:t>
                            </w:r>
                            <w:r w:rsidRPr="00D23B9C">
                              <w:t xml:space="preserve">needs to be reduced to </w:t>
                            </w:r>
                            <w:r w:rsidR="009467AE" w:rsidRPr="00D84B66">
                              <w:t>$</w:t>
                            </w:r>
                            <w:r w:rsidR="009467AE" w:rsidRPr="00C73F4B">
                              <w:rPr>
                                <w:b/>
                                <w:bCs/>
                              </w:rPr>
                              <w:t>redacted</w:t>
                            </w:r>
                            <w:r>
                              <w:t>. Incorporating both</w:t>
                            </w:r>
                            <w:r w:rsidRPr="005B1D5B">
                              <w:t xml:space="preserve"> current prices for FIX replacement therapy and </w:t>
                            </w:r>
                            <w:r>
                              <w:t>adjusted</w:t>
                            </w:r>
                            <w:r w:rsidRPr="005B1D5B">
                              <w:t xml:space="preserve"> </w:t>
                            </w:r>
                            <w:r>
                              <w:t>annualised FIX consumption (</w:t>
                            </w:r>
                            <w:r w:rsidRPr="005B1D5B">
                              <w:t>AFC</w:t>
                            </w:r>
                            <w:r>
                              <w:t>)</w:t>
                            </w:r>
                            <w:r w:rsidRPr="005B1D5B">
                              <w:t xml:space="preserve"> based on </w:t>
                            </w:r>
                            <w:r>
                              <w:t xml:space="preserve">unpublished </w:t>
                            </w:r>
                            <w:r w:rsidRPr="005B1D5B">
                              <w:t xml:space="preserve">ABDR 2023-24 data, the price of </w:t>
                            </w:r>
                            <w:r w:rsidR="00B01573">
                              <w:t xml:space="preserve">ED </w:t>
                            </w:r>
                            <w:r>
                              <w:t>would</w:t>
                            </w:r>
                            <w:r w:rsidRPr="005B1D5B">
                              <w:t xml:space="preserve"> </w:t>
                            </w:r>
                            <w:r>
                              <w:t xml:space="preserve">need to </w:t>
                            </w:r>
                            <w:r w:rsidRPr="005B1D5B">
                              <w:t>be reduced</w:t>
                            </w:r>
                            <w:r>
                              <w:t xml:space="preserve"> even further</w:t>
                            </w:r>
                            <w:r w:rsidRPr="005B1D5B">
                              <w:t xml:space="preserve"> to $</w:t>
                            </w:r>
                            <w:r w:rsidR="00A856FE" w:rsidRPr="0009370B">
                              <w:rPr>
                                <w:b/>
                                <w:bCs/>
                              </w:rPr>
                              <w:t>redacted</w:t>
                            </w:r>
                            <w:r w:rsidR="00A856FE" w:rsidRPr="00D84B66" w:rsidDel="00A856FE">
                              <w:t xml:space="preserve"> </w:t>
                            </w:r>
                            <w:r w:rsidRPr="0009370B">
                              <w:t>t</w:t>
                            </w:r>
                            <w:r w:rsidRPr="005B1D5B">
                              <w:t>o be cost neutral at 10 years</w:t>
                            </w:r>
                            <w:r>
                              <w:t>.</w:t>
                            </w:r>
                          </w:p>
                          <w:p w14:paraId="5855ECCB" w14:textId="77777777" w:rsidR="001A4A3B" w:rsidRDefault="001A4A3B" w:rsidP="001A4A3B"/>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64D8103" id="_x0000_t202" coordsize="21600,21600" o:spt="202" path="m,l,21600r21600,l21600,xe">
                <v:stroke joinstyle="miter"/>
                <v:path gradientshapeok="t" o:connecttype="rect"/>
              </v:shapetype>
              <v:shape id="Text Box 2" o:spid="_x0000_s1026" type="#_x0000_t202" style="position:absolute;left:0;text-align:left;margin-left:5.8pt;margin-top:35.3pt;width:459.8pt;height:17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">
                <v:textbox>
                  <w:txbxContent>
                    <w:p w14:paraId="73D1F2A0" w14:textId="4572667B" w:rsidR="001A4A3B" w:rsidRPr="00DE6B2D" w:rsidRDefault="001A4A3B" w:rsidP="001A4A3B">
                      <w:pPr>
                        <w:rPr>
                          <w:iCs/>
                        </w:rPr>
                      </w:pPr>
                      <w:r>
                        <w:t xml:space="preserve">Note: As ESC raised concerns regarding the proposed price for </w:t>
                      </w:r>
                      <w:r w:rsidR="00B01573">
                        <w:t>ED</w:t>
                      </w:r>
                      <w:r>
                        <w:t xml:space="preserve">, ESC requested </w:t>
                      </w:r>
                      <w:r w:rsidRPr="001E73EC">
                        <w:t xml:space="preserve">the assessment group </w:t>
                      </w:r>
                      <w:r>
                        <w:t xml:space="preserve">undertake additional analysis to estimate a price for </w:t>
                      </w:r>
                      <w:r w:rsidR="00B01573">
                        <w:t xml:space="preserve">ED </w:t>
                      </w:r>
                      <w:r>
                        <w:t>that would be cost neutral at 10 years. T</w:t>
                      </w:r>
                      <w:r w:rsidRPr="00E26CA5">
                        <w:t xml:space="preserve">he assessment group </w:t>
                      </w:r>
                      <w:r>
                        <w:t xml:space="preserve">subsequently </w:t>
                      </w:r>
                      <w:r w:rsidRPr="00E26CA5">
                        <w:t>produced an Addendum</w:t>
                      </w:r>
                      <w:r>
                        <w:t>. To achieve cost neutrality over a 10-year time horizon using the HOPE-B study data and the FIX replacement therapy prices from the ADAR base case (</w:t>
                      </w:r>
                      <w:r w:rsidRPr="00B76E90">
                        <w:t>$</w:t>
                      </w:r>
                      <w:r w:rsidR="00E06B76" w:rsidRPr="00F546AB">
                        <w:rPr>
                          <w:b/>
                          <w:bCs/>
                        </w:rPr>
                        <w:t>redacted</w:t>
                      </w:r>
                      <w:r w:rsidRPr="00B76E90">
                        <w:t xml:space="preserve">/IU for </w:t>
                      </w:r>
                      <w:r>
                        <w:t>SHL</w:t>
                      </w:r>
                      <w:r w:rsidRPr="00B76E90">
                        <w:t xml:space="preserve"> and $</w:t>
                      </w:r>
                      <w:r w:rsidR="00E06B76" w:rsidRPr="00F546AB">
                        <w:rPr>
                          <w:b/>
                          <w:bCs/>
                        </w:rPr>
                        <w:t>redacted</w:t>
                      </w:r>
                      <w:r w:rsidRPr="00B76E90">
                        <w:t>/IU for EHL</w:t>
                      </w:r>
                      <w:r>
                        <w:t xml:space="preserve">), the price of </w:t>
                      </w:r>
                      <w:r w:rsidR="00B01573">
                        <w:t xml:space="preserve">ED </w:t>
                      </w:r>
                      <w:r>
                        <w:t>would need to be reduced from the proposed $</w:t>
                      </w:r>
                      <w:r w:rsidR="00576BD5" w:rsidRPr="00F546AB">
                        <w:rPr>
                          <w:b/>
                          <w:bCs/>
                        </w:rPr>
                        <w:t>redacted</w:t>
                      </w:r>
                      <w:r w:rsidR="00265779" w:rsidRPr="00D84B66">
                        <w:t xml:space="preserve"> </w:t>
                      </w:r>
                      <w:r w:rsidRPr="00F546AB">
                        <w:t>t</w:t>
                      </w:r>
                      <w:r>
                        <w:t>o $</w:t>
                      </w:r>
                      <w:r w:rsidR="00265779" w:rsidRPr="00C73F4B">
                        <w:rPr>
                          <w:b/>
                          <w:bCs/>
                        </w:rPr>
                        <w:t>redacted</w:t>
                      </w:r>
                      <w:r>
                        <w:t xml:space="preserve">. To achieve cost neutrality over a 10-year time horizon using the HOPE-B study data and the current FIX replacement therapy prices, </w:t>
                      </w:r>
                      <w:r w:rsidRPr="00D23B9C">
                        <w:t xml:space="preserve">the cost of </w:t>
                      </w:r>
                      <w:r w:rsidR="00B01573">
                        <w:t>ED</w:t>
                      </w:r>
                      <w:r w:rsidR="00B01573" w:rsidRPr="00D23B9C">
                        <w:t xml:space="preserve"> </w:t>
                      </w:r>
                      <w:r w:rsidRPr="00D23B9C">
                        <w:t xml:space="preserve">needs to be reduced to </w:t>
                      </w:r>
                      <w:r w:rsidR="009467AE" w:rsidRPr="00D84B66">
                        <w:t>$</w:t>
                      </w:r>
                      <w:r w:rsidR="009467AE" w:rsidRPr="00C73F4B">
                        <w:rPr>
                          <w:b/>
                          <w:bCs/>
                        </w:rPr>
                        <w:t>redacted</w:t>
                      </w:r>
                      <w:r>
                        <w:t>. Incorporating both</w:t>
                      </w:r>
                      <w:r w:rsidRPr="005B1D5B">
                        <w:t xml:space="preserve"> current prices for FIX replacement therapy and </w:t>
                      </w:r>
                      <w:r>
                        <w:t>adjusted</w:t>
                      </w:r>
                      <w:r w:rsidRPr="005B1D5B">
                        <w:t xml:space="preserve"> </w:t>
                      </w:r>
                      <w:r>
                        <w:t>annualised FIX consumption (</w:t>
                      </w:r>
                      <w:r w:rsidRPr="005B1D5B">
                        <w:t>AFC</w:t>
                      </w:r>
                      <w:r>
                        <w:t>)</w:t>
                      </w:r>
                      <w:r w:rsidRPr="005B1D5B">
                        <w:t xml:space="preserve"> based on </w:t>
                      </w:r>
                      <w:r>
                        <w:t xml:space="preserve">unpublished </w:t>
                      </w:r>
                      <w:r w:rsidRPr="005B1D5B">
                        <w:t xml:space="preserve">ABDR 2023-24 data, the price of </w:t>
                      </w:r>
                      <w:r w:rsidR="00B01573">
                        <w:t xml:space="preserve">ED </w:t>
                      </w:r>
                      <w:r>
                        <w:t>would</w:t>
                      </w:r>
                      <w:r w:rsidRPr="005B1D5B">
                        <w:t xml:space="preserve"> </w:t>
                      </w:r>
                      <w:r>
                        <w:t xml:space="preserve">need to </w:t>
                      </w:r>
                      <w:r w:rsidRPr="005B1D5B">
                        <w:t>be reduced</w:t>
                      </w:r>
                      <w:r>
                        <w:t xml:space="preserve"> even further</w:t>
                      </w:r>
                      <w:r w:rsidRPr="005B1D5B">
                        <w:t xml:space="preserve"> to $</w:t>
                      </w:r>
                      <w:r w:rsidR="00A856FE" w:rsidRPr="0009370B">
                        <w:rPr>
                          <w:b/>
                          <w:bCs/>
                        </w:rPr>
                        <w:t>redacted</w:t>
                      </w:r>
                      <w:r w:rsidR="00A856FE" w:rsidRPr="00D84B66" w:rsidDel="00A856FE">
                        <w:t xml:space="preserve"> </w:t>
                      </w:r>
                      <w:r w:rsidRPr="0009370B">
                        <w:t>t</w:t>
                      </w:r>
                      <w:r w:rsidRPr="005B1D5B">
                        <w:t>o be cost neutral at 10 years</w:t>
                      </w:r>
                      <w:r>
                        <w:t>.</w:t>
                      </w:r>
                    </w:p>
                    <w:p w14:paraId="5855ECCB" w14:textId="77777777" w:rsidR="001A4A3B" w:rsidRDefault="001A4A3B" w:rsidP="001A4A3B"/>
                  </w:txbxContent>
                </v:textbox>
                <w10:wrap type="square"/>
              </v:shape>
            </w:pict>
          </mc:Fallback>
        </mc:AlternateContent>
      </w:r>
      <w:r w:rsidRPr="00E17FC4">
        <w:t xml:space="preserve">update the economic model to reflect any additional costs identified. </w:t>
      </w:r>
    </w:p>
    <w:p w14:paraId="675DEEFF" w14:textId="77777777" w:rsidR="00B20ECC" w:rsidRPr="00A737D1" w:rsidRDefault="00B20ECC" w:rsidP="003758CD">
      <w:pPr>
        <w:pStyle w:val="Heading2"/>
        <w:numPr>
          <w:ilvl w:val="0"/>
          <w:numId w:val="28"/>
        </w:numPr>
      </w:pPr>
      <w:bookmarkStart w:id="69" w:name="_Hlk193984667"/>
      <w:r w:rsidRPr="003A793E">
        <w:t>Applicant comments on MSAC’s Public Summary Document</w:t>
      </w:r>
    </w:p>
    <w:p w14:paraId="19A69A1C" w14:textId="13221CBD" w:rsidR="00B20ECC" w:rsidRPr="00D67F2C" w:rsidRDefault="00893057" w:rsidP="00B66744">
      <w:pPr>
        <w:pStyle w:val="paragraph"/>
        <w:spacing w:before="0" w:beforeAutospacing="0" w:after="0" w:afterAutospacing="0"/>
        <w:textAlignment w:val="baseline"/>
        <w:rPr>
          <w:rFonts w:ascii="Franklin Gothic Book" w:hAnsi="Franklin Gothic Book"/>
          <w:sz w:val="22"/>
          <w:szCs w:val="22"/>
        </w:rPr>
      </w:pPr>
      <w:r w:rsidRPr="00EA4B0C">
        <w:rPr>
          <w:rStyle w:val="normaltextrun"/>
          <w:rFonts w:ascii="Franklin Gothic Book" w:hAnsi="Franklin Gothic Book" w:cs="Segoe UI"/>
          <w:sz w:val="22"/>
          <w:szCs w:val="22"/>
        </w:rPr>
        <w:t xml:space="preserve">CSL welcomes MSAC’s support for public funding of </w:t>
      </w:r>
      <w:r w:rsidR="00AA2D56">
        <w:rPr>
          <w:rStyle w:val="normaltextrun"/>
          <w:rFonts w:ascii="Franklin Gothic Book" w:hAnsi="Franklin Gothic Book" w:cs="Segoe UI"/>
          <w:sz w:val="22"/>
          <w:szCs w:val="22"/>
        </w:rPr>
        <w:t>ED</w:t>
      </w:r>
      <w:r w:rsidRPr="00EA4B0C">
        <w:rPr>
          <w:rStyle w:val="normaltextrun"/>
          <w:rFonts w:ascii="Franklin Gothic Book" w:hAnsi="Franklin Gothic Book" w:cs="Segoe UI"/>
          <w:sz w:val="22"/>
          <w:szCs w:val="22"/>
        </w:rPr>
        <w:t xml:space="preserve"> in Australia and its recognition of the therapy’s clinical value, including the endorsement of innovative pay-for-performance models that support sustainable and timely access. However, </w:t>
      </w:r>
      <w:r w:rsidR="00EF6855">
        <w:rPr>
          <w:rStyle w:val="normaltextrun"/>
          <w:rFonts w:ascii="Franklin Gothic Book" w:hAnsi="Franklin Gothic Book" w:cs="Segoe UI"/>
          <w:sz w:val="22"/>
          <w:szCs w:val="22"/>
        </w:rPr>
        <w:t>CSL</w:t>
      </w:r>
      <w:r w:rsidRPr="00EA4B0C">
        <w:rPr>
          <w:rStyle w:val="normaltextrun"/>
          <w:rFonts w:ascii="Franklin Gothic Book" w:hAnsi="Franklin Gothic Book" w:cs="Segoe UI"/>
          <w:sz w:val="22"/>
          <w:szCs w:val="22"/>
        </w:rPr>
        <w:t xml:space="preserve"> believe</w:t>
      </w:r>
      <w:r w:rsidR="008F66A0">
        <w:rPr>
          <w:rStyle w:val="normaltextrun"/>
          <w:rFonts w:ascii="Franklin Gothic Book" w:hAnsi="Franklin Gothic Book" w:cs="Segoe UI"/>
          <w:sz w:val="22"/>
          <w:szCs w:val="22"/>
        </w:rPr>
        <w:t>s</w:t>
      </w:r>
      <w:r w:rsidRPr="00F80CDF">
        <w:rPr>
          <w:rStyle w:val="normaltextrun"/>
          <w:rFonts w:ascii="Franklin Gothic Book" w:hAnsi="Franklin Gothic Book" w:cs="Segoe UI"/>
          <w:sz w:val="22"/>
          <w:szCs w:val="22"/>
        </w:rPr>
        <w:t xml:space="preserve"> that the application of a cost-neutrality framework does not account for the transformative nature of </w:t>
      </w:r>
      <w:r w:rsidR="00AA2D56">
        <w:rPr>
          <w:rStyle w:val="normaltextrun"/>
          <w:rFonts w:ascii="Franklin Gothic Book" w:hAnsi="Franklin Gothic Book" w:cs="Segoe UI"/>
          <w:sz w:val="22"/>
          <w:szCs w:val="22"/>
        </w:rPr>
        <w:t>ED</w:t>
      </w:r>
      <w:r w:rsidRPr="00F80CDF">
        <w:rPr>
          <w:rStyle w:val="normaltextrun"/>
          <w:rFonts w:ascii="Franklin Gothic Book" w:hAnsi="Franklin Gothic Book" w:cs="Segoe UI"/>
          <w:sz w:val="22"/>
          <w:szCs w:val="22"/>
        </w:rPr>
        <w:t>, which offers the potential to eliminate lifelong, burdensome, intravenous prophylaxis through a one-time treatment</w:t>
      </w:r>
      <w:r w:rsidRPr="00D67F2C">
        <w:rPr>
          <w:rStyle w:val="normaltextrun"/>
          <w:rFonts w:ascii="Franklin Gothic Book" w:hAnsi="Franklin Gothic Book" w:cs="Segoe UI"/>
          <w:sz w:val="22"/>
          <w:szCs w:val="22"/>
        </w:rPr>
        <w:t>.</w:t>
      </w:r>
      <w:r w:rsidRPr="00D67F2C">
        <w:rPr>
          <w:rStyle w:val="normaltextrun"/>
          <w:rFonts w:ascii="Franklin Gothic Book" w:hAnsi="Franklin Gothic Book" w:cs="Segoe UI"/>
          <w:i/>
          <w:iCs/>
          <w:sz w:val="22"/>
          <w:szCs w:val="22"/>
        </w:rPr>
        <w:t> </w:t>
      </w:r>
      <w:r w:rsidR="00203B62" w:rsidRPr="00D67F2C">
        <w:rPr>
          <w:rStyle w:val="normaltextrun"/>
          <w:rFonts w:ascii="Franklin Gothic Book" w:hAnsi="Franklin Gothic Book" w:cs="Segoe UI"/>
          <w:sz w:val="22"/>
          <w:szCs w:val="22"/>
        </w:rPr>
        <w:t>CSL notes that</w:t>
      </w:r>
      <w:r w:rsidR="00203B62" w:rsidRPr="00D67F2C">
        <w:rPr>
          <w:rStyle w:val="normaltextrun"/>
          <w:rFonts w:ascii="Franklin Gothic Book" w:hAnsi="Franklin Gothic Book" w:cs="Segoe UI"/>
          <w:i/>
          <w:iCs/>
          <w:sz w:val="22"/>
          <w:szCs w:val="22"/>
        </w:rPr>
        <w:t xml:space="preserve"> </w:t>
      </w:r>
      <w:r w:rsidR="00203B62" w:rsidRPr="00D67F2C">
        <w:rPr>
          <w:rFonts w:ascii="Franklin Gothic Book" w:hAnsi="Franklin Gothic Book" w:cs="Segoe UI"/>
          <w:sz w:val="22"/>
          <w:szCs w:val="22"/>
        </w:rPr>
        <w:t>n</w:t>
      </w:r>
      <w:r w:rsidR="004E5C26" w:rsidRPr="00D67F2C">
        <w:rPr>
          <w:rFonts w:ascii="Franklin Gothic Book" w:hAnsi="Franklin Gothic Book" w:cs="Segoe UI"/>
          <w:sz w:val="22"/>
          <w:szCs w:val="22"/>
        </w:rPr>
        <w:t xml:space="preserve">egotiations </w:t>
      </w:r>
      <w:r w:rsidR="00D67F2C" w:rsidRPr="00D67F2C">
        <w:rPr>
          <w:rFonts w:ascii="Franklin Gothic Book" w:hAnsi="Franklin Gothic Book" w:cs="Segoe UI"/>
          <w:sz w:val="22"/>
          <w:szCs w:val="22"/>
        </w:rPr>
        <w:t>with the National Blood Authority will be required</w:t>
      </w:r>
      <w:r w:rsidR="004E5C26" w:rsidRPr="00D67F2C">
        <w:rPr>
          <w:rFonts w:ascii="Franklin Gothic Book" w:hAnsi="Franklin Gothic Book" w:cs="Segoe UI"/>
          <w:sz w:val="22"/>
          <w:szCs w:val="22"/>
        </w:rPr>
        <w:t xml:space="preserve">, </w:t>
      </w:r>
      <w:r w:rsidR="00D67F2C" w:rsidRPr="00D67F2C">
        <w:rPr>
          <w:rFonts w:ascii="Franklin Gothic Book" w:hAnsi="Franklin Gothic Book" w:cs="Segoe UI"/>
          <w:sz w:val="22"/>
          <w:szCs w:val="22"/>
        </w:rPr>
        <w:t xml:space="preserve">as </w:t>
      </w:r>
      <w:r w:rsidR="004E5C26" w:rsidRPr="00D67F2C">
        <w:rPr>
          <w:rFonts w:ascii="Franklin Gothic Book" w:hAnsi="Franklin Gothic Book" w:cs="Segoe UI"/>
          <w:sz w:val="22"/>
          <w:szCs w:val="22"/>
        </w:rPr>
        <w:t xml:space="preserve">both the </w:t>
      </w:r>
      <w:r w:rsidR="00D67F2C" w:rsidRPr="00D67F2C">
        <w:rPr>
          <w:rFonts w:ascii="Franklin Gothic Book" w:hAnsi="Franklin Gothic Book" w:cs="Segoe UI"/>
          <w:sz w:val="22"/>
          <w:szCs w:val="22"/>
        </w:rPr>
        <w:t xml:space="preserve">final </w:t>
      </w:r>
      <w:r w:rsidR="004E5C26" w:rsidRPr="00D67F2C">
        <w:rPr>
          <w:rFonts w:ascii="Franklin Gothic Book" w:hAnsi="Franklin Gothic Book" w:cs="Segoe UI"/>
          <w:sz w:val="22"/>
          <w:szCs w:val="22"/>
        </w:rPr>
        <w:t xml:space="preserve">pricing and risk-share arrangements are </w:t>
      </w:r>
      <w:r w:rsidR="00D67F2C" w:rsidRPr="00D67F2C">
        <w:rPr>
          <w:rFonts w:ascii="Franklin Gothic Book" w:hAnsi="Franklin Gothic Book" w:cs="Segoe UI"/>
          <w:sz w:val="22"/>
          <w:szCs w:val="22"/>
        </w:rPr>
        <w:t>yet to be agreed</w:t>
      </w:r>
      <w:r w:rsidR="004E5C26" w:rsidRPr="00D67F2C">
        <w:rPr>
          <w:rFonts w:ascii="Franklin Gothic Book" w:hAnsi="Franklin Gothic Book" w:cs="Segoe UI"/>
          <w:sz w:val="22"/>
          <w:szCs w:val="22"/>
        </w:rPr>
        <w:t>.</w:t>
      </w:r>
      <w:r w:rsidR="004E5C26" w:rsidRPr="00D67F2C">
        <w:rPr>
          <w:rFonts w:ascii="Franklin Gothic Book" w:hAnsi="Franklin Gothic Book" w:cs="Segoe UI"/>
          <w:i/>
          <w:iCs/>
          <w:sz w:val="22"/>
          <w:szCs w:val="22"/>
        </w:rPr>
        <w:t xml:space="preserve"> </w:t>
      </w:r>
      <w:r w:rsidRPr="00D67F2C">
        <w:rPr>
          <w:rStyle w:val="normaltextrun"/>
          <w:rFonts w:ascii="Franklin Gothic Book" w:hAnsi="Franklin Gothic Book" w:cs="Segoe UI"/>
          <w:sz w:val="22"/>
          <w:szCs w:val="22"/>
        </w:rPr>
        <w:t xml:space="preserve">CSL remains committed to working </w:t>
      </w:r>
      <w:r w:rsidR="004E5C26" w:rsidRPr="00D67F2C">
        <w:rPr>
          <w:rStyle w:val="normaltextrun"/>
          <w:rFonts w:ascii="Franklin Gothic Book" w:hAnsi="Franklin Gothic Book" w:cs="Segoe UI"/>
          <w:sz w:val="22"/>
          <w:szCs w:val="22"/>
        </w:rPr>
        <w:t>in partnership with</w:t>
      </w:r>
      <w:r w:rsidRPr="00D67F2C">
        <w:rPr>
          <w:rStyle w:val="normaltextrun"/>
          <w:rFonts w:ascii="Franklin Gothic Book" w:hAnsi="Franklin Gothic Book" w:cs="Segoe UI"/>
          <w:sz w:val="22"/>
          <w:szCs w:val="22"/>
        </w:rPr>
        <w:t xml:space="preserve"> decision</w:t>
      </w:r>
      <w:r w:rsidR="00FA0953" w:rsidRPr="00D67F2C">
        <w:rPr>
          <w:rStyle w:val="normaltextrun"/>
          <w:rFonts w:ascii="Franklin Gothic Book" w:hAnsi="Franklin Gothic Book" w:cs="Segoe UI"/>
          <w:sz w:val="22"/>
          <w:szCs w:val="22"/>
        </w:rPr>
        <w:t xml:space="preserve"> </w:t>
      </w:r>
      <w:r w:rsidRPr="00D67F2C">
        <w:rPr>
          <w:rStyle w:val="normaltextrun"/>
          <w:rFonts w:ascii="Franklin Gothic Book" w:hAnsi="Franklin Gothic Book" w:cs="Segoe UI"/>
          <w:sz w:val="22"/>
          <w:szCs w:val="22"/>
        </w:rPr>
        <w:t>makers to bring access to Australian patients as soon as possible. </w:t>
      </w:r>
    </w:p>
    <w:p w14:paraId="2772E61C" w14:textId="77777777" w:rsidR="00B20ECC" w:rsidRPr="00A737D1" w:rsidRDefault="00B20ECC" w:rsidP="003758CD">
      <w:pPr>
        <w:pStyle w:val="Heading2"/>
        <w:numPr>
          <w:ilvl w:val="0"/>
          <w:numId w:val="28"/>
        </w:numPr>
      </w:pPr>
      <w:r w:rsidRPr="003A793E">
        <w:t>Further information on MSAC</w:t>
      </w:r>
    </w:p>
    <w:p w14:paraId="6A162890" w14:textId="4E181CBC" w:rsidR="00341D18" w:rsidRPr="0065768D" w:rsidRDefault="00B20ECC" w:rsidP="0065768D">
      <w:pPr>
        <w:pStyle w:val="BodyText"/>
        <w:rPr>
          <w:sz w:val="18"/>
        </w:rPr>
      </w:pPr>
      <w:r w:rsidRPr="00F309FA">
        <w:rPr>
          <w:bCs/>
          <w:iCs/>
        </w:rPr>
        <w:t xml:space="preserve">MSAC Terms of Reference and other information are available on the MSAC Website: </w:t>
      </w:r>
      <w:hyperlink r:id="rId31" w:tooltip="Link to the MSAC website" w:history="1">
        <w:r w:rsidRPr="000D2098">
          <w:rPr>
            <w:rStyle w:val="Hyperlink"/>
            <w:iCs/>
            <w:color w:val="007BB8"/>
          </w:rPr>
          <w:t>visit the MSAC website</w:t>
        </w:r>
      </w:hyperlink>
      <w:bookmarkEnd w:id="69"/>
    </w:p>
    <w:sectPr w:rsidR="00341D18" w:rsidRPr="0065768D" w:rsidSect="00784341">
      <w:headerReference w:type="even" r:id="rId32"/>
      <w:headerReference w:type="default" r:id="rId33"/>
      <w:footerReference w:type="even" r:id="rId34"/>
      <w:footerReference w:type="default" r:id="rId35"/>
      <w:headerReference w:type="first" r:id="rId36"/>
      <w:footerReference w:type="first" r:id="rId37"/>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5C31" w14:textId="77777777" w:rsidR="00916994" w:rsidRDefault="00916994" w:rsidP="00B62DF2">
      <w:pPr>
        <w:spacing w:after="0" w:line="240" w:lineRule="auto"/>
      </w:pPr>
      <w:r>
        <w:separator/>
      </w:r>
    </w:p>
  </w:endnote>
  <w:endnote w:type="continuationSeparator" w:id="0">
    <w:p w14:paraId="4955AC70" w14:textId="77777777" w:rsidR="00916994" w:rsidRDefault="00916994" w:rsidP="00B62DF2">
      <w:pPr>
        <w:spacing w:after="0" w:line="240" w:lineRule="auto"/>
      </w:pPr>
      <w:r>
        <w:continuationSeparator/>
      </w:r>
    </w:p>
  </w:endnote>
  <w:endnote w:type="continuationNotice" w:id="1">
    <w:p w14:paraId="05F9D2A5" w14:textId="77777777" w:rsidR="00916994" w:rsidRDefault="0091699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F8E9" w14:textId="4DBB98DF" w:rsidR="00A44555" w:rsidRDefault="00355CF8">
    <w:pPr>
      <w:pStyle w:val="Footer"/>
      <w:jc w:val="right"/>
    </w:pPr>
    <w:r>
      <w:rPr>
        <w:noProof/>
      </w:rPr>
      <mc:AlternateContent>
        <mc:Choice Requires="wps">
          <w:drawing>
            <wp:anchor distT="0" distB="0" distL="0" distR="0" simplePos="0" relativeHeight="251658244" behindDoc="0" locked="0" layoutInCell="1" allowOverlap="1" wp14:anchorId="30E485FE" wp14:editId="600F047D">
              <wp:simplePos x="635" y="635"/>
              <wp:positionH relativeFrom="page">
                <wp:align>center</wp:align>
              </wp:positionH>
              <wp:positionV relativeFrom="page">
                <wp:align>bottom</wp:align>
              </wp:positionV>
              <wp:extent cx="551815" cy="467360"/>
              <wp:effectExtent l="0" t="0" r="635" b="0"/>
              <wp:wrapNone/>
              <wp:docPr id="2547654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5F9BFCB2" w14:textId="7E3A3498" w:rsidR="00355CF8" w:rsidRPr="00355CF8" w:rsidRDefault="00355CF8" w:rsidP="00355CF8">
                          <w:pPr>
                            <w:spacing w:after="0"/>
                            <w:rPr>
                              <w:rFonts w:ascii="Calibri" w:eastAsia="Calibri" w:hAnsi="Calibri" w:cs="Calibri"/>
                              <w:noProof/>
                              <w:color w:val="FF0000"/>
                              <w:sz w:val="24"/>
                              <w:szCs w:val="24"/>
                            </w:rPr>
                          </w:pPr>
                          <w:r w:rsidRPr="00355CF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E485FE" id="_x0000_t202" coordsize="21600,21600" o:spt="202" path="m,l,21600r21600,l21600,xe">
              <v:stroke joinstyle="miter"/>
              <v:path gradientshapeok="t" o:connecttype="rect"/>
            </v:shapetype>
            <v:shape id="Text Box 5" o:spid="_x0000_s1029" type="#_x0000_t202" alt="OFFICIAL" style="position:absolute;left:0;text-align:left;margin-left:0;margin-top:0;width:43.45pt;height:36.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" filled="f" stroked="f">
              <v:textbox style="mso-fit-shape-to-text:t" inset="0,0,0,15pt">
                <w:txbxContent>
                  <w:p w14:paraId="5F9BFCB2" w14:textId="7E3A3498" w:rsidR="00355CF8" w:rsidRPr="00355CF8" w:rsidRDefault="00355CF8" w:rsidP="00355CF8">
                    <w:pPr>
                      <w:spacing w:after="0"/>
                      <w:rPr>
                        <w:rFonts w:ascii="Calibri" w:eastAsia="Calibri" w:hAnsi="Calibri" w:cs="Calibri"/>
                        <w:noProof/>
                        <w:color w:val="FF0000"/>
                        <w:sz w:val="24"/>
                        <w:szCs w:val="24"/>
                      </w:rPr>
                    </w:pPr>
                    <w:r w:rsidRPr="00355CF8">
                      <w:rPr>
                        <w:rFonts w:ascii="Calibri" w:eastAsia="Calibri" w:hAnsi="Calibri" w:cs="Calibri"/>
                        <w:noProof/>
                        <w:color w:val="FF0000"/>
                        <w:sz w:val="24"/>
                        <w:szCs w:val="24"/>
                      </w:rPr>
                      <w:t>OFFICIAL</w:t>
                    </w:r>
                  </w:p>
                </w:txbxContent>
              </v:textbox>
              <w10:wrap anchorx="page" anchory="page"/>
            </v:shape>
          </w:pict>
        </mc:Fallback>
      </mc:AlternateContent>
    </w:r>
    <w:sdt>
      <w:sdtPr>
        <w:id w:val="190736054"/>
        <w:docPartObj>
          <w:docPartGallery w:val="Page Numbers (Bottom of Page)"/>
          <w:docPartUnique/>
        </w:docPartObj>
      </w:sdtPr>
      <w:sdtEndPr>
        <w:rPr>
          <w:noProof/>
        </w:rPr>
      </w:sdtEndPr>
      <w:sdtContent>
        <w:r w:rsidR="00A44555">
          <w:fldChar w:fldCharType="begin"/>
        </w:r>
        <w:r w:rsidR="00A44555">
          <w:instrText xml:space="preserve"> PAGE   \* MERGEFORMAT </w:instrText>
        </w:r>
        <w:r w:rsidR="00A44555">
          <w:fldChar w:fldCharType="separate"/>
        </w:r>
        <w:r w:rsidR="00A44555">
          <w:rPr>
            <w:noProof/>
          </w:rPr>
          <w:t>2</w:t>
        </w:r>
        <w:r w:rsidR="00A4455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3A00" w14:textId="26376DB9" w:rsidR="00A44555" w:rsidRDefault="00355CF8">
    <w:pPr>
      <w:pStyle w:val="Footer"/>
      <w:jc w:val="right"/>
    </w:pPr>
    <w:r>
      <w:rPr>
        <w:noProof/>
      </w:rPr>
      <mc:AlternateContent>
        <mc:Choice Requires="wps">
          <w:drawing>
            <wp:anchor distT="0" distB="0" distL="0" distR="0" simplePos="0" relativeHeight="251658245" behindDoc="0" locked="0" layoutInCell="1" allowOverlap="1" wp14:anchorId="37790EE6" wp14:editId="603AD035">
              <wp:simplePos x="635" y="635"/>
              <wp:positionH relativeFrom="page">
                <wp:align>center</wp:align>
              </wp:positionH>
              <wp:positionV relativeFrom="page">
                <wp:align>bottom</wp:align>
              </wp:positionV>
              <wp:extent cx="551815" cy="467360"/>
              <wp:effectExtent l="0" t="0" r="635" b="0"/>
              <wp:wrapNone/>
              <wp:docPr id="179170512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617216D3" w14:textId="70E298F5" w:rsidR="00355CF8" w:rsidRPr="00355CF8" w:rsidRDefault="00355CF8" w:rsidP="00355CF8">
                          <w:pPr>
                            <w:spacing w:after="0"/>
                            <w:rPr>
                              <w:rFonts w:ascii="Calibri" w:eastAsia="Calibri" w:hAnsi="Calibri" w:cs="Calibri"/>
                              <w:noProof/>
                              <w:color w:val="FF0000"/>
                              <w:sz w:val="24"/>
                              <w:szCs w:val="24"/>
                            </w:rPr>
                          </w:pPr>
                          <w:r w:rsidRPr="00355CF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790EE6" id="_x0000_t202" coordsize="21600,21600" o:spt="202" path="m,l,21600r21600,l21600,xe">
              <v:stroke joinstyle="miter"/>
              <v:path gradientshapeok="t" o:connecttype="rect"/>
            </v:shapetype>
            <v:shape id="Text Box 6" o:spid="_x0000_s1030" type="#_x0000_t202" alt="OFFICIAL" style="position:absolute;left:0;text-align:left;margin-left:0;margin-top:0;width:43.45pt;height:36.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" filled="f" stroked="f">
              <v:textbox style="mso-fit-shape-to-text:t" inset="0,0,0,15pt">
                <w:txbxContent>
                  <w:p w14:paraId="617216D3" w14:textId="70E298F5" w:rsidR="00355CF8" w:rsidRPr="00355CF8" w:rsidRDefault="00355CF8" w:rsidP="00355CF8">
                    <w:pPr>
                      <w:spacing w:after="0"/>
                      <w:rPr>
                        <w:rFonts w:ascii="Calibri" w:eastAsia="Calibri" w:hAnsi="Calibri" w:cs="Calibri"/>
                        <w:noProof/>
                        <w:color w:val="FF0000"/>
                        <w:sz w:val="24"/>
                        <w:szCs w:val="24"/>
                      </w:rPr>
                    </w:pPr>
                    <w:r w:rsidRPr="00355CF8">
                      <w:rPr>
                        <w:rFonts w:ascii="Calibri" w:eastAsia="Calibri" w:hAnsi="Calibri" w:cs="Calibri"/>
                        <w:noProof/>
                        <w:color w:val="FF0000"/>
                        <w:sz w:val="24"/>
                        <w:szCs w:val="24"/>
                      </w:rPr>
                      <w:t>OFFICIAL</w:t>
                    </w:r>
                  </w:p>
                </w:txbxContent>
              </v:textbox>
              <w10:wrap anchorx="page" anchory="page"/>
            </v:shape>
          </w:pict>
        </mc:Fallback>
      </mc:AlternateContent>
    </w:r>
    <w:sdt>
      <w:sdtPr>
        <w:id w:val="-1709562056"/>
        <w:docPartObj>
          <w:docPartGallery w:val="Page Numbers (Bottom of Page)"/>
          <w:docPartUnique/>
        </w:docPartObj>
      </w:sdtPr>
      <w:sdtEndPr>
        <w:rPr>
          <w:noProof/>
        </w:rPr>
      </w:sdtEndPr>
      <w:sdtContent>
        <w:r w:rsidR="00A44555">
          <w:fldChar w:fldCharType="begin"/>
        </w:r>
        <w:r w:rsidR="00A44555">
          <w:instrText xml:space="preserve"> PAGE   \* MERGEFORMAT </w:instrText>
        </w:r>
        <w:r w:rsidR="00A44555">
          <w:fldChar w:fldCharType="separate"/>
        </w:r>
        <w:r w:rsidR="00A44555">
          <w:rPr>
            <w:noProof/>
          </w:rPr>
          <w:t>2</w:t>
        </w:r>
        <w:r w:rsidR="00A4455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6A2C" w14:textId="755A1A07" w:rsidR="00601E62" w:rsidRDefault="00355CF8">
    <w:pPr>
      <w:pStyle w:val="Footer"/>
    </w:pPr>
    <w:r>
      <w:rPr>
        <w:noProof/>
      </w:rPr>
      <mc:AlternateContent>
        <mc:Choice Requires="wps">
          <w:drawing>
            <wp:anchor distT="0" distB="0" distL="0" distR="0" simplePos="0" relativeHeight="251658243" behindDoc="0" locked="0" layoutInCell="1" allowOverlap="1" wp14:anchorId="1CA56293" wp14:editId="677E42FF">
              <wp:simplePos x="635" y="635"/>
              <wp:positionH relativeFrom="page">
                <wp:align>center</wp:align>
              </wp:positionH>
              <wp:positionV relativeFrom="page">
                <wp:align>bottom</wp:align>
              </wp:positionV>
              <wp:extent cx="551815" cy="467360"/>
              <wp:effectExtent l="0" t="0" r="635" b="0"/>
              <wp:wrapNone/>
              <wp:docPr id="10509437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56706CD2" w14:textId="320B8AFB" w:rsidR="00355CF8" w:rsidRPr="00355CF8" w:rsidRDefault="00355CF8" w:rsidP="00355CF8">
                          <w:pPr>
                            <w:spacing w:after="0"/>
                            <w:rPr>
                              <w:rFonts w:ascii="Calibri" w:eastAsia="Calibri" w:hAnsi="Calibri" w:cs="Calibri"/>
                              <w:noProof/>
                              <w:color w:val="FF0000"/>
                              <w:sz w:val="24"/>
                              <w:szCs w:val="24"/>
                            </w:rPr>
                          </w:pPr>
                          <w:r w:rsidRPr="00355CF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A56293" id="_x0000_t202" coordsize="21600,21600" o:spt="202" path="m,l,21600r21600,l21600,xe">
              <v:stroke joinstyle="miter"/>
              <v:path gradientshapeok="t" o:connecttype="rect"/>
            </v:shapetype>
            <v:shape id="Text Box 4" o:spid="_x0000_s1032" type="#_x0000_t202" alt="OFFICIAL" style="position:absolute;margin-left:0;margin-top:0;width:43.45pt;height:36.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" filled="f" stroked="f">
              <v:textbox style="mso-fit-shape-to-text:t" inset="0,0,0,15pt">
                <w:txbxContent>
                  <w:p w14:paraId="56706CD2" w14:textId="320B8AFB" w:rsidR="00355CF8" w:rsidRPr="00355CF8" w:rsidRDefault="00355CF8" w:rsidP="00355CF8">
                    <w:pPr>
                      <w:spacing w:after="0"/>
                      <w:rPr>
                        <w:rFonts w:ascii="Calibri" w:eastAsia="Calibri" w:hAnsi="Calibri" w:cs="Calibri"/>
                        <w:noProof/>
                        <w:color w:val="FF0000"/>
                        <w:sz w:val="24"/>
                        <w:szCs w:val="24"/>
                      </w:rPr>
                    </w:pPr>
                    <w:r w:rsidRPr="00355CF8">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FB07" w14:textId="77777777" w:rsidR="00916994" w:rsidRDefault="00916994" w:rsidP="00B62DF2">
      <w:pPr>
        <w:spacing w:after="0" w:line="240" w:lineRule="auto"/>
      </w:pPr>
      <w:r>
        <w:separator/>
      </w:r>
    </w:p>
  </w:footnote>
  <w:footnote w:type="continuationSeparator" w:id="0">
    <w:p w14:paraId="578A3D2C" w14:textId="77777777" w:rsidR="00916994" w:rsidRDefault="00916994" w:rsidP="00B62DF2">
      <w:pPr>
        <w:spacing w:after="0" w:line="240" w:lineRule="auto"/>
      </w:pPr>
      <w:r>
        <w:continuationSeparator/>
      </w:r>
    </w:p>
  </w:footnote>
  <w:footnote w:type="continuationNotice" w:id="1">
    <w:p w14:paraId="237E0C57" w14:textId="77777777" w:rsidR="00916994" w:rsidRDefault="00916994">
      <w:pPr>
        <w:spacing w:before="0" w:after="0" w:line="240" w:lineRule="auto"/>
      </w:pPr>
    </w:p>
  </w:footnote>
  <w:footnote w:id="2">
    <w:p w14:paraId="4D914A7C" w14:textId="25117D20" w:rsidR="00D57D33" w:rsidRDefault="00D57D33">
      <w:pPr>
        <w:pStyle w:val="FootnoteText"/>
      </w:pPr>
      <w:r>
        <w:rPr>
          <w:rStyle w:val="FootnoteReference"/>
        </w:rPr>
        <w:footnoteRef/>
      </w:r>
      <w:r>
        <w:t xml:space="preserve"> </w:t>
      </w:r>
      <w:r w:rsidRPr="00D57D33">
        <w:t>Reiss UM, Davidoff AM, Tuddenham EGD, et al. Sustained Clinical Benefit of AAV Gene Therapy in Severe Hemophilia B. </w:t>
      </w:r>
      <w:r w:rsidRPr="00D57D33">
        <w:rPr>
          <w:i/>
          <w:iCs/>
        </w:rPr>
        <w:t>N Engl J Med</w:t>
      </w:r>
      <w:r w:rsidRPr="00D57D33">
        <w:t>. 2025;392(22):2226-2234. doi:10.1056/NEJMoa2414783</w:t>
      </w:r>
    </w:p>
  </w:footnote>
  <w:footnote w:id="3">
    <w:p w14:paraId="58C33865" w14:textId="72BDD818" w:rsidR="00287564" w:rsidRDefault="00287564">
      <w:pPr>
        <w:pStyle w:val="FootnoteText"/>
      </w:pPr>
      <w:r>
        <w:rPr>
          <w:rStyle w:val="FootnoteReference"/>
        </w:rPr>
        <w:footnoteRef/>
      </w:r>
      <w:r>
        <w:t xml:space="preserve"> </w:t>
      </w:r>
      <w:r w:rsidRPr="00287564">
        <w:t>Chhabra A, Bashirians G, Petropoulos CJ, et al. Global seroprevalence of neutralizing antibodies against adeno-associated virus serotypes used for human gene therapies. </w:t>
      </w:r>
      <w:r w:rsidRPr="00287564">
        <w:rPr>
          <w:i/>
          <w:iCs/>
        </w:rPr>
        <w:t>Mol Ther Methods Clin Dev</w:t>
      </w:r>
      <w:r w:rsidRPr="00287564">
        <w:t>. 2024;32(3):101273. Published 2024 May 29. doi:10.1016/j.omtm.2024.101273</w:t>
      </w:r>
    </w:p>
  </w:footnote>
  <w:footnote w:id="4">
    <w:p w14:paraId="4727374A" w14:textId="7FBB397D" w:rsidR="00577A87" w:rsidRPr="00605257" w:rsidRDefault="00577A87" w:rsidP="00577A87">
      <w:pPr>
        <w:pStyle w:val="FootnoteText"/>
        <w:rPr>
          <w:lang w:val="en-US"/>
        </w:rPr>
      </w:pPr>
      <w:r>
        <w:rPr>
          <w:rStyle w:val="FootnoteReference"/>
        </w:rPr>
        <w:footnoteRef/>
      </w:r>
      <w:r>
        <w:t xml:space="preserve"> </w:t>
      </w:r>
      <w:r w:rsidRPr="00605257">
        <w:rPr>
          <w:lang w:val="en-US"/>
        </w:rPr>
        <w:t>A Donsante, DG Miller, Y Li, C Vogler, EM Brunt, DW Russell, MS Sands</w:t>
      </w:r>
      <w:r>
        <w:rPr>
          <w:lang w:val="en-US"/>
        </w:rPr>
        <w:t xml:space="preserve"> (2007). </w:t>
      </w:r>
      <w:r w:rsidRPr="00605257">
        <w:rPr>
          <w:lang w:val="en-US"/>
        </w:rPr>
        <w:t>AAV vector integration sites in mouse hepatocellular carcinoma</w:t>
      </w:r>
      <w:r>
        <w:rPr>
          <w:lang w:val="en-US"/>
        </w:rPr>
        <w:t xml:space="preserve">. </w:t>
      </w:r>
      <w:r w:rsidRPr="00605257">
        <w:rPr>
          <w:lang w:val="en-US"/>
        </w:rPr>
        <w:t xml:space="preserve">Science </w:t>
      </w:r>
      <w:r w:rsidRPr="007F6D18">
        <w:rPr>
          <w:lang w:val="en-US"/>
        </w:rPr>
        <w:t>317</w:t>
      </w:r>
      <w:r>
        <w:rPr>
          <w:lang w:val="en-US"/>
        </w:rPr>
        <w:t>(</w:t>
      </w:r>
      <w:r w:rsidRPr="007F6D18">
        <w:rPr>
          <w:lang w:val="en-US"/>
        </w:rPr>
        <w:t>5837</w:t>
      </w:r>
      <w:r>
        <w:rPr>
          <w:lang w:val="en-US"/>
        </w:rPr>
        <w:t>):</w:t>
      </w:r>
      <w:r w:rsidRPr="007F6D18">
        <w:rPr>
          <w:lang w:val="en-US"/>
        </w:rPr>
        <w:t>477</w:t>
      </w:r>
      <w:r>
        <w:rPr>
          <w:lang w:val="en-US"/>
        </w:rPr>
        <w:t xml:space="preserve">. </w:t>
      </w:r>
      <w:r w:rsidRPr="007F6D18">
        <w:rPr>
          <w:lang w:val="en-US"/>
        </w:rPr>
        <w:t xml:space="preserve">DOI: </w:t>
      </w:r>
      <w:hyperlink r:id="rId1" w:history="1">
        <w:r w:rsidRPr="007F6D18">
          <w:rPr>
            <w:rStyle w:val="Hyperlink"/>
            <w:lang w:val="en-US"/>
          </w:rPr>
          <w:t>10.1126/science.1142658</w:t>
        </w:r>
      </w:hyperlink>
      <w:r>
        <w:rPr>
          <w:lang w:val="en-US"/>
        </w:rPr>
        <w:t xml:space="preserve"> </w:t>
      </w:r>
    </w:p>
  </w:footnote>
  <w:footnote w:id="5">
    <w:p w14:paraId="3E87BCB5" w14:textId="168D5102" w:rsidR="00481C9C" w:rsidRDefault="00481C9C">
      <w:pPr>
        <w:pStyle w:val="FootnoteText"/>
      </w:pPr>
      <w:r>
        <w:rPr>
          <w:rStyle w:val="FootnoteReference"/>
        </w:rPr>
        <w:footnoteRef/>
      </w:r>
      <w:r>
        <w:t xml:space="preserve"> </w:t>
      </w:r>
      <w:r w:rsidRPr="00D57D33">
        <w:t>Reiss UM, Davidoff AM, Tuddenham EGD, et al. Sustained Clinical Benefit of AAV Gene Therapy in Severe Hemophilia B. </w:t>
      </w:r>
      <w:r w:rsidRPr="00D57D33">
        <w:rPr>
          <w:i/>
          <w:iCs/>
        </w:rPr>
        <w:t>N Engl J Med</w:t>
      </w:r>
      <w:r w:rsidRPr="00D57D33">
        <w:t>. 2025;392(22):2226-2234. doi:10.1056/NEJMoa2414783</w:t>
      </w:r>
    </w:p>
  </w:footnote>
  <w:footnote w:id="6">
    <w:p w14:paraId="7920286A" w14:textId="337CF5EC" w:rsidR="005B05E3" w:rsidRDefault="005B05E3" w:rsidP="005B05E3">
      <w:pPr>
        <w:pStyle w:val="FootnoteText"/>
      </w:pPr>
      <w:r>
        <w:rPr>
          <w:rStyle w:val="FootnoteReference"/>
        </w:rPr>
        <w:footnoteRef/>
      </w:r>
      <w:r>
        <w:t xml:space="preserve"> </w:t>
      </w:r>
      <w:r w:rsidR="009F62BB">
        <w:t xml:space="preserve">The </w:t>
      </w:r>
      <w:r w:rsidR="007B5261">
        <w:t>5</w:t>
      </w:r>
      <w:r w:rsidR="009F62BB">
        <w:t xml:space="preserve"> hub sites proposed in the </w:t>
      </w:r>
      <w:r w:rsidR="006B0E8B">
        <w:t xml:space="preserve">AHCDO </w:t>
      </w:r>
      <w:r w:rsidR="006B0E8B" w:rsidRPr="00E40A38">
        <w:t xml:space="preserve">Gene Therapy Roadmap (2022) </w:t>
      </w:r>
      <w:r w:rsidR="00FB1242">
        <w:t>are the clinical trial sites that already have the requisite infrastructure and expertise for gene therapy</w:t>
      </w:r>
      <w:r w:rsidR="007B5261">
        <w:t xml:space="preserve">: </w:t>
      </w:r>
      <w:r>
        <w:t>Royal Brisbane &amp; Women’s</w:t>
      </w:r>
      <w:r w:rsidR="007B5261">
        <w:t xml:space="preserve"> </w:t>
      </w:r>
      <w:r>
        <w:t>Hospital (QLD)</w:t>
      </w:r>
      <w:r w:rsidR="007B5261">
        <w:t xml:space="preserve">; </w:t>
      </w:r>
      <w:r>
        <w:t>Royal Prince Alfred Hospital</w:t>
      </w:r>
      <w:r w:rsidR="007B5261">
        <w:t xml:space="preserve"> </w:t>
      </w:r>
      <w:r>
        <w:t>(NSW)</w:t>
      </w:r>
      <w:r w:rsidR="007B5261">
        <w:t xml:space="preserve">; </w:t>
      </w:r>
      <w:r>
        <w:t>The Alfred Hospital (VIC)</w:t>
      </w:r>
      <w:r w:rsidR="007B5261">
        <w:t xml:space="preserve">; </w:t>
      </w:r>
      <w:r>
        <w:t>Royal Adelaide Hospital (SA)</w:t>
      </w:r>
      <w:r w:rsidR="007B5261">
        <w:t xml:space="preserve">; </w:t>
      </w:r>
      <w:r>
        <w:t>Fiona Stanley Hospital (WA)</w:t>
      </w:r>
      <w:r w:rsidR="007B5261">
        <w:t>.</w:t>
      </w:r>
    </w:p>
  </w:footnote>
  <w:footnote w:id="7">
    <w:p w14:paraId="66FB0ABA" w14:textId="6984DE74" w:rsidR="00AE0B2D" w:rsidRDefault="00AE0B2D" w:rsidP="00AE0B2D">
      <w:pPr>
        <w:pStyle w:val="FootnoteText"/>
      </w:pPr>
      <w:r>
        <w:rPr>
          <w:rStyle w:val="FootnoteReference"/>
        </w:rPr>
        <w:footnoteRef/>
      </w:r>
      <w:r>
        <w:t xml:space="preserve"> 17 neoplasms in total, counting the gastrointestinal lymphoma event recorded at 18 and 24 months, </w:t>
      </w:r>
      <w:r w:rsidR="00F503A8">
        <w:t>which was</w:t>
      </w:r>
      <w:r>
        <w:t xml:space="preserve"> omitted from the 36- and 48-month data </w:t>
      </w:r>
      <w:r w:rsidR="00F503A8">
        <w:t xml:space="preserve">extracts </w:t>
      </w:r>
      <w:r>
        <w:t>for unknown reasons.</w:t>
      </w:r>
    </w:p>
  </w:footnote>
  <w:footnote w:id="8">
    <w:p w14:paraId="21DD722D" w14:textId="77777777" w:rsidR="00A57DC0" w:rsidRDefault="00A57DC0" w:rsidP="00A57DC0">
      <w:pPr>
        <w:pStyle w:val="FootnoteText"/>
      </w:pPr>
      <w:r>
        <w:rPr>
          <w:rStyle w:val="FootnoteReference"/>
        </w:rPr>
        <w:footnoteRef/>
      </w:r>
      <w:r>
        <w:t xml:space="preserve"> </w:t>
      </w:r>
      <w:r w:rsidRPr="00A40F28">
        <w:t>Australian Government Department of Health, Disability and Ageing</w:t>
      </w:r>
      <w:r>
        <w:t xml:space="preserve">, </w:t>
      </w:r>
      <w:r w:rsidRPr="00FE4378">
        <w:t>Attachment B – Basic De-identified Deed (example only)</w:t>
      </w:r>
      <w:r>
        <w:t xml:space="preserve">. </w:t>
      </w:r>
      <w:r w:rsidRPr="00F06B10">
        <w:t>https://www.pbs.gov.au/industry/listing/elements/deeds-agreement/attachment-b-basic-deidentified-deed.pdf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82E6" w14:textId="1B939CB3" w:rsidR="00601E62" w:rsidRDefault="00355CF8">
    <w:pPr>
      <w:pStyle w:val="Header"/>
    </w:pPr>
    <w:r>
      <w:rPr>
        <w:noProof/>
      </w:rPr>
      <mc:AlternateContent>
        <mc:Choice Requires="wps">
          <w:drawing>
            <wp:anchor distT="0" distB="0" distL="0" distR="0" simplePos="0" relativeHeight="251658241" behindDoc="0" locked="0" layoutInCell="1" allowOverlap="1" wp14:anchorId="08EF4FBB" wp14:editId="7710D6D0">
              <wp:simplePos x="635" y="635"/>
              <wp:positionH relativeFrom="page">
                <wp:align>center</wp:align>
              </wp:positionH>
              <wp:positionV relativeFrom="page">
                <wp:align>top</wp:align>
              </wp:positionV>
              <wp:extent cx="551815" cy="467360"/>
              <wp:effectExtent l="0" t="0" r="635" b="8890"/>
              <wp:wrapNone/>
              <wp:docPr id="10112871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2470C285" w14:textId="14E32F34" w:rsidR="00355CF8" w:rsidRPr="00355CF8" w:rsidRDefault="00355CF8" w:rsidP="00355CF8">
                          <w:pPr>
                            <w:spacing w:after="0"/>
                            <w:rPr>
                              <w:rFonts w:ascii="Calibri" w:eastAsia="Calibri" w:hAnsi="Calibri" w:cs="Calibri"/>
                              <w:noProof/>
                              <w:color w:val="FF0000"/>
                              <w:sz w:val="24"/>
                              <w:szCs w:val="24"/>
                            </w:rPr>
                          </w:pPr>
                          <w:r w:rsidRPr="00355C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EF4FBB" id="_x0000_t202" coordsize="21600,21600" o:spt="202" path="m,l,21600r21600,l21600,xe">
              <v:stroke joinstyle="miter"/>
              <v:path gradientshapeok="t" o:connecttype="rect"/>
            </v:shapetype>
            <v:shape id="_x0000_s1027" type="#_x0000_t202" alt="OFFICIAL" style="position:absolute;margin-left:0;margin-top:0;width:43.45pt;height:36.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" filled="f" stroked="f">
              <v:textbox style="mso-fit-shape-to-text:t" inset="0,15pt,0,0">
                <w:txbxContent>
                  <w:p w14:paraId="2470C285" w14:textId="14E32F34" w:rsidR="00355CF8" w:rsidRPr="00355CF8" w:rsidRDefault="00355CF8" w:rsidP="00355CF8">
                    <w:pPr>
                      <w:spacing w:after="0"/>
                      <w:rPr>
                        <w:rFonts w:ascii="Calibri" w:eastAsia="Calibri" w:hAnsi="Calibri" w:cs="Calibri"/>
                        <w:noProof/>
                        <w:color w:val="FF0000"/>
                        <w:sz w:val="24"/>
                        <w:szCs w:val="24"/>
                      </w:rPr>
                    </w:pPr>
                    <w:r w:rsidRPr="00355CF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756F" w14:textId="1B7AA537" w:rsidR="00601E62" w:rsidRDefault="00355CF8">
    <w:pPr>
      <w:pStyle w:val="Header"/>
    </w:pPr>
    <w:r>
      <w:rPr>
        <w:noProof/>
      </w:rPr>
      <mc:AlternateContent>
        <mc:Choice Requires="wps">
          <w:drawing>
            <wp:anchor distT="0" distB="0" distL="0" distR="0" simplePos="0" relativeHeight="251658242" behindDoc="0" locked="0" layoutInCell="1" allowOverlap="1" wp14:anchorId="4B20DC89" wp14:editId="7295463F">
              <wp:simplePos x="635" y="635"/>
              <wp:positionH relativeFrom="page">
                <wp:align>center</wp:align>
              </wp:positionH>
              <wp:positionV relativeFrom="page">
                <wp:align>top</wp:align>
              </wp:positionV>
              <wp:extent cx="551815" cy="467360"/>
              <wp:effectExtent l="0" t="0" r="635" b="8890"/>
              <wp:wrapNone/>
              <wp:docPr id="788334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50670E60" w14:textId="1C9F4FDF" w:rsidR="00355CF8" w:rsidRPr="00355CF8" w:rsidRDefault="00355CF8" w:rsidP="00355CF8">
                          <w:pPr>
                            <w:spacing w:after="0"/>
                            <w:rPr>
                              <w:rFonts w:ascii="Calibri" w:eastAsia="Calibri" w:hAnsi="Calibri" w:cs="Calibri"/>
                              <w:noProof/>
                              <w:color w:val="FF0000"/>
                              <w:sz w:val="24"/>
                              <w:szCs w:val="24"/>
                            </w:rPr>
                          </w:pPr>
                          <w:r w:rsidRPr="00355C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20DC89" id="_x0000_t202" coordsize="21600,21600" o:spt="202" path="m,l,21600r21600,l21600,xe">
              <v:stroke joinstyle="miter"/>
              <v:path gradientshapeok="t" o:connecttype="rect"/>
            </v:shapetype>
            <v:shape id="Text Box 3" o:spid="_x0000_s1028" type="#_x0000_t202" alt="OFFICIAL" style="position:absolute;margin-left:0;margin-top:0;width:43.45pt;height:36.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" filled="f" stroked="f">
              <v:textbox style="mso-fit-shape-to-text:t" inset="0,15pt,0,0">
                <w:txbxContent>
                  <w:p w14:paraId="50670E60" w14:textId="1C9F4FDF" w:rsidR="00355CF8" w:rsidRPr="00355CF8" w:rsidRDefault="00355CF8" w:rsidP="00355CF8">
                    <w:pPr>
                      <w:spacing w:after="0"/>
                      <w:rPr>
                        <w:rFonts w:ascii="Calibri" w:eastAsia="Calibri" w:hAnsi="Calibri" w:cs="Calibri"/>
                        <w:noProof/>
                        <w:color w:val="FF0000"/>
                        <w:sz w:val="24"/>
                        <w:szCs w:val="24"/>
                      </w:rPr>
                    </w:pPr>
                    <w:r w:rsidRPr="00355CF8">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851C" w14:textId="360276A3" w:rsidR="00601E62" w:rsidRDefault="00355CF8">
    <w:pPr>
      <w:pStyle w:val="Header"/>
    </w:pPr>
    <w:r>
      <w:rPr>
        <w:noProof/>
      </w:rPr>
      <mc:AlternateContent>
        <mc:Choice Requires="wps">
          <w:drawing>
            <wp:anchor distT="0" distB="0" distL="0" distR="0" simplePos="0" relativeHeight="251658240" behindDoc="0" locked="0" layoutInCell="1" allowOverlap="1" wp14:anchorId="178E2462" wp14:editId="5F283AF8">
              <wp:simplePos x="635" y="635"/>
              <wp:positionH relativeFrom="page">
                <wp:align>center</wp:align>
              </wp:positionH>
              <wp:positionV relativeFrom="page">
                <wp:align>top</wp:align>
              </wp:positionV>
              <wp:extent cx="551815" cy="467360"/>
              <wp:effectExtent l="0" t="0" r="635" b="8890"/>
              <wp:wrapNone/>
              <wp:docPr id="7289488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50C341D9" w14:textId="6DC2130C" w:rsidR="00355CF8" w:rsidRPr="00355CF8" w:rsidRDefault="00355CF8" w:rsidP="00355CF8">
                          <w:pPr>
                            <w:spacing w:after="0"/>
                            <w:rPr>
                              <w:rFonts w:ascii="Calibri" w:eastAsia="Calibri" w:hAnsi="Calibri" w:cs="Calibri"/>
                              <w:noProof/>
                              <w:color w:val="FF0000"/>
                              <w:sz w:val="24"/>
                              <w:szCs w:val="24"/>
                            </w:rPr>
                          </w:pPr>
                          <w:r w:rsidRPr="00355C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8E2462" id="_x0000_t202" coordsize="21600,21600" o:spt="202" path="m,l,21600r21600,l21600,xe">
              <v:stroke joinstyle="miter"/>
              <v:path gradientshapeok="t" o:connecttype="rect"/>
            </v:shapetype>
            <v:shape id="Text Box 1" o:spid="_x0000_s1031" type="#_x0000_t202" alt="OFFICIAL" style="position:absolute;margin-left:0;margin-top:0;width:43.45pt;height:36.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" filled="f" stroked="f">
              <v:textbox style="mso-fit-shape-to-text:t" inset="0,15pt,0,0">
                <w:txbxContent>
                  <w:p w14:paraId="50C341D9" w14:textId="6DC2130C" w:rsidR="00355CF8" w:rsidRPr="00355CF8" w:rsidRDefault="00355CF8" w:rsidP="00355CF8">
                    <w:pPr>
                      <w:spacing w:after="0"/>
                      <w:rPr>
                        <w:rFonts w:ascii="Calibri" w:eastAsia="Calibri" w:hAnsi="Calibri" w:cs="Calibri"/>
                        <w:noProof/>
                        <w:color w:val="FF0000"/>
                        <w:sz w:val="24"/>
                        <w:szCs w:val="24"/>
                      </w:rPr>
                    </w:pPr>
                    <w:r w:rsidRPr="00355CF8">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2C4"/>
    <w:multiLevelType w:val="hybridMultilevel"/>
    <w:tmpl w:val="3FB2F1DA"/>
    <w:lvl w:ilvl="0" w:tplc="037892C4">
      <w:start w:val="1"/>
      <w:numFmt w:val="lowerRoman"/>
      <w:lvlText w:val="%1)"/>
      <w:lvlJc w:val="right"/>
      <w:pPr>
        <w:ind w:left="720" w:hanging="360"/>
      </w:pPr>
    </w:lvl>
    <w:lvl w:ilvl="1" w:tplc="E5B05656">
      <w:start w:val="1"/>
      <w:numFmt w:val="lowerRoman"/>
      <w:lvlText w:val="%2)"/>
      <w:lvlJc w:val="right"/>
      <w:pPr>
        <w:ind w:left="720" w:hanging="360"/>
      </w:pPr>
    </w:lvl>
    <w:lvl w:ilvl="2" w:tplc="86526582">
      <w:start w:val="1"/>
      <w:numFmt w:val="lowerRoman"/>
      <w:lvlText w:val="%3)"/>
      <w:lvlJc w:val="right"/>
      <w:pPr>
        <w:ind w:left="720" w:hanging="360"/>
      </w:pPr>
    </w:lvl>
    <w:lvl w:ilvl="3" w:tplc="84FE6834">
      <w:start w:val="1"/>
      <w:numFmt w:val="lowerRoman"/>
      <w:lvlText w:val="%4)"/>
      <w:lvlJc w:val="right"/>
      <w:pPr>
        <w:ind w:left="720" w:hanging="360"/>
      </w:pPr>
    </w:lvl>
    <w:lvl w:ilvl="4" w:tplc="F64C8044">
      <w:start w:val="1"/>
      <w:numFmt w:val="lowerRoman"/>
      <w:lvlText w:val="%5)"/>
      <w:lvlJc w:val="right"/>
      <w:pPr>
        <w:ind w:left="720" w:hanging="360"/>
      </w:pPr>
    </w:lvl>
    <w:lvl w:ilvl="5" w:tplc="596C0620">
      <w:start w:val="1"/>
      <w:numFmt w:val="lowerRoman"/>
      <w:lvlText w:val="%6)"/>
      <w:lvlJc w:val="right"/>
      <w:pPr>
        <w:ind w:left="720" w:hanging="360"/>
      </w:pPr>
    </w:lvl>
    <w:lvl w:ilvl="6" w:tplc="491869CE">
      <w:start w:val="1"/>
      <w:numFmt w:val="lowerRoman"/>
      <w:lvlText w:val="%7)"/>
      <w:lvlJc w:val="right"/>
      <w:pPr>
        <w:ind w:left="720" w:hanging="360"/>
      </w:pPr>
    </w:lvl>
    <w:lvl w:ilvl="7" w:tplc="8B5E083E">
      <w:start w:val="1"/>
      <w:numFmt w:val="lowerRoman"/>
      <w:lvlText w:val="%8)"/>
      <w:lvlJc w:val="right"/>
      <w:pPr>
        <w:ind w:left="720" w:hanging="360"/>
      </w:pPr>
    </w:lvl>
    <w:lvl w:ilvl="8" w:tplc="A74466D2">
      <w:start w:val="1"/>
      <w:numFmt w:val="lowerRoman"/>
      <w:lvlText w:val="%9)"/>
      <w:lvlJc w:val="right"/>
      <w:pPr>
        <w:ind w:left="720" w:hanging="360"/>
      </w:pPr>
    </w:lvl>
  </w:abstractNum>
  <w:abstractNum w:abstractNumId="1" w15:restartNumberingAfterBreak="0">
    <w:nsid w:val="023017C6"/>
    <w:multiLevelType w:val="hybridMultilevel"/>
    <w:tmpl w:val="5F4C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D2745C"/>
    <w:multiLevelType w:val="hybridMultilevel"/>
    <w:tmpl w:val="6046D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097176"/>
    <w:multiLevelType w:val="hybridMultilevel"/>
    <w:tmpl w:val="7A5229FA"/>
    <w:lvl w:ilvl="0" w:tplc="D75EB9F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9E7FFC"/>
    <w:multiLevelType w:val="hybridMultilevel"/>
    <w:tmpl w:val="628CFFC2"/>
    <w:lvl w:ilvl="0" w:tplc="440004C0">
      <w:start w:val="1"/>
      <w:numFmt w:val="bullet"/>
      <w:lvlText w:val=""/>
      <w:lvlJc w:val="left"/>
      <w:pPr>
        <w:ind w:left="1080" w:hanging="360"/>
      </w:pPr>
      <w:rPr>
        <w:rFonts w:ascii="Symbol" w:hAnsi="Symbol"/>
      </w:rPr>
    </w:lvl>
    <w:lvl w:ilvl="1" w:tplc="AF0E4786">
      <w:start w:val="1"/>
      <w:numFmt w:val="bullet"/>
      <w:lvlText w:val=""/>
      <w:lvlJc w:val="left"/>
      <w:pPr>
        <w:ind w:left="1080" w:hanging="360"/>
      </w:pPr>
      <w:rPr>
        <w:rFonts w:ascii="Symbol" w:hAnsi="Symbol"/>
      </w:rPr>
    </w:lvl>
    <w:lvl w:ilvl="2" w:tplc="6E7879F6">
      <w:start w:val="1"/>
      <w:numFmt w:val="bullet"/>
      <w:lvlText w:val=""/>
      <w:lvlJc w:val="left"/>
      <w:pPr>
        <w:ind w:left="1080" w:hanging="360"/>
      </w:pPr>
      <w:rPr>
        <w:rFonts w:ascii="Symbol" w:hAnsi="Symbol"/>
      </w:rPr>
    </w:lvl>
    <w:lvl w:ilvl="3" w:tplc="4308F4EA">
      <w:start w:val="1"/>
      <w:numFmt w:val="bullet"/>
      <w:lvlText w:val=""/>
      <w:lvlJc w:val="left"/>
      <w:pPr>
        <w:ind w:left="1080" w:hanging="360"/>
      </w:pPr>
      <w:rPr>
        <w:rFonts w:ascii="Symbol" w:hAnsi="Symbol"/>
      </w:rPr>
    </w:lvl>
    <w:lvl w:ilvl="4" w:tplc="66C06AFC">
      <w:start w:val="1"/>
      <w:numFmt w:val="bullet"/>
      <w:lvlText w:val=""/>
      <w:lvlJc w:val="left"/>
      <w:pPr>
        <w:ind w:left="1080" w:hanging="360"/>
      </w:pPr>
      <w:rPr>
        <w:rFonts w:ascii="Symbol" w:hAnsi="Symbol"/>
      </w:rPr>
    </w:lvl>
    <w:lvl w:ilvl="5" w:tplc="BB0675B6">
      <w:start w:val="1"/>
      <w:numFmt w:val="bullet"/>
      <w:lvlText w:val=""/>
      <w:lvlJc w:val="left"/>
      <w:pPr>
        <w:ind w:left="1080" w:hanging="360"/>
      </w:pPr>
      <w:rPr>
        <w:rFonts w:ascii="Symbol" w:hAnsi="Symbol"/>
      </w:rPr>
    </w:lvl>
    <w:lvl w:ilvl="6" w:tplc="4F46A294">
      <w:start w:val="1"/>
      <w:numFmt w:val="bullet"/>
      <w:lvlText w:val=""/>
      <w:lvlJc w:val="left"/>
      <w:pPr>
        <w:ind w:left="1080" w:hanging="360"/>
      </w:pPr>
      <w:rPr>
        <w:rFonts w:ascii="Symbol" w:hAnsi="Symbol"/>
      </w:rPr>
    </w:lvl>
    <w:lvl w:ilvl="7" w:tplc="8B360FB0">
      <w:start w:val="1"/>
      <w:numFmt w:val="bullet"/>
      <w:lvlText w:val=""/>
      <w:lvlJc w:val="left"/>
      <w:pPr>
        <w:ind w:left="1080" w:hanging="360"/>
      </w:pPr>
      <w:rPr>
        <w:rFonts w:ascii="Symbol" w:hAnsi="Symbol"/>
      </w:rPr>
    </w:lvl>
    <w:lvl w:ilvl="8" w:tplc="2604C24E">
      <w:start w:val="1"/>
      <w:numFmt w:val="bullet"/>
      <w:lvlText w:val=""/>
      <w:lvlJc w:val="left"/>
      <w:pPr>
        <w:ind w:left="1080" w:hanging="360"/>
      </w:pPr>
      <w:rPr>
        <w:rFonts w:ascii="Symbol" w:hAnsi="Symbol"/>
      </w:rPr>
    </w:lvl>
  </w:abstractNum>
  <w:abstractNum w:abstractNumId="5" w15:restartNumberingAfterBreak="0">
    <w:nsid w:val="07B83CD7"/>
    <w:multiLevelType w:val="hybridMultilevel"/>
    <w:tmpl w:val="3E68B004"/>
    <w:lvl w:ilvl="0" w:tplc="54DCD25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8D46557"/>
    <w:multiLevelType w:val="hybridMultilevel"/>
    <w:tmpl w:val="7D048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687501"/>
    <w:multiLevelType w:val="hybridMultilevel"/>
    <w:tmpl w:val="FACE398C"/>
    <w:lvl w:ilvl="0" w:tplc="1F764648">
      <w:start w:val="1"/>
      <w:numFmt w:val="bullet"/>
      <w:lvlText w:val=""/>
      <w:lvlJc w:val="left"/>
      <w:pPr>
        <w:ind w:left="1080" w:hanging="360"/>
      </w:pPr>
      <w:rPr>
        <w:rFonts w:ascii="Symbol" w:hAnsi="Symbol"/>
      </w:rPr>
    </w:lvl>
    <w:lvl w:ilvl="1" w:tplc="AFE0B2B0">
      <w:start w:val="1"/>
      <w:numFmt w:val="bullet"/>
      <w:lvlText w:val=""/>
      <w:lvlJc w:val="left"/>
      <w:pPr>
        <w:ind w:left="1080" w:hanging="360"/>
      </w:pPr>
      <w:rPr>
        <w:rFonts w:ascii="Symbol" w:hAnsi="Symbol"/>
      </w:rPr>
    </w:lvl>
    <w:lvl w:ilvl="2" w:tplc="8C46F400">
      <w:start w:val="1"/>
      <w:numFmt w:val="bullet"/>
      <w:lvlText w:val=""/>
      <w:lvlJc w:val="left"/>
      <w:pPr>
        <w:ind w:left="1080" w:hanging="360"/>
      </w:pPr>
      <w:rPr>
        <w:rFonts w:ascii="Symbol" w:hAnsi="Symbol"/>
      </w:rPr>
    </w:lvl>
    <w:lvl w:ilvl="3" w:tplc="674ADF42">
      <w:start w:val="1"/>
      <w:numFmt w:val="bullet"/>
      <w:lvlText w:val=""/>
      <w:lvlJc w:val="left"/>
      <w:pPr>
        <w:ind w:left="1080" w:hanging="360"/>
      </w:pPr>
      <w:rPr>
        <w:rFonts w:ascii="Symbol" w:hAnsi="Symbol"/>
      </w:rPr>
    </w:lvl>
    <w:lvl w:ilvl="4" w:tplc="6D0860CE">
      <w:start w:val="1"/>
      <w:numFmt w:val="bullet"/>
      <w:lvlText w:val=""/>
      <w:lvlJc w:val="left"/>
      <w:pPr>
        <w:ind w:left="1080" w:hanging="360"/>
      </w:pPr>
      <w:rPr>
        <w:rFonts w:ascii="Symbol" w:hAnsi="Symbol"/>
      </w:rPr>
    </w:lvl>
    <w:lvl w:ilvl="5" w:tplc="565A260E">
      <w:start w:val="1"/>
      <w:numFmt w:val="bullet"/>
      <w:lvlText w:val=""/>
      <w:lvlJc w:val="left"/>
      <w:pPr>
        <w:ind w:left="1080" w:hanging="360"/>
      </w:pPr>
      <w:rPr>
        <w:rFonts w:ascii="Symbol" w:hAnsi="Symbol"/>
      </w:rPr>
    </w:lvl>
    <w:lvl w:ilvl="6" w:tplc="71E4AEEE">
      <w:start w:val="1"/>
      <w:numFmt w:val="bullet"/>
      <w:lvlText w:val=""/>
      <w:lvlJc w:val="left"/>
      <w:pPr>
        <w:ind w:left="1080" w:hanging="360"/>
      </w:pPr>
      <w:rPr>
        <w:rFonts w:ascii="Symbol" w:hAnsi="Symbol"/>
      </w:rPr>
    </w:lvl>
    <w:lvl w:ilvl="7" w:tplc="52BC7770">
      <w:start w:val="1"/>
      <w:numFmt w:val="bullet"/>
      <w:lvlText w:val=""/>
      <w:lvlJc w:val="left"/>
      <w:pPr>
        <w:ind w:left="1080" w:hanging="360"/>
      </w:pPr>
      <w:rPr>
        <w:rFonts w:ascii="Symbol" w:hAnsi="Symbol"/>
      </w:rPr>
    </w:lvl>
    <w:lvl w:ilvl="8" w:tplc="816EBA7E">
      <w:start w:val="1"/>
      <w:numFmt w:val="bullet"/>
      <w:lvlText w:val=""/>
      <w:lvlJc w:val="left"/>
      <w:pPr>
        <w:ind w:left="1080" w:hanging="360"/>
      </w:pPr>
      <w:rPr>
        <w:rFonts w:ascii="Symbol" w:hAnsi="Symbol"/>
      </w:rPr>
    </w:lvl>
  </w:abstractNum>
  <w:abstractNum w:abstractNumId="8" w15:restartNumberingAfterBreak="0">
    <w:nsid w:val="0ACF4AA9"/>
    <w:multiLevelType w:val="hybridMultilevel"/>
    <w:tmpl w:val="BF801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2B157F"/>
    <w:multiLevelType w:val="hybridMultilevel"/>
    <w:tmpl w:val="AD1A43D2"/>
    <w:lvl w:ilvl="0" w:tplc="5F92D656">
      <w:start w:val="1"/>
      <w:numFmt w:val="decimal"/>
      <w:lvlText w:val="%1."/>
      <w:lvlJc w:val="left"/>
      <w:pPr>
        <w:ind w:left="720" w:hanging="360"/>
      </w:pPr>
    </w:lvl>
    <w:lvl w:ilvl="1" w:tplc="2B54962A">
      <w:start w:val="1"/>
      <w:numFmt w:val="decimal"/>
      <w:lvlText w:val="%2."/>
      <w:lvlJc w:val="left"/>
      <w:pPr>
        <w:ind w:left="720" w:hanging="360"/>
      </w:pPr>
    </w:lvl>
    <w:lvl w:ilvl="2" w:tplc="48BA5F92">
      <w:start w:val="1"/>
      <w:numFmt w:val="decimal"/>
      <w:lvlText w:val="%3."/>
      <w:lvlJc w:val="left"/>
      <w:pPr>
        <w:ind w:left="720" w:hanging="360"/>
      </w:pPr>
    </w:lvl>
    <w:lvl w:ilvl="3" w:tplc="DF6EFEBC">
      <w:start w:val="1"/>
      <w:numFmt w:val="decimal"/>
      <w:lvlText w:val="%4."/>
      <w:lvlJc w:val="left"/>
      <w:pPr>
        <w:ind w:left="720" w:hanging="360"/>
      </w:pPr>
    </w:lvl>
    <w:lvl w:ilvl="4" w:tplc="2CF86EFE">
      <w:start w:val="1"/>
      <w:numFmt w:val="decimal"/>
      <w:lvlText w:val="%5."/>
      <w:lvlJc w:val="left"/>
      <w:pPr>
        <w:ind w:left="720" w:hanging="360"/>
      </w:pPr>
    </w:lvl>
    <w:lvl w:ilvl="5" w:tplc="8B105BF6">
      <w:start w:val="1"/>
      <w:numFmt w:val="decimal"/>
      <w:lvlText w:val="%6."/>
      <w:lvlJc w:val="left"/>
      <w:pPr>
        <w:ind w:left="720" w:hanging="360"/>
      </w:pPr>
    </w:lvl>
    <w:lvl w:ilvl="6" w:tplc="862CDAAA">
      <w:start w:val="1"/>
      <w:numFmt w:val="decimal"/>
      <w:lvlText w:val="%7."/>
      <w:lvlJc w:val="left"/>
      <w:pPr>
        <w:ind w:left="720" w:hanging="360"/>
      </w:pPr>
    </w:lvl>
    <w:lvl w:ilvl="7" w:tplc="51B60B8A">
      <w:start w:val="1"/>
      <w:numFmt w:val="decimal"/>
      <w:lvlText w:val="%8."/>
      <w:lvlJc w:val="left"/>
      <w:pPr>
        <w:ind w:left="720" w:hanging="360"/>
      </w:pPr>
    </w:lvl>
    <w:lvl w:ilvl="8" w:tplc="1466D338">
      <w:start w:val="1"/>
      <w:numFmt w:val="decimal"/>
      <w:lvlText w:val="%9."/>
      <w:lvlJc w:val="left"/>
      <w:pPr>
        <w:ind w:left="720" w:hanging="360"/>
      </w:pPr>
    </w:lvl>
  </w:abstractNum>
  <w:abstractNum w:abstractNumId="10" w15:restartNumberingAfterBreak="0">
    <w:nsid w:val="0D4A7FFA"/>
    <w:multiLevelType w:val="hybridMultilevel"/>
    <w:tmpl w:val="C2F8312A"/>
    <w:lvl w:ilvl="0" w:tplc="8E08441A">
      <w:start w:val="1"/>
      <w:numFmt w:val="lowerRoman"/>
      <w:lvlText w:val="%1)"/>
      <w:lvlJc w:val="right"/>
      <w:pPr>
        <w:ind w:left="1020" w:hanging="360"/>
      </w:pPr>
    </w:lvl>
    <w:lvl w:ilvl="1" w:tplc="E8385D96">
      <w:start w:val="1"/>
      <w:numFmt w:val="lowerRoman"/>
      <w:lvlText w:val="%2)"/>
      <w:lvlJc w:val="right"/>
      <w:pPr>
        <w:ind w:left="1020" w:hanging="360"/>
      </w:pPr>
    </w:lvl>
    <w:lvl w:ilvl="2" w:tplc="C82E45C6">
      <w:start w:val="1"/>
      <w:numFmt w:val="lowerRoman"/>
      <w:lvlText w:val="%3)"/>
      <w:lvlJc w:val="right"/>
      <w:pPr>
        <w:ind w:left="1020" w:hanging="360"/>
      </w:pPr>
    </w:lvl>
    <w:lvl w:ilvl="3" w:tplc="102EFBE2">
      <w:start w:val="1"/>
      <w:numFmt w:val="lowerRoman"/>
      <w:lvlText w:val="%4)"/>
      <w:lvlJc w:val="right"/>
      <w:pPr>
        <w:ind w:left="1020" w:hanging="360"/>
      </w:pPr>
    </w:lvl>
    <w:lvl w:ilvl="4" w:tplc="CC8A5484">
      <w:start w:val="1"/>
      <w:numFmt w:val="lowerRoman"/>
      <w:lvlText w:val="%5)"/>
      <w:lvlJc w:val="right"/>
      <w:pPr>
        <w:ind w:left="1020" w:hanging="360"/>
      </w:pPr>
    </w:lvl>
    <w:lvl w:ilvl="5" w:tplc="A43ADF68">
      <w:start w:val="1"/>
      <w:numFmt w:val="lowerRoman"/>
      <w:lvlText w:val="%6)"/>
      <w:lvlJc w:val="right"/>
      <w:pPr>
        <w:ind w:left="1020" w:hanging="360"/>
      </w:pPr>
    </w:lvl>
    <w:lvl w:ilvl="6" w:tplc="1A06C056">
      <w:start w:val="1"/>
      <w:numFmt w:val="lowerRoman"/>
      <w:lvlText w:val="%7)"/>
      <w:lvlJc w:val="right"/>
      <w:pPr>
        <w:ind w:left="1020" w:hanging="360"/>
      </w:pPr>
    </w:lvl>
    <w:lvl w:ilvl="7" w:tplc="5EBCE164">
      <w:start w:val="1"/>
      <w:numFmt w:val="lowerRoman"/>
      <w:lvlText w:val="%8)"/>
      <w:lvlJc w:val="right"/>
      <w:pPr>
        <w:ind w:left="1020" w:hanging="360"/>
      </w:pPr>
    </w:lvl>
    <w:lvl w:ilvl="8" w:tplc="698C9390">
      <w:start w:val="1"/>
      <w:numFmt w:val="lowerRoman"/>
      <w:lvlText w:val="%9)"/>
      <w:lvlJc w:val="right"/>
      <w:pPr>
        <w:ind w:left="1020" w:hanging="360"/>
      </w:pPr>
    </w:lvl>
  </w:abstractNum>
  <w:abstractNum w:abstractNumId="11" w15:restartNumberingAfterBreak="0">
    <w:nsid w:val="0DFE6F44"/>
    <w:multiLevelType w:val="hybridMultilevel"/>
    <w:tmpl w:val="FFFFFFFF"/>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FF556F"/>
    <w:multiLevelType w:val="hybridMultilevel"/>
    <w:tmpl w:val="6BC035C4"/>
    <w:lvl w:ilvl="0" w:tplc="FB942214">
      <w:start w:val="1"/>
      <w:numFmt w:val="bullet"/>
      <w:pStyle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0FF34EE"/>
    <w:multiLevelType w:val="hybridMultilevel"/>
    <w:tmpl w:val="C6707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847AEC"/>
    <w:multiLevelType w:val="hybridMultilevel"/>
    <w:tmpl w:val="E66C3C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6377BC9"/>
    <w:multiLevelType w:val="hybridMultilevel"/>
    <w:tmpl w:val="77346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B4D6D"/>
    <w:multiLevelType w:val="hybridMultilevel"/>
    <w:tmpl w:val="0CEE5CC8"/>
    <w:lvl w:ilvl="0" w:tplc="C8724664">
      <w:start w:val="1"/>
      <w:numFmt w:val="bullet"/>
      <w:lvlText w:val=""/>
      <w:lvlJc w:val="left"/>
      <w:pPr>
        <w:ind w:left="1080" w:hanging="360"/>
      </w:pPr>
      <w:rPr>
        <w:rFonts w:ascii="Symbol" w:hAnsi="Symbol"/>
      </w:rPr>
    </w:lvl>
    <w:lvl w:ilvl="1" w:tplc="008C4B38">
      <w:start w:val="1"/>
      <w:numFmt w:val="bullet"/>
      <w:lvlText w:val=""/>
      <w:lvlJc w:val="left"/>
      <w:pPr>
        <w:ind w:left="1080" w:hanging="360"/>
      </w:pPr>
      <w:rPr>
        <w:rFonts w:ascii="Symbol" w:hAnsi="Symbol"/>
      </w:rPr>
    </w:lvl>
    <w:lvl w:ilvl="2" w:tplc="2460EEB6">
      <w:start w:val="1"/>
      <w:numFmt w:val="bullet"/>
      <w:lvlText w:val=""/>
      <w:lvlJc w:val="left"/>
      <w:pPr>
        <w:ind w:left="1080" w:hanging="360"/>
      </w:pPr>
      <w:rPr>
        <w:rFonts w:ascii="Symbol" w:hAnsi="Symbol"/>
      </w:rPr>
    </w:lvl>
    <w:lvl w:ilvl="3" w:tplc="7BDC15F2">
      <w:start w:val="1"/>
      <w:numFmt w:val="bullet"/>
      <w:lvlText w:val=""/>
      <w:lvlJc w:val="left"/>
      <w:pPr>
        <w:ind w:left="1080" w:hanging="360"/>
      </w:pPr>
      <w:rPr>
        <w:rFonts w:ascii="Symbol" w:hAnsi="Symbol"/>
      </w:rPr>
    </w:lvl>
    <w:lvl w:ilvl="4" w:tplc="245E774E">
      <w:start w:val="1"/>
      <w:numFmt w:val="bullet"/>
      <w:lvlText w:val=""/>
      <w:lvlJc w:val="left"/>
      <w:pPr>
        <w:ind w:left="1080" w:hanging="360"/>
      </w:pPr>
      <w:rPr>
        <w:rFonts w:ascii="Symbol" w:hAnsi="Symbol"/>
      </w:rPr>
    </w:lvl>
    <w:lvl w:ilvl="5" w:tplc="7DB401FC">
      <w:start w:val="1"/>
      <w:numFmt w:val="bullet"/>
      <w:lvlText w:val=""/>
      <w:lvlJc w:val="left"/>
      <w:pPr>
        <w:ind w:left="1080" w:hanging="360"/>
      </w:pPr>
      <w:rPr>
        <w:rFonts w:ascii="Symbol" w:hAnsi="Symbol"/>
      </w:rPr>
    </w:lvl>
    <w:lvl w:ilvl="6" w:tplc="5F166974">
      <w:start w:val="1"/>
      <w:numFmt w:val="bullet"/>
      <w:lvlText w:val=""/>
      <w:lvlJc w:val="left"/>
      <w:pPr>
        <w:ind w:left="1080" w:hanging="360"/>
      </w:pPr>
      <w:rPr>
        <w:rFonts w:ascii="Symbol" w:hAnsi="Symbol"/>
      </w:rPr>
    </w:lvl>
    <w:lvl w:ilvl="7" w:tplc="02B0867C">
      <w:start w:val="1"/>
      <w:numFmt w:val="bullet"/>
      <w:lvlText w:val=""/>
      <w:lvlJc w:val="left"/>
      <w:pPr>
        <w:ind w:left="1080" w:hanging="360"/>
      </w:pPr>
      <w:rPr>
        <w:rFonts w:ascii="Symbol" w:hAnsi="Symbol"/>
      </w:rPr>
    </w:lvl>
    <w:lvl w:ilvl="8" w:tplc="AF168836">
      <w:start w:val="1"/>
      <w:numFmt w:val="bullet"/>
      <w:lvlText w:val=""/>
      <w:lvlJc w:val="left"/>
      <w:pPr>
        <w:ind w:left="1080" w:hanging="360"/>
      </w:pPr>
      <w:rPr>
        <w:rFonts w:ascii="Symbol" w:hAnsi="Symbol"/>
      </w:rPr>
    </w:lvl>
  </w:abstractNum>
  <w:abstractNum w:abstractNumId="18" w15:restartNumberingAfterBreak="0">
    <w:nsid w:val="1C594696"/>
    <w:multiLevelType w:val="hybridMultilevel"/>
    <w:tmpl w:val="4F4EB8D0"/>
    <w:lvl w:ilvl="0" w:tplc="5210B196">
      <w:numFmt w:val="bullet"/>
      <w:lvlText w:val="-"/>
      <w:lvlJc w:val="left"/>
      <w:pPr>
        <w:ind w:left="720" w:hanging="360"/>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A21940"/>
    <w:multiLevelType w:val="hybridMultilevel"/>
    <w:tmpl w:val="DAE2AE28"/>
    <w:lvl w:ilvl="0" w:tplc="0C090001">
      <w:start w:val="1"/>
      <w:numFmt w:val="bullet"/>
      <w:lvlText w:val=""/>
      <w:lvlJc w:val="left"/>
      <w:pPr>
        <w:ind w:left="720" w:hanging="360"/>
      </w:pPr>
      <w:rPr>
        <w:rFonts w:ascii="Symbol" w:hAnsi="Symbol" w:hint="default"/>
      </w:rPr>
    </w:lvl>
    <w:lvl w:ilvl="1" w:tplc="D612E80A">
      <w:numFmt w:val="bullet"/>
      <w:lvlText w:val="•"/>
      <w:lvlJc w:val="left"/>
      <w:pPr>
        <w:ind w:left="1800" w:hanging="720"/>
      </w:pPr>
      <w:rPr>
        <w:rFonts w:ascii="Franklin Gothic Book" w:eastAsiaTheme="minorHAnsi" w:hAnsi="Franklin Gothic Book"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7C0EE4"/>
    <w:multiLevelType w:val="hybridMultilevel"/>
    <w:tmpl w:val="830E11B6"/>
    <w:styleLink w:val="ESSectionheading-numbered"/>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694A49"/>
    <w:multiLevelType w:val="hybridMultilevel"/>
    <w:tmpl w:val="1A34A274"/>
    <w:lvl w:ilvl="0" w:tplc="A6DCEFAC">
      <w:start w:val="1"/>
      <w:numFmt w:val="decimal"/>
      <w:lvlText w:val="%1."/>
      <w:lvlJc w:val="left"/>
      <w:pPr>
        <w:ind w:left="1020" w:hanging="360"/>
      </w:pPr>
    </w:lvl>
    <w:lvl w:ilvl="1" w:tplc="4716AE34">
      <w:start w:val="1"/>
      <w:numFmt w:val="decimal"/>
      <w:lvlText w:val="%2."/>
      <w:lvlJc w:val="left"/>
      <w:pPr>
        <w:ind w:left="1020" w:hanging="360"/>
      </w:pPr>
    </w:lvl>
    <w:lvl w:ilvl="2" w:tplc="A8729B8A">
      <w:start w:val="1"/>
      <w:numFmt w:val="decimal"/>
      <w:lvlText w:val="%3."/>
      <w:lvlJc w:val="left"/>
      <w:pPr>
        <w:ind w:left="1020" w:hanging="360"/>
      </w:pPr>
    </w:lvl>
    <w:lvl w:ilvl="3" w:tplc="69FA2C7C">
      <w:start w:val="1"/>
      <w:numFmt w:val="decimal"/>
      <w:lvlText w:val="%4."/>
      <w:lvlJc w:val="left"/>
      <w:pPr>
        <w:ind w:left="1020" w:hanging="360"/>
      </w:pPr>
    </w:lvl>
    <w:lvl w:ilvl="4" w:tplc="0C4C3496">
      <w:start w:val="1"/>
      <w:numFmt w:val="decimal"/>
      <w:lvlText w:val="%5."/>
      <w:lvlJc w:val="left"/>
      <w:pPr>
        <w:ind w:left="1020" w:hanging="360"/>
      </w:pPr>
    </w:lvl>
    <w:lvl w:ilvl="5" w:tplc="BDEEDFAE">
      <w:start w:val="1"/>
      <w:numFmt w:val="decimal"/>
      <w:lvlText w:val="%6."/>
      <w:lvlJc w:val="left"/>
      <w:pPr>
        <w:ind w:left="1020" w:hanging="360"/>
      </w:pPr>
    </w:lvl>
    <w:lvl w:ilvl="6" w:tplc="B0C26ECE">
      <w:start w:val="1"/>
      <w:numFmt w:val="decimal"/>
      <w:lvlText w:val="%7."/>
      <w:lvlJc w:val="left"/>
      <w:pPr>
        <w:ind w:left="1020" w:hanging="360"/>
      </w:pPr>
    </w:lvl>
    <w:lvl w:ilvl="7" w:tplc="4FBC3684">
      <w:start w:val="1"/>
      <w:numFmt w:val="decimal"/>
      <w:lvlText w:val="%8."/>
      <w:lvlJc w:val="left"/>
      <w:pPr>
        <w:ind w:left="1020" w:hanging="360"/>
      </w:pPr>
    </w:lvl>
    <w:lvl w:ilvl="8" w:tplc="DF685D14">
      <w:start w:val="1"/>
      <w:numFmt w:val="decimal"/>
      <w:lvlText w:val="%9."/>
      <w:lvlJc w:val="left"/>
      <w:pPr>
        <w:ind w:left="1020" w:hanging="360"/>
      </w:pPr>
    </w:lvl>
  </w:abstractNum>
  <w:abstractNum w:abstractNumId="22"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5E246B"/>
    <w:multiLevelType w:val="hybridMultilevel"/>
    <w:tmpl w:val="C4F2253C"/>
    <w:lvl w:ilvl="0" w:tplc="B0E28340">
      <w:start w:val="1"/>
      <w:numFmt w:val="decimal"/>
      <w:pStyle w:val="ESHeading1"/>
      <w:lvlText w:val="%1."/>
      <w:lvlJc w:val="left"/>
      <w:pPr>
        <w:ind w:left="216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0FB52BE"/>
    <w:multiLevelType w:val="hybridMultilevel"/>
    <w:tmpl w:val="BD249D5A"/>
    <w:lvl w:ilvl="0" w:tplc="4B6CBF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4371DC"/>
    <w:multiLevelType w:val="multilevel"/>
    <w:tmpl w:val="4A02812C"/>
    <w:lvl w:ilvl="0">
      <w:start w:val="1"/>
      <w:numFmt w:val="decimal"/>
      <w:pStyle w:val="Heading1"/>
      <w:lvlText w:val="Section %1"/>
      <w:lvlJc w:val="left"/>
      <w:pPr>
        <w:ind w:left="786" w:hanging="360"/>
      </w:pPr>
      <w:rPr>
        <w:rFonts w:hint="default"/>
      </w:rPr>
    </w:lvl>
    <w:lvl w:ilvl="1">
      <w:start w:val="1"/>
      <w:numFmt w:val="decimal"/>
      <w:pStyle w:val="Heading2"/>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4E1661A"/>
    <w:multiLevelType w:val="hybridMultilevel"/>
    <w:tmpl w:val="0F129E4A"/>
    <w:lvl w:ilvl="0" w:tplc="E4E006D6">
      <w:start w:val="1"/>
      <w:numFmt w:val="bullet"/>
      <w:lvlText w:val=""/>
      <w:lvlJc w:val="left"/>
      <w:pPr>
        <w:ind w:left="720" w:hanging="360"/>
      </w:pPr>
      <w:rPr>
        <w:rFonts w:ascii="Symbol" w:hAnsi="Symbol" w:hint="default"/>
      </w:rPr>
    </w:lvl>
    <w:lvl w:ilvl="1" w:tplc="9B8E2D88">
      <w:start w:val="1"/>
      <w:numFmt w:val="bullet"/>
      <w:lvlText w:val="o"/>
      <w:lvlJc w:val="left"/>
      <w:pPr>
        <w:ind w:left="1440" w:hanging="360"/>
      </w:pPr>
      <w:rPr>
        <w:rFonts w:ascii="Courier New" w:hAnsi="Courier New" w:hint="default"/>
      </w:rPr>
    </w:lvl>
    <w:lvl w:ilvl="2" w:tplc="416E9A34">
      <w:start w:val="1"/>
      <w:numFmt w:val="bullet"/>
      <w:lvlText w:val=""/>
      <w:lvlJc w:val="left"/>
      <w:pPr>
        <w:ind w:left="2160" w:hanging="360"/>
      </w:pPr>
      <w:rPr>
        <w:rFonts w:ascii="Wingdings" w:hAnsi="Wingdings" w:hint="default"/>
      </w:rPr>
    </w:lvl>
    <w:lvl w:ilvl="3" w:tplc="315C1650">
      <w:start w:val="1"/>
      <w:numFmt w:val="bullet"/>
      <w:lvlText w:val=""/>
      <w:lvlJc w:val="left"/>
      <w:pPr>
        <w:ind w:left="2880" w:hanging="360"/>
      </w:pPr>
      <w:rPr>
        <w:rFonts w:ascii="Symbol" w:hAnsi="Symbol" w:hint="default"/>
      </w:rPr>
    </w:lvl>
    <w:lvl w:ilvl="4" w:tplc="7102F1B2">
      <w:start w:val="1"/>
      <w:numFmt w:val="bullet"/>
      <w:lvlText w:val="o"/>
      <w:lvlJc w:val="left"/>
      <w:pPr>
        <w:ind w:left="3600" w:hanging="360"/>
      </w:pPr>
      <w:rPr>
        <w:rFonts w:ascii="Courier New" w:hAnsi="Courier New" w:hint="default"/>
      </w:rPr>
    </w:lvl>
    <w:lvl w:ilvl="5" w:tplc="FBF47F20">
      <w:start w:val="1"/>
      <w:numFmt w:val="bullet"/>
      <w:lvlText w:val=""/>
      <w:lvlJc w:val="left"/>
      <w:pPr>
        <w:ind w:left="4320" w:hanging="360"/>
      </w:pPr>
      <w:rPr>
        <w:rFonts w:ascii="Wingdings" w:hAnsi="Wingdings" w:hint="default"/>
      </w:rPr>
    </w:lvl>
    <w:lvl w:ilvl="6" w:tplc="859665D4">
      <w:start w:val="1"/>
      <w:numFmt w:val="bullet"/>
      <w:lvlText w:val=""/>
      <w:lvlJc w:val="left"/>
      <w:pPr>
        <w:ind w:left="5040" w:hanging="360"/>
      </w:pPr>
      <w:rPr>
        <w:rFonts w:ascii="Symbol" w:hAnsi="Symbol" w:hint="default"/>
      </w:rPr>
    </w:lvl>
    <w:lvl w:ilvl="7" w:tplc="D006F21A">
      <w:start w:val="1"/>
      <w:numFmt w:val="bullet"/>
      <w:lvlText w:val="o"/>
      <w:lvlJc w:val="left"/>
      <w:pPr>
        <w:ind w:left="5760" w:hanging="360"/>
      </w:pPr>
      <w:rPr>
        <w:rFonts w:ascii="Courier New" w:hAnsi="Courier New" w:hint="default"/>
      </w:rPr>
    </w:lvl>
    <w:lvl w:ilvl="8" w:tplc="5B4A9C56">
      <w:start w:val="1"/>
      <w:numFmt w:val="bullet"/>
      <w:lvlText w:val=""/>
      <w:lvlJc w:val="left"/>
      <w:pPr>
        <w:ind w:left="6480" w:hanging="360"/>
      </w:pPr>
      <w:rPr>
        <w:rFonts w:ascii="Wingdings" w:hAnsi="Wingdings" w:hint="default"/>
      </w:rPr>
    </w:lvl>
  </w:abstractNum>
  <w:abstractNum w:abstractNumId="28" w15:restartNumberingAfterBreak="0">
    <w:nsid w:val="35C50B38"/>
    <w:multiLevelType w:val="hybridMultilevel"/>
    <w:tmpl w:val="1A126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B2B0E61"/>
    <w:multiLevelType w:val="hybridMultilevel"/>
    <w:tmpl w:val="9AEAA906"/>
    <w:lvl w:ilvl="0" w:tplc="BBAC6B6C">
      <w:start w:val="1"/>
      <w:numFmt w:val="bullet"/>
      <w:lvlText w:val=""/>
      <w:lvlJc w:val="left"/>
      <w:pPr>
        <w:ind w:left="1080" w:hanging="360"/>
      </w:pPr>
      <w:rPr>
        <w:rFonts w:ascii="Symbol" w:hAnsi="Symbol"/>
      </w:rPr>
    </w:lvl>
    <w:lvl w:ilvl="1" w:tplc="6C7680C4">
      <w:start w:val="1"/>
      <w:numFmt w:val="bullet"/>
      <w:lvlText w:val=""/>
      <w:lvlJc w:val="left"/>
      <w:pPr>
        <w:ind w:left="1080" w:hanging="360"/>
      </w:pPr>
      <w:rPr>
        <w:rFonts w:ascii="Symbol" w:hAnsi="Symbol"/>
      </w:rPr>
    </w:lvl>
    <w:lvl w:ilvl="2" w:tplc="7E783854">
      <w:start w:val="1"/>
      <w:numFmt w:val="bullet"/>
      <w:lvlText w:val=""/>
      <w:lvlJc w:val="left"/>
      <w:pPr>
        <w:ind w:left="1080" w:hanging="360"/>
      </w:pPr>
      <w:rPr>
        <w:rFonts w:ascii="Symbol" w:hAnsi="Symbol"/>
      </w:rPr>
    </w:lvl>
    <w:lvl w:ilvl="3" w:tplc="6A7E03E0">
      <w:start w:val="1"/>
      <w:numFmt w:val="bullet"/>
      <w:lvlText w:val=""/>
      <w:lvlJc w:val="left"/>
      <w:pPr>
        <w:ind w:left="1080" w:hanging="360"/>
      </w:pPr>
      <w:rPr>
        <w:rFonts w:ascii="Symbol" w:hAnsi="Symbol"/>
      </w:rPr>
    </w:lvl>
    <w:lvl w:ilvl="4" w:tplc="E26609F0">
      <w:start w:val="1"/>
      <w:numFmt w:val="bullet"/>
      <w:lvlText w:val=""/>
      <w:lvlJc w:val="left"/>
      <w:pPr>
        <w:ind w:left="1080" w:hanging="360"/>
      </w:pPr>
      <w:rPr>
        <w:rFonts w:ascii="Symbol" w:hAnsi="Symbol"/>
      </w:rPr>
    </w:lvl>
    <w:lvl w:ilvl="5" w:tplc="98BAB6BC">
      <w:start w:val="1"/>
      <w:numFmt w:val="bullet"/>
      <w:lvlText w:val=""/>
      <w:lvlJc w:val="left"/>
      <w:pPr>
        <w:ind w:left="1080" w:hanging="360"/>
      </w:pPr>
      <w:rPr>
        <w:rFonts w:ascii="Symbol" w:hAnsi="Symbol"/>
      </w:rPr>
    </w:lvl>
    <w:lvl w:ilvl="6" w:tplc="FB5224DA">
      <w:start w:val="1"/>
      <w:numFmt w:val="bullet"/>
      <w:lvlText w:val=""/>
      <w:lvlJc w:val="left"/>
      <w:pPr>
        <w:ind w:left="1080" w:hanging="360"/>
      </w:pPr>
      <w:rPr>
        <w:rFonts w:ascii="Symbol" w:hAnsi="Symbol"/>
      </w:rPr>
    </w:lvl>
    <w:lvl w:ilvl="7" w:tplc="00BA2354">
      <w:start w:val="1"/>
      <w:numFmt w:val="bullet"/>
      <w:lvlText w:val=""/>
      <w:lvlJc w:val="left"/>
      <w:pPr>
        <w:ind w:left="1080" w:hanging="360"/>
      </w:pPr>
      <w:rPr>
        <w:rFonts w:ascii="Symbol" w:hAnsi="Symbol"/>
      </w:rPr>
    </w:lvl>
    <w:lvl w:ilvl="8" w:tplc="B75AA37E">
      <w:start w:val="1"/>
      <w:numFmt w:val="bullet"/>
      <w:lvlText w:val=""/>
      <w:lvlJc w:val="left"/>
      <w:pPr>
        <w:ind w:left="1080" w:hanging="360"/>
      </w:pPr>
      <w:rPr>
        <w:rFonts w:ascii="Symbol" w:hAnsi="Symbol"/>
      </w:rPr>
    </w:lvl>
  </w:abstractNum>
  <w:abstractNum w:abstractNumId="30" w15:restartNumberingAfterBreak="0">
    <w:nsid w:val="3CD745BE"/>
    <w:multiLevelType w:val="hybridMultilevel"/>
    <w:tmpl w:val="A38805C6"/>
    <w:lvl w:ilvl="0" w:tplc="D0586A1A">
      <w:start w:val="1"/>
      <w:numFmt w:val="bullet"/>
      <w:lvlText w:val=""/>
      <w:lvlJc w:val="left"/>
      <w:pPr>
        <w:ind w:left="720" w:hanging="360"/>
      </w:pPr>
      <w:rPr>
        <w:rFonts w:ascii="Symbol" w:hAnsi="Symbol"/>
      </w:rPr>
    </w:lvl>
    <w:lvl w:ilvl="1" w:tplc="E5E658D6">
      <w:start w:val="1"/>
      <w:numFmt w:val="bullet"/>
      <w:lvlText w:val=""/>
      <w:lvlJc w:val="left"/>
      <w:pPr>
        <w:ind w:left="720" w:hanging="360"/>
      </w:pPr>
      <w:rPr>
        <w:rFonts w:ascii="Symbol" w:hAnsi="Symbol"/>
      </w:rPr>
    </w:lvl>
    <w:lvl w:ilvl="2" w:tplc="73608566">
      <w:start w:val="1"/>
      <w:numFmt w:val="bullet"/>
      <w:lvlText w:val=""/>
      <w:lvlJc w:val="left"/>
      <w:pPr>
        <w:ind w:left="720" w:hanging="360"/>
      </w:pPr>
      <w:rPr>
        <w:rFonts w:ascii="Symbol" w:hAnsi="Symbol"/>
      </w:rPr>
    </w:lvl>
    <w:lvl w:ilvl="3" w:tplc="24FE98A6">
      <w:start w:val="1"/>
      <w:numFmt w:val="bullet"/>
      <w:lvlText w:val=""/>
      <w:lvlJc w:val="left"/>
      <w:pPr>
        <w:ind w:left="720" w:hanging="360"/>
      </w:pPr>
      <w:rPr>
        <w:rFonts w:ascii="Symbol" w:hAnsi="Symbol"/>
      </w:rPr>
    </w:lvl>
    <w:lvl w:ilvl="4" w:tplc="B82C287E">
      <w:start w:val="1"/>
      <w:numFmt w:val="bullet"/>
      <w:lvlText w:val=""/>
      <w:lvlJc w:val="left"/>
      <w:pPr>
        <w:ind w:left="720" w:hanging="360"/>
      </w:pPr>
      <w:rPr>
        <w:rFonts w:ascii="Symbol" w:hAnsi="Symbol"/>
      </w:rPr>
    </w:lvl>
    <w:lvl w:ilvl="5" w:tplc="D2187C1C">
      <w:start w:val="1"/>
      <w:numFmt w:val="bullet"/>
      <w:lvlText w:val=""/>
      <w:lvlJc w:val="left"/>
      <w:pPr>
        <w:ind w:left="720" w:hanging="360"/>
      </w:pPr>
      <w:rPr>
        <w:rFonts w:ascii="Symbol" w:hAnsi="Symbol"/>
      </w:rPr>
    </w:lvl>
    <w:lvl w:ilvl="6" w:tplc="BBB8147A">
      <w:start w:val="1"/>
      <w:numFmt w:val="bullet"/>
      <w:lvlText w:val=""/>
      <w:lvlJc w:val="left"/>
      <w:pPr>
        <w:ind w:left="720" w:hanging="360"/>
      </w:pPr>
      <w:rPr>
        <w:rFonts w:ascii="Symbol" w:hAnsi="Symbol"/>
      </w:rPr>
    </w:lvl>
    <w:lvl w:ilvl="7" w:tplc="D9C01F72">
      <w:start w:val="1"/>
      <w:numFmt w:val="bullet"/>
      <w:lvlText w:val=""/>
      <w:lvlJc w:val="left"/>
      <w:pPr>
        <w:ind w:left="720" w:hanging="360"/>
      </w:pPr>
      <w:rPr>
        <w:rFonts w:ascii="Symbol" w:hAnsi="Symbol"/>
      </w:rPr>
    </w:lvl>
    <w:lvl w:ilvl="8" w:tplc="C9CC24C6">
      <w:start w:val="1"/>
      <w:numFmt w:val="bullet"/>
      <w:lvlText w:val=""/>
      <w:lvlJc w:val="left"/>
      <w:pPr>
        <w:ind w:left="720" w:hanging="360"/>
      </w:pPr>
      <w:rPr>
        <w:rFonts w:ascii="Symbol" w:hAnsi="Symbol"/>
      </w:rPr>
    </w:lvl>
  </w:abstractNum>
  <w:abstractNum w:abstractNumId="31" w15:restartNumberingAfterBreak="0">
    <w:nsid w:val="45C43540"/>
    <w:multiLevelType w:val="hybridMultilevel"/>
    <w:tmpl w:val="19006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484A124D"/>
    <w:multiLevelType w:val="hybridMultilevel"/>
    <w:tmpl w:val="8E7E06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8B218F1"/>
    <w:multiLevelType w:val="hybridMultilevel"/>
    <w:tmpl w:val="A238ACA0"/>
    <w:lvl w:ilvl="0" w:tplc="8B282944">
      <w:start w:val="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8B33884"/>
    <w:multiLevelType w:val="hybridMultilevel"/>
    <w:tmpl w:val="DAA6B97E"/>
    <w:lvl w:ilvl="0" w:tplc="939EBCC4">
      <w:start w:val="1"/>
      <w:numFmt w:val="bullet"/>
      <w:lvlText w:val=""/>
      <w:lvlJc w:val="left"/>
      <w:pPr>
        <w:ind w:left="1080" w:hanging="360"/>
      </w:pPr>
      <w:rPr>
        <w:rFonts w:ascii="Symbol" w:hAnsi="Symbol"/>
      </w:rPr>
    </w:lvl>
    <w:lvl w:ilvl="1" w:tplc="26B69864">
      <w:start w:val="1"/>
      <w:numFmt w:val="bullet"/>
      <w:lvlText w:val=""/>
      <w:lvlJc w:val="left"/>
      <w:pPr>
        <w:ind w:left="1080" w:hanging="360"/>
      </w:pPr>
      <w:rPr>
        <w:rFonts w:ascii="Symbol" w:hAnsi="Symbol"/>
      </w:rPr>
    </w:lvl>
    <w:lvl w:ilvl="2" w:tplc="995E4A90">
      <w:start w:val="1"/>
      <w:numFmt w:val="bullet"/>
      <w:lvlText w:val=""/>
      <w:lvlJc w:val="left"/>
      <w:pPr>
        <w:ind w:left="1080" w:hanging="360"/>
      </w:pPr>
      <w:rPr>
        <w:rFonts w:ascii="Symbol" w:hAnsi="Symbol"/>
      </w:rPr>
    </w:lvl>
    <w:lvl w:ilvl="3" w:tplc="E32CD22C">
      <w:start w:val="1"/>
      <w:numFmt w:val="bullet"/>
      <w:lvlText w:val=""/>
      <w:lvlJc w:val="left"/>
      <w:pPr>
        <w:ind w:left="1080" w:hanging="360"/>
      </w:pPr>
      <w:rPr>
        <w:rFonts w:ascii="Symbol" w:hAnsi="Symbol"/>
      </w:rPr>
    </w:lvl>
    <w:lvl w:ilvl="4" w:tplc="60088BCA">
      <w:start w:val="1"/>
      <w:numFmt w:val="bullet"/>
      <w:lvlText w:val=""/>
      <w:lvlJc w:val="left"/>
      <w:pPr>
        <w:ind w:left="1080" w:hanging="360"/>
      </w:pPr>
      <w:rPr>
        <w:rFonts w:ascii="Symbol" w:hAnsi="Symbol"/>
      </w:rPr>
    </w:lvl>
    <w:lvl w:ilvl="5" w:tplc="410A6D06">
      <w:start w:val="1"/>
      <w:numFmt w:val="bullet"/>
      <w:lvlText w:val=""/>
      <w:lvlJc w:val="left"/>
      <w:pPr>
        <w:ind w:left="1080" w:hanging="360"/>
      </w:pPr>
      <w:rPr>
        <w:rFonts w:ascii="Symbol" w:hAnsi="Symbol"/>
      </w:rPr>
    </w:lvl>
    <w:lvl w:ilvl="6" w:tplc="F33E1D86">
      <w:start w:val="1"/>
      <w:numFmt w:val="bullet"/>
      <w:lvlText w:val=""/>
      <w:lvlJc w:val="left"/>
      <w:pPr>
        <w:ind w:left="1080" w:hanging="360"/>
      </w:pPr>
      <w:rPr>
        <w:rFonts w:ascii="Symbol" w:hAnsi="Symbol"/>
      </w:rPr>
    </w:lvl>
    <w:lvl w:ilvl="7" w:tplc="120CB44A">
      <w:start w:val="1"/>
      <w:numFmt w:val="bullet"/>
      <w:lvlText w:val=""/>
      <w:lvlJc w:val="left"/>
      <w:pPr>
        <w:ind w:left="1080" w:hanging="360"/>
      </w:pPr>
      <w:rPr>
        <w:rFonts w:ascii="Symbol" w:hAnsi="Symbol"/>
      </w:rPr>
    </w:lvl>
    <w:lvl w:ilvl="8" w:tplc="0052BF7C">
      <w:start w:val="1"/>
      <w:numFmt w:val="bullet"/>
      <w:lvlText w:val=""/>
      <w:lvlJc w:val="left"/>
      <w:pPr>
        <w:ind w:left="1080" w:hanging="360"/>
      </w:pPr>
      <w:rPr>
        <w:rFonts w:ascii="Symbol" w:hAnsi="Symbol"/>
      </w:rPr>
    </w:lvl>
  </w:abstractNum>
  <w:abstractNum w:abstractNumId="36" w15:restartNumberingAfterBreak="0">
    <w:nsid w:val="4D7D09B2"/>
    <w:multiLevelType w:val="hybridMultilevel"/>
    <w:tmpl w:val="2536C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E152F78"/>
    <w:multiLevelType w:val="hybridMultilevel"/>
    <w:tmpl w:val="9FBED03A"/>
    <w:lvl w:ilvl="0" w:tplc="C63EDF6E">
      <w:start w:val="1"/>
      <w:numFmt w:val="lowerRoman"/>
      <w:lvlText w:val="%1)"/>
      <w:lvlJc w:val="right"/>
      <w:pPr>
        <w:ind w:left="720" w:hanging="360"/>
      </w:pPr>
    </w:lvl>
    <w:lvl w:ilvl="1" w:tplc="0D68CFFE">
      <w:start w:val="1"/>
      <w:numFmt w:val="lowerRoman"/>
      <w:lvlText w:val="%2)"/>
      <w:lvlJc w:val="right"/>
      <w:pPr>
        <w:ind w:left="720" w:hanging="360"/>
      </w:pPr>
    </w:lvl>
    <w:lvl w:ilvl="2" w:tplc="C59A5BDA">
      <w:start w:val="1"/>
      <w:numFmt w:val="lowerRoman"/>
      <w:lvlText w:val="%3)"/>
      <w:lvlJc w:val="right"/>
      <w:pPr>
        <w:ind w:left="720" w:hanging="360"/>
      </w:pPr>
    </w:lvl>
    <w:lvl w:ilvl="3" w:tplc="5454A722">
      <w:start w:val="1"/>
      <w:numFmt w:val="lowerRoman"/>
      <w:lvlText w:val="%4)"/>
      <w:lvlJc w:val="right"/>
      <w:pPr>
        <w:ind w:left="720" w:hanging="360"/>
      </w:pPr>
    </w:lvl>
    <w:lvl w:ilvl="4" w:tplc="3E50D734">
      <w:start w:val="1"/>
      <w:numFmt w:val="lowerRoman"/>
      <w:lvlText w:val="%5)"/>
      <w:lvlJc w:val="right"/>
      <w:pPr>
        <w:ind w:left="720" w:hanging="360"/>
      </w:pPr>
    </w:lvl>
    <w:lvl w:ilvl="5" w:tplc="99C0E3D6">
      <w:start w:val="1"/>
      <w:numFmt w:val="lowerRoman"/>
      <w:lvlText w:val="%6)"/>
      <w:lvlJc w:val="right"/>
      <w:pPr>
        <w:ind w:left="720" w:hanging="360"/>
      </w:pPr>
    </w:lvl>
    <w:lvl w:ilvl="6" w:tplc="46F8F6BA">
      <w:start w:val="1"/>
      <w:numFmt w:val="lowerRoman"/>
      <w:lvlText w:val="%7)"/>
      <w:lvlJc w:val="right"/>
      <w:pPr>
        <w:ind w:left="720" w:hanging="360"/>
      </w:pPr>
    </w:lvl>
    <w:lvl w:ilvl="7" w:tplc="C6D8E49E">
      <w:start w:val="1"/>
      <w:numFmt w:val="lowerRoman"/>
      <w:lvlText w:val="%8)"/>
      <w:lvlJc w:val="right"/>
      <w:pPr>
        <w:ind w:left="720" w:hanging="360"/>
      </w:pPr>
    </w:lvl>
    <w:lvl w:ilvl="8" w:tplc="0ADC1C76">
      <w:start w:val="1"/>
      <w:numFmt w:val="lowerRoman"/>
      <w:lvlText w:val="%9)"/>
      <w:lvlJc w:val="right"/>
      <w:pPr>
        <w:ind w:left="720" w:hanging="360"/>
      </w:pPr>
    </w:lvl>
  </w:abstractNum>
  <w:abstractNum w:abstractNumId="38" w15:restartNumberingAfterBreak="0">
    <w:nsid w:val="4E3466CB"/>
    <w:multiLevelType w:val="hybridMultilevel"/>
    <w:tmpl w:val="A65A61AA"/>
    <w:lvl w:ilvl="0" w:tplc="27822D14">
      <w:start w:val="1"/>
      <w:numFmt w:val="bullet"/>
      <w:lvlText w:val=""/>
      <w:lvlJc w:val="left"/>
      <w:pPr>
        <w:ind w:left="720" w:hanging="360"/>
      </w:pPr>
      <w:rPr>
        <w:rFonts w:ascii="Symbol" w:hAnsi="Symbol"/>
      </w:rPr>
    </w:lvl>
    <w:lvl w:ilvl="1" w:tplc="A1804E86">
      <w:start w:val="1"/>
      <w:numFmt w:val="bullet"/>
      <w:lvlText w:val=""/>
      <w:lvlJc w:val="left"/>
      <w:pPr>
        <w:ind w:left="720" w:hanging="360"/>
      </w:pPr>
      <w:rPr>
        <w:rFonts w:ascii="Symbol" w:hAnsi="Symbol"/>
      </w:rPr>
    </w:lvl>
    <w:lvl w:ilvl="2" w:tplc="C34E014A">
      <w:start w:val="1"/>
      <w:numFmt w:val="bullet"/>
      <w:lvlText w:val=""/>
      <w:lvlJc w:val="left"/>
      <w:pPr>
        <w:ind w:left="720" w:hanging="360"/>
      </w:pPr>
      <w:rPr>
        <w:rFonts w:ascii="Symbol" w:hAnsi="Symbol"/>
      </w:rPr>
    </w:lvl>
    <w:lvl w:ilvl="3" w:tplc="F00803DA">
      <w:start w:val="1"/>
      <w:numFmt w:val="bullet"/>
      <w:lvlText w:val=""/>
      <w:lvlJc w:val="left"/>
      <w:pPr>
        <w:ind w:left="720" w:hanging="360"/>
      </w:pPr>
      <w:rPr>
        <w:rFonts w:ascii="Symbol" w:hAnsi="Symbol"/>
      </w:rPr>
    </w:lvl>
    <w:lvl w:ilvl="4" w:tplc="2CDECE12">
      <w:start w:val="1"/>
      <w:numFmt w:val="bullet"/>
      <w:lvlText w:val=""/>
      <w:lvlJc w:val="left"/>
      <w:pPr>
        <w:ind w:left="720" w:hanging="360"/>
      </w:pPr>
      <w:rPr>
        <w:rFonts w:ascii="Symbol" w:hAnsi="Symbol"/>
      </w:rPr>
    </w:lvl>
    <w:lvl w:ilvl="5" w:tplc="3F368F84">
      <w:start w:val="1"/>
      <w:numFmt w:val="bullet"/>
      <w:lvlText w:val=""/>
      <w:lvlJc w:val="left"/>
      <w:pPr>
        <w:ind w:left="720" w:hanging="360"/>
      </w:pPr>
      <w:rPr>
        <w:rFonts w:ascii="Symbol" w:hAnsi="Symbol"/>
      </w:rPr>
    </w:lvl>
    <w:lvl w:ilvl="6" w:tplc="5C7C6E4E">
      <w:start w:val="1"/>
      <w:numFmt w:val="bullet"/>
      <w:lvlText w:val=""/>
      <w:lvlJc w:val="left"/>
      <w:pPr>
        <w:ind w:left="720" w:hanging="360"/>
      </w:pPr>
      <w:rPr>
        <w:rFonts w:ascii="Symbol" w:hAnsi="Symbol"/>
      </w:rPr>
    </w:lvl>
    <w:lvl w:ilvl="7" w:tplc="095A23F2">
      <w:start w:val="1"/>
      <w:numFmt w:val="bullet"/>
      <w:lvlText w:val=""/>
      <w:lvlJc w:val="left"/>
      <w:pPr>
        <w:ind w:left="720" w:hanging="360"/>
      </w:pPr>
      <w:rPr>
        <w:rFonts w:ascii="Symbol" w:hAnsi="Symbol"/>
      </w:rPr>
    </w:lvl>
    <w:lvl w:ilvl="8" w:tplc="7D8CC382">
      <w:start w:val="1"/>
      <w:numFmt w:val="bullet"/>
      <w:lvlText w:val=""/>
      <w:lvlJc w:val="left"/>
      <w:pPr>
        <w:ind w:left="720" w:hanging="360"/>
      </w:pPr>
      <w:rPr>
        <w:rFonts w:ascii="Symbol" w:hAnsi="Symbol"/>
      </w:rPr>
    </w:lvl>
  </w:abstractNum>
  <w:abstractNum w:abstractNumId="39" w15:restartNumberingAfterBreak="0">
    <w:nsid w:val="4FA52140"/>
    <w:multiLevelType w:val="hybridMultilevel"/>
    <w:tmpl w:val="A326817E"/>
    <w:lvl w:ilvl="0" w:tplc="25C2DA6E">
      <w:start w:val="1"/>
      <w:numFmt w:val="bullet"/>
      <w:lvlText w:val=""/>
      <w:lvlJc w:val="left"/>
      <w:pPr>
        <w:ind w:left="1080" w:hanging="360"/>
      </w:pPr>
      <w:rPr>
        <w:rFonts w:ascii="Symbol" w:hAnsi="Symbol"/>
      </w:rPr>
    </w:lvl>
    <w:lvl w:ilvl="1" w:tplc="3FD2CA08">
      <w:start w:val="1"/>
      <w:numFmt w:val="bullet"/>
      <w:lvlText w:val=""/>
      <w:lvlJc w:val="left"/>
      <w:pPr>
        <w:ind w:left="1080" w:hanging="360"/>
      </w:pPr>
      <w:rPr>
        <w:rFonts w:ascii="Symbol" w:hAnsi="Symbol"/>
      </w:rPr>
    </w:lvl>
    <w:lvl w:ilvl="2" w:tplc="232CB7FC">
      <w:start w:val="1"/>
      <w:numFmt w:val="bullet"/>
      <w:lvlText w:val=""/>
      <w:lvlJc w:val="left"/>
      <w:pPr>
        <w:ind w:left="1080" w:hanging="360"/>
      </w:pPr>
      <w:rPr>
        <w:rFonts w:ascii="Symbol" w:hAnsi="Symbol"/>
      </w:rPr>
    </w:lvl>
    <w:lvl w:ilvl="3" w:tplc="AD169362">
      <w:start w:val="1"/>
      <w:numFmt w:val="bullet"/>
      <w:lvlText w:val=""/>
      <w:lvlJc w:val="left"/>
      <w:pPr>
        <w:ind w:left="1080" w:hanging="360"/>
      </w:pPr>
      <w:rPr>
        <w:rFonts w:ascii="Symbol" w:hAnsi="Symbol"/>
      </w:rPr>
    </w:lvl>
    <w:lvl w:ilvl="4" w:tplc="7D243BF2">
      <w:start w:val="1"/>
      <w:numFmt w:val="bullet"/>
      <w:lvlText w:val=""/>
      <w:lvlJc w:val="left"/>
      <w:pPr>
        <w:ind w:left="1080" w:hanging="360"/>
      </w:pPr>
      <w:rPr>
        <w:rFonts w:ascii="Symbol" w:hAnsi="Symbol"/>
      </w:rPr>
    </w:lvl>
    <w:lvl w:ilvl="5" w:tplc="27568232">
      <w:start w:val="1"/>
      <w:numFmt w:val="bullet"/>
      <w:lvlText w:val=""/>
      <w:lvlJc w:val="left"/>
      <w:pPr>
        <w:ind w:left="1080" w:hanging="360"/>
      </w:pPr>
      <w:rPr>
        <w:rFonts w:ascii="Symbol" w:hAnsi="Symbol"/>
      </w:rPr>
    </w:lvl>
    <w:lvl w:ilvl="6" w:tplc="546E8B30">
      <w:start w:val="1"/>
      <w:numFmt w:val="bullet"/>
      <w:lvlText w:val=""/>
      <w:lvlJc w:val="left"/>
      <w:pPr>
        <w:ind w:left="1080" w:hanging="360"/>
      </w:pPr>
      <w:rPr>
        <w:rFonts w:ascii="Symbol" w:hAnsi="Symbol"/>
      </w:rPr>
    </w:lvl>
    <w:lvl w:ilvl="7" w:tplc="31E218AA">
      <w:start w:val="1"/>
      <w:numFmt w:val="bullet"/>
      <w:lvlText w:val=""/>
      <w:lvlJc w:val="left"/>
      <w:pPr>
        <w:ind w:left="1080" w:hanging="360"/>
      </w:pPr>
      <w:rPr>
        <w:rFonts w:ascii="Symbol" w:hAnsi="Symbol"/>
      </w:rPr>
    </w:lvl>
    <w:lvl w:ilvl="8" w:tplc="A0BAA830">
      <w:start w:val="1"/>
      <w:numFmt w:val="bullet"/>
      <w:lvlText w:val=""/>
      <w:lvlJc w:val="left"/>
      <w:pPr>
        <w:ind w:left="1080" w:hanging="360"/>
      </w:pPr>
      <w:rPr>
        <w:rFonts w:ascii="Symbol" w:hAnsi="Symbol"/>
      </w:rPr>
    </w:lvl>
  </w:abstractNum>
  <w:abstractNum w:abstractNumId="40" w15:restartNumberingAfterBreak="0">
    <w:nsid w:val="50355253"/>
    <w:multiLevelType w:val="hybridMultilevel"/>
    <w:tmpl w:val="DFA2C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20D72EA"/>
    <w:multiLevelType w:val="hybridMultilevel"/>
    <w:tmpl w:val="74349072"/>
    <w:lvl w:ilvl="0" w:tplc="F6943300">
      <w:start w:val="1"/>
      <w:numFmt w:val="bullet"/>
      <w:lvlText w:val=""/>
      <w:lvlJc w:val="left"/>
      <w:pPr>
        <w:ind w:left="720" w:hanging="360"/>
      </w:pPr>
      <w:rPr>
        <w:rFonts w:ascii="Symbol" w:hAnsi="Symbol"/>
      </w:rPr>
    </w:lvl>
    <w:lvl w:ilvl="1" w:tplc="F5FA09A2">
      <w:start w:val="1"/>
      <w:numFmt w:val="bullet"/>
      <w:lvlText w:val=""/>
      <w:lvlJc w:val="left"/>
      <w:pPr>
        <w:ind w:left="720" w:hanging="360"/>
      </w:pPr>
      <w:rPr>
        <w:rFonts w:ascii="Symbol" w:hAnsi="Symbol"/>
      </w:rPr>
    </w:lvl>
    <w:lvl w:ilvl="2" w:tplc="FF9CCAF0">
      <w:start w:val="1"/>
      <w:numFmt w:val="bullet"/>
      <w:lvlText w:val=""/>
      <w:lvlJc w:val="left"/>
      <w:pPr>
        <w:ind w:left="720" w:hanging="360"/>
      </w:pPr>
      <w:rPr>
        <w:rFonts w:ascii="Symbol" w:hAnsi="Symbol"/>
      </w:rPr>
    </w:lvl>
    <w:lvl w:ilvl="3" w:tplc="18C8077A">
      <w:start w:val="1"/>
      <w:numFmt w:val="bullet"/>
      <w:lvlText w:val=""/>
      <w:lvlJc w:val="left"/>
      <w:pPr>
        <w:ind w:left="720" w:hanging="360"/>
      </w:pPr>
      <w:rPr>
        <w:rFonts w:ascii="Symbol" w:hAnsi="Symbol"/>
      </w:rPr>
    </w:lvl>
    <w:lvl w:ilvl="4" w:tplc="365231CA">
      <w:start w:val="1"/>
      <w:numFmt w:val="bullet"/>
      <w:lvlText w:val=""/>
      <w:lvlJc w:val="left"/>
      <w:pPr>
        <w:ind w:left="720" w:hanging="360"/>
      </w:pPr>
      <w:rPr>
        <w:rFonts w:ascii="Symbol" w:hAnsi="Symbol"/>
      </w:rPr>
    </w:lvl>
    <w:lvl w:ilvl="5" w:tplc="9E68A0B8">
      <w:start w:val="1"/>
      <w:numFmt w:val="bullet"/>
      <w:lvlText w:val=""/>
      <w:lvlJc w:val="left"/>
      <w:pPr>
        <w:ind w:left="720" w:hanging="360"/>
      </w:pPr>
      <w:rPr>
        <w:rFonts w:ascii="Symbol" w:hAnsi="Symbol"/>
      </w:rPr>
    </w:lvl>
    <w:lvl w:ilvl="6" w:tplc="6574821E">
      <w:start w:val="1"/>
      <w:numFmt w:val="bullet"/>
      <w:lvlText w:val=""/>
      <w:lvlJc w:val="left"/>
      <w:pPr>
        <w:ind w:left="720" w:hanging="360"/>
      </w:pPr>
      <w:rPr>
        <w:rFonts w:ascii="Symbol" w:hAnsi="Symbol"/>
      </w:rPr>
    </w:lvl>
    <w:lvl w:ilvl="7" w:tplc="33BC4520">
      <w:start w:val="1"/>
      <w:numFmt w:val="bullet"/>
      <w:lvlText w:val=""/>
      <w:lvlJc w:val="left"/>
      <w:pPr>
        <w:ind w:left="720" w:hanging="360"/>
      </w:pPr>
      <w:rPr>
        <w:rFonts w:ascii="Symbol" w:hAnsi="Symbol"/>
      </w:rPr>
    </w:lvl>
    <w:lvl w:ilvl="8" w:tplc="4BB24B98">
      <w:start w:val="1"/>
      <w:numFmt w:val="bullet"/>
      <w:lvlText w:val=""/>
      <w:lvlJc w:val="left"/>
      <w:pPr>
        <w:ind w:left="720" w:hanging="360"/>
      </w:pPr>
      <w:rPr>
        <w:rFonts w:ascii="Symbol" w:hAnsi="Symbol"/>
      </w:rPr>
    </w:lvl>
  </w:abstractNum>
  <w:abstractNum w:abstractNumId="42" w15:restartNumberingAfterBreak="0">
    <w:nsid w:val="5C1A19A6"/>
    <w:multiLevelType w:val="hybridMultilevel"/>
    <w:tmpl w:val="4D10D4FC"/>
    <w:lvl w:ilvl="0" w:tplc="62FE3C16">
      <w:start w:val="1"/>
      <w:numFmt w:val="decimal"/>
      <w:lvlText w:val="%1."/>
      <w:lvlJc w:val="left"/>
      <w:pPr>
        <w:ind w:left="720" w:hanging="360"/>
      </w:pPr>
    </w:lvl>
    <w:lvl w:ilvl="1" w:tplc="6624FE8C">
      <w:start w:val="1"/>
      <w:numFmt w:val="decimal"/>
      <w:lvlText w:val="%2."/>
      <w:lvlJc w:val="left"/>
      <w:pPr>
        <w:ind w:left="720" w:hanging="360"/>
      </w:pPr>
    </w:lvl>
    <w:lvl w:ilvl="2" w:tplc="D3501A2E">
      <w:start w:val="1"/>
      <w:numFmt w:val="decimal"/>
      <w:lvlText w:val="%3."/>
      <w:lvlJc w:val="left"/>
      <w:pPr>
        <w:ind w:left="720" w:hanging="360"/>
      </w:pPr>
    </w:lvl>
    <w:lvl w:ilvl="3" w:tplc="DDE88ECA">
      <w:start w:val="1"/>
      <w:numFmt w:val="decimal"/>
      <w:lvlText w:val="%4."/>
      <w:lvlJc w:val="left"/>
      <w:pPr>
        <w:ind w:left="720" w:hanging="360"/>
      </w:pPr>
    </w:lvl>
    <w:lvl w:ilvl="4" w:tplc="47F61E34">
      <w:start w:val="1"/>
      <w:numFmt w:val="decimal"/>
      <w:lvlText w:val="%5."/>
      <w:lvlJc w:val="left"/>
      <w:pPr>
        <w:ind w:left="720" w:hanging="360"/>
      </w:pPr>
    </w:lvl>
    <w:lvl w:ilvl="5" w:tplc="3898A0AE">
      <w:start w:val="1"/>
      <w:numFmt w:val="decimal"/>
      <w:lvlText w:val="%6."/>
      <w:lvlJc w:val="left"/>
      <w:pPr>
        <w:ind w:left="720" w:hanging="360"/>
      </w:pPr>
    </w:lvl>
    <w:lvl w:ilvl="6" w:tplc="AE16F0DA">
      <w:start w:val="1"/>
      <w:numFmt w:val="decimal"/>
      <w:lvlText w:val="%7."/>
      <w:lvlJc w:val="left"/>
      <w:pPr>
        <w:ind w:left="720" w:hanging="360"/>
      </w:pPr>
    </w:lvl>
    <w:lvl w:ilvl="7" w:tplc="69763BB8">
      <w:start w:val="1"/>
      <w:numFmt w:val="decimal"/>
      <w:lvlText w:val="%8."/>
      <w:lvlJc w:val="left"/>
      <w:pPr>
        <w:ind w:left="720" w:hanging="360"/>
      </w:pPr>
    </w:lvl>
    <w:lvl w:ilvl="8" w:tplc="8F264EF8">
      <w:start w:val="1"/>
      <w:numFmt w:val="decimal"/>
      <w:lvlText w:val="%9."/>
      <w:lvlJc w:val="left"/>
      <w:pPr>
        <w:ind w:left="720" w:hanging="360"/>
      </w:pPr>
    </w:lvl>
  </w:abstractNum>
  <w:abstractNum w:abstractNumId="43"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E5460A"/>
    <w:multiLevelType w:val="hybridMultilevel"/>
    <w:tmpl w:val="5C56C8F2"/>
    <w:lvl w:ilvl="0" w:tplc="86F87242">
      <w:start w:val="1"/>
      <w:numFmt w:val="lowerRoman"/>
      <w:lvlText w:val="%1)"/>
      <w:lvlJc w:val="right"/>
      <w:pPr>
        <w:ind w:left="720" w:hanging="360"/>
      </w:pPr>
    </w:lvl>
    <w:lvl w:ilvl="1" w:tplc="B7E20DBE">
      <w:start w:val="1"/>
      <w:numFmt w:val="lowerRoman"/>
      <w:lvlText w:val="%2)"/>
      <w:lvlJc w:val="right"/>
      <w:pPr>
        <w:ind w:left="720" w:hanging="360"/>
      </w:pPr>
    </w:lvl>
    <w:lvl w:ilvl="2" w:tplc="6D363772">
      <w:start w:val="1"/>
      <w:numFmt w:val="lowerRoman"/>
      <w:lvlText w:val="%3)"/>
      <w:lvlJc w:val="right"/>
      <w:pPr>
        <w:ind w:left="720" w:hanging="360"/>
      </w:pPr>
    </w:lvl>
    <w:lvl w:ilvl="3" w:tplc="5D72456A">
      <w:start w:val="1"/>
      <w:numFmt w:val="lowerRoman"/>
      <w:lvlText w:val="%4)"/>
      <w:lvlJc w:val="right"/>
      <w:pPr>
        <w:ind w:left="720" w:hanging="360"/>
      </w:pPr>
    </w:lvl>
    <w:lvl w:ilvl="4" w:tplc="56FEB16C">
      <w:start w:val="1"/>
      <w:numFmt w:val="lowerRoman"/>
      <w:lvlText w:val="%5)"/>
      <w:lvlJc w:val="right"/>
      <w:pPr>
        <w:ind w:left="720" w:hanging="360"/>
      </w:pPr>
    </w:lvl>
    <w:lvl w:ilvl="5" w:tplc="F8BAAF58">
      <w:start w:val="1"/>
      <w:numFmt w:val="lowerRoman"/>
      <w:lvlText w:val="%6)"/>
      <w:lvlJc w:val="right"/>
      <w:pPr>
        <w:ind w:left="720" w:hanging="360"/>
      </w:pPr>
    </w:lvl>
    <w:lvl w:ilvl="6" w:tplc="3A82EF1C">
      <w:start w:val="1"/>
      <w:numFmt w:val="lowerRoman"/>
      <w:lvlText w:val="%7)"/>
      <w:lvlJc w:val="right"/>
      <w:pPr>
        <w:ind w:left="720" w:hanging="360"/>
      </w:pPr>
    </w:lvl>
    <w:lvl w:ilvl="7" w:tplc="BD026C64">
      <w:start w:val="1"/>
      <w:numFmt w:val="lowerRoman"/>
      <w:lvlText w:val="%8)"/>
      <w:lvlJc w:val="right"/>
      <w:pPr>
        <w:ind w:left="720" w:hanging="360"/>
      </w:pPr>
    </w:lvl>
    <w:lvl w:ilvl="8" w:tplc="BDA295A2">
      <w:start w:val="1"/>
      <w:numFmt w:val="lowerRoman"/>
      <w:lvlText w:val="%9)"/>
      <w:lvlJc w:val="right"/>
      <w:pPr>
        <w:ind w:left="720" w:hanging="360"/>
      </w:pPr>
    </w:lvl>
  </w:abstractNum>
  <w:abstractNum w:abstractNumId="45" w15:restartNumberingAfterBreak="0">
    <w:nsid w:val="68CE6330"/>
    <w:multiLevelType w:val="hybridMultilevel"/>
    <w:tmpl w:val="C8F84D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A7971D3"/>
    <w:multiLevelType w:val="hybridMultilevel"/>
    <w:tmpl w:val="18D40018"/>
    <w:lvl w:ilvl="0" w:tplc="ED125DBC">
      <w:start w:val="1"/>
      <w:numFmt w:val="bullet"/>
      <w:lvlText w:val=""/>
      <w:lvlJc w:val="left"/>
      <w:pPr>
        <w:ind w:left="1080" w:hanging="360"/>
      </w:pPr>
      <w:rPr>
        <w:rFonts w:ascii="Symbol" w:hAnsi="Symbol"/>
      </w:rPr>
    </w:lvl>
    <w:lvl w:ilvl="1" w:tplc="5A5E3DB2">
      <w:start w:val="1"/>
      <w:numFmt w:val="bullet"/>
      <w:lvlText w:val=""/>
      <w:lvlJc w:val="left"/>
      <w:pPr>
        <w:ind w:left="1080" w:hanging="360"/>
      </w:pPr>
      <w:rPr>
        <w:rFonts w:ascii="Symbol" w:hAnsi="Symbol"/>
      </w:rPr>
    </w:lvl>
    <w:lvl w:ilvl="2" w:tplc="32426F56">
      <w:start w:val="1"/>
      <w:numFmt w:val="bullet"/>
      <w:lvlText w:val=""/>
      <w:lvlJc w:val="left"/>
      <w:pPr>
        <w:ind w:left="1080" w:hanging="360"/>
      </w:pPr>
      <w:rPr>
        <w:rFonts w:ascii="Symbol" w:hAnsi="Symbol"/>
      </w:rPr>
    </w:lvl>
    <w:lvl w:ilvl="3" w:tplc="D890C626">
      <w:start w:val="1"/>
      <w:numFmt w:val="bullet"/>
      <w:lvlText w:val=""/>
      <w:lvlJc w:val="left"/>
      <w:pPr>
        <w:ind w:left="1080" w:hanging="360"/>
      </w:pPr>
      <w:rPr>
        <w:rFonts w:ascii="Symbol" w:hAnsi="Symbol"/>
      </w:rPr>
    </w:lvl>
    <w:lvl w:ilvl="4" w:tplc="556C9D8C">
      <w:start w:val="1"/>
      <w:numFmt w:val="bullet"/>
      <w:lvlText w:val=""/>
      <w:lvlJc w:val="left"/>
      <w:pPr>
        <w:ind w:left="1080" w:hanging="360"/>
      </w:pPr>
      <w:rPr>
        <w:rFonts w:ascii="Symbol" w:hAnsi="Symbol"/>
      </w:rPr>
    </w:lvl>
    <w:lvl w:ilvl="5" w:tplc="8340C856">
      <w:start w:val="1"/>
      <w:numFmt w:val="bullet"/>
      <w:lvlText w:val=""/>
      <w:lvlJc w:val="left"/>
      <w:pPr>
        <w:ind w:left="1080" w:hanging="360"/>
      </w:pPr>
      <w:rPr>
        <w:rFonts w:ascii="Symbol" w:hAnsi="Symbol"/>
      </w:rPr>
    </w:lvl>
    <w:lvl w:ilvl="6" w:tplc="385EF2AA">
      <w:start w:val="1"/>
      <w:numFmt w:val="bullet"/>
      <w:lvlText w:val=""/>
      <w:lvlJc w:val="left"/>
      <w:pPr>
        <w:ind w:left="1080" w:hanging="360"/>
      </w:pPr>
      <w:rPr>
        <w:rFonts w:ascii="Symbol" w:hAnsi="Symbol"/>
      </w:rPr>
    </w:lvl>
    <w:lvl w:ilvl="7" w:tplc="24BA66F6">
      <w:start w:val="1"/>
      <w:numFmt w:val="bullet"/>
      <w:lvlText w:val=""/>
      <w:lvlJc w:val="left"/>
      <w:pPr>
        <w:ind w:left="1080" w:hanging="360"/>
      </w:pPr>
      <w:rPr>
        <w:rFonts w:ascii="Symbol" w:hAnsi="Symbol"/>
      </w:rPr>
    </w:lvl>
    <w:lvl w:ilvl="8" w:tplc="67DC004A">
      <w:start w:val="1"/>
      <w:numFmt w:val="bullet"/>
      <w:lvlText w:val=""/>
      <w:lvlJc w:val="left"/>
      <w:pPr>
        <w:ind w:left="1080" w:hanging="360"/>
      </w:pPr>
      <w:rPr>
        <w:rFonts w:ascii="Symbol" w:hAnsi="Symbol"/>
      </w:rPr>
    </w:lvl>
  </w:abstractNum>
  <w:abstractNum w:abstractNumId="47" w15:restartNumberingAfterBreak="0">
    <w:nsid w:val="6C246D84"/>
    <w:multiLevelType w:val="hybridMultilevel"/>
    <w:tmpl w:val="765AF19E"/>
    <w:lvl w:ilvl="0" w:tplc="DB0AA144">
      <w:start w:val="1"/>
      <w:numFmt w:val="bullet"/>
      <w:lvlText w:val=""/>
      <w:lvlJc w:val="left"/>
      <w:pPr>
        <w:ind w:left="720" w:hanging="360"/>
      </w:pPr>
      <w:rPr>
        <w:rFonts w:ascii="Symbol" w:hAnsi="Symbol"/>
      </w:rPr>
    </w:lvl>
    <w:lvl w:ilvl="1" w:tplc="3124C312">
      <w:start w:val="1"/>
      <w:numFmt w:val="bullet"/>
      <w:lvlText w:val=""/>
      <w:lvlJc w:val="left"/>
      <w:pPr>
        <w:ind w:left="720" w:hanging="360"/>
      </w:pPr>
      <w:rPr>
        <w:rFonts w:ascii="Symbol" w:hAnsi="Symbol"/>
      </w:rPr>
    </w:lvl>
    <w:lvl w:ilvl="2" w:tplc="2E26EC54">
      <w:start w:val="1"/>
      <w:numFmt w:val="bullet"/>
      <w:lvlText w:val=""/>
      <w:lvlJc w:val="left"/>
      <w:pPr>
        <w:ind w:left="720" w:hanging="360"/>
      </w:pPr>
      <w:rPr>
        <w:rFonts w:ascii="Symbol" w:hAnsi="Symbol"/>
      </w:rPr>
    </w:lvl>
    <w:lvl w:ilvl="3" w:tplc="19FC4290">
      <w:start w:val="1"/>
      <w:numFmt w:val="bullet"/>
      <w:lvlText w:val=""/>
      <w:lvlJc w:val="left"/>
      <w:pPr>
        <w:ind w:left="720" w:hanging="360"/>
      </w:pPr>
      <w:rPr>
        <w:rFonts w:ascii="Symbol" w:hAnsi="Symbol"/>
      </w:rPr>
    </w:lvl>
    <w:lvl w:ilvl="4" w:tplc="05A8534C">
      <w:start w:val="1"/>
      <w:numFmt w:val="bullet"/>
      <w:lvlText w:val=""/>
      <w:lvlJc w:val="left"/>
      <w:pPr>
        <w:ind w:left="720" w:hanging="360"/>
      </w:pPr>
      <w:rPr>
        <w:rFonts w:ascii="Symbol" w:hAnsi="Symbol"/>
      </w:rPr>
    </w:lvl>
    <w:lvl w:ilvl="5" w:tplc="2098D3D4">
      <w:start w:val="1"/>
      <w:numFmt w:val="bullet"/>
      <w:lvlText w:val=""/>
      <w:lvlJc w:val="left"/>
      <w:pPr>
        <w:ind w:left="720" w:hanging="360"/>
      </w:pPr>
      <w:rPr>
        <w:rFonts w:ascii="Symbol" w:hAnsi="Symbol"/>
      </w:rPr>
    </w:lvl>
    <w:lvl w:ilvl="6" w:tplc="FF02B5F6">
      <w:start w:val="1"/>
      <w:numFmt w:val="bullet"/>
      <w:lvlText w:val=""/>
      <w:lvlJc w:val="left"/>
      <w:pPr>
        <w:ind w:left="720" w:hanging="360"/>
      </w:pPr>
      <w:rPr>
        <w:rFonts w:ascii="Symbol" w:hAnsi="Symbol"/>
      </w:rPr>
    </w:lvl>
    <w:lvl w:ilvl="7" w:tplc="23F6E266">
      <w:start w:val="1"/>
      <w:numFmt w:val="bullet"/>
      <w:lvlText w:val=""/>
      <w:lvlJc w:val="left"/>
      <w:pPr>
        <w:ind w:left="720" w:hanging="360"/>
      </w:pPr>
      <w:rPr>
        <w:rFonts w:ascii="Symbol" w:hAnsi="Symbol"/>
      </w:rPr>
    </w:lvl>
    <w:lvl w:ilvl="8" w:tplc="11C4D964">
      <w:start w:val="1"/>
      <w:numFmt w:val="bullet"/>
      <w:lvlText w:val=""/>
      <w:lvlJc w:val="left"/>
      <w:pPr>
        <w:ind w:left="720" w:hanging="360"/>
      </w:pPr>
      <w:rPr>
        <w:rFonts w:ascii="Symbol" w:hAnsi="Symbol"/>
      </w:rPr>
    </w:lvl>
  </w:abstractNum>
  <w:abstractNum w:abstractNumId="4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7B14F8"/>
    <w:multiLevelType w:val="hybridMultilevel"/>
    <w:tmpl w:val="4826540A"/>
    <w:lvl w:ilvl="0" w:tplc="323209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D574402"/>
    <w:multiLevelType w:val="hybridMultilevel"/>
    <w:tmpl w:val="6CF68BE2"/>
    <w:lvl w:ilvl="0" w:tplc="FABE0A34">
      <w:start w:val="1"/>
      <w:numFmt w:val="bullet"/>
      <w:lvlText w:val=""/>
      <w:lvlJc w:val="left"/>
      <w:pPr>
        <w:ind w:left="720" w:hanging="360"/>
      </w:pPr>
      <w:rPr>
        <w:rFonts w:ascii="Symbol" w:hAnsi="Symbol"/>
      </w:rPr>
    </w:lvl>
    <w:lvl w:ilvl="1" w:tplc="D5DE5116">
      <w:start w:val="1"/>
      <w:numFmt w:val="bullet"/>
      <w:lvlText w:val=""/>
      <w:lvlJc w:val="left"/>
      <w:pPr>
        <w:ind w:left="720" w:hanging="360"/>
      </w:pPr>
      <w:rPr>
        <w:rFonts w:ascii="Symbol" w:hAnsi="Symbol"/>
      </w:rPr>
    </w:lvl>
    <w:lvl w:ilvl="2" w:tplc="2BD61894">
      <w:start w:val="1"/>
      <w:numFmt w:val="bullet"/>
      <w:lvlText w:val=""/>
      <w:lvlJc w:val="left"/>
      <w:pPr>
        <w:ind w:left="720" w:hanging="360"/>
      </w:pPr>
      <w:rPr>
        <w:rFonts w:ascii="Symbol" w:hAnsi="Symbol"/>
      </w:rPr>
    </w:lvl>
    <w:lvl w:ilvl="3" w:tplc="5F689E12">
      <w:start w:val="1"/>
      <w:numFmt w:val="bullet"/>
      <w:lvlText w:val=""/>
      <w:lvlJc w:val="left"/>
      <w:pPr>
        <w:ind w:left="720" w:hanging="360"/>
      </w:pPr>
      <w:rPr>
        <w:rFonts w:ascii="Symbol" w:hAnsi="Symbol"/>
      </w:rPr>
    </w:lvl>
    <w:lvl w:ilvl="4" w:tplc="B65A1AEC">
      <w:start w:val="1"/>
      <w:numFmt w:val="bullet"/>
      <w:lvlText w:val=""/>
      <w:lvlJc w:val="left"/>
      <w:pPr>
        <w:ind w:left="720" w:hanging="360"/>
      </w:pPr>
      <w:rPr>
        <w:rFonts w:ascii="Symbol" w:hAnsi="Symbol"/>
      </w:rPr>
    </w:lvl>
    <w:lvl w:ilvl="5" w:tplc="479EFC52">
      <w:start w:val="1"/>
      <w:numFmt w:val="bullet"/>
      <w:lvlText w:val=""/>
      <w:lvlJc w:val="left"/>
      <w:pPr>
        <w:ind w:left="720" w:hanging="360"/>
      </w:pPr>
      <w:rPr>
        <w:rFonts w:ascii="Symbol" w:hAnsi="Symbol"/>
      </w:rPr>
    </w:lvl>
    <w:lvl w:ilvl="6" w:tplc="6A605270">
      <w:start w:val="1"/>
      <w:numFmt w:val="bullet"/>
      <w:lvlText w:val=""/>
      <w:lvlJc w:val="left"/>
      <w:pPr>
        <w:ind w:left="720" w:hanging="360"/>
      </w:pPr>
      <w:rPr>
        <w:rFonts w:ascii="Symbol" w:hAnsi="Symbol"/>
      </w:rPr>
    </w:lvl>
    <w:lvl w:ilvl="7" w:tplc="232C9768">
      <w:start w:val="1"/>
      <w:numFmt w:val="bullet"/>
      <w:lvlText w:val=""/>
      <w:lvlJc w:val="left"/>
      <w:pPr>
        <w:ind w:left="720" w:hanging="360"/>
      </w:pPr>
      <w:rPr>
        <w:rFonts w:ascii="Symbol" w:hAnsi="Symbol"/>
      </w:rPr>
    </w:lvl>
    <w:lvl w:ilvl="8" w:tplc="0988EAAC">
      <w:start w:val="1"/>
      <w:numFmt w:val="bullet"/>
      <w:lvlText w:val=""/>
      <w:lvlJc w:val="left"/>
      <w:pPr>
        <w:ind w:left="720" w:hanging="360"/>
      </w:pPr>
      <w:rPr>
        <w:rFonts w:ascii="Symbol" w:hAnsi="Symbol"/>
      </w:rPr>
    </w:lvl>
  </w:abstractNum>
  <w:abstractNum w:abstractNumId="52" w15:restartNumberingAfterBreak="0">
    <w:nsid w:val="7F181516"/>
    <w:multiLevelType w:val="hybridMultilevel"/>
    <w:tmpl w:val="FF9EE7EA"/>
    <w:lvl w:ilvl="0" w:tplc="99525AAE">
      <w:start w:val="1"/>
      <w:numFmt w:val="decimal"/>
      <w:pStyle w:val="Nnumberedlist"/>
      <w:lvlText w:val="%1."/>
      <w:lvlJc w:val="left"/>
      <w:pPr>
        <w:tabs>
          <w:tab w:val="num" w:pos="1440"/>
        </w:tabs>
        <w:ind w:left="1440" w:hanging="360"/>
      </w:pPr>
    </w:lvl>
    <w:lvl w:ilvl="1" w:tplc="389C2200" w:tentative="1">
      <w:start w:val="1"/>
      <w:numFmt w:val="lowerLetter"/>
      <w:lvlText w:val="%2."/>
      <w:lvlJc w:val="left"/>
      <w:pPr>
        <w:tabs>
          <w:tab w:val="num" w:pos="2160"/>
        </w:tabs>
        <w:ind w:left="2160" w:hanging="360"/>
      </w:pPr>
    </w:lvl>
    <w:lvl w:ilvl="2" w:tplc="C3F8B188" w:tentative="1">
      <w:start w:val="1"/>
      <w:numFmt w:val="lowerRoman"/>
      <w:lvlText w:val="%3."/>
      <w:lvlJc w:val="right"/>
      <w:pPr>
        <w:tabs>
          <w:tab w:val="num" w:pos="2880"/>
        </w:tabs>
        <w:ind w:left="2880" w:hanging="180"/>
      </w:pPr>
    </w:lvl>
    <w:lvl w:ilvl="3" w:tplc="391E97F0" w:tentative="1">
      <w:start w:val="1"/>
      <w:numFmt w:val="decimal"/>
      <w:lvlText w:val="%4."/>
      <w:lvlJc w:val="left"/>
      <w:pPr>
        <w:tabs>
          <w:tab w:val="num" w:pos="3600"/>
        </w:tabs>
        <w:ind w:left="3600" w:hanging="360"/>
      </w:pPr>
    </w:lvl>
    <w:lvl w:ilvl="4" w:tplc="4F42265E" w:tentative="1">
      <w:start w:val="1"/>
      <w:numFmt w:val="lowerLetter"/>
      <w:lvlText w:val="%5."/>
      <w:lvlJc w:val="left"/>
      <w:pPr>
        <w:tabs>
          <w:tab w:val="num" w:pos="4320"/>
        </w:tabs>
        <w:ind w:left="4320" w:hanging="360"/>
      </w:pPr>
    </w:lvl>
    <w:lvl w:ilvl="5" w:tplc="30546058" w:tentative="1">
      <w:start w:val="1"/>
      <w:numFmt w:val="lowerRoman"/>
      <w:lvlText w:val="%6."/>
      <w:lvlJc w:val="right"/>
      <w:pPr>
        <w:tabs>
          <w:tab w:val="num" w:pos="5040"/>
        </w:tabs>
        <w:ind w:left="5040" w:hanging="180"/>
      </w:pPr>
    </w:lvl>
    <w:lvl w:ilvl="6" w:tplc="6E10F0C6" w:tentative="1">
      <w:start w:val="1"/>
      <w:numFmt w:val="decimal"/>
      <w:lvlText w:val="%7."/>
      <w:lvlJc w:val="left"/>
      <w:pPr>
        <w:tabs>
          <w:tab w:val="num" w:pos="5760"/>
        </w:tabs>
        <w:ind w:left="5760" w:hanging="360"/>
      </w:pPr>
    </w:lvl>
    <w:lvl w:ilvl="7" w:tplc="70B07B9C" w:tentative="1">
      <w:start w:val="1"/>
      <w:numFmt w:val="lowerLetter"/>
      <w:lvlText w:val="%8."/>
      <w:lvlJc w:val="left"/>
      <w:pPr>
        <w:tabs>
          <w:tab w:val="num" w:pos="6480"/>
        </w:tabs>
        <w:ind w:left="6480" w:hanging="360"/>
      </w:pPr>
    </w:lvl>
    <w:lvl w:ilvl="8" w:tplc="9BF48AAC" w:tentative="1">
      <w:start w:val="1"/>
      <w:numFmt w:val="lowerRoman"/>
      <w:lvlText w:val="%9."/>
      <w:lvlJc w:val="right"/>
      <w:pPr>
        <w:tabs>
          <w:tab w:val="num" w:pos="7200"/>
        </w:tabs>
        <w:ind w:left="7200" w:hanging="180"/>
      </w:pPr>
    </w:lvl>
  </w:abstractNum>
  <w:num w:numId="1" w16cid:durableId="1006402978">
    <w:abstractNumId w:val="26"/>
  </w:num>
  <w:num w:numId="2" w16cid:durableId="426268172">
    <w:abstractNumId w:val="52"/>
  </w:num>
  <w:num w:numId="3" w16cid:durableId="157503323">
    <w:abstractNumId w:val="12"/>
  </w:num>
  <w:num w:numId="4" w16cid:durableId="1642225056">
    <w:abstractNumId w:val="48"/>
  </w:num>
  <w:num w:numId="5" w16cid:durableId="652755983">
    <w:abstractNumId w:val="22"/>
  </w:num>
  <w:num w:numId="6" w16cid:durableId="956957829">
    <w:abstractNumId w:val="23"/>
  </w:num>
  <w:num w:numId="7" w16cid:durableId="1367680321">
    <w:abstractNumId w:val="25"/>
  </w:num>
  <w:num w:numId="8" w16cid:durableId="370613894">
    <w:abstractNumId w:val="32"/>
  </w:num>
  <w:num w:numId="9" w16cid:durableId="458962633">
    <w:abstractNumId w:val="24"/>
  </w:num>
  <w:num w:numId="10" w16cid:durableId="1635602912">
    <w:abstractNumId w:val="19"/>
  </w:num>
  <w:num w:numId="11" w16cid:durableId="1814983873">
    <w:abstractNumId w:val="1"/>
  </w:num>
  <w:num w:numId="12" w16cid:durableId="1345745920">
    <w:abstractNumId w:val="31"/>
  </w:num>
  <w:num w:numId="13" w16cid:durableId="903872964">
    <w:abstractNumId w:val="8"/>
  </w:num>
  <w:num w:numId="14" w16cid:durableId="1055734318">
    <w:abstractNumId w:val="20"/>
  </w:num>
  <w:num w:numId="15" w16cid:durableId="345836707">
    <w:abstractNumId w:val="45"/>
  </w:num>
  <w:num w:numId="16" w16cid:durableId="125047966">
    <w:abstractNumId w:val="11"/>
  </w:num>
  <w:num w:numId="17" w16cid:durableId="1745253086">
    <w:abstractNumId w:val="13"/>
  </w:num>
  <w:num w:numId="18" w16cid:durableId="495610907">
    <w:abstractNumId w:val="15"/>
  </w:num>
  <w:num w:numId="19" w16cid:durableId="1196503035">
    <w:abstractNumId w:val="50"/>
  </w:num>
  <w:num w:numId="20" w16cid:durableId="2096242116">
    <w:abstractNumId w:val="2"/>
  </w:num>
  <w:num w:numId="21" w16cid:durableId="987324499">
    <w:abstractNumId w:val="36"/>
  </w:num>
  <w:num w:numId="22" w16cid:durableId="1917938648">
    <w:abstractNumId w:val="6"/>
  </w:num>
  <w:num w:numId="23" w16cid:durableId="836460951">
    <w:abstractNumId w:val="43"/>
  </w:num>
  <w:num w:numId="24" w16cid:durableId="1246303243">
    <w:abstractNumId w:val="49"/>
  </w:num>
  <w:num w:numId="25" w16cid:durableId="1689479852">
    <w:abstractNumId w:val="16"/>
  </w:num>
  <w:num w:numId="26" w16cid:durableId="1812408169">
    <w:abstractNumId w:val="18"/>
  </w:num>
  <w:num w:numId="27" w16cid:durableId="210968179">
    <w:abstractNumId w:val="33"/>
  </w:num>
  <w:num w:numId="28" w16cid:durableId="1051733515">
    <w:abstractNumId w:val="5"/>
  </w:num>
  <w:num w:numId="29" w16cid:durableId="46496253">
    <w:abstractNumId w:val="27"/>
  </w:num>
  <w:num w:numId="30" w16cid:durableId="998770964">
    <w:abstractNumId w:val="3"/>
  </w:num>
  <w:num w:numId="31" w16cid:durableId="184904280">
    <w:abstractNumId w:val="14"/>
  </w:num>
  <w:num w:numId="32" w16cid:durableId="908927443">
    <w:abstractNumId w:val="34"/>
  </w:num>
  <w:num w:numId="33" w16cid:durableId="1126388016">
    <w:abstractNumId w:val="41"/>
  </w:num>
  <w:num w:numId="34" w16cid:durableId="1863278155">
    <w:abstractNumId w:val="28"/>
  </w:num>
  <w:num w:numId="35" w16cid:durableId="1500148475">
    <w:abstractNumId w:val="40"/>
  </w:num>
  <w:num w:numId="36" w16cid:durableId="1424374359">
    <w:abstractNumId w:val="10"/>
  </w:num>
  <w:num w:numId="37" w16cid:durableId="1862352233">
    <w:abstractNumId w:val="44"/>
  </w:num>
  <w:num w:numId="38" w16cid:durableId="559941769">
    <w:abstractNumId w:val="37"/>
  </w:num>
  <w:num w:numId="39" w16cid:durableId="105278959">
    <w:abstractNumId w:val="0"/>
  </w:num>
  <w:num w:numId="40" w16cid:durableId="1738478801">
    <w:abstractNumId w:val="4"/>
  </w:num>
  <w:num w:numId="41" w16cid:durableId="1131635487">
    <w:abstractNumId w:val="29"/>
  </w:num>
  <w:num w:numId="42" w16cid:durableId="1996713170">
    <w:abstractNumId w:val="17"/>
  </w:num>
  <w:num w:numId="43" w16cid:durableId="297421722">
    <w:abstractNumId w:val="21"/>
  </w:num>
  <w:num w:numId="44" w16cid:durableId="67726715">
    <w:abstractNumId w:val="42"/>
  </w:num>
  <w:num w:numId="45" w16cid:durableId="648631276">
    <w:abstractNumId w:val="51"/>
  </w:num>
  <w:num w:numId="46" w16cid:durableId="92096339">
    <w:abstractNumId w:val="38"/>
  </w:num>
  <w:num w:numId="47" w16cid:durableId="981345576">
    <w:abstractNumId w:val="47"/>
  </w:num>
  <w:num w:numId="48" w16cid:durableId="328945402">
    <w:abstractNumId w:val="7"/>
  </w:num>
  <w:num w:numId="49" w16cid:durableId="933441233">
    <w:abstractNumId w:val="46"/>
  </w:num>
  <w:num w:numId="50" w16cid:durableId="998313662">
    <w:abstractNumId w:val="35"/>
  </w:num>
  <w:num w:numId="51" w16cid:durableId="1670408604">
    <w:abstractNumId w:val="39"/>
  </w:num>
  <w:num w:numId="52" w16cid:durableId="103423764">
    <w:abstractNumId w:val="30"/>
  </w:num>
  <w:num w:numId="53" w16cid:durableId="1313481086">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7F1"/>
    <w:rsid w:val="00000089"/>
    <w:rsid w:val="000001D6"/>
    <w:rsid w:val="000002E5"/>
    <w:rsid w:val="00000421"/>
    <w:rsid w:val="00000427"/>
    <w:rsid w:val="00000545"/>
    <w:rsid w:val="00000920"/>
    <w:rsid w:val="00000A75"/>
    <w:rsid w:val="00000FA1"/>
    <w:rsid w:val="0000109A"/>
    <w:rsid w:val="0000115E"/>
    <w:rsid w:val="000013CF"/>
    <w:rsid w:val="00001478"/>
    <w:rsid w:val="0000147A"/>
    <w:rsid w:val="00001528"/>
    <w:rsid w:val="000015F2"/>
    <w:rsid w:val="00001AE6"/>
    <w:rsid w:val="00001D55"/>
    <w:rsid w:val="00001FA1"/>
    <w:rsid w:val="00002005"/>
    <w:rsid w:val="00002112"/>
    <w:rsid w:val="00002763"/>
    <w:rsid w:val="00002771"/>
    <w:rsid w:val="0000291C"/>
    <w:rsid w:val="00002AA3"/>
    <w:rsid w:val="00002DF6"/>
    <w:rsid w:val="00002EC3"/>
    <w:rsid w:val="00002EE9"/>
    <w:rsid w:val="00003069"/>
    <w:rsid w:val="00003227"/>
    <w:rsid w:val="0000343F"/>
    <w:rsid w:val="000036ED"/>
    <w:rsid w:val="00003717"/>
    <w:rsid w:val="00003C50"/>
    <w:rsid w:val="00003EA3"/>
    <w:rsid w:val="00003ED5"/>
    <w:rsid w:val="00003F67"/>
    <w:rsid w:val="00003FC2"/>
    <w:rsid w:val="0000434A"/>
    <w:rsid w:val="00004714"/>
    <w:rsid w:val="00004803"/>
    <w:rsid w:val="00004950"/>
    <w:rsid w:val="000049AC"/>
    <w:rsid w:val="00004D69"/>
    <w:rsid w:val="00004F7F"/>
    <w:rsid w:val="0000546A"/>
    <w:rsid w:val="000054C9"/>
    <w:rsid w:val="0000551E"/>
    <w:rsid w:val="00005641"/>
    <w:rsid w:val="00005691"/>
    <w:rsid w:val="00005797"/>
    <w:rsid w:val="00005B63"/>
    <w:rsid w:val="00005FF8"/>
    <w:rsid w:val="0000654F"/>
    <w:rsid w:val="00006737"/>
    <w:rsid w:val="00006961"/>
    <w:rsid w:val="00006A10"/>
    <w:rsid w:val="00006B83"/>
    <w:rsid w:val="00006BE6"/>
    <w:rsid w:val="00006D3A"/>
    <w:rsid w:val="00006D63"/>
    <w:rsid w:val="00006EF6"/>
    <w:rsid w:val="000073D1"/>
    <w:rsid w:val="0000741B"/>
    <w:rsid w:val="000074BD"/>
    <w:rsid w:val="00007536"/>
    <w:rsid w:val="00007690"/>
    <w:rsid w:val="00007867"/>
    <w:rsid w:val="0000792F"/>
    <w:rsid w:val="00007963"/>
    <w:rsid w:val="00007A1B"/>
    <w:rsid w:val="00007D43"/>
    <w:rsid w:val="00010641"/>
    <w:rsid w:val="00010811"/>
    <w:rsid w:val="00010869"/>
    <w:rsid w:val="00010C8C"/>
    <w:rsid w:val="00010F82"/>
    <w:rsid w:val="00010FE4"/>
    <w:rsid w:val="000110DA"/>
    <w:rsid w:val="000112B8"/>
    <w:rsid w:val="00011324"/>
    <w:rsid w:val="00011568"/>
    <w:rsid w:val="00011940"/>
    <w:rsid w:val="00011971"/>
    <w:rsid w:val="00011998"/>
    <w:rsid w:val="00011BF7"/>
    <w:rsid w:val="00011C17"/>
    <w:rsid w:val="0001252A"/>
    <w:rsid w:val="000125D3"/>
    <w:rsid w:val="00012CA6"/>
    <w:rsid w:val="00012CFE"/>
    <w:rsid w:val="0001311E"/>
    <w:rsid w:val="00013259"/>
    <w:rsid w:val="000135BE"/>
    <w:rsid w:val="000137E4"/>
    <w:rsid w:val="00013980"/>
    <w:rsid w:val="00013ADA"/>
    <w:rsid w:val="00013B04"/>
    <w:rsid w:val="00013B15"/>
    <w:rsid w:val="00013C40"/>
    <w:rsid w:val="00013DF1"/>
    <w:rsid w:val="00014028"/>
    <w:rsid w:val="00014046"/>
    <w:rsid w:val="000143E5"/>
    <w:rsid w:val="00014495"/>
    <w:rsid w:val="0001450E"/>
    <w:rsid w:val="00014974"/>
    <w:rsid w:val="00014BA6"/>
    <w:rsid w:val="0001507E"/>
    <w:rsid w:val="000153CF"/>
    <w:rsid w:val="00015421"/>
    <w:rsid w:val="0001548F"/>
    <w:rsid w:val="000154BF"/>
    <w:rsid w:val="00015DB2"/>
    <w:rsid w:val="0001613A"/>
    <w:rsid w:val="00016897"/>
    <w:rsid w:val="000168B4"/>
    <w:rsid w:val="00016A01"/>
    <w:rsid w:val="00016A68"/>
    <w:rsid w:val="00016FA4"/>
    <w:rsid w:val="0001719A"/>
    <w:rsid w:val="000173FC"/>
    <w:rsid w:val="000174F9"/>
    <w:rsid w:val="00017AB7"/>
    <w:rsid w:val="000200AC"/>
    <w:rsid w:val="00020165"/>
    <w:rsid w:val="00020864"/>
    <w:rsid w:val="00020A79"/>
    <w:rsid w:val="00020AAB"/>
    <w:rsid w:val="00020B69"/>
    <w:rsid w:val="00020D14"/>
    <w:rsid w:val="00020EE0"/>
    <w:rsid w:val="00021163"/>
    <w:rsid w:val="00021269"/>
    <w:rsid w:val="000212A3"/>
    <w:rsid w:val="00021502"/>
    <w:rsid w:val="000219AD"/>
    <w:rsid w:val="00021B4E"/>
    <w:rsid w:val="00021C4F"/>
    <w:rsid w:val="0002241B"/>
    <w:rsid w:val="000228B8"/>
    <w:rsid w:val="00022AC7"/>
    <w:rsid w:val="00022BB5"/>
    <w:rsid w:val="00022CB2"/>
    <w:rsid w:val="00022EB6"/>
    <w:rsid w:val="00022EBF"/>
    <w:rsid w:val="000232CA"/>
    <w:rsid w:val="00023469"/>
    <w:rsid w:val="0002381B"/>
    <w:rsid w:val="00023A8A"/>
    <w:rsid w:val="00023B0F"/>
    <w:rsid w:val="00023C94"/>
    <w:rsid w:val="00023DBE"/>
    <w:rsid w:val="000241B4"/>
    <w:rsid w:val="00024593"/>
    <w:rsid w:val="0002490E"/>
    <w:rsid w:val="00024A97"/>
    <w:rsid w:val="00024B49"/>
    <w:rsid w:val="00024E28"/>
    <w:rsid w:val="00024EA5"/>
    <w:rsid w:val="00024F70"/>
    <w:rsid w:val="00025243"/>
    <w:rsid w:val="000253F9"/>
    <w:rsid w:val="00025540"/>
    <w:rsid w:val="000258A3"/>
    <w:rsid w:val="00025B02"/>
    <w:rsid w:val="00025E93"/>
    <w:rsid w:val="00025E95"/>
    <w:rsid w:val="00025F3F"/>
    <w:rsid w:val="000261BD"/>
    <w:rsid w:val="0002623A"/>
    <w:rsid w:val="000264D8"/>
    <w:rsid w:val="00026657"/>
    <w:rsid w:val="00026AF3"/>
    <w:rsid w:val="00026B79"/>
    <w:rsid w:val="00026C1D"/>
    <w:rsid w:val="00026E0C"/>
    <w:rsid w:val="00026FB4"/>
    <w:rsid w:val="000270EC"/>
    <w:rsid w:val="00027330"/>
    <w:rsid w:val="00027455"/>
    <w:rsid w:val="0002755F"/>
    <w:rsid w:val="000277D4"/>
    <w:rsid w:val="000277DE"/>
    <w:rsid w:val="000278AF"/>
    <w:rsid w:val="00027B5C"/>
    <w:rsid w:val="00027CB0"/>
    <w:rsid w:val="00027E85"/>
    <w:rsid w:val="00030514"/>
    <w:rsid w:val="000306AE"/>
    <w:rsid w:val="00030741"/>
    <w:rsid w:val="000307C1"/>
    <w:rsid w:val="000308AA"/>
    <w:rsid w:val="00030908"/>
    <w:rsid w:val="00030AEF"/>
    <w:rsid w:val="00030C75"/>
    <w:rsid w:val="00030C99"/>
    <w:rsid w:val="00030D31"/>
    <w:rsid w:val="00030D69"/>
    <w:rsid w:val="00030D75"/>
    <w:rsid w:val="00030E97"/>
    <w:rsid w:val="0003116B"/>
    <w:rsid w:val="000311D0"/>
    <w:rsid w:val="00031241"/>
    <w:rsid w:val="00031267"/>
    <w:rsid w:val="00031D14"/>
    <w:rsid w:val="00031D90"/>
    <w:rsid w:val="00031F6C"/>
    <w:rsid w:val="000322DB"/>
    <w:rsid w:val="0003231D"/>
    <w:rsid w:val="0003235F"/>
    <w:rsid w:val="000323CC"/>
    <w:rsid w:val="0003258B"/>
    <w:rsid w:val="000325BB"/>
    <w:rsid w:val="00032AD5"/>
    <w:rsid w:val="00032B3E"/>
    <w:rsid w:val="000336C0"/>
    <w:rsid w:val="0003376C"/>
    <w:rsid w:val="00033AF5"/>
    <w:rsid w:val="00033E0A"/>
    <w:rsid w:val="00034160"/>
    <w:rsid w:val="000341A3"/>
    <w:rsid w:val="00034225"/>
    <w:rsid w:val="0003423A"/>
    <w:rsid w:val="000344EB"/>
    <w:rsid w:val="000345C9"/>
    <w:rsid w:val="0003477F"/>
    <w:rsid w:val="00034D97"/>
    <w:rsid w:val="000350C6"/>
    <w:rsid w:val="000351C3"/>
    <w:rsid w:val="00035636"/>
    <w:rsid w:val="0003594B"/>
    <w:rsid w:val="00035B31"/>
    <w:rsid w:val="000364FB"/>
    <w:rsid w:val="0003683F"/>
    <w:rsid w:val="000368F4"/>
    <w:rsid w:val="00036AD8"/>
    <w:rsid w:val="00036B12"/>
    <w:rsid w:val="00036B8F"/>
    <w:rsid w:val="00036BBF"/>
    <w:rsid w:val="00036F76"/>
    <w:rsid w:val="0003702A"/>
    <w:rsid w:val="00037037"/>
    <w:rsid w:val="00037241"/>
    <w:rsid w:val="000372A5"/>
    <w:rsid w:val="00037302"/>
    <w:rsid w:val="00037354"/>
    <w:rsid w:val="00037A7F"/>
    <w:rsid w:val="00037CE9"/>
    <w:rsid w:val="00037DFD"/>
    <w:rsid w:val="00037E4F"/>
    <w:rsid w:val="0004005D"/>
    <w:rsid w:val="000400D4"/>
    <w:rsid w:val="00040546"/>
    <w:rsid w:val="0004059A"/>
    <w:rsid w:val="000406D8"/>
    <w:rsid w:val="0004073A"/>
    <w:rsid w:val="000409CD"/>
    <w:rsid w:val="00040ADF"/>
    <w:rsid w:val="00040BDA"/>
    <w:rsid w:val="00040DE0"/>
    <w:rsid w:val="00040E10"/>
    <w:rsid w:val="00040FB4"/>
    <w:rsid w:val="00040FC3"/>
    <w:rsid w:val="0004125C"/>
    <w:rsid w:val="00041366"/>
    <w:rsid w:val="000415DD"/>
    <w:rsid w:val="00041694"/>
    <w:rsid w:val="0004178C"/>
    <w:rsid w:val="0004194D"/>
    <w:rsid w:val="0004194F"/>
    <w:rsid w:val="00041A3E"/>
    <w:rsid w:val="00041CF3"/>
    <w:rsid w:val="00041F5D"/>
    <w:rsid w:val="00042165"/>
    <w:rsid w:val="00042324"/>
    <w:rsid w:val="00042385"/>
    <w:rsid w:val="00042463"/>
    <w:rsid w:val="00042A38"/>
    <w:rsid w:val="00042B8B"/>
    <w:rsid w:val="00042DF5"/>
    <w:rsid w:val="00042EA3"/>
    <w:rsid w:val="00042EC4"/>
    <w:rsid w:val="00043226"/>
    <w:rsid w:val="0004331D"/>
    <w:rsid w:val="000434ED"/>
    <w:rsid w:val="000437DA"/>
    <w:rsid w:val="00043921"/>
    <w:rsid w:val="00043998"/>
    <w:rsid w:val="00043C82"/>
    <w:rsid w:val="00043CFF"/>
    <w:rsid w:val="00043E67"/>
    <w:rsid w:val="0004420A"/>
    <w:rsid w:val="000443A6"/>
    <w:rsid w:val="000444CE"/>
    <w:rsid w:val="00044773"/>
    <w:rsid w:val="00044944"/>
    <w:rsid w:val="000449D1"/>
    <w:rsid w:val="00044A52"/>
    <w:rsid w:val="00044D9D"/>
    <w:rsid w:val="00044F2F"/>
    <w:rsid w:val="00045142"/>
    <w:rsid w:val="00045273"/>
    <w:rsid w:val="00045456"/>
    <w:rsid w:val="000454AA"/>
    <w:rsid w:val="000459E3"/>
    <w:rsid w:val="00045B65"/>
    <w:rsid w:val="00045B8D"/>
    <w:rsid w:val="00045CC5"/>
    <w:rsid w:val="00045DCE"/>
    <w:rsid w:val="00045E5D"/>
    <w:rsid w:val="00045E71"/>
    <w:rsid w:val="00046262"/>
    <w:rsid w:val="0004649C"/>
    <w:rsid w:val="0004655B"/>
    <w:rsid w:val="00046B6A"/>
    <w:rsid w:val="00046C7B"/>
    <w:rsid w:val="00046E69"/>
    <w:rsid w:val="00047022"/>
    <w:rsid w:val="000472D4"/>
    <w:rsid w:val="0004779E"/>
    <w:rsid w:val="00047CF3"/>
    <w:rsid w:val="00047DE7"/>
    <w:rsid w:val="00050254"/>
    <w:rsid w:val="00050367"/>
    <w:rsid w:val="0005065D"/>
    <w:rsid w:val="000507E7"/>
    <w:rsid w:val="00050AEF"/>
    <w:rsid w:val="00050C2F"/>
    <w:rsid w:val="00050CFD"/>
    <w:rsid w:val="00050D4B"/>
    <w:rsid w:val="00051033"/>
    <w:rsid w:val="000513BB"/>
    <w:rsid w:val="00051574"/>
    <w:rsid w:val="00051A2F"/>
    <w:rsid w:val="00051B52"/>
    <w:rsid w:val="00051EA7"/>
    <w:rsid w:val="0005211B"/>
    <w:rsid w:val="000523F3"/>
    <w:rsid w:val="00052440"/>
    <w:rsid w:val="00052493"/>
    <w:rsid w:val="0005267F"/>
    <w:rsid w:val="0005280D"/>
    <w:rsid w:val="00052975"/>
    <w:rsid w:val="00052AC3"/>
    <w:rsid w:val="00052AC7"/>
    <w:rsid w:val="00052ADC"/>
    <w:rsid w:val="00052B38"/>
    <w:rsid w:val="00052C16"/>
    <w:rsid w:val="00052DB7"/>
    <w:rsid w:val="00052DC0"/>
    <w:rsid w:val="00052DD3"/>
    <w:rsid w:val="00052DF1"/>
    <w:rsid w:val="00052E2C"/>
    <w:rsid w:val="000531D1"/>
    <w:rsid w:val="0005326D"/>
    <w:rsid w:val="00053344"/>
    <w:rsid w:val="00053915"/>
    <w:rsid w:val="00053946"/>
    <w:rsid w:val="00053F6C"/>
    <w:rsid w:val="00053FBD"/>
    <w:rsid w:val="00053FCB"/>
    <w:rsid w:val="00054010"/>
    <w:rsid w:val="00054221"/>
    <w:rsid w:val="00054482"/>
    <w:rsid w:val="0005459C"/>
    <w:rsid w:val="000546DF"/>
    <w:rsid w:val="00055250"/>
    <w:rsid w:val="0005527B"/>
    <w:rsid w:val="00055A6E"/>
    <w:rsid w:val="00055A73"/>
    <w:rsid w:val="00055D4F"/>
    <w:rsid w:val="00055EE3"/>
    <w:rsid w:val="0005653F"/>
    <w:rsid w:val="000569BD"/>
    <w:rsid w:val="00056B07"/>
    <w:rsid w:val="00056FAA"/>
    <w:rsid w:val="0005732D"/>
    <w:rsid w:val="00057572"/>
    <w:rsid w:val="00057839"/>
    <w:rsid w:val="00057928"/>
    <w:rsid w:val="00057B16"/>
    <w:rsid w:val="00057B7D"/>
    <w:rsid w:val="00057BC6"/>
    <w:rsid w:val="00057DE6"/>
    <w:rsid w:val="00057FA9"/>
    <w:rsid w:val="0006009B"/>
    <w:rsid w:val="000601BC"/>
    <w:rsid w:val="0006060F"/>
    <w:rsid w:val="00060969"/>
    <w:rsid w:val="00060A13"/>
    <w:rsid w:val="00061016"/>
    <w:rsid w:val="000615C7"/>
    <w:rsid w:val="00061637"/>
    <w:rsid w:val="00061848"/>
    <w:rsid w:val="00061BE2"/>
    <w:rsid w:val="00062228"/>
    <w:rsid w:val="000624C6"/>
    <w:rsid w:val="00062632"/>
    <w:rsid w:val="000628DD"/>
    <w:rsid w:val="00062EAC"/>
    <w:rsid w:val="00063115"/>
    <w:rsid w:val="00063317"/>
    <w:rsid w:val="0006339C"/>
    <w:rsid w:val="000633BC"/>
    <w:rsid w:val="0006386D"/>
    <w:rsid w:val="00063F2F"/>
    <w:rsid w:val="00064783"/>
    <w:rsid w:val="000647C2"/>
    <w:rsid w:val="000647CF"/>
    <w:rsid w:val="00064930"/>
    <w:rsid w:val="00064E6C"/>
    <w:rsid w:val="00064EC9"/>
    <w:rsid w:val="000654B4"/>
    <w:rsid w:val="000659DF"/>
    <w:rsid w:val="00065FFC"/>
    <w:rsid w:val="00066006"/>
    <w:rsid w:val="00066255"/>
    <w:rsid w:val="0006691B"/>
    <w:rsid w:val="00066987"/>
    <w:rsid w:val="00066C0E"/>
    <w:rsid w:val="00066C42"/>
    <w:rsid w:val="00066C4D"/>
    <w:rsid w:val="00066C85"/>
    <w:rsid w:val="000670D5"/>
    <w:rsid w:val="0006730E"/>
    <w:rsid w:val="00067832"/>
    <w:rsid w:val="00067BD9"/>
    <w:rsid w:val="00067BE4"/>
    <w:rsid w:val="00067D5C"/>
    <w:rsid w:val="000700AB"/>
    <w:rsid w:val="000701E4"/>
    <w:rsid w:val="0007021F"/>
    <w:rsid w:val="00070319"/>
    <w:rsid w:val="000704C1"/>
    <w:rsid w:val="000705E3"/>
    <w:rsid w:val="00070835"/>
    <w:rsid w:val="000709A0"/>
    <w:rsid w:val="00070A0E"/>
    <w:rsid w:val="00070ABD"/>
    <w:rsid w:val="00070B98"/>
    <w:rsid w:val="00070C3C"/>
    <w:rsid w:val="00070C5B"/>
    <w:rsid w:val="00070E21"/>
    <w:rsid w:val="000714EF"/>
    <w:rsid w:val="00071C55"/>
    <w:rsid w:val="00071D44"/>
    <w:rsid w:val="00072028"/>
    <w:rsid w:val="000722B3"/>
    <w:rsid w:val="00072430"/>
    <w:rsid w:val="000725D5"/>
    <w:rsid w:val="000726C8"/>
    <w:rsid w:val="0007271D"/>
    <w:rsid w:val="000728D3"/>
    <w:rsid w:val="000728F4"/>
    <w:rsid w:val="000728FD"/>
    <w:rsid w:val="00072B07"/>
    <w:rsid w:val="00072DD2"/>
    <w:rsid w:val="00073175"/>
    <w:rsid w:val="00073262"/>
    <w:rsid w:val="000736F0"/>
    <w:rsid w:val="00073767"/>
    <w:rsid w:val="00073A76"/>
    <w:rsid w:val="00073B2E"/>
    <w:rsid w:val="00073C90"/>
    <w:rsid w:val="00073DB8"/>
    <w:rsid w:val="00073F2E"/>
    <w:rsid w:val="00074199"/>
    <w:rsid w:val="00074429"/>
    <w:rsid w:val="00074617"/>
    <w:rsid w:val="0007473B"/>
    <w:rsid w:val="00074D37"/>
    <w:rsid w:val="00074F90"/>
    <w:rsid w:val="000751F5"/>
    <w:rsid w:val="0007528E"/>
    <w:rsid w:val="00075344"/>
    <w:rsid w:val="00075779"/>
    <w:rsid w:val="00075E55"/>
    <w:rsid w:val="00076019"/>
    <w:rsid w:val="0007621A"/>
    <w:rsid w:val="00076666"/>
    <w:rsid w:val="000767E8"/>
    <w:rsid w:val="00076E44"/>
    <w:rsid w:val="00076E84"/>
    <w:rsid w:val="00077090"/>
    <w:rsid w:val="00077C22"/>
    <w:rsid w:val="00077E35"/>
    <w:rsid w:val="00080241"/>
    <w:rsid w:val="0008053E"/>
    <w:rsid w:val="0008073E"/>
    <w:rsid w:val="00080AF7"/>
    <w:rsid w:val="00081554"/>
    <w:rsid w:val="000815B2"/>
    <w:rsid w:val="00081762"/>
    <w:rsid w:val="00081778"/>
    <w:rsid w:val="00081906"/>
    <w:rsid w:val="000819BA"/>
    <w:rsid w:val="00081AB6"/>
    <w:rsid w:val="00081BAA"/>
    <w:rsid w:val="00081C87"/>
    <w:rsid w:val="00082012"/>
    <w:rsid w:val="000820CB"/>
    <w:rsid w:val="000820F2"/>
    <w:rsid w:val="0008244C"/>
    <w:rsid w:val="00082751"/>
    <w:rsid w:val="00082C4F"/>
    <w:rsid w:val="00082D2F"/>
    <w:rsid w:val="00082DB8"/>
    <w:rsid w:val="00082DD8"/>
    <w:rsid w:val="000833F1"/>
    <w:rsid w:val="0008355A"/>
    <w:rsid w:val="00083835"/>
    <w:rsid w:val="00083C26"/>
    <w:rsid w:val="00083F42"/>
    <w:rsid w:val="000841EA"/>
    <w:rsid w:val="0008453A"/>
    <w:rsid w:val="00084545"/>
    <w:rsid w:val="0008473C"/>
    <w:rsid w:val="00084A0A"/>
    <w:rsid w:val="00084A90"/>
    <w:rsid w:val="00084D5A"/>
    <w:rsid w:val="00084ECC"/>
    <w:rsid w:val="00085335"/>
    <w:rsid w:val="0008564D"/>
    <w:rsid w:val="0008569E"/>
    <w:rsid w:val="0008571E"/>
    <w:rsid w:val="000858C0"/>
    <w:rsid w:val="00085A55"/>
    <w:rsid w:val="00086768"/>
    <w:rsid w:val="00086947"/>
    <w:rsid w:val="00086D3D"/>
    <w:rsid w:val="000870B6"/>
    <w:rsid w:val="000871C6"/>
    <w:rsid w:val="0008736B"/>
    <w:rsid w:val="00087717"/>
    <w:rsid w:val="0008774F"/>
    <w:rsid w:val="000878C5"/>
    <w:rsid w:val="00087F99"/>
    <w:rsid w:val="00090317"/>
    <w:rsid w:val="000904E0"/>
    <w:rsid w:val="00090613"/>
    <w:rsid w:val="00090633"/>
    <w:rsid w:val="000908D1"/>
    <w:rsid w:val="000908ED"/>
    <w:rsid w:val="000909A0"/>
    <w:rsid w:val="00090BD1"/>
    <w:rsid w:val="00090CED"/>
    <w:rsid w:val="00091020"/>
    <w:rsid w:val="0009130A"/>
    <w:rsid w:val="00091635"/>
    <w:rsid w:val="00091857"/>
    <w:rsid w:val="00091A42"/>
    <w:rsid w:val="00091C59"/>
    <w:rsid w:val="00091F05"/>
    <w:rsid w:val="000929DE"/>
    <w:rsid w:val="000929E3"/>
    <w:rsid w:val="00092A21"/>
    <w:rsid w:val="00092AF0"/>
    <w:rsid w:val="00092C8D"/>
    <w:rsid w:val="00092F12"/>
    <w:rsid w:val="00093061"/>
    <w:rsid w:val="00093064"/>
    <w:rsid w:val="00093083"/>
    <w:rsid w:val="000934C3"/>
    <w:rsid w:val="0009370B"/>
    <w:rsid w:val="00093BA3"/>
    <w:rsid w:val="00093CE1"/>
    <w:rsid w:val="00093D9A"/>
    <w:rsid w:val="00093E30"/>
    <w:rsid w:val="00093F84"/>
    <w:rsid w:val="00094042"/>
    <w:rsid w:val="000940A7"/>
    <w:rsid w:val="00094100"/>
    <w:rsid w:val="00094406"/>
    <w:rsid w:val="00094482"/>
    <w:rsid w:val="00094487"/>
    <w:rsid w:val="00094633"/>
    <w:rsid w:val="00094656"/>
    <w:rsid w:val="00094A96"/>
    <w:rsid w:val="00094B5F"/>
    <w:rsid w:val="00094C0E"/>
    <w:rsid w:val="0009516F"/>
    <w:rsid w:val="00095364"/>
    <w:rsid w:val="00095470"/>
    <w:rsid w:val="000954FB"/>
    <w:rsid w:val="000958D9"/>
    <w:rsid w:val="0009590C"/>
    <w:rsid w:val="00095BE2"/>
    <w:rsid w:val="00095E27"/>
    <w:rsid w:val="000961FF"/>
    <w:rsid w:val="00096216"/>
    <w:rsid w:val="00096295"/>
    <w:rsid w:val="00096361"/>
    <w:rsid w:val="000963BF"/>
    <w:rsid w:val="000963FD"/>
    <w:rsid w:val="0009645A"/>
    <w:rsid w:val="000964A2"/>
    <w:rsid w:val="000964C0"/>
    <w:rsid w:val="0009653C"/>
    <w:rsid w:val="00096610"/>
    <w:rsid w:val="000967D5"/>
    <w:rsid w:val="000968EC"/>
    <w:rsid w:val="00096949"/>
    <w:rsid w:val="00096B52"/>
    <w:rsid w:val="00097288"/>
    <w:rsid w:val="00097309"/>
    <w:rsid w:val="000978CB"/>
    <w:rsid w:val="0009791F"/>
    <w:rsid w:val="00097BFB"/>
    <w:rsid w:val="00097E53"/>
    <w:rsid w:val="00097EE4"/>
    <w:rsid w:val="000A0013"/>
    <w:rsid w:val="000A010B"/>
    <w:rsid w:val="000A015A"/>
    <w:rsid w:val="000A07EF"/>
    <w:rsid w:val="000A0B14"/>
    <w:rsid w:val="000A0B21"/>
    <w:rsid w:val="000A0BB0"/>
    <w:rsid w:val="000A0C19"/>
    <w:rsid w:val="000A0CB8"/>
    <w:rsid w:val="000A0F3C"/>
    <w:rsid w:val="000A10BF"/>
    <w:rsid w:val="000A1161"/>
    <w:rsid w:val="000A13D0"/>
    <w:rsid w:val="000A1487"/>
    <w:rsid w:val="000A14B8"/>
    <w:rsid w:val="000A17BD"/>
    <w:rsid w:val="000A1988"/>
    <w:rsid w:val="000A1B40"/>
    <w:rsid w:val="000A1BC3"/>
    <w:rsid w:val="000A1EB6"/>
    <w:rsid w:val="000A1F55"/>
    <w:rsid w:val="000A23BD"/>
    <w:rsid w:val="000A2444"/>
    <w:rsid w:val="000A24A4"/>
    <w:rsid w:val="000A256E"/>
    <w:rsid w:val="000A2ACD"/>
    <w:rsid w:val="000A2B65"/>
    <w:rsid w:val="000A2DA8"/>
    <w:rsid w:val="000A2E69"/>
    <w:rsid w:val="000A2F34"/>
    <w:rsid w:val="000A3555"/>
    <w:rsid w:val="000A35BA"/>
    <w:rsid w:val="000A376F"/>
    <w:rsid w:val="000A3885"/>
    <w:rsid w:val="000A38C8"/>
    <w:rsid w:val="000A3AA3"/>
    <w:rsid w:val="000A3B3B"/>
    <w:rsid w:val="000A3CD3"/>
    <w:rsid w:val="000A3CFE"/>
    <w:rsid w:val="000A3D7C"/>
    <w:rsid w:val="000A3DA0"/>
    <w:rsid w:val="000A4498"/>
    <w:rsid w:val="000A45A0"/>
    <w:rsid w:val="000A491A"/>
    <w:rsid w:val="000A4A71"/>
    <w:rsid w:val="000A4BEA"/>
    <w:rsid w:val="000A4D21"/>
    <w:rsid w:val="000A4D53"/>
    <w:rsid w:val="000A4F26"/>
    <w:rsid w:val="000A51C8"/>
    <w:rsid w:val="000A5256"/>
    <w:rsid w:val="000A54C5"/>
    <w:rsid w:val="000A5C47"/>
    <w:rsid w:val="000A5DF1"/>
    <w:rsid w:val="000A629E"/>
    <w:rsid w:val="000A64D4"/>
    <w:rsid w:val="000A68C1"/>
    <w:rsid w:val="000A6968"/>
    <w:rsid w:val="000A6B30"/>
    <w:rsid w:val="000A6FA1"/>
    <w:rsid w:val="000A73F1"/>
    <w:rsid w:val="000A777D"/>
    <w:rsid w:val="000A7A45"/>
    <w:rsid w:val="000B014C"/>
    <w:rsid w:val="000B0352"/>
    <w:rsid w:val="000B0618"/>
    <w:rsid w:val="000B093E"/>
    <w:rsid w:val="000B0A33"/>
    <w:rsid w:val="000B0FE9"/>
    <w:rsid w:val="000B14A7"/>
    <w:rsid w:val="000B1659"/>
    <w:rsid w:val="000B1665"/>
    <w:rsid w:val="000B16FD"/>
    <w:rsid w:val="000B17B8"/>
    <w:rsid w:val="000B1822"/>
    <w:rsid w:val="000B19A4"/>
    <w:rsid w:val="000B1AA9"/>
    <w:rsid w:val="000B2057"/>
    <w:rsid w:val="000B2218"/>
    <w:rsid w:val="000B2401"/>
    <w:rsid w:val="000B2818"/>
    <w:rsid w:val="000B2D45"/>
    <w:rsid w:val="000B30D7"/>
    <w:rsid w:val="000B30F6"/>
    <w:rsid w:val="000B31A1"/>
    <w:rsid w:val="000B32BC"/>
    <w:rsid w:val="000B3321"/>
    <w:rsid w:val="000B3330"/>
    <w:rsid w:val="000B3508"/>
    <w:rsid w:val="000B3576"/>
    <w:rsid w:val="000B3596"/>
    <w:rsid w:val="000B36F0"/>
    <w:rsid w:val="000B3809"/>
    <w:rsid w:val="000B3A4A"/>
    <w:rsid w:val="000B3BEF"/>
    <w:rsid w:val="000B40BC"/>
    <w:rsid w:val="000B40F2"/>
    <w:rsid w:val="000B422A"/>
    <w:rsid w:val="000B470E"/>
    <w:rsid w:val="000B48B0"/>
    <w:rsid w:val="000B48D9"/>
    <w:rsid w:val="000B4916"/>
    <w:rsid w:val="000B4A86"/>
    <w:rsid w:val="000B4EBD"/>
    <w:rsid w:val="000B54B1"/>
    <w:rsid w:val="000B56F7"/>
    <w:rsid w:val="000B5A84"/>
    <w:rsid w:val="000B5BEA"/>
    <w:rsid w:val="000B5F4F"/>
    <w:rsid w:val="000B605B"/>
    <w:rsid w:val="000B649E"/>
    <w:rsid w:val="000B6618"/>
    <w:rsid w:val="000B697A"/>
    <w:rsid w:val="000B6CF0"/>
    <w:rsid w:val="000B6EEE"/>
    <w:rsid w:val="000B6F43"/>
    <w:rsid w:val="000B720C"/>
    <w:rsid w:val="000B720E"/>
    <w:rsid w:val="000B738D"/>
    <w:rsid w:val="000B74B9"/>
    <w:rsid w:val="000B7665"/>
    <w:rsid w:val="000B7C7B"/>
    <w:rsid w:val="000B7E61"/>
    <w:rsid w:val="000B7E75"/>
    <w:rsid w:val="000B7FC7"/>
    <w:rsid w:val="000C0167"/>
    <w:rsid w:val="000C01E5"/>
    <w:rsid w:val="000C0273"/>
    <w:rsid w:val="000C060A"/>
    <w:rsid w:val="000C0670"/>
    <w:rsid w:val="000C080A"/>
    <w:rsid w:val="000C081A"/>
    <w:rsid w:val="000C09C5"/>
    <w:rsid w:val="000C0C98"/>
    <w:rsid w:val="000C0DE0"/>
    <w:rsid w:val="000C1060"/>
    <w:rsid w:val="000C11CD"/>
    <w:rsid w:val="000C1A63"/>
    <w:rsid w:val="000C1E90"/>
    <w:rsid w:val="000C1F4C"/>
    <w:rsid w:val="000C20EB"/>
    <w:rsid w:val="000C2143"/>
    <w:rsid w:val="000C24AA"/>
    <w:rsid w:val="000C24B2"/>
    <w:rsid w:val="000C272C"/>
    <w:rsid w:val="000C2791"/>
    <w:rsid w:val="000C2941"/>
    <w:rsid w:val="000C2EB9"/>
    <w:rsid w:val="000C2F8F"/>
    <w:rsid w:val="000C31CF"/>
    <w:rsid w:val="000C3470"/>
    <w:rsid w:val="000C3724"/>
    <w:rsid w:val="000C3779"/>
    <w:rsid w:val="000C3929"/>
    <w:rsid w:val="000C39F4"/>
    <w:rsid w:val="000C3BDA"/>
    <w:rsid w:val="000C3D2B"/>
    <w:rsid w:val="000C3FD9"/>
    <w:rsid w:val="000C401F"/>
    <w:rsid w:val="000C4180"/>
    <w:rsid w:val="000C4357"/>
    <w:rsid w:val="000C4504"/>
    <w:rsid w:val="000C4550"/>
    <w:rsid w:val="000C468B"/>
    <w:rsid w:val="000C48C2"/>
    <w:rsid w:val="000C497E"/>
    <w:rsid w:val="000C4D24"/>
    <w:rsid w:val="000C4D5C"/>
    <w:rsid w:val="000C4EC3"/>
    <w:rsid w:val="000C5039"/>
    <w:rsid w:val="000C5255"/>
    <w:rsid w:val="000C5545"/>
    <w:rsid w:val="000C559D"/>
    <w:rsid w:val="000C5821"/>
    <w:rsid w:val="000C58B2"/>
    <w:rsid w:val="000C59A7"/>
    <w:rsid w:val="000C5A07"/>
    <w:rsid w:val="000C5C33"/>
    <w:rsid w:val="000C60BB"/>
    <w:rsid w:val="000C615A"/>
    <w:rsid w:val="000C6284"/>
    <w:rsid w:val="000C62F9"/>
    <w:rsid w:val="000C6457"/>
    <w:rsid w:val="000C6594"/>
    <w:rsid w:val="000C6690"/>
    <w:rsid w:val="000C69D6"/>
    <w:rsid w:val="000C6D21"/>
    <w:rsid w:val="000C6F82"/>
    <w:rsid w:val="000C7264"/>
    <w:rsid w:val="000C7574"/>
    <w:rsid w:val="000C75B3"/>
    <w:rsid w:val="000C7A19"/>
    <w:rsid w:val="000C7A9A"/>
    <w:rsid w:val="000C7C0F"/>
    <w:rsid w:val="000C7C46"/>
    <w:rsid w:val="000C7E88"/>
    <w:rsid w:val="000C7ED8"/>
    <w:rsid w:val="000D00A7"/>
    <w:rsid w:val="000D0103"/>
    <w:rsid w:val="000D0227"/>
    <w:rsid w:val="000D02A1"/>
    <w:rsid w:val="000D0665"/>
    <w:rsid w:val="000D06C6"/>
    <w:rsid w:val="000D0852"/>
    <w:rsid w:val="000D08A8"/>
    <w:rsid w:val="000D0966"/>
    <w:rsid w:val="000D09F1"/>
    <w:rsid w:val="000D0A40"/>
    <w:rsid w:val="000D0C9F"/>
    <w:rsid w:val="000D0D3B"/>
    <w:rsid w:val="000D0DD9"/>
    <w:rsid w:val="000D0E75"/>
    <w:rsid w:val="000D0F33"/>
    <w:rsid w:val="000D0FC4"/>
    <w:rsid w:val="000D14AE"/>
    <w:rsid w:val="000D153D"/>
    <w:rsid w:val="000D1B52"/>
    <w:rsid w:val="000D1C22"/>
    <w:rsid w:val="000D1DC4"/>
    <w:rsid w:val="000D1F88"/>
    <w:rsid w:val="000D1FE4"/>
    <w:rsid w:val="000D242D"/>
    <w:rsid w:val="000D2CD5"/>
    <w:rsid w:val="000D3023"/>
    <w:rsid w:val="000D30B8"/>
    <w:rsid w:val="000D3106"/>
    <w:rsid w:val="000D352D"/>
    <w:rsid w:val="000D370F"/>
    <w:rsid w:val="000D39BF"/>
    <w:rsid w:val="000D3D05"/>
    <w:rsid w:val="000D3DCC"/>
    <w:rsid w:val="000D3FF4"/>
    <w:rsid w:val="000D4606"/>
    <w:rsid w:val="000D4659"/>
    <w:rsid w:val="000D476B"/>
    <w:rsid w:val="000D4A82"/>
    <w:rsid w:val="000D4A97"/>
    <w:rsid w:val="000D4AB7"/>
    <w:rsid w:val="000D4C1B"/>
    <w:rsid w:val="000D4D81"/>
    <w:rsid w:val="000D52E6"/>
    <w:rsid w:val="000D5523"/>
    <w:rsid w:val="000D5528"/>
    <w:rsid w:val="000D57C9"/>
    <w:rsid w:val="000D5954"/>
    <w:rsid w:val="000D59BC"/>
    <w:rsid w:val="000D5ADF"/>
    <w:rsid w:val="000D5EBB"/>
    <w:rsid w:val="000D5ECB"/>
    <w:rsid w:val="000D66BE"/>
    <w:rsid w:val="000D697B"/>
    <w:rsid w:val="000D6A23"/>
    <w:rsid w:val="000D6C23"/>
    <w:rsid w:val="000D6CE7"/>
    <w:rsid w:val="000D6DD3"/>
    <w:rsid w:val="000D6F14"/>
    <w:rsid w:val="000D7381"/>
    <w:rsid w:val="000D7EF0"/>
    <w:rsid w:val="000D7F22"/>
    <w:rsid w:val="000E0325"/>
    <w:rsid w:val="000E03DC"/>
    <w:rsid w:val="000E067C"/>
    <w:rsid w:val="000E0982"/>
    <w:rsid w:val="000E09AD"/>
    <w:rsid w:val="000E0DF1"/>
    <w:rsid w:val="000E0E33"/>
    <w:rsid w:val="000E0E72"/>
    <w:rsid w:val="000E1124"/>
    <w:rsid w:val="000E1160"/>
    <w:rsid w:val="000E1415"/>
    <w:rsid w:val="000E14C8"/>
    <w:rsid w:val="000E192A"/>
    <w:rsid w:val="000E1C08"/>
    <w:rsid w:val="000E1E33"/>
    <w:rsid w:val="000E1F4A"/>
    <w:rsid w:val="000E2177"/>
    <w:rsid w:val="000E22CF"/>
    <w:rsid w:val="000E276B"/>
    <w:rsid w:val="000E2C8C"/>
    <w:rsid w:val="000E31E6"/>
    <w:rsid w:val="000E346F"/>
    <w:rsid w:val="000E3688"/>
    <w:rsid w:val="000E3710"/>
    <w:rsid w:val="000E3759"/>
    <w:rsid w:val="000E3F75"/>
    <w:rsid w:val="000E3FD0"/>
    <w:rsid w:val="000E44F0"/>
    <w:rsid w:val="000E4DFB"/>
    <w:rsid w:val="000E4F9A"/>
    <w:rsid w:val="000E5253"/>
    <w:rsid w:val="000E52C9"/>
    <w:rsid w:val="000E5428"/>
    <w:rsid w:val="000E5531"/>
    <w:rsid w:val="000E571E"/>
    <w:rsid w:val="000E598D"/>
    <w:rsid w:val="000E5C47"/>
    <w:rsid w:val="000E5E0D"/>
    <w:rsid w:val="000E5E1D"/>
    <w:rsid w:val="000E5EFB"/>
    <w:rsid w:val="000E6219"/>
    <w:rsid w:val="000E6410"/>
    <w:rsid w:val="000E6590"/>
    <w:rsid w:val="000E664A"/>
    <w:rsid w:val="000E678B"/>
    <w:rsid w:val="000E6BF6"/>
    <w:rsid w:val="000E6C03"/>
    <w:rsid w:val="000E71FD"/>
    <w:rsid w:val="000E7260"/>
    <w:rsid w:val="000E72D8"/>
    <w:rsid w:val="000E74B7"/>
    <w:rsid w:val="000E75F0"/>
    <w:rsid w:val="000E7BBF"/>
    <w:rsid w:val="000E7D8A"/>
    <w:rsid w:val="000E7EBF"/>
    <w:rsid w:val="000E7ED7"/>
    <w:rsid w:val="000F02F3"/>
    <w:rsid w:val="000F0514"/>
    <w:rsid w:val="000F0650"/>
    <w:rsid w:val="000F0ABC"/>
    <w:rsid w:val="000F0F61"/>
    <w:rsid w:val="000F11A8"/>
    <w:rsid w:val="000F15F6"/>
    <w:rsid w:val="000F19CF"/>
    <w:rsid w:val="000F1C25"/>
    <w:rsid w:val="000F1D24"/>
    <w:rsid w:val="000F219C"/>
    <w:rsid w:val="000F2483"/>
    <w:rsid w:val="000F24BE"/>
    <w:rsid w:val="000F2710"/>
    <w:rsid w:val="000F27D4"/>
    <w:rsid w:val="000F2899"/>
    <w:rsid w:val="000F2A50"/>
    <w:rsid w:val="000F2A78"/>
    <w:rsid w:val="000F2E01"/>
    <w:rsid w:val="000F315A"/>
    <w:rsid w:val="000F3206"/>
    <w:rsid w:val="000F3222"/>
    <w:rsid w:val="000F331E"/>
    <w:rsid w:val="000F348C"/>
    <w:rsid w:val="000F365D"/>
    <w:rsid w:val="000F37C8"/>
    <w:rsid w:val="000F3B25"/>
    <w:rsid w:val="000F3B4E"/>
    <w:rsid w:val="000F3CBA"/>
    <w:rsid w:val="000F3E93"/>
    <w:rsid w:val="000F404D"/>
    <w:rsid w:val="000F409E"/>
    <w:rsid w:val="000F427A"/>
    <w:rsid w:val="000F45B9"/>
    <w:rsid w:val="000F46B4"/>
    <w:rsid w:val="000F4978"/>
    <w:rsid w:val="000F49F8"/>
    <w:rsid w:val="000F4BC2"/>
    <w:rsid w:val="000F516D"/>
    <w:rsid w:val="000F520B"/>
    <w:rsid w:val="000F5229"/>
    <w:rsid w:val="000F565C"/>
    <w:rsid w:val="000F584D"/>
    <w:rsid w:val="000F5A54"/>
    <w:rsid w:val="000F60E2"/>
    <w:rsid w:val="000F6130"/>
    <w:rsid w:val="000F6733"/>
    <w:rsid w:val="000F6889"/>
    <w:rsid w:val="000F6FDF"/>
    <w:rsid w:val="000F766B"/>
    <w:rsid w:val="000F7775"/>
    <w:rsid w:val="000F7858"/>
    <w:rsid w:val="000F7987"/>
    <w:rsid w:val="000F7A33"/>
    <w:rsid w:val="000F7F74"/>
    <w:rsid w:val="0010006A"/>
    <w:rsid w:val="00100261"/>
    <w:rsid w:val="001003A0"/>
    <w:rsid w:val="0010044E"/>
    <w:rsid w:val="0010051C"/>
    <w:rsid w:val="00100630"/>
    <w:rsid w:val="00100652"/>
    <w:rsid w:val="00100823"/>
    <w:rsid w:val="00100A82"/>
    <w:rsid w:val="00100B97"/>
    <w:rsid w:val="00100B9D"/>
    <w:rsid w:val="00100C12"/>
    <w:rsid w:val="00100D99"/>
    <w:rsid w:val="0010105D"/>
    <w:rsid w:val="001013CB"/>
    <w:rsid w:val="00101666"/>
    <w:rsid w:val="00101962"/>
    <w:rsid w:val="001019A4"/>
    <w:rsid w:val="00101B7B"/>
    <w:rsid w:val="00101C85"/>
    <w:rsid w:val="00101F83"/>
    <w:rsid w:val="00101F8C"/>
    <w:rsid w:val="00101FE2"/>
    <w:rsid w:val="0010218E"/>
    <w:rsid w:val="00102444"/>
    <w:rsid w:val="00102642"/>
    <w:rsid w:val="0010281B"/>
    <w:rsid w:val="00102C83"/>
    <w:rsid w:val="00102CF4"/>
    <w:rsid w:val="00102EE4"/>
    <w:rsid w:val="001035F5"/>
    <w:rsid w:val="0010377A"/>
    <w:rsid w:val="001038E9"/>
    <w:rsid w:val="00103B2C"/>
    <w:rsid w:val="00103B53"/>
    <w:rsid w:val="00103C4F"/>
    <w:rsid w:val="00103EDE"/>
    <w:rsid w:val="00103FAB"/>
    <w:rsid w:val="001042F6"/>
    <w:rsid w:val="00104397"/>
    <w:rsid w:val="0010448B"/>
    <w:rsid w:val="00104973"/>
    <w:rsid w:val="00104A99"/>
    <w:rsid w:val="0010517A"/>
    <w:rsid w:val="0010521F"/>
    <w:rsid w:val="001052C2"/>
    <w:rsid w:val="00105589"/>
    <w:rsid w:val="0010573A"/>
    <w:rsid w:val="00105B96"/>
    <w:rsid w:val="00105F3D"/>
    <w:rsid w:val="0010625A"/>
    <w:rsid w:val="001065DE"/>
    <w:rsid w:val="00106630"/>
    <w:rsid w:val="0010669B"/>
    <w:rsid w:val="0010676F"/>
    <w:rsid w:val="001067FB"/>
    <w:rsid w:val="00106B06"/>
    <w:rsid w:val="00106BAC"/>
    <w:rsid w:val="00106EBE"/>
    <w:rsid w:val="00106F9D"/>
    <w:rsid w:val="001070E9"/>
    <w:rsid w:val="0010723B"/>
    <w:rsid w:val="00107524"/>
    <w:rsid w:val="001075CD"/>
    <w:rsid w:val="001076EB"/>
    <w:rsid w:val="00107DCD"/>
    <w:rsid w:val="00107E6F"/>
    <w:rsid w:val="00107EF0"/>
    <w:rsid w:val="001101FD"/>
    <w:rsid w:val="0011028B"/>
    <w:rsid w:val="00110382"/>
    <w:rsid w:val="001108DC"/>
    <w:rsid w:val="001109BD"/>
    <w:rsid w:val="00110AED"/>
    <w:rsid w:val="00110DA2"/>
    <w:rsid w:val="00111187"/>
    <w:rsid w:val="0011127A"/>
    <w:rsid w:val="00111417"/>
    <w:rsid w:val="00111581"/>
    <w:rsid w:val="00111A79"/>
    <w:rsid w:val="00111E1B"/>
    <w:rsid w:val="00112223"/>
    <w:rsid w:val="00112320"/>
    <w:rsid w:val="0011234D"/>
    <w:rsid w:val="0011265E"/>
    <w:rsid w:val="0011268C"/>
    <w:rsid w:val="00112908"/>
    <w:rsid w:val="00112B4F"/>
    <w:rsid w:val="00112DE3"/>
    <w:rsid w:val="00112E2A"/>
    <w:rsid w:val="001139F2"/>
    <w:rsid w:val="00113B42"/>
    <w:rsid w:val="00113C60"/>
    <w:rsid w:val="0011445B"/>
    <w:rsid w:val="00114C3B"/>
    <w:rsid w:val="00114D2B"/>
    <w:rsid w:val="001153F0"/>
    <w:rsid w:val="0011548F"/>
    <w:rsid w:val="001154BA"/>
    <w:rsid w:val="00115691"/>
    <w:rsid w:val="00115F38"/>
    <w:rsid w:val="001169B8"/>
    <w:rsid w:val="00116B7E"/>
    <w:rsid w:val="00117039"/>
    <w:rsid w:val="0011704D"/>
    <w:rsid w:val="001170F5"/>
    <w:rsid w:val="0011719A"/>
    <w:rsid w:val="001172A5"/>
    <w:rsid w:val="0011732D"/>
    <w:rsid w:val="00117720"/>
    <w:rsid w:val="00117BBB"/>
    <w:rsid w:val="00117C06"/>
    <w:rsid w:val="00117D3A"/>
    <w:rsid w:val="00117E5F"/>
    <w:rsid w:val="00117F04"/>
    <w:rsid w:val="0012014C"/>
    <w:rsid w:val="001204A4"/>
    <w:rsid w:val="00120581"/>
    <w:rsid w:val="001209F5"/>
    <w:rsid w:val="00120B42"/>
    <w:rsid w:val="00120BD3"/>
    <w:rsid w:val="00120E0F"/>
    <w:rsid w:val="00121140"/>
    <w:rsid w:val="001212E8"/>
    <w:rsid w:val="0012131C"/>
    <w:rsid w:val="001215C5"/>
    <w:rsid w:val="00121719"/>
    <w:rsid w:val="00121C3E"/>
    <w:rsid w:val="00121DC9"/>
    <w:rsid w:val="001224BE"/>
    <w:rsid w:val="001224F1"/>
    <w:rsid w:val="00122758"/>
    <w:rsid w:val="001228A0"/>
    <w:rsid w:val="001228ED"/>
    <w:rsid w:val="0012296C"/>
    <w:rsid w:val="001229DD"/>
    <w:rsid w:val="00122AE3"/>
    <w:rsid w:val="00122C8B"/>
    <w:rsid w:val="00122EE1"/>
    <w:rsid w:val="001230AD"/>
    <w:rsid w:val="00123157"/>
    <w:rsid w:val="001233DD"/>
    <w:rsid w:val="00123658"/>
    <w:rsid w:val="001237AF"/>
    <w:rsid w:val="0012390E"/>
    <w:rsid w:val="001243E8"/>
    <w:rsid w:val="00124452"/>
    <w:rsid w:val="0012449F"/>
    <w:rsid w:val="001246C6"/>
    <w:rsid w:val="001246F2"/>
    <w:rsid w:val="0012476A"/>
    <w:rsid w:val="001247EB"/>
    <w:rsid w:val="001249E0"/>
    <w:rsid w:val="00124C9B"/>
    <w:rsid w:val="00124EC4"/>
    <w:rsid w:val="00124F3C"/>
    <w:rsid w:val="001253F5"/>
    <w:rsid w:val="001259CB"/>
    <w:rsid w:val="00125B61"/>
    <w:rsid w:val="00125CC9"/>
    <w:rsid w:val="00125DC0"/>
    <w:rsid w:val="00126122"/>
    <w:rsid w:val="001265CC"/>
    <w:rsid w:val="001269A3"/>
    <w:rsid w:val="00126F25"/>
    <w:rsid w:val="00127161"/>
    <w:rsid w:val="00127627"/>
    <w:rsid w:val="001279B0"/>
    <w:rsid w:val="00127BBE"/>
    <w:rsid w:val="00127C3D"/>
    <w:rsid w:val="00127C8B"/>
    <w:rsid w:val="00127E22"/>
    <w:rsid w:val="00130470"/>
    <w:rsid w:val="00130744"/>
    <w:rsid w:val="00130BE4"/>
    <w:rsid w:val="00130D06"/>
    <w:rsid w:val="00130EA4"/>
    <w:rsid w:val="00130F76"/>
    <w:rsid w:val="0013125B"/>
    <w:rsid w:val="0013147F"/>
    <w:rsid w:val="001316DD"/>
    <w:rsid w:val="00131CC9"/>
    <w:rsid w:val="00131D45"/>
    <w:rsid w:val="00131E31"/>
    <w:rsid w:val="00131E9B"/>
    <w:rsid w:val="00131EFF"/>
    <w:rsid w:val="001320F0"/>
    <w:rsid w:val="00132229"/>
    <w:rsid w:val="0013242F"/>
    <w:rsid w:val="00132543"/>
    <w:rsid w:val="001328F6"/>
    <w:rsid w:val="0013296F"/>
    <w:rsid w:val="00132CFB"/>
    <w:rsid w:val="00132F74"/>
    <w:rsid w:val="00133000"/>
    <w:rsid w:val="0013320C"/>
    <w:rsid w:val="001336E0"/>
    <w:rsid w:val="001339F8"/>
    <w:rsid w:val="00133A13"/>
    <w:rsid w:val="00133F34"/>
    <w:rsid w:val="00134038"/>
    <w:rsid w:val="00134699"/>
    <w:rsid w:val="00134B57"/>
    <w:rsid w:val="00134C94"/>
    <w:rsid w:val="00135040"/>
    <w:rsid w:val="00135273"/>
    <w:rsid w:val="00135730"/>
    <w:rsid w:val="0013597B"/>
    <w:rsid w:val="00135C5F"/>
    <w:rsid w:val="00135ECA"/>
    <w:rsid w:val="00135F7F"/>
    <w:rsid w:val="00135FC9"/>
    <w:rsid w:val="0013647F"/>
    <w:rsid w:val="00136DAF"/>
    <w:rsid w:val="0013707D"/>
    <w:rsid w:val="00137120"/>
    <w:rsid w:val="00137252"/>
    <w:rsid w:val="00137318"/>
    <w:rsid w:val="00137397"/>
    <w:rsid w:val="001376B9"/>
    <w:rsid w:val="00137790"/>
    <w:rsid w:val="001377AD"/>
    <w:rsid w:val="001378AA"/>
    <w:rsid w:val="00140054"/>
    <w:rsid w:val="001401EE"/>
    <w:rsid w:val="0014041F"/>
    <w:rsid w:val="001404CE"/>
    <w:rsid w:val="001405DA"/>
    <w:rsid w:val="00140F12"/>
    <w:rsid w:val="0014104A"/>
    <w:rsid w:val="001412F4"/>
    <w:rsid w:val="001414C5"/>
    <w:rsid w:val="001417FF"/>
    <w:rsid w:val="001419EE"/>
    <w:rsid w:val="00141AB0"/>
    <w:rsid w:val="00141E28"/>
    <w:rsid w:val="0014237C"/>
    <w:rsid w:val="0014239D"/>
    <w:rsid w:val="0014254B"/>
    <w:rsid w:val="0014267B"/>
    <w:rsid w:val="001427EA"/>
    <w:rsid w:val="00142821"/>
    <w:rsid w:val="00142A32"/>
    <w:rsid w:val="00142F91"/>
    <w:rsid w:val="001431F1"/>
    <w:rsid w:val="00143457"/>
    <w:rsid w:val="00143478"/>
    <w:rsid w:val="00143B11"/>
    <w:rsid w:val="00143F2F"/>
    <w:rsid w:val="0014419A"/>
    <w:rsid w:val="00144745"/>
    <w:rsid w:val="00144798"/>
    <w:rsid w:val="00145060"/>
    <w:rsid w:val="0014506D"/>
    <w:rsid w:val="001454F8"/>
    <w:rsid w:val="00145557"/>
    <w:rsid w:val="00145770"/>
    <w:rsid w:val="00145C16"/>
    <w:rsid w:val="00145D47"/>
    <w:rsid w:val="00145E8A"/>
    <w:rsid w:val="00145FC2"/>
    <w:rsid w:val="001460A1"/>
    <w:rsid w:val="001460E5"/>
    <w:rsid w:val="00146117"/>
    <w:rsid w:val="0014614F"/>
    <w:rsid w:val="00146624"/>
    <w:rsid w:val="001466A7"/>
    <w:rsid w:val="001466C6"/>
    <w:rsid w:val="00146997"/>
    <w:rsid w:val="00146C66"/>
    <w:rsid w:val="00146CCC"/>
    <w:rsid w:val="00146DD5"/>
    <w:rsid w:val="00147083"/>
    <w:rsid w:val="001470A1"/>
    <w:rsid w:val="0014764D"/>
    <w:rsid w:val="001476A2"/>
    <w:rsid w:val="00147940"/>
    <w:rsid w:val="00147A5C"/>
    <w:rsid w:val="00147D9D"/>
    <w:rsid w:val="00147F1B"/>
    <w:rsid w:val="00150156"/>
    <w:rsid w:val="00150265"/>
    <w:rsid w:val="00150376"/>
    <w:rsid w:val="0015054A"/>
    <w:rsid w:val="00150986"/>
    <w:rsid w:val="00150B18"/>
    <w:rsid w:val="00150DD8"/>
    <w:rsid w:val="00150DF6"/>
    <w:rsid w:val="00150DFF"/>
    <w:rsid w:val="001515B9"/>
    <w:rsid w:val="001516C9"/>
    <w:rsid w:val="00151847"/>
    <w:rsid w:val="0015186D"/>
    <w:rsid w:val="00151A12"/>
    <w:rsid w:val="00151C4C"/>
    <w:rsid w:val="00151DBD"/>
    <w:rsid w:val="00151F9C"/>
    <w:rsid w:val="001520A0"/>
    <w:rsid w:val="001526EE"/>
    <w:rsid w:val="001527E2"/>
    <w:rsid w:val="0015282F"/>
    <w:rsid w:val="0015298B"/>
    <w:rsid w:val="00152BE6"/>
    <w:rsid w:val="00152CB5"/>
    <w:rsid w:val="00152DDD"/>
    <w:rsid w:val="00152F82"/>
    <w:rsid w:val="001530FD"/>
    <w:rsid w:val="00153113"/>
    <w:rsid w:val="0015314D"/>
    <w:rsid w:val="001531D6"/>
    <w:rsid w:val="00153374"/>
    <w:rsid w:val="001534AF"/>
    <w:rsid w:val="001535A3"/>
    <w:rsid w:val="00153923"/>
    <w:rsid w:val="001539B2"/>
    <w:rsid w:val="00153A56"/>
    <w:rsid w:val="00153DEA"/>
    <w:rsid w:val="00153FC8"/>
    <w:rsid w:val="001541A7"/>
    <w:rsid w:val="00154340"/>
    <w:rsid w:val="0015468B"/>
    <w:rsid w:val="00154855"/>
    <w:rsid w:val="00154AD1"/>
    <w:rsid w:val="00154E79"/>
    <w:rsid w:val="0015500D"/>
    <w:rsid w:val="00155434"/>
    <w:rsid w:val="001556F1"/>
    <w:rsid w:val="00155B5F"/>
    <w:rsid w:val="00155B94"/>
    <w:rsid w:val="00155BDA"/>
    <w:rsid w:val="00155C27"/>
    <w:rsid w:val="00155CB8"/>
    <w:rsid w:val="0015603B"/>
    <w:rsid w:val="001560A0"/>
    <w:rsid w:val="001561FF"/>
    <w:rsid w:val="0015624D"/>
    <w:rsid w:val="001562E9"/>
    <w:rsid w:val="001563F8"/>
    <w:rsid w:val="001564D6"/>
    <w:rsid w:val="001566A2"/>
    <w:rsid w:val="0015698A"/>
    <w:rsid w:val="0015699B"/>
    <w:rsid w:val="00156E5A"/>
    <w:rsid w:val="00156E76"/>
    <w:rsid w:val="00156FA7"/>
    <w:rsid w:val="001572DD"/>
    <w:rsid w:val="00157539"/>
    <w:rsid w:val="0015779C"/>
    <w:rsid w:val="0015788A"/>
    <w:rsid w:val="00157A2A"/>
    <w:rsid w:val="00157B8A"/>
    <w:rsid w:val="00157BB5"/>
    <w:rsid w:val="00157CCD"/>
    <w:rsid w:val="001601A5"/>
    <w:rsid w:val="001601BF"/>
    <w:rsid w:val="0016023A"/>
    <w:rsid w:val="00160370"/>
    <w:rsid w:val="00160373"/>
    <w:rsid w:val="00160530"/>
    <w:rsid w:val="001605B7"/>
    <w:rsid w:val="00160743"/>
    <w:rsid w:val="001608B0"/>
    <w:rsid w:val="00160933"/>
    <w:rsid w:val="00160B1E"/>
    <w:rsid w:val="00160CDB"/>
    <w:rsid w:val="00160DDB"/>
    <w:rsid w:val="001613A7"/>
    <w:rsid w:val="001613B6"/>
    <w:rsid w:val="00161436"/>
    <w:rsid w:val="001619EC"/>
    <w:rsid w:val="001621B3"/>
    <w:rsid w:val="00162312"/>
    <w:rsid w:val="00162490"/>
    <w:rsid w:val="001627E8"/>
    <w:rsid w:val="0016293A"/>
    <w:rsid w:val="00162C88"/>
    <w:rsid w:val="00162DBF"/>
    <w:rsid w:val="00162F88"/>
    <w:rsid w:val="00163563"/>
    <w:rsid w:val="001637E9"/>
    <w:rsid w:val="00163860"/>
    <w:rsid w:val="00163915"/>
    <w:rsid w:val="00163EB1"/>
    <w:rsid w:val="00163FD1"/>
    <w:rsid w:val="00163FF6"/>
    <w:rsid w:val="0016401D"/>
    <w:rsid w:val="001642F0"/>
    <w:rsid w:val="0016430F"/>
    <w:rsid w:val="00164611"/>
    <w:rsid w:val="00164940"/>
    <w:rsid w:val="001649DE"/>
    <w:rsid w:val="00164C33"/>
    <w:rsid w:val="00164CF8"/>
    <w:rsid w:val="00164D6D"/>
    <w:rsid w:val="00164EB4"/>
    <w:rsid w:val="001653AE"/>
    <w:rsid w:val="001655A1"/>
    <w:rsid w:val="001655E1"/>
    <w:rsid w:val="00165B32"/>
    <w:rsid w:val="00165DD1"/>
    <w:rsid w:val="00165FEB"/>
    <w:rsid w:val="001665F3"/>
    <w:rsid w:val="00166638"/>
    <w:rsid w:val="00166639"/>
    <w:rsid w:val="00166906"/>
    <w:rsid w:val="00166C49"/>
    <w:rsid w:val="001670B2"/>
    <w:rsid w:val="001673B6"/>
    <w:rsid w:val="00167404"/>
    <w:rsid w:val="00167683"/>
    <w:rsid w:val="00167729"/>
    <w:rsid w:val="00167A65"/>
    <w:rsid w:val="00167D3A"/>
    <w:rsid w:val="00167D3B"/>
    <w:rsid w:val="00167D8C"/>
    <w:rsid w:val="00167D98"/>
    <w:rsid w:val="001700B3"/>
    <w:rsid w:val="00170309"/>
    <w:rsid w:val="00170564"/>
    <w:rsid w:val="001706C5"/>
    <w:rsid w:val="001708D8"/>
    <w:rsid w:val="00170A06"/>
    <w:rsid w:val="00170C8A"/>
    <w:rsid w:val="00170D4A"/>
    <w:rsid w:val="00170D5B"/>
    <w:rsid w:val="00170DA0"/>
    <w:rsid w:val="00170E25"/>
    <w:rsid w:val="00170F0D"/>
    <w:rsid w:val="00170F68"/>
    <w:rsid w:val="00171030"/>
    <w:rsid w:val="001710E5"/>
    <w:rsid w:val="00171168"/>
    <w:rsid w:val="001712F5"/>
    <w:rsid w:val="001713D1"/>
    <w:rsid w:val="0017172B"/>
    <w:rsid w:val="001717E8"/>
    <w:rsid w:val="00171A73"/>
    <w:rsid w:val="00171B00"/>
    <w:rsid w:val="00171BC1"/>
    <w:rsid w:val="00172367"/>
    <w:rsid w:val="00172685"/>
    <w:rsid w:val="00172A1C"/>
    <w:rsid w:val="00172B39"/>
    <w:rsid w:val="00172B5A"/>
    <w:rsid w:val="00172B8F"/>
    <w:rsid w:val="00172EB7"/>
    <w:rsid w:val="001730A8"/>
    <w:rsid w:val="001733CC"/>
    <w:rsid w:val="0017342B"/>
    <w:rsid w:val="001735AC"/>
    <w:rsid w:val="001736F8"/>
    <w:rsid w:val="0017377B"/>
    <w:rsid w:val="001737AF"/>
    <w:rsid w:val="00173D85"/>
    <w:rsid w:val="00173DFF"/>
    <w:rsid w:val="00173FC8"/>
    <w:rsid w:val="001740DC"/>
    <w:rsid w:val="00174470"/>
    <w:rsid w:val="0017472E"/>
    <w:rsid w:val="00174887"/>
    <w:rsid w:val="001748DB"/>
    <w:rsid w:val="0017490F"/>
    <w:rsid w:val="00174953"/>
    <w:rsid w:val="0017497A"/>
    <w:rsid w:val="00174B03"/>
    <w:rsid w:val="00174B6D"/>
    <w:rsid w:val="00174B6E"/>
    <w:rsid w:val="00174CDE"/>
    <w:rsid w:val="00174FD4"/>
    <w:rsid w:val="0017538C"/>
    <w:rsid w:val="001754D1"/>
    <w:rsid w:val="001754E0"/>
    <w:rsid w:val="001755DD"/>
    <w:rsid w:val="00175839"/>
    <w:rsid w:val="00175BEB"/>
    <w:rsid w:val="00175F0B"/>
    <w:rsid w:val="00176071"/>
    <w:rsid w:val="00176548"/>
    <w:rsid w:val="001766EC"/>
    <w:rsid w:val="00176C18"/>
    <w:rsid w:val="00176D56"/>
    <w:rsid w:val="00176F5B"/>
    <w:rsid w:val="0017706F"/>
    <w:rsid w:val="00177227"/>
    <w:rsid w:val="001772AE"/>
    <w:rsid w:val="0017771B"/>
    <w:rsid w:val="00177E1B"/>
    <w:rsid w:val="00180103"/>
    <w:rsid w:val="00180137"/>
    <w:rsid w:val="0018034B"/>
    <w:rsid w:val="0018053A"/>
    <w:rsid w:val="001807C6"/>
    <w:rsid w:val="001807D1"/>
    <w:rsid w:val="00180907"/>
    <w:rsid w:val="00180C29"/>
    <w:rsid w:val="00180C59"/>
    <w:rsid w:val="00181136"/>
    <w:rsid w:val="0018130C"/>
    <w:rsid w:val="00181346"/>
    <w:rsid w:val="001816D5"/>
    <w:rsid w:val="0018179A"/>
    <w:rsid w:val="00181A6E"/>
    <w:rsid w:val="0018200F"/>
    <w:rsid w:val="001821C6"/>
    <w:rsid w:val="00182702"/>
    <w:rsid w:val="00182785"/>
    <w:rsid w:val="00182865"/>
    <w:rsid w:val="001828BE"/>
    <w:rsid w:val="001829CC"/>
    <w:rsid w:val="00182C49"/>
    <w:rsid w:val="00183342"/>
    <w:rsid w:val="0018348E"/>
    <w:rsid w:val="00183555"/>
    <w:rsid w:val="001835E8"/>
    <w:rsid w:val="0018370D"/>
    <w:rsid w:val="0018377D"/>
    <w:rsid w:val="001839C4"/>
    <w:rsid w:val="00183AAD"/>
    <w:rsid w:val="00183ED7"/>
    <w:rsid w:val="0018434D"/>
    <w:rsid w:val="001843FD"/>
    <w:rsid w:val="00184437"/>
    <w:rsid w:val="00184784"/>
    <w:rsid w:val="0018494B"/>
    <w:rsid w:val="00184BAE"/>
    <w:rsid w:val="00185550"/>
    <w:rsid w:val="001856BE"/>
    <w:rsid w:val="0018577D"/>
    <w:rsid w:val="001859D9"/>
    <w:rsid w:val="00185ADC"/>
    <w:rsid w:val="00185D8D"/>
    <w:rsid w:val="001860EC"/>
    <w:rsid w:val="0018636F"/>
    <w:rsid w:val="00186799"/>
    <w:rsid w:val="00186930"/>
    <w:rsid w:val="00186B9A"/>
    <w:rsid w:val="00186CED"/>
    <w:rsid w:val="00186DD0"/>
    <w:rsid w:val="00187445"/>
    <w:rsid w:val="00187782"/>
    <w:rsid w:val="00187B71"/>
    <w:rsid w:val="00187C09"/>
    <w:rsid w:val="00190195"/>
    <w:rsid w:val="00190279"/>
    <w:rsid w:val="00190474"/>
    <w:rsid w:val="0019065F"/>
    <w:rsid w:val="00190A66"/>
    <w:rsid w:val="00190A6D"/>
    <w:rsid w:val="00190BAE"/>
    <w:rsid w:val="00190F0E"/>
    <w:rsid w:val="001910AA"/>
    <w:rsid w:val="00191553"/>
    <w:rsid w:val="0019168E"/>
    <w:rsid w:val="001916CF"/>
    <w:rsid w:val="001917B2"/>
    <w:rsid w:val="0019182B"/>
    <w:rsid w:val="00191986"/>
    <w:rsid w:val="00191CB6"/>
    <w:rsid w:val="00191F43"/>
    <w:rsid w:val="001926C9"/>
    <w:rsid w:val="00192A18"/>
    <w:rsid w:val="00192ACC"/>
    <w:rsid w:val="00192C2C"/>
    <w:rsid w:val="00192C6E"/>
    <w:rsid w:val="00192D17"/>
    <w:rsid w:val="00192F6A"/>
    <w:rsid w:val="0019351A"/>
    <w:rsid w:val="0019362A"/>
    <w:rsid w:val="001936E5"/>
    <w:rsid w:val="0019379B"/>
    <w:rsid w:val="00193D9B"/>
    <w:rsid w:val="00193FCA"/>
    <w:rsid w:val="0019408B"/>
    <w:rsid w:val="001940DD"/>
    <w:rsid w:val="00194516"/>
    <w:rsid w:val="00194615"/>
    <w:rsid w:val="0019474E"/>
    <w:rsid w:val="00194A09"/>
    <w:rsid w:val="00194FBD"/>
    <w:rsid w:val="00195185"/>
    <w:rsid w:val="0019529F"/>
    <w:rsid w:val="0019547D"/>
    <w:rsid w:val="001955A5"/>
    <w:rsid w:val="0019564A"/>
    <w:rsid w:val="00195728"/>
    <w:rsid w:val="00195853"/>
    <w:rsid w:val="00195A12"/>
    <w:rsid w:val="00195F0C"/>
    <w:rsid w:val="0019602C"/>
    <w:rsid w:val="00196137"/>
    <w:rsid w:val="001961E3"/>
    <w:rsid w:val="00196205"/>
    <w:rsid w:val="001969B9"/>
    <w:rsid w:val="001969CF"/>
    <w:rsid w:val="00196A93"/>
    <w:rsid w:val="00196D6E"/>
    <w:rsid w:val="00196DAF"/>
    <w:rsid w:val="0019707A"/>
    <w:rsid w:val="001970BD"/>
    <w:rsid w:val="001970C0"/>
    <w:rsid w:val="001972A0"/>
    <w:rsid w:val="00197539"/>
    <w:rsid w:val="00197659"/>
    <w:rsid w:val="00197960"/>
    <w:rsid w:val="00197992"/>
    <w:rsid w:val="00197EB0"/>
    <w:rsid w:val="00197FE2"/>
    <w:rsid w:val="001A0253"/>
    <w:rsid w:val="001A03EA"/>
    <w:rsid w:val="001A04D0"/>
    <w:rsid w:val="001A072B"/>
    <w:rsid w:val="001A0806"/>
    <w:rsid w:val="001A09BA"/>
    <w:rsid w:val="001A0BDD"/>
    <w:rsid w:val="001A0DA5"/>
    <w:rsid w:val="001A0E21"/>
    <w:rsid w:val="001A0F66"/>
    <w:rsid w:val="001A1261"/>
    <w:rsid w:val="001A1680"/>
    <w:rsid w:val="001A1A2E"/>
    <w:rsid w:val="001A1CB7"/>
    <w:rsid w:val="001A2068"/>
    <w:rsid w:val="001A25E4"/>
    <w:rsid w:val="001A26BB"/>
    <w:rsid w:val="001A27E8"/>
    <w:rsid w:val="001A290C"/>
    <w:rsid w:val="001A298C"/>
    <w:rsid w:val="001A2A52"/>
    <w:rsid w:val="001A2C3D"/>
    <w:rsid w:val="001A2C63"/>
    <w:rsid w:val="001A2D34"/>
    <w:rsid w:val="001A2E68"/>
    <w:rsid w:val="001A335A"/>
    <w:rsid w:val="001A3741"/>
    <w:rsid w:val="001A3A15"/>
    <w:rsid w:val="001A3BF1"/>
    <w:rsid w:val="001A3D5D"/>
    <w:rsid w:val="001A3F3A"/>
    <w:rsid w:val="001A3F3B"/>
    <w:rsid w:val="001A403D"/>
    <w:rsid w:val="001A4133"/>
    <w:rsid w:val="001A420B"/>
    <w:rsid w:val="001A466E"/>
    <w:rsid w:val="001A47D3"/>
    <w:rsid w:val="001A4A3B"/>
    <w:rsid w:val="001A4AEC"/>
    <w:rsid w:val="001A4B97"/>
    <w:rsid w:val="001A4BEB"/>
    <w:rsid w:val="001A4BF8"/>
    <w:rsid w:val="001A4D14"/>
    <w:rsid w:val="001A4DB8"/>
    <w:rsid w:val="001A4F7D"/>
    <w:rsid w:val="001A542F"/>
    <w:rsid w:val="001A54A9"/>
    <w:rsid w:val="001A54F3"/>
    <w:rsid w:val="001A5B7E"/>
    <w:rsid w:val="001A60B2"/>
    <w:rsid w:val="001A612F"/>
    <w:rsid w:val="001A62A0"/>
    <w:rsid w:val="001A6739"/>
    <w:rsid w:val="001A6999"/>
    <w:rsid w:val="001A6B70"/>
    <w:rsid w:val="001A6C89"/>
    <w:rsid w:val="001A6DBC"/>
    <w:rsid w:val="001A6E8B"/>
    <w:rsid w:val="001A6FF0"/>
    <w:rsid w:val="001A75A6"/>
    <w:rsid w:val="001A7884"/>
    <w:rsid w:val="001A7B42"/>
    <w:rsid w:val="001A7D8F"/>
    <w:rsid w:val="001A7FCC"/>
    <w:rsid w:val="001B0310"/>
    <w:rsid w:val="001B0AC9"/>
    <w:rsid w:val="001B0B06"/>
    <w:rsid w:val="001B1110"/>
    <w:rsid w:val="001B12F6"/>
    <w:rsid w:val="001B138C"/>
    <w:rsid w:val="001B17CE"/>
    <w:rsid w:val="001B1864"/>
    <w:rsid w:val="001B1A4E"/>
    <w:rsid w:val="001B1AF9"/>
    <w:rsid w:val="001B1D1A"/>
    <w:rsid w:val="001B1D1F"/>
    <w:rsid w:val="001B1DB9"/>
    <w:rsid w:val="001B2154"/>
    <w:rsid w:val="001B21AE"/>
    <w:rsid w:val="001B21DB"/>
    <w:rsid w:val="001B2A83"/>
    <w:rsid w:val="001B2A97"/>
    <w:rsid w:val="001B2CD4"/>
    <w:rsid w:val="001B2D81"/>
    <w:rsid w:val="001B2DD4"/>
    <w:rsid w:val="001B2FE2"/>
    <w:rsid w:val="001B3035"/>
    <w:rsid w:val="001B33FA"/>
    <w:rsid w:val="001B3917"/>
    <w:rsid w:val="001B394D"/>
    <w:rsid w:val="001B3A29"/>
    <w:rsid w:val="001B3B7A"/>
    <w:rsid w:val="001B3BD4"/>
    <w:rsid w:val="001B3F1C"/>
    <w:rsid w:val="001B3F96"/>
    <w:rsid w:val="001B3FD0"/>
    <w:rsid w:val="001B40E3"/>
    <w:rsid w:val="001B42C6"/>
    <w:rsid w:val="001B4347"/>
    <w:rsid w:val="001B4422"/>
    <w:rsid w:val="001B486E"/>
    <w:rsid w:val="001B496F"/>
    <w:rsid w:val="001B4B6C"/>
    <w:rsid w:val="001B4B80"/>
    <w:rsid w:val="001B4BBF"/>
    <w:rsid w:val="001B4C1F"/>
    <w:rsid w:val="001B4DD0"/>
    <w:rsid w:val="001B4E2E"/>
    <w:rsid w:val="001B5230"/>
    <w:rsid w:val="001B52C3"/>
    <w:rsid w:val="001B52F7"/>
    <w:rsid w:val="001B5522"/>
    <w:rsid w:val="001B55E2"/>
    <w:rsid w:val="001B575E"/>
    <w:rsid w:val="001B5790"/>
    <w:rsid w:val="001B5B0C"/>
    <w:rsid w:val="001B5CF7"/>
    <w:rsid w:val="001B5F35"/>
    <w:rsid w:val="001B6048"/>
    <w:rsid w:val="001B604A"/>
    <w:rsid w:val="001B6198"/>
    <w:rsid w:val="001B63E5"/>
    <w:rsid w:val="001B655A"/>
    <w:rsid w:val="001B6666"/>
    <w:rsid w:val="001B66BF"/>
    <w:rsid w:val="001B67BB"/>
    <w:rsid w:val="001B6B05"/>
    <w:rsid w:val="001B6C10"/>
    <w:rsid w:val="001B6E5D"/>
    <w:rsid w:val="001B709B"/>
    <w:rsid w:val="001B7329"/>
    <w:rsid w:val="001B7477"/>
    <w:rsid w:val="001B7668"/>
    <w:rsid w:val="001B779D"/>
    <w:rsid w:val="001B77AA"/>
    <w:rsid w:val="001B78EE"/>
    <w:rsid w:val="001B79F2"/>
    <w:rsid w:val="001B7A6B"/>
    <w:rsid w:val="001B7BA0"/>
    <w:rsid w:val="001B7CED"/>
    <w:rsid w:val="001B7FB6"/>
    <w:rsid w:val="001C0044"/>
    <w:rsid w:val="001C0068"/>
    <w:rsid w:val="001C0A2A"/>
    <w:rsid w:val="001C0A3F"/>
    <w:rsid w:val="001C0CA8"/>
    <w:rsid w:val="001C10F1"/>
    <w:rsid w:val="001C1191"/>
    <w:rsid w:val="001C12BD"/>
    <w:rsid w:val="001C12D8"/>
    <w:rsid w:val="001C1326"/>
    <w:rsid w:val="001C138E"/>
    <w:rsid w:val="001C14DD"/>
    <w:rsid w:val="001C1677"/>
    <w:rsid w:val="001C174A"/>
    <w:rsid w:val="001C17CB"/>
    <w:rsid w:val="001C1A4D"/>
    <w:rsid w:val="001C1CA1"/>
    <w:rsid w:val="001C1D05"/>
    <w:rsid w:val="001C1D6D"/>
    <w:rsid w:val="001C1E57"/>
    <w:rsid w:val="001C2043"/>
    <w:rsid w:val="001C25A2"/>
    <w:rsid w:val="001C2697"/>
    <w:rsid w:val="001C2999"/>
    <w:rsid w:val="001C2A48"/>
    <w:rsid w:val="001C2A6E"/>
    <w:rsid w:val="001C2BD0"/>
    <w:rsid w:val="001C2C89"/>
    <w:rsid w:val="001C2F96"/>
    <w:rsid w:val="001C3178"/>
    <w:rsid w:val="001C34B0"/>
    <w:rsid w:val="001C34FE"/>
    <w:rsid w:val="001C3A53"/>
    <w:rsid w:val="001C3F48"/>
    <w:rsid w:val="001C3FF5"/>
    <w:rsid w:val="001C4580"/>
    <w:rsid w:val="001C4EA1"/>
    <w:rsid w:val="001C5195"/>
    <w:rsid w:val="001C5806"/>
    <w:rsid w:val="001C580D"/>
    <w:rsid w:val="001C597B"/>
    <w:rsid w:val="001C5EAE"/>
    <w:rsid w:val="001C61DD"/>
    <w:rsid w:val="001C678A"/>
    <w:rsid w:val="001C6800"/>
    <w:rsid w:val="001C69E3"/>
    <w:rsid w:val="001C6A74"/>
    <w:rsid w:val="001C6C29"/>
    <w:rsid w:val="001C6D0E"/>
    <w:rsid w:val="001C6DFD"/>
    <w:rsid w:val="001C6E99"/>
    <w:rsid w:val="001C6F74"/>
    <w:rsid w:val="001C7149"/>
    <w:rsid w:val="001C7D0E"/>
    <w:rsid w:val="001C7D21"/>
    <w:rsid w:val="001C7FA1"/>
    <w:rsid w:val="001D010B"/>
    <w:rsid w:val="001D0226"/>
    <w:rsid w:val="001D024E"/>
    <w:rsid w:val="001D0493"/>
    <w:rsid w:val="001D04EE"/>
    <w:rsid w:val="001D090E"/>
    <w:rsid w:val="001D0CAB"/>
    <w:rsid w:val="001D11D2"/>
    <w:rsid w:val="001D18DD"/>
    <w:rsid w:val="001D18EE"/>
    <w:rsid w:val="001D1B77"/>
    <w:rsid w:val="001D1C06"/>
    <w:rsid w:val="001D1C2C"/>
    <w:rsid w:val="001D1CE8"/>
    <w:rsid w:val="001D1E25"/>
    <w:rsid w:val="001D227B"/>
    <w:rsid w:val="001D2371"/>
    <w:rsid w:val="001D2450"/>
    <w:rsid w:val="001D27FD"/>
    <w:rsid w:val="001D2B66"/>
    <w:rsid w:val="001D2BE5"/>
    <w:rsid w:val="001D2BF7"/>
    <w:rsid w:val="001D2D70"/>
    <w:rsid w:val="001D3151"/>
    <w:rsid w:val="001D3291"/>
    <w:rsid w:val="001D32C0"/>
    <w:rsid w:val="001D3302"/>
    <w:rsid w:val="001D3A64"/>
    <w:rsid w:val="001D4632"/>
    <w:rsid w:val="001D4A5D"/>
    <w:rsid w:val="001D4C22"/>
    <w:rsid w:val="001D4C27"/>
    <w:rsid w:val="001D4E23"/>
    <w:rsid w:val="001D5094"/>
    <w:rsid w:val="001D51AB"/>
    <w:rsid w:val="001D51E6"/>
    <w:rsid w:val="001D55E9"/>
    <w:rsid w:val="001D5793"/>
    <w:rsid w:val="001D57B5"/>
    <w:rsid w:val="001D5CA0"/>
    <w:rsid w:val="001D5E48"/>
    <w:rsid w:val="001D6D50"/>
    <w:rsid w:val="001D6F16"/>
    <w:rsid w:val="001D7380"/>
    <w:rsid w:val="001D74A7"/>
    <w:rsid w:val="001D755B"/>
    <w:rsid w:val="001D7A64"/>
    <w:rsid w:val="001D7E16"/>
    <w:rsid w:val="001E005D"/>
    <w:rsid w:val="001E00D5"/>
    <w:rsid w:val="001E040E"/>
    <w:rsid w:val="001E04C8"/>
    <w:rsid w:val="001E050D"/>
    <w:rsid w:val="001E0611"/>
    <w:rsid w:val="001E0885"/>
    <w:rsid w:val="001E08F1"/>
    <w:rsid w:val="001E0958"/>
    <w:rsid w:val="001E0C70"/>
    <w:rsid w:val="001E0D00"/>
    <w:rsid w:val="001E0D09"/>
    <w:rsid w:val="001E0E68"/>
    <w:rsid w:val="001E135C"/>
    <w:rsid w:val="001E1489"/>
    <w:rsid w:val="001E15F2"/>
    <w:rsid w:val="001E174C"/>
    <w:rsid w:val="001E1DDF"/>
    <w:rsid w:val="001E1F91"/>
    <w:rsid w:val="001E1FCA"/>
    <w:rsid w:val="001E205A"/>
    <w:rsid w:val="001E22F7"/>
    <w:rsid w:val="001E246E"/>
    <w:rsid w:val="001E2576"/>
    <w:rsid w:val="001E2618"/>
    <w:rsid w:val="001E266D"/>
    <w:rsid w:val="001E288B"/>
    <w:rsid w:val="001E2FAD"/>
    <w:rsid w:val="001E31AA"/>
    <w:rsid w:val="001E33F1"/>
    <w:rsid w:val="001E3467"/>
    <w:rsid w:val="001E34F1"/>
    <w:rsid w:val="001E35D1"/>
    <w:rsid w:val="001E35E1"/>
    <w:rsid w:val="001E362D"/>
    <w:rsid w:val="001E3719"/>
    <w:rsid w:val="001E3871"/>
    <w:rsid w:val="001E3E4C"/>
    <w:rsid w:val="001E3EA7"/>
    <w:rsid w:val="001E3F6A"/>
    <w:rsid w:val="001E40E1"/>
    <w:rsid w:val="001E4140"/>
    <w:rsid w:val="001E4247"/>
    <w:rsid w:val="001E465F"/>
    <w:rsid w:val="001E46ED"/>
    <w:rsid w:val="001E4B1B"/>
    <w:rsid w:val="001E4BC8"/>
    <w:rsid w:val="001E4D9F"/>
    <w:rsid w:val="001E4FF7"/>
    <w:rsid w:val="001E50F6"/>
    <w:rsid w:val="001E5120"/>
    <w:rsid w:val="001E5475"/>
    <w:rsid w:val="001E5727"/>
    <w:rsid w:val="001E5754"/>
    <w:rsid w:val="001E592D"/>
    <w:rsid w:val="001E5A18"/>
    <w:rsid w:val="001E5B59"/>
    <w:rsid w:val="001E5C65"/>
    <w:rsid w:val="001E5E90"/>
    <w:rsid w:val="001E6973"/>
    <w:rsid w:val="001E6B8B"/>
    <w:rsid w:val="001E6C6D"/>
    <w:rsid w:val="001E7108"/>
    <w:rsid w:val="001E73EC"/>
    <w:rsid w:val="001E7584"/>
    <w:rsid w:val="001E759C"/>
    <w:rsid w:val="001E79BF"/>
    <w:rsid w:val="001E7A5C"/>
    <w:rsid w:val="001E7AE5"/>
    <w:rsid w:val="001E7C79"/>
    <w:rsid w:val="001E7EEA"/>
    <w:rsid w:val="001F022D"/>
    <w:rsid w:val="001F062F"/>
    <w:rsid w:val="001F166C"/>
    <w:rsid w:val="001F16F2"/>
    <w:rsid w:val="001F18C8"/>
    <w:rsid w:val="001F1B5B"/>
    <w:rsid w:val="001F2096"/>
    <w:rsid w:val="001F2447"/>
    <w:rsid w:val="001F289D"/>
    <w:rsid w:val="001F2902"/>
    <w:rsid w:val="001F2BD9"/>
    <w:rsid w:val="001F2E8F"/>
    <w:rsid w:val="001F31B9"/>
    <w:rsid w:val="001F3349"/>
    <w:rsid w:val="001F3736"/>
    <w:rsid w:val="001F3A30"/>
    <w:rsid w:val="001F3B1A"/>
    <w:rsid w:val="001F3B79"/>
    <w:rsid w:val="001F3BCB"/>
    <w:rsid w:val="001F3C64"/>
    <w:rsid w:val="001F3DF3"/>
    <w:rsid w:val="001F3E26"/>
    <w:rsid w:val="001F3F36"/>
    <w:rsid w:val="001F410A"/>
    <w:rsid w:val="001F4769"/>
    <w:rsid w:val="001F4806"/>
    <w:rsid w:val="001F490C"/>
    <w:rsid w:val="001F525E"/>
    <w:rsid w:val="001F5783"/>
    <w:rsid w:val="001F5A9E"/>
    <w:rsid w:val="001F5AA6"/>
    <w:rsid w:val="001F5ADB"/>
    <w:rsid w:val="001F5C85"/>
    <w:rsid w:val="001F5CDD"/>
    <w:rsid w:val="001F5D8B"/>
    <w:rsid w:val="001F5FE4"/>
    <w:rsid w:val="001F601A"/>
    <w:rsid w:val="001F62E7"/>
    <w:rsid w:val="001F649E"/>
    <w:rsid w:val="001F658C"/>
    <w:rsid w:val="001F675C"/>
    <w:rsid w:val="001F6C2F"/>
    <w:rsid w:val="001F6F44"/>
    <w:rsid w:val="001F6FF0"/>
    <w:rsid w:val="001F717C"/>
    <w:rsid w:val="001F730D"/>
    <w:rsid w:val="001F7563"/>
    <w:rsid w:val="001F76C7"/>
    <w:rsid w:val="001F7B0A"/>
    <w:rsid w:val="001F7C36"/>
    <w:rsid w:val="001F7CF8"/>
    <w:rsid w:val="001F7E74"/>
    <w:rsid w:val="001F7F97"/>
    <w:rsid w:val="00200218"/>
    <w:rsid w:val="00200350"/>
    <w:rsid w:val="00200632"/>
    <w:rsid w:val="00200CFA"/>
    <w:rsid w:val="00200DF7"/>
    <w:rsid w:val="00200E3C"/>
    <w:rsid w:val="00201592"/>
    <w:rsid w:val="00201627"/>
    <w:rsid w:val="00201A9C"/>
    <w:rsid w:val="00201AE8"/>
    <w:rsid w:val="00201F7B"/>
    <w:rsid w:val="00201FF9"/>
    <w:rsid w:val="0020217F"/>
    <w:rsid w:val="002021A1"/>
    <w:rsid w:val="002021D0"/>
    <w:rsid w:val="002024E8"/>
    <w:rsid w:val="00202715"/>
    <w:rsid w:val="0020279F"/>
    <w:rsid w:val="00202817"/>
    <w:rsid w:val="00202853"/>
    <w:rsid w:val="00202963"/>
    <w:rsid w:val="00202A0E"/>
    <w:rsid w:val="00202DCE"/>
    <w:rsid w:val="00203393"/>
    <w:rsid w:val="0020356D"/>
    <w:rsid w:val="002036DC"/>
    <w:rsid w:val="002037DD"/>
    <w:rsid w:val="002038C3"/>
    <w:rsid w:val="00203953"/>
    <w:rsid w:val="00203B62"/>
    <w:rsid w:val="00203C48"/>
    <w:rsid w:val="00203F74"/>
    <w:rsid w:val="0020444D"/>
    <w:rsid w:val="002044A9"/>
    <w:rsid w:val="0020473B"/>
    <w:rsid w:val="00204C73"/>
    <w:rsid w:val="002050E1"/>
    <w:rsid w:val="002052C8"/>
    <w:rsid w:val="002057DF"/>
    <w:rsid w:val="0020586F"/>
    <w:rsid w:val="00205BD0"/>
    <w:rsid w:val="00205D4A"/>
    <w:rsid w:val="00205E46"/>
    <w:rsid w:val="00205E58"/>
    <w:rsid w:val="00205E99"/>
    <w:rsid w:val="00205F07"/>
    <w:rsid w:val="00206342"/>
    <w:rsid w:val="00206374"/>
    <w:rsid w:val="00206404"/>
    <w:rsid w:val="00206422"/>
    <w:rsid w:val="002066BB"/>
    <w:rsid w:val="002067F0"/>
    <w:rsid w:val="002069FD"/>
    <w:rsid w:val="00206BC7"/>
    <w:rsid w:val="00206E0A"/>
    <w:rsid w:val="0020700B"/>
    <w:rsid w:val="002072B1"/>
    <w:rsid w:val="00207390"/>
    <w:rsid w:val="002074AF"/>
    <w:rsid w:val="002077C5"/>
    <w:rsid w:val="00207832"/>
    <w:rsid w:val="00207840"/>
    <w:rsid w:val="0020791A"/>
    <w:rsid w:val="00207C66"/>
    <w:rsid w:val="00207E67"/>
    <w:rsid w:val="00207F3F"/>
    <w:rsid w:val="00207F59"/>
    <w:rsid w:val="00210252"/>
    <w:rsid w:val="0021025D"/>
    <w:rsid w:val="0021026D"/>
    <w:rsid w:val="00210B38"/>
    <w:rsid w:val="00210CAF"/>
    <w:rsid w:val="00210D1F"/>
    <w:rsid w:val="00210E6F"/>
    <w:rsid w:val="00211C08"/>
    <w:rsid w:val="00211DC3"/>
    <w:rsid w:val="00212026"/>
    <w:rsid w:val="00212143"/>
    <w:rsid w:val="00212384"/>
    <w:rsid w:val="0021265D"/>
    <w:rsid w:val="002126CA"/>
    <w:rsid w:val="002126DF"/>
    <w:rsid w:val="00212744"/>
    <w:rsid w:val="00212A13"/>
    <w:rsid w:val="00212AF9"/>
    <w:rsid w:val="00212C76"/>
    <w:rsid w:val="00212EFC"/>
    <w:rsid w:val="00212F0F"/>
    <w:rsid w:val="00212FA8"/>
    <w:rsid w:val="00213396"/>
    <w:rsid w:val="002139A4"/>
    <w:rsid w:val="00213B93"/>
    <w:rsid w:val="00213CDE"/>
    <w:rsid w:val="00213EDF"/>
    <w:rsid w:val="00213F45"/>
    <w:rsid w:val="00213F4B"/>
    <w:rsid w:val="002141A0"/>
    <w:rsid w:val="0021444C"/>
    <w:rsid w:val="00214477"/>
    <w:rsid w:val="002147A2"/>
    <w:rsid w:val="00214AC7"/>
    <w:rsid w:val="00214AF0"/>
    <w:rsid w:val="00214BB9"/>
    <w:rsid w:val="00214CDD"/>
    <w:rsid w:val="00214E91"/>
    <w:rsid w:val="002151AC"/>
    <w:rsid w:val="002153CA"/>
    <w:rsid w:val="002155B6"/>
    <w:rsid w:val="002157E4"/>
    <w:rsid w:val="002158C3"/>
    <w:rsid w:val="002158D6"/>
    <w:rsid w:val="00215AFB"/>
    <w:rsid w:val="00215DEA"/>
    <w:rsid w:val="00215EEF"/>
    <w:rsid w:val="00215F9C"/>
    <w:rsid w:val="00216057"/>
    <w:rsid w:val="002161A9"/>
    <w:rsid w:val="0021647A"/>
    <w:rsid w:val="00216545"/>
    <w:rsid w:val="00216988"/>
    <w:rsid w:val="002169F7"/>
    <w:rsid w:val="00216D91"/>
    <w:rsid w:val="00216E44"/>
    <w:rsid w:val="00216F23"/>
    <w:rsid w:val="0021717F"/>
    <w:rsid w:val="00217610"/>
    <w:rsid w:val="002176C3"/>
    <w:rsid w:val="0021792E"/>
    <w:rsid w:val="00217983"/>
    <w:rsid w:val="00217F1F"/>
    <w:rsid w:val="002200D8"/>
    <w:rsid w:val="0022039E"/>
    <w:rsid w:val="002203B2"/>
    <w:rsid w:val="00220845"/>
    <w:rsid w:val="002209AE"/>
    <w:rsid w:val="00220EC6"/>
    <w:rsid w:val="002210A9"/>
    <w:rsid w:val="00221382"/>
    <w:rsid w:val="00221468"/>
    <w:rsid w:val="002214D0"/>
    <w:rsid w:val="00221937"/>
    <w:rsid w:val="00221974"/>
    <w:rsid w:val="002219D2"/>
    <w:rsid w:val="00221AAC"/>
    <w:rsid w:val="00221ABE"/>
    <w:rsid w:val="00221F2D"/>
    <w:rsid w:val="002221F7"/>
    <w:rsid w:val="00222324"/>
    <w:rsid w:val="00222A3F"/>
    <w:rsid w:val="00222A76"/>
    <w:rsid w:val="00222C7D"/>
    <w:rsid w:val="0022318B"/>
    <w:rsid w:val="0022342A"/>
    <w:rsid w:val="00223664"/>
    <w:rsid w:val="00223734"/>
    <w:rsid w:val="00223791"/>
    <w:rsid w:val="002238BD"/>
    <w:rsid w:val="00223A56"/>
    <w:rsid w:val="002240DD"/>
    <w:rsid w:val="002240E3"/>
    <w:rsid w:val="0022425A"/>
    <w:rsid w:val="002245F8"/>
    <w:rsid w:val="00224A37"/>
    <w:rsid w:val="00224AA5"/>
    <w:rsid w:val="00224C98"/>
    <w:rsid w:val="00224ECC"/>
    <w:rsid w:val="0022521F"/>
    <w:rsid w:val="0022535F"/>
    <w:rsid w:val="002255DD"/>
    <w:rsid w:val="002256CC"/>
    <w:rsid w:val="002257A7"/>
    <w:rsid w:val="0022580A"/>
    <w:rsid w:val="00225833"/>
    <w:rsid w:val="00225901"/>
    <w:rsid w:val="00225B26"/>
    <w:rsid w:val="00226095"/>
    <w:rsid w:val="0022642D"/>
    <w:rsid w:val="00226466"/>
    <w:rsid w:val="00226494"/>
    <w:rsid w:val="002268EE"/>
    <w:rsid w:val="002273AA"/>
    <w:rsid w:val="00227512"/>
    <w:rsid w:val="002275B2"/>
    <w:rsid w:val="002276C8"/>
    <w:rsid w:val="002277F6"/>
    <w:rsid w:val="00227818"/>
    <w:rsid w:val="00227B3E"/>
    <w:rsid w:val="00227B89"/>
    <w:rsid w:val="00227DF4"/>
    <w:rsid w:val="00227F43"/>
    <w:rsid w:val="002300C7"/>
    <w:rsid w:val="002302CA"/>
    <w:rsid w:val="002309B7"/>
    <w:rsid w:val="00230C84"/>
    <w:rsid w:val="002310DE"/>
    <w:rsid w:val="0023124E"/>
    <w:rsid w:val="0023135B"/>
    <w:rsid w:val="00231368"/>
    <w:rsid w:val="002315F9"/>
    <w:rsid w:val="0023172D"/>
    <w:rsid w:val="0023174A"/>
    <w:rsid w:val="00231756"/>
    <w:rsid w:val="002318D5"/>
    <w:rsid w:val="002319C4"/>
    <w:rsid w:val="00231DE5"/>
    <w:rsid w:val="00231EEF"/>
    <w:rsid w:val="00231F13"/>
    <w:rsid w:val="00232046"/>
    <w:rsid w:val="00232143"/>
    <w:rsid w:val="0023223D"/>
    <w:rsid w:val="002322E3"/>
    <w:rsid w:val="00232493"/>
    <w:rsid w:val="002324BE"/>
    <w:rsid w:val="002326F8"/>
    <w:rsid w:val="0023284A"/>
    <w:rsid w:val="00232947"/>
    <w:rsid w:val="00232BEF"/>
    <w:rsid w:val="00232C71"/>
    <w:rsid w:val="00232EE6"/>
    <w:rsid w:val="00232EF8"/>
    <w:rsid w:val="00232F77"/>
    <w:rsid w:val="00232F84"/>
    <w:rsid w:val="00233032"/>
    <w:rsid w:val="002334F7"/>
    <w:rsid w:val="00233A8B"/>
    <w:rsid w:val="00233AAB"/>
    <w:rsid w:val="00233DBA"/>
    <w:rsid w:val="00233E01"/>
    <w:rsid w:val="00233EC1"/>
    <w:rsid w:val="0023403A"/>
    <w:rsid w:val="002341D6"/>
    <w:rsid w:val="0023442F"/>
    <w:rsid w:val="002344D8"/>
    <w:rsid w:val="002345C2"/>
    <w:rsid w:val="00234640"/>
    <w:rsid w:val="00234A7F"/>
    <w:rsid w:val="00234A8F"/>
    <w:rsid w:val="00234B3F"/>
    <w:rsid w:val="00234E6E"/>
    <w:rsid w:val="0023532C"/>
    <w:rsid w:val="00235335"/>
    <w:rsid w:val="00235689"/>
    <w:rsid w:val="0023593D"/>
    <w:rsid w:val="002359DD"/>
    <w:rsid w:val="00235AC4"/>
    <w:rsid w:val="00235BD1"/>
    <w:rsid w:val="00235D3A"/>
    <w:rsid w:val="00235F3F"/>
    <w:rsid w:val="00236096"/>
    <w:rsid w:val="0023610D"/>
    <w:rsid w:val="00236307"/>
    <w:rsid w:val="00236345"/>
    <w:rsid w:val="0023641B"/>
    <w:rsid w:val="00236549"/>
    <w:rsid w:val="002367E4"/>
    <w:rsid w:val="0023690C"/>
    <w:rsid w:val="0023693F"/>
    <w:rsid w:val="002369F1"/>
    <w:rsid w:val="002372CB"/>
    <w:rsid w:val="00237338"/>
    <w:rsid w:val="002373A5"/>
    <w:rsid w:val="002374DF"/>
    <w:rsid w:val="0023777D"/>
    <w:rsid w:val="002379EF"/>
    <w:rsid w:val="00237AE8"/>
    <w:rsid w:val="00237BDC"/>
    <w:rsid w:val="00237C25"/>
    <w:rsid w:val="00237D13"/>
    <w:rsid w:val="00237E63"/>
    <w:rsid w:val="00240022"/>
    <w:rsid w:val="00240106"/>
    <w:rsid w:val="00240192"/>
    <w:rsid w:val="002404F9"/>
    <w:rsid w:val="0024050A"/>
    <w:rsid w:val="00240522"/>
    <w:rsid w:val="00240733"/>
    <w:rsid w:val="002408E3"/>
    <w:rsid w:val="00240CF9"/>
    <w:rsid w:val="00241112"/>
    <w:rsid w:val="002411C7"/>
    <w:rsid w:val="0024156D"/>
    <w:rsid w:val="00241C65"/>
    <w:rsid w:val="00241D92"/>
    <w:rsid w:val="00241EBC"/>
    <w:rsid w:val="00241F16"/>
    <w:rsid w:val="002420DC"/>
    <w:rsid w:val="00242101"/>
    <w:rsid w:val="00242B92"/>
    <w:rsid w:val="00242F16"/>
    <w:rsid w:val="00242F4E"/>
    <w:rsid w:val="00243023"/>
    <w:rsid w:val="00243208"/>
    <w:rsid w:val="00243329"/>
    <w:rsid w:val="002433AC"/>
    <w:rsid w:val="00243D7D"/>
    <w:rsid w:val="0024400A"/>
    <w:rsid w:val="002440BD"/>
    <w:rsid w:val="00244231"/>
    <w:rsid w:val="002444EE"/>
    <w:rsid w:val="002445B6"/>
    <w:rsid w:val="002448BA"/>
    <w:rsid w:val="002450BD"/>
    <w:rsid w:val="002450EB"/>
    <w:rsid w:val="00245114"/>
    <w:rsid w:val="002452A0"/>
    <w:rsid w:val="00245334"/>
    <w:rsid w:val="002453FF"/>
    <w:rsid w:val="0024556E"/>
    <w:rsid w:val="00245C75"/>
    <w:rsid w:val="00245CF3"/>
    <w:rsid w:val="002460BD"/>
    <w:rsid w:val="002463A6"/>
    <w:rsid w:val="002465EE"/>
    <w:rsid w:val="00246738"/>
    <w:rsid w:val="00246819"/>
    <w:rsid w:val="00246908"/>
    <w:rsid w:val="00246ADB"/>
    <w:rsid w:val="00246BD7"/>
    <w:rsid w:val="00246E68"/>
    <w:rsid w:val="0024727A"/>
    <w:rsid w:val="00247353"/>
    <w:rsid w:val="0024745D"/>
    <w:rsid w:val="002474E0"/>
    <w:rsid w:val="0024754F"/>
    <w:rsid w:val="00247A83"/>
    <w:rsid w:val="00247B3D"/>
    <w:rsid w:val="00247EA9"/>
    <w:rsid w:val="002501A3"/>
    <w:rsid w:val="00250294"/>
    <w:rsid w:val="002507A9"/>
    <w:rsid w:val="00250A7E"/>
    <w:rsid w:val="002511A6"/>
    <w:rsid w:val="002512C0"/>
    <w:rsid w:val="00251388"/>
    <w:rsid w:val="002515AE"/>
    <w:rsid w:val="002517A5"/>
    <w:rsid w:val="00251AC1"/>
    <w:rsid w:val="00251CC6"/>
    <w:rsid w:val="00251F6C"/>
    <w:rsid w:val="0025249C"/>
    <w:rsid w:val="00252562"/>
    <w:rsid w:val="00252654"/>
    <w:rsid w:val="002527B7"/>
    <w:rsid w:val="00252916"/>
    <w:rsid w:val="00252EBC"/>
    <w:rsid w:val="00252FCA"/>
    <w:rsid w:val="002530D0"/>
    <w:rsid w:val="002531C8"/>
    <w:rsid w:val="002536A2"/>
    <w:rsid w:val="002536F0"/>
    <w:rsid w:val="002539ED"/>
    <w:rsid w:val="00253B98"/>
    <w:rsid w:val="00253D82"/>
    <w:rsid w:val="0025432E"/>
    <w:rsid w:val="0025440D"/>
    <w:rsid w:val="00254485"/>
    <w:rsid w:val="0025450E"/>
    <w:rsid w:val="0025458D"/>
    <w:rsid w:val="00254835"/>
    <w:rsid w:val="002549E7"/>
    <w:rsid w:val="00254A58"/>
    <w:rsid w:val="00254B91"/>
    <w:rsid w:val="00254D23"/>
    <w:rsid w:val="00254EEA"/>
    <w:rsid w:val="00255152"/>
    <w:rsid w:val="00255157"/>
    <w:rsid w:val="002553AD"/>
    <w:rsid w:val="002553E6"/>
    <w:rsid w:val="002554C7"/>
    <w:rsid w:val="00255514"/>
    <w:rsid w:val="0025554E"/>
    <w:rsid w:val="002555E1"/>
    <w:rsid w:val="002555E7"/>
    <w:rsid w:val="00255606"/>
    <w:rsid w:val="00255798"/>
    <w:rsid w:val="0025586C"/>
    <w:rsid w:val="00255977"/>
    <w:rsid w:val="00255C5B"/>
    <w:rsid w:val="00255F89"/>
    <w:rsid w:val="00256744"/>
    <w:rsid w:val="00256D87"/>
    <w:rsid w:val="00256E21"/>
    <w:rsid w:val="002570C2"/>
    <w:rsid w:val="002573FB"/>
    <w:rsid w:val="00257BB9"/>
    <w:rsid w:val="00260070"/>
    <w:rsid w:val="0026028D"/>
    <w:rsid w:val="00260326"/>
    <w:rsid w:val="00260445"/>
    <w:rsid w:val="002607ED"/>
    <w:rsid w:val="00260932"/>
    <w:rsid w:val="00260EA0"/>
    <w:rsid w:val="002610DF"/>
    <w:rsid w:val="002617E0"/>
    <w:rsid w:val="00261B6F"/>
    <w:rsid w:val="00262264"/>
    <w:rsid w:val="002622A0"/>
    <w:rsid w:val="002622FC"/>
    <w:rsid w:val="00262444"/>
    <w:rsid w:val="00262496"/>
    <w:rsid w:val="002625FA"/>
    <w:rsid w:val="00262638"/>
    <w:rsid w:val="002627F4"/>
    <w:rsid w:val="002628DF"/>
    <w:rsid w:val="00262BE6"/>
    <w:rsid w:val="00262CA2"/>
    <w:rsid w:val="00262E5A"/>
    <w:rsid w:val="00262E9A"/>
    <w:rsid w:val="00262F83"/>
    <w:rsid w:val="00262FEA"/>
    <w:rsid w:val="00263053"/>
    <w:rsid w:val="0026305A"/>
    <w:rsid w:val="00263126"/>
    <w:rsid w:val="00263204"/>
    <w:rsid w:val="00263278"/>
    <w:rsid w:val="00263412"/>
    <w:rsid w:val="002634FB"/>
    <w:rsid w:val="00263501"/>
    <w:rsid w:val="002635DE"/>
    <w:rsid w:val="0026364A"/>
    <w:rsid w:val="0026374B"/>
    <w:rsid w:val="002638BB"/>
    <w:rsid w:val="002638C5"/>
    <w:rsid w:val="002638F4"/>
    <w:rsid w:val="00263BA8"/>
    <w:rsid w:val="00263DAE"/>
    <w:rsid w:val="00263F0C"/>
    <w:rsid w:val="00264610"/>
    <w:rsid w:val="002648B3"/>
    <w:rsid w:val="0026491B"/>
    <w:rsid w:val="00264A83"/>
    <w:rsid w:val="00264E16"/>
    <w:rsid w:val="00264F7D"/>
    <w:rsid w:val="00265241"/>
    <w:rsid w:val="00265779"/>
    <w:rsid w:val="00265A5F"/>
    <w:rsid w:val="00265AB2"/>
    <w:rsid w:val="00265B72"/>
    <w:rsid w:val="00265B7F"/>
    <w:rsid w:val="00265D5B"/>
    <w:rsid w:val="00265D5E"/>
    <w:rsid w:val="00265F35"/>
    <w:rsid w:val="0026603E"/>
    <w:rsid w:val="00266652"/>
    <w:rsid w:val="002668B7"/>
    <w:rsid w:val="00266A74"/>
    <w:rsid w:val="00266FC4"/>
    <w:rsid w:val="00267233"/>
    <w:rsid w:val="0026756D"/>
    <w:rsid w:val="00267968"/>
    <w:rsid w:val="002679E2"/>
    <w:rsid w:val="00267A54"/>
    <w:rsid w:val="00267B19"/>
    <w:rsid w:val="00267D18"/>
    <w:rsid w:val="0027032C"/>
    <w:rsid w:val="002706A6"/>
    <w:rsid w:val="00270935"/>
    <w:rsid w:val="00270995"/>
    <w:rsid w:val="00270BD1"/>
    <w:rsid w:val="00270CAA"/>
    <w:rsid w:val="0027137E"/>
    <w:rsid w:val="002714F6"/>
    <w:rsid w:val="002715B5"/>
    <w:rsid w:val="00271603"/>
    <w:rsid w:val="0027160C"/>
    <w:rsid w:val="002717B3"/>
    <w:rsid w:val="00271898"/>
    <w:rsid w:val="00271BE6"/>
    <w:rsid w:val="00271D80"/>
    <w:rsid w:val="00272124"/>
    <w:rsid w:val="002721E0"/>
    <w:rsid w:val="00272273"/>
    <w:rsid w:val="00272343"/>
    <w:rsid w:val="002724A5"/>
    <w:rsid w:val="00272509"/>
    <w:rsid w:val="002727E5"/>
    <w:rsid w:val="00272B24"/>
    <w:rsid w:val="00272CD1"/>
    <w:rsid w:val="002736A1"/>
    <w:rsid w:val="00273A54"/>
    <w:rsid w:val="00273BAD"/>
    <w:rsid w:val="00273BF0"/>
    <w:rsid w:val="00273DC3"/>
    <w:rsid w:val="00273E5D"/>
    <w:rsid w:val="00274236"/>
    <w:rsid w:val="00274443"/>
    <w:rsid w:val="00274D34"/>
    <w:rsid w:val="00274E23"/>
    <w:rsid w:val="00274F99"/>
    <w:rsid w:val="002751D1"/>
    <w:rsid w:val="00275209"/>
    <w:rsid w:val="002754E8"/>
    <w:rsid w:val="002756A0"/>
    <w:rsid w:val="002756B9"/>
    <w:rsid w:val="00275C67"/>
    <w:rsid w:val="00275C87"/>
    <w:rsid w:val="00275D53"/>
    <w:rsid w:val="00275D83"/>
    <w:rsid w:val="00275F9C"/>
    <w:rsid w:val="002762BC"/>
    <w:rsid w:val="00276302"/>
    <w:rsid w:val="00276422"/>
    <w:rsid w:val="0027688B"/>
    <w:rsid w:val="00276AEB"/>
    <w:rsid w:val="00276B40"/>
    <w:rsid w:val="00276C0F"/>
    <w:rsid w:val="00276C1F"/>
    <w:rsid w:val="00276D1D"/>
    <w:rsid w:val="00276F74"/>
    <w:rsid w:val="002774C9"/>
    <w:rsid w:val="002774F4"/>
    <w:rsid w:val="002775BF"/>
    <w:rsid w:val="002775DF"/>
    <w:rsid w:val="0027792B"/>
    <w:rsid w:val="00277931"/>
    <w:rsid w:val="00277CA0"/>
    <w:rsid w:val="00277F71"/>
    <w:rsid w:val="00280243"/>
    <w:rsid w:val="00280364"/>
    <w:rsid w:val="002808D8"/>
    <w:rsid w:val="00280964"/>
    <w:rsid w:val="002809C6"/>
    <w:rsid w:val="00280FB6"/>
    <w:rsid w:val="002810CF"/>
    <w:rsid w:val="00281102"/>
    <w:rsid w:val="002811B9"/>
    <w:rsid w:val="00281270"/>
    <w:rsid w:val="00281313"/>
    <w:rsid w:val="002814B6"/>
    <w:rsid w:val="002815CE"/>
    <w:rsid w:val="00281A63"/>
    <w:rsid w:val="0028275C"/>
    <w:rsid w:val="002829A1"/>
    <w:rsid w:val="00282FA8"/>
    <w:rsid w:val="00282FED"/>
    <w:rsid w:val="002830A6"/>
    <w:rsid w:val="0028340D"/>
    <w:rsid w:val="00283482"/>
    <w:rsid w:val="00283511"/>
    <w:rsid w:val="00283870"/>
    <w:rsid w:val="0028392B"/>
    <w:rsid w:val="00283D87"/>
    <w:rsid w:val="00283E8E"/>
    <w:rsid w:val="00284340"/>
    <w:rsid w:val="0028445C"/>
    <w:rsid w:val="002845C3"/>
    <w:rsid w:val="00284B45"/>
    <w:rsid w:val="00284EBA"/>
    <w:rsid w:val="00284ECC"/>
    <w:rsid w:val="00284FEB"/>
    <w:rsid w:val="00285232"/>
    <w:rsid w:val="00285498"/>
    <w:rsid w:val="00285E23"/>
    <w:rsid w:val="00285F82"/>
    <w:rsid w:val="00286177"/>
    <w:rsid w:val="002868C6"/>
    <w:rsid w:val="002869C0"/>
    <w:rsid w:val="00286A20"/>
    <w:rsid w:val="00286BEC"/>
    <w:rsid w:val="00286E04"/>
    <w:rsid w:val="00287127"/>
    <w:rsid w:val="0028736E"/>
    <w:rsid w:val="00287564"/>
    <w:rsid w:val="00287870"/>
    <w:rsid w:val="00287982"/>
    <w:rsid w:val="00287AFA"/>
    <w:rsid w:val="00287E78"/>
    <w:rsid w:val="002903B4"/>
    <w:rsid w:val="00290676"/>
    <w:rsid w:val="00290D30"/>
    <w:rsid w:val="00290E90"/>
    <w:rsid w:val="00290ED9"/>
    <w:rsid w:val="00291094"/>
    <w:rsid w:val="002910B3"/>
    <w:rsid w:val="002912F9"/>
    <w:rsid w:val="00291351"/>
    <w:rsid w:val="002913E2"/>
    <w:rsid w:val="00291409"/>
    <w:rsid w:val="00291462"/>
    <w:rsid w:val="002914F0"/>
    <w:rsid w:val="00291572"/>
    <w:rsid w:val="002916F3"/>
    <w:rsid w:val="002918C5"/>
    <w:rsid w:val="0029194A"/>
    <w:rsid w:val="00291B4B"/>
    <w:rsid w:val="00291F74"/>
    <w:rsid w:val="00292318"/>
    <w:rsid w:val="00292372"/>
    <w:rsid w:val="0029288E"/>
    <w:rsid w:val="002929AB"/>
    <w:rsid w:val="00292ABC"/>
    <w:rsid w:val="00292BDA"/>
    <w:rsid w:val="00292CD4"/>
    <w:rsid w:val="00292EBB"/>
    <w:rsid w:val="0029339F"/>
    <w:rsid w:val="0029343D"/>
    <w:rsid w:val="0029345C"/>
    <w:rsid w:val="00293485"/>
    <w:rsid w:val="002935A3"/>
    <w:rsid w:val="002938C3"/>
    <w:rsid w:val="00293A52"/>
    <w:rsid w:val="00293B73"/>
    <w:rsid w:val="00293C21"/>
    <w:rsid w:val="00293EE2"/>
    <w:rsid w:val="00294216"/>
    <w:rsid w:val="0029432A"/>
    <w:rsid w:val="0029436A"/>
    <w:rsid w:val="0029451A"/>
    <w:rsid w:val="002948E2"/>
    <w:rsid w:val="00294C11"/>
    <w:rsid w:val="00294C16"/>
    <w:rsid w:val="00294C5C"/>
    <w:rsid w:val="00294C80"/>
    <w:rsid w:val="002950D3"/>
    <w:rsid w:val="00295366"/>
    <w:rsid w:val="0029541C"/>
    <w:rsid w:val="00295420"/>
    <w:rsid w:val="002955C1"/>
    <w:rsid w:val="002957C9"/>
    <w:rsid w:val="00295852"/>
    <w:rsid w:val="00295CFB"/>
    <w:rsid w:val="00296191"/>
    <w:rsid w:val="00296335"/>
    <w:rsid w:val="00296457"/>
    <w:rsid w:val="002964C0"/>
    <w:rsid w:val="00296732"/>
    <w:rsid w:val="00296787"/>
    <w:rsid w:val="0029691B"/>
    <w:rsid w:val="00296AB8"/>
    <w:rsid w:val="00296E29"/>
    <w:rsid w:val="00297512"/>
    <w:rsid w:val="00297957"/>
    <w:rsid w:val="00297AA7"/>
    <w:rsid w:val="00297B5B"/>
    <w:rsid w:val="00297BAE"/>
    <w:rsid w:val="00297C56"/>
    <w:rsid w:val="00297D93"/>
    <w:rsid w:val="002A0134"/>
    <w:rsid w:val="002A01EA"/>
    <w:rsid w:val="002A04B4"/>
    <w:rsid w:val="002A04D1"/>
    <w:rsid w:val="002A0724"/>
    <w:rsid w:val="002A0989"/>
    <w:rsid w:val="002A09A6"/>
    <w:rsid w:val="002A0B6E"/>
    <w:rsid w:val="002A0D8B"/>
    <w:rsid w:val="002A0DE7"/>
    <w:rsid w:val="002A0E8D"/>
    <w:rsid w:val="002A0EFA"/>
    <w:rsid w:val="002A0F79"/>
    <w:rsid w:val="002A112B"/>
    <w:rsid w:val="002A145B"/>
    <w:rsid w:val="002A14E1"/>
    <w:rsid w:val="002A163E"/>
    <w:rsid w:val="002A1658"/>
    <w:rsid w:val="002A1704"/>
    <w:rsid w:val="002A18BE"/>
    <w:rsid w:val="002A1E66"/>
    <w:rsid w:val="002A1F07"/>
    <w:rsid w:val="002A21A6"/>
    <w:rsid w:val="002A279E"/>
    <w:rsid w:val="002A282D"/>
    <w:rsid w:val="002A28F6"/>
    <w:rsid w:val="002A2E30"/>
    <w:rsid w:val="002A2E40"/>
    <w:rsid w:val="002A2F52"/>
    <w:rsid w:val="002A35A3"/>
    <w:rsid w:val="002A35E5"/>
    <w:rsid w:val="002A3603"/>
    <w:rsid w:val="002A36F6"/>
    <w:rsid w:val="002A3773"/>
    <w:rsid w:val="002A3871"/>
    <w:rsid w:val="002A3B93"/>
    <w:rsid w:val="002A3BD6"/>
    <w:rsid w:val="002A4054"/>
    <w:rsid w:val="002A4084"/>
    <w:rsid w:val="002A42B4"/>
    <w:rsid w:val="002A4AD6"/>
    <w:rsid w:val="002A4DC0"/>
    <w:rsid w:val="002A4E91"/>
    <w:rsid w:val="002A513C"/>
    <w:rsid w:val="002A5214"/>
    <w:rsid w:val="002A547C"/>
    <w:rsid w:val="002A5758"/>
    <w:rsid w:val="002A5F8F"/>
    <w:rsid w:val="002A6B29"/>
    <w:rsid w:val="002A6E1D"/>
    <w:rsid w:val="002A6FD1"/>
    <w:rsid w:val="002A70D9"/>
    <w:rsid w:val="002A7108"/>
    <w:rsid w:val="002A7196"/>
    <w:rsid w:val="002A726E"/>
    <w:rsid w:val="002A7521"/>
    <w:rsid w:val="002A75DB"/>
    <w:rsid w:val="002A7604"/>
    <w:rsid w:val="002A765A"/>
    <w:rsid w:val="002A76AE"/>
    <w:rsid w:val="002A785C"/>
    <w:rsid w:val="002A78E2"/>
    <w:rsid w:val="002A7AE6"/>
    <w:rsid w:val="002B0047"/>
    <w:rsid w:val="002B0125"/>
    <w:rsid w:val="002B0770"/>
    <w:rsid w:val="002B0772"/>
    <w:rsid w:val="002B08A3"/>
    <w:rsid w:val="002B0A09"/>
    <w:rsid w:val="002B0BB7"/>
    <w:rsid w:val="002B0DC8"/>
    <w:rsid w:val="002B0F75"/>
    <w:rsid w:val="002B0FBD"/>
    <w:rsid w:val="002B1384"/>
    <w:rsid w:val="002B13C0"/>
    <w:rsid w:val="002B143B"/>
    <w:rsid w:val="002B17F7"/>
    <w:rsid w:val="002B1852"/>
    <w:rsid w:val="002B1A41"/>
    <w:rsid w:val="002B1B3F"/>
    <w:rsid w:val="002B1CBF"/>
    <w:rsid w:val="002B1CC5"/>
    <w:rsid w:val="002B208A"/>
    <w:rsid w:val="002B2955"/>
    <w:rsid w:val="002B2A8F"/>
    <w:rsid w:val="002B2CF2"/>
    <w:rsid w:val="002B2DB7"/>
    <w:rsid w:val="002B2E87"/>
    <w:rsid w:val="002B2F41"/>
    <w:rsid w:val="002B309A"/>
    <w:rsid w:val="002B354D"/>
    <w:rsid w:val="002B3681"/>
    <w:rsid w:val="002B378F"/>
    <w:rsid w:val="002B391B"/>
    <w:rsid w:val="002B3F46"/>
    <w:rsid w:val="002B4210"/>
    <w:rsid w:val="002B4346"/>
    <w:rsid w:val="002B4554"/>
    <w:rsid w:val="002B4721"/>
    <w:rsid w:val="002B4810"/>
    <w:rsid w:val="002B48DD"/>
    <w:rsid w:val="002B4A35"/>
    <w:rsid w:val="002B4CD9"/>
    <w:rsid w:val="002B4E6F"/>
    <w:rsid w:val="002B5062"/>
    <w:rsid w:val="002B5183"/>
    <w:rsid w:val="002B56E6"/>
    <w:rsid w:val="002B5BEF"/>
    <w:rsid w:val="002B5C5D"/>
    <w:rsid w:val="002B5C98"/>
    <w:rsid w:val="002B5DAD"/>
    <w:rsid w:val="002B5EC5"/>
    <w:rsid w:val="002B6277"/>
    <w:rsid w:val="002B654F"/>
    <w:rsid w:val="002B667C"/>
    <w:rsid w:val="002B6A94"/>
    <w:rsid w:val="002B6B3F"/>
    <w:rsid w:val="002B6E69"/>
    <w:rsid w:val="002B7182"/>
    <w:rsid w:val="002B71B6"/>
    <w:rsid w:val="002B7499"/>
    <w:rsid w:val="002B74FA"/>
    <w:rsid w:val="002B775A"/>
    <w:rsid w:val="002B7900"/>
    <w:rsid w:val="002B7925"/>
    <w:rsid w:val="002B7EA8"/>
    <w:rsid w:val="002C013B"/>
    <w:rsid w:val="002C0354"/>
    <w:rsid w:val="002C05D8"/>
    <w:rsid w:val="002C07FE"/>
    <w:rsid w:val="002C0A90"/>
    <w:rsid w:val="002C10DD"/>
    <w:rsid w:val="002C11CA"/>
    <w:rsid w:val="002C1307"/>
    <w:rsid w:val="002C1507"/>
    <w:rsid w:val="002C1A69"/>
    <w:rsid w:val="002C1E22"/>
    <w:rsid w:val="002C1F87"/>
    <w:rsid w:val="002C2086"/>
    <w:rsid w:val="002C234B"/>
    <w:rsid w:val="002C2500"/>
    <w:rsid w:val="002C2562"/>
    <w:rsid w:val="002C25CA"/>
    <w:rsid w:val="002C2671"/>
    <w:rsid w:val="002C26CF"/>
    <w:rsid w:val="002C2E44"/>
    <w:rsid w:val="002C30FA"/>
    <w:rsid w:val="002C3151"/>
    <w:rsid w:val="002C3357"/>
    <w:rsid w:val="002C38FE"/>
    <w:rsid w:val="002C3BD6"/>
    <w:rsid w:val="002C3F2B"/>
    <w:rsid w:val="002C412C"/>
    <w:rsid w:val="002C4247"/>
    <w:rsid w:val="002C4336"/>
    <w:rsid w:val="002C44AD"/>
    <w:rsid w:val="002C4592"/>
    <w:rsid w:val="002C45E8"/>
    <w:rsid w:val="002C4C16"/>
    <w:rsid w:val="002C52D0"/>
    <w:rsid w:val="002C5522"/>
    <w:rsid w:val="002C5A38"/>
    <w:rsid w:val="002C5AFB"/>
    <w:rsid w:val="002C5B58"/>
    <w:rsid w:val="002C5B74"/>
    <w:rsid w:val="002C5B76"/>
    <w:rsid w:val="002C5F49"/>
    <w:rsid w:val="002C62F7"/>
    <w:rsid w:val="002C634E"/>
    <w:rsid w:val="002C6BAA"/>
    <w:rsid w:val="002C6CD9"/>
    <w:rsid w:val="002C6DC1"/>
    <w:rsid w:val="002C6DC7"/>
    <w:rsid w:val="002C6E4B"/>
    <w:rsid w:val="002C6F72"/>
    <w:rsid w:val="002C70CE"/>
    <w:rsid w:val="002C72BB"/>
    <w:rsid w:val="002C72E1"/>
    <w:rsid w:val="002C74FB"/>
    <w:rsid w:val="002C78A8"/>
    <w:rsid w:val="002C7D7F"/>
    <w:rsid w:val="002D01C8"/>
    <w:rsid w:val="002D0230"/>
    <w:rsid w:val="002D0262"/>
    <w:rsid w:val="002D026C"/>
    <w:rsid w:val="002D045A"/>
    <w:rsid w:val="002D05FA"/>
    <w:rsid w:val="002D0663"/>
    <w:rsid w:val="002D0747"/>
    <w:rsid w:val="002D0756"/>
    <w:rsid w:val="002D1289"/>
    <w:rsid w:val="002D1DB2"/>
    <w:rsid w:val="002D1DD9"/>
    <w:rsid w:val="002D26DE"/>
    <w:rsid w:val="002D27C0"/>
    <w:rsid w:val="002D29FE"/>
    <w:rsid w:val="002D2D30"/>
    <w:rsid w:val="002D2D85"/>
    <w:rsid w:val="002D3005"/>
    <w:rsid w:val="002D36A0"/>
    <w:rsid w:val="002D3928"/>
    <w:rsid w:val="002D3CBE"/>
    <w:rsid w:val="002D3D1C"/>
    <w:rsid w:val="002D41A6"/>
    <w:rsid w:val="002D440F"/>
    <w:rsid w:val="002D4646"/>
    <w:rsid w:val="002D47B4"/>
    <w:rsid w:val="002D4DAD"/>
    <w:rsid w:val="002D5097"/>
    <w:rsid w:val="002D547C"/>
    <w:rsid w:val="002D5557"/>
    <w:rsid w:val="002D55E4"/>
    <w:rsid w:val="002D59BD"/>
    <w:rsid w:val="002D5EC4"/>
    <w:rsid w:val="002D5FE7"/>
    <w:rsid w:val="002D6399"/>
    <w:rsid w:val="002D66EB"/>
    <w:rsid w:val="002D690D"/>
    <w:rsid w:val="002D7575"/>
    <w:rsid w:val="002D79F2"/>
    <w:rsid w:val="002D7B4F"/>
    <w:rsid w:val="002D7D9A"/>
    <w:rsid w:val="002D7F01"/>
    <w:rsid w:val="002D7FBC"/>
    <w:rsid w:val="002D7FD3"/>
    <w:rsid w:val="002E006F"/>
    <w:rsid w:val="002E0086"/>
    <w:rsid w:val="002E09B4"/>
    <w:rsid w:val="002E09D2"/>
    <w:rsid w:val="002E16A9"/>
    <w:rsid w:val="002E19C9"/>
    <w:rsid w:val="002E1C0F"/>
    <w:rsid w:val="002E2058"/>
    <w:rsid w:val="002E24DF"/>
    <w:rsid w:val="002E28BE"/>
    <w:rsid w:val="002E2965"/>
    <w:rsid w:val="002E2BA3"/>
    <w:rsid w:val="002E2C3F"/>
    <w:rsid w:val="002E2E1C"/>
    <w:rsid w:val="002E30C8"/>
    <w:rsid w:val="002E3349"/>
    <w:rsid w:val="002E362C"/>
    <w:rsid w:val="002E36C9"/>
    <w:rsid w:val="002E384E"/>
    <w:rsid w:val="002E3857"/>
    <w:rsid w:val="002E38BB"/>
    <w:rsid w:val="002E3B81"/>
    <w:rsid w:val="002E3CDC"/>
    <w:rsid w:val="002E3EDB"/>
    <w:rsid w:val="002E3F18"/>
    <w:rsid w:val="002E437F"/>
    <w:rsid w:val="002E4624"/>
    <w:rsid w:val="002E4BB1"/>
    <w:rsid w:val="002E4C81"/>
    <w:rsid w:val="002E52AB"/>
    <w:rsid w:val="002E5869"/>
    <w:rsid w:val="002E5D37"/>
    <w:rsid w:val="002E5D39"/>
    <w:rsid w:val="002E5F8E"/>
    <w:rsid w:val="002E6270"/>
    <w:rsid w:val="002E63BE"/>
    <w:rsid w:val="002E6516"/>
    <w:rsid w:val="002E6614"/>
    <w:rsid w:val="002E6712"/>
    <w:rsid w:val="002E6BBB"/>
    <w:rsid w:val="002E6DD5"/>
    <w:rsid w:val="002E6EEC"/>
    <w:rsid w:val="002E726C"/>
    <w:rsid w:val="002E746D"/>
    <w:rsid w:val="002E7775"/>
    <w:rsid w:val="002E78F8"/>
    <w:rsid w:val="002E7AD2"/>
    <w:rsid w:val="002E7B8C"/>
    <w:rsid w:val="002E7BD8"/>
    <w:rsid w:val="002E7C14"/>
    <w:rsid w:val="002E7CFE"/>
    <w:rsid w:val="002E7E51"/>
    <w:rsid w:val="002E7E61"/>
    <w:rsid w:val="002F016C"/>
    <w:rsid w:val="002F0387"/>
    <w:rsid w:val="002F075B"/>
    <w:rsid w:val="002F0881"/>
    <w:rsid w:val="002F0A2A"/>
    <w:rsid w:val="002F0AA0"/>
    <w:rsid w:val="002F0AEA"/>
    <w:rsid w:val="002F0EC7"/>
    <w:rsid w:val="002F105D"/>
    <w:rsid w:val="002F1399"/>
    <w:rsid w:val="002F1910"/>
    <w:rsid w:val="002F192D"/>
    <w:rsid w:val="002F1EEC"/>
    <w:rsid w:val="002F20D4"/>
    <w:rsid w:val="002F220F"/>
    <w:rsid w:val="002F234E"/>
    <w:rsid w:val="002F24FB"/>
    <w:rsid w:val="002F2872"/>
    <w:rsid w:val="002F29C7"/>
    <w:rsid w:val="002F2AF6"/>
    <w:rsid w:val="002F2C31"/>
    <w:rsid w:val="002F2E1D"/>
    <w:rsid w:val="002F2F1B"/>
    <w:rsid w:val="002F3052"/>
    <w:rsid w:val="002F3106"/>
    <w:rsid w:val="002F32D6"/>
    <w:rsid w:val="002F32FB"/>
    <w:rsid w:val="002F3386"/>
    <w:rsid w:val="002F35EB"/>
    <w:rsid w:val="002F37A9"/>
    <w:rsid w:val="002F394D"/>
    <w:rsid w:val="002F3AE3"/>
    <w:rsid w:val="002F406E"/>
    <w:rsid w:val="002F4130"/>
    <w:rsid w:val="002F43BE"/>
    <w:rsid w:val="002F44C2"/>
    <w:rsid w:val="002F46FA"/>
    <w:rsid w:val="002F4C23"/>
    <w:rsid w:val="002F5563"/>
    <w:rsid w:val="002F55F0"/>
    <w:rsid w:val="002F5611"/>
    <w:rsid w:val="002F56FE"/>
    <w:rsid w:val="002F58C2"/>
    <w:rsid w:val="002F5985"/>
    <w:rsid w:val="002F5E8C"/>
    <w:rsid w:val="002F5F5E"/>
    <w:rsid w:val="002F5F85"/>
    <w:rsid w:val="002F613E"/>
    <w:rsid w:val="002F61E3"/>
    <w:rsid w:val="002F62CC"/>
    <w:rsid w:val="002F6633"/>
    <w:rsid w:val="002F693F"/>
    <w:rsid w:val="002F6DDD"/>
    <w:rsid w:val="002F6F12"/>
    <w:rsid w:val="002F715C"/>
    <w:rsid w:val="002F72E4"/>
    <w:rsid w:val="002F7379"/>
    <w:rsid w:val="002F745E"/>
    <w:rsid w:val="002F7687"/>
    <w:rsid w:val="002F7780"/>
    <w:rsid w:val="002F7F0F"/>
    <w:rsid w:val="00300195"/>
    <w:rsid w:val="003001D4"/>
    <w:rsid w:val="0030039D"/>
    <w:rsid w:val="003008CC"/>
    <w:rsid w:val="003009FC"/>
    <w:rsid w:val="00300C6F"/>
    <w:rsid w:val="00300D83"/>
    <w:rsid w:val="00300DD1"/>
    <w:rsid w:val="00301763"/>
    <w:rsid w:val="00301C01"/>
    <w:rsid w:val="00301C55"/>
    <w:rsid w:val="003020AF"/>
    <w:rsid w:val="00302181"/>
    <w:rsid w:val="00302252"/>
    <w:rsid w:val="003022AD"/>
    <w:rsid w:val="0030230A"/>
    <w:rsid w:val="003023EF"/>
    <w:rsid w:val="003024EE"/>
    <w:rsid w:val="00302998"/>
    <w:rsid w:val="00302DA9"/>
    <w:rsid w:val="003037AE"/>
    <w:rsid w:val="00303AA6"/>
    <w:rsid w:val="00303C60"/>
    <w:rsid w:val="0030405E"/>
    <w:rsid w:val="00304309"/>
    <w:rsid w:val="003044FA"/>
    <w:rsid w:val="003045FD"/>
    <w:rsid w:val="0030473F"/>
    <w:rsid w:val="00304799"/>
    <w:rsid w:val="00304B2E"/>
    <w:rsid w:val="00304E68"/>
    <w:rsid w:val="00304FB8"/>
    <w:rsid w:val="00305045"/>
    <w:rsid w:val="003050CD"/>
    <w:rsid w:val="003050FD"/>
    <w:rsid w:val="00305213"/>
    <w:rsid w:val="0030544D"/>
    <w:rsid w:val="0030546C"/>
    <w:rsid w:val="003054E0"/>
    <w:rsid w:val="00305550"/>
    <w:rsid w:val="003057B2"/>
    <w:rsid w:val="003058BB"/>
    <w:rsid w:val="00305B50"/>
    <w:rsid w:val="00306A57"/>
    <w:rsid w:val="00306B3A"/>
    <w:rsid w:val="00306E17"/>
    <w:rsid w:val="00307061"/>
    <w:rsid w:val="00307117"/>
    <w:rsid w:val="00307299"/>
    <w:rsid w:val="00307616"/>
    <w:rsid w:val="0030781D"/>
    <w:rsid w:val="00307B19"/>
    <w:rsid w:val="00307BF5"/>
    <w:rsid w:val="00307DA3"/>
    <w:rsid w:val="00307DE5"/>
    <w:rsid w:val="003101B6"/>
    <w:rsid w:val="003101E2"/>
    <w:rsid w:val="0031026F"/>
    <w:rsid w:val="0031038A"/>
    <w:rsid w:val="003103F5"/>
    <w:rsid w:val="003104C2"/>
    <w:rsid w:val="00310906"/>
    <w:rsid w:val="0031092B"/>
    <w:rsid w:val="00310955"/>
    <w:rsid w:val="00310B5C"/>
    <w:rsid w:val="00310B9B"/>
    <w:rsid w:val="00310C3F"/>
    <w:rsid w:val="00310FC9"/>
    <w:rsid w:val="00311279"/>
    <w:rsid w:val="0031133D"/>
    <w:rsid w:val="003117C3"/>
    <w:rsid w:val="003117EE"/>
    <w:rsid w:val="003119E5"/>
    <w:rsid w:val="00311ADE"/>
    <w:rsid w:val="00311E53"/>
    <w:rsid w:val="003122DC"/>
    <w:rsid w:val="0031262E"/>
    <w:rsid w:val="00312952"/>
    <w:rsid w:val="003129FC"/>
    <w:rsid w:val="00312D76"/>
    <w:rsid w:val="00312FB2"/>
    <w:rsid w:val="00313225"/>
    <w:rsid w:val="003132F1"/>
    <w:rsid w:val="00313301"/>
    <w:rsid w:val="00313390"/>
    <w:rsid w:val="003135A4"/>
    <w:rsid w:val="00313784"/>
    <w:rsid w:val="003139DB"/>
    <w:rsid w:val="00313BFB"/>
    <w:rsid w:val="00313C53"/>
    <w:rsid w:val="00313CD2"/>
    <w:rsid w:val="003140D2"/>
    <w:rsid w:val="003141DD"/>
    <w:rsid w:val="00314509"/>
    <w:rsid w:val="00314778"/>
    <w:rsid w:val="0031479A"/>
    <w:rsid w:val="003148C0"/>
    <w:rsid w:val="00314B2D"/>
    <w:rsid w:val="00314B49"/>
    <w:rsid w:val="00314BE0"/>
    <w:rsid w:val="00315105"/>
    <w:rsid w:val="0031515A"/>
    <w:rsid w:val="0031541B"/>
    <w:rsid w:val="00315995"/>
    <w:rsid w:val="00315DE9"/>
    <w:rsid w:val="00315EA0"/>
    <w:rsid w:val="0031606B"/>
    <w:rsid w:val="003162DF"/>
    <w:rsid w:val="00316351"/>
    <w:rsid w:val="00316378"/>
    <w:rsid w:val="0031675C"/>
    <w:rsid w:val="003167D0"/>
    <w:rsid w:val="00316A66"/>
    <w:rsid w:val="00316DAF"/>
    <w:rsid w:val="00316E3A"/>
    <w:rsid w:val="00316EBD"/>
    <w:rsid w:val="00316F8B"/>
    <w:rsid w:val="0031712D"/>
    <w:rsid w:val="0031725C"/>
    <w:rsid w:val="0031732B"/>
    <w:rsid w:val="003175BD"/>
    <w:rsid w:val="00317714"/>
    <w:rsid w:val="00317FF3"/>
    <w:rsid w:val="003203EC"/>
    <w:rsid w:val="003205D5"/>
    <w:rsid w:val="00320664"/>
    <w:rsid w:val="00320784"/>
    <w:rsid w:val="00320945"/>
    <w:rsid w:val="003209D4"/>
    <w:rsid w:val="00320A17"/>
    <w:rsid w:val="00320D5D"/>
    <w:rsid w:val="00320DDF"/>
    <w:rsid w:val="00320EEE"/>
    <w:rsid w:val="0032123C"/>
    <w:rsid w:val="003216DE"/>
    <w:rsid w:val="0032172B"/>
    <w:rsid w:val="00321856"/>
    <w:rsid w:val="00321AF7"/>
    <w:rsid w:val="00321E05"/>
    <w:rsid w:val="00321EEF"/>
    <w:rsid w:val="0032212F"/>
    <w:rsid w:val="0032238F"/>
    <w:rsid w:val="00322474"/>
    <w:rsid w:val="003224FB"/>
    <w:rsid w:val="0032279E"/>
    <w:rsid w:val="00322815"/>
    <w:rsid w:val="00322A4D"/>
    <w:rsid w:val="00322AD7"/>
    <w:rsid w:val="00322BD1"/>
    <w:rsid w:val="00322C06"/>
    <w:rsid w:val="00322DA9"/>
    <w:rsid w:val="00322EBE"/>
    <w:rsid w:val="00323089"/>
    <w:rsid w:val="003235FA"/>
    <w:rsid w:val="00323656"/>
    <w:rsid w:val="00323884"/>
    <w:rsid w:val="00323AF6"/>
    <w:rsid w:val="00323B42"/>
    <w:rsid w:val="00323D68"/>
    <w:rsid w:val="00323F79"/>
    <w:rsid w:val="00324090"/>
    <w:rsid w:val="003240BD"/>
    <w:rsid w:val="003243A8"/>
    <w:rsid w:val="0032457B"/>
    <w:rsid w:val="003246F0"/>
    <w:rsid w:val="00324C1D"/>
    <w:rsid w:val="00324E0B"/>
    <w:rsid w:val="00325063"/>
    <w:rsid w:val="003250EC"/>
    <w:rsid w:val="003251C2"/>
    <w:rsid w:val="00325298"/>
    <w:rsid w:val="00325434"/>
    <w:rsid w:val="0032577E"/>
    <w:rsid w:val="00325D4D"/>
    <w:rsid w:val="00325D99"/>
    <w:rsid w:val="00325DE2"/>
    <w:rsid w:val="00325FA0"/>
    <w:rsid w:val="00326657"/>
    <w:rsid w:val="00326874"/>
    <w:rsid w:val="00326AE3"/>
    <w:rsid w:val="00326B62"/>
    <w:rsid w:val="00326F1C"/>
    <w:rsid w:val="00327162"/>
    <w:rsid w:val="0032724D"/>
    <w:rsid w:val="00327B06"/>
    <w:rsid w:val="00327F87"/>
    <w:rsid w:val="00330182"/>
    <w:rsid w:val="003303F5"/>
    <w:rsid w:val="003304F0"/>
    <w:rsid w:val="00330668"/>
    <w:rsid w:val="003307C7"/>
    <w:rsid w:val="00330A0A"/>
    <w:rsid w:val="00330B6A"/>
    <w:rsid w:val="00330E71"/>
    <w:rsid w:val="003310F7"/>
    <w:rsid w:val="003313FC"/>
    <w:rsid w:val="00331BFA"/>
    <w:rsid w:val="00332152"/>
    <w:rsid w:val="003322A8"/>
    <w:rsid w:val="003327D2"/>
    <w:rsid w:val="003328A9"/>
    <w:rsid w:val="00332A93"/>
    <w:rsid w:val="00332E71"/>
    <w:rsid w:val="00332F60"/>
    <w:rsid w:val="00333084"/>
    <w:rsid w:val="003331CE"/>
    <w:rsid w:val="00333424"/>
    <w:rsid w:val="00333B78"/>
    <w:rsid w:val="00333FA0"/>
    <w:rsid w:val="00334415"/>
    <w:rsid w:val="00334675"/>
    <w:rsid w:val="00334853"/>
    <w:rsid w:val="00334942"/>
    <w:rsid w:val="00334C15"/>
    <w:rsid w:val="00334E96"/>
    <w:rsid w:val="00334FC9"/>
    <w:rsid w:val="0033503E"/>
    <w:rsid w:val="00335092"/>
    <w:rsid w:val="00335434"/>
    <w:rsid w:val="0033551B"/>
    <w:rsid w:val="003356B8"/>
    <w:rsid w:val="003356C9"/>
    <w:rsid w:val="0033590B"/>
    <w:rsid w:val="00335C7C"/>
    <w:rsid w:val="00335CC3"/>
    <w:rsid w:val="003361F3"/>
    <w:rsid w:val="00336989"/>
    <w:rsid w:val="00336A90"/>
    <w:rsid w:val="00336C49"/>
    <w:rsid w:val="00336F76"/>
    <w:rsid w:val="00336FB7"/>
    <w:rsid w:val="003370BE"/>
    <w:rsid w:val="003371B5"/>
    <w:rsid w:val="003374A1"/>
    <w:rsid w:val="003376C5"/>
    <w:rsid w:val="00337963"/>
    <w:rsid w:val="00337BAF"/>
    <w:rsid w:val="00337C93"/>
    <w:rsid w:val="00337D23"/>
    <w:rsid w:val="00340008"/>
    <w:rsid w:val="00340341"/>
    <w:rsid w:val="00340347"/>
    <w:rsid w:val="00340496"/>
    <w:rsid w:val="00340730"/>
    <w:rsid w:val="003407D2"/>
    <w:rsid w:val="003408CC"/>
    <w:rsid w:val="00340A1A"/>
    <w:rsid w:val="00341183"/>
    <w:rsid w:val="00341208"/>
    <w:rsid w:val="00341265"/>
    <w:rsid w:val="003412E6"/>
    <w:rsid w:val="003417CB"/>
    <w:rsid w:val="00341A83"/>
    <w:rsid w:val="00341BCE"/>
    <w:rsid w:val="00341D18"/>
    <w:rsid w:val="0034202E"/>
    <w:rsid w:val="003421A2"/>
    <w:rsid w:val="0034230A"/>
    <w:rsid w:val="00342473"/>
    <w:rsid w:val="003426E9"/>
    <w:rsid w:val="00342B68"/>
    <w:rsid w:val="00342C93"/>
    <w:rsid w:val="00342DE9"/>
    <w:rsid w:val="00342E60"/>
    <w:rsid w:val="0034302A"/>
    <w:rsid w:val="00343175"/>
    <w:rsid w:val="00343263"/>
    <w:rsid w:val="003435A9"/>
    <w:rsid w:val="0034396E"/>
    <w:rsid w:val="003439CE"/>
    <w:rsid w:val="00343C58"/>
    <w:rsid w:val="00343CCD"/>
    <w:rsid w:val="00343F0B"/>
    <w:rsid w:val="00343F4A"/>
    <w:rsid w:val="0034414F"/>
    <w:rsid w:val="00344178"/>
    <w:rsid w:val="003442B1"/>
    <w:rsid w:val="0034432C"/>
    <w:rsid w:val="00344649"/>
    <w:rsid w:val="00344838"/>
    <w:rsid w:val="00344892"/>
    <w:rsid w:val="00344A17"/>
    <w:rsid w:val="00345147"/>
    <w:rsid w:val="00345293"/>
    <w:rsid w:val="00345311"/>
    <w:rsid w:val="00345382"/>
    <w:rsid w:val="00345496"/>
    <w:rsid w:val="003455F7"/>
    <w:rsid w:val="00345A71"/>
    <w:rsid w:val="00345BA8"/>
    <w:rsid w:val="00345BBF"/>
    <w:rsid w:val="00345BCF"/>
    <w:rsid w:val="00345F8B"/>
    <w:rsid w:val="00346286"/>
    <w:rsid w:val="003466F9"/>
    <w:rsid w:val="0034683E"/>
    <w:rsid w:val="003468E4"/>
    <w:rsid w:val="00346B68"/>
    <w:rsid w:val="00346C41"/>
    <w:rsid w:val="00346D0F"/>
    <w:rsid w:val="00346E56"/>
    <w:rsid w:val="0034752D"/>
    <w:rsid w:val="003476C0"/>
    <w:rsid w:val="00347A95"/>
    <w:rsid w:val="00347C7E"/>
    <w:rsid w:val="00347C7F"/>
    <w:rsid w:val="00347EBF"/>
    <w:rsid w:val="0035004D"/>
    <w:rsid w:val="00350092"/>
    <w:rsid w:val="0035069E"/>
    <w:rsid w:val="00350AEC"/>
    <w:rsid w:val="00350D45"/>
    <w:rsid w:val="00350D74"/>
    <w:rsid w:val="00350F67"/>
    <w:rsid w:val="0035138E"/>
    <w:rsid w:val="0035141F"/>
    <w:rsid w:val="003515B4"/>
    <w:rsid w:val="003519AD"/>
    <w:rsid w:val="00351B31"/>
    <w:rsid w:val="00351BE8"/>
    <w:rsid w:val="00351CCA"/>
    <w:rsid w:val="00351E0E"/>
    <w:rsid w:val="003520B8"/>
    <w:rsid w:val="00352110"/>
    <w:rsid w:val="003522A7"/>
    <w:rsid w:val="00352443"/>
    <w:rsid w:val="003524B6"/>
    <w:rsid w:val="003527A5"/>
    <w:rsid w:val="00352859"/>
    <w:rsid w:val="0035289A"/>
    <w:rsid w:val="003528F9"/>
    <w:rsid w:val="00352A66"/>
    <w:rsid w:val="00352AB7"/>
    <w:rsid w:val="00353019"/>
    <w:rsid w:val="00353301"/>
    <w:rsid w:val="00353927"/>
    <w:rsid w:val="00353C5C"/>
    <w:rsid w:val="00353D74"/>
    <w:rsid w:val="00353FB5"/>
    <w:rsid w:val="00354405"/>
    <w:rsid w:val="00354721"/>
    <w:rsid w:val="003548C3"/>
    <w:rsid w:val="00354B73"/>
    <w:rsid w:val="00354DDD"/>
    <w:rsid w:val="00354EB4"/>
    <w:rsid w:val="00354EF5"/>
    <w:rsid w:val="00354FB1"/>
    <w:rsid w:val="00354FE7"/>
    <w:rsid w:val="0035516D"/>
    <w:rsid w:val="0035526A"/>
    <w:rsid w:val="00355950"/>
    <w:rsid w:val="00355AAB"/>
    <w:rsid w:val="00355B31"/>
    <w:rsid w:val="00355B7A"/>
    <w:rsid w:val="00355BD9"/>
    <w:rsid w:val="00355CF8"/>
    <w:rsid w:val="003561AC"/>
    <w:rsid w:val="0035622E"/>
    <w:rsid w:val="0035640F"/>
    <w:rsid w:val="003566F8"/>
    <w:rsid w:val="003567C4"/>
    <w:rsid w:val="0035682F"/>
    <w:rsid w:val="003569FE"/>
    <w:rsid w:val="00356AFD"/>
    <w:rsid w:val="00356D29"/>
    <w:rsid w:val="00356F01"/>
    <w:rsid w:val="003570E0"/>
    <w:rsid w:val="00357171"/>
    <w:rsid w:val="003571C2"/>
    <w:rsid w:val="00357614"/>
    <w:rsid w:val="00357806"/>
    <w:rsid w:val="00357D49"/>
    <w:rsid w:val="00357DC1"/>
    <w:rsid w:val="00357E0B"/>
    <w:rsid w:val="0036024F"/>
    <w:rsid w:val="00360329"/>
    <w:rsid w:val="00360598"/>
    <w:rsid w:val="003605A5"/>
    <w:rsid w:val="003611BC"/>
    <w:rsid w:val="0036120F"/>
    <w:rsid w:val="00361452"/>
    <w:rsid w:val="0036147F"/>
    <w:rsid w:val="0036154C"/>
    <w:rsid w:val="0036187B"/>
    <w:rsid w:val="003618C9"/>
    <w:rsid w:val="00361941"/>
    <w:rsid w:val="00361F33"/>
    <w:rsid w:val="00361F8A"/>
    <w:rsid w:val="00362C64"/>
    <w:rsid w:val="003630A6"/>
    <w:rsid w:val="0036313C"/>
    <w:rsid w:val="00363154"/>
    <w:rsid w:val="0036365D"/>
    <w:rsid w:val="003636F6"/>
    <w:rsid w:val="00363756"/>
    <w:rsid w:val="00363788"/>
    <w:rsid w:val="003638D3"/>
    <w:rsid w:val="003639DC"/>
    <w:rsid w:val="00363AA4"/>
    <w:rsid w:val="003640A7"/>
    <w:rsid w:val="00364113"/>
    <w:rsid w:val="00364706"/>
    <w:rsid w:val="003647A8"/>
    <w:rsid w:val="003647F7"/>
    <w:rsid w:val="00364911"/>
    <w:rsid w:val="00364A94"/>
    <w:rsid w:val="00364B48"/>
    <w:rsid w:val="00364B96"/>
    <w:rsid w:val="00364C5B"/>
    <w:rsid w:val="00364C92"/>
    <w:rsid w:val="00364ED2"/>
    <w:rsid w:val="00365447"/>
    <w:rsid w:val="003654A3"/>
    <w:rsid w:val="003655E3"/>
    <w:rsid w:val="00366179"/>
    <w:rsid w:val="0036661B"/>
    <w:rsid w:val="00366A8A"/>
    <w:rsid w:val="00366C3C"/>
    <w:rsid w:val="00366FCD"/>
    <w:rsid w:val="003671B9"/>
    <w:rsid w:val="003671FD"/>
    <w:rsid w:val="0036723E"/>
    <w:rsid w:val="0036769F"/>
    <w:rsid w:val="00367866"/>
    <w:rsid w:val="0036794E"/>
    <w:rsid w:val="003679F3"/>
    <w:rsid w:val="00367C33"/>
    <w:rsid w:val="00367E4C"/>
    <w:rsid w:val="003700CE"/>
    <w:rsid w:val="00370132"/>
    <w:rsid w:val="0037016D"/>
    <w:rsid w:val="003706F1"/>
    <w:rsid w:val="00370707"/>
    <w:rsid w:val="00370895"/>
    <w:rsid w:val="00370F04"/>
    <w:rsid w:val="00371207"/>
    <w:rsid w:val="00371302"/>
    <w:rsid w:val="00371393"/>
    <w:rsid w:val="003713B5"/>
    <w:rsid w:val="00371607"/>
    <w:rsid w:val="00371849"/>
    <w:rsid w:val="00371A0D"/>
    <w:rsid w:val="00371E0A"/>
    <w:rsid w:val="00371F02"/>
    <w:rsid w:val="00372002"/>
    <w:rsid w:val="003720A2"/>
    <w:rsid w:val="00372268"/>
    <w:rsid w:val="0037245A"/>
    <w:rsid w:val="00372593"/>
    <w:rsid w:val="0037270B"/>
    <w:rsid w:val="00372AC8"/>
    <w:rsid w:val="0037347D"/>
    <w:rsid w:val="00373484"/>
    <w:rsid w:val="00373713"/>
    <w:rsid w:val="003737BD"/>
    <w:rsid w:val="00373824"/>
    <w:rsid w:val="003738E6"/>
    <w:rsid w:val="003738EE"/>
    <w:rsid w:val="00373B7F"/>
    <w:rsid w:val="00373C89"/>
    <w:rsid w:val="00373D7A"/>
    <w:rsid w:val="003742AD"/>
    <w:rsid w:val="00374371"/>
    <w:rsid w:val="0037439D"/>
    <w:rsid w:val="003745B3"/>
    <w:rsid w:val="003747F7"/>
    <w:rsid w:val="00374840"/>
    <w:rsid w:val="0037496E"/>
    <w:rsid w:val="00374D3A"/>
    <w:rsid w:val="00374F0E"/>
    <w:rsid w:val="00374F39"/>
    <w:rsid w:val="00375817"/>
    <w:rsid w:val="003758CD"/>
    <w:rsid w:val="00375961"/>
    <w:rsid w:val="00375981"/>
    <w:rsid w:val="00375A1D"/>
    <w:rsid w:val="00375A1E"/>
    <w:rsid w:val="00375AFF"/>
    <w:rsid w:val="00375EFC"/>
    <w:rsid w:val="00376C26"/>
    <w:rsid w:val="00376CF1"/>
    <w:rsid w:val="003773D3"/>
    <w:rsid w:val="00377C99"/>
    <w:rsid w:val="00377DDC"/>
    <w:rsid w:val="00377DF3"/>
    <w:rsid w:val="00380183"/>
    <w:rsid w:val="00380571"/>
    <w:rsid w:val="003806D5"/>
    <w:rsid w:val="0038083C"/>
    <w:rsid w:val="00380860"/>
    <w:rsid w:val="00380B82"/>
    <w:rsid w:val="00380D11"/>
    <w:rsid w:val="00380FA0"/>
    <w:rsid w:val="0038146C"/>
    <w:rsid w:val="00381485"/>
    <w:rsid w:val="003815B2"/>
    <w:rsid w:val="00381D92"/>
    <w:rsid w:val="00381ED6"/>
    <w:rsid w:val="00382609"/>
    <w:rsid w:val="00382A77"/>
    <w:rsid w:val="00382ABF"/>
    <w:rsid w:val="00382EF5"/>
    <w:rsid w:val="00383002"/>
    <w:rsid w:val="003830E3"/>
    <w:rsid w:val="00383234"/>
    <w:rsid w:val="003832D6"/>
    <w:rsid w:val="003833E2"/>
    <w:rsid w:val="00383654"/>
    <w:rsid w:val="003839AC"/>
    <w:rsid w:val="00383C14"/>
    <w:rsid w:val="00383FB5"/>
    <w:rsid w:val="0038422E"/>
    <w:rsid w:val="003847A4"/>
    <w:rsid w:val="003847A8"/>
    <w:rsid w:val="003847B8"/>
    <w:rsid w:val="0038489C"/>
    <w:rsid w:val="003849CD"/>
    <w:rsid w:val="00384BC3"/>
    <w:rsid w:val="003850E1"/>
    <w:rsid w:val="00385436"/>
    <w:rsid w:val="00385A1A"/>
    <w:rsid w:val="00385B1A"/>
    <w:rsid w:val="00385F6F"/>
    <w:rsid w:val="00386124"/>
    <w:rsid w:val="003861FF"/>
    <w:rsid w:val="00386277"/>
    <w:rsid w:val="00386432"/>
    <w:rsid w:val="003864D5"/>
    <w:rsid w:val="003868E4"/>
    <w:rsid w:val="00386986"/>
    <w:rsid w:val="00386A70"/>
    <w:rsid w:val="00386DA2"/>
    <w:rsid w:val="00386E85"/>
    <w:rsid w:val="00386F8D"/>
    <w:rsid w:val="00387079"/>
    <w:rsid w:val="003872DE"/>
    <w:rsid w:val="00387397"/>
    <w:rsid w:val="00387414"/>
    <w:rsid w:val="003874CE"/>
    <w:rsid w:val="00387692"/>
    <w:rsid w:val="00387791"/>
    <w:rsid w:val="0038782A"/>
    <w:rsid w:val="003879BD"/>
    <w:rsid w:val="00387A6A"/>
    <w:rsid w:val="00387C86"/>
    <w:rsid w:val="00387D2A"/>
    <w:rsid w:val="00387E2F"/>
    <w:rsid w:val="003902DA"/>
    <w:rsid w:val="00390567"/>
    <w:rsid w:val="00390584"/>
    <w:rsid w:val="003905EC"/>
    <w:rsid w:val="00391053"/>
    <w:rsid w:val="003910A1"/>
    <w:rsid w:val="003911BF"/>
    <w:rsid w:val="00391510"/>
    <w:rsid w:val="00391A10"/>
    <w:rsid w:val="00391ABF"/>
    <w:rsid w:val="00391B9C"/>
    <w:rsid w:val="00391D9E"/>
    <w:rsid w:val="00392099"/>
    <w:rsid w:val="00392216"/>
    <w:rsid w:val="00392DAB"/>
    <w:rsid w:val="00393245"/>
    <w:rsid w:val="003933EC"/>
    <w:rsid w:val="00393477"/>
    <w:rsid w:val="00393686"/>
    <w:rsid w:val="00393824"/>
    <w:rsid w:val="00393954"/>
    <w:rsid w:val="0039399C"/>
    <w:rsid w:val="00393B7E"/>
    <w:rsid w:val="00393C56"/>
    <w:rsid w:val="00393C89"/>
    <w:rsid w:val="003940F8"/>
    <w:rsid w:val="0039434E"/>
    <w:rsid w:val="0039481C"/>
    <w:rsid w:val="00394AE3"/>
    <w:rsid w:val="00394CC8"/>
    <w:rsid w:val="00394D6F"/>
    <w:rsid w:val="00394E46"/>
    <w:rsid w:val="003952D3"/>
    <w:rsid w:val="0039537D"/>
    <w:rsid w:val="003957B7"/>
    <w:rsid w:val="00395AA0"/>
    <w:rsid w:val="00395C34"/>
    <w:rsid w:val="00395D3F"/>
    <w:rsid w:val="003960F7"/>
    <w:rsid w:val="003963CF"/>
    <w:rsid w:val="003966F6"/>
    <w:rsid w:val="0039677D"/>
    <w:rsid w:val="00396D5F"/>
    <w:rsid w:val="00396DA3"/>
    <w:rsid w:val="00396E1C"/>
    <w:rsid w:val="003976E7"/>
    <w:rsid w:val="00397851"/>
    <w:rsid w:val="003978CD"/>
    <w:rsid w:val="003979BC"/>
    <w:rsid w:val="00397B1B"/>
    <w:rsid w:val="00397BE3"/>
    <w:rsid w:val="003A0136"/>
    <w:rsid w:val="003A0660"/>
    <w:rsid w:val="003A067F"/>
    <w:rsid w:val="003A0D52"/>
    <w:rsid w:val="003A0F81"/>
    <w:rsid w:val="003A121A"/>
    <w:rsid w:val="003A1434"/>
    <w:rsid w:val="003A170D"/>
    <w:rsid w:val="003A1780"/>
    <w:rsid w:val="003A19CD"/>
    <w:rsid w:val="003A1BA0"/>
    <w:rsid w:val="003A1BFB"/>
    <w:rsid w:val="003A1BFF"/>
    <w:rsid w:val="003A1D0A"/>
    <w:rsid w:val="003A20CA"/>
    <w:rsid w:val="003A2126"/>
    <w:rsid w:val="003A2373"/>
    <w:rsid w:val="003A2523"/>
    <w:rsid w:val="003A2964"/>
    <w:rsid w:val="003A2994"/>
    <w:rsid w:val="003A2A37"/>
    <w:rsid w:val="003A2B32"/>
    <w:rsid w:val="003A2CEB"/>
    <w:rsid w:val="003A2ED1"/>
    <w:rsid w:val="003A2F5F"/>
    <w:rsid w:val="003A3057"/>
    <w:rsid w:val="003A38D4"/>
    <w:rsid w:val="003A3993"/>
    <w:rsid w:val="003A3E4F"/>
    <w:rsid w:val="003A3E96"/>
    <w:rsid w:val="003A3EF0"/>
    <w:rsid w:val="003A41C6"/>
    <w:rsid w:val="003A426B"/>
    <w:rsid w:val="003A44EE"/>
    <w:rsid w:val="003A4B66"/>
    <w:rsid w:val="003A4C47"/>
    <w:rsid w:val="003A4D15"/>
    <w:rsid w:val="003A53BE"/>
    <w:rsid w:val="003A56C3"/>
    <w:rsid w:val="003A5719"/>
    <w:rsid w:val="003A5F0E"/>
    <w:rsid w:val="003A6136"/>
    <w:rsid w:val="003A64E0"/>
    <w:rsid w:val="003A6598"/>
    <w:rsid w:val="003A6724"/>
    <w:rsid w:val="003A6760"/>
    <w:rsid w:val="003A6B4C"/>
    <w:rsid w:val="003A6CF7"/>
    <w:rsid w:val="003A6E1A"/>
    <w:rsid w:val="003A71AF"/>
    <w:rsid w:val="003A726D"/>
    <w:rsid w:val="003A742B"/>
    <w:rsid w:val="003A749A"/>
    <w:rsid w:val="003A7843"/>
    <w:rsid w:val="003A7855"/>
    <w:rsid w:val="003A785C"/>
    <w:rsid w:val="003A7A2D"/>
    <w:rsid w:val="003A7BB6"/>
    <w:rsid w:val="003A7C5E"/>
    <w:rsid w:val="003A7DDC"/>
    <w:rsid w:val="003A7F54"/>
    <w:rsid w:val="003B00EE"/>
    <w:rsid w:val="003B0B76"/>
    <w:rsid w:val="003B0BA1"/>
    <w:rsid w:val="003B0DE9"/>
    <w:rsid w:val="003B110C"/>
    <w:rsid w:val="003B15E7"/>
    <w:rsid w:val="003B186B"/>
    <w:rsid w:val="003B1A5A"/>
    <w:rsid w:val="003B1BEF"/>
    <w:rsid w:val="003B1C30"/>
    <w:rsid w:val="003B1EC4"/>
    <w:rsid w:val="003B1EEA"/>
    <w:rsid w:val="003B1FE9"/>
    <w:rsid w:val="003B2106"/>
    <w:rsid w:val="003B26DF"/>
    <w:rsid w:val="003B2876"/>
    <w:rsid w:val="003B28F3"/>
    <w:rsid w:val="003B2975"/>
    <w:rsid w:val="003B2B8B"/>
    <w:rsid w:val="003B2EF2"/>
    <w:rsid w:val="003B356D"/>
    <w:rsid w:val="003B380F"/>
    <w:rsid w:val="003B381E"/>
    <w:rsid w:val="003B397D"/>
    <w:rsid w:val="003B3B28"/>
    <w:rsid w:val="003B3BBE"/>
    <w:rsid w:val="003B3C0D"/>
    <w:rsid w:val="003B40F5"/>
    <w:rsid w:val="003B42BA"/>
    <w:rsid w:val="003B4585"/>
    <w:rsid w:val="003B4599"/>
    <w:rsid w:val="003B46D9"/>
    <w:rsid w:val="003B4764"/>
    <w:rsid w:val="003B4794"/>
    <w:rsid w:val="003B4A49"/>
    <w:rsid w:val="003B4CA5"/>
    <w:rsid w:val="003B4E71"/>
    <w:rsid w:val="003B519F"/>
    <w:rsid w:val="003B53C2"/>
    <w:rsid w:val="003B56C3"/>
    <w:rsid w:val="003B5C89"/>
    <w:rsid w:val="003B5DF7"/>
    <w:rsid w:val="003B60EC"/>
    <w:rsid w:val="003B61B7"/>
    <w:rsid w:val="003B61F9"/>
    <w:rsid w:val="003B628B"/>
    <w:rsid w:val="003B66E7"/>
    <w:rsid w:val="003B66EF"/>
    <w:rsid w:val="003B6DA3"/>
    <w:rsid w:val="003B710D"/>
    <w:rsid w:val="003B7595"/>
    <w:rsid w:val="003B76C7"/>
    <w:rsid w:val="003B7B41"/>
    <w:rsid w:val="003C02DD"/>
    <w:rsid w:val="003C0833"/>
    <w:rsid w:val="003C0983"/>
    <w:rsid w:val="003C09F7"/>
    <w:rsid w:val="003C0F2C"/>
    <w:rsid w:val="003C0F5E"/>
    <w:rsid w:val="003C1149"/>
    <w:rsid w:val="003C1240"/>
    <w:rsid w:val="003C134F"/>
    <w:rsid w:val="003C148C"/>
    <w:rsid w:val="003C148D"/>
    <w:rsid w:val="003C15E9"/>
    <w:rsid w:val="003C1A3B"/>
    <w:rsid w:val="003C1A56"/>
    <w:rsid w:val="003C1AE2"/>
    <w:rsid w:val="003C2265"/>
    <w:rsid w:val="003C265C"/>
    <w:rsid w:val="003C2706"/>
    <w:rsid w:val="003C2A72"/>
    <w:rsid w:val="003C2B00"/>
    <w:rsid w:val="003C2B52"/>
    <w:rsid w:val="003C2BE6"/>
    <w:rsid w:val="003C301F"/>
    <w:rsid w:val="003C32D9"/>
    <w:rsid w:val="003C32EA"/>
    <w:rsid w:val="003C348B"/>
    <w:rsid w:val="003C353F"/>
    <w:rsid w:val="003C35C6"/>
    <w:rsid w:val="003C389A"/>
    <w:rsid w:val="003C3B60"/>
    <w:rsid w:val="003C3BC2"/>
    <w:rsid w:val="003C3C62"/>
    <w:rsid w:val="003C3EA0"/>
    <w:rsid w:val="003C3EB2"/>
    <w:rsid w:val="003C417A"/>
    <w:rsid w:val="003C449B"/>
    <w:rsid w:val="003C47CB"/>
    <w:rsid w:val="003C48EE"/>
    <w:rsid w:val="003C4DF0"/>
    <w:rsid w:val="003C4DFE"/>
    <w:rsid w:val="003C4F44"/>
    <w:rsid w:val="003C4F8F"/>
    <w:rsid w:val="003C52EF"/>
    <w:rsid w:val="003C540C"/>
    <w:rsid w:val="003C557E"/>
    <w:rsid w:val="003C5A80"/>
    <w:rsid w:val="003C5D14"/>
    <w:rsid w:val="003C60B7"/>
    <w:rsid w:val="003C62E4"/>
    <w:rsid w:val="003C640F"/>
    <w:rsid w:val="003C6463"/>
    <w:rsid w:val="003C664F"/>
    <w:rsid w:val="003C6661"/>
    <w:rsid w:val="003C6B59"/>
    <w:rsid w:val="003C6D2A"/>
    <w:rsid w:val="003C6D7A"/>
    <w:rsid w:val="003C7167"/>
    <w:rsid w:val="003C72B6"/>
    <w:rsid w:val="003C743B"/>
    <w:rsid w:val="003C765B"/>
    <w:rsid w:val="003C7866"/>
    <w:rsid w:val="003C7E0B"/>
    <w:rsid w:val="003C7ECF"/>
    <w:rsid w:val="003CC2BA"/>
    <w:rsid w:val="003D02B3"/>
    <w:rsid w:val="003D0530"/>
    <w:rsid w:val="003D07E9"/>
    <w:rsid w:val="003D083A"/>
    <w:rsid w:val="003D097D"/>
    <w:rsid w:val="003D0A14"/>
    <w:rsid w:val="003D0B91"/>
    <w:rsid w:val="003D0EA8"/>
    <w:rsid w:val="003D1139"/>
    <w:rsid w:val="003D15B4"/>
    <w:rsid w:val="003D1837"/>
    <w:rsid w:val="003D1AE8"/>
    <w:rsid w:val="003D1B4D"/>
    <w:rsid w:val="003D1C76"/>
    <w:rsid w:val="003D1D26"/>
    <w:rsid w:val="003D1F47"/>
    <w:rsid w:val="003D1F69"/>
    <w:rsid w:val="003D2005"/>
    <w:rsid w:val="003D2570"/>
    <w:rsid w:val="003D26B2"/>
    <w:rsid w:val="003D299E"/>
    <w:rsid w:val="003D2BFE"/>
    <w:rsid w:val="003D2CA9"/>
    <w:rsid w:val="003D2E08"/>
    <w:rsid w:val="003D2ED2"/>
    <w:rsid w:val="003D2F45"/>
    <w:rsid w:val="003D2F4E"/>
    <w:rsid w:val="003D302E"/>
    <w:rsid w:val="003D33ED"/>
    <w:rsid w:val="003D3524"/>
    <w:rsid w:val="003D38F8"/>
    <w:rsid w:val="003D3911"/>
    <w:rsid w:val="003D3AB9"/>
    <w:rsid w:val="003D3C01"/>
    <w:rsid w:val="003D3C07"/>
    <w:rsid w:val="003D3C51"/>
    <w:rsid w:val="003D3D3C"/>
    <w:rsid w:val="003D3E56"/>
    <w:rsid w:val="003D41C0"/>
    <w:rsid w:val="003D442E"/>
    <w:rsid w:val="003D45B0"/>
    <w:rsid w:val="003D4828"/>
    <w:rsid w:val="003D4909"/>
    <w:rsid w:val="003D4ACA"/>
    <w:rsid w:val="003D4AEE"/>
    <w:rsid w:val="003D4F57"/>
    <w:rsid w:val="003D4F98"/>
    <w:rsid w:val="003D502F"/>
    <w:rsid w:val="003D50D5"/>
    <w:rsid w:val="003D539D"/>
    <w:rsid w:val="003D5561"/>
    <w:rsid w:val="003D55E1"/>
    <w:rsid w:val="003D5AD4"/>
    <w:rsid w:val="003D5BAC"/>
    <w:rsid w:val="003D5C13"/>
    <w:rsid w:val="003D61A5"/>
    <w:rsid w:val="003D641A"/>
    <w:rsid w:val="003D6535"/>
    <w:rsid w:val="003D6566"/>
    <w:rsid w:val="003D69AD"/>
    <w:rsid w:val="003D6DF7"/>
    <w:rsid w:val="003D6E99"/>
    <w:rsid w:val="003D6EE5"/>
    <w:rsid w:val="003D6FC1"/>
    <w:rsid w:val="003D6FE0"/>
    <w:rsid w:val="003D71EB"/>
    <w:rsid w:val="003D7396"/>
    <w:rsid w:val="003D748A"/>
    <w:rsid w:val="003D75A3"/>
    <w:rsid w:val="003D75EF"/>
    <w:rsid w:val="003D7CFD"/>
    <w:rsid w:val="003D7E9A"/>
    <w:rsid w:val="003D7EEE"/>
    <w:rsid w:val="003E0426"/>
    <w:rsid w:val="003E0663"/>
    <w:rsid w:val="003E0895"/>
    <w:rsid w:val="003E0ADF"/>
    <w:rsid w:val="003E0AFB"/>
    <w:rsid w:val="003E0D07"/>
    <w:rsid w:val="003E0EEB"/>
    <w:rsid w:val="003E104C"/>
    <w:rsid w:val="003E10B4"/>
    <w:rsid w:val="003E139A"/>
    <w:rsid w:val="003E169C"/>
    <w:rsid w:val="003E200E"/>
    <w:rsid w:val="003E20F9"/>
    <w:rsid w:val="003E2170"/>
    <w:rsid w:val="003E22CB"/>
    <w:rsid w:val="003E2343"/>
    <w:rsid w:val="003E28CB"/>
    <w:rsid w:val="003E29B4"/>
    <w:rsid w:val="003E2A66"/>
    <w:rsid w:val="003E2C38"/>
    <w:rsid w:val="003E2CEC"/>
    <w:rsid w:val="003E2D73"/>
    <w:rsid w:val="003E319B"/>
    <w:rsid w:val="003E3207"/>
    <w:rsid w:val="003E35E4"/>
    <w:rsid w:val="003E3629"/>
    <w:rsid w:val="003E36A2"/>
    <w:rsid w:val="003E396C"/>
    <w:rsid w:val="003E3A66"/>
    <w:rsid w:val="003E3C79"/>
    <w:rsid w:val="003E3E6F"/>
    <w:rsid w:val="003E3FC0"/>
    <w:rsid w:val="003E406B"/>
    <w:rsid w:val="003E4378"/>
    <w:rsid w:val="003E447F"/>
    <w:rsid w:val="003E4890"/>
    <w:rsid w:val="003E499A"/>
    <w:rsid w:val="003E4A6D"/>
    <w:rsid w:val="003E4A72"/>
    <w:rsid w:val="003E4AD4"/>
    <w:rsid w:val="003E4B58"/>
    <w:rsid w:val="003E4C9B"/>
    <w:rsid w:val="003E4E0C"/>
    <w:rsid w:val="003E4F96"/>
    <w:rsid w:val="003E52D7"/>
    <w:rsid w:val="003E54C2"/>
    <w:rsid w:val="003E5629"/>
    <w:rsid w:val="003E563B"/>
    <w:rsid w:val="003E5648"/>
    <w:rsid w:val="003E56CB"/>
    <w:rsid w:val="003E57D8"/>
    <w:rsid w:val="003E586A"/>
    <w:rsid w:val="003E597E"/>
    <w:rsid w:val="003E5BDD"/>
    <w:rsid w:val="003E5CCA"/>
    <w:rsid w:val="003E5D75"/>
    <w:rsid w:val="003E5E4E"/>
    <w:rsid w:val="003E5EDF"/>
    <w:rsid w:val="003E6385"/>
    <w:rsid w:val="003E63F2"/>
    <w:rsid w:val="003E6443"/>
    <w:rsid w:val="003E6485"/>
    <w:rsid w:val="003E6691"/>
    <w:rsid w:val="003E6A27"/>
    <w:rsid w:val="003E6A50"/>
    <w:rsid w:val="003E6F86"/>
    <w:rsid w:val="003E7004"/>
    <w:rsid w:val="003E7158"/>
    <w:rsid w:val="003E719C"/>
    <w:rsid w:val="003E73D4"/>
    <w:rsid w:val="003E7469"/>
    <w:rsid w:val="003E76DA"/>
    <w:rsid w:val="003E7773"/>
    <w:rsid w:val="003E77BB"/>
    <w:rsid w:val="003E7A33"/>
    <w:rsid w:val="003F0174"/>
    <w:rsid w:val="003F02B9"/>
    <w:rsid w:val="003F0360"/>
    <w:rsid w:val="003F040F"/>
    <w:rsid w:val="003F0463"/>
    <w:rsid w:val="003F0476"/>
    <w:rsid w:val="003F080A"/>
    <w:rsid w:val="003F0A49"/>
    <w:rsid w:val="003F0C54"/>
    <w:rsid w:val="003F0D84"/>
    <w:rsid w:val="003F0E40"/>
    <w:rsid w:val="003F0E7A"/>
    <w:rsid w:val="003F1002"/>
    <w:rsid w:val="003F115E"/>
    <w:rsid w:val="003F14C2"/>
    <w:rsid w:val="003F154A"/>
    <w:rsid w:val="003F19A2"/>
    <w:rsid w:val="003F19BD"/>
    <w:rsid w:val="003F1B50"/>
    <w:rsid w:val="003F1C46"/>
    <w:rsid w:val="003F1FD4"/>
    <w:rsid w:val="003F1FFE"/>
    <w:rsid w:val="003F2210"/>
    <w:rsid w:val="003F2222"/>
    <w:rsid w:val="003F22C5"/>
    <w:rsid w:val="003F2390"/>
    <w:rsid w:val="003F286C"/>
    <w:rsid w:val="003F2B81"/>
    <w:rsid w:val="003F2D7B"/>
    <w:rsid w:val="003F2E0F"/>
    <w:rsid w:val="003F2EE3"/>
    <w:rsid w:val="003F302C"/>
    <w:rsid w:val="003F3043"/>
    <w:rsid w:val="003F3314"/>
    <w:rsid w:val="003F34AB"/>
    <w:rsid w:val="003F38C5"/>
    <w:rsid w:val="003F3A0D"/>
    <w:rsid w:val="003F3DA0"/>
    <w:rsid w:val="003F3EB6"/>
    <w:rsid w:val="003F4180"/>
    <w:rsid w:val="003F4200"/>
    <w:rsid w:val="003F4272"/>
    <w:rsid w:val="003F434E"/>
    <w:rsid w:val="003F444A"/>
    <w:rsid w:val="003F46C5"/>
    <w:rsid w:val="003F47E1"/>
    <w:rsid w:val="003F4964"/>
    <w:rsid w:val="003F50A0"/>
    <w:rsid w:val="003F535C"/>
    <w:rsid w:val="003F5416"/>
    <w:rsid w:val="003F550B"/>
    <w:rsid w:val="003F558E"/>
    <w:rsid w:val="003F57C1"/>
    <w:rsid w:val="003F59FB"/>
    <w:rsid w:val="003F689E"/>
    <w:rsid w:val="003F68C9"/>
    <w:rsid w:val="003F6AF0"/>
    <w:rsid w:val="003F6BF0"/>
    <w:rsid w:val="003F6F54"/>
    <w:rsid w:val="003F6F79"/>
    <w:rsid w:val="003F7108"/>
    <w:rsid w:val="003F7196"/>
    <w:rsid w:val="003F75CB"/>
    <w:rsid w:val="003F75DD"/>
    <w:rsid w:val="003F7700"/>
    <w:rsid w:val="003F7797"/>
    <w:rsid w:val="003F7AA6"/>
    <w:rsid w:val="0040054A"/>
    <w:rsid w:val="004007D1"/>
    <w:rsid w:val="004008AF"/>
    <w:rsid w:val="00400928"/>
    <w:rsid w:val="00400ACF"/>
    <w:rsid w:val="00400B5F"/>
    <w:rsid w:val="00401284"/>
    <w:rsid w:val="0040142D"/>
    <w:rsid w:val="00401450"/>
    <w:rsid w:val="004015EC"/>
    <w:rsid w:val="004015FA"/>
    <w:rsid w:val="00401781"/>
    <w:rsid w:val="00401879"/>
    <w:rsid w:val="00401A6E"/>
    <w:rsid w:val="00401B9B"/>
    <w:rsid w:val="00401DBF"/>
    <w:rsid w:val="004022E5"/>
    <w:rsid w:val="004022EF"/>
    <w:rsid w:val="00402329"/>
    <w:rsid w:val="00402342"/>
    <w:rsid w:val="00402388"/>
    <w:rsid w:val="004024F8"/>
    <w:rsid w:val="0040262D"/>
    <w:rsid w:val="004027EF"/>
    <w:rsid w:val="00402807"/>
    <w:rsid w:val="00402915"/>
    <w:rsid w:val="00402CDC"/>
    <w:rsid w:val="00402D3C"/>
    <w:rsid w:val="004031FC"/>
    <w:rsid w:val="004033D9"/>
    <w:rsid w:val="004035C6"/>
    <w:rsid w:val="004036DA"/>
    <w:rsid w:val="00403757"/>
    <w:rsid w:val="00403A09"/>
    <w:rsid w:val="00403B58"/>
    <w:rsid w:val="00403C2A"/>
    <w:rsid w:val="00403D0A"/>
    <w:rsid w:val="00403E30"/>
    <w:rsid w:val="00403F29"/>
    <w:rsid w:val="0040440D"/>
    <w:rsid w:val="004046E1"/>
    <w:rsid w:val="004049C6"/>
    <w:rsid w:val="00404A94"/>
    <w:rsid w:val="00404C99"/>
    <w:rsid w:val="00404EAD"/>
    <w:rsid w:val="0040517F"/>
    <w:rsid w:val="0040533E"/>
    <w:rsid w:val="0040546E"/>
    <w:rsid w:val="0040551F"/>
    <w:rsid w:val="00405A43"/>
    <w:rsid w:val="00405F20"/>
    <w:rsid w:val="00405FBA"/>
    <w:rsid w:val="00406319"/>
    <w:rsid w:val="00406588"/>
    <w:rsid w:val="004066A7"/>
    <w:rsid w:val="004066D0"/>
    <w:rsid w:val="00406710"/>
    <w:rsid w:val="00406A9D"/>
    <w:rsid w:val="00406B6F"/>
    <w:rsid w:val="00406E62"/>
    <w:rsid w:val="0040712E"/>
    <w:rsid w:val="0040771F"/>
    <w:rsid w:val="004078A9"/>
    <w:rsid w:val="00407B16"/>
    <w:rsid w:val="00410018"/>
    <w:rsid w:val="00410441"/>
    <w:rsid w:val="00410549"/>
    <w:rsid w:val="004105A8"/>
    <w:rsid w:val="004108D0"/>
    <w:rsid w:val="00410AC4"/>
    <w:rsid w:val="004110A0"/>
    <w:rsid w:val="004111F7"/>
    <w:rsid w:val="004113F6"/>
    <w:rsid w:val="004114D4"/>
    <w:rsid w:val="00411A21"/>
    <w:rsid w:val="00411B39"/>
    <w:rsid w:val="00411B5A"/>
    <w:rsid w:val="00411E49"/>
    <w:rsid w:val="00411FC4"/>
    <w:rsid w:val="0041217D"/>
    <w:rsid w:val="004122DC"/>
    <w:rsid w:val="004123EA"/>
    <w:rsid w:val="00412497"/>
    <w:rsid w:val="00412499"/>
    <w:rsid w:val="004125C6"/>
    <w:rsid w:val="0041275F"/>
    <w:rsid w:val="00412DE8"/>
    <w:rsid w:val="00412F11"/>
    <w:rsid w:val="00413085"/>
    <w:rsid w:val="00413637"/>
    <w:rsid w:val="00413830"/>
    <w:rsid w:val="00413BD4"/>
    <w:rsid w:val="00413C89"/>
    <w:rsid w:val="00413DBB"/>
    <w:rsid w:val="00413DF0"/>
    <w:rsid w:val="00413F40"/>
    <w:rsid w:val="004144C9"/>
    <w:rsid w:val="004147F7"/>
    <w:rsid w:val="004149BE"/>
    <w:rsid w:val="00414AEA"/>
    <w:rsid w:val="00414BA6"/>
    <w:rsid w:val="00414C10"/>
    <w:rsid w:val="00414D56"/>
    <w:rsid w:val="00414DBE"/>
    <w:rsid w:val="00414EA2"/>
    <w:rsid w:val="00415039"/>
    <w:rsid w:val="0041515E"/>
    <w:rsid w:val="004154A8"/>
    <w:rsid w:val="00415546"/>
    <w:rsid w:val="004159E2"/>
    <w:rsid w:val="00415C84"/>
    <w:rsid w:val="00415C88"/>
    <w:rsid w:val="004162DF"/>
    <w:rsid w:val="00416679"/>
    <w:rsid w:val="00416773"/>
    <w:rsid w:val="0041691D"/>
    <w:rsid w:val="00416AE5"/>
    <w:rsid w:val="00416C16"/>
    <w:rsid w:val="00416F2A"/>
    <w:rsid w:val="00416FA1"/>
    <w:rsid w:val="00417298"/>
    <w:rsid w:val="0041738F"/>
    <w:rsid w:val="00417779"/>
    <w:rsid w:val="004178F6"/>
    <w:rsid w:val="004179FF"/>
    <w:rsid w:val="00417A13"/>
    <w:rsid w:val="00417BC5"/>
    <w:rsid w:val="00417E1A"/>
    <w:rsid w:val="004200CF"/>
    <w:rsid w:val="00420618"/>
    <w:rsid w:val="00420663"/>
    <w:rsid w:val="00420759"/>
    <w:rsid w:val="00420824"/>
    <w:rsid w:val="00420878"/>
    <w:rsid w:val="00420889"/>
    <w:rsid w:val="004208D7"/>
    <w:rsid w:val="00420B13"/>
    <w:rsid w:val="00420B44"/>
    <w:rsid w:val="00420C2A"/>
    <w:rsid w:val="00420CF1"/>
    <w:rsid w:val="00420FC4"/>
    <w:rsid w:val="00421326"/>
    <w:rsid w:val="0042185D"/>
    <w:rsid w:val="00421A6F"/>
    <w:rsid w:val="00421A89"/>
    <w:rsid w:val="00421CA9"/>
    <w:rsid w:val="00421CF9"/>
    <w:rsid w:val="00421D76"/>
    <w:rsid w:val="00421E88"/>
    <w:rsid w:val="00421EBC"/>
    <w:rsid w:val="0042247A"/>
    <w:rsid w:val="00422C59"/>
    <w:rsid w:val="00422C7E"/>
    <w:rsid w:val="0042304B"/>
    <w:rsid w:val="00423270"/>
    <w:rsid w:val="00423302"/>
    <w:rsid w:val="00423331"/>
    <w:rsid w:val="004234FE"/>
    <w:rsid w:val="00423621"/>
    <w:rsid w:val="00423903"/>
    <w:rsid w:val="00423E99"/>
    <w:rsid w:val="00423E9E"/>
    <w:rsid w:val="00423EA8"/>
    <w:rsid w:val="00423F28"/>
    <w:rsid w:val="0042406C"/>
    <w:rsid w:val="00424084"/>
    <w:rsid w:val="0042469C"/>
    <w:rsid w:val="00424CD2"/>
    <w:rsid w:val="00424CE9"/>
    <w:rsid w:val="00424F52"/>
    <w:rsid w:val="00425389"/>
    <w:rsid w:val="00425407"/>
    <w:rsid w:val="004254FC"/>
    <w:rsid w:val="0042550E"/>
    <w:rsid w:val="004255ED"/>
    <w:rsid w:val="00425A35"/>
    <w:rsid w:val="00425D97"/>
    <w:rsid w:val="00426009"/>
    <w:rsid w:val="004261CF"/>
    <w:rsid w:val="0042626B"/>
    <w:rsid w:val="00426321"/>
    <w:rsid w:val="0042662D"/>
    <w:rsid w:val="00426673"/>
    <w:rsid w:val="004266F3"/>
    <w:rsid w:val="00426D28"/>
    <w:rsid w:val="00426EC0"/>
    <w:rsid w:val="00426FCE"/>
    <w:rsid w:val="004273AD"/>
    <w:rsid w:val="004273ED"/>
    <w:rsid w:val="004276B3"/>
    <w:rsid w:val="004277BC"/>
    <w:rsid w:val="00430261"/>
    <w:rsid w:val="004305AE"/>
    <w:rsid w:val="00430C54"/>
    <w:rsid w:val="00430CCD"/>
    <w:rsid w:val="00430EE1"/>
    <w:rsid w:val="00431061"/>
    <w:rsid w:val="004310CE"/>
    <w:rsid w:val="0043119F"/>
    <w:rsid w:val="004311E7"/>
    <w:rsid w:val="004316B8"/>
    <w:rsid w:val="00431800"/>
    <w:rsid w:val="00431BAD"/>
    <w:rsid w:val="00431EA6"/>
    <w:rsid w:val="00432419"/>
    <w:rsid w:val="004324D4"/>
    <w:rsid w:val="0043267C"/>
    <w:rsid w:val="00432A7A"/>
    <w:rsid w:val="00432AEA"/>
    <w:rsid w:val="00432DC7"/>
    <w:rsid w:val="00432EB8"/>
    <w:rsid w:val="0043301F"/>
    <w:rsid w:val="0043304A"/>
    <w:rsid w:val="0043312A"/>
    <w:rsid w:val="00433191"/>
    <w:rsid w:val="0043324E"/>
    <w:rsid w:val="00433354"/>
    <w:rsid w:val="00433541"/>
    <w:rsid w:val="004336CC"/>
    <w:rsid w:val="0043379A"/>
    <w:rsid w:val="00433981"/>
    <w:rsid w:val="00433CDA"/>
    <w:rsid w:val="00433F14"/>
    <w:rsid w:val="00433FC6"/>
    <w:rsid w:val="00433FC8"/>
    <w:rsid w:val="004340D1"/>
    <w:rsid w:val="0043414A"/>
    <w:rsid w:val="004342AC"/>
    <w:rsid w:val="00434335"/>
    <w:rsid w:val="004344EC"/>
    <w:rsid w:val="00434526"/>
    <w:rsid w:val="00434683"/>
    <w:rsid w:val="004347DC"/>
    <w:rsid w:val="00434C54"/>
    <w:rsid w:val="00434CE6"/>
    <w:rsid w:val="0043525F"/>
    <w:rsid w:val="004355E9"/>
    <w:rsid w:val="00435780"/>
    <w:rsid w:val="004358EE"/>
    <w:rsid w:val="004359BF"/>
    <w:rsid w:val="00435A9C"/>
    <w:rsid w:val="00435B57"/>
    <w:rsid w:val="00435E2E"/>
    <w:rsid w:val="00435EAF"/>
    <w:rsid w:val="004361E1"/>
    <w:rsid w:val="0043630A"/>
    <w:rsid w:val="00436514"/>
    <w:rsid w:val="0043677B"/>
    <w:rsid w:val="00436940"/>
    <w:rsid w:val="00436D79"/>
    <w:rsid w:val="00436E5D"/>
    <w:rsid w:val="00436EEA"/>
    <w:rsid w:val="004372B1"/>
    <w:rsid w:val="004378B4"/>
    <w:rsid w:val="00437D90"/>
    <w:rsid w:val="0044013D"/>
    <w:rsid w:val="004402B6"/>
    <w:rsid w:val="0044041A"/>
    <w:rsid w:val="004406BF"/>
    <w:rsid w:val="00440A4C"/>
    <w:rsid w:val="00440B8B"/>
    <w:rsid w:val="00440D5F"/>
    <w:rsid w:val="0044105C"/>
    <w:rsid w:val="00441220"/>
    <w:rsid w:val="0044142E"/>
    <w:rsid w:val="0044154D"/>
    <w:rsid w:val="00441939"/>
    <w:rsid w:val="00441A35"/>
    <w:rsid w:val="00441A86"/>
    <w:rsid w:val="00441B04"/>
    <w:rsid w:val="00441CB0"/>
    <w:rsid w:val="00441DC7"/>
    <w:rsid w:val="00441EB0"/>
    <w:rsid w:val="00441ED3"/>
    <w:rsid w:val="00442172"/>
    <w:rsid w:val="0044223A"/>
    <w:rsid w:val="004423F7"/>
    <w:rsid w:val="004424D3"/>
    <w:rsid w:val="004425FD"/>
    <w:rsid w:val="0044268B"/>
    <w:rsid w:val="004426FB"/>
    <w:rsid w:val="00442708"/>
    <w:rsid w:val="00442A49"/>
    <w:rsid w:val="00442BDA"/>
    <w:rsid w:val="00442CDD"/>
    <w:rsid w:val="00442F47"/>
    <w:rsid w:val="004434D5"/>
    <w:rsid w:val="004436D1"/>
    <w:rsid w:val="004439C6"/>
    <w:rsid w:val="004439CA"/>
    <w:rsid w:val="00443AFB"/>
    <w:rsid w:val="00443BCC"/>
    <w:rsid w:val="00443CB1"/>
    <w:rsid w:val="00443CE0"/>
    <w:rsid w:val="00443DFA"/>
    <w:rsid w:val="004448E0"/>
    <w:rsid w:val="00444AD4"/>
    <w:rsid w:val="00444C67"/>
    <w:rsid w:val="00444E36"/>
    <w:rsid w:val="00444E85"/>
    <w:rsid w:val="00445501"/>
    <w:rsid w:val="00445C75"/>
    <w:rsid w:val="00445DF4"/>
    <w:rsid w:val="0044606B"/>
    <w:rsid w:val="004460F7"/>
    <w:rsid w:val="004461AB"/>
    <w:rsid w:val="004461AE"/>
    <w:rsid w:val="0044637A"/>
    <w:rsid w:val="0044690B"/>
    <w:rsid w:val="004469E4"/>
    <w:rsid w:val="00446B45"/>
    <w:rsid w:val="00446BB4"/>
    <w:rsid w:val="00446BBE"/>
    <w:rsid w:val="00446D59"/>
    <w:rsid w:val="00446D7F"/>
    <w:rsid w:val="00446FAC"/>
    <w:rsid w:val="004475A4"/>
    <w:rsid w:val="00447695"/>
    <w:rsid w:val="0044782C"/>
    <w:rsid w:val="0044789F"/>
    <w:rsid w:val="00447AA2"/>
    <w:rsid w:val="00447CE4"/>
    <w:rsid w:val="00447CFA"/>
    <w:rsid w:val="004500A8"/>
    <w:rsid w:val="004505C8"/>
    <w:rsid w:val="0045071B"/>
    <w:rsid w:val="0045093D"/>
    <w:rsid w:val="0045099F"/>
    <w:rsid w:val="00450A11"/>
    <w:rsid w:val="00450C6C"/>
    <w:rsid w:val="00451095"/>
    <w:rsid w:val="0045111D"/>
    <w:rsid w:val="004511BB"/>
    <w:rsid w:val="004513AA"/>
    <w:rsid w:val="00451423"/>
    <w:rsid w:val="00451645"/>
    <w:rsid w:val="00451C05"/>
    <w:rsid w:val="00451D44"/>
    <w:rsid w:val="00451D57"/>
    <w:rsid w:val="00451E70"/>
    <w:rsid w:val="004525F9"/>
    <w:rsid w:val="00452A30"/>
    <w:rsid w:val="00452F8A"/>
    <w:rsid w:val="00452FCD"/>
    <w:rsid w:val="004532D0"/>
    <w:rsid w:val="00453362"/>
    <w:rsid w:val="00453634"/>
    <w:rsid w:val="004539BB"/>
    <w:rsid w:val="00453A69"/>
    <w:rsid w:val="00453B01"/>
    <w:rsid w:val="00454472"/>
    <w:rsid w:val="004546B7"/>
    <w:rsid w:val="00454F8E"/>
    <w:rsid w:val="00455366"/>
    <w:rsid w:val="004555AA"/>
    <w:rsid w:val="004558C9"/>
    <w:rsid w:val="00455D7C"/>
    <w:rsid w:val="0045623D"/>
    <w:rsid w:val="0045637F"/>
    <w:rsid w:val="004569D4"/>
    <w:rsid w:val="00456A5F"/>
    <w:rsid w:val="00456BA1"/>
    <w:rsid w:val="004577D1"/>
    <w:rsid w:val="004577E1"/>
    <w:rsid w:val="00457A19"/>
    <w:rsid w:val="00457FB4"/>
    <w:rsid w:val="00460315"/>
    <w:rsid w:val="0046032C"/>
    <w:rsid w:val="004608FB"/>
    <w:rsid w:val="00460DC6"/>
    <w:rsid w:val="00460DD2"/>
    <w:rsid w:val="00460F36"/>
    <w:rsid w:val="00460F96"/>
    <w:rsid w:val="00461266"/>
    <w:rsid w:val="0046129B"/>
    <w:rsid w:val="0046134C"/>
    <w:rsid w:val="00461365"/>
    <w:rsid w:val="00461890"/>
    <w:rsid w:val="00461A09"/>
    <w:rsid w:val="00461BFF"/>
    <w:rsid w:val="00461F4A"/>
    <w:rsid w:val="00462149"/>
    <w:rsid w:val="004621EF"/>
    <w:rsid w:val="0046237F"/>
    <w:rsid w:val="004623C0"/>
    <w:rsid w:val="00462778"/>
    <w:rsid w:val="00462818"/>
    <w:rsid w:val="004628C0"/>
    <w:rsid w:val="004628FA"/>
    <w:rsid w:val="00462D72"/>
    <w:rsid w:val="00462D9E"/>
    <w:rsid w:val="004634E3"/>
    <w:rsid w:val="004635A4"/>
    <w:rsid w:val="004638FA"/>
    <w:rsid w:val="00463987"/>
    <w:rsid w:val="00463CC8"/>
    <w:rsid w:val="00463E3C"/>
    <w:rsid w:val="00463F55"/>
    <w:rsid w:val="004640BA"/>
    <w:rsid w:val="00464385"/>
    <w:rsid w:val="00464942"/>
    <w:rsid w:val="00464B7C"/>
    <w:rsid w:val="00464BF6"/>
    <w:rsid w:val="00464CE8"/>
    <w:rsid w:val="00464E4D"/>
    <w:rsid w:val="00464F6C"/>
    <w:rsid w:val="00465324"/>
    <w:rsid w:val="00465342"/>
    <w:rsid w:val="0046560E"/>
    <w:rsid w:val="0046565A"/>
    <w:rsid w:val="004657A7"/>
    <w:rsid w:val="00465CE4"/>
    <w:rsid w:val="00465D0E"/>
    <w:rsid w:val="00465E25"/>
    <w:rsid w:val="0046617F"/>
    <w:rsid w:val="00466396"/>
    <w:rsid w:val="004663C3"/>
    <w:rsid w:val="00466471"/>
    <w:rsid w:val="004667FD"/>
    <w:rsid w:val="00466C75"/>
    <w:rsid w:val="00467352"/>
    <w:rsid w:val="00467693"/>
    <w:rsid w:val="004677EA"/>
    <w:rsid w:val="0046798E"/>
    <w:rsid w:val="00467BC2"/>
    <w:rsid w:val="0047065F"/>
    <w:rsid w:val="004709E7"/>
    <w:rsid w:val="00470A53"/>
    <w:rsid w:val="00470A98"/>
    <w:rsid w:val="00470DB9"/>
    <w:rsid w:val="00470EFE"/>
    <w:rsid w:val="00471115"/>
    <w:rsid w:val="0047129C"/>
    <w:rsid w:val="00471444"/>
    <w:rsid w:val="00471547"/>
    <w:rsid w:val="004719C0"/>
    <w:rsid w:val="00471A7A"/>
    <w:rsid w:val="00471D0D"/>
    <w:rsid w:val="00472110"/>
    <w:rsid w:val="0047216E"/>
    <w:rsid w:val="00472303"/>
    <w:rsid w:val="004728CA"/>
    <w:rsid w:val="00472A70"/>
    <w:rsid w:val="004730B6"/>
    <w:rsid w:val="0047315F"/>
    <w:rsid w:val="00473422"/>
    <w:rsid w:val="00473618"/>
    <w:rsid w:val="00473689"/>
    <w:rsid w:val="0047369C"/>
    <w:rsid w:val="0047378B"/>
    <w:rsid w:val="004739B9"/>
    <w:rsid w:val="00473AE9"/>
    <w:rsid w:val="00473CBE"/>
    <w:rsid w:val="00473D33"/>
    <w:rsid w:val="00473DBC"/>
    <w:rsid w:val="00473DF0"/>
    <w:rsid w:val="00473F05"/>
    <w:rsid w:val="004741F1"/>
    <w:rsid w:val="00474310"/>
    <w:rsid w:val="00474418"/>
    <w:rsid w:val="0047496F"/>
    <w:rsid w:val="00474C68"/>
    <w:rsid w:val="00474D68"/>
    <w:rsid w:val="00474DD9"/>
    <w:rsid w:val="00474E01"/>
    <w:rsid w:val="00474EB0"/>
    <w:rsid w:val="00475559"/>
    <w:rsid w:val="00475675"/>
    <w:rsid w:val="004756EF"/>
    <w:rsid w:val="00475781"/>
    <w:rsid w:val="00475836"/>
    <w:rsid w:val="0047585F"/>
    <w:rsid w:val="00475CFC"/>
    <w:rsid w:val="00475FFF"/>
    <w:rsid w:val="00476339"/>
    <w:rsid w:val="00476B63"/>
    <w:rsid w:val="00476C0A"/>
    <w:rsid w:val="0047706C"/>
    <w:rsid w:val="00477215"/>
    <w:rsid w:val="004773A4"/>
    <w:rsid w:val="004773D1"/>
    <w:rsid w:val="004779A2"/>
    <w:rsid w:val="004779AA"/>
    <w:rsid w:val="004779BD"/>
    <w:rsid w:val="00477AF5"/>
    <w:rsid w:val="00477B31"/>
    <w:rsid w:val="00477E5B"/>
    <w:rsid w:val="004802A3"/>
    <w:rsid w:val="004805C8"/>
    <w:rsid w:val="00480851"/>
    <w:rsid w:val="00480C79"/>
    <w:rsid w:val="00480CEC"/>
    <w:rsid w:val="00480E0C"/>
    <w:rsid w:val="00481227"/>
    <w:rsid w:val="0048163B"/>
    <w:rsid w:val="00481C9C"/>
    <w:rsid w:val="00481E43"/>
    <w:rsid w:val="00481E9A"/>
    <w:rsid w:val="00481EB0"/>
    <w:rsid w:val="00481FC6"/>
    <w:rsid w:val="00482347"/>
    <w:rsid w:val="00482476"/>
    <w:rsid w:val="0048256A"/>
    <w:rsid w:val="00482654"/>
    <w:rsid w:val="00482804"/>
    <w:rsid w:val="00482B47"/>
    <w:rsid w:val="00483081"/>
    <w:rsid w:val="0048323E"/>
    <w:rsid w:val="00483367"/>
    <w:rsid w:val="004833EB"/>
    <w:rsid w:val="00483498"/>
    <w:rsid w:val="004835C9"/>
    <w:rsid w:val="004835E9"/>
    <w:rsid w:val="00483701"/>
    <w:rsid w:val="00483703"/>
    <w:rsid w:val="004838B0"/>
    <w:rsid w:val="004839AE"/>
    <w:rsid w:val="00483A23"/>
    <w:rsid w:val="00483B42"/>
    <w:rsid w:val="00483E51"/>
    <w:rsid w:val="00483F6F"/>
    <w:rsid w:val="00483F82"/>
    <w:rsid w:val="00484141"/>
    <w:rsid w:val="00484164"/>
    <w:rsid w:val="004848BF"/>
    <w:rsid w:val="00484A08"/>
    <w:rsid w:val="00484DC5"/>
    <w:rsid w:val="004850A0"/>
    <w:rsid w:val="004850F5"/>
    <w:rsid w:val="00485253"/>
    <w:rsid w:val="0048526E"/>
    <w:rsid w:val="00485289"/>
    <w:rsid w:val="00485356"/>
    <w:rsid w:val="00485675"/>
    <w:rsid w:val="004857ED"/>
    <w:rsid w:val="004859CA"/>
    <w:rsid w:val="00485B7A"/>
    <w:rsid w:val="00485BA6"/>
    <w:rsid w:val="00485C6F"/>
    <w:rsid w:val="00485DE7"/>
    <w:rsid w:val="0048606F"/>
    <w:rsid w:val="0048648D"/>
    <w:rsid w:val="00486694"/>
    <w:rsid w:val="0048682A"/>
    <w:rsid w:val="0048687D"/>
    <w:rsid w:val="004869F8"/>
    <w:rsid w:val="00486BD2"/>
    <w:rsid w:val="00486C39"/>
    <w:rsid w:val="00486C9B"/>
    <w:rsid w:val="00486E64"/>
    <w:rsid w:val="00486EC6"/>
    <w:rsid w:val="00487069"/>
    <w:rsid w:val="0048733F"/>
    <w:rsid w:val="004874A3"/>
    <w:rsid w:val="004875D0"/>
    <w:rsid w:val="00487863"/>
    <w:rsid w:val="00487B54"/>
    <w:rsid w:val="00487C85"/>
    <w:rsid w:val="00487CE4"/>
    <w:rsid w:val="00487FD1"/>
    <w:rsid w:val="004902B9"/>
    <w:rsid w:val="0049043E"/>
    <w:rsid w:val="0049044F"/>
    <w:rsid w:val="00490462"/>
    <w:rsid w:val="004907BA"/>
    <w:rsid w:val="00490B97"/>
    <w:rsid w:val="00490DC4"/>
    <w:rsid w:val="0049103F"/>
    <w:rsid w:val="0049112C"/>
    <w:rsid w:val="0049143C"/>
    <w:rsid w:val="0049163C"/>
    <w:rsid w:val="004918C3"/>
    <w:rsid w:val="00492654"/>
    <w:rsid w:val="004927AD"/>
    <w:rsid w:val="00492B1F"/>
    <w:rsid w:val="00492CAC"/>
    <w:rsid w:val="00492F09"/>
    <w:rsid w:val="0049302B"/>
    <w:rsid w:val="00493181"/>
    <w:rsid w:val="0049320B"/>
    <w:rsid w:val="0049358D"/>
    <w:rsid w:val="004935F1"/>
    <w:rsid w:val="0049371F"/>
    <w:rsid w:val="004939E1"/>
    <w:rsid w:val="00493B63"/>
    <w:rsid w:val="00493F1E"/>
    <w:rsid w:val="00494039"/>
    <w:rsid w:val="00494061"/>
    <w:rsid w:val="00494707"/>
    <w:rsid w:val="0049471D"/>
    <w:rsid w:val="00494A17"/>
    <w:rsid w:val="00494B57"/>
    <w:rsid w:val="00494E00"/>
    <w:rsid w:val="00494F64"/>
    <w:rsid w:val="004951C1"/>
    <w:rsid w:val="0049522C"/>
    <w:rsid w:val="0049527E"/>
    <w:rsid w:val="004953E3"/>
    <w:rsid w:val="00495569"/>
    <w:rsid w:val="004955DF"/>
    <w:rsid w:val="004957FB"/>
    <w:rsid w:val="00495A88"/>
    <w:rsid w:val="00495E1D"/>
    <w:rsid w:val="00495E45"/>
    <w:rsid w:val="00495E6A"/>
    <w:rsid w:val="0049630D"/>
    <w:rsid w:val="004965C2"/>
    <w:rsid w:val="00496D52"/>
    <w:rsid w:val="00496D6E"/>
    <w:rsid w:val="00496E67"/>
    <w:rsid w:val="00497010"/>
    <w:rsid w:val="00497012"/>
    <w:rsid w:val="00497053"/>
    <w:rsid w:val="0049759F"/>
    <w:rsid w:val="00497800"/>
    <w:rsid w:val="004978FF"/>
    <w:rsid w:val="00497B9F"/>
    <w:rsid w:val="00497D79"/>
    <w:rsid w:val="00497DB3"/>
    <w:rsid w:val="00497E39"/>
    <w:rsid w:val="00497FE9"/>
    <w:rsid w:val="004A019E"/>
    <w:rsid w:val="004A0636"/>
    <w:rsid w:val="004A0E58"/>
    <w:rsid w:val="004A0F08"/>
    <w:rsid w:val="004A0FF1"/>
    <w:rsid w:val="004A12B0"/>
    <w:rsid w:val="004A139F"/>
    <w:rsid w:val="004A157B"/>
    <w:rsid w:val="004A1632"/>
    <w:rsid w:val="004A1895"/>
    <w:rsid w:val="004A1991"/>
    <w:rsid w:val="004A1B84"/>
    <w:rsid w:val="004A1CEE"/>
    <w:rsid w:val="004A1D19"/>
    <w:rsid w:val="004A1E08"/>
    <w:rsid w:val="004A1EDC"/>
    <w:rsid w:val="004A1F02"/>
    <w:rsid w:val="004A2007"/>
    <w:rsid w:val="004A2040"/>
    <w:rsid w:val="004A2084"/>
    <w:rsid w:val="004A21BB"/>
    <w:rsid w:val="004A234A"/>
    <w:rsid w:val="004A23C0"/>
    <w:rsid w:val="004A2410"/>
    <w:rsid w:val="004A284F"/>
    <w:rsid w:val="004A2BDE"/>
    <w:rsid w:val="004A2E9D"/>
    <w:rsid w:val="004A31A1"/>
    <w:rsid w:val="004A35A7"/>
    <w:rsid w:val="004A35B0"/>
    <w:rsid w:val="004A3636"/>
    <w:rsid w:val="004A366E"/>
    <w:rsid w:val="004A38EC"/>
    <w:rsid w:val="004A3DFC"/>
    <w:rsid w:val="004A4168"/>
    <w:rsid w:val="004A4169"/>
    <w:rsid w:val="004A42B8"/>
    <w:rsid w:val="004A4430"/>
    <w:rsid w:val="004A4743"/>
    <w:rsid w:val="004A4B50"/>
    <w:rsid w:val="004A4D14"/>
    <w:rsid w:val="004A4E0A"/>
    <w:rsid w:val="004A4E4E"/>
    <w:rsid w:val="004A4E8D"/>
    <w:rsid w:val="004A4FDF"/>
    <w:rsid w:val="004A50B7"/>
    <w:rsid w:val="004A5172"/>
    <w:rsid w:val="004A5489"/>
    <w:rsid w:val="004A5C25"/>
    <w:rsid w:val="004A5E73"/>
    <w:rsid w:val="004A5F5D"/>
    <w:rsid w:val="004A64C0"/>
    <w:rsid w:val="004A6524"/>
    <w:rsid w:val="004A6756"/>
    <w:rsid w:val="004A67C0"/>
    <w:rsid w:val="004A6980"/>
    <w:rsid w:val="004A6B5E"/>
    <w:rsid w:val="004A7172"/>
    <w:rsid w:val="004A72C9"/>
    <w:rsid w:val="004A7510"/>
    <w:rsid w:val="004A77ED"/>
    <w:rsid w:val="004A7A52"/>
    <w:rsid w:val="004A7AC9"/>
    <w:rsid w:val="004A7C60"/>
    <w:rsid w:val="004A7DF7"/>
    <w:rsid w:val="004A7EB5"/>
    <w:rsid w:val="004A7F7D"/>
    <w:rsid w:val="004A7FAB"/>
    <w:rsid w:val="004B01A2"/>
    <w:rsid w:val="004B028B"/>
    <w:rsid w:val="004B05C6"/>
    <w:rsid w:val="004B082A"/>
    <w:rsid w:val="004B0892"/>
    <w:rsid w:val="004B0919"/>
    <w:rsid w:val="004B0C65"/>
    <w:rsid w:val="004B108C"/>
    <w:rsid w:val="004B15A2"/>
    <w:rsid w:val="004B17A3"/>
    <w:rsid w:val="004B19FE"/>
    <w:rsid w:val="004B1A8F"/>
    <w:rsid w:val="004B1E63"/>
    <w:rsid w:val="004B20B9"/>
    <w:rsid w:val="004B24DA"/>
    <w:rsid w:val="004B266D"/>
    <w:rsid w:val="004B2A4D"/>
    <w:rsid w:val="004B2F45"/>
    <w:rsid w:val="004B32D8"/>
    <w:rsid w:val="004B33C2"/>
    <w:rsid w:val="004B3C0F"/>
    <w:rsid w:val="004B4214"/>
    <w:rsid w:val="004B4777"/>
    <w:rsid w:val="004B47F6"/>
    <w:rsid w:val="004B4823"/>
    <w:rsid w:val="004B4BB5"/>
    <w:rsid w:val="004B4C41"/>
    <w:rsid w:val="004B4D15"/>
    <w:rsid w:val="004B54B0"/>
    <w:rsid w:val="004B54C5"/>
    <w:rsid w:val="004B54E2"/>
    <w:rsid w:val="004B560F"/>
    <w:rsid w:val="004B5BFA"/>
    <w:rsid w:val="004B5EC0"/>
    <w:rsid w:val="004B5F60"/>
    <w:rsid w:val="004B652E"/>
    <w:rsid w:val="004B689D"/>
    <w:rsid w:val="004B68CA"/>
    <w:rsid w:val="004B6990"/>
    <w:rsid w:val="004B69B1"/>
    <w:rsid w:val="004B6B1D"/>
    <w:rsid w:val="004B6BC1"/>
    <w:rsid w:val="004B6D6E"/>
    <w:rsid w:val="004B6DD2"/>
    <w:rsid w:val="004B7292"/>
    <w:rsid w:val="004B7640"/>
    <w:rsid w:val="004B7D8B"/>
    <w:rsid w:val="004B7ECC"/>
    <w:rsid w:val="004B7F87"/>
    <w:rsid w:val="004C002A"/>
    <w:rsid w:val="004C00AD"/>
    <w:rsid w:val="004C0163"/>
    <w:rsid w:val="004C0318"/>
    <w:rsid w:val="004C038C"/>
    <w:rsid w:val="004C04EC"/>
    <w:rsid w:val="004C06E4"/>
    <w:rsid w:val="004C0753"/>
    <w:rsid w:val="004C09E4"/>
    <w:rsid w:val="004C09F9"/>
    <w:rsid w:val="004C0C1B"/>
    <w:rsid w:val="004C0D37"/>
    <w:rsid w:val="004C0E97"/>
    <w:rsid w:val="004C1131"/>
    <w:rsid w:val="004C12D8"/>
    <w:rsid w:val="004C15B8"/>
    <w:rsid w:val="004C1C0A"/>
    <w:rsid w:val="004C1C6D"/>
    <w:rsid w:val="004C1E52"/>
    <w:rsid w:val="004C1FD3"/>
    <w:rsid w:val="004C2008"/>
    <w:rsid w:val="004C2104"/>
    <w:rsid w:val="004C21E6"/>
    <w:rsid w:val="004C2271"/>
    <w:rsid w:val="004C2372"/>
    <w:rsid w:val="004C2545"/>
    <w:rsid w:val="004C2689"/>
    <w:rsid w:val="004C27CC"/>
    <w:rsid w:val="004C2892"/>
    <w:rsid w:val="004C2ADD"/>
    <w:rsid w:val="004C2BCF"/>
    <w:rsid w:val="004C3032"/>
    <w:rsid w:val="004C30FC"/>
    <w:rsid w:val="004C3137"/>
    <w:rsid w:val="004C33AE"/>
    <w:rsid w:val="004C3DD3"/>
    <w:rsid w:val="004C3DE7"/>
    <w:rsid w:val="004C4102"/>
    <w:rsid w:val="004C46A5"/>
    <w:rsid w:val="004C48C8"/>
    <w:rsid w:val="004C4A82"/>
    <w:rsid w:val="004C4B68"/>
    <w:rsid w:val="004C4D52"/>
    <w:rsid w:val="004C4D87"/>
    <w:rsid w:val="004C52F9"/>
    <w:rsid w:val="004C5407"/>
    <w:rsid w:val="004C598D"/>
    <w:rsid w:val="004C5B3C"/>
    <w:rsid w:val="004C6238"/>
    <w:rsid w:val="004C63DD"/>
    <w:rsid w:val="004C64A2"/>
    <w:rsid w:val="004C65B4"/>
    <w:rsid w:val="004C666A"/>
    <w:rsid w:val="004C66CE"/>
    <w:rsid w:val="004C674F"/>
    <w:rsid w:val="004C6B30"/>
    <w:rsid w:val="004C6BBD"/>
    <w:rsid w:val="004C6CD2"/>
    <w:rsid w:val="004C6D0D"/>
    <w:rsid w:val="004C6EC2"/>
    <w:rsid w:val="004C70A3"/>
    <w:rsid w:val="004C7358"/>
    <w:rsid w:val="004C74C0"/>
    <w:rsid w:val="004C751D"/>
    <w:rsid w:val="004C78A1"/>
    <w:rsid w:val="004C78CD"/>
    <w:rsid w:val="004D00F1"/>
    <w:rsid w:val="004D0526"/>
    <w:rsid w:val="004D0AB4"/>
    <w:rsid w:val="004D0CED"/>
    <w:rsid w:val="004D0D68"/>
    <w:rsid w:val="004D0E10"/>
    <w:rsid w:val="004D1017"/>
    <w:rsid w:val="004D1577"/>
    <w:rsid w:val="004D1649"/>
    <w:rsid w:val="004D16A4"/>
    <w:rsid w:val="004D1814"/>
    <w:rsid w:val="004D18EC"/>
    <w:rsid w:val="004D1A9C"/>
    <w:rsid w:val="004D1D43"/>
    <w:rsid w:val="004D1D4F"/>
    <w:rsid w:val="004D1E2A"/>
    <w:rsid w:val="004D1E60"/>
    <w:rsid w:val="004D208F"/>
    <w:rsid w:val="004D213C"/>
    <w:rsid w:val="004D2312"/>
    <w:rsid w:val="004D2417"/>
    <w:rsid w:val="004D24CB"/>
    <w:rsid w:val="004D294A"/>
    <w:rsid w:val="004D2A11"/>
    <w:rsid w:val="004D2B62"/>
    <w:rsid w:val="004D2CF5"/>
    <w:rsid w:val="004D2D57"/>
    <w:rsid w:val="004D2D5F"/>
    <w:rsid w:val="004D324F"/>
    <w:rsid w:val="004D3508"/>
    <w:rsid w:val="004D358F"/>
    <w:rsid w:val="004D360B"/>
    <w:rsid w:val="004D37F9"/>
    <w:rsid w:val="004D3897"/>
    <w:rsid w:val="004D3AAC"/>
    <w:rsid w:val="004D3D98"/>
    <w:rsid w:val="004D3E1B"/>
    <w:rsid w:val="004D3E9A"/>
    <w:rsid w:val="004D404E"/>
    <w:rsid w:val="004D4193"/>
    <w:rsid w:val="004D4361"/>
    <w:rsid w:val="004D4425"/>
    <w:rsid w:val="004D4549"/>
    <w:rsid w:val="004D45E8"/>
    <w:rsid w:val="004D463D"/>
    <w:rsid w:val="004D4775"/>
    <w:rsid w:val="004D4814"/>
    <w:rsid w:val="004D486C"/>
    <w:rsid w:val="004D49C4"/>
    <w:rsid w:val="004D4AA6"/>
    <w:rsid w:val="004D4BD1"/>
    <w:rsid w:val="004D4CA0"/>
    <w:rsid w:val="004D5145"/>
    <w:rsid w:val="004D5583"/>
    <w:rsid w:val="004D55A2"/>
    <w:rsid w:val="004D55CB"/>
    <w:rsid w:val="004D5AD4"/>
    <w:rsid w:val="004D5B57"/>
    <w:rsid w:val="004D6175"/>
    <w:rsid w:val="004D62C2"/>
    <w:rsid w:val="004D6470"/>
    <w:rsid w:val="004D68F2"/>
    <w:rsid w:val="004D6951"/>
    <w:rsid w:val="004D70A8"/>
    <w:rsid w:val="004D7219"/>
    <w:rsid w:val="004D75AA"/>
    <w:rsid w:val="004D799E"/>
    <w:rsid w:val="004D7E90"/>
    <w:rsid w:val="004D7FB1"/>
    <w:rsid w:val="004E0630"/>
    <w:rsid w:val="004E08B5"/>
    <w:rsid w:val="004E094D"/>
    <w:rsid w:val="004E0D91"/>
    <w:rsid w:val="004E0E9C"/>
    <w:rsid w:val="004E1002"/>
    <w:rsid w:val="004E1354"/>
    <w:rsid w:val="004E137A"/>
    <w:rsid w:val="004E13F3"/>
    <w:rsid w:val="004E15BB"/>
    <w:rsid w:val="004E15C9"/>
    <w:rsid w:val="004E1619"/>
    <w:rsid w:val="004E1668"/>
    <w:rsid w:val="004E1680"/>
    <w:rsid w:val="004E19AD"/>
    <w:rsid w:val="004E1C26"/>
    <w:rsid w:val="004E1C7A"/>
    <w:rsid w:val="004E1E27"/>
    <w:rsid w:val="004E2160"/>
    <w:rsid w:val="004E2224"/>
    <w:rsid w:val="004E2811"/>
    <w:rsid w:val="004E289D"/>
    <w:rsid w:val="004E2B28"/>
    <w:rsid w:val="004E2BD6"/>
    <w:rsid w:val="004E2E83"/>
    <w:rsid w:val="004E2EDD"/>
    <w:rsid w:val="004E3393"/>
    <w:rsid w:val="004E33F7"/>
    <w:rsid w:val="004E3453"/>
    <w:rsid w:val="004E35B0"/>
    <w:rsid w:val="004E391A"/>
    <w:rsid w:val="004E3B1F"/>
    <w:rsid w:val="004E3B88"/>
    <w:rsid w:val="004E4414"/>
    <w:rsid w:val="004E4527"/>
    <w:rsid w:val="004E49C1"/>
    <w:rsid w:val="004E4B65"/>
    <w:rsid w:val="004E4D6F"/>
    <w:rsid w:val="004E4DAD"/>
    <w:rsid w:val="004E4F30"/>
    <w:rsid w:val="004E5311"/>
    <w:rsid w:val="004E55D8"/>
    <w:rsid w:val="004E5776"/>
    <w:rsid w:val="004E5848"/>
    <w:rsid w:val="004E58B8"/>
    <w:rsid w:val="004E5C26"/>
    <w:rsid w:val="004E5F94"/>
    <w:rsid w:val="004E64BC"/>
    <w:rsid w:val="004E658E"/>
    <w:rsid w:val="004E65B4"/>
    <w:rsid w:val="004E6A8A"/>
    <w:rsid w:val="004E6C5F"/>
    <w:rsid w:val="004E7336"/>
    <w:rsid w:val="004E73D0"/>
    <w:rsid w:val="004E744F"/>
    <w:rsid w:val="004E752E"/>
    <w:rsid w:val="004E770C"/>
    <w:rsid w:val="004E7B4A"/>
    <w:rsid w:val="004E7F0B"/>
    <w:rsid w:val="004E7F2D"/>
    <w:rsid w:val="004E7FD7"/>
    <w:rsid w:val="004F0121"/>
    <w:rsid w:val="004F028C"/>
    <w:rsid w:val="004F033A"/>
    <w:rsid w:val="004F04D2"/>
    <w:rsid w:val="004F06B3"/>
    <w:rsid w:val="004F0814"/>
    <w:rsid w:val="004F0BB2"/>
    <w:rsid w:val="004F1006"/>
    <w:rsid w:val="004F1035"/>
    <w:rsid w:val="004F12FE"/>
    <w:rsid w:val="004F137E"/>
    <w:rsid w:val="004F16CE"/>
    <w:rsid w:val="004F1B3B"/>
    <w:rsid w:val="004F1B3D"/>
    <w:rsid w:val="004F1D69"/>
    <w:rsid w:val="004F1DCE"/>
    <w:rsid w:val="004F2067"/>
    <w:rsid w:val="004F2269"/>
    <w:rsid w:val="004F2282"/>
    <w:rsid w:val="004F23A4"/>
    <w:rsid w:val="004F2BA5"/>
    <w:rsid w:val="004F2ED1"/>
    <w:rsid w:val="004F2F8C"/>
    <w:rsid w:val="004F31EA"/>
    <w:rsid w:val="004F3389"/>
    <w:rsid w:val="004F35F9"/>
    <w:rsid w:val="004F3665"/>
    <w:rsid w:val="004F392D"/>
    <w:rsid w:val="004F3948"/>
    <w:rsid w:val="004F3AAF"/>
    <w:rsid w:val="004F3CA6"/>
    <w:rsid w:val="004F3CB1"/>
    <w:rsid w:val="004F3D9A"/>
    <w:rsid w:val="004F3DA9"/>
    <w:rsid w:val="004F419C"/>
    <w:rsid w:val="004F41DA"/>
    <w:rsid w:val="004F4702"/>
    <w:rsid w:val="004F48AF"/>
    <w:rsid w:val="004F4A73"/>
    <w:rsid w:val="004F4F3B"/>
    <w:rsid w:val="004F4F53"/>
    <w:rsid w:val="004F5042"/>
    <w:rsid w:val="004F5D93"/>
    <w:rsid w:val="004F6040"/>
    <w:rsid w:val="004F6086"/>
    <w:rsid w:val="004F61FF"/>
    <w:rsid w:val="004F62B8"/>
    <w:rsid w:val="004F649B"/>
    <w:rsid w:val="004F66DA"/>
    <w:rsid w:val="004F6A3C"/>
    <w:rsid w:val="004F6AD3"/>
    <w:rsid w:val="004F6D13"/>
    <w:rsid w:val="004F6DB6"/>
    <w:rsid w:val="004F6E80"/>
    <w:rsid w:val="004F7086"/>
    <w:rsid w:val="004F732E"/>
    <w:rsid w:val="004F7434"/>
    <w:rsid w:val="004F745A"/>
    <w:rsid w:val="004F75BC"/>
    <w:rsid w:val="004F77D9"/>
    <w:rsid w:val="004F790C"/>
    <w:rsid w:val="00500002"/>
    <w:rsid w:val="0050002A"/>
    <w:rsid w:val="00500138"/>
    <w:rsid w:val="005003ED"/>
    <w:rsid w:val="00500583"/>
    <w:rsid w:val="005005B5"/>
    <w:rsid w:val="005005EC"/>
    <w:rsid w:val="00500721"/>
    <w:rsid w:val="00500996"/>
    <w:rsid w:val="00500B88"/>
    <w:rsid w:val="00501088"/>
    <w:rsid w:val="0050109C"/>
    <w:rsid w:val="00501146"/>
    <w:rsid w:val="0050124E"/>
    <w:rsid w:val="00501386"/>
    <w:rsid w:val="005017A2"/>
    <w:rsid w:val="005018AB"/>
    <w:rsid w:val="0050190E"/>
    <w:rsid w:val="00501B85"/>
    <w:rsid w:val="00501BD9"/>
    <w:rsid w:val="00501C25"/>
    <w:rsid w:val="00501C27"/>
    <w:rsid w:val="00501D77"/>
    <w:rsid w:val="00501EDD"/>
    <w:rsid w:val="00502154"/>
    <w:rsid w:val="005021EB"/>
    <w:rsid w:val="005022A0"/>
    <w:rsid w:val="00502705"/>
    <w:rsid w:val="00502727"/>
    <w:rsid w:val="005027A6"/>
    <w:rsid w:val="00502964"/>
    <w:rsid w:val="005029EF"/>
    <w:rsid w:val="00502A7E"/>
    <w:rsid w:val="00502DAE"/>
    <w:rsid w:val="00502F03"/>
    <w:rsid w:val="00502FFB"/>
    <w:rsid w:val="0050302A"/>
    <w:rsid w:val="00503066"/>
    <w:rsid w:val="0050315B"/>
    <w:rsid w:val="005031C9"/>
    <w:rsid w:val="005032B7"/>
    <w:rsid w:val="0050388C"/>
    <w:rsid w:val="005038A0"/>
    <w:rsid w:val="00503986"/>
    <w:rsid w:val="00503987"/>
    <w:rsid w:val="0050398D"/>
    <w:rsid w:val="00503CCE"/>
    <w:rsid w:val="00503F91"/>
    <w:rsid w:val="005041FA"/>
    <w:rsid w:val="0050425F"/>
    <w:rsid w:val="005045BF"/>
    <w:rsid w:val="005045C3"/>
    <w:rsid w:val="00504867"/>
    <w:rsid w:val="00504A82"/>
    <w:rsid w:val="00504F2C"/>
    <w:rsid w:val="00504F47"/>
    <w:rsid w:val="0050531E"/>
    <w:rsid w:val="005054A7"/>
    <w:rsid w:val="0050555D"/>
    <w:rsid w:val="005058A8"/>
    <w:rsid w:val="00505CC6"/>
    <w:rsid w:val="00505E19"/>
    <w:rsid w:val="00505E52"/>
    <w:rsid w:val="00505F95"/>
    <w:rsid w:val="0050609A"/>
    <w:rsid w:val="005061B4"/>
    <w:rsid w:val="0050625A"/>
    <w:rsid w:val="0050629D"/>
    <w:rsid w:val="005063D4"/>
    <w:rsid w:val="005066EA"/>
    <w:rsid w:val="005068B8"/>
    <w:rsid w:val="00506B81"/>
    <w:rsid w:val="00506E1F"/>
    <w:rsid w:val="00507023"/>
    <w:rsid w:val="00507086"/>
    <w:rsid w:val="005070CC"/>
    <w:rsid w:val="00507179"/>
    <w:rsid w:val="0050727E"/>
    <w:rsid w:val="0050771B"/>
    <w:rsid w:val="00507B1E"/>
    <w:rsid w:val="00507EB2"/>
    <w:rsid w:val="00507F04"/>
    <w:rsid w:val="00510349"/>
    <w:rsid w:val="005103C5"/>
    <w:rsid w:val="005104C6"/>
    <w:rsid w:val="0051074C"/>
    <w:rsid w:val="00510823"/>
    <w:rsid w:val="00510837"/>
    <w:rsid w:val="00510B28"/>
    <w:rsid w:val="00510BAA"/>
    <w:rsid w:val="00510C06"/>
    <w:rsid w:val="00510C10"/>
    <w:rsid w:val="00510CC4"/>
    <w:rsid w:val="00510CF7"/>
    <w:rsid w:val="00510E2B"/>
    <w:rsid w:val="005111C8"/>
    <w:rsid w:val="005111DA"/>
    <w:rsid w:val="005114E4"/>
    <w:rsid w:val="005117AF"/>
    <w:rsid w:val="00511B98"/>
    <w:rsid w:val="0051211F"/>
    <w:rsid w:val="00512130"/>
    <w:rsid w:val="005125F5"/>
    <w:rsid w:val="00512839"/>
    <w:rsid w:val="005129BF"/>
    <w:rsid w:val="00512BD6"/>
    <w:rsid w:val="00513087"/>
    <w:rsid w:val="005131D3"/>
    <w:rsid w:val="00513277"/>
    <w:rsid w:val="0051352C"/>
    <w:rsid w:val="00513A2B"/>
    <w:rsid w:val="00513A97"/>
    <w:rsid w:val="00513AD7"/>
    <w:rsid w:val="00513B34"/>
    <w:rsid w:val="00513C7D"/>
    <w:rsid w:val="00513D97"/>
    <w:rsid w:val="00513D9A"/>
    <w:rsid w:val="00513E0D"/>
    <w:rsid w:val="00513F62"/>
    <w:rsid w:val="005141F1"/>
    <w:rsid w:val="0051420F"/>
    <w:rsid w:val="005142DF"/>
    <w:rsid w:val="0051435C"/>
    <w:rsid w:val="0051452E"/>
    <w:rsid w:val="00514F72"/>
    <w:rsid w:val="00514FC2"/>
    <w:rsid w:val="0051502D"/>
    <w:rsid w:val="00515048"/>
    <w:rsid w:val="0051511D"/>
    <w:rsid w:val="00515674"/>
    <w:rsid w:val="00515BFA"/>
    <w:rsid w:val="00515D27"/>
    <w:rsid w:val="005162DA"/>
    <w:rsid w:val="00516324"/>
    <w:rsid w:val="005163A5"/>
    <w:rsid w:val="005166BA"/>
    <w:rsid w:val="00516D10"/>
    <w:rsid w:val="00516E9A"/>
    <w:rsid w:val="005170FE"/>
    <w:rsid w:val="00517145"/>
    <w:rsid w:val="00517424"/>
    <w:rsid w:val="00517579"/>
    <w:rsid w:val="005176DF"/>
    <w:rsid w:val="005179A6"/>
    <w:rsid w:val="00517A86"/>
    <w:rsid w:val="00517A92"/>
    <w:rsid w:val="00517B92"/>
    <w:rsid w:val="005202A4"/>
    <w:rsid w:val="005203CA"/>
    <w:rsid w:val="00520974"/>
    <w:rsid w:val="00520B8E"/>
    <w:rsid w:val="00520CE6"/>
    <w:rsid w:val="0052111E"/>
    <w:rsid w:val="00521363"/>
    <w:rsid w:val="005216B6"/>
    <w:rsid w:val="00521B7A"/>
    <w:rsid w:val="00521C6A"/>
    <w:rsid w:val="00521EA6"/>
    <w:rsid w:val="00521FFD"/>
    <w:rsid w:val="005221CA"/>
    <w:rsid w:val="005222F5"/>
    <w:rsid w:val="0052266D"/>
    <w:rsid w:val="00522879"/>
    <w:rsid w:val="00522A42"/>
    <w:rsid w:val="00522A4C"/>
    <w:rsid w:val="00522D37"/>
    <w:rsid w:val="00522DD1"/>
    <w:rsid w:val="00522F44"/>
    <w:rsid w:val="0052302D"/>
    <w:rsid w:val="005231A9"/>
    <w:rsid w:val="005232E0"/>
    <w:rsid w:val="005232E7"/>
    <w:rsid w:val="0052349D"/>
    <w:rsid w:val="00523524"/>
    <w:rsid w:val="005235AB"/>
    <w:rsid w:val="005236AF"/>
    <w:rsid w:val="005236EF"/>
    <w:rsid w:val="0052374C"/>
    <w:rsid w:val="00523B88"/>
    <w:rsid w:val="00523CCF"/>
    <w:rsid w:val="00523CD2"/>
    <w:rsid w:val="00523D5E"/>
    <w:rsid w:val="00524272"/>
    <w:rsid w:val="0052428A"/>
    <w:rsid w:val="00524553"/>
    <w:rsid w:val="005246CE"/>
    <w:rsid w:val="005247EC"/>
    <w:rsid w:val="00524868"/>
    <w:rsid w:val="00524BE8"/>
    <w:rsid w:val="00524C4D"/>
    <w:rsid w:val="00524D17"/>
    <w:rsid w:val="00524DA3"/>
    <w:rsid w:val="00524E3B"/>
    <w:rsid w:val="00524EFD"/>
    <w:rsid w:val="00525286"/>
    <w:rsid w:val="00525689"/>
    <w:rsid w:val="0052574F"/>
    <w:rsid w:val="0052575D"/>
    <w:rsid w:val="005257BA"/>
    <w:rsid w:val="00525861"/>
    <w:rsid w:val="00525935"/>
    <w:rsid w:val="00525A0E"/>
    <w:rsid w:val="00525D81"/>
    <w:rsid w:val="00525F1F"/>
    <w:rsid w:val="00525F51"/>
    <w:rsid w:val="00526191"/>
    <w:rsid w:val="0052639A"/>
    <w:rsid w:val="005263B7"/>
    <w:rsid w:val="0052650C"/>
    <w:rsid w:val="00526545"/>
    <w:rsid w:val="0052656D"/>
    <w:rsid w:val="005267BC"/>
    <w:rsid w:val="00526A73"/>
    <w:rsid w:val="00526C42"/>
    <w:rsid w:val="00526C92"/>
    <w:rsid w:val="00526D9A"/>
    <w:rsid w:val="00526DC7"/>
    <w:rsid w:val="005270EF"/>
    <w:rsid w:val="005271A7"/>
    <w:rsid w:val="00527246"/>
    <w:rsid w:val="005272F8"/>
    <w:rsid w:val="00527473"/>
    <w:rsid w:val="005275FC"/>
    <w:rsid w:val="0052768C"/>
    <w:rsid w:val="00527D00"/>
    <w:rsid w:val="005301D7"/>
    <w:rsid w:val="005307CA"/>
    <w:rsid w:val="00530866"/>
    <w:rsid w:val="00530896"/>
    <w:rsid w:val="00530D34"/>
    <w:rsid w:val="00530DA6"/>
    <w:rsid w:val="00530F32"/>
    <w:rsid w:val="00531096"/>
    <w:rsid w:val="005310AF"/>
    <w:rsid w:val="005311C4"/>
    <w:rsid w:val="005312CD"/>
    <w:rsid w:val="00531359"/>
    <w:rsid w:val="005313EA"/>
    <w:rsid w:val="005315FF"/>
    <w:rsid w:val="00531750"/>
    <w:rsid w:val="00531A69"/>
    <w:rsid w:val="00531D72"/>
    <w:rsid w:val="00532369"/>
    <w:rsid w:val="0053256D"/>
    <w:rsid w:val="00532625"/>
    <w:rsid w:val="00532655"/>
    <w:rsid w:val="00532785"/>
    <w:rsid w:val="00532846"/>
    <w:rsid w:val="00532996"/>
    <w:rsid w:val="00532CBB"/>
    <w:rsid w:val="00533010"/>
    <w:rsid w:val="00533048"/>
    <w:rsid w:val="00533153"/>
    <w:rsid w:val="005339E2"/>
    <w:rsid w:val="00533DC2"/>
    <w:rsid w:val="00533E54"/>
    <w:rsid w:val="00533FCC"/>
    <w:rsid w:val="00534107"/>
    <w:rsid w:val="005342C3"/>
    <w:rsid w:val="00534A0D"/>
    <w:rsid w:val="00534B4A"/>
    <w:rsid w:val="00534EBC"/>
    <w:rsid w:val="00534F6D"/>
    <w:rsid w:val="0053517F"/>
    <w:rsid w:val="00535457"/>
    <w:rsid w:val="0053545F"/>
    <w:rsid w:val="00535518"/>
    <w:rsid w:val="00535607"/>
    <w:rsid w:val="0053562F"/>
    <w:rsid w:val="00535A7D"/>
    <w:rsid w:val="00535CB4"/>
    <w:rsid w:val="005362F5"/>
    <w:rsid w:val="0053649A"/>
    <w:rsid w:val="005364DD"/>
    <w:rsid w:val="00536B28"/>
    <w:rsid w:val="00536BCA"/>
    <w:rsid w:val="00536C1B"/>
    <w:rsid w:val="00536C23"/>
    <w:rsid w:val="00536FB3"/>
    <w:rsid w:val="0053700B"/>
    <w:rsid w:val="00537113"/>
    <w:rsid w:val="00537176"/>
    <w:rsid w:val="0053719E"/>
    <w:rsid w:val="0053725B"/>
    <w:rsid w:val="00537C23"/>
    <w:rsid w:val="00537C6C"/>
    <w:rsid w:val="00537D47"/>
    <w:rsid w:val="00537EE5"/>
    <w:rsid w:val="005400A4"/>
    <w:rsid w:val="005402A0"/>
    <w:rsid w:val="00540472"/>
    <w:rsid w:val="005404E5"/>
    <w:rsid w:val="005407B1"/>
    <w:rsid w:val="00540A1B"/>
    <w:rsid w:val="00540A84"/>
    <w:rsid w:val="00540C57"/>
    <w:rsid w:val="00540C72"/>
    <w:rsid w:val="00541054"/>
    <w:rsid w:val="00541185"/>
    <w:rsid w:val="005411E4"/>
    <w:rsid w:val="00541607"/>
    <w:rsid w:val="00541AF6"/>
    <w:rsid w:val="00541C33"/>
    <w:rsid w:val="00541E4A"/>
    <w:rsid w:val="0054232A"/>
    <w:rsid w:val="00542540"/>
    <w:rsid w:val="00542745"/>
    <w:rsid w:val="005428DA"/>
    <w:rsid w:val="00542A29"/>
    <w:rsid w:val="00542C56"/>
    <w:rsid w:val="00542E4D"/>
    <w:rsid w:val="005430A7"/>
    <w:rsid w:val="00543557"/>
    <w:rsid w:val="005437E5"/>
    <w:rsid w:val="0054383C"/>
    <w:rsid w:val="005440C6"/>
    <w:rsid w:val="0054413D"/>
    <w:rsid w:val="005447B0"/>
    <w:rsid w:val="005449A0"/>
    <w:rsid w:val="00544C81"/>
    <w:rsid w:val="00544D91"/>
    <w:rsid w:val="00545170"/>
    <w:rsid w:val="0054542F"/>
    <w:rsid w:val="005459F5"/>
    <w:rsid w:val="00545AA3"/>
    <w:rsid w:val="00545EC9"/>
    <w:rsid w:val="00545F38"/>
    <w:rsid w:val="0054613F"/>
    <w:rsid w:val="0054617E"/>
    <w:rsid w:val="00546416"/>
    <w:rsid w:val="0054680A"/>
    <w:rsid w:val="00546837"/>
    <w:rsid w:val="005468DD"/>
    <w:rsid w:val="00546B8C"/>
    <w:rsid w:val="00547ED0"/>
    <w:rsid w:val="00550096"/>
    <w:rsid w:val="005508A9"/>
    <w:rsid w:val="00550AA4"/>
    <w:rsid w:val="00550D05"/>
    <w:rsid w:val="005519E9"/>
    <w:rsid w:val="00551B43"/>
    <w:rsid w:val="00551BA9"/>
    <w:rsid w:val="00551CAC"/>
    <w:rsid w:val="0055222C"/>
    <w:rsid w:val="00552869"/>
    <w:rsid w:val="005528B3"/>
    <w:rsid w:val="0055292C"/>
    <w:rsid w:val="00552B16"/>
    <w:rsid w:val="00552DFA"/>
    <w:rsid w:val="00553085"/>
    <w:rsid w:val="005531BD"/>
    <w:rsid w:val="005531EC"/>
    <w:rsid w:val="00553268"/>
    <w:rsid w:val="005532D9"/>
    <w:rsid w:val="0055388F"/>
    <w:rsid w:val="00553CA9"/>
    <w:rsid w:val="00553D67"/>
    <w:rsid w:val="00553E2B"/>
    <w:rsid w:val="00553EDB"/>
    <w:rsid w:val="00553EF2"/>
    <w:rsid w:val="005540D9"/>
    <w:rsid w:val="005540E5"/>
    <w:rsid w:val="0055444F"/>
    <w:rsid w:val="0055447B"/>
    <w:rsid w:val="0055455B"/>
    <w:rsid w:val="005545A3"/>
    <w:rsid w:val="005546D3"/>
    <w:rsid w:val="0055492B"/>
    <w:rsid w:val="00554981"/>
    <w:rsid w:val="00554A2B"/>
    <w:rsid w:val="00554B09"/>
    <w:rsid w:val="00554DA1"/>
    <w:rsid w:val="00554E2C"/>
    <w:rsid w:val="00554ED3"/>
    <w:rsid w:val="00554ED4"/>
    <w:rsid w:val="00554FB9"/>
    <w:rsid w:val="0055517B"/>
    <w:rsid w:val="0055519F"/>
    <w:rsid w:val="0055566D"/>
    <w:rsid w:val="005563C8"/>
    <w:rsid w:val="005567B2"/>
    <w:rsid w:val="005567B8"/>
    <w:rsid w:val="00556873"/>
    <w:rsid w:val="005569E0"/>
    <w:rsid w:val="00556B25"/>
    <w:rsid w:val="0055715E"/>
    <w:rsid w:val="0055716C"/>
    <w:rsid w:val="005571ED"/>
    <w:rsid w:val="005571FC"/>
    <w:rsid w:val="00557238"/>
    <w:rsid w:val="005575F6"/>
    <w:rsid w:val="0055765D"/>
    <w:rsid w:val="00557870"/>
    <w:rsid w:val="005579D7"/>
    <w:rsid w:val="00557A94"/>
    <w:rsid w:val="00557EB3"/>
    <w:rsid w:val="005600D8"/>
    <w:rsid w:val="00560277"/>
    <w:rsid w:val="005604B5"/>
    <w:rsid w:val="005604DE"/>
    <w:rsid w:val="00560565"/>
    <w:rsid w:val="0056085E"/>
    <w:rsid w:val="00560938"/>
    <w:rsid w:val="00560AF1"/>
    <w:rsid w:val="00560C01"/>
    <w:rsid w:val="00560CA2"/>
    <w:rsid w:val="00560E26"/>
    <w:rsid w:val="00560E7A"/>
    <w:rsid w:val="00561027"/>
    <w:rsid w:val="005611A8"/>
    <w:rsid w:val="005612A4"/>
    <w:rsid w:val="00561472"/>
    <w:rsid w:val="00561562"/>
    <w:rsid w:val="00561B8B"/>
    <w:rsid w:val="00561C21"/>
    <w:rsid w:val="00561DC9"/>
    <w:rsid w:val="00561FDA"/>
    <w:rsid w:val="00561FE7"/>
    <w:rsid w:val="00562208"/>
    <w:rsid w:val="0056227D"/>
    <w:rsid w:val="005622B1"/>
    <w:rsid w:val="00562926"/>
    <w:rsid w:val="00562B6B"/>
    <w:rsid w:val="00562B75"/>
    <w:rsid w:val="00562DA2"/>
    <w:rsid w:val="00562EC9"/>
    <w:rsid w:val="00562FF2"/>
    <w:rsid w:val="005631B7"/>
    <w:rsid w:val="005636CB"/>
    <w:rsid w:val="00563744"/>
    <w:rsid w:val="00563778"/>
    <w:rsid w:val="00563B6D"/>
    <w:rsid w:val="00563C15"/>
    <w:rsid w:val="00563DE6"/>
    <w:rsid w:val="00563E89"/>
    <w:rsid w:val="00563FC5"/>
    <w:rsid w:val="005643B9"/>
    <w:rsid w:val="005645A0"/>
    <w:rsid w:val="005648D9"/>
    <w:rsid w:val="00564A59"/>
    <w:rsid w:val="00564C39"/>
    <w:rsid w:val="00564D21"/>
    <w:rsid w:val="00564EA2"/>
    <w:rsid w:val="00564F61"/>
    <w:rsid w:val="00565227"/>
    <w:rsid w:val="0056528D"/>
    <w:rsid w:val="00565304"/>
    <w:rsid w:val="00565E6C"/>
    <w:rsid w:val="00565EB1"/>
    <w:rsid w:val="00565F2B"/>
    <w:rsid w:val="0056628B"/>
    <w:rsid w:val="00566298"/>
    <w:rsid w:val="0056632E"/>
    <w:rsid w:val="005663CB"/>
    <w:rsid w:val="00566473"/>
    <w:rsid w:val="0056665B"/>
    <w:rsid w:val="00566956"/>
    <w:rsid w:val="00566B72"/>
    <w:rsid w:val="00566D10"/>
    <w:rsid w:val="0056705A"/>
    <w:rsid w:val="00567596"/>
    <w:rsid w:val="00567743"/>
    <w:rsid w:val="0056783F"/>
    <w:rsid w:val="00567AE5"/>
    <w:rsid w:val="00567DDF"/>
    <w:rsid w:val="00570379"/>
    <w:rsid w:val="0057059C"/>
    <w:rsid w:val="0057069E"/>
    <w:rsid w:val="0057086B"/>
    <w:rsid w:val="0057091E"/>
    <w:rsid w:val="00570D76"/>
    <w:rsid w:val="00570F70"/>
    <w:rsid w:val="005710D3"/>
    <w:rsid w:val="00571144"/>
    <w:rsid w:val="00571396"/>
    <w:rsid w:val="005715B4"/>
    <w:rsid w:val="005715B7"/>
    <w:rsid w:val="0057172B"/>
    <w:rsid w:val="00571959"/>
    <w:rsid w:val="00571D3D"/>
    <w:rsid w:val="00571D7D"/>
    <w:rsid w:val="00571E83"/>
    <w:rsid w:val="005720E5"/>
    <w:rsid w:val="005721CA"/>
    <w:rsid w:val="005723D6"/>
    <w:rsid w:val="005726A4"/>
    <w:rsid w:val="005726C2"/>
    <w:rsid w:val="0057280A"/>
    <w:rsid w:val="00572826"/>
    <w:rsid w:val="00572BC6"/>
    <w:rsid w:val="00572EB3"/>
    <w:rsid w:val="00573246"/>
    <w:rsid w:val="005733A9"/>
    <w:rsid w:val="00573459"/>
    <w:rsid w:val="00573521"/>
    <w:rsid w:val="0057362F"/>
    <w:rsid w:val="00573934"/>
    <w:rsid w:val="00573B14"/>
    <w:rsid w:val="00573BA3"/>
    <w:rsid w:val="00573EB9"/>
    <w:rsid w:val="00574026"/>
    <w:rsid w:val="005741D6"/>
    <w:rsid w:val="005742AC"/>
    <w:rsid w:val="0057436D"/>
    <w:rsid w:val="005745EE"/>
    <w:rsid w:val="0057468F"/>
    <w:rsid w:val="00574740"/>
    <w:rsid w:val="00574A6E"/>
    <w:rsid w:val="00574B5C"/>
    <w:rsid w:val="00574C07"/>
    <w:rsid w:val="00574F64"/>
    <w:rsid w:val="00574FC9"/>
    <w:rsid w:val="00575069"/>
    <w:rsid w:val="005751B3"/>
    <w:rsid w:val="005752C5"/>
    <w:rsid w:val="005752E2"/>
    <w:rsid w:val="005755BD"/>
    <w:rsid w:val="005759D0"/>
    <w:rsid w:val="00575B38"/>
    <w:rsid w:val="00575B4A"/>
    <w:rsid w:val="00575E9F"/>
    <w:rsid w:val="00575F11"/>
    <w:rsid w:val="00576332"/>
    <w:rsid w:val="00576AD7"/>
    <w:rsid w:val="00576BD5"/>
    <w:rsid w:val="00576CC3"/>
    <w:rsid w:val="00576FEE"/>
    <w:rsid w:val="00576FF4"/>
    <w:rsid w:val="0057703A"/>
    <w:rsid w:val="00577145"/>
    <w:rsid w:val="005772CA"/>
    <w:rsid w:val="0057736A"/>
    <w:rsid w:val="005773BE"/>
    <w:rsid w:val="00577437"/>
    <w:rsid w:val="005774D1"/>
    <w:rsid w:val="0057755D"/>
    <w:rsid w:val="00577681"/>
    <w:rsid w:val="005777B9"/>
    <w:rsid w:val="00577A87"/>
    <w:rsid w:val="00577AB5"/>
    <w:rsid w:val="00577DB1"/>
    <w:rsid w:val="00577DEC"/>
    <w:rsid w:val="00580003"/>
    <w:rsid w:val="00580414"/>
    <w:rsid w:val="00580531"/>
    <w:rsid w:val="00580888"/>
    <w:rsid w:val="00580B98"/>
    <w:rsid w:val="00580D6A"/>
    <w:rsid w:val="00580FB7"/>
    <w:rsid w:val="00581041"/>
    <w:rsid w:val="005810FA"/>
    <w:rsid w:val="00581140"/>
    <w:rsid w:val="00581468"/>
    <w:rsid w:val="005815A5"/>
    <w:rsid w:val="00581897"/>
    <w:rsid w:val="00581EB8"/>
    <w:rsid w:val="005821B1"/>
    <w:rsid w:val="00582365"/>
    <w:rsid w:val="0058269E"/>
    <w:rsid w:val="005826EE"/>
    <w:rsid w:val="00582750"/>
    <w:rsid w:val="00582B33"/>
    <w:rsid w:val="00582FC5"/>
    <w:rsid w:val="00582FDA"/>
    <w:rsid w:val="0058310F"/>
    <w:rsid w:val="005835D3"/>
    <w:rsid w:val="005837D1"/>
    <w:rsid w:val="00583AF2"/>
    <w:rsid w:val="00583EED"/>
    <w:rsid w:val="00584000"/>
    <w:rsid w:val="0058408A"/>
    <w:rsid w:val="005841CC"/>
    <w:rsid w:val="00584270"/>
    <w:rsid w:val="005842E3"/>
    <w:rsid w:val="005843E6"/>
    <w:rsid w:val="00584904"/>
    <w:rsid w:val="00584DD3"/>
    <w:rsid w:val="00584EE7"/>
    <w:rsid w:val="00584FA2"/>
    <w:rsid w:val="00585399"/>
    <w:rsid w:val="005853BE"/>
    <w:rsid w:val="00585508"/>
    <w:rsid w:val="00585598"/>
    <w:rsid w:val="00585640"/>
    <w:rsid w:val="00585995"/>
    <w:rsid w:val="00585B98"/>
    <w:rsid w:val="00585C1B"/>
    <w:rsid w:val="00585D8F"/>
    <w:rsid w:val="00586484"/>
    <w:rsid w:val="005866CD"/>
    <w:rsid w:val="00586AB5"/>
    <w:rsid w:val="00586C02"/>
    <w:rsid w:val="00586D45"/>
    <w:rsid w:val="00586E9F"/>
    <w:rsid w:val="005871AE"/>
    <w:rsid w:val="0058723D"/>
    <w:rsid w:val="0058762F"/>
    <w:rsid w:val="00587639"/>
    <w:rsid w:val="0058798C"/>
    <w:rsid w:val="00587A24"/>
    <w:rsid w:val="00587DAC"/>
    <w:rsid w:val="00590245"/>
    <w:rsid w:val="005903AA"/>
    <w:rsid w:val="005907E3"/>
    <w:rsid w:val="005908CC"/>
    <w:rsid w:val="00591127"/>
    <w:rsid w:val="00591484"/>
    <w:rsid w:val="005916DE"/>
    <w:rsid w:val="00591D9B"/>
    <w:rsid w:val="0059203A"/>
    <w:rsid w:val="00592110"/>
    <w:rsid w:val="0059212C"/>
    <w:rsid w:val="005924EB"/>
    <w:rsid w:val="00592638"/>
    <w:rsid w:val="00592D4D"/>
    <w:rsid w:val="00593138"/>
    <w:rsid w:val="005931A5"/>
    <w:rsid w:val="005934BD"/>
    <w:rsid w:val="005935C9"/>
    <w:rsid w:val="005937A2"/>
    <w:rsid w:val="00593A33"/>
    <w:rsid w:val="00593A45"/>
    <w:rsid w:val="00593C73"/>
    <w:rsid w:val="00593CD1"/>
    <w:rsid w:val="00593E33"/>
    <w:rsid w:val="00593F5A"/>
    <w:rsid w:val="00594186"/>
    <w:rsid w:val="00594429"/>
    <w:rsid w:val="005947B5"/>
    <w:rsid w:val="00594BEA"/>
    <w:rsid w:val="00594C44"/>
    <w:rsid w:val="00594ED1"/>
    <w:rsid w:val="00594FEA"/>
    <w:rsid w:val="005951D6"/>
    <w:rsid w:val="0059555D"/>
    <w:rsid w:val="00595645"/>
    <w:rsid w:val="005956A4"/>
    <w:rsid w:val="00595740"/>
    <w:rsid w:val="00595A39"/>
    <w:rsid w:val="00595B98"/>
    <w:rsid w:val="00595E72"/>
    <w:rsid w:val="00596011"/>
    <w:rsid w:val="005960BB"/>
    <w:rsid w:val="0059622A"/>
    <w:rsid w:val="00596358"/>
    <w:rsid w:val="005964F8"/>
    <w:rsid w:val="0059662D"/>
    <w:rsid w:val="00596962"/>
    <w:rsid w:val="00596998"/>
    <w:rsid w:val="00596EE1"/>
    <w:rsid w:val="00596EE6"/>
    <w:rsid w:val="005971D3"/>
    <w:rsid w:val="0059729A"/>
    <w:rsid w:val="00597407"/>
    <w:rsid w:val="00597944"/>
    <w:rsid w:val="00597B52"/>
    <w:rsid w:val="00597FE5"/>
    <w:rsid w:val="005A0125"/>
    <w:rsid w:val="005A015B"/>
    <w:rsid w:val="005A01BC"/>
    <w:rsid w:val="005A01C0"/>
    <w:rsid w:val="005A01F3"/>
    <w:rsid w:val="005A0496"/>
    <w:rsid w:val="005A05CA"/>
    <w:rsid w:val="005A06B3"/>
    <w:rsid w:val="005A06F6"/>
    <w:rsid w:val="005A0738"/>
    <w:rsid w:val="005A075F"/>
    <w:rsid w:val="005A081C"/>
    <w:rsid w:val="005A0A2A"/>
    <w:rsid w:val="005A0D14"/>
    <w:rsid w:val="005A0E6E"/>
    <w:rsid w:val="005A0E7C"/>
    <w:rsid w:val="005A0FB0"/>
    <w:rsid w:val="005A1271"/>
    <w:rsid w:val="005A12DB"/>
    <w:rsid w:val="005A136C"/>
    <w:rsid w:val="005A1393"/>
    <w:rsid w:val="005A156D"/>
    <w:rsid w:val="005A1866"/>
    <w:rsid w:val="005A1AD9"/>
    <w:rsid w:val="005A1F71"/>
    <w:rsid w:val="005A244B"/>
    <w:rsid w:val="005A268D"/>
    <w:rsid w:val="005A2736"/>
    <w:rsid w:val="005A2901"/>
    <w:rsid w:val="005A2B71"/>
    <w:rsid w:val="005A319A"/>
    <w:rsid w:val="005A3241"/>
    <w:rsid w:val="005A3C49"/>
    <w:rsid w:val="005A3C63"/>
    <w:rsid w:val="005A3E10"/>
    <w:rsid w:val="005A4047"/>
    <w:rsid w:val="005A4384"/>
    <w:rsid w:val="005A482E"/>
    <w:rsid w:val="005A4990"/>
    <w:rsid w:val="005A4A30"/>
    <w:rsid w:val="005A4DE2"/>
    <w:rsid w:val="005A4E5C"/>
    <w:rsid w:val="005A501A"/>
    <w:rsid w:val="005A5102"/>
    <w:rsid w:val="005A53CE"/>
    <w:rsid w:val="005A5940"/>
    <w:rsid w:val="005A5D27"/>
    <w:rsid w:val="005A651B"/>
    <w:rsid w:val="005A6566"/>
    <w:rsid w:val="005A6636"/>
    <w:rsid w:val="005A673A"/>
    <w:rsid w:val="005A698C"/>
    <w:rsid w:val="005A6C54"/>
    <w:rsid w:val="005A6E45"/>
    <w:rsid w:val="005A7012"/>
    <w:rsid w:val="005A709A"/>
    <w:rsid w:val="005A7651"/>
    <w:rsid w:val="005A7732"/>
    <w:rsid w:val="005A77FD"/>
    <w:rsid w:val="005A7969"/>
    <w:rsid w:val="005A7A5E"/>
    <w:rsid w:val="005A7BA5"/>
    <w:rsid w:val="005A7E2B"/>
    <w:rsid w:val="005B0289"/>
    <w:rsid w:val="005B02C6"/>
    <w:rsid w:val="005B03AA"/>
    <w:rsid w:val="005B03C5"/>
    <w:rsid w:val="005B05E3"/>
    <w:rsid w:val="005B06E0"/>
    <w:rsid w:val="005B073C"/>
    <w:rsid w:val="005B086A"/>
    <w:rsid w:val="005B0B74"/>
    <w:rsid w:val="005B0B9A"/>
    <w:rsid w:val="005B0E0E"/>
    <w:rsid w:val="005B0F79"/>
    <w:rsid w:val="005B10B2"/>
    <w:rsid w:val="005B1103"/>
    <w:rsid w:val="005B116E"/>
    <w:rsid w:val="005B1292"/>
    <w:rsid w:val="005B12EC"/>
    <w:rsid w:val="005B17AA"/>
    <w:rsid w:val="005B186E"/>
    <w:rsid w:val="005B1A33"/>
    <w:rsid w:val="005B1C07"/>
    <w:rsid w:val="005B1D1B"/>
    <w:rsid w:val="005B1D5B"/>
    <w:rsid w:val="005B1EFD"/>
    <w:rsid w:val="005B200B"/>
    <w:rsid w:val="005B21E0"/>
    <w:rsid w:val="005B22E1"/>
    <w:rsid w:val="005B29C9"/>
    <w:rsid w:val="005B2B2C"/>
    <w:rsid w:val="005B2C0B"/>
    <w:rsid w:val="005B2CA4"/>
    <w:rsid w:val="005B2FC2"/>
    <w:rsid w:val="005B3066"/>
    <w:rsid w:val="005B309D"/>
    <w:rsid w:val="005B30C1"/>
    <w:rsid w:val="005B3281"/>
    <w:rsid w:val="005B3432"/>
    <w:rsid w:val="005B34D3"/>
    <w:rsid w:val="005B36DC"/>
    <w:rsid w:val="005B37B4"/>
    <w:rsid w:val="005B37E0"/>
    <w:rsid w:val="005B3850"/>
    <w:rsid w:val="005B3871"/>
    <w:rsid w:val="005B3AB8"/>
    <w:rsid w:val="005B3BD6"/>
    <w:rsid w:val="005B3CF0"/>
    <w:rsid w:val="005B3D2A"/>
    <w:rsid w:val="005B3D37"/>
    <w:rsid w:val="005B4070"/>
    <w:rsid w:val="005B4101"/>
    <w:rsid w:val="005B439B"/>
    <w:rsid w:val="005B4544"/>
    <w:rsid w:val="005B47F6"/>
    <w:rsid w:val="005B4DC9"/>
    <w:rsid w:val="005B4EBE"/>
    <w:rsid w:val="005B5162"/>
    <w:rsid w:val="005B528D"/>
    <w:rsid w:val="005B54BD"/>
    <w:rsid w:val="005B5696"/>
    <w:rsid w:val="005B5DD7"/>
    <w:rsid w:val="005B60CA"/>
    <w:rsid w:val="005B6275"/>
    <w:rsid w:val="005B66EB"/>
    <w:rsid w:val="005B6A68"/>
    <w:rsid w:val="005B6E85"/>
    <w:rsid w:val="005B7AE4"/>
    <w:rsid w:val="005B7D6C"/>
    <w:rsid w:val="005C011E"/>
    <w:rsid w:val="005C0238"/>
    <w:rsid w:val="005C036A"/>
    <w:rsid w:val="005C078D"/>
    <w:rsid w:val="005C082B"/>
    <w:rsid w:val="005C082D"/>
    <w:rsid w:val="005C0C10"/>
    <w:rsid w:val="005C0D8E"/>
    <w:rsid w:val="005C0E4B"/>
    <w:rsid w:val="005C1226"/>
    <w:rsid w:val="005C15A2"/>
    <w:rsid w:val="005C17D6"/>
    <w:rsid w:val="005C1942"/>
    <w:rsid w:val="005C2085"/>
    <w:rsid w:val="005C2130"/>
    <w:rsid w:val="005C2192"/>
    <w:rsid w:val="005C23C5"/>
    <w:rsid w:val="005C2408"/>
    <w:rsid w:val="005C240A"/>
    <w:rsid w:val="005C2798"/>
    <w:rsid w:val="005C2E7E"/>
    <w:rsid w:val="005C2FDB"/>
    <w:rsid w:val="005C302E"/>
    <w:rsid w:val="005C305D"/>
    <w:rsid w:val="005C30DB"/>
    <w:rsid w:val="005C33D8"/>
    <w:rsid w:val="005C39B3"/>
    <w:rsid w:val="005C3AEC"/>
    <w:rsid w:val="005C424E"/>
    <w:rsid w:val="005C4321"/>
    <w:rsid w:val="005C4612"/>
    <w:rsid w:val="005C4B5C"/>
    <w:rsid w:val="005C4DE2"/>
    <w:rsid w:val="005C4DE9"/>
    <w:rsid w:val="005C4E3F"/>
    <w:rsid w:val="005C50A7"/>
    <w:rsid w:val="005C5508"/>
    <w:rsid w:val="005C57FB"/>
    <w:rsid w:val="005C5CA4"/>
    <w:rsid w:val="005C5D34"/>
    <w:rsid w:val="005C5DCB"/>
    <w:rsid w:val="005C5E08"/>
    <w:rsid w:val="005C6020"/>
    <w:rsid w:val="005C616F"/>
    <w:rsid w:val="005C620D"/>
    <w:rsid w:val="005C66C8"/>
    <w:rsid w:val="005C6A78"/>
    <w:rsid w:val="005C6CAC"/>
    <w:rsid w:val="005C6CC9"/>
    <w:rsid w:val="005C6DDE"/>
    <w:rsid w:val="005C6EAD"/>
    <w:rsid w:val="005C6F80"/>
    <w:rsid w:val="005C7215"/>
    <w:rsid w:val="005C73C4"/>
    <w:rsid w:val="005C73D0"/>
    <w:rsid w:val="005C7528"/>
    <w:rsid w:val="005C755E"/>
    <w:rsid w:val="005C782C"/>
    <w:rsid w:val="005C7967"/>
    <w:rsid w:val="005C7CFB"/>
    <w:rsid w:val="005D00EA"/>
    <w:rsid w:val="005D023B"/>
    <w:rsid w:val="005D02C4"/>
    <w:rsid w:val="005D0303"/>
    <w:rsid w:val="005D0616"/>
    <w:rsid w:val="005D0655"/>
    <w:rsid w:val="005D06D4"/>
    <w:rsid w:val="005D08A4"/>
    <w:rsid w:val="005D08C4"/>
    <w:rsid w:val="005D0A5C"/>
    <w:rsid w:val="005D0AD3"/>
    <w:rsid w:val="005D0D10"/>
    <w:rsid w:val="005D0F52"/>
    <w:rsid w:val="005D104E"/>
    <w:rsid w:val="005D1132"/>
    <w:rsid w:val="005D15B3"/>
    <w:rsid w:val="005D175B"/>
    <w:rsid w:val="005D21DD"/>
    <w:rsid w:val="005D2304"/>
    <w:rsid w:val="005D2379"/>
    <w:rsid w:val="005D246D"/>
    <w:rsid w:val="005D24E2"/>
    <w:rsid w:val="005D278F"/>
    <w:rsid w:val="005D2817"/>
    <w:rsid w:val="005D2B8D"/>
    <w:rsid w:val="005D2B9E"/>
    <w:rsid w:val="005D2F26"/>
    <w:rsid w:val="005D3207"/>
    <w:rsid w:val="005D332B"/>
    <w:rsid w:val="005D33C4"/>
    <w:rsid w:val="005D361B"/>
    <w:rsid w:val="005D3A04"/>
    <w:rsid w:val="005D3A16"/>
    <w:rsid w:val="005D3C41"/>
    <w:rsid w:val="005D3D6E"/>
    <w:rsid w:val="005D3DF2"/>
    <w:rsid w:val="005D3E8D"/>
    <w:rsid w:val="005D4355"/>
    <w:rsid w:val="005D4608"/>
    <w:rsid w:val="005D4622"/>
    <w:rsid w:val="005D46FA"/>
    <w:rsid w:val="005D48FE"/>
    <w:rsid w:val="005D4D02"/>
    <w:rsid w:val="005D4D75"/>
    <w:rsid w:val="005D4E85"/>
    <w:rsid w:val="005D4F02"/>
    <w:rsid w:val="005D52AD"/>
    <w:rsid w:val="005D585E"/>
    <w:rsid w:val="005D5B8A"/>
    <w:rsid w:val="005D5B91"/>
    <w:rsid w:val="005D5BCA"/>
    <w:rsid w:val="005D5CF3"/>
    <w:rsid w:val="005D5FC7"/>
    <w:rsid w:val="005D6465"/>
    <w:rsid w:val="005D66F8"/>
    <w:rsid w:val="005D6809"/>
    <w:rsid w:val="005D68FF"/>
    <w:rsid w:val="005D6A46"/>
    <w:rsid w:val="005D6EB9"/>
    <w:rsid w:val="005D6EC2"/>
    <w:rsid w:val="005D710D"/>
    <w:rsid w:val="005D71EA"/>
    <w:rsid w:val="005D7282"/>
    <w:rsid w:val="005D7433"/>
    <w:rsid w:val="005D7471"/>
    <w:rsid w:val="005D749D"/>
    <w:rsid w:val="005D7582"/>
    <w:rsid w:val="005D76F9"/>
    <w:rsid w:val="005D78DA"/>
    <w:rsid w:val="005E022F"/>
    <w:rsid w:val="005E024C"/>
    <w:rsid w:val="005E035C"/>
    <w:rsid w:val="005E0697"/>
    <w:rsid w:val="005E0A93"/>
    <w:rsid w:val="005E0CB6"/>
    <w:rsid w:val="005E0FCF"/>
    <w:rsid w:val="005E130A"/>
    <w:rsid w:val="005E13E4"/>
    <w:rsid w:val="005E1625"/>
    <w:rsid w:val="005E1627"/>
    <w:rsid w:val="005E17B6"/>
    <w:rsid w:val="005E1981"/>
    <w:rsid w:val="005E1D3F"/>
    <w:rsid w:val="005E1E55"/>
    <w:rsid w:val="005E1F46"/>
    <w:rsid w:val="005E20EC"/>
    <w:rsid w:val="005E23F8"/>
    <w:rsid w:val="005E2477"/>
    <w:rsid w:val="005E2591"/>
    <w:rsid w:val="005E2702"/>
    <w:rsid w:val="005E2904"/>
    <w:rsid w:val="005E2952"/>
    <w:rsid w:val="005E2C4A"/>
    <w:rsid w:val="005E2E53"/>
    <w:rsid w:val="005E31A5"/>
    <w:rsid w:val="005E34A3"/>
    <w:rsid w:val="005E392F"/>
    <w:rsid w:val="005E3BE2"/>
    <w:rsid w:val="005E40F3"/>
    <w:rsid w:val="005E416D"/>
    <w:rsid w:val="005E41AF"/>
    <w:rsid w:val="005E44A1"/>
    <w:rsid w:val="005E4653"/>
    <w:rsid w:val="005E491A"/>
    <w:rsid w:val="005E4957"/>
    <w:rsid w:val="005E4C87"/>
    <w:rsid w:val="005E4F22"/>
    <w:rsid w:val="005E55A3"/>
    <w:rsid w:val="005E560A"/>
    <w:rsid w:val="005E5874"/>
    <w:rsid w:val="005E5896"/>
    <w:rsid w:val="005E58CE"/>
    <w:rsid w:val="005E5B3A"/>
    <w:rsid w:val="005E5F74"/>
    <w:rsid w:val="005E60D5"/>
    <w:rsid w:val="005E610C"/>
    <w:rsid w:val="005E676A"/>
    <w:rsid w:val="005E6875"/>
    <w:rsid w:val="005E695B"/>
    <w:rsid w:val="005E698B"/>
    <w:rsid w:val="005E6B5A"/>
    <w:rsid w:val="005E6BC8"/>
    <w:rsid w:val="005E6BD4"/>
    <w:rsid w:val="005E6CD6"/>
    <w:rsid w:val="005E6D08"/>
    <w:rsid w:val="005E6E22"/>
    <w:rsid w:val="005E758A"/>
    <w:rsid w:val="005E75D5"/>
    <w:rsid w:val="005E76EA"/>
    <w:rsid w:val="005E793C"/>
    <w:rsid w:val="005E7991"/>
    <w:rsid w:val="005E7D17"/>
    <w:rsid w:val="005E7EB0"/>
    <w:rsid w:val="005F01AB"/>
    <w:rsid w:val="005F0217"/>
    <w:rsid w:val="005F047F"/>
    <w:rsid w:val="005F065A"/>
    <w:rsid w:val="005F068D"/>
    <w:rsid w:val="005F0AAC"/>
    <w:rsid w:val="005F0AE9"/>
    <w:rsid w:val="005F0B3C"/>
    <w:rsid w:val="005F0BD6"/>
    <w:rsid w:val="005F0CE9"/>
    <w:rsid w:val="005F0D08"/>
    <w:rsid w:val="005F0E3E"/>
    <w:rsid w:val="005F0E80"/>
    <w:rsid w:val="005F0F78"/>
    <w:rsid w:val="005F0FA2"/>
    <w:rsid w:val="005F0FC0"/>
    <w:rsid w:val="005F1065"/>
    <w:rsid w:val="005F10F2"/>
    <w:rsid w:val="005F117F"/>
    <w:rsid w:val="005F1425"/>
    <w:rsid w:val="005F1555"/>
    <w:rsid w:val="005F17EC"/>
    <w:rsid w:val="005F1FA1"/>
    <w:rsid w:val="005F27F0"/>
    <w:rsid w:val="005F286A"/>
    <w:rsid w:val="005F2978"/>
    <w:rsid w:val="005F2CB3"/>
    <w:rsid w:val="005F2EFC"/>
    <w:rsid w:val="005F30F5"/>
    <w:rsid w:val="005F31B0"/>
    <w:rsid w:val="005F32D5"/>
    <w:rsid w:val="005F34BC"/>
    <w:rsid w:val="005F3502"/>
    <w:rsid w:val="005F35F9"/>
    <w:rsid w:val="005F39D0"/>
    <w:rsid w:val="005F426F"/>
    <w:rsid w:val="005F42E2"/>
    <w:rsid w:val="005F43AF"/>
    <w:rsid w:val="005F43B5"/>
    <w:rsid w:val="005F45F7"/>
    <w:rsid w:val="005F4601"/>
    <w:rsid w:val="005F4721"/>
    <w:rsid w:val="005F4BD2"/>
    <w:rsid w:val="005F4EFD"/>
    <w:rsid w:val="005F562A"/>
    <w:rsid w:val="005F5B92"/>
    <w:rsid w:val="005F5BE3"/>
    <w:rsid w:val="005F600C"/>
    <w:rsid w:val="005F600D"/>
    <w:rsid w:val="005F6673"/>
    <w:rsid w:val="005F6741"/>
    <w:rsid w:val="005F6D58"/>
    <w:rsid w:val="005F7035"/>
    <w:rsid w:val="005F7088"/>
    <w:rsid w:val="005F720A"/>
    <w:rsid w:val="005F729D"/>
    <w:rsid w:val="005F798E"/>
    <w:rsid w:val="005F7DE3"/>
    <w:rsid w:val="006000C0"/>
    <w:rsid w:val="006001AA"/>
    <w:rsid w:val="006006C8"/>
    <w:rsid w:val="006007A8"/>
    <w:rsid w:val="006007F5"/>
    <w:rsid w:val="006007FB"/>
    <w:rsid w:val="0060096B"/>
    <w:rsid w:val="00600AEA"/>
    <w:rsid w:val="00601153"/>
    <w:rsid w:val="006016CB"/>
    <w:rsid w:val="0060172F"/>
    <w:rsid w:val="00601E40"/>
    <w:rsid w:val="00601E62"/>
    <w:rsid w:val="00602035"/>
    <w:rsid w:val="0060211B"/>
    <w:rsid w:val="00602439"/>
    <w:rsid w:val="0060252C"/>
    <w:rsid w:val="0060282B"/>
    <w:rsid w:val="00602B18"/>
    <w:rsid w:val="00602D51"/>
    <w:rsid w:val="00602F43"/>
    <w:rsid w:val="00602FF1"/>
    <w:rsid w:val="00603087"/>
    <w:rsid w:val="006033E2"/>
    <w:rsid w:val="0060355A"/>
    <w:rsid w:val="00603687"/>
    <w:rsid w:val="0060378C"/>
    <w:rsid w:val="00603B08"/>
    <w:rsid w:val="00604B5C"/>
    <w:rsid w:val="00604B7A"/>
    <w:rsid w:val="00604BF1"/>
    <w:rsid w:val="00604C17"/>
    <w:rsid w:val="00604DDF"/>
    <w:rsid w:val="00604EB4"/>
    <w:rsid w:val="00605436"/>
    <w:rsid w:val="00605446"/>
    <w:rsid w:val="00605763"/>
    <w:rsid w:val="00605764"/>
    <w:rsid w:val="00605776"/>
    <w:rsid w:val="00605B45"/>
    <w:rsid w:val="00605C2D"/>
    <w:rsid w:val="00605E76"/>
    <w:rsid w:val="00605FA8"/>
    <w:rsid w:val="00606757"/>
    <w:rsid w:val="0060699A"/>
    <w:rsid w:val="00606A30"/>
    <w:rsid w:val="00606B02"/>
    <w:rsid w:val="00606B0A"/>
    <w:rsid w:val="00606BC3"/>
    <w:rsid w:val="00606ED6"/>
    <w:rsid w:val="00606F35"/>
    <w:rsid w:val="00606F37"/>
    <w:rsid w:val="0060719A"/>
    <w:rsid w:val="0060719C"/>
    <w:rsid w:val="006072C7"/>
    <w:rsid w:val="00607308"/>
    <w:rsid w:val="006073E6"/>
    <w:rsid w:val="0060752A"/>
    <w:rsid w:val="0060759A"/>
    <w:rsid w:val="00607740"/>
    <w:rsid w:val="006079D8"/>
    <w:rsid w:val="00610162"/>
    <w:rsid w:val="0061040F"/>
    <w:rsid w:val="006107C9"/>
    <w:rsid w:val="00610844"/>
    <w:rsid w:val="00610914"/>
    <w:rsid w:val="0061096A"/>
    <w:rsid w:val="00610A86"/>
    <w:rsid w:val="00610ABA"/>
    <w:rsid w:val="00610AE5"/>
    <w:rsid w:val="00610E71"/>
    <w:rsid w:val="00610FAB"/>
    <w:rsid w:val="00611007"/>
    <w:rsid w:val="006112BC"/>
    <w:rsid w:val="00611344"/>
    <w:rsid w:val="006113A2"/>
    <w:rsid w:val="00611602"/>
    <w:rsid w:val="00611932"/>
    <w:rsid w:val="00611A14"/>
    <w:rsid w:val="00611CA4"/>
    <w:rsid w:val="00611EDA"/>
    <w:rsid w:val="006125A4"/>
    <w:rsid w:val="0061261F"/>
    <w:rsid w:val="00612652"/>
    <w:rsid w:val="00612684"/>
    <w:rsid w:val="00612915"/>
    <w:rsid w:val="006129A5"/>
    <w:rsid w:val="00612A2C"/>
    <w:rsid w:val="00612B6A"/>
    <w:rsid w:val="00612BEB"/>
    <w:rsid w:val="00612E51"/>
    <w:rsid w:val="00612F82"/>
    <w:rsid w:val="0061301C"/>
    <w:rsid w:val="00613037"/>
    <w:rsid w:val="0061317A"/>
    <w:rsid w:val="006132DD"/>
    <w:rsid w:val="00613482"/>
    <w:rsid w:val="006134D2"/>
    <w:rsid w:val="006135AB"/>
    <w:rsid w:val="0061380F"/>
    <w:rsid w:val="00613866"/>
    <w:rsid w:val="00613897"/>
    <w:rsid w:val="006138E4"/>
    <w:rsid w:val="00613A6F"/>
    <w:rsid w:val="00613CBC"/>
    <w:rsid w:val="0061429A"/>
    <w:rsid w:val="0061447E"/>
    <w:rsid w:val="006144F6"/>
    <w:rsid w:val="006147A3"/>
    <w:rsid w:val="006147AD"/>
    <w:rsid w:val="00614B3D"/>
    <w:rsid w:val="00614BF2"/>
    <w:rsid w:val="00614C69"/>
    <w:rsid w:val="00614C6B"/>
    <w:rsid w:val="00614D53"/>
    <w:rsid w:val="00614FE0"/>
    <w:rsid w:val="00614FF0"/>
    <w:rsid w:val="00615484"/>
    <w:rsid w:val="006156CC"/>
    <w:rsid w:val="00615703"/>
    <w:rsid w:val="00615BC2"/>
    <w:rsid w:val="00616263"/>
    <w:rsid w:val="00616407"/>
    <w:rsid w:val="00616522"/>
    <w:rsid w:val="00616814"/>
    <w:rsid w:val="0061681B"/>
    <w:rsid w:val="0061700C"/>
    <w:rsid w:val="006173E2"/>
    <w:rsid w:val="00617615"/>
    <w:rsid w:val="00617655"/>
    <w:rsid w:val="006177DF"/>
    <w:rsid w:val="00617814"/>
    <w:rsid w:val="00617832"/>
    <w:rsid w:val="00617905"/>
    <w:rsid w:val="00617D23"/>
    <w:rsid w:val="00620084"/>
    <w:rsid w:val="00620160"/>
    <w:rsid w:val="006201AB"/>
    <w:rsid w:val="006202F2"/>
    <w:rsid w:val="00620976"/>
    <w:rsid w:val="00620AC0"/>
    <w:rsid w:val="00620B1D"/>
    <w:rsid w:val="00620BAD"/>
    <w:rsid w:val="00620C25"/>
    <w:rsid w:val="00620E5A"/>
    <w:rsid w:val="00620FA4"/>
    <w:rsid w:val="00620FD1"/>
    <w:rsid w:val="00621290"/>
    <w:rsid w:val="006218E4"/>
    <w:rsid w:val="006218F5"/>
    <w:rsid w:val="00621B50"/>
    <w:rsid w:val="00621CE6"/>
    <w:rsid w:val="00621F3C"/>
    <w:rsid w:val="006223BF"/>
    <w:rsid w:val="006224C2"/>
    <w:rsid w:val="006224F3"/>
    <w:rsid w:val="00622558"/>
    <w:rsid w:val="0062291D"/>
    <w:rsid w:val="006229D3"/>
    <w:rsid w:val="0062317C"/>
    <w:rsid w:val="006235C0"/>
    <w:rsid w:val="006235EF"/>
    <w:rsid w:val="00623BC9"/>
    <w:rsid w:val="00623CFE"/>
    <w:rsid w:val="00623DA7"/>
    <w:rsid w:val="00623FA7"/>
    <w:rsid w:val="00623FD2"/>
    <w:rsid w:val="00624199"/>
    <w:rsid w:val="006241BD"/>
    <w:rsid w:val="00624292"/>
    <w:rsid w:val="006244BB"/>
    <w:rsid w:val="00624574"/>
    <w:rsid w:val="00624706"/>
    <w:rsid w:val="00624887"/>
    <w:rsid w:val="00625060"/>
    <w:rsid w:val="006250E9"/>
    <w:rsid w:val="0062546A"/>
    <w:rsid w:val="006254B7"/>
    <w:rsid w:val="00625502"/>
    <w:rsid w:val="006257E4"/>
    <w:rsid w:val="00625B53"/>
    <w:rsid w:val="00625D42"/>
    <w:rsid w:val="00625E40"/>
    <w:rsid w:val="00626419"/>
    <w:rsid w:val="0062653B"/>
    <w:rsid w:val="00626554"/>
    <w:rsid w:val="0062666F"/>
    <w:rsid w:val="00626C6F"/>
    <w:rsid w:val="00626D21"/>
    <w:rsid w:val="00627649"/>
    <w:rsid w:val="00627768"/>
    <w:rsid w:val="006277C9"/>
    <w:rsid w:val="00627F80"/>
    <w:rsid w:val="00630321"/>
    <w:rsid w:val="00630791"/>
    <w:rsid w:val="00630888"/>
    <w:rsid w:val="00630949"/>
    <w:rsid w:val="00630C2D"/>
    <w:rsid w:val="00630E99"/>
    <w:rsid w:val="006310EB"/>
    <w:rsid w:val="006311B0"/>
    <w:rsid w:val="006311F8"/>
    <w:rsid w:val="00631709"/>
    <w:rsid w:val="00631734"/>
    <w:rsid w:val="00631785"/>
    <w:rsid w:val="00631CA4"/>
    <w:rsid w:val="00631D36"/>
    <w:rsid w:val="00631D73"/>
    <w:rsid w:val="00631FFC"/>
    <w:rsid w:val="0063201E"/>
    <w:rsid w:val="00632884"/>
    <w:rsid w:val="006328ED"/>
    <w:rsid w:val="00632DA8"/>
    <w:rsid w:val="00633058"/>
    <w:rsid w:val="0063317C"/>
    <w:rsid w:val="006331CD"/>
    <w:rsid w:val="006332C0"/>
    <w:rsid w:val="00633328"/>
    <w:rsid w:val="00633551"/>
    <w:rsid w:val="006335B0"/>
    <w:rsid w:val="006337E1"/>
    <w:rsid w:val="0063381C"/>
    <w:rsid w:val="00633B2F"/>
    <w:rsid w:val="00633F01"/>
    <w:rsid w:val="00633F66"/>
    <w:rsid w:val="00634049"/>
    <w:rsid w:val="006340A2"/>
    <w:rsid w:val="0063418B"/>
    <w:rsid w:val="00634328"/>
    <w:rsid w:val="0063472D"/>
    <w:rsid w:val="006347DC"/>
    <w:rsid w:val="0063495F"/>
    <w:rsid w:val="00634A44"/>
    <w:rsid w:val="00634C2F"/>
    <w:rsid w:val="006351C9"/>
    <w:rsid w:val="006354A4"/>
    <w:rsid w:val="00635823"/>
    <w:rsid w:val="006359D9"/>
    <w:rsid w:val="00635E5A"/>
    <w:rsid w:val="00635E90"/>
    <w:rsid w:val="00635FE4"/>
    <w:rsid w:val="00636005"/>
    <w:rsid w:val="0063618F"/>
    <w:rsid w:val="00636334"/>
    <w:rsid w:val="0063669F"/>
    <w:rsid w:val="00636AAC"/>
    <w:rsid w:val="00636C06"/>
    <w:rsid w:val="00636C47"/>
    <w:rsid w:val="00636D66"/>
    <w:rsid w:val="00636E6C"/>
    <w:rsid w:val="00636FF4"/>
    <w:rsid w:val="006371A6"/>
    <w:rsid w:val="00637341"/>
    <w:rsid w:val="00637464"/>
    <w:rsid w:val="00637E89"/>
    <w:rsid w:val="006401DE"/>
    <w:rsid w:val="006403E2"/>
    <w:rsid w:val="006407F3"/>
    <w:rsid w:val="006409C0"/>
    <w:rsid w:val="00640A79"/>
    <w:rsid w:val="00640C31"/>
    <w:rsid w:val="00640D77"/>
    <w:rsid w:val="00640FC0"/>
    <w:rsid w:val="00641097"/>
    <w:rsid w:val="006411DA"/>
    <w:rsid w:val="00641212"/>
    <w:rsid w:val="00641254"/>
    <w:rsid w:val="00641290"/>
    <w:rsid w:val="00641332"/>
    <w:rsid w:val="006413C1"/>
    <w:rsid w:val="0064142D"/>
    <w:rsid w:val="00641622"/>
    <w:rsid w:val="00641793"/>
    <w:rsid w:val="0064181A"/>
    <w:rsid w:val="0064189F"/>
    <w:rsid w:val="00641A8C"/>
    <w:rsid w:val="00641BD7"/>
    <w:rsid w:val="00641ECA"/>
    <w:rsid w:val="00642067"/>
    <w:rsid w:val="00642158"/>
    <w:rsid w:val="00642214"/>
    <w:rsid w:val="0064278B"/>
    <w:rsid w:val="006427A1"/>
    <w:rsid w:val="0064309D"/>
    <w:rsid w:val="00643226"/>
    <w:rsid w:val="00643279"/>
    <w:rsid w:val="00643A24"/>
    <w:rsid w:val="00643B0A"/>
    <w:rsid w:val="00643F2E"/>
    <w:rsid w:val="0064407D"/>
    <w:rsid w:val="00644179"/>
    <w:rsid w:val="0064436F"/>
    <w:rsid w:val="00644541"/>
    <w:rsid w:val="0064483F"/>
    <w:rsid w:val="00644C50"/>
    <w:rsid w:val="00644D98"/>
    <w:rsid w:val="00644EF7"/>
    <w:rsid w:val="00645176"/>
    <w:rsid w:val="006454C4"/>
    <w:rsid w:val="0064557A"/>
    <w:rsid w:val="006459EF"/>
    <w:rsid w:val="006459F4"/>
    <w:rsid w:val="0064609F"/>
    <w:rsid w:val="006461DF"/>
    <w:rsid w:val="006465F3"/>
    <w:rsid w:val="00646919"/>
    <w:rsid w:val="00646AA9"/>
    <w:rsid w:val="00646B77"/>
    <w:rsid w:val="00646B7A"/>
    <w:rsid w:val="00646D6F"/>
    <w:rsid w:val="00646E28"/>
    <w:rsid w:val="00647697"/>
    <w:rsid w:val="006479EB"/>
    <w:rsid w:val="00647E0E"/>
    <w:rsid w:val="00647FF7"/>
    <w:rsid w:val="00650559"/>
    <w:rsid w:val="00650840"/>
    <w:rsid w:val="00650B0A"/>
    <w:rsid w:val="0065129E"/>
    <w:rsid w:val="00651523"/>
    <w:rsid w:val="00651ABD"/>
    <w:rsid w:val="00651AE0"/>
    <w:rsid w:val="00651F4B"/>
    <w:rsid w:val="0065221A"/>
    <w:rsid w:val="006522D0"/>
    <w:rsid w:val="00652323"/>
    <w:rsid w:val="006526F7"/>
    <w:rsid w:val="006527C2"/>
    <w:rsid w:val="00652898"/>
    <w:rsid w:val="00652963"/>
    <w:rsid w:val="00652B75"/>
    <w:rsid w:val="00652B8E"/>
    <w:rsid w:val="00652F4C"/>
    <w:rsid w:val="00653048"/>
    <w:rsid w:val="00653419"/>
    <w:rsid w:val="006534BF"/>
    <w:rsid w:val="00653677"/>
    <w:rsid w:val="006537D7"/>
    <w:rsid w:val="00653D32"/>
    <w:rsid w:val="0065444A"/>
    <w:rsid w:val="006545C1"/>
    <w:rsid w:val="0065477F"/>
    <w:rsid w:val="006548A9"/>
    <w:rsid w:val="0065491C"/>
    <w:rsid w:val="00654F68"/>
    <w:rsid w:val="00654F85"/>
    <w:rsid w:val="00654F95"/>
    <w:rsid w:val="0065503E"/>
    <w:rsid w:val="00655307"/>
    <w:rsid w:val="006554B8"/>
    <w:rsid w:val="006555E4"/>
    <w:rsid w:val="00655618"/>
    <w:rsid w:val="00655811"/>
    <w:rsid w:val="00655CF9"/>
    <w:rsid w:val="00655D45"/>
    <w:rsid w:val="00656580"/>
    <w:rsid w:val="00656867"/>
    <w:rsid w:val="006569F3"/>
    <w:rsid w:val="00656C33"/>
    <w:rsid w:val="00656DE6"/>
    <w:rsid w:val="00656F05"/>
    <w:rsid w:val="0065714C"/>
    <w:rsid w:val="006574BD"/>
    <w:rsid w:val="0065768D"/>
    <w:rsid w:val="006577CB"/>
    <w:rsid w:val="0065788E"/>
    <w:rsid w:val="00657E1D"/>
    <w:rsid w:val="00657EB2"/>
    <w:rsid w:val="00657FB3"/>
    <w:rsid w:val="0066009F"/>
    <w:rsid w:val="006602E6"/>
    <w:rsid w:val="00660632"/>
    <w:rsid w:val="00660999"/>
    <w:rsid w:val="00660A74"/>
    <w:rsid w:val="00660B67"/>
    <w:rsid w:val="00660C89"/>
    <w:rsid w:val="00660D2B"/>
    <w:rsid w:val="00660D9D"/>
    <w:rsid w:val="00660E62"/>
    <w:rsid w:val="00660E64"/>
    <w:rsid w:val="006611E6"/>
    <w:rsid w:val="0066142E"/>
    <w:rsid w:val="00661887"/>
    <w:rsid w:val="00661ED5"/>
    <w:rsid w:val="00661F66"/>
    <w:rsid w:val="00662403"/>
    <w:rsid w:val="00662518"/>
    <w:rsid w:val="006625E9"/>
    <w:rsid w:val="0066279F"/>
    <w:rsid w:val="006629A0"/>
    <w:rsid w:val="00662A3F"/>
    <w:rsid w:val="00662AFA"/>
    <w:rsid w:val="00662E2B"/>
    <w:rsid w:val="00662E5F"/>
    <w:rsid w:val="00662EE8"/>
    <w:rsid w:val="006634AC"/>
    <w:rsid w:val="006634E8"/>
    <w:rsid w:val="00663558"/>
    <w:rsid w:val="00663770"/>
    <w:rsid w:val="00663A94"/>
    <w:rsid w:val="00663CF3"/>
    <w:rsid w:val="00664007"/>
    <w:rsid w:val="006641BE"/>
    <w:rsid w:val="006643E0"/>
    <w:rsid w:val="00664434"/>
    <w:rsid w:val="0066484D"/>
    <w:rsid w:val="00664A01"/>
    <w:rsid w:val="00664AF2"/>
    <w:rsid w:val="0066524F"/>
    <w:rsid w:val="00665275"/>
    <w:rsid w:val="00665490"/>
    <w:rsid w:val="0066561F"/>
    <w:rsid w:val="006659BC"/>
    <w:rsid w:val="00665D35"/>
    <w:rsid w:val="00665EC1"/>
    <w:rsid w:val="006661BD"/>
    <w:rsid w:val="00666771"/>
    <w:rsid w:val="00666A49"/>
    <w:rsid w:val="00666A58"/>
    <w:rsid w:val="00666F81"/>
    <w:rsid w:val="00667124"/>
    <w:rsid w:val="006674A6"/>
    <w:rsid w:val="006678D7"/>
    <w:rsid w:val="00667A29"/>
    <w:rsid w:val="00667A93"/>
    <w:rsid w:val="00667AEC"/>
    <w:rsid w:val="00667B05"/>
    <w:rsid w:val="00667D3E"/>
    <w:rsid w:val="00670023"/>
    <w:rsid w:val="0067010C"/>
    <w:rsid w:val="0067036E"/>
    <w:rsid w:val="006703C2"/>
    <w:rsid w:val="00670577"/>
    <w:rsid w:val="00670650"/>
    <w:rsid w:val="006709B9"/>
    <w:rsid w:val="006709D1"/>
    <w:rsid w:val="00670ADB"/>
    <w:rsid w:val="0067104F"/>
    <w:rsid w:val="006712B9"/>
    <w:rsid w:val="006712C0"/>
    <w:rsid w:val="00671597"/>
    <w:rsid w:val="00671960"/>
    <w:rsid w:val="006720E8"/>
    <w:rsid w:val="0067243F"/>
    <w:rsid w:val="00672657"/>
    <w:rsid w:val="00672A87"/>
    <w:rsid w:val="00672BBB"/>
    <w:rsid w:val="00672BC2"/>
    <w:rsid w:val="00672BE6"/>
    <w:rsid w:val="00672E47"/>
    <w:rsid w:val="00672F17"/>
    <w:rsid w:val="006733FD"/>
    <w:rsid w:val="006736CB"/>
    <w:rsid w:val="00673831"/>
    <w:rsid w:val="00673A37"/>
    <w:rsid w:val="00673A3C"/>
    <w:rsid w:val="00673A83"/>
    <w:rsid w:val="00673BA9"/>
    <w:rsid w:val="00674309"/>
    <w:rsid w:val="006744AC"/>
    <w:rsid w:val="00674551"/>
    <w:rsid w:val="00674569"/>
    <w:rsid w:val="00674851"/>
    <w:rsid w:val="00674C7D"/>
    <w:rsid w:val="00674E2B"/>
    <w:rsid w:val="00674F6C"/>
    <w:rsid w:val="00675282"/>
    <w:rsid w:val="006754D6"/>
    <w:rsid w:val="00675526"/>
    <w:rsid w:val="00675754"/>
    <w:rsid w:val="006757A0"/>
    <w:rsid w:val="0067581F"/>
    <w:rsid w:val="00675867"/>
    <w:rsid w:val="006758CC"/>
    <w:rsid w:val="0067617B"/>
    <w:rsid w:val="00676200"/>
    <w:rsid w:val="0067630C"/>
    <w:rsid w:val="006765AD"/>
    <w:rsid w:val="00676725"/>
    <w:rsid w:val="00676860"/>
    <w:rsid w:val="006769A3"/>
    <w:rsid w:val="00676A58"/>
    <w:rsid w:val="00676F08"/>
    <w:rsid w:val="0067722B"/>
    <w:rsid w:val="006774C3"/>
    <w:rsid w:val="0067755A"/>
    <w:rsid w:val="006777B0"/>
    <w:rsid w:val="00677FA4"/>
    <w:rsid w:val="00680B40"/>
    <w:rsid w:val="00680D31"/>
    <w:rsid w:val="00681395"/>
    <w:rsid w:val="00681526"/>
    <w:rsid w:val="00681737"/>
    <w:rsid w:val="006818EA"/>
    <w:rsid w:val="0068199C"/>
    <w:rsid w:val="00681CDF"/>
    <w:rsid w:val="00681DFA"/>
    <w:rsid w:val="00681EC9"/>
    <w:rsid w:val="00681F9B"/>
    <w:rsid w:val="006821FB"/>
    <w:rsid w:val="006822FA"/>
    <w:rsid w:val="006824EF"/>
    <w:rsid w:val="0068253F"/>
    <w:rsid w:val="0068261E"/>
    <w:rsid w:val="00682712"/>
    <w:rsid w:val="00682808"/>
    <w:rsid w:val="0068288C"/>
    <w:rsid w:val="00682C0E"/>
    <w:rsid w:val="00682E29"/>
    <w:rsid w:val="00683038"/>
    <w:rsid w:val="00683064"/>
    <w:rsid w:val="006833FA"/>
    <w:rsid w:val="0068346D"/>
    <w:rsid w:val="00683519"/>
    <w:rsid w:val="006836B1"/>
    <w:rsid w:val="006836B9"/>
    <w:rsid w:val="00683740"/>
    <w:rsid w:val="0068375B"/>
    <w:rsid w:val="00683E51"/>
    <w:rsid w:val="00683F36"/>
    <w:rsid w:val="0068417E"/>
    <w:rsid w:val="0068418F"/>
    <w:rsid w:val="006841C5"/>
    <w:rsid w:val="0068448C"/>
    <w:rsid w:val="00684BF5"/>
    <w:rsid w:val="00684BFB"/>
    <w:rsid w:val="00684E98"/>
    <w:rsid w:val="0068544E"/>
    <w:rsid w:val="006854DC"/>
    <w:rsid w:val="0068552A"/>
    <w:rsid w:val="00685555"/>
    <w:rsid w:val="00685589"/>
    <w:rsid w:val="0068580F"/>
    <w:rsid w:val="00685A5B"/>
    <w:rsid w:val="00685F05"/>
    <w:rsid w:val="00686361"/>
    <w:rsid w:val="00686448"/>
    <w:rsid w:val="0068682C"/>
    <w:rsid w:val="006870E5"/>
    <w:rsid w:val="006873DA"/>
    <w:rsid w:val="006876F4"/>
    <w:rsid w:val="006877EC"/>
    <w:rsid w:val="00687864"/>
    <w:rsid w:val="00687BA6"/>
    <w:rsid w:val="00687F98"/>
    <w:rsid w:val="00690124"/>
    <w:rsid w:val="006904D4"/>
    <w:rsid w:val="006906A9"/>
    <w:rsid w:val="006907BC"/>
    <w:rsid w:val="006907CB"/>
    <w:rsid w:val="006909D7"/>
    <w:rsid w:val="00691090"/>
    <w:rsid w:val="00691784"/>
    <w:rsid w:val="00691BDB"/>
    <w:rsid w:val="00691ECA"/>
    <w:rsid w:val="0069206B"/>
    <w:rsid w:val="00692220"/>
    <w:rsid w:val="006922B1"/>
    <w:rsid w:val="00692381"/>
    <w:rsid w:val="00692754"/>
    <w:rsid w:val="006928C7"/>
    <w:rsid w:val="00692B02"/>
    <w:rsid w:val="00692E10"/>
    <w:rsid w:val="00692FE4"/>
    <w:rsid w:val="0069301E"/>
    <w:rsid w:val="00693521"/>
    <w:rsid w:val="006938AA"/>
    <w:rsid w:val="00693B5F"/>
    <w:rsid w:val="00693C21"/>
    <w:rsid w:val="00693C75"/>
    <w:rsid w:val="00693C97"/>
    <w:rsid w:val="00693F90"/>
    <w:rsid w:val="00694146"/>
    <w:rsid w:val="006942BE"/>
    <w:rsid w:val="006942FE"/>
    <w:rsid w:val="00694607"/>
    <w:rsid w:val="0069469E"/>
    <w:rsid w:val="0069474B"/>
    <w:rsid w:val="0069475D"/>
    <w:rsid w:val="00694A9B"/>
    <w:rsid w:val="00694ED8"/>
    <w:rsid w:val="00694F77"/>
    <w:rsid w:val="00694FF1"/>
    <w:rsid w:val="00695040"/>
    <w:rsid w:val="00695215"/>
    <w:rsid w:val="0069534C"/>
    <w:rsid w:val="0069543E"/>
    <w:rsid w:val="00695479"/>
    <w:rsid w:val="00695522"/>
    <w:rsid w:val="00695810"/>
    <w:rsid w:val="006958DC"/>
    <w:rsid w:val="00695F1D"/>
    <w:rsid w:val="00696288"/>
    <w:rsid w:val="0069636D"/>
    <w:rsid w:val="006965D1"/>
    <w:rsid w:val="00696992"/>
    <w:rsid w:val="00696C48"/>
    <w:rsid w:val="00696EB2"/>
    <w:rsid w:val="00697017"/>
    <w:rsid w:val="00697226"/>
    <w:rsid w:val="00697468"/>
    <w:rsid w:val="00697823"/>
    <w:rsid w:val="00697966"/>
    <w:rsid w:val="006979EC"/>
    <w:rsid w:val="00697BC8"/>
    <w:rsid w:val="00697EE0"/>
    <w:rsid w:val="006A0117"/>
    <w:rsid w:val="006A038E"/>
    <w:rsid w:val="006A04F8"/>
    <w:rsid w:val="006A0594"/>
    <w:rsid w:val="006A05C5"/>
    <w:rsid w:val="006A0B5B"/>
    <w:rsid w:val="006A0B98"/>
    <w:rsid w:val="006A0F76"/>
    <w:rsid w:val="006A10B7"/>
    <w:rsid w:val="006A16AE"/>
    <w:rsid w:val="006A1768"/>
    <w:rsid w:val="006A1BA6"/>
    <w:rsid w:val="006A1DAC"/>
    <w:rsid w:val="006A2859"/>
    <w:rsid w:val="006A3195"/>
    <w:rsid w:val="006A3431"/>
    <w:rsid w:val="006A347A"/>
    <w:rsid w:val="006A3A2B"/>
    <w:rsid w:val="006A3AE6"/>
    <w:rsid w:val="006A3D69"/>
    <w:rsid w:val="006A411A"/>
    <w:rsid w:val="006A420C"/>
    <w:rsid w:val="006A4255"/>
    <w:rsid w:val="006A42EB"/>
    <w:rsid w:val="006A4560"/>
    <w:rsid w:val="006A4654"/>
    <w:rsid w:val="006A47CE"/>
    <w:rsid w:val="006A4D77"/>
    <w:rsid w:val="006A4E5F"/>
    <w:rsid w:val="006A4F14"/>
    <w:rsid w:val="006A5184"/>
    <w:rsid w:val="006A5B07"/>
    <w:rsid w:val="006A5C60"/>
    <w:rsid w:val="006A5FF4"/>
    <w:rsid w:val="006A600F"/>
    <w:rsid w:val="006A6397"/>
    <w:rsid w:val="006A650D"/>
    <w:rsid w:val="006A6564"/>
    <w:rsid w:val="006A696F"/>
    <w:rsid w:val="006A6BF1"/>
    <w:rsid w:val="006A6F60"/>
    <w:rsid w:val="006A729A"/>
    <w:rsid w:val="006A74BF"/>
    <w:rsid w:val="006A763B"/>
    <w:rsid w:val="006A794E"/>
    <w:rsid w:val="006B01AA"/>
    <w:rsid w:val="006B02A0"/>
    <w:rsid w:val="006B0364"/>
    <w:rsid w:val="006B036A"/>
    <w:rsid w:val="006B03DA"/>
    <w:rsid w:val="006B0424"/>
    <w:rsid w:val="006B045E"/>
    <w:rsid w:val="006B0512"/>
    <w:rsid w:val="006B066C"/>
    <w:rsid w:val="006B066E"/>
    <w:rsid w:val="006B0AEA"/>
    <w:rsid w:val="006B0B4E"/>
    <w:rsid w:val="006B0D54"/>
    <w:rsid w:val="006B0E8B"/>
    <w:rsid w:val="006B1088"/>
    <w:rsid w:val="006B10C0"/>
    <w:rsid w:val="006B1267"/>
    <w:rsid w:val="006B14C3"/>
    <w:rsid w:val="006B153A"/>
    <w:rsid w:val="006B17FF"/>
    <w:rsid w:val="006B1B23"/>
    <w:rsid w:val="006B1CDD"/>
    <w:rsid w:val="006B1D9F"/>
    <w:rsid w:val="006B1ECB"/>
    <w:rsid w:val="006B2511"/>
    <w:rsid w:val="006B263D"/>
    <w:rsid w:val="006B2A55"/>
    <w:rsid w:val="006B3032"/>
    <w:rsid w:val="006B32A4"/>
    <w:rsid w:val="006B32C6"/>
    <w:rsid w:val="006B3467"/>
    <w:rsid w:val="006B3481"/>
    <w:rsid w:val="006B3AA2"/>
    <w:rsid w:val="006B3D41"/>
    <w:rsid w:val="006B4155"/>
    <w:rsid w:val="006B4156"/>
    <w:rsid w:val="006B474B"/>
    <w:rsid w:val="006B4B4A"/>
    <w:rsid w:val="006B4B7A"/>
    <w:rsid w:val="006B4CF4"/>
    <w:rsid w:val="006B4D38"/>
    <w:rsid w:val="006B515A"/>
    <w:rsid w:val="006B5266"/>
    <w:rsid w:val="006B5582"/>
    <w:rsid w:val="006B56FB"/>
    <w:rsid w:val="006B57B6"/>
    <w:rsid w:val="006B5807"/>
    <w:rsid w:val="006B5C4B"/>
    <w:rsid w:val="006B61FC"/>
    <w:rsid w:val="006B647C"/>
    <w:rsid w:val="006B64AD"/>
    <w:rsid w:val="006B663B"/>
    <w:rsid w:val="006B6B17"/>
    <w:rsid w:val="006B6B83"/>
    <w:rsid w:val="006B70EF"/>
    <w:rsid w:val="006B7543"/>
    <w:rsid w:val="006B75C6"/>
    <w:rsid w:val="006B776A"/>
    <w:rsid w:val="006B77CE"/>
    <w:rsid w:val="006B7933"/>
    <w:rsid w:val="006B79B3"/>
    <w:rsid w:val="006B7A75"/>
    <w:rsid w:val="006B7AC7"/>
    <w:rsid w:val="006B7CFA"/>
    <w:rsid w:val="006B7E7B"/>
    <w:rsid w:val="006C03A9"/>
    <w:rsid w:val="006C0432"/>
    <w:rsid w:val="006C0614"/>
    <w:rsid w:val="006C077C"/>
    <w:rsid w:val="006C1379"/>
    <w:rsid w:val="006C149E"/>
    <w:rsid w:val="006C1657"/>
    <w:rsid w:val="006C18B7"/>
    <w:rsid w:val="006C1E08"/>
    <w:rsid w:val="006C1E3C"/>
    <w:rsid w:val="006C1E5C"/>
    <w:rsid w:val="006C1F6D"/>
    <w:rsid w:val="006C24DD"/>
    <w:rsid w:val="006C2995"/>
    <w:rsid w:val="006C2AA2"/>
    <w:rsid w:val="006C2B72"/>
    <w:rsid w:val="006C2CE7"/>
    <w:rsid w:val="006C2E6E"/>
    <w:rsid w:val="006C301F"/>
    <w:rsid w:val="006C3038"/>
    <w:rsid w:val="006C33CA"/>
    <w:rsid w:val="006C354C"/>
    <w:rsid w:val="006C35F0"/>
    <w:rsid w:val="006C3719"/>
    <w:rsid w:val="006C3821"/>
    <w:rsid w:val="006C38CD"/>
    <w:rsid w:val="006C3B22"/>
    <w:rsid w:val="006C3B45"/>
    <w:rsid w:val="006C3B76"/>
    <w:rsid w:val="006C3E67"/>
    <w:rsid w:val="006C442C"/>
    <w:rsid w:val="006C4572"/>
    <w:rsid w:val="006C4687"/>
    <w:rsid w:val="006C482D"/>
    <w:rsid w:val="006C49F9"/>
    <w:rsid w:val="006C4B94"/>
    <w:rsid w:val="006C4FF1"/>
    <w:rsid w:val="006C50B3"/>
    <w:rsid w:val="006C51D1"/>
    <w:rsid w:val="006C53AF"/>
    <w:rsid w:val="006C54DA"/>
    <w:rsid w:val="006C5589"/>
    <w:rsid w:val="006C5672"/>
    <w:rsid w:val="006C5756"/>
    <w:rsid w:val="006C5A4B"/>
    <w:rsid w:val="006C5D5D"/>
    <w:rsid w:val="006C5E43"/>
    <w:rsid w:val="006C5F50"/>
    <w:rsid w:val="006C6642"/>
    <w:rsid w:val="006C6EE9"/>
    <w:rsid w:val="006C6EF8"/>
    <w:rsid w:val="006C77B3"/>
    <w:rsid w:val="006C77D3"/>
    <w:rsid w:val="006C7842"/>
    <w:rsid w:val="006C7AE2"/>
    <w:rsid w:val="006C7AE7"/>
    <w:rsid w:val="006C7B03"/>
    <w:rsid w:val="006C7C08"/>
    <w:rsid w:val="006C7D7B"/>
    <w:rsid w:val="006D03DC"/>
    <w:rsid w:val="006D08D7"/>
    <w:rsid w:val="006D0BE0"/>
    <w:rsid w:val="006D0D10"/>
    <w:rsid w:val="006D0EC2"/>
    <w:rsid w:val="006D12CF"/>
    <w:rsid w:val="006D1587"/>
    <w:rsid w:val="006D1B97"/>
    <w:rsid w:val="006D1D1C"/>
    <w:rsid w:val="006D2452"/>
    <w:rsid w:val="006D25ED"/>
    <w:rsid w:val="006D264F"/>
    <w:rsid w:val="006D2B2F"/>
    <w:rsid w:val="006D2C39"/>
    <w:rsid w:val="006D2CB5"/>
    <w:rsid w:val="006D2E53"/>
    <w:rsid w:val="006D2F7C"/>
    <w:rsid w:val="006D3E16"/>
    <w:rsid w:val="006D408C"/>
    <w:rsid w:val="006D412B"/>
    <w:rsid w:val="006D4669"/>
    <w:rsid w:val="006D46A0"/>
    <w:rsid w:val="006D46D8"/>
    <w:rsid w:val="006D4839"/>
    <w:rsid w:val="006D4901"/>
    <w:rsid w:val="006D4BC2"/>
    <w:rsid w:val="006D4C72"/>
    <w:rsid w:val="006D4D2F"/>
    <w:rsid w:val="006D4DCA"/>
    <w:rsid w:val="006D4DF7"/>
    <w:rsid w:val="006D4E4C"/>
    <w:rsid w:val="006D4ECE"/>
    <w:rsid w:val="006D4FB6"/>
    <w:rsid w:val="006D5067"/>
    <w:rsid w:val="006D542F"/>
    <w:rsid w:val="006D5541"/>
    <w:rsid w:val="006D5585"/>
    <w:rsid w:val="006D56DB"/>
    <w:rsid w:val="006D5939"/>
    <w:rsid w:val="006D5BDF"/>
    <w:rsid w:val="006D5CE3"/>
    <w:rsid w:val="006D5F76"/>
    <w:rsid w:val="006D6092"/>
    <w:rsid w:val="006D628A"/>
    <w:rsid w:val="006D6333"/>
    <w:rsid w:val="006D6664"/>
    <w:rsid w:val="006D6B61"/>
    <w:rsid w:val="006D6D96"/>
    <w:rsid w:val="006D6E9F"/>
    <w:rsid w:val="006D704B"/>
    <w:rsid w:val="006D7211"/>
    <w:rsid w:val="006D7242"/>
    <w:rsid w:val="006D7421"/>
    <w:rsid w:val="006D75C8"/>
    <w:rsid w:val="006D75F7"/>
    <w:rsid w:val="006D7C98"/>
    <w:rsid w:val="006D7E9D"/>
    <w:rsid w:val="006E03E4"/>
    <w:rsid w:val="006E04D3"/>
    <w:rsid w:val="006E0530"/>
    <w:rsid w:val="006E0767"/>
    <w:rsid w:val="006E09A0"/>
    <w:rsid w:val="006E0EFB"/>
    <w:rsid w:val="006E1181"/>
    <w:rsid w:val="006E1342"/>
    <w:rsid w:val="006E1910"/>
    <w:rsid w:val="006E1AE6"/>
    <w:rsid w:val="006E1BFC"/>
    <w:rsid w:val="006E1D78"/>
    <w:rsid w:val="006E24F1"/>
    <w:rsid w:val="006E2BEC"/>
    <w:rsid w:val="006E2CCE"/>
    <w:rsid w:val="006E2D4A"/>
    <w:rsid w:val="006E2D76"/>
    <w:rsid w:val="006E2F1B"/>
    <w:rsid w:val="006E301A"/>
    <w:rsid w:val="006E33C1"/>
    <w:rsid w:val="006E36DC"/>
    <w:rsid w:val="006E3850"/>
    <w:rsid w:val="006E3D30"/>
    <w:rsid w:val="006E3E1C"/>
    <w:rsid w:val="006E427B"/>
    <w:rsid w:val="006E4299"/>
    <w:rsid w:val="006E4317"/>
    <w:rsid w:val="006E4B26"/>
    <w:rsid w:val="006E4D38"/>
    <w:rsid w:val="006E5127"/>
    <w:rsid w:val="006E5268"/>
    <w:rsid w:val="006E52E0"/>
    <w:rsid w:val="006E53F7"/>
    <w:rsid w:val="006E5999"/>
    <w:rsid w:val="006E5B73"/>
    <w:rsid w:val="006E5E29"/>
    <w:rsid w:val="006E61EB"/>
    <w:rsid w:val="006E6535"/>
    <w:rsid w:val="006E6543"/>
    <w:rsid w:val="006E65A8"/>
    <w:rsid w:val="006E6798"/>
    <w:rsid w:val="006E6D0B"/>
    <w:rsid w:val="006E6DDA"/>
    <w:rsid w:val="006E758B"/>
    <w:rsid w:val="006E769F"/>
    <w:rsid w:val="006E784F"/>
    <w:rsid w:val="006E7A5D"/>
    <w:rsid w:val="006F0285"/>
    <w:rsid w:val="006F0450"/>
    <w:rsid w:val="006F087E"/>
    <w:rsid w:val="006F09A1"/>
    <w:rsid w:val="006F0BBD"/>
    <w:rsid w:val="006F0D46"/>
    <w:rsid w:val="006F0E65"/>
    <w:rsid w:val="006F0E6C"/>
    <w:rsid w:val="006F1036"/>
    <w:rsid w:val="006F1107"/>
    <w:rsid w:val="006F11C3"/>
    <w:rsid w:val="006F1278"/>
    <w:rsid w:val="006F1282"/>
    <w:rsid w:val="006F1361"/>
    <w:rsid w:val="006F13D1"/>
    <w:rsid w:val="006F174A"/>
    <w:rsid w:val="006F1B12"/>
    <w:rsid w:val="006F1BBC"/>
    <w:rsid w:val="006F1CD8"/>
    <w:rsid w:val="006F1D7E"/>
    <w:rsid w:val="006F2126"/>
    <w:rsid w:val="006F22ED"/>
    <w:rsid w:val="006F23DD"/>
    <w:rsid w:val="006F23E0"/>
    <w:rsid w:val="006F2625"/>
    <w:rsid w:val="006F2670"/>
    <w:rsid w:val="006F2998"/>
    <w:rsid w:val="006F29D2"/>
    <w:rsid w:val="006F2A2F"/>
    <w:rsid w:val="006F2AA3"/>
    <w:rsid w:val="006F2AE4"/>
    <w:rsid w:val="006F2C79"/>
    <w:rsid w:val="006F2CC5"/>
    <w:rsid w:val="006F2FD7"/>
    <w:rsid w:val="006F31B2"/>
    <w:rsid w:val="006F3269"/>
    <w:rsid w:val="006F3535"/>
    <w:rsid w:val="006F385F"/>
    <w:rsid w:val="006F3ADE"/>
    <w:rsid w:val="006F3B85"/>
    <w:rsid w:val="006F3BB7"/>
    <w:rsid w:val="006F3C68"/>
    <w:rsid w:val="006F3D2D"/>
    <w:rsid w:val="006F3D46"/>
    <w:rsid w:val="006F3DCA"/>
    <w:rsid w:val="006F3E48"/>
    <w:rsid w:val="006F47C5"/>
    <w:rsid w:val="006F49B9"/>
    <w:rsid w:val="006F4A2B"/>
    <w:rsid w:val="006F4B36"/>
    <w:rsid w:val="006F4BF3"/>
    <w:rsid w:val="006F4C00"/>
    <w:rsid w:val="006F4C45"/>
    <w:rsid w:val="006F4DDB"/>
    <w:rsid w:val="006F5158"/>
    <w:rsid w:val="006F518D"/>
    <w:rsid w:val="006F53B1"/>
    <w:rsid w:val="006F55F9"/>
    <w:rsid w:val="006F5770"/>
    <w:rsid w:val="006F57E8"/>
    <w:rsid w:val="006F586A"/>
    <w:rsid w:val="006F59CE"/>
    <w:rsid w:val="006F5FC2"/>
    <w:rsid w:val="006F5FFD"/>
    <w:rsid w:val="006F625D"/>
    <w:rsid w:val="006F631C"/>
    <w:rsid w:val="006F636F"/>
    <w:rsid w:val="006F67DF"/>
    <w:rsid w:val="006F6BFE"/>
    <w:rsid w:val="006F6BFF"/>
    <w:rsid w:val="006F7015"/>
    <w:rsid w:val="006F71E5"/>
    <w:rsid w:val="006F775A"/>
    <w:rsid w:val="006F7801"/>
    <w:rsid w:val="006F7897"/>
    <w:rsid w:val="006F7A4B"/>
    <w:rsid w:val="006F7BA7"/>
    <w:rsid w:val="006F7CD0"/>
    <w:rsid w:val="006F7D6F"/>
    <w:rsid w:val="006F7E9D"/>
    <w:rsid w:val="006F7EF1"/>
    <w:rsid w:val="007000CC"/>
    <w:rsid w:val="0070037A"/>
    <w:rsid w:val="007006E0"/>
    <w:rsid w:val="007008EF"/>
    <w:rsid w:val="0070094B"/>
    <w:rsid w:val="00700950"/>
    <w:rsid w:val="00700B23"/>
    <w:rsid w:val="00700B99"/>
    <w:rsid w:val="00700C17"/>
    <w:rsid w:val="00700CCE"/>
    <w:rsid w:val="00700FA0"/>
    <w:rsid w:val="007010CD"/>
    <w:rsid w:val="00701136"/>
    <w:rsid w:val="007011B6"/>
    <w:rsid w:val="007012AA"/>
    <w:rsid w:val="007013F0"/>
    <w:rsid w:val="007014AA"/>
    <w:rsid w:val="007016FF"/>
    <w:rsid w:val="0070188E"/>
    <w:rsid w:val="00701A90"/>
    <w:rsid w:val="00702204"/>
    <w:rsid w:val="0070237A"/>
    <w:rsid w:val="00702589"/>
    <w:rsid w:val="00702709"/>
    <w:rsid w:val="0070286D"/>
    <w:rsid w:val="0070291F"/>
    <w:rsid w:val="00702A08"/>
    <w:rsid w:val="00702EB2"/>
    <w:rsid w:val="0070319A"/>
    <w:rsid w:val="00703623"/>
    <w:rsid w:val="00703843"/>
    <w:rsid w:val="00703A2A"/>
    <w:rsid w:val="00703CB4"/>
    <w:rsid w:val="00703E67"/>
    <w:rsid w:val="00703F40"/>
    <w:rsid w:val="00704368"/>
    <w:rsid w:val="007044FD"/>
    <w:rsid w:val="0070475E"/>
    <w:rsid w:val="007048EB"/>
    <w:rsid w:val="00704929"/>
    <w:rsid w:val="007049DB"/>
    <w:rsid w:val="00704A8E"/>
    <w:rsid w:val="00704B09"/>
    <w:rsid w:val="00704B52"/>
    <w:rsid w:val="00704C94"/>
    <w:rsid w:val="00704F4B"/>
    <w:rsid w:val="00705437"/>
    <w:rsid w:val="007055AD"/>
    <w:rsid w:val="00705A88"/>
    <w:rsid w:val="00705CBF"/>
    <w:rsid w:val="00705DEE"/>
    <w:rsid w:val="0070619F"/>
    <w:rsid w:val="007070AC"/>
    <w:rsid w:val="007072A8"/>
    <w:rsid w:val="007073BE"/>
    <w:rsid w:val="00707723"/>
    <w:rsid w:val="007078CE"/>
    <w:rsid w:val="00707AAF"/>
    <w:rsid w:val="00707C18"/>
    <w:rsid w:val="00710126"/>
    <w:rsid w:val="007103A9"/>
    <w:rsid w:val="00710403"/>
    <w:rsid w:val="00710AF3"/>
    <w:rsid w:val="00710D72"/>
    <w:rsid w:val="00710F5F"/>
    <w:rsid w:val="007119F3"/>
    <w:rsid w:val="00711A21"/>
    <w:rsid w:val="00711A61"/>
    <w:rsid w:val="00711BB7"/>
    <w:rsid w:val="00711C66"/>
    <w:rsid w:val="00711D46"/>
    <w:rsid w:val="00711F82"/>
    <w:rsid w:val="00711FB4"/>
    <w:rsid w:val="00712019"/>
    <w:rsid w:val="0071253D"/>
    <w:rsid w:val="00712B08"/>
    <w:rsid w:val="00712D5E"/>
    <w:rsid w:val="00712FD8"/>
    <w:rsid w:val="00713103"/>
    <w:rsid w:val="007131CB"/>
    <w:rsid w:val="00713532"/>
    <w:rsid w:val="0071374F"/>
    <w:rsid w:val="007137E8"/>
    <w:rsid w:val="00713A3F"/>
    <w:rsid w:val="00713D27"/>
    <w:rsid w:val="00713DE8"/>
    <w:rsid w:val="00713E9F"/>
    <w:rsid w:val="00714462"/>
    <w:rsid w:val="007148A5"/>
    <w:rsid w:val="00714DD7"/>
    <w:rsid w:val="00714E1C"/>
    <w:rsid w:val="00715177"/>
    <w:rsid w:val="00715F02"/>
    <w:rsid w:val="00716193"/>
    <w:rsid w:val="00716A2C"/>
    <w:rsid w:val="00716AD2"/>
    <w:rsid w:val="00716B69"/>
    <w:rsid w:val="00716B77"/>
    <w:rsid w:val="007170D8"/>
    <w:rsid w:val="00717797"/>
    <w:rsid w:val="0071797E"/>
    <w:rsid w:val="00717A9A"/>
    <w:rsid w:val="00717C86"/>
    <w:rsid w:val="00717D32"/>
    <w:rsid w:val="00717DEE"/>
    <w:rsid w:val="00717E74"/>
    <w:rsid w:val="0072031F"/>
    <w:rsid w:val="00720370"/>
    <w:rsid w:val="007203CA"/>
    <w:rsid w:val="0072050C"/>
    <w:rsid w:val="00720684"/>
    <w:rsid w:val="007209C4"/>
    <w:rsid w:val="00720B9F"/>
    <w:rsid w:val="00720E8C"/>
    <w:rsid w:val="00720F9D"/>
    <w:rsid w:val="00721158"/>
    <w:rsid w:val="007212B9"/>
    <w:rsid w:val="007213EA"/>
    <w:rsid w:val="00721495"/>
    <w:rsid w:val="007215B5"/>
    <w:rsid w:val="00721653"/>
    <w:rsid w:val="0072170A"/>
    <w:rsid w:val="00721715"/>
    <w:rsid w:val="00721BCA"/>
    <w:rsid w:val="00721CA3"/>
    <w:rsid w:val="00722184"/>
    <w:rsid w:val="00722431"/>
    <w:rsid w:val="0072269C"/>
    <w:rsid w:val="007226F5"/>
    <w:rsid w:val="00722A4C"/>
    <w:rsid w:val="00722B37"/>
    <w:rsid w:val="00722F32"/>
    <w:rsid w:val="00723167"/>
    <w:rsid w:val="007232A5"/>
    <w:rsid w:val="007235CB"/>
    <w:rsid w:val="0072367B"/>
    <w:rsid w:val="00723B2C"/>
    <w:rsid w:val="00723C60"/>
    <w:rsid w:val="00723E5A"/>
    <w:rsid w:val="007240FB"/>
    <w:rsid w:val="0072418E"/>
    <w:rsid w:val="00724757"/>
    <w:rsid w:val="00724791"/>
    <w:rsid w:val="00724874"/>
    <w:rsid w:val="00724ED0"/>
    <w:rsid w:val="00724F92"/>
    <w:rsid w:val="007252C7"/>
    <w:rsid w:val="007253D6"/>
    <w:rsid w:val="007256D3"/>
    <w:rsid w:val="0072578A"/>
    <w:rsid w:val="0072597A"/>
    <w:rsid w:val="00725B3D"/>
    <w:rsid w:val="00725C8A"/>
    <w:rsid w:val="0072608F"/>
    <w:rsid w:val="007261BC"/>
    <w:rsid w:val="00726294"/>
    <w:rsid w:val="007263E9"/>
    <w:rsid w:val="0072646C"/>
    <w:rsid w:val="00726760"/>
    <w:rsid w:val="00726A25"/>
    <w:rsid w:val="00726E43"/>
    <w:rsid w:val="007271AB"/>
    <w:rsid w:val="007274BB"/>
    <w:rsid w:val="007275C8"/>
    <w:rsid w:val="007275E1"/>
    <w:rsid w:val="007276FB"/>
    <w:rsid w:val="00727D6C"/>
    <w:rsid w:val="00727E05"/>
    <w:rsid w:val="00727E30"/>
    <w:rsid w:val="0073007F"/>
    <w:rsid w:val="00730374"/>
    <w:rsid w:val="00730787"/>
    <w:rsid w:val="00730C70"/>
    <w:rsid w:val="00730D89"/>
    <w:rsid w:val="00730DEF"/>
    <w:rsid w:val="0073156B"/>
    <w:rsid w:val="00731616"/>
    <w:rsid w:val="00731872"/>
    <w:rsid w:val="00731991"/>
    <w:rsid w:val="00731A23"/>
    <w:rsid w:val="00731D54"/>
    <w:rsid w:val="00731F4B"/>
    <w:rsid w:val="007323C2"/>
    <w:rsid w:val="007323EE"/>
    <w:rsid w:val="007323F0"/>
    <w:rsid w:val="00732A8E"/>
    <w:rsid w:val="00732BC2"/>
    <w:rsid w:val="00732E17"/>
    <w:rsid w:val="00732EB8"/>
    <w:rsid w:val="00733111"/>
    <w:rsid w:val="007335D4"/>
    <w:rsid w:val="0073365A"/>
    <w:rsid w:val="00733903"/>
    <w:rsid w:val="00733905"/>
    <w:rsid w:val="00733A83"/>
    <w:rsid w:val="00733ACE"/>
    <w:rsid w:val="00733D42"/>
    <w:rsid w:val="00733FCC"/>
    <w:rsid w:val="0073432D"/>
    <w:rsid w:val="007343D7"/>
    <w:rsid w:val="00734475"/>
    <w:rsid w:val="00734713"/>
    <w:rsid w:val="00734D1A"/>
    <w:rsid w:val="00734E9E"/>
    <w:rsid w:val="007350BB"/>
    <w:rsid w:val="007351C6"/>
    <w:rsid w:val="00735736"/>
    <w:rsid w:val="0073585D"/>
    <w:rsid w:val="007359DE"/>
    <w:rsid w:val="00735A58"/>
    <w:rsid w:val="00735D58"/>
    <w:rsid w:val="0073622D"/>
    <w:rsid w:val="007364C9"/>
    <w:rsid w:val="00736504"/>
    <w:rsid w:val="0073669F"/>
    <w:rsid w:val="0073678A"/>
    <w:rsid w:val="00736799"/>
    <w:rsid w:val="00736B1A"/>
    <w:rsid w:val="00736FB0"/>
    <w:rsid w:val="007373F9"/>
    <w:rsid w:val="0073745E"/>
    <w:rsid w:val="00737517"/>
    <w:rsid w:val="0073779B"/>
    <w:rsid w:val="007377FE"/>
    <w:rsid w:val="0073792C"/>
    <w:rsid w:val="00737E46"/>
    <w:rsid w:val="00740096"/>
    <w:rsid w:val="007402B0"/>
    <w:rsid w:val="007403E8"/>
    <w:rsid w:val="0074093C"/>
    <w:rsid w:val="00740B38"/>
    <w:rsid w:val="00740D41"/>
    <w:rsid w:val="00740D79"/>
    <w:rsid w:val="00740F0E"/>
    <w:rsid w:val="00740F45"/>
    <w:rsid w:val="007413D6"/>
    <w:rsid w:val="0074163A"/>
    <w:rsid w:val="00741640"/>
    <w:rsid w:val="00741654"/>
    <w:rsid w:val="00741F8C"/>
    <w:rsid w:val="00741FBC"/>
    <w:rsid w:val="0074257A"/>
    <w:rsid w:val="00742C18"/>
    <w:rsid w:val="00742D63"/>
    <w:rsid w:val="00742DBC"/>
    <w:rsid w:val="007430A9"/>
    <w:rsid w:val="007435A6"/>
    <w:rsid w:val="0074378B"/>
    <w:rsid w:val="0074379C"/>
    <w:rsid w:val="00743920"/>
    <w:rsid w:val="007439C4"/>
    <w:rsid w:val="007439C9"/>
    <w:rsid w:val="00743D8C"/>
    <w:rsid w:val="00744013"/>
    <w:rsid w:val="007444B9"/>
    <w:rsid w:val="0074457D"/>
    <w:rsid w:val="007446FD"/>
    <w:rsid w:val="00744812"/>
    <w:rsid w:val="00744AD0"/>
    <w:rsid w:val="00744B84"/>
    <w:rsid w:val="00744C92"/>
    <w:rsid w:val="00744E26"/>
    <w:rsid w:val="007450C2"/>
    <w:rsid w:val="0074516F"/>
    <w:rsid w:val="00745230"/>
    <w:rsid w:val="0074550E"/>
    <w:rsid w:val="007458DA"/>
    <w:rsid w:val="00745BE0"/>
    <w:rsid w:val="00745C79"/>
    <w:rsid w:val="00745E38"/>
    <w:rsid w:val="007460C8"/>
    <w:rsid w:val="0074615B"/>
    <w:rsid w:val="00746274"/>
    <w:rsid w:val="0074642B"/>
    <w:rsid w:val="007465DB"/>
    <w:rsid w:val="0074660D"/>
    <w:rsid w:val="00746E95"/>
    <w:rsid w:val="00747204"/>
    <w:rsid w:val="007472A5"/>
    <w:rsid w:val="00747434"/>
    <w:rsid w:val="0074756C"/>
    <w:rsid w:val="007476B1"/>
    <w:rsid w:val="00747801"/>
    <w:rsid w:val="0074788B"/>
    <w:rsid w:val="0074793C"/>
    <w:rsid w:val="0074793D"/>
    <w:rsid w:val="00747D6B"/>
    <w:rsid w:val="0075001A"/>
    <w:rsid w:val="007502FE"/>
    <w:rsid w:val="0075043D"/>
    <w:rsid w:val="0075059D"/>
    <w:rsid w:val="00750608"/>
    <w:rsid w:val="00750612"/>
    <w:rsid w:val="00750625"/>
    <w:rsid w:val="007506BF"/>
    <w:rsid w:val="00750797"/>
    <w:rsid w:val="007508B5"/>
    <w:rsid w:val="00750988"/>
    <w:rsid w:val="00750B8F"/>
    <w:rsid w:val="00750C39"/>
    <w:rsid w:val="00750E59"/>
    <w:rsid w:val="00750F00"/>
    <w:rsid w:val="0075111E"/>
    <w:rsid w:val="0075137C"/>
    <w:rsid w:val="0075142C"/>
    <w:rsid w:val="00751DD6"/>
    <w:rsid w:val="007521BC"/>
    <w:rsid w:val="00752290"/>
    <w:rsid w:val="007522B9"/>
    <w:rsid w:val="00752606"/>
    <w:rsid w:val="00752708"/>
    <w:rsid w:val="00752B6F"/>
    <w:rsid w:val="00752BF0"/>
    <w:rsid w:val="00753236"/>
    <w:rsid w:val="00753239"/>
    <w:rsid w:val="00753309"/>
    <w:rsid w:val="0075346F"/>
    <w:rsid w:val="00753480"/>
    <w:rsid w:val="007535EC"/>
    <w:rsid w:val="007536D2"/>
    <w:rsid w:val="0075385F"/>
    <w:rsid w:val="00753895"/>
    <w:rsid w:val="00753E9B"/>
    <w:rsid w:val="00753F0A"/>
    <w:rsid w:val="007540E3"/>
    <w:rsid w:val="007540EC"/>
    <w:rsid w:val="0075418A"/>
    <w:rsid w:val="007544C2"/>
    <w:rsid w:val="0075457E"/>
    <w:rsid w:val="0075476D"/>
    <w:rsid w:val="007548B6"/>
    <w:rsid w:val="00754F48"/>
    <w:rsid w:val="007551A5"/>
    <w:rsid w:val="007552AF"/>
    <w:rsid w:val="007552FA"/>
    <w:rsid w:val="00755367"/>
    <w:rsid w:val="00755A36"/>
    <w:rsid w:val="00755C41"/>
    <w:rsid w:val="00755C97"/>
    <w:rsid w:val="00755D19"/>
    <w:rsid w:val="00755EE8"/>
    <w:rsid w:val="007561D8"/>
    <w:rsid w:val="0075626B"/>
    <w:rsid w:val="0075628F"/>
    <w:rsid w:val="00756466"/>
    <w:rsid w:val="0075670C"/>
    <w:rsid w:val="00756884"/>
    <w:rsid w:val="00756AAE"/>
    <w:rsid w:val="00756C51"/>
    <w:rsid w:val="00756DA1"/>
    <w:rsid w:val="007570E4"/>
    <w:rsid w:val="0075720A"/>
    <w:rsid w:val="007577B0"/>
    <w:rsid w:val="00757953"/>
    <w:rsid w:val="00757A92"/>
    <w:rsid w:val="0076049B"/>
    <w:rsid w:val="00760ACD"/>
    <w:rsid w:val="00761279"/>
    <w:rsid w:val="0076136D"/>
    <w:rsid w:val="00761552"/>
    <w:rsid w:val="00761553"/>
    <w:rsid w:val="00761980"/>
    <w:rsid w:val="00761D4F"/>
    <w:rsid w:val="00761EBA"/>
    <w:rsid w:val="0076221B"/>
    <w:rsid w:val="007624EF"/>
    <w:rsid w:val="00762537"/>
    <w:rsid w:val="007625F8"/>
    <w:rsid w:val="0076260D"/>
    <w:rsid w:val="0076272E"/>
    <w:rsid w:val="00762859"/>
    <w:rsid w:val="007628BE"/>
    <w:rsid w:val="00762B4B"/>
    <w:rsid w:val="00762D13"/>
    <w:rsid w:val="00762D6E"/>
    <w:rsid w:val="007630D8"/>
    <w:rsid w:val="0076316B"/>
    <w:rsid w:val="00763303"/>
    <w:rsid w:val="00763374"/>
    <w:rsid w:val="00763446"/>
    <w:rsid w:val="007636C0"/>
    <w:rsid w:val="0076371E"/>
    <w:rsid w:val="00763B77"/>
    <w:rsid w:val="0076424D"/>
    <w:rsid w:val="0076429B"/>
    <w:rsid w:val="007644A5"/>
    <w:rsid w:val="007644C4"/>
    <w:rsid w:val="0076462B"/>
    <w:rsid w:val="00764E3B"/>
    <w:rsid w:val="00764F9D"/>
    <w:rsid w:val="007651E0"/>
    <w:rsid w:val="007654A4"/>
    <w:rsid w:val="00765646"/>
    <w:rsid w:val="0076591E"/>
    <w:rsid w:val="0076631E"/>
    <w:rsid w:val="00766514"/>
    <w:rsid w:val="00766F53"/>
    <w:rsid w:val="0076702C"/>
    <w:rsid w:val="00767503"/>
    <w:rsid w:val="007677DA"/>
    <w:rsid w:val="0076788D"/>
    <w:rsid w:val="00767BF9"/>
    <w:rsid w:val="00767F6C"/>
    <w:rsid w:val="00770317"/>
    <w:rsid w:val="00770695"/>
    <w:rsid w:val="0077074D"/>
    <w:rsid w:val="00770950"/>
    <w:rsid w:val="00770AD9"/>
    <w:rsid w:val="00770D14"/>
    <w:rsid w:val="00770DB4"/>
    <w:rsid w:val="00770ED5"/>
    <w:rsid w:val="00770EE7"/>
    <w:rsid w:val="00771449"/>
    <w:rsid w:val="0077151A"/>
    <w:rsid w:val="00771644"/>
    <w:rsid w:val="00771754"/>
    <w:rsid w:val="00771794"/>
    <w:rsid w:val="007719A4"/>
    <w:rsid w:val="00771B03"/>
    <w:rsid w:val="00771C75"/>
    <w:rsid w:val="00772031"/>
    <w:rsid w:val="007722BC"/>
    <w:rsid w:val="007722D3"/>
    <w:rsid w:val="0077240C"/>
    <w:rsid w:val="00772693"/>
    <w:rsid w:val="00772760"/>
    <w:rsid w:val="00772778"/>
    <w:rsid w:val="00772829"/>
    <w:rsid w:val="00772830"/>
    <w:rsid w:val="0077283A"/>
    <w:rsid w:val="007728C0"/>
    <w:rsid w:val="00772FBF"/>
    <w:rsid w:val="007732D3"/>
    <w:rsid w:val="007733F2"/>
    <w:rsid w:val="007738C1"/>
    <w:rsid w:val="00773936"/>
    <w:rsid w:val="00773CF1"/>
    <w:rsid w:val="00773D2E"/>
    <w:rsid w:val="00773EC0"/>
    <w:rsid w:val="007740E6"/>
    <w:rsid w:val="0077410D"/>
    <w:rsid w:val="00774345"/>
    <w:rsid w:val="007746DC"/>
    <w:rsid w:val="00774BA3"/>
    <w:rsid w:val="00774D2D"/>
    <w:rsid w:val="00774EAA"/>
    <w:rsid w:val="0077500B"/>
    <w:rsid w:val="007751F6"/>
    <w:rsid w:val="00775381"/>
    <w:rsid w:val="007753BF"/>
    <w:rsid w:val="00775444"/>
    <w:rsid w:val="00775454"/>
    <w:rsid w:val="007754BE"/>
    <w:rsid w:val="0077556A"/>
    <w:rsid w:val="007757AF"/>
    <w:rsid w:val="00775A82"/>
    <w:rsid w:val="00775AD8"/>
    <w:rsid w:val="00775B4F"/>
    <w:rsid w:val="00775F1C"/>
    <w:rsid w:val="00775F5C"/>
    <w:rsid w:val="00775F7B"/>
    <w:rsid w:val="00776273"/>
    <w:rsid w:val="007763B4"/>
    <w:rsid w:val="007764ED"/>
    <w:rsid w:val="00776698"/>
    <w:rsid w:val="00777030"/>
    <w:rsid w:val="00777055"/>
    <w:rsid w:val="00777254"/>
    <w:rsid w:val="00777399"/>
    <w:rsid w:val="00777529"/>
    <w:rsid w:val="0077759A"/>
    <w:rsid w:val="00777848"/>
    <w:rsid w:val="00777893"/>
    <w:rsid w:val="007778D4"/>
    <w:rsid w:val="00777A1E"/>
    <w:rsid w:val="00777A3E"/>
    <w:rsid w:val="00780317"/>
    <w:rsid w:val="0078039F"/>
    <w:rsid w:val="00780680"/>
    <w:rsid w:val="007807D7"/>
    <w:rsid w:val="0078085B"/>
    <w:rsid w:val="00780AB4"/>
    <w:rsid w:val="00780B84"/>
    <w:rsid w:val="00780D3E"/>
    <w:rsid w:val="007813C3"/>
    <w:rsid w:val="007818E4"/>
    <w:rsid w:val="00782009"/>
    <w:rsid w:val="007820AF"/>
    <w:rsid w:val="007820EC"/>
    <w:rsid w:val="00782200"/>
    <w:rsid w:val="00782320"/>
    <w:rsid w:val="00782675"/>
    <w:rsid w:val="007827D1"/>
    <w:rsid w:val="00782A4E"/>
    <w:rsid w:val="00782BDF"/>
    <w:rsid w:val="00782D71"/>
    <w:rsid w:val="00782E25"/>
    <w:rsid w:val="007830DF"/>
    <w:rsid w:val="00783250"/>
    <w:rsid w:val="007836D7"/>
    <w:rsid w:val="007839D6"/>
    <w:rsid w:val="00783A3E"/>
    <w:rsid w:val="00783EFC"/>
    <w:rsid w:val="00784279"/>
    <w:rsid w:val="00784341"/>
    <w:rsid w:val="00784434"/>
    <w:rsid w:val="007846DC"/>
    <w:rsid w:val="00784772"/>
    <w:rsid w:val="00784A6E"/>
    <w:rsid w:val="00784DCF"/>
    <w:rsid w:val="00784F1A"/>
    <w:rsid w:val="007852C1"/>
    <w:rsid w:val="007852E9"/>
    <w:rsid w:val="007854E6"/>
    <w:rsid w:val="00785530"/>
    <w:rsid w:val="007855C2"/>
    <w:rsid w:val="007856BB"/>
    <w:rsid w:val="0078586E"/>
    <w:rsid w:val="0078592B"/>
    <w:rsid w:val="00785F39"/>
    <w:rsid w:val="0078630F"/>
    <w:rsid w:val="007867AD"/>
    <w:rsid w:val="00786B72"/>
    <w:rsid w:val="00786D7C"/>
    <w:rsid w:val="007875DD"/>
    <w:rsid w:val="0078792E"/>
    <w:rsid w:val="00787BDB"/>
    <w:rsid w:val="00787CDC"/>
    <w:rsid w:val="00787F19"/>
    <w:rsid w:val="007900CD"/>
    <w:rsid w:val="0079015D"/>
    <w:rsid w:val="00790576"/>
    <w:rsid w:val="0079065B"/>
    <w:rsid w:val="007906A0"/>
    <w:rsid w:val="007906BF"/>
    <w:rsid w:val="007908D9"/>
    <w:rsid w:val="0079094D"/>
    <w:rsid w:val="00790B15"/>
    <w:rsid w:val="00790F49"/>
    <w:rsid w:val="00790FCB"/>
    <w:rsid w:val="0079112C"/>
    <w:rsid w:val="007911C3"/>
    <w:rsid w:val="007911E3"/>
    <w:rsid w:val="00791207"/>
    <w:rsid w:val="007915DD"/>
    <w:rsid w:val="00791AA5"/>
    <w:rsid w:val="00791AD2"/>
    <w:rsid w:val="00792000"/>
    <w:rsid w:val="00792223"/>
    <w:rsid w:val="00792373"/>
    <w:rsid w:val="00792550"/>
    <w:rsid w:val="007925E2"/>
    <w:rsid w:val="0079260E"/>
    <w:rsid w:val="00792998"/>
    <w:rsid w:val="00792D89"/>
    <w:rsid w:val="00792E5A"/>
    <w:rsid w:val="007930E1"/>
    <w:rsid w:val="007930EF"/>
    <w:rsid w:val="007931CB"/>
    <w:rsid w:val="00793A10"/>
    <w:rsid w:val="00793BA2"/>
    <w:rsid w:val="00793BDB"/>
    <w:rsid w:val="00793BE3"/>
    <w:rsid w:val="00793BEB"/>
    <w:rsid w:val="0079450F"/>
    <w:rsid w:val="007945A9"/>
    <w:rsid w:val="007945DD"/>
    <w:rsid w:val="0079476E"/>
    <w:rsid w:val="007947CD"/>
    <w:rsid w:val="00794AC2"/>
    <w:rsid w:val="00794B57"/>
    <w:rsid w:val="00794BCA"/>
    <w:rsid w:val="00794C6B"/>
    <w:rsid w:val="00794CA0"/>
    <w:rsid w:val="00794EFD"/>
    <w:rsid w:val="0079509C"/>
    <w:rsid w:val="007951BA"/>
    <w:rsid w:val="007951D4"/>
    <w:rsid w:val="00795242"/>
    <w:rsid w:val="007955F0"/>
    <w:rsid w:val="007956A5"/>
    <w:rsid w:val="0079573A"/>
    <w:rsid w:val="0079586C"/>
    <w:rsid w:val="00795992"/>
    <w:rsid w:val="00795A70"/>
    <w:rsid w:val="00795BEC"/>
    <w:rsid w:val="00795C9E"/>
    <w:rsid w:val="00795E46"/>
    <w:rsid w:val="00795E82"/>
    <w:rsid w:val="00796075"/>
    <w:rsid w:val="007960E6"/>
    <w:rsid w:val="007964E7"/>
    <w:rsid w:val="00796A89"/>
    <w:rsid w:val="00796C9E"/>
    <w:rsid w:val="00796D9E"/>
    <w:rsid w:val="00797282"/>
    <w:rsid w:val="007972DC"/>
    <w:rsid w:val="007975DE"/>
    <w:rsid w:val="007976B2"/>
    <w:rsid w:val="00797C12"/>
    <w:rsid w:val="00797C46"/>
    <w:rsid w:val="00797FA9"/>
    <w:rsid w:val="007A0115"/>
    <w:rsid w:val="007A04B5"/>
    <w:rsid w:val="007A0A69"/>
    <w:rsid w:val="007A0C91"/>
    <w:rsid w:val="007A149A"/>
    <w:rsid w:val="007A14DD"/>
    <w:rsid w:val="007A1625"/>
    <w:rsid w:val="007A1692"/>
    <w:rsid w:val="007A16A4"/>
    <w:rsid w:val="007A19F6"/>
    <w:rsid w:val="007A1DEE"/>
    <w:rsid w:val="007A2210"/>
    <w:rsid w:val="007A2345"/>
    <w:rsid w:val="007A2401"/>
    <w:rsid w:val="007A2480"/>
    <w:rsid w:val="007A2930"/>
    <w:rsid w:val="007A2A65"/>
    <w:rsid w:val="007A2B65"/>
    <w:rsid w:val="007A2FF6"/>
    <w:rsid w:val="007A3004"/>
    <w:rsid w:val="007A30C8"/>
    <w:rsid w:val="007A3422"/>
    <w:rsid w:val="007A3564"/>
    <w:rsid w:val="007A3C93"/>
    <w:rsid w:val="007A3D93"/>
    <w:rsid w:val="007A4049"/>
    <w:rsid w:val="007A4791"/>
    <w:rsid w:val="007A47D0"/>
    <w:rsid w:val="007A4A48"/>
    <w:rsid w:val="007A4AE6"/>
    <w:rsid w:val="007A4B3F"/>
    <w:rsid w:val="007A4B40"/>
    <w:rsid w:val="007A4B89"/>
    <w:rsid w:val="007A4BE5"/>
    <w:rsid w:val="007A4C15"/>
    <w:rsid w:val="007A5130"/>
    <w:rsid w:val="007A51C2"/>
    <w:rsid w:val="007A5215"/>
    <w:rsid w:val="007A5293"/>
    <w:rsid w:val="007A5347"/>
    <w:rsid w:val="007A5617"/>
    <w:rsid w:val="007A576D"/>
    <w:rsid w:val="007A5894"/>
    <w:rsid w:val="007A58C9"/>
    <w:rsid w:val="007A61B0"/>
    <w:rsid w:val="007A6311"/>
    <w:rsid w:val="007A6391"/>
    <w:rsid w:val="007A6A0C"/>
    <w:rsid w:val="007A71E0"/>
    <w:rsid w:val="007A7945"/>
    <w:rsid w:val="007A7C9D"/>
    <w:rsid w:val="007A7D40"/>
    <w:rsid w:val="007B0245"/>
    <w:rsid w:val="007B045B"/>
    <w:rsid w:val="007B083F"/>
    <w:rsid w:val="007B0880"/>
    <w:rsid w:val="007B0981"/>
    <w:rsid w:val="007B0A47"/>
    <w:rsid w:val="007B0D01"/>
    <w:rsid w:val="007B0FE1"/>
    <w:rsid w:val="007B1724"/>
    <w:rsid w:val="007B1A88"/>
    <w:rsid w:val="007B1D29"/>
    <w:rsid w:val="007B205C"/>
    <w:rsid w:val="007B2085"/>
    <w:rsid w:val="007B264D"/>
    <w:rsid w:val="007B27D5"/>
    <w:rsid w:val="007B281B"/>
    <w:rsid w:val="007B2995"/>
    <w:rsid w:val="007B2B05"/>
    <w:rsid w:val="007B2BAA"/>
    <w:rsid w:val="007B2DB0"/>
    <w:rsid w:val="007B2E7F"/>
    <w:rsid w:val="007B2FDC"/>
    <w:rsid w:val="007B336C"/>
    <w:rsid w:val="007B36B1"/>
    <w:rsid w:val="007B38A0"/>
    <w:rsid w:val="007B38B7"/>
    <w:rsid w:val="007B394C"/>
    <w:rsid w:val="007B3B71"/>
    <w:rsid w:val="007B3BF4"/>
    <w:rsid w:val="007B3D45"/>
    <w:rsid w:val="007B3F44"/>
    <w:rsid w:val="007B4331"/>
    <w:rsid w:val="007B4347"/>
    <w:rsid w:val="007B454F"/>
    <w:rsid w:val="007B4695"/>
    <w:rsid w:val="007B46D2"/>
    <w:rsid w:val="007B46F8"/>
    <w:rsid w:val="007B4A0A"/>
    <w:rsid w:val="007B4A65"/>
    <w:rsid w:val="007B4F7B"/>
    <w:rsid w:val="007B51DB"/>
    <w:rsid w:val="007B5261"/>
    <w:rsid w:val="007B5533"/>
    <w:rsid w:val="007B583D"/>
    <w:rsid w:val="007B58C0"/>
    <w:rsid w:val="007B5F59"/>
    <w:rsid w:val="007B5F74"/>
    <w:rsid w:val="007B600E"/>
    <w:rsid w:val="007B6370"/>
    <w:rsid w:val="007B6522"/>
    <w:rsid w:val="007B659D"/>
    <w:rsid w:val="007B6615"/>
    <w:rsid w:val="007B6684"/>
    <w:rsid w:val="007B6954"/>
    <w:rsid w:val="007B6A64"/>
    <w:rsid w:val="007B6B21"/>
    <w:rsid w:val="007B6B4C"/>
    <w:rsid w:val="007B6BA7"/>
    <w:rsid w:val="007B7024"/>
    <w:rsid w:val="007B715F"/>
    <w:rsid w:val="007B7188"/>
    <w:rsid w:val="007B72B1"/>
    <w:rsid w:val="007B7767"/>
    <w:rsid w:val="007B7A3B"/>
    <w:rsid w:val="007B7F83"/>
    <w:rsid w:val="007C0013"/>
    <w:rsid w:val="007C00E5"/>
    <w:rsid w:val="007C0192"/>
    <w:rsid w:val="007C01F4"/>
    <w:rsid w:val="007C0390"/>
    <w:rsid w:val="007C03AB"/>
    <w:rsid w:val="007C049A"/>
    <w:rsid w:val="007C06EE"/>
    <w:rsid w:val="007C0FFB"/>
    <w:rsid w:val="007C10A8"/>
    <w:rsid w:val="007C14A2"/>
    <w:rsid w:val="007C14E4"/>
    <w:rsid w:val="007C1954"/>
    <w:rsid w:val="007C1B02"/>
    <w:rsid w:val="007C1BA7"/>
    <w:rsid w:val="007C1C89"/>
    <w:rsid w:val="007C2164"/>
    <w:rsid w:val="007C23C1"/>
    <w:rsid w:val="007C2514"/>
    <w:rsid w:val="007C26CF"/>
    <w:rsid w:val="007C26FF"/>
    <w:rsid w:val="007C29E0"/>
    <w:rsid w:val="007C2C7A"/>
    <w:rsid w:val="007C2E58"/>
    <w:rsid w:val="007C300E"/>
    <w:rsid w:val="007C30D6"/>
    <w:rsid w:val="007C328D"/>
    <w:rsid w:val="007C336F"/>
    <w:rsid w:val="007C3434"/>
    <w:rsid w:val="007C346A"/>
    <w:rsid w:val="007C37C0"/>
    <w:rsid w:val="007C3862"/>
    <w:rsid w:val="007C3A25"/>
    <w:rsid w:val="007C3E9C"/>
    <w:rsid w:val="007C3F3B"/>
    <w:rsid w:val="007C4049"/>
    <w:rsid w:val="007C40C5"/>
    <w:rsid w:val="007C416D"/>
    <w:rsid w:val="007C418E"/>
    <w:rsid w:val="007C41B1"/>
    <w:rsid w:val="007C45BA"/>
    <w:rsid w:val="007C45F9"/>
    <w:rsid w:val="007C46A8"/>
    <w:rsid w:val="007C49A5"/>
    <w:rsid w:val="007C4B75"/>
    <w:rsid w:val="007C4D08"/>
    <w:rsid w:val="007C52DF"/>
    <w:rsid w:val="007C547D"/>
    <w:rsid w:val="007C54A3"/>
    <w:rsid w:val="007C554C"/>
    <w:rsid w:val="007C563E"/>
    <w:rsid w:val="007C5A51"/>
    <w:rsid w:val="007C5B2E"/>
    <w:rsid w:val="007C5D37"/>
    <w:rsid w:val="007C5E3C"/>
    <w:rsid w:val="007C6045"/>
    <w:rsid w:val="007C6155"/>
    <w:rsid w:val="007C6674"/>
    <w:rsid w:val="007C6915"/>
    <w:rsid w:val="007C696C"/>
    <w:rsid w:val="007C69C4"/>
    <w:rsid w:val="007C6A38"/>
    <w:rsid w:val="007C6CB8"/>
    <w:rsid w:val="007C6F73"/>
    <w:rsid w:val="007C72B6"/>
    <w:rsid w:val="007C72FD"/>
    <w:rsid w:val="007C749B"/>
    <w:rsid w:val="007C75A6"/>
    <w:rsid w:val="007C787F"/>
    <w:rsid w:val="007C7BC2"/>
    <w:rsid w:val="007D00AB"/>
    <w:rsid w:val="007D04AF"/>
    <w:rsid w:val="007D0597"/>
    <w:rsid w:val="007D059B"/>
    <w:rsid w:val="007D0866"/>
    <w:rsid w:val="007D0C62"/>
    <w:rsid w:val="007D0CBE"/>
    <w:rsid w:val="007D0CEA"/>
    <w:rsid w:val="007D1378"/>
    <w:rsid w:val="007D15D5"/>
    <w:rsid w:val="007D1627"/>
    <w:rsid w:val="007D183C"/>
    <w:rsid w:val="007D19A5"/>
    <w:rsid w:val="007D1B62"/>
    <w:rsid w:val="007D1DA2"/>
    <w:rsid w:val="007D2130"/>
    <w:rsid w:val="007D2288"/>
    <w:rsid w:val="007D233A"/>
    <w:rsid w:val="007D2462"/>
    <w:rsid w:val="007D2B58"/>
    <w:rsid w:val="007D2D10"/>
    <w:rsid w:val="007D30B7"/>
    <w:rsid w:val="007D317E"/>
    <w:rsid w:val="007D3665"/>
    <w:rsid w:val="007D3951"/>
    <w:rsid w:val="007D3A09"/>
    <w:rsid w:val="007D3D76"/>
    <w:rsid w:val="007D3E3F"/>
    <w:rsid w:val="007D3EFB"/>
    <w:rsid w:val="007D4171"/>
    <w:rsid w:val="007D42DB"/>
    <w:rsid w:val="007D43F8"/>
    <w:rsid w:val="007D4430"/>
    <w:rsid w:val="007D48B2"/>
    <w:rsid w:val="007D4A49"/>
    <w:rsid w:val="007D4D9D"/>
    <w:rsid w:val="007D4F80"/>
    <w:rsid w:val="007D56F9"/>
    <w:rsid w:val="007D59A9"/>
    <w:rsid w:val="007D5CC1"/>
    <w:rsid w:val="007D5E64"/>
    <w:rsid w:val="007D5FB9"/>
    <w:rsid w:val="007D60B8"/>
    <w:rsid w:val="007D613B"/>
    <w:rsid w:val="007D61C4"/>
    <w:rsid w:val="007D629C"/>
    <w:rsid w:val="007D629E"/>
    <w:rsid w:val="007D6497"/>
    <w:rsid w:val="007D6682"/>
    <w:rsid w:val="007D674B"/>
    <w:rsid w:val="007D6E2D"/>
    <w:rsid w:val="007D6F32"/>
    <w:rsid w:val="007D7191"/>
    <w:rsid w:val="007D724A"/>
    <w:rsid w:val="007D7382"/>
    <w:rsid w:val="007D7389"/>
    <w:rsid w:val="007D7660"/>
    <w:rsid w:val="007D7E14"/>
    <w:rsid w:val="007E0001"/>
    <w:rsid w:val="007E0007"/>
    <w:rsid w:val="007E008E"/>
    <w:rsid w:val="007E01C0"/>
    <w:rsid w:val="007E02D0"/>
    <w:rsid w:val="007E09CE"/>
    <w:rsid w:val="007E111A"/>
    <w:rsid w:val="007E1155"/>
    <w:rsid w:val="007E15AD"/>
    <w:rsid w:val="007E16A6"/>
    <w:rsid w:val="007E1722"/>
    <w:rsid w:val="007E1BE3"/>
    <w:rsid w:val="007E1E17"/>
    <w:rsid w:val="007E21DA"/>
    <w:rsid w:val="007E22F1"/>
    <w:rsid w:val="007E231F"/>
    <w:rsid w:val="007E25ED"/>
    <w:rsid w:val="007E2BC0"/>
    <w:rsid w:val="007E31E5"/>
    <w:rsid w:val="007E33D3"/>
    <w:rsid w:val="007E3653"/>
    <w:rsid w:val="007E3AEC"/>
    <w:rsid w:val="007E3BB5"/>
    <w:rsid w:val="007E3E36"/>
    <w:rsid w:val="007E4435"/>
    <w:rsid w:val="007E44A1"/>
    <w:rsid w:val="007E49D8"/>
    <w:rsid w:val="007E4BC7"/>
    <w:rsid w:val="007E4CE3"/>
    <w:rsid w:val="007E538B"/>
    <w:rsid w:val="007E56C3"/>
    <w:rsid w:val="007E5742"/>
    <w:rsid w:val="007E58BF"/>
    <w:rsid w:val="007E5AA2"/>
    <w:rsid w:val="007E606E"/>
    <w:rsid w:val="007E6136"/>
    <w:rsid w:val="007E6719"/>
    <w:rsid w:val="007E6EA3"/>
    <w:rsid w:val="007E72BE"/>
    <w:rsid w:val="007E72E9"/>
    <w:rsid w:val="007E7344"/>
    <w:rsid w:val="007E734E"/>
    <w:rsid w:val="007E738E"/>
    <w:rsid w:val="007E739C"/>
    <w:rsid w:val="007E75B0"/>
    <w:rsid w:val="007E77F9"/>
    <w:rsid w:val="007E79D1"/>
    <w:rsid w:val="007E7B78"/>
    <w:rsid w:val="007E7D5C"/>
    <w:rsid w:val="007F029B"/>
    <w:rsid w:val="007F0328"/>
    <w:rsid w:val="007F034D"/>
    <w:rsid w:val="007F04EB"/>
    <w:rsid w:val="007F060B"/>
    <w:rsid w:val="007F070A"/>
    <w:rsid w:val="007F07F7"/>
    <w:rsid w:val="007F0C9A"/>
    <w:rsid w:val="007F111A"/>
    <w:rsid w:val="007F11A2"/>
    <w:rsid w:val="007F1273"/>
    <w:rsid w:val="007F142A"/>
    <w:rsid w:val="007F14F5"/>
    <w:rsid w:val="007F1ABA"/>
    <w:rsid w:val="007F1B78"/>
    <w:rsid w:val="007F1D4C"/>
    <w:rsid w:val="007F1E93"/>
    <w:rsid w:val="007F22B9"/>
    <w:rsid w:val="007F237F"/>
    <w:rsid w:val="007F25AA"/>
    <w:rsid w:val="007F26AD"/>
    <w:rsid w:val="007F2B09"/>
    <w:rsid w:val="007F2F03"/>
    <w:rsid w:val="007F308B"/>
    <w:rsid w:val="007F310E"/>
    <w:rsid w:val="007F348C"/>
    <w:rsid w:val="007F3630"/>
    <w:rsid w:val="007F3849"/>
    <w:rsid w:val="007F394A"/>
    <w:rsid w:val="007F432C"/>
    <w:rsid w:val="007F4427"/>
    <w:rsid w:val="007F4627"/>
    <w:rsid w:val="007F46A7"/>
    <w:rsid w:val="007F4AE4"/>
    <w:rsid w:val="007F4E7E"/>
    <w:rsid w:val="007F5289"/>
    <w:rsid w:val="007F52A8"/>
    <w:rsid w:val="007F55A8"/>
    <w:rsid w:val="007F55D9"/>
    <w:rsid w:val="007F5C30"/>
    <w:rsid w:val="007F5F24"/>
    <w:rsid w:val="007F60CE"/>
    <w:rsid w:val="007F61AE"/>
    <w:rsid w:val="007F6382"/>
    <w:rsid w:val="007F64CD"/>
    <w:rsid w:val="007F6585"/>
    <w:rsid w:val="007F6701"/>
    <w:rsid w:val="007F67BA"/>
    <w:rsid w:val="007F67E9"/>
    <w:rsid w:val="007F682F"/>
    <w:rsid w:val="007F69E4"/>
    <w:rsid w:val="007F6AD9"/>
    <w:rsid w:val="007F6B93"/>
    <w:rsid w:val="007F6C4C"/>
    <w:rsid w:val="007F6D90"/>
    <w:rsid w:val="007F70C0"/>
    <w:rsid w:val="007F7113"/>
    <w:rsid w:val="007F71F0"/>
    <w:rsid w:val="007F730D"/>
    <w:rsid w:val="007F74DB"/>
    <w:rsid w:val="007F769B"/>
    <w:rsid w:val="007F7C7B"/>
    <w:rsid w:val="007F7F24"/>
    <w:rsid w:val="00800205"/>
    <w:rsid w:val="008002E7"/>
    <w:rsid w:val="008003D9"/>
    <w:rsid w:val="0080052A"/>
    <w:rsid w:val="008005B7"/>
    <w:rsid w:val="00800C2A"/>
    <w:rsid w:val="00800D1A"/>
    <w:rsid w:val="00800D90"/>
    <w:rsid w:val="00800E05"/>
    <w:rsid w:val="00800E70"/>
    <w:rsid w:val="00800EA0"/>
    <w:rsid w:val="0080113A"/>
    <w:rsid w:val="008013CF"/>
    <w:rsid w:val="008019C2"/>
    <w:rsid w:val="00801D1B"/>
    <w:rsid w:val="008020CD"/>
    <w:rsid w:val="0080210E"/>
    <w:rsid w:val="008021A3"/>
    <w:rsid w:val="00802263"/>
    <w:rsid w:val="008025C6"/>
    <w:rsid w:val="00802728"/>
    <w:rsid w:val="00802741"/>
    <w:rsid w:val="00802DF1"/>
    <w:rsid w:val="00802E1F"/>
    <w:rsid w:val="00802E84"/>
    <w:rsid w:val="0080316A"/>
    <w:rsid w:val="00803408"/>
    <w:rsid w:val="0080367A"/>
    <w:rsid w:val="008036A7"/>
    <w:rsid w:val="00803933"/>
    <w:rsid w:val="00803EC2"/>
    <w:rsid w:val="00803F5D"/>
    <w:rsid w:val="008040A2"/>
    <w:rsid w:val="00804155"/>
    <w:rsid w:val="008041B0"/>
    <w:rsid w:val="00804284"/>
    <w:rsid w:val="008042E6"/>
    <w:rsid w:val="00804632"/>
    <w:rsid w:val="008047C2"/>
    <w:rsid w:val="00804808"/>
    <w:rsid w:val="008048E6"/>
    <w:rsid w:val="00804B4F"/>
    <w:rsid w:val="00804C3D"/>
    <w:rsid w:val="00804CC8"/>
    <w:rsid w:val="00804DF9"/>
    <w:rsid w:val="00805145"/>
    <w:rsid w:val="00805161"/>
    <w:rsid w:val="008054D9"/>
    <w:rsid w:val="00805C92"/>
    <w:rsid w:val="00805E3D"/>
    <w:rsid w:val="00805E44"/>
    <w:rsid w:val="008062B2"/>
    <w:rsid w:val="008063CC"/>
    <w:rsid w:val="00806688"/>
    <w:rsid w:val="0080676A"/>
    <w:rsid w:val="00806859"/>
    <w:rsid w:val="00806A22"/>
    <w:rsid w:val="00806B47"/>
    <w:rsid w:val="00806BC0"/>
    <w:rsid w:val="00806C04"/>
    <w:rsid w:val="00806DAF"/>
    <w:rsid w:val="00807154"/>
    <w:rsid w:val="0080754F"/>
    <w:rsid w:val="00807636"/>
    <w:rsid w:val="008079CD"/>
    <w:rsid w:val="00807A3E"/>
    <w:rsid w:val="00807A47"/>
    <w:rsid w:val="00807B95"/>
    <w:rsid w:val="00810058"/>
    <w:rsid w:val="00810338"/>
    <w:rsid w:val="00810F04"/>
    <w:rsid w:val="008110D5"/>
    <w:rsid w:val="0081125A"/>
    <w:rsid w:val="00811677"/>
    <w:rsid w:val="00811B35"/>
    <w:rsid w:val="00811C97"/>
    <w:rsid w:val="00811DFB"/>
    <w:rsid w:val="0081208C"/>
    <w:rsid w:val="00812282"/>
    <w:rsid w:val="0081234B"/>
    <w:rsid w:val="0081241B"/>
    <w:rsid w:val="00812741"/>
    <w:rsid w:val="00812878"/>
    <w:rsid w:val="008128EB"/>
    <w:rsid w:val="008129C5"/>
    <w:rsid w:val="00812A9D"/>
    <w:rsid w:val="00812C5D"/>
    <w:rsid w:val="00812C75"/>
    <w:rsid w:val="00812E1A"/>
    <w:rsid w:val="00812EA3"/>
    <w:rsid w:val="0081303E"/>
    <w:rsid w:val="00813992"/>
    <w:rsid w:val="0081426B"/>
    <w:rsid w:val="008146E8"/>
    <w:rsid w:val="008147BE"/>
    <w:rsid w:val="008148E4"/>
    <w:rsid w:val="00814972"/>
    <w:rsid w:val="00814A98"/>
    <w:rsid w:val="00814B19"/>
    <w:rsid w:val="00814DCF"/>
    <w:rsid w:val="00815076"/>
    <w:rsid w:val="0081516C"/>
    <w:rsid w:val="00815346"/>
    <w:rsid w:val="00815712"/>
    <w:rsid w:val="008157F1"/>
    <w:rsid w:val="00815D08"/>
    <w:rsid w:val="00815D3D"/>
    <w:rsid w:val="00816280"/>
    <w:rsid w:val="00816338"/>
    <w:rsid w:val="008167AA"/>
    <w:rsid w:val="008167F5"/>
    <w:rsid w:val="008168AD"/>
    <w:rsid w:val="00816B09"/>
    <w:rsid w:val="00816EC2"/>
    <w:rsid w:val="00817278"/>
    <w:rsid w:val="0081728B"/>
    <w:rsid w:val="008174D9"/>
    <w:rsid w:val="0081765A"/>
    <w:rsid w:val="00817661"/>
    <w:rsid w:val="0081766B"/>
    <w:rsid w:val="00817748"/>
    <w:rsid w:val="008177D1"/>
    <w:rsid w:val="0081781D"/>
    <w:rsid w:val="00817C01"/>
    <w:rsid w:val="00817C81"/>
    <w:rsid w:val="00820025"/>
    <w:rsid w:val="008200DA"/>
    <w:rsid w:val="0082012B"/>
    <w:rsid w:val="0082042F"/>
    <w:rsid w:val="008207E8"/>
    <w:rsid w:val="0082083B"/>
    <w:rsid w:val="00820999"/>
    <w:rsid w:val="008209AD"/>
    <w:rsid w:val="00820B99"/>
    <w:rsid w:val="00820B9A"/>
    <w:rsid w:val="00820C32"/>
    <w:rsid w:val="00820D6E"/>
    <w:rsid w:val="00820E52"/>
    <w:rsid w:val="00820E78"/>
    <w:rsid w:val="00821604"/>
    <w:rsid w:val="00821770"/>
    <w:rsid w:val="0082183F"/>
    <w:rsid w:val="00821B22"/>
    <w:rsid w:val="00821CE8"/>
    <w:rsid w:val="00821D9F"/>
    <w:rsid w:val="00821DC5"/>
    <w:rsid w:val="00821F89"/>
    <w:rsid w:val="008227BD"/>
    <w:rsid w:val="00822B42"/>
    <w:rsid w:val="00822D73"/>
    <w:rsid w:val="008233AF"/>
    <w:rsid w:val="008236E1"/>
    <w:rsid w:val="0082374A"/>
    <w:rsid w:val="00823884"/>
    <w:rsid w:val="008238A1"/>
    <w:rsid w:val="00823AFF"/>
    <w:rsid w:val="00823DA3"/>
    <w:rsid w:val="00823EC4"/>
    <w:rsid w:val="00824183"/>
    <w:rsid w:val="00824416"/>
    <w:rsid w:val="00824458"/>
    <w:rsid w:val="008249F7"/>
    <w:rsid w:val="00824B25"/>
    <w:rsid w:val="00824B74"/>
    <w:rsid w:val="00824C29"/>
    <w:rsid w:val="00824DBC"/>
    <w:rsid w:val="00824E43"/>
    <w:rsid w:val="00824EDE"/>
    <w:rsid w:val="0082514B"/>
    <w:rsid w:val="008254C6"/>
    <w:rsid w:val="008257A3"/>
    <w:rsid w:val="00825873"/>
    <w:rsid w:val="0082599E"/>
    <w:rsid w:val="008261FF"/>
    <w:rsid w:val="0082635D"/>
    <w:rsid w:val="00826883"/>
    <w:rsid w:val="008268F8"/>
    <w:rsid w:val="00826D1F"/>
    <w:rsid w:val="00827027"/>
    <w:rsid w:val="00827186"/>
    <w:rsid w:val="008271AD"/>
    <w:rsid w:val="008273D8"/>
    <w:rsid w:val="00827413"/>
    <w:rsid w:val="008275BB"/>
    <w:rsid w:val="00827A3B"/>
    <w:rsid w:val="00827B57"/>
    <w:rsid w:val="00827C28"/>
    <w:rsid w:val="00827CF0"/>
    <w:rsid w:val="00827CF3"/>
    <w:rsid w:val="00827F95"/>
    <w:rsid w:val="00830127"/>
    <w:rsid w:val="0083022F"/>
    <w:rsid w:val="00830399"/>
    <w:rsid w:val="008305EA"/>
    <w:rsid w:val="0083066F"/>
    <w:rsid w:val="00830AEA"/>
    <w:rsid w:val="00830D63"/>
    <w:rsid w:val="00831614"/>
    <w:rsid w:val="0083166D"/>
    <w:rsid w:val="0083174A"/>
    <w:rsid w:val="008319BA"/>
    <w:rsid w:val="00831AD6"/>
    <w:rsid w:val="00831E2B"/>
    <w:rsid w:val="00831F86"/>
    <w:rsid w:val="0083212F"/>
    <w:rsid w:val="00832268"/>
    <w:rsid w:val="00832281"/>
    <w:rsid w:val="0083232A"/>
    <w:rsid w:val="008324E6"/>
    <w:rsid w:val="008325BC"/>
    <w:rsid w:val="00832895"/>
    <w:rsid w:val="00832996"/>
    <w:rsid w:val="00832B89"/>
    <w:rsid w:val="00832C4C"/>
    <w:rsid w:val="00832CA1"/>
    <w:rsid w:val="00832D93"/>
    <w:rsid w:val="00832DF7"/>
    <w:rsid w:val="00832FD2"/>
    <w:rsid w:val="00832FF7"/>
    <w:rsid w:val="008330B8"/>
    <w:rsid w:val="0083315C"/>
    <w:rsid w:val="008331D8"/>
    <w:rsid w:val="00833524"/>
    <w:rsid w:val="0083366E"/>
    <w:rsid w:val="00833876"/>
    <w:rsid w:val="00833888"/>
    <w:rsid w:val="00833E44"/>
    <w:rsid w:val="00833F9D"/>
    <w:rsid w:val="0083429F"/>
    <w:rsid w:val="00834798"/>
    <w:rsid w:val="00834BA2"/>
    <w:rsid w:val="00834D77"/>
    <w:rsid w:val="00834FB1"/>
    <w:rsid w:val="00835285"/>
    <w:rsid w:val="008352AD"/>
    <w:rsid w:val="008352CF"/>
    <w:rsid w:val="00835E22"/>
    <w:rsid w:val="00835EC9"/>
    <w:rsid w:val="008366BF"/>
    <w:rsid w:val="008367EB"/>
    <w:rsid w:val="0083690A"/>
    <w:rsid w:val="00836999"/>
    <w:rsid w:val="00836AD4"/>
    <w:rsid w:val="00836CA7"/>
    <w:rsid w:val="008371C1"/>
    <w:rsid w:val="00837797"/>
    <w:rsid w:val="008377AA"/>
    <w:rsid w:val="008378CC"/>
    <w:rsid w:val="008378D5"/>
    <w:rsid w:val="0083791C"/>
    <w:rsid w:val="008379FC"/>
    <w:rsid w:val="00837CBB"/>
    <w:rsid w:val="00837D39"/>
    <w:rsid w:val="00837D9E"/>
    <w:rsid w:val="00837EA1"/>
    <w:rsid w:val="00837EAE"/>
    <w:rsid w:val="00837F6D"/>
    <w:rsid w:val="0084003E"/>
    <w:rsid w:val="008407CE"/>
    <w:rsid w:val="008408DF"/>
    <w:rsid w:val="00840B71"/>
    <w:rsid w:val="00840EE2"/>
    <w:rsid w:val="00840F42"/>
    <w:rsid w:val="00840FBF"/>
    <w:rsid w:val="00840FD9"/>
    <w:rsid w:val="0084107B"/>
    <w:rsid w:val="00841139"/>
    <w:rsid w:val="0084122D"/>
    <w:rsid w:val="0084125F"/>
    <w:rsid w:val="008412F4"/>
    <w:rsid w:val="00841388"/>
    <w:rsid w:val="008415D9"/>
    <w:rsid w:val="0084166A"/>
    <w:rsid w:val="0084180B"/>
    <w:rsid w:val="00841C55"/>
    <w:rsid w:val="00841C61"/>
    <w:rsid w:val="00841EFB"/>
    <w:rsid w:val="00841F44"/>
    <w:rsid w:val="00842311"/>
    <w:rsid w:val="00842722"/>
    <w:rsid w:val="00842A4C"/>
    <w:rsid w:val="00842BF0"/>
    <w:rsid w:val="00842C82"/>
    <w:rsid w:val="0084301A"/>
    <w:rsid w:val="0084309B"/>
    <w:rsid w:val="0084322E"/>
    <w:rsid w:val="00843349"/>
    <w:rsid w:val="0084345D"/>
    <w:rsid w:val="008436D7"/>
    <w:rsid w:val="0084388D"/>
    <w:rsid w:val="00843971"/>
    <w:rsid w:val="00843A4E"/>
    <w:rsid w:val="00843D54"/>
    <w:rsid w:val="00843FB3"/>
    <w:rsid w:val="008440FE"/>
    <w:rsid w:val="008442F4"/>
    <w:rsid w:val="00844323"/>
    <w:rsid w:val="008443B5"/>
    <w:rsid w:val="00844C98"/>
    <w:rsid w:val="00845264"/>
    <w:rsid w:val="00845387"/>
    <w:rsid w:val="008456C9"/>
    <w:rsid w:val="008457D6"/>
    <w:rsid w:val="00845877"/>
    <w:rsid w:val="00845879"/>
    <w:rsid w:val="00845884"/>
    <w:rsid w:val="00845931"/>
    <w:rsid w:val="00845A0E"/>
    <w:rsid w:val="00845E62"/>
    <w:rsid w:val="00845EC4"/>
    <w:rsid w:val="0084608F"/>
    <w:rsid w:val="00846119"/>
    <w:rsid w:val="00846393"/>
    <w:rsid w:val="0084643A"/>
    <w:rsid w:val="00846DF8"/>
    <w:rsid w:val="00847062"/>
    <w:rsid w:val="0084719B"/>
    <w:rsid w:val="008474E3"/>
    <w:rsid w:val="00847739"/>
    <w:rsid w:val="00847798"/>
    <w:rsid w:val="00847A2E"/>
    <w:rsid w:val="00847ED9"/>
    <w:rsid w:val="00847FB4"/>
    <w:rsid w:val="00850011"/>
    <w:rsid w:val="0085018F"/>
    <w:rsid w:val="008507F9"/>
    <w:rsid w:val="00850857"/>
    <w:rsid w:val="00850878"/>
    <w:rsid w:val="00850AB8"/>
    <w:rsid w:val="00851062"/>
    <w:rsid w:val="00851095"/>
    <w:rsid w:val="00851495"/>
    <w:rsid w:val="008514C1"/>
    <w:rsid w:val="00851625"/>
    <w:rsid w:val="0085163E"/>
    <w:rsid w:val="008516BC"/>
    <w:rsid w:val="008518D7"/>
    <w:rsid w:val="008519B2"/>
    <w:rsid w:val="008519FB"/>
    <w:rsid w:val="00851B3D"/>
    <w:rsid w:val="008521BA"/>
    <w:rsid w:val="008525E4"/>
    <w:rsid w:val="0085279A"/>
    <w:rsid w:val="008527C3"/>
    <w:rsid w:val="008527E7"/>
    <w:rsid w:val="008527ED"/>
    <w:rsid w:val="008527F2"/>
    <w:rsid w:val="008527F6"/>
    <w:rsid w:val="00852E39"/>
    <w:rsid w:val="00852F2E"/>
    <w:rsid w:val="00853410"/>
    <w:rsid w:val="00853433"/>
    <w:rsid w:val="008537F7"/>
    <w:rsid w:val="0085386E"/>
    <w:rsid w:val="00853941"/>
    <w:rsid w:val="00853EC4"/>
    <w:rsid w:val="00853FB4"/>
    <w:rsid w:val="00854508"/>
    <w:rsid w:val="008546BE"/>
    <w:rsid w:val="008546E2"/>
    <w:rsid w:val="008547DF"/>
    <w:rsid w:val="00854846"/>
    <w:rsid w:val="008548B8"/>
    <w:rsid w:val="00854DD2"/>
    <w:rsid w:val="00854E1B"/>
    <w:rsid w:val="00854F57"/>
    <w:rsid w:val="00855418"/>
    <w:rsid w:val="00855438"/>
    <w:rsid w:val="008557E7"/>
    <w:rsid w:val="0085580A"/>
    <w:rsid w:val="00855923"/>
    <w:rsid w:val="00855AB8"/>
    <w:rsid w:val="00855ADA"/>
    <w:rsid w:val="00855BE5"/>
    <w:rsid w:val="00855C27"/>
    <w:rsid w:val="00855DF5"/>
    <w:rsid w:val="00855FA7"/>
    <w:rsid w:val="00856074"/>
    <w:rsid w:val="00856408"/>
    <w:rsid w:val="008564A6"/>
    <w:rsid w:val="0085656C"/>
    <w:rsid w:val="00856795"/>
    <w:rsid w:val="00856877"/>
    <w:rsid w:val="00856D75"/>
    <w:rsid w:val="0085789A"/>
    <w:rsid w:val="008578D1"/>
    <w:rsid w:val="008578E5"/>
    <w:rsid w:val="00857949"/>
    <w:rsid w:val="00857CAA"/>
    <w:rsid w:val="00857F64"/>
    <w:rsid w:val="00860815"/>
    <w:rsid w:val="00860919"/>
    <w:rsid w:val="0086094E"/>
    <w:rsid w:val="00860A5F"/>
    <w:rsid w:val="00860C07"/>
    <w:rsid w:val="00860C83"/>
    <w:rsid w:val="00860D98"/>
    <w:rsid w:val="00860DF3"/>
    <w:rsid w:val="00860E2E"/>
    <w:rsid w:val="00860F33"/>
    <w:rsid w:val="0086131E"/>
    <w:rsid w:val="0086145A"/>
    <w:rsid w:val="00861B02"/>
    <w:rsid w:val="00861BE3"/>
    <w:rsid w:val="00861C3E"/>
    <w:rsid w:val="00861D19"/>
    <w:rsid w:val="00861F77"/>
    <w:rsid w:val="00862418"/>
    <w:rsid w:val="0086277F"/>
    <w:rsid w:val="00862832"/>
    <w:rsid w:val="00862A54"/>
    <w:rsid w:val="00862A82"/>
    <w:rsid w:val="00862B11"/>
    <w:rsid w:val="00862BFC"/>
    <w:rsid w:val="00862DBB"/>
    <w:rsid w:val="0086369C"/>
    <w:rsid w:val="008636A1"/>
    <w:rsid w:val="00863901"/>
    <w:rsid w:val="0086391F"/>
    <w:rsid w:val="00863A5F"/>
    <w:rsid w:val="00863AB6"/>
    <w:rsid w:val="00863B9B"/>
    <w:rsid w:val="00863BEC"/>
    <w:rsid w:val="00864010"/>
    <w:rsid w:val="00864139"/>
    <w:rsid w:val="0086421D"/>
    <w:rsid w:val="008643F9"/>
    <w:rsid w:val="00864829"/>
    <w:rsid w:val="00864ABB"/>
    <w:rsid w:val="00864E29"/>
    <w:rsid w:val="00864EBD"/>
    <w:rsid w:val="0086512D"/>
    <w:rsid w:val="00865A5C"/>
    <w:rsid w:val="00865B57"/>
    <w:rsid w:val="00865C64"/>
    <w:rsid w:val="00865E08"/>
    <w:rsid w:val="00866556"/>
    <w:rsid w:val="0086667A"/>
    <w:rsid w:val="008667E8"/>
    <w:rsid w:val="00866A40"/>
    <w:rsid w:val="00866C47"/>
    <w:rsid w:val="00866DBC"/>
    <w:rsid w:val="0086737A"/>
    <w:rsid w:val="0086740C"/>
    <w:rsid w:val="0086770C"/>
    <w:rsid w:val="00867AB3"/>
    <w:rsid w:val="00867AE5"/>
    <w:rsid w:val="00867F29"/>
    <w:rsid w:val="00867F62"/>
    <w:rsid w:val="00867F9F"/>
    <w:rsid w:val="008700A6"/>
    <w:rsid w:val="0087014B"/>
    <w:rsid w:val="00870BE0"/>
    <w:rsid w:val="0087102E"/>
    <w:rsid w:val="00871081"/>
    <w:rsid w:val="00871211"/>
    <w:rsid w:val="008716E6"/>
    <w:rsid w:val="008718EB"/>
    <w:rsid w:val="008719C2"/>
    <w:rsid w:val="00871AF4"/>
    <w:rsid w:val="00872270"/>
    <w:rsid w:val="008723FC"/>
    <w:rsid w:val="008724DD"/>
    <w:rsid w:val="00872652"/>
    <w:rsid w:val="0087277A"/>
    <w:rsid w:val="008727C6"/>
    <w:rsid w:val="0087281D"/>
    <w:rsid w:val="008728CC"/>
    <w:rsid w:val="00872950"/>
    <w:rsid w:val="00872A47"/>
    <w:rsid w:val="00872BEA"/>
    <w:rsid w:val="00872C08"/>
    <w:rsid w:val="00873511"/>
    <w:rsid w:val="0087352B"/>
    <w:rsid w:val="00873677"/>
    <w:rsid w:val="008736CA"/>
    <w:rsid w:val="008736E2"/>
    <w:rsid w:val="008739E0"/>
    <w:rsid w:val="00873B3D"/>
    <w:rsid w:val="00873DCC"/>
    <w:rsid w:val="00873ED4"/>
    <w:rsid w:val="00874030"/>
    <w:rsid w:val="00874037"/>
    <w:rsid w:val="00874530"/>
    <w:rsid w:val="00874565"/>
    <w:rsid w:val="00874ADE"/>
    <w:rsid w:val="00874AE4"/>
    <w:rsid w:val="00874FA2"/>
    <w:rsid w:val="00875C0D"/>
    <w:rsid w:val="00875C55"/>
    <w:rsid w:val="00875FD6"/>
    <w:rsid w:val="0087608E"/>
    <w:rsid w:val="008760BF"/>
    <w:rsid w:val="0087619E"/>
    <w:rsid w:val="008764C2"/>
    <w:rsid w:val="0087668B"/>
    <w:rsid w:val="00876714"/>
    <w:rsid w:val="00876A00"/>
    <w:rsid w:val="00876CE0"/>
    <w:rsid w:val="00876EFA"/>
    <w:rsid w:val="00877036"/>
    <w:rsid w:val="00877131"/>
    <w:rsid w:val="0087719C"/>
    <w:rsid w:val="008771AC"/>
    <w:rsid w:val="00877247"/>
    <w:rsid w:val="0087751D"/>
    <w:rsid w:val="0087778F"/>
    <w:rsid w:val="008777A7"/>
    <w:rsid w:val="00877A05"/>
    <w:rsid w:val="00880028"/>
    <w:rsid w:val="008801AE"/>
    <w:rsid w:val="0088033E"/>
    <w:rsid w:val="00880461"/>
    <w:rsid w:val="008804E5"/>
    <w:rsid w:val="0088051E"/>
    <w:rsid w:val="00880536"/>
    <w:rsid w:val="00880613"/>
    <w:rsid w:val="00880773"/>
    <w:rsid w:val="00880AA3"/>
    <w:rsid w:val="00880D96"/>
    <w:rsid w:val="00880DD2"/>
    <w:rsid w:val="00880E6E"/>
    <w:rsid w:val="00881157"/>
    <w:rsid w:val="0088161F"/>
    <w:rsid w:val="00881AB2"/>
    <w:rsid w:val="00881BAC"/>
    <w:rsid w:val="00881BE5"/>
    <w:rsid w:val="00881D43"/>
    <w:rsid w:val="00881DEA"/>
    <w:rsid w:val="00881EB7"/>
    <w:rsid w:val="00881FC0"/>
    <w:rsid w:val="00882086"/>
    <w:rsid w:val="00882508"/>
    <w:rsid w:val="00882571"/>
    <w:rsid w:val="00882576"/>
    <w:rsid w:val="00882750"/>
    <w:rsid w:val="00882B02"/>
    <w:rsid w:val="00882C3C"/>
    <w:rsid w:val="00882C4D"/>
    <w:rsid w:val="00882C81"/>
    <w:rsid w:val="00882E84"/>
    <w:rsid w:val="00882F54"/>
    <w:rsid w:val="00882FE1"/>
    <w:rsid w:val="008836F7"/>
    <w:rsid w:val="008837A2"/>
    <w:rsid w:val="00883A73"/>
    <w:rsid w:val="00883D37"/>
    <w:rsid w:val="0088411A"/>
    <w:rsid w:val="008841F7"/>
    <w:rsid w:val="0088421C"/>
    <w:rsid w:val="00884358"/>
    <w:rsid w:val="0088445B"/>
    <w:rsid w:val="00884761"/>
    <w:rsid w:val="008847DA"/>
    <w:rsid w:val="008848D3"/>
    <w:rsid w:val="00884AD2"/>
    <w:rsid w:val="00884B89"/>
    <w:rsid w:val="00884BBB"/>
    <w:rsid w:val="00885410"/>
    <w:rsid w:val="008859E5"/>
    <w:rsid w:val="00885B17"/>
    <w:rsid w:val="00885F51"/>
    <w:rsid w:val="00886186"/>
    <w:rsid w:val="008865A3"/>
    <w:rsid w:val="0088669C"/>
    <w:rsid w:val="00886927"/>
    <w:rsid w:val="00886DD7"/>
    <w:rsid w:val="00886EC3"/>
    <w:rsid w:val="00886FBE"/>
    <w:rsid w:val="008871B1"/>
    <w:rsid w:val="00887454"/>
    <w:rsid w:val="008874F3"/>
    <w:rsid w:val="0088773C"/>
    <w:rsid w:val="008879B3"/>
    <w:rsid w:val="00887ED3"/>
    <w:rsid w:val="00887F4E"/>
    <w:rsid w:val="00890068"/>
    <w:rsid w:val="008901FC"/>
    <w:rsid w:val="008902E9"/>
    <w:rsid w:val="008904FB"/>
    <w:rsid w:val="00890710"/>
    <w:rsid w:val="00890728"/>
    <w:rsid w:val="0089086F"/>
    <w:rsid w:val="008909F6"/>
    <w:rsid w:val="00890D23"/>
    <w:rsid w:val="00891285"/>
    <w:rsid w:val="00891391"/>
    <w:rsid w:val="008914B7"/>
    <w:rsid w:val="00891A2B"/>
    <w:rsid w:val="00891A34"/>
    <w:rsid w:val="00891AF6"/>
    <w:rsid w:val="00891B90"/>
    <w:rsid w:val="00891BC3"/>
    <w:rsid w:val="00891C8A"/>
    <w:rsid w:val="008920BB"/>
    <w:rsid w:val="00892332"/>
    <w:rsid w:val="00892446"/>
    <w:rsid w:val="00892F38"/>
    <w:rsid w:val="00893057"/>
    <w:rsid w:val="00893376"/>
    <w:rsid w:val="0089337B"/>
    <w:rsid w:val="0089345F"/>
    <w:rsid w:val="008935C5"/>
    <w:rsid w:val="008937C8"/>
    <w:rsid w:val="008939E0"/>
    <w:rsid w:val="00893A4B"/>
    <w:rsid w:val="00893B49"/>
    <w:rsid w:val="00894334"/>
    <w:rsid w:val="00894527"/>
    <w:rsid w:val="008945A0"/>
    <w:rsid w:val="008947F5"/>
    <w:rsid w:val="00894826"/>
    <w:rsid w:val="00894B8C"/>
    <w:rsid w:val="00894CA3"/>
    <w:rsid w:val="00894D30"/>
    <w:rsid w:val="00895661"/>
    <w:rsid w:val="0089566E"/>
    <w:rsid w:val="00895678"/>
    <w:rsid w:val="00895B47"/>
    <w:rsid w:val="00895C48"/>
    <w:rsid w:val="00895C7E"/>
    <w:rsid w:val="00895EA8"/>
    <w:rsid w:val="0089661F"/>
    <w:rsid w:val="00896723"/>
    <w:rsid w:val="008967C4"/>
    <w:rsid w:val="00896D8E"/>
    <w:rsid w:val="00896DAB"/>
    <w:rsid w:val="00896E88"/>
    <w:rsid w:val="00896F20"/>
    <w:rsid w:val="00896FBB"/>
    <w:rsid w:val="00897496"/>
    <w:rsid w:val="0089757E"/>
    <w:rsid w:val="00897BB6"/>
    <w:rsid w:val="00897E35"/>
    <w:rsid w:val="00897E94"/>
    <w:rsid w:val="008A019D"/>
    <w:rsid w:val="008A0401"/>
    <w:rsid w:val="008A0418"/>
    <w:rsid w:val="008A05F0"/>
    <w:rsid w:val="008A0912"/>
    <w:rsid w:val="008A0CDD"/>
    <w:rsid w:val="008A0D2A"/>
    <w:rsid w:val="008A0DF6"/>
    <w:rsid w:val="008A0FB1"/>
    <w:rsid w:val="008A1693"/>
    <w:rsid w:val="008A173D"/>
    <w:rsid w:val="008A17CE"/>
    <w:rsid w:val="008A18CD"/>
    <w:rsid w:val="008A19D5"/>
    <w:rsid w:val="008A1D42"/>
    <w:rsid w:val="008A1DAF"/>
    <w:rsid w:val="008A1E12"/>
    <w:rsid w:val="008A1E4C"/>
    <w:rsid w:val="008A23A2"/>
    <w:rsid w:val="008A254F"/>
    <w:rsid w:val="008A2630"/>
    <w:rsid w:val="008A2DE8"/>
    <w:rsid w:val="008A3080"/>
    <w:rsid w:val="008A3228"/>
    <w:rsid w:val="008A32D9"/>
    <w:rsid w:val="008A3928"/>
    <w:rsid w:val="008A3CC9"/>
    <w:rsid w:val="008A3DA6"/>
    <w:rsid w:val="008A3EDF"/>
    <w:rsid w:val="008A412F"/>
    <w:rsid w:val="008A41B8"/>
    <w:rsid w:val="008A41BC"/>
    <w:rsid w:val="008A440A"/>
    <w:rsid w:val="008A457F"/>
    <w:rsid w:val="008A46A7"/>
    <w:rsid w:val="008A4780"/>
    <w:rsid w:val="008A4869"/>
    <w:rsid w:val="008A4BE8"/>
    <w:rsid w:val="008A4DFD"/>
    <w:rsid w:val="008A4EB5"/>
    <w:rsid w:val="008A4F39"/>
    <w:rsid w:val="008A5129"/>
    <w:rsid w:val="008A5219"/>
    <w:rsid w:val="008A544B"/>
    <w:rsid w:val="008A5833"/>
    <w:rsid w:val="008A5E7D"/>
    <w:rsid w:val="008A6013"/>
    <w:rsid w:val="008A6045"/>
    <w:rsid w:val="008A6076"/>
    <w:rsid w:val="008A60EA"/>
    <w:rsid w:val="008A615E"/>
    <w:rsid w:val="008A63EC"/>
    <w:rsid w:val="008A6593"/>
    <w:rsid w:val="008A66A9"/>
    <w:rsid w:val="008A6780"/>
    <w:rsid w:val="008A68DB"/>
    <w:rsid w:val="008A6B34"/>
    <w:rsid w:val="008A6D32"/>
    <w:rsid w:val="008A6F3F"/>
    <w:rsid w:val="008A716F"/>
    <w:rsid w:val="008A7170"/>
    <w:rsid w:val="008A717D"/>
    <w:rsid w:val="008A7481"/>
    <w:rsid w:val="008A75AE"/>
    <w:rsid w:val="008A769C"/>
    <w:rsid w:val="008B0076"/>
    <w:rsid w:val="008B00E8"/>
    <w:rsid w:val="008B0597"/>
    <w:rsid w:val="008B07D6"/>
    <w:rsid w:val="008B07F3"/>
    <w:rsid w:val="008B0A0B"/>
    <w:rsid w:val="008B0D5A"/>
    <w:rsid w:val="008B0D78"/>
    <w:rsid w:val="008B1015"/>
    <w:rsid w:val="008B110C"/>
    <w:rsid w:val="008B1462"/>
    <w:rsid w:val="008B1511"/>
    <w:rsid w:val="008B1A46"/>
    <w:rsid w:val="008B1BCA"/>
    <w:rsid w:val="008B1BE7"/>
    <w:rsid w:val="008B1E85"/>
    <w:rsid w:val="008B203D"/>
    <w:rsid w:val="008B20B8"/>
    <w:rsid w:val="008B2170"/>
    <w:rsid w:val="008B25C6"/>
    <w:rsid w:val="008B2960"/>
    <w:rsid w:val="008B2C1E"/>
    <w:rsid w:val="008B2E1D"/>
    <w:rsid w:val="008B2E32"/>
    <w:rsid w:val="008B32C7"/>
    <w:rsid w:val="008B3741"/>
    <w:rsid w:val="008B3A88"/>
    <w:rsid w:val="008B3BF6"/>
    <w:rsid w:val="008B3C94"/>
    <w:rsid w:val="008B3E84"/>
    <w:rsid w:val="008B3EBE"/>
    <w:rsid w:val="008B43DE"/>
    <w:rsid w:val="008B45B4"/>
    <w:rsid w:val="008B46C0"/>
    <w:rsid w:val="008B47D1"/>
    <w:rsid w:val="008B4B0B"/>
    <w:rsid w:val="008B4B2E"/>
    <w:rsid w:val="008B4BFC"/>
    <w:rsid w:val="008B4CAD"/>
    <w:rsid w:val="008B4D19"/>
    <w:rsid w:val="008B51B4"/>
    <w:rsid w:val="008B5265"/>
    <w:rsid w:val="008B530E"/>
    <w:rsid w:val="008B559D"/>
    <w:rsid w:val="008B560F"/>
    <w:rsid w:val="008B58A3"/>
    <w:rsid w:val="008B5B67"/>
    <w:rsid w:val="008B5D7A"/>
    <w:rsid w:val="008B5FD9"/>
    <w:rsid w:val="008B6035"/>
    <w:rsid w:val="008B6299"/>
    <w:rsid w:val="008B6377"/>
    <w:rsid w:val="008B63E9"/>
    <w:rsid w:val="008B642E"/>
    <w:rsid w:val="008B660D"/>
    <w:rsid w:val="008B66E3"/>
    <w:rsid w:val="008B6B41"/>
    <w:rsid w:val="008B6BE7"/>
    <w:rsid w:val="008B6CCB"/>
    <w:rsid w:val="008B6D7B"/>
    <w:rsid w:val="008B6DA9"/>
    <w:rsid w:val="008B72C0"/>
    <w:rsid w:val="008B72FD"/>
    <w:rsid w:val="008B745F"/>
    <w:rsid w:val="008B74F6"/>
    <w:rsid w:val="008B7848"/>
    <w:rsid w:val="008B7C7A"/>
    <w:rsid w:val="008C044D"/>
    <w:rsid w:val="008C0727"/>
    <w:rsid w:val="008C07B4"/>
    <w:rsid w:val="008C08B5"/>
    <w:rsid w:val="008C0B3E"/>
    <w:rsid w:val="008C0F1B"/>
    <w:rsid w:val="008C11AE"/>
    <w:rsid w:val="008C120E"/>
    <w:rsid w:val="008C14C8"/>
    <w:rsid w:val="008C1E05"/>
    <w:rsid w:val="008C2011"/>
    <w:rsid w:val="008C2780"/>
    <w:rsid w:val="008C27FE"/>
    <w:rsid w:val="008C28B1"/>
    <w:rsid w:val="008C2909"/>
    <w:rsid w:val="008C2E4F"/>
    <w:rsid w:val="008C2F78"/>
    <w:rsid w:val="008C2F7B"/>
    <w:rsid w:val="008C34BB"/>
    <w:rsid w:val="008C34E5"/>
    <w:rsid w:val="008C350B"/>
    <w:rsid w:val="008C3649"/>
    <w:rsid w:val="008C37D0"/>
    <w:rsid w:val="008C3896"/>
    <w:rsid w:val="008C3BC2"/>
    <w:rsid w:val="008C3BE9"/>
    <w:rsid w:val="008C42E8"/>
    <w:rsid w:val="008C44B3"/>
    <w:rsid w:val="008C45E2"/>
    <w:rsid w:val="008C47DD"/>
    <w:rsid w:val="008C4E80"/>
    <w:rsid w:val="008C51CA"/>
    <w:rsid w:val="008C53E4"/>
    <w:rsid w:val="008C55A1"/>
    <w:rsid w:val="008C5608"/>
    <w:rsid w:val="008C5643"/>
    <w:rsid w:val="008C5714"/>
    <w:rsid w:val="008C5811"/>
    <w:rsid w:val="008C5864"/>
    <w:rsid w:val="008C5C8B"/>
    <w:rsid w:val="008C5CB5"/>
    <w:rsid w:val="008C5E15"/>
    <w:rsid w:val="008C5E5A"/>
    <w:rsid w:val="008C5FB9"/>
    <w:rsid w:val="008C602A"/>
    <w:rsid w:val="008C6474"/>
    <w:rsid w:val="008C671B"/>
    <w:rsid w:val="008C6835"/>
    <w:rsid w:val="008C6A49"/>
    <w:rsid w:val="008C6A81"/>
    <w:rsid w:val="008C6AC7"/>
    <w:rsid w:val="008C6C6F"/>
    <w:rsid w:val="008C6D40"/>
    <w:rsid w:val="008C73C8"/>
    <w:rsid w:val="008C754F"/>
    <w:rsid w:val="008C7801"/>
    <w:rsid w:val="008C79E5"/>
    <w:rsid w:val="008C7A00"/>
    <w:rsid w:val="008C7BF5"/>
    <w:rsid w:val="008C7D92"/>
    <w:rsid w:val="008D01D8"/>
    <w:rsid w:val="008D0577"/>
    <w:rsid w:val="008D05A8"/>
    <w:rsid w:val="008D0E4D"/>
    <w:rsid w:val="008D1554"/>
    <w:rsid w:val="008D1AA7"/>
    <w:rsid w:val="008D1C56"/>
    <w:rsid w:val="008D1CF8"/>
    <w:rsid w:val="008D1EE5"/>
    <w:rsid w:val="008D2039"/>
    <w:rsid w:val="008D2253"/>
    <w:rsid w:val="008D2369"/>
    <w:rsid w:val="008D2380"/>
    <w:rsid w:val="008D247E"/>
    <w:rsid w:val="008D2571"/>
    <w:rsid w:val="008D27A3"/>
    <w:rsid w:val="008D2B0C"/>
    <w:rsid w:val="008D2F03"/>
    <w:rsid w:val="008D3283"/>
    <w:rsid w:val="008D3371"/>
    <w:rsid w:val="008D33DB"/>
    <w:rsid w:val="008D3476"/>
    <w:rsid w:val="008D3479"/>
    <w:rsid w:val="008D34F9"/>
    <w:rsid w:val="008D3726"/>
    <w:rsid w:val="008D3AB2"/>
    <w:rsid w:val="008D3FA1"/>
    <w:rsid w:val="008D4087"/>
    <w:rsid w:val="008D420D"/>
    <w:rsid w:val="008D4574"/>
    <w:rsid w:val="008D4670"/>
    <w:rsid w:val="008D4AD9"/>
    <w:rsid w:val="008D4BA8"/>
    <w:rsid w:val="008D4BF7"/>
    <w:rsid w:val="008D4CB0"/>
    <w:rsid w:val="008D50B2"/>
    <w:rsid w:val="008D50B4"/>
    <w:rsid w:val="008D52EC"/>
    <w:rsid w:val="008D5389"/>
    <w:rsid w:val="008D5506"/>
    <w:rsid w:val="008D55BD"/>
    <w:rsid w:val="008D560E"/>
    <w:rsid w:val="008D5785"/>
    <w:rsid w:val="008D57B8"/>
    <w:rsid w:val="008D585A"/>
    <w:rsid w:val="008D5A22"/>
    <w:rsid w:val="008D5B1A"/>
    <w:rsid w:val="008D5EC8"/>
    <w:rsid w:val="008D606A"/>
    <w:rsid w:val="008D6397"/>
    <w:rsid w:val="008D65C1"/>
    <w:rsid w:val="008D65C9"/>
    <w:rsid w:val="008D6676"/>
    <w:rsid w:val="008D6B13"/>
    <w:rsid w:val="008D6CC2"/>
    <w:rsid w:val="008D6DBF"/>
    <w:rsid w:val="008D6F7C"/>
    <w:rsid w:val="008D71C1"/>
    <w:rsid w:val="008D7306"/>
    <w:rsid w:val="008D73C9"/>
    <w:rsid w:val="008D763F"/>
    <w:rsid w:val="008D7641"/>
    <w:rsid w:val="008D772C"/>
    <w:rsid w:val="008D7731"/>
    <w:rsid w:val="008D77E3"/>
    <w:rsid w:val="008D7B2F"/>
    <w:rsid w:val="008D7E96"/>
    <w:rsid w:val="008E0124"/>
    <w:rsid w:val="008E0170"/>
    <w:rsid w:val="008E023C"/>
    <w:rsid w:val="008E0598"/>
    <w:rsid w:val="008E075E"/>
    <w:rsid w:val="008E0775"/>
    <w:rsid w:val="008E07F6"/>
    <w:rsid w:val="008E097D"/>
    <w:rsid w:val="008E0BE1"/>
    <w:rsid w:val="008E0CC9"/>
    <w:rsid w:val="008E1030"/>
    <w:rsid w:val="008E1033"/>
    <w:rsid w:val="008E11C2"/>
    <w:rsid w:val="008E16BF"/>
    <w:rsid w:val="008E1BBA"/>
    <w:rsid w:val="008E1E62"/>
    <w:rsid w:val="008E2225"/>
    <w:rsid w:val="008E2288"/>
    <w:rsid w:val="008E24CC"/>
    <w:rsid w:val="008E2712"/>
    <w:rsid w:val="008E289C"/>
    <w:rsid w:val="008E2996"/>
    <w:rsid w:val="008E3049"/>
    <w:rsid w:val="008E334F"/>
    <w:rsid w:val="008E34D7"/>
    <w:rsid w:val="008E35A3"/>
    <w:rsid w:val="008E383A"/>
    <w:rsid w:val="008E3EA4"/>
    <w:rsid w:val="008E3FD0"/>
    <w:rsid w:val="008E4338"/>
    <w:rsid w:val="008E435A"/>
    <w:rsid w:val="008E4552"/>
    <w:rsid w:val="008E47C5"/>
    <w:rsid w:val="008E5128"/>
    <w:rsid w:val="008E5358"/>
    <w:rsid w:val="008E5963"/>
    <w:rsid w:val="008E5B53"/>
    <w:rsid w:val="008E5BE9"/>
    <w:rsid w:val="008E5E11"/>
    <w:rsid w:val="008E5E53"/>
    <w:rsid w:val="008E60F4"/>
    <w:rsid w:val="008E6475"/>
    <w:rsid w:val="008E667A"/>
    <w:rsid w:val="008E68E0"/>
    <w:rsid w:val="008E6A7E"/>
    <w:rsid w:val="008E6B1A"/>
    <w:rsid w:val="008E6E59"/>
    <w:rsid w:val="008E7012"/>
    <w:rsid w:val="008E71BD"/>
    <w:rsid w:val="008E7274"/>
    <w:rsid w:val="008E73AA"/>
    <w:rsid w:val="008E73E0"/>
    <w:rsid w:val="008E749B"/>
    <w:rsid w:val="008E751E"/>
    <w:rsid w:val="008E7609"/>
    <w:rsid w:val="008E79B4"/>
    <w:rsid w:val="008E79D3"/>
    <w:rsid w:val="008E7B4A"/>
    <w:rsid w:val="008E7FD5"/>
    <w:rsid w:val="008F006A"/>
    <w:rsid w:val="008F0211"/>
    <w:rsid w:val="008F0300"/>
    <w:rsid w:val="008F038F"/>
    <w:rsid w:val="008F046D"/>
    <w:rsid w:val="008F0562"/>
    <w:rsid w:val="008F0823"/>
    <w:rsid w:val="008F0D9F"/>
    <w:rsid w:val="008F1096"/>
    <w:rsid w:val="008F11B1"/>
    <w:rsid w:val="008F13F4"/>
    <w:rsid w:val="008F147C"/>
    <w:rsid w:val="008F14E7"/>
    <w:rsid w:val="008F150A"/>
    <w:rsid w:val="008F1542"/>
    <w:rsid w:val="008F1BE5"/>
    <w:rsid w:val="008F1D39"/>
    <w:rsid w:val="008F1FCC"/>
    <w:rsid w:val="008F20F8"/>
    <w:rsid w:val="008F2140"/>
    <w:rsid w:val="008F2397"/>
    <w:rsid w:val="008F260B"/>
    <w:rsid w:val="008F26A8"/>
    <w:rsid w:val="008F2DBD"/>
    <w:rsid w:val="008F3312"/>
    <w:rsid w:val="008F3937"/>
    <w:rsid w:val="008F3CD1"/>
    <w:rsid w:val="008F4420"/>
    <w:rsid w:val="008F45A9"/>
    <w:rsid w:val="008F482C"/>
    <w:rsid w:val="008F49AA"/>
    <w:rsid w:val="008F5012"/>
    <w:rsid w:val="008F50D5"/>
    <w:rsid w:val="008F5161"/>
    <w:rsid w:val="008F5244"/>
    <w:rsid w:val="008F5374"/>
    <w:rsid w:val="008F56DE"/>
    <w:rsid w:val="008F5C10"/>
    <w:rsid w:val="008F5C99"/>
    <w:rsid w:val="008F5CEE"/>
    <w:rsid w:val="008F5F99"/>
    <w:rsid w:val="008F6204"/>
    <w:rsid w:val="008F6389"/>
    <w:rsid w:val="008F63A6"/>
    <w:rsid w:val="008F65A2"/>
    <w:rsid w:val="008F6642"/>
    <w:rsid w:val="008F66A0"/>
    <w:rsid w:val="008F686D"/>
    <w:rsid w:val="008F6B29"/>
    <w:rsid w:val="008F6B3F"/>
    <w:rsid w:val="008F6D2A"/>
    <w:rsid w:val="008F7AA2"/>
    <w:rsid w:val="008F7E33"/>
    <w:rsid w:val="00900681"/>
    <w:rsid w:val="00900AB5"/>
    <w:rsid w:val="00900E03"/>
    <w:rsid w:val="00900F59"/>
    <w:rsid w:val="00900FD8"/>
    <w:rsid w:val="00901078"/>
    <w:rsid w:val="00901319"/>
    <w:rsid w:val="009018E3"/>
    <w:rsid w:val="00901CF1"/>
    <w:rsid w:val="00901FEE"/>
    <w:rsid w:val="00902079"/>
    <w:rsid w:val="009020F0"/>
    <w:rsid w:val="009020FF"/>
    <w:rsid w:val="0090246B"/>
    <w:rsid w:val="009024B5"/>
    <w:rsid w:val="00902695"/>
    <w:rsid w:val="009028ED"/>
    <w:rsid w:val="00903016"/>
    <w:rsid w:val="0090317F"/>
    <w:rsid w:val="0090342C"/>
    <w:rsid w:val="009035DE"/>
    <w:rsid w:val="00903837"/>
    <w:rsid w:val="00903AA0"/>
    <w:rsid w:val="00903F1A"/>
    <w:rsid w:val="00903F81"/>
    <w:rsid w:val="00903FBC"/>
    <w:rsid w:val="00904283"/>
    <w:rsid w:val="0090438A"/>
    <w:rsid w:val="009043FF"/>
    <w:rsid w:val="00904475"/>
    <w:rsid w:val="0090455A"/>
    <w:rsid w:val="009047E9"/>
    <w:rsid w:val="00904A59"/>
    <w:rsid w:val="00904B90"/>
    <w:rsid w:val="00904CB9"/>
    <w:rsid w:val="00904D24"/>
    <w:rsid w:val="0090506A"/>
    <w:rsid w:val="009052FF"/>
    <w:rsid w:val="00905C7E"/>
    <w:rsid w:val="00905FD6"/>
    <w:rsid w:val="009060D2"/>
    <w:rsid w:val="009063A4"/>
    <w:rsid w:val="00906821"/>
    <w:rsid w:val="00906C20"/>
    <w:rsid w:val="00906DF9"/>
    <w:rsid w:val="00906E65"/>
    <w:rsid w:val="00907097"/>
    <w:rsid w:val="0090720C"/>
    <w:rsid w:val="0090732E"/>
    <w:rsid w:val="0090761D"/>
    <w:rsid w:val="009076F3"/>
    <w:rsid w:val="00907772"/>
    <w:rsid w:val="0090779D"/>
    <w:rsid w:val="00907922"/>
    <w:rsid w:val="00907BBC"/>
    <w:rsid w:val="00907E7A"/>
    <w:rsid w:val="00910238"/>
    <w:rsid w:val="00910670"/>
    <w:rsid w:val="00910E84"/>
    <w:rsid w:val="009112C9"/>
    <w:rsid w:val="009112E0"/>
    <w:rsid w:val="00911557"/>
    <w:rsid w:val="00911615"/>
    <w:rsid w:val="009119FA"/>
    <w:rsid w:val="00911B0B"/>
    <w:rsid w:val="00911CA3"/>
    <w:rsid w:val="00911D33"/>
    <w:rsid w:val="00911D55"/>
    <w:rsid w:val="00911F3E"/>
    <w:rsid w:val="00911FF6"/>
    <w:rsid w:val="0091221E"/>
    <w:rsid w:val="0091258E"/>
    <w:rsid w:val="0091270F"/>
    <w:rsid w:val="009127A7"/>
    <w:rsid w:val="009128BC"/>
    <w:rsid w:val="009128F2"/>
    <w:rsid w:val="00912B51"/>
    <w:rsid w:val="00912BE1"/>
    <w:rsid w:val="00912C84"/>
    <w:rsid w:val="00912FDD"/>
    <w:rsid w:val="0091382F"/>
    <w:rsid w:val="00913BD0"/>
    <w:rsid w:val="00913C69"/>
    <w:rsid w:val="0091405D"/>
    <w:rsid w:val="009142FD"/>
    <w:rsid w:val="009144D5"/>
    <w:rsid w:val="009147D7"/>
    <w:rsid w:val="00914B25"/>
    <w:rsid w:val="00914CBE"/>
    <w:rsid w:val="00914E13"/>
    <w:rsid w:val="009158AE"/>
    <w:rsid w:val="0091594A"/>
    <w:rsid w:val="00915B8F"/>
    <w:rsid w:val="00915C1A"/>
    <w:rsid w:val="00915C98"/>
    <w:rsid w:val="00915D3A"/>
    <w:rsid w:val="00915F98"/>
    <w:rsid w:val="00915FA3"/>
    <w:rsid w:val="0091603C"/>
    <w:rsid w:val="009161F5"/>
    <w:rsid w:val="00916297"/>
    <w:rsid w:val="0091649F"/>
    <w:rsid w:val="00916549"/>
    <w:rsid w:val="009165FC"/>
    <w:rsid w:val="009166BC"/>
    <w:rsid w:val="009166E1"/>
    <w:rsid w:val="00916976"/>
    <w:rsid w:val="00916994"/>
    <w:rsid w:val="00916CCA"/>
    <w:rsid w:val="00916D31"/>
    <w:rsid w:val="00916E91"/>
    <w:rsid w:val="00916F1B"/>
    <w:rsid w:val="00916F4A"/>
    <w:rsid w:val="00916F70"/>
    <w:rsid w:val="009170BF"/>
    <w:rsid w:val="009170E0"/>
    <w:rsid w:val="009172D0"/>
    <w:rsid w:val="009174C3"/>
    <w:rsid w:val="009175A7"/>
    <w:rsid w:val="009175C9"/>
    <w:rsid w:val="0091784B"/>
    <w:rsid w:val="00917919"/>
    <w:rsid w:val="009179F0"/>
    <w:rsid w:val="00920346"/>
    <w:rsid w:val="0092046E"/>
    <w:rsid w:val="0092071C"/>
    <w:rsid w:val="009208E9"/>
    <w:rsid w:val="00920919"/>
    <w:rsid w:val="0092091C"/>
    <w:rsid w:val="009209A5"/>
    <w:rsid w:val="00920AB8"/>
    <w:rsid w:val="00920BEE"/>
    <w:rsid w:val="00920F33"/>
    <w:rsid w:val="0092125E"/>
    <w:rsid w:val="009217F8"/>
    <w:rsid w:val="00921B72"/>
    <w:rsid w:val="00921D75"/>
    <w:rsid w:val="00922080"/>
    <w:rsid w:val="0092208F"/>
    <w:rsid w:val="00922259"/>
    <w:rsid w:val="00922C03"/>
    <w:rsid w:val="00922C27"/>
    <w:rsid w:val="00922FA7"/>
    <w:rsid w:val="0092304E"/>
    <w:rsid w:val="0092319A"/>
    <w:rsid w:val="009234D5"/>
    <w:rsid w:val="00923732"/>
    <w:rsid w:val="00923783"/>
    <w:rsid w:val="0092396E"/>
    <w:rsid w:val="00923A4B"/>
    <w:rsid w:val="00923CE7"/>
    <w:rsid w:val="00923E1A"/>
    <w:rsid w:val="00924455"/>
    <w:rsid w:val="0092446B"/>
    <w:rsid w:val="0092463D"/>
    <w:rsid w:val="0092470E"/>
    <w:rsid w:val="00924897"/>
    <w:rsid w:val="009248A4"/>
    <w:rsid w:val="00924E20"/>
    <w:rsid w:val="00924F91"/>
    <w:rsid w:val="00925187"/>
    <w:rsid w:val="00925409"/>
    <w:rsid w:val="0092547B"/>
    <w:rsid w:val="0092549C"/>
    <w:rsid w:val="009256EE"/>
    <w:rsid w:val="00925A13"/>
    <w:rsid w:val="00925D88"/>
    <w:rsid w:val="00925DBD"/>
    <w:rsid w:val="00925F12"/>
    <w:rsid w:val="00925F56"/>
    <w:rsid w:val="00926163"/>
    <w:rsid w:val="0092616C"/>
    <w:rsid w:val="0092641C"/>
    <w:rsid w:val="009265E9"/>
    <w:rsid w:val="009269AB"/>
    <w:rsid w:val="00926C4D"/>
    <w:rsid w:val="0092709C"/>
    <w:rsid w:val="0092717F"/>
    <w:rsid w:val="009272DB"/>
    <w:rsid w:val="009273AE"/>
    <w:rsid w:val="00927744"/>
    <w:rsid w:val="009278F7"/>
    <w:rsid w:val="00927B05"/>
    <w:rsid w:val="00927CD3"/>
    <w:rsid w:val="00927D60"/>
    <w:rsid w:val="00930248"/>
    <w:rsid w:val="009304C8"/>
    <w:rsid w:val="009305C5"/>
    <w:rsid w:val="00930648"/>
    <w:rsid w:val="009309E1"/>
    <w:rsid w:val="00930F4E"/>
    <w:rsid w:val="00931492"/>
    <w:rsid w:val="00931621"/>
    <w:rsid w:val="0093165F"/>
    <w:rsid w:val="0093193B"/>
    <w:rsid w:val="0093196F"/>
    <w:rsid w:val="00931B5F"/>
    <w:rsid w:val="00931B63"/>
    <w:rsid w:val="00931C08"/>
    <w:rsid w:val="00931D0A"/>
    <w:rsid w:val="00931D30"/>
    <w:rsid w:val="00931D3D"/>
    <w:rsid w:val="00931FEF"/>
    <w:rsid w:val="00932178"/>
    <w:rsid w:val="009323C6"/>
    <w:rsid w:val="00932469"/>
    <w:rsid w:val="00932A59"/>
    <w:rsid w:val="00932ABE"/>
    <w:rsid w:val="00932DD3"/>
    <w:rsid w:val="00932DF0"/>
    <w:rsid w:val="00932DFE"/>
    <w:rsid w:val="00932EF5"/>
    <w:rsid w:val="0093307C"/>
    <w:rsid w:val="009331E2"/>
    <w:rsid w:val="00933376"/>
    <w:rsid w:val="009335BB"/>
    <w:rsid w:val="0093363B"/>
    <w:rsid w:val="00933B0D"/>
    <w:rsid w:val="00933B52"/>
    <w:rsid w:val="00934059"/>
    <w:rsid w:val="0093408E"/>
    <w:rsid w:val="0093410C"/>
    <w:rsid w:val="00934199"/>
    <w:rsid w:val="009344C3"/>
    <w:rsid w:val="00934A97"/>
    <w:rsid w:val="00934AE1"/>
    <w:rsid w:val="00934B8D"/>
    <w:rsid w:val="00934CA9"/>
    <w:rsid w:val="00934E7B"/>
    <w:rsid w:val="00934F27"/>
    <w:rsid w:val="00934F32"/>
    <w:rsid w:val="00934FAE"/>
    <w:rsid w:val="009350C7"/>
    <w:rsid w:val="00935992"/>
    <w:rsid w:val="00935C0B"/>
    <w:rsid w:val="00936062"/>
    <w:rsid w:val="009362B2"/>
    <w:rsid w:val="00936546"/>
    <w:rsid w:val="009368AD"/>
    <w:rsid w:val="00936A70"/>
    <w:rsid w:val="00936BE9"/>
    <w:rsid w:val="00936C67"/>
    <w:rsid w:val="00936D95"/>
    <w:rsid w:val="0093759C"/>
    <w:rsid w:val="009375AF"/>
    <w:rsid w:val="0093797B"/>
    <w:rsid w:val="00937CBE"/>
    <w:rsid w:val="0094005A"/>
    <w:rsid w:val="00940112"/>
    <w:rsid w:val="0094035F"/>
    <w:rsid w:val="009403D8"/>
    <w:rsid w:val="009404D7"/>
    <w:rsid w:val="009405B1"/>
    <w:rsid w:val="00940A5C"/>
    <w:rsid w:val="00940C2E"/>
    <w:rsid w:val="00941281"/>
    <w:rsid w:val="009412B8"/>
    <w:rsid w:val="009413D5"/>
    <w:rsid w:val="009414E6"/>
    <w:rsid w:val="00941555"/>
    <w:rsid w:val="00941571"/>
    <w:rsid w:val="009417EC"/>
    <w:rsid w:val="00941FC1"/>
    <w:rsid w:val="0094200E"/>
    <w:rsid w:val="0094279D"/>
    <w:rsid w:val="00942921"/>
    <w:rsid w:val="00942955"/>
    <w:rsid w:val="00942DC5"/>
    <w:rsid w:val="00942F64"/>
    <w:rsid w:val="0094348D"/>
    <w:rsid w:val="00943563"/>
    <w:rsid w:val="009435C3"/>
    <w:rsid w:val="00943684"/>
    <w:rsid w:val="00943BDC"/>
    <w:rsid w:val="00944087"/>
    <w:rsid w:val="009442B1"/>
    <w:rsid w:val="009442BB"/>
    <w:rsid w:val="0094432A"/>
    <w:rsid w:val="0094482F"/>
    <w:rsid w:val="00944869"/>
    <w:rsid w:val="00944C71"/>
    <w:rsid w:val="00944CA6"/>
    <w:rsid w:val="00944D84"/>
    <w:rsid w:val="00944E74"/>
    <w:rsid w:val="009450BB"/>
    <w:rsid w:val="009452D6"/>
    <w:rsid w:val="00945532"/>
    <w:rsid w:val="009457EA"/>
    <w:rsid w:val="00945D1B"/>
    <w:rsid w:val="00945EB0"/>
    <w:rsid w:val="00946047"/>
    <w:rsid w:val="009467AE"/>
    <w:rsid w:val="00946E66"/>
    <w:rsid w:val="00946EC7"/>
    <w:rsid w:val="00947641"/>
    <w:rsid w:val="00947755"/>
    <w:rsid w:val="00947805"/>
    <w:rsid w:val="0094789A"/>
    <w:rsid w:val="00947DFC"/>
    <w:rsid w:val="00947E36"/>
    <w:rsid w:val="0095009A"/>
    <w:rsid w:val="0095012E"/>
    <w:rsid w:val="0095026E"/>
    <w:rsid w:val="009502B7"/>
    <w:rsid w:val="009511C0"/>
    <w:rsid w:val="009513F7"/>
    <w:rsid w:val="00951674"/>
    <w:rsid w:val="00951934"/>
    <w:rsid w:val="00951C22"/>
    <w:rsid w:val="00951D09"/>
    <w:rsid w:val="00951D2A"/>
    <w:rsid w:val="00951F2F"/>
    <w:rsid w:val="0095207B"/>
    <w:rsid w:val="009523C1"/>
    <w:rsid w:val="009528BD"/>
    <w:rsid w:val="00952BC2"/>
    <w:rsid w:val="00952CC7"/>
    <w:rsid w:val="00953307"/>
    <w:rsid w:val="009533B4"/>
    <w:rsid w:val="0095367C"/>
    <w:rsid w:val="00953A68"/>
    <w:rsid w:val="00953DD4"/>
    <w:rsid w:val="00953E20"/>
    <w:rsid w:val="00954219"/>
    <w:rsid w:val="0095431B"/>
    <w:rsid w:val="009543C3"/>
    <w:rsid w:val="0095466B"/>
    <w:rsid w:val="0095489E"/>
    <w:rsid w:val="00954A08"/>
    <w:rsid w:val="00954C8C"/>
    <w:rsid w:val="00954E53"/>
    <w:rsid w:val="00955138"/>
    <w:rsid w:val="00955167"/>
    <w:rsid w:val="009552AD"/>
    <w:rsid w:val="0095558E"/>
    <w:rsid w:val="00955796"/>
    <w:rsid w:val="009558B5"/>
    <w:rsid w:val="00955934"/>
    <w:rsid w:val="00955BCA"/>
    <w:rsid w:val="0095642E"/>
    <w:rsid w:val="00956969"/>
    <w:rsid w:val="00956994"/>
    <w:rsid w:val="00956ACE"/>
    <w:rsid w:val="00956B41"/>
    <w:rsid w:val="00956D67"/>
    <w:rsid w:val="00956FB9"/>
    <w:rsid w:val="00956FC3"/>
    <w:rsid w:val="0095709A"/>
    <w:rsid w:val="009572A0"/>
    <w:rsid w:val="00957439"/>
    <w:rsid w:val="00957525"/>
    <w:rsid w:val="009577A6"/>
    <w:rsid w:val="009577DD"/>
    <w:rsid w:val="009579E5"/>
    <w:rsid w:val="00957BC8"/>
    <w:rsid w:val="00957CAF"/>
    <w:rsid w:val="00957D24"/>
    <w:rsid w:val="00957FED"/>
    <w:rsid w:val="0096003E"/>
    <w:rsid w:val="009601E7"/>
    <w:rsid w:val="009603EB"/>
    <w:rsid w:val="0096045D"/>
    <w:rsid w:val="009604AD"/>
    <w:rsid w:val="009605DC"/>
    <w:rsid w:val="009607F7"/>
    <w:rsid w:val="00960DCF"/>
    <w:rsid w:val="00960E79"/>
    <w:rsid w:val="009610DC"/>
    <w:rsid w:val="0096115C"/>
    <w:rsid w:val="009615AD"/>
    <w:rsid w:val="00961A1C"/>
    <w:rsid w:val="00961B53"/>
    <w:rsid w:val="00961CFD"/>
    <w:rsid w:val="00961D7E"/>
    <w:rsid w:val="00961E44"/>
    <w:rsid w:val="00961EE8"/>
    <w:rsid w:val="00961F98"/>
    <w:rsid w:val="00962393"/>
    <w:rsid w:val="009623C8"/>
    <w:rsid w:val="0096246F"/>
    <w:rsid w:val="0096288D"/>
    <w:rsid w:val="0096305E"/>
    <w:rsid w:val="009630F1"/>
    <w:rsid w:val="00963115"/>
    <w:rsid w:val="00963174"/>
    <w:rsid w:val="00963264"/>
    <w:rsid w:val="00963503"/>
    <w:rsid w:val="009636DD"/>
    <w:rsid w:val="0096389D"/>
    <w:rsid w:val="00963A51"/>
    <w:rsid w:val="00963B62"/>
    <w:rsid w:val="00963BDF"/>
    <w:rsid w:val="00963BE0"/>
    <w:rsid w:val="00963FF4"/>
    <w:rsid w:val="009640E7"/>
    <w:rsid w:val="00964168"/>
    <w:rsid w:val="009642FF"/>
    <w:rsid w:val="00964611"/>
    <w:rsid w:val="009649FC"/>
    <w:rsid w:val="00964EEA"/>
    <w:rsid w:val="00964F9F"/>
    <w:rsid w:val="0096503C"/>
    <w:rsid w:val="0096539C"/>
    <w:rsid w:val="00965615"/>
    <w:rsid w:val="00965631"/>
    <w:rsid w:val="009660AD"/>
    <w:rsid w:val="00966280"/>
    <w:rsid w:val="009664F7"/>
    <w:rsid w:val="00966502"/>
    <w:rsid w:val="009665E9"/>
    <w:rsid w:val="00966912"/>
    <w:rsid w:val="00966C76"/>
    <w:rsid w:val="00966E90"/>
    <w:rsid w:val="009672AC"/>
    <w:rsid w:val="0096762C"/>
    <w:rsid w:val="009676C0"/>
    <w:rsid w:val="0096790D"/>
    <w:rsid w:val="00967D9A"/>
    <w:rsid w:val="00967D9F"/>
    <w:rsid w:val="00967E17"/>
    <w:rsid w:val="009702F7"/>
    <w:rsid w:val="009706AE"/>
    <w:rsid w:val="009706E4"/>
    <w:rsid w:val="00970F5E"/>
    <w:rsid w:val="0097148A"/>
    <w:rsid w:val="009719F6"/>
    <w:rsid w:val="00971A0A"/>
    <w:rsid w:val="00971F6C"/>
    <w:rsid w:val="009722A1"/>
    <w:rsid w:val="00972895"/>
    <w:rsid w:val="009729ED"/>
    <w:rsid w:val="00972E3C"/>
    <w:rsid w:val="00972F2E"/>
    <w:rsid w:val="00972F86"/>
    <w:rsid w:val="0097309C"/>
    <w:rsid w:val="00973296"/>
    <w:rsid w:val="00973647"/>
    <w:rsid w:val="009736B0"/>
    <w:rsid w:val="00973F55"/>
    <w:rsid w:val="00973F90"/>
    <w:rsid w:val="0097426D"/>
    <w:rsid w:val="009744C8"/>
    <w:rsid w:val="00974582"/>
    <w:rsid w:val="009745E4"/>
    <w:rsid w:val="009748D3"/>
    <w:rsid w:val="009749F6"/>
    <w:rsid w:val="00974AD2"/>
    <w:rsid w:val="00974E32"/>
    <w:rsid w:val="00974E87"/>
    <w:rsid w:val="00974FC0"/>
    <w:rsid w:val="00975432"/>
    <w:rsid w:val="0097596F"/>
    <w:rsid w:val="00975A20"/>
    <w:rsid w:val="00975C6E"/>
    <w:rsid w:val="00975F32"/>
    <w:rsid w:val="0097630B"/>
    <w:rsid w:val="00976388"/>
    <w:rsid w:val="009765E4"/>
    <w:rsid w:val="00976DC1"/>
    <w:rsid w:val="00976E19"/>
    <w:rsid w:val="0097726F"/>
    <w:rsid w:val="009773FC"/>
    <w:rsid w:val="00977757"/>
    <w:rsid w:val="0097775F"/>
    <w:rsid w:val="00977DCE"/>
    <w:rsid w:val="00977F4A"/>
    <w:rsid w:val="009803A9"/>
    <w:rsid w:val="009803CB"/>
    <w:rsid w:val="009803D4"/>
    <w:rsid w:val="00980664"/>
    <w:rsid w:val="009807A2"/>
    <w:rsid w:val="00980E4E"/>
    <w:rsid w:val="00981488"/>
    <w:rsid w:val="0098161F"/>
    <w:rsid w:val="00981849"/>
    <w:rsid w:val="00981965"/>
    <w:rsid w:val="0098199C"/>
    <w:rsid w:val="00981A34"/>
    <w:rsid w:val="00981E3B"/>
    <w:rsid w:val="00982857"/>
    <w:rsid w:val="009828D3"/>
    <w:rsid w:val="00982AD1"/>
    <w:rsid w:val="00982C8B"/>
    <w:rsid w:val="00982D67"/>
    <w:rsid w:val="00982EBF"/>
    <w:rsid w:val="00982F8B"/>
    <w:rsid w:val="00983138"/>
    <w:rsid w:val="0098327D"/>
    <w:rsid w:val="009832A2"/>
    <w:rsid w:val="00983378"/>
    <w:rsid w:val="00983791"/>
    <w:rsid w:val="0098381B"/>
    <w:rsid w:val="009839B8"/>
    <w:rsid w:val="00983D08"/>
    <w:rsid w:val="00984344"/>
    <w:rsid w:val="0098481D"/>
    <w:rsid w:val="00984988"/>
    <w:rsid w:val="00984FF0"/>
    <w:rsid w:val="00985014"/>
    <w:rsid w:val="0098501C"/>
    <w:rsid w:val="00985279"/>
    <w:rsid w:val="009854DE"/>
    <w:rsid w:val="00985649"/>
    <w:rsid w:val="00985676"/>
    <w:rsid w:val="0098603B"/>
    <w:rsid w:val="0098606E"/>
    <w:rsid w:val="009865F7"/>
    <w:rsid w:val="00986718"/>
    <w:rsid w:val="00986B31"/>
    <w:rsid w:val="00986B59"/>
    <w:rsid w:val="00986D0B"/>
    <w:rsid w:val="0098733C"/>
    <w:rsid w:val="009873F3"/>
    <w:rsid w:val="009877BF"/>
    <w:rsid w:val="00987A32"/>
    <w:rsid w:val="00987B7B"/>
    <w:rsid w:val="00987DE0"/>
    <w:rsid w:val="00987FE8"/>
    <w:rsid w:val="00990200"/>
    <w:rsid w:val="00990428"/>
    <w:rsid w:val="009906F0"/>
    <w:rsid w:val="0099088A"/>
    <w:rsid w:val="0099089F"/>
    <w:rsid w:val="00990D47"/>
    <w:rsid w:val="00990E63"/>
    <w:rsid w:val="00991452"/>
    <w:rsid w:val="00991667"/>
    <w:rsid w:val="009919CB"/>
    <w:rsid w:val="009919E6"/>
    <w:rsid w:val="00991BCF"/>
    <w:rsid w:val="00991F12"/>
    <w:rsid w:val="00992118"/>
    <w:rsid w:val="0099217B"/>
    <w:rsid w:val="00992343"/>
    <w:rsid w:val="00992550"/>
    <w:rsid w:val="00992640"/>
    <w:rsid w:val="00992713"/>
    <w:rsid w:val="00992B59"/>
    <w:rsid w:val="00992BC3"/>
    <w:rsid w:val="00992BD4"/>
    <w:rsid w:val="00992FC1"/>
    <w:rsid w:val="00992FCC"/>
    <w:rsid w:val="009932DB"/>
    <w:rsid w:val="0099346E"/>
    <w:rsid w:val="00993563"/>
    <w:rsid w:val="0099377E"/>
    <w:rsid w:val="00993A2E"/>
    <w:rsid w:val="00993B29"/>
    <w:rsid w:val="00993FA3"/>
    <w:rsid w:val="00994513"/>
    <w:rsid w:val="0099477D"/>
    <w:rsid w:val="00994FA5"/>
    <w:rsid w:val="00995799"/>
    <w:rsid w:val="009957C3"/>
    <w:rsid w:val="00995868"/>
    <w:rsid w:val="0099594B"/>
    <w:rsid w:val="009959EC"/>
    <w:rsid w:val="00995A52"/>
    <w:rsid w:val="00995B1F"/>
    <w:rsid w:val="00995E98"/>
    <w:rsid w:val="009963F5"/>
    <w:rsid w:val="009967C0"/>
    <w:rsid w:val="00996A56"/>
    <w:rsid w:val="00996BDE"/>
    <w:rsid w:val="00996F15"/>
    <w:rsid w:val="00996FB4"/>
    <w:rsid w:val="00997813"/>
    <w:rsid w:val="00997876"/>
    <w:rsid w:val="009978B9"/>
    <w:rsid w:val="00997B2A"/>
    <w:rsid w:val="00997BA8"/>
    <w:rsid w:val="00997CC1"/>
    <w:rsid w:val="00997CF3"/>
    <w:rsid w:val="009A00BB"/>
    <w:rsid w:val="009A0182"/>
    <w:rsid w:val="009A0605"/>
    <w:rsid w:val="009A06F4"/>
    <w:rsid w:val="009A086A"/>
    <w:rsid w:val="009A10E5"/>
    <w:rsid w:val="009A139A"/>
    <w:rsid w:val="009A147A"/>
    <w:rsid w:val="009A1708"/>
    <w:rsid w:val="009A185C"/>
    <w:rsid w:val="009A18B8"/>
    <w:rsid w:val="009A192F"/>
    <w:rsid w:val="009A1A07"/>
    <w:rsid w:val="009A1C83"/>
    <w:rsid w:val="009A1D04"/>
    <w:rsid w:val="009A1E58"/>
    <w:rsid w:val="009A21D2"/>
    <w:rsid w:val="009A2501"/>
    <w:rsid w:val="009A258B"/>
    <w:rsid w:val="009A2596"/>
    <w:rsid w:val="009A280F"/>
    <w:rsid w:val="009A2ADE"/>
    <w:rsid w:val="009A2FB7"/>
    <w:rsid w:val="009A2FFC"/>
    <w:rsid w:val="009A33D2"/>
    <w:rsid w:val="009A3581"/>
    <w:rsid w:val="009A3635"/>
    <w:rsid w:val="009A3778"/>
    <w:rsid w:val="009A3DD7"/>
    <w:rsid w:val="009A3E12"/>
    <w:rsid w:val="009A3E2E"/>
    <w:rsid w:val="009A3E64"/>
    <w:rsid w:val="009A400D"/>
    <w:rsid w:val="009A40D0"/>
    <w:rsid w:val="009A41CC"/>
    <w:rsid w:val="009A445C"/>
    <w:rsid w:val="009A4B7F"/>
    <w:rsid w:val="009A4B84"/>
    <w:rsid w:val="009A4B88"/>
    <w:rsid w:val="009A4BC7"/>
    <w:rsid w:val="009A4CA2"/>
    <w:rsid w:val="009A4D5C"/>
    <w:rsid w:val="009A4E2D"/>
    <w:rsid w:val="009A4FB7"/>
    <w:rsid w:val="009A502F"/>
    <w:rsid w:val="009A523D"/>
    <w:rsid w:val="009A528D"/>
    <w:rsid w:val="009A5671"/>
    <w:rsid w:val="009A5693"/>
    <w:rsid w:val="009A5961"/>
    <w:rsid w:val="009A5A3A"/>
    <w:rsid w:val="009A5E56"/>
    <w:rsid w:val="009A6559"/>
    <w:rsid w:val="009A67E1"/>
    <w:rsid w:val="009A6825"/>
    <w:rsid w:val="009A697B"/>
    <w:rsid w:val="009A69AC"/>
    <w:rsid w:val="009A6AE2"/>
    <w:rsid w:val="009A6B96"/>
    <w:rsid w:val="009A6D24"/>
    <w:rsid w:val="009A6F8A"/>
    <w:rsid w:val="009A7083"/>
    <w:rsid w:val="009A7590"/>
    <w:rsid w:val="009A7AA4"/>
    <w:rsid w:val="009A7BF7"/>
    <w:rsid w:val="009A7E27"/>
    <w:rsid w:val="009A7F34"/>
    <w:rsid w:val="009B00B9"/>
    <w:rsid w:val="009B0508"/>
    <w:rsid w:val="009B0665"/>
    <w:rsid w:val="009B0860"/>
    <w:rsid w:val="009B08AD"/>
    <w:rsid w:val="009B09F2"/>
    <w:rsid w:val="009B0A88"/>
    <w:rsid w:val="009B0CBA"/>
    <w:rsid w:val="009B0D6D"/>
    <w:rsid w:val="009B0F76"/>
    <w:rsid w:val="009B0FA5"/>
    <w:rsid w:val="009B1187"/>
    <w:rsid w:val="009B167D"/>
    <w:rsid w:val="009B186F"/>
    <w:rsid w:val="009B1DDE"/>
    <w:rsid w:val="009B1E46"/>
    <w:rsid w:val="009B1EB4"/>
    <w:rsid w:val="009B20C3"/>
    <w:rsid w:val="009B2245"/>
    <w:rsid w:val="009B225F"/>
    <w:rsid w:val="009B2353"/>
    <w:rsid w:val="009B2503"/>
    <w:rsid w:val="009B2568"/>
    <w:rsid w:val="009B258E"/>
    <w:rsid w:val="009B25C8"/>
    <w:rsid w:val="009B2676"/>
    <w:rsid w:val="009B2688"/>
    <w:rsid w:val="009B2884"/>
    <w:rsid w:val="009B2A95"/>
    <w:rsid w:val="009B2B4D"/>
    <w:rsid w:val="009B2C4B"/>
    <w:rsid w:val="009B3220"/>
    <w:rsid w:val="009B34A3"/>
    <w:rsid w:val="009B355F"/>
    <w:rsid w:val="009B39A6"/>
    <w:rsid w:val="009B3A89"/>
    <w:rsid w:val="009B3D93"/>
    <w:rsid w:val="009B3F79"/>
    <w:rsid w:val="009B423A"/>
    <w:rsid w:val="009B448D"/>
    <w:rsid w:val="009B4635"/>
    <w:rsid w:val="009B4680"/>
    <w:rsid w:val="009B49B9"/>
    <w:rsid w:val="009B4BB7"/>
    <w:rsid w:val="009B4C38"/>
    <w:rsid w:val="009B4C8C"/>
    <w:rsid w:val="009B4E8F"/>
    <w:rsid w:val="009B4F01"/>
    <w:rsid w:val="009B511B"/>
    <w:rsid w:val="009B51AE"/>
    <w:rsid w:val="009B5419"/>
    <w:rsid w:val="009B546B"/>
    <w:rsid w:val="009B5997"/>
    <w:rsid w:val="009B5A29"/>
    <w:rsid w:val="009B5E0A"/>
    <w:rsid w:val="009B5F37"/>
    <w:rsid w:val="009B5F6A"/>
    <w:rsid w:val="009B60DE"/>
    <w:rsid w:val="009B61DE"/>
    <w:rsid w:val="009B625F"/>
    <w:rsid w:val="009B62C9"/>
    <w:rsid w:val="009B637B"/>
    <w:rsid w:val="009B64FB"/>
    <w:rsid w:val="009B6640"/>
    <w:rsid w:val="009B6B23"/>
    <w:rsid w:val="009B6B52"/>
    <w:rsid w:val="009B71EF"/>
    <w:rsid w:val="009B73AA"/>
    <w:rsid w:val="009B745B"/>
    <w:rsid w:val="009B74DC"/>
    <w:rsid w:val="009B78A6"/>
    <w:rsid w:val="009B7ABD"/>
    <w:rsid w:val="009B7B4F"/>
    <w:rsid w:val="009B7E20"/>
    <w:rsid w:val="009B7F8F"/>
    <w:rsid w:val="009C0300"/>
    <w:rsid w:val="009C0491"/>
    <w:rsid w:val="009C05B1"/>
    <w:rsid w:val="009C070E"/>
    <w:rsid w:val="009C07CA"/>
    <w:rsid w:val="009C0A98"/>
    <w:rsid w:val="009C0C57"/>
    <w:rsid w:val="009C0E92"/>
    <w:rsid w:val="009C1184"/>
    <w:rsid w:val="009C1228"/>
    <w:rsid w:val="009C1395"/>
    <w:rsid w:val="009C17DD"/>
    <w:rsid w:val="009C19DE"/>
    <w:rsid w:val="009C1D27"/>
    <w:rsid w:val="009C1D6E"/>
    <w:rsid w:val="009C1E23"/>
    <w:rsid w:val="009C20D9"/>
    <w:rsid w:val="009C2565"/>
    <w:rsid w:val="009C2A07"/>
    <w:rsid w:val="009C2D68"/>
    <w:rsid w:val="009C2E24"/>
    <w:rsid w:val="009C2FAF"/>
    <w:rsid w:val="009C32B9"/>
    <w:rsid w:val="009C3717"/>
    <w:rsid w:val="009C3838"/>
    <w:rsid w:val="009C38F7"/>
    <w:rsid w:val="009C3BD9"/>
    <w:rsid w:val="009C3D8A"/>
    <w:rsid w:val="009C4183"/>
    <w:rsid w:val="009C471A"/>
    <w:rsid w:val="009C491A"/>
    <w:rsid w:val="009C4942"/>
    <w:rsid w:val="009C4EDE"/>
    <w:rsid w:val="009C5282"/>
    <w:rsid w:val="009C52FF"/>
    <w:rsid w:val="009C548C"/>
    <w:rsid w:val="009C5AE2"/>
    <w:rsid w:val="009C5B82"/>
    <w:rsid w:val="009C5CAA"/>
    <w:rsid w:val="009C60A9"/>
    <w:rsid w:val="009C61E7"/>
    <w:rsid w:val="009C6925"/>
    <w:rsid w:val="009C692A"/>
    <w:rsid w:val="009C6993"/>
    <w:rsid w:val="009C7226"/>
    <w:rsid w:val="009C7340"/>
    <w:rsid w:val="009C7371"/>
    <w:rsid w:val="009C7529"/>
    <w:rsid w:val="009C756E"/>
    <w:rsid w:val="009C783B"/>
    <w:rsid w:val="009C79BB"/>
    <w:rsid w:val="009C7CB3"/>
    <w:rsid w:val="009C7DF9"/>
    <w:rsid w:val="009C7FF8"/>
    <w:rsid w:val="009D01A0"/>
    <w:rsid w:val="009D01CE"/>
    <w:rsid w:val="009D039B"/>
    <w:rsid w:val="009D0490"/>
    <w:rsid w:val="009D083A"/>
    <w:rsid w:val="009D0CDE"/>
    <w:rsid w:val="009D0EEB"/>
    <w:rsid w:val="009D0F62"/>
    <w:rsid w:val="009D1014"/>
    <w:rsid w:val="009D10B0"/>
    <w:rsid w:val="009D1101"/>
    <w:rsid w:val="009D16DC"/>
    <w:rsid w:val="009D1798"/>
    <w:rsid w:val="009D18EC"/>
    <w:rsid w:val="009D1A13"/>
    <w:rsid w:val="009D1B78"/>
    <w:rsid w:val="009D1DD0"/>
    <w:rsid w:val="009D1F3C"/>
    <w:rsid w:val="009D1FE5"/>
    <w:rsid w:val="009D21BE"/>
    <w:rsid w:val="009D21DA"/>
    <w:rsid w:val="009D29B5"/>
    <w:rsid w:val="009D2AE7"/>
    <w:rsid w:val="009D2F88"/>
    <w:rsid w:val="009D3215"/>
    <w:rsid w:val="009D33E0"/>
    <w:rsid w:val="009D3578"/>
    <w:rsid w:val="009D37AE"/>
    <w:rsid w:val="009D3BB8"/>
    <w:rsid w:val="009D3C3D"/>
    <w:rsid w:val="009D3D97"/>
    <w:rsid w:val="009D3EE8"/>
    <w:rsid w:val="009D406F"/>
    <w:rsid w:val="009D41CE"/>
    <w:rsid w:val="009D45BA"/>
    <w:rsid w:val="009D46F8"/>
    <w:rsid w:val="009D47A4"/>
    <w:rsid w:val="009D4870"/>
    <w:rsid w:val="009D4E4C"/>
    <w:rsid w:val="009D4EBA"/>
    <w:rsid w:val="009D5019"/>
    <w:rsid w:val="009D508E"/>
    <w:rsid w:val="009D50AA"/>
    <w:rsid w:val="009D50C3"/>
    <w:rsid w:val="009D5150"/>
    <w:rsid w:val="009D515D"/>
    <w:rsid w:val="009D5288"/>
    <w:rsid w:val="009D54D9"/>
    <w:rsid w:val="009D5521"/>
    <w:rsid w:val="009D57E6"/>
    <w:rsid w:val="009D58C7"/>
    <w:rsid w:val="009D5903"/>
    <w:rsid w:val="009D5C00"/>
    <w:rsid w:val="009D5ED2"/>
    <w:rsid w:val="009D5FB4"/>
    <w:rsid w:val="009D606F"/>
    <w:rsid w:val="009D6748"/>
    <w:rsid w:val="009D6D93"/>
    <w:rsid w:val="009D6E50"/>
    <w:rsid w:val="009D6E5F"/>
    <w:rsid w:val="009D700D"/>
    <w:rsid w:val="009D7218"/>
    <w:rsid w:val="009D7568"/>
    <w:rsid w:val="009D75C1"/>
    <w:rsid w:val="009D7AB7"/>
    <w:rsid w:val="009D7C10"/>
    <w:rsid w:val="009D7C7C"/>
    <w:rsid w:val="009D7D0C"/>
    <w:rsid w:val="009D7E76"/>
    <w:rsid w:val="009E00A8"/>
    <w:rsid w:val="009E017D"/>
    <w:rsid w:val="009E0189"/>
    <w:rsid w:val="009E01C3"/>
    <w:rsid w:val="009E0230"/>
    <w:rsid w:val="009E0398"/>
    <w:rsid w:val="009E03B3"/>
    <w:rsid w:val="009E04AB"/>
    <w:rsid w:val="009E04B4"/>
    <w:rsid w:val="009E071A"/>
    <w:rsid w:val="009E09E2"/>
    <w:rsid w:val="009E0B3A"/>
    <w:rsid w:val="009E0B52"/>
    <w:rsid w:val="009E0B92"/>
    <w:rsid w:val="009E0BCE"/>
    <w:rsid w:val="009E0C32"/>
    <w:rsid w:val="009E1144"/>
    <w:rsid w:val="009E1237"/>
    <w:rsid w:val="009E156B"/>
    <w:rsid w:val="009E1615"/>
    <w:rsid w:val="009E1767"/>
    <w:rsid w:val="009E188A"/>
    <w:rsid w:val="009E1C16"/>
    <w:rsid w:val="009E1C1C"/>
    <w:rsid w:val="009E1C34"/>
    <w:rsid w:val="009E1D6E"/>
    <w:rsid w:val="009E21F6"/>
    <w:rsid w:val="009E2AD3"/>
    <w:rsid w:val="009E2C91"/>
    <w:rsid w:val="009E2D3F"/>
    <w:rsid w:val="009E2DED"/>
    <w:rsid w:val="009E2F83"/>
    <w:rsid w:val="009E316F"/>
    <w:rsid w:val="009E3279"/>
    <w:rsid w:val="009E34D0"/>
    <w:rsid w:val="009E36EB"/>
    <w:rsid w:val="009E37E3"/>
    <w:rsid w:val="009E3803"/>
    <w:rsid w:val="009E3D0C"/>
    <w:rsid w:val="009E3DE3"/>
    <w:rsid w:val="009E3EF9"/>
    <w:rsid w:val="009E42E2"/>
    <w:rsid w:val="009E45B8"/>
    <w:rsid w:val="009E47E5"/>
    <w:rsid w:val="009E4A40"/>
    <w:rsid w:val="009E5115"/>
    <w:rsid w:val="009E5359"/>
    <w:rsid w:val="009E5569"/>
    <w:rsid w:val="009E5977"/>
    <w:rsid w:val="009E5B9C"/>
    <w:rsid w:val="009E5DCE"/>
    <w:rsid w:val="009E604B"/>
    <w:rsid w:val="009E612B"/>
    <w:rsid w:val="009E6130"/>
    <w:rsid w:val="009E62E9"/>
    <w:rsid w:val="009E6887"/>
    <w:rsid w:val="009E6B3D"/>
    <w:rsid w:val="009E6C12"/>
    <w:rsid w:val="009E6FDB"/>
    <w:rsid w:val="009E739D"/>
    <w:rsid w:val="009E763C"/>
    <w:rsid w:val="009E7702"/>
    <w:rsid w:val="009E7B79"/>
    <w:rsid w:val="009E7E27"/>
    <w:rsid w:val="009E7EA7"/>
    <w:rsid w:val="009E7F8F"/>
    <w:rsid w:val="009F01B4"/>
    <w:rsid w:val="009F035F"/>
    <w:rsid w:val="009F03D2"/>
    <w:rsid w:val="009F0670"/>
    <w:rsid w:val="009F06D0"/>
    <w:rsid w:val="009F082E"/>
    <w:rsid w:val="009F104F"/>
    <w:rsid w:val="009F126B"/>
    <w:rsid w:val="009F12B9"/>
    <w:rsid w:val="009F146F"/>
    <w:rsid w:val="009F1B42"/>
    <w:rsid w:val="009F1C01"/>
    <w:rsid w:val="009F1E37"/>
    <w:rsid w:val="009F1F2E"/>
    <w:rsid w:val="009F24A0"/>
    <w:rsid w:val="009F24E2"/>
    <w:rsid w:val="009F262A"/>
    <w:rsid w:val="009F2E1A"/>
    <w:rsid w:val="009F2EA3"/>
    <w:rsid w:val="009F2EDB"/>
    <w:rsid w:val="009F3433"/>
    <w:rsid w:val="009F3659"/>
    <w:rsid w:val="009F3886"/>
    <w:rsid w:val="009F3A8E"/>
    <w:rsid w:val="009F3C3D"/>
    <w:rsid w:val="009F3C75"/>
    <w:rsid w:val="009F3F0A"/>
    <w:rsid w:val="009F4249"/>
    <w:rsid w:val="009F4783"/>
    <w:rsid w:val="009F50CD"/>
    <w:rsid w:val="009F5225"/>
    <w:rsid w:val="009F525E"/>
    <w:rsid w:val="009F52E1"/>
    <w:rsid w:val="009F53C6"/>
    <w:rsid w:val="009F54E1"/>
    <w:rsid w:val="009F55A3"/>
    <w:rsid w:val="009F563D"/>
    <w:rsid w:val="009F5A3D"/>
    <w:rsid w:val="009F5A86"/>
    <w:rsid w:val="009F5EA0"/>
    <w:rsid w:val="009F62BB"/>
    <w:rsid w:val="009F647E"/>
    <w:rsid w:val="009F64E0"/>
    <w:rsid w:val="009F6595"/>
    <w:rsid w:val="009F681C"/>
    <w:rsid w:val="009F685E"/>
    <w:rsid w:val="009F6AB2"/>
    <w:rsid w:val="009F6C4A"/>
    <w:rsid w:val="009F6CF5"/>
    <w:rsid w:val="009F6F02"/>
    <w:rsid w:val="009F6FB1"/>
    <w:rsid w:val="009F711C"/>
    <w:rsid w:val="009F71BD"/>
    <w:rsid w:val="009F72B7"/>
    <w:rsid w:val="009F7495"/>
    <w:rsid w:val="009F7512"/>
    <w:rsid w:val="009F7610"/>
    <w:rsid w:val="009F772F"/>
    <w:rsid w:val="009F7890"/>
    <w:rsid w:val="009F79FF"/>
    <w:rsid w:val="009F7A46"/>
    <w:rsid w:val="009F7B69"/>
    <w:rsid w:val="009F7BB8"/>
    <w:rsid w:val="009F7D2D"/>
    <w:rsid w:val="009F7EFD"/>
    <w:rsid w:val="00A0020D"/>
    <w:rsid w:val="00A002F6"/>
    <w:rsid w:val="00A0035C"/>
    <w:rsid w:val="00A0037E"/>
    <w:rsid w:val="00A006F2"/>
    <w:rsid w:val="00A00B89"/>
    <w:rsid w:val="00A00D0D"/>
    <w:rsid w:val="00A00D50"/>
    <w:rsid w:val="00A00DD8"/>
    <w:rsid w:val="00A01303"/>
    <w:rsid w:val="00A014D4"/>
    <w:rsid w:val="00A01C12"/>
    <w:rsid w:val="00A01FFC"/>
    <w:rsid w:val="00A020CE"/>
    <w:rsid w:val="00A02189"/>
    <w:rsid w:val="00A023EC"/>
    <w:rsid w:val="00A024DD"/>
    <w:rsid w:val="00A02783"/>
    <w:rsid w:val="00A02A9A"/>
    <w:rsid w:val="00A02C4F"/>
    <w:rsid w:val="00A03028"/>
    <w:rsid w:val="00A031DF"/>
    <w:rsid w:val="00A033E9"/>
    <w:rsid w:val="00A03822"/>
    <w:rsid w:val="00A03DBA"/>
    <w:rsid w:val="00A03E60"/>
    <w:rsid w:val="00A03EFE"/>
    <w:rsid w:val="00A040F3"/>
    <w:rsid w:val="00A04299"/>
    <w:rsid w:val="00A042F8"/>
    <w:rsid w:val="00A045DB"/>
    <w:rsid w:val="00A046E0"/>
    <w:rsid w:val="00A0494E"/>
    <w:rsid w:val="00A04A09"/>
    <w:rsid w:val="00A04B21"/>
    <w:rsid w:val="00A04DED"/>
    <w:rsid w:val="00A04F64"/>
    <w:rsid w:val="00A0517C"/>
    <w:rsid w:val="00A05821"/>
    <w:rsid w:val="00A0582B"/>
    <w:rsid w:val="00A05978"/>
    <w:rsid w:val="00A05AC4"/>
    <w:rsid w:val="00A05D1D"/>
    <w:rsid w:val="00A05E42"/>
    <w:rsid w:val="00A05EA2"/>
    <w:rsid w:val="00A06123"/>
    <w:rsid w:val="00A061FF"/>
    <w:rsid w:val="00A065EF"/>
    <w:rsid w:val="00A06955"/>
    <w:rsid w:val="00A06D10"/>
    <w:rsid w:val="00A06EFB"/>
    <w:rsid w:val="00A0722E"/>
    <w:rsid w:val="00A072A1"/>
    <w:rsid w:val="00A0742F"/>
    <w:rsid w:val="00A075E0"/>
    <w:rsid w:val="00A076CC"/>
    <w:rsid w:val="00A07919"/>
    <w:rsid w:val="00A07A1E"/>
    <w:rsid w:val="00A07B0C"/>
    <w:rsid w:val="00A07D80"/>
    <w:rsid w:val="00A07F02"/>
    <w:rsid w:val="00A10605"/>
    <w:rsid w:val="00A109D3"/>
    <w:rsid w:val="00A10B1F"/>
    <w:rsid w:val="00A10EBF"/>
    <w:rsid w:val="00A10FC5"/>
    <w:rsid w:val="00A11260"/>
    <w:rsid w:val="00A113BF"/>
    <w:rsid w:val="00A113C0"/>
    <w:rsid w:val="00A1165C"/>
    <w:rsid w:val="00A11935"/>
    <w:rsid w:val="00A11A2F"/>
    <w:rsid w:val="00A11C94"/>
    <w:rsid w:val="00A11EF5"/>
    <w:rsid w:val="00A12464"/>
    <w:rsid w:val="00A125D6"/>
    <w:rsid w:val="00A127A2"/>
    <w:rsid w:val="00A128ED"/>
    <w:rsid w:val="00A12A10"/>
    <w:rsid w:val="00A12E45"/>
    <w:rsid w:val="00A130D4"/>
    <w:rsid w:val="00A1320B"/>
    <w:rsid w:val="00A13566"/>
    <w:rsid w:val="00A139DA"/>
    <w:rsid w:val="00A13A38"/>
    <w:rsid w:val="00A13D02"/>
    <w:rsid w:val="00A13EDD"/>
    <w:rsid w:val="00A14049"/>
    <w:rsid w:val="00A1411E"/>
    <w:rsid w:val="00A14215"/>
    <w:rsid w:val="00A142B0"/>
    <w:rsid w:val="00A145B8"/>
    <w:rsid w:val="00A14668"/>
    <w:rsid w:val="00A1469A"/>
    <w:rsid w:val="00A1477E"/>
    <w:rsid w:val="00A147B1"/>
    <w:rsid w:val="00A14951"/>
    <w:rsid w:val="00A14BED"/>
    <w:rsid w:val="00A14CAA"/>
    <w:rsid w:val="00A14E53"/>
    <w:rsid w:val="00A15031"/>
    <w:rsid w:val="00A15580"/>
    <w:rsid w:val="00A15836"/>
    <w:rsid w:val="00A15849"/>
    <w:rsid w:val="00A158C8"/>
    <w:rsid w:val="00A15A34"/>
    <w:rsid w:val="00A15C4D"/>
    <w:rsid w:val="00A16449"/>
    <w:rsid w:val="00A1663E"/>
    <w:rsid w:val="00A166A7"/>
    <w:rsid w:val="00A166E6"/>
    <w:rsid w:val="00A1695C"/>
    <w:rsid w:val="00A16D80"/>
    <w:rsid w:val="00A16E86"/>
    <w:rsid w:val="00A17149"/>
    <w:rsid w:val="00A171C2"/>
    <w:rsid w:val="00A17307"/>
    <w:rsid w:val="00A173A3"/>
    <w:rsid w:val="00A173E4"/>
    <w:rsid w:val="00A17442"/>
    <w:rsid w:val="00A17645"/>
    <w:rsid w:val="00A176E9"/>
    <w:rsid w:val="00A1779E"/>
    <w:rsid w:val="00A17AB6"/>
    <w:rsid w:val="00A17B8F"/>
    <w:rsid w:val="00A20139"/>
    <w:rsid w:val="00A20670"/>
    <w:rsid w:val="00A206DC"/>
    <w:rsid w:val="00A20778"/>
    <w:rsid w:val="00A207A4"/>
    <w:rsid w:val="00A208A4"/>
    <w:rsid w:val="00A20CAD"/>
    <w:rsid w:val="00A20F37"/>
    <w:rsid w:val="00A21638"/>
    <w:rsid w:val="00A21690"/>
    <w:rsid w:val="00A21B39"/>
    <w:rsid w:val="00A21CF8"/>
    <w:rsid w:val="00A21D3D"/>
    <w:rsid w:val="00A21FDB"/>
    <w:rsid w:val="00A2259C"/>
    <w:rsid w:val="00A226A7"/>
    <w:rsid w:val="00A22961"/>
    <w:rsid w:val="00A22B8F"/>
    <w:rsid w:val="00A22C5F"/>
    <w:rsid w:val="00A22DCC"/>
    <w:rsid w:val="00A22DD9"/>
    <w:rsid w:val="00A22EFC"/>
    <w:rsid w:val="00A22F9E"/>
    <w:rsid w:val="00A232B6"/>
    <w:rsid w:val="00A2361B"/>
    <w:rsid w:val="00A23642"/>
    <w:rsid w:val="00A236AA"/>
    <w:rsid w:val="00A23769"/>
    <w:rsid w:val="00A237E3"/>
    <w:rsid w:val="00A239A7"/>
    <w:rsid w:val="00A23AE6"/>
    <w:rsid w:val="00A2418A"/>
    <w:rsid w:val="00A241B5"/>
    <w:rsid w:val="00A243AA"/>
    <w:rsid w:val="00A243AE"/>
    <w:rsid w:val="00A2446F"/>
    <w:rsid w:val="00A246D3"/>
    <w:rsid w:val="00A24C2F"/>
    <w:rsid w:val="00A24E92"/>
    <w:rsid w:val="00A24F03"/>
    <w:rsid w:val="00A2538A"/>
    <w:rsid w:val="00A259B4"/>
    <w:rsid w:val="00A25C28"/>
    <w:rsid w:val="00A25C8A"/>
    <w:rsid w:val="00A25CC0"/>
    <w:rsid w:val="00A25D43"/>
    <w:rsid w:val="00A25D71"/>
    <w:rsid w:val="00A25D75"/>
    <w:rsid w:val="00A260B4"/>
    <w:rsid w:val="00A262BD"/>
    <w:rsid w:val="00A26389"/>
    <w:rsid w:val="00A26440"/>
    <w:rsid w:val="00A265FA"/>
    <w:rsid w:val="00A267FE"/>
    <w:rsid w:val="00A2688F"/>
    <w:rsid w:val="00A26913"/>
    <w:rsid w:val="00A26A20"/>
    <w:rsid w:val="00A26DF2"/>
    <w:rsid w:val="00A26E72"/>
    <w:rsid w:val="00A26F20"/>
    <w:rsid w:val="00A2729A"/>
    <w:rsid w:val="00A272F2"/>
    <w:rsid w:val="00A273B6"/>
    <w:rsid w:val="00A275A4"/>
    <w:rsid w:val="00A276A2"/>
    <w:rsid w:val="00A2789A"/>
    <w:rsid w:val="00A279CE"/>
    <w:rsid w:val="00A27CC8"/>
    <w:rsid w:val="00A27F49"/>
    <w:rsid w:val="00A30066"/>
    <w:rsid w:val="00A30126"/>
    <w:rsid w:val="00A30155"/>
    <w:rsid w:val="00A30314"/>
    <w:rsid w:val="00A303B8"/>
    <w:rsid w:val="00A30480"/>
    <w:rsid w:val="00A30714"/>
    <w:rsid w:val="00A308B4"/>
    <w:rsid w:val="00A30A2A"/>
    <w:rsid w:val="00A30B86"/>
    <w:rsid w:val="00A30D7B"/>
    <w:rsid w:val="00A30DF8"/>
    <w:rsid w:val="00A30EF3"/>
    <w:rsid w:val="00A311D5"/>
    <w:rsid w:val="00A3122C"/>
    <w:rsid w:val="00A3171A"/>
    <w:rsid w:val="00A31A2C"/>
    <w:rsid w:val="00A31BD5"/>
    <w:rsid w:val="00A3213E"/>
    <w:rsid w:val="00A32143"/>
    <w:rsid w:val="00A321BD"/>
    <w:rsid w:val="00A323C5"/>
    <w:rsid w:val="00A3298E"/>
    <w:rsid w:val="00A32A60"/>
    <w:rsid w:val="00A32A83"/>
    <w:rsid w:val="00A32CE5"/>
    <w:rsid w:val="00A32E24"/>
    <w:rsid w:val="00A32E4A"/>
    <w:rsid w:val="00A32E52"/>
    <w:rsid w:val="00A32FE2"/>
    <w:rsid w:val="00A33230"/>
    <w:rsid w:val="00A333C9"/>
    <w:rsid w:val="00A3387F"/>
    <w:rsid w:val="00A338BD"/>
    <w:rsid w:val="00A33B72"/>
    <w:rsid w:val="00A33C29"/>
    <w:rsid w:val="00A33DB9"/>
    <w:rsid w:val="00A33E27"/>
    <w:rsid w:val="00A33E92"/>
    <w:rsid w:val="00A341B6"/>
    <w:rsid w:val="00A346EC"/>
    <w:rsid w:val="00A34725"/>
    <w:rsid w:val="00A34735"/>
    <w:rsid w:val="00A34754"/>
    <w:rsid w:val="00A34C95"/>
    <w:rsid w:val="00A34E3B"/>
    <w:rsid w:val="00A35723"/>
    <w:rsid w:val="00A35B11"/>
    <w:rsid w:val="00A35B76"/>
    <w:rsid w:val="00A36194"/>
    <w:rsid w:val="00A361C3"/>
    <w:rsid w:val="00A36FED"/>
    <w:rsid w:val="00A3739C"/>
    <w:rsid w:val="00A374E3"/>
    <w:rsid w:val="00A3765B"/>
    <w:rsid w:val="00A377ED"/>
    <w:rsid w:val="00A37BAF"/>
    <w:rsid w:val="00A37E99"/>
    <w:rsid w:val="00A37FE1"/>
    <w:rsid w:val="00A404B4"/>
    <w:rsid w:val="00A40524"/>
    <w:rsid w:val="00A405C4"/>
    <w:rsid w:val="00A4069F"/>
    <w:rsid w:val="00A40793"/>
    <w:rsid w:val="00A4083B"/>
    <w:rsid w:val="00A4089D"/>
    <w:rsid w:val="00A40A0F"/>
    <w:rsid w:val="00A40AB0"/>
    <w:rsid w:val="00A40D04"/>
    <w:rsid w:val="00A40F28"/>
    <w:rsid w:val="00A40F87"/>
    <w:rsid w:val="00A41161"/>
    <w:rsid w:val="00A411FA"/>
    <w:rsid w:val="00A412FD"/>
    <w:rsid w:val="00A41AEB"/>
    <w:rsid w:val="00A420CA"/>
    <w:rsid w:val="00A4255F"/>
    <w:rsid w:val="00A4270A"/>
    <w:rsid w:val="00A427C5"/>
    <w:rsid w:val="00A4281B"/>
    <w:rsid w:val="00A42F6D"/>
    <w:rsid w:val="00A42FC2"/>
    <w:rsid w:val="00A43053"/>
    <w:rsid w:val="00A43755"/>
    <w:rsid w:val="00A43910"/>
    <w:rsid w:val="00A43D8F"/>
    <w:rsid w:val="00A43EF5"/>
    <w:rsid w:val="00A441A6"/>
    <w:rsid w:val="00A44291"/>
    <w:rsid w:val="00A4430A"/>
    <w:rsid w:val="00A44357"/>
    <w:rsid w:val="00A4448C"/>
    <w:rsid w:val="00A44555"/>
    <w:rsid w:val="00A4457E"/>
    <w:rsid w:val="00A445DA"/>
    <w:rsid w:val="00A445E2"/>
    <w:rsid w:val="00A44666"/>
    <w:rsid w:val="00A447C8"/>
    <w:rsid w:val="00A447E4"/>
    <w:rsid w:val="00A448F4"/>
    <w:rsid w:val="00A44974"/>
    <w:rsid w:val="00A449B5"/>
    <w:rsid w:val="00A44BA3"/>
    <w:rsid w:val="00A44EC1"/>
    <w:rsid w:val="00A44F56"/>
    <w:rsid w:val="00A4548F"/>
    <w:rsid w:val="00A454B3"/>
    <w:rsid w:val="00A45517"/>
    <w:rsid w:val="00A45700"/>
    <w:rsid w:val="00A45A73"/>
    <w:rsid w:val="00A45C47"/>
    <w:rsid w:val="00A45C91"/>
    <w:rsid w:val="00A45E52"/>
    <w:rsid w:val="00A45ED0"/>
    <w:rsid w:val="00A460CC"/>
    <w:rsid w:val="00A46547"/>
    <w:rsid w:val="00A465FD"/>
    <w:rsid w:val="00A46652"/>
    <w:rsid w:val="00A466B4"/>
    <w:rsid w:val="00A4680C"/>
    <w:rsid w:val="00A468C9"/>
    <w:rsid w:val="00A469BB"/>
    <w:rsid w:val="00A469E0"/>
    <w:rsid w:val="00A46A36"/>
    <w:rsid w:val="00A46B71"/>
    <w:rsid w:val="00A46CBA"/>
    <w:rsid w:val="00A46D15"/>
    <w:rsid w:val="00A46DA3"/>
    <w:rsid w:val="00A46E91"/>
    <w:rsid w:val="00A470F3"/>
    <w:rsid w:val="00A4713D"/>
    <w:rsid w:val="00A4753E"/>
    <w:rsid w:val="00A47552"/>
    <w:rsid w:val="00A4775F"/>
    <w:rsid w:val="00A47885"/>
    <w:rsid w:val="00A4788D"/>
    <w:rsid w:val="00A47CD7"/>
    <w:rsid w:val="00A47EBB"/>
    <w:rsid w:val="00A47ED2"/>
    <w:rsid w:val="00A47FD6"/>
    <w:rsid w:val="00A47FDE"/>
    <w:rsid w:val="00A5020F"/>
    <w:rsid w:val="00A5022F"/>
    <w:rsid w:val="00A502C8"/>
    <w:rsid w:val="00A504D7"/>
    <w:rsid w:val="00A505EA"/>
    <w:rsid w:val="00A506AB"/>
    <w:rsid w:val="00A507FC"/>
    <w:rsid w:val="00A5092E"/>
    <w:rsid w:val="00A509DA"/>
    <w:rsid w:val="00A50B86"/>
    <w:rsid w:val="00A50E5D"/>
    <w:rsid w:val="00A511DC"/>
    <w:rsid w:val="00A51241"/>
    <w:rsid w:val="00A5156E"/>
    <w:rsid w:val="00A515D6"/>
    <w:rsid w:val="00A519C8"/>
    <w:rsid w:val="00A51C23"/>
    <w:rsid w:val="00A51E7D"/>
    <w:rsid w:val="00A5200F"/>
    <w:rsid w:val="00A520BE"/>
    <w:rsid w:val="00A527C4"/>
    <w:rsid w:val="00A5283F"/>
    <w:rsid w:val="00A52942"/>
    <w:rsid w:val="00A5296E"/>
    <w:rsid w:val="00A52BF7"/>
    <w:rsid w:val="00A52BFA"/>
    <w:rsid w:val="00A52E0F"/>
    <w:rsid w:val="00A52F59"/>
    <w:rsid w:val="00A5323B"/>
    <w:rsid w:val="00A53554"/>
    <w:rsid w:val="00A53878"/>
    <w:rsid w:val="00A53952"/>
    <w:rsid w:val="00A53A18"/>
    <w:rsid w:val="00A53B09"/>
    <w:rsid w:val="00A53CE2"/>
    <w:rsid w:val="00A53ECD"/>
    <w:rsid w:val="00A5437E"/>
    <w:rsid w:val="00A5444E"/>
    <w:rsid w:val="00A54688"/>
    <w:rsid w:val="00A5469C"/>
    <w:rsid w:val="00A546B7"/>
    <w:rsid w:val="00A547EB"/>
    <w:rsid w:val="00A548A1"/>
    <w:rsid w:val="00A548B6"/>
    <w:rsid w:val="00A54B13"/>
    <w:rsid w:val="00A54BAC"/>
    <w:rsid w:val="00A54BB1"/>
    <w:rsid w:val="00A54D36"/>
    <w:rsid w:val="00A54E3C"/>
    <w:rsid w:val="00A54FB4"/>
    <w:rsid w:val="00A5504D"/>
    <w:rsid w:val="00A55288"/>
    <w:rsid w:val="00A555CE"/>
    <w:rsid w:val="00A5581D"/>
    <w:rsid w:val="00A558BF"/>
    <w:rsid w:val="00A55A66"/>
    <w:rsid w:val="00A55AEB"/>
    <w:rsid w:val="00A55B82"/>
    <w:rsid w:val="00A55D4B"/>
    <w:rsid w:val="00A55D7C"/>
    <w:rsid w:val="00A560CB"/>
    <w:rsid w:val="00A5660B"/>
    <w:rsid w:val="00A56868"/>
    <w:rsid w:val="00A56940"/>
    <w:rsid w:val="00A56A20"/>
    <w:rsid w:val="00A56C41"/>
    <w:rsid w:val="00A56C7F"/>
    <w:rsid w:val="00A56D5E"/>
    <w:rsid w:val="00A56DB7"/>
    <w:rsid w:val="00A56DE0"/>
    <w:rsid w:val="00A56E89"/>
    <w:rsid w:val="00A56EB4"/>
    <w:rsid w:val="00A56F08"/>
    <w:rsid w:val="00A5715B"/>
    <w:rsid w:val="00A57672"/>
    <w:rsid w:val="00A5782D"/>
    <w:rsid w:val="00A57DC0"/>
    <w:rsid w:val="00A600A6"/>
    <w:rsid w:val="00A60202"/>
    <w:rsid w:val="00A604C8"/>
    <w:rsid w:val="00A6052A"/>
    <w:rsid w:val="00A6068E"/>
    <w:rsid w:val="00A6073E"/>
    <w:rsid w:val="00A60F4E"/>
    <w:rsid w:val="00A611AE"/>
    <w:rsid w:val="00A611D9"/>
    <w:rsid w:val="00A616A3"/>
    <w:rsid w:val="00A61830"/>
    <w:rsid w:val="00A6218C"/>
    <w:rsid w:val="00A62501"/>
    <w:rsid w:val="00A62A0D"/>
    <w:rsid w:val="00A62EA2"/>
    <w:rsid w:val="00A62ED8"/>
    <w:rsid w:val="00A63150"/>
    <w:rsid w:val="00A6334F"/>
    <w:rsid w:val="00A637D4"/>
    <w:rsid w:val="00A6394E"/>
    <w:rsid w:val="00A63A28"/>
    <w:rsid w:val="00A63A3B"/>
    <w:rsid w:val="00A63BBF"/>
    <w:rsid w:val="00A63C18"/>
    <w:rsid w:val="00A63F1E"/>
    <w:rsid w:val="00A6408C"/>
    <w:rsid w:val="00A642C3"/>
    <w:rsid w:val="00A64A5E"/>
    <w:rsid w:val="00A64D41"/>
    <w:rsid w:val="00A64F7D"/>
    <w:rsid w:val="00A64FAB"/>
    <w:rsid w:val="00A65149"/>
    <w:rsid w:val="00A65612"/>
    <w:rsid w:val="00A656B6"/>
    <w:rsid w:val="00A65A51"/>
    <w:rsid w:val="00A65BB8"/>
    <w:rsid w:val="00A65E89"/>
    <w:rsid w:val="00A65F71"/>
    <w:rsid w:val="00A662DC"/>
    <w:rsid w:val="00A664C0"/>
    <w:rsid w:val="00A66AA4"/>
    <w:rsid w:val="00A66B65"/>
    <w:rsid w:val="00A66D36"/>
    <w:rsid w:val="00A66E3E"/>
    <w:rsid w:val="00A66EFA"/>
    <w:rsid w:val="00A66FAF"/>
    <w:rsid w:val="00A6714C"/>
    <w:rsid w:val="00A67213"/>
    <w:rsid w:val="00A67287"/>
    <w:rsid w:val="00A672ED"/>
    <w:rsid w:val="00A67353"/>
    <w:rsid w:val="00A6741B"/>
    <w:rsid w:val="00A67A43"/>
    <w:rsid w:val="00A67C37"/>
    <w:rsid w:val="00A67D3F"/>
    <w:rsid w:val="00A67DC4"/>
    <w:rsid w:val="00A67E2F"/>
    <w:rsid w:val="00A67F6D"/>
    <w:rsid w:val="00A70061"/>
    <w:rsid w:val="00A701D5"/>
    <w:rsid w:val="00A70244"/>
    <w:rsid w:val="00A70252"/>
    <w:rsid w:val="00A70324"/>
    <w:rsid w:val="00A70AA4"/>
    <w:rsid w:val="00A70ADE"/>
    <w:rsid w:val="00A70BA8"/>
    <w:rsid w:val="00A70BAF"/>
    <w:rsid w:val="00A70D00"/>
    <w:rsid w:val="00A70D9D"/>
    <w:rsid w:val="00A7112B"/>
    <w:rsid w:val="00A71216"/>
    <w:rsid w:val="00A71448"/>
    <w:rsid w:val="00A7175A"/>
    <w:rsid w:val="00A71770"/>
    <w:rsid w:val="00A7184E"/>
    <w:rsid w:val="00A71B09"/>
    <w:rsid w:val="00A71B8B"/>
    <w:rsid w:val="00A71D67"/>
    <w:rsid w:val="00A71DB0"/>
    <w:rsid w:val="00A72003"/>
    <w:rsid w:val="00A72556"/>
    <w:rsid w:val="00A725DF"/>
    <w:rsid w:val="00A72687"/>
    <w:rsid w:val="00A72A82"/>
    <w:rsid w:val="00A72CEB"/>
    <w:rsid w:val="00A72D74"/>
    <w:rsid w:val="00A72F19"/>
    <w:rsid w:val="00A7305B"/>
    <w:rsid w:val="00A7338B"/>
    <w:rsid w:val="00A73415"/>
    <w:rsid w:val="00A735D7"/>
    <w:rsid w:val="00A7362B"/>
    <w:rsid w:val="00A7385B"/>
    <w:rsid w:val="00A73E17"/>
    <w:rsid w:val="00A73F34"/>
    <w:rsid w:val="00A73F98"/>
    <w:rsid w:val="00A74128"/>
    <w:rsid w:val="00A74211"/>
    <w:rsid w:val="00A74226"/>
    <w:rsid w:val="00A743B1"/>
    <w:rsid w:val="00A74782"/>
    <w:rsid w:val="00A7482C"/>
    <w:rsid w:val="00A748F1"/>
    <w:rsid w:val="00A749C0"/>
    <w:rsid w:val="00A75448"/>
    <w:rsid w:val="00A757B0"/>
    <w:rsid w:val="00A75928"/>
    <w:rsid w:val="00A75943"/>
    <w:rsid w:val="00A7595C"/>
    <w:rsid w:val="00A75B5D"/>
    <w:rsid w:val="00A75C28"/>
    <w:rsid w:val="00A7602B"/>
    <w:rsid w:val="00A76508"/>
    <w:rsid w:val="00A7675A"/>
    <w:rsid w:val="00A76B28"/>
    <w:rsid w:val="00A76E12"/>
    <w:rsid w:val="00A77185"/>
    <w:rsid w:val="00A77214"/>
    <w:rsid w:val="00A77330"/>
    <w:rsid w:val="00A77358"/>
    <w:rsid w:val="00A7735B"/>
    <w:rsid w:val="00A776A4"/>
    <w:rsid w:val="00A776D3"/>
    <w:rsid w:val="00A77B00"/>
    <w:rsid w:val="00A77E47"/>
    <w:rsid w:val="00A8045C"/>
    <w:rsid w:val="00A8049D"/>
    <w:rsid w:val="00A806F9"/>
    <w:rsid w:val="00A80702"/>
    <w:rsid w:val="00A80B09"/>
    <w:rsid w:val="00A80CFA"/>
    <w:rsid w:val="00A80FA6"/>
    <w:rsid w:val="00A810BD"/>
    <w:rsid w:val="00A811F9"/>
    <w:rsid w:val="00A81226"/>
    <w:rsid w:val="00A8160E"/>
    <w:rsid w:val="00A81729"/>
    <w:rsid w:val="00A81F6A"/>
    <w:rsid w:val="00A82013"/>
    <w:rsid w:val="00A822C2"/>
    <w:rsid w:val="00A82338"/>
    <w:rsid w:val="00A82659"/>
    <w:rsid w:val="00A82990"/>
    <w:rsid w:val="00A82AD5"/>
    <w:rsid w:val="00A83422"/>
    <w:rsid w:val="00A83610"/>
    <w:rsid w:val="00A839C0"/>
    <w:rsid w:val="00A8402F"/>
    <w:rsid w:val="00A8411F"/>
    <w:rsid w:val="00A84264"/>
    <w:rsid w:val="00A84ADA"/>
    <w:rsid w:val="00A84D97"/>
    <w:rsid w:val="00A84FF5"/>
    <w:rsid w:val="00A8504B"/>
    <w:rsid w:val="00A85309"/>
    <w:rsid w:val="00A8531E"/>
    <w:rsid w:val="00A855F6"/>
    <w:rsid w:val="00A856FE"/>
    <w:rsid w:val="00A85A40"/>
    <w:rsid w:val="00A85E79"/>
    <w:rsid w:val="00A86167"/>
    <w:rsid w:val="00A86281"/>
    <w:rsid w:val="00A862ED"/>
    <w:rsid w:val="00A867A4"/>
    <w:rsid w:val="00A86ACA"/>
    <w:rsid w:val="00A86B2F"/>
    <w:rsid w:val="00A86BD1"/>
    <w:rsid w:val="00A86E25"/>
    <w:rsid w:val="00A86E9A"/>
    <w:rsid w:val="00A870E7"/>
    <w:rsid w:val="00A871FC"/>
    <w:rsid w:val="00A8734B"/>
    <w:rsid w:val="00A87445"/>
    <w:rsid w:val="00A874CD"/>
    <w:rsid w:val="00A87983"/>
    <w:rsid w:val="00A87BC3"/>
    <w:rsid w:val="00A87BC5"/>
    <w:rsid w:val="00A90124"/>
    <w:rsid w:val="00A90401"/>
    <w:rsid w:val="00A904B0"/>
    <w:rsid w:val="00A904D3"/>
    <w:rsid w:val="00A90528"/>
    <w:rsid w:val="00A90595"/>
    <w:rsid w:val="00A905A1"/>
    <w:rsid w:val="00A9065F"/>
    <w:rsid w:val="00A906F6"/>
    <w:rsid w:val="00A907EF"/>
    <w:rsid w:val="00A9090D"/>
    <w:rsid w:val="00A909FA"/>
    <w:rsid w:val="00A90A03"/>
    <w:rsid w:val="00A90A1C"/>
    <w:rsid w:val="00A90AB3"/>
    <w:rsid w:val="00A90B4A"/>
    <w:rsid w:val="00A90C1E"/>
    <w:rsid w:val="00A90E15"/>
    <w:rsid w:val="00A913A5"/>
    <w:rsid w:val="00A91475"/>
    <w:rsid w:val="00A91A62"/>
    <w:rsid w:val="00A91ACE"/>
    <w:rsid w:val="00A91B0F"/>
    <w:rsid w:val="00A91D24"/>
    <w:rsid w:val="00A91F32"/>
    <w:rsid w:val="00A91FB0"/>
    <w:rsid w:val="00A92059"/>
    <w:rsid w:val="00A9217D"/>
    <w:rsid w:val="00A921E3"/>
    <w:rsid w:val="00A9287C"/>
    <w:rsid w:val="00A92AA7"/>
    <w:rsid w:val="00A92BE5"/>
    <w:rsid w:val="00A92EC7"/>
    <w:rsid w:val="00A92EEB"/>
    <w:rsid w:val="00A92F15"/>
    <w:rsid w:val="00A92FA3"/>
    <w:rsid w:val="00A933A5"/>
    <w:rsid w:val="00A93410"/>
    <w:rsid w:val="00A935C2"/>
    <w:rsid w:val="00A935C6"/>
    <w:rsid w:val="00A936B8"/>
    <w:rsid w:val="00A9380E"/>
    <w:rsid w:val="00A938C0"/>
    <w:rsid w:val="00A93E0E"/>
    <w:rsid w:val="00A93EA3"/>
    <w:rsid w:val="00A940D8"/>
    <w:rsid w:val="00A940EB"/>
    <w:rsid w:val="00A943AF"/>
    <w:rsid w:val="00A945E7"/>
    <w:rsid w:val="00A94842"/>
    <w:rsid w:val="00A94D15"/>
    <w:rsid w:val="00A94D20"/>
    <w:rsid w:val="00A94DE7"/>
    <w:rsid w:val="00A94E3E"/>
    <w:rsid w:val="00A94FC0"/>
    <w:rsid w:val="00A9540F"/>
    <w:rsid w:val="00A95596"/>
    <w:rsid w:val="00A957E6"/>
    <w:rsid w:val="00A95806"/>
    <w:rsid w:val="00A958D6"/>
    <w:rsid w:val="00A95C51"/>
    <w:rsid w:val="00A96086"/>
    <w:rsid w:val="00A960D5"/>
    <w:rsid w:val="00A96196"/>
    <w:rsid w:val="00A9630B"/>
    <w:rsid w:val="00A963E6"/>
    <w:rsid w:val="00A96468"/>
    <w:rsid w:val="00A96649"/>
    <w:rsid w:val="00A96925"/>
    <w:rsid w:val="00A96A22"/>
    <w:rsid w:val="00A96E99"/>
    <w:rsid w:val="00A96F44"/>
    <w:rsid w:val="00A9706D"/>
    <w:rsid w:val="00A97273"/>
    <w:rsid w:val="00A9752B"/>
    <w:rsid w:val="00A97DF8"/>
    <w:rsid w:val="00A97EF1"/>
    <w:rsid w:val="00AA0072"/>
    <w:rsid w:val="00AA0750"/>
    <w:rsid w:val="00AA09D5"/>
    <w:rsid w:val="00AA0ABB"/>
    <w:rsid w:val="00AA0CA3"/>
    <w:rsid w:val="00AA0D4C"/>
    <w:rsid w:val="00AA101C"/>
    <w:rsid w:val="00AA1449"/>
    <w:rsid w:val="00AA1677"/>
    <w:rsid w:val="00AA1A32"/>
    <w:rsid w:val="00AA1BC0"/>
    <w:rsid w:val="00AA219F"/>
    <w:rsid w:val="00AA23AC"/>
    <w:rsid w:val="00AA2461"/>
    <w:rsid w:val="00AA2574"/>
    <w:rsid w:val="00AA25D5"/>
    <w:rsid w:val="00AA268C"/>
    <w:rsid w:val="00AA2865"/>
    <w:rsid w:val="00AA28C8"/>
    <w:rsid w:val="00AA291B"/>
    <w:rsid w:val="00AA2A1E"/>
    <w:rsid w:val="00AA2C28"/>
    <w:rsid w:val="00AA2CD4"/>
    <w:rsid w:val="00AA2D56"/>
    <w:rsid w:val="00AA2E9A"/>
    <w:rsid w:val="00AA2FBA"/>
    <w:rsid w:val="00AA321A"/>
    <w:rsid w:val="00AA3421"/>
    <w:rsid w:val="00AA3521"/>
    <w:rsid w:val="00AA3634"/>
    <w:rsid w:val="00AA36A7"/>
    <w:rsid w:val="00AA3812"/>
    <w:rsid w:val="00AA3A9B"/>
    <w:rsid w:val="00AA3BF1"/>
    <w:rsid w:val="00AA3DF3"/>
    <w:rsid w:val="00AA425C"/>
    <w:rsid w:val="00AA445A"/>
    <w:rsid w:val="00AA4820"/>
    <w:rsid w:val="00AA4B0A"/>
    <w:rsid w:val="00AA5084"/>
    <w:rsid w:val="00AA51CA"/>
    <w:rsid w:val="00AA5257"/>
    <w:rsid w:val="00AA53B8"/>
    <w:rsid w:val="00AA53C0"/>
    <w:rsid w:val="00AA53DE"/>
    <w:rsid w:val="00AA5410"/>
    <w:rsid w:val="00AA5527"/>
    <w:rsid w:val="00AA59CB"/>
    <w:rsid w:val="00AA65DB"/>
    <w:rsid w:val="00AA68D4"/>
    <w:rsid w:val="00AA6A0C"/>
    <w:rsid w:val="00AA6F7A"/>
    <w:rsid w:val="00AA71A6"/>
    <w:rsid w:val="00AA722F"/>
    <w:rsid w:val="00AA73ED"/>
    <w:rsid w:val="00AA7616"/>
    <w:rsid w:val="00AA7646"/>
    <w:rsid w:val="00AA76D8"/>
    <w:rsid w:val="00AA7BFD"/>
    <w:rsid w:val="00AA7EE4"/>
    <w:rsid w:val="00AA7F69"/>
    <w:rsid w:val="00AB005F"/>
    <w:rsid w:val="00AB03A0"/>
    <w:rsid w:val="00AB06BA"/>
    <w:rsid w:val="00AB08FC"/>
    <w:rsid w:val="00AB0B49"/>
    <w:rsid w:val="00AB0BDB"/>
    <w:rsid w:val="00AB0C77"/>
    <w:rsid w:val="00AB0D30"/>
    <w:rsid w:val="00AB0F0B"/>
    <w:rsid w:val="00AB1145"/>
    <w:rsid w:val="00AB12E4"/>
    <w:rsid w:val="00AB1307"/>
    <w:rsid w:val="00AB13DB"/>
    <w:rsid w:val="00AB14BC"/>
    <w:rsid w:val="00AB15BE"/>
    <w:rsid w:val="00AB16DF"/>
    <w:rsid w:val="00AB18B2"/>
    <w:rsid w:val="00AB18B4"/>
    <w:rsid w:val="00AB1960"/>
    <w:rsid w:val="00AB1971"/>
    <w:rsid w:val="00AB1DD5"/>
    <w:rsid w:val="00AB1DEF"/>
    <w:rsid w:val="00AB1FF3"/>
    <w:rsid w:val="00AB200C"/>
    <w:rsid w:val="00AB213D"/>
    <w:rsid w:val="00AB21B8"/>
    <w:rsid w:val="00AB21C6"/>
    <w:rsid w:val="00AB237B"/>
    <w:rsid w:val="00AB26D7"/>
    <w:rsid w:val="00AB27BD"/>
    <w:rsid w:val="00AB2841"/>
    <w:rsid w:val="00AB2D9C"/>
    <w:rsid w:val="00AB2F16"/>
    <w:rsid w:val="00AB2FF3"/>
    <w:rsid w:val="00AB312C"/>
    <w:rsid w:val="00AB34DD"/>
    <w:rsid w:val="00AB364C"/>
    <w:rsid w:val="00AB3A22"/>
    <w:rsid w:val="00AB3D18"/>
    <w:rsid w:val="00AB4022"/>
    <w:rsid w:val="00AB4B36"/>
    <w:rsid w:val="00AB4BF9"/>
    <w:rsid w:val="00AB4D8D"/>
    <w:rsid w:val="00AB501E"/>
    <w:rsid w:val="00AB5177"/>
    <w:rsid w:val="00AB5878"/>
    <w:rsid w:val="00AB58A6"/>
    <w:rsid w:val="00AB5A44"/>
    <w:rsid w:val="00AB5A47"/>
    <w:rsid w:val="00AB5AF6"/>
    <w:rsid w:val="00AB5B69"/>
    <w:rsid w:val="00AB5C26"/>
    <w:rsid w:val="00AB60DF"/>
    <w:rsid w:val="00AB641B"/>
    <w:rsid w:val="00AB682B"/>
    <w:rsid w:val="00AB6DA7"/>
    <w:rsid w:val="00AB6EC8"/>
    <w:rsid w:val="00AB7117"/>
    <w:rsid w:val="00AB714F"/>
    <w:rsid w:val="00AB7306"/>
    <w:rsid w:val="00AB748D"/>
    <w:rsid w:val="00AB75C7"/>
    <w:rsid w:val="00AB76FC"/>
    <w:rsid w:val="00AB78BE"/>
    <w:rsid w:val="00AB7B08"/>
    <w:rsid w:val="00AB7BB0"/>
    <w:rsid w:val="00AB7FCB"/>
    <w:rsid w:val="00AC00AC"/>
    <w:rsid w:val="00AC00DC"/>
    <w:rsid w:val="00AC0106"/>
    <w:rsid w:val="00AC0182"/>
    <w:rsid w:val="00AC024E"/>
    <w:rsid w:val="00AC0481"/>
    <w:rsid w:val="00AC070C"/>
    <w:rsid w:val="00AC0814"/>
    <w:rsid w:val="00AC09C9"/>
    <w:rsid w:val="00AC0D92"/>
    <w:rsid w:val="00AC0E57"/>
    <w:rsid w:val="00AC1270"/>
    <w:rsid w:val="00AC1323"/>
    <w:rsid w:val="00AC14DF"/>
    <w:rsid w:val="00AC2402"/>
    <w:rsid w:val="00AC25F5"/>
    <w:rsid w:val="00AC2A47"/>
    <w:rsid w:val="00AC2B33"/>
    <w:rsid w:val="00AC3409"/>
    <w:rsid w:val="00AC3419"/>
    <w:rsid w:val="00AC37F9"/>
    <w:rsid w:val="00AC395A"/>
    <w:rsid w:val="00AC3CC2"/>
    <w:rsid w:val="00AC3D18"/>
    <w:rsid w:val="00AC3D4E"/>
    <w:rsid w:val="00AC3F36"/>
    <w:rsid w:val="00AC3FAC"/>
    <w:rsid w:val="00AC432D"/>
    <w:rsid w:val="00AC438C"/>
    <w:rsid w:val="00AC4CCB"/>
    <w:rsid w:val="00AC5291"/>
    <w:rsid w:val="00AC5363"/>
    <w:rsid w:val="00AC54B0"/>
    <w:rsid w:val="00AC551C"/>
    <w:rsid w:val="00AC55B4"/>
    <w:rsid w:val="00AC5688"/>
    <w:rsid w:val="00AC5812"/>
    <w:rsid w:val="00AC58F2"/>
    <w:rsid w:val="00AC5976"/>
    <w:rsid w:val="00AC638A"/>
    <w:rsid w:val="00AC657D"/>
    <w:rsid w:val="00AC6596"/>
    <w:rsid w:val="00AC6E63"/>
    <w:rsid w:val="00AC6F7D"/>
    <w:rsid w:val="00AC6F9D"/>
    <w:rsid w:val="00AC7070"/>
    <w:rsid w:val="00AC70CC"/>
    <w:rsid w:val="00AC720A"/>
    <w:rsid w:val="00AC747D"/>
    <w:rsid w:val="00AC778D"/>
    <w:rsid w:val="00AC7A1A"/>
    <w:rsid w:val="00AC7D62"/>
    <w:rsid w:val="00AC7E83"/>
    <w:rsid w:val="00AD01DA"/>
    <w:rsid w:val="00AD04EA"/>
    <w:rsid w:val="00AD05DF"/>
    <w:rsid w:val="00AD08AF"/>
    <w:rsid w:val="00AD0BA8"/>
    <w:rsid w:val="00AD10AB"/>
    <w:rsid w:val="00AD11F8"/>
    <w:rsid w:val="00AD130F"/>
    <w:rsid w:val="00AD15C4"/>
    <w:rsid w:val="00AD1700"/>
    <w:rsid w:val="00AD1913"/>
    <w:rsid w:val="00AD1B0D"/>
    <w:rsid w:val="00AD1BD8"/>
    <w:rsid w:val="00AD1EFF"/>
    <w:rsid w:val="00AD20D4"/>
    <w:rsid w:val="00AD24E3"/>
    <w:rsid w:val="00AD2702"/>
    <w:rsid w:val="00AD2E42"/>
    <w:rsid w:val="00AD3112"/>
    <w:rsid w:val="00AD3269"/>
    <w:rsid w:val="00AD32E8"/>
    <w:rsid w:val="00AD36CC"/>
    <w:rsid w:val="00AD37AD"/>
    <w:rsid w:val="00AD3961"/>
    <w:rsid w:val="00AD3B76"/>
    <w:rsid w:val="00AD3C13"/>
    <w:rsid w:val="00AD3CAA"/>
    <w:rsid w:val="00AD420B"/>
    <w:rsid w:val="00AD423A"/>
    <w:rsid w:val="00AD438B"/>
    <w:rsid w:val="00AD44D1"/>
    <w:rsid w:val="00AD4712"/>
    <w:rsid w:val="00AD4A75"/>
    <w:rsid w:val="00AD5511"/>
    <w:rsid w:val="00AD55EE"/>
    <w:rsid w:val="00AD5647"/>
    <w:rsid w:val="00AD581F"/>
    <w:rsid w:val="00AD5A77"/>
    <w:rsid w:val="00AD5CBD"/>
    <w:rsid w:val="00AD5EDA"/>
    <w:rsid w:val="00AD5F10"/>
    <w:rsid w:val="00AD5F97"/>
    <w:rsid w:val="00AD60EA"/>
    <w:rsid w:val="00AD62BD"/>
    <w:rsid w:val="00AD6354"/>
    <w:rsid w:val="00AD6627"/>
    <w:rsid w:val="00AD6667"/>
    <w:rsid w:val="00AD6764"/>
    <w:rsid w:val="00AD67D4"/>
    <w:rsid w:val="00AD6944"/>
    <w:rsid w:val="00AD6AC7"/>
    <w:rsid w:val="00AD6B12"/>
    <w:rsid w:val="00AD73A0"/>
    <w:rsid w:val="00AD7463"/>
    <w:rsid w:val="00AD7478"/>
    <w:rsid w:val="00AD74B7"/>
    <w:rsid w:val="00AD760E"/>
    <w:rsid w:val="00AD7737"/>
    <w:rsid w:val="00AD7858"/>
    <w:rsid w:val="00AD7E1E"/>
    <w:rsid w:val="00AE006B"/>
    <w:rsid w:val="00AE038D"/>
    <w:rsid w:val="00AE03D1"/>
    <w:rsid w:val="00AE0423"/>
    <w:rsid w:val="00AE0483"/>
    <w:rsid w:val="00AE04ED"/>
    <w:rsid w:val="00AE076A"/>
    <w:rsid w:val="00AE0B2D"/>
    <w:rsid w:val="00AE0DBB"/>
    <w:rsid w:val="00AE0F0D"/>
    <w:rsid w:val="00AE0F2B"/>
    <w:rsid w:val="00AE0F73"/>
    <w:rsid w:val="00AE13AB"/>
    <w:rsid w:val="00AE13FB"/>
    <w:rsid w:val="00AE1515"/>
    <w:rsid w:val="00AE1710"/>
    <w:rsid w:val="00AE198F"/>
    <w:rsid w:val="00AE1A10"/>
    <w:rsid w:val="00AE1ACF"/>
    <w:rsid w:val="00AE1DBB"/>
    <w:rsid w:val="00AE2057"/>
    <w:rsid w:val="00AE2445"/>
    <w:rsid w:val="00AE264B"/>
    <w:rsid w:val="00AE27FC"/>
    <w:rsid w:val="00AE284E"/>
    <w:rsid w:val="00AE285F"/>
    <w:rsid w:val="00AE2A2D"/>
    <w:rsid w:val="00AE2D57"/>
    <w:rsid w:val="00AE30E5"/>
    <w:rsid w:val="00AE3139"/>
    <w:rsid w:val="00AE31ED"/>
    <w:rsid w:val="00AE32DE"/>
    <w:rsid w:val="00AE3304"/>
    <w:rsid w:val="00AE3520"/>
    <w:rsid w:val="00AE39CF"/>
    <w:rsid w:val="00AE3B74"/>
    <w:rsid w:val="00AE3C89"/>
    <w:rsid w:val="00AE3E33"/>
    <w:rsid w:val="00AE408C"/>
    <w:rsid w:val="00AE42D1"/>
    <w:rsid w:val="00AE4331"/>
    <w:rsid w:val="00AE4709"/>
    <w:rsid w:val="00AE4A43"/>
    <w:rsid w:val="00AE4B26"/>
    <w:rsid w:val="00AE4C60"/>
    <w:rsid w:val="00AE4CF9"/>
    <w:rsid w:val="00AE4F9C"/>
    <w:rsid w:val="00AE5437"/>
    <w:rsid w:val="00AE54E6"/>
    <w:rsid w:val="00AE585E"/>
    <w:rsid w:val="00AE5C81"/>
    <w:rsid w:val="00AE5CB7"/>
    <w:rsid w:val="00AE5CF9"/>
    <w:rsid w:val="00AE5D97"/>
    <w:rsid w:val="00AE6020"/>
    <w:rsid w:val="00AE614D"/>
    <w:rsid w:val="00AE6439"/>
    <w:rsid w:val="00AE64DB"/>
    <w:rsid w:val="00AE662C"/>
    <w:rsid w:val="00AE6954"/>
    <w:rsid w:val="00AE6A07"/>
    <w:rsid w:val="00AE6BA3"/>
    <w:rsid w:val="00AE6BD3"/>
    <w:rsid w:val="00AE6BFE"/>
    <w:rsid w:val="00AE6D19"/>
    <w:rsid w:val="00AE6E8C"/>
    <w:rsid w:val="00AE7204"/>
    <w:rsid w:val="00AE73BB"/>
    <w:rsid w:val="00AE77B3"/>
    <w:rsid w:val="00AE7849"/>
    <w:rsid w:val="00AE794D"/>
    <w:rsid w:val="00AE7977"/>
    <w:rsid w:val="00AE79C3"/>
    <w:rsid w:val="00AE7A60"/>
    <w:rsid w:val="00AE7A6D"/>
    <w:rsid w:val="00AE7EDC"/>
    <w:rsid w:val="00AF0088"/>
    <w:rsid w:val="00AF0699"/>
    <w:rsid w:val="00AF07F4"/>
    <w:rsid w:val="00AF0872"/>
    <w:rsid w:val="00AF08E1"/>
    <w:rsid w:val="00AF097E"/>
    <w:rsid w:val="00AF0F6A"/>
    <w:rsid w:val="00AF103F"/>
    <w:rsid w:val="00AF125A"/>
    <w:rsid w:val="00AF1286"/>
    <w:rsid w:val="00AF134E"/>
    <w:rsid w:val="00AF136C"/>
    <w:rsid w:val="00AF14FB"/>
    <w:rsid w:val="00AF173C"/>
    <w:rsid w:val="00AF17D8"/>
    <w:rsid w:val="00AF17EF"/>
    <w:rsid w:val="00AF1BBE"/>
    <w:rsid w:val="00AF1CBB"/>
    <w:rsid w:val="00AF1F10"/>
    <w:rsid w:val="00AF213A"/>
    <w:rsid w:val="00AF23B6"/>
    <w:rsid w:val="00AF2807"/>
    <w:rsid w:val="00AF28BE"/>
    <w:rsid w:val="00AF2ABD"/>
    <w:rsid w:val="00AF2ACC"/>
    <w:rsid w:val="00AF2B06"/>
    <w:rsid w:val="00AF2C3F"/>
    <w:rsid w:val="00AF2E46"/>
    <w:rsid w:val="00AF2EBC"/>
    <w:rsid w:val="00AF2F0A"/>
    <w:rsid w:val="00AF323B"/>
    <w:rsid w:val="00AF37CD"/>
    <w:rsid w:val="00AF39D7"/>
    <w:rsid w:val="00AF3B03"/>
    <w:rsid w:val="00AF3C71"/>
    <w:rsid w:val="00AF3D39"/>
    <w:rsid w:val="00AF3F66"/>
    <w:rsid w:val="00AF406C"/>
    <w:rsid w:val="00AF4113"/>
    <w:rsid w:val="00AF4219"/>
    <w:rsid w:val="00AF437E"/>
    <w:rsid w:val="00AF486E"/>
    <w:rsid w:val="00AF497B"/>
    <w:rsid w:val="00AF4EBA"/>
    <w:rsid w:val="00AF4EC9"/>
    <w:rsid w:val="00AF529B"/>
    <w:rsid w:val="00AF5568"/>
    <w:rsid w:val="00AF557F"/>
    <w:rsid w:val="00AF561E"/>
    <w:rsid w:val="00AF57BB"/>
    <w:rsid w:val="00AF59E5"/>
    <w:rsid w:val="00AF5A7A"/>
    <w:rsid w:val="00AF5B75"/>
    <w:rsid w:val="00AF5F3D"/>
    <w:rsid w:val="00AF617E"/>
    <w:rsid w:val="00AF68AF"/>
    <w:rsid w:val="00AF6953"/>
    <w:rsid w:val="00AF69AF"/>
    <w:rsid w:val="00AF6A4C"/>
    <w:rsid w:val="00AF6C3C"/>
    <w:rsid w:val="00AF6CDC"/>
    <w:rsid w:val="00AF6F97"/>
    <w:rsid w:val="00AF7147"/>
    <w:rsid w:val="00AF7240"/>
    <w:rsid w:val="00AF7334"/>
    <w:rsid w:val="00AF7801"/>
    <w:rsid w:val="00AF786F"/>
    <w:rsid w:val="00AF7A31"/>
    <w:rsid w:val="00AF7B00"/>
    <w:rsid w:val="00AF7CF3"/>
    <w:rsid w:val="00B001BA"/>
    <w:rsid w:val="00B00335"/>
    <w:rsid w:val="00B00380"/>
    <w:rsid w:val="00B0042C"/>
    <w:rsid w:val="00B00436"/>
    <w:rsid w:val="00B00758"/>
    <w:rsid w:val="00B0094B"/>
    <w:rsid w:val="00B00B19"/>
    <w:rsid w:val="00B011A5"/>
    <w:rsid w:val="00B01396"/>
    <w:rsid w:val="00B0145F"/>
    <w:rsid w:val="00B01573"/>
    <w:rsid w:val="00B01616"/>
    <w:rsid w:val="00B019CD"/>
    <w:rsid w:val="00B01A9A"/>
    <w:rsid w:val="00B01AF2"/>
    <w:rsid w:val="00B01B30"/>
    <w:rsid w:val="00B01E4F"/>
    <w:rsid w:val="00B01EA7"/>
    <w:rsid w:val="00B02183"/>
    <w:rsid w:val="00B021E8"/>
    <w:rsid w:val="00B026F3"/>
    <w:rsid w:val="00B02B92"/>
    <w:rsid w:val="00B02E42"/>
    <w:rsid w:val="00B03150"/>
    <w:rsid w:val="00B03793"/>
    <w:rsid w:val="00B0384D"/>
    <w:rsid w:val="00B038CC"/>
    <w:rsid w:val="00B0393F"/>
    <w:rsid w:val="00B039E5"/>
    <w:rsid w:val="00B03FE3"/>
    <w:rsid w:val="00B0416A"/>
    <w:rsid w:val="00B042F9"/>
    <w:rsid w:val="00B0431A"/>
    <w:rsid w:val="00B043E6"/>
    <w:rsid w:val="00B0446A"/>
    <w:rsid w:val="00B044C3"/>
    <w:rsid w:val="00B0459A"/>
    <w:rsid w:val="00B04795"/>
    <w:rsid w:val="00B047C2"/>
    <w:rsid w:val="00B04836"/>
    <w:rsid w:val="00B049EC"/>
    <w:rsid w:val="00B04B31"/>
    <w:rsid w:val="00B04BF8"/>
    <w:rsid w:val="00B04CB1"/>
    <w:rsid w:val="00B04D38"/>
    <w:rsid w:val="00B04ECF"/>
    <w:rsid w:val="00B05002"/>
    <w:rsid w:val="00B052E7"/>
    <w:rsid w:val="00B05483"/>
    <w:rsid w:val="00B05635"/>
    <w:rsid w:val="00B0577C"/>
    <w:rsid w:val="00B05810"/>
    <w:rsid w:val="00B0585B"/>
    <w:rsid w:val="00B05922"/>
    <w:rsid w:val="00B05929"/>
    <w:rsid w:val="00B0594C"/>
    <w:rsid w:val="00B059B9"/>
    <w:rsid w:val="00B059C1"/>
    <w:rsid w:val="00B05A02"/>
    <w:rsid w:val="00B05A12"/>
    <w:rsid w:val="00B05C53"/>
    <w:rsid w:val="00B05DB9"/>
    <w:rsid w:val="00B05E9E"/>
    <w:rsid w:val="00B05FA3"/>
    <w:rsid w:val="00B0605D"/>
    <w:rsid w:val="00B06086"/>
    <w:rsid w:val="00B0642D"/>
    <w:rsid w:val="00B064DB"/>
    <w:rsid w:val="00B0659A"/>
    <w:rsid w:val="00B0666C"/>
    <w:rsid w:val="00B06677"/>
    <w:rsid w:val="00B067A9"/>
    <w:rsid w:val="00B06A7B"/>
    <w:rsid w:val="00B06AD6"/>
    <w:rsid w:val="00B06B91"/>
    <w:rsid w:val="00B071F3"/>
    <w:rsid w:val="00B0731C"/>
    <w:rsid w:val="00B07620"/>
    <w:rsid w:val="00B0776A"/>
    <w:rsid w:val="00B07786"/>
    <w:rsid w:val="00B07950"/>
    <w:rsid w:val="00B07962"/>
    <w:rsid w:val="00B0797D"/>
    <w:rsid w:val="00B0798F"/>
    <w:rsid w:val="00B07BE3"/>
    <w:rsid w:val="00B07D5F"/>
    <w:rsid w:val="00B103BE"/>
    <w:rsid w:val="00B103C8"/>
    <w:rsid w:val="00B105C8"/>
    <w:rsid w:val="00B1077A"/>
    <w:rsid w:val="00B1123D"/>
    <w:rsid w:val="00B115F6"/>
    <w:rsid w:val="00B11696"/>
    <w:rsid w:val="00B11862"/>
    <w:rsid w:val="00B11A2E"/>
    <w:rsid w:val="00B11A77"/>
    <w:rsid w:val="00B11C80"/>
    <w:rsid w:val="00B1200C"/>
    <w:rsid w:val="00B120EB"/>
    <w:rsid w:val="00B12334"/>
    <w:rsid w:val="00B123F9"/>
    <w:rsid w:val="00B12468"/>
    <w:rsid w:val="00B12DDA"/>
    <w:rsid w:val="00B12E52"/>
    <w:rsid w:val="00B1314F"/>
    <w:rsid w:val="00B133A8"/>
    <w:rsid w:val="00B13805"/>
    <w:rsid w:val="00B13886"/>
    <w:rsid w:val="00B13A31"/>
    <w:rsid w:val="00B13FA0"/>
    <w:rsid w:val="00B142A7"/>
    <w:rsid w:val="00B14402"/>
    <w:rsid w:val="00B14425"/>
    <w:rsid w:val="00B144E5"/>
    <w:rsid w:val="00B14CE4"/>
    <w:rsid w:val="00B151CF"/>
    <w:rsid w:val="00B15273"/>
    <w:rsid w:val="00B1535E"/>
    <w:rsid w:val="00B156D9"/>
    <w:rsid w:val="00B15C46"/>
    <w:rsid w:val="00B15DF0"/>
    <w:rsid w:val="00B15EB9"/>
    <w:rsid w:val="00B16109"/>
    <w:rsid w:val="00B16262"/>
    <w:rsid w:val="00B1633E"/>
    <w:rsid w:val="00B16661"/>
    <w:rsid w:val="00B166A5"/>
    <w:rsid w:val="00B16829"/>
    <w:rsid w:val="00B16961"/>
    <w:rsid w:val="00B16B66"/>
    <w:rsid w:val="00B170D5"/>
    <w:rsid w:val="00B173ED"/>
    <w:rsid w:val="00B17629"/>
    <w:rsid w:val="00B176CC"/>
    <w:rsid w:val="00B17802"/>
    <w:rsid w:val="00B17CA7"/>
    <w:rsid w:val="00B17F1E"/>
    <w:rsid w:val="00B20023"/>
    <w:rsid w:val="00B2007D"/>
    <w:rsid w:val="00B2015C"/>
    <w:rsid w:val="00B2017D"/>
    <w:rsid w:val="00B20186"/>
    <w:rsid w:val="00B201DF"/>
    <w:rsid w:val="00B203A2"/>
    <w:rsid w:val="00B203E8"/>
    <w:rsid w:val="00B20445"/>
    <w:rsid w:val="00B20590"/>
    <w:rsid w:val="00B205E9"/>
    <w:rsid w:val="00B207DE"/>
    <w:rsid w:val="00B20B73"/>
    <w:rsid w:val="00B20C05"/>
    <w:rsid w:val="00B20CEE"/>
    <w:rsid w:val="00B20EA5"/>
    <w:rsid w:val="00B20ECC"/>
    <w:rsid w:val="00B214AD"/>
    <w:rsid w:val="00B218AF"/>
    <w:rsid w:val="00B21A25"/>
    <w:rsid w:val="00B21C3E"/>
    <w:rsid w:val="00B21DA3"/>
    <w:rsid w:val="00B21F03"/>
    <w:rsid w:val="00B21F14"/>
    <w:rsid w:val="00B2259C"/>
    <w:rsid w:val="00B227C6"/>
    <w:rsid w:val="00B22873"/>
    <w:rsid w:val="00B22993"/>
    <w:rsid w:val="00B22B8D"/>
    <w:rsid w:val="00B22DC1"/>
    <w:rsid w:val="00B22E24"/>
    <w:rsid w:val="00B23434"/>
    <w:rsid w:val="00B234E9"/>
    <w:rsid w:val="00B23586"/>
    <w:rsid w:val="00B23676"/>
    <w:rsid w:val="00B237B0"/>
    <w:rsid w:val="00B23B68"/>
    <w:rsid w:val="00B23D84"/>
    <w:rsid w:val="00B240B8"/>
    <w:rsid w:val="00B2422B"/>
    <w:rsid w:val="00B24670"/>
    <w:rsid w:val="00B246C3"/>
    <w:rsid w:val="00B247AD"/>
    <w:rsid w:val="00B25940"/>
    <w:rsid w:val="00B25B27"/>
    <w:rsid w:val="00B25C5A"/>
    <w:rsid w:val="00B25D05"/>
    <w:rsid w:val="00B25DA0"/>
    <w:rsid w:val="00B25F42"/>
    <w:rsid w:val="00B25FBC"/>
    <w:rsid w:val="00B26070"/>
    <w:rsid w:val="00B26622"/>
    <w:rsid w:val="00B26669"/>
    <w:rsid w:val="00B2697F"/>
    <w:rsid w:val="00B26AD7"/>
    <w:rsid w:val="00B26D87"/>
    <w:rsid w:val="00B26EE0"/>
    <w:rsid w:val="00B271B4"/>
    <w:rsid w:val="00B272A3"/>
    <w:rsid w:val="00B2739A"/>
    <w:rsid w:val="00B2762D"/>
    <w:rsid w:val="00B276B4"/>
    <w:rsid w:val="00B27795"/>
    <w:rsid w:val="00B27828"/>
    <w:rsid w:val="00B27AC5"/>
    <w:rsid w:val="00B27D01"/>
    <w:rsid w:val="00B300A6"/>
    <w:rsid w:val="00B300D7"/>
    <w:rsid w:val="00B303F6"/>
    <w:rsid w:val="00B307B7"/>
    <w:rsid w:val="00B3082F"/>
    <w:rsid w:val="00B30869"/>
    <w:rsid w:val="00B30A8F"/>
    <w:rsid w:val="00B30DCC"/>
    <w:rsid w:val="00B30DD1"/>
    <w:rsid w:val="00B30EDF"/>
    <w:rsid w:val="00B31354"/>
    <w:rsid w:val="00B318F6"/>
    <w:rsid w:val="00B31B81"/>
    <w:rsid w:val="00B31CEF"/>
    <w:rsid w:val="00B31F72"/>
    <w:rsid w:val="00B32178"/>
    <w:rsid w:val="00B32201"/>
    <w:rsid w:val="00B32320"/>
    <w:rsid w:val="00B324D8"/>
    <w:rsid w:val="00B32632"/>
    <w:rsid w:val="00B327D2"/>
    <w:rsid w:val="00B32AAA"/>
    <w:rsid w:val="00B32B46"/>
    <w:rsid w:val="00B3354F"/>
    <w:rsid w:val="00B3389F"/>
    <w:rsid w:val="00B339C7"/>
    <w:rsid w:val="00B3403C"/>
    <w:rsid w:val="00B340D4"/>
    <w:rsid w:val="00B34135"/>
    <w:rsid w:val="00B3413C"/>
    <w:rsid w:val="00B341A9"/>
    <w:rsid w:val="00B3425D"/>
    <w:rsid w:val="00B3430C"/>
    <w:rsid w:val="00B347FD"/>
    <w:rsid w:val="00B349C1"/>
    <w:rsid w:val="00B349D8"/>
    <w:rsid w:val="00B34A26"/>
    <w:rsid w:val="00B34A4D"/>
    <w:rsid w:val="00B3517D"/>
    <w:rsid w:val="00B35241"/>
    <w:rsid w:val="00B35549"/>
    <w:rsid w:val="00B3555F"/>
    <w:rsid w:val="00B3573A"/>
    <w:rsid w:val="00B35778"/>
    <w:rsid w:val="00B357CB"/>
    <w:rsid w:val="00B3585D"/>
    <w:rsid w:val="00B359CE"/>
    <w:rsid w:val="00B35D85"/>
    <w:rsid w:val="00B36028"/>
    <w:rsid w:val="00B36295"/>
    <w:rsid w:val="00B366DC"/>
    <w:rsid w:val="00B36807"/>
    <w:rsid w:val="00B36B02"/>
    <w:rsid w:val="00B36CD5"/>
    <w:rsid w:val="00B36F3B"/>
    <w:rsid w:val="00B371DC"/>
    <w:rsid w:val="00B37410"/>
    <w:rsid w:val="00B37424"/>
    <w:rsid w:val="00B374DF"/>
    <w:rsid w:val="00B376C9"/>
    <w:rsid w:val="00B3786B"/>
    <w:rsid w:val="00B37877"/>
    <w:rsid w:val="00B37C09"/>
    <w:rsid w:val="00B37D70"/>
    <w:rsid w:val="00B37FA7"/>
    <w:rsid w:val="00B40064"/>
    <w:rsid w:val="00B40113"/>
    <w:rsid w:val="00B4024D"/>
    <w:rsid w:val="00B402FA"/>
    <w:rsid w:val="00B40585"/>
    <w:rsid w:val="00B40BE6"/>
    <w:rsid w:val="00B418F9"/>
    <w:rsid w:val="00B41ACA"/>
    <w:rsid w:val="00B41DEB"/>
    <w:rsid w:val="00B41F13"/>
    <w:rsid w:val="00B4232A"/>
    <w:rsid w:val="00B42518"/>
    <w:rsid w:val="00B4260F"/>
    <w:rsid w:val="00B4274A"/>
    <w:rsid w:val="00B4279F"/>
    <w:rsid w:val="00B42B13"/>
    <w:rsid w:val="00B42B3F"/>
    <w:rsid w:val="00B43348"/>
    <w:rsid w:val="00B43735"/>
    <w:rsid w:val="00B43905"/>
    <w:rsid w:val="00B44119"/>
    <w:rsid w:val="00B4416F"/>
    <w:rsid w:val="00B441BB"/>
    <w:rsid w:val="00B441CF"/>
    <w:rsid w:val="00B443DF"/>
    <w:rsid w:val="00B44452"/>
    <w:rsid w:val="00B445B5"/>
    <w:rsid w:val="00B446CF"/>
    <w:rsid w:val="00B447BD"/>
    <w:rsid w:val="00B44841"/>
    <w:rsid w:val="00B44A67"/>
    <w:rsid w:val="00B44B22"/>
    <w:rsid w:val="00B45138"/>
    <w:rsid w:val="00B45EDF"/>
    <w:rsid w:val="00B460A1"/>
    <w:rsid w:val="00B4630E"/>
    <w:rsid w:val="00B46454"/>
    <w:rsid w:val="00B468C5"/>
    <w:rsid w:val="00B46B55"/>
    <w:rsid w:val="00B46BF4"/>
    <w:rsid w:val="00B46FB6"/>
    <w:rsid w:val="00B4704D"/>
    <w:rsid w:val="00B470C7"/>
    <w:rsid w:val="00B47132"/>
    <w:rsid w:val="00B47365"/>
    <w:rsid w:val="00B47387"/>
    <w:rsid w:val="00B47410"/>
    <w:rsid w:val="00B47428"/>
    <w:rsid w:val="00B4750D"/>
    <w:rsid w:val="00B4773F"/>
    <w:rsid w:val="00B477CB"/>
    <w:rsid w:val="00B50042"/>
    <w:rsid w:val="00B503E8"/>
    <w:rsid w:val="00B503F2"/>
    <w:rsid w:val="00B503FC"/>
    <w:rsid w:val="00B507C4"/>
    <w:rsid w:val="00B50894"/>
    <w:rsid w:val="00B50A44"/>
    <w:rsid w:val="00B50C1D"/>
    <w:rsid w:val="00B50DBD"/>
    <w:rsid w:val="00B50F35"/>
    <w:rsid w:val="00B5109E"/>
    <w:rsid w:val="00B5113B"/>
    <w:rsid w:val="00B512E4"/>
    <w:rsid w:val="00B515B0"/>
    <w:rsid w:val="00B51814"/>
    <w:rsid w:val="00B51BC9"/>
    <w:rsid w:val="00B51C49"/>
    <w:rsid w:val="00B5220F"/>
    <w:rsid w:val="00B52226"/>
    <w:rsid w:val="00B5249D"/>
    <w:rsid w:val="00B525F4"/>
    <w:rsid w:val="00B527E2"/>
    <w:rsid w:val="00B52B0F"/>
    <w:rsid w:val="00B52D3D"/>
    <w:rsid w:val="00B52FEB"/>
    <w:rsid w:val="00B53147"/>
    <w:rsid w:val="00B53157"/>
    <w:rsid w:val="00B531B2"/>
    <w:rsid w:val="00B53325"/>
    <w:rsid w:val="00B5332A"/>
    <w:rsid w:val="00B5332B"/>
    <w:rsid w:val="00B53BEE"/>
    <w:rsid w:val="00B53C61"/>
    <w:rsid w:val="00B53C9F"/>
    <w:rsid w:val="00B53D9F"/>
    <w:rsid w:val="00B541B1"/>
    <w:rsid w:val="00B543D5"/>
    <w:rsid w:val="00B5447E"/>
    <w:rsid w:val="00B549BC"/>
    <w:rsid w:val="00B54B6A"/>
    <w:rsid w:val="00B54DF9"/>
    <w:rsid w:val="00B550DD"/>
    <w:rsid w:val="00B55243"/>
    <w:rsid w:val="00B55524"/>
    <w:rsid w:val="00B55908"/>
    <w:rsid w:val="00B5593C"/>
    <w:rsid w:val="00B55B6A"/>
    <w:rsid w:val="00B55E0C"/>
    <w:rsid w:val="00B55E72"/>
    <w:rsid w:val="00B55E77"/>
    <w:rsid w:val="00B55E9C"/>
    <w:rsid w:val="00B55F9C"/>
    <w:rsid w:val="00B56156"/>
    <w:rsid w:val="00B56163"/>
    <w:rsid w:val="00B56233"/>
    <w:rsid w:val="00B5663F"/>
    <w:rsid w:val="00B568F0"/>
    <w:rsid w:val="00B56C8C"/>
    <w:rsid w:val="00B56EC6"/>
    <w:rsid w:val="00B56F29"/>
    <w:rsid w:val="00B573A1"/>
    <w:rsid w:val="00B5750B"/>
    <w:rsid w:val="00B575BF"/>
    <w:rsid w:val="00B576AA"/>
    <w:rsid w:val="00B57A47"/>
    <w:rsid w:val="00B57A56"/>
    <w:rsid w:val="00B57B96"/>
    <w:rsid w:val="00B57BDA"/>
    <w:rsid w:val="00B57C95"/>
    <w:rsid w:val="00B57CE1"/>
    <w:rsid w:val="00B57CE9"/>
    <w:rsid w:val="00B602BE"/>
    <w:rsid w:val="00B606B3"/>
    <w:rsid w:val="00B61105"/>
    <w:rsid w:val="00B612B7"/>
    <w:rsid w:val="00B612EA"/>
    <w:rsid w:val="00B613A0"/>
    <w:rsid w:val="00B614EF"/>
    <w:rsid w:val="00B61BDB"/>
    <w:rsid w:val="00B61C66"/>
    <w:rsid w:val="00B6219A"/>
    <w:rsid w:val="00B624AD"/>
    <w:rsid w:val="00B62533"/>
    <w:rsid w:val="00B62604"/>
    <w:rsid w:val="00B62792"/>
    <w:rsid w:val="00B62A4B"/>
    <w:rsid w:val="00B62C44"/>
    <w:rsid w:val="00B62CE4"/>
    <w:rsid w:val="00B62DEB"/>
    <w:rsid w:val="00B62DF2"/>
    <w:rsid w:val="00B62FEF"/>
    <w:rsid w:val="00B63077"/>
    <w:rsid w:val="00B63132"/>
    <w:rsid w:val="00B63188"/>
    <w:rsid w:val="00B63283"/>
    <w:rsid w:val="00B6343F"/>
    <w:rsid w:val="00B63485"/>
    <w:rsid w:val="00B636CF"/>
    <w:rsid w:val="00B636FE"/>
    <w:rsid w:val="00B637F3"/>
    <w:rsid w:val="00B639BA"/>
    <w:rsid w:val="00B63A28"/>
    <w:rsid w:val="00B63A3B"/>
    <w:rsid w:val="00B63AC9"/>
    <w:rsid w:val="00B63AFC"/>
    <w:rsid w:val="00B63DBB"/>
    <w:rsid w:val="00B641C3"/>
    <w:rsid w:val="00B644E7"/>
    <w:rsid w:val="00B64849"/>
    <w:rsid w:val="00B648BD"/>
    <w:rsid w:val="00B648D2"/>
    <w:rsid w:val="00B64ABC"/>
    <w:rsid w:val="00B64C54"/>
    <w:rsid w:val="00B64EB2"/>
    <w:rsid w:val="00B64F06"/>
    <w:rsid w:val="00B65704"/>
    <w:rsid w:val="00B65779"/>
    <w:rsid w:val="00B657C7"/>
    <w:rsid w:val="00B657EF"/>
    <w:rsid w:val="00B659C9"/>
    <w:rsid w:val="00B65BC8"/>
    <w:rsid w:val="00B662AD"/>
    <w:rsid w:val="00B6673B"/>
    <w:rsid w:val="00B66744"/>
    <w:rsid w:val="00B66941"/>
    <w:rsid w:val="00B66A87"/>
    <w:rsid w:val="00B66AA3"/>
    <w:rsid w:val="00B66C3E"/>
    <w:rsid w:val="00B66DD0"/>
    <w:rsid w:val="00B66F5A"/>
    <w:rsid w:val="00B670F2"/>
    <w:rsid w:val="00B67B20"/>
    <w:rsid w:val="00B7042B"/>
    <w:rsid w:val="00B70675"/>
    <w:rsid w:val="00B70BCE"/>
    <w:rsid w:val="00B70D61"/>
    <w:rsid w:val="00B70E9C"/>
    <w:rsid w:val="00B712D0"/>
    <w:rsid w:val="00B716F9"/>
    <w:rsid w:val="00B71810"/>
    <w:rsid w:val="00B71841"/>
    <w:rsid w:val="00B71AEF"/>
    <w:rsid w:val="00B72007"/>
    <w:rsid w:val="00B72040"/>
    <w:rsid w:val="00B722AB"/>
    <w:rsid w:val="00B724C3"/>
    <w:rsid w:val="00B72501"/>
    <w:rsid w:val="00B7260B"/>
    <w:rsid w:val="00B7286D"/>
    <w:rsid w:val="00B72B7D"/>
    <w:rsid w:val="00B72D52"/>
    <w:rsid w:val="00B72F02"/>
    <w:rsid w:val="00B73195"/>
    <w:rsid w:val="00B7355D"/>
    <w:rsid w:val="00B736D9"/>
    <w:rsid w:val="00B73700"/>
    <w:rsid w:val="00B73828"/>
    <w:rsid w:val="00B73916"/>
    <w:rsid w:val="00B73A78"/>
    <w:rsid w:val="00B73B72"/>
    <w:rsid w:val="00B73E10"/>
    <w:rsid w:val="00B73FB0"/>
    <w:rsid w:val="00B7409E"/>
    <w:rsid w:val="00B74273"/>
    <w:rsid w:val="00B744D9"/>
    <w:rsid w:val="00B744F5"/>
    <w:rsid w:val="00B746AB"/>
    <w:rsid w:val="00B748E3"/>
    <w:rsid w:val="00B74B61"/>
    <w:rsid w:val="00B74F9A"/>
    <w:rsid w:val="00B74FBE"/>
    <w:rsid w:val="00B7505E"/>
    <w:rsid w:val="00B75199"/>
    <w:rsid w:val="00B7550D"/>
    <w:rsid w:val="00B755F7"/>
    <w:rsid w:val="00B7569B"/>
    <w:rsid w:val="00B757E5"/>
    <w:rsid w:val="00B7588D"/>
    <w:rsid w:val="00B7589F"/>
    <w:rsid w:val="00B75DD0"/>
    <w:rsid w:val="00B76099"/>
    <w:rsid w:val="00B76206"/>
    <w:rsid w:val="00B76350"/>
    <w:rsid w:val="00B763C0"/>
    <w:rsid w:val="00B76421"/>
    <w:rsid w:val="00B764C9"/>
    <w:rsid w:val="00B7663B"/>
    <w:rsid w:val="00B766CA"/>
    <w:rsid w:val="00B767C2"/>
    <w:rsid w:val="00B76A88"/>
    <w:rsid w:val="00B76E90"/>
    <w:rsid w:val="00B76F96"/>
    <w:rsid w:val="00B770E1"/>
    <w:rsid w:val="00B7798D"/>
    <w:rsid w:val="00B779D7"/>
    <w:rsid w:val="00B77B1B"/>
    <w:rsid w:val="00B8012B"/>
    <w:rsid w:val="00B801D5"/>
    <w:rsid w:val="00B802CF"/>
    <w:rsid w:val="00B803F7"/>
    <w:rsid w:val="00B805D9"/>
    <w:rsid w:val="00B805E1"/>
    <w:rsid w:val="00B807BA"/>
    <w:rsid w:val="00B809D4"/>
    <w:rsid w:val="00B80D6B"/>
    <w:rsid w:val="00B8116D"/>
    <w:rsid w:val="00B812A9"/>
    <w:rsid w:val="00B81391"/>
    <w:rsid w:val="00B815A5"/>
    <w:rsid w:val="00B81913"/>
    <w:rsid w:val="00B81D9C"/>
    <w:rsid w:val="00B81F38"/>
    <w:rsid w:val="00B82117"/>
    <w:rsid w:val="00B821B9"/>
    <w:rsid w:val="00B82280"/>
    <w:rsid w:val="00B822C7"/>
    <w:rsid w:val="00B823A0"/>
    <w:rsid w:val="00B825FD"/>
    <w:rsid w:val="00B826BD"/>
    <w:rsid w:val="00B82925"/>
    <w:rsid w:val="00B82C4F"/>
    <w:rsid w:val="00B82DC3"/>
    <w:rsid w:val="00B82E64"/>
    <w:rsid w:val="00B82FBA"/>
    <w:rsid w:val="00B83072"/>
    <w:rsid w:val="00B830FB"/>
    <w:rsid w:val="00B834D9"/>
    <w:rsid w:val="00B83B62"/>
    <w:rsid w:val="00B83CB3"/>
    <w:rsid w:val="00B83F53"/>
    <w:rsid w:val="00B840EC"/>
    <w:rsid w:val="00B8417A"/>
    <w:rsid w:val="00B842EA"/>
    <w:rsid w:val="00B843DC"/>
    <w:rsid w:val="00B84559"/>
    <w:rsid w:val="00B847D9"/>
    <w:rsid w:val="00B848BE"/>
    <w:rsid w:val="00B8496A"/>
    <w:rsid w:val="00B84FB9"/>
    <w:rsid w:val="00B8523F"/>
    <w:rsid w:val="00B8535F"/>
    <w:rsid w:val="00B85401"/>
    <w:rsid w:val="00B8596B"/>
    <w:rsid w:val="00B85A62"/>
    <w:rsid w:val="00B8622F"/>
    <w:rsid w:val="00B8634A"/>
    <w:rsid w:val="00B866BA"/>
    <w:rsid w:val="00B86957"/>
    <w:rsid w:val="00B86C3C"/>
    <w:rsid w:val="00B86C92"/>
    <w:rsid w:val="00B86DB2"/>
    <w:rsid w:val="00B8715E"/>
    <w:rsid w:val="00B872A8"/>
    <w:rsid w:val="00B874C4"/>
    <w:rsid w:val="00B874FD"/>
    <w:rsid w:val="00B875FE"/>
    <w:rsid w:val="00B878CD"/>
    <w:rsid w:val="00B900E4"/>
    <w:rsid w:val="00B9044E"/>
    <w:rsid w:val="00B90496"/>
    <w:rsid w:val="00B90545"/>
    <w:rsid w:val="00B90680"/>
    <w:rsid w:val="00B9095A"/>
    <w:rsid w:val="00B91582"/>
    <w:rsid w:val="00B916A0"/>
    <w:rsid w:val="00B91A09"/>
    <w:rsid w:val="00B91CB1"/>
    <w:rsid w:val="00B92020"/>
    <w:rsid w:val="00B921B1"/>
    <w:rsid w:val="00B923AA"/>
    <w:rsid w:val="00B923AF"/>
    <w:rsid w:val="00B92408"/>
    <w:rsid w:val="00B9249B"/>
    <w:rsid w:val="00B92E28"/>
    <w:rsid w:val="00B930AF"/>
    <w:rsid w:val="00B9335F"/>
    <w:rsid w:val="00B9343A"/>
    <w:rsid w:val="00B935B1"/>
    <w:rsid w:val="00B9364B"/>
    <w:rsid w:val="00B9387B"/>
    <w:rsid w:val="00B9397E"/>
    <w:rsid w:val="00B93F52"/>
    <w:rsid w:val="00B93F72"/>
    <w:rsid w:val="00B94015"/>
    <w:rsid w:val="00B943A1"/>
    <w:rsid w:val="00B94491"/>
    <w:rsid w:val="00B946EC"/>
    <w:rsid w:val="00B94906"/>
    <w:rsid w:val="00B94A3D"/>
    <w:rsid w:val="00B94F64"/>
    <w:rsid w:val="00B9536C"/>
    <w:rsid w:val="00B95404"/>
    <w:rsid w:val="00B9548E"/>
    <w:rsid w:val="00B95A34"/>
    <w:rsid w:val="00B95D84"/>
    <w:rsid w:val="00B96190"/>
    <w:rsid w:val="00B96593"/>
    <w:rsid w:val="00B966DA"/>
    <w:rsid w:val="00B96B01"/>
    <w:rsid w:val="00B96E96"/>
    <w:rsid w:val="00B96EBA"/>
    <w:rsid w:val="00B9700F"/>
    <w:rsid w:val="00B97014"/>
    <w:rsid w:val="00B97068"/>
    <w:rsid w:val="00B97095"/>
    <w:rsid w:val="00B9729B"/>
    <w:rsid w:val="00B9758F"/>
    <w:rsid w:val="00B97A9D"/>
    <w:rsid w:val="00B97B0E"/>
    <w:rsid w:val="00B97DB4"/>
    <w:rsid w:val="00B97E12"/>
    <w:rsid w:val="00B97F3E"/>
    <w:rsid w:val="00BA0018"/>
    <w:rsid w:val="00BA0311"/>
    <w:rsid w:val="00BA0509"/>
    <w:rsid w:val="00BA05CF"/>
    <w:rsid w:val="00BA07D0"/>
    <w:rsid w:val="00BA093B"/>
    <w:rsid w:val="00BA0BB8"/>
    <w:rsid w:val="00BA0F7B"/>
    <w:rsid w:val="00BA103E"/>
    <w:rsid w:val="00BA1443"/>
    <w:rsid w:val="00BA166E"/>
    <w:rsid w:val="00BA16DA"/>
    <w:rsid w:val="00BA17C5"/>
    <w:rsid w:val="00BA1B20"/>
    <w:rsid w:val="00BA1DDF"/>
    <w:rsid w:val="00BA1FFB"/>
    <w:rsid w:val="00BA21A4"/>
    <w:rsid w:val="00BA21D5"/>
    <w:rsid w:val="00BA2235"/>
    <w:rsid w:val="00BA225A"/>
    <w:rsid w:val="00BA227B"/>
    <w:rsid w:val="00BA22D9"/>
    <w:rsid w:val="00BA2469"/>
    <w:rsid w:val="00BA27D1"/>
    <w:rsid w:val="00BA283A"/>
    <w:rsid w:val="00BA28B0"/>
    <w:rsid w:val="00BA2AD0"/>
    <w:rsid w:val="00BA2B3F"/>
    <w:rsid w:val="00BA2D26"/>
    <w:rsid w:val="00BA2F1E"/>
    <w:rsid w:val="00BA2F2C"/>
    <w:rsid w:val="00BA3142"/>
    <w:rsid w:val="00BA3275"/>
    <w:rsid w:val="00BA327F"/>
    <w:rsid w:val="00BA3934"/>
    <w:rsid w:val="00BA3D19"/>
    <w:rsid w:val="00BA43F3"/>
    <w:rsid w:val="00BA4472"/>
    <w:rsid w:val="00BA476E"/>
    <w:rsid w:val="00BA485F"/>
    <w:rsid w:val="00BA4905"/>
    <w:rsid w:val="00BA4E45"/>
    <w:rsid w:val="00BA4E66"/>
    <w:rsid w:val="00BA5193"/>
    <w:rsid w:val="00BA51AE"/>
    <w:rsid w:val="00BA5238"/>
    <w:rsid w:val="00BA5833"/>
    <w:rsid w:val="00BA5898"/>
    <w:rsid w:val="00BA59B5"/>
    <w:rsid w:val="00BA59FB"/>
    <w:rsid w:val="00BA5B35"/>
    <w:rsid w:val="00BA5C8D"/>
    <w:rsid w:val="00BA5CE1"/>
    <w:rsid w:val="00BA5D1B"/>
    <w:rsid w:val="00BA5F08"/>
    <w:rsid w:val="00BA610D"/>
    <w:rsid w:val="00BA619B"/>
    <w:rsid w:val="00BA6D9C"/>
    <w:rsid w:val="00BA6E2E"/>
    <w:rsid w:val="00BA74A8"/>
    <w:rsid w:val="00BA754D"/>
    <w:rsid w:val="00BA7714"/>
    <w:rsid w:val="00BA778D"/>
    <w:rsid w:val="00BA7971"/>
    <w:rsid w:val="00BA7A31"/>
    <w:rsid w:val="00BA7B1C"/>
    <w:rsid w:val="00BA7DDC"/>
    <w:rsid w:val="00BB044E"/>
    <w:rsid w:val="00BB069F"/>
    <w:rsid w:val="00BB08F5"/>
    <w:rsid w:val="00BB08F7"/>
    <w:rsid w:val="00BB0973"/>
    <w:rsid w:val="00BB0B0C"/>
    <w:rsid w:val="00BB0F5E"/>
    <w:rsid w:val="00BB0F8B"/>
    <w:rsid w:val="00BB10BC"/>
    <w:rsid w:val="00BB1147"/>
    <w:rsid w:val="00BB11AD"/>
    <w:rsid w:val="00BB12AA"/>
    <w:rsid w:val="00BB133D"/>
    <w:rsid w:val="00BB148A"/>
    <w:rsid w:val="00BB14A3"/>
    <w:rsid w:val="00BB1772"/>
    <w:rsid w:val="00BB1799"/>
    <w:rsid w:val="00BB1B12"/>
    <w:rsid w:val="00BB1BD8"/>
    <w:rsid w:val="00BB1E3C"/>
    <w:rsid w:val="00BB1E52"/>
    <w:rsid w:val="00BB210E"/>
    <w:rsid w:val="00BB23BE"/>
    <w:rsid w:val="00BB276F"/>
    <w:rsid w:val="00BB278B"/>
    <w:rsid w:val="00BB2EC2"/>
    <w:rsid w:val="00BB2F64"/>
    <w:rsid w:val="00BB30EB"/>
    <w:rsid w:val="00BB310C"/>
    <w:rsid w:val="00BB3381"/>
    <w:rsid w:val="00BB35B1"/>
    <w:rsid w:val="00BB3605"/>
    <w:rsid w:val="00BB3AB8"/>
    <w:rsid w:val="00BB3B21"/>
    <w:rsid w:val="00BB3D23"/>
    <w:rsid w:val="00BB3D35"/>
    <w:rsid w:val="00BB3E9C"/>
    <w:rsid w:val="00BB3FEC"/>
    <w:rsid w:val="00BB4108"/>
    <w:rsid w:val="00BB428D"/>
    <w:rsid w:val="00BB42A8"/>
    <w:rsid w:val="00BB42FD"/>
    <w:rsid w:val="00BB47AC"/>
    <w:rsid w:val="00BB47BB"/>
    <w:rsid w:val="00BB490C"/>
    <w:rsid w:val="00BB4E89"/>
    <w:rsid w:val="00BB51E4"/>
    <w:rsid w:val="00BB5327"/>
    <w:rsid w:val="00BB5532"/>
    <w:rsid w:val="00BB564E"/>
    <w:rsid w:val="00BB5B9E"/>
    <w:rsid w:val="00BB5BC6"/>
    <w:rsid w:val="00BB5BD4"/>
    <w:rsid w:val="00BB5D2D"/>
    <w:rsid w:val="00BB5D42"/>
    <w:rsid w:val="00BB6128"/>
    <w:rsid w:val="00BB6192"/>
    <w:rsid w:val="00BB6267"/>
    <w:rsid w:val="00BB64D7"/>
    <w:rsid w:val="00BB6525"/>
    <w:rsid w:val="00BB657D"/>
    <w:rsid w:val="00BB6779"/>
    <w:rsid w:val="00BB6A40"/>
    <w:rsid w:val="00BB77ED"/>
    <w:rsid w:val="00BB792F"/>
    <w:rsid w:val="00BB7B01"/>
    <w:rsid w:val="00BB7B5B"/>
    <w:rsid w:val="00BB7C36"/>
    <w:rsid w:val="00BC0054"/>
    <w:rsid w:val="00BC00DC"/>
    <w:rsid w:val="00BC05AA"/>
    <w:rsid w:val="00BC10B4"/>
    <w:rsid w:val="00BC1380"/>
    <w:rsid w:val="00BC1481"/>
    <w:rsid w:val="00BC15DE"/>
    <w:rsid w:val="00BC17C8"/>
    <w:rsid w:val="00BC185E"/>
    <w:rsid w:val="00BC199D"/>
    <w:rsid w:val="00BC1D77"/>
    <w:rsid w:val="00BC204B"/>
    <w:rsid w:val="00BC2297"/>
    <w:rsid w:val="00BC2491"/>
    <w:rsid w:val="00BC2592"/>
    <w:rsid w:val="00BC27D8"/>
    <w:rsid w:val="00BC2810"/>
    <w:rsid w:val="00BC2940"/>
    <w:rsid w:val="00BC29B3"/>
    <w:rsid w:val="00BC29D7"/>
    <w:rsid w:val="00BC2BC1"/>
    <w:rsid w:val="00BC2CEF"/>
    <w:rsid w:val="00BC3548"/>
    <w:rsid w:val="00BC3584"/>
    <w:rsid w:val="00BC35EF"/>
    <w:rsid w:val="00BC369C"/>
    <w:rsid w:val="00BC3CD1"/>
    <w:rsid w:val="00BC43A4"/>
    <w:rsid w:val="00BC43F1"/>
    <w:rsid w:val="00BC46A7"/>
    <w:rsid w:val="00BC4972"/>
    <w:rsid w:val="00BC4B61"/>
    <w:rsid w:val="00BC4FE5"/>
    <w:rsid w:val="00BC522C"/>
    <w:rsid w:val="00BC5240"/>
    <w:rsid w:val="00BC58F5"/>
    <w:rsid w:val="00BC5AEF"/>
    <w:rsid w:val="00BC5B56"/>
    <w:rsid w:val="00BC5D67"/>
    <w:rsid w:val="00BC5DC4"/>
    <w:rsid w:val="00BC5DD9"/>
    <w:rsid w:val="00BC5E1C"/>
    <w:rsid w:val="00BC5E34"/>
    <w:rsid w:val="00BC5F23"/>
    <w:rsid w:val="00BC6055"/>
    <w:rsid w:val="00BC631A"/>
    <w:rsid w:val="00BC63FF"/>
    <w:rsid w:val="00BC6897"/>
    <w:rsid w:val="00BC6D08"/>
    <w:rsid w:val="00BC70E8"/>
    <w:rsid w:val="00BC7244"/>
    <w:rsid w:val="00BC7338"/>
    <w:rsid w:val="00BC78A0"/>
    <w:rsid w:val="00BC7A00"/>
    <w:rsid w:val="00BC7B56"/>
    <w:rsid w:val="00BC7CF7"/>
    <w:rsid w:val="00BD000E"/>
    <w:rsid w:val="00BD023D"/>
    <w:rsid w:val="00BD041A"/>
    <w:rsid w:val="00BD0657"/>
    <w:rsid w:val="00BD0725"/>
    <w:rsid w:val="00BD09E1"/>
    <w:rsid w:val="00BD0F77"/>
    <w:rsid w:val="00BD1241"/>
    <w:rsid w:val="00BD158A"/>
    <w:rsid w:val="00BD1713"/>
    <w:rsid w:val="00BD1B8D"/>
    <w:rsid w:val="00BD1E7E"/>
    <w:rsid w:val="00BD1FD7"/>
    <w:rsid w:val="00BD2211"/>
    <w:rsid w:val="00BD2252"/>
    <w:rsid w:val="00BD25B1"/>
    <w:rsid w:val="00BD2612"/>
    <w:rsid w:val="00BD3092"/>
    <w:rsid w:val="00BD3163"/>
    <w:rsid w:val="00BD31AA"/>
    <w:rsid w:val="00BD33D4"/>
    <w:rsid w:val="00BD3991"/>
    <w:rsid w:val="00BD3C0D"/>
    <w:rsid w:val="00BD3CF1"/>
    <w:rsid w:val="00BD3D8C"/>
    <w:rsid w:val="00BD3FFD"/>
    <w:rsid w:val="00BD40B1"/>
    <w:rsid w:val="00BD40C7"/>
    <w:rsid w:val="00BD4150"/>
    <w:rsid w:val="00BD423B"/>
    <w:rsid w:val="00BD46A4"/>
    <w:rsid w:val="00BD4883"/>
    <w:rsid w:val="00BD4A6C"/>
    <w:rsid w:val="00BD4CD5"/>
    <w:rsid w:val="00BD4D67"/>
    <w:rsid w:val="00BD4F37"/>
    <w:rsid w:val="00BD509E"/>
    <w:rsid w:val="00BD5203"/>
    <w:rsid w:val="00BD54ED"/>
    <w:rsid w:val="00BD5977"/>
    <w:rsid w:val="00BD6159"/>
    <w:rsid w:val="00BD645B"/>
    <w:rsid w:val="00BD6469"/>
    <w:rsid w:val="00BD652D"/>
    <w:rsid w:val="00BD6889"/>
    <w:rsid w:val="00BD68E1"/>
    <w:rsid w:val="00BD6B66"/>
    <w:rsid w:val="00BD740C"/>
    <w:rsid w:val="00BD7469"/>
    <w:rsid w:val="00BD7A4F"/>
    <w:rsid w:val="00BD7E08"/>
    <w:rsid w:val="00BD7F36"/>
    <w:rsid w:val="00BD7F65"/>
    <w:rsid w:val="00BE004E"/>
    <w:rsid w:val="00BE033F"/>
    <w:rsid w:val="00BE05B7"/>
    <w:rsid w:val="00BE0629"/>
    <w:rsid w:val="00BE0934"/>
    <w:rsid w:val="00BE09C7"/>
    <w:rsid w:val="00BE0B6E"/>
    <w:rsid w:val="00BE0CF9"/>
    <w:rsid w:val="00BE1153"/>
    <w:rsid w:val="00BE1611"/>
    <w:rsid w:val="00BE1CB9"/>
    <w:rsid w:val="00BE1E30"/>
    <w:rsid w:val="00BE1F86"/>
    <w:rsid w:val="00BE22C6"/>
    <w:rsid w:val="00BE2398"/>
    <w:rsid w:val="00BE23BA"/>
    <w:rsid w:val="00BE2433"/>
    <w:rsid w:val="00BE297D"/>
    <w:rsid w:val="00BE2A2D"/>
    <w:rsid w:val="00BE2B00"/>
    <w:rsid w:val="00BE2C83"/>
    <w:rsid w:val="00BE2D8F"/>
    <w:rsid w:val="00BE2F19"/>
    <w:rsid w:val="00BE3023"/>
    <w:rsid w:val="00BE3367"/>
    <w:rsid w:val="00BE37F1"/>
    <w:rsid w:val="00BE3AE5"/>
    <w:rsid w:val="00BE3D45"/>
    <w:rsid w:val="00BE3EB6"/>
    <w:rsid w:val="00BE3F95"/>
    <w:rsid w:val="00BE4103"/>
    <w:rsid w:val="00BE4181"/>
    <w:rsid w:val="00BE43A2"/>
    <w:rsid w:val="00BE44B7"/>
    <w:rsid w:val="00BE47BF"/>
    <w:rsid w:val="00BE48BC"/>
    <w:rsid w:val="00BE49E7"/>
    <w:rsid w:val="00BE4D2E"/>
    <w:rsid w:val="00BE4E9A"/>
    <w:rsid w:val="00BE5309"/>
    <w:rsid w:val="00BE5374"/>
    <w:rsid w:val="00BE56A8"/>
    <w:rsid w:val="00BE5C23"/>
    <w:rsid w:val="00BE5D52"/>
    <w:rsid w:val="00BE5D54"/>
    <w:rsid w:val="00BE5D65"/>
    <w:rsid w:val="00BE5F7E"/>
    <w:rsid w:val="00BE5F9B"/>
    <w:rsid w:val="00BE600C"/>
    <w:rsid w:val="00BE613A"/>
    <w:rsid w:val="00BE6189"/>
    <w:rsid w:val="00BE627A"/>
    <w:rsid w:val="00BE651A"/>
    <w:rsid w:val="00BE67AC"/>
    <w:rsid w:val="00BE67B5"/>
    <w:rsid w:val="00BE6CE8"/>
    <w:rsid w:val="00BE7160"/>
    <w:rsid w:val="00BE7CF3"/>
    <w:rsid w:val="00BF0013"/>
    <w:rsid w:val="00BF00BC"/>
    <w:rsid w:val="00BF0465"/>
    <w:rsid w:val="00BF0479"/>
    <w:rsid w:val="00BF05D4"/>
    <w:rsid w:val="00BF0910"/>
    <w:rsid w:val="00BF0945"/>
    <w:rsid w:val="00BF1369"/>
    <w:rsid w:val="00BF1371"/>
    <w:rsid w:val="00BF13B0"/>
    <w:rsid w:val="00BF18AF"/>
    <w:rsid w:val="00BF1AE1"/>
    <w:rsid w:val="00BF1B14"/>
    <w:rsid w:val="00BF1FCA"/>
    <w:rsid w:val="00BF20C2"/>
    <w:rsid w:val="00BF2365"/>
    <w:rsid w:val="00BF25AA"/>
    <w:rsid w:val="00BF2886"/>
    <w:rsid w:val="00BF2988"/>
    <w:rsid w:val="00BF2D88"/>
    <w:rsid w:val="00BF2EAC"/>
    <w:rsid w:val="00BF34AA"/>
    <w:rsid w:val="00BF36BB"/>
    <w:rsid w:val="00BF37F8"/>
    <w:rsid w:val="00BF39D0"/>
    <w:rsid w:val="00BF3A86"/>
    <w:rsid w:val="00BF3B16"/>
    <w:rsid w:val="00BF3CE8"/>
    <w:rsid w:val="00BF3F4E"/>
    <w:rsid w:val="00BF408B"/>
    <w:rsid w:val="00BF43C1"/>
    <w:rsid w:val="00BF456E"/>
    <w:rsid w:val="00BF45C8"/>
    <w:rsid w:val="00BF4600"/>
    <w:rsid w:val="00BF47A2"/>
    <w:rsid w:val="00BF4E40"/>
    <w:rsid w:val="00BF4EE0"/>
    <w:rsid w:val="00BF4F9B"/>
    <w:rsid w:val="00BF518B"/>
    <w:rsid w:val="00BF60D5"/>
    <w:rsid w:val="00BF66CF"/>
    <w:rsid w:val="00BF676E"/>
    <w:rsid w:val="00BF6780"/>
    <w:rsid w:val="00BF6920"/>
    <w:rsid w:val="00BF6987"/>
    <w:rsid w:val="00BF6B90"/>
    <w:rsid w:val="00BF6BC0"/>
    <w:rsid w:val="00BF6CDC"/>
    <w:rsid w:val="00BF6DFC"/>
    <w:rsid w:val="00BF6E2C"/>
    <w:rsid w:val="00BF6E88"/>
    <w:rsid w:val="00BF71FF"/>
    <w:rsid w:val="00BF774E"/>
    <w:rsid w:val="00BF77B6"/>
    <w:rsid w:val="00BF7C54"/>
    <w:rsid w:val="00BF7CBB"/>
    <w:rsid w:val="00BF7D33"/>
    <w:rsid w:val="00BF7DA9"/>
    <w:rsid w:val="00C001B1"/>
    <w:rsid w:val="00C001E7"/>
    <w:rsid w:val="00C00312"/>
    <w:rsid w:val="00C00845"/>
    <w:rsid w:val="00C00A5C"/>
    <w:rsid w:val="00C00E40"/>
    <w:rsid w:val="00C00EA4"/>
    <w:rsid w:val="00C00FE4"/>
    <w:rsid w:val="00C0156E"/>
    <w:rsid w:val="00C016F3"/>
    <w:rsid w:val="00C01845"/>
    <w:rsid w:val="00C0189B"/>
    <w:rsid w:val="00C0191A"/>
    <w:rsid w:val="00C01D39"/>
    <w:rsid w:val="00C01D5F"/>
    <w:rsid w:val="00C01FE2"/>
    <w:rsid w:val="00C021E8"/>
    <w:rsid w:val="00C021EE"/>
    <w:rsid w:val="00C0230A"/>
    <w:rsid w:val="00C0248D"/>
    <w:rsid w:val="00C0253E"/>
    <w:rsid w:val="00C027D1"/>
    <w:rsid w:val="00C02816"/>
    <w:rsid w:val="00C029EA"/>
    <w:rsid w:val="00C02A29"/>
    <w:rsid w:val="00C02A47"/>
    <w:rsid w:val="00C02AFA"/>
    <w:rsid w:val="00C02EF1"/>
    <w:rsid w:val="00C030A8"/>
    <w:rsid w:val="00C030E7"/>
    <w:rsid w:val="00C0345A"/>
    <w:rsid w:val="00C03511"/>
    <w:rsid w:val="00C0372B"/>
    <w:rsid w:val="00C03F67"/>
    <w:rsid w:val="00C04041"/>
    <w:rsid w:val="00C046C0"/>
    <w:rsid w:val="00C048D9"/>
    <w:rsid w:val="00C04B76"/>
    <w:rsid w:val="00C04C24"/>
    <w:rsid w:val="00C04C25"/>
    <w:rsid w:val="00C04C3A"/>
    <w:rsid w:val="00C04CF4"/>
    <w:rsid w:val="00C04D46"/>
    <w:rsid w:val="00C04EC7"/>
    <w:rsid w:val="00C05450"/>
    <w:rsid w:val="00C054B0"/>
    <w:rsid w:val="00C05650"/>
    <w:rsid w:val="00C05700"/>
    <w:rsid w:val="00C058E5"/>
    <w:rsid w:val="00C05DF7"/>
    <w:rsid w:val="00C060F1"/>
    <w:rsid w:val="00C061AE"/>
    <w:rsid w:val="00C06220"/>
    <w:rsid w:val="00C06295"/>
    <w:rsid w:val="00C062F2"/>
    <w:rsid w:val="00C063AB"/>
    <w:rsid w:val="00C063E6"/>
    <w:rsid w:val="00C06CB9"/>
    <w:rsid w:val="00C070D0"/>
    <w:rsid w:val="00C074CD"/>
    <w:rsid w:val="00C07796"/>
    <w:rsid w:val="00C077B4"/>
    <w:rsid w:val="00C0784C"/>
    <w:rsid w:val="00C07982"/>
    <w:rsid w:val="00C07B5C"/>
    <w:rsid w:val="00C07DAB"/>
    <w:rsid w:val="00C07F5B"/>
    <w:rsid w:val="00C1020E"/>
    <w:rsid w:val="00C1053A"/>
    <w:rsid w:val="00C107C3"/>
    <w:rsid w:val="00C10939"/>
    <w:rsid w:val="00C10BB2"/>
    <w:rsid w:val="00C10DB6"/>
    <w:rsid w:val="00C10EFD"/>
    <w:rsid w:val="00C10F9A"/>
    <w:rsid w:val="00C1103B"/>
    <w:rsid w:val="00C111F6"/>
    <w:rsid w:val="00C1148E"/>
    <w:rsid w:val="00C119E7"/>
    <w:rsid w:val="00C11B40"/>
    <w:rsid w:val="00C11B94"/>
    <w:rsid w:val="00C11C94"/>
    <w:rsid w:val="00C11FCE"/>
    <w:rsid w:val="00C12E20"/>
    <w:rsid w:val="00C12F25"/>
    <w:rsid w:val="00C13092"/>
    <w:rsid w:val="00C13187"/>
    <w:rsid w:val="00C13203"/>
    <w:rsid w:val="00C13288"/>
    <w:rsid w:val="00C13520"/>
    <w:rsid w:val="00C1356C"/>
    <w:rsid w:val="00C13688"/>
    <w:rsid w:val="00C136BE"/>
    <w:rsid w:val="00C13F41"/>
    <w:rsid w:val="00C13F98"/>
    <w:rsid w:val="00C140A6"/>
    <w:rsid w:val="00C14169"/>
    <w:rsid w:val="00C141C9"/>
    <w:rsid w:val="00C1426B"/>
    <w:rsid w:val="00C143A6"/>
    <w:rsid w:val="00C14482"/>
    <w:rsid w:val="00C148BA"/>
    <w:rsid w:val="00C14A8C"/>
    <w:rsid w:val="00C14C14"/>
    <w:rsid w:val="00C14DB6"/>
    <w:rsid w:val="00C14F9B"/>
    <w:rsid w:val="00C14FAB"/>
    <w:rsid w:val="00C15CF8"/>
    <w:rsid w:val="00C15F42"/>
    <w:rsid w:val="00C1610B"/>
    <w:rsid w:val="00C1611D"/>
    <w:rsid w:val="00C1624A"/>
    <w:rsid w:val="00C16B1F"/>
    <w:rsid w:val="00C16C9A"/>
    <w:rsid w:val="00C16D84"/>
    <w:rsid w:val="00C16EF8"/>
    <w:rsid w:val="00C17023"/>
    <w:rsid w:val="00C17344"/>
    <w:rsid w:val="00C175E4"/>
    <w:rsid w:val="00C17605"/>
    <w:rsid w:val="00C1772F"/>
    <w:rsid w:val="00C17C79"/>
    <w:rsid w:val="00C17D35"/>
    <w:rsid w:val="00C17DB9"/>
    <w:rsid w:val="00C17E79"/>
    <w:rsid w:val="00C17EC8"/>
    <w:rsid w:val="00C200FC"/>
    <w:rsid w:val="00C20350"/>
    <w:rsid w:val="00C20635"/>
    <w:rsid w:val="00C20C63"/>
    <w:rsid w:val="00C210AB"/>
    <w:rsid w:val="00C212A5"/>
    <w:rsid w:val="00C212A8"/>
    <w:rsid w:val="00C216D3"/>
    <w:rsid w:val="00C21D13"/>
    <w:rsid w:val="00C21EA9"/>
    <w:rsid w:val="00C21FE6"/>
    <w:rsid w:val="00C220A3"/>
    <w:rsid w:val="00C222DC"/>
    <w:rsid w:val="00C22375"/>
    <w:rsid w:val="00C2237E"/>
    <w:rsid w:val="00C2238D"/>
    <w:rsid w:val="00C22AC0"/>
    <w:rsid w:val="00C22AC9"/>
    <w:rsid w:val="00C22AFE"/>
    <w:rsid w:val="00C22D57"/>
    <w:rsid w:val="00C22EC7"/>
    <w:rsid w:val="00C2303B"/>
    <w:rsid w:val="00C230F4"/>
    <w:rsid w:val="00C2318D"/>
    <w:rsid w:val="00C2324D"/>
    <w:rsid w:val="00C232E0"/>
    <w:rsid w:val="00C2364C"/>
    <w:rsid w:val="00C238AC"/>
    <w:rsid w:val="00C239F9"/>
    <w:rsid w:val="00C23E31"/>
    <w:rsid w:val="00C23F3D"/>
    <w:rsid w:val="00C24111"/>
    <w:rsid w:val="00C24282"/>
    <w:rsid w:val="00C242AA"/>
    <w:rsid w:val="00C244C7"/>
    <w:rsid w:val="00C244F4"/>
    <w:rsid w:val="00C246FB"/>
    <w:rsid w:val="00C2484A"/>
    <w:rsid w:val="00C24ACC"/>
    <w:rsid w:val="00C24B5E"/>
    <w:rsid w:val="00C24C44"/>
    <w:rsid w:val="00C24EDD"/>
    <w:rsid w:val="00C25041"/>
    <w:rsid w:val="00C2534F"/>
    <w:rsid w:val="00C25664"/>
    <w:rsid w:val="00C25934"/>
    <w:rsid w:val="00C264B3"/>
    <w:rsid w:val="00C268C3"/>
    <w:rsid w:val="00C26AD8"/>
    <w:rsid w:val="00C26ECA"/>
    <w:rsid w:val="00C27166"/>
    <w:rsid w:val="00C273EF"/>
    <w:rsid w:val="00C274C9"/>
    <w:rsid w:val="00C27F88"/>
    <w:rsid w:val="00C30058"/>
    <w:rsid w:val="00C305BC"/>
    <w:rsid w:val="00C30625"/>
    <w:rsid w:val="00C30F10"/>
    <w:rsid w:val="00C30FB8"/>
    <w:rsid w:val="00C3156E"/>
    <w:rsid w:val="00C315DE"/>
    <w:rsid w:val="00C31730"/>
    <w:rsid w:val="00C317A2"/>
    <w:rsid w:val="00C318C0"/>
    <w:rsid w:val="00C31F18"/>
    <w:rsid w:val="00C32111"/>
    <w:rsid w:val="00C3226B"/>
    <w:rsid w:val="00C32953"/>
    <w:rsid w:val="00C32AF7"/>
    <w:rsid w:val="00C32BA3"/>
    <w:rsid w:val="00C32DB9"/>
    <w:rsid w:val="00C33077"/>
    <w:rsid w:val="00C33175"/>
    <w:rsid w:val="00C331BD"/>
    <w:rsid w:val="00C33231"/>
    <w:rsid w:val="00C33551"/>
    <w:rsid w:val="00C337A3"/>
    <w:rsid w:val="00C3384E"/>
    <w:rsid w:val="00C33867"/>
    <w:rsid w:val="00C338BC"/>
    <w:rsid w:val="00C33A32"/>
    <w:rsid w:val="00C33B9B"/>
    <w:rsid w:val="00C33BCF"/>
    <w:rsid w:val="00C34382"/>
    <w:rsid w:val="00C343FC"/>
    <w:rsid w:val="00C3462A"/>
    <w:rsid w:val="00C34A54"/>
    <w:rsid w:val="00C34B96"/>
    <w:rsid w:val="00C34BFE"/>
    <w:rsid w:val="00C34F08"/>
    <w:rsid w:val="00C35140"/>
    <w:rsid w:val="00C3520A"/>
    <w:rsid w:val="00C3548D"/>
    <w:rsid w:val="00C35873"/>
    <w:rsid w:val="00C3596D"/>
    <w:rsid w:val="00C35B6A"/>
    <w:rsid w:val="00C35D0D"/>
    <w:rsid w:val="00C35E35"/>
    <w:rsid w:val="00C36024"/>
    <w:rsid w:val="00C360B1"/>
    <w:rsid w:val="00C3633B"/>
    <w:rsid w:val="00C3651F"/>
    <w:rsid w:val="00C36633"/>
    <w:rsid w:val="00C36925"/>
    <w:rsid w:val="00C36928"/>
    <w:rsid w:val="00C36AAD"/>
    <w:rsid w:val="00C36B5E"/>
    <w:rsid w:val="00C36BA4"/>
    <w:rsid w:val="00C36E9D"/>
    <w:rsid w:val="00C37004"/>
    <w:rsid w:val="00C373B2"/>
    <w:rsid w:val="00C37B11"/>
    <w:rsid w:val="00C37BA6"/>
    <w:rsid w:val="00C37C86"/>
    <w:rsid w:val="00C37EFF"/>
    <w:rsid w:val="00C37F0D"/>
    <w:rsid w:val="00C37FF8"/>
    <w:rsid w:val="00C40090"/>
    <w:rsid w:val="00C400E1"/>
    <w:rsid w:val="00C40196"/>
    <w:rsid w:val="00C402B1"/>
    <w:rsid w:val="00C403AF"/>
    <w:rsid w:val="00C40413"/>
    <w:rsid w:val="00C408AF"/>
    <w:rsid w:val="00C412B1"/>
    <w:rsid w:val="00C4145D"/>
    <w:rsid w:val="00C41815"/>
    <w:rsid w:val="00C41DDE"/>
    <w:rsid w:val="00C41E37"/>
    <w:rsid w:val="00C4210C"/>
    <w:rsid w:val="00C4222F"/>
    <w:rsid w:val="00C42795"/>
    <w:rsid w:val="00C427F6"/>
    <w:rsid w:val="00C428E6"/>
    <w:rsid w:val="00C42987"/>
    <w:rsid w:val="00C42BDB"/>
    <w:rsid w:val="00C42C24"/>
    <w:rsid w:val="00C42C25"/>
    <w:rsid w:val="00C42CD9"/>
    <w:rsid w:val="00C42D75"/>
    <w:rsid w:val="00C42EE6"/>
    <w:rsid w:val="00C43122"/>
    <w:rsid w:val="00C4322C"/>
    <w:rsid w:val="00C433DC"/>
    <w:rsid w:val="00C43441"/>
    <w:rsid w:val="00C43455"/>
    <w:rsid w:val="00C43671"/>
    <w:rsid w:val="00C436BB"/>
    <w:rsid w:val="00C43954"/>
    <w:rsid w:val="00C43AC4"/>
    <w:rsid w:val="00C43ADB"/>
    <w:rsid w:val="00C43AE4"/>
    <w:rsid w:val="00C43D3D"/>
    <w:rsid w:val="00C43F2C"/>
    <w:rsid w:val="00C4406D"/>
    <w:rsid w:val="00C4419A"/>
    <w:rsid w:val="00C4436C"/>
    <w:rsid w:val="00C443D9"/>
    <w:rsid w:val="00C445BA"/>
    <w:rsid w:val="00C44753"/>
    <w:rsid w:val="00C4484C"/>
    <w:rsid w:val="00C44AB7"/>
    <w:rsid w:val="00C44B78"/>
    <w:rsid w:val="00C44B7F"/>
    <w:rsid w:val="00C44F68"/>
    <w:rsid w:val="00C45043"/>
    <w:rsid w:val="00C451D8"/>
    <w:rsid w:val="00C45309"/>
    <w:rsid w:val="00C454D3"/>
    <w:rsid w:val="00C45752"/>
    <w:rsid w:val="00C45873"/>
    <w:rsid w:val="00C4593D"/>
    <w:rsid w:val="00C461B2"/>
    <w:rsid w:val="00C46202"/>
    <w:rsid w:val="00C46220"/>
    <w:rsid w:val="00C462BF"/>
    <w:rsid w:val="00C46425"/>
    <w:rsid w:val="00C46559"/>
    <w:rsid w:val="00C4656F"/>
    <w:rsid w:val="00C46994"/>
    <w:rsid w:val="00C46997"/>
    <w:rsid w:val="00C46B94"/>
    <w:rsid w:val="00C46C93"/>
    <w:rsid w:val="00C46CE4"/>
    <w:rsid w:val="00C47051"/>
    <w:rsid w:val="00C470AA"/>
    <w:rsid w:val="00C47128"/>
    <w:rsid w:val="00C4726A"/>
    <w:rsid w:val="00C472C4"/>
    <w:rsid w:val="00C47305"/>
    <w:rsid w:val="00C47424"/>
    <w:rsid w:val="00C47821"/>
    <w:rsid w:val="00C47C8E"/>
    <w:rsid w:val="00C502AA"/>
    <w:rsid w:val="00C5052D"/>
    <w:rsid w:val="00C50863"/>
    <w:rsid w:val="00C50B1E"/>
    <w:rsid w:val="00C50B7E"/>
    <w:rsid w:val="00C50E1E"/>
    <w:rsid w:val="00C50FB8"/>
    <w:rsid w:val="00C51347"/>
    <w:rsid w:val="00C51427"/>
    <w:rsid w:val="00C516DC"/>
    <w:rsid w:val="00C51BA1"/>
    <w:rsid w:val="00C51D00"/>
    <w:rsid w:val="00C51F52"/>
    <w:rsid w:val="00C520CB"/>
    <w:rsid w:val="00C5245E"/>
    <w:rsid w:val="00C525DD"/>
    <w:rsid w:val="00C5265E"/>
    <w:rsid w:val="00C5296F"/>
    <w:rsid w:val="00C52BFA"/>
    <w:rsid w:val="00C52DC2"/>
    <w:rsid w:val="00C52FD1"/>
    <w:rsid w:val="00C5359B"/>
    <w:rsid w:val="00C535FD"/>
    <w:rsid w:val="00C539E9"/>
    <w:rsid w:val="00C53AB8"/>
    <w:rsid w:val="00C53ADC"/>
    <w:rsid w:val="00C53AF7"/>
    <w:rsid w:val="00C5455B"/>
    <w:rsid w:val="00C54787"/>
    <w:rsid w:val="00C54804"/>
    <w:rsid w:val="00C54B2B"/>
    <w:rsid w:val="00C54B78"/>
    <w:rsid w:val="00C54D16"/>
    <w:rsid w:val="00C5501A"/>
    <w:rsid w:val="00C5505B"/>
    <w:rsid w:val="00C55478"/>
    <w:rsid w:val="00C554B5"/>
    <w:rsid w:val="00C559AA"/>
    <w:rsid w:val="00C56187"/>
    <w:rsid w:val="00C562E3"/>
    <w:rsid w:val="00C56718"/>
    <w:rsid w:val="00C56721"/>
    <w:rsid w:val="00C56897"/>
    <w:rsid w:val="00C5696C"/>
    <w:rsid w:val="00C56E3D"/>
    <w:rsid w:val="00C56EF2"/>
    <w:rsid w:val="00C570A6"/>
    <w:rsid w:val="00C571F5"/>
    <w:rsid w:val="00C57217"/>
    <w:rsid w:val="00C575D4"/>
    <w:rsid w:val="00C576E7"/>
    <w:rsid w:val="00C5779C"/>
    <w:rsid w:val="00C579F3"/>
    <w:rsid w:val="00C57A01"/>
    <w:rsid w:val="00C60005"/>
    <w:rsid w:val="00C60053"/>
    <w:rsid w:val="00C6008D"/>
    <w:rsid w:val="00C60090"/>
    <w:rsid w:val="00C600B3"/>
    <w:rsid w:val="00C602BB"/>
    <w:rsid w:val="00C60321"/>
    <w:rsid w:val="00C607E7"/>
    <w:rsid w:val="00C608B0"/>
    <w:rsid w:val="00C60C02"/>
    <w:rsid w:val="00C60D35"/>
    <w:rsid w:val="00C60DE1"/>
    <w:rsid w:val="00C60F1E"/>
    <w:rsid w:val="00C60F8C"/>
    <w:rsid w:val="00C61464"/>
    <w:rsid w:val="00C6157F"/>
    <w:rsid w:val="00C615B1"/>
    <w:rsid w:val="00C616FF"/>
    <w:rsid w:val="00C61798"/>
    <w:rsid w:val="00C6182A"/>
    <w:rsid w:val="00C61916"/>
    <w:rsid w:val="00C619BF"/>
    <w:rsid w:val="00C61ECD"/>
    <w:rsid w:val="00C62155"/>
    <w:rsid w:val="00C626D0"/>
    <w:rsid w:val="00C62812"/>
    <w:rsid w:val="00C62875"/>
    <w:rsid w:val="00C632D5"/>
    <w:rsid w:val="00C63819"/>
    <w:rsid w:val="00C63A5F"/>
    <w:rsid w:val="00C63BC0"/>
    <w:rsid w:val="00C63CEE"/>
    <w:rsid w:val="00C63E95"/>
    <w:rsid w:val="00C63EAB"/>
    <w:rsid w:val="00C64168"/>
    <w:rsid w:val="00C64584"/>
    <w:rsid w:val="00C6465D"/>
    <w:rsid w:val="00C64983"/>
    <w:rsid w:val="00C64AF7"/>
    <w:rsid w:val="00C64BA5"/>
    <w:rsid w:val="00C64BE6"/>
    <w:rsid w:val="00C64DAC"/>
    <w:rsid w:val="00C64F8C"/>
    <w:rsid w:val="00C650AF"/>
    <w:rsid w:val="00C6540E"/>
    <w:rsid w:val="00C6541C"/>
    <w:rsid w:val="00C65487"/>
    <w:rsid w:val="00C6566B"/>
    <w:rsid w:val="00C656DE"/>
    <w:rsid w:val="00C65749"/>
    <w:rsid w:val="00C65D3B"/>
    <w:rsid w:val="00C65F2B"/>
    <w:rsid w:val="00C66541"/>
    <w:rsid w:val="00C666E0"/>
    <w:rsid w:val="00C667B4"/>
    <w:rsid w:val="00C6748E"/>
    <w:rsid w:val="00C67A8C"/>
    <w:rsid w:val="00C67C1C"/>
    <w:rsid w:val="00C67D81"/>
    <w:rsid w:val="00C67E8E"/>
    <w:rsid w:val="00C67EAB"/>
    <w:rsid w:val="00C70024"/>
    <w:rsid w:val="00C70251"/>
    <w:rsid w:val="00C70391"/>
    <w:rsid w:val="00C70D50"/>
    <w:rsid w:val="00C70D74"/>
    <w:rsid w:val="00C70E53"/>
    <w:rsid w:val="00C70FF1"/>
    <w:rsid w:val="00C710C1"/>
    <w:rsid w:val="00C71148"/>
    <w:rsid w:val="00C71466"/>
    <w:rsid w:val="00C715C4"/>
    <w:rsid w:val="00C718E2"/>
    <w:rsid w:val="00C71AC6"/>
    <w:rsid w:val="00C71AF7"/>
    <w:rsid w:val="00C71B12"/>
    <w:rsid w:val="00C71BD0"/>
    <w:rsid w:val="00C71E9B"/>
    <w:rsid w:val="00C72177"/>
    <w:rsid w:val="00C723B8"/>
    <w:rsid w:val="00C723CF"/>
    <w:rsid w:val="00C7296C"/>
    <w:rsid w:val="00C729EF"/>
    <w:rsid w:val="00C72C31"/>
    <w:rsid w:val="00C72C55"/>
    <w:rsid w:val="00C72D25"/>
    <w:rsid w:val="00C72D82"/>
    <w:rsid w:val="00C7311B"/>
    <w:rsid w:val="00C73632"/>
    <w:rsid w:val="00C73B73"/>
    <w:rsid w:val="00C73B7C"/>
    <w:rsid w:val="00C73D5C"/>
    <w:rsid w:val="00C73DF7"/>
    <w:rsid w:val="00C73FF5"/>
    <w:rsid w:val="00C7457B"/>
    <w:rsid w:val="00C745A6"/>
    <w:rsid w:val="00C745DD"/>
    <w:rsid w:val="00C74B62"/>
    <w:rsid w:val="00C74B75"/>
    <w:rsid w:val="00C74B8C"/>
    <w:rsid w:val="00C74BED"/>
    <w:rsid w:val="00C74DB5"/>
    <w:rsid w:val="00C74FE2"/>
    <w:rsid w:val="00C75043"/>
    <w:rsid w:val="00C750A6"/>
    <w:rsid w:val="00C752F7"/>
    <w:rsid w:val="00C7535E"/>
    <w:rsid w:val="00C755FF"/>
    <w:rsid w:val="00C75813"/>
    <w:rsid w:val="00C758CD"/>
    <w:rsid w:val="00C75D9C"/>
    <w:rsid w:val="00C76046"/>
    <w:rsid w:val="00C7623C"/>
    <w:rsid w:val="00C762EE"/>
    <w:rsid w:val="00C7666D"/>
    <w:rsid w:val="00C766F2"/>
    <w:rsid w:val="00C76701"/>
    <w:rsid w:val="00C76862"/>
    <w:rsid w:val="00C76A7A"/>
    <w:rsid w:val="00C771B8"/>
    <w:rsid w:val="00C778B8"/>
    <w:rsid w:val="00C77ADD"/>
    <w:rsid w:val="00C77F9B"/>
    <w:rsid w:val="00C80487"/>
    <w:rsid w:val="00C8048B"/>
    <w:rsid w:val="00C8058C"/>
    <w:rsid w:val="00C806C7"/>
    <w:rsid w:val="00C806DC"/>
    <w:rsid w:val="00C80728"/>
    <w:rsid w:val="00C80AE6"/>
    <w:rsid w:val="00C80B70"/>
    <w:rsid w:val="00C80B9E"/>
    <w:rsid w:val="00C80CBC"/>
    <w:rsid w:val="00C80E40"/>
    <w:rsid w:val="00C80E9F"/>
    <w:rsid w:val="00C80FD1"/>
    <w:rsid w:val="00C80FE4"/>
    <w:rsid w:val="00C810F0"/>
    <w:rsid w:val="00C81580"/>
    <w:rsid w:val="00C815F3"/>
    <w:rsid w:val="00C81A9C"/>
    <w:rsid w:val="00C81B86"/>
    <w:rsid w:val="00C81DE5"/>
    <w:rsid w:val="00C82184"/>
    <w:rsid w:val="00C821FA"/>
    <w:rsid w:val="00C82325"/>
    <w:rsid w:val="00C8264E"/>
    <w:rsid w:val="00C8268F"/>
    <w:rsid w:val="00C82804"/>
    <w:rsid w:val="00C82B55"/>
    <w:rsid w:val="00C82C7E"/>
    <w:rsid w:val="00C82CE0"/>
    <w:rsid w:val="00C831A9"/>
    <w:rsid w:val="00C83535"/>
    <w:rsid w:val="00C83583"/>
    <w:rsid w:val="00C835C1"/>
    <w:rsid w:val="00C83803"/>
    <w:rsid w:val="00C83B2F"/>
    <w:rsid w:val="00C83B8F"/>
    <w:rsid w:val="00C83C90"/>
    <w:rsid w:val="00C83D84"/>
    <w:rsid w:val="00C83DD9"/>
    <w:rsid w:val="00C83E96"/>
    <w:rsid w:val="00C84480"/>
    <w:rsid w:val="00C84566"/>
    <w:rsid w:val="00C846F9"/>
    <w:rsid w:val="00C848BA"/>
    <w:rsid w:val="00C84BCA"/>
    <w:rsid w:val="00C84FA1"/>
    <w:rsid w:val="00C85201"/>
    <w:rsid w:val="00C85278"/>
    <w:rsid w:val="00C854A2"/>
    <w:rsid w:val="00C8556D"/>
    <w:rsid w:val="00C8594A"/>
    <w:rsid w:val="00C8601D"/>
    <w:rsid w:val="00C861C8"/>
    <w:rsid w:val="00C8633B"/>
    <w:rsid w:val="00C866F6"/>
    <w:rsid w:val="00C86ABE"/>
    <w:rsid w:val="00C86E26"/>
    <w:rsid w:val="00C86E77"/>
    <w:rsid w:val="00C86EA8"/>
    <w:rsid w:val="00C86FF4"/>
    <w:rsid w:val="00C871B1"/>
    <w:rsid w:val="00C8739F"/>
    <w:rsid w:val="00C87436"/>
    <w:rsid w:val="00C874BE"/>
    <w:rsid w:val="00C8764C"/>
    <w:rsid w:val="00C87725"/>
    <w:rsid w:val="00C87A2B"/>
    <w:rsid w:val="00C87D01"/>
    <w:rsid w:val="00C87D70"/>
    <w:rsid w:val="00C87F60"/>
    <w:rsid w:val="00C9021E"/>
    <w:rsid w:val="00C902FE"/>
    <w:rsid w:val="00C903FC"/>
    <w:rsid w:val="00C90659"/>
    <w:rsid w:val="00C90AE5"/>
    <w:rsid w:val="00C90D6D"/>
    <w:rsid w:val="00C90E3F"/>
    <w:rsid w:val="00C90E7E"/>
    <w:rsid w:val="00C90ECF"/>
    <w:rsid w:val="00C90FFD"/>
    <w:rsid w:val="00C91056"/>
    <w:rsid w:val="00C91499"/>
    <w:rsid w:val="00C91651"/>
    <w:rsid w:val="00C9165A"/>
    <w:rsid w:val="00C917A4"/>
    <w:rsid w:val="00C917C4"/>
    <w:rsid w:val="00C919E4"/>
    <w:rsid w:val="00C91EED"/>
    <w:rsid w:val="00C92109"/>
    <w:rsid w:val="00C922A2"/>
    <w:rsid w:val="00C922E6"/>
    <w:rsid w:val="00C923AD"/>
    <w:rsid w:val="00C927D9"/>
    <w:rsid w:val="00C92F10"/>
    <w:rsid w:val="00C9317D"/>
    <w:rsid w:val="00C93240"/>
    <w:rsid w:val="00C93257"/>
    <w:rsid w:val="00C933C5"/>
    <w:rsid w:val="00C9343A"/>
    <w:rsid w:val="00C93678"/>
    <w:rsid w:val="00C93A55"/>
    <w:rsid w:val="00C93A98"/>
    <w:rsid w:val="00C93D79"/>
    <w:rsid w:val="00C93DBF"/>
    <w:rsid w:val="00C93E75"/>
    <w:rsid w:val="00C93F46"/>
    <w:rsid w:val="00C94628"/>
    <w:rsid w:val="00C94C07"/>
    <w:rsid w:val="00C94EDD"/>
    <w:rsid w:val="00C94FF2"/>
    <w:rsid w:val="00C950D6"/>
    <w:rsid w:val="00C95206"/>
    <w:rsid w:val="00C952F3"/>
    <w:rsid w:val="00C95382"/>
    <w:rsid w:val="00C959F1"/>
    <w:rsid w:val="00C95B9A"/>
    <w:rsid w:val="00C95C2D"/>
    <w:rsid w:val="00C95EA0"/>
    <w:rsid w:val="00C963CE"/>
    <w:rsid w:val="00C96589"/>
    <w:rsid w:val="00C96855"/>
    <w:rsid w:val="00C96881"/>
    <w:rsid w:val="00C96CB0"/>
    <w:rsid w:val="00C96CF5"/>
    <w:rsid w:val="00C96D19"/>
    <w:rsid w:val="00C96D38"/>
    <w:rsid w:val="00C96EBD"/>
    <w:rsid w:val="00C97487"/>
    <w:rsid w:val="00C97612"/>
    <w:rsid w:val="00C9764C"/>
    <w:rsid w:val="00C97712"/>
    <w:rsid w:val="00C97958"/>
    <w:rsid w:val="00C97A05"/>
    <w:rsid w:val="00C97A7F"/>
    <w:rsid w:val="00C97B62"/>
    <w:rsid w:val="00C97CEE"/>
    <w:rsid w:val="00CA06CB"/>
    <w:rsid w:val="00CA0760"/>
    <w:rsid w:val="00CA0808"/>
    <w:rsid w:val="00CA0816"/>
    <w:rsid w:val="00CA0BAA"/>
    <w:rsid w:val="00CA0D3B"/>
    <w:rsid w:val="00CA1054"/>
    <w:rsid w:val="00CA10AB"/>
    <w:rsid w:val="00CA13DB"/>
    <w:rsid w:val="00CA141B"/>
    <w:rsid w:val="00CA173E"/>
    <w:rsid w:val="00CA18BB"/>
    <w:rsid w:val="00CA1B77"/>
    <w:rsid w:val="00CA1D54"/>
    <w:rsid w:val="00CA2022"/>
    <w:rsid w:val="00CA2113"/>
    <w:rsid w:val="00CA21CB"/>
    <w:rsid w:val="00CA229E"/>
    <w:rsid w:val="00CA2446"/>
    <w:rsid w:val="00CA24D7"/>
    <w:rsid w:val="00CA2525"/>
    <w:rsid w:val="00CA26EA"/>
    <w:rsid w:val="00CA2722"/>
    <w:rsid w:val="00CA2766"/>
    <w:rsid w:val="00CA280C"/>
    <w:rsid w:val="00CA2BE5"/>
    <w:rsid w:val="00CA2F7E"/>
    <w:rsid w:val="00CA2FB2"/>
    <w:rsid w:val="00CA32AA"/>
    <w:rsid w:val="00CA3A85"/>
    <w:rsid w:val="00CA3B3D"/>
    <w:rsid w:val="00CA3C6A"/>
    <w:rsid w:val="00CA3CF9"/>
    <w:rsid w:val="00CA3D3A"/>
    <w:rsid w:val="00CA4133"/>
    <w:rsid w:val="00CA42D6"/>
    <w:rsid w:val="00CA438A"/>
    <w:rsid w:val="00CA47C8"/>
    <w:rsid w:val="00CA4C00"/>
    <w:rsid w:val="00CA4CE6"/>
    <w:rsid w:val="00CA4DED"/>
    <w:rsid w:val="00CA4EB6"/>
    <w:rsid w:val="00CA4FEB"/>
    <w:rsid w:val="00CA509D"/>
    <w:rsid w:val="00CA528A"/>
    <w:rsid w:val="00CA546C"/>
    <w:rsid w:val="00CA5879"/>
    <w:rsid w:val="00CA5C45"/>
    <w:rsid w:val="00CA5E53"/>
    <w:rsid w:val="00CA5F56"/>
    <w:rsid w:val="00CA605D"/>
    <w:rsid w:val="00CA61E8"/>
    <w:rsid w:val="00CA6353"/>
    <w:rsid w:val="00CA63A2"/>
    <w:rsid w:val="00CA6913"/>
    <w:rsid w:val="00CA6D6D"/>
    <w:rsid w:val="00CA6DD0"/>
    <w:rsid w:val="00CA6E0D"/>
    <w:rsid w:val="00CA7170"/>
    <w:rsid w:val="00CA7423"/>
    <w:rsid w:val="00CA78CD"/>
    <w:rsid w:val="00CA79A4"/>
    <w:rsid w:val="00CA7F56"/>
    <w:rsid w:val="00CA7F80"/>
    <w:rsid w:val="00CA7FE7"/>
    <w:rsid w:val="00CB04FA"/>
    <w:rsid w:val="00CB064E"/>
    <w:rsid w:val="00CB0A88"/>
    <w:rsid w:val="00CB0C3B"/>
    <w:rsid w:val="00CB0E85"/>
    <w:rsid w:val="00CB0F8C"/>
    <w:rsid w:val="00CB10CB"/>
    <w:rsid w:val="00CB11C3"/>
    <w:rsid w:val="00CB1463"/>
    <w:rsid w:val="00CB15E9"/>
    <w:rsid w:val="00CB1660"/>
    <w:rsid w:val="00CB173A"/>
    <w:rsid w:val="00CB1885"/>
    <w:rsid w:val="00CB1C09"/>
    <w:rsid w:val="00CB1EA2"/>
    <w:rsid w:val="00CB20A2"/>
    <w:rsid w:val="00CB2BC9"/>
    <w:rsid w:val="00CB2BD5"/>
    <w:rsid w:val="00CB2CC2"/>
    <w:rsid w:val="00CB2CC6"/>
    <w:rsid w:val="00CB3086"/>
    <w:rsid w:val="00CB3610"/>
    <w:rsid w:val="00CB3709"/>
    <w:rsid w:val="00CB391A"/>
    <w:rsid w:val="00CB3C82"/>
    <w:rsid w:val="00CB3D52"/>
    <w:rsid w:val="00CB3E27"/>
    <w:rsid w:val="00CB4343"/>
    <w:rsid w:val="00CB45AF"/>
    <w:rsid w:val="00CB4603"/>
    <w:rsid w:val="00CB4769"/>
    <w:rsid w:val="00CB4855"/>
    <w:rsid w:val="00CB4880"/>
    <w:rsid w:val="00CB4B56"/>
    <w:rsid w:val="00CB4E43"/>
    <w:rsid w:val="00CB4E81"/>
    <w:rsid w:val="00CB5293"/>
    <w:rsid w:val="00CB5428"/>
    <w:rsid w:val="00CB551F"/>
    <w:rsid w:val="00CB59EA"/>
    <w:rsid w:val="00CB5B19"/>
    <w:rsid w:val="00CB5C55"/>
    <w:rsid w:val="00CB5D50"/>
    <w:rsid w:val="00CB5F4F"/>
    <w:rsid w:val="00CB645B"/>
    <w:rsid w:val="00CB64D0"/>
    <w:rsid w:val="00CB68CE"/>
    <w:rsid w:val="00CB6B2F"/>
    <w:rsid w:val="00CB6BAF"/>
    <w:rsid w:val="00CB71EB"/>
    <w:rsid w:val="00CB722C"/>
    <w:rsid w:val="00CB744A"/>
    <w:rsid w:val="00CB79DD"/>
    <w:rsid w:val="00CB7C19"/>
    <w:rsid w:val="00CB7DE9"/>
    <w:rsid w:val="00CB7E87"/>
    <w:rsid w:val="00CB7F09"/>
    <w:rsid w:val="00CB7F31"/>
    <w:rsid w:val="00CB7FAC"/>
    <w:rsid w:val="00CC0033"/>
    <w:rsid w:val="00CC0035"/>
    <w:rsid w:val="00CC0100"/>
    <w:rsid w:val="00CC0278"/>
    <w:rsid w:val="00CC075A"/>
    <w:rsid w:val="00CC092F"/>
    <w:rsid w:val="00CC0C42"/>
    <w:rsid w:val="00CC0CB0"/>
    <w:rsid w:val="00CC0FD2"/>
    <w:rsid w:val="00CC128A"/>
    <w:rsid w:val="00CC1417"/>
    <w:rsid w:val="00CC15A3"/>
    <w:rsid w:val="00CC171A"/>
    <w:rsid w:val="00CC1843"/>
    <w:rsid w:val="00CC1D10"/>
    <w:rsid w:val="00CC1D1A"/>
    <w:rsid w:val="00CC20E9"/>
    <w:rsid w:val="00CC2888"/>
    <w:rsid w:val="00CC29C5"/>
    <w:rsid w:val="00CC2AEE"/>
    <w:rsid w:val="00CC2DB0"/>
    <w:rsid w:val="00CC2ED3"/>
    <w:rsid w:val="00CC3114"/>
    <w:rsid w:val="00CC33D8"/>
    <w:rsid w:val="00CC3596"/>
    <w:rsid w:val="00CC36E6"/>
    <w:rsid w:val="00CC3F48"/>
    <w:rsid w:val="00CC3FE7"/>
    <w:rsid w:val="00CC421D"/>
    <w:rsid w:val="00CC47F0"/>
    <w:rsid w:val="00CC47F5"/>
    <w:rsid w:val="00CC4805"/>
    <w:rsid w:val="00CC4E59"/>
    <w:rsid w:val="00CC5201"/>
    <w:rsid w:val="00CC5956"/>
    <w:rsid w:val="00CC59EC"/>
    <w:rsid w:val="00CC5AF8"/>
    <w:rsid w:val="00CC5C2E"/>
    <w:rsid w:val="00CC5D7B"/>
    <w:rsid w:val="00CC5EEC"/>
    <w:rsid w:val="00CC5F59"/>
    <w:rsid w:val="00CC5F72"/>
    <w:rsid w:val="00CC61B1"/>
    <w:rsid w:val="00CC6260"/>
    <w:rsid w:val="00CC65A6"/>
    <w:rsid w:val="00CC660C"/>
    <w:rsid w:val="00CC67E9"/>
    <w:rsid w:val="00CC69A5"/>
    <w:rsid w:val="00CC6C25"/>
    <w:rsid w:val="00CC6F6E"/>
    <w:rsid w:val="00CC71FF"/>
    <w:rsid w:val="00CC7331"/>
    <w:rsid w:val="00CC7849"/>
    <w:rsid w:val="00CC7928"/>
    <w:rsid w:val="00CC7D3B"/>
    <w:rsid w:val="00CC7E28"/>
    <w:rsid w:val="00CC7E88"/>
    <w:rsid w:val="00CC7EDB"/>
    <w:rsid w:val="00CC7F8D"/>
    <w:rsid w:val="00CC7FAE"/>
    <w:rsid w:val="00CD0032"/>
    <w:rsid w:val="00CD051B"/>
    <w:rsid w:val="00CD0529"/>
    <w:rsid w:val="00CD05CA"/>
    <w:rsid w:val="00CD05F8"/>
    <w:rsid w:val="00CD06DD"/>
    <w:rsid w:val="00CD0796"/>
    <w:rsid w:val="00CD079C"/>
    <w:rsid w:val="00CD07E1"/>
    <w:rsid w:val="00CD0932"/>
    <w:rsid w:val="00CD0979"/>
    <w:rsid w:val="00CD0A25"/>
    <w:rsid w:val="00CD0C98"/>
    <w:rsid w:val="00CD0CB6"/>
    <w:rsid w:val="00CD0D26"/>
    <w:rsid w:val="00CD0E79"/>
    <w:rsid w:val="00CD0FB7"/>
    <w:rsid w:val="00CD12C9"/>
    <w:rsid w:val="00CD135B"/>
    <w:rsid w:val="00CD1404"/>
    <w:rsid w:val="00CD1700"/>
    <w:rsid w:val="00CD171C"/>
    <w:rsid w:val="00CD1A79"/>
    <w:rsid w:val="00CD1B3C"/>
    <w:rsid w:val="00CD1D77"/>
    <w:rsid w:val="00CD23D9"/>
    <w:rsid w:val="00CD29A5"/>
    <w:rsid w:val="00CD2BF9"/>
    <w:rsid w:val="00CD2FFC"/>
    <w:rsid w:val="00CD34BB"/>
    <w:rsid w:val="00CD384C"/>
    <w:rsid w:val="00CD39D7"/>
    <w:rsid w:val="00CD3C01"/>
    <w:rsid w:val="00CD3C11"/>
    <w:rsid w:val="00CD3ED2"/>
    <w:rsid w:val="00CD3F59"/>
    <w:rsid w:val="00CD40B8"/>
    <w:rsid w:val="00CD4148"/>
    <w:rsid w:val="00CD41CA"/>
    <w:rsid w:val="00CD4327"/>
    <w:rsid w:val="00CD443E"/>
    <w:rsid w:val="00CD4A34"/>
    <w:rsid w:val="00CD4A70"/>
    <w:rsid w:val="00CD4A75"/>
    <w:rsid w:val="00CD4C3A"/>
    <w:rsid w:val="00CD4F89"/>
    <w:rsid w:val="00CD507B"/>
    <w:rsid w:val="00CD5171"/>
    <w:rsid w:val="00CD5283"/>
    <w:rsid w:val="00CD537F"/>
    <w:rsid w:val="00CD552B"/>
    <w:rsid w:val="00CD5753"/>
    <w:rsid w:val="00CD58F3"/>
    <w:rsid w:val="00CD5904"/>
    <w:rsid w:val="00CD5B0A"/>
    <w:rsid w:val="00CD601D"/>
    <w:rsid w:val="00CD6123"/>
    <w:rsid w:val="00CD6147"/>
    <w:rsid w:val="00CD6153"/>
    <w:rsid w:val="00CD6322"/>
    <w:rsid w:val="00CD63F6"/>
    <w:rsid w:val="00CD664A"/>
    <w:rsid w:val="00CD66C8"/>
    <w:rsid w:val="00CD6893"/>
    <w:rsid w:val="00CD6925"/>
    <w:rsid w:val="00CD6A76"/>
    <w:rsid w:val="00CD6BAF"/>
    <w:rsid w:val="00CD6C98"/>
    <w:rsid w:val="00CD6E45"/>
    <w:rsid w:val="00CD6F41"/>
    <w:rsid w:val="00CD6F8F"/>
    <w:rsid w:val="00CD71A0"/>
    <w:rsid w:val="00CD79DD"/>
    <w:rsid w:val="00CD7ABA"/>
    <w:rsid w:val="00CD7BE8"/>
    <w:rsid w:val="00CD7C4A"/>
    <w:rsid w:val="00CD7F4F"/>
    <w:rsid w:val="00CE02A2"/>
    <w:rsid w:val="00CE0443"/>
    <w:rsid w:val="00CE05A8"/>
    <w:rsid w:val="00CE0720"/>
    <w:rsid w:val="00CE0849"/>
    <w:rsid w:val="00CE093E"/>
    <w:rsid w:val="00CE0C61"/>
    <w:rsid w:val="00CE0CCD"/>
    <w:rsid w:val="00CE0EA4"/>
    <w:rsid w:val="00CE0F18"/>
    <w:rsid w:val="00CE110E"/>
    <w:rsid w:val="00CE17A0"/>
    <w:rsid w:val="00CE1848"/>
    <w:rsid w:val="00CE1883"/>
    <w:rsid w:val="00CE1BEF"/>
    <w:rsid w:val="00CE2299"/>
    <w:rsid w:val="00CE2317"/>
    <w:rsid w:val="00CE2397"/>
    <w:rsid w:val="00CE25C7"/>
    <w:rsid w:val="00CE284D"/>
    <w:rsid w:val="00CE28E3"/>
    <w:rsid w:val="00CE2BC9"/>
    <w:rsid w:val="00CE2F8F"/>
    <w:rsid w:val="00CE311D"/>
    <w:rsid w:val="00CE32BA"/>
    <w:rsid w:val="00CE3527"/>
    <w:rsid w:val="00CE38E5"/>
    <w:rsid w:val="00CE3BD2"/>
    <w:rsid w:val="00CE3D6F"/>
    <w:rsid w:val="00CE41A3"/>
    <w:rsid w:val="00CE4204"/>
    <w:rsid w:val="00CE43B2"/>
    <w:rsid w:val="00CE44F0"/>
    <w:rsid w:val="00CE450F"/>
    <w:rsid w:val="00CE4887"/>
    <w:rsid w:val="00CE49A1"/>
    <w:rsid w:val="00CE49D6"/>
    <w:rsid w:val="00CE4B40"/>
    <w:rsid w:val="00CE4B7E"/>
    <w:rsid w:val="00CE4D76"/>
    <w:rsid w:val="00CE52CC"/>
    <w:rsid w:val="00CE5428"/>
    <w:rsid w:val="00CE5526"/>
    <w:rsid w:val="00CE590D"/>
    <w:rsid w:val="00CE5A17"/>
    <w:rsid w:val="00CE5B57"/>
    <w:rsid w:val="00CE5C40"/>
    <w:rsid w:val="00CE5F8E"/>
    <w:rsid w:val="00CE6119"/>
    <w:rsid w:val="00CE6155"/>
    <w:rsid w:val="00CE6448"/>
    <w:rsid w:val="00CE64DA"/>
    <w:rsid w:val="00CE6569"/>
    <w:rsid w:val="00CE6593"/>
    <w:rsid w:val="00CE66B8"/>
    <w:rsid w:val="00CE68FE"/>
    <w:rsid w:val="00CE6E20"/>
    <w:rsid w:val="00CE70B6"/>
    <w:rsid w:val="00CE7141"/>
    <w:rsid w:val="00CE72B0"/>
    <w:rsid w:val="00CE7419"/>
    <w:rsid w:val="00CE74B8"/>
    <w:rsid w:val="00CE75EB"/>
    <w:rsid w:val="00CE7614"/>
    <w:rsid w:val="00CE766E"/>
    <w:rsid w:val="00CE7AF5"/>
    <w:rsid w:val="00CF039A"/>
    <w:rsid w:val="00CF051C"/>
    <w:rsid w:val="00CF0625"/>
    <w:rsid w:val="00CF085A"/>
    <w:rsid w:val="00CF0A55"/>
    <w:rsid w:val="00CF0AF3"/>
    <w:rsid w:val="00CF0D8A"/>
    <w:rsid w:val="00CF0E92"/>
    <w:rsid w:val="00CF0EEB"/>
    <w:rsid w:val="00CF0F02"/>
    <w:rsid w:val="00CF0F1D"/>
    <w:rsid w:val="00CF0FD9"/>
    <w:rsid w:val="00CF172A"/>
    <w:rsid w:val="00CF1778"/>
    <w:rsid w:val="00CF18D3"/>
    <w:rsid w:val="00CF1A0C"/>
    <w:rsid w:val="00CF1A2D"/>
    <w:rsid w:val="00CF1C35"/>
    <w:rsid w:val="00CF1E59"/>
    <w:rsid w:val="00CF206B"/>
    <w:rsid w:val="00CF2427"/>
    <w:rsid w:val="00CF2514"/>
    <w:rsid w:val="00CF2529"/>
    <w:rsid w:val="00CF26E9"/>
    <w:rsid w:val="00CF2839"/>
    <w:rsid w:val="00CF2913"/>
    <w:rsid w:val="00CF2CE5"/>
    <w:rsid w:val="00CF2F04"/>
    <w:rsid w:val="00CF32DA"/>
    <w:rsid w:val="00CF3300"/>
    <w:rsid w:val="00CF3463"/>
    <w:rsid w:val="00CF3867"/>
    <w:rsid w:val="00CF3D43"/>
    <w:rsid w:val="00CF3DE5"/>
    <w:rsid w:val="00CF3E03"/>
    <w:rsid w:val="00CF3FEF"/>
    <w:rsid w:val="00CF4257"/>
    <w:rsid w:val="00CF439F"/>
    <w:rsid w:val="00CF4857"/>
    <w:rsid w:val="00CF4A21"/>
    <w:rsid w:val="00CF4D59"/>
    <w:rsid w:val="00CF5256"/>
    <w:rsid w:val="00CF5640"/>
    <w:rsid w:val="00CF5AEE"/>
    <w:rsid w:val="00CF612F"/>
    <w:rsid w:val="00CF636A"/>
    <w:rsid w:val="00CF6488"/>
    <w:rsid w:val="00CF66DA"/>
    <w:rsid w:val="00CF671D"/>
    <w:rsid w:val="00CF7120"/>
    <w:rsid w:val="00CF724C"/>
    <w:rsid w:val="00CF72FD"/>
    <w:rsid w:val="00CF76AD"/>
    <w:rsid w:val="00CF79D2"/>
    <w:rsid w:val="00CF7BCC"/>
    <w:rsid w:val="00CF7DD7"/>
    <w:rsid w:val="00CF7F34"/>
    <w:rsid w:val="00D001B4"/>
    <w:rsid w:val="00D00306"/>
    <w:rsid w:val="00D003B7"/>
    <w:rsid w:val="00D00664"/>
    <w:rsid w:val="00D006C2"/>
    <w:rsid w:val="00D0071D"/>
    <w:rsid w:val="00D00753"/>
    <w:rsid w:val="00D00964"/>
    <w:rsid w:val="00D00A0F"/>
    <w:rsid w:val="00D00D7E"/>
    <w:rsid w:val="00D00E36"/>
    <w:rsid w:val="00D00F6A"/>
    <w:rsid w:val="00D01D8C"/>
    <w:rsid w:val="00D01F08"/>
    <w:rsid w:val="00D0255A"/>
    <w:rsid w:val="00D0267D"/>
    <w:rsid w:val="00D02AB1"/>
    <w:rsid w:val="00D02F4F"/>
    <w:rsid w:val="00D02FAD"/>
    <w:rsid w:val="00D0313B"/>
    <w:rsid w:val="00D03173"/>
    <w:rsid w:val="00D032AE"/>
    <w:rsid w:val="00D03307"/>
    <w:rsid w:val="00D03326"/>
    <w:rsid w:val="00D0342D"/>
    <w:rsid w:val="00D0354D"/>
    <w:rsid w:val="00D03561"/>
    <w:rsid w:val="00D035E3"/>
    <w:rsid w:val="00D0368D"/>
    <w:rsid w:val="00D0368F"/>
    <w:rsid w:val="00D0371D"/>
    <w:rsid w:val="00D038EF"/>
    <w:rsid w:val="00D038FC"/>
    <w:rsid w:val="00D03A51"/>
    <w:rsid w:val="00D03DBA"/>
    <w:rsid w:val="00D03F5C"/>
    <w:rsid w:val="00D04246"/>
    <w:rsid w:val="00D04358"/>
    <w:rsid w:val="00D0460C"/>
    <w:rsid w:val="00D04662"/>
    <w:rsid w:val="00D046B1"/>
    <w:rsid w:val="00D04CB3"/>
    <w:rsid w:val="00D04D4A"/>
    <w:rsid w:val="00D04E24"/>
    <w:rsid w:val="00D050E7"/>
    <w:rsid w:val="00D05343"/>
    <w:rsid w:val="00D053DE"/>
    <w:rsid w:val="00D05499"/>
    <w:rsid w:val="00D055A1"/>
    <w:rsid w:val="00D056CB"/>
    <w:rsid w:val="00D05B49"/>
    <w:rsid w:val="00D05BE0"/>
    <w:rsid w:val="00D05DD4"/>
    <w:rsid w:val="00D05F62"/>
    <w:rsid w:val="00D06236"/>
    <w:rsid w:val="00D06244"/>
    <w:rsid w:val="00D06253"/>
    <w:rsid w:val="00D062D7"/>
    <w:rsid w:val="00D06382"/>
    <w:rsid w:val="00D06531"/>
    <w:rsid w:val="00D065C3"/>
    <w:rsid w:val="00D069EB"/>
    <w:rsid w:val="00D07071"/>
    <w:rsid w:val="00D075D1"/>
    <w:rsid w:val="00D07603"/>
    <w:rsid w:val="00D07684"/>
    <w:rsid w:val="00D0771A"/>
    <w:rsid w:val="00D0776F"/>
    <w:rsid w:val="00D077F7"/>
    <w:rsid w:val="00D078EB"/>
    <w:rsid w:val="00D0791B"/>
    <w:rsid w:val="00D07B62"/>
    <w:rsid w:val="00D07D93"/>
    <w:rsid w:val="00D104DE"/>
    <w:rsid w:val="00D10587"/>
    <w:rsid w:val="00D105CC"/>
    <w:rsid w:val="00D1087A"/>
    <w:rsid w:val="00D1099B"/>
    <w:rsid w:val="00D10CFB"/>
    <w:rsid w:val="00D10D1D"/>
    <w:rsid w:val="00D1103D"/>
    <w:rsid w:val="00D11207"/>
    <w:rsid w:val="00D11234"/>
    <w:rsid w:val="00D11266"/>
    <w:rsid w:val="00D112F2"/>
    <w:rsid w:val="00D11301"/>
    <w:rsid w:val="00D1177D"/>
    <w:rsid w:val="00D1178B"/>
    <w:rsid w:val="00D118F7"/>
    <w:rsid w:val="00D11AF7"/>
    <w:rsid w:val="00D11B55"/>
    <w:rsid w:val="00D11BBB"/>
    <w:rsid w:val="00D11E46"/>
    <w:rsid w:val="00D1204E"/>
    <w:rsid w:val="00D123BA"/>
    <w:rsid w:val="00D1292D"/>
    <w:rsid w:val="00D12AE0"/>
    <w:rsid w:val="00D12C57"/>
    <w:rsid w:val="00D12E87"/>
    <w:rsid w:val="00D12F61"/>
    <w:rsid w:val="00D13021"/>
    <w:rsid w:val="00D13098"/>
    <w:rsid w:val="00D13343"/>
    <w:rsid w:val="00D1354E"/>
    <w:rsid w:val="00D13667"/>
    <w:rsid w:val="00D13A74"/>
    <w:rsid w:val="00D13C5E"/>
    <w:rsid w:val="00D13E01"/>
    <w:rsid w:val="00D140CB"/>
    <w:rsid w:val="00D14473"/>
    <w:rsid w:val="00D149A5"/>
    <w:rsid w:val="00D14CC4"/>
    <w:rsid w:val="00D14DD8"/>
    <w:rsid w:val="00D14E59"/>
    <w:rsid w:val="00D14EA8"/>
    <w:rsid w:val="00D153C7"/>
    <w:rsid w:val="00D15B6B"/>
    <w:rsid w:val="00D15DB5"/>
    <w:rsid w:val="00D15ECD"/>
    <w:rsid w:val="00D16184"/>
    <w:rsid w:val="00D16250"/>
    <w:rsid w:val="00D164FD"/>
    <w:rsid w:val="00D167E3"/>
    <w:rsid w:val="00D168FA"/>
    <w:rsid w:val="00D16A9A"/>
    <w:rsid w:val="00D16B85"/>
    <w:rsid w:val="00D16DC9"/>
    <w:rsid w:val="00D170FD"/>
    <w:rsid w:val="00D17151"/>
    <w:rsid w:val="00D173D7"/>
    <w:rsid w:val="00D1766C"/>
    <w:rsid w:val="00D17786"/>
    <w:rsid w:val="00D1787B"/>
    <w:rsid w:val="00D17AEA"/>
    <w:rsid w:val="00D17B3D"/>
    <w:rsid w:val="00D17B60"/>
    <w:rsid w:val="00D17B85"/>
    <w:rsid w:val="00D17C22"/>
    <w:rsid w:val="00D17E25"/>
    <w:rsid w:val="00D17F34"/>
    <w:rsid w:val="00D20000"/>
    <w:rsid w:val="00D20031"/>
    <w:rsid w:val="00D203F7"/>
    <w:rsid w:val="00D20568"/>
    <w:rsid w:val="00D20661"/>
    <w:rsid w:val="00D2071A"/>
    <w:rsid w:val="00D20924"/>
    <w:rsid w:val="00D20D0C"/>
    <w:rsid w:val="00D20D42"/>
    <w:rsid w:val="00D20E0A"/>
    <w:rsid w:val="00D20E38"/>
    <w:rsid w:val="00D20EB0"/>
    <w:rsid w:val="00D20F27"/>
    <w:rsid w:val="00D20FA7"/>
    <w:rsid w:val="00D2104A"/>
    <w:rsid w:val="00D21260"/>
    <w:rsid w:val="00D212FA"/>
    <w:rsid w:val="00D2137C"/>
    <w:rsid w:val="00D21419"/>
    <w:rsid w:val="00D2142E"/>
    <w:rsid w:val="00D2168C"/>
    <w:rsid w:val="00D2177F"/>
    <w:rsid w:val="00D218AB"/>
    <w:rsid w:val="00D21E2B"/>
    <w:rsid w:val="00D21E33"/>
    <w:rsid w:val="00D21EA0"/>
    <w:rsid w:val="00D22124"/>
    <w:rsid w:val="00D22363"/>
    <w:rsid w:val="00D223CB"/>
    <w:rsid w:val="00D22628"/>
    <w:rsid w:val="00D228C9"/>
    <w:rsid w:val="00D229C9"/>
    <w:rsid w:val="00D22DCA"/>
    <w:rsid w:val="00D22EC7"/>
    <w:rsid w:val="00D22FC3"/>
    <w:rsid w:val="00D22FE5"/>
    <w:rsid w:val="00D23726"/>
    <w:rsid w:val="00D239A9"/>
    <w:rsid w:val="00D23AB1"/>
    <w:rsid w:val="00D23ACD"/>
    <w:rsid w:val="00D23B9C"/>
    <w:rsid w:val="00D23E04"/>
    <w:rsid w:val="00D23F25"/>
    <w:rsid w:val="00D240B0"/>
    <w:rsid w:val="00D2438B"/>
    <w:rsid w:val="00D24538"/>
    <w:rsid w:val="00D2460C"/>
    <w:rsid w:val="00D24AA7"/>
    <w:rsid w:val="00D24CDD"/>
    <w:rsid w:val="00D25221"/>
    <w:rsid w:val="00D2528B"/>
    <w:rsid w:val="00D25963"/>
    <w:rsid w:val="00D25B77"/>
    <w:rsid w:val="00D2622C"/>
    <w:rsid w:val="00D26279"/>
    <w:rsid w:val="00D26322"/>
    <w:rsid w:val="00D263A4"/>
    <w:rsid w:val="00D263E7"/>
    <w:rsid w:val="00D26472"/>
    <w:rsid w:val="00D264C2"/>
    <w:rsid w:val="00D2657E"/>
    <w:rsid w:val="00D26655"/>
    <w:rsid w:val="00D26746"/>
    <w:rsid w:val="00D2683C"/>
    <w:rsid w:val="00D26920"/>
    <w:rsid w:val="00D26D01"/>
    <w:rsid w:val="00D27098"/>
    <w:rsid w:val="00D272F6"/>
    <w:rsid w:val="00D27958"/>
    <w:rsid w:val="00D27CED"/>
    <w:rsid w:val="00D27D12"/>
    <w:rsid w:val="00D27F8F"/>
    <w:rsid w:val="00D302BF"/>
    <w:rsid w:val="00D30313"/>
    <w:rsid w:val="00D30A7E"/>
    <w:rsid w:val="00D310E9"/>
    <w:rsid w:val="00D311AE"/>
    <w:rsid w:val="00D313B3"/>
    <w:rsid w:val="00D315FD"/>
    <w:rsid w:val="00D3167A"/>
    <w:rsid w:val="00D31D5E"/>
    <w:rsid w:val="00D31E9D"/>
    <w:rsid w:val="00D31EE5"/>
    <w:rsid w:val="00D31FB7"/>
    <w:rsid w:val="00D3218B"/>
    <w:rsid w:val="00D322E1"/>
    <w:rsid w:val="00D322EB"/>
    <w:rsid w:val="00D323DA"/>
    <w:rsid w:val="00D325DA"/>
    <w:rsid w:val="00D3263E"/>
    <w:rsid w:val="00D326EB"/>
    <w:rsid w:val="00D327B0"/>
    <w:rsid w:val="00D32836"/>
    <w:rsid w:val="00D3285D"/>
    <w:rsid w:val="00D328B9"/>
    <w:rsid w:val="00D3292B"/>
    <w:rsid w:val="00D329AC"/>
    <w:rsid w:val="00D32A0F"/>
    <w:rsid w:val="00D32A82"/>
    <w:rsid w:val="00D3306E"/>
    <w:rsid w:val="00D33201"/>
    <w:rsid w:val="00D333F3"/>
    <w:rsid w:val="00D33744"/>
    <w:rsid w:val="00D33880"/>
    <w:rsid w:val="00D33F02"/>
    <w:rsid w:val="00D33F5F"/>
    <w:rsid w:val="00D33F66"/>
    <w:rsid w:val="00D3403B"/>
    <w:rsid w:val="00D34205"/>
    <w:rsid w:val="00D34891"/>
    <w:rsid w:val="00D349A2"/>
    <w:rsid w:val="00D34A32"/>
    <w:rsid w:val="00D34BDB"/>
    <w:rsid w:val="00D34C14"/>
    <w:rsid w:val="00D34EA3"/>
    <w:rsid w:val="00D35011"/>
    <w:rsid w:val="00D351AB"/>
    <w:rsid w:val="00D352B5"/>
    <w:rsid w:val="00D35310"/>
    <w:rsid w:val="00D358ED"/>
    <w:rsid w:val="00D358F7"/>
    <w:rsid w:val="00D35A09"/>
    <w:rsid w:val="00D35A55"/>
    <w:rsid w:val="00D35C12"/>
    <w:rsid w:val="00D3613E"/>
    <w:rsid w:val="00D362AA"/>
    <w:rsid w:val="00D36376"/>
    <w:rsid w:val="00D3664F"/>
    <w:rsid w:val="00D3669A"/>
    <w:rsid w:val="00D36735"/>
    <w:rsid w:val="00D36905"/>
    <w:rsid w:val="00D36AA7"/>
    <w:rsid w:val="00D36D78"/>
    <w:rsid w:val="00D36E67"/>
    <w:rsid w:val="00D37503"/>
    <w:rsid w:val="00D37708"/>
    <w:rsid w:val="00D37776"/>
    <w:rsid w:val="00D378AC"/>
    <w:rsid w:val="00D379DE"/>
    <w:rsid w:val="00D37EF5"/>
    <w:rsid w:val="00D37F84"/>
    <w:rsid w:val="00D4028A"/>
    <w:rsid w:val="00D4060B"/>
    <w:rsid w:val="00D40734"/>
    <w:rsid w:val="00D4081B"/>
    <w:rsid w:val="00D40A95"/>
    <w:rsid w:val="00D40D0F"/>
    <w:rsid w:val="00D41004"/>
    <w:rsid w:val="00D4108A"/>
    <w:rsid w:val="00D41350"/>
    <w:rsid w:val="00D413A4"/>
    <w:rsid w:val="00D413B1"/>
    <w:rsid w:val="00D41576"/>
    <w:rsid w:val="00D416B2"/>
    <w:rsid w:val="00D4181E"/>
    <w:rsid w:val="00D418DC"/>
    <w:rsid w:val="00D419C9"/>
    <w:rsid w:val="00D41CB7"/>
    <w:rsid w:val="00D41D8C"/>
    <w:rsid w:val="00D41FF7"/>
    <w:rsid w:val="00D420AE"/>
    <w:rsid w:val="00D421D0"/>
    <w:rsid w:val="00D42409"/>
    <w:rsid w:val="00D424D2"/>
    <w:rsid w:val="00D4258A"/>
    <w:rsid w:val="00D4260C"/>
    <w:rsid w:val="00D4264E"/>
    <w:rsid w:val="00D428B9"/>
    <w:rsid w:val="00D42CA0"/>
    <w:rsid w:val="00D42CA9"/>
    <w:rsid w:val="00D43246"/>
    <w:rsid w:val="00D43770"/>
    <w:rsid w:val="00D43E38"/>
    <w:rsid w:val="00D4403D"/>
    <w:rsid w:val="00D44195"/>
    <w:rsid w:val="00D44897"/>
    <w:rsid w:val="00D44A49"/>
    <w:rsid w:val="00D44B09"/>
    <w:rsid w:val="00D44D94"/>
    <w:rsid w:val="00D4530A"/>
    <w:rsid w:val="00D45717"/>
    <w:rsid w:val="00D45750"/>
    <w:rsid w:val="00D457A1"/>
    <w:rsid w:val="00D457EA"/>
    <w:rsid w:val="00D45A4E"/>
    <w:rsid w:val="00D45C1C"/>
    <w:rsid w:val="00D45C42"/>
    <w:rsid w:val="00D45F26"/>
    <w:rsid w:val="00D4689B"/>
    <w:rsid w:val="00D469D6"/>
    <w:rsid w:val="00D4715A"/>
    <w:rsid w:val="00D47627"/>
    <w:rsid w:val="00D477EF"/>
    <w:rsid w:val="00D4780A"/>
    <w:rsid w:val="00D47891"/>
    <w:rsid w:val="00D47B92"/>
    <w:rsid w:val="00D47CF5"/>
    <w:rsid w:val="00D47E4D"/>
    <w:rsid w:val="00D50469"/>
    <w:rsid w:val="00D504FC"/>
    <w:rsid w:val="00D5057D"/>
    <w:rsid w:val="00D5063D"/>
    <w:rsid w:val="00D50A06"/>
    <w:rsid w:val="00D50EA4"/>
    <w:rsid w:val="00D512BD"/>
    <w:rsid w:val="00D51358"/>
    <w:rsid w:val="00D51395"/>
    <w:rsid w:val="00D514BF"/>
    <w:rsid w:val="00D514F0"/>
    <w:rsid w:val="00D5162B"/>
    <w:rsid w:val="00D517A9"/>
    <w:rsid w:val="00D51D15"/>
    <w:rsid w:val="00D51D30"/>
    <w:rsid w:val="00D51DB7"/>
    <w:rsid w:val="00D51E44"/>
    <w:rsid w:val="00D521AE"/>
    <w:rsid w:val="00D5223D"/>
    <w:rsid w:val="00D52469"/>
    <w:rsid w:val="00D52E54"/>
    <w:rsid w:val="00D52E77"/>
    <w:rsid w:val="00D52FF5"/>
    <w:rsid w:val="00D53020"/>
    <w:rsid w:val="00D53188"/>
    <w:rsid w:val="00D533FC"/>
    <w:rsid w:val="00D53553"/>
    <w:rsid w:val="00D54139"/>
    <w:rsid w:val="00D545DF"/>
    <w:rsid w:val="00D546E7"/>
    <w:rsid w:val="00D54D2F"/>
    <w:rsid w:val="00D550E0"/>
    <w:rsid w:val="00D5532F"/>
    <w:rsid w:val="00D553A1"/>
    <w:rsid w:val="00D5595E"/>
    <w:rsid w:val="00D55BA6"/>
    <w:rsid w:val="00D55D50"/>
    <w:rsid w:val="00D56352"/>
    <w:rsid w:val="00D564DA"/>
    <w:rsid w:val="00D56536"/>
    <w:rsid w:val="00D5657D"/>
    <w:rsid w:val="00D566A0"/>
    <w:rsid w:val="00D56781"/>
    <w:rsid w:val="00D567AC"/>
    <w:rsid w:val="00D567E6"/>
    <w:rsid w:val="00D56DFA"/>
    <w:rsid w:val="00D56ED7"/>
    <w:rsid w:val="00D57069"/>
    <w:rsid w:val="00D570FB"/>
    <w:rsid w:val="00D571AF"/>
    <w:rsid w:val="00D57328"/>
    <w:rsid w:val="00D57432"/>
    <w:rsid w:val="00D57539"/>
    <w:rsid w:val="00D5796D"/>
    <w:rsid w:val="00D5798C"/>
    <w:rsid w:val="00D57D33"/>
    <w:rsid w:val="00D57D35"/>
    <w:rsid w:val="00D57DAB"/>
    <w:rsid w:val="00D57F8E"/>
    <w:rsid w:val="00D60107"/>
    <w:rsid w:val="00D60512"/>
    <w:rsid w:val="00D6061D"/>
    <w:rsid w:val="00D606D3"/>
    <w:rsid w:val="00D608D5"/>
    <w:rsid w:val="00D60962"/>
    <w:rsid w:val="00D60C8E"/>
    <w:rsid w:val="00D60DD0"/>
    <w:rsid w:val="00D60DD2"/>
    <w:rsid w:val="00D60E22"/>
    <w:rsid w:val="00D60F74"/>
    <w:rsid w:val="00D60FEE"/>
    <w:rsid w:val="00D6104A"/>
    <w:rsid w:val="00D610A6"/>
    <w:rsid w:val="00D61302"/>
    <w:rsid w:val="00D61354"/>
    <w:rsid w:val="00D61373"/>
    <w:rsid w:val="00D6150C"/>
    <w:rsid w:val="00D617EA"/>
    <w:rsid w:val="00D6195D"/>
    <w:rsid w:val="00D61964"/>
    <w:rsid w:val="00D61A8F"/>
    <w:rsid w:val="00D61C54"/>
    <w:rsid w:val="00D61E06"/>
    <w:rsid w:val="00D61E3C"/>
    <w:rsid w:val="00D61F3E"/>
    <w:rsid w:val="00D62024"/>
    <w:rsid w:val="00D6222E"/>
    <w:rsid w:val="00D6269A"/>
    <w:rsid w:val="00D6281F"/>
    <w:rsid w:val="00D62A53"/>
    <w:rsid w:val="00D62A63"/>
    <w:rsid w:val="00D62C6F"/>
    <w:rsid w:val="00D62F4D"/>
    <w:rsid w:val="00D6339F"/>
    <w:rsid w:val="00D637B9"/>
    <w:rsid w:val="00D637E1"/>
    <w:rsid w:val="00D6385B"/>
    <w:rsid w:val="00D63924"/>
    <w:rsid w:val="00D63A80"/>
    <w:rsid w:val="00D63B5C"/>
    <w:rsid w:val="00D63CAF"/>
    <w:rsid w:val="00D63DAA"/>
    <w:rsid w:val="00D645C5"/>
    <w:rsid w:val="00D6460F"/>
    <w:rsid w:val="00D6470B"/>
    <w:rsid w:val="00D64906"/>
    <w:rsid w:val="00D652A1"/>
    <w:rsid w:val="00D652D9"/>
    <w:rsid w:val="00D654C5"/>
    <w:rsid w:val="00D65673"/>
    <w:rsid w:val="00D65AC1"/>
    <w:rsid w:val="00D65CFB"/>
    <w:rsid w:val="00D66374"/>
    <w:rsid w:val="00D667A6"/>
    <w:rsid w:val="00D66A18"/>
    <w:rsid w:val="00D66E22"/>
    <w:rsid w:val="00D66F0F"/>
    <w:rsid w:val="00D66F26"/>
    <w:rsid w:val="00D66F4E"/>
    <w:rsid w:val="00D66F89"/>
    <w:rsid w:val="00D672FC"/>
    <w:rsid w:val="00D674DB"/>
    <w:rsid w:val="00D67802"/>
    <w:rsid w:val="00D67C14"/>
    <w:rsid w:val="00D67F2C"/>
    <w:rsid w:val="00D67FF1"/>
    <w:rsid w:val="00D70103"/>
    <w:rsid w:val="00D7027A"/>
    <w:rsid w:val="00D7038D"/>
    <w:rsid w:val="00D7045F"/>
    <w:rsid w:val="00D7061C"/>
    <w:rsid w:val="00D70664"/>
    <w:rsid w:val="00D70A9D"/>
    <w:rsid w:val="00D70BFD"/>
    <w:rsid w:val="00D70C17"/>
    <w:rsid w:val="00D70DDA"/>
    <w:rsid w:val="00D70FC3"/>
    <w:rsid w:val="00D71318"/>
    <w:rsid w:val="00D717DE"/>
    <w:rsid w:val="00D718E8"/>
    <w:rsid w:val="00D71907"/>
    <w:rsid w:val="00D719DC"/>
    <w:rsid w:val="00D71BF4"/>
    <w:rsid w:val="00D71D71"/>
    <w:rsid w:val="00D71EBD"/>
    <w:rsid w:val="00D7218E"/>
    <w:rsid w:val="00D7239E"/>
    <w:rsid w:val="00D7269A"/>
    <w:rsid w:val="00D72835"/>
    <w:rsid w:val="00D72A82"/>
    <w:rsid w:val="00D72B9C"/>
    <w:rsid w:val="00D72BC5"/>
    <w:rsid w:val="00D72D76"/>
    <w:rsid w:val="00D72F01"/>
    <w:rsid w:val="00D732AA"/>
    <w:rsid w:val="00D73444"/>
    <w:rsid w:val="00D73667"/>
    <w:rsid w:val="00D7380C"/>
    <w:rsid w:val="00D73AD9"/>
    <w:rsid w:val="00D73CC7"/>
    <w:rsid w:val="00D7434E"/>
    <w:rsid w:val="00D74460"/>
    <w:rsid w:val="00D744B2"/>
    <w:rsid w:val="00D746E9"/>
    <w:rsid w:val="00D74881"/>
    <w:rsid w:val="00D748E2"/>
    <w:rsid w:val="00D74AE4"/>
    <w:rsid w:val="00D74B1C"/>
    <w:rsid w:val="00D74D40"/>
    <w:rsid w:val="00D74E89"/>
    <w:rsid w:val="00D7507D"/>
    <w:rsid w:val="00D751D9"/>
    <w:rsid w:val="00D75806"/>
    <w:rsid w:val="00D75C45"/>
    <w:rsid w:val="00D76056"/>
    <w:rsid w:val="00D763D7"/>
    <w:rsid w:val="00D769CC"/>
    <w:rsid w:val="00D76AB5"/>
    <w:rsid w:val="00D76F1E"/>
    <w:rsid w:val="00D7725D"/>
    <w:rsid w:val="00D77481"/>
    <w:rsid w:val="00D77936"/>
    <w:rsid w:val="00D77B20"/>
    <w:rsid w:val="00D77B22"/>
    <w:rsid w:val="00D77B7A"/>
    <w:rsid w:val="00D77D3D"/>
    <w:rsid w:val="00D77E7F"/>
    <w:rsid w:val="00D802BE"/>
    <w:rsid w:val="00D80521"/>
    <w:rsid w:val="00D80530"/>
    <w:rsid w:val="00D80AF3"/>
    <w:rsid w:val="00D80C29"/>
    <w:rsid w:val="00D80CDE"/>
    <w:rsid w:val="00D80DEF"/>
    <w:rsid w:val="00D80EAC"/>
    <w:rsid w:val="00D812F3"/>
    <w:rsid w:val="00D81660"/>
    <w:rsid w:val="00D816CC"/>
    <w:rsid w:val="00D817E0"/>
    <w:rsid w:val="00D81D66"/>
    <w:rsid w:val="00D82355"/>
    <w:rsid w:val="00D828A5"/>
    <w:rsid w:val="00D83152"/>
    <w:rsid w:val="00D8316D"/>
    <w:rsid w:val="00D83582"/>
    <w:rsid w:val="00D83758"/>
    <w:rsid w:val="00D83B51"/>
    <w:rsid w:val="00D83BF1"/>
    <w:rsid w:val="00D83F84"/>
    <w:rsid w:val="00D83FA3"/>
    <w:rsid w:val="00D842C5"/>
    <w:rsid w:val="00D842FC"/>
    <w:rsid w:val="00D8471F"/>
    <w:rsid w:val="00D84794"/>
    <w:rsid w:val="00D847EE"/>
    <w:rsid w:val="00D84B34"/>
    <w:rsid w:val="00D84B66"/>
    <w:rsid w:val="00D84B88"/>
    <w:rsid w:val="00D84E1F"/>
    <w:rsid w:val="00D84E2D"/>
    <w:rsid w:val="00D84ECA"/>
    <w:rsid w:val="00D850E7"/>
    <w:rsid w:val="00D8525E"/>
    <w:rsid w:val="00D8548A"/>
    <w:rsid w:val="00D855C8"/>
    <w:rsid w:val="00D8584A"/>
    <w:rsid w:val="00D85C08"/>
    <w:rsid w:val="00D85F78"/>
    <w:rsid w:val="00D861F7"/>
    <w:rsid w:val="00D86222"/>
    <w:rsid w:val="00D868BD"/>
    <w:rsid w:val="00D86992"/>
    <w:rsid w:val="00D86C68"/>
    <w:rsid w:val="00D86D08"/>
    <w:rsid w:val="00D870B3"/>
    <w:rsid w:val="00D8759A"/>
    <w:rsid w:val="00D87659"/>
    <w:rsid w:val="00D876F0"/>
    <w:rsid w:val="00D87E1B"/>
    <w:rsid w:val="00D87E6E"/>
    <w:rsid w:val="00D903E6"/>
    <w:rsid w:val="00D9041B"/>
    <w:rsid w:val="00D90614"/>
    <w:rsid w:val="00D9070B"/>
    <w:rsid w:val="00D90713"/>
    <w:rsid w:val="00D907F5"/>
    <w:rsid w:val="00D90841"/>
    <w:rsid w:val="00D90ABE"/>
    <w:rsid w:val="00D90B78"/>
    <w:rsid w:val="00D90DBB"/>
    <w:rsid w:val="00D910DD"/>
    <w:rsid w:val="00D9115F"/>
    <w:rsid w:val="00D9141D"/>
    <w:rsid w:val="00D91515"/>
    <w:rsid w:val="00D9192B"/>
    <w:rsid w:val="00D91943"/>
    <w:rsid w:val="00D91A33"/>
    <w:rsid w:val="00D91D79"/>
    <w:rsid w:val="00D920CF"/>
    <w:rsid w:val="00D9230A"/>
    <w:rsid w:val="00D92323"/>
    <w:rsid w:val="00D923F6"/>
    <w:rsid w:val="00D927F0"/>
    <w:rsid w:val="00D92CE8"/>
    <w:rsid w:val="00D92DA4"/>
    <w:rsid w:val="00D92E0B"/>
    <w:rsid w:val="00D92F67"/>
    <w:rsid w:val="00D935C2"/>
    <w:rsid w:val="00D93877"/>
    <w:rsid w:val="00D93ADE"/>
    <w:rsid w:val="00D93C02"/>
    <w:rsid w:val="00D93DE6"/>
    <w:rsid w:val="00D94020"/>
    <w:rsid w:val="00D9407D"/>
    <w:rsid w:val="00D941E5"/>
    <w:rsid w:val="00D945E8"/>
    <w:rsid w:val="00D946C9"/>
    <w:rsid w:val="00D949E6"/>
    <w:rsid w:val="00D94A45"/>
    <w:rsid w:val="00D94CF3"/>
    <w:rsid w:val="00D94EEF"/>
    <w:rsid w:val="00D95311"/>
    <w:rsid w:val="00D955F8"/>
    <w:rsid w:val="00D95692"/>
    <w:rsid w:val="00D95889"/>
    <w:rsid w:val="00D95A94"/>
    <w:rsid w:val="00D95B96"/>
    <w:rsid w:val="00D95C12"/>
    <w:rsid w:val="00D95F10"/>
    <w:rsid w:val="00D95FED"/>
    <w:rsid w:val="00D9634E"/>
    <w:rsid w:val="00D9668E"/>
    <w:rsid w:val="00D967A8"/>
    <w:rsid w:val="00D968CC"/>
    <w:rsid w:val="00D968FB"/>
    <w:rsid w:val="00D969A7"/>
    <w:rsid w:val="00D96BAD"/>
    <w:rsid w:val="00D96BD4"/>
    <w:rsid w:val="00D96F2C"/>
    <w:rsid w:val="00D96F44"/>
    <w:rsid w:val="00D96F64"/>
    <w:rsid w:val="00D97109"/>
    <w:rsid w:val="00D971AD"/>
    <w:rsid w:val="00D97322"/>
    <w:rsid w:val="00DA00CD"/>
    <w:rsid w:val="00DA00FF"/>
    <w:rsid w:val="00DA01BE"/>
    <w:rsid w:val="00DA02AE"/>
    <w:rsid w:val="00DA035B"/>
    <w:rsid w:val="00DA0436"/>
    <w:rsid w:val="00DA04C5"/>
    <w:rsid w:val="00DA0540"/>
    <w:rsid w:val="00DA058E"/>
    <w:rsid w:val="00DA0DE2"/>
    <w:rsid w:val="00DA0F94"/>
    <w:rsid w:val="00DA1355"/>
    <w:rsid w:val="00DA151D"/>
    <w:rsid w:val="00DA1584"/>
    <w:rsid w:val="00DA17E6"/>
    <w:rsid w:val="00DA18FB"/>
    <w:rsid w:val="00DA19EE"/>
    <w:rsid w:val="00DA1B69"/>
    <w:rsid w:val="00DA1D22"/>
    <w:rsid w:val="00DA1DBF"/>
    <w:rsid w:val="00DA221B"/>
    <w:rsid w:val="00DA279F"/>
    <w:rsid w:val="00DA2903"/>
    <w:rsid w:val="00DA29C4"/>
    <w:rsid w:val="00DA2A46"/>
    <w:rsid w:val="00DA2A67"/>
    <w:rsid w:val="00DA2CBE"/>
    <w:rsid w:val="00DA306A"/>
    <w:rsid w:val="00DA31B0"/>
    <w:rsid w:val="00DA3377"/>
    <w:rsid w:val="00DA33D4"/>
    <w:rsid w:val="00DA363B"/>
    <w:rsid w:val="00DA37B6"/>
    <w:rsid w:val="00DA3BBC"/>
    <w:rsid w:val="00DA3CD7"/>
    <w:rsid w:val="00DA3DFD"/>
    <w:rsid w:val="00DA3E6C"/>
    <w:rsid w:val="00DA4124"/>
    <w:rsid w:val="00DA41F1"/>
    <w:rsid w:val="00DA4254"/>
    <w:rsid w:val="00DA42C8"/>
    <w:rsid w:val="00DA43CE"/>
    <w:rsid w:val="00DA44CA"/>
    <w:rsid w:val="00DA49E3"/>
    <w:rsid w:val="00DA4A76"/>
    <w:rsid w:val="00DA4E08"/>
    <w:rsid w:val="00DA4E11"/>
    <w:rsid w:val="00DA512C"/>
    <w:rsid w:val="00DA51EC"/>
    <w:rsid w:val="00DA530F"/>
    <w:rsid w:val="00DA5943"/>
    <w:rsid w:val="00DA5D12"/>
    <w:rsid w:val="00DA5D14"/>
    <w:rsid w:val="00DA5D32"/>
    <w:rsid w:val="00DA5DDA"/>
    <w:rsid w:val="00DA60B6"/>
    <w:rsid w:val="00DA6363"/>
    <w:rsid w:val="00DA63CB"/>
    <w:rsid w:val="00DA6494"/>
    <w:rsid w:val="00DA64AD"/>
    <w:rsid w:val="00DA64AF"/>
    <w:rsid w:val="00DA6569"/>
    <w:rsid w:val="00DA66AA"/>
    <w:rsid w:val="00DA66AF"/>
    <w:rsid w:val="00DA6765"/>
    <w:rsid w:val="00DA69F1"/>
    <w:rsid w:val="00DA6CC0"/>
    <w:rsid w:val="00DA6CE5"/>
    <w:rsid w:val="00DA6DC5"/>
    <w:rsid w:val="00DA7191"/>
    <w:rsid w:val="00DA7195"/>
    <w:rsid w:val="00DA7797"/>
    <w:rsid w:val="00DA78DC"/>
    <w:rsid w:val="00DA79C8"/>
    <w:rsid w:val="00DA7BFD"/>
    <w:rsid w:val="00DA7D0A"/>
    <w:rsid w:val="00DA7F54"/>
    <w:rsid w:val="00DB003C"/>
    <w:rsid w:val="00DB01C0"/>
    <w:rsid w:val="00DB0518"/>
    <w:rsid w:val="00DB08F0"/>
    <w:rsid w:val="00DB099A"/>
    <w:rsid w:val="00DB09F3"/>
    <w:rsid w:val="00DB0ABE"/>
    <w:rsid w:val="00DB0C07"/>
    <w:rsid w:val="00DB0E2E"/>
    <w:rsid w:val="00DB0E8F"/>
    <w:rsid w:val="00DB0FB2"/>
    <w:rsid w:val="00DB1253"/>
    <w:rsid w:val="00DB1773"/>
    <w:rsid w:val="00DB1B2A"/>
    <w:rsid w:val="00DB1C03"/>
    <w:rsid w:val="00DB1E91"/>
    <w:rsid w:val="00DB1FCA"/>
    <w:rsid w:val="00DB2020"/>
    <w:rsid w:val="00DB2493"/>
    <w:rsid w:val="00DB286D"/>
    <w:rsid w:val="00DB295B"/>
    <w:rsid w:val="00DB2B91"/>
    <w:rsid w:val="00DB2BB5"/>
    <w:rsid w:val="00DB2C85"/>
    <w:rsid w:val="00DB2F21"/>
    <w:rsid w:val="00DB2F96"/>
    <w:rsid w:val="00DB30FA"/>
    <w:rsid w:val="00DB33A6"/>
    <w:rsid w:val="00DB348C"/>
    <w:rsid w:val="00DB35DA"/>
    <w:rsid w:val="00DB364D"/>
    <w:rsid w:val="00DB3700"/>
    <w:rsid w:val="00DB3774"/>
    <w:rsid w:val="00DB38E8"/>
    <w:rsid w:val="00DB3966"/>
    <w:rsid w:val="00DB3B29"/>
    <w:rsid w:val="00DB3BF4"/>
    <w:rsid w:val="00DB3C9D"/>
    <w:rsid w:val="00DB3D12"/>
    <w:rsid w:val="00DB3F87"/>
    <w:rsid w:val="00DB3FE3"/>
    <w:rsid w:val="00DB429C"/>
    <w:rsid w:val="00DB42C5"/>
    <w:rsid w:val="00DB4410"/>
    <w:rsid w:val="00DB443B"/>
    <w:rsid w:val="00DB45FE"/>
    <w:rsid w:val="00DB4670"/>
    <w:rsid w:val="00DB4B4F"/>
    <w:rsid w:val="00DB4C8E"/>
    <w:rsid w:val="00DB5077"/>
    <w:rsid w:val="00DB5117"/>
    <w:rsid w:val="00DB5306"/>
    <w:rsid w:val="00DB5527"/>
    <w:rsid w:val="00DB5758"/>
    <w:rsid w:val="00DB5A3C"/>
    <w:rsid w:val="00DB5BB2"/>
    <w:rsid w:val="00DB6031"/>
    <w:rsid w:val="00DB65E6"/>
    <w:rsid w:val="00DB664A"/>
    <w:rsid w:val="00DB66AC"/>
    <w:rsid w:val="00DB6A38"/>
    <w:rsid w:val="00DB6B1C"/>
    <w:rsid w:val="00DB6DEE"/>
    <w:rsid w:val="00DB6E44"/>
    <w:rsid w:val="00DB6E81"/>
    <w:rsid w:val="00DB7223"/>
    <w:rsid w:val="00DB72B1"/>
    <w:rsid w:val="00DB7331"/>
    <w:rsid w:val="00DB7463"/>
    <w:rsid w:val="00DB757B"/>
    <w:rsid w:val="00DB76D5"/>
    <w:rsid w:val="00DB7727"/>
    <w:rsid w:val="00DB7850"/>
    <w:rsid w:val="00DB787E"/>
    <w:rsid w:val="00DB78D4"/>
    <w:rsid w:val="00DB7AA7"/>
    <w:rsid w:val="00DB7DC4"/>
    <w:rsid w:val="00DC020D"/>
    <w:rsid w:val="00DC0483"/>
    <w:rsid w:val="00DC048D"/>
    <w:rsid w:val="00DC04ED"/>
    <w:rsid w:val="00DC055C"/>
    <w:rsid w:val="00DC0661"/>
    <w:rsid w:val="00DC09CE"/>
    <w:rsid w:val="00DC0B62"/>
    <w:rsid w:val="00DC0E83"/>
    <w:rsid w:val="00DC0EA0"/>
    <w:rsid w:val="00DC12A4"/>
    <w:rsid w:val="00DC1435"/>
    <w:rsid w:val="00DC14AF"/>
    <w:rsid w:val="00DC14B8"/>
    <w:rsid w:val="00DC15BC"/>
    <w:rsid w:val="00DC1720"/>
    <w:rsid w:val="00DC1D0D"/>
    <w:rsid w:val="00DC2138"/>
    <w:rsid w:val="00DC223D"/>
    <w:rsid w:val="00DC2454"/>
    <w:rsid w:val="00DC24BA"/>
    <w:rsid w:val="00DC27C7"/>
    <w:rsid w:val="00DC298C"/>
    <w:rsid w:val="00DC2A28"/>
    <w:rsid w:val="00DC2E98"/>
    <w:rsid w:val="00DC3633"/>
    <w:rsid w:val="00DC39E3"/>
    <w:rsid w:val="00DC3B9A"/>
    <w:rsid w:val="00DC3BCE"/>
    <w:rsid w:val="00DC4108"/>
    <w:rsid w:val="00DC4134"/>
    <w:rsid w:val="00DC41C5"/>
    <w:rsid w:val="00DC4239"/>
    <w:rsid w:val="00DC42BA"/>
    <w:rsid w:val="00DC436F"/>
    <w:rsid w:val="00DC46F1"/>
    <w:rsid w:val="00DC4935"/>
    <w:rsid w:val="00DC4EC7"/>
    <w:rsid w:val="00DC4F64"/>
    <w:rsid w:val="00DC50C5"/>
    <w:rsid w:val="00DC5227"/>
    <w:rsid w:val="00DC5632"/>
    <w:rsid w:val="00DC5E89"/>
    <w:rsid w:val="00DC621B"/>
    <w:rsid w:val="00DC64A7"/>
    <w:rsid w:val="00DC677B"/>
    <w:rsid w:val="00DC678B"/>
    <w:rsid w:val="00DC6E03"/>
    <w:rsid w:val="00DC6EF9"/>
    <w:rsid w:val="00DC6F88"/>
    <w:rsid w:val="00DC7211"/>
    <w:rsid w:val="00DC74AA"/>
    <w:rsid w:val="00DC7912"/>
    <w:rsid w:val="00DC7CB6"/>
    <w:rsid w:val="00DD0025"/>
    <w:rsid w:val="00DD0154"/>
    <w:rsid w:val="00DD01E8"/>
    <w:rsid w:val="00DD0327"/>
    <w:rsid w:val="00DD04F3"/>
    <w:rsid w:val="00DD0534"/>
    <w:rsid w:val="00DD0953"/>
    <w:rsid w:val="00DD0E35"/>
    <w:rsid w:val="00DD0FD2"/>
    <w:rsid w:val="00DD1109"/>
    <w:rsid w:val="00DD13FF"/>
    <w:rsid w:val="00DD1501"/>
    <w:rsid w:val="00DD1824"/>
    <w:rsid w:val="00DD183E"/>
    <w:rsid w:val="00DD1A95"/>
    <w:rsid w:val="00DD1D05"/>
    <w:rsid w:val="00DD1EAB"/>
    <w:rsid w:val="00DD2126"/>
    <w:rsid w:val="00DD26A1"/>
    <w:rsid w:val="00DD27AD"/>
    <w:rsid w:val="00DD2BF1"/>
    <w:rsid w:val="00DD2C81"/>
    <w:rsid w:val="00DD2E87"/>
    <w:rsid w:val="00DD2F0E"/>
    <w:rsid w:val="00DD30B9"/>
    <w:rsid w:val="00DD314D"/>
    <w:rsid w:val="00DD32C9"/>
    <w:rsid w:val="00DD387E"/>
    <w:rsid w:val="00DD3B48"/>
    <w:rsid w:val="00DD3E37"/>
    <w:rsid w:val="00DD3E8F"/>
    <w:rsid w:val="00DD40BE"/>
    <w:rsid w:val="00DD41D1"/>
    <w:rsid w:val="00DD43BD"/>
    <w:rsid w:val="00DD44E0"/>
    <w:rsid w:val="00DD45A0"/>
    <w:rsid w:val="00DD4646"/>
    <w:rsid w:val="00DD46C7"/>
    <w:rsid w:val="00DD48DC"/>
    <w:rsid w:val="00DD496E"/>
    <w:rsid w:val="00DD4E77"/>
    <w:rsid w:val="00DD4EAB"/>
    <w:rsid w:val="00DD50C6"/>
    <w:rsid w:val="00DD50E8"/>
    <w:rsid w:val="00DD50EF"/>
    <w:rsid w:val="00DD53B1"/>
    <w:rsid w:val="00DD56EB"/>
    <w:rsid w:val="00DD59B8"/>
    <w:rsid w:val="00DD5C82"/>
    <w:rsid w:val="00DD5E0A"/>
    <w:rsid w:val="00DD658A"/>
    <w:rsid w:val="00DD65AB"/>
    <w:rsid w:val="00DD660D"/>
    <w:rsid w:val="00DD67BF"/>
    <w:rsid w:val="00DD6B1C"/>
    <w:rsid w:val="00DD6B1D"/>
    <w:rsid w:val="00DD6C59"/>
    <w:rsid w:val="00DD6C77"/>
    <w:rsid w:val="00DD6D12"/>
    <w:rsid w:val="00DD6F21"/>
    <w:rsid w:val="00DD7114"/>
    <w:rsid w:val="00DD7436"/>
    <w:rsid w:val="00DD7459"/>
    <w:rsid w:val="00DD77F0"/>
    <w:rsid w:val="00DD78B2"/>
    <w:rsid w:val="00DD7D55"/>
    <w:rsid w:val="00DE0077"/>
    <w:rsid w:val="00DE0197"/>
    <w:rsid w:val="00DE03A4"/>
    <w:rsid w:val="00DE07E8"/>
    <w:rsid w:val="00DE090D"/>
    <w:rsid w:val="00DE09B3"/>
    <w:rsid w:val="00DE0AB2"/>
    <w:rsid w:val="00DE0C23"/>
    <w:rsid w:val="00DE0C90"/>
    <w:rsid w:val="00DE1441"/>
    <w:rsid w:val="00DE1A13"/>
    <w:rsid w:val="00DE1A48"/>
    <w:rsid w:val="00DE1FDD"/>
    <w:rsid w:val="00DE2222"/>
    <w:rsid w:val="00DE2344"/>
    <w:rsid w:val="00DE2391"/>
    <w:rsid w:val="00DE2496"/>
    <w:rsid w:val="00DE2595"/>
    <w:rsid w:val="00DE360D"/>
    <w:rsid w:val="00DE3975"/>
    <w:rsid w:val="00DE3A62"/>
    <w:rsid w:val="00DE3CEC"/>
    <w:rsid w:val="00DE3EAE"/>
    <w:rsid w:val="00DE4168"/>
    <w:rsid w:val="00DE4851"/>
    <w:rsid w:val="00DE4903"/>
    <w:rsid w:val="00DE49E2"/>
    <w:rsid w:val="00DE49E9"/>
    <w:rsid w:val="00DE4C43"/>
    <w:rsid w:val="00DE4E1A"/>
    <w:rsid w:val="00DE4E2F"/>
    <w:rsid w:val="00DE4E7F"/>
    <w:rsid w:val="00DE51A3"/>
    <w:rsid w:val="00DE5350"/>
    <w:rsid w:val="00DE5690"/>
    <w:rsid w:val="00DE5860"/>
    <w:rsid w:val="00DE5B2F"/>
    <w:rsid w:val="00DE5FD8"/>
    <w:rsid w:val="00DE6119"/>
    <w:rsid w:val="00DE6418"/>
    <w:rsid w:val="00DE6470"/>
    <w:rsid w:val="00DE6597"/>
    <w:rsid w:val="00DE66AD"/>
    <w:rsid w:val="00DE66F1"/>
    <w:rsid w:val="00DE68B6"/>
    <w:rsid w:val="00DE6916"/>
    <w:rsid w:val="00DE695B"/>
    <w:rsid w:val="00DE6B2D"/>
    <w:rsid w:val="00DE6C04"/>
    <w:rsid w:val="00DE6C52"/>
    <w:rsid w:val="00DE6F76"/>
    <w:rsid w:val="00DE6F77"/>
    <w:rsid w:val="00DE7099"/>
    <w:rsid w:val="00DE76A5"/>
    <w:rsid w:val="00DE76F2"/>
    <w:rsid w:val="00DE791A"/>
    <w:rsid w:val="00DE7C17"/>
    <w:rsid w:val="00DE7F96"/>
    <w:rsid w:val="00DF0043"/>
    <w:rsid w:val="00DF00D0"/>
    <w:rsid w:val="00DF0303"/>
    <w:rsid w:val="00DF04A5"/>
    <w:rsid w:val="00DF065D"/>
    <w:rsid w:val="00DF0980"/>
    <w:rsid w:val="00DF0CC8"/>
    <w:rsid w:val="00DF0E30"/>
    <w:rsid w:val="00DF0EC2"/>
    <w:rsid w:val="00DF0F90"/>
    <w:rsid w:val="00DF0FAA"/>
    <w:rsid w:val="00DF114E"/>
    <w:rsid w:val="00DF14E2"/>
    <w:rsid w:val="00DF1509"/>
    <w:rsid w:val="00DF19AB"/>
    <w:rsid w:val="00DF19B0"/>
    <w:rsid w:val="00DF1BC8"/>
    <w:rsid w:val="00DF1BE3"/>
    <w:rsid w:val="00DF22B6"/>
    <w:rsid w:val="00DF23E1"/>
    <w:rsid w:val="00DF2637"/>
    <w:rsid w:val="00DF26CE"/>
    <w:rsid w:val="00DF2AD8"/>
    <w:rsid w:val="00DF2FE6"/>
    <w:rsid w:val="00DF3003"/>
    <w:rsid w:val="00DF3108"/>
    <w:rsid w:val="00DF3193"/>
    <w:rsid w:val="00DF3214"/>
    <w:rsid w:val="00DF341B"/>
    <w:rsid w:val="00DF3570"/>
    <w:rsid w:val="00DF369E"/>
    <w:rsid w:val="00DF3914"/>
    <w:rsid w:val="00DF3957"/>
    <w:rsid w:val="00DF39E9"/>
    <w:rsid w:val="00DF3AC2"/>
    <w:rsid w:val="00DF3D70"/>
    <w:rsid w:val="00DF40AE"/>
    <w:rsid w:val="00DF40D2"/>
    <w:rsid w:val="00DF431B"/>
    <w:rsid w:val="00DF43EF"/>
    <w:rsid w:val="00DF45AD"/>
    <w:rsid w:val="00DF4A51"/>
    <w:rsid w:val="00DF4D47"/>
    <w:rsid w:val="00DF4F1F"/>
    <w:rsid w:val="00DF567B"/>
    <w:rsid w:val="00DF5A40"/>
    <w:rsid w:val="00DF5B01"/>
    <w:rsid w:val="00DF5CD7"/>
    <w:rsid w:val="00DF60E9"/>
    <w:rsid w:val="00DF6200"/>
    <w:rsid w:val="00DF6223"/>
    <w:rsid w:val="00DF687B"/>
    <w:rsid w:val="00DF6982"/>
    <w:rsid w:val="00DF734D"/>
    <w:rsid w:val="00DF74D9"/>
    <w:rsid w:val="00DF7716"/>
    <w:rsid w:val="00DF7AE8"/>
    <w:rsid w:val="00DF7E67"/>
    <w:rsid w:val="00E000CA"/>
    <w:rsid w:val="00E0017D"/>
    <w:rsid w:val="00E00476"/>
    <w:rsid w:val="00E00738"/>
    <w:rsid w:val="00E00757"/>
    <w:rsid w:val="00E00BCF"/>
    <w:rsid w:val="00E00C5A"/>
    <w:rsid w:val="00E00F7A"/>
    <w:rsid w:val="00E01281"/>
    <w:rsid w:val="00E0197D"/>
    <w:rsid w:val="00E01A98"/>
    <w:rsid w:val="00E01C35"/>
    <w:rsid w:val="00E01D86"/>
    <w:rsid w:val="00E02631"/>
    <w:rsid w:val="00E026F9"/>
    <w:rsid w:val="00E028FF"/>
    <w:rsid w:val="00E029B6"/>
    <w:rsid w:val="00E02CB7"/>
    <w:rsid w:val="00E02DC1"/>
    <w:rsid w:val="00E03475"/>
    <w:rsid w:val="00E03487"/>
    <w:rsid w:val="00E0350E"/>
    <w:rsid w:val="00E0359C"/>
    <w:rsid w:val="00E035A3"/>
    <w:rsid w:val="00E0360B"/>
    <w:rsid w:val="00E03A96"/>
    <w:rsid w:val="00E03FDC"/>
    <w:rsid w:val="00E04C44"/>
    <w:rsid w:val="00E04E54"/>
    <w:rsid w:val="00E04FBE"/>
    <w:rsid w:val="00E05069"/>
    <w:rsid w:val="00E051AB"/>
    <w:rsid w:val="00E0520D"/>
    <w:rsid w:val="00E052B3"/>
    <w:rsid w:val="00E05453"/>
    <w:rsid w:val="00E0555A"/>
    <w:rsid w:val="00E05578"/>
    <w:rsid w:val="00E05785"/>
    <w:rsid w:val="00E05851"/>
    <w:rsid w:val="00E059FC"/>
    <w:rsid w:val="00E05A02"/>
    <w:rsid w:val="00E05AE0"/>
    <w:rsid w:val="00E05D56"/>
    <w:rsid w:val="00E05D77"/>
    <w:rsid w:val="00E05DCC"/>
    <w:rsid w:val="00E05E7B"/>
    <w:rsid w:val="00E06206"/>
    <w:rsid w:val="00E064AB"/>
    <w:rsid w:val="00E0651D"/>
    <w:rsid w:val="00E0665D"/>
    <w:rsid w:val="00E06B76"/>
    <w:rsid w:val="00E06CAB"/>
    <w:rsid w:val="00E06E72"/>
    <w:rsid w:val="00E0706F"/>
    <w:rsid w:val="00E071A7"/>
    <w:rsid w:val="00E0759D"/>
    <w:rsid w:val="00E076A2"/>
    <w:rsid w:val="00E076B8"/>
    <w:rsid w:val="00E078EC"/>
    <w:rsid w:val="00E07905"/>
    <w:rsid w:val="00E079B8"/>
    <w:rsid w:val="00E07B73"/>
    <w:rsid w:val="00E07FDB"/>
    <w:rsid w:val="00E07FFD"/>
    <w:rsid w:val="00E10194"/>
    <w:rsid w:val="00E104B2"/>
    <w:rsid w:val="00E1052A"/>
    <w:rsid w:val="00E105A9"/>
    <w:rsid w:val="00E10942"/>
    <w:rsid w:val="00E109E7"/>
    <w:rsid w:val="00E10B21"/>
    <w:rsid w:val="00E10BAE"/>
    <w:rsid w:val="00E10CD9"/>
    <w:rsid w:val="00E10D24"/>
    <w:rsid w:val="00E10DDE"/>
    <w:rsid w:val="00E10F36"/>
    <w:rsid w:val="00E11148"/>
    <w:rsid w:val="00E11366"/>
    <w:rsid w:val="00E1147C"/>
    <w:rsid w:val="00E115CE"/>
    <w:rsid w:val="00E116B5"/>
    <w:rsid w:val="00E11701"/>
    <w:rsid w:val="00E11A9A"/>
    <w:rsid w:val="00E11B44"/>
    <w:rsid w:val="00E11D5B"/>
    <w:rsid w:val="00E11E4A"/>
    <w:rsid w:val="00E11F2F"/>
    <w:rsid w:val="00E11F3D"/>
    <w:rsid w:val="00E11FC3"/>
    <w:rsid w:val="00E12921"/>
    <w:rsid w:val="00E12F6F"/>
    <w:rsid w:val="00E130FF"/>
    <w:rsid w:val="00E133A2"/>
    <w:rsid w:val="00E136DA"/>
    <w:rsid w:val="00E13A3D"/>
    <w:rsid w:val="00E13BBE"/>
    <w:rsid w:val="00E13D6E"/>
    <w:rsid w:val="00E13EEF"/>
    <w:rsid w:val="00E13F3C"/>
    <w:rsid w:val="00E14029"/>
    <w:rsid w:val="00E14042"/>
    <w:rsid w:val="00E141F1"/>
    <w:rsid w:val="00E142B2"/>
    <w:rsid w:val="00E14368"/>
    <w:rsid w:val="00E145AF"/>
    <w:rsid w:val="00E146C0"/>
    <w:rsid w:val="00E14C6D"/>
    <w:rsid w:val="00E14EFC"/>
    <w:rsid w:val="00E15056"/>
    <w:rsid w:val="00E1506C"/>
    <w:rsid w:val="00E15252"/>
    <w:rsid w:val="00E15581"/>
    <w:rsid w:val="00E15646"/>
    <w:rsid w:val="00E1599F"/>
    <w:rsid w:val="00E15DB1"/>
    <w:rsid w:val="00E1607F"/>
    <w:rsid w:val="00E162D6"/>
    <w:rsid w:val="00E1646E"/>
    <w:rsid w:val="00E164E7"/>
    <w:rsid w:val="00E1656D"/>
    <w:rsid w:val="00E16581"/>
    <w:rsid w:val="00E167FA"/>
    <w:rsid w:val="00E16AF8"/>
    <w:rsid w:val="00E16DC8"/>
    <w:rsid w:val="00E16FBA"/>
    <w:rsid w:val="00E17329"/>
    <w:rsid w:val="00E17356"/>
    <w:rsid w:val="00E17552"/>
    <w:rsid w:val="00E177E7"/>
    <w:rsid w:val="00E17813"/>
    <w:rsid w:val="00E1785F"/>
    <w:rsid w:val="00E179D6"/>
    <w:rsid w:val="00E17C92"/>
    <w:rsid w:val="00E17DD6"/>
    <w:rsid w:val="00E17E3F"/>
    <w:rsid w:val="00E17E53"/>
    <w:rsid w:val="00E17FC4"/>
    <w:rsid w:val="00E20262"/>
    <w:rsid w:val="00E2027D"/>
    <w:rsid w:val="00E202DE"/>
    <w:rsid w:val="00E20572"/>
    <w:rsid w:val="00E2080D"/>
    <w:rsid w:val="00E20A65"/>
    <w:rsid w:val="00E20C75"/>
    <w:rsid w:val="00E20CA1"/>
    <w:rsid w:val="00E20D13"/>
    <w:rsid w:val="00E20E33"/>
    <w:rsid w:val="00E21048"/>
    <w:rsid w:val="00E2174B"/>
    <w:rsid w:val="00E21759"/>
    <w:rsid w:val="00E21B03"/>
    <w:rsid w:val="00E21CF7"/>
    <w:rsid w:val="00E21E2E"/>
    <w:rsid w:val="00E221A4"/>
    <w:rsid w:val="00E22430"/>
    <w:rsid w:val="00E22445"/>
    <w:rsid w:val="00E22466"/>
    <w:rsid w:val="00E22597"/>
    <w:rsid w:val="00E228F9"/>
    <w:rsid w:val="00E22960"/>
    <w:rsid w:val="00E22AAD"/>
    <w:rsid w:val="00E22CA6"/>
    <w:rsid w:val="00E22D66"/>
    <w:rsid w:val="00E22E5D"/>
    <w:rsid w:val="00E22ED0"/>
    <w:rsid w:val="00E22EEC"/>
    <w:rsid w:val="00E23142"/>
    <w:rsid w:val="00E23262"/>
    <w:rsid w:val="00E2367B"/>
    <w:rsid w:val="00E237B1"/>
    <w:rsid w:val="00E23939"/>
    <w:rsid w:val="00E23A82"/>
    <w:rsid w:val="00E23DA4"/>
    <w:rsid w:val="00E23DB2"/>
    <w:rsid w:val="00E23F2D"/>
    <w:rsid w:val="00E23FAE"/>
    <w:rsid w:val="00E23FCF"/>
    <w:rsid w:val="00E242BB"/>
    <w:rsid w:val="00E243B5"/>
    <w:rsid w:val="00E2466E"/>
    <w:rsid w:val="00E2474A"/>
    <w:rsid w:val="00E247C4"/>
    <w:rsid w:val="00E24A92"/>
    <w:rsid w:val="00E24B66"/>
    <w:rsid w:val="00E250A8"/>
    <w:rsid w:val="00E251EA"/>
    <w:rsid w:val="00E25311"/>
    <w:rsid w:val="00E2531C"/>
    <w:rsid w:val="00E2535C"/>
    <w:rsid w:val="00E259F1"/>
    <w:rsid w:val="00E25F7D"/>
    <w:rsid w:val="00E26033"/>
    <w:rsid w:val="00E26079"/>
    <w:rsid w:val="00E260A3"/>
    <w:rsid w:val="00E26371"/>
    <w:rsid w:val="00E265B5"/>
    <w:rsid w:val="00E26B64"/>
    <w:rsid w:val="00E26BAC"/>
    <w:rsid w:val="00E26CA5"/>
    <w:rsid w:val="00E26D15"/>
    <w:rsid w:val="00E26DE1"/>
    <w:rsid w:val="00E26E13"/>
    <w:rsid w:val="00E26E18"/>
    <w:rsid w:val="00E27159"/>
    <w:rsid w:val="00E2729C"/>
    <w:rsid w:val="00E273F3"/>
    <w:rsid w:val="00E27508"/>
    <w:rsid w:val="00E275F1"/>
    <w:rsid w:val="00E277CB"/>
    <w:rsid w:val="00E27B7E"/>
    <w:rsid w:val="00E27D7A"/>
    <w:rsid w:val="00E27DDB"/>
    <w:rsid w:val="00E3012F"/>
    <w:rsid w:val="00E30276"/>
    <w:rsid w:val="00E3058A"/>
    <w:rsid w:val="00E307C9"/>
    <w:rsid w:val="00E3089A"/>
    <w:rsid w:val="00E308C8"/>
    <w:rsid w:val="00E30953"/>
    <w:rsid w:val="00E309A3"/>
    <w:rsid w:val="00E30B2A"/>
    <w:rsid w:val="00E30B4B"/>
    <w:rsid w:val="00E30B7B"/>
    <w:rsid w:val="00E30BFF"/>
    <w:rsid w:val="00E30C12"/>
    <w:rsid w:val="00E310D9"/>
    <w:rsid w:val="00E311EA"/>
    <w:rsid w:val="00E313F6"/>
    <w:rsid w:val="00E3144F"/>
    <w:rsid w:val="00E31702"/>
    <w:rsid w:val="00E31706"/>
    <w:rsid w:val="00E31841"/>
    <w:rsid w:val="00E31B75"/>
    <w:rsid w:val="00E31D5B"/>
    <w:rsid w:val="00E31EA2"/>
    <w:rsid w:val="00E320CC"/>
    <w:rsid w:val="00E321BD"/>
    <w:rsid w:val="00E32395"/>
    <w:rsid w:val="00E3242E"/>
    <w:rsid w:val="00E3258F"/>
    <w:rsid w:val="00E326AB"/>
    <w:rsid w:val="00E329D4"/>
    <w:rsid w:val="00E32C11"/>
    <w:rsid w:val="00E330C9"/>
    <w:rsid w:val="00E3330E"/>
    <w:rsid w:val="00E3351F"/>
    <w:rsid w:val="00E33667"/>
    <w:rsid w:val="00E33725"/>
    <w:rsid w:val="00E33780"/>
    <w:rsid w:val="00E337EC"/>
    <w:rsid w:val="00E33992"/>
    <w:rsid w:val="00E33A9B"/>
    <w:rsid w:val="00E33AE9"/>
    <w:rsid w:val="00E33DD9"/>
    <w:rsid w:val="00E33F1D"/>
    <w:rsid w:val="00E33FF1"/>
    <w:rsid w:val="00E340A4"/>
    <w:rsid w:val="00E348F0"/>
    <w:rsid w:val="00E34906"/>
    <w:rsid w:val="00E349E9"/>
    <w:rsid w:val="00E349EA"/>
    <w:rsid w:val="00E34A15"/>
    <w:rsid w:val="00E34BC0"/>
    <w:rsid w:val="00E34D05"/>
    <w:rsid w:val="00E34F52"/>
    <w:rsid w:val="00E352BE"/>
    <w:rsid w:val="00E35640"/>
    <w:rsid w:val="00E35A60"/>
    <w:rsid w:val="00E35B85"/>
    <w:rsid w:val="00E35E74"/>
    <w:rsid w:val="00E35FD0"/>
    <w:rsid w:val="00E360DA"/>
    <w:rsid w:val="00E36256"/>
    <w:rsid w:val="00E364B2"/>
    <w:rsid w:val="00E36B1F"/>
    <w:rsid w:val="00E36EA7"/>
    <w:rsid w:val="00E37179"/>
    <w:rsid w:val="00E373D8"/>
    <w:rsid w:val="00E374BD"/>
    <w:rsid w:val="00E37DE4"/>
    <w:rsid w:val="00E4067F"/>
    <w:rsid w:val="00E406FC"/>
    <w:rsid w:val="00E40917"/>
    <w:rsid w:val="00E40953"/>
    <w:rsid w:val="00E40B1D"/>
    <w:rsid w:val="00E40DAE"/>
    <w:rsid w:val="00E40DD0"/>
    <w:rsid w:val="00E40F62"/>
    <w:rsid w:val="00E41162"/>
    <w:rsid w:val="00E41190"/>
    <w:rsid w:val="00E412FD"/>
    <w:rsid w:val="00E415A4"/>
    <w:rsid w:val="00E41753"/>
    <w:rsid w:val="00E418AE"/>
    <w:rsid w:val="00E41B94"/>
    <w:rsid w:val="00E41D5D"/>
    <w:rsid w:val="00E41DC3"/>
    <w:rsid w:val="00E41E42"/>
    <w:rsid w:val="00E41F67"/>
    <w:rsid w:val="00E421A6"/>
    <w:rsid w:val="00E421B3"/>
    <w:rsid w:val="00E42223"/>
    <w:rsid w:val="00E4234F"/>
    <w:rsid w:val="00E429A3"/>
    <w:rsid w:val="00E42C35"/>
    <w:rsid w:val="00E42D8B"/>
    <w:rsid w:val="00E42ED9"/>
    <w:rsid w:val="00E431CC"/>
    <w:rsid w:val="00E43249"/>
    <w:rsid w:val="00E43508"/>
    <w:rsid w:val="00E43578"/>
    <w:rsid w:val="00E43637"/>
    <w:rsid w:val="00E436A2"/>
    <w:rsid w:val="00E436F2"/>
    <w:rsid w:val="00E4382C"/>
    <w:rsid w:val="00E43D9E"/>
    <w:rsid w:val="00E43F1A"/>
    <w:rsid w:val="00E44459"/>
    <w:rsid w:val="00E449A7"/>
    <w:rsid w:val="00E44A9A"/>
    <w:rsid w:val="00E44FD3"/>
    <w:rsid w:val="00E451FC"/>
    <w:rsid w:val="00E45323"/>
    <w:rsid w:val="00E4533A"/>
    <w:rsid w:val="00E45451"/>
    <w:rsid w:val="00E456EF"/>
    <w:rsid w:val="00E4580A"/>
    <w:rsid w:val="00E458D8"/>
    <w:rsid w:val="00E45913"/>
    <w:rsid w:val="00E459C9"/>
    <w:rsid w:val="00E45CED"/>
    <w:rsid w:val="00E45D16"/>
    <w:rsid w:val="00E45D69"/>
    <w:rsid w:val="00E45E34"/>
    <w:rsid w:val="00E45F98"/>
    <w:rsid w:val="00E4603C"/>
    <w:rsid w:val="00E46053"/>
    <w:rsid w:val="00E46423"/>
    <w:rsid w:val="00E464DE"/>
    <w:rsid w:val="00E466C3"/>
    <w:rsid w:val="00E46A97"/>
    <w:rsid w:val="00E46B2C"/>
    <w:rsid w:val="00E46E25"/>
    <w:rsid w:val="00E474AB"/>
    <w:rsid w:val="00E477C5"/>
    <w:rsid w:val="00E47998"/>
    <w:rsid w:val="00E47E9A"/>
    <w:rsid w:val="00E500D4"/>
    <w:rsid w:val="00E50410"/>
    <w:rsid w:val="00E504E2"/>
    <w:rsid w:val="00E506F7"/>
    <w:rsid w:val="00E50828"/>
    <w:rsid w:val="00E5096A"/>
    <w:rsid w:val="00E50C23"/>
    <w:rsid w:val="00E50C71"/>
    <w:rsid w:val="00E50F65"/>
    <w:rsid w:val="00E51097"/>
    <w:rsid w:val="00E510B3"/>
    <w:rsid w:val="00E5166A"/>
    <w:rsid w:val="00E51760"/>
    <w:rsid w:val="00E51889"/>
    <w:rsid w:val="00E518A7"/>
    <w:rsid w:val="00E5193A"/>
    <w:rsid w:val="00E51BB8"/>
    <w:rsid w:val="00E51DF0"/>
    <w:rsid w:val="00E527F0"/>
    <w:rsid w:val="00E52866"/>
    <w:rsid w:val="00E529F5"/>
    <w:rsid w:val="00E52E1D"/>
    <w:rsid w:val="00E52F25"/>
    <w:rsid w:val="00E5328A"/>
    <w:rsid w:val="00E533E5"/>
    <w:rsid w:val="00E5356B"/>
    <w:rsid w:val="00E53586"/>
    <w:rsid w:val="00E537F6"/>
    <w:rsid w:val="00E5384A"/>
    <w:rsid w:val="00E53A26"/>
    <w:rsid w:val="00E53C35"/>
    <w:rsid w:val="00E53CF4"/>
    <w:rsid w:val="00E53D6F"/>
    <w:rsid w:val="00E53DC7"/>
    <w:rsid w:val="00E53E00"/>
    <w:rsid w:val="00E540D3"/>
    <w:rsid w:val="00E5418B"/>
    <w:rsid w:val="00E54221"/>
    <w:rsid w:val="00E543D7"/>
    <w:rsid w:val="00E54613"/>
    <w:rsid w:val="00E5467F"/>
    <w:rsid w:val="00E549A1"/>
    <w:rsid w:val="00E54B51"/>
    <w:rsid w:val="00E54D42"/>
    <w:rsid w:val="00E550E3"/>
    <w:rsid w:val="00E554A9"/>
    <w:rsid w:val="00E55695"/>
    <w:rsid w:val="00E5585F"/>
    <w:rsid w:val="00E559A0"/>
    <w:rsid w:val="00E55B9A"/>
    <w:rsid w:val="00E5650A"/>
    <w:rsid w:val="00E5662F"/>
    <w:rsid w:val="00E566BA"/>
    <w:rsid w:val="00E574BE"/>
    <w:rsid w:val="00E574EC"/>
    <w:rsid w:val="00E57568"/>
    <w:rsid w:val="00E57AE9"/>
    <w:rsid w:val="00E57B2F"/>
    <w:rsid w:val="00E57F9C"/>
    <w:rsid w:val="00E60163"/>
    <w:rsid w:val="00E6022D"/>
    <w:rsid w:val="00E60239"/>
    <w:rsid w:val="00E60B16"/>
    <w:rsid w:val="00E60C19"/>
    <w:rsid w:val="00E60FA1"/>
    <w:rsid w:val="00E61055"/>
    <w:rsid w:val="00E6109D"/>
    <w:rsid w:val="00E615E0"/>
    <w:rsid w:val="00E615F9"/>
    <w:rsid w:val="00E61626"/>
    <w:rsid w:val="00E61635"/>
    <w:rsid w:val="00E6166A"/>
    <w:rsid w:val="00E6193C"/>
    <w:rsid w:val="00E61A49"/>
    <w:rsid w:val="00E61EE1"/>
    <w:rsid w:val="00E6211D"/>
    <w:rsid w:val="00E621E9"/>
    <w:rsid w:val="00E62281"/>
    <w:rsid w:val="00E6253C"/>
    <w:rsid w:val="00E62913"/>
    <w:rsid w:val="00E629D6"/>
    <w:rsid w:val="00E62AAA"/>
    <w:rsid w:val="00E62BC2"/>
    <w:rsid w:val="00E62D7A"/>
    <w:rsid w:val="00E62DBC"/>
    <w:rsid w:val="00E62E12"/>
    <w:rsid w:val="00E630DE"/>
    <w:rsid w:val="00E632A7"/>
    <w:rsid w:val="00E633EA"/>
    <w:rsid w:val="00E63675"/>
    <w:rsid w:val="00E63A07"/>
    <w:rsid w:val="00E63B94"/>
    <w:rsid w:val="00E63D51"/>
    <w:rsid w:val="00E63DAA"/>
    <w:rsid w:val="00E63F3F"/>
    <w:rsid w:val="00E63F70"/>
    <w:rsid w:val="00E63FAE"/>
    <w:rsid w:val="00E64006"/>
    <w:rsid w:val="00E6407D"/>
    <w:rsid w:val="00E64187"/>
    <w:rsid w:val="00E643DD"/>
    <w:rsid w:val="00E6497B"/>
    <w:rsid w:val="00E64A7A"/>
    <w:rsid w:val="00E64AAB"/>
    <w:rsid w:val="00E64B69"/>
    <w:rsid w:val="00E64BCB"/>
    <w:rsid w:val="00E64D05"/>
    <w:rsid w:val="00E65050"/>
    <w:rsid w:val="00E6509B"/>
    <w:rsid w:val="00E65164"/>
    <w:rsid w:val="00E65226"/>
    <w:rsid w:val="00E65636"/>
    <w:rsid w:val="00E65658"/>
    <w:rsid w:val="00E65688"/>
    <w:rsid w:val="00E656AC"/>
    <w:rsid w:val="00E658BA"/>
    <w:rsid w:val="00E658D4"/>
    <w:rsid w:val="00E65901"/>
    <w:rsid w:val="00E65B5A"/>
    <w:rsid w:val="00E65BB3"/>
    <w:rsid w:val="00E65F4A"/>
    <w:rsid w:val="00E6630E"/>
    <w:rsid w:val="00E6633C"/>
    <w:rsid w:val="00E66690"/>
    <w:rsid w:val="00E66842"/>
    <w:rsid w:val="00E66E76"/>
    <w:rsid w:val="00E6722B"/>
    <w:rsid w:val="00E674B5"/>
    <w:rsid w:val="00E67523"/>
    <w:rsid w:val="00E67622"/>
    <w:rsid w:val="00E67718"/>
    <w:rsid w:val="00E679E5"/>
    <w:rsid w:val="00E67BB5"/>
    <w:rsid w:val="00E67C58"/>
    <w:rsid w:val="00E67D44"/>
    <w:rsid w:val="00E67E86"/>
    <w:rsid w:val="00E70426"/>
    <w:rsid w:val="00E70501"/>
    <w:rsid w:val="00E7051A"/>
    <w:rsid w:val="00E70697"/>
    <w:rsid w:val="00E70784"/>
    <w:rsid w:val="00E70800"/>
    <w:rsid w:val="00E7089D"/>
    <w:rsid w:val="00E70D9B"/>
    <w:rsid w:val="00E70E1F"/>
    <w:rsid w:val="00E70E59"/>
    <w:rsid w:val="00E711A1"/>
    <w:rsid w:val="00E71210"/>
    <w:rsid w:val="00E71594"/>
    <w:rsid w:val="00E71743"/>
    <w:rsid w:val="00E720B1"/>
    <w:rsid w:val="00E720D6"/>
    <w:rsid w:val="00E720FC"/>
    <w:rsid w:val="00E72147"/>
    <w:rsid w:val="00E7221D"/>
    <w:rsid w:val="00E729C8"/>
    <w:rsid w:val="00E72DCE"/>
    <w:rsid w:val="00E72F8D"/>
    <w:rsid w:val="00E73019"/>
    <w:rsid w:val="00E730FF"/>
    <w:rsid w:val="00E73733"/>
    <w:rsid w:val="00E73A2D"/>
    <w:rsid w:val="00E73F27"/>
    <w:rsid w:val="00E745E7"/>
    <w:rsid w:val="00E74A0D"/>
    <w:rsid w:val="00E74A3B"/>
    <w:rsid w:val="00E74D43"/>
    <w:rsid w:val="00E74E73"/>
    <w:rsid w:val="00E74F7C"/>
    <w:rsid w:val="00E75017"/>
    <w:rsid w:val="00E75645"/>
    <w:rsid w:val="00E756AD"/>
    <w:rsid w:val="00E75895"/>
    <w:rsid w:val="00E75B26"/>
    <w:rsid w:val="00E75D28"/>
    <w:rsid w:val="00E75F67"/>
    <w:rsid w:val="00E7600C"/>
    <w:rsid w:val="00E7615F"/>
    <w:rsid w:val="00E7644A"/>
    <w:rsid w:val="00E7644F"/>
    <w:rsid w:val="00E76AE0"/>
    <w:rsid w:val="00E76C73"/>
    <w:rsid w:val="00E77090"/>
    <w:rsid w:val="00E7723F"/>
    <w:rsid w:val="00E775A9"/>
    <w:rsid w:val="00E7762A"/>
    <w:rsid w:val="00E77BDA"/>
    <w:rsid w:val="00E77D3C"/>
    <w:rsid w:val="00E77E1D"/>
    <w:rsid w:val="00E77E51"/>
    <w:rsid w:val="00E80599"/>
    <w:rsid w:val="00E806A9"/>
    <w:rsid w:val="00E80B40"/>
    <w:rsid w:val="00E80BA0"/>
    <w:rsid w:val="00E80D2B"/>
    <w:rsid w:val="00E80FD7"/>
    <w:rsid w:val="00E811C1"/>
    <w:rsid w:val="00E8152E"/>
    <w:rsid w:val="00E818A0"/>
    <w:rsid w:val="00E81A87"/>
    <w:rsid w:val="00E81EFD"/>
    <w:rsid w:val="00E82022"/>
    <w:rsid w:val="00E82030"/>
    <w:rsid w:val="00E8277E"/>
    <w:rsid w:val="00E82A30"/>
    <w:rsid w:val="00E82A50"/>
    <w:rsid w:val="00E82C76"/>
    <w:rsid w:val="00E82DE3"/>
    <w:rsid w:val="00E82EA8"/>
    <w:rsid w:val="00E82EAE"/>
    <w:rsid w:val="00E82EDC"/>
    <w:rsid w:val="00E8307A"/>
    <w:rsid w:val="00E831F2"/>
    <w:rsid w:val="00E83238"/>
    <w:rsid w:val="00E83326"/>
    <w:rsid w:val="00E83604"/>
    <w:rsid w:val="00E837A6"/>
    <w:rsid w:val="00E837AE"/>
    <w:rsid w:val="00E83948"/>
    <w:rsid w:val="00E839BE"/>
    <w:rsid w:val="00E83A27"/>
    <w:rsid w:val="00E83CF9"/>
    <w:rsid w:val="00E84236"/>
    <w:rsid w:val="00E8427D"/>
    <w:rsid w:val="00E842F8"/>
    <w:rsid w:val="00E844B9"/>
    <w:rsid w:val="00E84571"/>
    <w:rsid w:val="00E84AE2"/>
    <w:rsid w:val="00E84E26"/>
    <w:rsid w:val="00E84FC1"/>
    <w:rsid w:val="00E85170"/>
    <w:rsid w:val="00E85585"/>
    <w:rsid w:val="00E8576D"/>
    <w:rsid w:val="00E858FA"/>
    <w:rsid w:val="00E85A0D"/>
    <w:rsid w:val="00E85A48"/>
    <w:rsid w:val="00E85D2A"/>
    <w:rsid w:val="00E860B4"/>
    <w:rsid w:val="00E864E1"/>
    <w:rsid w:val="00E868A4"/>
    <w:rsid w:val="00E8696B"/>
    <w:rsid w:val="00E86B27"/>
    <w:rsid w:val="00E86E85"/>
    <w:rsid w:val="00E871AC"/>
    <w:rsid w:val="00E873A0"/>
    <w:rsid w:val="00E8754E"/>
    <w:rsid w:val="00E87CF8"/>
    <w:rsid w:val="00E87DAF"/>
    <w:rsid w:val="00E9005A"/>
    <w:rsid w:val="00E905BB"/>
    <w:rsid w:val="00E9079D"/>
    <w:rsid w:val="00E909F6"/>
    <w:rsid w:val="00E909FF"/>
    <w:rsid w:val="00E90FC5"/>
    <w:rsid w:val="00E911DD"/>
    <w:rsid w:val="00E91600"/>
    <w:rsid w:val="00E918A5"/>
    <w:rsid w:val="00E918AC"/>
    <w:rsid w:val="00E91B0B"/>
    <w:rsid w:val="00E92799"/>
    <w:rsid w:val="00E92974"/>
    <w:rsid w:val="00E92F98"/>
    <w:rsid w:val="00E9331D"/>
    <w:rsid w:val="00E93430"/>
    <w:rsid w:val="00E93549"/>
    <w:rsid w:val="00E936B9"/>
    <w:rsid w:val="00E93803"/>
    <w:rsid w:val="00E93911"/>
    <w:rsid w:val="00E9393B"/>
    <w:rsid w:val="00E9393C"/>
    <w:rsid w:val="00E93CEF"/>
    <w:rsid w:val="00E93EC0"/>
    <w:rsid w:val="00E94039"/>
    <w:rsid w:val="00E9465E"/>
    <w:rsid w:val="00E94828"/>
    <w:rsid w:val="00E94E6A"/>
    <w:rsid w:val="00E94EC8"/>
    <w:rsid w:val="00E94F03"/>
    <w:rsid w:val="00E94FD0"/>
    <w:rsid w:val="00E952B4"/>
    <w:rsid w:val="00E95322"/>
    <w:rsid w:val="00E95490"/>
    <w:rsid w:val="00E95491"/>
    <w:rsid w:val="00E957AC"/>
    <w:rsid w:val="00E9598A"/>
    <w:rsid w:val="00E95BA6"/>
    <w:rsid w:val="00E95BA7"/>
    <w:rsid w:val="00E95E10"/>
    <w:rsid w:val="00E95FAA"/>
    <w:rsid w:val="00E95FB1"/>
    <w:rsid w:val="00E9606C"/>
    <w:rsid w:val="00E96341"/>
    <w:rsid w:val="00E964E1"/>
    <w:rsid w:val="00E96607"/>
    <w:rsid w:val="00E968C1"/>
    <w:rsid w:val="00E96B54"/>
    <w:rsid w:val="00E96B5F"/>
    <w:rsid w:val="00E96D47"/>
    <w:rsid w:val="00E96ECE"/>
    <w:rsid w:val="00E96F45"/>
    <w:rsid w:val="00E96F63"/>
    <w:rsid w:val="00E971F6"/>
    <w:rsid w:val="00E97278"/>
    <w:rsid w:val="00E972BA"/>
    <w:rsid w:val="00E97321"/>
    <w:rsid w:val="00E9740A"/>
    <w:rsid w:val="00E97510"/>
    <w:rsid w:val="00E97AB8"/>
    <w:rsid w:val="00E97BAC"/>
    <w:rsid w:val="00EA0573"/>
    <w:rsid w:val="00EA0A82"/>
    <w:rsid w:val="00EA0C19"/>
    <w:rsid w:val="00EA0C52"/>
    <w:rsid w:val="00EA0E54"/>
    <w:rsid w:val="00EA0EC4"/>
    <w:rsid w:val="00EA0FFF"/>
    <w:rsid w:val="00EA1232"/>
    <w:rsid w:val="00EA172B"/>
    <w:rsid w:val="00EA1769"/>
    <w:rsid w:val="00EA17BD"/>
    <w:rsid w:val="00EA17DB"/>
    <w:rsid w:val="00EA18A5"/>
    <w:rsid w:val="00EA1952"/>
    <w:rsid w:val="00EA1C41"/>
    <w:rsid w:val="00EA21FC"/>
    <w:rsid w:val="00EA2337"/>
    <w:rsid w:val="00EA257F"/>
    <w:rsid w:val="00EA258C"/>
    <w:rsid w:val="00EA258F"/>
    <w:rsid w:val="00EA259A"/>
    <w:rsid w:val="00EA28DD"/>
    <w:rsid w:val="00EA2A22"/>
    <w:rsid w:val="00EA2B4A"/>
    <w:rsid w:val="00EA30FE"/>
    <w:rsid w:val="00EA34EA"/>
    <w:rsid w:val="00EA3671"/>
    <w:rsid w:val="00EA3733"/>
    <w:rsid w:val="00EA37B8"/>
    <w:rsid w:val="00EA3B19"/>
    <w:rsid w:val="00EA3B47"/>
    <w:rsid w:val="00EA3F77"/>
    <w:rsid w:val="00EA454F"/>
    <w:rsid w:val="00EA45D3"/>
    <w:rsid w:val="00EA4800"/>
    <w:rsid w:val="00EA4B03"/>
    <w:rsid w:val="00EA4B0C"/>
    <w:rsid w:val="00EA4C67"/>
    <w:rsid w:val="00EA510B"/>
    <w:rsid w:val="00EA51B0"/>
    <w:rsid w:val="00EA5250"/>
    <w:rsid w:val="00EA5374"/>
    <w:rsid w:val="00EA53A4"/>
    <w:rsid w:val="00EA577F"/>
    <w:rsid w:val="00EA5943"/>
    <w:rsid w:val="00EA5BB1"/>
    <w:rsid w:val="00EA5CA4"/>
    <w:rsid w:val="00EA6203"/>
    <w:rsid w:val="00EA64A6"/>
    <w:rsid w:val="00EA668F"/>
    <w:rsid w:val="00EA6799"/>
    <w:rsid w:val="00EA67ED"/>
    <w:rsid w:val="00EA6B90"/>
    <w:rsid w:val="00EA6D6F"/>
    <w:rsid w:val="00EA6EEB"/>
    <w:rsid w:val="00EA703A"/>
    <w:rsid w:val="00EA79AC"/>
    <w:rsid w:val="00EA7C99"/>
    <w:rsid w:val="00EA7CE7"/>
    <w:rsid w:val="00EA7D02"/>
    <w:rsid w:val="00EA7DB3"/>
    <w:rsid w:val="00EA7E26"/>
    <w:rsid w:val="00EA7ED6"/>
    <w:rsid w:val="00EB05A0"/>
    <w:rsid w:val="00EB0686"/>
    <w:rsid w:val="00EB0A8C"/>
    <w:rsid w:val="00EB0ACD"/>
    <w:rsid w:val="00EB0B5F"/>
    <w:rsid w:val="00EB0C29"/>
    <w:rsid w:val="00EB0CA6"/>
    <w:rsid w:val="00EB0DEA"/>
    <w:rsid w:val="00EB0E06"/>
    <w:rsid w:val="00EB1329"/>
    <w:rsid w:val="00EB13E5"/>
    <w:rsid w:val="00EB167D"/>
    <w:rsid w:val="00EB179C"/>
    <w:rsid w:val="00EB195A"/>
    <w:rsid w:val="00EB1A3D"/>
    <w:rsid w:val="00EB1B8F"/>
    <w:rsid w:val="00EB1DA0"/>
    <w:rsid w:val="00EB1E83"/>
    <w:rsid w:val="00EB1F63"/>
    <w:rsid w:val="00EB22D3"/>
    <w:rsid w:val="00EB239E"/>
    <w:rsid w:val="00EB261D"/>
    <w:rsid w:val="00EB261F"/>
    <w:rsid w:val="00EB26C8"/>
    <w:rsid w:val="00EB27BC"/>
    <w:rsid w:val="00EB3227"/>
    <w:rsid w:val="00EB3503"/>
    <w:rsid w:val="00EB37CD"/>
    <w:rsid w:val="00EB3994"/>
    <w:rsid w:val="00EB3D0D"/>
    <w:rsid w:val="00EB3FA6"/>
    <w:rsid w:val="00EB4100"/>
    <w:rsid w:val="00EB45F5"/>
    <w:rsid w:val="00EB4B10"/>
    <w:rsid w:val="00EB4B19"/>
    <w:rsid w:val="00EB4CC8"/>
    <w:rsid w:val="00EB50B2"/>
    <w:rsid w:val="00EB51DC"/>
    <w:rsid w:val="00EB547D"/>
    <w:rsid w:val="00EB54EF"/>
    <w:rsid w:val="00EB571F"/>
    <w:rsid w:val="00EB57AA"/>
    <w:rsid w:val="00EB5890"/>
    <w:rsid w:val="00EB5AE3"/>
    <w:rsid w:val="00EB5BC7"/>
    <w:rsid w:val="00EB5CC7"/>
    <w:rsid w:val="00EB5F01"/>
    <w:rsid w:val="00EB6131"/>
    <w:rsid w:val="00EB6182"/>
    <w:rsid w:val="00EB6369"/>
    <w:rsid w:val="00EB65AB"/>
    <w:rsid w:val="00EB6A13"/>
    <w:rsid w:val="00EB6A32"/>
    <w:rsid w:val="00EB6C1A"/>
    <w:rsid w:val="00EB71EB"/>
    <w:rsid w:val="00EB7313"/>
    <w:rsid w:val="00EB7855"/>
    <w:rsid w:val="00EB7B68"/>
    <w:rsid w:val="00EB7DA4"/>
    <w:rsid w:val="00EB7F2E"/>
    <w:rsid w:val="00EC03BD"/>
    <w:rsid w:val="00EC0490"/>
    <w:rsid w:val="00EC0789"/>
    <w:rsid w:val="00EC08EF"/>
    <w:rsid w:val="00EC0A9D"/>
    <w:rsid w:val="00EC12FD"/>
    <w:rsid w:val="00EC1499"/>
    <w:rsid w:val="00EC18FD"/>
    <w:rsid w:val="00EC1B59"/>
    <w:rsid w:val="00EC1C2F"/>
    <w:rsid w:val="00EC1C48"/>
    <w:rsid w:val="00EC1CDA"/>
    <w:rsid w:val="00EC1CF7"/>
    <w:rsid w:val="00EC2408"/>
    <w:rsid w:val="00EC28F0"/>
    <w:rsid w:val="00EC298F"/>
    <w:rsid w:val="00EC29B5"/>
    <w:rsid w:val="00EC2A24"/>
    <w:rsid w:val="00EC33A0"/>
    <w:rsid w:val="00EC34A4"/>
    <w:rsid w:val="00EC34BB"/>
    <w:rsid w:val="00EC359E"/>
    <w:rsid w:val="00EC36F5"/>
    <w:rsid w:val="00EC38F0"/>
    <w:rsid w:val="00EC39DA"/>
    <w:rsid w:val="00EC3A21"/>
    <w:rsid w:val="00EC3A46"/>
    <w:rsid w:val="00EC3CDD"/>
    <w:rsid w:val="00EC3E55"/>
    <w:rsid w:val="00EC3FFF"/>
    <w:rsid w:val="00EC447F"/>
    <w:rsid w:val="00EC47D1"/>
    <w:rsid w:val="00EC4836"/>
    <w:rsid w:val="00EC4B6E"/>
    <w:rsid w:val="00EC4C81"/>
    <w:rsid w:val="00EC5088"/>
    <w:rsid w:val="00EC508A"/>
    <w:rsid w:val="00EC50ED"/>
    <w:rsid w:val="00EC5137"/>
    <w:rsid w:val="00EC5182"/>
    <w:rsid w:val="00EC5292"/>
    <w:rsid w:val="00EC54E7"/>
    <w:rsid w:val="00EC5ABD"/>
    <w:rsid w:val="00EC5B2A"/>
    <w:rsid w:val="00EC5E0F"/>
    <w:rsid w:val="00EC5E4A"/>
    <w:rsid w:val="00EC5F67"/>
    <w:rsid w:val="00EC614C"/>
    <w:rsid w:val="00EC643D"/>
    <w:rsid w:val="00EC6676"/>
    <w:rsid w:val="00EC66EA"/>
    <w:rsid w:val="00EC6961"/>
    <w:rsid w:val="00EC6980"/>
    <w:rsid w:val="00EC6CE5"/>
    <w:rsid w:val="00EC6DC5"/>
    <w:rsid w:val="00EC6EDE"/>
    <w:rsid w:val="00EC7053"/>
    <w:rsid w:val="00EC729E"/>
    <w:rsid w:val="00EC7615"/>
    <w:rsid w:val="00EC761B"/>
    <w:rsid w:val="00EC76A2"/>
    <w:rsid w:val="00EC7712"/>
    <w:rsid w:val="00EC7793"/>
    <w:rsid w:val="00EC7E92"/>
    <w:rsid w:val="00ED0218"/>
    <w:rsid w:val="00ED02D5"/>
    <w:rsid w:val="00ED072C"/>
    <w:rsid w:val="00ED0E4C"/>
    <w:rsid w:val="00ED0EF9"/>
    <w:rsid w:val="00ED0F60"/>
    <w:rsid w:val="00ED100F"/>
    <w:rsid w:val="00ED1534"/>
    <w:rsid w:val="00ED16EA"/>
    <w:rsid w:val="00ED17A7"/>
    <w:rsid w:val="00ED19FF"/>
    <w:rsid w:val="00ED1DE7"/>
    <w:rsid w:val="00ED2300"/>
    <w:rsid w:val="00ED23C1"/>
    <w:rsid w:val="00ED26C1"/>
    <w:rsid w:val="00ED27FA"/>
    <w:rsid w:val="00ED29F2"/>
    <w:rsid w:val="00ED34C9"/>
    <w:rsid w:val="00ED365D"/>
    <w:rsid w:val="00ED3CB8"/>
    <w:rsid w:val="00ED3E6E"/>
    <w:rsid w:val="00ED4088"/>
    <w:rsid w:val="00ED40BE"/>
    <w:rsid w:val="00ED43F5"/>
    <w:rsid w:val="00ED44C3"/>
    <w:rsid w:val="00ED45CD"/>
    <w:rsid w:val="00ED473A"/>
    <w:rsid w:val="00ED4911"/>
    <w:rsid w:val="00ED4D3B"/>
    <w:rsid w:val="00ED4DA5"/>
    <w:rsid w:val="00ED4DA9"/>
    <w:rsid w:val="00ED4F26"/>
    <w:rsid w:val="00ED4F33"/>
    <w:rsid w:val="00ED4FFE"/>
    <w:rsid w:val="00ED54E6"/>
    <w:rsid w:val="00ED5689"/>
    <w:rsid w:val="00ED56A5"/>
    <w:rsid w:val="00ED581C"/>
    <w:rsid w:val="00ED58D2"/>
    <w:rsid w:val="00ED5ABE"/>
    <w:rsid w:val="00ED5CDF"/>
    <w:rsid w:val="00ED5DDA"/>
    <w:rsid w:val="00ED5E38"/>
    <w:rsid w:val="00ED6348"/>
    <w:rsid w:val="00ED68CC"/>
    <w:rsid w:val="00ED6C3B"/>
    <w:rsid w:val="00ED6D20"/>
    <w:rsid w:val="00ED7068"/>
    <w:rsid w:val="00ED7279"/>
    <w:rsid w:val="00ED7442"/>
    <w:rsid w:val="00ED7566"/>
    <w:rsid w:val="00ED7623"/>
    <w:rsid w:val="00ED7636"/>
    <w:rsid w:val="00ED7BB8"/>
    <w:rsid w:val="00ED7DEB"/>
    <w:rsid w:val="00EE0C3D"/>
    <w:rsid w:val="00EE0DD4"/>
    <w:rsid w:val="00EE1014"/>
    <w:rsid w:val="00EE1015"/>
    <w:rsid w:val="00EE1061"/>
    <w:rsid w:val="00EE1065"/>
    <w:rsid w:val="00EE14C5"/>
    <w:rsid w:val="00EE1502"/>
    <w:rsid w:val="00EE195A"/>
    <w:rsid w:val="00EE19BC"/>
    <w:rsid w:val="00EE1BE7"/>
    <w:rsid w:val="00EE2015"/>
    <w:rsid w:val="00EE2102"/>
    <w:rsid w:val="00EE2210"/>
    <w:rsid w:val="00EE2467"/>
    <w:rsid w:val="00EE253E"/>
    <w:rsid w:val="00EE263B"/>
    <w:rsid w:val="00EE2719"/>
    <w:rsid w:val="00EE2EAC"/>
    <w:rsid w:val="00EE2FDC"/>
    <w:rsid w:val="00EE32BE"/>
    <w:rsid w:val="00EE376D"/>
    <w:rsid w:val="00EE37C8"/>
    <w:rsid w:val="00EE3DA4"/>
    <w:rsid w:val="00EE3F1F"/>
    <w:rsid w:val="00EE43F2"/>
    <w:rsid w:val="00EE4490"/>
    <w:rsid w:val="00EE485B"/>
    <w:rsid w:val="00EE48A0"/>
    <w:rsid w:val="00EE48A4"/>
    <w:rsid w:val="00EE48B3"/>
    <w:rsid w:val="00EE4A8B"/>
    <w:rsid w:val="00EE4D46"/>
    <w:rsid w:val="00EE4D6B"/>
    <w:rsid w:val="00EE4DDB"/>
    <w:rsid w:val="00EE4EEF"/>
    <w:rsid w:val="00EE5473"/>
    <w:rsid w:val="00EE55D9"/>
    <w:rsid w:val="00EE60CF"/>
    <w:rsid w:val="00EE6164"/>
    <w:rsid w:val="00EE6623"/>
    <w:rsid w:val="00EE6780"/>
    <w:rsid w:val="00EE67CA"/>
    <w:rsid w:val="00EE6832"/>
    <w:rsid w:val="00EE6AED"/>
    <w:rsid w:val="00EE6DCE"/>
    <w:rsid w:val="00EE6F91"/>
    <w:rsid w:val="00EE6FA8"/>
    <w:rsid w:val="00EE74DB"/>
    <w:rsid w:val="00EE7870"/>
    <w:rsid w:val="00EE7905"/>
    <w:rsid w:val="00EE7A82"/>
    <w:rsid w:val="00EE7F0B"/>
    <w:rsid w:val="00EE7FB5"/>
    <w:rsid w:val="00EF0151"/>
    <w:rsid w:val="00EF0322"/>
    <w:rsid w:val="00EF0677"/>
    <w:rsid w:val="00EF07A8"/>
    <w:rsid w:val="00EF07C1"/>
    <w:rsid w:val="00EF0BC7"/>
    <w:rsid w:val="00EF103B"/>
    <w:rsid w:val="00EF12AD"/>
    <w:rsid w:val="00EF14E9"/>
    <w:rsid w:val="00EF16DF"/>
    <w:rsid w:val="00EF1755"/>
    <w:rsid w:val="00EF1D25"/>
    <w:rsid w:val="00EF1EB1"/>
    <w:rsid w:val="00EF1F32"/>
    <w:rsid w:val="00EF2209"/>
    <w:rsid w:val="00EF2254"/>
    <w:rsid w:val="00EF23ED"/>
    <w:rsid w:val="00EF24B8"/>
    <w:rsid w:val="00EF26CA"/>
    <w:rsid w:val="00EF26D8"/>
    <w:rsid w:val="00EF29D1"/>
    <w:rsid w:val="00EF2CE6"/>
    <w:rsid w:val="00EF2D20"/>
    <w:rsid w:val="00EF2DEE"/>
    <w:rsid w:val="00EF3193"/>
    <w:rsid w:val="00EF33AE"/>
    <w:rsid w:val="00EF388F"/>
    <w:rsid w:val="00EF3899"/>
    <w:rsid w:val="00EF3AE7"/>
    <w:rsid w:val="00EF3D58"/>
    <w:rsid w:val="00EF3E79"/>
    <w:rsid w:val="00EF43E0"/>
    <w:rsid w:val="00EF449E"/>
    <w:rsid w:val="00EF45ED"/>
    <w:rsid w:val="00EF46D0"/>
    <w:rsid w:val="00EF4708"/>
    <w:rsid w:val="00EF4817"/>
    <w:rsid w:val="00EF499E"/>
    <w:rsid w:val="00EF4A1F"/>
    <w:rsid w:val="00EF4CB8"/>
    <w:rsid w:val="00EF5019"/>
    <w:rsid w:val="00EF53D3"/>
    <w:rsid w:val="00EF5408"/>
    <w:rsid w:val="00EF5894"/>
    <w:rsid w:val="00EF59AE"/>
    <w:rsid w:val="00EF5AA1"/>
    <w:rsid w:val="00EF5C94"/>
    <w:rsid w:val="00EF5D3C"/>
    <w:rsid w:val="00EF5FCD"/>
    <w:rsid w:val="00EF6027"/>
    <w:rsid w:val="00EF66B5"/>
    <w:rsid w:val="00EF6855"/>
    <w:rsid w:val="00EF6A26"/>
    <w:rsid w:val="00EF6AF3"/>
    <w:rsid w:val="00EF6C30"/>
    <w:rsid w:val="00EF6D37"/>
    <w:rsid w:val="00EF7063"/>
    <w:rsid w:val="00EF7084"/>
    <w:rsid w:val="00EF7785"/>
    <w:rsid w:val="00EF77C9"/>
    <w:rsid w:val="00EF77CC"/>
    <w:rsid w:val="00EF7812"/>
    <w:rsid w:val="00EF7AE1"/>
    <w:rsid w:val="00EF7B39"/>
    <w:rsid w:val="00EF7B71"/>
    <w:rsid w:val="00EF7B9C"/>
    <w:rsid w:val="00EF7CD8"/>
    <w:rsid w:val="00EF7CF4"/>
    <w:rsid w:val="00EF7F60"/>
    <w:rsid w:val="00F001E7"/>
    <w:rsid w:val="00F004E9"/>
    <w:rsid w:val="00F00574"/>
    <w:rsid w:val="00F00853"/>
    <w:rsid w:val="00F00B26"/>
    <w:rsid w:val="00F00C43"/>
    <w:rsid w:val="00F00E00"/>
    <w:rsid w:val="00F00E87"/>
    <w:rsid w:val="00F01169"/>
    <w:rsid w:val="00F0119A"/>
    <w:rsid w:val="00F016D1"/>
    <w:rsid w:val="00F018D8"/>
    <w:rsid w:val="00F01B15"/>
    <w:rsid w:val="00F01EB3"/>
    <w:rsid w:val="00F01F37"/>
    <w:rsid w:val="00F0203B"/>
    <w:rsid w:val="00F02103"/>
    <w:rsid w:val="00F023E6"/>
    <w:rsid w:val="00F0266C"/>
    <w:rsid w:val="00F026EA"/>
    <w:rsid w:val="00F02A5E"/>
    <w:rsid w:val="00F02BC9"/>
    <w:rsid w:val="00F02DBC"/>
    <w:rsid w:val="00F02FDF"/>
    <w:rsid w:val="00F03041"/>
    <w:rsid w:val="00F030D9"/>
    <w:rsid w:val="00F031D3"/>
    <w:rsid w:val="00F03627"/>
    <w:rsid w:val="00F03875"/>
    <w:rsid w:val="00F038EE"/>
    <w:rsid w:val="00F03939"/>
    <w:rsid w:val="00F039D4"/>
    <w:rsid w:val="00F03B39"/>
    <w:rsid w:val="00F03B9D"/>
    <w:rsid w:val="00F03DC7"/>
    <w:rsid w:val="00F03E61"/>
    <w:rsid w:val="00F04052"/>
    <w:rsid w:val="00F041C8"/>
    <w:rsid w:val="00F0461E"/>
    <w:rsid w:val="00F04FED"/>
    <w:rsid w:val="00F05026"/>
    <w:rsid w:val="00F05386"/>
    <w:rsid w:val="00F05442"/>
    <w:rsid w:val="00F05517"/>
    <w:rsid w:val="00F05E39"/>
    <w:rsid w:val="00F05FBF"/>
    <w:rsid w:val="00F061E4"/>
    <w:rsid w:val="00F06235"/>
    <w:rsid w:val="00F06238"/>
    <w:rsid w:val="00F06268"/>
    <w:rsid w:val="00F062D0"/>
    <w:rsid w:val="00F06379"/>
    <w:rsid w:val="00F063D8"/>
    <w:rsid w:val="00F06673"/>
    <w:rsid w:val="00F0679D"/>
    <w:rsid w:val="00F067A2"/>
    <w:rsid w:val="00F06961"/>
    <w:rsid w:val="00F06B10"/>
    <w:rsid w:val="00F06B3C"/>
    <w:rsid w:val="00F06B44"/>
    <w:rsid w:val="00F06B5D"/>
    <w:rsid w:val="00F06F30"/>
    <w:rsid w:val="00F0726C"/>
    <w:rsid w:val="00F07386"/>
    <w:rsid w:val="00F073E9"/>
    <w:rsid w:val="00F07429"/>
    <w:rsid w:val="00F07486"/>
    <w:rsid w:val="00F075A9"/>
    <w:rsid w:val="00F075DA"/>
    <w:rsid w:val="00F07721"/>
    <w:rsid w:val="00F07CAB"/>
    <w:rsid w:val="00F07D71"/>
    <w:rsid w:val="00F07D93"/>
    <w:rsid w:val="00F07EE6"/>
    <w:rsid w:val="00F07F06"/>
    <w:rsid w:val="00F100ED"/>
    <w:rsid w:val="00F10644"/>
    <w:rsid w:val="00F1066F"/>
    <w:rsid w:val="00F106E4"/>
    <w:rsid w:val="00F10878"/>
    <w:rsid w:val="00F108BB"/>
    <w:rsid w:val="00F10905"/>
    <w:rsid w:val="00F10A1F"/>
    <w:rsid w:val="00F10C87"/>
    <w:rsid w:val="00F10E90"/>
    <w:rsid w:val="00F10F46"/>
    <w:rsid w:val="00F10FA6"/>
    <w:rsid w:val="00F1147B"/>
    <w:rsid w:val="00F1181E"/>
    <w:rsid w:val="00F1198E"/>
    <w:rsid w:val="00F1204B"/>
    <w:rsid w:val="00F120CE"/>
    <w:rsid w:val="00F123D3"/>
    <w:rsid w:val="00F1257A"/>
    <w:rsid w:val="00F1263E"/>
    <w:rsid w:val="00F128B3"/>
    <w:rsid w:val="00F12958"/>
    <w:rsid w:val="00F12D2D"/>
    <w:rsid w:val="00F1319A"/>
    <w:rsid w:val="00F13317"/>
    <w:rsid w:val="00F13385"/>
    <w:rsid w:val="00F1359E"/>
    <w:rsid w:val="00F138C0"/>
    <w:rsid w:val="00F139C4"/>
    <w:rsid w:val="00F13A95"/>
    <w:rsid w:val="00F13AAE"/>
    <w:rsid w:val="00F13D3D"/>
    <w:rsid w:val="00F13D63"/>
    <w:rsid w:val="00F13E12"/>
    <w:rsid w:val="00F140D1"/>
    <w:rsid w:val="00F1415F"/>
    <w:rsid w:val="00F141C5"/>
    <w:rsid w:val="00F14201"/>
    <w:rsid w:val="00F143A9"/>
    <w:rsid w:val="00F144BC"/>
    <w:rsid w:val="00F14691"/>
    <w:rsid w:val="00F14A17"/>
    <w:rsid w:val="00F14A38"/>
    <w:rsid w:val="00F14B5D"/>
    <w:rsid w:val="00F14C39"/>
    <w:rsid w:val="00F14C6A"/>
    <w:rsid w:val="00F14F84"/>
    <w:rsid w:val="00F1508C"/>
    <w:rsid w:val="00F154BF"/>
    <w:rsid w:val="00F15625"/>
    <w:rsid w:val="00F156C2"/>
    <w:rsid w:val="00F1578E"/>
    <w:rsid w:val="00F157AD"/>
    <w:rsid w:val="00F15942"/>
    <w:rsid w:val="00F15B24"/>
    <w:rsid w:val="00F16087"/>
    <w:rsid w:val="00F1629A"/>
    <w:rsid w:val="00F162B9"/>
    <w:rsid w:val="00F16462"/>
    <w:rsid w:val="00F16A05"/>
    <w:rsid w:val="00F16EC1"/>
    <w:rsid w:val="00F16F1E"/>
    <w:rsid w:val="00F17153"/>
    <w:rsid w:val="00F1719B"/>
    <w:rsid w:val="00F17379"/>
    <w:rsid w:val="00F17893"/>
    <w:rsid w:val="00F17ABB"/>
    <w:rsid w:val="00F17E10"/>
    <w:rsid w:val="00F17FBB"/>
    <w:rsid w:val="00F206FA"/>
    <w:rsid w:val="00F20763"/>
    <w:rsid w:val="00F20A7E"/>
    <w:rsid w:val="00F20CE4"/>
    <w:rsid w:val="00F20D22"/>
    <w:rsid w:val="00F210F6"/>
    <w:rsid w:val="00F2118A"/>
    <w:rsid w:val="00F213D7"/>
    <w:rsid w:val="00F213E4"/>
    <w:rsid w:val="00F214CE"/>
    <w:rsid w:val="00F21645"/>
    <w:rsid w:val="00F217DD"/>
    <w:rsid w:val="00F21C20"/>
    <w:rsid w:val="00F21E1E"/>
    <w:rsid w:val="00F21E7D"/>
    <w:rsid w:val="00F2216B"/>
    <w:rsid w:val="00F2219A"/>
    <w:rsid w:val="00F226EA"/>
    <w:rsid w:val="00F227C8"/>
    <w:rsid w:val="00F22877"/>
    <w:rsid w:val="00F22B6D"/>
    <w:rsid w:val="00F22FE4"/>
    <w:rsid w:val="00F232E2"/>
    <w:rsid w:val="00F2381C"/>
    <w:rsid w:val="00F238B9"/>
    <w:rsid w:val="00F23BE3"/>
    <w:rsid w:val="00F23CB7"/>
    <w:rsid w:val="00F23D2A"/>
    <w:rsid w:val="00F2415D"/>
    <w:rsid w:val="00F24253"/>
    <w:rsid w:val="00F245F7"/>
    <w:rsid w:val="00F247A3"/>
    <w:rsid w:val="00F24AB9"/>
    <w:rsid w:val="00F24B57"/>
    <w:rsid w:val="00F25055"/>
    <w:rsid w:val="00F251F2"/>
    <w:rsid w:val="00F255A5"/>
    <w:rsid w:val="00F25634"/>
    <w:rsid w:val="00F257B5"/>
    <w:rsid w:val="00F2648B"/>
    <w:rsid w:val="00F265CE"/>
    <w:rsid w:val="00F266E8"/>
    <w:rsid w:val="00F268DE"/>
    <w:rsid w:val="00F26953"/>
    <w:rsid w:val="00F26979"/>
    <w:rsid w:val="00F26D9B"/>
    <w:rsid w:val="00F2710E"/>
    <w:rsid w:val="00F271C1"/>
    <w:rsid w:val="00F2720E"/>
    <w:rsid w:val="00F276F6"/>
    <w:rsid w:val="00F2776D"/>
    <w:rsid w:val="00F27963"/>
    <w:rsid w:val="00F27994"/>
    <w:rsid w:val="00F27B36"/>
    <w:rsid w:val="00F27B81"/>
    <w:rsid w:val="00F27C7C"/>
    <w:rsid w:val="00F27DA0"/>
    <w:rsid w:val="00F300A3"/>
    <w:rsid w:val="00F30187"/>
    <w:rsid w:val="00F3048A"/>
    <w:rsid w:val="00F307AC"/>
    <w:rsid w:val="00F308B7"/>
    <w:rsid w:val="00F30F3B"/>
    <w:rsid w:val="00F31297"/>
    <w:rsid w:val="00F3145D"/>
    <w:rsid w:val="00F314AF"/>
    <w:rsid w:val="00F31A3F"/>
    <w:rsid w:val="00F31FD2"/>
    <w:rsid w:val="00F32785"/>
    <w:rsid w:val="00F32AFA"/>
    <w:rsid w:val="00F32E73"/>
    <w:rsid w:val="00F33094"/>
    <w:rsid w:val="00F330A8"/>
    <w:rsid w:val="00F33113"/>
    <w:rsid w:val="00F3340E"/>
    <w:rsid w:val="00F3358A"/>
    <w:rsid w:val="00F337DF"/>
    <w:rsid w:val="00F3386B"/>
    <w:rsid w:val="00F33B4C"/>
    <w:rsid w:val="00F33D04"/>
    <w:rsid w:val="00F341EA"/>
    <w:rsid w:val="00F34521"/>
    <w:rsid w:val="00F346E6"/>
    <w:rsid w:val="00F34705"/>
    <w:rsid w:val="00F347CD"/>
    <w:rsid w:val="00F34C5C"/>
    <w:rsid w:val="00F34D43"/>
    <w:rsid w:val="00F3528A"/>
    <w:rsid w:val="00F352E9"/>
    <w:rsid w:val="00F355A8"/>
    <w:rsid w:val="00F35650"/>
    <w:rsid w:val="00F35911"/>
    <w:rsid w:val="00F35969"/>
    <w:rsid w:val="00F35DEF"/>
    <w:rsid w:val="00F363A6"/>
    <w:rsid w:val="00F36419"/>
    <w:rsid w:val="00F3646E"/>
    <w:rsid w:val="00F3653B"/>
    <w:rsid w:val="00F36633"/>
    <w:rsid w:val="00F366CB"/>
    <w:rsid w:val="00F36B01"/>
    <w:rsid w:val="00F36B1D"/>
    <w:rsid w:val="00F36BD5"/>
    <w:rsid w:val="00F36C63"/>
    <w:rsid w:val="00F36D3A"/>
    <w:rsid w:val="00F36D4D"/>
    <w:rsid w:val="00F36EEA"/>
    <w:rsid w:val="00F37172"/>
    <w:rsid w:val="00F371F0"/>
    <w:rsid w:val="00F37286"/>
    <w:rsid w:val="00F376E9"/>
    <w:rsid w:val="00F37827"/>
    <w:rsid w:val="00F379AB"/>
    <w:rsid w:val="00F37C08"/>
    <w:rsid w:val="00F37CD6"/>
    <w:rsid w:val="00F37F45"/>
    <w:rsid w:val="00F40202"/>
    <w:rsid w:val="00F40419"/>
    <w:rsid w:val="00F40611"/>
    <w:rsid w:val="00F40864"/>
    <w:rsid w:val="00F40DB1"/>
    <w:rsid w:val="00F40DF4"/>
    <w:rsid w:val="00F41027"/>
    <w:rsid w:val="00F413C5"/>
    <w:rsid w:val="00F4167D"/>
    <w:rsid w:val="00F416E9"/>
    <w:rsid w:val="00F41AB2"/>
    <w:rsid w:val="00F41B37"/>
    <w:rsid w:val="00F41EEF"/>
    <w:rsid w:val="00F421DE"/>
    <w:rsid w:val="00F4223D"/>
    <w:rsid w:val="00F427B1"/>
    <w:rsid w:val="00F427EF"/>
    <w:rsid w:val="00F429C6"/>
    <w:rsid w:val="00F42C9A"/>
    <w:rsid w:val="00F43123"/>
    <w:rsid w:val="00F4328B"/>
    <w:rsid w:val="00F43661"/>
    <w:rsid w:val="00F4366C"/>
    <w:rsid w:val="00F43786"/>
    <w:rsid w:val="00F43799"/>
    <w:rsid w:val="00F43855"/>
    <w:rsid w:val="00F438CD"/>
    <w:rsid w:val="00F43CA0"/>
    <w:rsid w:val="00F442C3"/>
    <w:rsid w:val="00F44597"/>
    <w:rsid w:val="00F4460B"/>
    <w:rsid w:val="00F4486A"/>
    <w:rsid w:val="00F44895"/>
    <w:rsid w:val="00F449D8"/>
    <w:rsid w:val="00F44C16"/>
    <w:rsid w:val="00F44E90"/>
    <w:rsid w:val="00F45127"/>
    <w:rsid w:val="00F45150"/>
    <w:rsid w:val="00F4525D"/>
    <w:rsid w:val="00F457CC"/>
    <w:rsid w:val="00F459EF"/>
    <w:rsid w:val="00F45B7B"/>
    <w:rsid w:val="00F45C56"/>
    <w:rsid w:val="00F45ED6"/>
    <w:rsid w:val="00F46087"/>
    <w:rsid w:val="00F460F2"/>
    <w:rsid w:val="00F4626C"/>
    <w:rsid w:val="00F46298"/>
    <w:rsid w:val="00F462F3"/>
    <w:rsid w:val="00F46391"/>
    <w:rsid w:val="00F468DE"/>
    <w:rsid w:val="00F46CE4"/>
    <w:rsid w:val="00F46DF4"/>
    <w:rsid w:val="00F46E11"/>
    <w:rsid w:val="00F473F0"/>
    <w:rsid w:val="00F47524"/>
    <w:rsid w:val="00F476E3"/>
    <w:rsid w:val="00F47C0B"/>
    <w:rsid w:val="00F47C70"/>
    <w:rsid w:val="00F47F30"/>
    <w:rsid w:val="00F5010D"/>
    <w:rsid w:val="00F5022F"/>
    <w:rsid w:val="00F503A8"/>
    <w:rsid w:val="00F5041B"/>
    <w:rsid w:val="00F5050D"/>
    <w:rsid w:val="00F50585"/>
    <w:rsid w:val="00F50652"/>
    <w:rsid w:val="00F51175"/>
    <w:rsid w:val="00F5126F"/>
    <w:rsid w:val="00F51349"/>
    <w:rsid w:val="00F51365"/>
    <w:rsid w:val="00F51370"/>
    <w:rsid w:val="00F513D1"/>
    <w:rsid w:val="00F51650"/>
    <w:rsid w:val="00F516E3"/>
    <w:rsid w:val="00F52002"/>
    <w:rsid w:val="00F52105"/>
    <w:rsid w:val="00F5245F"/>
    <w:rsid w:val="00F52F08"/>
    <w:rsid w:val="00F537BC"/>
    <w:rsid w:val="00F5388F"/>
    <w:rsid w:val="00F5389B"/>
    <w:rsid w:val="00F53933"/>
    <w:rsid w:val="00F539BB"/>
    <w:rsid w:val="00F53ABB"/>
    <w:rsid w:val="00F53B25"/>
    <w:rsid w:val="00F53D54"/>
    <w:rsid w:val="00F53E68"/>
    <w:rsid w:val="00F546AB"/>
    <w:rsid w:val="00F5479C"/>
    <w:rsid w:val="00F547D1"/>
    <w:rsid w:val="00F547DD"/>
    <w:rsid w:val="00F54832"/>
    <w:rsid w:val="00F54C17"/>
    <w:rsid w:val="00F54C93"/>
    <w:rsid w:val="00F54CA9"/>
    <w:rsid w:val="00F55249"/>
    <w:rsid w:val="00F5553F"/>
    <w:rsid w:val="00F55763"/>
    <w:rsid w:val="00F557DC"/>
    <w:rsid w:val="00F55AFC"/>
    <w:rsid w:val="00F55BD8"/>
    <w:rsid w:val="00F562CE"/>
    <w:rsid w:val="00F564C1"/>
    <w:rsid w:val="00F56667"/>
    <w:rsid w:val="00F56BEE"/>
    <w:rsid w:val="00F56D21"/>
    <w:rsid w:val="00F574AE"/>
    <w:rsid w:val="00F575B0"/>
    <w:rsid w:val="00F57882"/>
    <w:rsid w:val="00F57885"/>
    <w:rsid w:val="00F579A9"/>
    <w:rsid w:val="00F579AF"/>
    <w:rsid w:val="00F57B18"/>
    <w:rsid w:val="00F57D29"/>
    <w:rsid w:val="00F60157"/>
    <w:rsid w:val="00F60200"/>
    <w:rsid w:val="00F60274"/>
    <w:rsid w:val="00F6032C"/>
    <w:rsid w:val="00F6039B"/>
    <w:rsid w:val="00F60573"/>
    <w:rsid w:val="00F60663"/>
    <w:rsid w:val="00F609DA"/>
    <w:rsid w:val="00F60B72"/>
    <w:rsid w:val="00F60CC0"/>
    <w:rsid w:val="00F60D90"/>
    <w:rsid w:val="00F60E2D"/>
    <w:rsid w:val="00F60FB0"/>
    <w:rsid w:val="00F611AA"/>
    <w:rsid w:val="00F611EA"/>
    <w:rsid w:val="00F61346"/>
    <w:rsid w:val="00F615C4"/>
    <w:rsid w:val="00F616D9"/>
    <w:rsid w:val="00F619ED"/>
    <w:rsid w:val="00F61B02"/>
    <w:rsid w:val="00F61E6C"/>
    <w:rsid w:val="00F6211A"/>
    <w:rsid w:val="00F6229E"/>
    <w:rsid w:val="00F62355"/>
    <w:rsid w:val="00F624A8"/>
    <w:rsid w:val="00F62538"/>
    <w:rsid w:val="00F62678"/>
    <w:rsid w:val="00F626C0"/>
    <w:rsid w:val="00F62D7E"/>
    <w:rsid w:val="00F62E2D"/>
    <w:rsid w:val="00F62E72"/>
    <w:rsid w:val="00F630B0"/>
    <w:rsid w:val="00F63256"/>
    <w:rsid w:val="00F6328E"/>
    <w:rsid w:val="00F632F4"/>
    <w:rsid w:val="00F635A7"/>
    <w:rsid w:val="00F63694"/>
    <w:rsid w:val="00F6389F"/>
    <w:rsid w:val="00F63A8B"/>
    <w:rsid w:val="00F63BCB"/>
    <w:rsid w:val="00F63E31"/>
    <w:rsid w:val="00F63F2A"/>
    <w:rsid w:val="00F64253"/>
    <w:rsid w:val="00F64C35"/>
    <w:rsid w:val="00F64E48"/>
    <w:rsid w:val="00F6538F"/>
    <w:rsid w:val="00F654DD"/>
    <w:rsid w:val="00F65768"/>
    <w:rsid w:val="00F658C1"/>
    <w:rsid w:val="00F658F7"/>
    <w:rsid w:val="00F659D9"/>
    <w:rsid w:val="00F65ADA"/>
    <w:rsid w:val="00F65ADF"/>
    <w:rsid w:val="00F660C4"/>
    <w:rsid w:val="00F66144"/>
    <w:rsid w:val="00F66163"/>
    <w:rsid w:val="00F6619C"/>
    <w:rsid w:val="00F663D6"/>
    <w:rsid w:val="00F66A8F"/>
    <w:rsid w:val="00F67004"/>
    <w:rsid w:val="00F6713F"/>
    <w:rsid w:val="00F67254"/>
    <w:rsid w:val="00F6740F"/>
    <w:rsid w:val="00F67565"/>
    <w:rsid w:val="00F67733"/>
    <w:rsid w:val="00F67901"/>
    <w:rsid w:val="00F6793A"/>
    <w:rsid w:val="00F67CA6"/>
    <w:rsid w:val="00F70048"/>
    <w:rsid w:val="00F7011D"/>
    <w:rsid w:val="00F70193"/>
    <w:rsid w:val="00F70234"/>
    <w:rsid w:val="00F70526"/>
    <w:rsid w:val="00F705A4"/>
    <w:rsid w:val="00F7098A"/>
    <w:rsid w:val="00F70C2B"/>
    <w:rsid w:val="00F70C3B"/>
    <w:rsid w:val="00F70F2F"/>
    <w:rsid w:val="00F70FAB"/>
    <w:rsid w:val="00F71080"/>
    <w:rsid w:val="00F710E5"/>
    <w:rsid w:val="00F71248"/>
    <w:rsid w:val="00F713F0"/>
    <w:rsid w:val="00F7167B"/>
    <w:rsid w:val="00F7186C"/>
    <w:rsid w:val="00F71B56"/>
    <w:rsid w:val="00F71C2D"/>
    <w:rsid w:val="00F71CE2"/>
    <w:rsid w:val="00F71DFD"/>
    <w:rsid w:val="00F726BE"/>
    <w:rsid w:val="00F7281E"/>
    <w:rsid w:val="00F72EDA"/>
    <w:rsid w:val="00F73028"/>
    <w:rsid w:val="00F7335D"/>
    <w:rsid w:val="00F7348B"/>
    <w:rsid w:val="00F734A2"/>
    <w:rsid w:val="00F73744"/>
    <w:rsid w:val="00F7391D"/>
    <w:rsid w:val="00F73AC4"/>
    <w:rsid w:val="00F73AF3"/>
    <w:rsid w:val="00F73B7E"/>
    <w:rsid w:val="00F73B99"/>
    <w:rsid w:val="00F73D84"/>
    <w:rsid w:val="00F73EBF"/>
    <w:rsid w:val="00F74616"/>
    <w:rsid w:val="00F749A9"/>
    <w:rsid w:val="00F74B51"/>
    <w:rsid w:val="00F752AD"/>
    <w:rsid w:val="00F7560D"/>
    <w:rsid w:val="00F75706"/>
    <w:rsid w:val="00F759A6"/>
    <w:rsid w:val="00F75AA4"/>
    <w:rsid w:val="00F75CE3"/>
    <w:rsid w:val="00F75D84"/>
    <w:rsid w:val="00F75DD2"/>
    <w:rsid w:val="00F75FBD"/>
    <w:rsid w:val="00F7615C"/>
    <w:rsid w:val="00F76377"/>
    <w:rsid w:val="00F763A8"/>
    <w:rsid w:val="00F76755"/>
    <w:rsid w:val="00F76992"/>
    <w:rsid w:val="00F76C6F"/>
    <w:rsid w:val="00F76EF0"/>
    <w:rsid w:val="00F77042"/>
    <w:rsid w:val="00F7724D"/>
    <w:rsid w:val="00F7737A"/>
    <w:rsid w:val="00F7737B"/>
    <w:rsid w:val="00F778A0"/>
    <w:rsid w:val="00F77BC3"/>
    <w:rsid w:val="00F77BC6"/>
    <w:rsid w:val="00F77E06"/>
    <w:rsid w:val="00F77E8D"/>
    <w:rsid w:val="00F800D0"/>
    <w:rsid w:val="00F8015C"/>
    <w:rsid w:val="00F801F3"/>
    <w:rsid w:val="00F8036A"/>
    <w:rsid w:val="00F8068A"/>
    <w:rsid w:val="00F80B06"/>
    <w:rsid w:val="00F80CDF"/>
    <w:rsid w:val="00F8114B"/>
    <w:rsid w:val="00F81362"/>
    <w:rsid w:val="00F8181E"/>
    <w:rsid w:val="00F81970"/>
    <w:rsid w:val="00F81B73"/>
    <w:rsid w:val="00F8224A"/>
    <w:rsid w:val="00F822B1"/>
    <w:rsid w:val="00F82335"/>
    <w:rsid w:val="00F825F0"/>
    <w:rsid w:val="00F82B8E"/>
    <w:rsid w:val="00F82C00"/>
    <w:rsid w:val="00F82C9D"/>
    <w:rsid w:val="00F82F30"/>
    <w:rsid w:val="00F82F44"/>
    <w:rsid w:val="00F82FBC"/>
    <w:rsid w:val="00F8316D"/>
    <w:rsid w:val="00F832ED"/>
    <w:rsid w:val="00F83315"/>
    <w:rsid w:val="00F83537"/>
    <w:rsid w:val="00F836EA"/>
    <w:rsid w:val="00F838B1"/>
    <w:rsid w:val="00F83930"/>
    <w:rsid w:val="00F83D34"/>
    <w:rsid w:val="00F83EF6"/>
    <w:rsid w:val="00F8416C"/>
    <w:rsid w:val="00F84419"/>
    <w:rsid w:val="00F84B27"/>
    <w:rsid w:val="00F84CFA"/>
    <w:rsid w:val="00F853DD"/>
    <w:rsid w:val="00F854EE"/>
    <w:rsid w:val="00F85714"/>
    <w:rsid w:val="00F8592E"/>
    <w:rsid w:val="00F85C09"/>
    <w:rsid w:val="00F85FC1"/>
    <w:rsid w:val="00F86093"/>
    <w:rsid w:val="00F8659E"/>
    <w:rsid w:val="00F86600"/>
    <w:rsid w:val="00F86774"/>
    <w:rsid w:val="00F86AC2"/>
    <w:rsid w:val="00F86C6C"/>
    <w:rsid w:val="00F86D65"/>
    <w:rsid w:val="00F86E3A"/>
    <w:rsid w:val="00F86F56"/>
    <w:rsid w:val="00F871A4"/>
    <w:rsid w:val="00F871FC"/>
    <w:rsid w:val="00F872F2"/>
    <w:rsid w:val="00F87579"/>
    <w:rsid w:val="00F87850"/>
    <w:rsid w:val="00F879EC"/>
    <w:rsid w:val="00F87BBF"/>
    <w:rsid w:val="00F90183"/>
    <w:rsid w:val="00F901F0"/>
    <w:rsid w:val="00F9026E"/>
    <w:rsid w:val="00F9033F"/>
    <w:rsid w:val="00F903F1"/>
    <w:rsid w:val="00F90592"/>
    <w:rsid w:val="00F9060E"/>
    <w:rsid w:val="00F90843"/>
    <w:rsid w:val="00F90908"/>
    <w:rsid w:val="00F909D8"/>
    <w:rsid w:val="00F91137"/>
    <w:rsid w:val="00F911B0"/>
    <w:rsid w:val="00F91353"/>
    <w:rsid w:val="00F91946"/>
    <w:rsid w:val="00F9197D"/>
    <w:rsid w:val="00F919FE"/>
    <w:rsid w:val="00F91B83"/>
    <w:rsid w:val="00F91D94"/>
    <w:rsid w:val="00F91E2C"/>
    <w:rsid w:val="00F91E89"/>
    <w:rsid w:val="00F91FD1"/>
    <w:rsid w:val="00F92481"/>
    <w:rsid w:val="00F9250F"/>
    <w:rsid w:val="00F9253C"/>
    <w:rsid w:val="00F92574"/>
    <w:rsid w:val="00F9257B"/>
    <w:rsid w:val="00F927F1"/>
    <w:rsid w:val="00F92902"/>
    <w:rsid w:val="00F92B33"/>
    <w:rsid w:val="00F92D31"/>
    <w:rsid w:val="00F92DBC"/>
    <w:rsid w:val="00F9317A"/>
    <w:rsid w:val="00F934F9"/>
    <w:rsid w:val="00F93879"/>
    <w:rsid w:val="00F938B0"/>
    <w:rsid w:val="00F93B53"/>
    <w:rsid w:val="00F93B89"/>
    <w:rsid w:val="00F940DF"/>
    <w:rsid w:val="00F942EE"/>
    <w:rsid w:val="00F9430E"/>
    <w:rsid w:val="00F946DB"/>
    <w:rsid w:val="00F946E0"/>
    <w:rsid w:val="00F94A7D"/>
    <w:rsid w:val="00F94D57"/>
    <w:rsid w:val="00F950C0"/>
    <w:rsid w:val="00F951AD"/>
    <w:rsid w:val="00F95371"/>
    <w:rsid w:val="00F955EF"/>
    <w:rsid w:val="00F9573F"/>
    <w:rsid w:val="00F95773"/>
    <w:rsid w:val="00F957F6"/>
    <w:rsid w:val="00F95895"/>
    <w:rsid w:val="00F95AC1"/>
    <w:rsid w:val="00F95F82"/>
    <w:rsid w:val="00F9602B"/>
    <w:rsid w:val="00F962A2"/>
    <w:rsid w:val="00F9645D"/>
    <w:rsid w:val="00F9676C"/>
    <w:rsid w:val="00F9684A"/>
    <w:rsid w:val="00F96914"/>
    <w:rsid w:val="00F96963"/>
    <w:rsid w:val="00F96A86"/>
    <w:rsid w:val="00F96AC6"/>
    <w:rsid w:val="00F96C28"/>
    <w:rsid w:val="00F96CA1"/>
    <w:rsid w:val="00F96E4E"/>
    <w:rsid w:val="00F96F0D"/>
    <w:rsid w:val="00F970A7"/>
    <w:rsid w:val="00F973AE"/>
    <w:rsid w:val="00F97556"/>
    <w:rsid w:val="00F976BA"/>
    <w:rsid w:val="00F97745"/>
    <w:rsid w:val="00F9799B"/>
    <w:rsid w:val="00F97AC1"/>
    <w:rsid w:val="00F97E1F"/>
    <w:rsid w:val="00FA03D5"/>
    <w:rsid w:val="00FA069F"/>
    <w:rsid w:val="00FA0825"/>
    <w:rsid w:val="00FA08AD"/>
    <w:rsid w:val="00FA0953"/>
    <w:rsid w:val="00FA128A"/>
    <w:rsid w:val="00FA15B6"/>
    <w:rsid w:val="00FA1BAD"/>
    <w:rsid w:val="00FA1D20"/>
    <w:rsid w:val="00FA1DDB"/>
    <w:rsid w:val="00FA1E2A"/>
    <w:rsid w:val="00FA1FE7"/>
    <w:rsid w:val="00FA23CC"/>
    <w:rsid w:val="00FA25B3"/>
    <w:rsid w:val="00FA2B73"/>
    <w:rsid w:val="00FA2E5A"/>
    <w:rsid w:val="00FA2F27"/>
    <w:rsid w:val="00FA2F59"/>
    <w:rsid w:val="00FA2FEA"/>
    <w:rsid w:val="00FA3087"/>
    <w:rsid w:val="00FA34B2"/>
    <w:rsid w:val="00FA3642"/>
    <w:rsid w:val="00FA3883"/>
    <w:rsid w:val="00FA3AB1"/>
    <w:rsid w:val="00FA4150"/>
    <w:rsid w:val="00FA4270"/>
    <w:rsid w:val="00FA430A"/>
    <w:rsid w:val="00FA450E"/>
    <w:rsid w:val="00FA4563"/>
    <w:rsid w:val="00FA48AF"/>
    <w:rsid w:val="00FA48B9"/>
    <w:rsid w:val="00FA48C5"/>
    <w:rsid w:val="00FA49A6"/>
    <w:rsid w:val="00FA4ABB"/>
    <w:rsid w:val="00FA4BE1"/>
    <w:rsid w:val="00FA4E2F"/>
    <w:rsid w:val="00FA4EF0"/>
    <w:rsid w:val="00FA50CB"/>
    <w:rsid w:val="00FA536C"/>
    <w:rsid w:val="00FA53E6"/>
    <w:rsid w:val="00FA5418"/>
    <w:rsid w:val="00FA54C1"/>
    <w:rsid w:val="00FA5766"/>
    <w:rsid w:val="00FA5D05"/>
    <w:rsid w:val="00FA5D13"/>
    <w:rsid w:val="00FA60CF"/>
    <w:rsid w:val="00FA60E7"/>
    <w:rsid w:val="00FA6248"/>
    <w:rsid w:val="00FA67D0"/>
    <w:rsid w:val="00FA688A"/>
    <w:rsid w:val="00FA6AB4"/>
    <w:rsid w:val="00FA6C6B"/>
    <w:rsid w:val="00FA6C73"/>
    <w:rsid w:val="00FA6F09"/>
    <w:rsid w:val="00FA6F28"/>
    <w:rsid w:val="00FA7015"/>
    <w:rsid w:val="00FA7857"/>
    <w:rsid w:val="00FA7C23"/>
    <w:rsid w:val="00FA7D7D"/>
    <w:rsid w:val="00FA7D8A"/>
    <w:rsid w:val="00FA7F4D"/>
    <w:rsid w:val="00FB005F"/>
    <w:rsid w:val="00FB0110"/>
    <w:rsid w:val="00FB0447"/>
    <w:rsid w:val="00FB064C"/>
    <w:rsid w:val="00FB0823"/>
    <w:rsid w:val="00FB0FC8"/>
    <w:rsid w:val="00FB1242"/>
    <w:rsid w:val="00FB13DE"/>
    <w:rsid w:val="00FB15CF"/>
    <w:rsid w:val="00FB19A0"/>
    <w:rsid w:val="00FB1BDC"/>
    <w:rsid w:val="00FB1E1F"/>
    <w:rsid w:val="00FB1EB1"/>
    <w:rsid w:val="00FB1F9C"/>
    <w:rsid w:val="00FB2058"/>
    <w:rsid w:val="00FB255F"/>
    <w:rsid w:val="00FB266B"/>
    <w:rsid w:val="00FB2DE1"/>
    <w:rsid w:val="00FB2E43"/>
    <w:rsid w:val="00FB310F"/>
    <w:rsid w:val="00FB34D7"/>
    <w:rsid w:val="00FB35DC"/>
    <w:rsid w:val="00FB37EA"/>
    <w:rsid w:val="00FB3C52"/>
    <w:rsid w:val="00FB3F61"/>
    <w:rsid w:val="00FB42A5"/>
    <w:rsid w:val="00FB47D5"/>
    <w:rsid w:val="00FB48D7"/>
    <w:rsid w:val="00FB4923"/>
    <w:rsid w:val="00FB4BBA"/>
    <w:rsid w:val="00FB4C63"/>
    <w:rsid w:val="00FB4DF6"/>
    <w:rsid w:val="00FB4E12"/>
    <w:rsid w:val="00FB4ED0"/>
    <w:rsid w:val="00FB50F8"/>
    <w:rsid w:val="00FB5102"/>
    <w:rsid w:val="00FB54F2"/>
    <w:rsid w:val="00FB56E2"/>
    <w:rsid w:val="00FB5799"/>
    <w:rsid w:val="00FB57CB"/>
    <w:rsid w:val="00FB596B"/>
    <w:rsid w:val="00FB5BBF"/>
    <w:rsid w:val="00FB5D2C"/>
    <w:rsid w:val="00FB60AE"/>
    <w:rsid w:val="00FB620D"/>
    <w:rsid w:val="00FB6331"/>
    <w:rsid w:val="00FB651F"/>
    <w:rsid w:val="00FB67C4"/>
    <w:rsid w:val="00FB6898"/>
    <w:rsid w:val="00FB6BE9"/>
    <w:rsid w:val="00FB6CE7"/>
    <w:rsid w:val="00FB6DAE"/>
    <w:rsid w:val="00FB6EBC"/>
    <w:rsid w:val="00FB6F67"/>
    <w:rsid w:val="00FB76BB"/>
    <w:rsid w:val="00FB76FB"/>
    <w:rsid w:val="00FB7A98"/>
    <w:rsid w:val="00FB7B3E"/>
    <w:rsid w:val="00FC01DC"/>
    <w:rsid w:val="00FC02CB"/>
    <w:rsid w:val="00FC03AB"/>
    <w:rsid w:val="00FC04F0"/>
    <w:rsid w:val="00FC04F9"/>
    <w:rsid w:val="00FC0557"/>
    <w:rsid w:val="00FC0AD7"/>
    <w:rsid w:val="00FC0C3C"/>
    <w:rsid w:val="00FC0D5C"/>
    <w:rsid w:val="00FC0E32"/>
    <w:rsid w:val="00FC0E87"/>
    <w:rsid w:val="00FC10DE"/>
    <w:rsid w:val="00FC10FB"/>
    <w:rsid w:val="00FC1272"/>
    <w:rsid w:val="00FC1410"/>
    <w:rsid w:val="00FC1BC3"/>
    <w:rsid w:val="00FC1C1C"/>
    <w:rsid w:val="00FC2250"/>
    <w:rsid w:val="00FC23AE"/>
    <w:rsid w:val="00FC23CC"/>
    <w:rsid w:val="00FC25B3"/>
    <w:rsid w:val="00FC25F0"/>
    <w:rsid w:val="00FC2D5F"/>
    <w:rsid w:val="00FC310F"/>
    <w:rsid w:val="00FC3394"/>
    <w:rsid w:val="00FC3788"/>
    <w:rsid w:val="00FC3A0A"/>
    <w:rsid w:val="00FC3AEA"/>
    <w:rsid w:val="00FC3BBE"/>
    <w:rsid w:val="00FC3D3A"/>
    <w:rsid w:val="00FC41C3"/>
    <w:rsid w:val="00FC4342"/>
    <w:rsid w:val="00FC46E2"/>
    <w:rsid w:val="00FC4726"/>
    <w:rsid w:val="00FC481E"/>
    <w:rsid w:val="00FC4951"/>
    <w:rsid w:val="00FC4A54"/>
    <w:rsid w:val="00FC4C98"/>
    <w:rsid w:val="00FC4E2E"/>
    <w:rsid w:val="00FC5463"/>
    <w:rsid w:val="00FC5603"/>
    <w:rsid w:val="00FC5951"/>
    <w:rsid w:val="00FC5A49"/>
    <w:rsid w:val="00FC5D24"/>
    <w:rsid w:val="00FC5E16"/>
    <w:rsid w:val="00FC5E3F"/>
    <w:rsid w:val="00FC5F47"/>
    <w:rsid w:val="00FC5FF8"/>
    <w:rsid w:val="00FC615F"/>
    <w:rsid w:val="00FC62E6"/>
    <w:rsid w:val="00FC672C"/>
    <w:rsid w:val="00FC67B6"/>
    <w:rsid w:val="00FC7068"/>
    <w:rsid w:val="00FC72E2"/>
    <w:rsid w:val="00FC7385"/>
    <w:rsid w:val="00FC76F4"/>
    <w:rsid w:val="00FC79EB"/>
    <w:rsid w:val="00FC79F4"/>
    <w:rsid w:val="00FC7E39"/>
    <w:rsid w:val="00FD010D"/>
    <w:rsid w:val="00FD0178"/>
    <w:rsid w:val="00FD037E"/>
    <w:rsid w:val="00FD03EB"/>
    <w:rsid w:val="00FD056E"/>
    <w:rsid w:val="00FD05AF"/>
    <w:rsid w:val="00FD06B6"/>
    <w:rsid w:val="00FD0B09"/>
    <w:rsid w:val="00FD0B28"/>
    <w:rsid w:val="00FD0C41"/>
    <w:rsid w:val="00FD12B8"/>
    <w:rsid w:val="00FD130D"/>
    <w:rsid w:val="00FD15A4"/>
    <w:rsid w:val="00FD17BA"/>
    <w:rsid w:val="00FD19E6"/>
    <w:rsid w:val="00FD2137"/>
    <w:rsid w:val="00FD2199"/>
    <w:rsid w:val="00FD23D4"/>
    <w:rsid w:val="00FD23FC"/>
    <w:rsid w:val="00FD2511"/>
    <w:rsid w:val="00FD261B"/>
    <w:rsid w:val="00FD2690"/>
    <w:rsid w:val="00FD298D"/>
    <w:rsid w:val="00FD2AB7"/>
    <w:rsid w:val="00FD2B78"/>
    <w:rsid w:val="00FD2C9D"/>
    <w:rsid w:val="00FD2C9F"/>
    <w:rsid w:val="00FD2CB0"/>
    <w:rsid w:val="00FD2CB9"/>
    <w:rsid w:val="00FD2CE4"/>
    <w:rsid w:val="00FD2CEC"/>
    <w:rsid w:val="00FD2DFF"/>
    <w:rsid w:val="00FD2E1A"/>
    <w:rsid w:val="00FD2F74"/>
    <w:rsid w:val="00FD34DB"/>
    <w:rsid w:val="00FD3686"/>
    <w:rsid w:val="00FD36B1"/>
    <w:rsid w:val="00FD3733"/>
    <w:rsid w:val="00FD375B"/>
    <w:rsid w:val="00FD3B94"/>
    <w:rsid w:val="00FD3DDB"/>
    <w:rsid w:val="00FD3E02"/>
    <w:rsid w:val="00FD40DD"/>
    <w:rsid w:val="00FD419F"/>
    <w:rsid w:val="00FD41C6"/>
    <w:rsid w:val="00FD4218"/>
    <w:rsid w:val="00FD43B3"/>
    <w:rsid w:val="00FD4833"/>
    <w:rsid w:val="00FD5609"/>
    <w:rsid w:val="00FD56CE"/>
    <w:rsid w:val="00FD5910"/>
    <w:rsid w:val="00FD5B0F"/>
    <w:rsid w:val="00FD5ED1"/>
    <w:rsid w:val="00FD6295"/>
    <w:rsid w:val="00FD6375"/>
    <w:rsid w:val="00FD6384"/>
    <w:rsid w:val="00FD6565"/>
    <w:rsid w:val="00FD66B8"/>
    <w:rsid w:val="00FD66D5"/>
    <w:rsid w:val="00FD69AB"/>
    <w:rsid w:val="00FD6DFE"/>
    <w:rsid w:val="00FD7081"/>
    <w:rsid w:val="00FD7529"/>
    <w:rsid w:val="00FD75F4"/>
    <w:rsid w:val="00FD761C"/>
    <w:rsid w:val="00FD76E4"/>
    <w:rsid w:val="00FD79F7"/>
    <w:rsid w:val="00FD7D2A"/>
    <w:rsid w:val="00FD7EBC"/>
    <w:rsid w:val="00FD7F13"/>
    <w:rsid w:val="00FE0074"/>
    <w:rsid w:val="00FE056E"/>
    <w:rsid w:val="00FE0C8A"/>
    <w:rsid w:val="00FE1118"/>
    <w:rsid w:val="00FE1152"/>
    <w:rsid w:val="00FE11FA"/>
    <w:rsid w:val="00FE1D9E"/>
    <w:rsid w:val="00FE2045"/>
    <w:rsid w:val="00FE2462"/>
    <w:rsid w:val="00FE28D1"/>
    <w:rsid w:val="00FE28F2"/>
    <w:rsid w:val="00FE28F4"/>
    <w:rsid w:val="00FE28FB"/>
    <w:rsid w:val="00FE2BE0"/>
    <w:rsid w:val="00FE320A"/>
    <w:rsid w:val="00FE3327"/>
    <w:rsid w:val="00FE3365"/>
    <w:rsid w:val="00FE34C9"/>
    <w:rsid w:val="00FE39E5"/>
    <w:rsid w:val="00FE3C4F"/>
    <w:rsid w:val="00FE3D64"/>
    <w:rsid w:val="00FE3EE5"/>
    <w:rsid w:val="00FE40E5"/>
    <w:rsid w:val="00FE42FB"/>
    <w:rsid w:val="00FE4378"/>
    <w:rsid w:val="00FE4739"/>
    <w:rsid w:val="00FE4C9E"/>
    <w:rsid w:val="00FE4DB2"/>
    <w:rsid w:val="00FE4F09"/>
    <w:rsid w:val="00FE5045"/>
    <w:rsid w:val="00FE5263"/>
    <w:rsid w:val="00FE5889"/>
    <w:rsid w:val="00FE5BEE"/>
    <w:rsid w:val="00FE5E22"/>
    <w:rsid w:val="00FE5E91"/>
    <w:rsid w:val="00FE5F75"/>
    <w:rsid w:val="00FE5FEB"/>
    <w:rsid w:val="00FE60AA"/>
    <w:rsid w:val="00FE6130"/>
    <w:rsid w:val="00FE681D"/>
    <w:rsid w:val="00FE6AB3"/>
    <w:rsid w:val="00FE7009"/>
    <w:rsid w:val="00FE71AC"/>
    <w:rsid w:val="00FE7403"/>
    <w:rsid w:val="00FE74DF"/>
    <w:rsid w:val="00FE7881"/>
    <w:rsid w:val="00FE7B18"/>
    <w:rsid w:val="00FE7BD5"/>
    <w:rsid w:val="00FE7E75"/>
    <w:rsid w:val="00FF001F"/>
    <w:rsid w:val="00FF03F2"/>
    <w:rsid w:val="00FF0B52"/>
    <w:rsid w:val="00FF0C58"/>
    <w:rsid w:val="00FF0DBD"/>
    <w:rsid w:val="00FF12EF"/>
    <w:rsid w:val="00FF1359"/>
    <w:rsid w:val="00FF1745"/>
    <w:rsid w:val="00FF1777"/>
    <w:rsid w:val="00FF17FB"/>
    <w:rsid w:val="00FF18E7"/>
    <w:rsid w:val="00FF1E03"/>
    <w:rsid w:val="00FF1FB7"/>
    <w:rsid w:val="00FF1FE9"/>
    <w:rsid w:val="00FF2100"/>
    <w:rsid w:val="00FF2142"/>
    <w:rsid w:val="00FF2176"/>
    <w:rsid w:val="00FF2345"/>
    <w:rsid w:val="00FF2A84"/>
    <w:rsid w:val="00FF2D46"/>
    <w:rsid w:val="00FF2F61"/>
    <w:rsid w:val="00FF3182"/>
    <w:rsid w:val="00FF3327"/>
    <w:rsid w:val="00FF348E"/>
    <w:rsid w:val="00FF36DF"/>
    <w:rsid w:val="00FF3746"/>
    <w:rsid w:val="00FF3A07"/>
    <w:rsid w:val="00FF3C66"/>
    <w:rsid w:val="00FF3E2E"/>
    <w:rsid w:val="00FF3E31"/>
    <w:rsid w:val="00FF3FEA"/>
    <w:rsid w:val="00FF4065"/>
    <w:rsid w:val="00FF431A"/>
    <w:rsid w:val="00FF435E"/>
    <w:rsid w:val="00FF44AF"/>
    <w:rsid w:val="00FF4500"/>
    <w:rsid w:val="00FF45C6"/>
    <w:rsid w:val="00FF4912"/>
    <w:rsid w:val="00FF4BF2"/>
    <w:rsid w:val="00FF4C68"/>
    <w:rsid w:val="00FF4DA0"/>
    <w:rsid w:val="00FF505F"/>
    <w:rsid w:val="00FF50B4"/>
    <w:rsid w:val="00FF55B5"/>
    <w:rsid w:val="00FF5600"/>
    <w:rsid w:val="00FF5AFB"/>
    <w:rsid w:val="00FF5B34"/>
    <w:rsid w:val="00FF5C04"/>
    <w:rsid w:val="00FF5FA4"/>
    <w:rsid w:val="00FF61A1"/>
    <w:rsid w:val="00FF61E2"/>
    <w:rsid w:val="00FF6283"/>
    <w:rsid w:val="00FF652D"/>
    <w:rsid w:val="00FF6536"/>
    <w:rsid w:val="00FF667E"/>
    <w:rsid w:val="00FF66C2"/>
    <w:rsid w:val="00FF69AA"/>
    <w:rsid w:val="00FF6AB5"/>
    <w:rsid w:val="00FF6F49"/>
    <w:rsid w:val="00FF6FA6"/>
    <w:rsid w:val="00FF7044"/>
    <w:rsid w:val="00FF7331"/>
    <w:rsid w:val="00FF75C6"/>
    <w:rsid w:val="00FF772B"/>
    <w:rsid w:val="00FF775D"/>
    <w:rsid w:val="00FF7A4D"/>
    <w:rsid w:val="00FF7CD6"/>
    <w:rsid w:val="00FF7E1A"/>
    <w:rsid w:val="00FF7E68"/>
    <w:rsid w:val="00FF7F93"/>
    <w:rsid w:val="011C89E1"/>
    <w:rsid w:val="014C2F1F"/>
    <w:rsid w:val="0153B6A3"/>
    <w:rsid w:val="01631D1D"/>
    <w:rsid w:val="0163EC5F"/>
    <w:rsid w:val="01C63CE8"/>
    <w:rsid w:val="020C2199"/>
    <w:rsid w:val="027D654E"/>
    <w:rsid w:val="0289844F"/>
    <w:rsid w:val="039CDA97"/>
    <w:rsid w:val="039FDFAB"/>
    <w:rsid w:val="046FC14E"/>
    <w:rsid w:val="04CBD2B9"/>
    <w:rsid w:val="051ECFE4"/>
    <w:rsid w:val="05E280EF"/>
    <w:rsid w:val="060D376A"/>
    <w:rsid w:val="06670542"/>
    <w:rsid w:val="06D854A4"/>
    <w:rsid w:val="06DEB9D9"/>
    <w:rsid w:val="06FB1CDE"/>
    <w:rsid w:val="07995F7B"/>
    <w:rsid w:val="082B9155"/>
    <w:rsid w:val="084BF8CD"/>
    <w:rsid w:val="087395CA"/>
    <w:rsid w:val="08EAC33B"/>
    <w:rsid w:val="08F468AA"/>
    <w:rsid w:val="09ADB715"/>
    <w:rsid w:val="0A681851"/>
    <w:rsid w:val="0B0ADCC9"/>
    <w:rsid w:val="0BB53D5F"/>
    <w:rsid w:val="0BD2644C"/>
    <w:rsid w:val="0BF030F1"/>
    <w:rsid w:val="0C5B7B97"/>
    <w:rsid w:val="0C8D4FF2"/>
    <w:rsid w:val="0C98CA09"/>
    <w:rsid w:val="0C99BB4C"/>
    <w:rsid w:val="0CC8B20C"/>
    <w:rsid w:val="0D3499B4"/>
    <w:rsid w:val="0D3BBA49"/>
    <w:rsid w:val="0D436B39"/>
    <w:rsid w:val="0D775A51"/>
    <w:rsid w:val="0DF27D76"/>
    <w:rsid w:val="0E651DE7"/>
    <w:rsid w:val="0EC9F827"/>
    <w:rsid w:val="0ED22E36"/>
    <w:rsid w:val="0ED6E62F"/>
    <w:rsid w:val="0F72BFCC"/>
    <w:rsid w:val="0F9672FD"/>
    <w:rsid w:val="0FB58C66"/>
    <w:rsid w:val="0FBA6AA8"/>
    <w:rsid w:val="0FDA4301"/>
    <w:rsid w:val="1063E91E"/>
    <w:rsid w:val="10787C83"/>
    <w:rsid w:val="11234959"/>
    <w:rsid w:val="1173D96D"/>
    <w:rsid w:val="124F3E36"/>
    <w:rsid w:val="12C666E5"/>
    <w:rsid w:val="12FBBDCE"/>
    <w:rsid w:val="13918C3E"/>
    <w:rsid w:val="1397C8B2"/>
    <w:rsid w:val="13A255A4"/>
    <w:rsid w:val="13CC4219"/>
    <w:rsid w:val="140A87F5"/>
    <w:rsid w:val="142669C3"/>
    <w:rsid w:val="14BDF97A"/>
    <w:rsid w:val="14BE1D62"/>
    <w:rsid w:val="14C6A9FC"/>
    <w:rsid w:val="1562CFB9"/>
    <w:rsid w:val="15E1F587"/>
    <w:rsid w:val="166EBB50"/>
    <w:rsid w:val="16F4FE9A"/>
    <w:rsid w:val="171418F9"/>
    <w:rsid w:val="173FF2A5"/>
    <w:rsid w:val="17D2DB0F"/>
    <w:rsid w:val="1804DD21"/>
    <w:rsid w:val="1813E4FF"/>
    <w:rsid w:val="182125B0"/>
    <w:rsid w:val="185E10A4"/>
    <w:rsid w:val="18A46456"/>
    <w:rsid w:val="18CBD9CC"/>
    <w:rsid w:val="18F62A75"/>
    <w:rsid w:val="194C4A95"/>
    <w:rsid w:val="19885937"/>
    <w:rsid w:val="19F2FF8A"/>
    <w:rsid w:val="1A06A265"/>
    <w:rsid w:val="1A263B18"/>
    <w:rsid w:val="1AE28ED2"/>
    <w:rsid w:val="1B33DBAB"/>
    <w:rsid w:val="1BC8AA9D"/>
    <w:rsid w:val="1BDEBD9A"/>
    <w:rsid w:val="1C0CFEC3"/>
    <w:rsid w:val="1C143B16"/>
    <w:rsid w:val="1CA6D74A"/>
    <w:rsid w:val="1D8C0A38"/>
    <w:rsid w:val="1DE83179"/>
    <w:rsid w:val="1E159A55"/>
    <w:rsid w:val="1E84C0F2"/>
    <w:rsid w:val="1E8B5E82"/>
    <w:rsid w:val="1EC4B4A8"/>
    <w:rsid w:val="1EE99ABB"/>
    <w:rsid w:val="1F2D4E79"/>
    <w:rsid w:val="1F54EB68"/>
    <w:rsid w:val="1F567085"/>
    <w:rsid w:val="1F6BC641"/>
    <w:rsid w:val="1F7040B1"/>
    <w:rsid w:val="1F7A2603"/>
    <w:rsid w:val="1F7A3611"/>
    <w:rsid w:val="1FCC2750"/>
    <w:rsid w:val="20231C59"/>
    <w:rsid w:val="2055EBA3"/>
    <w:rsid w:val="209EFFD5"/>
    <w:rsid w:val="20C8AC59"/>
    <w:rsid w:val="20EAA032"/>
    <w:rsid w:val="20EC94B4"/>
    <w:rsid w:val="2172EC29"/>
    <w:rsid w:val="225544B4"/>
    <w:rsid w:val="22A0F0F1"/>
    <w:rsid w:val="22A474AB"/>
    <w:rsid w:val="22CA85EE"/>
    <w:rsid w:val="22D54587"/>
    <w:rsid w:val="23464339"/>
    <w:rsid w:val="2384DB2D"/>
    <w:rsid w:val="238AA886"/>
    <w:rsid w:val="23BBD44B"/>
    <w:rsid w:val="23C0CCBC"/>
    <w:rsid w:val="241E4166"/>
    <w:rsid w:val="2435877C"/>
    <w:rsid w:val="24C5AB1C"/>
    <w:rsid w:val="24F68090"/>
    <w:rsid w:val="253E2060"/>
    <w:rsid w:val="25729C07"/>
    <w:rsid w:val="25B6E2B0"/>
    <w:rsid w:val="25CA98B6"/>
    <w:rsid w:val="25EF6EAB"/>
    <w:rsid w:val="260110C9"/>
    <w:rsid w:val="2694485C"/>
    <w:rsid w:val="26952818"/>
    <w:rsid w:val="26C36EAE"/>
    <w:rsid w:val="272A4F27"/>
    <w:rsid w:val="2744C353"/>
    <w:rsid w:val="277A8D2A"/>
    <w:rsid w:val="27802908"/>
    <w:rsid w:val="283D6581"/>
    <w:rsid w:val="287CB074"/>
    <w:rsid w:val="2882A6D0"/>
    <w:rsid w:val="2883D039"/>
    <w:rsid w:val="290A90B6"/>
    <w:rsid w:val="29AEE0B5"/>
    <w:rsid w:val="29D11BFD"/>
    <w:rsid w:val="29E37077"/>
    <w:rsid w:val="29F5F277"/>
    <w:rsid w:val="2B255D67"/>
    <w:rsid w:val="2B2E44B6"/>
    <w:rsid w:val="2B6C92DF"/>
    <w:rsid w:val="2BC54C4D"/>
    <w:rsid w:val="2BCF5863"/>
    <w:rsid w:val="2C42DC80"/>
    <w:rsid w:val="2C54B0A8"/>
    <w:rsid w:val="2C585205"/>
    <w:rsid w:val="2C5CFF00"/>
    <w:rsid w:val="2C699821"/>
    <w:rsid w:val="2C942388"/>
    <w:rsid w:val="2CE1F1A2"/>
    <w:rsid w:val="2D09DC72"/>
    <w:rsid w:val="2D35F1ED"/>
    <w:rsid w:val="2D81E252"/>
    <w:rsid w:val="2DF82668"/>
    <w:rsid w:val="2E6F98D1"/>
    <w:rsid w:val="2E969284"/>
    <w:rsid w:val="2EB331F9"/>
    <w:rsid w:val="2EB8E29C"/>
    <w:rsid w:val="2ECFBEB7"/>
    <w:rsid w:val="2EEB2609"/>
    <w:rsid w:val="2EF12DE6"/>
    <w:rsid w:val="2F16A60F"/>
    <w:rsid w:val="2F390278"/>
    <w:rsid w:val="2F43F159"/>
    <w:rsid w:val="2F5ED14F"/>
    <w:rsid w:val="2F6D0EEE"/>
    <w:rsid w:val="2F8ECC6D"/>
    <w:rsid w:val="2F952144"/>
    <w:rsid w:val="2F9DF164"/>
    <w:rsid w:val="2FD118EE"/>
    <w:rsid w:val="2FEA0AF8"/>
    <w:rsid w:val="307B71DF"/>
    <w:rsid w:val="307CBB5F"/>
    <w:rsid w:val="30B31BB6"/>
    <w:rsid w:val="30D89011"/>
    <w:rsid w:val="30DC4848"/>
    <w:rsid w:val="31617A22"/>
    <w:rsid w:val="317CF5A7"/>
    <w:rsid w:val="3184A206"/>
    <w:rsid w:val="3214077A"/>
    <w:rsid w:val="321F90D6"/>
    <w:rsid w:val="322DA411"/>
    <w:rsid w:val="32A6BAD7"/>
    <w:rsid w:val="32BB3F64"/>
    <w:rsid w:val="3329B222"/>
    <w:rsid w:val="334F3C4D"/>
    <w:rsid w:val="336017A8"/>
    <w:rsid w:val="33644FEB"/>
    <w:rsid w:val="33CDE3B6"/>
    <w:rsid w:val="33CDE7DA"/>
    <w:rsid w:val="340C107F"/>
    <w:rsid w:val="34208416"/>
    <w:rsid w:val="353495E4"/>
    <w:rsid w:val="35A280FA"/>
    <w:rsid w:val="35E259D4"/>
    <w:rsid w:val="3604A89A"/>
    <w:rsid w:val="36658708"/>
    <w:rsid w:val="36F36199"/>
    <w:rsid w:val="372227F2"/>
    <w:rsid w:val="37625B7F"/>
    <w:rsid w:val="37709436"/>
    <w:rsid w:val="378A0B4F"/>
    <w:rsid w:val="37EE89D0"/>
    <w:rsid w:val="37F4B7FB"/>
    <w:rsid w:val="37F7B487"/>
    <w:rsid w:val="37FB09EA"/>
    <w:rsid w:val="38437D72"/>
    <w:rsid w:val="38B645C6"/>
    <w:rsid w:val="38C0BF18"/>
    <w:rsid w:val="393E448C"/>
    <w:rsid w:val="3A95BEEE"/>
    <w:rsid w:val="3B0419EA"/>
    <w:rsid w:val="3B249816"/>
    <w:rsid w:val="3B493E4E"/>
    <w:rsid w:val="3B96B3A0"/>
    <w:rsid w:val="3BBBC533"/>
    <w:rsid w:val="3BDF198C"/>
    <w:rsid w:val="3C3340B1"/>
    <w:rsid w:val="3C33A1F8"/>
    <w:rsid w:val="3C811293"/>
    <w:rsid w:val="3CB04154"/>
    <w:rsid w:val="3CE6F0FF"/>
    <w:rsid w:val="3CE92491"/>
    <w:rsid w:val="3CFCA01E"/>
    <w:rsid w:val="3D8ACCA1"/>
    <w:rsid w:val="3D9EAA55"/>
    <w:rsid w:val="3DB33C04"/>
    <w:rsid w:val="3DC32E7F"/>
    <w:rsid w:val="3E3B32A3"/>
    <w:rsid w:val="3ED26921"/>
    <w:rsid w:val="3EEA0FE1"/>
    <w:rsid w:val="3EF6940D"/>
    <w:rsid w:val="3F574464"/>
    <w:rsid w:val="3FE52893"/>
    <w:rsid w:val="4059FEC1"/>
    <w:rsid w:val="40667635"/>
    <w:rsid w:val="408158D0"/>
    <w:rsid w:val="40904394"/>
    <w:rsid w:val="40DF2683"/>
    <w:rsid w:val="40FA979C"/>
    <w:rsid w:val="41C10F37"/>
    <w:rsid w:val="41CF5905"/>
    <w:rsid w:val="41F561FA"/>
    <w:rsid w:val="423ED277"/>
    <w:rsid w:val="424E90A3"/>
    <w:rsid w:val="42AFBE4E"/>
    <w:rsid w:val="42C6C0B6"/>
    <w:rsid w:val="42E5C541"/>
    <w:rsid w:val="42FBA966"/>
    <w:rsid w:val="43363A2F"/>
    <w:rsid w:val="43848908"/>
    <w:rsid w:val="43B39ECF"/>
    <w:rsid w:val="442BF037"/>
    <w:rsid w:val="445DAE83"/>
    <w:rsid w:val="446C03FF"/>
    <w:rsid w:val="44A5876A"/>
    <w:rsid w:val="457B5555"/>
    <w:rsid w:val="458818B4"/>
    <w:rsid w:val="4602533B"/>
    <w:rsid w:val="463C0167"/>
    <w:rsid w:val="46C2EAC8"/>
    <w:rsid w:val="46C78BB8"/>
    <w:rsid w:val="46D5430D"/>
    <w:rsid w:val="46E048E6"/>
    <w:rsid w:val="4703D58A"/>
    <w:rsid w:val="473895F7"/>
    <w:rsid w:val="475F26A8"/>
    <w:rsid w:val="47BB9F06"/>
    <w:rsid w:val="47F82C09"/>
    <w:rsid w:val="4820B249"/>
    <w:rsid w:val="482E8923"/>
    <w:rsid w:val="4861FBF7"/>
    <w:rsid w:val="48A5CBA4"/>
    <w:rsid w:val="48DA1131"/>
    <w:rsid w:val="4901137B"/>
    <w:rsid w:val="49194A60"/>
    <w:rsid w:val="491B622D"/>
    <w:rsid w:val="4921C3CF"/>
    <w:rsid w:val="493C1206"/>
    <w:rsid w:val="49510D18"/>
    <w:rsid w:val="49909FC7"/>
    <w:rsid w:val="49AC6BAC"/>
    <w:rsid w:val="49B67E19"/>
    <w:rsid w:val="49BED767"/>
    <w:rsid w:val="49DFC6BC"/>
    <w:rsid w:val="4A07DD7A"/>
    <w:rsid w:val="4A1323CC"/>
    <w:rsid w:val="4A45194D"/>
    <w:rsid w:val="4A4700CA"/>
    <w:rsid w:val="4A5F9C9F"/>
    <w:rsid w:val="4A92B436"/>
    <w:rsid w:val="4AA87A6F"/>
    <w:rsid w:val="4AFDAF24"/>
    <w:rsid w:val="4B784BB0"/>
    <w:rsid w:val="4B7F4809"/>
    <w:rsid w:val="4BACAEBD"/>
    <w:rsid w:val="4BBD85EB"/>
    <w:rsid w:val="4C00B43F"/>
    <w:rsid w:val="4C51BA91"/>
    <w:rsid w:val="4C72AC47"/>
    <w:rsid w:val="4C938DC4"/>
    <w:rsid w:val="4CA9BCCE"/>
    <w:rsid w:val="4CFC7141"/>
    <w:rsid w:val="4D9B0C83"/>
    <w:rsid w:val="4DB394BD"/>
    <w:rsid w:val="4E0A2ECF"/>
    <w:rsid w:val="4E98BB98"/>
    <w:rsid w:val="4EDA4FC9"/>
    <w:rsid w:val="4F277C6A"/>
    <w:rsid w:val="4F8BB72B"/>
    <w:rsid w:val="4FA3B107"/>
    <w:rsid w:val="4FA613D6"/>
    <w:rsid w:val="50B9174C"/>
    <w:rsid w:val="51101E27"/>
    <w:rsid w:val="51458D52"/>
    <w:rsid w:val="51548702"/>
    <w:rsid w:val="518C0363"/>
    <w:rsid w:val="5196C0AC"/>
    <w:rsid w:val="51D946AA"/>
    <w:rsid w:val="520FBC7D"/>
    <w:rsid w:val="5272B523"/>
    <w:rsid w:val="5289DA56"/>
    <w:rsid w:val="52A736D4"/>
    <w:rsid w:val="54335E79"/>
    <w:rsid w:val="546C5D76"/>
    <w:rsid w:val="5487711D"/>
    <w:rsid w:val="54DCBFE5"/>
    <w:rsid w:val="553E3B2C"/>
    <w:rsid w:val="55408CA3"/>
    <w:rsid w:val="559A66C3"/>
    <w:rsid w:val="56556695"/>
    <w:rsid w:val="56DDC805"/>
    <w:rsid w:val="572C2794"/>
    <w:rsid w:val="57DAE216"/>
    <w:rsid w:val="57DD407A"/>
    <w:rsid w:val="58976169"/>
    <w:rsid w:val="58DF8A70"/>
    <w:rsid w:val="58DFA791"/>
    <w:rsid w:val="58E678A2"/>
    <w:rsid w:val="58F7AF66"/>
    <w:rsid w:val="59491737"/>
    <w:rsid w:val="5981C106"/>
    <w:rsid w:val="599C00F8"/>
    <w:rsid w:val="59CECF93"/>
    <w:rsid w:val="5A5C8B4A"/>
    <w:rsid w:val="5AF28225"/>
    <w:rsid w:val="5BA7A0ED"/>
    <w:rsid w:val="5BB423FA"/>
    <w:rsid w:val="5BDC025E"/>
    <w:rsid w:val="5C251197"/>
    <w:rsid w:val="5C6F3245"/>
    <w:rsid w:val="5C9FCF42"/>
    <w:rsid w:val="5D53D905"/>
    <w:rsid w:val="5DEDE12A"/>
    <w:rsid w:val="5E459E2B"/>
    <w:rsid w:val="5E84748E"/>
    <w:rsid w:val="5EA0A747"/>
    <w:rsid w:val="5EC29227"/>
    <w:rsid w:val="5EDE06B5"/>
    <w:rsid w:val="5F4D3281"/>
    <w:rsid w:val="5F81815C"/>
    <w:rsid w:val="6047B0D4"/>
    <w:rsid w:val="60DDFA63"/>
    <w:rsid w:val="611DF04C"/>
    <w:rsid w:val="6173FE0F"/>
    <w:rsid w:val="61959671"/>
    <w:rsid w:val="636C837E"/>
    <w:rsid w:val="6370B6ED"/>
    <w:rsid w:val="637C5029"/>
    <w:rsid w:val="6391E611"/>
    <w:rsid w:val="63B48ECE"/>
    <w:rsid w:val="642A8037"/>
    <w:rsid w:val="648742DF"/>
    <w:rsid w:val="64906429"/>
    <w:rsid w:val="64A7DDDE"/>
    <w:rsid w:val="64CC6E0D"/>
    <w:rsid w:val="64D8F491"/>
    <w:rsid w:val="64EF6166"/>
    <w:rsid w:val="6525A637"/>
    <w:rsid w:val="65568415"/>
    <w:rsid w:val="6563B047"/>
    <w:rsid w:val="65AFCA32"/>
    <w:rsid w:val="65E95DE8"/>
    <w:rsid w:val="65ECB308"/>
    <w:rsid w:val="665C74AC"/>
    <w:rsid w:val="6666F011"/>
    <w:rsid w:val="668415C5"/>
    <w:rsid w:val="66AA9C9D"/>
    <w:rsid w:val="66C48B13"/>
    <w:rsid w:val="67B220C1"/>
    <w:rsid w:val="67E14A8E"/>
    <w:rsid w:val="67FE2344"/>
    <w:rsid w:val="68417F6B"/>
    <w:rsid w:val="6869758A"/>
    <w:rsid w:val="686B3FB3"/>
    <w:rsid w:val="687F9573"/>
    <w:rsid w:val="690BB021"/>
    <w:rsid w:val="691533F6"/>
    <w:rsid w:val="694810E8"/>
    <w:rsid w:val="696669B7"/>
    <w:rsid w:val="69AD30EB"/>
    <w:rsid w:val="69B9886A"/>
    <w:rsid w:val="69D96155"/>
    <w:rsid w:val="6A2B8271"/>
    <w:rsid w:val="6A42EF61"/>
    <w:rsid w:val="6A73630B"/>
    <w:rsid w:val="6A7DCED8"/>
    <w:rsid w:val="6A8C6132"/>
    <w:rsid w:val="6AA7D69F"/>
    <w:rsid w:val="6AA88F3D"/>
    <w:rsid w:val="6AD8B572"/>
    <w:rsid w:val="6ADC9AF6"/>
    <w:rsid w:val="6B469903"/>
    <w:rsid w:val="6B4CFA92"/>
    <w:rsid w:val="6B89FA20"/>
    <w:rsid w:val="6BF86C75"/>
    <w:rsid w:val="6C42D108"/>
    <w:rsid w:val="6C7732CC"/>
    <w:rsid w:val="6CA372CD"/>
    <w:rsid w:val="6D05590F"/>
    <w:rsid w:val="6D25B14C"/>
    <w:rsid w:val="6D4D261E"/>
    <w:rsid w:val="6D896A6E"/>
    <w:rsid w:val="6DA3103E"/>
    <w:rsid w:val="6DAEA71D"/>
    <w:rsid w:val="6E2D77C8"/>
    <w:rsid w:val="6E93DA47"/>
    <w:rsid w:val="6ECE6C52"/>
    <w:rsid w:val="6EE9DC60"/>
    <w:rsid w:val="6EEAB1B2"/>
    <w:rsid w:val="6F0C2656"/>
    <w:rsid w:val="6F6141F0"/>
    <w:rsid w:val="6FC86FED"/>
    <w:rsid w:val="6FCEB31C"/>
    <w:rsid w:val="6FF817A5"/>
    <w:rsid w:val="6FFD708E"/>
    <w:rsid w:val="704EC26B"/>
    <w:rsid w:val="70815DEC"/>
    <w:rsid w:val="70E086C2"/>
    <w:rsid w:val="710D995E"/>
    <w:rsid w:val="7122792A"/>
    <w:rsid w:val="721015D6"/>
    <w:rsid w:val="72921FC1"/>
    <w:rsid w:val="72C106DC"/>
    <w:rsid w:val="72DF5363"/>
    <w:rsid w:val="73579680"/>
    <w:rsid w:val="73C190C8"/>
    <w:rsid w:val="73CBEA5F"/>
    <w:rsid w:val="73EF4D41"/>
    <w:rsid w:val="73FB5605"/>
    <w:rsid w:val="740E5EA5"/>
    <w:rsid w:val="74108B39"/>
    <w:rsid w:val="742235FC"/>
    <w:rsid w:val="74B3BA46"/>
    <w:rsid w:val="74D17CD8"/>
    <w:rsid w:val="75655889"/>
    <w:rsid w:val="75742A98"/>
    <w:rsid w:val="758226AD"/>
    <w:rsid w:val="758F4D4B"/>
    <w:rsid w:val="75BF51C7"/>
    <w:rsid w:val="75F13F0E"/>
    <w:rsid w:val="761C6DD6"/>
    <w:rsid w:val="765863C1"/>
    <w:rsid w:val="76AC7441"/>
    <w:rsid w:val="7720D683"/>
    <w:rsid w:val="77303787"/>
    <w:rsid w:val="776B651F"/>
    <w:rsid w:val="777FB4AC"/>
    <w:rsid w:val="77A228E9"/>
    <w:rsid w:val="77C4D3FC"/>
    <w:rsid w:val="787F533B"/>
    <w:rsid w:val="7881EF41"/>
    <w:rsid w:val="78871767"/>
    <w:rsid w:val="78C2EC36"/>
    <w:rsid w:val="78EF7156"/>
    <w:rsid w:val="7997AEBF"/>
    <w:rsid w:val="79BACEB3"/>
    <w:rsid w:val="7A0E91A8"/>
    <w:rsid w:val="7B108FD4"/>
    <w:rsid w:val="7B25425A"/>
    <w:rsid w:val="7B581656"/>
    <w:rsid w:val="7B7E7868"/>
    <w:rsid w:val="7BF20C1F"/>
    <w:rsid w:val="7C19DE63"/>
    <w:rsid w:val="7C1ACEC8"/>
    <w:rsid w:val="7C2CB179"/>
    <w:rsid w:val="7D616D72"/>
    <w:rsid w:val="7D701B0C"/>
    <w:rsid w:val="7D83DAAE"/>
    <w:rsid w:val="7D9DFF20"/>
    <w:rsid w:val="7DA3BDF3"/>
    <w:rsid w:val="7DA4F231"/>
    <w:rsid w:val="7DAC5171"/>
    <w:rsid w:val="7DCDA5F0"/>
    <w:rsid w:val="7DD87879"/>
    <w:rsid w:val="7DE98918"/>
    <w:rsid w:val="7E081527"/>
    <w:rsid w:val="7E493DD7"/>
    <w:rsid w:val="7E502F6E"/>
    <w:rsid w:val="7F7E67FF"/>
    <w:rsid w:val="7FA3DD5A"/>
    <w:rsid w:val="7FDDE99A"/>
    <w:rsid w:val="7FEEC6B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C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FC8"/>
    <w:pPr>
      <w:spacing w:before="120"/>
    </w:pPr>
    <w:rPr>
      <w:rFonts w:ascii="Franklin Gothic Book" w:hAnsi="Franklin Gothic Book"/>
    </w:rPr>
  </w:style>
  <w:style w:type="paragraph" w:styleId="Heading1">
    <w:name w:val="heading 1"/>
    <w:aliases w:val="NICE Heading 1"/>
    <w:basedOn w:val="Normal"/>
    <w:next w:val="Normal"/>
    <w:link w:val="Heading1Char"/>
    <w:uiPriority w:val="9"/>
    <w:qFormat/>
    <w:rsid w:val="001531D6"/>
    <w:pPr>
      <w:keepNext/>
      <w:keepLines/>
      <w:numPr>
        <w:numId w:val="1"/>
      </w:numPr>
      <w:pBdr>
        <w:bottom w:val="single" w:sz="4" w:space="1" w:color="auto"/>
      </w:pBdr>
      <w:spacing w:before="600" w:after="480" w:line="240" w:lineRule="auto"/>
      <w:outlineLvl w:val="0"/>
    </w:pPr>
    <w:rPr>
      <w:rFonts w:ascii="Franklin Gothic Medium" w:eastAsiaTheme="majorEastAsia" w:hAnsi="Franklin Gothic Medium" w:cstheme="majorBidi"/>
      <w:sz w:val="44"/>
      <w:szCs w:val="32"/>
    </w:rPr>
  </w:style>
  <w:style w:type="paragraph" w:styleId="Heading2">
    <w:name w:val="heading 2"/>
    <w:aliases w:val="- H34,1.1 Report heading"/>
    <w:basedOn w:val="Normal"/>
    <w:next w:val="Normal"/>
    <w:link w:val="Heading2Char"/>
    <w:uiPriority w:val="9"/>
    <w:unhideWhenUsed/>
    <w:qFormat/>
    <w:rsid w:val="001531D6"/>
    <w:pPr>
      <w:keepNext/>
      <w:keepLines/>
      <w:numPr>
        <w:ilvl w:val="1"/>
        <w:numId w:val="1"/>
      </w:numPr>
      <w:spacing w:before="360" w:after="24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aliases w:val="NICE Heading 3"/>
    <w:basedOn w:val="Normal"/>
    <w:next w:val="Normal"/>
    <w:link w:val="Heading3Char"/>
    <w:uiPriority w:val="9"/>
    <w:unhideWhenUsed/>
    <w:qFormat/>
    <w:rsid w:val="005103C5"/>
    <w:pPr>
      <w:keepNext/>
      <w:keepLines/>
      <w:tabs>
        <w:tab w:val="left" w:pos="851"/>
      </w:tabs>
      <w:spacing w:before="360" w:after="200" w:line="240" w:lineRule="auto"/>
      <w:outlineLvl w:val="2"/>
    </w:pPr>
    <w:rPr>
      <w:rFonts w:ascii="Franklin Gothic Medium" w:eastAsiaTheme="majorEastAsia" w:hAnsi="Franklin Gothic Medium" w:cstheme="majorBidi"/>
      <w:sz w:val="24"/>
      <w:szCs w:val="24"/>
    </w:rPr>
  </w:style>
  <w:style w:type="paragraph" w:styleId="Heading4">
    <w:name w:val="heading 4"/>
    <w:basedOn w:val="Heading3"/>
    <w:next w:val="Normal"/>
    <w:link w:val="Heading4Char"/>
    <w:uiPriority w:val="9"/>
    <w:unhideWhenUsed/>
    <w:qFormat/>
    <w:rsid w:val="00A776A4"/>
    <w:pPr>
      <w:outlineLvl w:val="3"/>
    </w:pPr>
    <w:rPr>
      <w:i/>
    </w:rPr>
  </w:style>
  <w:style w:type="paragraph" w:styleId="Heading5">
    <w:name w:val="heading 5"/>
    <w:basedOn w:val="Normal"/>
    <w:next w:val="Normal"/>
    <w:link w:val="Heading5Char"/>
    <w:uiPriority w:val="9"/>
    <w:unhideWhenUsed/>
    <w:qFormat/>
    <w:rsid w:val="00FF65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37D9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F91B83"/>
    <w:pPr>
      <w:spacing w:before="0" w:after="0" w:line="276" w:lineRule="auto"/>
      <w:jc w:val="both"/>
      <w:outlineLvl w:val="6"/>
    </w:pPr>
    <w:rPr>
      <w:rFonts w:ascii="Calibri" w:eastAsiaTheme="majorEastAsia" w:hAnsi="Calibri" w:cstheme="majorBidi"/>
      <w:b/>
      <w:bCs/>
      <w:i/>
      <w:iCs/>
      <w:color w:val="5A5A5A" w:themeColor="text1" w:themeTint="A5"/>
      <w:sz w:val="20"/>
      <w:szCs w:val="20"/>
      <w:lang w:bidi="en-US"/>
    </w:rPr>
  </w:style>
  <w:style w:type="paragraph" w:styleId="Heading8">
    <w:name w:val="heading 8"/>
    <w:basedOn w:val="Normal"/>
    <w:next w:val="Normal"/>
    <w:link w:val="Heading8Char"/>
    <w:uiPriority w:val="99"/>
    <w:qFormat/>
    <w:rsid w:val="00F91B83"/>
    <w:pPr>
      <w:spacing w:before="0" w:after="0" w:line="276" w:lineRule="auto"/>
      <w:jc w:val="both"/>
      <w:outlineLvl w:val="7"/>
    </w:pPr>
    <w:rPr>
      <w:rFonts w:ascii="Calibri" w:eastAsiaTheme="majorEastAsia" w:hAnsi="Calibri" w:cstheme="majorBidi"/>
      <w:b/>
      <w:bCs/>
      <w:color w:val="7F7F7F" w:themeColor="text1" w:themeTint="80"/>
      <w:sz w:val="20"/>
      <w:szCs w:val="20"/>
      <w:lang w:bidi="en-US"/>
    </w:rPr>
  </w:style>
  <w:style w:type="paragraph" w:styleId="Heading9">
    <w:name w:val="heading 9"/>
    <w:basedOn w:val="Normal"/>
    <w:next w:val="Normal"/>
    <w:link w:val="Heading9Char"/>
    <w:uiPriority w:val="99"/>
    <w:qFormat/>
    <w:rsid w:val="00F91B83"/>
    <w:pPr>
      <w:spacing w:before="0" w:after="0" w:line="271" w:lineRule="auto"/>
      <w:jc w:val="both"/>
      <w:outlineLvl w:val="8"/>
    </w:pPr>
    <w:rPr>
      <w:rFonts w:ascii="Calibri" w:eastAsiaTheme="majorEastAsia" w:hAnsi="Calibri" w:cstheme="majorBidi"/>
      <w:b/>
      <w:bCs/>
      <w:i/>
      <w:iCs/>
      <w:color w:val="7F7F7F" w:themeColor="text1" w:themeTint="8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qFormat/>
    <w:rsid w:val="003E7773"/>
    <w:pPr>
      <w:spacing w:before="40" w:after="40" w:line="240" w:lineRule="auto"/>
    </w:pPr>
    <w:rPr>
      <w:rFonts w:ascii="Arial Narrow" w:hAnsi="Arial Narrow"/>
      <w:sz w:val="20"/>
    </w:rPr>
  </w:style>
  <w:style w:type="paragraph" w:customStyle="1" w:styleId="TableHeading">
    <w:name w:val="TableHeading"/>
    <w:basedOn w:val="Normal"/>
    <w:link w:val="TableHeadingChar"/>
    <w:qFormat/>
    <w:rsid w:val="00B151CF"/>
    <w:pPr>
      <w:keepNext/>
      <w:spacing w:after="60" w:line="240" w:lineRule="auto"/>
    </w:pPr>
    <w:rPr>
      <w:rFonts w:ascii="Arial Narrow" w:hAnsi="Arial Narrow"/>
      <w:b/>
      <w:sz w:val="20"/>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Annotationtext, Char,Char1,Char2"/>
    <w:basedOn w:val="Normal"/>
    <w:link w:val="CommentTextChar"/>
    <w:uiPriority w:val="99"/>
    <w:unhideWhenUsed/>
    <w:qFormat/>
    <w:rsid w:val="0075626B"/>
    <w:pPr>
      <w:spacing w:after="240" w:line="240" w:lineRule="auto"/>
    </w:pPr>
    <w:rPr>
      <w:rFonts w:ascii="Calibri" w:eastAsia="Times New Roman" w:hAnsi="Calibri" w:cs="Times New Roman"/>
      <w:color w:val="000000"/>
      <w:szCs w:val="24"/>
      <w:lang w:eastAsia="en-AU"/>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75626B"/>
    <w:rPr>
      <w:rFonts w:ascii="Calibri" w:eastAsia="Times New Roman" w:hAnsi="Calibri" w:cs="Times New Roman"/>
      <w:color w:val="000000"/>
      <w:szCs w:val="24"/>
      <w:lang w:eastAsia="en-AU"/>
    </w:rPr>
  </w:style>
  <w:style w:type="character" w:styleId="CommentReference">
    <w:name w:val="annotation reference"/>
    <w:basedOn w:val="DefaultParagraphFont"/>
    <w:uiPriority w:val="99"/>
    <w:semiHidden/>
    <w:unhideWhenUsed/>
    <w:qFormat/>
    <w:rsid w:val="00FB6CE7"/>
    <w:rPr>
      <w:sz w:val="16"/>
      <w:szCs w:val="16"/>
    </w:rPr>
  </w:style>
  <w:style w:type="character" w:customStyle="1" w:styleId="TableTextChar">
    <w:name w:val="Table Text Char"/>
    <w:basedOn w:val="DefaultParagraphFont"/>
    <w:link w:val="TableText"/>
    <w:rsid w:val="003E7773"/>
    <w:rPr>
      <w:rFonts w:ascii="Arial Narrow" w:hAnsi="Arial Narrow"/>
      <w:sz w:val="20"/>
    </w:rPr>
  </w:style>
  <w:style w:type="character" w:customStyle="1" w:styleId="TableHeadingChar">
    <w:name w:val="TableHeading Char"/>
    <w:link w:val="TableHeading"/>
    <w:rsid w:val="00B151CF"/>
    <w:rPr>
      <w:rFonts w:ascii="Arial Narrow" w:hAnsi="Arial Narrow"/>
      <w:b/>
      <w:sz w:val="20"/>
    </w:rPr>
  </w:style>
  <w:style w:type="paragraph" w:styleId="BalloonText">
    <w:name w:val="Balloon Text"/>
    <w:basedOn w:val="Normal"/>
    <w:link w:val="BalloonTextChar"/>
    <w:uiPriority w:val="99"/>
    <w:semiHidden/>
    <w:unhideWhenUsed/>
    <w:rsid w:val="003E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73"/>
    <w:rPr>
      <w:rFonts w:ascii="Segoe UI" w:hAnsi="Segoe UI" w:cs="Segoe UI"/>
      <w:sz w:val="18"/>
      <w:szCs w:val="18"/>
    </w:rPr>
  </w:style>
  <w:style w:type="paragraph" w:styleId="CommentSubject">
    <w:name w:val="annotation subject"/>
    <w:basedOn w:val="Normal"/>
    <w:next w:val="Normal"/>
    <w:link w:val="CommentSubjectChar"/>
    <w:uiPriority w:val="99"/>
    <w:semiHidden/>
    <w:unhideWhenUsed/>
    <w:rsid w:val="004C30FC"/>
    <w:pPr>
      <w:spacing w:line="240" w:lineRule="auto"/>
    </w:pPr>
    <w:rPr>
      <w:rFonts w:asciiTheme="minorHAnsi" w:hAnsiTheme="minorHAnsi"/>
      <w:b/>
      <w:bCs/>
      <w:sz w:val="20"/>
      <w:szCs w:val="20"/>
    </w:rPr>
  </w:style>
  <w:style w:type="character" w:customStyle="1" w:styleId="CommentSubjectChar">
    <w:name w:val="Comment Subject Char"/>
    <w:basedOn w:val="DefaultParagraphFont"/>
    <w:link w:val="CommentSubject"/>
    <w:uiPriority w:val="99"/>
    <w:semiHidden/>
    <w:rsid w:val="004C30FC"/>
    <w:rPr>
      <w:rFonts w:ascii="Calibri" w:eastAsia="Times New Roman" w:hAnsi="Calibri" w:cs="Times New Roman"/>
      <w:b/>
      <w:bCs/>
      <w:color w:val="000000"/>
      <w:sz w:val="20"/>
      <w:szCs w:val="20"/>
      <w:lang w:eastAsia="en-AU"/>
    </w:rPr>
  </w:style>
  <w:style w:type="character" w:customStyle="1" w:styleId="Heading1Char">
    <w:name w:val="Heading 1 Char"/>
    <w:aliases w:val="NICE Heading 1 Char"/>
    <w:basedOn w:val="DefaultParagraphFont"/>
    <w:link w:val="Heading1"/>
    <w:uiPriority w:val="9"/>
    <w:rsid w:val="001531D6"/>
    <w:rPr>
      <w:rFonts w:ascii="Franklin Gothic Medium" w:eastAsiaTheme="majorEastAsia" w:hAnsi="Franklin Gothic Medium" w:cstheme="majorBidi"/>
      <w:sz w:val="44"/>
      <w:szCs w:val="32"/>
    </w:rPr>
  </w:style>
  <w:style w:type="character" w:customStyle="1" w:styleId="Heading2Char">
    <w:name w:val="Heading 2 Char"/>
    <w:aliases w:val="- H34 Char,1.1 Report heading Char"/>
    <w:basedOn w:val="DefaultParagraphFont"/>
    <w:link w:val="Heading2"/>
    <w:uiPriority w:val="9"/>
    <w:rsid w:val="001531D6"/>
    <w:rPr>
      <w:rFonts w:ascii="Franklin Gothic Medium" w:eastAsiaTheme="majorEastAsia" w:hAnsi="Franklin Gothic Medium" w:cstheme="majorBidi"/>
      <w:color w:val="000000" w:themeColor="text1"/>
      <w:sz w:val="32"/>
      <w:szCs w:val="26"/>
    </w:rPr>
  </w:style>
  <w:style w:type="character" w:customStyle="1" w:styleId="Heading3Char">
    <w:name w:val="Heading 3 Char"/>
    <w:aliases w:val="NICE Heading 3 Char"/>
    <w:basedOn w:val="DefaultParagraphFont"/>
    <w:link w:val="Heading3"/>
    <w:uiPriority w:val="9"/>
    <w:rsid w:val="005103C5"/>
    <w:rPr>
      <w:rFonts w:ascii="Franklin Gothic Medium" w:eastAsiaTheme="majorEastAsia" w:hAnsi="Franklin Gothic Medium" w:cstheme="majorBidi"/>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Char"/>
    <w:basedOn w:val="Normal"/>
    <w:next w:val="Normal"/>
    <w:link w:val="CaptionChar"/>
    <w:qFormat/>
    <w:rsid w:val="00B7589F"/>
    <w:pPr>
      <w:keepNext/>
      <w:spacing w:before="360" w:after="120" w:line="240" w:lineRule="auto"/>
      <w:ind w:left="720" w:hanging="720"/>
    </w:pPr>
    <w:rPr>
      <w:rFonts w:ascii="Arial Narrow" w:eastAsia="Times New Roman" w:hAnsi="Arial Narrow" w:cs="Times New Roman"/>
      <w:b/>
      <w:bCs/>
      <w:sz w:val="20"/>
      <w:szCs w:val="20"/>
    </w:rPr>
  </w:style>
  <w:style w:type="table" w:customStyle="1" w:styleId="TableGrid1">
    <w:name w:val="Table Grid1"/>
    <w:basedOn w:val="TableNormal"/>
    <w:next w:val="TableGrid"/>
    <w:uiPriority w:val="59"/>
    <w:locked/>
    <w:rsid w:val="00CA528A"/>
    <w:pPr>
      <w:spacing w:before="40" w:after="40" w:line="240" w:lineRule="auto"/>
    </w:pPr>
    <w:rPr>
      <w:rFonts w:ascii="Arial Narrow" w:eastAsia="Times New Roman" w:hAnsi="Arial Narrow" w:cs="Times New Roman"/>
      <w:sz w:val="20"/>
      <w:szCs w:val="20"/>
      <w:lang w:eastAsia="en-AU"/>
    </w:rPr>
    <w:tblPr/>
    <w:tblStylePr w:type="firstRow">
      <w:rPr>
        <w:rFonts w:ascii="Candara" w:hAnsi="Candara"/>
        <w:b w:val="0"/>
        <w:sz w:val="20"/>
      </w:rPr>
    </w:tblStyle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har Char"/>
    <w:basedOn w:val="DefaultParagraphFont"/>
    <w:link w:val="Caption"/>
    <w:rsid w:val="00B7589F"/>
    <w:rPr>
      <w:rFonts w:ascii="Arial Narrow" w:eastAsia="Times New Roman" w:hAnsi="Arial Narrow" w:cs="Times New Roman"/>
      <w:b/>
      <w:bCs/>
      <w:sz w:val="20"/>
      <w:szCs w:val="20"/>
    </w:rPr>
  </w:style>
  <w:style w:type="table" w:styleId="TableGrid">
    <w:name w:val="Table Grid"/>
    <w:aliases w:val="Summary box,Table Gridbeth,RTI AMCP Table,new style,ASD Table,HealthConsult,Source table_,NICE instructions,Header Table"/>
    <w:basedOn w:val="TableNormal"/>
    <w:uiPriority w:val="59"/>
    <w:rsid w:val="00CA528A"/>
    <w:pPr>
      <w:spacing w:after="0" w:line="240" w:lineRule="auto"/>
    </w:pPr>
    <w:tblPr/>
  </w:style>
  <w:style w:type="paragraph" w:customStyle="1" w:styleId="TableFigNote">
    <w:name w:val="TableFigNote"/>
    <w:basedOn w:val="Normal"/>
    <w:qFormat/>
    <w:rsid w:val="00CA528A"/>
    <w:pPr>
      <w:spacing w:after="360" w:line="240" w:lineRule="auto"/>
      <w:contextualSpacing/>
    </w:pPr>
    <w:rPr>
      <w:sz w:val="18"/>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724F92"/>
    <w:pPr>
      <w:ind w:left="720"/>
      <w:contextualSpacing/>
    </w:pPr>
  </w:style>
  <w:style w:type="character" w:styleId="Strong">
    <w:name w:val="Strong"/>
    <w:basedOn w:val="DefaultParagraphFont"/>
    <w:uiPriority w:val="22"/>
    <w:qFormat/>
    <w:rsid w:val="00FD17BA"/>
    <w:rPr>
      <w:b/>
      <w:bCs/>
    </w:rPr>
  </w:style>
  <w:style w:type="paragraph" w:customStyle="1" w:styleId="TableName">
    <w:name w:val="TableName"/>
    <w:basedOn w:val="Normal"/>
    <w:qFormat/>
    <w:rsid w:val="00FD17BA"/>
    <w:pPr>
      <w:keepNext/>
      <w:spacing w:after="240" w:line="240" w:lineRule="auto"/>
      <w:ind w:left="1418" w:hanging="1418"/>
    </w:pPr>
    <w:rPr>
      <w:rFonts w:ascii="Franklin Gothic Medium" w:hAnsi="Franklin Gothic Medium"/>
    </w:rPr>
  </w:style>
  <w:style w:type="paragraph" w:customStyle="1" w:styleId="TableFigNoteHangingLast">
    <w:name w:val="TableFigNoteHanging Last"/>
    <w:basedOn w:val="TableFigNote"/>
    <w:qFormat/>
    <w:rsid w:val="00FD17BA"/>
    <w:pPr>
      <w:ind w:left="142" w:hanging="142"/>
    </w:pPr>
  </w:style>
  <w:style w:type="paragraph" w:customStyle="1" w:styleId="TableTextCA">
    <w:name w:val="Table Text CA"/>
    <w:basedOn w:val="TableText"/>
    <w:qFormat/>
    <w:rsid w:val="00FD17BA"/>
    <w:pPr>
      <w:jc w:val="center"/>
    </w:pPr>
  </w:style>
  <w:style w:type="paragraph" w:customStyle="1" w:styleId="TableHeadingCA">
    <w:name w:val="Table Heading CA"/>
    <w:basedOn w:val="TableHeading0"/>
    <w:qFormat/>
    <w:rsid w:val="00FD17BA"/>
    <w:pPr>
      <w:jc w:val="center"/>
    </w:pPr>
  </w:style>
  <w:style w:type="paragraph" w:customStyle="1" w:styleId="TableHeading0">
    <w:name w:val="Table Heading"/>
    <w:basedOn w:val="Normal"/>
    <w:qFormat/>
    <w:rsid w:val="00FD17BA"/>
    <w:pPr>
      <w:spacing w:after="60" w:line="240" w:lineRule="auto"/>
    </w:pPr>
    <w:rPr>
      <w:rFonts w:ascii="Arial Narrow" w:hAnsi="Arial Narrow"/>
      <w:b/>
      <w:sz w:val="20"/>
    </w:rPr>
  </w:style>
  <w:style w:type="paragraph" w:customStyle="1" w:styleId="TableFigNoteLast">
    <w:name w:val="TableFigNote Last"/>
    <w:basedOn w:val="TableFigNote"/>
    <w:qFormat/>
    <w:rsid w:val="00FD17BA"/>
  </w:style>
  <w:style w:type="character" w:customStyle="1" w:styleId="Heading4Char">
    <w:name w:val="Heading 4 Char"/>
    <w:basedOn w:val="DefaultParagraphFont"/>
    <w:link w:val="Heading4"/>
    <w:uiPriority w:val="9"/>
    <w:rsid w:val="00A776A4"/>
    <w:rPr>
      <w:rFonts w:ascii="Franklin Gothic Medium" w:eastAsiaTheme="majorEastAsia" w:hAnsi="Franklin Gothic Medium" w:cstheme="majorBidi"/>
      <w:i/>
      <w:sz w:val="24"/>
      <w:szCs w:val="24"/>
    </w:rPr>
  </w:style>
  <w:style w:type="paragraph" w:customStyle="1" w:styleId="2ChapterText">
    <w:name w:val="2ChapterText"/>
    <w:basedOn w:val="Normal"/>
    <w:qFormat/>
    <w:rsid w:val="00004F7F"/>
    <w:rPr>
      <w:shd w:val="clear" w:color="auto" w:fill="BDD6EE" w:themeFill="accent1" w:themeFillTint="66"/>
    </w:rPr>
  </w:style>
  <w:style w:type="paragraph" w:customStyle="1" w:styleId="1ExplanatoryText">
    <w:name w:val="1ExplanatoryText"/>
    <w:basedOn w:val="Normal"/>
    <w:qFormat/>
    <w:rsid w:val="00225833"/>
    <w:pPr>
      <w:shd w:val="clear" w:color="auto" w:fill="C5E0B3" w:themeFill="accent6" w:themeFillTint="66"/>
    </w:pPr>
  </w:style>
  <w:style w:type="character" w:styleId="Hyperlink">
    <w:name w:val="Hyperlink"/>
    <w:basedOn w:val="DefaultParagraphFont"/>
    <w:uiPriority w:val="99"/>
    <w:unhideWhenUsed/>
    <w:rsid w:val="00997BA8"/>
    <w:rPr>
      <w:color w:val="0070C0"/>
      <w:u w:val="single"/>
    </w:rPr>
  </w:style>
  <w:style w:type="paragraph" w:styleId="TOC1">
    <w:name w:val="toc 1"/>
    <w:basedOn w:val="Normal"/>
    <w:next w:val="Normal"/>
    <w:autoRedefine/>
    <w:uiPriority w:val="39"/>
    <w:unhideWhenUsed/>
    <w:rsid w:val="00C91651"/>
    <w:pPr>
      <w:tabs>
        <w:tab w:val="left" w:pos="1100"/>
        <w:tab w:val="left" w:pos="1531"/>
        <w:tab w:val="right" w:leader="dot" w:pos="9010"/>
      </w:tabs>
      <w:spacing w:after="100" w:line="240" w:lineRule="auto"/>
    </w:pPr>
    <w:rPr>
      <w:rFonts w:asciiTheme="minorHAnsi" w:hAnsiTheme="minorHAnsi"/>
      <w:b/>
    </w:rPr>
  </w:style>
  <w:style w:type="paragraph" w:styleId="TOC2">
    <w:name w:val="toc 2"/>
    <w:basedOn w:val="Normal"/>
    <w:next w:val="Normal"/>
    <w:autoRedefine/>
    <w:uiPriority w:val="39"/>
    <w:unhideWhenUsed/>
    <w:rsid w:val="00944087"/>
    <w:pPr>
      <w:tabs>
        <w:tab w:val="left" w:pos="1089"/>
        <w:tab w:val="right" w:leader="dot" w:pos="9010"/>
      </w:tabs>
      <w:spacing w:after="100" w:line="240" w:lineRule="auto"/>
    </w:pPr>
    <w:rPr>
      <w:rFonts w:asciiTheme="minorHAnsi" w:hAnsiTheme="minorHAnsi"/>
    </w:rPr>
  </w:style>
  <w:style w:type="paragraph" w:styleId="TOC3">
    <w:name w:val="toc 3"/>
    <w:basedOn w:val="Normal"/>
    <w:next w:val="Normal"/>
    <w:autoRedefine/>
    <w:uiPriority w:val="39"/>
    <w:unhideWhenUsed/>
    <w:rsid w:val="0088445B"/>
    <w:pPr>
      <w:spacing w:after="100" w:line="240" w:lineRule="auto"/>
      <w:ind w:left="720"/>
    </w:pPr>
    <w:rPr>
      <w:rFonts w:asciiTheme="minorHAnsi" w:hAnsiTheme="minorHAnsi"/>
    </w:rPr>
  </w:style>
  <w:style w:type="character" w:styleId="FollowedHyperlink">
    <w:name w:val="FollowedHyperlink"/>
    <w:basedOn w:val="DefaultParagraphFont"/>
    <w:uiPriority w:val="99"/>
    <w:semiHidden/>
    <w:unhideWhenUsed/>
    <w:rsid w:val="0088445B"/>
    <w:rPr>
      <w:color w:val="954F72" w:themeColor="followedHyperlink"/>
      <w:u w:val="single"/>
    </w:rPr>
  </w:style>
  <w:style w:type="paragraph" w:styleId="TOC9">
    <w:name w:val="toc 9"/>
    <w:basedOn w:val="Normal"/>
    <w:next w:val="Normal"/>
    <w:autoRedefine/>
    <w:uiPriority w:val="39"/>
    <w:unhideWhenUsed/>
    <w:rsid w:val="00AF3D39"/>
    <w:pPr>
      <w:spacing w:after="100"/>
      <w:ind w:left="1760"/>
    </w:pPr>
  </w:style>
  <w:style w:type="paragraph" w:styleId="Date">
    <w:name w:val="Date"/>
    <w:basedOn w:val="Normal"/>
    <w:next w:val="Normal"/>
    <w:link w:val="DateChar"/>
    <w:rsid w:val="000870B6"/>
    <w:pPr>
      <w:spacing w:before="1134" w:after="800"/>
      <w:ind w:left="4536"/>
    </w:pPr>
    <w:rPr>
      <w:rFonts w:ascii="Arial" w:eastAsia="Times New Roman" w:hAnsi="Arial" w:cs="Tahoma"/>
      <w:b/>
      <w:sz w:val="36"/>
      <w:lang w:eastAsia="en-AU"/>
    </w:rPr>
  </w:style>
  <w:style w:type="character" w:customStyle="1" w:styleId="DateChar">
    <w:name w:val="Date Char"/>
    <w:basedOn w:val="DefaultParagraphFont"/>
    <w:link w:val="Date"/>
    <w:rsid w:val="000870B6"/>
    <w:rPr>
      <w:rFonts w:ascii="Arial" w:eastAsia="Times New Roman" w:hAnsi="Arial" w:cs="Tahoma"/>
      <w:b/>
      <w:sz w:val="36"/>
      <w:lang w:eastAsia="en-AU"/>
    </w:rPr>
  </w:style>
  <w:style w:type="paragraph" w:customStyle="1" w:styleId="PublicationTitle">
    <w:name w:val="PublicationTitle"/>
    <w:basedOn w:val="Normal"/>
    <w:rsid w:val="000870B6"/>
    <w:pPr>
      <w:tabs>
        <w:tab w:val="left" w:pos="4536"/>
      </w:tabs>
      <w:spacing w:before="4536" w:after="800" w:line="480" w:lineRule="exact"/>
      <w:ind w:left="4536" w:right="113"/>
      <w:jc w:val="right"/>
    </w:pPr>
    <w:rPr>
      <w:rFonts w:ascii="Arial" w:eastAsia="Times New Roman" w:hAnsi="Arial" w:cs="Tahoma"/>
      <w:b/>
      <w:i/>
      <w:sz w:val="44"/>
      <w:lang w:eastAsia="en-AU"/>
    </w:rPr>
  </w:style>
  <w:style w:type="paragraph" w:customStyle="1" w:styleId="Sub-title">
    <w:name w:val="Sub-title"/>
    <w:basedOn w:val="Normal"/>
    <w:locked/>
    <w:rsid w:val="00401DBF"/>
    <w:pPr>
      <w:spacing w:before="1701"/>
      <w:ind w:left="4536"/>
    </w:pPr>
    <w:rPr>
      <w:rFonts w:ascii="Arial" w:eastAsia="Times New Roman" w:hAnsi="Arial" w:cs="Tahoma"/>
      <w:b/>
      <w:sz w:val="32"/>
      <w:lang w:eastAsia="en-AU"/>
    </w:rPr>
  </w:style>
  <w:style w:type="paragraph" w:customStyle="1" w:styleId="Nnumberedlist">
    <w:name w:val="Nnumbered list"/>
    <w:basedOn w:val="Normal"/>
    <w:rsid w:val="00AF3D39"/>
    <w:pPr>
      <w:numPr>
        <w:numId w:val="2"/>
      </w:numPr>
      <w:jc w:val="both"/>
    </w:pPr>
    <w:rPr>
      <w:rFonts w:ascii="Calibri" w:eastAsia="Times New Roman" w:hAnsi="Calibri" w:cs="Tahoma"/>
      <w:lang w:eastAsia="en-AU"/>
    </w:rPr>
  </w:style>
  <w:style w:type="paragraph" w:styleId="TOCHeading">
    <w:name w:val="TOC Heading"/>
    <w:basedOn w:val="Heading1"/>
    <w:next w:val="Normal"/>
    <w:uiPriority w:val="39"/>
    <w:unhideWhenUsed/>
    <w:qFormat/>
    <w:rsid w:val="00DE7099"/>
    <w:pPr>
      <w:numPr>
        <w:numId w:val="0"/>
      </w:numPr>
      <w:pBdr>
        <w:bottom w:val="none" w:sz="0" w:space="0" w:color="auto"/>
      </w:pBdr>
      <w:spacing w:before="240" w:after="0" w:line="259" w:lineRule="auto"/>
      <w:outlineLvl w:val="9"/>
    </w:pPr>
    <w:rPr>
      <w:rFonts w:asciiTheme="majorHAnsi" w:hAnsiTheme="majorHAnsi"/>
      <w:color w:val="2E74B5" w:themeColor="accent1" w:themeShade="BF"/>
      <w:sz w:val="32"/>
      <w:lang w:val="en-US"/>
    </w:rPr>
  </w:style>
  <w:style w:type="paragraph" w:styleId="TOC4">
    <w:name w:val="toc 4"/>
    <w:basedOn w:val="Normal"/>
    <w:next w:val="Normal"/>
    <w:autoRedefine/>
    <w:uiPriority w:val="39"/>
    <w:unhideWhenUsed/>
    <w:rsid w:val="00DE7099"/>
    <w:pPr>
      <w:spacing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DE7099"/>
    <w:pPr>
      <w:spacing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DE7099"/>
    <w:pPr>
      <w:spacing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DE7099"/>
    <w:pPr>
      <w:spacing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DE7099"/>
    <w:pPr>
      <w:spacing w:after="100"/>
      <w:ind w:left="1540"/>
    </w:pPr>
    <w:rPr>
      <w:rFonts w:asciiTheme="minorHAnsi" w:eastAsiaTheme="minorEastAsia" w:hAnsiTheme="minorHAnsi"/>
      <w:lang w:eastAsia="en-AU"/>
    </w:rPr>
  </w:style>
  <w:style w:type="paragraph" w:customStyle="1" w:styleId="In-tableHeading">
    <w:name w:val="In-table Heading"/>
    <w:qFormat/>
    <w:rsid w:val="003E3E6F"/>
    <w:pPr>
      <w:keepNext/>
      <w:spacing w:before="40" w:after="40" w:line="240" w:lineRule="auto"/>
    </w:pPr>
    <w:rPr>
      <w:rFonts w:ascii="Arial Narrow" w:eastAsiaTheme="majorEastAsia" w:hAnsi="Arial Narrow" w:cs="Times New Roman"/>
      <w:b/>
      <w:sz w:val="20"/>
      <w:szCs w:val="24"/>
      <w:lang w:val="en-US" w:eastAsia="en-AU"/>
    </w:rPr>
  </w:style>
  <w:style w:type="paragraph" w:customStyle="1" w:styleId="TableFigureFooter">
    <w:name w:val="Table/Figure Footer"/>
    <w:basedOn w:val="Normal"/>
    <w:link w:val="TableFigureFooterChar"/>
    <w:qFormat/>
    <w:rsid w:val="009A06F4"/>
    <w:pPr>
      <w:tabs>
        <w:tab w:val="left" w:pos="284"/>
      </w:tabs>
      <w:spacing w:after="360" w:line="240" w:lineRule="auto"/>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9A06F4"/>
    <w:rPr>
      <w:rFonts w:ascii="Arial Narrow" w:eastAsia="Times New Roman" w:hAnsi="Arial Narrow" w:cs="Arial"/>
      <w:snapToGrid w:val="0"/>
      <w:sz w:val="18"/>
      <w:lang w:eastAsia="en-AU"/>
    </w:rPr>
  </w:style>
  <w:style w:type="character" w:styleId="Emphasis">
    <w:name w:val="Emphasis"/>
    <w:uiPriority w:val="20"/>
    <w:qFormat/>
    <w:rsid w:val="00566298"/>
    <w:rPr>
      <w:i/>
      <w:iCs/>
    </w:rPr>
  </w:style>
  <w:style w:type="paragraph" w:styleId="Header">
    <w:name w:val="header"/>
    <w:basedOn w:val="Normal"/>
    <w:link w:val="HeaderChar"/>
    <w:uiPriority w:val="99"/>
    <w:unhideWhenUsed/>
    <w:rsid w:val="00B62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F2"/>
    <w:rPr>
      <w:rFonts w:ascii="Franklin Gothic Book" w:hAnsi="Franklin Gothic Book"/>
    </w:rPr>
  </w:style>
  <w:style w:type="paragraph" w:styleId="Footer">
    <w:name w:val="footer"/>
    <w:basedOn w:val="Normal"/>
    <w:link w:val="FooterChar"/>
    <w:uiPriority w:val="99"/>
    <w:unhideWhenUsed/>
    <w:rsid w:val="00B62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F2"/>
    <w:rPr>
      <w:rFonts w:ascii="Franklin Gothic Book" w:hAnsi="Franklin Gothic Book"/>
    </w:rPr>
  </w:style>
  <w:style w:type="paragraph" w:customStyle="1" w:styleId="Tablenotes">
    <w:name w:val="Tablenotes"/>
    <w:basedOn w:val="Normal"/>
    <w:link w:val="TablenotesChar"/>
    <w:qFormat/>
    <w:rsid w:val="00242F4E"/>
    <w:pPr>
      <w:widowControl w:val="0"/>
      <w:spacing w:after="120" w:line="240" w:lineRule="auto"/>
      <w:contextualSpacing/>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42F4E"/>
    <w:rPr>
      <w:rFonts w:ascii="Arial Narrow" w:eastAsia="Times New Roman" w:hAnsi="Arial Narrow" w:cs="Arial"/>
      <w:snapToGrid w:val="0"/>
      <w:sz w:val="18"/>
      <w:szCs w:val="20"/>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rsid w:val="00A454B3"/>
    <w:rPr>
      <w:rFonts w:ascii="Franklin Gothic Book" w:hAnsi="Franklin Gothic Book"/>
    </w:rPr>
  </w:style>
  <w:style w:type="table" w:customStyle="1" w:styleId="TableGridLight1">
    <w:name w:val="Table Grid Light1"/>
    <w:basedOn w:val="TableNormal"/>
    <w:uiPriority w:val="40"/>
    <w:rsid w:val="00BA59FB"/>
    <w:pPr>
      <w:spacing w:after="0" w:line="240" w:lineRule="auto"/>
    </w:pPr>
    <w:rPr>
      <w:lang w:val="en-US"/>
    </w:rPr>
    <w:tblPr/>
    <w:tcPr>
      <w:shd w:val="clear" w:color="auto" w:fill="F2F2F2" w:themeFill="background1" w:themeFillShade="F2"/>
    </w:tcPr>
  </w:style>
  <w:style w:type="paragraph" w:customStyle="1" w:styleId="Bullet">
    <w:name w:val="Bullet"/>
    <w:basedOn w:val="Normal"/>
    <w:qFormat/>
    <w:rsid w:val="005C6CAC"/>
    <w:pPr>
      <w:numPr>
        <w:numId w:val="3"/>
      </w:numPr>
      <w:spacing w:after="120" w:line="240" w:lineRule="auto"/>
    </w:pPr>
    <w:rPr>
      <w:rFonts w:asciiTheme="minorHAnsi" w:hAnsiTheme="minorHAnsi"/>
    </w:rPr>
  </w:style>
  <w:style w:type="paragraph" w:customStyle="1" w:styleId="TableFigureHeading">
    <w:name w:val="Table/Figure Heading"/>
    <w:next w:val="In-tableHeading"/>
    <w:link w:val="TableFigureHeadingChar"/>
    <w:qFormat/>
    <w:rsid w:val="00F257B5"/>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257B5"/>
    <w:rPr>
      <w:rFonts w:ascii="Arial Narrow" w:eastAsiaTheme="majorEastAsia" w:hAnsi="Arial Narrow" w:cstheme="majorBidi"/>
      <w:b/>
      <w:bCs/>
      <w:sz w:val="20"/>
      <w:szCs w:val="24"/>
      <w:lang w:eastAsia="en-AU"/>
    </w:rPr>
  </w:style>
  <w:style w:type="paragraph" w:customStyle="1" w:styleId="Tabletext0">
    <w:name w:val="Table text"/>
    <w:basedOn w:val="Normal"/>
    <w:link w:val="TabletextChar0"/>
    <w:qFormat/>
    <w:rsid w:val="001B2CD4"/>
    <w:pPr>
      <w:spacing w:before="40" w:after="40" w:line="240" w:lineRule="auto"/>
      <w:jc w:val="both"/>
    </w:pPr>
    <w:rPr>
      <w:rFonts w:ascii="Arial Narrow" w:eastAsia="Times New Roman" w:hAnsi="Arial Narrow" w:cs="Tahoma"/>
      <w:sz w:val="20"/>
      <w:szCs w:val="20"/>
      <w:lang w:eastAsia="en-AU"/>
    </w:rPr>
  </w:style>
  <w:style w:type="character" w:customStyle="1" w:styleId="TabletextChar0">
    <w:name w:val="Table text Char"/>
    <w:link w:val="Tabletext0"/>
    <w:rsid w:val="001B2CD4"/>
    <w:rPr>
      <w:rFonts w:ascii="Arial Narrow" w:eastAsia="Times New Roman" w:hAnsi="Arial Narrow" w:cs="Tahoma"/>
      <w:sz w:val="20"/>
      <w:szCs w:val="20"/>
      <w:lang w:eastAsia="en-AU"/>
    </w:rPr>
  </w:style>
  <w:style w:type="paragraph" w:customStyle="1" w:styleId="Tablenotes0">
    <w:name w:val="Table notes"/>
    <w:basedOn w:val="Normal"/>
    <w:link w:val="TablenotesChar0"/>
    <w:qFormat/>
    <w:rsid w:val="001B2CD4"/>
    <w:pPr>
      <w:spacing w:after="240"/>
      <w:contextualSpacing/>
      <w:jc w:val="both"/>
    </w:pPr>
    <w:rPr>
      <w:rFonts w:ascii="Arial Narrow" w:hAnsi="Arial Narrow" w:cs="Arial"/>
      <w:sz w:val="18"/>
    </w:rPr>
  </w:style>
  <w:style w:type="character" w:customStyle="1" w:styleId="TablenotesChar0">
    <w:name w:val="Table notes Char"/>
    <w:basedOn w:val="DefaultParagraphFont"/>
    <w:link w:val="Tablenotes0"/>
    <w:rsid w:val="001B2CD4"/>
    <w:rPr>
      <w:rFonts w:ascii="Arial Narrow" w:hAnsi="Arial Narrow" w:cs="Arial"/>
      <w:sz w:val="18"/>
    </w:rPr>
  </w:style>
  <w:style w:type="numbering" w:customStyle="1" w:styleId="ESSectionheading-numbered">
    <w:name w:val="ES. Section heading - numbered"/>
    <w:uiPriority w:val="99"/>
    <w:rsid w:val="002A4084"/>
    <w:pPr>
      <w:numPr>
        <w:numId w:val="14"/>
      </w:numPr>
    </w:pPr>
  </w:style>
  <w:style w:type="paragraph" w:customStyle="1" w:styleId="2-SectionHeading">
    <w:name w:val="2-Section Heading"/>
    <w:qFormat/>
    <w:rsid w:val="005131D3"/>
    <w:pPr>
      <w:keepNext/>
      <w:numPr>
        <w:numId w:val="4"/>
      </w:numPr>
      <w:spacing w:before="240" w:after="120" w:line="240" w:lineRule="auto"/>
      <w:outlineLvl w:val="0"/>
    </w:pPr>
    <w:rPr>
      <w:rFonts w:eastAsia="Times New Roman" w:cs="Arial"/>
      <w:b/>
      <w:snapToGrid w:val="0"/>
      <w:sz w:val="32"/>
      <w:szCs w:val="32"/>
      <w:lang w:eastAsia="en-AU"/>
    </w:rPr>
  </w:style>
  <w:style w:type="paragraph" w:customStyle="1" w:styleId="3-BodyText">
    <w:name w:val="3-Body Text"/>
    <w:basedOn w:val="ListParagraph"/>
    <w:qFormat/>
    <w:rsid w:val="005131D3"/>
    <w:pPr>
      <w:numPr>
        <w:ilvl w:val="1"/>
        <w:numId w:val="4"/>
      </w:numPr>
      <w:spacing w:after="120" w:line="240" w:lineRule="auto"/>
      <w:contextualSpacing w:val="0"/>
      <w:jc w:val="both"/>
    </w:pPr>
    <w:rPr>
      <w:rFonts w:asciiTheme="minorHAnsi" w:eastAsia="Times New Roman" w:hAnsiTheme="minorHAnsi" w:cs="Arial"/>
      <w:snapToGrid w:val="0"/>
      <w:sz w:val="24"/>
      <w:szCs w:val="24"/>
      <w:lang w:eastAsia="en-AU"/>
    </w:rPr>
  </w:style>
  <w:style w:type="paragraph" w:customStyle="1" w:styleId="BoxName">
    <w:name w:val="Box Name"/>
    <w:basedOn w:val="Normal"/>
    <w:qFormat/>
    <w:rsid w:val="002B667C"/>
    <w:pPr>
      <w:pBdr>
        <w:top w:val="single" w:sz="4" w:space="4" w:color="auto"/>
        <w:left w:val="single" w:sz="4" w:space="4" w:color="auto"/>
        <w:bottom w:val="single" w:sz="4" w:space="4" w:color="auto"/>
        <w:right w:val="single" w:sz="4" w:space="4" w:color="auto"/>
      </w:pBdr>
      <w:spacing w:after="120" w:line="240" w:lineRule="auto"/>
    </w:pPr>
    <w:rPr>
      <w:rFonts w:ascii="Franklin Gothic Medium" w:hAnsi="Franklin Gothic Medium"/>
      <w:sz w:val="21"/>
    </w:rPr>
  </w:style>
  <w:style w:type="character" w:customStyle="1" w:styleId="InstructionBulletpointChar">
    <w:name w:val="Instruction Bullet point Char"/>
    <w:basedOn w:val="DefaultParagraphFont"/>
    <w:link w:val="InstructionBulletpoint"/>
    <w:uiPriority w:val="3"/>
    <w:locked/>
    <w:rsid w:val="00107DCD"/>
    <w:rPr>
      <w:rFonts w:ascii="Calibri" w:hAnsi="Calibri" w:cs="Calibri"/>
      <w:color w:val="0070C0"/>
      <w:sz w:val="24"/>
    </w:rPr>
  </w:style>
  <w:style w:type="paragraph" w:customStyle="1" w:styleId="InstructionBulletpoint">
    <w:name w:val="Instruction Bullet point"/>
    <w:basedOn w:val="Normal"/>
    <w:link w:val="InstructionBulletpointChar"/>
    <w:uiPriority w:val="3"/>
    <w:qFormat/>
    <w:rsid w:val="00107DCD"/>
    <w:pPr>
      <w:numPr>
        <w:numId w:val="5"/>
      </w:numPr>
      <w:spacing w:after="120" w:line="240" w:lineRule="auto"/>
    </w:pPr>
    <w:rPr>
      <w:rFonts w:ascii="Calibri" w:hAnsi="Calibri" w:cs="Calibri"/>
      <w:color w:val="0070C0"/>
      <w:sz w:val="24"/>
    </w:rPr>
  </w:style>
  <w:style w:type="character" w:customStyle="1" w:styleId="TableFooterChar">
    <w:name w:val="Table Footer Char"/>
    <w:link w:val="TableFooter"/>
    <w:locked/>
    <w:rsid w:val="007B0880"/>
    <w:rPr>
      <w:rFonts w:ascii="Arial Narrow" w:eastAsia="Times New Roman" w:hAnsi="Arial Narrow" w:cs="Arial"/>
      <w:sz w:val="18"/>
      <w:szCs w:val="20"/>
    </w:rPr>
  </w:style>
  <w:style w:type="paragraph" w:customStyle="1" w:styleId="TableFooter">
    <w:name w:val="Table Footer"/>
    <w:basedOn w:val="Normal"/>
    <w:link w:val="TableFooterChar"/>
    <w:qFormat/>
    <w:rsid w:val="007B0880"/>
    <w:pPr>
      <w:widowControl w:val="0"/>
      <w:snapToGrid w:val="0"/>
      <w:spacing w:after="240" w:line="240" w:lineRule="auto"/>
      <w:contextualSpacing/>
      <w:jc w:val="both"/>
    </w:pPr>
    <w:rPr>
      <w:rFonts w:ascii="Arial Narrow" w:eastAsia="Times New Roman" w:hAnsi="Arial Narrow" w:cs="Arial"/>
      <w:sz w:val="18"/>
      <w:szCs w:val="20"/>
    </w:rPr>
  </w:style>
  <w:style w:type="table" w:customStyle="1" w:styleId="PBACTableStyle">
    <w:name w:val="PBAC Table Style"/>
    <w:basedOn w:val="TableGrid10"/>
    <w:uiPriority w:val="99"/>
    <w:rsid w:val="007B0880"/>
    <w:pPr>
      <w:widowControl w:val="0"/>
      <w:spacing w:before="120" w:after="0" w:line="240" w:lineRule="auto"/>
      <w:contextualSpacing/>
      <w:jc w:val="center"/>
    </w:pPr>
    <w:rPr>
      <w:rFonts w:ascii="Arial Narrow" w:hAnsi="Arial Narrow"/>
      <w:color w:val="000000" w:themeColor="text1"/>
      <w:sz w:val="20"/>
      <w:szCs w:val="20"/>
      <w:lang w:val="en-US" w:eastAsia="en-AU"/>
    </w:rPr>
    <w:tbl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Candara" w:hAnsi="Candara" w:hint="default"/>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Candara" w:hAnsi="Candara"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Candara" w:hAnsi="Candara" w:hint="default"/>
        <w:i/>
        <w:iCs/>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0">
    <w:name w:val="Table Grid 1"/>
    <w:basedOn w:val="TableNormal"/>
    <w:uiPriority w:val="99"/>
    <w:semiHidden/>
    <w:unhideWhenUsed/>
    <w:rsid w:val="007B0880"/>
    <w:tblPr/>
    <w:tcPr>
      <w:shd w:val="clear" w:color="auto" w:fill="auto"/>
    </w:tcPr>
    <w:tblStylePr w:type="lastRow">
      <w:rPr>
        <w:i/>
        <w:iCs/>
      </w:rPr>
    </w:tblStylePr>
    <w:tblStylePr w:type="lastCol">
      <w:rPr>
        <w:i/>
        <w:iCs/>
      </w:rPr>
    </w:tblStylePr>
  </w:style>
  <w:style w:type="character" w:customStyle="1" w:styleId="MSACESParagraphChar">
    <w:name w:val="MSAC ES Paragraph Char"/>
    <w:basedOn w:val="DefaultParagraphFont"/>
    <w:link w:val="MSACESParagraph"/>
    <w:uiPriority w:val="1"/>
    <w:locked/>
    <w:rsid w:val="000B720C"/>
    <w:rPr>
      <w:rFonts w:ascii="Times New Roman" w:hAnsi="Times New Roman" w:cs="Times New Roman"/>
      <w:sz w:val="24"/>
    </w:rPr>
  </w:style>
  <w:style w:type="paragraph" w:customStyle="1" w:styleId="MSACESParagraph">
    <w:name w:val="MSAC ES Paragraph"/>
    <w:link w:val="MSACESParagraphChar"/>
    <w:uiPriority w:val="1"/>
    <w:qFormat/>
    <w:rsid w:val="000B720C"/>
    <w:pPr>
      <w:spacing w:after="240" w:line="240" w:lineRule="auto"/>
    </w:pPr>
    <w:rPr>
      <w:rFonts w:ascii="Times New Roman" w:hAnsi="Times New Roman" w:cs="Times New Roman"/>
      <w:sz w:val="24"/>
    </w:rPr>
  </w:style>
  <w:style w:type="paragraph" w:styleId="FootnoteText">
    <w:name w:val="footnote text"/>
    <w:basedOn w:val="Normal"/>
    <w:link w:val="FootnoteTextChar"/>
    <w:uiPriority w:val="99"/>
    <w:unhideWhenUsed/>
    <w:rsid w:val="00804632"/>
    <w:pPr>
      <w:spacing w:after="0" w:line="240" w:lineRule="auto"/>
    </w:pPr>
    <w:rPr>
      <w:rFonts w:asciiTheme="minorHAnsi" w:hAnsiTheme="minorHAnsi"/>
      <w:sz w:val="18"/>
      <w:szCs w:val="20"/>
    </w:rPr>
  </w:style>
  <w:style w:type="character" w:customStyle="1" w:styleId="FootnoteTextChar">
    <w:name w:val="Footnote Text Char"/>
    <w:basedOn w:val="DefaultParagraphFont"/>
    <w:link w:val="FootnoteText"/>
    <w:uiPriority w:val="99"/>
    <w:rsid w:val="00804632"/>
    <w:rPr>
      <w:sz w:val="18"/>
      <w:szCs w:val="20"/>
    </w:rPr>
  </w:style>
  <w:style w:type="character" w:styleId="FootnoteReference">
    <w:name w:val="footnote reference"/>
    <w:basedOn w:val="DefaultParagraphFont"/>
    <w:uiPriority w:val="99"/>
    <w:unhideWhenUsed/>
    <w:rsid w:val="00804632"/>
    <w:rPr>
      <w:vertAlign w:val="superscript"/>
    </w:rPr>
  </w:style>
  <w:style w:type="paragraph" w:customStyle="1" w:styleId="TableFigNoteHanging">
    <w:name w:val="TableFigNoteHanging"/>
    <w:basedOn w:val="TableFigNoteHangingLast"/>
    <w:qFormat/>
    <w:rsid w:val="00804632"/>
    <w:pPr>
      <w:spacing w:after="0"/>
      <w:contextualSpacing w:val="0"/>
    </w:pPr>
    <w:rPr>
      <w:rFonts w:asciiTheme="minorHAnsi" w:hAnsiTheme="minorHAnsi"/>
    </w:rPr>
  </w:style>
  <w:style w:type="table" w:customStyle="1" w:styleId="TableGrid2">
    <w:name w:val="Table Grid2"/>
    <w:basedOn w:val="TableNormal"/>
    <w:next w:val="TableGrid"/>
    <w:uiPriority w:val="59"/>
    <w:rsid w:val="00804632"/>
    <w:pPr>
      <w:spacing w:after="240" w:line="240" w:lineRule="auto"/>
      <w:ind w:left="720"/>
    </w:pPr>
    <w:rPr>
      <w:rFonts w:ascii="Times New Roman" w:eastAsia="Times New Roman" w:hAnsi="Times New Roman" w:cs="Times New Roman"/>
      <w:sz w:val="20"/>
      <w:szCs w:val="20"/>
      <w:lang w:eastAsia="en-AU"/>
    </w:rPr>
    <w:tblPr/>
  </w:style>
  <w:style w:type="paragraph" w:customStyle="1" w:styleId="Summaryboxheading">
    <w:name w:val="Summary box heading"/>
    <w:basedOn w:val="Normal"/>
    <w:rsid w:val="00666A58"/>
    <w:pPr>
      <w:spacing w:after="100" w:afterAutospacing="1"/>
      <w:jc w:val="both"/>
    </w:pPr>
    <w:rPr>
      <w:rFonts w:ascii="Arial Narrow" w:eastAsia="Times New Roman" w:hAnsi="Arial Narrow" w:cs="Tahoma"/>
      <w:b/>
      <w:lang w:eastAsia="en-AU"/>
    </w:rPr>
  </w:style>
  <w:style w:type="paragraph" w:customStyle="1" w:styleId="TableText1">
    <w:name w:val="TableText"/>
    <w:basedOn w:val="Normal"/>
    <w:link w:val="TableTextChar1"/>
    <w:rsid w:val="001C2A48"/>
    <w:pPr>
      <w:keepNext/>
      <w:spacing w:before="40" w:after="40"/>
      <w:jc w:val="both"/>
    </w:pPr>
    <w:rPr>
      <w:rFonts w:ascii="Arial Narrow" w:eastAsia="Times New Roman" w:hAnsi="Arial Narrow" w:cs="Tahoma"/>
      <w:sz w:val="18"/>
      <w:lang w:eastAsia="en-AU"/>
    </w:rPr>
  </w:style>
  <w:style w:type="character" w:customStyle="1" w:styleId="TableTextChar1">
    <w:name w:val="TableText Char"/>
    <w:link w:val="TableText1"/>
    <w:rsid w:val="001C2A48"/>
    <w:rPr>
      <w:rFonts w:ascii="Arial Narrow" w:eastAsia="Times New Roman" w:hAnsi="Arial Narrow" w:cs="Tahoma"/>
      <w:sz w:val="18"/>
      <w:lang w:eastAsia="en-AU"/>
    </w:rPr>
  </w:style>
  <w:style w:type="paragraph" w:customStyle="1" w:styleId="References">
    <w:name w:val="References"/>
    <w:basedOn w:val="Normal"/>
    <w:rsid w:val="001C2A48"/>
    <w:pPr>
      <w:keepLines/>
      <w:spacing w:after="240" w:line="312" w:lineRule="auto"/>
      <w:ind w:left="1440" w:hanging="720"/>
    </w:pPr>
    <w:rPr>
      <w:rFonts w:ascii="Calibri" w:eastAsia="Times New Roman" w:hAnsi="Calibri" w:cs="Tahoma"/>
      <w:lang w:eastAsia="en-AU"/>
    </w:rPr>
  </w:style>
  <w:style w:type="paragraph" w:styleId="Title">
    <w:name w:val="Title"/>
    <w:basedOn w:val="Normal"/>
    <w:next w:val="Normal"/>
    <w:link w:val="TitleChar"/>
    <w:qFormat/>
    <w:rsid w:val="00772829"/>
    <w:pPr>
      <w:spacing w:before="480" w:after="240" w:line="240" w:lineRule="auto"/>
      <w:jc w:val="center"/>
    </w:pPr>
    <w:rPr>
      <w:rFonts w:ascii="Arial" w:eastAsia="Times New Roman" w:hAnsi="Arial" w:cs="Arial"/>
      <w:b/>
      <w:bCs/>
      <w:color w:val="000080"/>
      <w:sz w:val="36"/>
      <w:szCs w:val="36"/>
      <w:lang w:eastAsia="en-AU"/>
    </w:rPr>
  </w:style>
  <w:style w:type="character" w:customStyle="1" w:styleId="TitleChar">
    <w:name w:val="Title Char"/>
    <w:basedOn w:val="DefaultParagraphFont"/>
    <w:link w:val="Title"/>
    <w:rsid w:val="00772829"/>
    <w:rPr>
      <w:rFonts w:ascii="Arial" w:eastAsia="Times New Roman" w:hAnsi="Arial" w:cs="Arial"/>
      <w:b/>
      <w:bCs/>
      <w:color w:val="000080"/>
      <w:sz w:val="36"/>
      <w:szCs w:val="36"/>
      <w:lang w:eastAsia="en-AU"/>
    </w:rPr>
  </w:style>
  <w:style w:type="paragraph" w:styleId="Subtitle">
    <w:name w:val="Subtitle"/>
    <w:basedOn w:val="Normal"/>
    <w:next w:val="Normal"/>
    <w:link w:val="SubtitleChar"/>
    <w:qFormat/>
    <w:rsid w:val="00772829"/>
    <w:pPr>
      <w:spacing w:after="240" w:line="240" w:lineRule="auto"/>
      <w:jc w:val="center"/>
    </w:pPr>
    <w:rPr>
      <w:rFonts w:ascii="Arial" w:eastAsia="Times New Roman" w:hAnsi="Arial" w:cs="Arial"/>
      <w:b/>
      <w:bCs/>
      <w:i/>
      <w:color w:val="000080"/>
      <w:sz w:val="28"/>
      <w:szCs w:val="28"/>
      <w:lang w:eastAsia="en-AU"/>
    </w:rPr>
  </w:style>
  <w:style w:type="character" w:customStyle="1" w:styleId="SubtitleChar">
    <w:name w:val="Subtitle Char"/>
    <w:basedOn w:val="DefaultParagraphFont"/>
    <w:link w:val="Subtitle"/>
    <w:rsid w:val="00772829"/>
    <w:rPr>
      <w:rFonts w:ascii="Arial" w:eastAsia="Times New Roman" w:hAnsi="Arial" w:cs="Arial"/>
      <w:b/>
      <w:bCs/>
      <w:i/>
      <w:color w:val="000080"/>
      <w:sz w:val="28"/>
      <w:szCs w:val="28"/>
      <w:lang w:eastAsia="en-AU"/>
    </w:rPr>
  </w:style>
  <w:style w:type="paragraph" w:customStyle="1" w:styleId="ESHeading1">
    <w:name w:val="ES Heading1"/>
    <w:basedOn w:val="Heading2"/>
    <w:next w:val="Normal"/>
    <w:qFormat/>
    <w:rsid w:val="002C70CE"/>
    <w:pPr>
      <w:numPr>
        <w:ilvl w:val="0"/>
        <w:numId w:val="6"/>
      </w:numPr>
      <w:spacing w:before="240"/>
    </w:pPr>
  </w:style>
  <w:style w:type="paragraph" w:customStyle="1" w:styleId="NormalBeforeBullet">
    <w:name w:val="Normal Before Bullet"/>
    <w:basedOn w:val="Normal"/>
    <w:qFormat/>
    <w:rsid w:val="00091C59"/>
    <w:pPr>
      <w:keepNext/>
      <w:spacing w:after="120" w:line="240" w:lineRule="auto"/>
    </w:pPr>
    <w:rPr>
      <w:rFonts w:asciiTheme="minorHAnsi" w:hAnsiTheme="minorHAnsi"/>
    </w:rPr>
  </w:style>
  <w:style w:type="paragraph" w:customStyle="1" w:styleId="Dash">
    <w:name w:val="Dash"/>
    <w:basedOn w:val="Bullet"/>
    <w:qFormat/>
    <w:rsid w:val="00091C59"/>
    <w:pPr>
      <w:numPr>
        <w:numId w:val="7"/>
      </w:numPr>
      <w:spacing w:after="40"/>
    </w:pPr>
  </w:style>
  <w:style w:type="paragraph" w:customStyle="1" w:styleId="Instructionaltext">
    <w:name w:val="Instructional text"/>
    <w:basedOn w:val="Normal"/>
    <w:link w:val="InstructionaltextChar"/>
    <w:qFormat/>
    <w:rsid w:val="00E436A2"/>
    <w:rPr>
      <w:color w:val="258221"/>
    </w:rPr>
  </w:style>
  <w:style w:type="character" w:customStyle="1" w:styleId="UnresolvedMention1">
    <w:name w:val="Unresolved Mention1"/>
    <w:basedOn w:val="DefaultParagraphFont"/>
    <w:uiPriority w:val="99"/>
    <w:semiHidden/>
    <w:unhideWhenUsed/>
    <w:rsid w:val="00997BA8"/>
    <w:rPr>
      <w:color w:val="605E5C"/>
      <w:shd w:val="clear" w:color="auto" w:fill="E1DFDD"/>
    </w:rPr>
  </w:style>
  <w:style w:type="character" w:customStyle="1" w:styleId="InstructionaltextChar">
    <w:name w:val="Instructional text Char"/>
    <w:basedOn w:val="DefaultParagraphFont"/>
    <w:link w:val="Instructionaltext"/>
    <w:rsid w:val="00DF39E9"/>
    <w:rPr>
      <w:rFonts w:ascii="Franklin Gothic Book" w:hAnsi="Franklin Gothic Book"/>
      <w:color w:val="258221"/>
    </w:rPr>
  </w:style>
  <w:style w:type="paragraph" w:customStyle="1" w:styleId="Instructionaltext-bullet">
    <w:name w:val="Instructional text - bullet"/>
    <w:basedOn w:val="Instructionaltext"/>
    <w:qFormat/>
    <w:rsid w:val="002463A6"/>
    <w:pPr>
      <w:numPr>
        <w:numId w:val="8"/>
      </w:numPr>
      <w:spacing w:before="0" w:after="0"/>
    </w:pPr>
  </w:style>
  <w:style w:type="paragraph" w:customStyle="1" w:styleId="Instructionaltext-afterfiguretable">
    <w:name w:val="Instructional text - after figure/table"/>
    <w:basedOn w:val="Instructionaltext"/>
    <w:qFormat/>
    <w:rsid w:val="00B151CF"/>
    <w:pPr>
      <w:spacing w:before="360"/>
    </w:pPr>
  </w:style>
  <w:style w:type="paragraph" w:customStyle="1" w:styleId="Guidelinescross-ref">
    <w:name w:val="Guidelines cross-ref"/>
    <w:basedOn w:val="Normal"/>
    <w:qFormat/>
    <w:rsid w:val="005B7D6C"/>
    <w:pPr>
      <w:spacing w:before="240" w:after="240"/>
    </w:pPr>
    <w:rPr>
      <w:b/>
      <w:color w:val="0070C0"/>
      <w:sz w:val="24"/>
    </w:rPr>
  </w:style>
  <w:style w:type="paragraph" w:styleId="Revision">
    <w:name w:val="Revision"/>
    <w:hidden/>
    <w:uiPriority w:val="99"/>
    <w:semiHidden/>
    <w:rsid w:val="00610ABA"/>
    <w:pPr>
      <w:spacing w:after="0" w:line="240" w:lineRule="auto"/>
    </w:pPr>
    <w:rPr>
      <w:rFonts w:ascii="Franklin Gothic Book" w:hAnsi="Franklin Gothic Book"/>
    </w:rPr>
  </w:style>
  <w:style w:type="character" w:customStyle="1" w:styleId="UnresolvedMention2">
    <w:name w:val="Unresolved Mention2"/>
    <w:basedOn w:val="DefaultParagraphFont"/>
    <w:uiPriority w:val="99"/>
    <w:semiHidden/>
    <w:unhideWhenUsed/>
    <w:rsid w:val="00223664"/>
    <w:rPr>
      <w:color w:val="605E5C"/>
      <w:shd w:val="clear" w:color="auto" w:fill="E1DFDD"/>
    </w:rPr>
  </w:style>
  <w:style w:type="character" w:styleId="UnresolvedMention">
    <w:name w:val="Unresolved Mention"/>
    <w:basedOn w:val="DefaultParagraphFont"/>
    <w:uiPriority w:val="99"/>
    <w:semiHidden/>
    <w:unhideWhenUsed/>
    <w:rsid w:val="00E0555A"/>
    <w:rPr>
      <w:color w:val="605E5C"/>
      <w:shd w:val="clear" w:color="auto" w:fill="E1DFDD"/>
    </w:rPr>
  </w:style>
  <w:style w:type="character" w:customStyle="1" w:styleId="Heading5Char">
    <w:name w:val="Heading 5 Char"/>
    <w:basedOn w:val="DefaultParagraphFont"/>
    <w:link w:val="Heading5"/>
    <w:uiPriority w:val="9"/>
    <w:rsid w:val="00FF6536"/>
    <w:rPr>
      <w:rFonts w:asciiTheme="majorHAnsi" w:eastAsiaTheme="majorEastAsia" w:hAnsiTheme="majorHAnsi" w:cstheme="majorBidi"/>
      <w:color w:val="2E74B5" w:themeColor="accent1" w:themeShade="BF"/>
    </w:rPr>
  </w:style>
  <w:style w:type="character" w:customStyle="1" w:styleId="Small">
    <w:name w:val="Small"/>
    <w:basedOn w:val="DefaultParagraphFont"/>
    <w:uiPriority w:val="4"/>
    <w:qFormat/>
    <w:rsid w:val="00D83FA3"/>
    <w:rPr>
      <w:rFonts w:ascii="Calibri" w:hAnsi="Calibri"/>
      <w:sz w:val="20"/>
    </w:rPr>
  </w:style>
  <w:style w:type="paragraph" w:customStyle="1" w:styleId="Table">
    <w:name w:val="Table"/>
    <w:basedOn w:val="Normal"/>
    <w:link w:val="TableChar"/>
    <w:qFormat/>
    <w:rsid w:val="00FF6536"/>
    <w:pPr>
      <w:spacing w:before="0" w:after="0" w:line="240" w:lineRule="auto"/>
    </w:pPr>
    <w:rPr>
      <w:rFonts w:asciiTheme="minorHAnsi" w:eastAsiaTheme="majorEastAsia" w:hAnsiTheme="minorHAnsi" w:cstheme="majorBidi"/>
      <w:sz w:val="20"/>
      <w:lang w:bidi="en-US"/>
    </w:rPr>
  </w:style>
  <w:style w:type="character" w:customStyle="1" w:styleId="TableChar">
    <w:name w:val="Table Char"/>
    <w:basedOn w:val="DefaultParagraphFont"/>
    <w:link w:val="Table"/>
    <w:locked/>
    <w:rsid w:val="00FF6536"/>
    <w:rPr>
      <w:rFonts w:eastAsiaTheme="majorEastAsia" w:cstheme="majorBidi"/>
      <w:sz w:val="20"/>
      <w:lang w:bidi="en-US"/>
    </w:rPr>
  </w:style>
  <w:style w:type="paragraph" w:customStyle="1" w:styleId="TableCentre">
    <w:name w:val="Table Centre"/>
    <w:basedOn w:val="Normal"/>
    <w:uiPriority w:val="99"/>
    <w:qFormat/>
    <w:rsid w:val="00FF6536"/>
    <w:pPr>
      <w:spacing w:before="0" w:after="0" w:line="240" w:lineRule="auto"/>
      <w:jc w:val="center"/>
    </w:pPr>
    <w:rPr>
      <w:rFonts w:ascii="Calibri" w:eastAsiaTheme="majorEastAsia" w:hAnsi="Calibri" w:cstheme="majorBidi"/>
      <w:sz w:val="18"/>
      <w:lang w:bidi="en-US"/>
    </w:rPr>
  </w:style>
  <w:style w:type="character" w:customStyle="1" w:styleId="Heading6Char">
    <w:name w:val="Heading 6 Char"/>
    <w:basedOn w:val="DefaultParagraphFont"/>
    <w:link w:val="Heading6"/>
    <w:uiPriority w:val="9"/>
    <w:rsid w:val="00837D9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91B83"/>
    <w:rPr>
      <w:rFonts w:ascii="Calibri" w:eastAsiaTheme="majorEastAsia" w:hAnsi="Calibri" w:cstheme="majorBidi"/>
      <w:b/>
      <w:bCs/>
      <w:i/>
      <w:iCs/>
      <w:color w:val="5A5A5A" w:themeColor="text1" w:themeTint="A5"/>
      <w:sz w:val="20"/>
      <w:szCs w:val="20"/>
      <w:lang w:bidi="en-US"/>
    </w:rPr>
  </w:style>
  <w:style w:type="character" w:customStyle="1" w:styleId="Heading8Char">
    <w:name w:val="Heading 8 Char"/>
    <w:basedOn w:val="DefaultParagraphFont"/>
    <w:link w:val="Heading8"/>
    <w:uiPriority w:val="99"/>
    <w:rsid w:val="00F91B83"/>
    <w:rPr>
      <w:rFonts w:ascii="Calibri" w:eastAsiaTheme="majorEastAsia" w:hAnsi="Calibri" w:cstheme="majorBidi"/>
      <w:b/>
      <w:bCs/>
      <w:color w:val="7F7F7F" w:themeColor="text1" w:themeTint="80"/>
      <w:sz w:val="20"/>
      <w:szCs w:val="20"/>
      <w:lang w:bidi="en-US"/>
    </w:rPr>
  </w:style>
  <w:style w:type="character" w:customStyle="1" w:styleId="Heading9Char">
    <w:name w:val="Heading 9 Char"/>
    <w:basedOn w:val="DefaultParagraphFont"/>
    <w:link w:val="Heading9"/>
    <w:uiPriority w:val="99"/>
    <w:rsid w:val="00F91B83"/>
    <w:rPr>
      <w:rFonts w:ascii="Calibri" w:eastAsiaTheme="majorEastAsia" w:hAnsi="Calibri" w:cstheme="majorBidi"/>
      <w:b/>
      <w:bCs/>
      <w:i/>
      <w:iCs/>
      <w:color w:val="7F7F7F" w:themeColor="text1" w:themeTint="80"/>
      <w:sz w:val="18"/>
      <w:szCs w:val="18"/>
      <w:lang w:bidi="en-US"/>
    </w:rPr>
  </w:style>
  <w:style w:type="character" w:customStyle="1" w:styleId="ui-provider">
    <w:name w:val="ui-provider"/>
    <w:basedOn w:val="DefaultParagraphFont"/>
    <w:rsid w:val="000454AA"/>
  </w:style>
  <w:style w:type="paragraph" w:customStyle="1" w:styleId="TableBullets">
    <w:name w:val="Table Bullets"/>
    <w:basedOn w:val="Normal"/>
    <w:uiPriority w:val="5"/>
    <w:qFormat/>
    <w:rsid w:val="00BB3B21"/>
    <w:pPr>
      <w:numPr>
        <w:numId w:val="16"/>
      </w:numPr>
      <w:spacing w:before="0" w:after="0" w:line="240" w:lineRule="auto"/>
      <w:jc w:val="both"/>
    </w:pPr>
    <w:rPr>
      <w:rFonts w:ascii="Calibri" w:eastAsiaTheme="majorEastAsia" w:hAnsi="Calibri" w:cs="Times New Roman"/>
      <w:sz w:val="18"/>
    </w:rPr>
  </w:style>
  <w:style w:type="character" w:customStyle="1" w:styleId="CaptionFootnoteChar">
    <w:name w:val="Caption Footnote Char"/>
    <w:basedOn w:val="DefaultParagraphFont"/>
    <w:link w:val="CaptionFootnote"/>
    <w:uiPriority w:val="99"/>
    <w:rsid w:val="009B167D"/>
    <w:rPr>
      <w:rFonts w:eastAsia="Times New Roman" w:cs="Times New Roman"/>
      <w:kern w:val="28"/>
      <w:sz w:val="16"/>
      <w:szCs w:val="24"/>
      <w:lang w:eastAsia="en-GB"/>
    </w:rPr>
  </w:style>
  <w:style w:type="paragraph" w:customStyle="1" w:styleId="CaptionFootnote">
    <w:name w:val="Caption Footnote"/>
    <w:basedOn w:val="Normal"/>
    <w:link w:val="CaptionFootnoteChar"/>
    <w:uiPriority w:val="99"/>
    <w:qFormat/>
    <w:rsid w:val="009B167D"/>
    <w:pPr>
      <w:spacing w:before="0" w:after="0" w:line="240" w:lineRule="auto"/>
      <w:jc w:val="both"/>
    </w:pPr>
    <w:rPr>
      <w:rFonts w:asciiTheme="minorHAnsi" w:eastAsia="Times New Roman" w:hAnsiTheme="minorHAnsi" w:cs="Times New Roman"/>
      <w:kern w:val="28"/>
      <w:sz w:val="16"/>
      <w:szCs w:val="24"/>
      <w:lang w:eastAsia="en-GB"/>
    </w:rPr>
  </w:style>
  <w:style w:type="table" w:customStyle="1" w:styleId="HTATableshaded">
    <w:name w:val="HTA Table shaded"/>
    <w:basedOn w:val="TableNormal"/>
    <w:rsid w:val="00C10F9A"/>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Mention">
    <w:name w:val="Mention"/>
    <w:basedOn w:val="DefaultParagraphFont"/>
    <w:uiPriority w:val="99"/>
    <w:unhideWhenUsed/>
    <w:rsid w:val="006A420C"/>
    <w:rPr>
      <w:color w:val="2B579A"/>
      <w:shd w:val="clear" w:color="auto" w:fill="E1DFDD"/>
    </w:rPr>
  </w:style>
  <w:style w:type="paragraph" w:customStyle="1" w:styleId="TableDash">
    <w:name w:val="TableDash"/>
    <w:basedOn w:val="TableText1"/>
    <w:rsid w:val="001B12F6"/>
    <w:pPr>
      <w:numPr>
        <w:numId w:val="23"/>
      </w:numPr>
      <w:tabs>
        <w:tab w:val="clear" w:pos="216"/>
        <w:tab w:val="num" w:pos="432"/>
      </w:tabs>
      <w:spacing w:before="60" w:after="60" w:line="240" w:lineRule="auto"/>
      <w:jc w:val="left"/>
    </w:pPr>
    <w:rPr>
      <w:rFonts w:ascii="Franklin Gothic Book" w:hAnsi="Franklin Gothic Book" w:cs="Times New Roman"/>
      <w:color w:val="000000"/>
      <w:sz w:val="21"/>
      <w:szCs w:val="21"/>
    </w:rPr>
  </w:style>
  <w:style w:type="paragraph" w:customStyle="1" w:styleId="BulletBeforeDash">
    <w:name w:val="BulletBeforeDash"/>
    <w:basedOn w:val="Normal"/>
    <w:rsid w:val="001B12F6"/>
    <w:pPr>
      <w:numPr>
        <w:numId w:val="24"/>
      </w:numPr>
      <w:spacing w:before="0" w:after="0" w:line="240" w:lineRule="auto"/>
    </w:pPr>
    <w:rPr>
      <w:rFonts w:eastAsia="Times New Roman" w:cs="Times New Roman"/>
      <w:color w:val="000000"/>
      <w:szCs w:val="20"/>
      <w:lang w:eastAsia="en-AU"/>
    </w:rPr>
  </w:style>
  <w:style w:type="paragraph" w:customStyle="1" w:styleId="BulletLast">
    <w:name w:val="BulletLast"/>
    <w:basedOn w:val="Bullet"/>
    <w:qFormat/>
    <w:rsid w:val="005C6CAC"/>
    <w:pPr>
      <w:tabs>
        <w:tab w:val="num" w:pos="360"/>
      </w:tabs>
      <w:spacing w:before="0" w:after="240"/>
    </w:pPr>
    <w:rPr>
      <w:rFonts w:ascii="Franklin Gothic Book" w:eastAsia="Times New Roman" w:hAnsi="Franklin Gothic Book" w:cs="Times New Roman"/>
      <w:color w:val="000000"/>
      <w:szCs w:val="20"/>
      <w:lang w:eastAsia="en-AU"/>
    </w:rPr>
  </w:style>
  <w:style w:type="paragraph" w:customStyle="1" w:styleId="NormalBeforeBullet0">
    <w:name w:val="NormalBeforeBullet"/>
    <w:basedOn w:val="Normal"/>
    <w:qFormat/>
    <w:rsid w:val="001B12F6"/>
    <w:pPr>
      <w:keepNext/>
      <w:spacing w:before="0" w:after="120" w:line="240" w:lineRule="auto"/>
    </w:pPr>
    <w:rPr>
      <w:rFonts w:eastAsia="Times New Roman" w:cs="Times New Roman"/>
      <w:color w:val="000000"/>
      <w:szCs w:val="20"/>
      <w:lang w:eastAsia="en-AU"/>
    </w:rPr>
  </w:style>
  <w:style w:type="paragraph" w:customStyle="1" w:styleId="BoxName0">
    <w:name w:val="BoxName"/>
    <w:basedOn w:val="Normal"/>
    <w:rsid w:val="001B12F6"/>
    <w:pPr>
      <w:keepNext/>
      <w:pBdr>
        <w:top w:val="single" w:sz="4" w:space="4" w:color="000000"/>
        <w:left w:val="single" w:sz="4" w:space="4" w:color="000000"/>
        <w:bottom w:val="single" w:sz="4" w:space="4" w:color="000000"/>
        <w:right w:val="single" w:sz="4" w:space="4" w:color="000000"/>
      </w:pBdr>
      <w:spacing w:before="240" w:after="240" w:line="240" w:lineRule="auto"/>
      <w:ind w:left="1077" w:hanging="1077"/>
    </w:pPr>
    <w:rPr>
      <w:rFonts w:eastAsia="Times New Roman" w:cs="Times New Roman"/>
      <w:b/>
      <w:bCs/>
      <w:color w:val="000000"/>
      <w:sz w:val="24"/>
      <w:szCs w:val="20"/>
      <w:lang w:eastAsia="en-AU"/>
    </w:rPr>
  </w:style>
  <w:style w:type="paragraph" w:customStyle="1" w:styleId="BoxHeading">
    <w:name w:val="BoxHeading"/>
    <w:basedOn w:val="Normal"/>
    <w:rsid w:val="001B12F6"/>
    <w:pPr>
      <w:keepNext/>
      <w:pBdr>
        <w:top w:val="single" w:sz="4" w:space="4" w:color="000000"/>
        <w:left w:val="single" w:sz="4" w:space="4" w:color="000000"/>
        <w:bottom w:val="single" w:sz="4" w:space="4" w:color="000000"/>
        <w:right w:val="single" w:sz="4" w:space="4" w:color="000000"/>
      </w:pBdr>
      <w:spacing w:after="60" w:line="240" w:lineRule="auto"/>
    </w:pPr>
    <w:rPr>
      <w:rFonts w:eastAsia="Times New Roman" w:cs="Times New Roman"/>
      <w:b/>
      <w:bCs/>
      <w:color w:val="000000"/>
      <w:szCs w:val="20"/>
      <w:lang w:eastAsia="en-AU"/>
    </w:rPr>
  </w:style>
  <w:style w:type="paragraph" w:customStyle="1" w:styleId="BoxBullet">
    <w:name w:val="BoxBullet"/>
    <w:basedOn w:val="Normal"/>
    <w:rsid w:val="001B12F6"/>
    <w:pPr>
      <w:numPr>
        <w:numId w:val="25"/>
      </w:numPr>
      <w:pBdr>
        <w:top w:val="single" w:sz="4" w:space="4" w:color="000000"/>
        <w:left w:val="single" w:sz="4" w:space="4" w:color="000000"/>
        <w:bottom w:val="single" w:sz="4" w:space="4" w:color="000000"/>
        <w:right w:val="single" w:sz="4" w:space="4" w:color="000000"/>
      </w:pBdr>
      <w:spacing w:before="0" w:after="120" w:line="240" w:lineRule="auto"/>
    </w:pPr>
    <w:rPr>
      <w:rFonts w:eastAsia="Times New Roman" w:cs="Times New Roman"/>
      <w:color w:val="000000"/>
      <w:szCs w:val="20"/>
      <w:lang w:eastAsia="en-AU"/>
    </w:rPr>
  </w:style>
  <w:style w:type="table" w:customStyle="1" w:styleId="Section3-footnot1">
    <w:name w:val="Section 3- footnot1"/>
    <w:basedOn w:val="TableNormal"/>
    <w:next w:val="TableGrid"/>
    <w:uiPriority w:val="59"/>
    <w:rsid w:val="00D83758"/>
    <w:pPr>
      <w:spacing w:after="0" w:line="240" w:lineRule="auto"/>
    </w:pPr>
    <w:tblPr/>
  </w:style>
  <w:style w:type="paragraph" w:styleId="BodyText">
    <w:name w:val="Body Text"/>
    <w:basedOn w:val="Normal"/>
    <w:link w:val="BodyTextChar"/>
    <w:uiPriority w:val="99"/>
    <w:unhideWhenUsed/>
    <w:rsid w:val="00B20ECC"/>
    <w:pPr>
      <w:spacing w:after="120"/>
    </w:pPr>
  </w:style>
  <w:style w:type="character" w:customStyle="1" w:styleId="BodyTextChar">
    <w:name w:val="Body Text Char"/>
    <w:basedOn w:val="DefaultParagraphFont"/>
    <w:link w:val="BodyText"/>
    <w:uiPriority w:val="99"/>
    <w:rsid w:val="00B20ECC"/>
    <w:rPr>
      <w:rFonts w:ascii="Franklin Gothic Book" w:hAnsi="Franklin Gothic Book"/>
    </w:rPr>
  </w:style>
  <w:style w:type="paragraph" w:customStyle="1" w:styleId="paragraph">
    <w:name w:val="paragraph"/>
    <w:basedOn w:val="Normal"/>
    <w:rsid w:val="0089305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93057"/>
  </w:style>
  <w:style w:type="character" w:customStyle="1" w:styleId="eop">
    <w:name w:val="eop"/>
    <w:basedOn w:val="DefaultParagraphFont"/>
    <w:rsid w:val="00893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5403">
      <w:bodyDiv w:val="1"/>
      <w:marLeft w:val="0"/>
      <w:marRight w:val="0"/>
      <w:marTop w:val="0"/>
      <w:marBottom w:val="0"/>
      <w:divBdr>
        <w:top w:val="none" w:sz="0" w:space="0" w:color="auto"/>
        <w:left w:val="none" w:sz="0" w:space="0" w:color="auto"/>
        <w:bottom w:val="none" w:sz="0" w:space="0" w:color="auto"/>
        <w:right w:val="none" w:sz="0" w:space="0" w:color="auto"/>
      </w:divBdr>
    </w:div>
    <w:div w:id="47924957">
      <w:bodyDiv w:val="1"/>
      <w:marLeft w:val="0"/>
      <w:marRight w:val="0"/>
      <w:marTop w:val="0"/>
      <w:marBottom w:val="0"/>
      <w:divBdr>
        <w:top w:val="none" w:sz="0" w:space="0" w:color="auto"/>
        <w:left w:val="none" w:sz="0" w:space="0" w:color="auto"/>
        <w:bottom w:val="none" w:sz="0" w:space="0" w:color="auto"/>
        <w:right w:val="none" w:sz="0" w:space="0" w:color="auto"/>
      </w:divBdr>
    </w:div>
    <w:div w:id="55473840">
      <w:bodyDiv w:val="1"/>
      <w:marLeft w:val="0"/>
      <w:marRight w:val="0"/>
      <w:marTop w:val="0"/>
      <w:marBottom w:val="0"/>
      <w:divBdr>
        <w:top w:val="none" w:sz="0" w:space="0" w:color="auto"/>
        <w:left w:val="none" w:sz="0" w:space="0" w:color="auto"/>
        <w:bottom w:val="none" w:sz="0" w:space="0" w:color="auto"/>
        <w:right w:val="none" w:sz="0" w:space="0" w:color="auto"/>
      </w:divBdr>
    </w:div>
    <w:div w:id="74130392">
      <w:bodyDiv w:val="1"/>
      <w:marLeft w:val="0"/>
      <w:marRight w:val="0"/>
      <w:marTop w:val="0"/>
      <w:marBottom w:val="0"/>
      <w:divBdr>
        <w:top w:val="none" w:sz="0" w:space="0" w:color="auto"/>
        <w:left w:val="none" w:sz="0" w:space="0" w:color="auto"/>
        <w:bottom w:val="none" w:sz="0" w:space="0" w:color="auto"/>
        <w:right w:val="none" w:sz="0" w:space="0" w:color="auto"/>
      </w:divBdr>
    </w:div>
    <w:div w:id="119810662">
      <w:bodyDiv w:val="1"/>
      <w:marLeft w:val="0"/>
      <w:marRight w:val="0"/>
      <w:marTop w:val="0"/>
      <w:marBottom w:val="0"/>
      <w:divBdr>
        <w:top w:val="none" w:sz="0" w:space="0" w:color="auto"/>
        <w:left w:val="none" w:sz="0" w:space="0" w:color="auto"/>
        <w:bottom w:val="none" w:sz="0" w:space="0" w:color="auto"/>
        <w:right w:val="none" w:sz="0" w:space="0" w:color="auto"/>
      </w:divBdr>
      <w:divsChild>
        <w:div w:id="951740429">
          <w:marLeft w:val="0"/>
          <w:marRight w:val="0"/>
          <w:marTop w:val="0"/>
          <w:marBottom w:val="0"/>
          <w:divBdr>
            <w:top w:val="none" w:sz="0" w:space="0" w:color="auto"/>
            <w:left w:val="none" w:sz="0" w:space="0" w:color="auto"/>
            <w:bottom w:val="none" w:sz="0" w:space="0" w:color="auto"/>
            <w:right w:val="none" w:sz="0" w:space="0" w:color="auto"/>
          </w:divBdr>
        </w:div>
        <w:div w:id="1708724802">
          <w:marLeft w:val="0"/>
          <w:marRight w:val="0"/>
          <w:marTop w:val="0"/>
          <w:marBottom w:val="0"/>
          <w:divBdr>
            <w:top w:val="none" w:sz="0" w:space="0" w:color="auto"/>
            <w:left w:val="none" w:sz="0" w:space="0" w:color="auto"/>
            <w:bottom w:val="none" w:sz="0" w:space="0" w:color="auto"/>
            <w:right w:val="none" w:sz="0" w:space="0" w:color="auto"/>
          </w:divBdr>
        </w:div>
      </w:divsChild>
    </w:div>
    <w:div w:id="121729887">
      <w:bodyDiv w:val="1"/>
      <w:marLeft w:val="0"/>
      <w:marRight w:val="0"/>
      <w:marTop w:val="0"/>
      <w:marBottom w:val="0"/>
      <w:divBdr>
        <w:top w:val="none" w:sz="0" w:space="0" w:color="auto"/>
        <w:left w:val="none" w:sz="0" w:space="0" w:color="auto"/>
        <w:bottom w:val="none" w:sz="0" w:space="0" w:color="auto"/>
        <w:right w:val="none" w:sz="0" w:space="0" w:color="auto"/>
      </w:divBdr>
    </w:div>
    <w:div w:id="146365314">
      <w:bodyDiv w:val="1"/>
      <w:marLeft w:val="0"/>
      <w:marRight w:val="0"/>
      <w:marTop w:val="0"/>
      <w:marBottom w:val="0"/>
      <w:divBdr>
        <w:top w:val="none" w:sz="0" w:space="0" w:color="auto"/>
        <w:left w:val="none" w:sz="0" w:space="0" w:color="auto"/>
        <w:bottom w:val="none" w:sz="0" w:space="0" w:color="auto"/>
        <w:right w:val="none" w:sz="0" w:space="0" w:color="auto"/>
      </w:divBdr>
    </w:div>
    <w:div w:id="174998036">
      <w:bodyDiv w:val="1"/>
      <w:marLeft w:val="0"/>
      <w:marRight w:val="0"/>
      <w:marTop w:val="0"/>
      <w:marBottom w:val="0"/>
      <w:divBdr>
        <w:top w:val="none" w:sz="0" w:space="0" w:color="auto"/>
        <w:left w:val="none" w:sz="0" w:space="0" w:color="auto"/>
        <w:bottom w:val="none" w:sz="0" w:space="0" w:color="auto"/>
        <w:right w:val="none" w:sz="0" w:space="0" w:color="auto"/>
      </w:divBdr>
    </w:div>
    <w:div w:id="184029289">
      <w:bodyDiv w:val="1"/>
      <w:marLeft w:val="0"/>
      <w:marRight w:val="0"/>
      <w:marTop w:val="0"/>
      <w:marBottom w:val="0"/>
      <w:divBdr>
        <w:top w:val="none" w:sz="0" w:space="0" w:color="auto"/>
        <w:left w:val="none" w:sz="0" w:space="0" w:color="auto"/>
        <w:bottom w:val="none" w:sz="0" w:space="0" w:color="auto"/>
        <w:right w:val="none" w:sz="0" w:space="0" w:color="auto"/>
      </w:divBdr>
    </w:div>
    <w:div w:id="206991689">
      <w:bodyDiv w:val="1"/>
      <w:marLeft w:val="0"/>
      <w:marRight w:val="0"/>
      <w:marTop w:val="0"/>
      <w:marBottom w:val="0"/>
      <w:divBdr>
        <w:top w:val="none" w:sz="0" w:space="0" w:color="auto"/>
        <w:left w:val="none" w:sz="0" w:space="0" w:color="auto"/>
        <w:bottom w:val="none" w:sz="0" w:space="0" w:color="auto"/>
        <w:right w:val="none" w:sz="0" w:space="0" w:color="auto"/>
      </w:divBdr>
    </w:div>
    <w:div w:id="240987840">
      <w:bodyDiv w:val="1"/>
      <w:marLeft w:val="0"/>
      <w:marRight w:val="0"/>
      <w:marTop w:val="0"/>
      <w:marBottom w:val="0"/>
      <w:divBdr>
        <w:top w:val="none" w:sz="0" w:space="0" w:color="auto"/>
        <w:left w:val="none" w:sz="0" w:space="0" w:color="auto"/>
        <w:bottom w:val="none" w:sz="0" w:space="0" w:color="auto"/>
        <w:right w:val="none" w:sz="0" w:space="0" w:color="auto"/>
      </w:divBdr>
    </w:div>
    <w:div w:id="259148225">
      <w:bodyDiv w:val="1"/>
      <w:marLeft w:val="0"/>
      <w:marRight w:val="0"/>
      <w:marTop w:val="0"/>
      <w:marBottom w:val="0"/>
      <w:divBdr>
        <w:top w:val="none" w:sz="0" w:space="0" w:color="auto"/>
        <w:left w:val="none" w:sz="0" w:space="0" w:color="auto"/>
        <w:bottom w:val="none" w:sz="0" w:space="0" w:color="auto"/>
        <w:right w:val="none" w:sz="0" w:space="0" w:color="auto"/>
      </w:divBdr>
    </w:div>
    <w:div w:id="381249859">
      <w:bodyDiv w:val="1"/>
      <w:marLeft w:val="0"/>
      <w:marRight w:val="0"/>
      <w:marTop w:val="0"/>
      <w:marBottom w:val="0"/>
      <w:divBdr>
        <w:top w:val="none" w:sz="0" w:space="0" w:color="auto"/>
        <w:left w:val="none" w:sz="0" w:space="0" w:color="auto"/>
        <w:bottom w:val="none" w:sz="0" w:space="0" w:color="auto"/>
        <w:right w:val="none" w:sz="0" w:space="0" w:color="auto"/>
      </w:divBdr>
    </w:div>
    <w:div w:id="388959748">
      <w:bodyDiv w:val="1"/>
      <w:marLeft w:val="0"/>
      <w:marRight w:val="0"/>
      <w:marTop w:val="0"/>
      <w:marBottom w:val="0"/>
      <w:divBdr>
        <w:top w:val="none" w:sz="0" w:space="0" w:color="auto"/>
        <w:left w:val="none" w:sz="0" w:space="0" w:color="auto"/>
        <w:bottom w:val="none" w:sz="0" w:space="0" w:color="auto"/>
        <w:right w:val="none" w:sz="0" w:space="0" w:color="auto"/>
      </w:divBdr>
    </w:div>
    <w:div w:id="393283070">
      <w:bodyDiv w:val="1"/>
      <w:marLeft w:val="0"/>
      <w:marRight w:val="0"/>
      <w:marTop w:val="0"/>
      <w:marBottom w:val="0"/>
      <w:divBdr>
        <w:top w:val="none" w:sz="0" w:space="0" w:color="auto"/>
        <w:left w:val="none" w:sz="0" w:space="0" w:color="auto"/>
        <w:bottom w:val="none" w:sz="0" w:space="0" w:color="auto"/>
        <w:right w:val="none" w:sz="0" w:space="0" w:color="auto"/>
      </w:divBdr>
    </w:div>
    <w:div w:id="410854578">
      <w:bodyDiv w:val="1"/>
      <w:marLeft w:val="0"/>
      <w:marRight w:val="0"/>
      <w:marTop w:val="0"/>
      <w:marBottom w:val="0"/>
      <w:divBdr>
        <w:top w:val="none" w:sz="0" w:space="0" w:color="auto"/>
        <w:left w:val="none" w:sz="0" w:space="0" w:color="auto"/>
        <w:bottom w:val="none" w:sz="0" w:space="0" w:color="auto"/>
        <w:right w:val="none" w:sz="0" w:space="0" w:color="auto"/>
      </w:divBdr>
    </w:div>
    <w:div w:id="414280912">
      <w:bodyDiv w:val="1"/>
      <w:marLeft w:val="0"/>
      <w:marRight w:val="0"/>
      <w:marTop w:val="0"/>
      <w:marBottom w:val="0"/>
      <w:divBdr>
        <w:top w:val="none" w:sz="0" w:space="0" w:color="auto"/>
        <w:left w:val="none" w:sz="0" w:space="0" w:color="auto"/>
        <w:bottom w:val="none" w:sz="0" w:space="0" w:color="auto"/>
        <w:right w:val="none" w:sz="0" w:space="0" w:color="auto"/>
      </w:divBdr>
    </w:div>
    <w:div w:id="425276192">
      <w:bodyDiv w:val="1"/>
      <w:marLeft w:val="0"/>
      <w:marRight w:val="0"/>
      <w:marTop w:val="0"/>
      <w:marBottom w:val="0"/>
      <w:divBdr>
        <w:top w:val="none" w:sz="0" w:space="0" w:color="auto"/>
        <w:left w:val="none" w:sz="0" w:space="0" w:color="auto"/>
        <w:bottom w:val="none" w:sz="0" w:space="0" w:color="auto"/>
        <w:right w:val="none" w:sz="0" w:space="0" w:color="auto"/>
      </w:divBdr>
    </w:div>
    <w:div w:id="445393862">
      <w:bodyDiv w:val="1"/>
      <w:marLeft w:val="0"/>
      <w:marRight w:val="0"/>
      <w:marTop w:val="0"/>
      <w:marBottom w:val="0"/>
      <w:divBdr>
        <w:top w:val="none" w:sz="0" w:space="0" w:color="auto"/>
        <w:left w:val="none" w:sz="0" w:space="0" w:color="auto"/>
        <w:bottom w:val="none" w:sz="0" w:space="0" w:color="auto"/>
        <w:right w:val="none" w:sz="0" w:space="0" w:color="auto"/>
      </w:divBdr>
    </w:div>
    <w:div w:id="454568100">
      <w:bodyDiv w:val="1"/>
      <w:marLeft w:val="0"/>
      <w:marRight w:val="0"/>
      <w:marTop w:val="0"/>
      <w:marBottom w:val="0"/>
      <w:divBdr>
        <w:top w:val="none" w:sz="0" w:space="0" w:color="auto"/>
        <w:left w:val="none" w:sz="0" w:space="0" w:color="auto"/>
        <w:bottom w:val="none" w:sz="0" w:space="0" w:color="auto"/>
        <w:right w:val="none" w:sz="0" w:space="0" w:color="auto"/>
      </w:divBdr>
    </w:div>
    <w:div w:id="497383534">
      <w:bodyDiv w:val="1"/>
      <w:marLeft w:val="0"/>
      <w:marRight w:val="0"/>
      <w:marTop w:val="0"/>
      <w:marBottom w:val="0"/>
      <w:divBdr>
        <w:top w:val="none" w:sz="0" w:space="0" w:color="auto"/>
        <w:left w:val="none" w:sz="0" w:space="0" w:color="auto"/>
        <w:bottom w:val="none" w:sz="0" w:space="0" w:color="auto"/>
        <w:right w:val="none" w:sz="0" w:space="0" w:color="auto"/>
      </w:divBdr>
    </w:div>
    <w:div w:id="545800766">
      <w:bodyDiv w:val="1"/>
      <w:marLeft w:val="0"/>
      <w:marRight w:val="0"/>
      <w:marTop w:val="0"/>
      <w:marBottom w:val="0"/>
      <w:divBdr>
        <w:top w:val="none" w:sz="0" w:space="0" w:color="auto"/>
        <w:left w:val="none" w:sz="0" w:space="0" w:color="auto"/>
        <w:bottom w:val="none" w:sz="0" w:space="0" w:color="auto"/>
        <w:right w:val="none" w:sz="0" w:space="0" w:color="auto"/>
      </w:divBdr>
    </w:div>
    <w:div w:id="547684622">
      <w:bodyDiv w:val="1"/>
      <w:marLeft w:val="0"/>
      <w:marRight w:val="0"/>
      <w:marTop w:val="0"/>
      <w:marBottom w:val="0"/>
      <w:divBdr>
        <w:top w:val="none" w:sz="0" w:space="0" w:color="auto"/>
        <w:left w:val="none" w:sz="0" w:space="0" w:color="auto"/>
        <w:bottom w:val="none" w:sz="0" w:space="0" w:color="auto"/>
        <w:right w:val="none" w:sz="0" w:space="0" w:color="auto"/>
      </w:divBdr>
    </w:div>
    <w:div w:id="553857340">
      <w:bodyDiv w:val="1"/>
      <w:marLeft w:val="0"/>
      <w:marRight w:val="0"/>
      <w:marTop w:val="0"/>
      <w:marBottom w:val="0"/>
      <w:divBdr>
        <w:top w:val="none" w:sz="0" w:space="0" w:color="auto"/>
        <w:left w:val="none" w:sz="0" w:space="0" w:color="auto"/>
        <w:bottom w:val="none" w:sz="0" w:space="0" w:color="auto"/>
        <w:right w:val="none" w:sz="0" w:space="0" w:color="auto"/>
      </w:divBdr>
    </w:div>
    <w:div w:id="561454417">
      <w:bodyDiv w:val="1"/>
      <w:marLeft w:val="0"/>
      <w:marRight w:val="0"/>
      <w:marTop w:val="0"/>
      <w:marBottom w:val="0"/>
      <w:divBdr>
        <w:top w:val="none" w:sz="0" w:space="0" w:color="auto"/>
        <w:left w:val="none" w:sz="0" w:space="0" w:color="auto"/>
        <w:bottom w:val="none" w:sz="0" w:space="0" w:color="auto"/>
        <w:right w:val="none" w:sz="0" w:space="0" w:color="auto"/>
      </w:divBdr>
    </w:div>
    <w:div w:id="570428363">
      <w:bodyDiv w:val="1"/>
      <w:marLeft w:val="0"/>
      <w:marRight w:val="0"/>
      <w:marTop w:val="0"/>
      <w:marBottom w:val="0"/>
      <w:divBdr>
        <w:top w:val="none" w:sz="0" w:space="0" w:color="auto"/>
        <w:left w:val="none" w:sz="0" w:space="0" w:color="auto"/>
        <w:bottom w:val="none" w:sz="0" w:space="0" w:color="auto"/>
        <w:right w:val="none" w:sz="0" w:space="0" w:color="auto"/>
      </w:divBdr>
    </w:div>
    <w:div w:id="629096283">
      <w:bodyDiv w:val="1"/>
      <w:marLeft w:val="0"/>
      <w:marRight w:val="0"/>
      <w:marTop w:val="0"/>
      <w:marBottom w:val="0"/>
      <w:divBdr>
        <w:top w:val="none" w:sz="0" w:space="0" w:color="auto"/>
        <w:left w:val="none" w:sz="0" w:space="0" w:color="auto"/>
        <w:bottom w:val="none" w:sz="0" w:space="0" w:color="auto"/>
        <w:right w:val="none" w:sz="0" w:space="0" w:color="auto"/>
      </w:divBdr>
    </w:div>
    <w:div w:id="630017868">
      <w:bodyDiv w:val="1"/>
      <w:marLeft w:val="0"/>
      <w:marRight w:val="0"/>
      <w:marTop w:val="0"/>
      <w:marBottom w:val="0"/>
      <w:divBdr>
        <w:top w:val="none" w:sz="0" w:space="0" w:color="auto"/>
        <w:left w:val="none" w:sz="0" w:space="0" w:color="auto"/>
        <w:bottom w:val="none" w:sz="0" w:space="0" w:color="auto"/>
        <w:right w:val="none" w:sz="0" w:space="0" w:color="auto"/>
      </w:divBdr>
    </w:div>
    <w:div w:id="633798868">
      <w:bodyDiv w:val="1"/>
      <w:marLeft w:val="0"/>
      <w:marRight w:val="0"/>
      <w:marTop w:val="0"/>
      <w:marBottom w:val="0"/>
      <w:divBdr>
        <w:top w:val="none" w:sz="0" w:space="0" w:color="auto"/>
        <w:left w:val="none" w:sz="0" w:space="0" w:color="auto"/>
        <w:bottom w:val="none" w:sz="0" w:space="0" w:color="auto"/>
        <w:right w:val="none" w:sz="0" w:space="0" w:color="auto"/>
      </w:divBdr>
    </w:div>
    <w:div w:id="639455842">
      <w:bodyDiv w:val="1"/>
      <w:marLeft w:val="0"/>
      <w:marRight w:val="0"/>
      <w:marTop w:val="0"/>
      <w:marBottom w:val="0"/>
      <w:divBdr>
        <w:top w:val="none" w:sz="0" w:space="0" w:color="auto"/>
        <w:left w:val="none" w:sz="0" w:space="0" w:color="auto"/>
        <w:bottom w:val="none" w:sz="0" w:space="0" w:color="auto"/>
        <w:right w:val="none" w:sz="0" w:space="0" w:color="auto"/>
      </w:divBdr>
    </w:div>
    <w:div w:id="641734348">
      <w:bodyDiv w:val="1"/>
      <w:marLeft w:val="0"/>
      <w:marRight w:val="0"/>
      <w:marTop w:val="0"/>
      <w:marBottom w:val="0"/>
      <w:divBdr>
        <w:top w:val="none" w:sz="0" w:space="0" w:color="auto"/>
        <w:left w:val="none" w:sz="0" w:space="0" w:color="auto"/>
        <w:bottom w:val="none" w:sz="0" w:space="0" w:color="auto"/>
        <w:right w:val="none" w:sz="0" w:space="0" w:color="auto"/>
      </w:divBdr>
    </w:div>
    <w:div w:id="650017405">
      <w:bodyDiv w:val="1"/>
      <w:marLeft w:val="0"/>
      <w:marRight w:val="0"/>
      <w:marTop w:val="0"/>
      <w:marBottom w:val="0"/>
      <w:divBdr>
        <w:top w:val="none" w:sz="0" w:space="0" w:color="auto"/>
        <w:left w:val="none" w:sz="0" w:space="0" w:color="auto"/>
        <w:bottom w:val="none" w:sz="0" w:space="0" w:color="auto"/>
        <w:right w:val="none" w:sz="0" w:space="0" w:color="auto"/>
      </w:divBdr>
    </w:div>
    <w:div w:id="650250321">
      <w:bodyDiv w:val="1"/>
      <w:marLeft w:val="0"/>
      <w:marRight w:val="0"/>
      <w:marTop w:val="0"/>
      <w:marBottom w:val="0"/>
      <w:divBdr>
        <w:top w:val="none" w:sz="0" w:space="0" w:color="auto"/>
        <w:left w:val="none" w:sz="0" w:space="0" w:color="auto"/>
        <w:bottom w:val="none" w:sz="0" w:space="0" w:color="auto"/>
        <w:right w:val="none" w:sz="0" w:space="0" w:color="auto"/>
      </w:divBdr>
    </w:div>
    <w:div w:id="658122112">
      <w:bodyDiv w:val="1"/>
      <w:marLeft w:val="0"/>
      <w:marRight w:val="0"/>
      <w:marTop w:val="0"/>
      <w:marBottom w:val="0"/>
      <w:divBdr>
        <w:top w:val="none" w:sz="0" w:space="0" w:color="auto"/>
        <w:left w:val="none" w:sz="0" w:space="0" w:color="auto"/>
        <w:bottom w:val="none" w:sz="0" w:space="0" w:color="auto"/>
        <w:right w:val="none" w:sz="0" w:space="0" w:color="auto"/>
      </w:divBdr>
    </w:div>
    <w:div w:id="685983252">
      <w:bodyDiv w:val="1"/>
      <w:marLeft w:val="0"/>
      <w:marRight w:val="0"/>
      <w:marTop w:val="0"/>
      <w:marBottom w:val="0"/>
      <w:divBdr>
        <w:top w:val="none" w:sz="0" w:space="0" w:color="auto"/>
        <w:left w:val="none" w:sz="0" w:space="0" w:color="auto"/>
        <w:bottom w:val="none" w:sz="0" w:space="0" w:color="auto"/>
        <w:right w:val="none" w:sz="0" w:space="0" w:color="auto"/>
      </w:divBdr>
    </w:div>
    <w:div w:id="701126710">
      <w:bodyDiv w:val="1"/>
      <w:marLeft w:val="0"/>
      <w:marRight w:val="0"/>
      <w:marTop w:val="0"/>
      <w:marBottom w:val="0"/>
      <w:divBdr>
        <w:top w:val="none" w:sz="0" w:space="0" w:color="auto"/>
        <w:left w:val="none" w:sz="0" w:space="0" w:color="auto"/>
        <w:bottom w:val="none" w:sz="0" w:space="0" w:color="auto"/>
        <w:right w:val="none" w:sz="0" w:space="0" w:color="auto"/>
      </w:divBdr>
    </w:div>
    <w:div w:id="719669662">
      <w:bodyDiv w:val="1"/>
      <w:marLeft w:val="0"/>
      <w:marRight w:val="0"/>
      <w:marTop w:val="0"/>
      <w:marBottom w:val="0"/>
      <w:divBdr>
        <w:top w:val="none" w:sz="0" w:space="0" w:color="auto"/>
        <w:left w:val="none" w:sz="0" w:space="0" w:color="auto"/>
        <w:bottom w:val="none" w:sz="0" w:space="0" w:color="auto"/>
        <w:right w:val="none" w:sz="0" w:space="0" w:color="auto"/>
      </w:divBdr>
    </w:div>
    <w:div w:id="729351773">
      <w:bodyDiv w:val="1"/>
      <w:marLeft w:val="0"/>
      <w:marRight w:val="0"/>
      <w:marTop w:val="0"/>
      <w:marBottom w:val="0"/>
      <w:divBdr>
        <w:top w:val="none" w:sz="0" w:space="0" w:color="auto"/>
        <w:left w:val="none" w:sz="0" w:space="0" w:color="auto"/>
        <w:bottom w:val="none" w:sz="0" w:space="0" w:color="auto"/>
        <w:right w:val="none" w:sz="0" w:space="0" w:color="auto"/>
      </w:divBdr>
    </w:div>
    <w:div w:id="733554141">
      <w:bodyDiv w:val="1"/>
      <w:marLeft w:val="0"/>
      <w:marRight w:val="0"/>
      <w:marTop w:val="0"/>
      <w:marBottom w:val="0"/>
      <w:divBdr>
        <w:top w:val="none" w:sz="0" w:space="0" w:color="auto"/>
        <w:left w:val="none" w:sz="0" w:space="0" w:color="auto"/>
        <w:bottom w:val="none" w:sz="0" w:space="0" w:color="auto"/>
        <w:right w:val="none" w:sz="0" w:space="0" w:color="auto"/>
      </w:divBdr>
    </w:div>
    <w:div w:id="802505105">
      <w:bodyDiv w:val="1"/>
      <w:marLeft w:val="0"/>
      <w:marRight w:val="0"/>
      <w:marTop w:val="0"/>
      <w:marBottom w:val="0"/>
      <w:divBdr>
        <w:top w:val="none" w:sz="0" w:space="0" w:color="auto"/>
        <w:left w:val="none" w:sz="0" w:space="0" w:color="auto"/>
        <w:bottom w:val="none" w:sz="0" w:space="0" w:color="auto"/>
        <w:right w:val="none" w:sz="0" w:space="0" w:color="auto"/>
      </w:divBdr>
    </w:div>
    <w:div w:id="815755281">
      <w:bodyDiv w:val="1"/>
      <w:marLeft w:val="0"/>
      <w:marRight w:val="0"/>
      <w:marTop w:val="0"/>
      <w:marBottom w:val="0"/>
      <w:divBdr>
        <w:top w:val="none" w:sz="0" w:space="0" w:color="auto"/>
        <w:left w:val="none" w:sz="0" w:space="0" w:color="auto"/>
        <w:bottom w:val="none" w:sz="0" w:space="0" w:color="auto"/>
        <w:right w:val="none" w:sz="0" w:space="0" w:color="auto"/>
      </w:divBdr>
    </w:div>
    <w:div w:id="850949379">
      <w:bodyDiv w:val="1"/>
      <w:marLeft w:val="0"/>
      <w:marRight w:val="0"/>
      <w:marTop w:val="0"/>
      <w:marBottom w:val="0"/>
      <w:divBdr>
        <w:top w:val="none" w:sz="0" w:space="0" w:color="auto"/>
        <w:left w:val="none" w:sz="0" w:space="0" w:color="auto"/>
        <w:bottom w:val="none" w:sz="0" w:space="0" w:color="auto"/>
        <w:right w:val="none" w:sz="0" w:space="0" w:color="auto"/>
      </w:divBdr>
    </w:div>
    <w:div w:id="883716246">
      <w:bodyDiv w:val="1"/>
      <w:marLeft w:val="0"/>
      <w:marRight w:val="0"/>
      <w:marTop w:val="0"/>
      <w:marBottom w:val="0"/>
      <w:divBdr>
        <w:top w:val="none" w:sz="0" w:space="0" w:color="auto"/>
        <w:left w:val="none" w:sz="0" w:space="0" w:color="auto"/>
        <w:bottom w:val="none" w:sz="0" w:space="0" w:color="auto"/>
        <w:right w:val="none" w:sz="0" w:space="0" w:color="auto"/>
      </w:divBdr>
    </w:div>
    <w:div w:id="912742429">
      <w:bodyDiv w:val="1"/>
      <w:marLeft w:val="0"/>
      <w:marRight w:val="0"/>
      <w:marTop w:val="0"/>
      <w:marBottom w:val="0"/>
      <w:divBdr>
        <w:top w:val="none" w:sz="0" w:space="0" w:color="auto"/>
        <w:left w:val="none" w:sz="0" w:space="0" w:color="auto"/>
        <w:bottom w:val="none" w:sz="0" w:space="0" w:color="auto"/>
        <w:right w:val="none" w:sz="0" w:space="0" w:color="auto"/>
      </w:divBdr>
    </w:div>
    <w:div w:id="921065123">
      <w:bodyDiv w:val="1"/>
      <w:marLeft w:val="0"/>
      <w:marRight w:val="0"/>
      <w:marTop w:val="0"/>
      <w:marBottom w:val="0"/>
      <w:divBdr>
        <w:top w:val="none" w:sz="0" w:space="0" w:color="auto"/>
        <w:left w:val="none" w:sz="0" w:space="0" w:color="auto"/>
        <w:bottom w:val="none" w:sz="0" w:space="0" w:color="auto"/>
        <w:right w:val="none" w:sz="0" w:space="0" w:color="auto"/>
      </w:divBdr>
    </w:div>
    <w:div w:id="939416371">
      <w:bodyDiv w:val="1"/>
      <w:marLeft w:val="0"/>
      <w:marRight w:val="0"/>
      <w:marTop w:val="0"/>
      <w:marBottom w:val="0"/>
      <w:divBdr>
        <w:top w:val="none" w:sz="0" w:space="0" w:color="auto"/>
        <w:left w:val="none" w:sz="0" w:space="0" w:color="auto"/>
        <w:bottom w:val="none" w:sz="0" w:space="0" w:color="auto"/>
        <w:right w:val="none" w:sz="0" w:space="0" w:color="auto"/>
      </w:divBdr>
    </w:div>
    <w:div w:id="944847599">
      <w:bodyDiv w:val="1"/>
      <w:marLeft w:val="0"/>
      <w:marRight w:val="0"/>
      <w:marTop w:val="0"/>
      <w:marBottom w:val="0"/>
      <w:divBdr>
        <w:top w:val="none" w:sz="0" w:space="0" w:color="auto"/>
        <w:left w:val="none" w:sz="0" w:space="0" w:color="auto"/>
        <w:bottom w:val="none" w:sz="0" w:space="0" w:color="auto"/>
        <w:right w:val="none" w:sz="0" w:space="0" w:color="auto"/>
      </w:divBdr>
    </w:div>
    <w:div w:id="976447681">
      <w:bodyDiv w:val="1"/>
      <w:marLeft w:val="0"/>
      <w:marRight w:val="0"/>
      <w:marTop w:val="0"/>
      <w:marBottom w:val="0"/>
      <w:divBdr>
        <w:top w:val="none" w:sz="0" w:space="0" w:color="auto"/>
        <w:left w:val="none" w:sz="0" w:space="0" w:color="auto"/>
        <w:bottom w:val="none" w:sz="0" w:space="0" w:color="auto"/>
        <w:right w:val="none" w:sz="0" w:space="0" w:color="auto"/>
      </w:divBdr>
    </w:div>
    <w:div w:id="1019160309">
      <w:bodyDiv w:val="1"/>
      <w:marLeft w:val="0"/>
      <w:marRight w:val="0"/>
      <w:marTop w:val="0"/>
      <w:marBottom w:val="0"/>
      <w:divBdr>
        <w:top w:val="none" w:sz="0" w:space="0" w:color="auto"/>
        <w:left w:val="none" w:sz="0" w:space="0" w:color="auto"/>
        <w:bottom w:val="none" w:sz="0" w:space="0" w:color="auto"/>
        <w:right w:val="none" w:sz="0" w:space="0" w:color="auto"/>
      </w:divBdr>
    </w:div>
    <w:div w:id="1036272867">
      <w:bodyDiv w:val="1"/>
      <w:marLeft w:val="0"/>
      <w:marRight w:val="0"/>
      <w:marTop w:val="0"/>
      <w:marBottom w:val="0"/>
      <w:divBdr>
        <w:top w:val="none" w:sz="0" w:space="0" w:color="auto"/>
        <w:left w:val="none" w:sz="0" w:space="0" w:color="auto"/>
        <w:bottom w:val="none" w:sz="0" w:space="0" w:color="auto"/>
        <w:right w:val="none" w:sz="0" w:space="0" w:color="auto"/>
      </w:divBdr>
    </w:div>
    <w:div w:id="1051998796">
      <w:bodyDiv w:val="1"/>
      <w:marLeft w:val="0"/>
      <w:marRight w:val="0"/>
      <w:marTop w:val="0"/>
      <w:marBottom w:val="0"/>
      <w:divBdr>
        <w:top w:val="none" w:sz="0" w:space="0" w:color="auto"/>
        <w:left w:val="none" w:sz="0" w:space="0" w:color="auto"/>
        <w:bottom w:val="none" w:sz="0" w:space="0" w:color="auto"/>
        <w:right w:val="none" w:sz="0" w:space="0" w:color="auto"/>
      </w:divBdr>
    </w:div>
    <w:div w:id="1082995321">
      <w:bodyDiv w:val="1"/>
      <w:marLeft w:val="0"/>
      <w:marRight w:val="0"/>
      <w:marTop w:val="0"/>
      <w:marBottom w:val="0"/>
      <w:divBdr>
        <w:top w:val="none" w:sz="0" w:space="0" w:color="auto"/>
        <w:left w:val="none" w:sz="0" w:space="0" w:color="auto"/>
        <w:bottom w:val="none" w:sz="0" w:space="0" w:color="auto"/>
        <w:right w:val="none" w:sz="0" w:space="0" w:color="auto"/>
      </w:divBdr>
    </w:div>
    <w:div w:id="1107237354">
      <w:bodyDiv w:val="1"/>
      <w:marLeft w:val="0"/>
      <w:marRight w:val="0"/>
      <w:marTop w:val="0"/>
      <w:marBottom w:val="0"/>
      <w:divBdr>
        <w:top w:val="none" w:sz="0" w:space="0" w:color="auto"/>
        <w:left w:val="none" w:sz="0" w:space="0" w:color="auto"/>
        <w:bottom w:val="none" w:sz="0" w:space="0" w:color="auto"/>
        <w:right w:val="none" w:sz="0" w:space="0" w:color="auto"/>
      </w:divBdr>
    </w:div>
    <w:div w:id="1108306793">
      <w:bodyDiv w:val="1"/>
      <w:marLeft w:val="0"/>
      <w:marRight w:val="0"/>
      <w:marTop w:val="0"/>
      <w:marBottom w:val="0"/>
      <w:divBdr>
        <w:top w:val="none" w:sz="0" w:space="0" w:color="auto"/>
        <w:left w:val="none" w:sz="0" w:space="0" w:color="auto"/>
        <w:bottom w:val="none" w:sz="0" w:space="0" w:color="auto"/>
        <w:right w:val="none" w:sz="0" w:space="0" w:color="auto"/>
      </w:divBdr>
    </w:div>
    <w:div w:id="1115448293">
      <w:bodyDiv w:val="1"/>
      <w:marLeft w:val="0"/>
      <w:marRight w:val="0"/>
      <w:marTop w:val="0"/>
      <w:marBottom w:val="0"/>
      <w:divBdr>
        <w:top w:val="none" w:sz="0" w:space="0" w:color="auto"/>
        <w:left w:val="none" w:sz="0" w:space="0" w:color="auto"/>
        <w:bottom w:val="none" w:sz="0" w:space="0" w:color="auto"/>
        <w:right w:val="none" w:sz="0" w:space="0" w:color="auto"/>
      </w:divBdr>
    </w:div>
    <w:div w:id="1117408241">
      <w:bodyDiv w:val="1"/>
      <w:marLeft w:val="0"/>
      <w:marRight w:val="0"/>
      <w:marTop w:val="0"/>
      <w:marBottom w:val="0"/>
      <w:divBdr>
        <w:top w:val="none" w:sz="0" w:space="0" w:color="auto"/>
        <w:left w:val="none" w:sz="0" w:space="0" w:color="auto"/>
        <w:bottom w:val="none" w:sz="0" w:space="0" w:color="auto"/>
        <w:right w:val="none" w:sz="0" w:space="0" w:color="auto"/>
      </w:divBdr>
    </w:div>
    <w:div w:id="1140272256">
      <w:bodyDiv w:val="1"/>
      <w:marLeft w:val="0"/>
      <w:marRight w:val="0"/>
      <w:marTop w:val="0"/>
      <w:marBottom w:val="0"/>
      <w:divBdr>
        <w:top w:val="none" w:sz="0" w:space="0" w:color="auto"/>
        <w:left w:val="none" w:sz="0" w:space="0" w:color="auto"/>
        <w:bottom w:val="none" w:sz="0" w:space="0" w:color="auto"/>
        <w:right w:val="none" w:sz="0" w:space="0" w:color="auto"/>
      </w:divBdr>
    </w:div>
    <w:div w:id="1162307240">
      <w:bodyDiv w:val="1"/>
      <w:marLeft w:val="0"/>
      <w:marRight w:val="0"/>
      <w:marTop w:val="0"/>
      <w:marBottom w:val="0"/>
      <w:divBdr>
        <w:top w:val="none" w:sz="0" w:space="0" w:color="auto"/>
        <w:left w:val="none" w:sz="0" w:space="0" w:color="auto"/>
        <w:bottom w:val="none" w:sz="0" w:space="0" w:color="auto"/>
        <w:right w:val="none" w:sz="0" w:space="0" w:color="auto"/>
      </w:divBdr>
    </w:div>
    <w:div w:id="1170871641">
      <w:bodyDiv w:val="1"/>
      <w:marLeft w:val="0"/>
      <w:marRight w:val="0"/>
      <w:marTop w:val="0"/>
      <w:marBottom w:val="0"/>
      <w:divBdr>
        <w:top w:val="none" w:sz="0" w:space="0" w:color="auto"/>
        <w:left w:val="none" w:sz="0" w:space="0" w:color="auto"/>
        <w:bottom w:val="none" w:sz="0" w:space="0" w:color="auto"/>
        <w:right w:val="none" w:sz="0" w:space="0" w:color="auto"/>
      </w:divBdr>
    </w:div>
    <w:div w:id="1171220333">
      <w:bodyDiv w:val="1"/>
      <w:marLeft w:val="0"/>
      <w:marRight w:val="0"/>
      <w:marTop w:val="0"/>
      <w:marBottom w:val="0"/>
      <w:divBdr>
        <w:top w:val="none" w:sz="0" w:space="0" w:color="auto"/>
        <w:left w:val="none" w:sz="0" w:space="0" w:color="auto"/>
        <w:bottom w:val="none" w:sz="0" w:space="0" w:color="auto"/>
        <w:right w:val="none" w:sz="0" w:space="0" w:color="auto"/>
      </w:divBdr>
    </w:div>
    <w:div w:id="1217930654">
      <w:bodyDiv w:val="1"/>
      <w:marLeft w:val="0"/>
      <w:marRight w:val="0"/>
      <w:marTop w:val="0"/>
      <w:marBottom w:val="0"/>
      <w:divBdr>
        <w:top w:val="none" w:sz="0" w:space="0" w:color="auto"/>
        <w:left w:val="none" w:sz="0" w:space="0" w:color="auto"/>
        <w:bottom w:val="none" w:sz="0" w:space="0" w:color="auto"/>
        <w:right w:val="none" w:sz="0" w:space="0" w:color="auto"/>
      </w:divBdr>
    </w:div>
    <w:div w:id="1224098787">
      <w:bodyDiv w:val="1"/>
      <w:marLeft w:val="0"/>
      <w:marRight w:val="0"/>
      <w:marTop w:val="0"/>
      <w:marBottom w:val="0"/>
      <w:divBdr>
        <w:top w:val="none" w:sz="0" w:space="0" w:color="auto"/>
        <w:left w:val="none" w:sz="0" w:space="0" w:color="auto"/>
        <w:bottom w:val="none" w:sz="0" w:space="0" w:color="auto"/>
        <w:right w:val="none" w:sz="0" w:space="0" w:color="auto"/>
      </w:divBdr>
    </w:div>
    <w:div w:id="1229151570">
      <w:bodyDiv w:val="1"/>
      <w:marLeft w:val="0"/>
      <w:marRight w:val="0"/>
      <w:marTop w:val="0"/>
      <w:marBottom w:val="0"/>
      <w:divBdr>
        <w:top w:val="none" w:sz="0" w:space="0" w:color="auto"/>
        <w:left w:val="none" w:sz="0" w:space="0" w:color="auto"/>
        <w:bottom w:val="none" w:sz="0" w:space="0" w:color="auto"/>
        <w:right w:val="none" w:sz="0" w:space="0" w:color="auto"/>
      </w:divBdr>
    </w:div>
    <w:div w:id="1244218186">
      <w:bodyDiv w:val="1"/>
      <w:marLeft w:val="0"/>
      <w:marRight w:val="0"/>
      <w:marTop w:val="0"/>
      <w:marBottom w:val="0"/>
      <w:divBdr>
        <w:top w:val="none" w:sz="0" w:space="0" w:color="auto"/>
        <w:left w:val="none" w:sz="0" w:space="0" w:color="auto"/>
        <w:bottom w:val="none" w:sz="0" w:space="0" w:color="auto"/>
        <w:right w:val="none" w:sz="0" w:space="0" w:color="auto"/>
      </w:divBdr>
    </w:div>
    <w:div w:id="1256019463">
      <w:bodyDiv w:val="1"/>
      <w:marLeft w:val="0"/>
      <w:marRight w:val="0"/>
      <w:marTop w:val="0"/>
      <w:marBottom w:val="0"/>
      <w:divBdr>
        <w:top w:val="none" w:sz="0" w:space="0" w:color="auto"/>
        <w:left w:val="none" w:sz="0" w:space="0" w:color="auto"/>
        <w:bottom w:val="none" w:sz="0" w:space="0" w:color="auto"/>
        <w:right w:val="none" w:sz="0" w:space="0" w:color="auto"/>
      </w:divBdr>
    </w:div>
    <w:div w:id="1257448350">
      <w:bodyDiv w:val="1"/>
      <w:marLeft w:val="0"/>
      <w:marRight w:val="0"/>
      <w:marTop w:val="0"/>
      <w:marBottom w:val="0"/>
      <w:divBdr>
        <w:top w:val="none" w:sz="0" w:space="0" w:color="auto"/>
        <w:left w:val="none" w:sz="0" w:space="0" w:color="auto"/>
        <w:bottom w:val="none" w:sz="0" w:space="0" w:color="auto"/>
        <w:right w:val="none" w:sz="0" w:space="0" w:color="auto"/>
      </w:divBdr>
    </w:div>
    <w:div w:id="1260408255">
      <w:bodyDiv w:val="1"/>
      <w:marLeft w:val="0"/>
      <w:marRight w:val="0"/>
      <w:marTop w:val="0"/>
      <w:marBottom w:val="0"/>
      <w:divBdr>
        <w:top w:val="none" w:sz="0" w:space="0" w:color="auto"/>
        <w:left w:val="none" w:sz="0" w:space="0" w:color="auto"/>
        <w:bottom w:val="none" w:sz="0" w:space="0" w:color="auto"/>
        <w:right w:val="none" w:sz="0" w:space="0" w:color="auto"/>
      </w:divBdr>
    </w:div>
    <w:div w:id="1261797108">
      <w:bodyDiv w:val="1"/>
      <w:marLeft w:val="0"/>
      <w:marRight w:val="0"/>
      <w:marTop w:val="0"/>
      <w:marBottom w:val="0"/>
      <w:divBdr>
        <w:top w:val="none" w:sz="0" w:space="0" w:color="auto"/>
        <w:left w:val="none" w:sz="0" w:space="0" w:color="auto"/>
        <w:bottom w:val="none" w:sz="0" w:space="0" w:color="auto"/>
        <w:right w:val="none" w:sz="0" w:space="0" w:color="auto"/>
      </w:divBdr>
    </w:div>
    <w:div w:id="1285310076">
      <w:bodyDiv w:val="1"/>
      <w:marLeft w:val="0"/>
      <w:marRight w:val="0"/>
      <w:marTop w:val="0"/>
      <w:marBottom w:val="0"/>
      <w:divBdr>
        <w:top w:val="none" w:sz="0" w:space="0" w:color="auto"/>
        <w:left w:val="none" w:sz="0" w:space="0" w:color="auto"/>
        <w:bottom w:val="none" w:sz="0" w:space="0" w:color="auto"/>
        <w:right w:val="none" w:sz="0" w:space="0" w:color="auto"/>
      </w:divBdr>
    </w:div>
    <w:div w:id="1291789928">
      <w:bodyDiv w:val="1"/>
      <w:marLeft w:val="0"/>
      <w:marRight w:val="0"/>
      <w:marTop w:val="0"/>
      <w:marBottom w:val="0"/>
      <w:divBdr>
        <w:top w:val="none" w:sz="0" w:space="0" w:color="auto"/>
        <w:left w:val="none" w:sz="0" w:space="0" w:color="auto"/>
        <w:bottom w:val="none" w:sz="0" w:space="0" w:color="auto"/>
        <w:right w:val="none" w:sz="0" w:space="0" w:color="auto"/>
      </w:divBdr>
    </w:div>
    <w:div w:id="1309438841">
      <w:bodyDiv w:val="1"/>
      <w:marLeft w:val="0"/>
      <w:marRight w:val="0"/>
      <w:marTop w:val="0"/>
      <w:marBottom w:val="0"/>
      <w:divBdr>
        <w:top w:val="none" w:sz="0" w:space="0" w:color="auto"/>
        <w:left w:val="none" w:sz="0" w:space="0" w:color="auto"/>
        <w:bottom w:val="none" w:sz="0" w:space="0" w:color="auto"/>
        <w:right w:val="none" w:sz="0" w:space="0" w:color="auto"/>
      </w:divBdr>
    </w:div>
    <w:div w:id="1309745875">
      <w:bodyDiv w:val="1"/>
      <w:marLeft w:val="0"/>
      <w:marRight w:val="0"/>
      <w:marTop w:val="0"/>
      <w:marBottom w:val="0"/>
      <w:divBdr>
        <w:top w:val="none" w:sz="0" w:space="0" w:color="auto"/>
        <w:left w:val="none" w:sz="0" w:space="0" w:color="auto"/>
        <w:bottom w:val="none" w:sz="0" w:space="0" w:color="auto"/>
        <w:right w:val="none" w:sz="0" w:space="0" w:color="auto"/>
      </w:divBdr>
    </w:div>
    <w:div w:id="1320118329">
      <w:bodyDiv w:val="1"/>
      <w:marLeft w:val="0"/>
      <w:marRight w:val="0"/>
      <w:marTop w:val="0"/>
      <w:marBottom w:val="0"/>
      <w:divBdr>
        <w:top w:val="none" w:sz="0" w:space="0" w:color="auto"/>
        <w:left w:val="none" w:sz="0" w:space="0" w:color="auto"/>
        <w:bottom w:val="none" w:sz="0" w:space="0" w:color="auto"/>
        <w:right w:val="none" w:sz="0" w:space="0" w:color="auto"/>
      </w:divBdr>
    </w:div>
    <w:div w:id="1338461236">
      <w:bodyDiv w:val="1"/>
      <w:marLeft w:val="0"/>
      <w:marRight w:val="0"/>
      <w:marTop w:val="0"/>
      <w:marBottom w:val="0"/>
      <w:divBdr>
        <w:top w:val="none" w:sz="0" w:space="0" w:color="auto"/>
        <w:left w:val="none" w:sz="0" w:space="0" w:color="auto"/>
        <w:bottom w:val="none" w:sz="0" w:space="0" w:color="auto"/>
        <w:right w:val="none" w:sz="0" w:space="0" w:color="auto"/>
      </w:divBdr>
    </w:div>
    <w:div w:id="1339045467">
      <w:bodyDiv w:val="1"/>
      <w:marLeft w:val="0"/>
      <w:marRight w:val="0"/>
      <w:marTop w:val="0"/>
      <w:marBottom w:val="0"/>
      <w:divBdr>
        <w:top w:val="none" w:sz="0" w:space="0" w:color="auto"/>
        <w:left w:val="none" w:sz="0" w:space="0" w:color="auto"/>
        <w:bottom w:val="none" w:sz="0" w:space="0" w:color="auto"/>
        <w:right w:val="none" w:sz="0" w:space="0" w:color="auto"/>
      </w:divBdr>
    </w:div>
    <w:div w:id="1346903760">
      <w:bodyDiv w:val="1"/>
      <w:marLeft w:val="0"/>
      <w:marRight w:val="0"/>
      <w:marTop w:val="0"/>
      <w:marBottom w:val="0"/>
      <w:divBdr>
        <w:top w:val="none" w:sz="0" w:space="0" w:color="auto"/>
        <w:left w:val="none" w:sz="0" w:space="0" w:color="auto"/>
        <w:bottom w:val="none" w:sz="0" w:space="0" w:color="auto"/>
        <w:right w:val="none" w:sz="0" w:space="0" w:color="auto"/>
      </w:divBdr>
    </w:div>
    <w:div w:id="1369725244">
      <w:bodyDiv w:val="1"/>
      <w:marLeft w:val="0"/>
      <w:marRight w:val="0"/>
      <w:marTop w:val="0"/>
      <w:marBottom w:val="0"/>
      <w:divBdr>
        <w:top w:val="none" w:sz="0" w:space="0" w:color="auto"/>
        <w:left w:val="none" w:sz="0" w:space="0" w:color="auto"/>
        <w:bottom w:val="none" w:sz="0" w:space="0" w:color="auto"/>
        <w:right w:val="none" w:sz="0" w:space="0" w:color="auto"/>
      </w:divBdr>
    </w:div>
    <w:div w:id="1373262142">
      <w:bodyDiv w:val="1"/>
      <w:marLeft w:val="0"/>
      <w:marRight w:val="0"/>
      <w:marTop w:val="0"/>
      <w:marBottom w:val="0"/>
      <w:divBdr>
        <w:top w:val="none" w:sz="0" w:space="0" w:color="auto"/>
        <w:left w:val="none" w:sz="0" w:space="0" w:color="auto"/>
        <w:bottom w:val="none" w:sz="0" w:space="0" w:color="auto"/>
        <w:right w:val="none" w:sz="0" w:space="0" w:color="auto"/>
      </w:divBdr>
    </w:div>
    <w:div w:id="1381973381">
      <w:bodyDiv w:val="1"/>
      <w:marLeft w:val="0"/>
      <w:marRight w:val="0"/>
      <w:marTop w:val="0"/>
      <w:marBottom w:val="0"/>
      <w:divBdr>
        <w:top w:val="none" w:sz="0" w:space="0" w:color="auto"/>
        <w:left w:val="none" w:sz="0" w:space="0" w:color="auto"/>
        <w:bottom w:val="none" w:sz="0" w:space="0" w:color="auto"/>
        <w:right w:val="none" w:sz="0" w:space="0" w:color="auto"/>
      </w:divBdr>
    </w:div>
    <w:div w:id="1402367254">
      <w:bodyDiv w:val="1"/>
      <w:marLeft w:val="0"/>
      <w:marRight w:val="0"/>
      <w:marTop w:val="0"/>
      <w:marBottom w:val="0"/>
      <w:divBdr>
        <w:top w:val="none" w:sz="0" w:space="0" w:color="auto"/>
        <w:left w:val="none" w:sz="0" w:space="0" w:color="auto"/>
        <w:bottom w:val="none" w:sz="0" w:space="0" w:color="auto"/>
        <w:right w:val="none" w:sz="0" w:space="0" w:color="auto"/>
      </w:divBdr>
    </w:div>
    <w:div w:id="1406760048">
      <w:bodyDiv w:val="1"/>
      <w:marLeft w:val="0"/>
      <w:marRight w:val="0"/>
      <w:marTop w:val="0"/>
      <w:marBottom w:val="0"/>
      <w:divBdr>
        <w:top w:val="none" w:sz="0" w:space="0" w:color="auto"/>
        <w:left w:val="none" w:sz="0" w:space="0" w:color="auto"/>
        <w:bottom w:val="none" w:sz="0" w:space="0" w:color="auto"/>
        <w:right w:val="none" w:sz="0" w:space="0" w:color="auto"/>
      </w:divBdr>
    </w:div>
    <w:div w:id="1411778870">
      <w:bodyDiv w:val="1"/>
      <w:marLeft w:val="0"/>
      <w:marRight w:val="0"/>
      <w:marTop w:val="0"/>
      <w:marBottom w:val="0"/>
      <w:divBdr>
        <w:top w:val="none" w:sz="0" w:space="0" w:color="auto"/>
        <w:left w:val="none" w:sz="0" w:space="0" w:color="auto"/>
        <w:bottom w:val="none" w:sz="0" w:space="0" w:color="auto"/>
        <w:right w:val="none" w:sz="0" w:space="0" w:color="auto"/>
      </w:divBdr>
    </w:div>
    <w:div w:id="1420441874">
      <w:bodyDiv w:val="1"/>
      <w:marLeft w:val="0"/>
      <w:marRight w:val="0"/>
      <w:marTop w:val="0"/>
      <w:marBottom w:val="0"/>
      <w:divBdr>
        <w:top w:val="none" w:sz="0" w:space="0" w:color="auto"/>
        <w:left w:val="none" w:sz="0" w:space="0" w:color="auto"/>
        <w:bottom w:val="none" w:sz="0" w:space="0" w:color="auto"/>
        <w:right w:val="none" w:sz="0" w:space="0" w:color="auto"/>
      </w:divBdr>
    </w:div>
    <w:div w:id="1433478428">
      <w:bodyDiv w:val="1"/>
      <w:marLeft w:val="0"/>
      <w:marRight w:val="0"/>
      <w:marTop w:val="0"/>
      <w:marBottom w:val="0"/>
      <w:divBdr>
        <w:top w:val="none" w:sz="0" w:space="0" w:color="auto"/>
        <w:left w:val="none" w:sz="0" w:space="0" w:color="auto"/>
        <w:bottom w:val="none" w:sz="0" w:space="0" w:color="auto"/>
        <w:right w:val="none" w:sz="0" w:space="0" w:color="auto"/>
      </w:divBdr>
    </w:div>
    <w:div w:id="1436680494">
      <w:bodyDiv w:val="1"/>
      <w:marLeft w:val="0"/>
      <w:marRight w:val="0"/>
      <w:marTop w:val="0"/>
      <w:marBottom w:val="0"/>
      <w:divBdr>
        <w:top w:val="none" w:sz="0" w:space="0" w:color="auto"/>
        <w:left w:val="none" w:sz="0" w:space="0" w:color="auto"/>
        <w:bottom w:val="none" w:sz="0" w:space="0" w:color="auto"/>
        <w:right w:val="none" w:sz="0" w:space="0" w:color="auto"/>
      </w:divBdr>
    </w:div>
    <w:div w:id="1438984073">
      <w:bodyDiv w:val="1"/>
      <w:marLeft w:val="0"/>
      <w:marRight w:val="0"/>
      <w:marTop w:val="0"/>
      <w:marBottom w:val="0"/>
      <w:divBdr>
        <w:top w:val="none" w:sz="0" w:space="0" w:color="auto"/>
        <w:left w:val="none" w:sz="0" w:space="0" w:color="auto"/>
        <w:bottom w:val="none" w:sz="0" w:space="0" w:color="auto"/>
        <w:right w:val="none" w:sz="0" w:space="0" w:color="auto"/>
      </w:divBdr>
    </w:div>
    <w:div w:id="1446995807">
      <w:bodyDiv w:val="1"/>
      <w:marLeft w:val="0"/>
      <w:marRight w:val="0"/>
      <w:marTop w:val="0"/>
      <w:marBottom w:val="0"/>
      <w:divBdr>
        <w:top w:val="none" w:sz="0" w:space="0" w:color="auto"/>
        <w:left w:val="none" w:sz="0" w:space="0" w:color="auto"/>
        <w:bottom w:val="none" w:sz="0" w:space="0" w:color="auto"/>
        <w:right w:val="none" w:sz="0" w:space="0" w:color="auto"/>
      </w:divBdr>
    </w:div>
    <w:div w:id="1448355261">
      <w:bodyDiv w:val="1"/>
      <w:marLeft w:val="0"/>
      <w:marRight w:val="0"/>
      <w:marTop w:val="0"/>
      <w:marBottom w:val="0"/>
      <w:divBdr>
        <w:top w:val="none" w:sz="0" w:space="0" w:color="auto"/>
        <w:left w:val="none" w:sz="0" w:space="0" w:color="auto"/>
        <w:bottom w:val="none" w:sz="0" w:space="0" w:color="auto"/>
        <w:right w:val="none" w:sz="0" w:space="0" w:color="auto"/>
      </w:divBdr>
    </w:div>
    <w:div w:id="1449742902">
      <w:bodyDiv w:val="1"/>
      <w:marLeft w:val="0"/>
      <w:marRight w:val="0"/>
      <w:marTop w:val="0"/>
      <w:marBottom w:val="0"/>
      <w:divBdr>
        <w:top w:val="none" w:sz="0" w:space="0" w:color="auto"/>
        <w:left w:val="none" w:sz="0" w:space="0" w:color="auto"/>
        <w:bottom w:val="none" w:sz="0" w:space="0" w:color="auto"/>
        <w:right w:val="none" w:sz="0" w:space="0" w:color="auto"/>
      </w:divBdr>
    </w:div>
    <w:div w:id="1453865043">
      <w:bodyDiv w:val="1"/>
      <w:marLeft w:val="0"/>
      <w:marRight w:val="0"/>
      <w:marTop w:val="0"/>
      <w:marBottom w:val="0"/>
      <w:divBdr>
        <w:top w:val="none" w:sz="0" w:space="0" w:color="auto"/>
        <w:left w:val="none" w:sz="0" w:space="0" w:color="auto"/>
        <w:bottom w:val="none" w:sz="0" w:space="0" w:color="auto"/>
        <w:right w:val="none" w:sz="0" w:space="0" w:color="auto"/>
      </w:divBdr>
    </w:div>
    <w:div w:id="1463307564">
      <w:bodyDiv w:val="1"/>
      <w:marLeft w:val="0"/>
      <w:marRight w:val="0"/>
      <w:marTop w:val="0"/>
      <w:marBottom w:val="0"/>
      <w:divBdr>
        <w:top w:val="none" w:sz="0" w:space="0" w:color="auto"/>
        <w:left w:val="none" w:sz="0" w:space="0" w:color="auto"/>
        <w:bottom w:val="none" w:sz="0" w:space="0" w:color="auto"/>
        <w:right w:val="none" w:sz="0" w:space="0" w:color="auto"/>
      </w:divBdr>
    </w:div>
    <w:div w:id="1469586424">
      <w:bodyDiv w:val="1"/>
      <w:marLeft w:val="0"/>
      <w:marRight w:val="0"/>
      <w:marTop w:val="0"/>
      <w:marBottom w:val="0"/>
      <w:divBdr>
        <w:top w:val="none" w:sz="0" w:space="0" w:color="auto"/>
        <w:left w:val="none" w:sz="0" w:space="0" w:color="auto"/>
        <w:bottom w:val="none" w:sz="0" w:space="0" w:color="auto"/>
        <w:right w:val="none" w:sz="0" w:space="0" w:color="auto"/>
      </w:divBdr>
    </w:div>
    <w:div w:id="1522740809">
      <w:bodyDiv w:val="1"/>
      <w:marLeft w:val="0"/>
      <w:marRight w:val="0"/>
      <w:marTop w:val="0"/>
      <w:marBottom w:val="0"/>
      <w:divBdr>
        <w:top w:val="none" w:sz="0" w:space="0" w:color="auto"/>
        <w:left w:val="none" w:sz="0" w:space="0" w:color="auto"/>
        <w:bottom w:val="none" w:sz="0" w:space="0" w:color="auto"/>
        <w:right w:val="none" w:sz="0" w:space="0" w:color="auto"/>
      </w:divBdr>
    </w:div>
    <w:div w:id="1529223841">
      <w:bodyDiv w:val="1"/>
      <w:marLeft w:val="0"/>
      <w:marRight w:val="0"/>
      <w:marTop w:val="0"/>
      <w:marBottom w:val="0"/>
      <w:divBdr>
        <w:top w:val="none" w:sz="0" w:space="0" w:color="auto"/>
        <w:left w:val="none" w:sz="0" w:space="0" w:color="auto"/>
        <w:bottom w:val="none" w:sz="0" w:space="0" w:color="auto"/>
        <w:right w:val="none" w:sz="0" w:space="0" w:color="auto"/>
      </w:divBdr>
    </w:div>
    <w:div w:id="1539120952">
      <w:bodyDiv w:val="1"/>
      <w:marLeft w:val="0"/>
      <w:marRight w:val="0"/>
      <w:marTop w:val="0"/>
      <w:marBottom w:val="0"/>
      <w:divBdr>
        <w:top w:val="none" w:sz="0" w:space="0" w:color="auto"/>
        <w:left w:val="none" w:sz="0" w:space="0" w:color="auto"/>
        <w:bottom w:val="none" w:sz="0" w:space="0" w:color="auto"/>
        <w:right w:val="none" w:sz="0" w:space="0" w:color="auto"/>
      </w:divBdr>
    </w:div>
    <w:div w:id="1542983429">
      <w:bodyDiv w:val="1"/>
      <w:marLeft w:val="0"/>
      <w:marRight w:val="0"/>
      <w:marTop w:val="0"/>
      <w:marBottom w:val="0"/>
      <w:divBdr>
        <w:top w:val="none" w:sz="0" w:space="0" w:color="auto"/>
        <w:left w:val="none" w:sz="0" w:space="0" w:color="auto"/>
        <w:bottom w:val="none" w:sz="0" w:space="0" w:color="auto"/>
        <w:right w:val="none" w:sz="0" w:space="0" w:color="auto"/>
      </w:divBdr>
    </w:div>
    <w:div w:id="1558779147">
      <w:bodyDiv w:val="1"/>
      <w:marLeft w:val="0"/>
      <w:marRight w:val="0"/>
      <w:marTop w:val="0"/>
      <w:marBottom w:val="0"/>
      <w:divBdr>
        <w:top w:val="none" w:sz="0" w:space="0" w:color="auto"/>
        <w:left w:val="none" w:sz="0" w:space="0" w:color="auto"/>
        <w:bottom w:val="none" w:sz="0" w:space="0" w:color="auto"/>
        <w:right w:val="none" w:sz="0" w:space="0" w:color="auto"/>
      </w:divBdr>
    </w:div>
    <w:div w:id="1572110259">
      <w:bodyDiv w:val="1"/>
      <w:marLeft w:val="0"/>
      <w:marRight w:val="0"/>
      <w:marTop w:val="0"/>
      <w:marBottom w:val="0"/>
      <w:divBdr>
        <w:top w:val="none" w:sz="0" w:space="0" w:color="auto"/>
        <w:left w:val="none" w:sz="0" w:space="0" w:color="auto"/>
        <w:bottom w:val="none" w:sz="0" w:space="0" w:color="auto"/>
        <w:right w:val="none" w:sz="0" w:space="0" w:color="auto"/>
      </w:divBdr>
    </w:div>
    <w:div w:id="1590624353">
      <w:bodyDiv w:val="1"/>
      <w:marLeft w:val="0"/>
      <w:marRight w:val="0"/>
      <w:marTop w:val="0"/>
      <w:marBottom w:val="0"/>
      <w:divBdr>
        <w:top w:val="none" w:sz="0" w:space="0" w:color="auto"/>
        <w:left w:val="none" w:sz="0" w:space="0" w:color="auto"/>
        <w:bottom w:val="none" w:sz="0" w:space="0" w:color="auto"/>
        <w:right w:val="none" w:sz="0" w:space="0" w:color="auto"/>
      </w:divBdr>
    </w:div>
    <w:div w:id="1596087102">
      <w:bodyDiv w:val="1"/>
      <w:marLeft w:val="0"/>
      <w:marRight w:val="0"/>
      <w:marTop w:val="0"/>
      <w:marBottom w:val="0"/>
      <w:divBdr>
        <w:top w:val="none" w:sz="0" w:space="0" w:color="auto"/>
        <w:left w:val="none" w:sz="0" w:space="0" w:color="auto"/>
        <w:bottom w:val="none" w:sz="0" w:space="0" w:color="auto"/>
        <w:right w:val="none" w:sz="0" w:space="0" w:color="auto"/>
      </w:divBdr>
    </w:div>
    <w:div w:id="1606306867">
      <w:bodyDiv w:val="1"/>
      <w:marLeft w:val="0"/>
      <w:marRight w:val="0"/>
      <w:marTop w:val="0"/>
      <w:marBottom w:val="0"/>
      <w:divBdr>
        <w:top w:val="none" w:sz="0" w:space="0" w:color="auto"/>
        <w:left w:val="none" w:sz="0" w:space="0" w:color="auto"/>
        <w:bottom w:val="none" w:sz="0" w:space="0" w:color="auto"/>
        <w:right w:val="none" w:sz="0" w:space="0" w:color="auto"/>
      </w:divBdr>
    </w:div>
    <w:div w:id="1621691197">
      <w:bodyDiv w:val="1"/>
      <w:marLeft w:val="0"/>
      <w:marRight w:val="0"/>
      <w:marTop w:val="0"/>
      <w:marBottom w:val="0"/>
      <w:divBdr>
        <w:top w:val="none" w:sz="0" w:space="0" w:color="auto"/>
        <w:left w:val="none" w:sz="0" w:space="0" w:color="auto"/>
        <w:bottom w:val="none" w:sz="0" w:space="0" w:color="auto"/>
        <w:right w:val="none" w:sz="0" w:space="0" w:color="auto"/>
      </w:divBdr>
    </w:div>
    <w:div w:id="1656181121">
      <w:bodyDiv w:val="1"/>
      <w:marLeft w:val="0"/>
      <w:marRight w:val="0"/>
      <w:marTop w:val="0"/>
      <w:marBottom w:val="0"/>
      <w:divBdr>
        <w:top w:val="none" w:sz="0" w:space="0" w:color="auto"/>
        <w:left w:val="none" w:sz="0" w:space="0" w:color="auto"/>
        <w:bottom w:val="none" w:sz="0" w:space="0" w:color="auto"/>
        <w:right w:val="none" w:sz="0" w:space="0" w:color="auto"/>
      </w:divBdr>
    </w:div>
    <w:div w:id="1702901018">
      <w:bodyDiv w:val="1"/>
      <w:marLeft w:val="0"/>
      <w:marRight w:val="0"/>
      <w:marTop w:val="0"/>
      <w:marBottom w:val="0"/>
      <w:divBdr>
        <w:top w:val="none" w:sz="0" w:space="0" w:color="auto"/>
        <w:left w:val="none" w:sz="0" w:space="0" w:color="auto"/>
        <w:bottom w:val="none" w:sz="0" w:space="0" w:color="auto"/>
        <w:right w:val="none" w:sz="0" w:space="0" w:color="auto"/>
      </w:divBdr>
    </w:div>
    <w:div w:id="1765223314">
      <w:bodyDiv w:val="1"/>
      <w:marLeft w:val="0"/>
      <w:marRight w:val="0"/>
      <w:marTop w:val="0"/>
      <w:marBottom w:val="0"/>
      <w:divBdr>
        <w:top w:val="none" w:sz="0" w:space="0" w:color="auto"/>
        <w:left w:val="none" w:sz="0" w:space="0" w:color="auto"/>
        <w:bottom w:val="none" w:sz="0" w:space="0" w:color="auto"/>
        <w:right w:val="none" w:sz="0" w:space="0" w:color="auto"/>
      </w:divBdr>
    </w:div>
    <w:div w:id="1787892549">
      <w:bodyDiv w:val="1"/>
      <w:marLeft w:val="0"/>
      <w:marRight w:val="0"/>
      <w:marTop w:val="0"/>
      <w:marBottom w:val="0"/>
      <w:divBdr>
        <w:top w:val="none" w:sz="0" w:space="0" w:color="auto"/>
        <w:left w:val="none" w:sz="0" w:space="0" w:color="auto"/>
        <w:bottom w:val="none" w:sz="0" w:space="0" w:color="auto"/>
        <w:right w:val="none" w:sz="0" w:space="0" w:color="auto"/>
      </w:divBdr>
    </w:div>
    <w:div w:id="1788818186">
      <w:bodyDiv w:val="1"/>
      <w:marLeft w:val="0"/>
      <w:marRight w:val="0"/>
      <w:marTop w:val="0"/>
      <w:marBottom w:val="0"/>
      <w:divBdr>
        <w:top w:val="none" w:sz="0" w:space="0" w:color="auto"/>
        <w:left w:val="none" w:sz="0" w:space="0" w:color="auto"/>
        <w:bottom w:val="none" w:sz="0" w:space="0" w:color="auto"/>
        <w:right w:val="none" w:sz="0" w:space="0" w:color="auto"/>
      </w:divBdr>
    </w:div>
    <w:div w:id="1809319723">
      <w:bodyDiv w:val="1"/>
      <w:marLeft w:val="0"/>
      <w:marRight w:val="0"/>
      <w:marTop w:val="0"/>
      <w:marBottom w:val="0"/>
      <w:divBdr>
        <w:top w:val="none" w:sz="0" w:space="0" w:color="auto"/>
        <w:left w:val="none" w:sz="0" w:space="0" w:color="auto"/>
        <w:bottom w:val="none" w:sz="0" w:space="0" w:color="auto"/>
        <w:right w:val="none" w:sz="0" w:space="0" w:color="auto"/>
      </w:divBdr>
    </w:div>
    <w:div w:id="1812365276">
      <w:bodyDiv w:val="1"/>
      <w:marLeft w:val="0"/>
      <w:marRight w:val="0"/>
      <w:marTop w:val="0"/>
      <w:marBottom w:val="0"/>
      <w:divBdr>
        <w:top w:val="none" w:sz="0" w:space="0" w:color="auto"/>
        <w:left w:val="none" w:sz="0" w:space="0" w:color="auto"/>
        <w:bottom w:val="none" w:sz="0" w:space="0" w:color="auto"/>
        <w:right w:val="none" w:sz="0" w:space="0" w:color="auto"/>
      </w:divBdr>
    </w:div>
    <w:div w:id="1821579227">
      <w:bodyDiv w:val="1"/>
      <w:marLeft w:val="0"/>
      <w:marRight w:val="0"/>
      <w:marTop w:val="0"/>
      <w:marBottom w:val="0"/>
      <w:divBdr>
        <w:top w:val="none" w:sz="0" w:space="0" w:color="auto"/>
        <w:left w:val="none" w:sz="0" w:space="0" w:color="auto"/>
        <w:bottom w:val="none" w:sz="0" w:space="0" w:color="auto"/>
        <w:right w:val="none" w:sz="0" w:space="0" w:color="auto"/>
      </w:divBdr>
    </w:div>
    <w:div w:id="1825900015">
      <w:bodyDiv w:val="1"/>
      <w:marLeft w:val="0"/>
      <w:marRight w:val="0"/>
      <w:marTop w:val="0"/>
      <w:marBottom w:val="0"/>
      <w:divBdr>
        <w:top w:val="none" w:sz="0" w:space="0" w:color="auto"/>
        <w:left w:val="none" w:sz="0" w:space="0" w:color="auto"/>
        <w:bottom w:val="none" w:sz="0" w:space="0" w:color="auto"/>
        <w:right w:val="none" w:sz="0" w:space="0" w:color="auto"/>
      </w:divBdr>
    </w:div>
    <w:div w:id="1839031648">
      <w:bodyDiv w:val="1"/>
      <w:marLeft w:val="0"/>
      <w:marRight w:val="0"/>
      <w:marTop w:val="0"/>
      <w:marBottom w:val="0"/>
      <w:divBdr>
        <w:top w:val="none" w:sz="0" w:space="0" w:color="auto"/>
        <w:left w:val="none" w:sz="0" w:space="0" w:color="auto"/>
        <w:bottom w:val="none" w:sz="0" w:space="0" w:color="auto"/>
        <w:right w:val="none" w:sz="0" w:space="0" w:color="auto"/>
      </w:divBdr>
    </w:div>
    <w:div w:id="1872720001">
      <w:bodyDiv w:val="1"/>
      <w:marLeft w:val="0"/>
      <w:marRight w:val="0"/>
      <w:marTop w:val="0"/>
      <w:marBottom w:val="0"/>
      <w:divBdr>
        <w:top w:val="none" w:sz="0" w:space="0" w:color="auto"/>
        <w:left w:val="none" w:sz="0" w:space="0" w:color="auto"/>
        <w:bottom w:val="none" w:sz="0" w:space="0" w:color="auto"/>
        <w:right w:val="none" w:sz="0" w:space="0" w:color="auto"/>
      </w:divBdr>
    </w:div>
    <w:div w:id="1897084583">
      <w:bodyDiv w:val="1"/>
      <w:marLeft w:val="0"/>
      <w:marRight w:val="0"/>
      <w:marTop w:val="0"/>
      <w:marBottom w:val="0"/>
      <w:divBdr>
        <w:top w:val="none" w:sz="0" w:space="0" w:color="auto"/>
        <w:left w:val="none" w:sz="0" w:space="0" w:color="auto"/>
        <w:bottom w:val="none" w:sz="0" w:space="0" w:color="auto"/>
        <w:right w:val="none" w:sz="0" w:space="0" w:color="auto"/>
      </w:divBdr>
    </w:div>
    <w:div w:id="1898079928">
      <w:bodyDiv w:val="1"/>
      <w:marLeft w:val="0"/>
      <w:marRight w:val="0"/>
      <w:marTop w:val="0"/>
      <w:marBottom w:val="0"/>
      <w:divBdr>
        <w:top w:val="none" w:sz="0" w:space="0" w:color="auto"/>
        <w:left w:val="none" w:sz="0" w:space="0" w:color="auto"/>
        <w:bottom w:val="none" w:sz="0" w:space="0" w:color="auto"/>
        <w:right w:val="none" w:sz="0" w:space="0" w:color="auto"/>
      </w:divBdr>
    </w:div>
    <w:div w:id="1933732201">
      <w:bodyDiv w:val="1"/>
      <w:marLeft w:val="0"/>
      <w:marRight w:val="0"/>
      <w:marTop w:val="0"/>
      <w:marBottom w:val="0"/>
      <w:divBdr>
        <w:top w:val="none" w:sz="0" w:space="0" w:color="auto"/>
        <w:left w:val="none" w:sz="0" w:space="0" w:color="auto"/>
        <w:bottom w:val="none" w:sz="0" w:space="0" w:color="auto"/>
        <w:right w:val="none" w:sz="0" w:space="0" w:color="auto"/>
      </w:divBdr>
      <w:divsChild>
        <w:div w:id="699820037">
          <w:marLeft w:val="0"/>
          <w:marRight w:val="0"/>
          <w:marTop w:val="0"/>
          <w:marBottom w:val="0"/>
          <w:divBdr>
            <w:top w:val="none" w:sz="0" w:space="0" w:color="auto"/>
            <w:left w:val="none" w:sz="0" w:space="0" w:color="auto"/>
            <w:bottom w:val="none" w:sz="0" w:space="0" w:color="auto"/>
            <w:right w:val="none" w:sz="0" w:space="0" w:color="auto"/>
          </w:divBdr>
        </w:div>
        <w:div w:id="1067604905">
          <w:marLeft w:val="0"/>
          <w:marRight w:val="0"/>
          <w:marTop w:val="0"/>
          <w:marBottom w:val="0"/>
          <w:divBdr>
            <w:top w:val="none" w:sz="0" w:space="0" w:color="auto"/>
            <w:left w:val="none" w:sz="0" w:space="0" w:color="auto"/>
            <w:bottom w:val="none" w:sz="0" w:space="0" w:color="auto"/>
            <w:right w:val="none" w:sz="0" w:space="0" w:color="auto"/>
          </w:divBdr>
        </w:div>
      </w:divsChild>
    </w:div>
    <w:div w:id="1956867783">
      <w:bodyDiv w:val="1"/>
      <w:marLeft w:val="0"/>
      <w:marRight w:val="0"/>
      <w:marTop w:val="0"/>
      <w:marBottom w:val="0"/>
      <w:divBdr>
        <w:top w:val="none" w:sz="0" w:space="0" w:color="auto"/>
        <w:left w:val="none" w:sz="0" w:space="0" w:color="auto"/>
        <w:bottom w:val="none" w:sz="0" w:space="0" w:color="auto"/>
        <w:right w:val="none" w:sz="0" w:space="0" w:color="auto"/>
      </w:divBdr>
    </w:div>
    <w:div w:id="1966886888">
      <w:bodyDiv w:val="1"/>
      <w:marLeft w:val="0"/>
      <w:marRight w:val="0"/>
      <w:marTop w:val="0"/>
      <w:marBottom w:val="0"/>
      <w:divBdr>
        <w:top w:val="none" w:sz="0" w:space="0" w:color="auto"/>
        <w:left w:val="none" w:sz="0" w:space="0" w:color="auto"/>
        <w:bottom w:val="none" w:sz="0" w:space="0" w:color="auto"/>
        <w:right w:val="none" w:sz="0" w:space="0" w:color="auto"/>
      </w:divBdr>
    </w:div>
    <w:div w:id="2004622411">
      <w:bodyDiv w:val="1"/>
      <w:marLeft w:val="0"/>
      <w:marRight w:val="0"/>
      <w:marTop w:val="0"/>
      <w:marBottom w:val="0"/>
      <w:divBdr>
        <w:top w:val="none" w:sz="0" w:space="0" w:color="auto"/>
        <w:left w:val="none" w:sz="0" w:space="0" w:color="auto"/>
        <w:bottom w:val="none" w:sz="0" w:space="0" w:color="auto"/>
        <w:right w:val="none" w:sz="0" w:space="0" w:color="auto"/>
      </w:divBdr>
    </w:div>
    <w:div w:id="2010130949">
      <w:bodyDiv w:val="1"/>
      <w:marLeft w:val="0"/>
      <w:marRight w:val="0"/>
      <w:marTop w:val="0"/>
      <w:marBottom w:val="0"/>
      <w:divBdr>
        <w:top w:val="none" w:sz="0" w:space="0" w:color="auto"/>
        <w:left w:val="none" w:sz="0" w:space="0" w:color="auto"/>
        <w:bottom w:val="none" w:sz="0" w:space="0" w:color="auto"/>
        <w:right w:val="none" w:sz="0" w:space="0" w:color="auto"/>
      </w:divBdr>
    </w:div>
    <w:div w:id="2068530871">
      <w:bodyDiv w:val="1"/>
      <w:marLeft w:val="0"/>
      <w:marRight w:val="0"/>
      <w:marTop w:val="0"/>
      <w:marBottom w:val="0"/>
      <w:divBdr>
        <w:top w:val="none" w:sz="0" w:space="0" w:color="auto"/>
        <w:left w:val="none" w:sz="0" w:space="0" w:color="auto"/>
        <w:bottom w:val="none" w:sz="0" w:space="0" w:color="auto"/>
        <w:right w:val="none" w:sz="0" w:space="0" w:color="auto"/>
      </w:divBdr>
    </w:div>
    <w:div w:id="2087068838">
      <w:bodyDiv w:val="1"/>
      <w:marLeft w:val="0"/>
      <w:marRight w:val="0"/>
      <w:marTop w:val="0"/>
      <w:marBottom w:val="0"/>
      <w:divBdr>
        <w:top w:val="none" w:sz="0" w:space="0" w:color="auto"/>
        <w:left w:val="none" w:sz="0" w:space="0" w:color="auto"/>
        <w:bottom w:val="none" w:sz="0" w:space="0" w:color="auto"/>
        <w:right w:val="none" w:sz="0" w:space="0" w:color="auto"/>
      </w:divBdr>
    </w:div>
    <w:div w:id="2104757405">
      <w:bodyDiv w:val="1"/>
      <w:marLeft w:val="0"/>
      <w:marRight w:val="0"/>
      <w:marTop w:val="0"/>
      <w:marBottom w:val="0"/>
      <w:divBdr>
        <w:top w:val="none" w:sz="0" w:space="0" w:color="auto"/>
        <w:left w:val="none" w:sz="0" w:space="0" w:color="auto"/>
        <w:bottom w:val="none" w:sz="0" w:space="0" w:color="auto"/>
        <w:right w:val="none" w:sz="0" w:space="0" w:color="auto"/>
      </w:divBdr>
    </w:div>
    <w:div w:id="2131237513">
      <w:bodyDiv w:val="1"/>
      <w:marLeft w:val="0"/>
      <w:marRight w:val="0"/>
      <w:marTop w:val="0"/>
      <w:marBottom w:val="0"/>
      <w:divBdr>
        <w:top w:val="none" w:sz="0" w:space="0" w:color="auto"/>
        <w:left w:val="none" w:sz="0" w:space="0" w:color="auto"/>
        <w:bottom w:val="none" w:sz="0" w:space="0" w:color="auto"/>
        <w:right w:val="none" w:sz="0" w:space="0" w:color="auto"/>
      </w:divBdr>
    </w:div>
    <w:div w:id="214226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sac.gov.au/applications/1728" TargetMode="External"/><Relationship Id="rId18" Type="http://schemas.openxmlformats.org/officeDocument/2006/relationships/hyperlink" Target="https://clinicaltrials.gov/study/NCT03569891" TargetMode="External"/><Relationship Id="rId26" Type="http://schemas.openxmlformats.org/officeDocument/2006/relationships/hyperlink" Target="https://www.reuters.com/business/healthcare-pharmaceuticals/pfizer-says-it-will-end-global-development-gene-therapy-beqvez-nikkei-reports-2025-02-20/" TargetMode="External"/><Relationship Id="rId39" Type="http://schemas.openxmlformats.org/officeDocument/2006/relationships/theme" Target="theme/theme1.xml"/><Relationship Id="rId21" Type="http://schemas.openxmlformats.org/officeDocument/2006/relationships/image" Target="media/image1.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sac.gov.au/applications/1728" TargetMode="External"/><Relationship Id="rId17" Type="http://schemas.openxmlformats.org/officeDocument/2006/relationships/hyperlink" Target="https://clinicaltrials.gov/study/NCT05962398" TargetMode="External"/><Relationship Id="rId25" Type="http://schemas.openxmlformats.org/officeDocument/2006/relationships/hyperlink" Target="https://clinicaltrials.gov/study/NCT0386127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delletechnology.com/denmarks-pioneering-outcomes-based-agreement-for-hemgenix-gene-therapy/" TargetMode="External"/><Relationship Id="rId20" Type="http://schemas.openxmlformats.org/officeDocument/2006/relationships/hyperlink" Target="https://clinicaltrials.gov/study/NCT02396342" TargetMode="External"/><Relationship Id="rId29" Type="http://schemas.openxmlformats.org/officeDocument/2006/relationships/hyperlink" Target="https://www.msac.gov.au/applications/17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ac.gov.au/" TargetMode="External"/><Relationship Id="rId24" Type="http://schemas.openxmlformats.org/officeDocument/2006/relationships/image" Target="media/image4.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tga.gov.au/resources/artg/405360" TargetMode="External"/><Relationship Id="rId23" Type="http://schemas.openxmlformats.org/officeDocument/2006/relationships/image" Target="media/image3.png"/><Relationship Id="rId28" Type="http://schemas.openxmlformats.org/officeDocument/2006/relationships/hyperlink" Target="https://clinicaltrials.gov/study/NCT05164471"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clinicaltrials.gov/study/NCT03489291" TargetMode="External"/><Relationship Id="rId31" Type="http://schemas.openxmlformats.org/officeDocument/2006/relationships/hyperlink" Target="http://msac.gov.au/internet/msac/publishing.nsf/Content/Home-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sac.gov.au/sites/default/files/2024-10/1728_final_psd_-_aug2024_-_redacted.pdf" TargetMode="External"/><Relationship Id="rId22" Type="http://schemas.openxmlformats.org/officeDocument/2006/relationships/image" Target="media/image2.png"/><Relationship Id="rId27" Type="http://schemas.openxmlformats.org/officeDocument/2006/relationships/hyperlink" Target="https://clinicaltrials.gov/study/NCT03369444" TargetMode="External"/><Relationship Id="rId30" Type="http://schemas.openxmlformats.org/officeDocument/2006/relationships/hyperlink" Target="https://www.msac.gov.au/applications/1623"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science.org/doi/10.1126/science.1142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37BE997BE34FBB7D5057D341D123" ma:contentTypeVersion="13" ma:contentTypeDescription="Create a new document." ma:contentTypeScope="" ma:versionID="327dcde2df62536727717cc8d6317f6f">
  <xsd:schema xmlns:xsd="http://www.w3.org/2001/XMLSchema" xmlns:xs="http://www.w3.org/2001/XMLSchema" xmlns:p="http://schemas.microsoft.com/office/2006/metadata/properties" xmlns:ns2="7513b557-581c-46d3-8cc7-77c65017dc6f" xmlns:ns3="e7d54a9e-4aca-451b-99db-b94fe438e987" targetNamespace="http://schemas.microsoft.com/office/2006/metadata/properties" ma:root="true" ma:fieldsID="60b73f69b1de7beb2094acf8eaa190c0" ns2:_="" ns3:_="">
    <xsd:import namespace="7513b557-581c-46d3-8cc7-77c65017dc6f"/>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b557-581c-46d3-8cc7-77c65017d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7d54a9e-4aca-451b-99db-b94fe438e987">
      <UserInfo>
        <DisplayName/>
        <AccountId xsi:nil="true"/>
        <AccountType/>
      </UserInfo>
    </SharedWithUsers>
    <lcf76f155ced4ddcb4097134ff3c332f xmlns="7513b557-581c-46d3-8cc7-77c65017dc6f">
      <Terms xmlns="http://schemas.microsoft.com/office/infopath/2007/PartnerControls"/>
    </lcf76f155ced4ddcb4097134ff3c332f>
    <TaxCatchAll xmlns="e7d54a9e-4aca-451b-99db-b94fe438e987" xsi:nil="true"/>
  </documentManagement>
</p:properties>
</file>

<file path=customXml/itemProps1.xml><?xml version="1.0" encoding="utf-8"?>
<ds:datastoreItem xmlns:ds="http://schemas.openxmlformats.org/officeDocument/2006/customXml" ds:itemID="{604EEA3A-9422-405A-AB0E-36A02C0BA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3b557-581c-46d3-8cc7-77c65017dc6f"/>
    <ds:schemaRef ds:uri="e7d54a9e-4aca-451b-99db-b94fe43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E7703-A24C-4C87-98C7-16C364BB0774}">
  <ds:schemaRefs>
    <ds:schemaRef ds:uri="http://schemas.openxmlformats.org/officeDocument/2006/bibliography"/>
  </ds:schemaRefs>
</ds:datastoreItem>
</file>

<file path=customXml/itemProps3.xml><?xml version="1.0" encoding="utf-8"?>
<ds:datastoreItem xmlns:ds="http://schemas.openxmlformats.org/officeDocument/2006/customXml" ds:itemID="{CAC7137E-37F0-47CD-A8CC-35E4836EB737}">
  <ds:schemaRefs>
    <ds:schemaRef ds:uri="http://schemas.microsoft.com/sharepoint/v3/contenttype/forms"/>
  </ds:schemaRefs>
</ds:datastoreItem>
</file>

<file path=customXml/itemProps4.xml><?xml version="1.0" encoding="utf-8"?>
<ds:datastoreItem xmlns:ds="http://schemas.openxmlformats.org/officeDocument/2006/customXml" ds:itemID="{68E38A00-109B-4D64-8974-EB811C16F85B}">
  <ds:schemaRefs>
    <ds:schemaRef ds:uri="7513b557-581c-46d3-8cc7-77c65017dc6f"/>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e7d54a9e-4aca-451b-99db-b94fe438e987"/>
    <ds:schemaRef ds:uri="http://www.w3.org/XML/1998/namespace"/>
  </ds:schemaRefs>
</ds:datastoreItem>
</file>

<file path=docMetadata/LabelInfo.xml><?xml version="1.0" encoding="utf-8"?>
<clbl:labelList xmlns:clbl="http://schemas.microsoft.com/office/2020/mipLabelMetadata">
  <clbl:label id="{6dba777c-7033-4ab8-8a93-46304e7ee1b4}" enabled="0" method="" siteId="{6dba777c-7033-4ab8-8a93-46304e7ee1b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22069</Words>
  <Characters>122462</Characters>
  <Application>Microsoft Office Word</Application>
  <DocSecurity>0</DocSecurity>
  <Lines>2678</Lines>
  <Paragraphs>1178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143727</CharactersWithSpaces>
  <SharedDoc>false</SharedDoc>
  <HyperlinkBase/>
  <HLinks>
    <vt:vector size="108" baseType="variant">
      <vt:variant>
        <vt:i4>6684716</vt:i4>
      </vt:variant>
      <vt:variant>
        <vt:i4>201</vt:i4>
      </vt:variant>
      <vt:variant>
        <vt:i4>0</vt:i4>
      </vt:variant>
      <vt:variant>
        <vt:i4>5</vt:i4>
      </vt:variant>
      <vt:variant>
        <vt:lpwstr>http://msac.gov.au/internet/msac/publishing.nsf/Content/Home-1</vt:lpwstr>
      </vt:variant>
      <vt:variant>
        <vt:lpwstr/>
      </vt:variant>
      <vt:variant>
        <vt:i4>1245265</vt:i4>
      </vt:variant>
      <vt:variant>
        <vt:i4>198</vt:i4>
      </vt:variant>
      <vt:variant>
        <vt:i4>0</vt:i4>
      </vt:variant>
      <vt:variant>
        <vt:i4>5</vt:i4>
      </vt:variant>
      <vt:variant>
        <vt:lpwstr>https://www.msac.gov.au/applications/1623</vt:lpwstr>
      </vt:variant>
      <vt:variant>
        <vt:lpwstr/>
      </vt:variant>
      <vt:variant>
        <vt:i4>1245264</vt:i4>
      </vt:variant>
      <vt:variant>
        <vt:i4>195</vt:i4>
      </vt:variant>
      <vt:variant>
        <vt:i4>0</vt:i4>
      </vt:variant>
      <vt:variant>
        <vt:i4>5</vt:i4>
      </vt:variant>
      <vt:variant>
        <vt:lpwstr>https://www.msac.gov.au/applications/1728</vt:lpwstr>
      </vt:variant>
      <vt:variant>
        <vt:lpwstr/>
      </vt:variant>
      <vt:variant>
        <vt:i4>917507</vt:i4>
      </vt:variant>
      <vt:variant>
        <vt:i4>192</vt:i4>
      </vt:variant>
      <vt:variant>
        <vt:i4>0</vt:i4>
      </vt:variant>
      <vt:variant>
        <vt:i4>5</vt:i4>
      </vt:variant>
      <vt:variant>
        <vt:lpwstr>https://clinicaltrials.gov/study/NCT05164471</vt:lpwstr>
      </vt:variant>
      <vt:variant>
        <vt:lpwstr/>
      </vt:variant>
      <vt:variant>
        <vt:i4>851983</vt:i4>
      </vt:variant>
      <vt:variant>
        <vt:i4>189</vt:i4>
      </vt:variant>
      <vt:variant>
        <vt:i4>0</vt:i4>
      </vt:variant>
      <vt:variant>
        <vt:i4>5</vt:i4>
      </vt:variant>
      <vt:variant>
        <vt:lpwstr>https://clinicaltrials.gov/study/NCT03369444</vt:lpwstr>
      </vt:variant>
      <vt:variant>
        <vt:lpwstr/>
      </vt:variant>
      <vt:variant>
        <vt:i4>5046297</vt:i4>
      </vt:variant>
      <vt:variant>
        <vt:i4>186</vt:i4>
      </vt:variant>
      <vt:variant>
        <vt:i4>0</vt:i4>
      </vt:variant>
      <vt:variant>
        <vt:i4>5</vt:i4>
      </vt:variant>
      <vt:variant>
        <vt:lpwstr>https://www.reuters.com/business/healthcare-pharmaceuticals/pfizer-says-it-will-end-global-development-gene-therapy-beqvez-nikkei-reports-2025-02-20/</vt:lpwstr>
      </vt:variant>
      <vt:variant>
        <vt:lpwstr/>
      </vt:variant>
      <vt:variant>
        <vt:i4>786447</vt:i4>
      </vt:variant>
      <vt:variant>
        <vt:i4>183</vt:i4>
      </vt:variant>
      <vt:variant>
        <vt:i4>0</vt:i4>
      </vt:variant>
      <vt:variant>
        <vt:i4>5</vt:i4>
      </vt:variant>
      <vt:variant>
        <vt:lpwstr>https://clinicaltrials.gov/study/NCT03861273</vt:lpwstr>
      </vt:variant>
      <vt:variant>
        <vt:lpwstr/>
      </vt:variant>
      <vt:variant>
        <vt:i4>131072</vt:i4>
      </vt:variant>
      <vt:variant>
        <vt:i4>51</vt:i4>
      </vt:variant>
      <vt:variant>
        <vt:i4>0</vt:i4>
      </vt:variant>
      <vt:variant>
        <vt:i4>5</vt:i4>
      </vt:variant>
      <vt:variant>
        <vt:lpwstr>https://clinicaltrials.gov/study/NCT02396342</vt:lpwstr>
      </vt:variant>
      <vt:variant>
        <vt:lpwstr/>
      </vt:variant>
      <vt:variant>
        <vt:i4>5</vt:i4>
      </vt:variant>
      <vt:variant>
        <vt:i4>48</vt:i4>
      </vt:variant>
      <vt:variant>
        <vt:i4>0</vt:i4>
      </vt:variant>
      <vt:variant>
        <vt:i4>5</vt:i4>
      </vt:variant>
      <vt:variant>
        <vt:lpwstr>https://clinicaltrials.gov/study/NCT03489291</vt:lpwstr>
      </vt:variant>
      <vt:variant>
        <vt:lpwstr/>
      </vt:variant>
      <vt:variant>
        <vt:i4>262148</vt:i4>
      </vt:variant>
      <vt:variant>
        <vt:i4>45</vt:i4>
      </vt:variant>
      <vt:variant>
        <vt:i4>0</vt:i4>
      </vt:variant>
      <vt:variant>
        <vt:i4>5</vt:i4>
      </vt:variant>
      <vt:variant>
        <vt:lpwstr>https://clinicaltrials.gov/study/NCT03569891</vt:lpwstr>
      </vt:variant>
      <vt:variant>
        <vt:lpwstr/>
      </vt:variant>
      <vt:variant>
        <vt:i4>3</vt:i4>
      </vt:variant>
      <vt:variant>
        <vt:i4>39</vt:i4>
      </vt:variant>
      <vt:variant>
        <vt:i4>0</vt:i4>
      </vt:variant>
      <vt:variant>
        <vt:i4>5</vt:i4>
      </vt:variant>
      <vt:variant>
        <vt:lpwstr>https://clinicaltrials.gov/study/NCT05962398</vt:lpwstr>
      </vt:variant>
      <vt:variant>
        <vt:lpwstr/>
      </vt:variant>
      <vt:variant>
        <vt:i4>4784219</vt:i4>
      </vt:variant>
      <vt:variant>
        <vt:i4>33</vt:i4>
      </vt:variant>
      <vt:variant>
        <vt:i4>0</vt:i4>
      </vt:variant>
      <vt:variant>
        <vt:i4>5</vt:i4>
      </vt:variant>
      <vt:variant>
        <vt:lpwstr>https://odelletechnology.com/denmarks-pioneering-outcomes-based-agreement-for-hemgenix-gene-therapy/</vt:lpwstr>
      </vt:variant>
      <vt:variant>
        <vt:lpwstr/>
      </vt:variant>
      <vt:variant>
        <vt:i4>5767194</vt:i4>
      </vt:variant>
      <vt:variant>
        <vt:i4>24</vt:i4>
      </vt:variant>
      <vt:variant>
        <vt:i4>0</vt:i4>
      </vt:variant>
      <vt:variant>
        <vt:i4>5</vt:i4>
      </vt:variant>
      <vt:variant>
        <vt:lpwstr>https://www.tga.gov.au/resources/artg/405360</vt:lpwstr>
      </vt:variant>
      <vt:variant>
        <vt:lpwstr/>
      </vt:variant>
      <vt:variant>
        <vt:i4>8192044</vt:i4>
      </vt:variant>
      <vt:variant>
        <vt:i4>15</vt:i4>
      </vt:variant>
      <vt:variant>
        <vt:i4>0</vt:i4>
      </vt:variant>
      <vt:variant>
        <vt:i4>5</vt:i4>
      </vt:variant>
      <vt:variant>
        <vt:lpwstr>https://www.msac.gov.au/sites/default/files/2024-10/1728_final_psd_-_aug2024_-_redacted.pdf</vt:lpwstr>
      </vt:variant>
      <vt:variant>
        <vt:lpwstr/>
      </vt:variant>
      <vt:variant>
        <vt:i4>1245264</vt:i4>
      </vt:variant>
      <vt:variant>
        <vt:i4>6</vt:i4>
      </vt:variant>
      <vt:variant>
        <vt:i4>0</vt:i4>
      </vt:variant>
      <vt:variant>
        <vt:i4>5</vt:i4>
      </vt:variant>
      <vt:variant>
        <vt:lpwstr>https://www.msac.gov.au/applications/1728</vt:lpwstr>
      </vt:variant>
      <vt:variant>
        <vt:lpwstr/>
      </vt:variant>
      <vt:variant>
        <vt:i4>1245264</vt:i4>
      </vt:variant>
      <vt:variant>
        <vt:i4>3</vt:i4>
      </vt:variant>
      <vt:variant>
        <vt:i4>0</vt:i4>
      </vt:variant>
      <vt:variant>
        <vt:i4>5</vt:i4>
      </vt:variant>
      <vt:variant>
        <vt:lpwstr>https://www.msac.gov.au/applications/1728</vt:lpwstr>
      </vt:variant>
      <vt:variant>
        <vt:lpwstr/>
      </vt:variant>
      <vt:variant>
        <vt:i4>3997744</vt:i4>
      </vt:variant>
      <vt:variant>
        <vt:i4>0</vt:i4>
      </vt:variant>
      <vt:variant>
        <vt:i4>0</vt:i4>
      </vt:variant>
      <vt:variant>
        <vt:i4>5</vt:i4>
      </vt:variant>
      <vt:variant>
        <vt:lpwstr>http://www.msac.gov.au/</vt:lpwstr>
      </vt:variant>
      <vt:variant>
        <vt:lpwstr/>
      </vt:variant>
      <vt:variant>
        <vt:i4>8323182</vt:i4>
      </vt:variant>
      <vt:variant>
        <vt:i4>0</vt:i4>
      </vt:variant>
      <vt:variant>
        <vt:i4>0</vt:i4>
      </vt:variant>
      <vt:variant>
        <vt:i4>5</vt:i4>
      </vt:variant>
      <vt:variant>
        <vt:lpwstr>https://www.science.org/doi/10.1126/science.1142658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2025-11-05T04:05:00Z</dcterms:created>
  <dcterms:modified xsi:type="dcterms:W3CDTF">2025-11-05T04:33:00Z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2b72e043,3c47045d,4b2e73f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3ea4211f,f2f6977,6acb4024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2025-10-31T04:11:21Z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cc288ea4-fc3a-483b-a270-e65adb0ebcd8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rder">
    <vt:r8>52433600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0x0101005E4A37BE997BE34FBB7D5057D341D123</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docLang">
    <vt:lpwstr>en</vt:lpwstr>
  </property>
  <property fmtid="{D5CDD505-2E9C-101B-9397-08002B2CF9AE}" pid="25" name="ReadytoShare">
    <vt:bool>true</vt:bool>
  </property>
  <property fmtid="{D5CDD505-2E9C-101B-9397-08002B2CF9AE}" pid="26" name="xd_Signature">
    <vt:bool>false</vt:bool>
  </property>
</Properties>
</file>