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0A8B" w14:textId="77777777" w:rsidR="006F2267" w:rsidRPr="000A7BB0" w:rsidRDefault="006F2267" w:rsidP="006F2267">
      <w:pPr>
        <w:keepNext/>
        <w:keepLines/>
        <w:spacing w:before="0" w:after="360"/>
        <w:ind w:left="788"/>
        <w:jc w:val="center"/>
        <w:outlineLvl w:val="0"/>
        <w:rPr>
          <w:rFonts w:ascii="Arial" w:hAnsi="Arial" w:cs="Arial"/>
          <w:bCs/>
          <w:color w:val="000080"/>
          <w:sz w:val="36"/>
          <w:szCs w:val="36"/>
        </w:rPr>
      </w:pPr>
      <w:bookmarkStart w:id="0" w:name="_Toc198721982"/>
      <w:r w:rsidRPr="000A7BB0">
        <w:rPr>
          <w:rFonts w:ascii="Arial" w:eastAsiaTheme="majorEastAsia" w:hAnsi="Arial" w:cs="Arial"/>
          <w:b/>
          <w:bCs/>
          <w:color w:val="000080"/>
          <w:sz w:val="36"/>
          <w:szCs w:val="36"/>
        </w:rPr>
        <w:t>Medical Services Advisory Committee (MSAC)</w:t>
      </w:r>
      <w:r w:rsidRPr="000A7BB0">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4F3BA879" w14:textId="02602602" w:rsidR="006611C3" w:rsidRPr="006170AB" w:rsidRDefault="00796730" w:rsidP="006170AB">
      <w:pPr>
        <w:spacing w:after="360"/>
        <w:jc w:val="center"/>
        <w:rPr>
          <w:rFonts w:ascii="Arial" w:eastAsia="Arial" w:hAnsi="Arial" w:cs="Arial"/>
          <w:b/>
          <w:bCs/>
          <w:i/>
          <w:iCs/>
          <w:color w:val="1F3864" w:themeColor="accent5" w:themeShade="80"/>
          <w:sz w:val="28"/>
          <w:szCs w:val="28"/>
        </w:rPr>
      </w:pPr>
      <w:r w:rsidRPr="00E1086A">
        <w:rPr>
          <w:rFonts w:ascii="Arial" w:eastAsia="Arial" w:hAnsi="Arial" w:cs="Arial"/>
          <w:b/>
          <w:bCs/>
          <w:i/>
          <w:iCs/>
          <w:color w:val="000080"/>
          <w:sz w:val="28"/>
          <w:szCs w:val="28"/>
        </w:rPr>
        <w:t xml:space="preserve">Application No. </w:t>
      </w:r>
      <w:r w:rsidRPr="006611C3">
        <w:rPr>
          <w:rFonts w:ascii="Arial" w:eastAsia="Arial" w:hAnsi="Arial" w:cs="Arial"/>
          <w:b/>
          <w:bCs/>
          <w:i/>
          <w:iCs/>
          <w:color w:val="000080"/>
          <w:sz w:val="28"/>
          <w:szCs w:val="28"/>
        </w:rPr>
        <w:t>178</w:t>
      </w:r>
      <w:r w:rsidR="006611C3" w:rsidRPr="006611C3">
        <w:rPr>
          <w:rFonts w:ascii="Arial" w:eastAsia="Arial" w:hAnsi="Arial" w:cs="Arial"/>
          <w:b/>
          <w:bCs/>
          <w:i/>
          <w:iCs/>
          <w:color w:val="000080"/>
          <w:sz w:val="28"/>
          <w:szCs w:val="28"/>
        </w:rPr>
        <w:t>4</w:t>
      </w:r>
      <w:r w:rsidRPr="006611C3">
        <w:rPr>
          <w:rFonts w:ascii="Arial" w:eastAsia="Arial" w:hAnsi="Arial" w:cs="Arial"/>
          <w:b/>
          <w:bCs/>
          <w:i/>
          <w:iCs/>
          <w:color w:val="000080"/>
          <w:sz w:val="28"/>
          <w:szCs w:val="28"/>
        </w:rPr>
        <w:t xml:space="preserve"> </w:t>
      </w:r>
      <w:bookmarkEnd w:id="0"/>
      <w:r w:rsidR="006611C3" w:rsidRPr="006611C3">
        <w:rPr>
          <w:rFonts w:ascii="Arial" w:hAnsi="Arial" w:cs="Arial"/>
          <w:b/>
          <w:i/>
          <w:iCs/>
          <w:color w:val="000080"/>
          <w:sz w:val="28"/>
          <w:szCs w:val="28"/>
        </w:rPr>
        <w:t xml:space="preserve">Detection of amyloid-beta for inclusion and </w:t>
      </w:r>
      <w:r w:rsidR="006611C3" w:rsidRPr="00B10F34">
        <w:rPr>
          <w:rFonts w:ascii="Arial" w:hAnsi="Arial" w:cs="Arial"/>
          <w:b/>
          <w:color w:val="000080"/>
          <w:sz w:val="28"/>
          <w:szCs w:val="28"/>
        </w:rPr>
        <w:t>APOE4</w:t>
      </w:r>
      <w:r w:rsidR="006611C3" w:rsidRPr="006611C3">
        <w:rPr>
          <w:rFonts w:ascii="Arial" w:hAnsi="Arial" w:cs="Arial"/>
          <w:b/>
          <w:i/>
          <w:iCs/>
          <w:color w:val="000080"/>
          <w:sz w:val="28"/>
          <w:szCs w:val="28"/>
        </w:rPr>
        <w:t xml:space="preserve"> homozygosity for exclusion to inform treatment with donanemab</w:t>
      </w:r>
    </w:p>
    <w:p w14:paraId="757CC202" w14:textId="3C9839E2" w:rsidR="00796730" w:rsidRDefault="00796730" w:rsidP="006170AB">
      <w:pPr>
        <w:tabs>
          <w:tab w:val="left" w:pos="3686"/>
        </w:tabs>
        <w:rPr>
          <w:rFonts w:ascii="Arial" w:eastAsia="Arial" w:hAnsi="Arial" w:cs="Arial"/>
          <w:szCs w:val="24"/>
          <w:lang w:val="en-GB"/>
        </w:rPr>
      </w:pPr>
      <w:r w:rsidRPr="27B91B29">
        <w:rPr>
          <w:rFonts w:ascii="Arial" w:eastAsia="Arial" w:hAnsi="Arial" w:cs="Arial"/>
          <w:b/>
          <w:bCs/>
          <w:szCs w:val="24"/>
        </w:rPr>
        <w:t>Applicant:</w:t>
      </w:r>
      <w:r>
        <w:tab/>
      </w:r>
      <w:r w:rsidR="006611C3">
        <w:rPr>
          <w:rFonts w:ascii="Arial" w:eastAsia="Arial" w:hAnsi="Arial" w:cs="Arial"/>
          <w:b/>
          <w:bCs/>
          <w:szCs w:val="24"/>
        </w:rPr>
        <w:t>Eli Lilly Australia Pty Ltd</w:t>
      </w:r>
    </w:p>
    <w:p w14:paraId="4E2BBE9C" w14:textId="1503238E" w:rsidR="00796730" w:rsidRPr="00FE7CAE" w:rsidRDefault="00796730" w:rsidP="00FE7CAE">
      <w:pPr>
        <w:rPr>
          <w:rFonts w:ascii="Arial" w:hAnsi="Arial" w:cs="Arial"/>
          <w:b/>
          <w:bCs/>
        </w:rPr>
      </w:pPr>
      <w:r w:rsidRPr="00FE7CAE">
        <w:rPr>
          <w:rFonts w:ascii="Arial" w:hAnsi="Arial" w:cs="Arial"/>
          <w:b/>
          <w:bCs/>
        </w:rPr>
        <w:t xml:space="preserve">Date of </w:t>
      </w:r>
      <w:r w:rsidR="00056D15">
        <w:rPr>
          <w:rFonts w:ascii="Arial" w:hAnsi="Arial" w:cs="Arial"/>
          <w:b/>
          <w:bCs/>
        </w:rPr>
        <w:t>MSAC</w:t>
      </w:r>
      <w:r w:rsidRPr="00FE7CAE">
        <w:rPr>
          <w:rFonts w:ascii="Arial" w:hAnsi="Arial" w:cs="Arial"/>
          <w:b/>
          <w:bCs/>
        </w:rPr>
        <w:t xml:space="preserve"> consideration:</w:t>
      </w:r>
      <w:r w:rsidRPr="00FE7CAE">
        <w:rPr>
          <w:rFonts w:ascii="Arial" w:hAnsi="Arial" w:cs="Arial"/>
          <w:b/>
          <w:bCs/>
        </w:rPr>
        <w:tab/>
      </w:r>
      <w:r w:rsidR="00056D15">
        <w:rPr>
          <w:rFonts w:ascii="Arial" w:hAnsi="Arial" w:cs="Arial"/>
          <w:b/>
          <w:bCs/>
        </w:rPr>
        <w:t>31 July</w:t>
      </w:r>
      <w:r w:rsidRPr="00FE7CAE">
        <w:rPr>
          <w:rFonts w:ascii="Arial" w:hAnsi="Arial" w:cs="Arial"/>
          <w:b/>
          <w:bCs/>
        </w:rPr>
        <w:t xml:space="preserve"> 2025</w:t>
      </w:r>
    </w:p>
    <w:p w14:paraId="1E772BC0" w14:textId="5CEBE86D" w:rsidR="00B46A7A" w:rsidRPr="00297A8E" w:rsidRDefault="00944BE2" w:rsidP="00595D19">
      <w:pPr>
        <w:spacing w:before="240"/>
        <w:rPr>
          <w:color w:val="0000FF"/>
          <w:u w:val="single"/>
        </w:rPr>
      </w:pPr>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p w14:paraId="21138958" w14:textId="38FD00F0" w:rsidR="00870112" w:rsidRPr="00AA671B" w:rsidRDefault="00870112"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1" w:name="_Toc198735643"/>
      <w:r w:rsidRPr="008A5895">
        <w:rPr>
          <w:rFonts w:ascii="Franklin Gothic Medium" w:hAnsi="Franklin Gothic Medium"/>
          <w:b w:val="0"/>
          <w:i w:val="0"/>
          <w:snapToGrid/>
          <w:sz w:val="32"/>
          <w:szCs w:val="26"/>
        </w:rPr>
        <w:t>Purpose</w:t>
      </w:r>
      <w:r w:rsidRPr="00AA671B">
        <w:rPr>
          <w:rFonts w:ascii="Franklin Gothic Medium" w:hAnsi="Franklin Gothic Medium"/>
          <w:b w:val="0"/>
          <w:i w:val="0"/>
          <w:snapToGrid/>
          <w:sz w:val="32"/>
          <w:szCs w:val="26"/>
        </w:rPr>
        <w:t xml:space="preserve"> of the </w:t>
      </w:r>
      <w:r w:rsidR="000A027E" w:rsidRPr="00AA671B">
        <w:rPr>
          <w:rFonts w:ascii="Franklin Gothic Medium" w:hAnsi="Franklin Gothic Medium"/>
          <w:b w:val="0"/>
          <w:i w:val="0"/>
          <w:snapToGrid/>
          <w:sz w:val="32"/>
          <w:szCs w:val="26"/>
        </w:rPr>
        <w:t>application</w:t>
      </w:r>
      <w:bookmarkEnd w:id="1"/>
      <w:r w:rsidR="00DF0689" w:rsidRPr="00AA671B">
        <w:rPr>
          <w:rFonts w:ascii="Franklin Gothic Medium" w:hAnsi="Franklin Gothic Medium"/>
          <w:b w:val="0"/>
          <w:i w:val="0"/>
          <w:snapToGrid/>
          <w:sz w:val="32"/>
          <w:szCs w:val="26"/>
        </w:rPr>
        <w:t xml:space="preserve"> </w:t>
      </w:r>
    </w:p>
    <w:p w14:paraId="0588B57C" w14:textId="77777777" w:rsidR="000A027E" w:rsidRPr="00CC6DF8" w:rsidRDefault="000359BA" w:rsidP="00FF1821">
      <w:r w:rsidRPr="00CC6DF8">
        <w:t xml:space="preserve">The integrated codependent </w:t>
      </w:r>
      <w:r w:rsidR="000A027E" w:rsidRPr="00CC6DF8">
        <w:t xml:space="preserve">application requested: </w:t>
      </w:r>
    </w:p>
    <w:p w14:paraId="69560DFE" w14:textId="51D7F7BF" w:rsidR="00280EE9" w:rsidRPr="00F24C57" w:rsidRDefault="00280EE9">
      <w:pPr>
        <w:pStyle w:val="MSACESParagraph"/>
        <w:numPr>
          <w:ilvl w:val="0"/>
          <w:numId w:val="24"/>
        </w:numPr>
        <w:spacing w:before="120" w:after="160" w:line="259" w:lineRule="auto"/>
        <w:ind w:hanging="357"/>
        <w:rPr>
          <w:rFonts w:ascii="Franklin Gothic Book" w:hAnsi="Franklin Gothic Book" w:cstheme="minorHAnsi"/>
          <w:sz w:val="22"/>
        </w:rPr>
      </w:pPr>
      <w:bookmarkStart w:id="2" w:name="_Hlk200956935"/>
      <w:r w:rsidRPr="00F24C57">
        <w:rPr>
          <w:rFonts w:ascii="Franklin Gothic Book" w:hAnsi="Franklin Gothic Book"/>
          <w:color w:val="000000" w:themeColor="text1"/>
          <w:sz w:val="22"/>
        </w:rPr>
        <w:t xml:space="preserve">Medicare Benefits Schedule (MBS) funding for </w:t>
      </w:r>
      <w:r w:rsidR="0069358D" w:rsidRPr="00F24C57">
        <w:rPr>
          <w:rFonts w:ascii="Franklin Gothic Book" w:hAnsi="Franklin Gothic Book"/>
          <w:color w:val="000000" w:themeColor="text1"/>
          <w:sz w:val="22"/>
        </w:rPr>
        <w:t>(</w:t>
      </w:r>
      <w:r w:rsidR="000B0FD3" w:rsidRPr="00F24C57">
        <w:rPr>
          <w:rFonts w:ascii="Franklin Gothic Book" w:hAnsi="Franklin Gothic Book"/>
          <w:color w:val="000000" w:themeColor="text1"/>
          <w:sz w:val="22"/>
        </w:rPr>
        <w:t xml:space="preserve">1) </w:t>
      </w:r>
      <w:r w:rsidRPr="00F24C57">
        <w:rPr>
          <w:rFonts w:ascii="Franklin Gothic Book" w:hAnsi="Franklin Gothic Book"/>
          <w:color w:val="000000" w:themeColor="text1"/>
          <w:sz w:val="22"/>
        </w:rPr>
        <w:t>apolipoprotein E (</w:t>
      </w:r>
      <w:r w:rsidRPr="00F24C57">
        <w:rPr>
          <w:rFonts w:ascii="Franklin Gothic Book" w:hAnsi="Franklin Gothic Book"/>
          <w:i/>
          <w:color w:val="000000" w:themeColor="text1"/>
          <w:sz w:val="22"/>
        </w:rPr>
        <w:t>APOE</w:t>
      </w:r>
      <w:r w:rsidRPr="00F24C57">
        <w:rPr>
          <w:rFonts w:ascii="Franklin Gothic Book" w:hAnsi="Franklin Gothic Book"/>
          <w:color w:val="000000" w:themeColor="text1"/>
          <w:sz w:val="22"/>
        </w:rPr>
        <w:t xml:space="preserve">) genotyping </w:t>
      </w:r>
      <w:r w:rsidRPr="00F24C57">
        <w:rPr>
          <w:rFonts w:ascii="Franklin Gothic Book" w:hAnsi="Franklin Gothic Book"/>
          <w:color w:val="000000" w:themeColor="text1"/>
          <w:sz w:val="22"/>
          <w:u w:val="single"/>
        </w:rPr>
        <w:t>prior to</w:t>
      </w:r>
      <w:r w:rsidRPr="00F24C57">
        <w:rPr>
          <w:rFonts w:ascii="Franklin Gothic Book" w:hAnsi="Franklin Gothic Book"/>
          <w:color w:val="000000" w:themeColor="text1"/>
          <w:sz w:val="22"/>
        </w:rPr>
        <w:t xml:space="preserve"> amyloid-beta (Aβ) pathology </w:t>
      </w:r>
      <w:r w:rsidR="00B2561E" w:rsidRPr="00F24C57">
        <w:rPr>
          <w:rFonts w:ascii="Franklin Gothic Book" w:hAnsi="Franklin Gothic Book"/>
          <w:color w:val="000000" w:themeColor="text1"/>
          <w:sz w:val="22"/>
        </w:rPr>
        <w:t xml:space="preserve">testing </w:t>
      </w:r>
      <w:r w:rsidRPr="00F24C57">
        <w:rPr>
          <w:rFonts w:ascii="Franklin Gothic Book" w:hAnsi="Franklin Gothic Book"/>
          <w:color w:val="000000" w:themeColor="text1"/>
          <w:sz w:val="22"/>
        </w:rPr>
        <w:t>and</w:t>
      </w:r>
      <w:r w:rsidR="000B0FD3" w:rsidRPr="00F24C57">
        <w:rPr>
          <w:rFonts w:ascii="Franklin Gothic Book" w:hAnsi="Franklin Gothic Book"/>
          <w:color w:val="000000" w:themeColor="text1"/>
          <w:sz w:val="22"/>
        </w:rPr>
        <w:t xml:space="preserve"> (2) </w:t>
      </w:r>
      <w:r w:rsidRPr="00F24C57">
        <w:rPr>
          <w:rFonts w:ascii="Franklin Gothic Book" w:hAnsi="Franklin Gothic Book"/>
          <w:sz w:val="22"/>
        </w:rPr>
        <w:t>Aβ pathology</w:t>
      </w:r>
      <w:r w:rsidR="0017538D" w:rsidRPr="00F24C57">
        <w:rPr>
          <w:rFonts w:ascii="Franklin Gothic Book" w:hAnsi="Franklin Gothic Book"/>
          <w:sz w:val="22"/>
        </w:rPr>
        <w:t xml:space="preserve"> testing</w:t>
      </w:r>
      <w:r w:rsidR="004A637C" w:rsidRPr="00F24C57">
        <w:rPr>
          <w:rFonts w:ascii="Franklin Gothic Book" w:hAnsi="Franklin Gothic Book"/>
          <w:sz w:val="22"/>
        </w:rPr>
        <w:t>,</w:t>
      </w:r>
      <w:r w:rsidRPr="00F24C57">
        <w:rPr>
          <w:rFonts w:ascii="Franklin Gothic Book" w:hAnsi="Franklin Gothic Book"/>
          <w:sz w:val="22"/>
        </w:rPr>
        <w:t xml:space="preserve"> in patients with a clinical diagnosis of mild cognitive impairment (MCI) due to </w:t>
      </w:r>
      <w:r w:rsidR="00CF72D7" w:rsidRPr="00F24C57">
        <w:rPr>
          <w:rFonts w:ascii="Franklin Gothic Book" w:hAnsi="Franklin Gothic Book"/>
          <w:sz w:val="22"/>
        </w:rPr>
        <w:t>Alzheimer Disease (</w:t>
      </w:r>
      <w:r w:rsidRPr="00F24C57">
        <w:rPr>
          <w:rFonts w:ascii="Franklin Gothic Book" w:hAnsi="Franklin Gothic Book"/>
          <w:sz w:val="22"/>
        </w:rPr>
        <w:t>AD</w:t>
      </w:r>
      <w:r w:rsidR="00CF72D7" w:rsidRPr="00F24C57">
        <w:rPr>
          <w:rFonts w:ascii="Franklin Gothic Book" w:hAnsi="Franklin Gothic Book"/>
          <w:sz w:val="22"/>
        </w:rPr>
        <w:t>)</w:t>
      </w:r>
      <w:r w:rsidRPr="00F24C57">
        <w:rPr>
          <w:rFonts w:ascii="Franklin Gothic Book" w:hAnsi="Franklin Gothic Book"/>
          <w:sz w:val="22"/>
        </w:rPr>
        <w:t xml:space="preserve"> or mild A</w:t>
      </w:r>
      <w:r w:rsidR="00EA36D0" w:rsidRPr="00F24C57">
        <w:rPr>
          <w:rFonts w:ascii="Franklin Gothic Book" w:hAnsi="Franklin Gothic Book"/>
          <w:sz w:val="22"/>
        </w:rPr>
        <w:t>lzheimer dementia</w:t>
      </w:r>
      <w:r w:rsidRPr="00F24C57">
        <w:rPr>
          <w:rFonts w:ascii="Franklin Gothic Book" w:hAnsi="Franklin Gothic Book"/>
          <w:sz w:val="22"/>
        </w:rPr>
        <w:t>, to determine eligibility for PBS-subsidised treatment with donanemab</w:t>
      </w:r>
      <w:r w:rsidR="00CA7C49" w:rsidRPr="00F24C57">
        <w:rPr>
          <w:rFonts w:ascii="Franklin Gothic Book" w:hAnsi="Franklin Gothic Book"/>
          <w:sz w:val="22"/>
        </w:rPr>
        <w:t>.</w:t>
      </w:r>
      <w:r w:rsidR="00F24C57" w:rsidRPr="00F24C57">
        <w:rPr>
          <w:rFonts w:ascii="Franklin Gothic Book" w:hAnsi="Franklin Gothic Book"/>
          <w:sz w:val="22"/>
        </w:rPr>
        <w:t xml:space="preserve"> </w:t>
      </w:r>
      <w:r w:rsidR="00371C6F" w:rsidRPr="00F24C57">
        <w:rPr>
          <w:rFonts w:ascii="Franklin Gothic Book" w:hAnsi="Franklin Gothic Book" w:cstheme="minorHAnsi"/>
          <w:sz w:val="22"/>
        </w:rPr>
        <w:t>T</w:t>
      </w:r>
      <w:r w:rsidR="00176FD5">
        <w:rPr>
          <w:rFonts w:ascii="Franklin Gothic Book" w:hAnsi="Franklin Gothic Book" w:cstheme="minorHAnsi"/>
          <w:sz w:val="22"/>
        </w:rPr>
        <w:t>wo</w:t>
      </w:r>
      <w:r w:rsidR="003A41BA" w:rsidRPr="00F24C57">
        <w:rPr>
          <w:rFonts w:ascii="Franklin Gothic Book" w:hAnsi="Franklin Gothic Book" w:cstheme="minorHAnsi"/>
          <w:sz w:val="22"/>
        </w:rPr>
        <w:t xml:space="preserve"> alternative</w:t>
      </w:r>
      <w:r w:rsidR="003A41BA" w:rsidRPr="00F24C57">
        <w:rPr>
          <w:rFonts w:ascii="Franklin Gothic Book" w:hAnsi="Franklin Gothic Book" w:cs="Calibri"/>
          <w:sz w:val="22"/>
        </w:rPr>
        <w:t xml:space="preserve"> </w:t>
      </w:r>
      <w:r w:rsidR="00535C84" w:rsidRPr="00F24C57">
        <w:rPr>
          <w:rFonts w:ascii="Franklin Gothic Book" w:hAnsi="Franklin Gothic Book" w:cs="Calibri"/>
          <w:sz w:val="22"/>
        </w:rPr>
        <w:t xml:space="preserve">MBS-funded </w:t>
      </w:r>
      <w:r w:rsidR="003A41BA" w:rsidRPr="00F24C57">
        <w:rPr>
          <w:rFonts w:ascii="Franklin Gothic Book" w:hAnsi="Franklin Gothic Book" w:cs="Calibri"/>
          <w:sz w:val="22"/>
        </w:rPr>
        <w:t>tests to detect the presence of Aβ pathology:</w:t>
      </w:r>
      <w:r w:rsidR="004E554D" w:rsidRPr="00F24C57">
        <w:rPr>
          <w:rFonts w:ascii="Franklin Gothic Book" w:hAnsi="Franklin Gothic Book" w:cs="Calibri"/>
          <w:sz w:val="22"/>
        </w:rPr>
        <w:t xml:space="preserve"> </w:t>
      </w:r>
      <w:r w:rsidR="009C171B" w:rsidRPr="00F24C57">
        <w:rPr>
          <w:rFonts w:ascii="Franklin Gothic Book" w:hAnsi="Franklin Gothic Book" w:cs="Calibri"/>
          <w:color w:val="000000" w:themeColor="text1"/>
          <w:sz w:val="22"/>
        </w:rPr>
        <w:t xml:space="preserve">Aβ </w:t>
      </w:r>
      <w:r w:rsidRPr="00F24C57">
        <w:rPr>
          <w:rFonts w:ascii="Franklin Gothic Book" w:hAnsi="Franklin Gothic Book" w:cs="Calibri"/>
          <w:sz w:val="22"/>
        </w:rPr>
        <w:t>Positron Emission Tomography (Aβ-PET)</w:t>
      </w:r>
      <w:r w:rsidR="00524912" w:rsidRPr="00F24C57">
        <w:rPr>
          <w:rFonts w:ascii="Franklin Gothic Book" w:hAnsi="Franklin Gothic Book" w:cs="Calibri"/>
          <w:sz w:val="22"/>
        </w:rPr>
        <w:t xml:space="preserve"> of the brain</w:t>
      </w:r>
      <w:r w:rsidR="00CF4B3D" w:rsidRPr="00F24C57">
        <w:rPr>
          <w:rFonts w:ascii="Franklin Gothic Book" w:hAnsi="Franklin Gothic Book" w:cs="Calibri"/>
          <w:sz w:val="22"/>
        </w:rPr>
        <w:t>;</w:t>
      </w:r>
      <w:r w:rsidR="00D54839" w:rsidRPr="00F24C57">
        <w:rPr>
          <w:rFonts w:ascii="Franklin Gothic Book" w:hAnsi="Franklin Gothic Book" w:cs="Calibri"/>
          <w:sz w:val="22"/>
        </w:rPr>
        <w:t xml:space="preserve"> and</w:t>
      </w:r>
      <w:r w:rsidR="009C171B" w:rsidRPr="00F24C57">
        <w:rPr>
          <w:rFonts w:ascii="Franklin Gothic Book" w:hAnsi="Franklin Gothic Book" w:cs="Calibri"/>
          <w:sz w:val="22"/>
        </w:rPr>
        <w:t xml:space="preserve"> </w:t>
      </w:r>
      <w:r w:rsidRPr="00F24C57">
        <w:rPr>
          <w:rFonts w:ascii="Franklin Gothic Book" w:hAnsi="Franklin Gothic Book" w:cs="Calibri"/>
          <w:sz w:val="22"/>
        </w:rPr>
        <w:t>Cerebrospinal Fluid (CSF) AD biomarker testing</w:t>
      </w:r>
      <w:r w:rsidR="00176FD5">
        <w:rPr>
          <w:rFonts w:ascii="Franklin Gothic Book" w:hAnsi="Franklin Gothic Book" w:cs="Calibri"/>
          <w:sz w:val="22"/>
        </w:rPr>
        <w:t xml:space="preserve"> were proposed</w:t>
      </w:r>
      <w:r w:rsidR="0072626C" w:rsidRPr="00F24C57">
        <w:rPr>
          <w:rFonts w:ascii="Franklin Gothic Book" w:hAnsi="Franklin Gothic Book" w:cstheme="minorHAnsi"/>
          <w:sz w:val="22"/>
        </w:rPr>
        <w:t>.</w:t>
      </w:r>
      <w:r w:rsidR="007B3A99" w:rsidRPr="00F24C57">
        <w:rPr>
          <w:rFonts w:ascii="Franklin Gothic Book" w:hAnsi="Franklin Gothic Book" w:cstheme="minorHAnsi"/>
          <w:sz w:val="22"/>
        </w:rPr>
        <w:t xml:space="preserve"> </w:t>
      </w:r>
      <w:r w:rsidR="00866C71" w:rsidRPr="00F24C57">
        <w:rPr>
          <w:rFonts w:ascii="Franklin Gothic Book" w:hAnsi="Franklin Gothic Book" w:cstheme="minorHAnsi"/>
          <w:sz w:val="22"/>
        </w:rPr>
        <w:t xml:space="preserve">In addition, </w:t>
      </w:r>
      <w:r w:rsidR="00076C29">
        <w:rPr>
          <w:rFonts w:ascii="Franklin Gothic Book" w:hAnsi="Franklin Gothic Book" w:cstheme="minorHAnsi"/>
          <w:sz w:val="22"/>
        </w:rPr>
        <w:t>a</w:t>
      </w:r>
      <w:r w:rsidR="00076C29" w:rsidRPr="00076C29">
        <w:rPr>
          <w:rFonts w:ascii="Franklin Gothic Book" w:hAnsi="Franklin Gothic Book" w:cstheme="minorHAnsi"/>
          <w:sz w:val="22"/>
        </w:rPr>
        <w:t xml:space="preserve">n additional MBS item </w:t>
      </w:r>
      <w:r w:rsidR="00076C29">
        <w:rPr>
          <w:rFonts w:ascii="Franklin Gothic Book" w:hAnsi="Franklin Gothic Book" w:cstheme="minorHAnsi"/>
          <w:sz w:val="22"/>
        </w:rPr>
        <w:t>was</w:t>
      </w:r>
      <w:r w:rsidR="00076C29" w:rsidRPr="00076C29">
        <w:rPr>
          <w:rFonts w:ascii="Franklin Gothic Book" w:hAnsi="Franklin Gothic Book" w:cstheme="minorHAnsi"/>
          <w:sz w:val="22"/>
        </w:rPr>
        <w:t xml:space="preserve"> also requested for A</w:t>
      </w:r>
      <w:r w:rsidR="00076C29">
        <w:rPr>
          <w:rFonts w:ascii="Calibri" w:hAnsi="Calibri" w:cs="Calibri"/>
          <w:sz w:val="22"/>
        </w:rPr>
        <w:t>β</w:t>
      </w:r>
      <w:r w:rsidR="00B13744">
        <w:rPr>
          <w:rFonts w:ascii="Calibri" w:hAnsi="Calibri" w:cs="Calibri"/>
          <w:sz w:val="22"/>
        </w:rPr>
        <w:t>-</w:t>
      </w:r>
      <w:r w:rsidR="00076C29" w:rsidRPr="00076C29">
        <w:rPr>
          <w:rFonts w:ascii="Franklin Gothic Book" w:hAnsi="Franklin Gothic Book" w:cstheme="minorHAnsi"/>
          <w:sz w:val="22"/>
        </w:rPr>
        <w:t>PET to assess amyloid clearance in patients receiving treatment with PBS-subsidised donanemab</w:t>
      </w:r>
      <w:r w:rsidR="00B13744">
        <w:rPr>
          <w:rFonts w:ascii="Franklin Gothic Book" w:hAnsi="Franklin Gothic Book" w:cstheme="minorHAnsi"/>
          <w:sz w:val="22"/>
        </w:rPr>
        <w:t>.</w:t>
      </w:r>
    </w:p>
    <w:p w14:paraId="3D7324A4" w14:textId="482A901C" w:rsidR="00280EE9" w:rsidRPr="00CC6DF8" w:rsidRDefault="00280EE9" w:rsidP="00B03F74">
      <w:pPr>
        <w:pStyle w:val="ListParagraph"/>
        <w:numPr>
          <w:ilvl w:val="0"/>
          <w:numId w:val="24"/>
        </w:numPr>
        <w:rPr>
          <w:color w:val="auto"/>
        </w:rPr>
      </w:pPr>
      <w:r w:rsidRPr="00CC6DF8">
        <w:rPr>
          <w:color w:val="auto"/>
        </w:rPr>
        <w:t xml:space="preserve">Pharmaceutical Benefits Scheme (PBS) Section 100 (Highly Specialised Drugs Program) Authority Required (Telephone) listing of donanemab for the treatment of patients with early symptomatic AD, defined </w:t>
      </w:r>
      <w:r w:rsidR="00A56634" w:rsidRPr="00CC6DF8">
        <w:rPr>
          <w:color w:val="auto"/>
        </w:rPr>
        <w:t xml:space="preserve">in the submission </w:t>
      </w:r>
      <w:r w:rsidRPr="00CC6DF8">
        <w:rPr>
          <w:color w:val="auto"/>
        </w:rPr>
        <w:t xml:space="preserve">as MCI due to AD or </w:t>
      </w:r>
      <w:r w:rsidR="004800B3" w:rsidRPr="00CC6DF8">
        <w:rPr>
          <w:color w:val="auto"/>
        </w:rPr>
        <w:t>m</w:t>
      </w:r>
      <w:r w:rsidRPr="00CC6DF8">
        <w:rPr>
          <w:color w:val="auto"/>
        </w:rPr>
        <w:t xml:space="preserve">ild </w:t>
      </w:r>
      <w:r w:rsidR="00856666" w:rsidRPr="00CC6DF8">
        <w:rPr>
          <w:color w:val="auto"/>
        </w:rPr>
        <w:t>A</w:t>
      </w:r>
      <w:r w:rsidR="00F95D1C">
        <w:rPr>
          <w:color w:val="auto"/>
        </w:rPr>
        <w:t>lzheimer dementia</w:t>
      </w:r>
      <w:r w:rsidRPr="00CC6DF8">
        <w:rPr>
          <w:color w:val="auto"/>
        </w:rPr>
        <w:t>.</w:t>
      </w:r>
    </w:p>
    <w:p w14:paraId="6BC03086" w14:textId="77777777" w:rsidR="00AE280B" w:rsidRPr="00AE280B" w:rsidRDefault="00AE280B"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3" w:name="_Hlk193982496"/>
      <w:bookmarkStart w:id="4" w:name="_Hlk194308564"/>
      <w:bookmarkEnd w:id="2"/>
      <w:r w:rsidRPr="00AE280B">
        <w:rPr>
          <w:rFonts w:ascii="Franklin Gothic Medium" w:hAnsi="Franklin Gothic Medium"/>
          <w:b w:val="0"/>
          <w:i w:val="0"/>
          <w:snapToGrid/>
          <w:sz w:val="32"/>
          <w:szCs w:val="26"/>
        </w:rPr>
        <w:t>MSAC’s advice to the Minister</w:t>
      </w:r>
    </w:p>
    <w:p w14:paraId="1F69F7A0" w14:textId="77777777" w:rsidR="0096161A" w:rsidRDefault="00AE280B" w:rsidP="00FF1821">
      <w:r w:rsidRPr="00333EDF">
        <w:t xml:space="preserve">After considering the strength of the available evidence in relation to comparative safety, clinical effectiveness, cost-effectiveness and total cost, </w:t>
      </w:r>
      <w:r w:rsidR="000F7C9A" w:rsidRPr="000F7C9A">
        <w:t xml:space="preserve">MSAC did not support public funding </w:t>
      </w:r>
      <w:r w:rsidR="49F77D5C">
        <w:t xml:space="preserve">on the MBS for </w:t>
      </w:r>
      <w:r w:rsidR="000F7C9A" w:rsidRPr="000F7C9A">
        <w:t xml:space="preserve">positron emission tomography (PET) or cerebrospinal fluid (CSF) testing to detect amyloid beta pathology and genetic testing to determine apolipoprotein E genotype in patients with mild cognitive impairment (MCI) due to Alzheimer’s disease (AD) or mild Alzheimer’s dementia to assess eligibility for treatment with donanemab. MSAC also did not support public funding of amyloid beta PET testing to monitor response to treatment with donanemab. </w:t>
      </w:r>
    </w:p>
    <w:p w14:paraId="439E2849" w14:textId="29333233" w:rsidR="00B0227F" w:rsidRDefault="000F7C9A" w:rsidP="00FF1821">
      <w:r w:rsidRPr="000F7C9A">
        <w:t>MSAC noted that</w:t>
      </w:r>
      <w:r>
        <w:t xml:space="preserve"> </w:t>
      </w:r>
      <w:r w:rsidR="6F0D71F0">
        <w:t>the</w:t>
      </w:r>
      <w:r w:rsidRPr="000F7C9A">
        <w:t xml:space="preserve"> PBAC considered the potential benefits of donanemab treatment too small and uncertain to justify the high burden of treatment on patients and did not recommend listing donanemab on the PBS at its July 2025 meeting. </w:t>
      </w:r>
    </w:p>
    <w:p w14:paraId="3B83973C" w14:textId="45BE50B5" w:rsidR="004F1712" w:rsidRDefault="000F7C9A" w:rsidP="00FF1821">
      <w:r w:rsidRPr="000F7C9A">
        <w:t xml:space="preserve">MSAC considered that there were several clinical issues with the proposed tests. The application proposed two testing options to detect beta amyloid in the brain: PET scan which was used in the </w:t>
      </w:r>
      <w:r w:rsidRPr="000F7C9A">
        <w:lastRenderedPageBreak/>
        <w:t>clinical trial, or CSF testing which was not used in the trial. MSAC considered the two testing options might identify slightly different populations as being eligible for donanemab treatment. MSAC considered these early symptomatic patients</w:t>
      </w:r>
      <w:r w:rsidR="00236A61">
        <w:t xml:space="preserve">, with limited treatment options, </w:t>
      </w:r>
      <w:r w:rsidRPr="000F7C9A">
        <w:t xml:space="preserve">might seek both CSF and PET </w:t>
      </w:r>
      <w:r w:rsidR="00931134">
        <w:t xml:space="preserve">testing </w:t>
      </w:r>
      <w:r w:rsidRPr="000F7C9A">
        <w:t xml:space="preserve">over time to access treatment and this was not considered in the application. </w:t>
      </w:r>
      <w:r w:rsidR="00967C08">
        <w:t xml:space="preserve">Additionally, MSAC noted </w:t>
      </w:r>
      <w:r w:rsidR="00F66220">
        <w:t>an</w:t>
      </w:r>
      <w:r w:rsidR="00967C08">
        <w:t xml:space="preserve"> apparent discordance</w:t>
      </w:r>
      <w:r w:rsidR="00F66220">
        <w:t xml:space="preserve"> in the</w:t>
      </w:r>
      <w:r w:rsidR="001051F4">
        <w:t xml:space="preserve"> results of the pivotal</w:t>
      </w:r>
      <w:r w:rsidR="00F66220">
        <w:t xml:space="preserve"> trial</w:t>
      </w:r>
      <w:r w:rsidR="00E72B7B">
        <w:t>:</w:t>
      </w:r>
      <w:r w:rsidR="00F66220">
        <w:t xml:space="preserve"> </w:t>
      </w:r>
      <w:r w:rsidR="001970DF">
        <w:t>wh</w:t>
      </w:r>
      <w:r w:rsidR="00FC0BE9">
        <w:t>ile</w:t>
      </w:r>
      <w:r w:rsidR="001970DF">
        <w:t xml:space="preserve"> a majority (76.4%) of patients </w:t>
      </w:r>
      <w:r w:rsidR="00C06464">
        <w:t>treated with donanemab reach</w:t>
      </w:r>
      <w:r w:rsidR="00F66220">
        <w:t>ed</w:t>
      </w:r>
      <w:r w:rsidR="00C06464">
        <w:t xml:space="preserve"> amyloid clearance</w:t>
      </w:r>
      <w:r w:rsidR="001A70D0">
        <w:t>,</w:t>
      </w:r>
      <w:r w:rsidR="00C06464">
        <w:t xml:space="preserve"> </w:t>
      </w:r>
      <w:r w:rsidR="00CB40BA">
        <w:t>the</w:t>
      </w:r>
      <w:r w:rsidR="00B70B08">
        <w:t xml:space="preserve"> delay </w:t>
      </w:r>
      <w:r w:rsidR="005B1C3A">
        <w:t>in clinical progression observed</w:t>
      </w:r>
      <w:r w:rsidR="004E44A7">
        <w:t xml:space="preserve"> was small (approximately 6 weeks).</w:t>
      </w:r>
      <w:r w:rsidR="001A70D0">
        <w:t xml:space="preserve"> </w:t>
      </w:r>
      <w:r w:rsidR="002C6026">
        <w:t xml:space="preserve">MSAC noted </w:t>
      </w:r>
      <w:r w:rsidR="002C6026" w:rsidRPr="002C6026">
        <w:t xml:space="preserve">PBAC </w:t>
      </w:r>
      <w:r w:rsidR="009C360A">
        <w:t>considered</w:t>
      </w:r>
      <w:r w:rsidR="002C6026" w:rsidRPr="002C6026">
        <w:t xml:space="preserve"> that there was no evidence that use of donanemab reversed or halted the disease progress. </w:t>
      </w:r>
      <w:r w:rsidR="001A70D0" w:rsidRPr="001A70D0">
        <w:t>MSAC agreed with PBAC that any possible mechanisms linking reduction in brain beta-amyloid burden and slowing of decline in a person’s cognition and functional status remain to be fully elucidated.</w:t>
      </w:r>
    </w:p>
    <w:p w14:paraId="0B22E0CE" w14:textId="0663EBB4" w:rsidR="00825C66" w:rsidRDefault="000F7C9A" w:rsidP="00FF1821">
      <w:r w:rsidRPr="000F7C9A">
        <w:t xml:space="preserve">MSAC considered the economic model did not appropriately incorporate the tests used to determine eligibility for treatment nor the impact of discordant results from the 2 testing options to detect beta-amyloid pathology. MSAC noted that there would be a substantial net cost to the MBS – estimated to be </w:t>
      </w:r>
      <w:r w:rsidR="004309BA">
        <w:t>&gt;</w:t>
      </w:r>
      <w:r w:rsidRPr="000F7C9A">
        <w:t>$</w:t>
      </w:r>
      <w:r w:rsidR="00AC76B2">
        <w:t>1</w:t>
      </w:r>
      <w:r w:rsidRPr="000F7C9A">
        <w:t xml:space="preserve"> billion in the first 6 years of listing for the medical services required to determine eligibility for donanemab and monitor treatment response. </w:t>
      </w:r>
    </w:p>
    <w:p w14:paraId="47126F9A" w14:textId="699C67B0" w:rsidR="00AE280B" w:rsidRDefault="000F7C9A" w:rsidP="00FF1821">
      <w:r w:rsidRPr="000F7C9A">
        <w:t xml:space="preserve">MSAC noted that access to beta amyloid PET scans outside major capital cities is limited because the radiotracer has a short half-life and needs to be administered to the patient shortly after it is manufactured. MSAC noted the </w:t>
      </w:r>
      <w:r w:rsidR="00236A61">
        <w:t>capacity constraints in the</w:t>
      </w:r>
      <w:r w:rsidRPr="000F7C9A">
        <w:t xml:space="preserve"> health system to support diagnosis, treatment and monitoring of patients who use donanemab, including regular monitoring </w:t>
      </w:r>
      <w:r w:rsidR="6F733D8D">
        <w:t xml:space="preserve">with repeat magnetic resonance imaging scans </w:t>
      </w:r>
      <w:r w:rsidRPr="000F7C9A">
        <w:t>for amyloid-related imaging abnormalities in the brain. MSAC considered this could contribute to exacerbations in health inequities according to a patient’s geographical location or socioeconomic status. MSAC noted that consumers may privately fund donanemab treatment and require the proposed tests to determine eligibility and monitor the effect of donanemab treatment. However, MSAC advised that the proposed tests should not be publicly funded at this time.</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sumer summary of MSAC consideration"/>
      </w:tblPr>
      <w:tblGrid>
        <w:gridCol w:w="9016"/>
      </w:tblGrid>
      <w:tr w:rsidR="00AE280B" w:rsidRPr="00F91D6E" w14:paraId="153DD452" w14:textId="77777777" w:rsidTr="005E5743">
        <w:trPr>
          <w:tblHeader/>
        </w:trPr>
        <w:tc>
          <w:tcPr>
            <w:tcW w:w="9016" w:type="dxa"/>
          </w:tcPr>
          <w:p w14:paraId="07FD233F" w14:textId="77777777" w:rsidR="00AE280B" w:rsidRPr="00827BDC" w:rsidRDefault="00AE280B" w:rsidP="00026333">
            <w:pPr>
              <w:keepNext/>
              <w:keepLines/>
              <w:spacing w:after="120" w:line="259" w:lineRule="auto"/>
              <w:rPr>
                <w:rFonts w:eastAsia="Calibri"/>
                <w:b/>
              </w:rPr>
            </w:pPr>
            <w:r w:rsidRPr="00827BDC">
              <w:rPr>
                <w:b/>
              </w:rPr>
              <w:t>Consumer summary</w:t>
            </w:r>
          </w:p>
        </w:tc>
      </w:tr>
      <w:tr w:rsidR="00AE280B" w:rsidRPr="00F91D6E" w14:paraId="3E27C993" w14:textId="77777777" w:rsidTr="005E5743">
        <w:tc>
          <w:tcPr>
            <w:tcW w:w="9016" w:type="dxa"/>
          </w:tcPr>
          <w:p w14:paraId="58130E58" w14:textId="3042BD0E" w:rsidR="002C5C36" w:rsidRPr="00E25EE9" w:rsidRDefault="002C5C36" w:rsidP="00900AD6">
            <w:pPr>
              <w:spacing w:line="259" w:lineRule="auto"/>
              <w:rPr>
                <w:lang w:val="en-GB"/>
              </w:rPr>
            </w:pPr>
            <w:r>
              <w:t xml:space="preserve">This was a codependent application from Eli Lilly Australia Pty Ltd. It requested </w:t>
            </w:r>
            <w:r w:rsidRPr="00E3372A">
              <w:t>Medicare Benefits Schedule (MBS) listings</w:t>
            </w:r>
            <w:r>
              <w:t xml:space="preserve"> of several tests needed to use </w:t>
            </w:r>
            <w:r w:rsidRPr="00377069">
              <w:t>donanemab</w:t>
            </w:r>
            <w:r>
              <w:t xml:space="preserve"> – a medicine that can be used to treat the early stages of Alzheimer disease. The application requested MBS</w:t>
            </w:r>
            <w:r>
              <w:noBreakHyphen/>
              <w:t xml:space="preserve">listing for </w:t>
            </w:r>
            <w:r w:rsidR="007124BF">
              <w:t>2 alternative</w:t>
            </w:r>
            <w:r w:rsidRPr="00E25EE9">
              <w:rPr>
                <w:lang w:val="en-GB"/>
              </w:rPr>
              <w:t xml:space="preserve"> tests that </w:t>
            </w:r>
            <w:r w:rsidR="001014D4">
              <w:rPr>
                <w:lang w:val="en-GB"/>
              </w:rPr>
              <w:t>ch</w:t>
            </w:r>
            <w:r w:rsidR="00984070">
              <w:rPr>
                <w:lang w:val="en-GB"/>
              </w:rPr>
              <w:t xml:space="preserve">eck if patients have </w:t>
            </w:r>
            <w:r w:rsidRPr="00E25EE9">
              <w:rPr>
                <w:lang w:val="en-GB"/>
              </w:rPr>
              <w:t>a protein called amyloid-beta in the brain. This protein is linked to Alzheimer disease. The tests are:</w:t>
            </w:r>
          </w:p>
          <w:p w14:paraId="6E1A3D54" w14:textId="389D38D1" w:rsidR="002C5C36" w:rsidRPr="00E25EE9" w:rsidRDefault="002C5C36" w:rsidP="00900AD6">
            <w:pPr>
              <w:numPr>
                <w:ilvl w:val="0"/>
                <w:numId w:val="46"/>
              </w:numPr>
              <w:spacing w:before="0" w:line="259" w:lineRule="auto"/>
              <w:ind w:left="714" w:hanging="357"/>
            </w:pPr>
            <w:r w:rsidRPr="00E25EE9">
              <w:t xml:space="preserve">A brain scan called a PET scan </w:t>
            </w:r>
            <w:r>
              <w:t>(A</w:t>
            </w:r>
            <w:r w:rsidRPr="79AD6439">
              <w:rPr>
                <w:rFonts w:ascii="Calibri" w:hAnsi="Calibri" w:cs="Calibri"/>
              </w:rPr>
              <w:t>β</w:t>
            </w:r>
            <w:r>
              <w:rPr>
                <w:rFonts w:cs="Calibri"/>
              </w:rPr>
              <w:t>-</w:t>
            </w:r>
            <w:r>
              <w:t xml:space="preserve">PET) </w:t>
            </w:r>
            <w:r w:rsidRPr="00E25EE9">
              <w:t>that shows if the protein is there.</w:t>
            </w:r>
          </w:p>
          <w:p w14:paraId="7FAFA6EA" w14:textId="19320351" w:rsidR="002C5C36" w:rsidRPr="00E25EE9" w:rsidRDefault="002C5C36" w:rsidP="00900AD6">
            <w:pPr>
              <w:numPr>
                <w:ilvl w:val="0"/>
                <w:numId w:val="46"/>
              </w:numPr>
              <w:spacing w:before="0" w:after="160" w:line="259" w:lineRule="auto"/>
              <w:ind w:left="714" w:hanging="357"/>
            </w:pPr>
            <w:r w:rsidRPr="00E25EE9">
              <w:t>A test of the fluid around the brain and spine (called cerebrospinal fluid</w:t>
            </w:r>
            <w:r w:rsidR="009B26D6">
              <w:t>, CSF</w:t>
            </w:r>
            <w:r w:rsidRPr="00E25EE9">
              <w:t>) to check for signs of Alzheimer disease.</w:t>
            </w:r>
          </w:p>
          <w:p w14:paraId="10A35253" w14:textId="0B5B8E11" w:rsidR="002C5C36" w:rsidRDefault="002C5C36" w:rsidP="002C5C36">
            <w:pPr>
              <w:spacing w:after="160" w:line="259" w:lineRule="auto"/>
            </w:pPr>
            <w:r>
              <w:t xml:space="preserve">Donanemab helps remove </w:t>
            </w:r>
            <w:r w:rsidR="002D3B4A">
              <w:t xml:space="preserve">clumps of </w:t>
            </w:r>
            <w:r>
              <w:t xml:space="preserve">amyloid protein </w:t>
            </w:r>
            <w:r w:rsidR="00A00A3F">
              <w:t>(</w:t>
            </w:r>
            <w:r w:rsidR="00702BB5">
              <w:t>amyloid plaques</w:t>
            </w:r>
            <w:r w:rsidR="00A00A3F">
              <w:t>)</w:t>
            </w:r>
            <w:r w:rsidR="00702BB5">
              <w:t xml:space="preserve"> </w:t>
            </w:r>
            <w:r w:rsidR="00573B16">
              <w:t xml:space="preserve">that build up </w:t>
            </w:r>
            <w:r>
              <w:t xml:space="preserve">in the brain. People with early Alzheimer disease will need to have one of the two tests to confirm they have amyloid protein. </w:t>
            </w:r>
          </w:p>
          <w:p w14:paraId="649A029B" w14:textId="368505CD" w:rsidR="002C5C36" w:rsidRDefault="002C5C36" w:rsidP="002C5C36">
            <w:pPr>
              <w:spacing w:after="160" w:line="259" w:lineRule="auto"/>
            </w:pPr>
            <w:r>
              <w:t xml:space="preserve">The application also requested MBS-listing of a genetic test for a gene called </w:t>
            </w:r>
            <w:r w:rsidRPr="0047301F">
              <w:t>apolipoprotein E4</w:t>
            </w:r>
            <w:r>
              <w:t xml:space="preserve"> </w:t>
            </w:r>
            <w:r w:rsidRPr="006C2171">
              <w:t>(</w:t>
            </w:r>
            <w:r w:rsidRPr="006C2171">
              <w:rPr>
                <w:i/>
                <w:iCs/>
              </w:rPr>
              <w:t>APOE4</w:t>
            </w:r>
            <w:r w:rsidRPr="006C2171">
              <w:t>)</w:t>
            </w:r>
            <w:r>
              <w:t xml:space="preserve">. People with 2 copies of </w:t>
            </w:r>
            <w:r w:rsidRPr="0072442D">
              <w:t xml:space="preserve">the </w:t>
            </w:r>
            <w:r w:rsidRPr="006C2171">
              <w:rPr>
                <w:i/>
                <w:iCs/>
              </w:rPr>
              <w:t>APOE4</w:t>
            </w:r>
            <w:r>
              <w:rPr>
                <w:i/>
                <w:iCs/>
              </w:rPr>
              <w:t xml:space="preserve"> </w:t>
            </w:r>
            <w:r>
              <w:t xml:space="preserve">cannot use </w:t>
            </w:r>
            <w:r w:rsidRPr="001813AF">
              <w:t>donanemab</w:t>
            </w:r>
            <w:r>
              <w:t xml:space="preserve"> because they are more likely to have swelling or bleeding of the brain</w:t>
            </w:r>
            <w:r w:rsidR="00236A61">
              <w:t xml:space="preserve"> with this treatment</w:t>
            </w:r>
            <w:r>
              <w:t xml:space="preserve">. This side effect is called </w:t>
            </w:r>
            <w:r w:rsidR="00FC25B1">
              <w:t>a</w:t>
            </w:r>
            <w:r w:rsidRPr="00A554EC">
              <w:t>myloid</w:t>
            </w:r>
            <w:r w:rsidR="00FC25B1">
              <w:t>-r</w:t>
            </w:r>
            <w:r w:rsidRPr="00A554EC">
              <w:t xml:space="preserve">elated </w:t>
            </w:r>
            <w:r w:rsidR="00FC25B1">
              <w:t>i</w:t>
            </w:r>
            <w:r w:rsidRPr="00A554EC">
              <w:t xml:space="preserve">maging </w:t>
            </w:r>
            <w:r w:rsidR="00FC25B1">
              <w:t>a</w:t>
            </w:r>
            <w:r w:rsidRPr="00A554EC">
              <w:t>bnormalities (ARIA)</w:t>
            </w:r>
            <w:r>
              <w:t xml:space="preserve">. This swelling or bleeding in the brain can be seen on MRI </w:t>
            </w:r>
            <w:proofErr w:type="gramStart"/>
            <w:r>
              <w:t>scans</w:t>
            </w:r>
            <w:proofErr w:type="gramEnd"/>
            <w:r>
              <w:t xml:space="preserve"> and it </w:t>
            </w:r>
            <w:r w:rsidRPr="00D71A28">
              <w:t>does not usually cause any symptoms</w:t>
            </w:r>
            <w:r>
              <w:t>. Some people with ARIAs can have</w:t>
            </w:r>
            <w:r w:rsidRPr="00D71A28">
              <w:t xml:space="preserve"> serious symptoms</w:t>
            </w:r>
            <w:r>
              <w:t>. U</w:t>
            </w:r>
            <w:r w:rsidRPr="00D71A28">
              <w:t>ncommonly</w:t>
            </w:r>
            <w:r w:rsidR="00450C43">
              <w:t>,</w:t>
            </w:r>
            <w:r w:rsidRPr="00D71A28">
              <w:t xml:space="preserve"> ARIA can be fatal.</w:t>
            </w:r>
          </w:p>
          <w:p w14:paraId="167D7858" w14:textId="519E7EA2" w:rsidR="00425519" w:rsidRDefault="00F42483" w:rsidP="002C5C36">
            <w:pPr>
              <w:spacing w:after="160" w:line="259" w:lineRule="auto"/>
            </w:pPr>
            <w:r>
              <w:t xml:space="preserve">Apart from the </w:t>
            </w:r>
            <w:r w:rsidR="00B97516">
              <w:t xml:space="preserve">proposed </w:t>
            </w:r>
            <w:r>
              <w:t>initial</w:t>
            </w:r>
            <w:r w:rsidR="00672632">
              <w:t xml:space="preserve"> tests to determine if patient</w:t>
            </w:r>
            <w:r w:rsidR="00A97119">
              <w:t>s</w:t>
            </w:r>
            <w:r w:rsidR="00F73C34">
              <w:t xml:space="preserve"> </w:t>
            </w:r>
            <w:r w:rsidR="00A97119">
              <w:t>are</w:t>
            </w:r>
            <w:r w:rsidR="00F73C34">
              <w:t xml:space="preserve"> eligible to receive publicly subsidised donanemab treatment</w:t>
            </w:r>
            <w:r w:rsidR="005C237D">
              <w:t xml:space="preserve"> as mentioned above, the application also requested </w:t>
            </w:r>
            <w:r w:rsidR="00721266">
              <w:t xml:space="preserve">MBS </w:t>
            </w:r>
            <w:r w:rsidR="00721266">
              <w:lastRenderedPageBreak/>
              <w:t xml:space="preserve">funding for using PET scans of the brain </w:t>
            </w:r>
            <w:r w:rsidR="0073724E">
              <w:t xml:space="preserve">to check for amyloid protein or plaque levels </w:t>
            </w:r>
            <w:r w:rsidR="00034828">
              <w:t>while</w:t>
            </w:r>
            <w:r w:rsidR="00C046AA">
              <w:t xml:space="preserve"> patient</w:t>
            </w:r>
            <w:r w:rsidR="00A97119">
              <w:t>s are</w:t>
            </w:r>
            <w:r w:rsidR="00C046AA">
              <w:t xml:space="preserve"> </w:t>
            </w:r>
            <w:r w:rsidR="00656515">
              <w:t>receiving</w:t>
            </w:r>
            <w:r w:rsidR="00C046AA">
              <w:t xml:space="preserve"> </w:t>
            </w:r>
            <w:r w:rsidR="00A97119">
              <w:t>donanemab</w:t>
            </w:r>
            <w:r w:rsidR="00C046AA">
              <w:t xml:space="preserve">. </w:t>
            </w:r>
            <w:r w:rsidR="006C6E88">
              <w:t>MSAC noted that p</w:t>
            </w:r>
            <w:r w:rsidR="002C5C36">
              <w:t xml:space="preserve">atients </w:t>
            </w:r>
            <w:r w:rsidR="00C046AA">
              <w:t xml:space="preserve">are required to </w:t>
            </w:r>
            <w:r w:rsidR="002C5C36">
              <w:t>have PET scans</w:t>
            </w:r>
            <w:r w:rsidR="00971D3A">
              <w:t xml:space="preserve"> of the brain</w:t>
            </w:r>
            <w:r w:rsidR="002C5C36">
              <w:t xml:space="preserve"> </w:t>
            </w:r>
            <w:r w:rsidR="00971D3A">
              <w:t xml:space="preserve">after </w:t>
            </w:r>
            <w:r w:rsidR="002C5C36">
              <w:t>6 and 12 months</w:t>
            </w:r>
            <w:r w:rsidR="00971D3A">
              <w:t xml:space="preserve"> of treatment</w:t>
            </w:r>
            <w:r w:rsidR="002C5C36">
              <w:t xml:space="preserve"> to check for amyloid protein</w:t>
            </w:r>
            <w:r w:rsidR="00552213">
              <w:t xml:space="preserve"> or plaque</w:t>
            </w:r>
            <w:r w:rsidR="002C5C36">
              <w:t xml:space="preserve"> levels in the brain. </w:t>
            </w:r>
            <w:r w:rsidR="00BF3F31">
              <w:t>If</w:t>
            </w:r>
            <w:r w:rsidR="00F57675">
              <w:t xml:space="preserve"> amyloid plaque is cleared, pa</w:t>
            </w:r>
            <w:r w:rsidR="002C5C36">
              <w:t>tients can stop treatment</w:t>
            </w:r>
            <w:r w:rsidR="00370810">
              <w:t xml:space="preserve">, otherwise will continue </w:t>
            </w:r>
            <w:r w:rsidR="008963C5" w:rsidRPr="008963C5">
              <w:t xml:space="preserve">treatment </w:t>
            </w:r>
            <w:r w:rsidR="00370810">
              <w:t xml:space="preserve">up to a maximum of </w:t>
            </w:r>
            <w:r w:rsidR="004F4BAD">
              <w:t>18 months</w:t>
            </w:r>
            <w:r w:rsidR="002C5C36">
              <w:t xml:space="preserve">. </w:t>
            </w:r>
          </w:p>
          <w:p w14:paraId="2E4270C7" w14:textId="7EBD1CE4" w:rsidR="002F480A" w:rsidRPr="0072442D" w:rsidRDefault="002F480A" w:rsidP="002F480A">
            <w:pPr>
              <w:spacing w:after="160" w:line="259" w:lineRule="auto"/>
            </w:pPr>
            <w:r w:rsidRPr="009B1CB0">
              <w:t xml:space="preserve">Alzheimer disease is </w:t>
            </w:r>
            <w:r>
              <w:t xml:space="preserve">one of the main causes of dementia. It is </w:t>
            </w:r>
            <w:r w:rsidRPr="009B1CB0">
              <w:t xml:space="preserve">a debilitating condition that affects many Australians. MSAC acknowledged that an effective treatment </w:t>
            </w:r>
            <w:r>
              <w:t>for Alzheimer disease</w:t>
            </w:r>
            <w:r w:rsidRPr="009B1CB0">
              <w:t xml:space="preserve"> is needed.</w:t>
            </w:r>
          </w:p>
          <w:p w14:paraId="0442CEAC" w14:textId="58DC046B" w:rsidR="002C5C36" w:rsidRDefault="00941A5E" w:rsidP="002C5C36">
            <w:pPr>
              <w:spacing w:after="160" w:line="259" w:lineRule="auto"/>
            </w:pPr>
            <w:r w:rsidRPr="00941A5E">
              <w:t xml:space="preserve">MSAC </w:t>
            </w:r>
            <w:r w:rsidR="00972A95">
              <w:t>observed</w:t>
            </w:r>
            <w:r w:rsidRPr="00941A5E">
              <w:t xml:space="preserve"> that </w:t>
            </w:r>
            <w:r w:rsidR="00972A95">
              <w:t xml:space="preserve">while </w:t>
            </w:r>
            <w:r w:rsidRPr="00941A5E">
              <w:t xml:space="preserve">most patients (76.4%) treated with donanemab achieved amyloid clearance in the main </w:t>
            </w:r>
            <w:r w:rsidR="00D11A1F">
              <w:t xml:space="preserve">clinical </w:t>
            </w:r>
            <w:r w:rsidRPr="00941A5E">
              <w:t xml:space="preserve">trial, the actual delay in disease progression </w:t>
            </w:r>
            <w:r w:rsidR="0065535C">
              <w:t xml:space="preserve">observed </w:t>
            </w:r>
            <w:r w:rsidRPr="00941A5E">
              <w:t>was small—only about six weeks</w:t>
            </w:r>
            <w:r w:rsidR="00C92184">
              <w:t xml:space="preserve">, </w:t>
            </w:r>
            <w:r w:rsidR="00C92184" w:rsidRPr="00C92184">
              <w:t>as measured by the integrated Alzheimer’s Disease Rating Scale (</w:t>
            </w:r>
            <w:proofErr w:type="spellStart"/>
            <w:r w:rsidR="00C92184" w:rsidRPr="00C92184">
              <w:t>iADRS</w:t>
            </w:r>
            <w:proofErr w:type="spellEnd"/>
            <w:r w:rsidR="00C92184" w:rsidRPr="00C92184">
              <w:t>) score</w:t>
            </w:r>
            <w:r w:rsidR="00C92184">
              <w:t xml:space="preserve">, </w:t>
            </w:r>
            <w:r w:rsidR="00C92184" w:rsidRPr="00C92184">
              <w:t xml:space="preserve">an assessment </w:t>
            </w:r>
            <w:r w:rsidR="00E96B71">
              <w:t>too</w:t>
            </w:r>
            <w:r w:rsidR="00587F89">
              <w:t>l</w:t>
            </w:r>
            <w:r w:rsidR="00E96B71">
              <w:t xml:space="preserve"> for</w:t>
            </w:r>
            <w:r w:rsidR="00C92184" w:rsidRPr="00C92184">
              <w:t xml:space="preserve"> cognition and daily function</w:t>
            </w:r>
            <w:r w:rsidR="00063235">
              <w:t xml:space="preserve"> in individuals with Alzheimer </w:t>
            </w:r>
            <w:r w:rsidR="00795E90">
              <w:t>disease and was</w:t>
            </w:r>
            <w:r w:rsidR="00AE19C5">
              <w:t xml:space="preserve"> </w:t>
            </w:r>
            <w:r w:rsidR="00284CFB">
              <w:t xml:space="preserve">used </w:t>
            </w:r>
            <w:r w:rsidR="00AE19C5">
              <w:t xml:space="preserve">in the main </w:t>
            </w:r>
            <w:r w:rsidR="007A056C">
              <w:t xml:space="preserve">clinical </w:t>
            </w:r>
            <w:r w:rsidR="00AE19C5">
              <w:t>trial</w:t>
            </w:r>
            <w:r w:rsidRPr="00941A5E">
              <w:t>.</w:t>
            </w:r>
            <w:r w:rsidR="006F6CBD">
              <w:t xml:space="preserve"> </w:t>
            </w:r>
            <w:r w:rsidR="006F6CBD" w:rsidRPr="006F6CBD">
              <w:t xml:space="preserve">MSAC </w:t>
            </w:r>
            <w:r w:rsidR="006F6CBD">
              <w:t xml:space="preserve">noted </w:t>
            </w:r>
            <w:r w:rsidR="006F6CBD" w:rsidRPr="006F6CBD">
              <w:t>that the PBAC thought the possible benefits of donanemab were too small and uncertain.</w:t>
            </w:r>
          </w:p>
          <w:p w14:paraId="11FF6086" w14:textId="62B2DC45" w:rsidR="002C5C36" w:rsidRDefault="002C5C36" w:rsidP="002C5C36">
            <w:pPr>
              <w:spacing w:after="160" w:line="259" w:lineRule="auto"/>
            </w:pPr>
            <w:r w:rsidRPr="009B1CB0">
              <w:t xml:space="preserve">MSAC </w:t>
            </w:r>
            <w:r>
              <w:t>considered there were</w:t>
            </w:r>
            <w:r w:rsidRPr="009B1CB0">
              <w:t xml:space="preserve"> issues with </w:t>
            </w:r>
            <w:r>
              <w:t xml:space="preserve">the tests to find beta-amyloid pathology in the brain. The 2 testing options (PET scan or CSF testing) do not </w:t>
            </w:r>
            <w:r w:rsidR="00FD58DE">
              <w:t xml:space="preserve">always </w:t>
            </w:r>
            <w:r>
              <w:t xml:space="preserve">give the same results. In studies where patients had both tests, up to 28% of patients </w:t>
            </w:r>
            <w:r w:rsidRPr="00395BFF">
              <w:t>got different results from each test.</w:t>
            </w:r>
            <w:r>
              <w:t xml:space="preserve"> The clinical trial used PET scans and did not use CSF testing. MSAC considered that it was not known whether people who have a positive CSF test would have the same benefit from </w:t>
            </w:r>
            <w:r w:rsidRPr="00377069">
              <w:t>donanemab</w:t>
            </w:r>
            <w:r>
              <w:t xml:space="preserve"> as people who have a PET scan. MSAC considered that patients may not be able to access PET scans outside major capital cities. This is because the scan requires the patient to have an injection with a radiotracer. The radiotracer used for this PET scan is made by a special machine called a cyclotron and needs to be given to the patient very quickly after it is made. This makes it difficult to provide this PET scan outside capital cities. MSAC considered it would also be difficult for patients to access MRI scans in regional areas. </w:t>
            </w:r>
          </w:p>
          <w:p w14:paraId="0D26A576" w14:textId="77777777" w:rsidR="002C5C36" w:rsidRPr="00B72FF2" w:rsidRDefault="002C5C36" w:rsidP="002C5C36">
            <w:pPr>
              <w:spacing w:after="160" w:line="259" w:lineRule="auto"/>
              <w:rPr>
                <w:b/>
              </w:rPr>
            </w:pPr>
            <w:r>
              <w:t xml:space="preserve">CSF testing is an alternative option to a PET scan to see if patients are eligible for donanemab. To have a CSF test, patients need to have lumbar puncture where a needle is inserted into the spine to take out some CSF for testing. MSAC considered this is an unpleasant procedure that has safety issues. MSAC considered the safety of lumbar puncture was not properly considered.  </w:t>
            </w:r>
          </w:p>
          <w:p w14:paraId="1EA65CDC" w14:textId="1F0290FE" w:rsidR="002C5C36" w:rsidRDefault="002C5C36" w:rsidP="002C5C36">
            <w:pPr>
              <w:spacing w:after="160" w:line="259" w:lineRule="auto"/>
            </w:pPr>
            <w:r>
              <w:t xml:space="preserve">MSAC considered that people with symptoms of early </w:t>
            </w:r>
            <w:r w:rsidRPr="00BE3712">
              <w:t>Alzheimer disease</w:t>
            </w:r>
            <w:r>
              <w:t xml:space="preserve"> may have many tests over time to see if they have beta-amyloid. However</w:t>
            </w:r>
            <w:r w:rsidR="002238DE">
              <w:t>,</w:t>
            </w:r>
            <w:r>
              <w:t xml:space="preserve"> this was not properly included in the submission. </w:t>
            </w:r>
          </w:p>
          <w:p w14:paraId="6F453837" w14:textId="40811A6B" w:rsidR="002C5C36" w:rsidRPr="004C73E4" w:rsidRDefault="002C5C36" w:rsidP="002C5C36">
            <w:pPr>
              <w:spacing w:after="160" w:line="259" w:lineRule="auto"/>
            </w:pPr>
            <w:r>
              <w:t xml:space="preserve">The </w:t>
            </w:r>
            <w:r w:rsidRPr="006C2171">
              <w:rPr>
                <w:i/>
                <w:iCs/>
              </w:rPr>
              <w:t>APOE4</w:t>
            </w:r>
            <w:r>
              <w:rPr>
                <w:i/>
                <w:iCs/>
              </w:rPr>
              <w:t xml:space="preserve"> </w:t>
            </w:r>
            <w:r>
              <w:t xml:space="preserve">gene is inherited. People with one or two copies of the gene are more likely to have </w:t>
            </w:r>
            <w:r w:rsidRPr="00B33B34">
              <w:t>Alzheimer Disease</w:t>
            </w:r>
            <w:r>
              <w:t xml:space="preserve">. MSAC considered the results of </w:t>
            </w:r>
            <w:r w:rsidRPr="006C2171">
              <w:rPr>
                <w:i/>
                <w:iCs/>
              </w:rPr>
              <w:t>APOE4</w:t>
            </w:r>
            <w:r>
              <w:rPr>
                <w:i/>
                <w:iCs/>
              </w:rPr>
              <w:t xml:space="preserve"> </w:t>
            </w:r>
            <w:r>
              <w:t xml:space="preserve">testing may affect family members of the person tested. This was also not considered in the submission. </w:t>
            </w:r>
          </w:p>
          <w:p w14:paraId="4D8A7D15" w14:textId="7814796C" w:rsidR="002C5C36" w:rsidRDefault="002C5C36" w:rsidP="002C5C36">
            <w:pPr>
              <w:spacing w:after="160" w:line="259" w:lineRule="auto"/>
            </w:pPr>
            <w:r>
              <w:t xml:space="preserve">MSAC considered it could not assess value-for-money because the economic model did not properly include the tests. </w:t>
            </w:r>
            <w:r w:rsidR="00C123C4">
              <w:t xml:space="preserve">MSAC noted that apart from the initial tests required prior to donanemab treatment, there are also monitoring tests required for patients receiving donanemab. Patients are required to have regular magnetic resonance imaging (MRI) scans of the brain to make sure that there are no serious side effects in the brain. A brain MRI is recommended before the second, third, fourth and seventh dose (usually 6 months) of treatment. </w:t>
            </w:r>
            <w:r w:rsidR="00E13F5A">
              <w:t>MSAC noted that t</w:t>
            </w:r>
            <w:r>
              <w:t xml:space="preserve">he cost of testing was expected to cost approximately </w:t>
            </w:r>
            <w:r w:rsidR="00D53649">
              <w:t>&gt;</w:t>
            </w:r>
            <w:r>
              <w:t>$</w:t>
            </w:r>
            <w:r w:rsidR="00D53649">
              <w:t>1</w:t>
            </w:r>
            <w:r>
              <w:t xml:space="preserve"> billion over 6 years</w:t>
            </w:r>
            <w:r w:rsidR="00FD7221">
              <w:t xml:space="preserve"> and that t</w:t>
            </w:r>
            <w:r>
              <w:t xml:space="preserve">his did not include the cost of the medicine. </w:t>
            </w:r>
          </w:p>
          <w:p w14:paraId="54ED6612" w14:textId="65628ECA" w:rsidR="002C5C36" w:rsidRDefault="002C5C36" w:rsidP="002C5C36">
            <w:pPr>
              <w:spacing w:after="160" w:line="259" w:lineRule="auto"/>
            </w:pPr>
            <w:r w:rsidRPr="009B1CB0">
              <w:lastRenderedPageBreak/>
              <w:t xml:space="preserve">MSAC </w:t>
            </w:r>
            <w:r>
              <w:t>considered there is a</w:t>
            </w:r>
            <w:r w:rsidRPr="009B1CB0">
              <w:t xml:space="preserve"> high burden of the diagnosis, testing and monitoring. Patients would need </w:t>
            </w:r>
            <w:r w:rsidR="00085FF8">
              <w:t>multiple</w:t>
            </w:r>
            <w:r w:rsidRPr="009B1CB0">
              <w:t xml:space="preserve"> tests and scans before and after treatment </w:t>
            </w:r>
            <w:r>
              <w:t xml:space="preserve">is </w:t>
            </w:r>
            <w:r w:rsidRPr="009B1CB0">
              <w:t>started. These tests would likely result in out-of-pocket costs for patient</w:t>
            </w:r>
            <w:r>
              <w:t>s</w:t>
            </w:r>
            <w:r w:rsidRPr="009B1CB0">
              <w:t xml:space="preserve">, with an even </w:t>
            </w:r>
            <w:r>
              <w:t>greater</w:t>
            </w:r>
            <w:r w:rsidRPr="009B1CB0">
              <w:t xml:space="preserve"> burden for rural and regional patients who </w:t>
            </w:r>
            <w:r>
              <w:t>might</w:t>
            </w:r>
            <w:r w:rsidRPr="009B1CB0">
              <w:t xml:space="preserve"> have to travel to metropolitan centres</w:t>
            </w:r>
            <w:r>
              <w:t xml:space="preserve"> for the tests and/or treatment</w:t>
            </w:r>
            <w:r w:rsidRPr="009B1CB0">
              <w:t xml:space="preserve">. </w:t>
            </w:r>
            <w:r>
              <w:t xml:space="preserve">MSAC noted that the </w:t>
            </w:r>
            <w:r w:rsidRPr="009B1CB0">
              <w:t xml:space="preserve">specialised clinics that would be needed to treat such patients are </w:t>
            </w:r>
            <w:r>
              <w:t>currently</w:t>
            </w:r>
            <w:r w:rsidRPr="009B1CB0">
              <w:t xml:space="preserve"> facing capacity issues, and they m</w:t>
            </w:r>
            <w:r>
              <w:t>ight</w:t>
            </w:r>
            <w:r w:rsidRPr="009B1CB0">
              <w:t xml:space="preserve"> not have the capacity for additional patients.</w:t>
            </w:r>
          </w:p>
          <w:p w14:paraId="3F11BBB9" w14:textId="54A002A4" w:rsidR="000F106C" w:rsidRPr="009B1CB0" w:rsidRDefault="002C5C36" w:rsidP="002B3D44">
            <w:pPr>
              <w:spacing w:after="160" w:line="259" w:lineRule="auto"/>
            </w:pPr>
            <w:r>
              <w:t xml:space="preserve">MSAC did not support funding for the tests used to decide if patients should have </w:t>
            </w:r>
            <w:r w:rsidRPr="00FE6941">
              <w:t>donanemab and monitor treatment</w:t>
            </w:r>
            <w:r>
              <w:t xml:space="preserve">. </w:t>
            </w:r>
            <w:r w:rsidR="00C8764F">
              <w:t>This is because t</w:t>
            </w:r>
            <w:r>
              <w:t xml:space="preserve">he </w:t>
            </w:r>
            <w:r w:rsidRPr="009B1CB0">
              <w:t xml:space="preserve">Pharmaceutical Benefits Advisory Committee (PBAC) did not </w:t>
            </w:r>
            <w:r>
              <w:t xml:space="preserve">recommend </w:t>
            </w:r>
            <w:r w:rsidRPr="009B1CB0">
              <w:t xml:space="preserve">listing donanemab on the PBS. </w:t>
            </w:r>
            <w:r>
              <w:t xml:space="preserve">The </w:t>
            </w:r>
            <w:r w:rsidRPr="009B1CB0">
              <w:t>PBAC considered the potential benefits of the drug to be too small and uncertain and this, combined with the treatment burden</w:t>
            </w:r>
            <w:r>
              <w:t xml:space="preserve"> on both patients and the health system</w:t>
            </w:r>
            <w:r w:rsidRPr="009B1CB0">
              <w:t>, makes it unsuitable for listing on the PBS.</w:t>
            </w:r>
            <w:r w:rsidR="00707CBC">
              <w:t xml:space="preserve"> </w:t>
            </w:r>
            <w:r w:rsidR="00707CBC" w:rsidRPr="00707CBC">
              <w:t xml:space="preserve">MSAC considered that there were too many issues with the proposed tests, making it difficult to determine the safety, clinical effectiveness and value for money with the proposed services for listing on the MBS. </w:t>
            </w:r>
          </w:p>
          <w:p w14:paraId="0371151A" w14:textId="1F4E0E5C" w:rsidR="00AE280B" w:rsidRPr="00FF1821" w:rsidRDefault="00AE280B" w:rsidP="00C37CB5">
            <w:pPr>
              <w:spacing w:after="160" w:line="259" w:lineRule="auto"/>
              <w:rPr>
                <w:b/>
                <w:bCs/>
              </w:rPr>
            </w:pPr>
            <w:r w:rsidRPr="00FF1821">
              <w:rPr>
                <w:b/>
                <w:bCs/>
              </w:rPr>
              <w:t xml:space="preserve">MSAC’s advice to the </w:t>
            </w:r>
            <w:proofErr w:type="gramStart"/>
            <w:r w:rsidRPr="00FF1821">
              <w:rPr>
                <w:b/>
                <w:bCs/>
              </w:rPr>
              <w:t>Commonwealth Minister</w:t>
            </w:r>
            <w:proofErr w:type="gramEnd"/>
            <w:r w:rsidRPr="00FF1821">
              <w:rPr>
                <w:b/>
                <w:bCs/>
              </w:rPr>
              <w:t xml:space="preserve"> for Health, Disability and Ageing</w:t>
            </w:r>
          </w:p>
          <w:p w14:paraId="0764B95D" w14:textId="317B06C2" w:rsidR="00AE280B" w:rsidRPr="009B1CB0" w:rsidRDefault="009B1CB0" w:rsidP="001D15E5">
            <w:pPr>
              <w:spacing w:after="160" w:line="259" w:lineRule="auto"/>
            </w:pPr>
            <w:r w:rsidRPr="009B1CB0">
              <w:t xml:space="preserve">MSAC did not support public funding of </w:t>
            </w:r>
            <w:r w:rsidRPr="003506B1">
              <w:rPr>
                <w:i/>
                <w:iCs/>
              </w:rPr>
              <w:t>APOE</w:t>
            </w:r>
            <w:r w:rsidRPr="009B1CB0">
              <w:t xml:space="preserve"> genotyping and amyloid pathology testing to determine eligibility to access donanemab. </w:t>
            </w:r>
            <w:r w:rsidR="00BE2292">
              <w:t xml:space="preserve">This was because the </w:t>
            </w:r>
            <w:r w:rsidR="00771258">
              <w:t>PBAC considered the potential benefits too small and uncertain to justify the burden of this treatment on both patients and the health system.</w:t>
            </w:r>
            <w:r w:rsidR="00E67C5A">
              <w:t xml:space="preserve"> </w:t>
            </w:r>
            <w:r w:rsidRPr="009B1CB0">
              <w:t xml:space="preserve">MSAC considered </w:t>
            </w:r>
            <w:r w:rsidR="00CA152B">
              <w:t xml:space="preserve">that </w:t>
            </w:r>
            <w:r w:rsidRPr="009B1CB0">
              <w:t xml:space="preserve">there were many issues with the </w:t>
            </w:r>
            <w:r w:rsidR="5CC53009">
              <w:t xml:space="preserve">proposed </w:t>
            </w:r>
            <w:r w:rsidRPr="009B1CB0">
              <w:t xml:space="preserve">tests, making it difficult to determine </w:t>
            </w:r>
            <w:r w:rsidR="005D7D01">
              <w:t xml:space="preserve">the </w:t>
            </w:r>
            <w:r w:rsidR="007F52DE">
              <w:t xml:space="preserve">safety, clinical </w:t>
            </w:r>
            <w:r w:rsidRPr="009B1CB0">
              <w:t>effectiveness and value for money</w:t>
            </w:r>
            <w:r w:rsidR="005D7D01">
              <w:t xml:space="preserve"> with the proposed </w:t>
            </w:r>
            <w:r w:rsidR="5B6F6246">
              <w:t xml:space="preserve">services for </w:t>
            </w:r>
            <w:r w:rsidR="08A8AF78">
              <w:t>listing</w:t>
            </w:r>
            <w:r w:rsidR="220A68B6">
              <w:t xml:space="preserve"> on the MBS</w:t>
            </w:r>
            <w:r w:rsidR="5B89BFF0">
              <w:t>.</w:t>
            </w:r>
            <w:r w:rsidRPr="009B1CB0">
              <w:t xml:space="preserve"> The potential financial impact to the MBS would also be </w:t>
            </w:r>
            <w:r w:rsidR="007211A1">
              <w:t>substantial</w:t>
            </w:r>
            <w:r w:rsidRPr="009B1CB0">
              <w:t xml:space="preserve">. In addition, there are multiple implementation, equity and access issues that would need to be resolved. </w:t>
            </w:r>
          </w:p>
        </w:tc>
      </w:tr>
    </w:tbl>
    <w:p w14:paraId="176CED5D" w14:textId="34F5CC01" w:rsidR="00AE280B" w:rsidRPr="00AE280B" w:rsidRDefault="00AE280B" w:rsidP="007912EF">
      <w:pPr>
        <w:pStyle w:val="Heading2"/>
        <w:numPr>
          <w:ilvl w:val="0"/>
          <w:numId w:val="35"/>
        </w:numPr>
        <w:spacing w:after="240"/>
        <w:ind w:left="720" w:hanging="720"/>
        <w:rPr>
          <w:rFonts w:ascii="Franklin Gothic Medium" w:hAnsi="Franklin Gothic Medium"/>
          <w:b w:val="0"/>
          <w:i w:val="0"/>
          <w:snapToGrid/>
          <w:sz w:val="32"/>
          <w:szCs w:val="26"/>
        </w:rPr>
      </w:pPr>
      <w:r w:rsidRPr="00AE280B">
        <w:rPr>
          <w:rFonts w:ascii="Franklin Gothic Medium" w:hAnsi="Franklin Gothic Medium"/>
          <w:b w:val="0"/>
          <w:i w:val="0"/>
          <w:snapToGrid/>
          <w:sz w:val="32"/>
          <w:szCs w:val="26"/>
        </w:rPr>
        <w:lastRenderedPageBreak/>
        <w:t>Summary of consideration and rationale for MSAC’s advice</w:t>
      </w:r>
    </w:p>
    <w:p w14:paraId="75D3192B" w14:textId="61616A23" w:rsidR="000A0989" w:rsidRPr="006910F0" w:rsidRDefault="00912454" w:rsidP="00FF1821">
      <w:bookmarkStart w:id="5" w:name="_Toc198735644"/>
      <w:bookmarkEnd w:id="3"/>
      <w:bookmarkEnd w:id="4"/>
      <w:r w:rsidRPr="006910F0">
        <w:t xml:space="preserve">MSAC noted that this codependent application from Eli Lilly Australia Pty Ltd was for the </w:t>
      </w:r>
      <w:r w:rsidR="0003659A" w:rsidRPr="006910F0">
        <w:t xml:space="preserve">proposed </w:t>
      </w:r>
      <w:r w:rsidRPr="006910F0">
        <w:t>MBS listing of A</w:t>
      </w:r>
      <w:r w:rsidR="001830BE" w:rsidRPr="006910F0">
        <w:rPr>
          <w:rFonts w:cs="Calibri"/>
        </w:rPr>
        <w:t>β</w:t>
      </w:r>
      <w:r w:rsidRPr="006910F0">
        <w:t xml:space="preserve"> </w:t>
      </w:r>
      <w:r w:rsidR="00D8293E" w:rsidRPr="006910F0">
        <w:t xml:space="preserve">pathology testing using either </w:t>
      </w:r>
      <w:r w:rsidR="001830BE" w:rsidRPr="006910F0">
        <w:t>A</w:t>
      </w:r>
      <w:r w:rsidR="001830BE" w:rsidRPr="006910F0">
        <w:rPr>
          <w:rFonts w:cs="Calibri"/>
        </w:rPr>
        <w:t>β</w:t>
      </w:r>
      <w:r w:rsidR="001830BE" w:rsidRPr="006910F0">
        <w:t>-</w:t>
      </w:r>
      <w:r w:rsidRPr="006910F0">
        <w:t xml:space="preserve">PET scanning </w:t>
      </w:r>
      <w:r w:rsidR="00CC2BF6" w:rsidRPr="006910F0">
        <w:t xml:space="preserve">of the brain or </w:t>
      </w:r>
      <w:r w:rsidRPr="006910F0">
        <w:t>CSF AD protein biomarker testing</w:t>
      </w:r>
      <w:r w:rsidR="005F2580">
        <w:t xml:space="preserve"> (amyloid and tau proteins)</w:t>
      </w:r>
      <w:r w:rsidR="00CC2BF6" w:rsidRPr="006910F0">
        <w:t xml:space="preserve">, </w:t>
      </w:r>
      <w:r w:rsidR="006422AA">
        <w:t xml:space="preserve">and </w:t>
      </w:r>
      <w:r w:rsidR="006422AA" w:rsidRPr="006910F0">
        <w:rPr>
          <w:i/>
        </w:rPr>
        <w:t>APOE</w:t>
      </w:r>
      <w:r w:rsidR="006422AA" w:rsidRPr="006910F0">
        <w:t xml:space="preserve"> genotyping before A</w:t>
      </w:r>
      <w:r w:rsidR="006422AA" w:rsidRPr="006910F0">
        <w:rPr>
          <w:rFonts w:cs="Calibri"/>
        </w:rPr>
        <w:t>β</w:t>
      </w:r>
      <w:r w:rsidR="006422AA" w:rsidRPr="006910F0">
        <w:t xml:space="preserve"> pathology testing, </w:t>
      </w:r>
      <w:r w:rsidRPr="006910F0">
        <w:t>in patients with a clinical diagnosis of MCI due to AD or mild A</w:t>
      </w:r>
      <w:r w:rsidR="00B32A23" w:rsidRPr="006910F0">
        <w:t>lzheimer dementia</w:t>
      </w:r>
      <w:r w:rsidRPr="006910F0">
        <w:t xml:space="preserve"> (hereafter referred to collectively as early symptomatic AD), to determine eligibility for PBS-subsidised donanemab treatment.</w:t>
      </w:r>
      <w:r w:rsidR="00DD0C37" w:rsidRPr="006910F0">
        <w:t xml:space="preserve"> </w:t>
      </w:r>
    </w:p>
    <w:p w14:paraId="76DB3AC9" w14:textId="029AF2F4" w:rsidR="00A93BDB" w:rsidRDefault="0054527C" w:rsidP="00FF1821">
      <w:r>
        <w:t xml:space="preserve">MSAC noted that donanemab is the first </w:t>
      </w:r>
      <w:r w:rsidR="007B43A3">
        <w:t xml:space="preserve">drug </w:t>
      </w:r>
      <w:r w:rsidR="00872614">
        <w:t>to be</w:t>
      </w:r>
      <w:r w:rsidR="00A74FAF">
        <w:t xml:space="preserve"> regist</w:t>
      </w:r>
      <w:r w:rsidR="00872614">
        <w:t xml:space="preserve">ered on the </w:t>
      </w:r>
      <w:r w:rsidR="00872614" w:rsidRPr="00872614">
        <w:t>Australian Register of Therapeutic Goods (ARTG)</w:t>
      </w:r>
      <w:r w:rsidR="00872614">
        <w:t xml:space="preserve"> </w:t>
      </w:r>
      <w:r w:rsidR="00A74FAF">
        <w:t xml:space="preserve">by the </w:t>
      </w:r>
      <w:r w:rsidR="00A74FAF" w:rsidRPr="00A74FAF">
        <w:t>Therapeutic Goods Administration (TGA)-</w:t>
      </w:r>
      <w:r w:rsidR="007B43A3">
        <w:t xml:space="preserve">for </w:t>
      </w:r>
      <w:r w:rsidR="00054296">
        <w:t xml:space="preserve">the </w:t>
      </w:r>
      <w:r w:rsidR="007B43A3">
        <w:t xml:space="preserve">treatment </w:t>
      </w:r>
      <w:r w:rsidR="00054296">
        <w:t>of</w:t>
      </w:r>
      <w:r w:rsidR="007B43A3">
        <w:t xml:space="preserve"> patients with early symptomatic </w:t>
      </w:r>
      <w:r w:rsidR="00597021">
        <w:t>AD</w:t>
      </w:r>
      <w:r w:rsidR="00B01114">
        <w:t xml:space="preserve"> and who are </w:t>
      </w:r>
      <w:r w:rsidR="00B01114" w:rsidRPr="00B01114">
        <w:rPr>
          <w:i/>
          <w:iCs/>
        </w:rPr>
        <w:t>APOE4</w:t>
      </w:r>
      <w:r w:rsidR="00B01114">
        <w:t xml:space="preserve"> heterozygotes or non-carriers</w:t>
      </w:r>
      <w:r w:rsidR="007B43A3">
        <w:t xml:space="preserve">. </w:t>
      </w:r>
    </w:p>
    <w:p w14:paraId="4FEE5D13" w14:textId="209B25CC" w:rsidR="00F934EC" w:rsidRDefault="00CB71EF" w:rsidP="1B4AE57D">
      <w:pPr>
        <w:spacing w:line="257" w:lineRule="auto"/>
        <w:rPr>
          <w:rFonts w:eastAsia="Franklin Gothic Book" w:cs="Franklin Gothic Book"/>
        </w:rPr>
      </w:pPr>
      <w:r>
        <w:t xml:space="preserve">MSAC noted that there were 2 relevant </w:t>
      </w:r>
      <w:r w:rsidR="006A151D">
        <w:t xml:space="preserve">previous </w:t>
      </w:r>
      <w:r>
        <w:t>applications (</w:t>
      </w:r>
      <w:r w:rsidR="009853C1">
        <w:t xml:space="preserve">MSAC application </w:t>
      </w:r>
      <w:hyperlink r:id="rId12" w:history="1">
        <w:hyperlink r:id="rId13" w:history="1">
          <w:r w:rsidR="004A47C4" w:rsidRPr="00284211">
            <w:rPr>
              <w:rStyle w:val="Hyperlink"/>
              <w:color w:val="005791"/>
            </w:rPr>
            <w:t>1643</w:t>
          </w:r>
        </w:hyperlink>
      </w:hyperlink>
      <w:r w:rsidR="004A47C4">
        <w:t xml:space="preserve"> and </w:t>
      </w:r>
      <w:hyperlink r:id="rId14" w:history="1">
        <w:r w:rsidR="004A47C4" w:rsidRPr="00284211">
          <w:rPr>
            <w:rStyle w:val="Hyperlink"/>
            <w:color w:val="007BB8"/>
          </w:rPr>
          <w:t>1738</w:t>
        </w:r>
      </w:hyperlink>
      <w:r w:rsidR="004A47C4">
        <w:t xml:space="preserve">) which requested </w:t>
      </w:r>
      <w:r w:rsidR="00872614">
        <w:t>public funding for</w:t>
      </w:r>
      <w:r w:rsidR="002E522E">
        <w:t xml:space="preserve"> A</w:t>
      </w:r>
      <w:r w:rsidR="002E522E">
        <w:rPr>
          <w:rFonts w:ascii="Calibri" w:hAnsi="Calibri" w:cs="Calibri"/>
        </w:rPr>
        <w:t>β</w:t>
      </w:r>
      <w:r w:rsidR="002E522E">
        <w:t xml:space="preserve">-PET scan of the brain and CSF AD protein biomarker testing, to determine eligibility for </w:t>
      </w:r>
      <w:r w:rsidR="00D51169">
        <w:t>a PBS-subsidised drug</w:t>
      </w:r>
      <w:r w:rsidR="001D5791">
        <w:t xml:space="preserve"> (a</w:t>
      </w:r>
      <w:r w:rsidR="002E522E">
        <w:t>ducanumab</w:t>
      </w:r>
      <w:r w:rsidR="001D5791">
        <w:t xml:space="preserve"> and </w:t>
      </w:r>
      <w:proofErr w:type="spellStart"/>
      <w:r w:rsidR="001D5791">
        <w:t>lecanemab</w:t>
      </w:r>
      <w:proofErr w:type="spellEnd"/>
      <w:r w:rsidR="001D5791">
        <w:t>, respectively</w:t>
      </w:r>
      <w:r w:rsidR="002E522E">
        <w:t xml:space="preserve">) in patients with early-stage </w:t>
      </w:r>
      <w:r w:rsidR="001D5791">
        <w:t>AD</w:t>
      </w:r>
      <w:r w:rsidR="002E522E" w:rsidRPr="00912454">
        <w:t>.</w:t>
      </w:r>
      <w:r w:rsidR="001335B5">
        <w:t xml:space="preserve"> </w:t>
      </w:r>
      <w:r w:rsidR="00D84BB3">
        <w:t xml:space="preserve">However, neither </w:t>
      </w:r>
      <w:r w:rsidR="00C363CA">
        <w:t xml:space="preserve">was TGA-registered nor </w:t>
      </w:r>
      <w:r w:rsidR="00FD7BC6">
        <w:t xml:space="preserve">progressed to MSAC </w:t>
      </w:r>
      <w:r w:rsidR="00872614">
        <w:t>for</w:t>
      </w:r>
      <w:r w:rsidR="00FD7BC6">
        <w:t xml:space="preserve"> consideration. </w:t>
      </w:r>
    </w:p>
    <w:p w14:paraId="338070CE" w14:textId="7B05D77A" w:rsidR="00912454" w:rsidRPr="00912454" w:rsidRDefault="00C223A5" w:rsidP="00FF1821">
      <w:r w:rsidRPr="00912454">
        <w:t>MSAC noted that th</w:t>
      </w:r>
      <w:r>
        <w:t xml:space="preserve">e current application </w:t>
      </w:r>
      <w:r w:rsidRPr="00912454">
        <w:t>bypassed PASC</w:t>
      </w:r>
      <w:r w:rsidR="00EA3F5D">
        <w:t xml:space="preserve"> due to the </w:t>
      </w:r>
      <w:r w:rsidR="003B4DE3">
        <w:t>existence of a relevant PICO</w:t>
      </w:r>
      <w:r w:rsidR="00077CE7">
        <w:t xml:space="preserve"> </w:t>
      </w:r>
      <w:r w:rsidR="004B11D4">
        <w:t xml:space="preserve">Confirmation ratified by </w:t>
      </w:r>
      <w:r w:rsidR="009A5ED3">
        <w:t>PASC</w:t>
      </w:r>
      <w:r w:rsidR="004E63AE">
        <w:t xml:space="preserve"> in April 2021</w:t>
      </w:r>
      <w:r w:rsidR="00535D2B">
        <w:t xml:space="preserve"> </w:t>
      </w:r>
      <w:r w:rsidR="00BA6BBC">
        <w:t>(</w:t>
      </w:r>
      <w:r w:rsidR="00F63845">
        <w:t>MSAC application 1643</w:t>
      </w:r>
      <w:r w:rsidR="00BA6BBC">
        <w:t>)</w:t>
      </w:r>
      <w:r w:rsidR="00535D2B">
        <w:t>.</w:t>
      </w:r>
      <w:r w:rsidR="008A2B54">
        <w:t xml:space="preserve"> However, MSAC noted that </w:t>
      </w:r>
      <w:r w:rsidR="008A2B54" w:rsidRPr="006A0CDE">
        <w:rPr>
          <w:i/>
          <w:iCs/>
        </w:rPr>
        <w:t>APOE</w:t>
      </w:r>
      <w:r w:rsidR="008A2B54">
        <w:t xml:space="preserve"> genotyping was not </w:t>
      </w:r>
      <w:r w:rsidR="00186B2C">
        <w:t xml:space="preserve">included as part of the proposed clinical management algorithm in the </w:t>
      </w:r>
      <w:r w:rsidR="006A0CDE">
        <w:t>Ratified PICO Confirmation.</w:t>
      </w:r>
      <w:r w:rsidR="00BA6BBC">
        <w:t xml:space="preserve"> </w:t>
      </w:r>
    </w:p>
    <w:p w14:paraId="63A497A0" w14:textId="77777777" w:rsidR="00513076" w:rsidRDefault="00912454" w:rsidP="00572D5A">
      <w:r w:rsidRPr="00912454">
        <w:lastRenderedPageBreak/>
        <w:t>MSAC acknowledged t</w:t>
      </w:r>
      <w:r w:rsidR="00691E0B">
        <w:t xml:space="preserve">hat there is a </w:t>
      </w:r>
      <w:r w:rsidRPr="00912454">
        <w:t xml:space="preserve">high clinical need for effective treatments for early symptomatic AD. </w:t>
      </w:r>
      <w:r w:rsidR="005214B7">
        <w:t xml:space="preserve">MSAC noted that </w:t>
      </w:r>
      <w:r w:rsidRPr="00912454">
        <w:t xml:space="preserve">dementia </w:t>
      </w:r>
      <w:r w:rsidR="005214B7">
        <w:t>wa</w:t>
      </w:r>
      <w:r w:rsidRPr="00912454">
        <w:t>s the second</w:t>
      </w:r>
      <w:r w:rsidR="000E4FDE">
        <w:t xml:space="preserve"> </w:t>
      </w:r>
      <w:r w:rsidR="005214B7">
        <w:t xml:space="preserve">leading cause of </w:t>
      </w:r>
      <w:r w:rsidR="000E4FDE">
        <w:t xml:space="preserve">burden </w:t>
      </w:r>
      <w:r w:rsidR="006F3657">
        <w:t xml:space="preserve">of disease </w:t>
      </w:r>
      <w:r w:rsidR="000E4FDE">
        <w:t xml:space="preserve">in </w:t>
      </w:r>
      <w:r w:rsidR="006F3657">
        <w:t>Australia in 2023, behind coronary heart disease</w:t>
      </w:r>
      <w:r w:rsidR="00091B7D">
        <w:t>, and was</w:t>
      </w:r>
      <w:r w:rsidRPr="00912454">
        <w:t xml:space="preserve"> the second</w:t>
      </w:r>
      <w:r w:rsidR="00DD7F53">
        <w:t xml:space="preserve"> </w:t>
      </w:r>
      <w:r w:rsidRPr="00912454">
        <w:t xml:space="preserve">leading cause of death in </w:t>
      </w:r>
      <w:r w:rsidR="005C6B32">
        <w:t>2022</w:t>
      </w:r>
      <w:r w:rsidRPr="00912454">
        <w:t>.</w:t>
      </w:r>
      <w:r w:rsidR="00091B7D">
        <w:rPr>
          <w:rStyle w:val="FootnoteReference"/>
        </w:rPr>
        <w:footnoteReference w:id="2"/>
      </w:r>
      <w:r w:rsidR="00572D5A">
        <w:t xml:space="preserve"> </w:t>
      </w:r>
    </w:p>
    <w:p w14:paraId="129DF34C" w14:textId="2A285164" w:rsidR="00572D5A" w:rsidRPr="00912454" w:rsidRDefault="00572D5A" w:rsidP="00572D5A">
      <w:r w:rsidRPr="00912454">
        <w:t xml:space="preserve">MSAC noted </w:t>
      </w:r>
      <w:r w:rsidR="00535AB3">
        <w:t xml:space="preserve">the </w:t>
      </w:r>
      <w:r w:rsidR="00070FB9" w:rsidRPr="00070FB9">
        <w:fldChar w:fldCharType="begin"/>
      </w:r>
      <w:r w:rsidR="00070FB9" w:rsidRPr="00070FB9">
        <w:instrText xml:space="preserve"> REF _Ref206148601 \h  \* MERGEFORMAT </w:instrText>
      </w:r>
      <w:r w:rsidR="00070FB9" w:rsidRPr="00070FB9">
        <w:fldChar w:fldCharType="separate"/>
      </w:r>
      <w:r w:rsidR="00872614">
        <w:t>s</w:t>
      </w:r>
      <w:r w:rsidR="00070FB9" w:rsidRPr="00070FB9">
        <w:t>ummary of public consultation input</w:t>
      </w:r>
      <w:r w:rsidR="00070FB9" w:rsidRPr="00070FB9">
        <w:fldChar w:fldCharType="end"/>
      </w:r>
      <w:r w:rsidR="00070FB9">
        <w:t xml:space="preserve"> </w:t>
      </w:r>
      <w:r w:rsidRPr="00912454">
        <w:t xml:space="preserve">and welcomed the consumer </w:t>
      </w:r>
      <w:r w:rsidR="007A7ED1">
        <w:t xml:space="preserve">(n=3) </w:t>
      </w:r>
      <w:r w:rsidR="00740F68">
        <w:t xml:space="preserve">and organisation </w:t>
      </w:r>
      <w:r w:rsidR="007A7ED1">
        <w:t xml:space="preserve">(n=5) </w:t>
      </w:r>
      <w:r w:rsidRPr="00912454">
        <w:t>feedback</w:t>
      </w:r>
      <w:r w:rsidR="00740F68">
        <w:t xml:space="preserve"> received</w:t>
      </w:r>
      <w:r w:rsidR="004F0DAA">
        <w:t>.</w:t>
      </w:r>
      <w:r w:rsidRPr="00912454">
        <w:t xml:space="preserve"> </w:t>
      </w:r>
      <w:r w:rsidR="004F0DAA">
        <w:t>MSAC noted that the organisation feedback</w:t>
      </w:r>
      <w:r w:rsidRPr="00912454">
        <w:t xml:space="preserve"> was </w:t>
      </w:r>
      <w:r w:rsidR="00C526B9">
        <w:t>broadly</w:t>
      </w:r>
      <w:r w:rsidRPr="00912454">
        <w:t xml:space="preserve"> supportive </w:t>
      </w:r>
      <w:r w:rsidR="00885830">
        <w:t>while the individual feedback was mixed</w:t>
      </w:r>
      <w:r w:rsidR="00FA17E4">
        <w:t>.</w:t>
      </w:r>
    </w:p>
    <w:p w14:paraId="495C4C78" w14:textId="0FB51349" w:rsidR="00912454" w:rsidRPr="00912454" w:rsidRDefault="00912454" w:rsidP="00912454">
      <w:r w:rsidRPr="00912454">
        <w:t>The applicant was granted a hearing</w:t>
      </w:r>
      <w:r w:rsidR="00924CF7">
        <w:t xml:space="preserve"> at the MSAC meeting</w:t>
      </w:r>
      <w:r w:rsidR="005D55EC">
        <w:t xml:space="preserve"> in July 2025</w:t>
      </w:r>
      <w:r w:rsidRPr="00912454">
        <w:t xml:space="preserve">. </w:t>
      </w:r>
    </w:p>
    <w:p w14:paraId="7A1B05A6" w14:textId="5E6188F9" w:rsidR="00912454" w:rsidRPr="00912454" w:rsidRDefault="00912454" w:rsidP="00912454">
      <w:r w:rsidRPr="00912454">
        <w:t xml:space="preserve">MSAC noted that PBAC </w:t>
      </w:r>
      <w:r w:rsidR="00034D8E" w:rsidRPr="00034D8E">
        <w:t xml:space="preserve">considered the potential benefits of donanemab treatment too small and uncertain to justify the high burden of treatment on patients and </w:t>
      </w:r>
      <w:r w:rsidR="00872614">
        <w:t>the health system</w:t>
      </w:r>
      <w:r w:rsidR="00034D8E" w:rsidRPr="00034D8E">
        <w:t xml:space="preserve"> and did not recommend </w:t>
      </w:r>
      <w:r w:rsidR="00912E20">
        <w:t xml:space="preserve">the proposed </w:t>
      </w:r>
      <w:r w:rsidR="00034D8E" w:rsidRPr="00034D8E">
        <w:t xml:space="preserve">listing </w:t>
      </w:r>
      <w:r w:rsidR="00912E20">
        <w:t xml:space="preserve">of </w:t>
      </w:r>
      <w:r w:rsidR="00034D8E" w:rsidRPr="00034D8E">
        <w:t>donanemab on the PBS at its July 2025 meeting</w:t>
      </w:r>
      <w:r w:rsidRPr="00912454">
        <w:t>.</w:t>
      </w:r>
    </w:p>
    <w:p w14:paraId="79B4AC1C" w14:textId="61624A59" w:rsidR="00912454" w:rsidRPr="00912454" w:rsidRDefault="00912454" w:rsidP="00912454">
      <w:r w:rsidRPr="00912454">
        <w:t>MSAC noted that the TGA</w:t>
      </w:r>
      <w:r w:rsidR="000F6998">
        <w:t xml:space="preserve"> did not approve</w:t>
      </w:r>
      <w:r w:rsidR="008751D4">
        <w:t xml:space="preserve"> the use of</w:t>
      </w:r>
      <w:r w:rsidRPr="00912454">
        <w:t xml:space="preserve"> donanemab in </w:t>
      </w:r>
      <w:r w:rsidR="00B72DE1" w:rsidRPr="004312AE">
        <w:rPr>
          <w:i/>
        </w:rPr>
        <w:t>APOE</w:t>
      </w:r>
      <w:r w:rsidR="00710D19" w:rsidRPr="004312AE">
        <w:rPr>
          <w:i/>
        </w:rPr>
        <w:t>4</w:t>
      </w:r>
      <w:r w:rsidR="00EE134F">
        <w:t xml:space="preserve"> </w:t>
      </w:r>
      <w:r w:rsidR="004C01EB">
        <w:t xml:space="preserve">homozygous </w:t>
      </w:r>
      <w:r w:rsidRPr="00912454">
        <w:t xml:space="preserve">patients </w:t>
      </w:r>
      <w:r w:rsidR="00B92A05">
        <w:t>owing</w:t>
      </w:r>
      <w:r w:rsidRPr="00912454">
        <w:t xml:space="preserve"> to the higher rates of amyloid-related imaging abnormalities (ARIA) observed in these patients</w:t>
      </w:r>
      <w:r w:rsidR="005119B4">
        <w:t xml:space="preserve"> </w:t>
      </w:r>
      <w:r w:rsidR="007C5922">
        <w:t xml:space="preserve">receiving donanemab treatment </w:t>
      </w:r>
      <w:r w:rsidR="005119B4">
        <w:t>in clinical trials</w:t>
      </w:r>
      <w:r w:rsidRPr="00912454">
        <w:t xml:space="preserve">. </w:t>
      </w:r>
      <w:r w:rsidR="00560983">
        <w:t>MSAC noted that</w:t>
      </w:r>
      <w:r w:rsidRPr="00912454">
        <w:t xml:space="preserve"> </w:t>
      </w:r>
      <w:r w:rsidR="00560983">
        <w:t>the current application proposed</w:t>
      </w:r>
      <w:r w:rsidRPr="00912454">
        <w:t xml:space="preserve"> patients </w:t>
      </w:r>
      <w:r w:rsidR="00C56E7C">
        <w:t xml:space="preserve">to </w:t>
      </w:r>
      <w:r w:rsidRPr="00912454">
        <w:t xml:space="preserve">undergo blood-based polymerase chain reaction (PCR) genotyping to determine their </w:t>
      </w:r>
      <w:r w:rsidR="006756B1" w:rsidRPr="004312AE">
        <w:rPr>
          <w:i/>
        </w:rPr>
        <w:t>APOE4</w:t>
      </w:r>
      <w:r w:rsidR="006756B1" w:rsidRPr="00912454">
        <w:t xml:space="preserve"> </w:t>
      </w:r>
      <w:r w:rsidRPr="00912454">
        <w:t xml:space="preserve">status. </w:t>
      </w:r>
      <w:r w:rsidR="00AF2BB4">
        <w:t xml:space="preserve">Patients who were found to be </w:t>
      </w:r>
      <w:r w:rsidR="00AF2BB4" w:rsidRPr="004312AE">
        <w:rPr>
          <w:i/>
        </w:rPr>
        <w:t>APOE4</w:t>
      </w:r>
      <w:r w:rsidR="00AF2BB4">
        <w:t xml:space="preserve"> homozygous would not be eligible for donanemab treatment. While p</w:t>
      </w:r>
      <w:r w:rsidRPr="00912454">
        <w:t xml:space="preserve">atients identified as </w:t>
      </w:r>
      <w:r w:rsidR="00E94592" w:rsidRPr="004312AE">
        <w:rPr>
          <w:i/>
        </w:rPr>
        <w:t>APOE4</w:t>
      </w:r>
      <w:r w:rsidR="00E94592">
        <w:t xml:space="preserve"> </w:t>
      </w:r>
      <w:r w:rsidR="00893FD7">
        <w:t xml:space="preserve">non-carriers or </w:t>
      </w:r>
      <w:r w:rsidRPr="00912454">
        <w:t xml:space="preserve">heterozygotes would </w:t>
      </w:r>
      <w:r w:rsidR="00AF74DF">
        <w:t>be offered</w:t>
      </w:r>
      <w:r w:rsidRPr="00912454">
        <w:t xml:space="preserve"> A</w:t>
      </w:r>
      <w:r w:rsidR="00E94592">
        <w:rPr>
          <w:rFonts w:ascii="Calibri" w:hAnsi="Calibri" w:cs="Calibri"/>
        </w:rPr>
        <w:t>β</w:t>
      </w:r>
      <w:r w:rsidRPr="00912454">
        <w:t xml:space="preserve"> pathology testing. </w:t>
      </w:r>
    </w:p>
    <w:p w14:paraId="41F3FDC3" w14:textId="67C73CB9" w:rsidR="00912454" w:rsidRPr="00912454" w:rsidRDefault="00811627" w:rsidP="004A56AB">
      <w:r>
        <w:t xml:space="preserve">MSAC noted that </w:t>
      </w:r>
      <w:r w:rsidR="009709BA">
        <w:t xml:space="preserve">while the pivotal TRAILBLAZER-ALZ 2 trial (TB2) required </w:t>
      </w:r>
      <w:r w:rsidR="002D3793">
        <w:t xml:space="preserve">participants to have amyloid pathology </w:t>
      </w:r>
      <w:r w:rsidR="001B49DC">
        <w:t xml:space="preserve">(≥37 </w:t>
      </w:r>
      <w:proofErr w:type="spellStart"/>
      <w:r w:rsidR="001B49DC">
        <w:t>Centiloids</w:t>
      </w:r>
      <w:proofErr w:type="spellEnd"/>
      <w:r w:rsidR="001B49DC">
        <w:t xml:space="preserve">) assessed with </w:t>
      </w:r>
      <w:r w:rsidR="001B49DC" w:rsidRPr="5243B293">
        <w:rPr>
          <w:vertAlign w:val="superscript"/>
        </w:rPr>
        <w:t>18</w:t>
      </w:r>
      <w:r w:rsidR="001B49DC">
        <w:t>F-florbetapir</w:t>
      </w:r>
      <w:r w:rsidR="001B49DC" w:rsidRPr="5243B293">
        <w:rPr>
          <w:vertAlign w:val="superscript"/>
        </w:rPr>
        <w:t>13</w:t>
      </w:r>
      <w:r w:rsidR="001B49DC">
        <w:t xml:space="preserve"> or </w:t>
      </w:r>
      <w:r w:rsidR="001B49DC" w:rsidRPr="5243B293">
        <w:rPr>
          <w:vertAlign w:val="superscript"/>
        </w:rPr>
        <w:t>18</w:t>
      </w:r>
      <w:r w:rsidR="001B49DC">
        <w:t>F-florbetaben</w:t>
      </w:r>
      <w:r w:rsidR="001B49DC" w:rsidRPr="5243B293">
        <w:rPr>
          <w:vertAlign w:val="superscript"/>
        </w:rPr>
        <w:t>14</w:t>
      </w:r>
      <w:r w:rsidR="001B49DC">
        <w:t xml:space="preserve"> PET</w:t>
      </w:r>
      <w:r w:rsidR="00210040">
        <w:t xml:space="preserve"> and </w:t>
      </w:r>
      <w:r w:rsidR="004A56AB">
        <w:t xml:space="preserve">presence of tau pathology assessed by </w:t>
      </w:r>
      <w:r w:rsidR="004A56AB" w:rsidRPr="5243B293">
        <w:rPr>
          <w:vertAlign w:val="superscript"/>
        </w:rPr>
        <w:t>18</w:t>
      </w:r>
      <w:r w:rsidR="004A56AB">
        <w:t xml:space="preserve">F-flortaucipir PET imaging to be </w:t>
      </w:r>
      <w:r w:rsidR="006E729D">
        <w:t>eligible</w:t>
      </w:r>
      <w:r w:rsidR="009709BA">
        <w:t xml:space="preserve">, </w:t>
      </w:r>
      <w:r w:rsidR="006E729D">
        <w:t xml:space="preserve">the </w:t>
      </w:r>
      <w:r w:rsidR="00D84F7F">
        <w:t>submission</w:t>
      </w:r>
      <w:r w:rsidR="006E729D">
        <w:t xml:space="preserve"> </w:t>
      </w:r>
      <w:r w:rsidR="009A7834">
        <w:t xml:space="preserve">did not propose using </w:t>
      </w:r>
      <w:r w:rsidR="0021112F">
        <w:t xml:space="preserve">testing for </w:t>
      </w:r>
      <w:r w:rsidR="009A7834">
        <w:t>t</w:t>
      </w:r>
      <w:r>
        <w:t xml:space="preserve">au </w:t>
      </w:r>
      <w:r w:rsidR="0021112F">
        <w:t>pathology</w:t>
      </w:r>
      <w:r w:rsidR="009A7834">
        <w:t xml:space="preserve">. MSAC </w:t>
      </w:r>
      <w:r w:rsidR="00401384">
        <w:t xml:space="preserve">considered </w:t>
      </w:r>
      <w:r w:rsidR="002F1F76">
        <w:t xml:space="preserve">that </w:t>
      </w:r>
      <w:r w:rsidR="00401384">
        <w:t>further</w:t>
      </w:r>
      <w:r w:rsidR="004A7E37">
        <w:t xml:space="preserve"> clarification</w:t>
      </w:r>
      <w:r w:rsidR="00401384">
        <w:t xml:space="preserve"> </w:t>
      </w:r>
      <w:r w:rsidR="004A7E37">
        <w:t xml:space="preserve">on the role of tau testing </w:t>
      </w:r>
      <w:r w:rsidR="002F1F76">
        <w:t xml:space="preserve">to determine </w:t>
      </w:r>
      <w:r w:rsidR="00401384">
        <w:t>eligibility to donanemab treatment</w:t>
      </w:r>
      <w:r w:rsidR="002F1F76">
        <w:t xml:space="preserve"> </w:t>
      </w:r>
      <w:r w:rsidR="0021112F">
        <w:t>would be required</w:t>
      </w:r>
      <w:r w:rsidR="00912454">
        <w:t xml:space="preserve">. MSAC </w:t>
      </w:r>
      <w:r w:rsidR="00401384">
        <w:t xml:space="preserve">also </w:t>
      </w:r>
      <w:r w:rsidR="00DA59C2">
        <w:t xml:space="preserve">considered </w:t>
      </w:r>
      <w:r w:rsidR="00912454">
        <w:t xml:space="preserve">that </w:t>
      </w:r>
      <w:r w:rsidR="00043865">
        <w:t xml:space="preserve">advice </w:t>
      </w:r>
      <w:r w:rsidR="002409FA">
        <w:t>from the</w:t>
      </w:r>
      <w:r w:rsidR="00912454">
        <w:t xml:space="preserve"> Australasian Association of Nuclear Medicine Specialists (AANMS) regarding </w:t>
      </w:r>
      <w:r w:rsidR="008F624A">
        <w:t>the availability of</w:t>
      </w:r>
      <w:r w:rsidR="00912454">
        <w:t xml:space="preserve"> tau testing</w:t>
      </w:r>
      <w:r w:rsidR="008F624A">
        <w:t xml:space="preserve"> in Australia</w:t>
      </w:r>
      <w:r w:rsidR="000F7214">
        <w:t xml:space="preserve"> would be required</w:t>
      </w:r>
      <w:r w:rsidR="00912454">
        <w:t>.</w:t>
      </w:r>
    </w:p>
    <w:p w14:paraId="1FB28439" w14:textId="1C7FD866" w:rsidR="00560983" w:rsidRPr="00CB5F98" w:rsidRDefault="3E836EDF" w:rsidP="00FF1821">
      <w:r w:rsidRPr="006A4B5B">
        <w:rPr>
          <w:rFonts w:eastAsia="Franklin Gothic Book" w:cs="Franklin Gothic Book"/>
          <w:color w:val="333333"/>
        </w:rPr>
        <w:t xml:space="preserve">MSAC </w:t>
      </w:r>
      <w:r w:rsidR="317C69EA" w:rsidRPr="5243B293">
        <w:rPr>
          <w:rFonts w:eastAsia="Franklin Gothic Book" w:cs="Franklin Gothic Book"/>
          <w:color w:val="333333"/>
        </w:rPr>
        <w:t>considered</w:t>
      </w:r>
      <w:r w:rsidRPr="006A4B5B">
        <w:rPr>
          <w:rFonts w:eastAsia="Franklin Gothic Book" w:cs="Franklin Gothic Book"/>
          <w:color w:val="333333"/>
        </w:rPr>
        <w:t xml:space="preserve"> th</w:t>
      </w:r>
      <w:r w:rsidR="5CA614CD" w:rsidRPr="5243B293">
        <w:rPr>
          <w:rFonts w:eastAsia="Franklin Gothic Book" w:cs="Franklin Gothic Book"/>
          <w:color w:val="333333"/>
        </w:rPr>
        <w:t>e broader systems requirements</w:t>
      </w:r>
      <w:r w:rsidRPr="006A4B5B">
        <w:rPr>
          <w:rFonts w:eastAsia="Franklin Gothic Book" w:cs="Franklin Gothic Book"/>
          <w:color w:val="333333"/>
        </w:rPr>
        <w:t xml:space="preserve"> associated with </w:t>
      </w:r>
      <w:r w:rsidR="1C46E909" w:rsidRPr="5243B293">
        <w:rPr>
          <w:rFonts w:eastAsia="Franklin Gothic Book" w:cs="Franklin Gothic Book"/>
          <w:color w:val="333333"/>
        </w:rPr>
        <w:t xml:space="preserve">diagnosis and </w:t>
      </w:r>
      <w:r w:rsidRPr="006A4B5B">
        <w:rPr>
          <w:rFonts w:eastAsia="Franklin Gothic Book" w:cs="Franklin Gothic Book"/>
          <w:color w:val="333333"/>
        </w:rPr>
        <w:t xml:space="preserve">the administration of </w:t>
      </w:r>
      <w:r w:rsidR="7E9A4DB1" w:rsidRPr="5243B293">
        <w:rPr>
          <w:rFonts w:eastAsia="Franklin Gothic Book" w:cs="Franklin Gothic Book"/>
          <w:color w:val="333333"/>
        </w:rPr>
        <w:t xml:space="preserve">the </w:t>
      </w:r>
      <w:r w:rsidRPr="006A4B5B">
        <w:rPr>
          <w:rFonts w:eastAsia="Franklin Gothic Book" w:cs="Franklin Gothic Book"/>
          <w:color w:val="333333"/>
        </w:rPr>
        <w:t>donanemab</w:t>
      </w:r>
      <w:r w:rsidR="354E4411" w:rsidRPr="5243B293">
        <w:rPr>
          <w:rFonts w:eastAsia="Franklin Gothic Book" w:cs="Franklin Gothic Book"/>
          <w:color w:val="333333"/>
        </w:rPr>
        <w:t xml:space="preserve"> infusion</w:t>
      </w:r>
      <w:r w:rsidRPr="006A4B5B">
        <w:rPr>
          <w:rFonts w:eastAsia="Franklin Gothic Book" w:cs="Franklin Gothic Book"/>
          <w:color w:val="333333"/>
        </w:rPr>
        <w:t xml:space="preserve"> were not adequately </w:t>
      </w:r>
      <w:r w:rsidR="6863E913" w:rsidRPr="5243B293">
        <w:rPr>
          <w:rFonts w:eastAsia="Franklin Gothic Book" w:cs="Franklin Gothic Book"/>
          <w:color w:val="333333"/>
        </w:rPr>
        <w:t>addressed</w:t>
      </w:r>
      <w:r w:rsidRPr="006A4B5B">
        <w:rPr>
          <w:rFonts w:eastAsia="Franklin Gothic Book" w:cs="Franklin Gothic Book"/>
          <w:color w:val="333333"/>
        </w:rPr>
        <w:t xml:space="preserve"> in the</w:t>
      </w:r>
      <w:r w:rsidR="6DFA1A2C" w:rsidRPr="5243B293">
        <w:rPr>
          <w:rFonts w:eastAsia="Franklin Gothic Book" w:cs="Franklin Gothic Book"/>
          <w:color w:val="333333"/>
        </w:rPr>
        <w:t xml:space="preserve"> </w:t>
      </w:r>
      <w:r w:rsidR="0088064C">
        <w:rPr>
          <w:rFonts w:eastAsia="Franklin Gothic Book" w:cs="Franklin Gothic Book"/>
          <w:color w:val="333333"/>
        </w:rPr>
        <w:t>submission</w:t>
      </w:r>
      <w:r w:rsidR="29FBFE6D" w:rsidRPr="5243B293">
        <w:rPr>
          <w:rFonts w:eastAsia="Franklin Gothic Book" w:cs="Franklin Gothic Book"/>
          <w:color w:val="333333"/>
        </w:rPr>
        <w:t xml:space="preserve">. </w:t>
      </w:r>
      <w:r w:rsidRPr="006A4B5B">
        <w:rPr>
          <w:rFonts w:eastAsia="Franklin Gothic Book" w:cs="Franklin Gothic Book"/>
          <w:color w:val="333333"/>
        </w:rPr>
        <w:t>MSAC</w:t>
      </w:r>
      <w:r w:rsidR="472B346E" w:rsidRPr="5243B293">
        <w:rPr>
          <w:rFonts w:eastAsia="Franklin Gothic Book" w:cs="Franklin Gothic Book"/>
          <w:color w:val="333333"/>
        </w:rPr>
        <w:t xml:space="preserve"> </w:t>
      </w:r>
      <w:r w:rsidR="47AB1D3C" w:rsidRPr="5243B293">
        <w:rPr>
          <w:rFonts w:eastAsia="Franklin Gothic Book" w:cs="Franklin Gothic Book"/>
          <w:color w:val="333333"/>
        </w:rPr>
        <w:t xml:space="preserve">noted </w:t>
      </w:r>
      <w:r w:rsidR="2D021713" w:rsidRPr="5243B293">
        <w:rPr>
          <w:rFonts w:eastAsia="Franklin Gothic Book" w:cs="Franklin Gothic Book"/>
          <w:color w:val="333333"/>
        </w:rPr>
        <w:t>a</w:t>
      </w:r>
      <w:r w:rsidR="47AB1D3C" w:rsidRPr="5243B293">
        <w:rPr>
          <w:rFonts w:eastAsia="Franklin Gothic Book" w:cs="Franklin Gothic Book"/>
          <w:color w:val="333333"/>
        </w:rPr>
        <w:t xml:space="preserve"> specialist multidisciplinary </w:t>
      </w:r>
      <w:r w:rsidRPr="006A4B5B">
        <w:rPr>
          <w:rFonts w:eastAsia="Franklin Gothic Book" w:cs="Franklin Gothic Book"/>
          <w:color w:val="333333"/>
        </w:rPr>
        <w:t>setting</w:t>
      </w:r>
      <w:r w:rsidR="005FCD9C" w:rsidRPr="5243B293">
        <w:rPr>
          <w:rFonts w:eastAsia="Franklin Gothic Book" w:cs="Franklin Gothic Book"/>
          <w:color w:val="333333"/>
        </w:rPr>
        <w:t xml:space="preserve"> </w:t>
      </w:r>
      <w:r w:rsidR="02227683" w:rsidRPr="5243B293">
        <w:rPr>
          <w:rFonts w:eastAsia="Franklin Gothic Book" w:cs="Franklin Gothic Book"/>
          <w:color w:val="333333"/>
        </w:rPr>
        <w:t xml:space="preserve">is </w:t>
      </w:r>
      <w:r w:rsidR="005FCD9C" w:rsidRPr="5243B293">
        <w:rPr>
          <w:rFonts w:eastAsia="Franklin Gothic Book" w:cs="Franklin Gothic Book"/>
          <w:color w:val="333333"/>
        </w:rPr>
        <w:t>required</w:t>
      </w:r>
      <w:r w:rsidRPr="006A4B5B">
        <w:rPr>
          <w:rFonts w:eastAsia="Franklin Gothic Book" w:cs="Franklin Gothic Book"/>
          <w:color w:val="333333"/>
        </w:rPr>
        <w:t xml:space="preserve"> for</w:t>
      </w:r>
      <w:r w:rsidR="509288EA" w:rsidRPr="5243B293">
        <w:rPr>
          <w:rFonts w:eastAsia="Franklin Gothic Book" w:cs="Franklin Gothic Book"/>
          <w:color w:val="333333"/>
        </w:rPr>
        <w:t xml:space="preserve"> diagnosis and</w:t>
      </w:r>
      <w:r w:rsidRPr="006A4B5B">
        <w:rPr>
          <w:rFonts w:eastAsia="Franklin Gothic Book" w:cs="Franklin Gothic Book"/>
          <w:color w:val="333333"/>
        </w:rPr>
        <w:t xml:space="preserve"> </w:t>
      </w:r>
      <w:proofErr w:type="gramStart"/>
      <w:r w:rsidR="738D226F" w:rsidRPr="5243B293">
        <w:rPr>
          <w:rFonts w:eastAsia="Franklin Gothic Book" w:cs="Franklin Gothic Book"/>
          <w:color w:val="333333"/>
        </w:rPr>
        <w:t>treatment</w:t>
      </w:r>
      <w:r w:rsidR="56BDCC6B" w:rsidRPr="5243B293">
        <w:rPr>
          <w:rFonts w:eastAsia="Franklin Gothic Book" w:cs="Franklin Gothic Book"/>
          <w:color w:val="333333"/>
        </w:rPr>
        <w:t>,</w:t>
      </w:r>
      <w:r w:rsidR="78AA0EBF" w:rsidRPr="5243B293">
        <w:rPr>
          <w:rFonts w:eastAsia="Franklin Gothic Book" w:cs="Franklin Gothic Book"/>
          <w:color w:val="333333"/>
        </w:rPr>
        <w:t xml:space="preserve"> </w:t>
      </w:r>
      <w:r w:rsidR="00E078CB">
        <w:rPr>
          <w:rFonts w:eastAsia="Franklin Gothic Book" w:cs="Franklin Gothic Book"/>
          <w:color w:val="333333"/>
        </w:rPr>
        <w:t>and</w:t>
      </w:r>
      <w:proofErr w:type="gramEnd"/>
      <w:r w:rsidR="7D970426" w:rsidRPr="5243B293">
        <w:rPr>
          <w:rFonts w:eastAsia="Franklin Gothic Book" w:cs="Franklin Gothic Book"/>
          <w:color w:val="333333"/>
        </w:rPr>
        <w:t xml:space="preserve"> noted </w:t>
      </w:r>
      <w:r w:rsidR="4C0BD5B1" w:rsidRPr="5243B293">
        <w:rPr>
          <w:rFonts w:eastAsia="Franklin Gothic Book" w:cs="Franklin Gothic Book"/>
          <w:color w:val="333333"/>
        </w:rPr>
        <w:t xml:space="preserve">the department’s </w:t>
      </w:r>
      <w:r w:rsidR="7D970426" w:rsidRPr="5243B293">
        <w:rPr>
          <w:rFonts w:eastAsia="Franklin Gothic Book" w:cs="Franklin Gothic Book"/>
          <w:color w:val="333333"/>
        </w:rPr>
        <w:t>advice that attendance items could currently be used to support administration, but th</w:t>
      </w:r>
      <w:r w:rsidR="337737E4" w:rsidRPr="5243B293">
        <w:rPr>
          <w:rFonts w:eastAsia="Franklin Gothic Book" w:cs="Franklin Gothic Book"/>
          <w:color w:val="333333"/>
        </w:rPr>
        <w:t>ese items do not enable nurse</w:t>
      </w:r>
      <w:r w:rsidR="00E078CB">
        <w:rPr>
          <w:rFonts w:eastAsia="Franklin Gothic Book" w:cs="Franklin Gothic Book"/>
          <w:color w:val="333333"/>
        </w:rPr>
        <w:t>-</w:t>
      </w:r>
      <w:r w:rsidR="337737E4" w:rsidRPr="5243B293">
        <w:rPr>
          <w:rFonts w:eastAsia="Franklin Gothic Book" w:cs="Franklin Gothic Book"/>
          <w:color w:val="333333"/>
        </w:rPr>
        <w:t>led delivery.</w:t>
      </w:r>
      <w:r w:rsidR="40C7D423" w:rsidRPr="5243B293">
        <w:rPr>
          <w:rFonts w:eastAsia="Franklin Gothic Book" w:cs="Franklin Gothic Book"/>
          <w:color w:val="333333"/>
        </w:rPr>
        <w:t xml:space="preserve"> MSAC considered</w:t>
      </w:r>
      <w:r w:rsidR="6329644A" w:rsidRPr="5243B293">
        <w:rPr>
          <w:rFonts w:eastAsia="Franklin Gothic Book" w:cs="Franklin Gothic Book"/>
          <w:color w:val="333333"/>
        </w:rPr>
        <w:t xml:space="preserve"> the </w:t>
      </w:r>
      <w:r w:rsidR="3E156E81" w:rsidRPr="5243B293">
        <w:rPr>
          <w:rFonts w:eastAsia="Franklin Gothic Book" w:cs="Franklin Gothic Book"/>
          <w:color w:val="333333"/>
        </w:rPr>
        <w:t>model of care,</w:t>
      </w:r>
      <w:r w:rsidR="755AFE21" w:rsidRPr="5243B293">
        <w:rPr>
          <w:rFonts w:eastAsia="Franklin Gothic Book" w:cs="Franklin Gothic Book"/>
          <w:color w:val="333333"/>
        </w:rPr>
        <w:t xml:space="preserve"> including</w:t>
      </w:r>
      <w:r w:rsidR="3BEC9B18" w:rsidRPr="5243B293">
        <w:rPr>
          <w:rFonts w:eastAsia="Franklin Gothic Book" w:cs="Franklin Gothic Book"/>
          <w:color w:val="333333"/>
        </w:rPr>
        <w:t xml:space="preserve"> </w:t>
      </w:r>
      <w:r w:rsidR="3AAF7DAE" w:rsidRPr="5243B293">
        <w:rPr>
          <w:rFonts w:eastAsia="Franklin Gothic Book" w:cs="Franklin Gothic Book"/>
          <w:color w:val="333333"/>
        </w:rPr>
        <w:t>the</w:t>
      </w:r>
      <w:r w:rsidR="755AFE21" w:rsidRPr="5243B293">
        <w:rPr>
          <w:rFonts w:eastAsia="Franklin Gothic Book" w:cs="Franklin Gothic Book"/>
          <w:color w:val="333333"/>
        </w:rPr>
        <w:t xml:space="preserve"> administration of the infusion</w:t>
      </w:r>
      <w:r w:rsidR="658DC83E" w:rsidRPr="5243B293">
        <w:rPr>
          <w:rFonts w:eastAsia="Franklin Gothic Book" w:cs="Franklin Gothic Book"/>
          <w:color w:val="333333"/>
        </w:rPr>
        <w:t>,</w:t>
      </w:r>
      <w:r w:rsidR="755AFE21" w:rsidRPr="5243B293">
        <w:rPr>
          <w:rFonts w:eastAsia="Franklin Gothic Book" w:cs="Franklin Gothic Book"/>
          <w:color w:val="333333"/>
        </w:rPr>
        <w:t xml:space="preserve"> </w:t>
      </w:r>
      <w:r w:rsidR="3AD88BA7" w:rsidRPr="5243B293">
        <w:rPr>
          <w:rFonts w:eastAsia="Franklin Gothic Book" w:cs="Franklin Gothic Book"/>
          <w:color w:val="333333"/>
        </w:rPr>
        <w:t>required review to</w:t>
      </w:r>
      <w:r w:rsidR="61DF51B4" w:rsidRPr="5243B293">
        <w:rPr>
          <w:rFonts w:eastAsia="Franklin Gothic Book" w:cs="Franklin Gothic Book"/>
          <w:color w:val="333333"/>
        </w:rPr>
        <w:t xml:space="preserve"> determine</w:t>
      </w:r>
      <w:r w:rsidR="3AD88BA7" w:rsidRPr="5243B293">
        <w:rPr>
          <w:rFonts w:eastAsia="Franklin Gothic Book" w:cs="Franklin Gothic Book"/>
          <w:color w:val="333333"/>
        </w:rPr>
        <w:t xml:space="preserve"> whether additional MBS items </w:t>
      </w:r>
      <w:r w:rsidR="205D3402" w:rsidRPr="5243B293">
        <w:rPr>
          <w:rFonts w:eastAsia="Franklin Gothic Book" w:cs="Franklin Gothic Book"/>
          <w:color w:val="333333"/>
        </w:rPr>
        <w:t>are</w:t>
      </w:r>
      <w:r w:rsidR="3AD88BA7" w:rsidRPr="5243B293">
        <w:rPr>
          <w:rFonts w:eastAsia="Franklin Gothic Book" w:cs="Franklin Gothic Book"/>
          <w:color w:val="333333"/>
        </w:rPr>
        <w:t xml:space="preserve"> required</w:t>
      </w:r>
      <w:r w:rsidR="3AD88BA7" w:rsidRPr="1B4AE57D">
        <w:rPr>
          <w:rFonts w:eastAsia="Franklin Gothic Book" w:cs="Franklin Gothic Book"/>
          <w:color w:val="333333"/>
        </w:rPr>
        <w:t>.</w:t>
      </w:r>
      <w:r w:rsidR="218BE100" w:rsidRPr="1B4AE57D">
        <w:rPr>
          <w:rFonts w:eastAsia="Franklin Gothic Book" w:cs="Franklin Gothic Book"/>
          <w:color w:val="333333"/>
        </w:rPr>
        <w:t xml:space="preserve"> MSAC noted the department’s advice that the requirement for each patient undergoing </w:t>
      </w:r>
      <w:r w:rsidR="4B841CCB" w:rsidRPr="1B4AE57D">
        <w:rPr>
          <w:rFonts w:eastAsia="Franklin Gothic Book" w:cs="Franklin Gothic Book"/>
          <w:color w:val="333333"/>
        </w:rPr>
        <w:t xml:space="preserve">donanemab </w:t>
      </w:r>
      <w:r w:rsidR="218BE100" w:rsidRPr="1B4AE57D">
        <w:rPr>
          <w:rFonts w:eastAsia="Franklin Gothic Book" w:cs="Franklin Gothic Book"/>
          <w:color w:val="333333"/>
        </w:rPr>
        <w:t xml:space="preserve">treatment to have regular MRI scans to assess for ARIA would place significant pressure on patient access </w:t>
      </w:r>
      <w:r w:rsidR="6DF0A003" w:rsidRPr="1B4AE57D">
        <w:rPr>
          <w:rFonts w:eastAsia="Franklin Gothic Book" w:cs="Franklin Gothic Book"/>
          <w:color w:val="333333"/>
        </w:rPr>
        <w:t>to MRI scans more broadly</w:t>
      </w:r>
      <w:r w:rsidR="00C308C1">
        <w:rPr>
          <w:rFonts w:eastAsia="Franklin Gothic Book" w:cs="Franklin Gothic Book"/>
          <w:color w:val="333333"/>
        </w:rPr>
        <w:t xml:space="preserve">. </w:t>
      </w:r>
      <w:r w:rsidR="00560983" w:rsidRPr="00CB5F98">
        <w:t xml:space="preserve">MSAC noted that the </w:t>
      </w:r>
      <w:r w:rsidR="000F4720">
        <w:t>prevalence</w:t>
      </w:r>
      <w:r w:rsidR="00560983" w:rsidRPr="00CB5F98">
        <w:t xml:space="preserve"> of </w:t>
      </w:r>
      <w:r w:rsidR="00560983" w:rsidRPr="00CB5F98">
        <w:rPr>
          <w:i/>
          <w:iCs/>
        </w:rPr>
        <w:t>APOE4</w:t>
      </w:r>
      <w:r w:rsidR="00560983" w:rsidRPr="00CB5F98">
        <w:t xml:space="preserve"> heterozygous and homozygous patients in the Australian population was unclear, with estimates of 15–30% </w:t>
      </w:r>
      <w:r w:rsidR="00560983" w:rsidRPr="00CB5F98">
        <w:rPr>
          <w:i/>
          <w:iCs/>
        </w:rPr>
        <w:t>APOE4</w:t>
      </w:r>
      <w:r w:rsidR="00560983" w:rsidRPr="00CB5F98">
        <w:t xml:space="preserve"> heterozygosity and 2–4% homozygosity in the whole Australian population. MSAC considered that both proportions would likely be higher in the early symptomatic AD population (as the </w:t>
      </w:r>
      <w:r w:rsidR="00560983" w:rsidRPr="00CB5F98">
        <w:rPr>
          <w:i/>
          <w:iCs/>
        </w:rPr>
        <w:t>APOE4</w:t>
      </w:r>
      <w:r w:rsidR="00560983" w:rsidRPr="00CB5F98">
        <w:t xml:space="preserve"> allele is associated with an increased risk of developing the disease) and that</w:t>
      </w:r>
      <w:r w:rsidR="001F1F14">
        <w:t xml:space="preserve"> </w:t>
      </w:r>
      <w:r w:rsidR="00560983" w:rsidRPr="00CB5F98">
        <w:t>this uncertainty would flow on to the financial impact.</w:t>
      </w:r>
    </w:p>
    <w:p w14:paraId="6B5AC671" w14:textId="2683A897" w:rsidR="001D0D7A" w:rsidRPr="00E9373C" w:rsidRDefault="00912454" w:rsidP="00FF1821">
      <w:r w:rsidRPr="00E9373C">
        <w:t xml:space="preserve">MSAC reviewed the safety and effectiveness of </w:t>
      </w:r>
      <w:r w:rsidR="005F7A10" w:rsidRPr="00E9373C">
        <w:t xml:space="preserve">the proposed </w:t>
      </w:r>
      <w:r w:rsidRPr="00E9373C">
        <w:rPr>
          <w:i/>
          <w:iCs/>
        </w:rPr>
        <w:t>APOE</w:t>
      </w:r>
      <w:r w:rsidR="00CE32FB" w:rsidRPr="00E9373C">
        <w:rPr>
          <w:i/>
          <w:iCs/>
        </w:rPr>
        <w:t>4</w:t>
      </w:r>
      <w:r w:rsidRPr="00E9373C">
        <w:t xml:space="preserve"> </w:t>
      </w:r>
      <w:r w:rsidR="00F21E45" w:rsidRPr="00E9373C">
        <w:t>genotyp</w:t>
      </w:r>
      <w:r w:rsidRPr="00E9373C">
        <w:t xml:space="preserve">ing. MSAC </w:t>
      </w:r>
      <w:r w:rsidR="004F6373" w:rsidRPr="00E9373C">
        <w:t xml:space="preserve">noted </w:t>
      </w:r>
      <w:r w:rsidRPr="00E9373C">
        <w:t>th</w:t>
      </w:r>
      <w:r w:rsidR="004F6373" w:rsidRPr="00E9373C">
        <w:t xml:space="preserve">at </w:t>
      </w:r>
      <w:r w:rsidR="004F6373" w:rsidRPr="00E9373C">
        <w:rPr>
          <w:i/>
          <w:iCs/>
        </w:rPr>
        <w:t>APOE</w:t>
      </w:r>
      <w:r w:rsidR="00CE32FB" w:rsidRPr="00E9373C">
        <w:rPr>
          <w:i/>
          <w:iCs/>
        </w:rPr>
        <w:t>4</w:t>
      </w:r>
      <w:r w:rsidR="004F6373" w:rsidRPr="00E9373C">
        <w:t xml:space="preserve"> </w:t>
      </w:r>
      <w:r w:rsidRPr="00E9373C">
        <w:t xml:space="preserve">genetic testing </w:t>
      </w:r>
      <w:r w:rsidR="00FD2A9A" w:rsidRPr="00E9373C">
        <w:t>would</w:t>
      </w:r>
      <w:r w:rsidRPr="00E9373C">
        <w:t xml:space="preserve"> be straightforward and that many laboratories in Australia could perform the test. MSAC considered the proposed MBS fee </w:t>
      </w:r>
      <w:r w:rsidR="002644E7" w:rsidRPr="00E9373C">
        <w:t xml:space="preserve">($154.00) </w:t>
      </w:r>
      <w:r w:rsidRPr="00E9373C">
        <w:t xml:space="preserve">for </w:t>
      </w:r>
      <w:r w:rsidR="00A13853" w:rsidRPr="00E9373C">
        <w:rPr>
          <w:i/>
          <w:iCs/>
        </w:rPr>
        <w:t>APOE</w:t>
      </w:r>
      <w:r w:rsidR="00CE32FB" w:rsidRPr="00E9373C">
        <w:rPr>
          <w:i/>
          <w:iCs/>
        </w:rPr>
        <w:t>4</w:t>
      </w:r>
      <w:r w:rsidR="00A13853" w:rsidRPr="00E9373C">
        <w:t xml:space="preserve"> </w:t>
      </w:r>
      <w:r w:rsidRPr="00E9373C">
        <w:t xml:space="preserve">genotyping </w:t>
      </w:r>
      <w:r w:rsidRPr="00E9373C">
        <w:lastRenderedPageBreak/>
        <w:t>to be appropriate</w:t>
      </w:r>
      <w:r w:rsidR="00D864E3" w:rsidRPr="00E9373C">
        <w:t>,</w:t>
      </w:r>
      <w:r w:rsidRPr="00E9373C">
        <w:t xml:space="preserve"> </w:t>
      </w:r>
      <w:r w:rsidR="004D711F" w:rsidRPr="00E9373C">
        <w:t>account</w:t>
      </w:r>
      <w:r w:rsidR="00D864E3" w:rsidRPr="00E9373C">
        <w:t>ing</w:t>
      </w:r>
      <w:r w:rsidR="004D711F" w:rsidRPr="00E9373C">
        <w:t xml:space="preserve"> for a relatively small proportion of the over</w:t>
      </w:r>
      <w:r w:rsidR="00D864E3" w:rsidRPr="00E9373C">
        <w:t>all costs of diagnostic</w:t>
      </w:r>
      <w:r w:rsidR="003515A4" w:rsidRPr="00E9373C">
        <w:t xml:space="preserve">s, </w:t>
      </w:r>
      <w:r w:rsidR="005229F7" w:rsidRPr="00E9373C">
        <w:t xml:space="preserve">monitoring and treatment. MSAC </w:t>
      </w:r>
      <w:r w:rsidRPr="00E9373C">
        <w:t>had no concerns regarding</w:t>
      </w:r>
      <w:r w:rsidR="00A54F4F" w:rsidRPr="00E9373C">
        <w:t xml:space="preserve"> the</w:t>
      </w:r>
      <w:r w:rsidRPr="00E9373C">
        <w:t xml:space="preserve"> </w:t>
      </w:r>
      <w:r w:rsidR="00141DD6">
        <w:t>performance</w:t>
      </w:r>
      <w:r w:rsidR="00141DD6" w:rsidRPr="00E9373C">
        <w:t xml:space="preserve"> </w:t>
      </w:r>
      <w:r w:rsidRPr="00E9373C">
        <w:t xml:space="preserve">of the test. </w:t>
      </w:r>
      <w:r w:rsidR="7A9275BD">
        <w:t xml:space="preserve">MSAC considered the results of </w:t>
      </w:r>
      <w:r w:rsidR="7A9275BD" w:rsidRPr="009F1B5A">
        <w:rPr>
          <w:i/>
          <w:iCs/>
        </w:rPr>
        <w:t>APOE4</w:t>
      </w:r>
      <w:r w:rsidR="7A9275BD">
        <w:t xml:space="preserve"> genetic testing may have </w:t>
      </w:r>
      <w:r w:rsidRPr="00E9373C">
        <w:t>implications for family member</w:t>
      </w:r>
      <w:r w:rsidR="006603A1" w:rsidRPr="00E9373C">
        <w:t xml:space="preserve">s </w:t>
      </w:r>
      <w:r w:rsidR="1E0D7659">
        <w:t>because having one or two copies is a</w:t>
      </w:r>
      <w:r w:rsidR="6F979FF7">
        <w:t>n inherited</w:t>
      </w:r>
      <w:r w:rsidR="1E0D7659">
        <w:t xml:space="preserve"> risk factor of developing Alzheimer disease. </w:t>
      </w:r>
      <w:r w:rsidR="72307410">
        <w:t xml:space="preserve">This was not addressed in the submission. </w:t>
      </w:r>
    </w:p>
    <w:p w14:paraId="64024E6F" w14:textId="7801CCD2" w:rsidR="007421D4" w:rsidRPr="00912454" w:rsidRDefault="007421D4" w:rsidP="007421D4">
      <w:r w:rsidRPr="00912454">
        <w:t>MSAC noted that most of the clinical effectiveness and safety data for amyloid testing and subsequent donanemab treatment were derived from</w:t>
      </w:r>
      <w:r w:rsidR="0094078C">
        <w:t xml:space="preserve"> the TB2 tr</w:t>
      </w:r>
      <w:r w:rsidR="003D1EC0">
        <w:t>ial</w:t>
      </w:r>
      <w:r w:rsidRPr="00912454">
        <w:t>.</w:t>
      </w:r>
    </w:p>
    <w:p w14:paraId="03FE64E6" w14:textId="45806B96" w:rsidR="00EE4B97" w:rsidRDefault="007421D4" w:rsidP="007421D4">
      <w:r w:rsidRPr="0022361E">
        <w:t xml:space="preserve">MSAC reviewed the evidence for safety and effectiveness of amyloid testing. </w:t>
      </w:r>
      <w:r w:rsidR="008C73F2" w:rsidRPr="0022361E">
        <w:t>MSAC noted that the positive predictive value</w:t>
      </w:r>
      <w:r w:rsidR="0021436C">
        <w:t xml:space="preserve"> (PPV)</w:t>
      </w:r>
      <w:r w:rsidR="008C73F2" w:rsidRPr="0022361E">
        <w:t xml:space="preserve"> </w:t>
      </w:r>
      <w:r w:rsidR="00323DBA">
        <w:t>of</w:t>
      </w:r>
      <w:r w:rsidR="00323DBA" w:rsidRPr="0022361E">
        <w:t xml:space="preserve"> </w:t>
      </w:r>
      <w:r w:rsidR="008C73F2" w:rsidRPr="0022361E">
        <w:t>A</w:t>
      </w:r>
      <w:r w:rsidR="008C73F2" w:rsidRPr="0022361E">
        <w:rPr>
          <w:rFonts w:cs="Calibri"/>
        </w:rPr>
        <w:t>β</w:t>
      </w:r>
      <w:r w:rsidR="008C73F2" w:rsidRPr="0022361E">
        <w:t xml:space="preserve">-PET </w:t>
      </w:r>
      <w:r w:rsidR="00323DBA">
        <w:t xml:space="preserve">for Alzheimer disease dementia </w:t>
      </w:r>
      <w:r w:rsidR="000533B0" w:rsidRPr="0022361E">
        <w:t>wa</w:t>
      </w:r>
      <w:r w:rsidR="008C73F2" w:rsidRPr="0022361E">
        <w:t xml:space="preserve">s </w:t>
      </w:r>
      <w:r w:rsidR="00057EF5">
        <w:t>affected by age and clinical confidence in pre-te</w:t>
      </w:r>
      <w:r w:rsidR="009A3162">
        <w:t>s</w:t>
      </w:r>
      <w:r w:rsidR="00057EF5">
        <w:t xml:space="preserve">t Alzheimer diagnosis, with </w:t>
      </w:r>
      <w:r w:rsidR="0021436C" w:rsidDel="00B37654">
        <w:t>a</w:t>
      </w:r>
      <w:r w:rsidR="0021436C">
        <w:t xml:space="preserve"> PPV of 0.17-</w:t>
      </w:r>
      <w:r w:rsidR="009A3162">
        <w:t xml:space="preserve">0.98, and was also affected by </w:t>
      </w:r>
      <w:r w:rsidR="009A3162" w:rsidRPr="009A3162">
        <w:rPr>
          <w:i/>
          <w:iCs/>
        </w:rPr>
        <w:t>APOE4</w:t>
      </w:r>
      <w:r w:rsidR="009A3162">
        <w:t xml:space="preserve"> status.</w:t>
      </w:r>
      <w:r w:rsidR="006C5F70" w:rsidRPr="0022361E">
        <w:rPr>
          <w:rStyle w:val="FootnoteReference"/>
        </w:rPr>
        <w:footnoteReference w:id="3"/>
      </w:r>
      <w:r w:rsidR="009A3162">
        <w:t xml:space="preserve"> </w:t>
      </w:r>
      <w:r w:rsidRPr="0022361E">
        <w:t xml:space="preserve"> </w:t>
      </w:r>
      <w:r w:rsidRPr="001970FE">
        <w:t>In addition, MSAC noted</w:t>
      </w:r>
      <w:r w:rsidR="00CE32FB" w:rsidRPr="001970FE">
        <w:t xml:space="preserve"> from the commentary that</w:t>
      </w:r>
      <w:r w:rsidRPr="001970FE">
        <w:t xml:space="preserve"> the discordance between the PET and CSF test </w:t>
      </w:r>
      <w:r w:rsidR="00A62078" w:rsidRPr="001970FE">
        <w:t>results</w:t>
      </w:r>
      <w:r w:rsidRPr="001970FE">
        <w:t xml:space="preserve"> for A</w:t>
      </w:r>
      <w:r w:rsidRPr="001970FE">
        <w:rPr>
          <w:rFonts w:cs="Calibri"/>
        </w:rPr>
        <w:t>β</w:t>
      </w:r>
      <w:r w:rsidRPr="001970FE">
        <w:t xml:space="preserve"> testing</w:t>
      </w:r>
      <w:r w:rsidR="00CE32FB" w:rsidRPr="001970FE">
        <w:t xml:space="preserve"> could be as high as 28%. MSAC also noted that</w:t>
      </w:r>
      <w:r w:rsidR="0005713E" w:rsidRPr="001970FE">
        <w:t xml:space="preserve"> </w:t>
      </w:r>
      <w:r w:rsidR="002A4EE2" w:rsidRPr="001970FE">
        <w:t xml:space="preserve">the CSF test </w:t>
      </w:r>
      <w:r w:rsidR="00CE32FB" w:rsidRPr="001970FE">
        <w:t>is</w:t>
      </w:r>
      <w:r w:rsidR="002A4EE2" w:rsidRPr="001970FE">
        <w:t xml:space="preserve"> less sensitive and less specific than </w:t>
      </w:r>
      <w:r w:rsidR="0005713E" w:rsidRPr="001970FE">
        <w:t>A</w:t>
      </w:r>
      <w:r w:rsidR="0005713E" w:rsidRPr="001970FE">
        <w:rPr>
          <w:rFonts w:cs="Calibri"/>
        </w:rPr>
        <w:t>β</w:t>
      </w:r>
      <w:r w:rsidR="0005713E" w:rsidRPr="001970FE">
        <w:t>-PET</w:t>
      </w:r>
      <w:r w:rsidR="00272F68" w:rsidRPr="0022361E">
        <w:t>.</w:t>
      </w:r>
      <w:r w:rsidR="009E3209" w:rsidRPr="001970FE">
        <w:t xml:space="preserve"> MSAC considered </w:t>
      </w:r>
      <w:r w:rsidR="000D5367" w:rsidRPr="001970FE">
        <w:t xml:space="preserve">that </w:t>
      </w:r>
      <w:r w:rsidR="009E3209" w:rsidRPr="001970FE">
        <w:t>the impact of dis</w:t>
      </w:r>
      <w:r w:rsidR="00493BB7" w:rsidRPr="001970FE">
        <w:t xml:space="preserve">cordant results (e.g. positive CSF result but negative </w:t>
      </w:r>
      <w:r w:rsidR="00061D48" w:rsidRPr="001970FE">
        <w:t>A</w:t>
      </w:r>
      <w:r w:rsidR="00061D48" w:rsidRPr="001970FE">
        <w:rPr>
          <w:rFonts w:cs="Calibri"/>
        </w:rPr>
        <w:t>β</w:t>
      </w:r>
      <w:r w:rsidR="00061D48" w:rsidRPr="001970FE">
        <w:t>-PET</w:t>
      </w:r>
      <w:r w:rsidR="00BB23CE" w:rsidRPr="001970FE">
        <w:t xml:space="preserve"> for a patient) on </w:t>
      </w:r>
      <w:r w:rsidR="1CD1C5B2" w:rsidRPr="001970FE">
        <w:t>costs</w:t>
      </w:r>
      <w:r w:rsidR="000A010F" w:rsidRPr="001970FE">
        <w:t xml:space="preserve"> and clinical outcomes were unknown.</w:t>
      </w:r>
      <w:r w:rsidR="00272F68" w:rsidRPr="001970FE" w:rsidDel="00D126B6">
        <w:t xml:space="preserve"> </w:t>
      </w:r>
      <w:r w:rsidR="00243B31" w:rsidRPr="001970FE">
        <w:t>Therefore</w:t>
      </w:r>
      <w:r w:rsidR="00EA5997" w:rsidRPr="001970FE">
        <w:t>,</w:t>
      </w:r>
      <w:r w:rsidR="00243B31" w:rsidRPr="001970FE">
        <w:t xml:space="preserve"> </w:t>
      </w:r>
      <w:r w:rsidR="00801DC8" w:rsidRPr="001970FE">
        <w:t xml:space="preserve">MSAC considered </w:t>
      </w:r>
      <w:r w:rsidR="00C60AE9" w:rsidRPr="001970FE">
        <w:t xml:space="preserve">that </w:t>
      </w:r>
      <w:r w:rsidR="00C60AE9">
        <w:t>the</w:t>
      </w:r>
      <w:r w:rsidR="00C60AE9" w:rsidRPr="001970FE" w:rsidDel="005D010C">
        <w:t xml:space="preserve"> </w:t>
      </w:r>
      <w:r w:rsidR="0088064C">
        <w:t>submission</w:t>
      </w:r>
      <w:r w:rsidR="00C60AE9" w:rsidRPr="001970FE" w:rsidDel="005D010C">
        <w:t xml:space="preserve"> did not present any </w:t>
      </w:r>
      <w:r w:rsidR="005B4212" w:rsidRPr="001970FE" w:rsidDel="005D010C">
        <w:t xml:space="preserve">evidence </w:t>
      </w:r>
      <w:r w:rsidR="00C60AE9" w:rsidRPr="001970FE" w:rsidDel="005D010C">
        <w:t xml:space="preserve">to </w:t>
      </w:r>
      <w:r w:rsidR="005B4212" w:rsidRPr="001970FE" w:rsidDel="005D010C">
        <w:t xml:space="preserve">support the </w:t>
      </w:r>
      <w:r w:rsidR="00243B31" w:rsidRPr="001970FE" w:rsidDel="005D010C">
        <w:t xml:space="preserve">safety and effectiveness </w:t>
      </w:r>
      <w:r w:rsidR="00075349" w:rsidRPr="001970FE" w:rsidDel="005D010C">
        <w:t>of</w:t>
      </w:r>
      <w:r w:rsidR="00243B31" w:rsidRPr="001970FE" w:rsidDel="005D010C">
        <w:t xml:space="preserve"> CSF testing </w:t>
      </w:r>
      <w:r w:rsidR="00135BFA" w:rsidRPr="001970FE" w:rsidDel="005D010C">
        <w:t xml:space="preserve">in </w:t>
      </w:r>
      <w:r w:rsidR="00F80901" w:rsidRPr="001970FE" w:rsidDel="005D010C">
        <w:t>detecti</w:t>
      </w:r>
      <w:r w:rsidR="00CF3E75" w:rsidRPr="001970FE" w:rsidDel="005D010C">
        <w:t>ng amyloid pathology to access donanemab</w:t>
      </w:r>
      <w:r w:rsidR="005B4212" w:rsidRPr="001970FE" w:rsidDel="005D010C">
        <w:t>.</w:t>
      </w:r>
      <w:r w:rsidR="00135BFA" w:rsidRPr="001970FE">
        <w:t xml:space="preserve"> </w:t>
      </w:r>
      <w:r w:rsidR="00DA1E29" w:rsidRPr="001970FE">
        <w:t>Given the limited availability and geographical inequity of access to PET machines that perform A</w:t>
      </w:r>
      <w:r w:rsidR="004243D3" w:rsidRPr="001970FE">
        <w:rPr>
          <w:rFonts w:cs="Calibri"/>
        </w:rPr>
        <w:t>β</w:t>
      </w:r>
      <w:r w:rsidR="00DA1E29" w:rsidRPr="001970FE">
        <w:t xml:space="preserve">-PET scans in Australia, MSAC considered that CSF testing would likely be of particular significance in the Australian context, and this was not adequately addressed in the </w:t>
      </w:r>
      <w:r w:rsidR="0088064C">
        <w:t>submission</w:t>
      </w:r>
      <w:r w:rsidR="001B08F8" w:rsidRPr="001970FE">
        <w:t xml:space="preserve">. </w:t>
      </w:r>
    </w:p>
    <w:p w14:paraId="623A5BA9" w14:textId="28F4A5FF" w:rsidR="009315C5" w:rsidRDefault="001B08F8" w:rsidP="007421D4">
      <w:r w:rsidRPr="001970FE">
        <w:t>MSAC</w:t>
      </w:r>
      <w:r w:rsidR="00837DE0" w:rsidRPr="001970FE">
        <w:t xml:space="preserve"> </w:t>
      </w:r>
      <w:r w:rsidR="00837DE0" w:rsidRPr="001970FE" w:rsidDel="00AF7A2E">
        <w:t xml:space="preserve">considered </w:t>
      </w:r>
      <w:r w:rsidR="00837DE0" w:rsidRPr="001970FE">
        <w:t>that</w:t>
      </w:r>
      <w:r w:rsidR="00BE69D3" w:rsidRPr="001970FE">
        <w:t xml:space="preserve"> </w:t>
      </w:r>
      <w:r w:rsidR="009C7BBB" w:rsidRPr="001970FE" w:rsidDel="00AF7A2E">
        <w:t xml:space="preserve">as </w:t>
      </w:r>
      <w:r w:rsidR="00861EAE" w:rsidRPr="001970FE">
        <w:t>CSF tests must be performed via lumbar puncture</w:t>
      </w:r>
      <w:r w:rsidR="003453C0" w:rsidRPr="001970FE">
        <w:t>,</w:t>
      </w:r>
      <w:r w:rsidR="00861EAE" w:rsidRPr="001970FE">
        <w:t xml:space="preserve"> patients </w:t>
      </w:r>
      <w:r w:rsidR="003453C0" w:rsidRPr="001970FE">
        <w:t xml:space="preserve">are exposed </w:t>
      </w:r>
      <w:r w:rsidR="00861EAE" w:rsidRPr="001970FE">
        <w:t xml:space="preserve">to potential </w:t>
      </w:r>
      <w:r w:rsidR="007421D4" w:rsidRPr="001970FE">
        <w:t>safety and experiential issues</w:t>
      </w:r>
      <w:r w:rsidR="543F8FB4">
        <w:t xml:space="preserve"> from the procedure</w:t>
      </w:r>
      <w:r w:rsidR="004C542A" w:rsidRPr="001970FE">
        <w:t xml:space="preserve">, which are </w:t>
      </w:r>
      <w:r w:rsidR="00076FB9" w:rsidRPr="001970FE">
        <w:t xml:space="preserve">not present </w:t>
      </w:r>
      <w:r w:rsidR="0005713E" w:rsidRPr="001970FE">
        <w:t>for patients undergoing A</w:t>
      </w:r>
      <w:r w:rsidR="0005713E" w:rsidRPr="001970FE">
        <w:rPr>
          <w:rFonts w:cs="Calibri"/>
        </w:rPr>
        <w:t>β</w:t>
      </w:r>
      <w:r w:rsidR="0005713E" w:rsidRPr="001970FE">
        <w:t>-PET scans</w:t>
      </w:r>
      <w:r w:rsidR="007421D4" w:rsidRPr="001970FE">
        <w:t xml:space="preserve">. </w:t>
      </w:r>
    </w:p>
    <w:p w14:paraId="4787F4A1" w14:textId="6D3F7E45" w:rsidR="007421D4" w:rsidRDefault="00DB7D19" w:rsidP="007421D4">
      <w:r>
        <w:t xml:space="preserve">MSAC also considered that some patients might try to access both PET and CSF testing </w:t>
      </w:r>
      <w:r w:rsidR="00777FDE">
        <w:t xml:space="preserve">options </w:t>
      </w:r>
      <w:r>
        <w:t>to access donanemab.</w:t>
      </w:r>
      <w:r w:rsidR="00BE1563">
        <w:t xml:space="preserve"> </w:t>
      </w:r>
      <w:r w:rsidR="006D3774" w:rsidRPr="006D3774">
        <w:t xml:space="preserve">MSAC considered that patients with early symptomatic AD </w:t>
      </w:r>
      <w:r w:rsidR="00141DD6">
        <w:t xml:space="preserve">have limited treatment options </w:t>
      </w:r>
      <w:r w:rsidR="00CD5C80">
        <w:t xml:space="preserve">and so </w:t>
      </w:r>
      <w:r w:rsidR="006D3774" w:rsidRPr="006D3774">
        <w:t xml:space="preserve">might seek multiple tests including both CSF and PET imaging over time to access donanemab treatment, an issue not considered in the </w:t>
      </w:r>
      <w:r w:rsidR="007D0708">
        <w:t>submission.</w:t>
      </w:r>
    </w:p>
    <w:p w14:paraId="65DAAF5B" w14:textId="1E6EED94" w:rsidR="00912454" w:rsidRPr="00912454" w:rsidRDefault="00912454" w:rsidP="00FF1821">
      <w:r w:rsidRPr="00912454">
        <w:t xml:space="preserve">MSAC </w:t>
      </w:r>
      <w:r w:rsidR="00F22249">
        <w:t xml:space="preserve">agreed with </w:t>
      </w:r>
      <w:r w:rsidRPr="00912454">
        <w:t xml:space="preserve">the department’s advice </w:t>
      </w:r>
      <w:r w:rsidR="009933ED">
        <w:t xml:space="preserve">that </w:t>
      </w:r>
      <w:r w:rsidRPr="00912454">
        <w:t xml:space="preserve">the </w:t>
      </w:r>
      <w:r w:rsidR="00F22249">
        <w:t xml:space="preserve">MBS </w:t>
      </w:r>
      <w:r w:rsidRPr="00912454">
        <w:t xml:space="preserve">fee for the </w:t>
      </w:r>
      <w:r w:rsidR="00F22249">
        <w:t xml:space="preserve">proposed </w:t>
      </w:r>
      <w:r w:rsidRPr="00912454">
        <w:t>PET scan</w:t>
      </w:r>
      <w:r w:rsidR="004747E0">
        <w:t>,</w:t>
      </w:r>
      <w:r w:rsidRPr="00912454">
        <w:t xml:space="preserve"> </w:t>
      </w:r>
      <w:r w:rsidR="00F22249">
        <w:t>if approved</w:t>
      </w:r>
      <w:r w:rsidR="004747E0">
        <w:t>,</w:t>
      </w:r>
      <w:r w:rsidR="00F22249">
        <w:t xml:space="preserve"> </w:t>
      </w:r>
      <w:r w:rsidR="009933ED">
        <w:t xml:space="preserve">should be reduced from </w:t>
      </w:r>
      <w:r w:rsidR="009933ED" w:rsidRPr="009933ED">
        <w:t>the applicant’s proposed fee of $2,200</w:t>
      </w:r>
      <w:r w:rsidR="009933ED">
        <w:t xml:space="preserve"> </w:t>
      </w:r>
      <w:r w:rsidR="00161CBB">
        <w:t>to</w:t>
      </w:r>
      <w:r w:rsidRPr="00912454">
        <w:t xml:space="preserve"> $1,800</w:t>
      </w:r>
      <w:r w:rsidR="00D046A4">
        <w:t>.</w:t>
      </w:r>
      <w:r w:rsidR="00161CBB">
        <w:t xml:space="preserve"> MSAC noted that the reduced</w:t>
      </w:r>
      <w:r w:rsidR="007B104F">
        <w:t xml:space="preserve"> fee </w:t>
      </w:r>
      <w:r w:rsidR="00161CBB">
        <w:t>was</w:t>
      </w:r>
      <w:r w:rsidR="007B104F">
        <w:t xml:space="preserve"> informed by consultation input and other MBS PET items, including those which use specialised radiotracers</w:t>
      </w:r>
      <w:r w:rsidR="00D046A4">
        <w:t>.</w:t>
      </w:r>
    </w:p>
    <w:p w14:paraId="08A73BDB" w14:textId="3147005B" w:rsidR="00D321FC" w:rsidRPr="00912454" w:rsidRDefault="00D321FC" w:rsidP="00D321FC">
      <w:r w:rsidRPr="00912454">
        <w:t>MSAC agree</w:t>
      </w:r>
      <w:r>
        <w:t>d</w:t>
      </w:r>
      <w:r w:rsidRPr="00912454">
        <w:t xml:space="preserve"> with the </w:t>
      </w:r>
      <w:r w:rsidR="0088064C" w:rsidRPr="0088064C">
        <w:t>submission</w:t>
      </w:r>
      <w:r w:rsidRPr="00912454" w:rsidDel="00517364">
        <w:t xml:space="preserve">’s </w:t>
      </w:r>
      <w:r w:rsidRPr="00912454">
        <w:t xml:space="preserve">claim </w:t>
      </w:r>
      <w:r w:rsidR="003E5F50">
        <w:t xml:space="preserve">that </w:t>
      </w:r>
      <w:r w:rsidR="00617335">
        <w:t>amyloid</w:t>
      </w:r>
      <w:r w:rsidR="003E5F50">
        <w:t xml:space="preserve"> testing</w:t>
      </w:r>
      <w:r w:rsidR="00617335">
        <w:t xml:space="preserve"> (using A</w:t>
      </w:r>
      <w:r w:rsidR="00617335">
        <w:rPr>
          <w:rFonts w:ascii="Calibri" w:hAnsi="Calibri" w:cs="Calibri"/>
        </w:rPr>
        <w:t>β</w:t>
      </w:r>
      <w:r w:rsidR="00617335">
        <w:t>-</w:t>
      </w:r>
      <w:r w:rsidR="00617335" w:rsidRPr="00912454">
        <w:t>PET</w:t>
      </w:r>
      <w:r w:rsidR="00617335">
        <w:t xml:space="preserve"> or CSF testing)</w:t>
      </w:r>
      <w:r w:rsidR="003E5F50">
        <w:t xml:space="preserve">, followed by treatment with donanemab and standard of care (SOC), has an </w:t>
      </w:r>
      <w:r w:rsidRPr="00912454">
        <w:t>inferior safety</w:t>
      </w:r>
      <w:r w:rsidR="003E5F50">
        <w:t xml:space="preserve"> profile compared to no testing and treatment with SOC</w:t>
      </w:r>
      <w:r w:rsidRPr="00912454">
        <w:t>.</w:t>
      </w:r>
    </w:p>
    <w:p w14:paraId="69D5BD4F" w14:textId="4F7957D2" w:rsidR="00F20D42" w:rsidRPr="00912454" w:rsidRDefault="00F20D42" w:rsidP="00D321FC">
      <w:r>
        <w:t xml:space="preserve">MSAC noted </w:t>
      </w:r>
      <w:r w:rsidR="00253879" w:rsidRPr="00253879">
        <w:t>that</w:t>
      </w:r>
      <w:r w:rsidR="00EA69CA">
        <w:t xml:space="preserve"> the</w:t>
      </w:r>
      <w:r w:rsidR="00EA69CA" w:rsidRPr="00EA69CA">
        <w:t xml:space="preserve"> PBAC considered that donanemab had a very modest impact on the measures of cognition and function.</w:t>
      </w:r>
      <w:r w:rsidR="00D42DE9" w:rsidRPr="00D42DE9">
        <w:t xml:space="preserve"> </w:t>
      </w:r>
      <w:r w:rsidR="00393C99">
        <w:t xml:space="preserve">The clinical trial </w:t>
      </w:r>
      <w:r w:rsidR="00D42DE9" w:rsidRPr="00D42DE9">
        <w:t xml:space="preserve">showed donanemab can potentially slow the progression of early </w:t>
      </w:r>
      <w:r w:rsidR="00C34F72">
        <w:t>AD</w:t>
      </w:r>
      <w:r w:rsidR="00D42DE9" w:rsidRPr="00D42DE9">
        <w:t xml:space="preserve"> by approximately 6 weeks</w:t>
      </w:r>
      <w:r w:rsidR="00E602B5">
        <w:t xml:space="preserve">. </w:t>
      </w:r>
      <w:r w:rsidR="00253879" w:rsidRPr="00253879">
        <w:t>The PBAC considered that it was highly uncertain if the degree of slowing in clinical progression was clinically meaningful or if it would produce a noticeable benefit to patients and caregivers.</w:t>
      </w:r>
    </w:p>
    <w:p w14:paraId="1B37F7F5" w14:textId="7231DC8A" w:rsidR="00165FE5" w:rsidRDefault="00EB083F" w:rsidP="00CB5F5B">
      <w:r>
        <w:t xml:space="preserve">MSAC noted that </w:t>
      </w:r>
      <w:r w:rsidR="00612F93">
        <w:t>a majority (</w:t>
      </w:r>
      <w:r w:rsidR="00467133">
        <w:t>76.4%</w:t>
      </w:r>
      <w:r w:rsidR="00612F93">
        <w:t>)</w:t>
      </w:r>
      <w:r w:rsidR="00467133">
        <w:t xml:space="preserve"> of donanemab-treated patients reached amyloid clearance, as measured by amyloid PET, a</w:t>
      </w:r>
      <w:r w:rsidR="008D0159">
        <w:t xml:space="preserve">fter 76 weeks of treatment compared to </w:t>
      </w:r>
      <w:r w:rsidR="00A42689">
        <w:t>few (</w:t>
      </w:r>
      <w:r w:rsidR="008D0159">
        <w:t>0.3%</w:t>
      </w:r>
      <w:r w:rsidR="00A42689">
        <w:t>)</w:t>
      </w:r>
      <w:r w:rsidR="008D0159">
        <w:t xml:space="preserve"> placebo patients</w:t>
      </w:r>
      <w:r w:rsidR="00951D58">
        <w:t>. However</w:t>
      </w:r>
      <w:r w:rsidR="00A12D5E">
        <w:t>,</w:t>
      </w:r>
      <w:r w:rsidR="00951D58">
        <w:t xml:space="preserve"> </w:t>
      </w:r>
      <w:r w:rsidR="00E6640B">
        <w:t xml:space="preserve">the </w:t>
      </w:r>
      <w:r w:rsidR="00F24A3C">
        <w:t>6</w:t>
      </w:r>
      <w:r w:rsidR="00A12D5E">
        <w:t>-</w:t>
      </w:r>
      <w:r w:rsidR="00F24A3C">
        <w:t xml:space="preserve">week delay </w:t>
      </w:r>
      <w:r w:rsidR="00430417">
        <w:t xml:space="preserve">in </w:t>
      </w:r>
      <w:r w:rsidR="001D136E">
        <w:t>clinical progression was small</w:t>
      </w:r>
      <w:r w:rsidR="009850FE">
        <w:t xml:space="preserve">. </w:t>
      </w:r>
      <w:r w:rsidR="00912454" w:rsidRPr="00912454">
        <w:t>MSAC noted that th</w:t>
      </w:r>
      <w:r w:rsidR="00123CCC">
        <w:t>e</w:t>
      </w:r>
      <w:r w:rsidR="00912454" w:rsidRPr="00912454">
        <w:t xml:space="preserve"> </w:t>
      </w:r>
      <w:r w:rsidR="00C82D30">
        <w:lastRenderedPageBreak/>
        <w:t>association</w:t>
      </w:r>
      <w:r w:rsidR="00912454" w:rsidRPr="00912454">
        <w:t xml:space="preserve"> </w:t>
      </w:r>
      <w:r w:rsidR="00123CCC">
        <w:t xml:space="preserve">between decreasing amyloid pathology and delay in cognitive decline </w:t>
      </w:r>
      <w:r w:rsidR="00912454" w:rsidRPr="00912454">
        <w:t xml:space="preserve">was </w:t>
      </w:r>
      <w:r w:rsidR="4DF6232B">
        <w:t xml:space="preserve">reiterated </w:t>
      </w:r>
      <w:r w:rsidR="00912454">
        <w:t>by</w:t>
      </w:r>
      <w:r w:rsidR="00912454" w:rsidRPr="00912454">
        <w:t xml:space="preserve"> the applicant in the pre-MSAC response and </w:t>
      </w:r>
      <w:r w:rsidR="005164FD">
        <w:t xml:space="preserve">at </w:t>
      </w:r>
      <w:r w:rsidR="00912454" w:rsidRPr="00912454">
        <w:t>the hearing</w:t>
      </w:r>
      <w:r w:rsidR="00131985">
        <w:t xml:space="preserve">. However, MSAC </w:t>
      </w:r>
      <w:r w:rsidR="009F7B6E">
        <w:t>noted that PBAC considered that donanemab had a very modest impact on the measures of cognition and function</w:t>
      </w:r>
      <w:r w:rsidR="00572D38">
        <w:t xml:space="preserve">. MSAC </w:t>
      </w:r>
      <w:r w:rsidR="0018603B">
        <w:t>agreed with PBAC that any</w:t>
      </w:r>
      <w:r w:rsidR="006026DC">
        <w:t xml:space="preserve"> </w:t>
      </w:r>
      <w:r w:rsidR="002C7E05">
        <w:t>possible mechanisms linking reduction in brain beta-</w:t>
      </w:r>
      <w:r w:rsidR="00A27F73">
        <w:t>amyloid</w:t>
      </w:r>
      <w:r w:rsidR="0007345E">
        <w:t xml:space="preserve"> burden and slowing of decline in a person’s cognition and functional status remain to be fully elucidated.</w:t>
      </w:r>
      <w:r w:rsidR="00131985">
        <w:t xml:space="preserve"> </w:t>
      </w:r>
    </w:p>
    <w:p w14:paraId="77DDE490" w14:textId="26A37403" w:rsidR="00186C65" w:rsidRDefault="00912454" w:rsidP="00B00887">
      <w:pPr>
        <w:spacing w:after="60"/>
      </w:pPr>
      <w:r w:rsidRPr="00F638F6">
        <w:t xml:space="preserve">MSAC noted that the </w:t>
      </w:r>
      <w:r w:rsidR="003629AF">
        <w:t xml:space="preserve">submission </w:t>
      </w:r>
      <w:r w:rsidR="002F55AB">
        <w:t xml:space="preserve">presented a modelled </w:t>
      </w:r>
      <w:r w:rsidRPr="00F638F6">
        <w:t xml:space="preserve">economic evaluation </w:t>
      </w:r>
      <w:r w:rsidR="00867718">
        <w:t>(</w:t>
      </w:r>
      <w:r w:rsidR="00342E88">
        <w:t xml:space="preserve">cost-utility analysis) </w:t>
      </w:r>
      <w:r w:rsidR="001F2BD0" w:rsidRPr="00640C81">
        <w:t xml:space="preserve">comparing donanemab treatment versus </w:t>
      </w:r>
      <w:r w:rsidR="00296C6B" w:rsidRPr="00640C81">
        <w:t>SOC</w:t>
      </w:r>
      <w:r w:rsidR="008047B0" w:rsidRPr="00640C81">
        <w:t xml:space="preserve"> and that the</w:t>
      </w:r>
      <w:r w:rsidR="00D35104" w:rsidRPr="00640C81">
        <w:t xml:space="preserve"> </w:t>
      </w:r>
      <w:r w:rsidR="005919B0" w:rsidRPr="00640C81">
        <w:t xml:space="preserve">base case </w:t>
      </w:r>
      <w:r w:rsidRPr="00640C81">
        <w:t>incremental cost</w:t>
      </w:r>
      <w:r w:rsidR="00296C6B" w:rsidRPr="00640C81">
        <w:t xml:space="preserve"> of donanemab treatment </w:t>
      </w:r>
      <w:r w:rsidRPr="00640C81">
        <w:t>was $</w:t>
      </w:r>
      <w:r w:rsidR="00617989">
        <w:t xml:space="preserve">35,000 to </w:t>
      </w:r>
      <w:r w:rsidR="003B1C68">
        <w:t>&lt;$45,000</w:t>
      </w:r>
      <w:r w:rsidRPr="00640C81">
        <w:t xml:space="preserve"> per quality-adjusted life year (QALY)</w:t>
      </w:r>
      <w:r w:rsidR="00F638F6" w:rsidRPr="00640C81">
        <w:t xml:space="preserve"> gained</w:t>
      </w:r>
      <w:r w:rsidR="000C27F3" w:rsidRPr="00640C81">
        <w:t>, when compared to SOC</w:t>
      </w:r>
      <w:r w:rsidRPr="00640C81">
        <w:t xml:space="preserve">. </w:t>
      </w:r>
      <w:r w:rsidR="00DB443A">
        <w:t xml:space="preserve">MSAC noted the PBAC considered that the economic model was overly optimistic and the </w:t>
      </w:r>
      <w:r w:rsidR="007457E1">
        <w:t>listing would not be cost-effective at the requested price.</w:t>
      </w:r>
    </w:p>
    <w:p w14:paraId="19A17364" w14:textId="5ABED040" w:rsidR="00CF567B" w:rsidRDefault="00CF567B" w:rsidP="00B00887">
      <w:pPr>
        <w:spacing w:after="60"/>
      </w:pPr>
      <w:r>
        <w:t xml:space="preserve">MSAC noted </w:t>
      </w:r>
      <w:r w:rsidR="00F20EFB">
        <w:t xml:space="preserve">that </w:t>
      </w:r>
      <w:r w:rsidR="00D16CA1">
        <w:t>p</w:t>
      </w:r>
      <w:r w:rsidR="00B94509" w:rsidRPr="00B94509">
        <w:t>atients enter</w:t>
      </w:r>
      <w:r w:rsidR="00126FFA">
        <w:t xml:space="preserve">ed </w:t>
      </w:r>
      <w:r w:rsidR="00B94509" w:rsidRPr="00B94509">
        <w:t xml:space="preserve">the </w:t>
      </w:r>
      <w:r w:rsidR="00D16CA1">
        <w:t xml:space="preserve">economic </w:t>
      </w:r>
      <w:r w:rsidR="00B94509" w:rsidRPr="00B94509">
        <w:t>model at the point of treatment</w:t>
      </w:r>
      <w:r w:rsidR="00A10206">
        <w:t xml:space="preserve"> and that </w:t>
      </w:r>
      <w:r w:rsidR="00126FFA">
        <w:t>the commentary considered t</w:t>
      </w:r>
      <w:r w:rsidR="00B94509" w:rsidRPr="00B94509">
        <w:t xml:space="preserve">his reasonable as testing costs for all patients considered for the medicine </w:t>
      </w:r>
      <w:r w:rsidR="00A10206">
        <w:t>we</w:t>
      </w:r>
      <w:r w:rsidR="00B94509" w:rsidRPr="00B94509">
        <w:t>re included in the model.</w:t>
      </w:r>
      <w:r w:rsidR="00A10206">
        <w:t xml:space="preserve"> </w:t>
      </w:r>
      <w:r w:rsidR="003629AF">
        <w:t>MSAC</w:t>
      </w:r>
      <w:r w:rsidR="008B314A">
        <w:t xml:space="preserve"> agreed with the joint MSAC/PBAC ESCs that </w:t>
      </w:r>
      <w:r w:rsidR="00354DC1">
        <w:t xml:space="preserve">patients </w:t>
      </w:r>
      <w:r w:rsidR="004C1491">
        <w:t xml:space="preserve">should have entered the model at the point of testing, </w:t>
      </w:r>
      <w:r w:rsidR="0040162A">
        <w:t xml:space="preserve">incorporating </w:t>
      </w:r>
      <w:r w:rsidR="005B2D59">
        <w:t xml:space="preserve">consideration </w:t>
      </w:r>
      <w:r w:rsidR="00550CEE">
        <w:t xml:space="preserve">the impact of </w:t>
      </w:r>
      <w:r w:rsidR="005B2D59">
        <w:t>false positive</w:t>
      </w:r>
      <w:r w:rsidR="00550CEE">
        <w:t>s</w:t>
      </w:r>
      <w:r w:rsidR="005B2D59">
        <w:t>/false negative</w:t>
      </w:r>
      <w:r w:rsidR="00550CEE">
        <w:t>s</w:t>
      </w:r>
      <w:r w:rsidR="003629AF">
        <w:t xml:space="preserve">. </w:t>
      </w:r>
      <w:r w:rsidR="00453670">
        <w:t xml:space="preserve">MSAC </w:t>
      </w:r>
      <w:r w:rsidR="00453670" w:rsidRPr="0076066A">
        <w:t xml:space="preserve">considered that the economic evaluation should consider the whole population, both tested and treated populations, especially in the context of two </w:t>
      </w:r>
      <w:r w:rsidR="00453670">
        <w:t xml:space="preserve">proposed </w:t>
      </w:r>
      <w:r w:rsidR="00453670" w:rsidRPr="0076066A">
        <w:t>alternative tests for Aβ pathology which m</w:t>
      </w:r>
      <w:r w:rsidR="00453670">
        <w:t xml:space="preserve">ight </w:t>
      </w:r>
      <w:r w:rsidR="00453670" w:rsidRPr="0076066A">
        <w:t xml:space="preserve">have discordant results to determine access to a drug and the pivotal </w:t>
      </w:r>
      <w:r w:rsidR="00453670">
        <w:t xml:space="preserve">TB2 </w:t>
      </w:r>
      <w:r w:rsidR="00453670" w:rsidRPr="0076066A">
        <w:t>trial used only one of the tests.</w:t>
      </w:r>
      <w:r w:rsidR="00453670">
        <w:t xml:space="preserve"> </w:t>
      </w:r>
      <w:r w:rsidR="00453670" w:rsidRPr="00912454">
        <w:t xml:space="preserve">MSAC considered that </w:t>
      </w:r>
      <w:r w:rsidR="00453670">
        <w:t>the economic model should incorporate the downstream impact of false positive (e.g., potential harms from unnecessary donanemab treatment and associated monitoring) and false negative test results (e.g., not eligible to donanemab treatment)</w:t>
      </w:r>
      <w:r w:rsidR="00453670" w:rsidRPr="00912454">
        <w:t>.</w:t>
      </w:r>
    </w:p>
    <w:p w14:paraId="3C6ACDA5" w14:textId="33A8EE28" w:rsidR="00A93F83" w:rsidRDefault="00A93F83" w:rsidP="00B00887">
      <w:pPr>
        <w:spacing w:after="60"/>
      </w:pPr>
      <w:r w:rsidRPr="00A93F83">
        <w:t xml:space="preserve">MSAC considered the </w:t>
      </w:r>
      <w:r>
        <w:t>submission</w:t>
      </w:r>
      <w:r w:rsidRPr="00A93F83">
        <w:t xml:space="preserve">’s </w:t>
      </w:r>
      <w:r w:rsidR="00D535C7">
        <w:t xml:space="preserve">model </w:t>
      </w:r>
      <w:r w:rsidRPr="00A93F83">
        <w:t>assumption that 40% of patients would be treated to clear, as assessed by PET scanning, to be uncertain. MSAC considered that the proportion of patients treated to clear or treated to the maximum of 18 months as per the TGA approved product information for donanemab, would be influenced by the availability of PET scanning facilities.</w:t>
      </w:r>
    </w:p>
    <w:p w14:paraId="4EA9E2D1" w14:textId="679D53B7" w:rsidR="00912454" w:rsidRPr="00640C81" w:rsidRDefault="00912454" w:rsidP="00B00887">
      <w:pPr>
        <w:spacing w:after="60"/>
      </w:pPr>
      <w:r w:rsidRPr="00640C81">
        <w:t>MSAC considered th</w:t>
      </w:r>
      <w:r w:rsidR="00190652" w:rsidRPr="00640C81">
        <w:t xml:space="preserve">e cost-effectiveness result presented </w:t>
      </w:r>
      <w:r w:rsidRPr="00640C81">
        <w:t xml:space="preserve">to be highly uncertain due to </w:t>
      </w:r>
      <w:r w:rsidR="000C02D5">
        <w:t xml:space="preserve">multiple issues with </w:t>
      </w:r>
      <w:r w:rsidRPr="00640C81">
        <w:t xml:space="preserve">the modelling assumptions and </w:t>
      </w:r>
      <w:r w:rsidR="00153242">
        <w:t xml:space="preserve">input </w:t>
      </w:r>
      <w:r w:rsidRPr="00640C81">
        <w:t>parameters</w:t>
      </w:r>
      <w:r w:rsidR="001E3DCC">
        <w:t xml:space="preserve"> some</w:t>
      </w:r>
      <w:r w:rsidR="00153242">
        <w:t xml:space="preserve"> </w:t>
      </w:r>
      <w:r w:rsidR="000C02D5">
        <w:t xml:space="preserve">of which </w:t>
      </w:r>
      <w:r w:rsidR="00994E34">
        <w:t xml:space="preserve">were </w:t>
      </w:r>
      <w:r w:rsidRPr="00640C81">
        <w:t xml:space="preserve">arbitrary and not </w:t>
      </w:r>
      <w:r w:rsidR="00975331" w:rsidRPr="00640C81">
        <w:t xml:space="preserve">well </w:t>
      </w:r>
      <w:r w:rsidRPr="00640C81">
        <w:t>justified</w:t>
      </w:r>
      <w:r w:rsidR="00153242">
        <w:t>.</w:t>
      </w:r>
    </w:p>
    <w:p w14:paraId="553628FD" w14:textId="4D60D932" w:rsidR="00912454" w:rsidRPr="00912454" w:rsidRDefault="001F2DDA" w:rsidP="70844138">
      <w:pPr>
        <w:pStyle w:val="Bullet"/>
        <w:spacing w:before="0" w:after="60"/>
        <w:ind w:left="714" w:hanging="357"/>
      </w:pPr>
      <w:r>
        <w:t xml:space="preserve">MSAC </w:t>
      </w:r>
      <w:r w:rsidR="001527B6">
        <w:t xml:space="preserve">considered that it was inappropriate </w:t>
      </w:r>
      <w:r>
        <w:t>that p</w:t>
      </w:r>
      <w:r w:rsidR="00FA3B4A">
        <w:t xml:space="preserve">atients entered the economic model at </w:t>
      </w:r>
      <w:r w:rsidR="007040C5">
        <w:t xml:space="preserve">the point of treatment rather than </w:t>
      </w:r>
      <w:r w:rsidR="00EE214A">
        <w:t>at the point of testing</w:t>
      </w:r>
      <w:r w:rsidR="00E06F30">
        <w:t>.</w:t>
      </w:r>
      <w:r w:rsidR="00F61137">
        <w:t xml:space="preserve"> </w:t>
      </w:r>
    </w:p>
    <w:p w14:paraId="0C42A951" w14:textId="6FFF00B2" w:rsidR="00905521" w:rsidRDefault="00EE5AC9" w:rsidP="00B00887">
      <w:pPr>
        <w:pStyle w:val="Bullet"/>
        <w:numPr>
          <w:ilvl w:val="0"/>
          <w:numId w:val="43"/>
        </w:numPr>
        <w:spacing w:before="0" w:after="60"/>
        <w:ind w:left="714" w:hanging="357"/>
      </w:pPr>
      <w:r>
        <w:t xml:space="preserve">MSAC noted </w:t>
      </w:r>
      <w:r w:rsidR="00E70084">
        <w:t>the potential i</w:t>
      </w:r>
      <w:r w:rsidR="00912454" w:rsidRPr="00912454">
        <w:t xml:space="preserve">ssue regarding test discordance between </w:t>
      </w:r>
      <w:r w:rsidR="001A6FF5">
        <w:t>testing for A</w:t>
      </w:r>
      <w:r w:rsidR="001A6FF5">
        <w:rPr>
          <w:rFonts w:ascii="Calibri" w:hAnsi="Calibri" w:cs="Calibri"/>
        </w:rPr>
        <w:t>β</w:t>
      </w:r>
      <w:r w:rsidR="001A6FF5">
        <w:t xml:space="preserve"> pathology using brain </w:t>
      </w:r>
      <w:r w:rsidR="00912454" w:rsidRPr="00912454">
        <w:t xml:space="preserve">PET </w:t>
      </w:r>
      <w:r w:rsidR="001A6FF5">
        <w:t xml:space="preserve">scan </w:t>
      </w:r>
      <w:r w:rsidR="00912454" w:rsidRPr="00912454">
        <w:t>and CSF</w:t>
      </w:r>
      <w:r w:rsidR="00C017FB">
        <w:t xml:space="preserve"> and that the discordance could </w:t>
      </w:r>
      <w:r w:rsidR="00772429">
        <w:t xml:space="preserve">range from </w:t>
      </w:r>
      <w:r w:rsidR="00912454" w:rsidRPr="00912454">
        <w:t>2</w:t>
      </w:r>
      <w:r w:rsidR="003C1AF0">
        <w:t xml:space="preserve"> to </w:t>
      </w:r>
      <w:r w:rsidR="00912454" w:rsidRPr="00912454">
        <w:t>28%</w:t>
      </w:r>
      <w:r w:rsidR="00C017FB">
        <w:t>. MSAC noted th</w:t>
      </w:r>
      <w:r w:rsidR="00133A5D">
        <w:t xml:space="preserve">at </w:t>
      </w:r>
      <w:r w:rsidR="00CA2180">
        <w:t xml:space="preserve">the tests discordance might result in </w:t>
      </w:r>
      <w:r w:rsidR="00133A5D">
        <w:t xml:space="preserve">slightly different </w:t>
      </w:r>
      <w:r w:rsidR="00832C36">
        <w:t xml:space="preserve">patient </w:t>
      </w:r>
      <w:r w:rsidR="00133A5D">
        <w:t xml:space="preserve">populations be identified as eligible to </w:t>
      </w:r>
      <w:r w:rsidR="00832C36">
        <w:t xml:space="preserve">access </w:t>
      </w:r>
      <w:r w:rsidR="00133A5D">
        <w:t>donanemab</w:t>
      </w:r>
      <w:r w:rsidR="00B81AB3">
        <w:t xml:space="preserve">, an issue </w:t>
      </w:r>
      <w:r w:rsidR="00832C36">
        <w:t xml:space="preserve">the </w:t>
      </w:r>
      <w:r w:rsidR="003D413F">
        <w:t xml:space="preserve">submission </w:t>
      </w:r>
      <w:r w:rsidR="00832C36">
        <w:t>did not consider</w:t>
      </w:r>
      <w:r w:rsidR="00912454" w:rsidRPr="00912454">
        <w:t xml:space="preserve">. </w:t>
      </w:r>
    </w:p>
    <w:p w14:paraId="0BA5D3B4" w14:textId="31B7317D" w:rsidR="0020355D" w:rsidRDefault="00905521" w:rsidP="00B00887">
      <w:pPr>
        <w:pStyle w:val="Bullet"/>
        <w:numPr>
          <w:ilvl w:val="0"/>
          <w:numId w:val="43"/>
        </w:numPr>
        <w:spacing w:before="0" w:after="60"/>
        <w:ind w:left="714" w:hanging="357"/>
      </w:pPr>
      <w:r>
        <w:t xml:space="preserve">MSAC considered the </w:t>
      </w:r>
      <w:r w:rsidR="003D413F">
        <w:t xml:space="preserve">submission’s </w:t>
      </w:r>
      <w:r>
        <w:t xml:space="preserve">assumption </w:t>
      </w:r>
      <w:r w:rsidR="0099588A">
        <w:t xml:space="preserve">of a </w:t>
      </w:r>
      <w:r w:rsidR="002803E7">
        <w:t xml:space="preserve">50/50 split </w:t>
      </w:r>
      <w:r>
        <w:t xml:space="preserve">of patients </w:t>
      </w:r>
      <w:r w:rsidR="00F73752">
        <w:t>undergoing A</w:t>
      </w:r>
      <w:r w:rsidR="00F73752">
        <w:rPr>
          <w:rFonts w:ascii="Calibri" w:hAnsi="Calibri" w:cs="Calibri"/>
        </w:rPr>
        <w:t>β</w:t>
      </w:r>
      <w:r w:rsidR="00F73752">
        <w:t>-PET brain scan or</w:t>
      </w:r>
      <w:r>
        <w:t xml:space="preserve"> CSF </w:t>
      </w:r>
      <w:r w:rsidR="00F73752">
        <w:t xml:space="preserve">AD biomarker testing </w:t>
      </w:r>
      <w:r>
        <w:t xml:space="preserve">to be </w:t>
      </w:r>
      <w:r w:rsidR="009721EB">
        <w:t xml:space="preserve">inadequately supported and </w:t>
      </w:r>
      <w:r>
        <w:t xml:space="preserve">uncertain. </w:t>
      </w:r>
      <w:r w:rsidR="00B35115">
        <w:t xml:space="preserve">The </w:t>
      </w:r>
      <w:r w:rsidR="009E0D49">
        <w:t xml:space="preserve">submission </w:t>
      </w:r>
      <w:r w:rsidR="00B35115">
        <w:t>did n</w:t>
      </w:r>
      <w:r w:rsidR="00DF28A4">
        <w:t xml:space="preserve">ot consider some patients might seek </w:t>
      </w:r>
      <w:r w:rsidR="00D666CA">
        <w:t>repeat testing</w:t>
      </w:r>
      <w:r w:rsidR="00A934DE">
        <w:t xml:space="preserve"> </w:t>
      </w:r>
      <w:r w:rsidR="00D666CA">
        <w:t>over time either.</w:t>
      </w:r>
    </w:p>
    <w:p w14:paraId="7E11A5CE" w14:textId="1751B375" w:rsidR="00912454" w:rsidRPr="00912454" w:rsidRDefault="009A3CEF" w:rsidP="00215E48">
      <w:pPr>
        <w:pStyle w:val="Bullet"/>
        <w:numPr>
          <w:ilvl w:val="0"/>
          <w:numId w:val="44"/>
        </w:numPr>
        <w:spacing w:before="0" w:after="60"/>
        <w:ind w:left="714" w:hanging="357"/>
      </w:pPr>
      <w:r>
        <w:t xml:space="preserve">MSAC noted that </w:t>
      </w:r>
      <w:r w:rsidR="009B6CD0">
        <w:t xml:space="preserve">the </w:t>
      </w:r>
      <w:r w:rsidR="00333F91">
        <w:t xml:space="preserve">submission’s </w:t>
      </w:r>
      <w:r w:rsidR="009B6CD0">
        <w:t xml:space="preserve">economic </w:t>
      </w:r>
      <w:r w:rsidR="00830E72">
        <w:t>result was sensitive to the proportion of patients treated to clear or treated to 18 months</w:t>
      </w:r>
      <w:r w:rsidR="00FF3DFC">
        <w:t>: assuming 100% of patients treated to 18 months</w:t>
      </w:r>
      <w:r w:rsidR="00A26CF6">
        <w:t xml:space="preserve"> (base case 60%)</w:t>
      </w:r>
      <w:r w:rsidR="00AB5D83">
        <w:t xml:space="preserve">, </w:t>
      </w:r>
      <w:r w:rsidR="00E35458">
        <w:t>the incremental cost-effectiveness ratio (ICER) increased</w:t>
      </w:r>
      <w:r w:rsidR="00723880">
        <w:t xml:space="preserve"> </w:t>
      </w:r>
      <w:r w:rsidR="00626FE1">
        <w:t>(</w:t>
      </w:r>
      <w:r w:rsidR="00E52ED7" w:rsidRPr="00E52ED7">
        <w:t>REDACTED</w:t>
      </w:r>
      <w:r w:rsidR="00E52ED7" w:rsidRPr="00E52ED7" w:rsidDel="00E52ED7">
        <w:t xml:space="preserve"> </w:t>
      </w:r>
      <w:r w:rsidR="00626FE1" w:rsidRPr="00E52ED7">
        <w:t>%) from</w:t>
      </w:r>
      <w:r w:rsidR="00626FE1">
        <w:t xml:space="preserve"> </w:t>
      </w:r>
      <w:r w:rsidR="00626FE1" w:rsidRPr="00626FE1">
        <w:t>$</w:t>
      </w:r>
      <w:r w:rsidR="007A6BBF">
        <w:t>35,000</w:t>
      </w:r>
      <w:r w:rsidR="000C396E">
        <w:t xml:space="preserve"> to &lt;$45,000</w:t>
      </w:r>
      <w:r w:rsidR="00626FE1" w:rsidRPr="00626FE1">
        <w:t xml:space="preserve"> </w:t>
      </w:r>
      <w:r w:rsidR="00912454" w:rsidRPr="00912454">
        <w:t>to $</w:t>
      </w:r>
      <w:r w:rsidR="008B5854">
        <w:t>45,000 to &lt;$55,000</w:t>
      </w:r>
      <w:r w:rsidR="00912454" w:rsidRPr="00912454">
        <w:t>/QALY</w:t>
      </w:r>
      <w:r w:rsidR="00A26CF6">
        <w:t xml:space="preserve"> gained</w:t>
      </w:r>
      <w:r w:rsidR="00912454" w:rsidRPr="00912454">
        <w:t>.</w:t>
      </w:r>
    </w:p>
    <w:p w14:paraId="6515A6A5" w14:textId="77777777" w:rsidR="00DC1302" w:rsidRPr="00DC1302" w:rsidRDefault="00464AC1" w:rsidP="00DC1302">
      <w:r>
        <w:t xml:space="preserve">MSAC considered a more appropriate approach to the </w:t>
      </w:r>
      <w:r w:rsidRPr="00D9035D">
        <w:t xml:space="preserve">economic </w:t>
      </w:r>
      <w:r>
        <w:t xml:space="preserve">evaluation </w:t>
      </w:r>
      <w:r w:rsidR="00DC1302" w:rsidRPr="00DC1302">
        <w:t>would</w:t>
      </w:r>
      <w:r>
        <w:t xml:space="preserve"> be to include</w:t>
      </w:r>
      <w:r w:rsidRPr="00D9035D">
        <w:t xml:space="preserve"> the total target patient population </w:t>
      </w:r>
      <w:r>
        <w:t xml:space="preserve">(tested and treated) </w:t>
      </w:r>
      <w:r w:rsidRPr="00D9035D">
        <w:t>including those who would undergo the proposed testing (</w:t>
      </w:r>
      <w:r w:rsidRPr="00D9035D">
        <w:rPr>
          <w:i/>
          <w:iCs/>
        </w:rPr>
        <w:t>APOE4</w:t>
      </w:r>
      <w:r w:rsidRPr="00D9035D">
        <w:t xml:space="preserve"> and amyloid testing)</w:t>
      </w:r>
      <w:r>
        <w:t xml:space="preserve">; </w:t>
      </w:r>
      <w:r w:rsidRPr="00D9035D">
        <w:t xml:space="preserve">incorporate consideration of discordant results </w:t>
      </w:r>
      <w:r w:rsidRPr="00D9035D">
        <w:lastRenderedPageBreak/>
        <w:t>from A</w:t>
      </w:r>
      <w:r w:rsidRPr="00D9035D">
        <w:rPr>
          <w:rFonts w:cs="Calibri"/>
        </w:rPr>
        <w:t>β</w:t>
      </w:r>
      <w:r w:rsidRPr="00D9035D">
        <w:t>-PET and CSF AD biomarker testing</w:t>
      </w:r>
      <w:r>
        <w:t>,</w:t>
      </w:r>
      <w:r w:rsidRPr="00D9035D">
        <w:t xml:space="preserve"> including any relevant downstream costs and consequences.</w:t>
      </w:r>
    </w:p>
    <w:p w14:paraId="2E4365C0" w14:textId="1F7D251D" w:rsidR="00263505" w:rsidRDefault="00912454" w:rsidP="007934A1">
      <w:r w:rsidRPr="00912454">
        <w:t xml:space="preserve">MSAC noted the </w:t>
      </w:r>
      <w:r w:rsidR="00E4584E">
        <w:t>evaluation</w:t>
      </w:r>
      <w:r w:rsidR="00F920D1">
        <w:t>’s revised finan</w:t>
      </w:r>
      <w:r w:rsidR="000E0E12">
        <w:t>cial estimates</w:t>
      </w:r>
      <w:r w:rsidR="00F234CC">
        <w:t xml:space="preserve"> </w:t>
      </w:r>
      <w:r w:rsidR="001B1381">
        <w:t xml:space="preserve">pre-ESC </w:t>
      </w:r>
      <w:r w:rsidR="00F234CC">
        <w:t xml:space="preserve">on </w:t>
      </w:r>
      <w:r w:rsidR="00FE7AC3">
        <w:t>the</w:t>
      </w:r>
      <w:r w:rsidR="0008061F">
        <w:t xml:space="preserve"> </w:t>
      </w:r>
      <w:r w:rsidR="003E791B">
        <w:t xml:space="preserve">net cost to </w:t>
      </w:r>
      <w:r w:rsidR="004421FA">
        <w:t xml:space="preserve">the MBS </w:t>
      </w:r>
      <w:r w:rsidR="00FE7AC3">
        <w:t>was</w:t>
      </w:r>
      <w:r w:rsidR="0008061F">
        <w:t xml:space="preserve"> </w:t>
      </w:r>
      <w:r w:rsidR="000468A2">
        <w:t>$</w:t>
      </w:r>
      <w:r w:rsidR="001624C8">
        <w:t>1</w:t>
      </w:r>
      <w:r w:rsidR="00CE2F13">
        <w:t>00 million to &lt;$200</w:t>
      </w:r>
      <w:r w:rsidR="009B30E1">
        <w:t xml:space="preserve"> </w:t>
      </w:r>
      <w:r w:rsidR="0011698B">
        <w:t>million</w:t>
      </w:r>
      <w:r w:rsidR="003E791B">
        <w:t xml:space="preserve"> in </w:t>
      </w:r>
      <w:r w:rsidR="004421FA">
        <w:t>Year 1</w:t>
      </w:r>
      <w:r w:rsidR="003E791B">
        <w:t xml:space="preserve"> </w:t>
      </w:r>
      <w:r w:rsidR="0008061F">
        <w:t>and</w:t>
      </w:r>
      <w:r w:rsidR="003E791B">
        <w:t xml:space="preserve"> rising to </w:t>
      </w:r>
      <w:r w:rsidR="001624C8">
        <w:t>$300 to &lt;</w:t>
      </w:r>
      <w:r w:rsidR="004421FA">
        <w:t>$</w:t>
      </w:r>
      <w:r w:rsidR="001624C8">
        <w:t>400</w:t>
      </w:r>
      <w:r w:rsidR="003A7E76">
        <w:t xml:space="preserve"> million in Year 6</w:t>
      </w:r>
      <w:r w:rsidR="0008061F">
        <w:t xml:space="preserve"> of listing</w:t>
      </w:r>
      <w:r w:rsidR="00A74A8A">
        <w:t xml:space="preserve"> (total</w:t>
      </w:r>
      <w:r w:rsidR="00586E7B">
        <w:t>ling</w:t>
      </w:r>
      <w:r w:rsidR="00A74A8A">
        <w:t xml:space="preserve"> </w:t>
      </w:r>
      <w:r w:rsidR="001624C8">
        <w:t>&gt;</w:t>
      </w:r>
      <w:r w:rsidR="00A74A8A">
        <w:t>$</w:t>
      </w:r>
      <w:r w:rsidR="001624C8">
        <w:t>1</w:t>
      </w:r>
      <w:r w:rsidR="00A74A8A">
        <w:t xml:space="preserve"> billion in Years 1-6)</w:t>
      </w:r>
      <w:r w:rsidRPr="00912454">
        <w:t xml:space="preserve">. </w:t>
      </w:r>
      <w:r w:rsidR="00301AAA">
        <w:t xml:space="preserve">MSAC considered </w:t>
      </w:r>
      <w:r w:rsidR="005D2613">
        <w:t xml:space="preserve">the </w:t>
      </w:r>
      <w:r w:rsidR="00263505">
        <w:t xml:space="preserve">financial </w:t>
      </w:r>
      <w:r w:rsidR="00462C15">
        <w:t>cost</w:t>
      </w:r>
      <w:r w:rsidR="008269C4">
        <w:t xml:space="preserve"> </w:t>
      </w:r>
      <w:r w:rsidR="00EA295E" w:rsidRPr="00EA295E">
        <w:t xml:space="preserve">for the medical services required to determine eligibility for donanemab </w:t>
      </w:r>
      <w:r w:rsidR="002B3EAB">
        <w:t xml:space="preserve">and monitoring </w:t>
      </w:r>
      <w:r w:rsidR="00187FB5">
        <w:t xml:space="preserve">of treatment response and adverse events </w:t>
      </w:r>
      <w:r w:rsidR="005E12E8">
        <w:t xml:space="preserve">to be </w:t>
      </w:r>
      <w:r w:rsidR="005D2613">
        <w:t>substantial</w:t>
      </w:r>
      <w:r w:rsidR="00C6120D">
        <w:t>.</w:t>
      </w:r>
      <w:r w:rsidR="00231FC0">
        <w:t xml:space="preserve"> </w:t>
      </w:r>
      <w:r w:rsidR="00533EEE">
        <w:t xml:space="preserve">MSAC considered the </w:t>
      </w:r>
      <w:r w:rsidR="00BF33CC">
        <w:t xml:space="preserve">submission’s </w:t>
      </w:r>
      <w:r w:rsidR="003251EA">
        <w:t xml:space="preserve">approach to </w:t>
      </w:r>
      <w:r w:rsidR="000650A9">
        <w:t>estimat</w:t>
      </w:r>
      <w:r w:rsidR="003251EA">
        <w:t>e the</w:t>
      </w:r>
      <w:r w:rsidR="00B86FF3">
        <w:t xml:space="preserve"> </w:t>
      </w:r>
      <w:r w:rsidR="000650A9">
        <w:t xml:space="preserve">eligible </w:t>
      </w:r>
      <w:r w:rsidR="00BD39CB">
        <w:t xml:space="preserve">tested and treated </w:t>
      </w:r>
      <w:r w:rsidR="000650A9">
        <w:t xml:space="preserve">patient </w:t>
      </w:r>
      <w:r w:rsidR="00BD39CB">
        <w:t>numbers fro</w:t>
      </w:r>
      <w:r w:rsidR="006F7528">
        <w:t xml:space="preserve">m </w:t>
      </w:r>
      <w:r w:rsidR="4B9CF60E">
        <w:t xml:space="preserve">based on </w:t>
      </w:r>
      <w:r w:rsidR="006F7528">
        <w:t xml:space="preserve">system capacity </w:t>
      </w:r>
      <w:r w:rsidR="20B37F67">
        <w:t xml:space="preserve">to be </w:t>
      </w:r>
      <w:r w:rsidR="006F7528">
        <w:t>inappropriate</w:t>
      </w:r>
      <w:r w:rsidR="006B1BA3">
        <w:t xml:space="preserve"> and a</w:t>
      </w:r>
      <w:r w:rsidR="00DC265A">
        <w:t xml:space="preserve">dvised that the patient numbers should be estimated based on </w:t>
      </w:r>
      <w:r w:rsidR="759E61B8">
        <w:t>eligibility</w:t>
      </w:r>
      <w:r w:rsidR="00E82A2B">
        <w:t xml:space="preserve"> </w:t>
      </w:r>
      <w:r w:rsidR="00DC398F">
        <w:t xml:space="preserve">for the clinical services </w:t>
      </w:r>
      <w:r w:rsidR="00E82A2B">
        <w:t>instead.</w:t>
      </w:r>
      <w:r w:rsidR="00C6120D" w:rsidRPr="00C6120D">
        <w:t xml:space="preserve"> </w:t>
      </w:r>
      <w:r w:rsidR="00DC398F">
        <w:t xml:space="preserve">MSAC considered the financial estimates uncertain </w:t>
      </w:r>
      <w:r w:rsidR="00C6120D">
        <w:t>due to uncertain</w:t>
      </w:r>
      <w:r w:rsidR="00DC398F">
        <w:t>ty in the</w:t>
      </w:r>
      <w:r w:rsidR="00C6120D">
        <w:t xml:space="preserve"> prevalence of </w:t>
      </w:r>
      <w:r w:rsidR="00C6120D" w:rsidRPr="00DF1E66">
        <w:rPr>
          <w:i/>
          <w:iCs/>
        </w:rPr>
        <w:t>APOE4</w:t>
      </w:r>
      <w:r w:rsidR="00C6120D">
        <w:t xml:space="preserve"> homozygosity in Australia and </w:t>
      </w:r>
      <w:r w:rsidR="00DC398F">
        <w:t xml:space="preserve">the </w:t>
      </w:r>
      <w:r w:rsidR="00C6120D">
        <w:t>uptake rates for A</w:t>
      </w:r>
      <w:r w:rsidR="00C6120D">
        <w:rPr>
          <w:rFonts w:ascii="Calibri" w:hAnsi="Calibri" w:cs="Calibri"/>
        </w:rPr>
        <w:t>β</w:t>
      </w:r>
      <w:r w:rsidR="00C6120D">
        <w:t>-PET brains and CSF AD biomarker testing.</w:t>
      </w:r>
    </w:p>
    <w:p w14:paraId="1BD7D4F8" w14:textId="4AAA2D1C" w:rsidR="00912454" w:rsidRPr="00912454" w:rsidRDefault="00912454" w:rsidP="00FF1821">
      <w:r w:rsidRPr="00912454">
        <w:t xml:space="preserve">MSAC noted </w:t>
      </w:r>
      <w:r w:rsidR="00D01DEF">
        <w:t xml:space="preserve">the </w:t>
      </w:r>
      <w:r w:rsidR="00C06349">
        <w:t xml:space="preserve">various </w:t>
      </w:r>
      <w:r w:rsidRPr="00912454">
        <w:t xml:space="preserve">potential </w:t>
      </w:r>
      <w:r w:rsidR="00C06349">
        <w:t xml:space="preserve">health system </w:t>
      </w:r>
      <w:r w:rsidRPr="00912454">
        <w:t xml:space="preserve">capacity issues, </w:t>
      </w:r>
      <w:r w:rsidR="00D01DEF">
        <w:t xml:space="preserve">e.g., </w:t>
      </w:r>
      <w:r w:rsidRPr="00912454">
        <w:t>access to radiotracers, PET scan</w:t>
      </w:r>
      <w:r w:rsidR="009428B4">
        <w:t>s</w:t>
      </w:r>
      <w:r w:rsidRPr="00912454">
        <w:t xml:space="preserve"> and </w:t>
      </w:r>
      <w:r w:rsidR="000273B5">
        <w:t xml:space="preserve">brain </w:t>
      </w:r>
      <w:r w:rsidRPr="00912454">
        <w:t>MRI</w:t>
      </w:r>
      <w:r w:rsidR="000273B5">
        <w:t>s</w:t>
      </w:r>
      <w:r w:rsidRPr="00912454">
        <w:t xml:space="preserve"> required for diagnosis</w:t>
      </w:r>
      <w:r w:rsidR="00590375">
        <w:t xml:space="preserve"> and monitoring purposes</w:t>
      </w:r>
      <w:r w:rsidRPr="00912454">
        <w:t xml:space="preserve">, especially for </w:t>
      </w:r>
      <w:r w:rsidR="001D6BAC">
        <w:t xml:space="preserve">patients </w:t>
      </w:r>
      <w:r w:rsidR="00454036">
        <w:t xml:space="preserve">residing in </w:t>
      </w:r>
      <w:r w:rsidRPr="00912454">
        <w:t xml:space="preserve">regional and rural </w:t>
      </w:r>
      <w:r w:rsidR="00454036">
        <w:t>area</w:t>
      </w:r>
      <w:r w:rsidR="00454036" w:rsidRPr="00912454">
        <w:t>s</w:t>
      </w:r>
      <w:r w:rsidRPr="00912454">
        <w:t xml:space="preserve">. Capacity issues also exist for the specialised multidisciplinary clinics that </w:t>
      </w:r>
      <w:r w:rsidR="00BA5B4F">
        <w:t>are essential for providing</w:t>
      </w:r>
      <w:r w:rsidRPr="00912454">
        <w:t xml:space="preserve"> diagnosis and treatment. </w:t>
      </w:r>
      <w:r w:rsidR="00E44868">
        <w:t xml:space="preserve">MSAC noted </w:t>
      </w:r>
      <w:r w:rsidRPr="00912454">
        <w:t xml:space="preserve">the applicant stated </w:t>
      </w:r>
      <w:r w:rsidR="00E4226F">
        <w:t xml:space="preserve">during the hearing </w:t>
      </w:r>
      <w:r w:rsidRPr="00912454">
        <w:t xml:space="preserve">that the capacity for additional CSF testing </w:t>
      </w:r>
      <w:r w:rsidR="00E4226F">
        <w:t>wa</w:t>
      </w:r>
      <w:r w:rsidRPr="00912454">
        <w:t xml:space="preserve">s high. However, MSAC considered </w:t>
      </w:r>
      <w:r w:rsidR="00441252">
        <w:t xml:space="preserve">that </w:t>
      </w:r>
      <w:r w:rsidRPr="00912454">
        <w:t>there w</w:t>
      </w:r>
      <w:r w:rsidR="007E56FF">
        <w:t>ould</w:t>
      </w:r>
      <w:r w:rsidRPr="00912454">
        <w:t xml:space="preserve"> likely be access issues to PET and MRI </w:t>
      </w:r>
      <w:r w:rsidR="00572D5A">
        <w:t xml:space="preserve">especially </w:t>
      </w:r>
      <w:r w:rsidRPr="00912454">
        <w:t>for regional and rural patients for diagnosis and monitoring.</w:t>
      </w:r>
      <w:r w:rsidR="00572D5A">
        <w:t xml:space="preserve"> MSAC also considered </w:t>
      </w:r>
      <w:r w:rsidR="00701063">
        <w:t xml:space="preserve">the capacity of Australian health system to provide </w:t>
      </w:r>
      <w:r w:rsidR="00FD6028">
        <w:t>e</w:t>
      </w:r>
      <w:r w:rsidR="00701063">
        <w:t xml:space="preserve">quity of safe access to treatment uncertain, given </w:t>
      </w:r>
      <w:r w:rsidR="00572D5A">
        <w:t>the frequent clinical monitoring and brain MRI scans required especially during the early stages of treatment</w:t>
      </w:r>
      <w:r w:rsidR="00FD6028">
        <w:t xml:space="preserve">, </w:t>
      </w:r>
      <w:r w:rsidR="00125D40">
        <w:t>and with considerable</w:t>
      </w:r>
      <w:r w:rsidR="00572D5A">
        <w:t xml:space="preserve"> opportunity costs for other patient populations </w:t>
      </w:r>
      <w:r w:rsidR="00441252">
        <w:t xml:space="preserve">who required </w:t>
      </w:r>
      <w:r w:rsidR="00572D5A">
        <w:t xml:space="preserve">access </w:t>
      </w:r>
      <w:r w:rsidR="00DA523B">
        <w:t xml:space="preserve">to </w:t>
      </w:r>
      <w:r w:rsidR="00572D5A">
        <w:t>these services</w:t>
      </w:r>
      <w:r w:rsidR="00125D40">
        <w:t>.</w:t>
      </w:r>
    </w:p>
    <w:p w14:paraId="7D34110A" w14:textId="4ADD1F29" w:rsidR="00CC5611" w:rsidRDefault="00F70817" w:rsidP="00FF1821">
      <w:r w:rsidRPr="00E64C5D">
        <w:t xml:space="preserve">After considering the strength of the evidence </w:t>
      </w:r>
      <w:r w:rsidR="003F120C">
        <w:t xml:space="preserve">the submission </w:t>
      </w:r>
      <w:r w:rsidR="0010565D" w:rsidRPr="00E64C5D">
        <w:t xml:space="preserve">presented </w:t>
      </w:r>
      <w:r w:rsidRPr="00E64C5D">
        <w:t>in relation to comparative safety, clinical effectiveness, cost-effectiveness and t</w:t>
      </w:r>
      <w:r w:rsidR="0039761E" w:rsidRPr="00E64C5D">
        <w:t>he financial impact</w:t>
      </w:r>
      <w:r w:rsidR="00443CA8" w:rsidRPr="00E64C5D">
        <w:t xml:space="preserve"> of the proposed testing</w:t>
      </w:r>
      <w:r w:rsidR="00E978A4" w:rsidRPr="00E64C5D">
        <w:t xml:space="preserve">s (+ </w:t>
      </w:r>
      <w:r w:rsidR="00443CA8" w:rsidRPr="00E64C5D">
        <w:t>donanemab treatment</w:t>
      </w:r>
      <w:r w:rsidR="00E978A4" w:rsidRPr="00E64C5D">
        <w:t>)</w:t>
      </w:r>
      <w:r w:rsidR="00443CA8" w:rsidRPr="00E64C5D">
        <w:t xml:space="preserve"> versus no</w:t>
      </w:r>
      <w:r w:rsidR="00E978A4" w:rsidRPr="00E64C5D">
        <w:t xml:space="preserve"> testing (+ </w:t>
      </w:r>
      <w:r w:rsidR="007A5576">
        <w:t>SOC</w:t>
      </w:r>
      <w:r w:rsidR="00E978A4" w:rsidRPr="00E64C5D">
        <w:t>)</w:t>
      </w:r>
      <w:r w:rsidRPr="00E64C5D">
        <w:t xml:space="preserve">, </w:t>
      </w:r>
      <w:r w:rsidR="00912454" w:rsidRPr="00E64C5D">
        <w:t xml:space="preserve">MSAC did not </w:t>
      </w:r>
      <w:r w:rsidRPr="00E64C5D">
        <w:t>support</w:t>
      </w:r>
      <w:r w:rsidR="00912454" w:rsidRPr="00E64C5D">
        <w:t xml:space="preserve"> public funding of </w:t>
      </w:r>
      <w:r w:rsidR="005479D9" w:rsidRPr="00E64C5D">
        <w:rPr>
          <w:i/>
          <w:iCs/>
        </w:rPr>
        <w:t>APOE</w:t>
      </w:r>
      <w:r w:rsidR="005479D9" w:rsidRPr="00E64C5D">
        <w:t xml:space="preserve"> genotyping</w:t>
      </w:r>
      <w:r w:rsidR="00CE161B" w:rsidRPr="00E64C5D">
        <w:t xml:space="preserve"> nor </w:t>
      </w:r>
      <w:r w:rsidR="00AA2544" w:rsidRPr="00E64C5D">
        <w:t>A</w:t>
      </w:r>
      <w:r w:rsidR="00AA2544" w:rsidRPr="00E64C5D">
        <w:rPr>
          <w:rFonts w:cs="Calibri"/>
        </w:rPr>
        <w:t>β</w:t>
      </w:r>
      <w:r w:rsidR="00AA2544" w:rsidRPr="00E64C5D">
        <w:t xml:space="preserve"> pathology testing </w:t>
      </w:r>
      <w:r w:rsidR="005479D9" w:rsidRPr="00E64C5D">
        <w:t>(</w:t>
      </w:r>
      <w:r w:rsidR="00AC1ACC" w:rsidRPr="00E64C5D">
        <w:t>A</w:t>
      </w:r>
      <w:r w:rsidR="00AC1ACC" w:rsidRPr="00E64C5D">
        <w:rPr>
          <w:rFonts w:cs="Calibri"/>
        </w:rPr>
        <w:t>β</w:t>
      </w:r>
      <w:r w:rsidR="00AC1ACC" w:rsidRPr="00E64C5D">
        <w:t>-</w:t>
      </w:r>
      <w:r w:rsidR="00072047" w:rsidRPr="00E64C5D">
        <w:t>PET</w:t>
      </w:r>
      <w:r w:rsidR="00D237B9" w:rsidRPr="00E64C5D">
        <w:t xml:space="preserve">, </w:t>
      </w:r>
      <w:r w:rsidR="00072047" w:rsidRPr="00E64C5D">
        <w:t xml:space="preserve">CSF </w:t>
      </w:r>
      <w:r w:rsidR="00AC1ACC" w:rsidRPr="00E64C5D">
        <w:t xml:space="preserve">AD biomarker </w:t>
      </w:r>
      <w:r w:rsidR="00072047" w:rsidRPr="00E64C5D">
        <w:t>testing</w:t>
      </w:r>
      <w:r w:rsidR="00D237B9" w:rsidRPr="00E64C5D">
        <w:t>)</w:t>
      </w:r>
      <w:r w:rsidR="00072047" w:rsidRPr="00E64C5D">
        <w:t xml:space="preserve"> </w:t>
      </w:r>
      <w:r w:rsidR="1D0B1C61">
        <w:t>for</w:t>
      </w:r>
      <w:r w:rsidR="003E451D" w:rsidRPr="00E64C5D">
        <w:t xml:space="preserve"> patients with </w:t>
      </w:r>
      <w:r w:rsidR="00A809BB">
        <w:t>early</w:t>
      </w:r>
      <w:r w:rsidR="00072047" w:rsidRPr="00E64C5D">
        <w:t xml:space="preserve"> </w:t>
      </w:r>
      <w:r w:rsidR="00F66FD7" w:rsidRPr="00E64C5D">
        <w:t>symptomatic AD</w:t>
      </w:r>
      <w:r w:rsidR="00072047" w:rsidRPr="00E64C5D">
        <w:t xml:space="preserve"> to </w:t>
      </w:r>
      <w:r w:rsidR="00F66FD7" w:rsidRPr="00E64C5D">
        <w:t xml:space="preserve">determine </w:t>
      </w:r>
      <w:r w:rsidR="00072047" w:rsidRPr="00E64C5D">
        <w:t>eligibility for</w:t>
      </w:r>
      <w:r w:rsidR="00F66FD7" w:rsidRPr="00E64C5D">
        <w:t xml:space="preserve"> donanemab</w:t>
      </w:r>
      <w:r w:rsidR="00072047" w:rsidRPr="00E64C5D">
        <w:t xml:space="preserve"> treatment.</w:t>
      </w:r>
      <w:r w:rsidR="0079145B">
        <w:t xml:space="preserve"> </w:t>
      </w:r>
      <w:r w:rsidR="00C32414">
        <w:t xml:space="preserve">MSAC did not support </w:t>
      </w:r>
      <w:r w:rsidR="00E94C8E">
        <w:t xml:space="preserve">public funding </w:t>
      </w:r>
      <w:r w:rsidR="005557EB">
        <w:t>of A</w:t>
      </w:r>
      <w:r w:rsidR="005557EB">
        <w:rPr>
          <w:rFonts w:ascii="Calibri" w:hAnsi="Calibri" w:cs="Calibri"/>
        </w:rPr>
        <w:t>β</w:t>
      </w:r>
      <w:r w:rsidR="005557EB">
        <w:t>-PET to assess amyloid clearance in patients on donanemab treatment either.</w:t>
      </w:r>
      <w:r w:rsidR="008614EA" w:rsidRPr="008614EA">
        <w:t xml:space="preserve"> </w:t>
      </w:r>
    </w:p>
    <w:p w14:paraId="63EB1FF3" w14:textId="6EEF82B4" w:rsidR="006F7F91" w:rsidRDefault="008614EA" w:rsidP="00FF1821">
      <w:r w:rsidRPr="008614EA">
        <w:t xml:space="preserve">MSAC noted that PBAC considered the potential benefits of donanemab treatment too small and uncertain to justify the high burden of treatment on patients and did not recommend listing donanemab on the PBS at its July 2025 meeting. </w:t>
      </w:r>
    </w:p>
    <w:p w14:paraId="4E14F893" w14:textId="75761C96" w:rsidR="006F7F91" w:rsidRDefault="00CC5611" w:rsidP="00FF1821">
      <w:r w:rsidRPr="00CC5611">
        <w:t xml:space="preserve">MSAC considered that there were several clinical issues with the proposed tests. The application proposed two testing options to detect beta amyloid in the brain: PET scan which was used in the clinical trial, or CSF testing which was not used in the trial. MSAC considered the two testing options might identify slightly different populations as being eligible for donanemab treatment. Additionally, MSAC considered these early symptomatic patients are a vulnerable group seeking any potential treatment for their condition, and they might seek multiple tests including both CSF and PET over time to access treatment and this was not considered in the </w:t>
      </w:r>
      <w:r w:rsidR="006F7F91">
        <w:t>submission</w:t>
      </w:r>
      <w:r w:rsidRPr="00CC5611">
        <w:t xml:space="preserve">. </w:t>
      </w:r>
    </w:p>
    <w:p w14:paraId="25177A53" w14:textId="66C4A8C0" w:rsidR="006F7F91" w:rsidRDefault="00CC5611" w:rsidP="00FF1821">
      <w:r w:rsidRPr="00CC5611">
        <w:t xml:space="preserve">MSAC considered the economic model did not appropriately incorporate the tests used to determine eligibility for treatment nor the impact of discordant results from the 2 testing options to detect beta-amyloid pathology. MSAC noted that there would be a substantial net cost to the MBS – estimated to be </w:t>
      </w:r>
      <w:r w:rsidR="00800E17">
        <w:t>&gt;</w:t>
      </w:r>
      <w:r w:rsidRPr="00CC5611">
        <w:t>$</w:t>
      </w:r>
      <w:r w:rsidR="00800E17">
        <w:t>1</w:t>
      </w:r>
      <w:r w:rsidRPr="00CC5611">
        <w:t xml:space="preserve"> billion in the first 6 years of listing for the medical services required to determine eligibility for donanemab and monitor treatment response. </w:t>
      </w:r>
    </w:p>
    <w:p w14:paraId="11082450" w14:textId="31E28A0B" w:rsidR="00E44433" w:rsidRDefault="00CC5611" w:rsidP="00FF1821">
      <w:r w:rsidRPr="00CC5611">
        <w:t xml:space="preserve">MSAC noted that access to </w:t>
      </w:r>
      <w:r w:rsidR="006F7F91">
        <w:t>A</w:t>
      </w:r>
      <w:r w:rsidR="006F7F91">
        <w:rPr>
          <w:rFonts w:ascii="Calibri" w:hAnsi="Calibri" w:cs="Calibri"/>
        </w:rPr>
        <w:t>β</w:t>
      </w:r>
      <w:r w:rsidR="006F7F91">
        <w:t>-</w:t>
      </w:r>
      <w:r w:rsidRPr="00CC5611">
        <w:t xml:space="preserve">PET scans outside major capital cities is limited because the radiotracer has a short half-life and needs to be administered to the patient shortly after it is </w:t>
      </w:r>
      <w:r w:rsidRPr="00CC5611">
        <w:lastRenderedPageBreak/>
        <w:t xml:space="preserve">manufactured. MSAC noted the lack of current health system capacity to support diagnosis, treatment and monitoring of patients who use donanemab, including regular monitoring for amyloid-related imaging abnormalities in the brain. MSAC considered this could contribute to exacerbations in health inequities according to a patient’s geographical location or socioeconomic status. </w:t>
      </w:r>
      <w:r w:rsidR="00366A5A">
        <w:t>Therefore</w:t>
      </w:r>
      <w:r w:rsidRPr="00CC5611">
        <w:t>, MSAC advised that the proposed tests should not be publicly funded at this time.</w:t>
      </w:r>
      <w:r w:rsidR="00366A5A">
        <w:t xml:space="preserve"> </w:t>
      </w:r>
    </w:p>
    <w:p w14:paraId="3EAE5DD3" w14:textId="4BF97C60" w:rsidR="0095340F" w:rsidRPr="0095340F" w:rsidRDefault="0095340F" w:rsidP="0095340F">
      <w:pPr>
        <w:pStyle w:val="BulletBeforeDash"/>
        <w:numPr>
          <w:ilvl w:val="0"/>
          <w:numId w:val="0"/>
        </w:numPr>
        <w:spacing w:before="120" w:after="160"/>
        <w:rPr>
          <w:rFonts w:ascii="Franklin Gothic Book" w:hAnsi="Franklin Gothic Book"/>
          <w:szCs w:val="22"/>
        </w:rPr>
      </w:pPr>
      <w:r w:rsidRPr="0095340F">
        <w:rPr>
          <w:rFonts w:ascii="Franklin Gothic Book" w:hAnsi="Franklin Gothic Book"/>
          <w:szCs w:val="22"/>
        </w:rPr>
        <w:t xml:space="preserve">MSAC acknowledged that a full resolution of the system capacity and implementation issues </w:t>
      </w:r>
      <w:r w:rsidR="005168EE">
        <w:rPr>
          <w:rFonts w:ascii="Franklin Gothic Book" w:hAnsi="Franklin Gothic Book"/>
          <w:szCs w:val="22"/>
        </w:rPr>
        <w:t xml:space="preserve">are matters for the health system and are </w:t>
      </w:r>
      <w:r w:rsidRPr="0095340F">
        <w:rPr>
          <w:rFonts w:ascii="Franklin Gothic Book" w:hAnsi="Franklin Gothic Book"/>
          <w:szCs w:val="22"/>
        </w:rPr>
        <w:t>beyond the applicant’s ability</w:t>
      </w:r>
      <w:r w:rsidR="00D85BE2">
        <w:rPr>
          <w:rFonts w:ascii="Franklin Gothic Book" w:hAnsi="Franklin Gothic Book"/>
          <w:szCs w:val="22"/>
        </w:rPr>
        <w:t xml:space="preserve"> to resolve</w:t>
      </w:r>
      <w:r w:rsidRPr="0095340F">
        <w:rPr>
          <w:rFonts w:ascii="Franklin Gothic Book" w:hAnsi="Franklin Gothic Book"/>
          <w:szCs w:val="22"/>
        </w:rPr>
        <w:t>.</w:t>
      </w:r>
    </w:p>
    <w:p w14:paraId="597FEBAF" w14:textId="55954CF0" w:rsidR="00303B6C" w:rsidRDefault="00C13996" w:rsidP="009757FC">
      <w:pPr>
        <w:pStyle w:val="Bullet"/>
        <w:numPr>
          <w:ilvl w:val="0"/>
          <w:numId w:val="0"/>
        </w:numPr>
        <w:spacing w:before="0" w:after="60"/>
      </w:pPr>
      <w:r w:rsidRPr="0095340F">
        <w:t xml:space="preserve">MSAC advised that </w:t>
      </w:r>
      <w:r w:rsidR="00851DC3">
        <w:t xml:space="preserve">future </w:t>
      </w:r>
      <w:r w:rsidR="004631B9">
        <w:t xml:space="preserve">co-dependent </w:t>
      </w:r>
      <w:r w:rsidR="00851DC3">
        <w:t xml:space="preserve">applications for </w:t>
      </w:r>
      <w:r w:rsidR="00A66F62">
        <w:t xml:space="preserve">anti-amyloid treatments </w:t>
      </w:r>
      <w:r w:rsidR="00DF3359">
        <w:t xml:space="preserve">should </w:t>
      </w:r>
      <w:r w:rsidR="00930319" w:rsidRPr="0095340F">
        <w:t>be considered by PASC, ESC and MSAC</w:t>
      </w:r>
      <w:r w:rsidR="00303B6C">
        <w:t>.</w:t>
      </w:r>
      <w:r w:rsidR="00303B6C" w:rsidRPr="00303B6C">
        <w:t xml:space="preserve"> </w:t>
      </w:r>
      <w:r w:rsidR="00303B6C">
        <w:t xml:space="preserve">MSAC advised that future </w:t>
      </w:r>
      <w:r w:rsidR="00104D37">
        <w:t xml:space="preserve">co-dependent </w:t>
      </w:r>
      <w:r w:rsidR="00303B6C">
        <w:t xml:space="preserve">applications </w:t>
      </w:r>
      <w:r w:rsidR="00104D37">
        <w:t xml:space="preserve">for anti-amyloid treatments </w:t>
      </w:r>
      <w:r w:rsidR="00303B6C">
        <w:t>should consider the need for any other testing regimens</w:t>
      </w:r>
      <w:r w:rsidR="00D85BE2">
        <w:t xml:space="preserve"> such as</w:t>
      </w:r>
      <w:r w:rsidR="00303B6C">
        <w:t xml:space="preserve"> tau testing, emerging blood-based biomarker testing, </w:t>
      </w:r>
      <w:r w:rsidR="00256E0C">
        <w:t xml:space="preserve">alternative methods </w:t>
      </w:r>
      <w:r w:rsidR="00DC362B">
        <w:t xml:space="preserve">(e.g., biochemical) </w:t>
      </w:r>
      <w:r w:rsidR="00E04329">
        <w:t>for</w:t>
      </w:r>
      <w:r w:rsidR="00256E0C">
        <w:t xml:space="preserve"> </w:t>
      </w:r>
      <w:r w:rsidR="0057529F" w:rsidRPr="00E04329">
        <w:rPr>
          <w:i/>
          <w:iCs/>
        </w:rPr>
        <w:t>APOE4</w:t>
      </w:r>
      <w:r w:rsidR="00303B6C" w:rsidRPr="006953FD">
        <w:t xml:space="preserve"> carrier status testing</w:t>
      </w:r>
      <w:r w:rsidR="00303B6C">
        <w:t>, etc.</w:t>
      </w:r>
    </w:p>
    <w:p w14:paraId="16B0C07A" w14:textId="77777777" w:rsidR="001E1827" w:rsidRPr="00EE0EEB" w:rsidRDefault="001E1827" w:rsidP="00B03F74">
      <w:pPr>
        <w:pStyle w:val="Heading2"/>
        <w:numPr>
          <w:ilvl w:val="0"/>
          <w:numId w:val="35"/>
        </w:numPr>
        <w:spacing w:after="240"/>
        <w:ind w:left="720" w:hanging="720"/>
      </w:pPr>
      <w:r w:rsidRPr="00CC6DF8">
        <w:rPr>
          <w:rFonts w:ascii="Franklin Gothic Medium" w:hAnsi="Franklin Gothic Medium"/>
          <w:b w:val="0"/>
          <w:i w:val="0"/>
          <w:snapToGrid/>
          <w:sz w:val="32"/>
          <w:szCs w:val="26"/>
        </w:rPr>
        <w:t>Background</w:t>
      </w:r>
      <w:bookmarkEnd w:id="5"/>
    </w:p>
    <w:p w14:paraId="4F355A68" w14:textId="730463CA" w:rsidR="007457D3" w:rsidRDefault="00280EE9" w:rsidP="003D1E70">
      <w:pPr>
        <w:pStyle w:val="BodyText"/>
      </w:pPr>
      <w:r w:rsidRPr="009155F3">
        <w:t>Th</w:t>
      </w:r>
      <w:r w:rsidR="009A7C79">
        <w:t xml:space="preserve">is was the first time </w:t>
      </w:r>
      <w:r w:rsidRPr="009155F3">
        <w:t>MSAC consider</w:t>
      </w:r>
      <w:r w:rsidR="00CF429C">
        <w:t>ed</w:t>
      </w:r>
      <w:r w:rsidRPr="009155F3">
        <w:t xml:space="preserve"> </w:t>
      </w:r>
      <w:r w:rsidRPr="009155F3">
        <w:rPr>
          <w:i/>
          <w:iCs/>
        </w:rPr>
        <w:t>APOE</w:t>
      </w:r>
      <w:r w:rsidRPr="009155F3">
        <w:t xml:space="preserve"> genotyping</w:t>
      </w:r>
      <w:r w:rsidR="00CF429C">
        <w:t xml:space="preserve"> and </w:t>
      </w:r>
      <w:r w:rsidR="004F24D8">
        <w:t>t</w:t>
      </w:r>
      <w:r w:rsidRPr="009155F3">
        <w:t>esting for A</w:t>
      </w:r>
      <w:r w:rsidRPr="009155F3">
        <w:rPr>
          <w:rFonts w:cstheme="minorHAnsi"/>
        </w:rPr>
        <w:t>β</w:t>
      </w:r>
      <w:r w:rsidRPr="009155F3">
        <w:t xml:space="preserve"> pathology via A</w:t>
      </w:r>
      <w:r w:rsidRPr="009155F3">
        <w:rPr>
          <w:rFonts w:cstheme="minorHAnsi"/>
        </w:rPr>
        <w:t>β</w:t>
      </w:r>
      <w:r w:rsidRPr="009155F3">
        <w:t xml:space="preserve">-PET </w:t>
      </w:r>
      <w:r w:rsidR="00114685">
        <w:t>and</w:t>
      </w:r>
      <w:r w:rsidR="00114685" w:rsidRPr="009155F3">
        <w:t xml:space="preserve"> </w:t>
      </w:r>
      <w:r w:rsidRPr="009155F3">
        <w:t>CSF AD biomarker testing</w:t>
      </w:r>
      <w:r w:rsidR="0094217D">
        <w:t>.</w:t>
      </w:r>
      <w:r w:rsidRPr="009155F3">
        <w:t xml:space="preserve"> </w:t>
      </w:r>
    </w:p>
    <w:p w14:paraId="31AECAFE" w14:textId="719BD65B" w:rsidR="00C76348" w:rsidRPr="009155F3" w:rsidRDefault="00BA5394" w:rsidP="00280EE9">
      <w:pPr>
        <w:pStyle w:val="BodyText"/>
      </w:pPr>
      <w:r>
        <w:t>There were</w:t>
      </w:r>
      <w:r w:rsidR="00280EE9" w:rsidRPr="009155F3">
        <w:t xml:space="preserve"> two </w:t>
      </w:r>
      <w:r w:rsidR="002D2835">
        <w:t xml:space="preserve">relevant </w:t>
      </w:r>
      <w:r w:rsidR="00280EE9" w:rsidRPr="009155F3">
        <w:t xml:space="preserve">MSAC applications </w:t>
      </w:r>
      <w:r w:rsidR="00AD01AD">
        <w:t xml:space="preserve">which requested public subsidy </w:t>
      </w:r>
      <w:r w:rsidR="00280EE9" w:rsidRPr="009155F3">
        <w:t>for A</w:t>
      </w:r>
      <w:r w:rsidR="00280EE9" w:rsidRPr="009155F3">
        <w:rPr>
          <w:rFonts w:cstheme="minorHAnsi"/>
        </w:rPr>
        <w:t>β</w:t>
      </w:r>
      <w:r w:rsidR="00280EE9" w:rsidRPr="009155F3">
        <w:t xml:space="preserve">-PET </w:t>
      </w:r>
      <w:r w:rsidR="007C7CB8">
        <w:t>and</w:t>
      </w:r>
      <w:r w:rsidR="007C7CB8" w:rsidRPr="009155F3">
        <w:t xml:space="preserve"> </w:t>
      </w:r>
      <w:r w:rsidR="00280EE9" w:rsidRPr="009155F3">
        <w:t>CSF AD biomarker testing</w:t>
      </w:r>
      <w:r w:rsidR="00E40139">
        <w:t xml:space="preserve"> </w:t>
      </w:r>
      <w:r w:rsidR="00161C41">
        <w:t>in patients with early</w:t>
      </w:r>
      <w:r w:rsidR="00FF77C8">
        <w:t>-</w:t>
      </w:r>
      <w:r w:rsidR="00161C41">
        <w:t xml:space="preserve">stage AD </w:t>
      </w:r>
      <w:r w:rsidR="00AD01AD">
        <w:t>to determine access to a PBS-</w:t>
      </w:r>
      <w:r w:rsidR="00A4581D">
        <w:t>listed treatment</w:t>
      </w:r>
      <w:r w:rsidR="00FF77C8">
        <w:t>. Neither application progressed to consideration by MSAC.</w:t>
      </w:r>
      <w:r w:rsidR="002B3CED">
        <w:t xml:space="preserve"> </w:t>
      </w:r>
    </w:p>
    <w:p w14:paraId="37A8EC8E" w14:textId="048AD7A0" w:rsidR="00C76348" w:rsidRPr="009155F3" w:rsidRDefault="00280EE9" w:rsidP="002B3CED">
      <w:pPr>
        <w:pStyle w:val="BodyText"/>
      </w:pPr>
      <w:r w:rsidRPr="009155F3">
        <w:t xml:space="preserve">Application 1643 </w:t>
      </w:r>
      <w:r w:rsidR="002B3CED">
        <w:t xml:space="preserve">requested the </w:t>
      </w:r>
      <w:r w:rsidRPr="009155F3">
        <w:t xml:space="preserve">testing options </w:t>
      </w:r>
      <w:r w:rsidR="002B3CED">
        <w:t xml:space="preserve">to </w:t>
      </w:r>
      <w:r w:rsidRPr="009155F3">
        <w:t>determin</w:t>
      </w:r>
      <w:r w:rsidR="002B3CED">
        <w:t xml:space="preserve">e </w:t>
      </w:r>
      <w:r w:rsidRPr="009155F3">
        <w:t>access to aducanumab</w:t>
      </w:r>
      <w:r w:rsidR="002B3CED">
        <w:t xml:space="preserve">. </w:t>
      </w:r>
      <w:r w:rsidR="001F0798">
        <w:t>PASC</w:t>
      </w:r>
      <w:r w:rsidRPr="009155F3">
        <w:t xml:space="preserve"> </w:t>
      </w:r>
      <w:r w:rsidR="006E19F8" w:rsidRPr="009155F3">
        <w:t>considered</w:t>
      </w:r>
      <w:r w:rsidR="005028C2" w:rsidRPr="009155F3">
        <w:t xml:space="preserve"> </w:t>
      </w:r>
      <w:r w:rsidR="001F0798">
        <w:t xml:space="preserve">the application </w:t>
      </w:r>
      <w:r w:rsidR="005028C2" w:rsidRPr="009155F3">
        <w:t xml:space="preserve">in </w:t>
      </w:r>
      <w:r w:rsidRPr="009155F3">
        <w:t>December 2020 and April 2021</w:t>
      </w:r>
      <w:r w:rsidR="005028C2" w:rsidRPr="009155F3">
        <w:t xml:space="preserve">, with </w:t>
      </w:r>
      <w:r w:rsidR="0074322B" w:rsidRPr="009155F3">
        <w:t>the subsequent ratification of a PICO Confirmation. H</w:t>
      </w:r>
      <w:r w:rsidRPr="009155F3">
        <w:t xml:space="preserve">owever, the </w:t>
      </w:r>
      <w:r w:rsidR="00B03F74">
        <w:t>applica</w:t>
      </w:r>
      <w:r w:rsidR="00A74A0F">
        <w:t>tion</w:t>
      </w:r>
      <w:r w:rsidR="00074B97" w:rsidRPr="009155F3">
        <w:rPr>
          <w:rStyle w:val="FootnoteReference"/>
        </w:rPr>
        <w:footnoteReference w:id="4"/>
      </w:r>
      <w:r w:rsidRPr="009155F3">
        <w:t xml:space="preserve"> did not progress to evaluation by PBAC and MSAC.</w:t>
      </w:r>
      <w:r w:rsidR="00980D3E">
        <w:t xml:space="preserve"> </w:t>
      </w:r>
    </w:p>
    <w:p w14:paraId="2A594945" w14:textId="79A49F86" w:rsidR="00280EE9" w:rsidRPr="009155F3" w:rsidRDefault="00280EE9" w:rsidP="003D1E70">
      <w:pPr>
        <w:pStyle w:val="BodyText"/>
      </w:pPr>
      <w:r w:rsidRPr="009155F3">
        <w:t xml:space="preserve">Application 1738 </w:t>
      </w:r>
      <w:r w:rsidR="00980D3E">
        <w:t xml:space="preserve">requested the </w:t>
      </w:r>
      <w:r w:rsidRPr="009155F3">
        <w:t xml:space="preserve">testing options to determine </w:t>
      </w:r>
      <w:r w:rsidR="003D1E70">
        <w:t xml:space="preserve">access to </w:t>
      </w:r>
      <w:proofErr w:type="spellStart"/>
      <w:r w:rsidRPr="009155F3">
        <w:t>lecanemab</w:t>
      </w:r>
      <w:proofErr w:type="spellEnd"/>
      <w:r w:rsidR="003D1E70">
        <w:t xml:space="preserve">. </w:t>
      </w:r>
      <w:r w:rsidR="003F2E1C">
        <w:t>The application</w:t>
      </w:r>
      <w:r w:rsidRPr="009155F3">
        <w:t xml:space="preserve"> bypassed PASC and was </w:t>
      </w:r>
      <w:r w:rsidR="00260484">
        <w:t xml:space="preserve">scheduled to be </w:t>
      </w:r>
      <w:r w:rsidR="002D347D" w:rsidRPr="009155F3">
        <w:t>considered</w:t>
      </w:r>
      <w:r w:rsidRPr="009155F3">
        <w:t xml:space="preserve"> </w:t>
      </w:r>
      <w:r w:rsidR="00E01294" w:rsidRPr="009155F3">
        <w:t>by MSAC/PBAC ESCs in June</w:t>
      </w:r>
      <w:r w:rsidRPr="009155F3">
        <w:t xml:space="preserve"> 2024</w:t>
      </w:r>
      <w:r w:rsidR="00E01294" w:rsidRPr="009155F3">
        <w:t>. H</w:t>
      </w:r>
      <w:r w:rsidRPr="009155F3">
        <w:t xml:space="preserve">owever, the </w:t>
      </w:r>
      <w:r w:rsidR="007017F8">
        <w:t>application</w:t>
      </w:r>
      <w:r w:rsidR="007017F8" w:rsidRPr="009155F3">
        <w:t xml:space="preserve"> </w:t>
      </w:r>
      <w:r w:rsidR="00AF7091" w:rsidRPr="009155F3">
        <w:t>was withdrawn</w:t>
      </w:r>
      <w:r w:rsidRPr="009155F3">
        <w:t xml:space="preserve"> </w:t>
      </w:r>
      <w:r w:rsidR="009B60E9" w:rsidRPr="009155F3">
        <w:t>a</w:t>
      </w:r>
      <w:r w:rsidR="00E01294" w:rsidRPr="009155F3">
        <w:t>nd</w:t>
      </w:r>
      <w:r w:rsidR="009B60E9" w:rsidRPr="009155F3">
        <w:t xml:space="preserve"> did not progress further</w:t>
      </w:r>
      <w:r w:rsidRPr="009155F3">
        <w:t>.</w:t>
      </w:r>
      <w:r w:rsidR="005A3FF9" w:rsidRPr="009155F3">
        <w:t xml:space="preserve"> </w:t>
      </w:r>
      <w:r w:rsidR="00D94F1A" w:rsidRPr="009155F3">
        <w:t xml:space="preserve">The TGA delegate decided not to register </w:t>
      </w:r>
      <w:proofErr w:type="spellStart"/>
      <w:r w:rsidR="00D94F1A" w:rsidRPr="009155F3">
        <w:t>lecanemab</w:t>
      </w:r>
      <w:proofErr w:type="spellEnd"/>
      <w:r w:rsidR="00D94F1A" w:rsidRPr="009155F3">
        <w:t xml:space="preserve"> on the basis that the demonstrated efficacy did not outweigh the safety risks associated with the use of this medicine in October 2024</w:t>
      </w:r>
      <w:r w:rsidR="00491180" w:rsidRPr="009155F3">
        <w:t xml:space="preserve"> and confirmed its decision not to register </w:t>
      </w:r>
      <w:r w:rsidR="00113C27" w:rsidRPr="009155F3">
        <w:t>in March 2025</w:t>
      </w:r>
      <w:r w:rsidR="00D94F1A" w:rsidRPr="009155F3">
        <w:t>.</w:t>
      </w:r>
      <w:r w:rsidR="004F2B7A" w:rsidRPr="009155F3">
        <w:rPr>
          <w:rStyle w:val="FootnoteReference"/>
        </w:rPr>
        <w:footnoteReference w:id="5"/>
      </w:r>
    </w:p>
    <w:p w14:paraId="6CFE4A9C" w14:textId="77777777" w:rsidR="00BE3D49" w:rsidRPr="00B944FE" w:rsidRDefault="00BE3D49"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6" w:name="_Toc198735645"/>
      <w:r w:rsidRPr="00B944FE">
        <w:rPr>
          <w:rFonts w:ascii="Franklin Gothic Medium" w:hAnsi="Franklin Gothic Medium"/>
          <w:b w:val="0"/>
          <w:i w:val="0"/>
          <w:snapToGrid/>
          <w:sz w:val="32"/>
          <w:szCs w:val="26"/>
        </w:rPr>
        <w:lastRenderedPageBreak/>
        <w:t>Prerequisites to implementation of any funding advice</w:t>
      </w:r>
      <w:bookmarkEnd w:id="6"/>
    </w:p>
    <w:p w14:paraId="2AA16B78" w14:textId="77777777" w:rsidR="00AB0BEA" w:rsidRPr="00C26EAA" w:rsidRDefault="00AB0BEA" w:rsidP="00172B02">
      <w:pPr>
        <w:pStyle w:val="Heading3"/>
      </w:pPr>
      <w:r w:rsidRPr="00C26EAA">
        <w:t>Test</w:t>
      </w:r>
    </w:p>
    <w:p w14:paraId="340F1C5C" w14:textId="0E397435" w:rsidR="00A969D1" w:rsidRPr="00C26EAA" w:rsidRDefault="00A969D1" w:rsidP="00A969D1">
      <w:r w:rsidRPr="00C26EAA">
        <w:t xml:space="preserve">The </w:t>
      </w:r>
      <w:r w:rsidR="00972C23">
        <w:t>application</w:t>
      </w:r>
      <w:r w:rsidR="00972C23" w:rsidRPr="00C26EAA">
        <w:t xml:space="preserve"> </w:t>
      </w:r>
      <w:r w:rsidRPr="00C26EAA">
        <w:t xml:space="preserve">did not provide information about the regulatory status of </w:t>
      </w:r>
      <w:r w:rsidRPr="00C26EAA">
        <w:rPr>
          <w:i/>
          <w:iCs/>
        </w:rPr>
        <w:t>APOE</w:t>
      </w:r>
      <w:r w:rsidRPr="00C26EAA">
        <w:t xml:space="preserve"> genotyping in Australia. There </w:t>
      </w:r>
      <w:r w:rsidR="0013670D">
        <w:t>we</w:t>
      </w:r>
      <w:r w:rsidRPr="00C26EAA">
        <w:t xml:space="preserve">re several commercially available </w:t>
      </w:r>
      <w:r w:rsidRPr="00C26EAA">
        <w:rPr>
          <w:i/>
          <w:iCs/>
        </w:rPr>
        <w:t>APOE</w:t>
      </w:r>
      <w:r w:rsidRPr="00C26EAA">
        <w:t xml:space="preserve"> PCR-based genotyping tests, such as TaqMan™ Genotyping Assays (Applied Biosystems) and the Human </w:t>
      </w:r>
      <w:r w:rsidRPr="00C26EAA">
        <w:rPr>
          <w:i/>
          <w:iCs/>
        </w:rPr>
        <w:t>APOE</w:t>
      </w:r>
      <w:r w:rsidRPr="00C26EAA">
        <w:t xml:space="preserve"> genotypes (ε2/ε3/ε4) Real Time PCR Kit (Creative </w:t>
      </w:r>
      <w:proofErr w:type="spellStart"/>
      <w:r w:rsidRPr="00C26EAA">
        <w:t>Biogene</w:t>
      </w:r>
      <w:proofErr w:type="spellEnd"/>
      <w:r w:rsidRPr="00C26EAA">
        <w:t xml:space="preserve">). However, their status with the TGA </w:t>
      </w:r>
      <w:r w:rsidR="0013670D">
        <w:t>wa</w:t>
      </w:r>
      <w:r w:rsidRPr="00C26EAA">
        <w:t>s unknown.</w:t>
      </w:r>
      <w:r w:rsidR="00D635BC" w:rsidRPr="00C26EAA">
        <w:t xml:space="preserve"> It </w:t>
      </w:r>
      <w:r w:rsidR="0013670D">
        <w:t>wa</w:t>
      </w:r>
      <w:r w:rsidR="00D635BC" w:rsidRPr="00C26EAA">
        <w:t>s also possible that laboratories currently offering this test in Australia m</w:t>
      </w:r>
      <w:r w:rsidR="0013670D">
        <w:t>ight</w:t>
      </w:r>
      <w:r w:rsidR="00D635BC" w:rsidRPr="00C26EAA">
        <w:t xml:space="preserve"> be using an in-house IVD.</w:t>
      </w:r>
    </w:p>
    <w:p w14:paraId="63775D48" w14:textId="5E77BD1C" w:rsidR="00A969D1" w:rsidRPr="00C26EAA" w:rsidRDefault="00A969D1" w:rsidP="00A969D1">
      <w:r w:rsidRPr="00C26EAA">
        <w:t>According to the Royal College of Pathologists of Australasia (RCPA) website</w:t>
      </w:r>
      <w:r w:rsidR="00F649A9" w:rsidRPr="00C26EAA">
        <w:t>,</w:t>
      </w:r>
      <w:r w:rsidR="002C35D8" w:rsidRPr="00C26EAA">
        <w:rPr>
          <w:rStyle w:val="FootnoteReference"/>
        </w:rPr>
        <w:footnoteReference w:id="6"/>
      </w:r>
      <w:r w:rsidRPr="00C26EAA">
        <w:t xml:space="preserve"> </w:t>
      </w:r>
      <w:r w:rsidRPr="00C26EAA">
        <w:rPr>
          <w:i/>
          <w:iCs/>
        </w:rPr>
        <w:t>APOE</w:t>
      </w:r>
      <w:r w:rsidRPr="00C26EAA">
        <w:t xml:space="preserve"> genotyping </w:t>
      </w:r>
      <w:r w:rsidR="00F4730D" w:rsidRPr="00C26EAA">
        <w:t xml:space="preserve">to identify the </w:t>
      </w:r>
      <w:r w:rsidR="006F7268" w:rsidRPr="00C26EAA">
        <w:rPr>
          <w:rStyle w:val="InstructionalTextChar"/>
          <w:bCs/>
          <w:color w:val="auto"/>
          <w:sz w:val="22"/>
        </w:rPr>
        <w:t>ε</w:t>
      </w:r>
      <w:r w:rsidR="00F4730D" w:rsidRPr="00C26EAA">
        <w:t xml:space="preserve">4 </w:t>
      </w:r>
      <w:r w:rsidR="00063AEF" w:rsidRPr="00C26EAA">
        <w:t>(</w:t>
      </w:r>
      <w:r w:rsidR="00063AEF" w:rsidRPr="00C26EAA">
        <w:rPr>
          <w:i/>
          <w:iCs/>
        </w:rPr>
        <w:t>APOE4</w:t>
      </w:r>
      <w:r w:rsidR="00063AEF" w:rsidRPr="00C26EAA">
        <w:t xml:space="preserve">) </w:t>
      </w:r>
      <w:r w:rsidR="00F4730D" w:rsidRPr="00C26EAA">
        <w:t>variant</w:t>
      </w:r>
      <w:r w:rsidRPr="00C26EAA">
        <w:t xml:space="preserve"> </w:t>
      </w:r>
      <w:r w:rsidR="0013670D">
        <w:t>wa</w:t>
      </w:r>
      <w:r w:rsidRPr="00C26EAA">
        <w:t xml:space="preserve">s available through </w:t>
      </w:r>
      <w:r w:rsidR="0068086C" w:rsidRPr="00C26EAA">
        <w:t>four</w:t>
      </w:r>
      <w:r w:rsidR="00DD5624" w:rsidRPr="00C26EAA">
        <w:t xml:space="preserve"> </w:t>
      </w:r>
      <w:r w:rsidRPr="00C26EAA">
        <w:t>member laboratories in Australia; Genomic Diagnostics (VIC)</w:t>
      </w:r>
      <w:r w:rsidR="00F4730D" w:rsidRPr="00C26EAA">
        <w:t xml:space="preserve"> </w:t>
      </w:r>
      <w:r w:rsidR="007667BD" w:rsidRPr="00C26EAA">
        <w:t>Pathology Queensland (QLD)</w:t>
      </w:r>
      <w:r w:rsidRPr="00C26EAA">
        <w:t>, Queensland Medical Laboratory Pathology (QLD)</w:t>
      </w:r>
      <w:r w:rsidR="005B227E" w:rsidRPr="00C26EAA">
        <w:t>.</w:t>
      </w:r>
      <w:r w:rsidRPr="00C26EAA">
        <w:t xml:space="preserve"> and the Royal Prince Alfred Hospital, Dept. Medical Genomics (NSW).</w:t>
      </w:r>
      <w:r w:rsidR="00F649A9" w:rsidRPr="00C26EAA" w:rsidDel="005B227E">
        <w:t xml:space="preserve"> </w:t>
      </w:r>
      <w:r w:rsidR="00F649A9" w:rsidRPr="00C26EAA">
        <w:t>Timely processing of all patient samples w</w:t>
      </w:r>
      <w:r w:rsidR="0013670D">
        <w:t>ould</w:t>
      </w:r>
      <w:r w:rsidR="00F649A9" w:rsidRPr="00C26EAA">
        <w:t xml:space="preserve"> require increased capacity </w:t>
      </w:r>
      <w:r w:rsidR="00C10FA8" w:rsidRPr="00C26EAA">
        <w:t>to meet demand, which w</w:t>
      </w:r>
      <w:r w:rsidR="0013670D">
        <w:t>ould</w:t>
      </w:r>
      <w:r w:rsidR="00C10FA8" w:rsidRPr="00C26EAA">
        <w:t xml:space="preserve"> likely require</w:t>
      </w:r>
      <w:r w:rsidR="00F649A9" w:rsidRPr="00C26EAA">
        <w:t xml:space="preserve"> additional laboratories being accredited to offer </w:t>
      </w:r>
      <w:r w:rsidR="00F649A9" w:rsidRPr="00C26EAA">
        <w:rPr>
          <w:i/>
          <w:iCs/>
        </w:rPr>
        <w:t>APOE</w:t>
      </w:r>
      <w:r w:rsidR="00F649A9" w:rsidRPr="00C26EAA">
        <w:t xml:space="preserve"> genotyping. A Quality Assurance Program </w:t>
      </w:r>
      <w:r w:rsidR="003F7C4D">
        <w:t xml:space="preserve">(QAP) </w:t>
      </w:r>
      <w:r w:rsidR="00F649A9" w:rsidRPr="00C26EAA">
        <w:t>would also need to be established.</w:t>
      </w:r>
    </w:p>
    <w:p w14:paraId="7950FE4D" w14:textId="646C46EE" w:rsidR="00F57596" w:rsidRPr="00C26EAA" w:rsidRDefault="00F57596" w:rsidP="00A969D1">
      <w:r w:rsidRPr="00C26EAA">
        <w:t>Information about these tests could only be sourced from the Royal Prince Alfred Hospital, which use</w:t>
      </w:r>
      <w:r w:rsidR="003F7C4D">
        <w:t>d</w:t>
      </w:r>
      <w:r w:rsidRPr="00C26EAA">
        <w:t xml:space="preserve"> the </w:t>
      </w:r>
      <w:proofErr w:type="spellStart"/>
      <w:r w:rsidRPr="00C26EAA">
        <w:t>Taqman</w:t>
      </w:r>
      <w:proofErr w:type="spellEnd"/>
      <w:r w:rsidRPr="00C26EAA">
        <w:t xml:space="preserve"> RT-PCR genotyping assay by </w:t>
      </w:r>
      <w:proofErr w:type="spellStart"/>
      <w:r w:rsidRPr="00C26EAA">
        <w:t>Thermo</w:t>
      </w:r>
      <w:proofErr w:type="spellEnd"/>
      <w:r w:rsidRPr="00C26EAA">
        <w:t xml:space="preserve"> Fisher. </w:t>
      </w:r>
      <w:proofErr w:type="spellStart"/>
      <w:r w:rsidRPr="00C26EAA">
        <w:t>Thermo</w:t>
      </w:r>
      <w:proofErr w:type="spellEnd"/>
      <w:r w:rsidRPr="00C26EAA">
        <w:t xml:space="preserve"> Fisher Scientific Australia Pty Ltd </w:t>
      </w:r>
      <w:r w:rsidR="003F7C4D">
        <w:t>was</w:t>
      </w:r>
      <w:r w:rsidRPr="00C26EAA">
        <w:t xml:space="preserve"> registered on the ARTG for Human genetics-related IVDs (ARTG entry 461285).</w:t>
      </w:r>
    </w:p>
    <w:p w14:paraId="1095C1BA" w14:textId="38345367" w:rsidR="00A969D1" w:rsidRPr="00C26EAA" w:rsidRDefault="00A969D1" w:rsidP="00A969D1">
      <w:r w:rsidRPr="00C26EAA">
        <w:t xml:space="preserve">The </w:t>
      </w:r>
      <w:r w:rsidR="00DC0A3C">
        <w:t>application</w:t>
      </w:r>
      <w:r w:rsidR="00DC0A3C" w:rsidRPr="00C26EAA">
        <w:t xml:space="preserve"> </w:t>
      </w:r>
      <w:r w:rsidR="00606329">
        <w:t>reported</w:t>
      </w:r>
      <w:r w:rsidR="00606329" w:rsidRPr="00C26EAA">
        <w:t xml:space="preserve"> </w:t>
      </w:r>
      <w:r w:rsidRPr="00C26EAA">
        <w:t xml:space="preserve">that </w:t>
      </w:r>
      <w:r w:rsidR="00606329">
        <w:t xml:space="preserve">there were </w:t>
      </w:r>
      <w:r w:rsidRPr="00C26EAA">
        <w:t xml:space="preserve">no </w:t>
      </w:r>
      <w:r w:rsidR="00606329">
        <w:t xml:space="preserve">TGA-approved </w:t>
      </w:r>
      <w:r w:rsidRPr="00C26EAA">
        <w:t>radiopharmaceuticals for A</w:t>
      </w:r>
      <w:r w:rsidR="00FB2ABE" w:rsidRPr="00C26EAA">
        <w:rPr>
          <w:rFonts w:cstheme="minorHAnsi"/>
        </w:rPr>
        <w:t>β</w:t>
      </w:r>
      <w:r w:rsidR="00FB2ABE" w:rsidRPr="00C26EAA">
        <w:t>-</w:t>
      </w:r>
      <w:r w:rsidRPr="00C26EAA">
        <w:t>PET</w:t>
      </w:r>
      <w:r w:rsidR="007D33A5">
        <w:t>. H</w:t>
      </w:r>
      <w:r w:rsidRPr="00C26EAA">
        <w:t xml:space="preserve">owever, as </w:t>
      </w:r>
      <w:r w:rsidR="007D33A5">
        <w:t>r</w:t>
      </w:r>
      <w:r w:rsidR="007D33A5" w:rsidRPr="007D33A5">
        <w:t>adiopharmaceuticals</w:t>
      </w:r>
      <w:r w:rsidRPr="00C26EAA">
        <w:t xml:space="preserve"> </w:t>
      </w:r>
      <w:r w:rsidR="00B05925">
        <w:t>we</w:t>
      </w:r>
      <w:r w:rsidRPr="00C26EAA">
        <w:t>re made to order</w:t>
      </w:r>
      <w:r w:rsidR="00FB2ABE" w:rsidRPr="00C26EAA">
        <w:t>,</w:t>
      </w:r>
      <w:r w:rsidRPr="00C26EAA">
        <w:t xml:space="preserve"> they </w:t>
      </w:r>
      <w:r w:rsidR="00B05925" w:rsidRPr="00C26EAA">
        <w:t>c</w:t>
      </w:r>
      <w:r w:rsidR="00B05925">
        <w:t>ould</w:t>
      </w:r>
      <w:r w:rsidR="00B05925" w:rsidRPr="00C26EAA">
        <w:t xml:space="preserve"> </w:t>
      </w:r>
      <w:r w:rsidRPr="00C26EAA">
        <w:t xml:space="preserve">be considered exempt from TGA registration under the ‘extemporaneous compounding’ exemption. Currently in Australia, </w:t>
      </w:r>
      <w:proofErr w:type="spellStart"/>
      <w:r w:rsidRPr="00C26EAA">
        <w:t>Cyclotek</w:t>
      </w:r>
      <w:proofErr w:type="spellEnd"/>
      <w:r w:rsidRPr="00C26EAA">
        <w:t xml:space="preserve"> </w:t>
      </w:r>
      <w:r w:rsidR="003F7C4D">
        <w:t>wa</w:t>
      </w:r>
      <w:r w:rsidRPr="00C26EAA">
        <w:t>s the only commercial company manufacturing A</w:t>
      </w:r>
      <w:r w:rsidR="00FB2ABE" w:rsidRPr="00C26EAA">
        <w:rPr>
          <w:rFonts w:cstheme="minorHAnsi"/>
        </w:rPr>
        <w:t>β</w:t>
      </w:r>
      <w:r w:rsidR="00FB2ABE" w:rsidRPr="00C26EAA">
        <w:t>-</w:t>
      </w:r>
      <w:r w:rsidRPr="00C26EAA">
        <w:t>PET radiopharmaceuticals in Australia</w:t>
      </w:r>
      <w:r w:rsidR="00895F86">
        <w:t xml:space="preserve">. According to the </w:t>
      </w:r>
      <w:r w:rsidR="0088064C">
        <w:t>submission</w:t>
      </w:r>
      <w:r w:rsidR="00895F86">
        <w:t xml:space="preserve"> and the consultation input received, </w:t>
      </w:r>
      <w:proofErr w:type="spellStart"/>
      <w:r w:rsidR="00895F86">
        <w:t>Cyclotek</w:t>
      </w:r>
      <w:proofErr w:type="spellEnd"/>
      <w:r w:rsidR="003F7C4D">
        <w:t xml:space="preserve">, </w:t>
      </w:r>
      <w:r w:rsidR="00895F86">
        <w:t>has</w:t>
      </w:r>
      <w:r w:rsidR="00895F86" w:rsidRPr="00C26EAA">
        <w:t xml:space="preserve"> </w:t>
      </w:r>
      <w:r w:rsidRPr="00C26EAA">
        <w:t>manufacturing sites (cyclotrons) in Victoria</w:t>
      </w:r>
      <w:r w:rsidR="00A14C22">
        <w:t xml:space="preserve"> (n</w:t>
      </w:r>
      <w:r w:rsidR="00E42B3F">
        <w:t>=</w:t>
      </w:r>
      <w:r w:rsidR="00895F86">
        <w:t>2</w:t>
      </w:r>
      <w:r w:rsidR="00E42B3F">
        <w:t>)</w:t>
      </w:r>
      <w:r w:rsidRPr="00C26EAA">
        <w:t xml:space="preserve">, New South Wales </w:t>
      </w:r>
      <w:r w:rsidR="00E42B3F">
        <w:t xml:space="preserve">(n=1) </w:t>
      </w:r>
      <w:r w:rsidRPr="00C26EAA">
        <w:t>and Queensland</w:t>
      </w:r>
      <w:r w:rsidR="00940BF3">
        <w:t xml:space="preserve"> (n=1)</w:t>
      </w:r>
      <w:r w:rsidR="00176E9E">
        <w:t xml:space="preserve">, with 2 additional </w:t>
      </w:r>
      <w:r w:rsidR="00FA2FDB">
        <w:t>sites (</w:t>
      </w:r>
      <w:r w:rsidR="003D3F42">
        <w:t xml:space="preserve">one </w:t>
      </w:r>
      <w:r w:rsidR="00F9676E">
        <w:t xml:space="preserve">in </w:t>
      </w:r>
      <w:r w:rsidR="00FA2FDB">
        <w:t>Brisbane, QLD</w:t>
      </w:r>
      <w:r w:rsidR="00F9676E">
        <w:t xml:space="preserve"> and the other </w:t>
      </w:r>
      <w:r w:rsidR="00870179">
        <w:t>in NSW)</w:t>
      </w:r>
      <w:r w:rsidR="005904BF">
        <w:t xml:space="preserve"> expected to be operational </w:t>
      </w:r>
      <w:r w:rsidR="0095086F">
        <w:t xml:space="preserve">in </w:t>
      </w:r>
      <w:r w:rsidR="005904BF">
        <w:t>2026</w:t>
      </w:r>
      <w:r w:rsidRPr="00C26EAA">
        <w:t xml:space="preserve">. A second commercial company, </w:t>
      </w:r>
      <w:proofErr w:type="spellStart"/>
      <w:r w:rsidRPr="00C26EAA">
        <w:t>Cyclowest</w:t>
      </w:r>
      <w:r w:rsidR="00BD4106">
        <w:t>’s</w:t>
      </w:r>
      <w:proofErr w:type="spellEnd"/>
      <w:r w:rsidR="00BD4106">
        <w:t xml:space="preserve"> new</w:t>
      </w:r>
      <w:r w:rsidR="0088513C">
        <w:t xml:space="preserve"> cyclotron radiopharmaceutical</w:t>
      </w:r>
      <w:r w:rsidR="004131A0">
        <w:t xml:space="preserve"> production facility</w:t>
      </w:r>
      <w:r w:rsidRPr="00C26EAA">
        <w:t xml:space="preserve"> in Perth, Western Australia, m</w:t>
      </w:r>
      <w:r w:rsidR="003F7C4D">
        <w:t>ight</w:t>
      </w:r>
      <w:r w:rsidRPr="00C26EAA">
        <w:t xml:space="preserve"> </w:t>
      </w:r>
      <w:r w:rsidR="004131A0">
        <w:t xml:space="preserve">also </w:t>
      </w:r>
      <w:r w:rsidRPr="00C26EAA">
        <w:t>be able to supply A</w:t>
      </w:r>
      <w:r w:rsidR="00FB2ABE" w:rsidRPr="00C26EAA">
        <w:rPr>
          <w:rFonts w:cstheme="minorHAnsi"/>
        </w:rPr>
        <w:t>β</w:t>
      </w:r>
      <w:r w:rsidR="00FB2ABE" w:rsidRPr="00C26EAA">
        <w:t>-</w:t>
      </w:r>
      <w:r w:rsidRPr="00C26EAA">
        <w:t>PET radiopharmaceuticals in the future. Other producers of A</w:t>
      </w:r>
      <w:r w:rsidR="00FB2ABE" w:rsidRPr="00C26EAA">
        <w:rPr>
          <w:rFonts w:cstheme="minorHAnsi"/>
        </w:rPr>
        <w:t>β</w:t>
      </w:r>
      <w:r w:rsidR="00FB2ABE" w:rsidRPr="00C26EAA">
        <w:t>-</w:t>
      </w:r>
      <w:r w:rsidRPr="00C26EAA">
        <w:t>PET radiopharmaceuticals in Australia include</w:t>
      </w:r>
      <w:r w:rsidR="003F7C4D">
        <w:t>d</w:t>
      </w:r>
      <w:r w:rsidRPr="00C26EAA">
        <w:t xml:space="preserve"> hospital nuclear medicine departments with onsite cyclotrons.</w:t>
      </w:r>
    </w:p>
    <w:p w14:paraId="241432DC" w14:textId="4A706086" w:rsidR="00677948" w:rsidRPr="00C26EAA" w:rsidRDefault="00677948" w:rsidP="00162A34">
      <w:r w:rsidRPr="00C26EAA">
        <w:t>However, given the short half-life of these radiotracers (~110 minutes), they would need to be used by PET scanning facilities located nearby, limiting the number of facilities with PET machines that could offer this service in Australia.</w:t>
      </w:r>
      <w:r w:rsidR="00FA2F05" w:rsidRPr="00C26EAA">
        <w:t xml:space="preserve"> </w:t>
      </w:r>
      <w:proofErr w:type="spellStart"/>
      <w:r w:rsidR="00162A34">
        <w:t>Cyclotek</w:t>
      </w:r>
      <w:proofErr w:type="spellEnd"/>
      <w:r w:rsidR="00162A34">
        <w:t xml:space="preserve"> informed in its consultation input that it employed a de-centralised manufacturing and distribution model to establish reliable and consistent supply of radiopharmaceutical products nationally, across both metropolitan and regional Australia. </w:t>
      </w:r>
      <w:proofErr w:type="spellStart"/>
      <w:r w:rsidR="00162A34">
        <w:t>Cyclotek</w:t>
      </w:r>
      <w:proofErr w:type="spellEnd"/>
      <w:r w:rsidR="00162A34">
        <w:t xml:space="preserve"> informed that </w:t>
      </w:r>
      <w:r w:rsidR="00F750FF">
        <w:t xml:space="preserve">its </w:t>
      </w:r>
      <w:r w:rsidR="00162A34">
        <w:t xml:space="preserve">radiopharmaceutical products </w:t>
      </w:r>
      <w:r w:rsidR="00F750FF">
        <w:t>we</w:t>
      </w:r>
      <w:r w:rsidR="00162A34">
        <w:t>re manufactured across the east co</w:t>
      </w:r>
      <w:r w:rsidR="00F3313A">
        <w:t>a</w:t>
      </w:r>
      <w:r w:rsidR="00162A34">
        <w:t xml:space="preserve">st of Australia and then distributed to hospitals and/or clinical imaging sites nationally via </w:t>
      </w:r>
      <w:r w:rsidR="00F750FF">
        <w:t>its</w:t>
      </w:r>
      <w:r w:rsidR="00162A34">
        <w:t xml:space="preserve"> extensive logistics network, using a combination of road and air freight</w:t>
      </w:r>
      <w:r w:rsidR="00F750FF">
        <w:t>.</w:t>
      </w:r>
    </w:p>
    <w:p w14:paraId="67601E9C" w14:textId="6AAD2051" w:rsidR="00A969D1" w:rsidRPr="00C26EAA" w:rsidRDefault="00A969D1" w:rsidP="00A969D1">
      <w:r w:rsidRPr="00C26EAA">
        <w:t xml:space="preserve">The </w:t>
      </w:r>
      <w:r w:rsidR="003201D0">
        <w:t>applicant</w:t>
      </w:r>
      <w:r w:rsidR="003201D0" w:rsidRPr="00C26EAA">
        <w:t xml:space="preserve"> </w:t>
      </w:r>
      <w:r w:rsidRPr="00C26EAA">
        <w:t xml:space="preserve">confirmed that in Australia, the commercially available </w:t>
      </w:r>
      <w:proofErr w:type="spellStart"/>
      <w:r w:rsidRPr="00C26EAA">
        <w:t>Elecsys</w:t>
      </w:r>
      <w:proofErr w:type="spellEnd"/>
      <w:r w:rsidRPr="00C26EAA">
        <w:t>® AD CSF portfolio has been included on the ARTG 200275 as class 2 IVDs, and includes the following assays:</w:t>
      </w:r>
    </w:p>
    <w:p w14:paraId="6D83400E" w14:textId="77777777" w:rsidR="00A969D1" w:rsidRPr="00C26EAA" w:rsidRDefault="00A969D1" w:rsidP="00B03F74">
      <w:pPr>
        <w:pStyle w:val="ListParagraph"/>
        <w:numPr>
          <w:ilvl w:val="0"/>
          <w:numId w:val="21"/>
        </w:numPr>
        <w:ind w:left="714" w:hanging="357"/>
        <w:contextualSpacing/>
      </w:pPr>
      <w:proofErr w:type="spellStart"/>
      <w:r w:rsidRPr="00C26EAA">
        <w:t>Elecsys</w:t>
      </w:r>
      <w:proofErr w:type="spellEnd"/>
      <w:r w:rsidRPr="00C26EAA">
        <w:t>® β-Amyloid (1-42) CSF</w:t>
      </w:r>
    </w:p>
    <w:p w14:paraId="5F3D3CD0" w14:textId="77777777" w:rsidR="00A969D1" w:rsidRPr="00C26EAA" w:rsidRDefault="00A969D1" w:rsidP="00B03F74">
      <w:pPr>
        <w:pStyle w:val="ListParagraph"/>
        <w:numPr>
          <w:ilvl w:val="0"/>
          <w:numId w:val="21"/>
        </w:numPr>
        <w:ind w:left="714" w:hanging="357"/>
        <w:contextualSpacing/>
      </w:pPr>
      <w:proofErr w:type="spellStart"/>
      <w:r w:rsidRPr="00C26EAA">
        <w:t>Elecsys</w:t>
      </w:r>
      <w:proofErr w:type="spellEnd"/>
      <w:r w:rsidRPr="00C26EAA">
        <w:t xml:space="preserve">® Phospho-Tau (181P) CSF </w:t>
      </w:r>
    </w:p>
    <w:p w14:paraId="4B52EEC6" w14:textId="77777777" w:rsidR="00A969D1" w:rsidRPr="00C26EAA" w:rsidRDefault="00A969D1" w:rsidP="00B03F74">
      <w:pPr>
        <w:pStyle w:val="ListParagraph"/>
        <w:numPr>
          <w:ilvl w:val="0"/>
          <w:numId w:val="21"/>
        </w:numPr>
      </w:pPr>
      <w:proofErr w:type="spellStart"/>
      <w:r w:rsidRPr="00C26EAA">
        <w:lastRenderedPageBreak/>
        <w:t>Elecsys</w:t>
      </w:r>
      <w:proofErr w:type="spellEnd"/>
      <w:r w:rsidRPr="00C26EAA">
        <w:t xml:space="preserve">® Total-Tau CSF </w:t>
      </w:r>
    </w:p>
    <w:p w14:paraId="479EFB65" w14:textId="0DB2AD28" w:rsidR="00A969D1" w:rsidRPr="00C26EAA" w:rsidRDefault="00A969D1" w:rsidP="00A969D1">
      <w:r w:rsidRPr="00C26EAA">
        <w:t xml:space="preserve">Two pathology testing laboratories received National Association of Testing Authorities (NATA) accreditation for the use of the </w:t>
      </w:r>
      <w:proofErr w:type="spellStart"/>
      <w:r w:rsidRPr="00C26EAA">
        <w:t>Elecsys</w:t>
      </w:r>
      <w:proofErr w:type="spellEnd"/>
      <w:r w:rsidRPr="00C26EAA">
        <w:t xml:space="preserve">® CSF assays; </w:t>
      </w:r>
      <w:r w:rsidR="003D1393" w:rsidRPr="00C26EAA">
        <w:t>t</w:t>
      </w:r>
      <w:r w:rsidRPr="00C26EAA">
        <w:t>he National Dementia Diagnostics Laboratory (NDDL), located at The Florey in Melbourne, Victoria and Concord Hospital, Sydney, NSW.</w:t>
      </w:r>
      <w:r w:rsidR="00FB2ABE" w:rsidRPr="00C26EAA">
        <w:t xml:space="preserve"> Timely processing of patient samples w</w:t>
      </w:r>
      <w:r w:rsidR="00E31517">
        <w:t>ould</w:t>
      </w:r>
      <w:r w:rsidR="00FB2ABE" w:rsidRPr="00C26EAA">
        <w:t xml:space="preserve"> require increased capacity </w:t>
      </w:r>
      <w:r w:rsidR="006D2F92" w:rsidRPr="00C26EAA">
        <w:t xml:space="preserve">to meet demand </w:t>
      </w:r>
      <w:r w:rsidR="00FB2ABE" w:rsidRPr="00C26EAA">
        <w:t>at these two pathology laboratories as well as additional laboratories being accredited to offer th</w:t>
      </w:r>
      <w:r w:rsidR="00E31517">
        <w:t>e</w:t>
      </w:r>
      <w:r w:rsidR="00FB2ABE" w:rsidRPr="00C26EAA">
        <w:t xml:space="preserve"> service. This would also require the establishment of a </w:t>
      </w:r>
      <w:r w:rsidR="00E31517">
        <w:t>QAP</w:t>
      </w:r>
      <w:r w:rsidR="00FB2ABE" w:rsidRPr="00C26EAA">
        <w:t xml:space="preserve"> to ensure the reliability and reproducibility of results between diagnostic laboratories.</w:t>
      </w:r>
    </w:p>
    <w:p w14:paraId="1536BD37" w14:textId="0540A2A8" w:rsidR="00AB0BEA" w:rsidRPr="00C26EAA" w:rsidRDefault="00AB0BEA" w:rsidP="00172B02">
      <w:pPr>
        <w:pStyle w:val="Heading3"/>
      </w:pPr>
      <w:r w:rsidRPr="00C26EAA">
        <w:t>Drug</w:t>
      </w:r>
    </w:p>
    <w:p w14:paraId="0EA369D3" w14:textId="50989B08" w:rsidR="006D72D4" w:rsidRPr="00C26EAA" w:rsidRDefault="006D72D4" w:rsidP="006D72D4">
      <w:pPr>
        <w:rPr>
          <w:iCs/>
        </w:rPr>
      </w:pPr>
      <w:r w:rsidRPr="00C26EAA">
        <w:rPr>
          <w:iCs/>
        </w:rPr>
        <w:t xml:space="preserve">Donanemab </w:t>
      </w:r>
      <w:r w:rsidR="00DE4113">
        <w:rPr>
          <w:iCs/>
        </w:rPr>
        <w:t>wa</w:t>
      </w:r>
      <w:r w:rsidRPr="00C26EAA">
        <w:rPr>
          <w:iCs/>
        </w:rPr>
        <w:t>s TGA-registered (21 May 2025) for the treatment of patients with MCI due to A</w:t>
      </w:r>
      <w:r w:rsidR="00D7035A">
        <w:rPr>
          <w:iCs/>
        </w:rPr>
        <w:t>D</w:t>
      </w:r>
      <w:r w:rsidRPr="00C26EAA">
        <w:rPr>
          <w:iCs/>
        </w:rPr>
        <w:t xml:space="preserve"> and Mild Alzheimer dementia </w:t>
      </w:r>
      <w:r w:rsidR="00DE1666">
        <w:rPr>
          <w:iCs/>
        </w:rPr>
        <w:t>who</w:t>
      </w:r>
      <w:r w:rsidRPr="00C26EAA">
        <w:rPr>
          <w:iCs/>
        </w:rPr>
        <w:t xml:space="preserve"> are A</w:t>
      </w:r>
      <w:r w:rsidR="00FF22C3">
        <w:rPr>
          <w:iCs/>
        </w:rPr>
        <w:t>P</w:t>
      </w:r>
      <w:r w:rsidR="00306FBC">
        <w:rPr>
          <w:iCs/>
        </w:rPr>
        <w:t>OE</w:t>
      </w:r>
      <w:r w:rsidRPr="00C26EAA">
        <w:rPr>
          <w:iCs/>
        </w:rPr>
        <w:t>4 heterozygotes or non-carriers.</w:t>
      </w:r>
    </w:p>
    <w:p w14:paraId="5E782286" w14:textId="1B526B50" w:rsidR="00F15A50" w:rsidRDefault="00072F4B" w:rsidP="00F15A50">
      <w:pPr>
        <w:spacing w:after="0"/>
        <w:rPr>
          <w:iCs/>
        </w:rPr>
      </w:pPr>
      <w:r>
        <w:rPr>
          <w:iCs/>
        </w:rPr>
        <w:t>The TGA-approved Product Information stated that “</w:t>
      </w:r>
      <w:r w:rsidR="006D72D4" w:rsidRPr="00C26EAA">
        <w:rPr>
          <w:iCs/>
        </w:rPr>
        <w:t>Beta amyloid evidence consistent with AD should be confirmed using a validated test prior to initiating treatment</w:t>
      </w:r>
      <w:r w:rsidR="007D7123">
        <w:rPr>
          <w:iCs/>
        </w:rPr>
        <w:t>.</w:t>
      </w:r>
      <w:r>
        <w:rPr>
          <w:iCs/>
        </w:rPr>
        <w:t xml:space="preserve">” </w:t>
      </w:r>
      <w:r w:rsidR="007D7123">
        <w:rPr>
          <w:iCs/>
        </w:rPr>
        <w:t xml:space="preserve">It also recommended </w:t>
      </w:r>
      <w:r>
        <w:rPr>
          <w:iCs/>
        </w:rPr>
        <w:t>that</w:t>
      </w:r>
      <w:r w:rsidR="00F15A50">
        <w:rPr>
          <w:iCs/>
        </w:rPr>
        <w:t>:</w:t>
      </w:r>
    </w:p>
    <w:p w14:paraId="28C798A1" w14:textId="43EB9C5A" w:rsidR="00F15A50" w:rsidRPr="00F15A50" w:rsidRDefault="006504B3" w:rsidP="00F15A50">
      <w:pPr>
        <w:pStyle w:val="ListParagraph"/>
        <w:numPr>
          <w:ilvl w:val="0"/>
          <w:numId w:val="40"/>
        </w:numPr>
        <w:spacing w:before="0" w:after="0"/>
        <w:ind w:left="714" w:hanging="357"/>
      </w:pPr>
      <w:r w:rsidRPr="00F15A50">
        <w:t xml:space="preserve">Treatment should be maintained until amyloid plaques are cleared, as confirmed using a validated method, up to a maximum of 18 months. </w:t>
      </w:r>
    </w:p>
    <w:p w14:paraId="0A14784F" w14:textId="33719E03" w:rsidR="00AB0BEA" w:rsidRPr="00F15A50" w:rsidRDefault="006504B3" w:rsidP="00F15A50">
      <w:pPr>
        <w:pStyle w:val="ListParagraph"/>
        <w:numPr>
          <w:ilvl w:val="0"/>
          <w:numId w:val="40"/>
        </w:numPr>
        <w:spacing w:before="0"/>
        <w:ind w:left="714" w:hanging="357"/>
      </w:pPr>
      <w:r w:rsidRPr="00F15A50">
        <w:t>Treatment should be continued for up to 18 months if monitoring of amyloid plaque clearance with a validated method is not possible.</w:t>
      </w:r>
    </w:p>
    <w:p w14:paraId="02C93F27" w14:textId="3FCCF6AA" w:rsidR="001E1827" w:rsidRPr="00394233"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7" w:name="_Toc93044754"/>
      <w:bookmarkStart w:id="8" w:name="_Toc93322888"/>
      <w:bookmarkStart w:id="9" w:name="_Toc198735646"/>
      <w:bookmarkEnd w:id="7"/>
      <w:bookmarkEnd w:id="8"/>
      <w:r w:rsidRPr="00394233">
        <w:rPr>
          <w:rFonts w:ascii="Franklin Gothic Medium" w:hAnsi="Franklin Gothic Medium"/>
          <w:b w:val="0"/>
          <w:i w:val="0"/>
          <w:snapToGrid/>
          <w:sz w:val="32"/>
          <w:szCs w:val="26"/>
        </w:rPr>
        <w:t>Proposal for public funding</w:t>
      </w:r>
      <w:bookmarkEnd w:id="9"/>
    </w:p>
    <w:p w14:paraId="4510C6C5" w14:textId="42FBC907" w:rsidR="00DD1EED" w:rsidRPr="00C26EAA" w:rsidRDefault="00DD1EED" w:rsidP="00172B02">
      <w:pPr>
        <w:pStyle w:val="Heading3"/>
      </w:pPr>
      <w:r w:rsidRPr="00C26EAA">
        <w:t>Test</w:t>
      </w:r>
    </w:p>
    <w:p w14:paraId="2AAD67FB" w14:textId="05BFDD88" w:rsidR="00FB2A71" w:rsidRPr="009430DE" w:rsidRDefault="00962CD3" w:rsidP="00677948">
      <w:r w:rsidRPr="009430DE">
        <w:t xml:space="preserve">The </w:t>
      </w:r>
      <w:r w:rsidR="00DE4113">
        <w:t>application</w:t>
      </w:r>
      <w:r w:rsidR="00DE4113" w:rsidRPr="009430DE">
        <w:t xml:space="preserve"> </w:t>
      </w:r>
      <w:r w:rsidR="00C2656E">
        <w:t>requested</w:t>
      </w:r>
      <w:r w:rsidRPr="009430DE">
        <w:t xml:space="preserve"> 4 new MBS item numbers.</w:t>
      </w:r>
    </w:p>
    <w:p w14:paraId="12D9EDCD" w14:textId="08C073CB" w:rsidR="00280EE9" w:rsidRPr="009430DE" w:rsidRDefault="00280EE9" w:rsidP="00280EE9">
      <w:pPr>
        <w:keepNext/>
        <w:keepLines/>
        <w:spacing w:before="240" w:after="0"/>
        <w:outlineLvl w:val="3"/>
        <w:rPr>
          <w:rFonts w:eastAsiaTheme="majorEastAsia" w:cstheme="majorBidi"/>
          <w:b/>
          <w:i/>
          <w:iCs/>
          <w:szCs w:val="24"/>
        </w:rPr>
      </w:pPr>
      <w:r w:rsidRPr="009430DE">
        <w:rPr>
          <w:rFonts w:eastAsiaTheme="majorEastAsia" w:cstheme="majorBidi"/>
          <w:b/>
          <w:szCs w:val="24"/>
        </w:rPr>
        <w:t>APOE</w:t>
      </w:r>
      <w:r w:rsidRPr="009430DE">
        <w:rPr>
          <w:rFonts w:eastAsiaTheme="majorEastAsia" w:cstheme="majorBidi"/>
          <w:b/>
          <w:i/>
          <w:iCs/>
          <w:szCs w:val="24"/>
        </w:rPr>
        <w:t xml:space="preserve"> genotyping</w:t>
      </w:r>
    </w:p>
    <w:p w14:paraId="4D847AC2" w14:textId="5302243A" w:rsidR="00280EE9" w:rsidRPr="00C23C55" w:rsidRDefault="00280EE9" w:rsidP="00280EE9">
      <w:r w:rsidRPr="00C23C55">
        <w:t>Th</w:t>
      </w:r>
      <w:r w:rsidR="00FB2ABE" w:rsidRPr="00C23C55">
        <w:t>e</w:t>
      </w:r>
      <w:r w:rsidRPr="00C23C55">
        <w:t xml:space="preserve"> </w:t>
      </w:r>
      <w:r w:rsidR="00D20B36" w:rsidRPr="00C23C55">
        <w:t xml:space="preserve">application </w:t>
      </w:r>
      <w:r w:rsidRPr="00C23C55">
        <w:t>request</w:t>
      </w:r>
      <w:r w:rsidR="00D20B36" w:rsidRPr="00C23C55">
        <w:t>ed</w:t>
      </w:r>
      <w:r w:rsidRPr="00C23C55">
        <w:t xml:space="preserve"> MBS funding for </w:t>
      </w:r>
      <w:r w:rsidRPr="00C23C55">
        <w:rPr>
          <w:i/>
          <w:iCs/>
        </w:rPr>
        <w:t>APOE</w:t>
      </w:r>
      <w:r w:rsidRPr="00C23C55">
        <w:t xml:space="preserve"> genotyping to determine eligibility for PBS-subsidised donanemab treatment. The </w:t>
      </w:r>
      <w:r w:rsidR="00BE3AE5" w:rsidRPr="00C23C55">
        <w:t>TGA-approved</w:t>
      </w:r>
      <w:r w:rsidRPr="00C23C55">
        <w:t xml:space="preserve"> PI states that donanemab is indicated in patients who are </w:t>
      </w:r>
      <w:r w:rsidR="005A23CF" w:rsidRPr="00C23C55">
        <w:rPr>
          <w:i/>
          <w:iCs/>
        </w:rPr>
        <w:t>A</w:t>
      </w:r>
      <w:r w:rsidR="00DF5FD4" w:rsidRPr="00C23C55">
        <w:rPr>
          <w:i/>
          <w:iCs/>
        </w:rPr>
        <w:t>PO</w:t>
      </w:r>
      <w:r w:rsidR="005A23CF" w:rsidRPr="00C23C55">
        <w:rPr>
          <w:i/>
          <w:iCs/>
        </w:rPr>
        <w:t>E</w:t>
      </w:r>
      <w:r w:rsidR="00053620" w:rsidRPr="00C23C55">
        <w:rPr>
          <w:i/>
          <w:iCs/>
        </w:rPr>
        <w:t>4</w:t>
      </w:r>
      <w:r w:rsidR="005A23CF" w:rsidRPr="00C23C55">
        <w:t xml:space="preserve"> heterozygotes or non-carriers</w:t>
      </w:r>
      <w:r w:rsidR="00AC2CDD" w:rsidRPr="00C23C55">
        <w:t xml:space="preserve"> but not </w:t>
      </w:r>
      <w:r w:rsidR="00945133" w:rsidRPr="00C23C55">
        <w:t xml:space="preserve">patients </w:t>
      </w:r>
      <w:r w:rsidR="009B2AC8" w:rsidRPr="00C23C55">
        <w:t xml:space="preserve">who are </w:t>
      </w:r>
      <w:r w:rsidRPr="00C23C55">
        <w:rPr>
          <w:i/>
          <w:iCs/>
        </w:rPr>
        <w:t>APOE4</w:t>
      </w:r>
      <w:r w:rsidRPr="00C23C55">
        <w:t xml:space="preserve"> homozygo</w:t>
      </w:r>
      <w:r w:rsidR="00AC2CDD" w:rsidRPr="00C23C55">
        <w:t>tes</w:t>
      </w:r>
      <w:r w:rsidR="00677948" w:rsidRPr="00C23C55">
        <w:t xml:space="preserve"> </w:t>
      </w:r>
      <w:r w:rsidR="009B2AC8" w:rsidRPr="00C23C55">
        <w:t xml:space="preserve">with </w:t>
      </w:r>
      <w:r w:rsidR="00677948" w:rsidRPr="00C23C55">
        <w:t xml:space="preserve">the </w:t>
      </w:r>
      <w:r w:rsidR="009B2AC8" w:rsidRPr="00C23C55">
        <w:t>greatest</w:t>
      </w:r>
      <w:r w:rsidR="00677948" w:rsidRPr="00C23C55">
        <w:t xml:space="preserve"> risk of amyloid-related imaging abnormality (ARIA)</w:t>
      </w:r>
      <w:r w:rsidRPr="00C23C55">
        <w:t xml:space="preserve">. </w:t>
      </w:r>
      <w:r w:rsidR="00A41E4C" w:rsidRPr="00C23C55">
        <w:fldChar w:fldCharType="begin"/>
      </w:r>
      <w:r w:rsidR="00A41E4C" w:rsidRPr="00C23C55">
        <w:instrText xml:space="preserve"> REF _Ref204863416 \h </w:instrText>
      </w:r>
      <w:r w:rsidR="00C23C55" w:rsidRPr="00C23C55">
        <w:instrText xml:space="preserve"> \* MERGEFORMAT </w:instrText>
      </w:r>
      <w:r w:rsidR="00A41E4C" w:rsidRPr="00C23C55">
        <w:fldChar w:fldCharType="separate"/>
      </w:r>
      <w:r w:rsidR="003310F2">
        <w:t xml:space="preserve">Table </w:t>
      </w:r>
      <w:r w:rsidR="003310F2">
        <w:rPr>
          <w:noProof/>
        </w:rPr>
        <w:t>1</w:t>
      </w:r>
      <w:r w:rsidR="00A41E4C" w:rsidRPr="00C23C55">
        <w:fldChar w:fldCharType="end"/>
      </w:r>
      <w:r w:rsidR="00703C98" w:rsidRPr="00C23C55">
        <w:t xml:space="preserve"> present</w:t>
      </w:r>
      <w:r w:rsidR="00C155D3" w:rsidRPr="00C23C55">
        <w:t>ed</w:t>
      </w:r>
      <w:r w:rsidR="00703C98" w:rsidRPr="00C23C55">
        <w:t xml:space="preserve"> </w:t>
      </w:r>
      <w:r w:rsidR="00C7303C" w:rsidRPr="00C23C55">
        <w:t>t</w:t>
      </w:r>
      <w:r w:rsidRPr="00C23C55">
        <w:t xml:space="preserve">he </w:t>
      </w:r>
      <w:r w:rsidR="00D26C76" w:rsidRPr="00C23C55">
        <w:t xml:space="preserve">applicant’s </w:t>
      </w:r>
      <w:r w:rsidRPr="00C23C55">
        <w:t xml:space="preserve">proposed MBS item descriptor for </w:t>
      </w:r>
      <w:r w:rsidRPr="00C23C55">
        <w:rPr>
          <w:i/>
          <w:iCs/>
        </w:rPr>
        <w:t>APOE</w:t>
      </w:r>
      <w:r w:rsidRPr="00C23C55">
        <w:t xml:space="preserve"> genotyping </w:t>
      </w:r>
      <w:r w:rsidR="00012C97" w:rsidRPr="00C23C55">
        <w:t xml:space="preserve">to </w:t>
      </w:r>
      <w:r w:rsidRPr="00C23C55">
        <w:t>determin</w:t>
      </w:r>
      <w:r w:rsidR="00012C97" w:rsidRPr="00C23C55">
        <w:t>e</w:t>
      </w:r>
      <w:r w:rsidRPr="00C23C55">
        <w:t xml:space="preserve"> eligibility for PBS-subsidised donanemab treatment</w:t>
      </w:r>
      <w:r w:rsidR="00435E93" w:rsidRPr="00C23C55">
        <w:t>, with</w:t>
      </w:r>
      <w:r w:rsidR="00C7303C" w:rsidRPr="00C23C55">
        <w:t xml:space="preserve"> th</w:t>
      </w:r>
      <w:r w:rsidR="00217582" w:rsidRPr="00C23C55">
        <w:t xml:space="preserve">e </w:t>
      </w:r>
      <w:r w:rsidR="00E50C72" w:rsidRPr="00C23C55">
        <w:t xml:space="preserve">department’s proposed edits in </w:t>
      </w:r>
      <w:r w:rsidR="007A5C8E" w:rsidRPr="00284211">
        <w:rPr>
          <w:i/>
          <w:iCs/>
          <w:color w:val="ED0000"/>
        </w:rPr>
        <w:t>red</w:t>
      </w:r>
      <w:r w:rsidR="007A5C8E" w:rsidRPr="00C23C55">
        <w:t xml:space="preserve"> </w:t>
      </w:r>
      <w:r w:rsidR="007A5C8E" w:rsidRPr="00284211">
        <w:rPr>
          <w:i/>
          <w:iCs/>
          <w:color w:val="ED0000"/>
        </w:rPr>
        <w:t>italics</w:t>
      </w:r>
      <w:r w:rsidR="00FB2ABE" w:rsidRPr="00C23C55">
        <w:t>.</w:t>
      </w:r>
    </w:p>
    <w:p w14:paraId="6E664189" w14:textId="77197A2B" w:rsidR="00280EE9" w:rsidRPr="00EE0EEB" w:rsidRDefault="0020686E" w:rsidP="00565B62">
      <w:pPr>
        <w:pStyle w:val="Caption"/>
      </w:pPr>
      <w:bookmarkStart w:id="10" w:name="_Ref204863416"/>
      <w:bookmarkStart w:id="11" w:name="_Ref196220439"/>
      <w:r>
        <w:lastRenderedPageBreak/>
        <w:t xml:space="preserve">Table </w:t>
      </w:r>
      <w:r w:rsidR="003310F2">
        <w:fldChar w:fldCharType="begin"/>
      </w:r>
      <w:r w:rsidR="003310F2">
        <w:instrText xml:space="preserve"> SEQ Table \* ARABIC </w:instrText>
      </w:r>
      <w:r w:rsidR="003310F2">
        <w:fldChar w:fldCharType="separate"/>
      </w:r>
      <w:r w:rsidR="003310F2">
        <w:rPr>
          <w:noProof/>
        </w:rPr>
        <w:t>1</w:t>
      </w:r>
      <w:r w:rsidR="003310F2">
        <w:rPr>
          <w:noProof/>
        </w:rPr>
        <w:fldChar w:fldCharType="end"/>
      </w:r>
      <w:bookmarkEnd w:id="10"/>
      <w:bookmarkEnd w:id="11"/>
      <w:r w:rsidR="00B8661F">
        <w:t xml:space="preserve"> </w:t>
      </w:r>
      <w:r w:rsidR="00DB505C">
        <w:t>Requested</w:t>
      </w:r>
      <w:r w:rsidR="00022B50" w:rsidRPr="00EE0EEB">
        <w:t xml:space="preserve"> </w:t>
      </w:r>
      <w:r w:rsidR="00280EE9" w:rsidRPr="00EE0EEB">
        <w:t xml:space="preserve">MBS item for </w:t>
      </w:r>
      <w:r w:rsidR="00280EE9" w:rsidRPr="00C6025F">
        <w:rPr>
          <w:i/>
        </w:rPr>
        <w:t>APOE</w:t>
      </w:r>
      <w:r w:rsidR="00280EE9" w:rsidRPr="00EE0EEB">
        <w:t xml:space="preserve"> genetic testing </w:t>
      </w:r>
      <w:r w:rsidR="00053EB9" w:rsidRPr="00EE0EEB">
        <w:t xml:space="preserve">in the </w:t>
      </w:r>
      <w:r w:rsidR="00D26C76">
        <w:t>application</w:t>
      </w:r>
      <w:r w:rsidR="0024491A">
        <w:t xml:space="preserve"> and the department’s proposed edits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77948" w:rsidRPr="00EE0EEB" w14:paraId="087562A3" w14:textId="77777777" w:rsidTr="00DE6098">
        <w:trPr>
          <w:tblHeader/>
        </w:trPr>
        <w:tc>
          <w:tcPr>
            <w:tcW w:w="5000" w:type="pct"/>
          </w:tcPr>
          <w:p w14:paraId="4C3FF090" w14:textId="77777777" w:rsidR="00677948" w:rsidRDefault="00677948" w:rsidP="00CD5D54">
            <w:pPr>
              <w:spacing w:before="40" w:after="40"/>
              <w:rPr>
                <w:rFonts w:ascii="Arial Narrow" w:hAnsi="Arial Narrow"/>
                <w:sz w:val="20"/>
                <w:szCs w:val="20"/>
              </w:rPr>
            </w:pPr>
            <w:r w:rsidRPr="009430DE">
              <w:rPr>
                <w:rFonts w:ascii="Arial Narrow" w:hAnsi="Arial Narrow"/>
                <w:sz w:val="20"/>
                <w:szCs w:val="20"/>
              </w:rPr>
              <w:t>Category 6 – Pathology Services</w:t>
            </w:r>
          </w:p>
          <w:p w14:paraId="070C9323" w14:textId="1E357EF5" w:rsidR="00710C05" w:rsidRPr="009430DE" w:rsidRDefault="00CD5D54" w:rsidP="00CD5D54">
            <w:pPr>
              <w:spacing w:before="40" w:after="40"/>
              <w:jc w:val="right"/>
              <w:rPr>
                <w:rFonts w:ascii="Arial Narrow" w:hAnsi="Arial Narrow"/>
                <w:sz w:val="20"/>
                <w:szCs w:val="20"/>
              </w:rPr>
            </w:pPr>
            <w:r w:rsidRPr="00284211">
              <w:rPr>
                <w:rFonts w:ascii="Arial Narrow" w:hAnsi="Arial Narrow"/>
                <w:color w:val="ED0000"/>
                <w:sz w:val="20"/>
                <w:szCs w:val="20"/>
              </w:rPr>
              <w:t>P7 - Genetics</w:t>
            </w:r>
          </w:p>
        </w:tc>
      </w:tr>
      <w:tr w:rsidR="00677948" w:rsidRPr="00EE0EEB" w14:paraId="45699D81" w14:textId="77777777" w:rsidTr="00DE6098">
        <w:trPr>
          <w:cantSplit/>
        </w:trPr>
        <w:tc>
          <w:tcPr>
            <w:tcW w:w="5000" w:type="pct"/>
          </w:tcPr>
          <w:p w14:paraId="1A55AE2E" w14:textId="77777777" w:rsidR="00677948" w:rsidRPr="00622611" w:rsidRDefault="00677948" w:rsidP="00DE6098">
            <w:pPr>
              <w:widowControl w:val="0"/>
              <w:spacing w:before="0" w:after="0"/>
              <w:rPr>
                <w:rFonts w:ascii="Arial Narrow" w:hAnsi="Arial Narrow"/>
                <w:sz w:val="20"/>
                <w:lang w:val="de-DE"/>
              </w:rPr>
            </w:pPr>
            <w:r w:rsidRPr="00622611">
              <w:rPr>
                <w:rFonts w:ascii="Arial Narrow" w:hAnsi="Arial Narrow"/>
                <w:sz w:val="20"/>
                <w:lang w:val="de-DE"/>
              </w:rPr>
              <w:t xml:space="preserve">Item </w:t>
            </w:r>
            <w:r w:rsidRPr="00622611">
              <w:rPr>
                <w:rFonts w:ascii="Arial Narrow" w:hAnsi="Arial Narrow"/>
                <w:strike/>
                <w:sz w:val="20"/>
                <w:lang w:val="de-DE"/>
              </w:rPr>
              <w:t xml:space="preserve">descriptor </w:t>
            </w:r>
            <w:r w:rsidRPr="00622611">
              <w:rPr>
                <w:rFonts w:ascii="Arial Narrow" w:hAnsi="Arial Narrow"/>
                <w:sz w:val="20"/>
                <w:lang w:val="de-DE"/>
              </w:rPr>
              <w:t>XXXX</w:t>
            </w:r>
          </w:p>
          <w:p w14:paraId="06C5069F" w14:textId="77777777" w:rsidR="00677948" w:rsidRPr="00622611" w:rsidRDefault="00677948" w:rsidP="00677948">
            <w:pPr>
              <w:widowControl w:val="0"/>
              <w:spacing w:before="0" w:after="0"/>
              <w:rPr>
                <w:rFonts w:ascii="Arial Narrow" w:hAnsi="Arial Narrow"/>
                <w:strike/>
                <w:sz w:val="20"/>
                <w:szCs w:val="20"/>
                <w:lang w:val="de-DE"/>
              </w:rPr>
            </w:pPr>
            <w:r w:rsidRPr="00622611">
              <w:rPr>
                <w:rFonts w:ascii="Arial Narrow" w:hAnsi="Arial Narrow"/>
                <w:strike/>
                <w:sz w:val="20"/>
                <w:szCs w:val="20"/>
                <w:lang w:val="de-DE"/>
              </w:rPr>
              <w:t>Apolipoprotein E genotyping</w:t>
            </w:r>
          </w:p>
          <w:p w14:paraId="4F9BC1C0" w14:textId="3D7E276E" w:rsidR="00677948" w:rsidRDefault="00677948" w:rsidP="00677948">
            <w:pPr>
              <w:widowControl w:val="0"/>
              <w:spacing w:before="0" w:after="0"/>
              <w:rPr>
                <w:rFonts w:ascii="Arial Narrow" w:hAnsi="Arial Narrow"/>
                <w:sz w:val="20"/>
                <w:szCs w:val="20"/>
              </w:rPr>
            </w:pPr>
            <w:r w:rsidRPr="00677948">
              <w:rPr>
                <w:rFonts w:ascii="Arial Narrow" w:hAnsi="Arial Narrow"/>
                <w:sz w:val="20"/>
                <w:szCs w:val="20"/>
              </w:rPr>
              <w:t xml:space="preserve">Genetic testing to determine apolipoprotein E </w:t>
            </w:r>
            <w:r w:rsidRPr="00677948">
              <w:rPr>
                <w:rFonts w:ascii="Calibri" w:hAnsi="Calibri" w:cs="Calibri"/>
                <w:sz w:val="20"/>
                <w:szCs w:val="20"/>
              </w:rPr>
              <w:t>ԑ</w:t>
            </w:r>
            <w:r w:rsidRPr="00677948">
              <w:rPr>
                <w:rFonts w:ascii="Arial Narrow" w:hAnsi="Arial Narrow"/>
                <w:sz w:val="20"/>
                <w:szCs w:val="20"/>
              </w:rPr>
              <w:t xml:space="preserve">4 (APOE </w:t>
            </w:r>
            <w:r w:rsidRPr="00677948">
              <w:rPr>
                <w:rFonts w:ascii="Calibri" w:hAnsi="Calibri" w:cs="Calibri"/>
                <w:sz w:val="20"/>
                <w:szCs w:val="20"/>
              </w:rPr>
              <w:t>ԑ</w:t>
            </w:r>
            <w:r w:rsidRPr="00677948">
              <w:rPr>
                <w:rFonts w:ascii="Arial Narrow" w:hAnsi="Arial Narrow"/>
                <w:sz w:val="20"/>
                <w:szCs w:val="20"/>
              </w:rPr>
              <w:t xml:space="preserve">4) genotype as requested by a specialist or consultant physician for patients with Mild Cognitive Impairment (MCI) due to Alzheimer disease </w:t>
            </w:r>
            <w:proofErr w:type="spellStart"/>
            <w:r w:rsidRPr="00F53186">
              <w:rPr>
                <w:rFonts w:ascii="Arial Narrow" w:hAnsi="Arial Narrow"/>
                <w:i/>
                <w:iCs/>
                <w:strike/>
                <w:sz w:val="20"/>
                <w:szCs w:val="20"/>
              </w:rPr>
              <w:t>and</w:t>
            </w:r>
            <w:r w:rsidR="00F53186" w:rsidRPr="00284211">
              <w:rPr>
                <w:rFonts w:ascii="Arial Narrow" w:hAnsi="Arial Narrow"/>
                <w:i/>
                <w:iCs/>
                <w:color w:val="ED0000"/>
                <w:sz w:val="20"/>
                <w:szCs w:val="20"/>
              </w:rPr>
              <w:t>or</w:t>
            </w:r>
            <w:proofErr w:type="spellEnd"/>
            <w:r w:rsidRPr="00284211">
              <w:rPr>
                <w:rFonts w:ascii="Arial Narrow" w:hAnsi="Arial Narrow"/>
                <w:color w:val="ED0000"/>
                <w:sz w:val="20"/>
                <w:szCs w:val="20"/>
              </w:rPr>
              <w:t xml:space="preserve"> </w:t>
            </w:r>
            <w:r w:rsidRPr="00677948">
              <w:rPr>
                <w:rFonts w:ascii="Arial Narrow" w:hAnsi="Arial Narrow"/>
                <w:sz w:val="20"/>
                <w:szCs w:val="20"/>
              </w:rPr>
              <w:t xml:space="preserve">Mild Alzheimer dementia </w:t>
            </w:r>
            <w:r w:rsidRPr="002367B7">
              <w:rPr>
                <w:rFonts w:ascii="Arial Narrow" w:hAnsi="Arial Narrow"/>
                <w:strike/>
                <w:sz w:val="20"/>
                <w:szCs w:val="20"/>
              </w:rPr>
              <w:t>who are being considered for therapy with donanemab</w:t>
            </w:r>
            <w:r w:rsidR="002367B7">
              <w:rPr>
                <w:rFonts w:ascii="Arial Narrow" w:hAnsi="Arial Narrow"/>
                <w:sz w:val="20"/>
                <w:szCs w:val="20"/>
              </w:rPr>
              <w:t xml:space="preserve"> </w:t>
            </w:r>
            <w:r w:rsidR="002367B7" w:rsidRPr="00284211">
              <w:rPr>
                <w:rFonts w:ascii="Arial Narrow" w:hAnsi="Arial Narrow"/>
                <w:bCs/>
                <w:i/>
                <w:iCs/>
                <w:color w:val="ED0000"/>
                <w:sz w:val="20"/>
                <w:szCs w:val="20"/>
                <w:lang w:val="en-US"/>
              </w:rPr>
              <w:t>to determine eligibility for a relevant treatment under the Pharmaceutical Benefits Schedule</w:t>
            </w:r>
            <w:r w:rsidRPr="00677948">
              <w:rPr>
                <w:rFonts w:ascii="Arial Narrow" w:hAnsi="Arial Narrow"/>
                <w:sz w:val="20"/>
                <w:szCs w:val="20"/>
              </w:rPr>
              <w:t xml:space="preserve">. </w:t>
            </w:r>
          </w:p>
          <w:p w14:paraId="1EF3FC4C" w14:textId="77777777" w:rsidR="002367B7" w:rsidRDefault="002367B7" w:rsidP="00677948">
            <w:pPr>
              <w:widowControl w:val="0"/>
              <w:spacing w:before="0" w:after="0"/>
              <w:rPr>
                <w:rFonts w:ascii="Arial Narrow" w:hAnsi="Arial Narrow"/>
                <w:sz w:val="20"/>
                <w:szCs w:val="20"/>
              </w:rPr>
            </w:pPr>
          </w:p>
          <w:p w14:paraId="15458025" w14:textId="77777777" w:rsidR="00855A6D" w:rsidRPr="00284211" w:rsidRDefault="00855A6D" w:rsidP="00855A6D">
            <w:pPr>
              <w:widowControl w:val="0"/>
              <w:spacing w:before="0"/>
              <w:rPr>
                <w:rFonts w:ascii="Arial Narrow" w:hAnsi="Arial Narrow"/>
                <w:bCs/>
                <w:i/>
                <w:color w:val="ED0000"/>
                <w:sz w:val="20"/>
                <w:szCs w:val="20"/>
                <w:lang w:val="en-US"/>
              </w:rPr>
            </w:pPr>
            <w:r w:rsidRPr="00284211">
              <w:rPr>
                <w:rFonts w:ascii="Arial Narrow" w:hAnsi="Arial Narrow"/>
                <w:bCs/>
                <w:i/>
                <w:color w:val="ED0000"/>
                <w:sz w:val="20"/>
                <w:szCs w:val="20"/>
                <w:lang w:val="en-US"/>
              </w:rPr>
              <w:t>Applicable once per lifetime.</w:t>
            </w:r>
          </w:p>
          <w:p w14:paraId="2555F683" w14:textId="77777777" w:rsidR="00677948" w:rsidRPr="00677948" w:rsidRDefault="00677948" w:rsidP="00677948">
            <w:pPr>
              <w:widowControl w:val="0"/>
              <w:spacing w:before="0" w:after="0"/>
              <w:rPr>
                <w:rFonts w:ascii="Arial Narrow" w:hAnsi="Arial Narrow"/>
                <w:sz w:val="20"/>
                <w:szCs w:val="20"/>
              </w:rPr>
            </w:pPr>
            <w:r w:rsidRPr="00677948">
              <w:rPr>
                <w:rFonts w:ascii="Arial Narrow" w:hAnsi="Arial Narrow"/>
                <w:sz w:val="20"/>
                <w:szCs w:val="20"/>
              </w:rPr>
              <w:t>Fee: $154.00 Benefit: 75% = $115.50 85% = $130.90</w:t>
            </w:r>
          </w:p>
          <w:p w14:paraId="6DDEBFA7" w14:textId="77777777" w:rsidR="00677948" w:rsidRPr="00677948" w:rsidRDefault="00677948" w:rsidP="00677948">
            <w:pPr>
              <w:widowControl w:val="0"/>
              <w:spacing w:before="0" w:after="0"/>
              <w:rPr>
                <w:rFonts w:ascii="Arial Narrow" w:hAnsi="Arial Narrow"/>
                <w:sz w:val="20"/>
                <w:szCs w:val="20"/>
              </w:rPr>
            </w:pPr>
          </w:p>
          <w:p w14:paraId="156B4F20" w14:textId="77777777" w:rsidR="00677948" w:rsidRPr="00855A6D" w:rsidRDefault="00677948" w:rsidP="00677948">
            <w:pPr>
              <w:widowControl w:val="0"/>
              <w:spacing w:before="0" w:after="0"/>
              <w:rPr>
                <w:rFonts w:ascii="Arial Narrow" w:hAnsi="Arial Narrow"/>
                <w:strike/>
                <w:sz w:val="20"/>
                <w:szCs w:val="20"/>
              </w:rPr>
            </w:pPr>
            <w:r w:rsidRPr="00855A6D">
              <w:rPr>
                <w:rFonts w:ascii="Arial Narrow" w:hAnsi="Arial Narrow"/>
                <w:strike/>
                <w:sz w:val="20"/>
                <w:szCs w:val="20"/>
              </w:rPr>
              <w:t>Explanatory note:</w:t>
            </w:r>
          </w:p>
          <w:p w14:paraId="31DB4EC5" w14:textId="50C73001" w:rsidR="00677948" w:rsidRPr="00EE0EEB" w:rsidRDefault="00677948" w:rsidP="00677948">
            <w:pPr>
              <w:widowControl w:val="0"/>
              <w:spacing w:before="0" w:after="0"/>
              <w:rPr>
                <w:rFonts w:ascii="Arial Narrow" w:hAnsi="Arial Narrow"/>
                <w:sz w:val="20"/>
              </w:rPr>
            </w:pPr>
            <w:r w:rsidRPr="00855A6D">
              <w:rPr>
                <w:rFonts w:ascii="Arial Narrow" w:hAnsi="Arial Narrow"/>
                <w:strike/>
                <w:sz w:val="20"/>
                <w:szCs w:val="20"/>
              </w:rPr>
              <w:t>Prior to ordering this test, the ordering practitioner should ensure that the patient meets other eligibility criteria for PBS-subsidised treatment with donanemab including having a (standardised) Mini-Mental State Examination Score of 20 or more, and that the patient is eligible for treatment based on magnetic imaging results from a scan performed within the previous 6 months</w:t>
            </w:r>
          </w:p>
        </w:tc>
      </w:tr>
    </w:tbl>
    <w:p w14:paraId="7FCC31B4" w14:textId="5A514124" w:rsidR="00677948" w:rsidRDefault="00677948" w:rsidP="00677948">
      <w:pPr>
        <w:pStyle w:val="TableFooter"/>
      </w:pPr>
      <w:r w:rsidRPr="00EE0EEB">
        <w:t>Source: Table1.14, page 50 of the submission</w:t>
      </w:r>
      <w:r w:rsidR="007917FC">
        <w:t>.</w:t>
      </w:r>
    </w:p>
    <w:p w14:paraId="5ED1C1C4" w14:textId="150965FB" w:rsidR="007917FC" w:rsidRPr="007917FC" w:rsidRDefault="007917FC" w:rsidP="007917FC">
      <w:pPr>
        <w:pStyle w:val="TableFooter"/>
      </w:pPr>
      <w:r w:rsidRPr="007917FC">
        <w:t xml:space="preserve">Department’s </w:t>
      </w:r>
      <w:r w:rsidR="006F0B4E">
        <w:t xml:space="preserve">proposed </w:t>
      </w:r>
      <w:r w:rsidRPr="007917FC">
        <w:t xml:space="preserve">edits in </w:t>
      </w:r>
      <w:r w:rsidRPr="007917FC">
        <w:rPr>
          <w:strike/>
        </w:rPr>
        <w:t>strikethrough</w:t>
      </w:r>
      <w:r w:rsidR="006F0B4E">
        <w:rPr>
          <w:strike/>
        </w:rPr>
        <w:t xml:space="preserve"> texts</w:t>
      </w:r>
      <w:r w:rsidRPr="007917FC">
        <w:t xml:space="preserve"> and </w:t>
      </w:r>
      <w:r w:rsidR="006F0B4E" w:rsidRPr="00284211">
        <w:rPr>
          <w:i/>
          <w:iCs/>
          <w:color w:val="ED0000"/>
        </w:rPr>
        <w:t xml:space="preserve">red </w:t>
      </w:r>
      <w:r w:rsidRPr="00284211">
        <w:rPr>
          <w:i/>
          <w:iCs/>
          <w:color w:val="ED0000"/>
        </w:rPr>
        <w:t>italics</w:t>
      </w:r>
      <w:r w:rsidRPr="00284211">
        <w:rPr>
          <w:color w:val="ED0000"/>
        </w:rPr>
        <w:t>.</w:t>
      </w:r>
    </w:p>
    <w:p w14:paraId="579BD068" w14:textId="1745137B" w:rsidR="00677948" w:rsidRPr="00EE0EEB" w:rsidRDefault="00677948" w:rsidP="00677948">
      <w:pPr>
        <w:pStyle w:val="TableFooter"/>
      </w:pPr>
      <w:r w:rsidRPr="00EE0EEB">
        <w:t xml:space="preserve">Note: The </w:t>
      </w:r>
      <w:r w:rsidR="00922FAF">
        <w:t>application</w:t>
      </w:r>
      <w:r w:rsidR="00922FAF" w:rsidRPr="00EE0EEB">
        <w:t xml:space="preserve"> </w:t>
      </w:r>
      <w:r w:rsidRPr="00EE0EEB">
        <w:t xml:space="preserve">proposed a fee of $154 for </w:t>
      </w:r>
      <w:r w:rsidRPr="00C6025F">
        <w:rPr>
          <w:i/>
          <w:iCs/>
        </w:rPr>
        <w:t>APOE ε4</w:t>
      </w:r>
      <w:r w:rsidRPr="00EE0EEB">
        <w:t xml:space="preserve"> genotyping, based on Sonic Genetics 2023.</w:t>
      </w:r>
    </w:p>
    <w:p w14:paraId="2CB39B8E" w14:textId="67B2EB34" w:rsidR="00280EE9" w:rsidRPr="00902B32" w:rsidRDefault="00280EE9" w:rsidP="00280EE9">
      <w:pPr>
        <w:keepNext/>
        <w:keepLines/>
        <w:spacing w:before="240" w:after="0"/>
        <w:outlineLvl w:val="3"/>
        <w:rPr>
          <w:rFonts w:eastAsiaTheme="majorEastAsia" w:cstheme="majorBidi"/>
          <w:b/>
        </w:rPr>
      </w:pPr>
      <w:r w:rsidRPr="00902B32">
        <w:rPr>
          <w:rFonts w:eastAsiaTheme="majorEastAsia" w:cstheme="majorBidi"/>
          <w:b/>
        </w:rPr>
        <w:t>A</w:t>
      </w:r>
      <w:r w:rsidRPr="00902B32">
        <w:rPr>
          <w:rFonts w:eastAsiaTheme="majorEastAsia"/>
          <w:b/>
        </w:rPr>
        <w:t>β</w:t>
      </w:r>
      <w:r w:rsidRPr="00902B32">
        <w:rPr>
          <w:rFonts w:eastAsia="Calibri" w:cs="Calibri"/>
          <w:b/>
        </w:rPr>
        <w:t xml:space="preserve"> </w:t>
      </w:r>
      <w:r w:rsidR="2C1C00B7" w:rsidRPr="00902B32">
        <w:rPr>
          <w:rFonts w:eastAsia="Calibri" w:cs="Calibri"/>
          <w:b/>
          <w:bCs/>
        </w:rPr>
        <w:t>diagnostic imaging and</w:t>
      </w:r>
      <w:r w:rsidRPr="00902B32">
        <w:rPr>
          <w:rFonts w:eastAsiaTheme="majorEastAsia" w:cstheme="majorBidi"/>
          <w:b/>
          <w:bCs/>
        </w:rPr>
        <w:t xml:space="preserve"> </w:t>
      </w:r>
      <w:r w:rsidRPr="00902B32">
        <w:rPr>
          <w:rFonts w:eastAsiaTheme="majorEastAsia" w:cstheme="majorBidi"/>
          <w:b/>
        </w:rPr>
        <w:t>pathology testing</w:t>
      </w:r>
    </w:p>
    <w:p w14:paraId="01636B2F" w14:textId="1C58966D" w:rsidR="007256E1" w:rsidRDefault="00280EE9" w:rsidP="00280EE9">
      <w:r w:rsidRPr="00902B32">
        <w:t xml:space="preserve">The </w:t>
      </w:r>
      <w:r w:rsidR="00A6213B">
        <w:t>application</w:t>
      </w:r>
      <w:r w:rsidR="00A6213B" w:rsidRPr="00902B32">
        <w:t xml:space="preserve"> </w:t>
      </w:r>
      <w:r w:rsidRPr="00902B32">
        <w:t>request</w:t>
      </w:r>
      <w:r w:rsidR="00A6213B">
        <w:t>ed</w:t>
      </w:r>
      <w:r w:rsidRPr="00902B32">
        <w:t xml:space="preserve"> MBS funding for two testing modalities, A</w:t>
      </w:r>
      <w:r w:rsidRPr="00902B32">
        <w:rPr>
          <w:rFonts w:cstheme="minorHAnsi"/>
        </w:rPr>
        <w:t>β</w:t>
      </w:r>
      <w:r w:rsidRPr="00902B32">
        <w:t>-PET and CSF AD biomarker testing, either of which could be used</w:t>
      </w:r>
      <w:r w:rsidR="006B60FF">
        <w:t>,</w:t>
      </w:r>
      <w:r w:rsidRPr="00902B32">
        <w:t xml:space="preserve"> to assess the presence of A</w:t>
      </w:r>
      <w:r w:rsidRPr="00902B32">
        <w:rPr>
          <w:rFonts w:cstheme="minorHAnsi"/>
        </w:rPr>
        <w:t>β</w:t>
      </w:r>
      <w:r w:rsidRPr="00902B32">
        <w:t xml:space="preserve"> pathology in patients with early symptomatic AD to determine eligibility for PBS-subsidised donanemab </w:t>
      </w:r>
      <w:r w:rsidRPr="00616E32">
        <w:t xml:space="preserve">treatment. </w:t>
      </w:r>
      <w:r w:rsidR="00616E32" w:rsidRPr="00616E32">
        <w:fldChar w:fldCharType="begin"/>
      </w:r>
      <w:r w:rsidR="00616E32" w:rsidRPr="00616E32">
        <w:instrText xml:space="preserve"> REF _Ref204864678 \h  \* MERGEFORMAT </w:instrText>
      </w:r>
      <w:r w:rsidR="00616E32" w:rsidRPr="00616E32">
        <w:fldChar w:fldCharType="separate"/>
      </w:r>
      <w:r w:rsidR="003310F2">
        <w:t xml:space="preserve">Table </w:t>
      </w:r>
      <w:r w:rsidR="003310F2">
        <w:rPr>
          <w:noProof/>
        </w:rPr>
        <w:t>2</w:t>
      </w:r>
      <w:r w:rsidR="00616E32" w:rsidRPr="00616E32">
        <w:fldChar w:fldCharType="end"/>
      </w:r>
      <w:r w:rsidR="00C353FA" w:rsidRPr="0007407E">
        <w:t xml:space="preserve"> presented t</w:t>
      </w:r>
      <w:r w:rsidRPr="0007407E">
        <w:t xml:space="preserve">he </w:t>
      </w:r>
      <w:r w:rsidR="006457B9" w:rsidRPr="0007407E">
        <w:t>application’s requested</w:t>
      </w:r>
      <w:r w:rsidRPr="0007407E">
        <w:t xml:space="preserve"> MBS item for A</w:t>
      </w:r>
      <w:r w:rsidRPr="0007407E">
        <w:rPr>
          <w:rFonts w:cstheme="minorHAnsi"/>
        </w:rPr>
        <w:t>β</w:t>
      </w:r>
      <w:r w:rsidRPr="0007407E">
        <w:t xml:space="preserve">-PET and </w:t>
      </w:r>
      <w:r w:rsidR="00043203" w:rsidRPr="0007407E">
        <w:t xml:space="preserve">the department’s proposed edits. </w:t>
      </w:r>
    </w:p>
    <w:p w14:paraId="1036E6B9" w14:textId="229458EF" w:rsidR="000C6F66" w:rsidRPr="00EE0EEB" w:rsidRDefault="006F0B4E" w:rsidP="00565B62">
      <w:pPr>
        <w:pStyle w:val="Caption"/>
      </w:pPr>
      <w:bookmarkStart w:id="12" w:name="_Ref204864678"/>
      <w:bookmarkStart w:id="13" w:name="_Ref195188627"/>
      <w:r>
        <w:t xml:space="preserve">Table </w:t>
      </w:r>
      <w:r w:rsidR="003310F2">
        <w:fldChar w:fldCharType="begin"/>
      </w:r>
      <w:r w:rsidR="003310F2">
        <w:instrText xml:space="preserve"> SEQ Table \* ARABIC </w:instrText>
      </w:r>
      <w:r w:rsidR="003310F2">
        <w:fldChar w:fldCharType="separate"/>
      </w:r>
      <w:r w:rsidR="003310F2">
        <w:rPr>
          <w:noProof/>
        </w:rPr>
        <w:t>2</w:t>
      </w:r>
      <w:r w:rsidR="003310F2">
        <w:rPr>
          <w:noProof/>
        </w:rPr>
        <w:fldChar w:fldCharType="end"/>
      </w:r>
      <w:bookmarkEnd w:id="12"/>
      <w:bookmarkEnd w:id="13"/>
      <w:r w:rsidR="00B8661F">
        <w:t xml:space="preserve"> </w:t>
      </w:r>
      <w:r w:rsidR="00B22B52">
        <w:t>Requested</w:t>
      </w:r>
      <w:r w:rsidR="005E7833" w:rsidRPr="00EE0EEB">
        <w:t xml:space="preserve"> </w:t>
      </w:r>
      <w:r w:rsidR="00280EE9" w:rsidRPr="00EE0EEB">
        <w:t xml:space="preserve">MBS item for Aβ-PET </w:t>
      </w:r>
      <w:r w:rsidR="009A4649" w:rsidRPr="00EE0EEB">
        <w:t xml:space="preserve">in the </w:t>
      </w:r>
      <w:r w:rsidR="00646C27">
        <w:t>application</w:t>
      </w:r>
      <w:r w:rsidR="0024491A">
        <w:t xml:space="preserve"> and</w:t>
      </w:r>
      <w:r w:rsidR="00EC64C3">
        <w:t xml:space="preserve"> the </w:t>
      </w:r>
      <w:r w:rsidR="0024491A">
        <w:t>d</w:t>
      </w:r>
      <w:r w:rsidR="00EC64C3">
        <w:t xml:space="preserve">epartment’s </w:t>
      </w:r>
      <w:r w:rsidR="00B22B52">
        <w:t xml:space="preserve">proposed </w:t>
      </w:r>
      <w:r w:rsidR="00EC64C3">
        <w:t>edits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80EE9" w:rsidRPr="00EE0EEB" w14:paraId="6BECB2FF" w14:textId="77777777" w:rsidTr="1F932D0B">
        <w:tc>
          <w:tcPr>
            <w:tcW w:w="5000" w:type="pct"/>
          </w:tcPr>
          <w:p w14:paraId="3D5E87E3" w14:textId="77777777" w:rsidR="00280EE9" w:rsidRDefault="00280EE9" w:rsidP="00E842C2">
            <w:pPr>
              <w:spacing w:before="40" w:after="40"/>
              <w:rPr>
                <w:rFonts w:ascii="Arial Narrow" w:hAnsi="Arial Narrow"/>
                <w:sz w:val="20"/>
                <w:szCs w:val="20"/>
              </w:rPr>
            </w:pPr>
            <w:r w:rsidRPr="00902B32">
              <w:rPr>
                <w:rFonts w:ascii="Arial Narrow" w:hAnsi="Arial Narrow"/>
                <w:sz w:val="20"/>
                <w:szCs w:val="20"/>
              </w:rPr>
              <w:t>Category 5 – Diagnostic Imaging Services</w:t>
            </w:r>
          </w:p>
          <w:p w14:paraId="6BBE5291" w14:textId="77777777" w:rsidR="00614A09" w:rsidRPr="00284211" w:rsidRDefault="00614A09" w:rsidP="00C5454B">
            <w:pPr>
              <w:spacing w:before="40" w:after="40"/>
              <w:jc w:val="right"/>
              <w:rPr>
                <w:rFonts w:ascii="Arial Narrow" w:hAnsi="Arial Narrow"/>
                <w:i/>
                <w:iCs/>
                <w:color w:val="ED0000"/>
                <w:sz w:val="20"/>
                <w:szCs w:val="20"/>
              </w:rPr>
            </w:pPr>
            <w:r w:rsidRPr="00284211">
              <w:rPr>
                <w:rFonts w:ascii="Arial Narrow" w:hAnsi="Arial Narrow"/>
                <w:i/>
                <w:iCs/>
                <w:color w:val="ED0000"/>
                <w:sz w:val="20"/>
                <w:szCs w:val="20"/>
              </w:rPr>
              <w:t>Group I4 – Nuclear Medicine Imaging</w:t>
            </w:r>
          </w:p>
          <w:p w14:paraId="31FA571D" w14:textId="7F726E05" w:rsidR="00614A09" w:rsidRPr="00902B32" w:rsidRDefault="00614A09" w:rsidP="00C5454B">
            <w:pPr>
              <w:spacing w:before="40" w:after="40"/>
              <w:jc w:val="right"/>
              <w:rPr>
                <w:rFonts w:ascii="Arial Narrow" w:hAnsi="Arial Narrow"/>
                <w:sz w:val="20"/>
                <w:szCs w:val="20"/>
              </w:rPr>
            </w:pPr>
            <w:r w:rsidRPr="00284211">
              <w:rPr>
                <w:rFonts w:ascii="Arial Narrow" w:hAnsi="Arial Narrow"/>
                <w:i/>
                <w:iCs/>
                <w:color w:val="ED0000"/>
                <w:sz w:val="20"/>
                <w:szCs w:val="20"/>
              </w:rPr>
              <w:t>Subgroup 2 - PET</w:t>
            </w:r>
          </w:p>
        </w:tc>
      </w:tr>
      <w:tr w:rsidR="00280EE9" w:rsidRPr="00EE0EEB" w14:paraId="6074B82D" w14:textId="77777777" w:rsidTr="1F932D0B">
        <w:tc>
          <w:tcPr>
            <w:tcW w:w="5000" w:type="pct"/>
          </w:tcPr>
          <w:p w14:paraId="729BDB11" w14:textId="4A8F2EDD" w:rsidR="00280EE9" w:rsidRPr="00EE0EEB" w:rsidRDefault="00280EE9" w:rsidP="00280EE9">
            <w:pPr>
              <w:widowControl w:val="0"/>
              <w:spacing w:before="0" w:after="0"/>
              <w:rPr>
                <w:rFonts w:ascii="Arial Narrow" w:hAnsi="Arial Narrow"/>
                <w:sz w:val="20"/>
              </w:rPr>
            </w:pPr>
            <w:r w:rsidRPr="00EE0EEB">
              <w:rPr>
                <w:rFonts w:ascii="Arial Narrow" w:hAnsi="Arial Narrow"/>
                <w:sz w:val="20"/>
              </w:rPr>
              <w:t xml:space="preserve">Item </w:t>
            </w:r>
            <w:r w:rsidRPr="00A85510">
              <w:rPr>
                <w:rFonts w:ascii="Arial Narrow" w:hAnsi="Arial Narrow"/>
                <w:strike/>
                <w:sz w:val="20"/>
              </w:rPr>
              <w:t xml:space="preserve">descriptor </w:t>
            </w:r>
            <w:r w:rsidRPr="00EE0EEB">
              <w:rPr>
                <w:rFonts w:ascii="Arial Narrow" w:hAnsi="Arial Narrow"/>
                <w:sz w:val="20"/>
              </w:rPr>
              <w:t>YYYY</w:t>
            </w:r>
          </w:p>
          <w:p w14:paraId="603013E2" w14:textId="3D514CA6" w:rsidR="00280EE9" w:rsidRPr="00EE0EEB" w:rsidRDefault="00280EE9" w:rsidP="1F932D0B">
            <w:pPr>
              <w:widowControl w:val="0"/>
              <w:spacing w:before="0" w:after="0"/>
              <w:rPr>
                <w:rFonts w:ascii="Arial Narrow" w:hAnsi="Arial Narrow"/>
                <w:sz w:val="20"/>
                <w:szCs w:val="20"/>
              </w:rPr>
            </w:pPr>
            <w:r w:rsidRPr="00EE0EEB">
              <w:rPr>
                <w:rFonts w:ascii="Arial Narrow" w:hAnsi="Arial Narrow"/>
                <w:sz w:val="20"/>
                <w:szCs w:val="20"/>
              </w:rPr>
              <w:t xml:space="preserve">Beta-amyloid positron emission tomography (PET) study of the brain, requested by a specialist or consultant physician, for the evaluation of patients with a clinical diagnosis of mild cognitive impairment due to Alzheimer disease or mild </w:t>
            </w:r>
            <w:r w:rsidRPr="1B4AE57D">
              <w:rPr>
                <w:rFonts w:ascii="Arial Narrow" w:hAnsi="Arial Narrow"/>
                <w:sz w:val="20"/>
                <w:szCs w:val="20"/>
              </w:rPr>
              <w:t>Alzheimer</w:t>
            </w:r>
            <w:r w:rsidRPr="00EE0EEB">
              <w:rPr>
                <w:rFonts w:ascii="Arial Narrow" w:hAnsi="Arial Narrow"/>
                <w:sz w:val="20"/>
                <w:szCs w:val="20"/>
              </w:rPr>
              <w:t xml:space="preserve"> </w:t>
            </w:r>
            <w:proofErr w:type="spellStart"/>
            <w:r w:rsidRPr="00FA6FD4">
              <w:rPr>
                <w:rFonts w:ascii="Arial Narrow" w:hAnsi="Arial Narrow"/>
                <w:strike/>
                <w:sz w:val="20"/>
                <w:szCs w:val="20"/>
              </w:rPr>
              <w:t>disease</w:t>
            </w:r>
            <w:r w:rsidR="00FA6FD4" w:rsidRPr="00284211">
              <w:rPr>
                <w:rFonts w:ascii="Arial Narrow" w:hAnsi="Arial Narrow"/>
                <w:i/>
                <w:iCs/>
                <w:color w:val="ED0000"/>
                <w:sz w:val="20"/>
                <w:szCs w:val="20"/>
              </w:rPr>
              <w:t>dementia</w:t>
            </w:r>
            <w:proofErr w:type="spellEnd"/>
            <w:r w:rsidRPr="00EE0EEB">
              <w:rPr>
                <w:rFonts w:ascii="Arial Narrow" w:hAnsi="Arial Narrow"/>
                <w:sz w:val="20"/>
                <w:szCs w:val="20"/>
              </w:rPr>
              <w:t xml:space="preserve">, to determine eligibility for treatment with </w:t>
            </w:r>
            <w:proofErr w:type="spellStart"/>
            <w:r w:rsidRPr="00003250">
              <w:rPr>
                <w:rFonts w:ascii="Arial Narrow" w:hAnsi="Arial Narrow"/>
                <w:strike/>
                <w:sz w:val="20"/>
                <w:szCs w:val="20"/>
              </w:rPr>
              <w:t>donanemab</w:t>
            </w:r>
            <w:r w:rsidR="00D73D09" w:rsidRPr="00284211">
              <w:rPr>
                <w:rFonts w:ascii="Arial Narrow" w:hAnsi="Arial Narrow"/>
                <w:i/>
                <w:iCs/>
                <w:color w:val="ED0000"/>
                <w:sz w:val="20"/>
                <w:szCs w:val="20"/>
              </w:rPr>
              <w:t>an</w:t>
            </w:r>
            <w:proofErr w:type="spellEnd"/>
            <w:r w:rsidR="00D73D09">
              <w:rPr>
                <w:rFonts w:ascii="Arial Narrow" w:hAnsi="Arial Narrow"/>
                <w:i/>
                <w:iCs/>
                <w:sz w:val="20"/>
                <w:szCs w:val="20"/>
              </w:rPr>
              <w:t xml:space="preserve"> </w:t>
            </w:r>
            <w:r w:rsidR="00D73D09" w:rsidRPr="00284211">
              <w:rPr>
                <w:rFonts w:ascii="Arial Narrow" w:hAnsi="Arial Narrow"/>
                <w:i/>
                <w:iCs/>
                <w:color w:val="ED0000"/>
                <w:sz w:val="20"/>
                <w:szCs w:val="20"/>
              </w:rPr>
              <w:t>anti-amyloid monoclonal antibody agent to treat Alzheimer disease</w:t>
            </w:r>
            <w:r w:rsidRPr="00284211">
              <w:rPr>
                <w:rFonts w:ascii="Arial Narrow" w:hAnsi="Arial Narrow"/>
                <w:color w:val="ED0000"/>
                <w:sz w:val="20"/>
                <w:szCs w:val="20"/>
              </w:rPr>
              <w:t xml:space="preserve"> </w:t>
            </w:r>
            <w:r w:rsidRPr="00EE0EEB">
              <w:rPr>
                <w:rFonts w:ascii="Arial Narrow" w:hAnsi="Arial Narrow"/>
                <w:sz w:val="20"/>
                <w:szCs w:val="20"/>
              </w:rPr>
              <w:t>under the Pharmaceutical Benefits Scheme (PBS), if:</w:t>
            </w:r>
          </w:p>
          <w:p w14:paraId="2F77B6EB" w14:textId="77777777" w:rsidR="00280EE9" w:rsidRPr="00EE0EEB" w:rsidRDefault="00280EE9" w:rsidP="00280EE9">
            <w:pPr>
              <w:widowControl w:val="0"/>
              <w:spacing w:before="0" w:after="0"/>
              <w:rPr>
                <w:rFonts w:ascii="Arial Narrow" w:hAnsi="Arial Narrow"/>
                <w:sz w:val="20"/>
                <w:szCs w:val="20"/>
              </w:rPr>
            </w:pPr>
            <w:r w:rsidRPr="00EE0EEB">
              <w:rPr>
                <w:rFonts w:ascii="Arial Narrow" w:hAnsi="Arial Narrow"/>
                <w:sz w:val="20"/>
                <w:szCs w:val="20"/>
              </w:rPr>
              <w:t>•</w:t>
            </w:r>
            <w:r w:rsidRPr="00EE0EEB">
              <w:tab/>
            </w:r>
            <w:r w:rsidRPr="00EE0EEB">
              <w:rPr>
                <w:rFonts w:ascii="Arial Narrow" w:hAnsi="Arial Narrow"/>
                <w:sz w:val="20"/>
                <w:szCs w:val="20"/>
              </w:rPr>
              <w:t>the patient considered for this service also meets specific PBS eligibility criteria</w:t>
            </w:r>
            <w:r w:rsidRPr="0055119B">
              <w:rPr>
                <w:rFonts w:ascii="Arial Narrow" w:hAnsi="Arial Narrow"/>
                <w:strike/>
                <w:sz w:val="20"/>
                <w:szCs w:val="20"/>
              </w:rPr>
              <w:t xml:space="preserve"> </w:t>
            </w:r>
            <w:r w:rsidRPr="009B7734">
              <w:rPr>
                <w:rFonts w:ascii="Arial Narrow" w:hAnsi="Arial Narrow"/>
                <w:strike/>
                <w:sz w:val="20"/>
                <w:szCs w:val="20"/>
              </w:rPr>
              <w:t>for treatment with donanemab other than the criterion relating to amyloid status</w:t>
            </w:r>
            <w:r w:rsidRPr="00EE0EEB">
              <w:rPr>
                <w:rFonts w:ascii="Arial Narrow" w:hAnsi="Arial Narrow"/>
                <w:sz w:val="20"/>
                <w:szCs w:val="20"/>
              </w:rPr>
              <w:t>; and</w:t>
            </w:r>
          </w:p>
          <w:p w14:paraId="1EB12BD7" w14:textId="3D7CDFCA" w:rsidR="00280EE9" w:rsidRPr="00EE0EEB" w:rsidRDefault="00280EE9" w:rsidP="00280EE9">
            <w:pPr>
              <w:widowControl w:val="0"/>
              <w:spacing w:before="0" w:after="0"/>
              <w:rPr>
                <w:rFonts w:ascii="Arial Narrow" w:hAnsi="Arial Narrow"/>
                <w:sz w:val="20"/>
                <w:szCs w:val="20"/>
              </w:rPr>
            </w:pPr>
            <w:r w:rsidRPr="00EE0EEB">
              <w:rPr>
                <w:rFonts w:ascii="Arial Narrow" w:hAnsi="Arial Narrow"/>
                <w:sz w:val="20"/>
                <w:szCs w:val="20"/>
              </w:rPr>
              <w:t>•</w:t>
            </w:r>
            <w:r w:rsidRPr="00EE0EEB">
              <w:tab/>
            </w:r>
            <w:r w:rsidRPr="00EE0EEB">
              <w:rPr>
                <w:rFonts w:ascii="Arial Narrow" w:hAnsi="Arial Narrow"/>
                <w:sz w:val="20"/>
                <w:szCs w:val="20"/>
              </w:rPr>
              <w:t xml:space="preserve">the patient has not previously been treated and is not currently undergoing treatment with </w:t>
            </w:r>
            <w:proofErr w:type="spellStart"/>
            <w:r w:rsidRPr="00647AA3">
              <w:rPr>
                <w:rFonts w:ascii="Arial Narrow" w:hAnsi="Arial Narrow"/>
                <w:strike/>
                <w:sz w:val="20"/>
                <w:szCs w:val="20"/>
              </w:rPr>
              <w:t>donanemab</w:t>
            </w:r>
            <w:r w:rsidR="00647AA3" w:rsidRPr="00284211">
              <w:rPr>
                <w:rFonts w:ascii="Arial Narrow" w:hAnsi="Arial Narrow"/>
                <w:i/>
                <w:iCs/>
                <w:color w:val="ED0000"/>
                <w:sz w:val="20"/>
                <w:szCs w:val="20"/>
              </w:rPr>
              <w:t>the</w:t>
            </w:r>
            <w:proofErr w:type="spellEnd"/>
            <w:r w:rsidR="00647AA3">
              <w:rPr>
                <w:rFonts w:ascii="Arial Narrow" w:hAnsi="Arial Narrow"/>
                <w:i/>
                <w:iCs/>
                <w:sz w:val="20"/>
                <w:szCs w:val="20"/>
              </w:rPr>
              <w:t xml:space="preserve"> </w:t>
            </w:r>
            <w:r w:rsidR="00647AA3" w:rsidRPr="00284211">
              <w:rPr>
                <w:rFonts w:ascii="Arial Narrow" w:hAnsi="Arial Narrow"/>
                <w:i/>
                <w:iCs/>
                <w:color w:val="ED0000"/>
                <w:sz w:val="20"/>
                <w:szCs w:val="20"/>
              </w:rPr>
              <w:t>pharmaceutical</w:t>
            </w:r>
            <w:r w:rsidRPr="00284211">
              <w:rPr>
                <w:rFonts w:ascii="Arial Narrow" w:hAnsi="Arial Narrow"/>
                <w:color w:val="ED0000"/>
                <w:sz w:val="20"/>
                <w:szCs w:val="20"/>
              </w:rPr>
              <w:t>.</w:t>
            </w:r>
            <w:r w:rsidRPr="00EE0EEB">
              <w:rPr>
                <w:rFonts w:ascii="Arial Narrow" w:hAnsi="Arial Narrow"/>
                <w:sz w:val="20"/>
                <w:szCs w:val="20"/>
              </w:rPr>
              <w:t xml:space="preserve"> </w:t>
            </w:r>
          </w:p>
          <w:p w14:paraId="0DEBA21D" w14:textId="77777777" w:rsidR="00280EE9" w:rsidRPr="00EE0EEB" w:rsidRDefault="00280EE9" w:rsidP="00280EE9">
            <w:pPr>
              <w:widowControl w:val="0"/>
              <w:spacing w:before="0" w:after="0"/>
              <w:rPr>
                <w:rFonts w:ascii="Arial Narrow" w:hAnsi="Arial Narrow"/>
                <w:sz w:val="20"/>
              </w:rPr>
            </w:pPr>
          </w:p>
          <w:p w14:paraId="399D3E88" w14:textId="1DA7072C" w:rsidR="00280EE9" w:rsidRPr="00EE0EEB" w:rsidRDefault="00280EE9" w:rsidP="00AC2420">
            <w:pPr>
              <w:widowControl w:val="0"/>
              <w:spacing w:before="0" w:after="0"/>
              <w:rPr>
                <w:rFonts w:ascii="Arial Narrow" w:hAnsi="Arial Narrow"/>
                <w:sz w:val="20"/>
              </w:rPr>
            </w:pPr>
            <w:r w:rsidRPr="00EE0EEB">
              <w:rPr>
                <w:rFonts w:ascii="Arial Narrow" w:hAnsi="Arial Narrow"/>
                <w:sz w:val="20"/>
                <w:szCs w:val="20"/>
              </w:rPr>
              <w:t xml:space="preserve">Fee: </w:t>
            </w:r>
            <w:r w:rsidRPr="006847DE">
              <w:rPr>
                <w:rFonts w:ascii="Arial Narrow" w:hAnsi="Arial Narrow"/>
                <w:strike/>
                <w:sz w:val="20"/>
                <w:szCs w:val="20"/>
              </w:rPr>
              <w:t>$2,200</w:t>
            </w:r>
            <w:r w:rsidR="008D2CEF">
              <w:rPr>
                <w:rFonts w:ascii="Arial Narrow" w:hAnsi="Arial Narrow"/>
                <w:sz w:val="20"/>
                <w:szCs w:val="20"/>
              </w:rPr>
              <w:t>*</w:t>
            </w:r>
            <w:r w:rsidR="00990A77" w:rsidRPr="00284211">
              <w:rPr>
                <w:rFonts w:ascii="Arial Narrow" w:hAnsi="Arial Narrow"/>
                <w:i/>
                <w:iCs/>
                <w:color w:val="ED0000"/>
                <w:sz w:val="20"/>
                <w:szCs w:val="20"/>
              </w:rPr>
              <w:t>$1,800.00</w:t>
            </w:r>
            <w:r w:rsidRPr="00EE0EEB">
              <w:rPr>
                <w:rFonts w:ascii="Arial Narrow" w:hAnsi="Arial Narrow"/>
                <w:sz w:val="20"/>
                <w:szCs w:val="20"/>
              </w:rPr>
              <w:t xml:space="preserve"> Benefit: 75% = </w:t>
            </w:r>
            <w:r w:rsidRPr="00990A77">
              <w:rPr>
                <w:rFonts w:ascii="Arial Narrow" w:hAnsi="Arial Narrow"/>
                <w:strike/>
                <w:sz w:val="20"/>
                <w:szCs w:val="20"/>
              </w:rPr>
              <w:t>$1</w:t>
            </w:r>
            <w:r w:rsidR="00025F12" w:rsidRPr="00990A77">
              <w:rPr>
                <w:rFonts w:ascii="Arial Narrow" w:hAnsi="Arial Narrow"/>
                <w:strike/>
                <w:sz w:val="20"/>
                <w:szCs w:val="20"/>
              </w:rPr>
              <w:t>,</w:t>
            </w:r>
            <w:r w:rsidRPr="00990A77">
              <w:rPr>
                <w:rFonts w:ascii="Arial Narrow" w:hAnsi="Arial Narrow"/>
                <w:strike/>
                <w:sz w:val="20"/>
                <w:szCs w:val="20"/>
              </w:rPr>
              <w:t>650</w:t>
            </w:r>
            <w:r w:rsidR="00990A77" w:rsidRPr="00284211">
              <w:rPr>
                <w:rFonts w:ascii="Arial Narrow" w:hAnsi="Arial Narrow"/>
                <w:i/>
                <w:iCs/>
                <w:color w:val="ED0000"/>
                <w:sz w:val="20"/>
                <w:szCs w:val="20"/>
              </w:rPr>
              <w:t>$</w:t>
            </w:r>
            <w:r w:rsidR="009557C4" w:rsidRPr="00284211">
              <w:rPr>
                <w:rFonts w:ascii="Arial Narrow" w:hAnsi="Arial Narrow"/>
                <w:i/>
                <w:iCs/>
                <w:color w:val="ED0000"/>
                <w:sz w:val="20"/>
                <w:szCs w:val="20"/>
              </w:rPr>
              <w:t>1,350.00</w:t>
            </w:r>
            <w:r w:rsidRPr="00EE0EEB">
              <w:rPr>
                <w:rFonts w:ascii="Arial Narrow" w:hAnsi="Arial Narrow"/>
                <w:sz w:val="20"/>
                <w:szCs w:val="20"/>
              </w:rPr>
              <w:t xml:space="preserve"> 85% = </w:t>
            </w:r>
            <w:r w:rsidRPr="005F49F2">
              <w:rPr>
                <w:rFonts w:ascii="Arial Narrow" w:hAnsi="Arial Narrow"/>
                <w:strike/>
                <w:sz w:val="20"/>
                <w:szCs w:val="20"/>
              </w:rPr>
              <w:t>$</w:t>
            </w:r>
            <w:r w:rsidRPr="005A5E23">
              <w:rPr>
                <w:rFonts w:ascii="Arial Narrow" w:hAnsi="Arial Narrow"/>
                <w:i/>
                <w:iCs/>
                <w:strike/>
                <w:sz w:val="20"/>
                <w:szCs w:val="20"/>
              </w:rPr>
              <w:t>1870</w:t>
            </w:r>
            <w:r w:rsidR="00BC5688" w:rsidRPr="00284211">
              <w:rPr>
                <w:rFonts w:ascii="Arial Narrow" w:hAnsi="Arial Narrow"/>
                <w:i/>
                <w:iCs/>
                <w:color w:val="ED0000"/>
                <w:sz w:val="20"/>
                <w:szCs w:val="20"/>
              </w:rPr>
              <w:t>$1,697.60</w:t>
            </w:r>
            <w:r w:rsidR="00F97598" w:rsidRPr="00EE0EEB">
              <w:rPr>
                <w:rFonts w:ascii="Arial Narrow" w:hAnsi="Arial Narrow"/>
                <w:sz w:val="20"/>
                <w:szCs w:val="20"/>
              </w:rPr>
              <w:t>*</w:t>
            </w:r>
            <w:r w:rsidR="008D2CEF">
              <w:rPr>
                <w:rFonts w:ascii="Arial Narrow" w:hAnsi="Arial Narrow"/>
                <w:sz w:val="20"/>
                <w:szCs w:val="20"/>
              </w:rPr>
              <w:t>*</w:t>
            </w:r>
          </w:p>
        </w:tc>
      </w:tr>
    </w:tbl>
    <w:p w14:paraId="78CA8F34" w14:textId="77777777" w:rsidR="00280EE9" w:rsidRDefault="00280EE9" w:rsidP="00280EE9">
      <w:pPr>
        <w:pStyle w:val="TableFooter"/>
      </w:pPr>
      <w:r w:rsidRPr="00EE0EEB">
        <w:t>Source: Table 1.15, page 51 of the submission</w:t>
      </w:r>
    </w:p>
    <w:p w14:paraId="2128FEE0" w14:textId="77777777" w:rsidR="00A85510" w:rsidRPr="007917FC" w:rsidRDefault="00A85510" w:rsidP="00A85510">
      <w:pPr>
        <w:pStyle w:val="TableFooter"/>
      </w:pPr>
      <w:r w:rsidRPr="007917FC">
        <w:t xml:space="preserve">Department’s </w:t>
      </w:r>
      <w:r>
        <w:t xml:space="preserve">proposed </w:t>
      </w:r>
      <w:r w:rsidRPr="007917FC">
        <w:t xml:space="preserve">edits in </w:t>
      </w:r>
      <w:r w:rsidRPr="007917FC">
        <w:rPr>
          <w:strike/>
        </w:rPr>
        <w:t>strikethrough</w:t>
      </w:r>
      <w:r>
        <w:rPr>
          <w:strike/>
        </w:rPr>
        <w:t xml:space="preserve"> texts</w:t>
      </w:r>
      <w:r w:rsidRPr="007917FC">
        <w:t xml:space="preserve"> and </w:t>
      </w:r>
      <w:r w:rsidRPr="00284211">
        <w:rPr>
          <w:i/>
          <w:iCs/>
          <w:color w:val="ED0000"/>
        </w:rPr>
        <w:t>red italics</w:t>
      </w:r>
      <w:r w:rsidRPr="00284211">
        <w:rPr>
          <w:color w:val="ED0000"/>
        </w:rPr>
        <w:t>.</w:t>
      </w:r>
    </w:p>
    <w:p w14:paraId="57B3AF65" w14:textId="72F651CC" w:rsidR="008D2CEF" w:rsidRPr="00EE0EEB" w:rsidRDefault="008D2CEF" w:rsidP="00280EE9">
      <w:pPr>
        <w:pStyle w:val="TableFooter"/>
      </w:pPr>
      <w:r>
        <w:t xml:space="preserve">* According to the </w:t>
      </w:r>
      <w:r w:rsidR="0088064C">
        <w:t>submission</w:t>
      </w:r>
      <w:r>
        <w:t xml:space="preserve">, the proposed fee has been informed by researchers currently utilising </w:t>
      </w:r>
      <w:r w:rsidRPr="00EE0EEB">
        <w:t>A</w:t>
      </w:r>
      <w:r w:rsidRPr="00EE0EEB">
        <w:rPr>
          <w:rFonts w:cstheme="minorHAnsi"/>
        </w:rPr>
        <w:t>β</w:t>
      </w:r>
      <w:r>
        <w:rPr>
          <w:rFonts w:cstheme="minorHAnsi"/>
        </w:rPr>
        <w:t xml:space="preserve"> radiopharmaceuticals.</w:t>
      </w:r>
    </w:p>
    <w:p w14:paraId="5719B2FE" w14:textId="0D079F3A" w:rsidR="00EC324E" w:rsidRPr="00EC324E" w:rsidRDefault="00936CA6" w:rsidP="00936CA6">
      <w:pPr>
        <w:pStyle w:val="FooterTableFigure"/>
      </w:pPr>
      <w:r w:rsidRPr="00936CA6">
        <w:t>*</w:t>
      </w:r>
      <w:r w:rsidR="008D2CEF">
        <w:t>*</w:t>
      </w:r>
      <w:r>
        <w:t xml:space="preserve"> </w:t>
      </w:r>
      <w:r w:rsidR="00EC324E">
        <w:t xml:space="preserve">The </w:t>
      </w:r>
      <w:r w:rsidR="00EC324E" w:rsidRPr="00EC324E">
        <w:t>85% benefit reflects the 1 November 2024 Greatest Permissible Gap (GPG) of $102.40.</w:t>
      </w:r>
    </w:p>
    <w:p w14:paraId="0DE4BD92" w14:textId="57A103C0" w:rsidR="00280EE9" w:rsidRDefault="00280EE9" w:rsidP="00280EE9">
      <w:r w:rsidRPr="00902B32">
        <w:t>A</w:t>
      </w:r>
      <w:r w:rsidRPr="202323D9">
        <w:t>β</w:t>
      </w:r>
      <w:r w:rsidRPr="00902B32">
        <w:t>-PET examinations should be performed by, or under the supervision of, a physician speciali</w:t>
      </w:r>
      <w:r w:rsidR="00FB2ABE" w:rsidRPr="00902B32">
        <w:t>s</w:t>
      </w:r>
      <w:r w:rsidRPr="00902B32">
        <w:t>ed in nuclear medicine and certified by accrediting boards, or a registered or certified nuclear medicine technologist. A</w:t>
      </w:r>
      <w:r w:rsidRPr="202323D9">
        <w:t>β</w:t>
      </w:r>
      <w:r w:rsidRPr="00902B32">
        <w:t>-PET results should be interpreted by specialists who have completed the appropriate training programs provided by the manufacturers of the radiotracers.</w:t>
      </w:r>
    </w:p>
    <w:p w14:paraId="37BE7D23" w14:textId="0AAB8BC3" w:rsidR="003F3D44" w:rsidRDefault="003F3D44" w:rsidP="00280EE9">
      <w:r>
        <w:lastRenderedPageBreak/>
        <w:t xml:space="preserve">The department informed that MBS item 61505 </w:t>
      </w:r>
      <w:r w:rsidR="00291D11">
        <w:t xml:space="preserve">for </w:t>
      </w:r>
      <w:r w:rsidR="00291D11" w:rsidRPr="00291D11">
        <w:t>CT attenuation scan</w:t>
      </w:r>
      <w:r w:rsidR="00291D11">
        <w:t xml:space="preserve"> (MBS </w:t>
      </w:r>
      <w:r w:rsidR="00291D11" w:rsidRPr="00291D11">
        <w:t>fee $100.00</w:t>
      </w:r>
      <w:r w:rsidR="00291D11">
        <w:t>)</w:t>
      </w:r>
      <w:r w:rsidR="00291D11" w:rsidRPr="00291D11">
        <w:t xml:space="preserve"> </w:t>
      </w:r>
      <w:r w:rsidR="00A62C83">
        <w:t xml:space="preserve">would </w:t>
      </w:r>
      <w:r w:rsidR="00291D11" w:rsidRPr="00291D11">
        <w:t>be co-claimed with this item.</w:t>
      </w:r>
    </w:p>
    <w:p w14:paraId="0CFF9DD4" w14:textId="6EF24FF3" w:rsidR="00634142" w:rsidRPr="00902B32" w:rsidRDefault="00C23C55" w:rsidP="00634142">
      <w:r w:rsidRPr="00C23C55">
        <w:fldChar w:fldCharType="begin"/>
      </w:r>
      <w:r w:rsidRPr="00C23C55">
        <w:instrText xml:space="preserve"> REF _Ref204866845 \h  \* MERGEFORMAT </w:instrText>
      </w:r>
      <w:r w:rsidRPr="00C23C55">
        <w:fldChar w:fldCharType="separate"/>
      </w:r>
      <w:r w:rsidR="003310F2">
        <w:t xml:space="preserve">Table </w:t>
      </w:r>
      <w:r w:rsidR="003310F2">
        <w:rPr>
          <w:noProof/>
        </w:rPr>
        <w:t>3</w:t>
      </w:r>
      <w:r w:rsidRPr="00C23C55">
        <w:fldChar w:fldCharType="end"/>
      </w:r>
      <w:r w:rsidR="00634142" w:rsidRPr="00C23C55">
        <w:t xml:space="preserve"> presented the application’s requested MBS item for CSF AD biomarker testing and the department’s propo</w:t>
      </w:r>
      <w:r w:rsidR="00634142" w:rsidRPr="00BD692A">
        <w:t>sed edits</w:t>
      </w:r>
      <w:r w:rsidR="00634142">
        <w:t>.</w:t>
      </w:r>
      <w:r w:rsidR="00634142" w:rsidRPr="00902B32">
        <w:t xml:space="preserve"> </w:t>
      </w:r>
    </w:p>
    <w:p w14:paraId="39971952" w14:textId="4B255029" w:rsidR="001C55F2" w:rsidRPr="00EE0EEB" w:rsidRDefault="008E7F6D" w:rsidP="00565B62">
      <w:pPr>
        <w:pStyle w:val="Caption"/>
      </w:pPr>
      <w:bookmarkStart w:id="14" w:name="_Ref204866845"/>
      <w:r>
        <w:t xml:space="preserve">Table </w:t>
      </w:r>
      <w:r w:rsidR="003310F2">
        <w:fldChar w:fldCharType="begin"/>
      </w:r>
      <w:r w:rsidR="003310F2">
        <w:instrText xml:space="preserve"> SEQ Table \* ARABIC </w:instrText>
      </w:r>
      <w:r w:rsidR="003310F2">
        <w:fldChar w:fldCharType="separate"/>
      </w:r>
      <w:r w:rsidR="003310F2">
        <w:rPr>
          <w:noProof/>
        </w:rPr>
        <w:t>3</w:t>
      </w:r>
      <w:r w:rsidR="003310F2">
        <w:rPr>
          <w:noProof/>
        </w:rPr>
        <w:fldChar w:fldCharType="end"/>
      </w:r>
      <w:bookmarkEnd w:id="14"/>
      <w:r>
        <w:t xml:space="preserve"> </w:t>
      </w:r>
      <w:r w:rsidR="00634142">
        <w:t>Requested</w:t>
      </w:r>
      <w:r w:rsidR="005E7833" w:rsidRPr="00EE0EEB">
        <w:t xml:space="preserve"> </w:t>
      </w:r>
      <w:r w:rsidR="00280EE9" w:rsidRPr="00EE0EEB">
        <w:t xml:space="preserve">MBS item for CSF AD biomarker testing </w:t>
      </w:r>
      <w:r w:rsidR="009A4649" w:rsidRPr="00EE0EEB">
        <w:t xml:space="preserve">in the </w:t>
      </w:r>
      <w:r w:rsidR="00634142">
        <w:t>application</w:t>
      </w:r>
      <w:r w:rsidR="00B66119">
        <w:t xml:space="preserve"> </w:t>
      </w:r>
      <w:r w:rsidR="00241132">
        <w:t>and</w:t>
      </w:r>
      <w:r w:rsidR="00E557AA">
        <w:t xml:space="preserve"> the </w:t>
      </w:r>
      <w:r w:rsidR="001351F5">
        <w:t>d</w:t>
      </w:r>
      <w:r w:rsidR="00FF0B3A" w:rsidRPr="00EE0EEB">
        <w:t xml:space="preserve">epartment’s </w:t>
      </w:r>
      <w:r w:rsidR="00241132">
        <w:t xml:space="preserve">proposed </w:t>
      </w:r>
      <w:r w:rsidR="00FF0B3A" w:rsidRPr="00EE0EEB">
        <w:t xml:space="preserve">edits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80EE9" w:rsidRPr="00EE0EEB" w14:paraId="06D980A7" w14:textId="77777777">
        <w:trPr>
          <w:tblHeader/>
        </w:trPr>
        <w:tc>
          <w:tcPr>
            <w:tcW w:w="5000" w:type="pct"/>
          </w:tcPr>
          <w:p w14:paraId="608AE930" w14:textId="77777777" w:rsidR="00280EE9" w:rsidRDefault="00280EE9" w:rsidP="00904031">
            <w:pPr>
              <w:spacing w:before="40" w:after="40"/>
              <w:rPr>
                <w:rFonts w:ascii="Arial Narrow" w:hAnsi="Arial Narrow"/>
                <w:sz w:val="20"/>
                <w:szCs w:val="20"/>
              </w:rPr>
            </w:pPr>
            <w:r w:rsidRPr="00902B32">
              <w:rPr>
                <w:rFonts w:ascii="Arial Narrow" w:hAnsi="Arial Narrow"/>
                <w:sz w:val="20"/>
                <w:szCs w:val="20"/>
              </w:rPr>
              <w:t>Category 6 – Pathology Services</w:t>
            </w:r>
          </w:p>
          <w:p w14:paraId="66C0A07B" w14:textId="62B381FF" w:rsidR="00A43F94" w:rsidRPr="00713A50" w:rsidRDefault="00713A50" w:rsidP="00904031">
            <w:pPr>
              <w:spacing w:before="40" w:after="40"/>
              <w:jc w:val="right"/>
              <w:rPr>
                <w:rFonts w:ascii="Arial Narrow" w:hAnsi="Arial Narrow"/>
                <w:i/>
                <w:iCs/>
                <w:sz w:val="20"/>
                <w:szCs w:val="20"/>
              </w:rPr>
            </w:pPr>
            <w:r w:rsidRPr="00284211">
              <w:rPr>
                <w:rFonts w:ascii="Arial Narrow" w:hAnsi="Arial Narrow"/>
                <w:i/>
                <w:iCs/>
                <w:color w:val="ED0000"/>
                <w:sz w:val="20"/>
                <w:szCs w:val="20"/>
              </w:rPr>
              <w:t>P2 – Chemical (TBC)</w:t>
            </w:r>
          </w:p>
        </w:tc>
      </w:tr>
      <w:tr w:rsidR="00280EE9" w:rsidRPr="00EE0EEB" w14:paraId="62687B78" w14:textId="77777777">
        <w:trPr>
          <w:cantSplit/>
        </w:trPr>
        <w:tc>
          <w:tcPr>
            <w:tcW w:w="5000" w:type="pct"/>
          </w:tcPr>
          <w:p w14:paraId="612944B5" w14:textId="70766972" w:rsidR="00280EE9" w:rsidRPr="00EE0EEB" w:rsidRDefault="00280EE9" w:rsidP="00280EE9">
            <w:pPr>
              <w:widowControl w:val="0"/>
              <w:spacing w:before="0" w:after="0"/>
              <w:rPr>
                <w:rFonts w:ascii="Arial Narrow" w:hAnsi="Arial Narrow"/>
                <w:sz w:val="20"/>
              </w:rPr>
            </w:pPr>
            <w:r w:rsidRPr="00EE0EEB">
              <w:rPr>
                <w:rFonts w:ascii="Arial Narrow" w:hAnsi="Arial Narrow"/>
                <w:sz w:val="20"/>
              </w:rPr>
              <w:t>Item ZZZZ</w:t>
            </w:r>
          </w:p>
          <w:p w14:paraId="073DBCE2" w14:textId="10A91E1A" w:rsidR="00280EE9" w:rsidRPr="006067C2" w:rsidRDefault="00280EE9" w:rsidP="00280EE9">
            <w:pPr>
              <w:widowControl w:val="0"/>
              <w:spacing w:before="0" w:after="0"/>
              <w:rPr>
                <w:rFonts w:ascii="Arial Narrow" w:hAnsi="Arial Narrow"/>
                <w:strike/>
                <w:sz w:val="20"/>
                <w:szCs w:val="20"/>
              </w:rPr>
            </w:pPr>
            <w:r w:rsidRPr="00EE0EEB">
              <w:rPr>
                <w:rFonts w:ascii="Arial Narrow" w:hAnsi="Arial Narrow"/>
                <w:sz w:val="20"/>
                <w:szCs w:val="20"/>
              </w:rPr>
              <w:t xml:space="preserve">Analysis of amyloid and tau proteins in cerebrospinal fluid, requested by a specialist or consultant physician, from a patient with a clinical diagnosis of mild cognitive impairment due to Alzheimer disease or mild Alzheimer disease, to determine eligibility for </w:t>
            </w:r>
            <w:r w:rsidR="0025325B" w:rsidRPr="00284211">
              <w:rPr>
                <w:rFonts w:ascii="Arial Narrow" w:hAnsi="Arial Narrow"/>
                <w:i/>
                <w:iCs/>
                <w:color w:val="ED0000"/>
                <w:sz w:val="20"/>
                <w:szCs w:val="20"/>
              </w:rPr>
              <w:t xml:space="preserve">a relevant </w:t>
            </w:r>
            <w:r w:rsidRPr="00EE0EEB">
              <w:rPr>
                <w:rFonts w:ascii="Arial Narrow" w:hAnsi="Arial Narrow"/>
                <w:sz w:val="20"/>
                <w:szCs w:val="20"/>
              </w:rPr>
              <w:t xml:space="preserve">treatment </w:t>
            </w:r>
            <w:r w:rsidRPr="0025325B">
              <w:rPr>
                <w:rFonts w:ascii="Arial Narrow" w:hAnsi="Arial Narrow"/>
                <w:strike/>
                <w:sz w:val="20"/>
                <w:szCs w:val="20"/>
              </w:rPr>
              <w:t>with donanemab</w:t>
            </w:r>
            <w:r w:rsidRPr="00EE0EEB">
              <w:rPr>
                <w:rFonts w:ascii="Arial Narrow" w:hAnsi="Arial Narrow"/>
                <w:sz w:val="20"/>
                <w:szCs w:val="20"/>
              </w:rPr>
              <w:t xml:space="preserve"> under the Pharmaceutical Benefits Scheme (PBS), </w:t>
            </w:r>
            <w:r w:rsidRPr="006067C2">
              <w:rPr>
                <w:rFonts w:ascii="Arial Narrow" w:hAnsi="Arial Narrow"/>
                <w:strike/>
                <w:sz w:val="20"/>
                <w:szCs w:val="20"/>
              </w:rPr>
              <w:t>if:</w:t>
            </w:r>
          </w:p>
          <w:p w14:paraId="6683D782" w14:textId="77777777" w:rsidR="00280EE9" w:rsidRPr="006067C2" w:rsidRDefault="00280EE9" w:rsidP="00280EE9">
            <w:pPr>
              <w:widowControl w:val="0"/>
              <w:spacing w:before="0" w:after="0"/>
              <w:rPr>
                <w:rFonts w:ascii="Arial Narrow" w:hAnsi="Arial Narrow"/>
                <w:strike/>
                <w:sz w:val="20"/>
                <w:szCs w:val="20"/>
              </w:rPr>
            </w:pPr>
            <w:r w:rsidRPr="006067C2">
              <w:rPr>
                <w:rFonts w:ascii="Arial Narrow" w:hAnsi="Arial Narrow"/>
                <w:strike/>
                <w:sz w:val="20"/>
                <w:szCs w:val="20"/>
              </w:rPr>
              <w:t>•</w:t>
            </w:r>
            <w:r w:rsidRPr="006067C2">
              <w:rPr>
                <w:strike/>
              </w:rPr>
              <w:tab/>
            </w:r>
            <w:r w:rsidRPr="006067C2">
              <w:rPr>
                <w:rFonts w:ascii="Arial Narrow" w:hAnsi="Arial Narrow"/>
                <w:strike/>
                <w:sz w:val="20"/>
                <w:szCs w:val="20"/>
              </w:rPr>
              <w:t>the patient considered for this service also meets specific PBS eligibility criteria for treatment with donanemab other than the criterion relating to amyloid status; and</w:t>
            </w:r>
          </w:p>
          <w:p w14:paraId="6AEF72E9" w14:textId="2253F9CB" w:rsidR="00280EE9" w:rsidRPr="00EE0EEB" w:rsidRDefault="00280EE9" w:rsidP="00280EE9">
            <w:pPr>
              <w:widowControl w:val="0"/>
              <w:spacing w:before="0" w:after="0"/>
              <w:rPr>
                <w:rFonts w:ascii="Arial Narrow" w:hAnsi="Arial Narrow"/>
                <w:sz w:val="20"/>
                <w:szCs w:val="20"/>
              </w:rPr>
            </w:pPr>
            <w:r w:rsidRPr="006067C2">
              <w:rPr>
                <w:rFonts w:ascii="Arial Narrow" w:hAnsi="Arial Narrow"/>
                <w:strike/>
                <w:sz w:val="20"/>
                <w:szCs w:val="20"/>
              </w:rPr>
              <w:t>•</w:t>
            </w:r>
            <w:r w:rsidRPr="006067C2">
              <w:rPr>
                <w:strike/>
              </w:rPr>
              <w:tab/>
            </w:r>
            <w:r w:rsidRPr="006067C2">
              <w:rPr>
                <w:rFonts w:ascii="Arial Narrow" w:hAnsi="Arial Narrow"/>
                <w:strike/>
                <w:sz w:val="20"/>
                <w:szCs w:val="20"/>
              </w:rPr>
              <w:t>the patient has not previously been treated and is not currently undergoing treatment with donanemab</w:t>
            </w:r>
            <w:r w:rsidRPr="00EE0EEB">
              <w:rPr>
                <w:rFonts w:ascii="Arial Narrow" w:hAnsi="Arial Narrow"/>
                <w:sz w:val="20"/>
                <w:szCs w:val="20"/>
              </w:rPr>
              <w:t xml:space="preserve">. </w:t>
            </w:r>
          </w:p>
          <w:p w14:paraId="7F1848EE" w14:textId="77777777" w:rsidR="00280EE9" w:rsidRPr="00EE0EEB" w:rsidRDefault="00280EE9" w:rsidP="00280EE9">
            <w:pPr>
              <w:widowControl w:val="0"/>
              <w:spacing w:before="0" w:after="0"/>
              <w:rPr>
                <w:rFonts w:ascii="Arial Narrow" w:hAnsi="Arial Narrow"/>
                <w:sz w:val="20"/>
              </w:rPr>
            </w:pPr>
          </w:p>
          <w:p w14:paraId="23BE9BB7" w14:textId="576EF3D1" w:rsidR="00280EE9" w:rsidRPr="00EE0EEB" w:rsidRDefault="00280EE9" w:rsidP="00AC2420">
            <w:pPr>
              <w:widowControl w:val="0"/>
              <w:spacing w:before="0" w:after="0"/>
              <w:rPr>
                <w:rFonts w:ascii="Arial Narrow" w:hAnsi="Arial Narrow"/>
                <w:sz w:val="20"/>
              </w:rPr>
            </w:pPr>
            <w:r w:rsidRPr="00EE0EEB">
              <w:rPr>
                <w:rFonts w:ascii="Arial Narrow" w:hAnsi="Arial Narrow"/>
                <w:sz w:val="20"/>
              </w:rPr>
              <w:t>Fee: $400 Benefit: 75% = $300 85% = $340</w:t>
            </w:r>
          </w:p>
        </w:tc>
      </w:tr>
    </w:tbl>
    <w:p w14:paraId="5D558914" w14:textId="77777777" w:rsidR="00280EE9" w:rsidRDefault="00280EE9" w:rsidP="0038328D">
      <w:pPr>
        <w:pStyle w:val="TableFooter"/>
      </w:pPr>
      <w:r w:rsidRPr="00EE0EEB">
        <w:t>Source: Table 1.16, page 51 of the submission</w:t>
      </w:r>
    </w:p>
    <w:p w14:paraId="52EA771E" w14:textId="77777777" w:rsidR="00772B98" w:rsidRPr="007917FC" w:rsidRDefault="00772B98" w:rsidP="00772B98">
      <w:pPr>
        <w:pStyle w:val="TableFooter"/>
      </w:pPr>
      <w:r w:rsidRPr="007917FC">
        <w:t xml:space="preserve">Department’s </w:t>
      </w:r>
      <w:r>
        <w:t xml:space="preserve">proposed </w:t>
      </w:r>
      <w:r w:rsidRPr="007917FC">
        <w:t xml:space="preserve">edits in </w:t>
      </w:r>
      <w:r w:rsidRPr="007917FC">
        <w:rPr>
          <w:strike/>
        </w:rPr>
        <w:t>strikethrough</w:t>
      </w:r>
      <w:r>
        <w:rPr>
          <w:strike/>
        </w:rPr>
        <w:t xml:space="preserve"> texts</w:t>
      </w:r>
      <w:r w:rsidRPr="007917FC">
        <w:t xml:space="preserve"> and </w:t>
      </w:r>
      <w:r w:rsidRPr="00284211">
        <w:rPr>
          <w:i/>
          <w:iCs/>
          <w:color w:val="ED0000"/>
        </w:rPr>
        <w:t>red italics</w:t>
      </w:r>
      <w:r w:rsidRPr="00284211">
        <w:rPr>
          <w:color w:val="ED0000"/>
        </w:rPr>
        <w:t>.</w:t>
      </w:r>
    </w:p>
    <w:p w14:paraId="51CD1FB4" w14:textId="15CD40F3" w:rsidR="00570BB6" w:rsidRPr="00EE0EEB" w:rsidRDefault="00570BB6" w:rsidP="0038328D">
      <w:pPr>
        <w:pStyle w:val="TableFooter"/>
      </w:pPr>
      <w:r w:rsidRPr="00EE0EEB">
        <w:t>Note: Th</w:t>
      </w:r>
      <w:r w:rsidR="00B66119">
        <w:t>e application</w:t>
      </w:r>
      <w:r w:rsidRPr="00EE0EEB">
        <w:t xml:space="preserve"> proposed an MBS item fee of $400 for CSF AD biomarker testing, based on the current cost of testing at the NDDL.</w:t>
      </w:r>
    </w:p>
    <w:p w14:paraId="35789FFB" w14:textId="5F517702" w:rsidR="00280EE9" w:rsidRPr="00902B32" w:rsidRDefault="00280EE9" w:rsidP="00280EE9">
      <w:r w:rsidRPr="00902B32">
        <w:t>CSF collection, via lumbar puncture</w:t>
      </w:r>
      <w:r w:rsidR="00FB2ABE" w:rsidRPr="00902B32">
        <w:t>,</w:t>
      </w:r>
      <w:r w:rsidRPr="00902B32">
        <w:t xml:space="preserve"> is usually performed by a medical officer with relevant training, which may include neurologists, anaesthetists, and interventional radiologists. In some circumstances, a </w:t>
      </w:r>
      <w:r w:rsidR="00716B42" w:rsidRPr="00902B32">
        <w:t xml:space="preserve">general practitioner or </w:t>
      </w:r>
      <w:r w:rsidRPr="00902B32">
        <w:t>nurse practitioner may also perform a lumbar puncture. CSF AD protein biomarker testing must be performed at a NATA</w:t>
      </w:r>
      <w:r w:rsidR="00F523F7" w:rsidRPr="00902B32">
        <w:t>-</w:t>
      </w:r>
      <w:r w:rsidRPr="00902B32">
        <w:t>accredited laboratory</w:t>
      </w:r>
      <w:r w:rsidR="00E557AA" w:rsidRPr="00902B32">
        <w:t xml:space="preserve"> for reimbursement on the MBS</w:t>
      </w:r>
      <w:r w:rsidRPr="00902B32">
        <w:t>.</w:t>
      </w:r>
    </w:p>
    <w:p w14:paraId="6F9E203F" w14:textId="30D701DC" w:rsidR="00280EE9" w:rsidRPr="00902B32" w:rsidRDefault="00280EE9" w:rsidP="00280EE9">
      <w:r w:rsidRPr="00902B32">
        <w:t xml:space="preserve">The costs associated with the lumbar puncture including performing the lumbar puncture would be reimbursed under MBS item 39000 for </w:t>
      </w:r>
      <w:r w:rsidR="00F40E63" w:rsidRPr="00902B32">
        <w:t>an</w:t>
      </w:r>
      <w:r w:rsidRPr="00902B32">
        <w:t xml:space="preserve"> MBS fee of $85.75 and </w:t>
      </w:r>
      <w:r w:rsidR="00E73A65" w:rsidRPr="00902B32">
        <w:t xml:space="preserve">the commentary noted that </w:t>
      </w:r>
      <w:r w:rsidRPr="00902B32">
        <w:t>the use of CT to guide the procedure would be reimbursed under MBS item 5</w:t>
      </w:r>
      <w:r w:rsidR="00877A8E" w:rsidRPr="00902B32">
        <w:t>7341</w:t>
      </w:r>
      <w:r w:rsidRPr="00902B32">
        <w:t xml:space="preserve"> for a fee of </w:t>
      </w:r>
      <w:r w:rsidR="00877A8E" w:rsidRPr="00902B32">
        <w:t>$516.45.</w:t>
      </w:r>
    </w:p>
    <w:p w14:paraId="22BF286B" w14:textId="2D70328E" w:rsidR="00877A8E" w:rsidRPr="00902B32" w:rsidRDefault="00877A8E" w:rsidP="00877A8E">
      <w:r w:rsidRPr="00902B32">
        <w:t>Costs for additional procedures required for the lumbar puncture include</w:t>
      </w:r>
      <w:r w:rsidR="00C23C55">
        <w:t>d</w:t>
      </w:r>
      <w:r w:rsidRPr="00902B32">
        <w:t>: anaesthetic (MBS item 21945</w:t>
      </w:r>
      <w:r w:rsidR="002B5DCA" w:rsidRPr="00902B32">
        <w:t xml:space="preserve"> – $112.75</w:t>
      </w:r>
      <w:r w:rsidRPr="00902B32">
        <w:t>), anaesthetic consultation (MBS item 17610</w:t>
      </w:r>
      <w:r w:rsidR="002B5DCA" w:rsidRPr="00902B32">
        <w:t xml:space="preserve"> – $49.75)</w:t>
      </w:r>
      <w:r w:rsidRPr="00902B32">
        <w:t xml:space="preserve">, time modifier, depending on anticipated duration of procedure (MBS item 23010 </w:t>
      </w:r>
      <w:r w:rsidR="002B5DCA" w:rsidRPr="00902B32">
        <w:t xml:space="preserve">– $22.55 </w:t>
      </w:r>
      <w:r w:rsidRPr="00902B32">
        <w:t>or 23025</w:t>
      </w:r>
      <w:r w:rsidR="002B5DCA" w:rsidRPr="00902B32">
        <w:t xml:space="preserve"> – $45.10</w:t>
      </w:r>
      <w:r w:rsidRPr="00902B32">
        <w:t>), and age or comorbidity modifiers (MBS items starting at 25000</w:t>
      </w:r>
      <w:r w:rsidR="002B5DCA" w:rsidRPr="00902B32">
        <w:t xml:space="preserve"> – $22.55</w:t>
      </w:r>
      <w:r w:rsidRPr="00902B32">
        <w:t>).</w:t>
      </w:r>
    </w:p>
    <w:p w14:paraId="2047F658" w14:textId="48486275" w:rsidR="000015F0" w:rsidRDefault="00901BDB" w:rsidP="00280EE9">
      <w:r>
        <w:fldChar w:fldCharType="begin"/>
      </w:r>
      <w:r>
        <w:instrText xml:space="preserve"> REF _Ref207288521 \h </w:instrText>
      </w:r>
      <w:r>
        <w:fldChar w:fldCharType="separate"/>
      </w:r>
      <w:r>
        <w:t xml:space="preserve">Table </w:t>
      </w:r>
      <w:r>
        <w:rPr>
          <w:noProof/>
        </w:rPr>
        <w:t>4</w:t>
      </w:r>
      <w:r>
        <w:fldChar w:fldCharType="end"/>
      </w:r>
      <w:r>
        <w:t xml:space="preserve"> </w:t>
      </w:r>
      <w:r w:rsidR="0094316D" w:rsidRPr="00C23C55">
        <w:t>presente</w:t>
      </w:r>
      <w:r w:rsidR="0094316D">
        <w:t xml:space="preserve">d </w:t>
      </w:r>
      <w:r w:rsidR="00A0777E">
        <w:t xml:space="preserve">the application’s requested </w:t>
      </w:r>
      <w:r w:rsidR="00280EE9" w:rsidRPr="00902B32">
        <w:t>additional MBS item for A</w:t>
      </w:r>
      <w:r w:rsidR="00280EE9" w:rsidRPr="00902B32">
        <w:rPr>
          <w:rFonts w:cstheme="minorHAnsi"/>
        </w:rPr>
        <w:t>β</w:t>
      </w:r>
      <w:r w:rsidR="00280EE9" w:rsidRPr="00902B32">
        <w:t xml:space="preserve">-PET to assess amyloid clearance in patients receiving treatment with PBS-subsidised donanemab. </w:t>
      </w:r>
      <w:r w:rsidR="00FB2ABE" w:rsidRPr="00902B32">
        <w:t xml:space="preserve">These scans </w:t>
      </w:r>
      <w:r w:rsidR="00F32F02">
        <w:t>we</w:t>
      </w:r>
      <w:r w:rsidR="00FB2ABE" w:rsidRPr="00902B32">
        <w:t>re expected to occur in weeks 24 and 52.</w:t>
      </w:r>
    </w:p>
    <w:p w14:paraId="03C23F5A" w14:textId="0470C472" w:rsidR="00280EE9" w:rsidRPr="00075808" w:rsidRDefault="004F5BC4" w:rsidP="002261ED">
      <w:pPr>
        <w:pStyle w:val="Caption"/>
        <w:keepLines/>
      </w:pPr>
      <w:bookmarkStart w:id="15" w:name="_Ref207288521"/>
      <w:r>
        <w:lastRenderedPageBreak/>
        <w:t xml:space="preserve">Table </w:t>
      </w:r>
      <w:r>
        <w:fldChar w:fldCharType="begin"/>
      </w:r>
      <w:r>
        <w:instrText xml:space="preserve"> SEQ Table \* ARABIC </w:instrText>
      </w:r>
      <w:r>
        <w:fldChar w:fldCharType="separate"/>
      </w:r>
      <w:r>
        <w:rPr>
          <w:noProof/>
        </w:rPr>
        <w:t>4</w:t>
      </w:r>
      <w:r>
        <w:rPr>
          <w:noProof/>
        </w:rPr>
        <w:fldChar w:fldCharType="end"/>
      </w:r>
      <w:bookmarkEnd w:id="15"/>
      <w:r>
        <w:t xml:space="preserve"> </w:t>
      </w:r>
      <w:r w:rsidR="00F32F02" w:rsidRPr="00075808">
        <w:t xml:space="preserve">Requested </w:t>
      </w:r>
      <w:r w:rsidR="00280EE9" w:rsidRPr="00075808">
        <w:t xml:space="preserve">MBS item for Aβ-PET </w:t>
      </w:r>
      <w:r w:rsidR="002B5DCA" w:rsidRPr="00075808">
        <w:t xml:space="preserve">monitoring </w:t>
      </w:r>
      <w:r w:rsidR="00280EE9" w:rsidRPr="00075808">
        <w:t xml:space="preserve">to assess amyloid clearance </w:t>
      </w:r>
      <w:r w:rsidR="002B5DCA" w:rsidRPr="00075808">
        <w:t xml:space="preserve">in the </w:t>
      </w:r>
      <w:r w:rsidR="00F32F02" w:rsidRPr="00075808">
        <w:t xml:space="preserve">application </w:t>
      </w:r>
      <w:r w:rsidR="006164A9" w:rsidRPr="00075808">
        <w:t xml:space="preserve">and </w:t>
      </w:r>
      <w:r w:rsidR="002B5DCA" w:rsidRPr="00075808">
        <w:t xml:space="preserve">the </w:t>
      </w:r>
      <w:r w:rsidR="006164A9" w:rsidRPr="00075808">
        <w:t>d</w:t>
      </w:r>
      <w:r w:rsidR="002B5DCA" w:rsidRPr="00075808">
        <w:t xml:space="preserve">epartment’s </w:t>
      </w:r>
      <w:r w:rsidR="006164A9" w:rsidRPr="00075808">
        <w:t xml:space="preserve">proposed </w:t>
      </w:r>
      <w:r w:rsidR="002B5DCA" w:rsidRPr="00075808">
        <w:t>edits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80EE9" w:rsidRPr="00EE0EEB" w14:paraId="32058472" w14:textId="77777777">
        <w:tc>
          <w:tcPr>
            <w:tcW w:w="5000" w:type="pct"/>
          </w:tcPr>
          <w:p w14:paraId="09661A40" w14:textId="77777777" w:rsidR="00280EE9" w:rsidRPr="006A2245" w:rsidRDefault="00280EE9" w:rsidP="002261ED">
            <w:pPr>
              <w:keepNext/>
              <w:keepLines/>
              <w:spacing w:before="40" w:after="40"/>
              <w:rPr>
                <w:rFonts w:ascii="Arial Narrow" w:hAnsi="Arial Narrow"/>
                <w:sz w:val="20"/>
                <w:szCs w:val="20"/>
              </w:rPr>
            </w:pPr>
            <w:r w:rsidRPr="006A2245">
              <w:rPr>
                <w:rFonts w:ascii="Arial Narrow" w:hAnsi="Arial Narrow"/>
                <w:sz w:val="20"/>
                <w:szCs w:val="20"/>
              </w:rPr>
              <w:t>Category 5 – Diagnostic Imaging Services</w:t>
            </w:r>
          </w:p>
          <w:p w14:paraId="4EC2C221" w14:textId="77777777" w:rsidR="001E4F59" w:rsidRPr="00284211" w:rsidRDefault="001E4F59" w:rsidP="002261ED">
            <w:pPr>
              <w:keepNext/>
              <w:keepLines/>
              <w:spacing w:before="40" w:after="40"/>
              <w:jc w:val="right"/>
              <w:rPr>
                <w:rFonts w:ascii="Arial Narrow" w:hAnsi="Arial Narrow"/>
                <w:i/>
                <w:iCs/>
                <w:color w:val="ED0000"/>
                <w:sz w:val="20"/>
                <w:szCs w:val="20"/>
              </w:rPr>
            </w:pPr>
            <w:r w:rsidRPr="00284211">
              <w:rPr>
                <w:rFonts w:ascii="Arial Narrow" w:hAnsi="Arial Narrow"/>
                <w:i/>
                <w:iCs/>
                <w:color w:val="ED0000"/>
                <w:sz w:val="20"/>
                <w:szCs w:val="20"/>
              </w:rPr>
              <w:t>Group I4 – Nuclear Medicine Imaging</w:t>
            </w:r>
          </w:p>
          <w:p w14:paraId="4E0507B5" w14:textId="209E5E1B" w:rsidR="006164A9" w:rsidRPr="006A2245" w:rsidRDefault="001E4F59" w:rsidP="002261ED">
            <w:pPr>
              <w:keepNext/>
              <w:keepLines/>
              <w:spacing w:before="40" w:after="40"/>
              <w:jc w:val="right"/>
              <w:rPr>
                <w:rFonts w:ascii="Arial Narrow" w:hAnsi="Arial Narrow"/>
                <w:sz w:val="20"/>
                <w:szCs w:val="20"/>
              </w:rPr>
            </w:pPr>
            <w:r w:rsidRPr="00284211">
              <w:rPr>
                <w:rFonts w:ascii="Arial Narrow" w:hAnsi="Arial Narrow"/>
                <w:i/>
                <w:iCs/>
                <w:color w:val="ED0000"/>
                <w:sz w:val="20"/>
                <w:szCs w:val="20"/>
              </w:rPr>
              <w:t>Subgroup 2 - PET</w:t>
            </w:r>
          </w:p>
        </w:tc>
      </w:tr>
      <w:tr w:rsidR="00280EE9" w:rsidRPr="00EE0EEB" w14:paraId="0ADEE832" w14:textId="77777777">
        <w:tc>
          <w:tcPr>
            <w:tcW w:w="5000" w:type="pct"/>
          </w:tcPr>
          <w:p w14:paraId="18B6CD27" w14:textId="77777777" w:rsidR="00280EE9" w:rsidRPr="006A2245" w:rsidRDefault="00280EE9" w:rsidP="002261ED">
            <w:pPr>
              <w:keepNext/>
              <w:keepLines/>
              <w:widowControl w:val="0"/>
              <w:spacing w:before="0" w:after="0"/>
              <w:rPr>
                <w:rFonts w:ascii="Arial Narrow" w:hAnsi="Arial Narrow"/>
                <w:sz w:val="20"/>
              </w:rPr>
            </w:pPr>
            <w:r w:rsidRPr="006A2245">
              <w:rPr>
                <w:rFonts w:ascii="Arial Narrow" w:hAnsi="Arial Narrow"/>
                <w:sz w:val="20"/>
              </w:rPr>
              <w:t xml:space="preserve">Item </w:t>
            </w:r>
            <w:r w:rsidRPr="006A2245">
              <w:rPr>
                <w:rFonts w:ascii="Arial Narrow" w:hAnsi="Arial Narrow"/>
                <w:strike/>
                <w:sz w:val="20"/>
              </w:rPr>
              <w:t>descriptor</w:t>
            </w:r>
            <w:r w:rsidRPr="006A2245">
              <w:rPr>
                <w:rFonts w:ascii="Arial Narrow" w:hAnsi="Arial Narrow"/>
                <w:sz w:val="20"/>
              </w:rPr>
              <w:t xml:space="preserve"> AAAA</w:t>
            </w:r>
          </w:p>
          <w:p w14:paraId="37E90C70" w14:textId="138745D8" w:rsidR="00280EE9" w:rsidRPr="006A2245" w:rsidRDefault="00280EE9" w:rsidP="002261ED">
            <w:pPr>
              <w:keepNext/>
              <w:keepLines/>
              <w:widowControl w:val="0"/>
              <w:spacing w:before="0" w:after="0"/>
              <w:rPr>
                <w:rFonts w:ascii="Arial Narrow" w:hAnsi="Arial Narrow"/>
                <w:sz w:val="20"/>
                <w:szCs w:val="20"/>
              </w:rPr>
            </w:pPr>
            <w:r w:rsidRPr="006A2245">
              <w:rPr>
                <w:rFonts w:ascii="Arial Narrow" w:hAnsi="Arial Narrow"/>
                <w:sz w:val="20"/>
                <w:szCs w:val="20"/>
              </w:rPr>
              <w:t xml:space="preserve">Beta-amyloid positron emission tomography (PET) study of the brain for the evaluation of patients currently receiving treatment with </w:t>
            </w:r>
            <w:proofErr w:type="spellStart"/>
            <w:r w:rsidRPr="006A2245">
              <w:rPr>
                <w:rFonts w:ascii="Arial Narrow" w:hAnsi="Arial Narrow"/>
                <w:strike/>
                <w:sz w:val="20"/>
                <w:szCs w:val="20"/>
              </w:rPr>
              <w:t>donanemab</w:t>
            </w:r>
            <w:r w:rsidR="009A615B" w:rsidRPr="00284211">
              <w:rPr>
                <w:rFonts w:ascii="Arial Narrow" w:hAnsi="Arial Narrow"/>
                <w:i/>
                <w:iCs/>
                <w:color w:val="ED0000"/>
                <w:sz w:val="20"/>
                <w:szCs w:val="20"/>
              </w:rPr>
              <w:t>an</w:t>
            </w:r>
            <w:proofErr w:type="spellEnd"/>
            <w:r w:rsidR="009A615B" w:rsidRPr="00F5714B">
              <w:rPr>
                <w:rFonts w:ascii="Arial Narrow" w:hAnsi="Arial Narrow"/>
                <w:i/>
                <w:iCs/>
                <w:sz w:val="20"/>
                <w:szCs w:val="20"/>
              </w:rPr>
              <w:t xml:space="preserve"> </w:t>
            </w:r>
            <w:r w:rsidR="009A615B" w:rsidRPr="00284211">
              <w:rPr>
                <w:rFonts w:ascii="Arial Narrow" w:hAnsi="Arial Narrow"/>
                <w:i/>
                <w:iCs/>
                <w:color w:val="ED0000"/>
                <w:sz w:val="20"/>
                <w:szCs w:val="20"/>
              </w:rPr>
              <w:t>anti-amyloid monoclonal antibody agent intended to treat Alzheimer disease</w:t>
            </w:r>
            <w:r w:rsidRPr="00284211">
              <w:rPr>
                <w:rFonts w:ascii="Arial Narrow" w:hAnsi="Arial Narrow"/>
                <w:i/>
                <w:iCs/>
                <w:color w:val="ED0000"/>
                <w:sz w:val="20"/>
                <w:szCs w:val="20"/>
              </w:rPr>
              <w:t xml:space="preserve"> </w:t>
            </w:r>
            <w:r w:rsidRPr="006A2245">
              <w:rPr>
                <w:rFonts w:ascii="Arial Narrow" w:hAnsi="Arial Narrow"/>
                <w:sz w:val="20"/>
                <w:szCs w:val="20"/>
              </w:rPr>
              <w:t>under the Pharmaceutical Benefits Scheme (PBS) if:</w:t>
            </w:r>
          </w:p>
          <w:p w14:paraId="028EF22B" w14:textId="77777777" w:rsidR="00280EE9" w:rsidRPr="006A2245" w:rsidRDefault="00280EE9" w:rsidP="002261ED">
            <w:pPr>
              <w:keepNext/>
              <w:keepLines/>
              <w:widowControl w:val="0"/>
              <w:spacing w:before="0" w:after="0"/>
              <w:rPr>
                <w:rFonts w:ascii="Arial Narrow" w:hAnsi="Arial Narrow"/>
                <w:sz w:val="20"/>
              </w:rPr>
            </w:pPr>
            <w:r w:rsidRPr="006A2245">
              <w:rPr>
                <w:rFonts w:ascii="Arial Narrow" w:hAnsi="Arial Narrow"/>
                <w:sz w:val="20"/>
              </w:rPr>
              <w:t>•</w:t>
            </w:r>
            <w:r w:rsidRPr="006A2245">
              <w:rPr>
                <w:rFonts w:ascii="Arial Narrow" w:hAnsi="Arial Narrow"/>
                <w:sz w:val="20"/>
              </w:rPr>
              <w:tab/>
              <w:t>the service includes a quantitative comparison of the results of the study with the results of a beta-amyloid study of a normal brain from a reference database.</w:t>
            </w:r>
          </w:p>
          <w:p w14:paraId="40ED080E" w14:textId="77777777" w:rsidR="00280EE9" w:rsidRPr="006A2245" w:rsidRDefault="00280EE9" w:rsidP="002261ED">
            <w:pPr>
              <w:keepNext/>
              <w:keepLines/>
              <w:widowControl w:val="0"/>
              <w:spacing w:before="0" w:after="0"/>
              <w:rPr>
                <w:rFonts w:ascii="Arial Narrow" w:hAnsi="Arial Narrow"/>
                <w:sz w:val="20"/>
              </w:rPr>
            </w:pPr>
          </w:p>
          <w:p w14:paraId="16E711C9" w14:textId="0EA12A03" w:rsidR="00280EE9" w:rsidRPr="006A2245" w:rsidRDefault="00280EE9" w:rsidP="002261ED">
            <w:pPr>
              <w:keepNext/>
              <w:keepLines/>
              <w:widowControl w:val="0"/>
              <w:spacing w:before="0" w:after="0"/>
              <w:rPr>
                <w:rFonts w:ascii="Arial Narrow" w:hAnsi="Arial Narrow"/>
                <w:sz w:val="20"/>
              </w:rPr>
            </w:pPr>
            <w:r w:rsidRPr="006A2245">
              <w:rPr>
                <w:rFonts w:ascii="Arial Narrow" w:hAnsi="Arial Narrow"/>
                <w:sz w:val="20"/>
              </w:rPr>
              <w:t>Applicable up to a total of two services.</w:t>
            </w:r>
          </w:p>
          <w:p w14:paraId="19F298DC" w14:textId="3E446C21" w:rsidR="00280EE9" w:rsidRPr="006A2245" w:rsidRDefault="003046E4" w:rsidP="002261ED">
            <w:pPr>
              <w:keepNext/>
              <w:keepLines/>
              <w:widowControl w:val="0"/>
              <w:spacing w:before="0" w:after="0"/>
              <w:rPr>
                <w:rFonts w:ascii="Arial Narrow" w:hAnsi="Arial Narrow"/>
                <w:sz w:val="20"/>
              </w:rPr>
            </w:pPr>
            <w:r w:rsidRPr="006A2245">
              <w:rPr>
                <w:rFonts w:ascii="Arial Narrow" w:hAnsi="Arial Narrow"/>
                <w:sz w:val="20"/>
                <w:szCs w:val="20"/>
              </w:rPr>
              <w:t xml:space="preserve">Fee: </w:t>
            </w:r>
            <w:r w:rsidRPr="006A2245">
              <w:rPr>
                <w:rFonts w:ascii="Arial Narrow" w:hAnsi="Arial Narrow"/>
                <w:strike/>
                <w:sz w:val="20"/>
                <w:szCs w:val="20"/>
              </w:rPr>
              <w:t>$2,200</w:t>
            </w:r>
            <w:r w:rsidRPr="00F5714B">
              <w:rPr>
                <w:rFonts w:ascii="Arial Narrow" w:hAnsi="Arial Narrow"/>
                <w:i/>
                <w:iCs/>
                <w:sz w:val="20"/>
                <w:szCs w:val="20"/>
              </w:rPr>
              <w:t>*</w:t>
            </w:r>
            <w:r w:rsidRPr="00284211">
              <w:rPr>
                <w:rFonts w:ascii="Arial Narrow" w:hAnsi="Arial Narrow"/>
                <w:i/>
                <w:iCs/>
                <w:color w:val="ED0000"/>
                <w:sz w:val="20"/>
                <w:szCs w:val="20"/>
              </w:rPr>
              <w:t>$1,800.00</w:t>
            </w:r>
            <w:r w:rsidRPr="006A2245">
              <w:rPr>
                <w:rFonts w:ascii="Arial Narrow" w:hAnsi="Arial Narrow"/>
                <w:sz w:val="20"/>
                <w:szCs w:val="20"/>
              </w:rPr>
              <w:t xml:space="preserve"> Benefit: 75% = </w:t>
            </w:r>
            <w:r w:rsidRPr="006A2245">
              <w:rPr>
                <w:rFonts w:ascii="Arial Narrow" w:hAnsi="Arial Narrow"/>
                <w:strike/>
                <w:sz w:val="20"/>
                <w:szCs w:val="20"/>
              </w:rPr>
              <w:t>$1,650</w:t>
            </w:r>
            <w:r w:rsidRPr="00284211">
              <w:rPr>
                <w:rFonts w:ascii="Arial Narrow" w:hAnsi="Arial Narrow"/>
                <w:i/>
                <w:iCs/>
                <w:color w:val="ED0000"/>
                <w:sz w:val="20"/>
                <w:szCs w:val="20"/>
              </w:rPr>
              <w:t>$1,350.00</w:t>
            </w:r>
            <w:r w:rsidRPr="006A2245">
              <w:rPr>
                <w:rFonts w:ascii="Arial Narrow" w:hAnsi="Arial Narrow"/>
                <w:sz w:val="20"/>
                <w:szCs w:val="20"/>
              </w:rPr>
              <w:t xml:space="preserve"> 85% = </w:t>
            </w:r>
            <w:r w:rsidRPr="006A2245">
              <w:rPr>
                <w:rFonts w:ascii="Arial Narrow" w:hAnsi="Arial Narrow"/>
                <w:strike/>
                <w:sz w:val="20"/>
                <w:szCs w:val="20"/>
              </w:rPr>
              <w:t>$1870</w:t>
            </w:r>
            <w:r w:rsidRPr="00284211">
              <w:rPr>
                <w:rFonts w:ascii="Arial Narrow" w:hAnsi="Arial Narrow"/>
                <w:i/>
                <w:iCs/>
                <w:color w:val="ED0000"/>
                <w:sz w:val="20"/>
                <w:szCs w:val="20"/>
              </w:rPr>
              <w:t>$1,697.60</w:t>
            </w:r>
            <w:r w:rsidRPr="006A2245">
              <w:rPr>
                <w:rFonts w:ascii="Arial Narrow" w:hAnsi="Arial Narrow"/>
                <w:sz w:val="20"/>
                <w:szCs w:val="20"/>
              </w:rPr>
              <w:t>**</w:t>
            </w:r>
          </w:p>
        </w:tc>
      </w:tr>
    </w:tbl>
    <w:p w14:paraId="45AD38C4" w14:textId="4F32954C" w:rsidR="008D2CEF" w:rsidRDefault="00280EE9" w:rsidP="002261ED">
      <w:pPr>
        <w:pStyle w:val="TableFooter"/>
        <w:keepNext/>
        <w:keepLines/>
      </w:pPr>
      <w:r w:rsidRPr="00EE0EEB">
        <w:t>Source: Table 1.17, page 51 of the submission</w:t>
      </w:r>
      <w:r w:rsidR="00BB1E6F">
        <w:t xml:space="preserve">. </w:t>
      </w:r>
      <w:r w:rsidR="008D2CEF">
        <w:t xml:space="preserve">Department’s edits in </w:t>
      </w:r>
      <w:r w:rsidR="008D2CEF" w:rsidRPr="004E2689">
        <w:rPr>
          <w:strike/>
        </w:rPr>
        <w:t>strikethrough</w:t>
      </w:r>
      <w:r w:rsidR="008D2CEF">
        <w:t xml:space="preserve"> </w:t>
      </w:r>
      <w:r w:rsidR="006B77D0">
        <w:t xml:space="preserve">texts </w:t>
      </w:r>
      <w:r w:rsidR="008D2CEF">
        <w:t xml:space="preserve">and </w:t>
      </w:r>
      <w:r w:rsidR="006A2245" w:rsidRPr="00284211">
        <w:rPr>
          <w:color w:val="ED0000"/>
        </w:rPr>
        <w:t xml:space="preserve">red </w:t>
      </w:r>
      <w:r w:rsidR="006B77D0" w:rsidRPr="00284211">
        <w:rPr>
          <w:i/>
          <w:iCs/>
          <w:color w:val="ED0000"/>
        </w:rPr>
        <w:t>italics</w:t>
      </w:r>
      <w:r w:rsidR="008D2CEF" w:rsidRPr="006A2245">
        <w:t>.</w:t>
      </w:r>
    </w:p>
    <w:p w14:paraId="43301305" w14:textId="549AA379" w:rsidR="008D2CEF" w:rsidRPr="00EE0EEB" w:rsidRDefault="008D2CEF" w:rsidP="002261ED">
      <w:pPr>
        <w:pStyle w:val="TableFooter"/>
        <w:keepNext/>
        <w:keepLines/>
      </w:pPr>
      <w:r>
        <w:t>*</w:t>
      </w:r>
      <w:r w:rsidRPr="008D2CEF">
        <w:t xml:space="preserve"> </w:t>
      </w:r>
      <w:r>
        <w:t xml:space="preserve">According to the </w:t>
      </w:r>
      <w:r w:rsidR="0088064C">
        <w:t>submission</w:t>
      </w:r>
      <w:r>
        <w:t xml:space="preserve">, the proposed fee has been informed by researchers currently utilising </w:t>
      </w:r>
      <w:r w:rsidRPr="00EE0EEB">
        <w:t>A</w:t>
      </w:r>
      <w:r w:rsidRPr="00EE0EEB">
        <w:rPr>
          <w:rFonts w:cstheme="minorHAnsi"/>
        </w:rPr>
        <w:t>β</w:t>
      </w:r>
      <w:r>
        <w:rPr>
          <w:rFonts w:cstheme="minorHAnsi"/>
        </w:rPr>
        <w:t xml:space="preserve"> radiopharmaceuticals.</w:t>
      </w:r>
    </w:p>
    <w:p w14:paraId="48FBAE9C" w14:textId="4A55E63D" w:rsidR="00F97598" w:rsidRDefault="008D2CEF" w:rsidP="002261ED">
      <w:pPr>
        <w:pStyle w:val="TableFooter"/>
        <w:keepNext/>
        <w:keepLines/>
      </w:pPr>
      <w:r>
        <w:t>**T</w:t>
      </w:r>
      <w:r w:rsidR="0054776F" w:rsidRPr="0054776F">
        <w:t>he</w:t>
      </w:r>
      <w:r w:rsidR="33C4B756" w:rsidRPr="0054776F">
        <w:t xml:space="preserve"> 85% benefit reflects the 1 November 2024 Greatest Permissible Gap (GPG) of $102.40. </w:t>
      </w:r>
    </w:p>
    <w:p w14:paraId="3499EEDC" w14:textId="57D95CA5" w:rsidR="003234C6" w:rsidRPr="0054776F" w:rsidRDefault="003234C6" w:rsidP="003234C6">
      <w:r>
        <w:t xml:space="preserve">The department informed that MBS item 61505 for </w:t>
      </w:r>
      <w:r w:rsidRPr="00291D11">
        <w:t>CT attenuation scan</w:t>
      </w:r>
      <w:r>
        <w:t xml:space="preserve"> (MBS </w:t>
      </w:r>
      <w:r w:rsidRPr="00291D11">
        <w:t>fee $100.00</w:t>
      </w:r>
      <w:r>
        <w:t>)</w:t>
      </w:r>
      <w:r w:rsidRPr="00291D11">
        <w:t xml:space="preserve"> </w:t>
      </w:r>
      <w:r>
        <w:t xml:space="preserve">would </w:t>
      </w:r>
      <w:r w:rsidRPr="00291D11">
        <w:t>be co-claimed with this item.</w:t>
      </w:r>
    </w:p>
    <w:p w14:paraId="256BDEF7" w14:textId="77777777" w:rsidR="00280EE9" w:rsidRPr="00902B32" w:rsidRDefault="00280EE9" w:rsidP="00280EE9">
      <w:pPr>
        <w:keepNext/>
        <w:keepLines/>
        <w:spacing w:before="240" w:after="0"/>
        <w:outlineLvl w:val="3"/>
        <w:rPr>
          <w:rFonts w:eastAsiaTheme="majorEastAsia" w:cstheme="majorBidi"/>
          <w:b/>
        </w:rPr>
      </w:pPr>
      <w:r w:rsidRPr="00902B32">
        <w:rPr>
          <w:rFonts w:eastAsiaTheme="majorEastAsia" w:cstheme="majorBidi"/>
          <w:b/>
        </w:rPr>
        <w:t>MRI monitoring to detect ARIAs</w:t>
      </w:r>
    </w:p>
    <w:p w14:paraId="36556992" w14:textId="303A1BF9" w:rsidR="00280EE9" w:rsidRPr="00902B32" w:rsidRDefault="00280EE9" w:rsidP="00280EE9">
      <w:r w:rsidRPr="00902B32">
        <w:t xml:space="preserve">The increased frequency of </w:t>
      </w:r>
      <w:r w:rsidR="00FB2ABE" w:rsidRPr="00902B32">
        <w:t xml:space="preserve">ARIA </w:t>
      </w:r>
      <w:r w:rsidRPr="00902B32">
        <w:t xml:space="preserve">events occurring in patients receiving donanemab (mostly within the first 24 weeks of treatment) requires careful monitoring, both by MRI and by monitoring for the emergence of symptoms. The </w:t>
      </w:r>
      <w:r w:rsidR="006C52AE">
        <w:t>TGA-approved PI for</w:t>
      </w:r>
      <w:r w:rsidRPr="00902B32">
        <w:t xml:space="preserve"> donanemab state</w:t>
      </w:r>
      <w:r w:rsidR="006C52AE">
        <w:t>d</w:t>
      </w:r>
      <w:r w:rsidRPr="00902B32">
        <w:t xml:space="preserve"> that a</w:t>
      </w:r>
      <w:r w:rsidR="00F03890">
        <w:t xml:space="preserve"> recent </w:t>
      </w:r>
      <w:r w:rsidR="00027E8F">
        <w:t>(within 6 months) baseline brain</w:t>
      </w:r>
      <w:r w:rsidRPr="00902B32">
        <w:t xml:space="preserve"> MRI should be </w:t>
      </w:r>
      <w:r w:rsidR="00027E8F">
        <w:t xml:space="preserve">available </w:t>
      </w:r>
      <w:r w:rsidRPr="00902B32">
        <w:t>prior to initiating treatment</w:t>
      </w:r>
      <w:r w:rsidR="002158E7">
        <w:t>.</w:t>
      </w:r>
      <w:r w:rsidRPr="00902B32">
        <w:t xml:space="preserve"> </w:t>
      </w:r>
      <w:r w:rsidR="00C70C9A">
        <w:t xml:space="preserve">An MRI should be performed </w:t>
      </w:r>
      <w:r w:rsidRPr="00902B32">
        <w:t>prior to the</w:t>
      </w:r>
      <w:r w:rsidR="00E939AE">
        <w:t xml:space="preserve"> 2</w:t>
      </w:r>
      <w:r w:rsidR="00E939AE" w:rsidRPr="00E939AE">
        <w:rPr>
          <w:vertAlign w:val="superscript"/>
        </w:rPr>
        <w:t>nd</w:t>
      </w:r>
      <w:r w:rsidR="00E939AE">
        <w:t xml:space="preserve"> </w:t>
      </w:r>
      <w:r w:rsidRPr="00902B32">
        <w:t xml:space="preserve">dose (one month), prior to the </w:t>
      </w:r>
      <w:r w:rsidR="00E939AE">
        <w:t>3</w:t>
      </w:r>
      <w:r w:rsidR="00E939AE" w:rsidRPr="00E939AE">
        <w:rPr>
          <w:vertAlign w:val="superscript"/>
        </w:rPr>
        <w:t>rd</w:t>
      </w:r>
      <w:r w:rsidR="00E939AE">
        <w:t xml:space="preserve"> </w:t>
      </w:r>
      <w:r w:rsidRPr="00902B32">
        <w:t xml:space="preserve">dose (two months), prior to </w:t>
      </w:r>
      <w:r w:rsidR="00E939AE">
        <w:t>the 4</w:t>
      </w:r>
      <w:r w:rsidR="00E939AE" w:rsidRPr="00E939AE">
        <w:rPr>
          <w:vertAlign w:val="superscript"/>
        </w:rPr>
        <w:t>th</w:t>
      </w:r>
      <w:r w:rsidR="00E939AE">
        <w:t xml:space="preserve"> </w:t>
      </w:r>
      <w:r w:rsidRPr="00902B32">
        <w:t xml:space="preserve">dose (usually </w:t>
      </w:r>
      <w:r w:rsidR="00E939AE">
        <w:t>3</w:t>
      </w:r>
      <w:r w:rsidRPr="00902B32">
        <w:t xml:space="preserve"> months) and prior to the </w:t>
      </w:r>
      <w:r w:rsidR="00E939AE">
        <w:t>7</w:t>
      </w:r>
      <w:r w:rsidR="00E939AE" w:rsidRPr="00E939AE">
        <w:rPr>
          <w:vertAlign w:val="superscript"/>
        </w:rPr>
        <w:t>th</w:t>
      </w:r>
      <w:r w:rsidR="00E939AE">
        <w:t xml:space="preserve"> </w:t>
      </w:r>
      <w:r w:rsidRPr="00902B32">
        <w:t>dose (usually six months). An MRI may also be indicated if symptoms</w:t>
      </w:r>
      <w:r w:rsidR="00F15243" w:rsidRPr="00902B32">
        <w:t xml:space="preserve"> that may be indicative of an ARIA</w:t>
      </w:r>
      <w:r w:rsidRPr="00902B32">
        <w:t xml:space="preserve"> occur</w:t>
      </w:r>
      <w:r w:rsidR="00FB2ABE" w:rsidRPr="00902B32">
        <w:t xml:space="preserve">, such as </w:t>
      </w:r>
      <w:r w:rsidRPr="00902B32">
        <w:t>headache, confusion, nausea, vomiting, unsteadiness, dizziness, tremor, visual disturbances, speech disturbances, worsening cognitive function, alteration of consciousness, and seizures.</w:t>
      </w:r>
      <w:r w:rsidR="00CE46C6">
        <w:t xml:space="preserve"> The </w:t>
      </w:r>
      <w:r w:rsidR="004255BA">
        <w:t xml:space="preserve">PI also recommends consideration of a follow-up MRI to assess for resolution of </w:t>
      </w:r>
      <w:r w:rsidR="00F630EB">
        <w:t>ARIA</w:t>
      </w:r>
      <w:r w:rsidR="00F962F0">
        <w:t xml:space="preserve"> </w:t>
      </w:r>
      <w:r w:rsidR="00FD7A8D">
        <w:t xml:space="preserve">oedema/effusions or stabilisation </w:t>
      </w:r>
      <w:r w:rsidR="00E56EF0">
        <w:t>of ARIA</w:t>
      </w:r>
      <w:r w:rsidR="00EF0E7F">
        <w:t xml:space="preserve"> </w:t>
      </w:r>
      <w:r w:rsidR="00EF0E7F" w:rsidRPr="00EF0E7F">
        <w:t>haemorrhage/hemosiderin deposition</w:t>
      </w:r>
      <w:r w:rsidR="00EF03C8">
        <w:t xml:space="preserve"> 2-4 months after initial identification.</w:t>
      </w:r>
    </w:p>
    <w:p w14:paraId="7156C03B" w14:textId="1E58AA2C" w:rsidR="0054776F" w:rsidRPr="00C23C55" w:rsidRDefault="00280EE9" w:rsidP="00280EE9">
      <w:r w:rsidRPr="00C23C55">
        <w:t xml:space="preserve">This </w:t>
      </w:r>
      <w:r w:rsidR="008956B5" w:rsidRPr="00C23C55">
        <w:t xml:space="preserve">application </w:t>
      </w:r>
      <w:r w:rsidRPr="00C23C55">
        <w:t>propose</w:t>
      </w:r>
      <w:r w:rsidR="008956B5" w:rsidRPr="00C23C55">
        <w:t>d</w:t>
      </w:r>
      <w:r w:rsidRPr="00C23C55">
        <w:t xml:space="preserve"> to use MBS Item 63004 (MRI—scan of head) to inform the cost of MRI monitoring. </w:t>
      </w:r>
      <w:r w:rsidR="00FB2ABE" w:rsidRPr="00C23C55">
        <w:t>The sponsor</w:t>
      </w:r>
      <w:r w:rsidRPr="00C23C55">
        <w:t xml:space="preserve"> </w:t>
      </w:r>
      <w:r w:rsidR="00DE40FF">
        <w:t>sought</w:t>
      </w:r>
      <w:r w:rsidRPr="00C23C55">
        <w:t xml:space="preserve"> feedback from the Department whether a standalone MBS item </w:t>
      </w:r>
      <w:r w:rsidR="009A2928">
        <w:t>would be</w:t>
      </w:r>
      <w:r w:rsidRPr="00C23C55">
        <w:t xml:space="preserve"> required for MRI monitoring of patients treated with donanemab.</w:t>
      </w:r>
      <w:r w:rsidR="00E32A11" w:rsidRPr="00C23C55">
        <w:t xml:space="preserve"> </w:t>
      </w:r>
      <w:r w:rsidR="00591BC0" w:rsidRPr="00C23C55">
        <w:t xml:space="preserve">The department proposed that </w:t>
      </w:r>
      <w:r w:rsidR="00E32A11" w:rsidRPr="00C23C55">
        <w:t xml:space="preserve">MRI items specific to baseline scanning </w:t>
      </w:r>
      <w:r w:rsidR="00591BC0" w:rsidRPr="00C23C55">
        <w:t>(</w:t>
      </w:r>
      <w:r w:rsidR="00865249">
        <w:fldChar w:fldCharType="begin"/>
      </w:r>
      <w:r w:rsidR="00865249">
        <w:instrText xml:space="preserve"> REF _Ref207288759 \h </w:instrText>
      </w:r>
      <w:r w:rsidR="00865249">
        <w:fldChar w:fldCharType="separate"/>
      </w:r>
      <w:r w:rsidR="00865249">
        <w:t xml:space="preserve">Table </w:t>
      </w:r>
      <w:r w:rsidR="00865249">
        <w:rPr>
          <w:noProof/>
        </w:rPr>
        <w:t>5</w:t>
      </w:r>
      <w:r w:rsidR="00865249">
        <w:fldChar w:fldCharType="end"/>
      </w:r>
      <w:r w:rsidR="00591BC0" w:rsidRPr="00C23C55">
        <w:t xml:space="preserve">) </w:t>
      </w:r>
      <w:r w:rsidR="00E32A11" w:rsidRPr="00C23C55">
        <w:t xml:space="preserve">and asymptomatic ARIA monitoring during treatment </w:t>
      </w:r>
      <w:r w:rsidR="00591BC0" w:rsidRPr="00C23C55">
        <w:t>(</w:t>
      </w:r>
      <w:r w:rsidR="00865249">
        <w:fldChar w:fldCharType="begin"/>
      </w:r>
      <w:r w:rsidR="00865249">
        <w:instrText xml:space="preserve"> REF _Ref207288772 \h </w:instrText>
      </w:r>
      <w:r w:rsidR="00865249">
        <w:fldChar w:fldCharType="separate"/>
      </w:r>
      <w:r w:rsidR="00865249">
        <w:t xml:space="preserve">Table </w:t>
      </w:r>
      <w:r w:rsidR="00865249">
        <w:rPr>
          <w:noProof/>
        </w:rPr>
        <w:t>6</w:t>
      </w:r>
      <w:r w:rsidR="00865249">
        <w:fldChar w:fldCharType="end"/>
      </w:r>
      <w:r w:rsidR="00591BC0" w:rsidRPr="00C23C55">
        <w:t xml:space="preserve">) </w:t>
      </w:r>
      <w:r w:rsidR="00E32A11" w:rsidRPr="00C23C55">
        <w:t>are required</w:t>
      </w:r>
      <w:r w:rsidR="00591BC0" w:rsidRPr="00C23C55">
        <w:t>.</w:t>
      </w:r>
    </w:p>
    <w:p w14:paraId="2BD48143" w14:textId="76050ACF" w:rsidR="006441C1" w:rsidRPr="00EE0EEB" w:rsidRDefault="00EC557D" w:rsidP="00565B62">
      <w:pPr>
        <w:pStyle w:val="Caption"/>
      </w:pPr>
      <w:bookmarkStart w:id="16" w:name="_Toc93044759"/>
      <w:bookmarkStart w:id="17" w:name="_Toc93322893"/>
      <w:bookmarkStart w:id="18" w:name="_Ref207288759"/>
      <w:bookmarkEnd w:id="16"/>
      <w:bookmarkEnd w:id="17"/>
      <w:r>
        <w:t xml:space="preserve">Table </w:t>
      </w:r>
      <w:r>
        <w:fldChar w:fldCharType="begin"/>
      </w:r>
      <w:r>
        <w:instrText xml:space="preserve"> SEQ Table \* ARABIC </w:instrText>
      </w:r>
      <w:r>
        <w:fldChar w:fldCharType="separate"/>
      </w:r>
      <w:r>
        <w:rPr>
          <w:noProof/>
        </w:rPr>
        <w:t>5</w:t>
      </w:r>
      <w:r>
        <w:rPr>
          <w:noProof/>
        </w:rPr>
        <w:fldChar w:fldCharType="end"/>
      </w:r>
      <w:bookmarkEnd w:id="18"/>
      <w:r>
        <w:t xml:space="preserve"> </w:t>
      </w:r>
      <w:r w:rsidR="00EC430C" w:rsidRPr="00EC430C">
        <w:t>Department</w:t>
      </w:r>
      <w:r w:rsidR="00375699">
        <w:t>-</w:t>
      </w:r>
      <w:r w:rsidR="00EC430C" w:rsidRPr="00EC430C">
        <w:t>proposed MBS item for a baseline MRI scan prior to treatment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441C1" w:rsidRPr="00EE0EEB" w14:paraId="642A9531" w14:textId="77777777">
        <w:trPr>
          <w:tblHeader/>
        </w:trPr>
        <w:tc>
          <w:tcPr>
            <w:tcW w:w="5000" w:type="pct"/>
          </w:tcPr>
          <w:p w14:paraId="3640B7EF" w14:textId="77777777" w:rsidR="006441C1" w:rsidRDefault="006441C1" w:rsidP="00156309">
            <w:pPr>
              <w:spacing w:before="40" w:after="40"/>
              <w:rPr>
                <w:rFonts w:ascii="Arial Narrow" w:hAnsi="Arial Narrow"/>
                <w:sz w:val="20"/>
                <w:szCs w:val="20"/>
              </w:rPr>
            </w:pPr>
            <w:r w:rsidRPr="00902B32">
              <w:rPr>
                <w:rFonts w:ascii="Arial Narrow" w:hAnsi="Arial Narrow"/>
                <w:sz w:val="20"/>
                <w:szCs w:val="20"/>
              </w:rPr>
              <w:t>Category 5 – Diagnostic Imaging Services</w:t>
            </w:r>
          </w:p>
          <w:p w14:paraId="0740B3ED" w14:textId="77777777" w:rsidR="00156309" w:rsidRPr="00156309" w:rsidRDefault="00156309" w:rsidP="00156309">
            <w:pPr>
              <w:spacing w:before="40" w:after="40"/>
              <w:jc w:val="right"/>
              <w:rPr>
                <w:rFonts w:ascii="Arial Narrow" w:hAnsi="Arial Narrow"/>
                <w:sz w:val="20"/>
                <w:szCs w:val="20"/>
              </w:rPr>
            </w:pPr>
            <w:r w:rsidRPr="00156309">
              <w:rPr>
                <w:rFonts w:ascii="Arial Narrow" w:hAnsi="Arial Narrow"/>
                <w:sz w:val="20"/>
                <w:szCs w:val="20"/>
              </w:rPr>
              <w:t>15. Magnetic Resonance Imaging</w:t>
            </w:r>
          </w:p>
          <w:p w14:paraId="126FC022" w14:textId="584338BA" w:rsidR="00156309" w:rsidRPr="00902B32" w:rsidRDefault="00156309" w:rsidP="00156309">
            <w:pPr>
              <w:spacing w:before="40" w:after="40"/>
              <w:jc w:val="right"/>
              <w:rPr>
                <w:rFonts w:ascii="Arial Narrow" w:hAnsi="Arial Narrow"/>
                <w:sz w:val="20"/>
                <w:szCs w:val="20"/>
              </w:rPr>
            </w:pPr>
            <w:r w:rsidRPr="00156309">
              <w:rPr>
                <w:rFonts w:ascii="Arial Narrow" w:hAnsi="Arial Narrow"/>
                <w:sz w:val="20"/>
                <w:szCs w:val="20"/>
              </w:rPr>
              <w:t>Subgroup 1 – Scan of head – for specified conditions</w:t>
            </w:r>
          </w:p>
        </w:tc>
      </w:tr>
      <w:tr w:rsidR="006441C1" w:rsidRPr="00EE0EEB" w14:paraId="35426B5A" w14:textId="77777777" w:rsidTr="00606148">
        <w:trPr>
          <w:cantSplit/>
          <w:trHeight w:val="1908"/>
        </w:trPr>
        <w:tc>
          <w:tcPr>
            <w:tcW w:w="5000" w:type="pct"/>
          </w:tcPr>
          <w:p w14:paraId="543EC016" w14:textId="4B8AD71E" w:rsidR="006441C1" w:rsidRPr="00EE0EEB" w:rsidRDefault="006441C1">
            <w:pPr>
              <w:widowControl w:val="0"/>
              <w:spacing w:before="0" w:after="0"/>
              <w:rPr>
                <w:rFonts w:ascii="Arial Narrow" w:hAnsi="Arial Narrow"/>
                <w:sz w:val="20"/>
              </w:rPr>
            </w:pPr>
            <w:r w:rsidRPr="00EE0EEB">
              <w:rPr>
                <w:rFonts w:ascii="Arial Narrow" w:hAnsi="Arial Narrow"/>
                <w:sz w:val="20"/>
              </w:rPr>
              <w:t>Item</w:t>
            </w:r>
            <w:r w:rsidR="00606148">
              <w:rPr>
                <w:rFonts w:ascii="Arial Narrow" w:hAnsi="Arial Narrow"/>
                <w:sz w:val="20"/>
              </w:rPr>
              <w:t xml:space="preserve"> </w:t>
            </w:r>
            <w:r w:rsidR="00C3014A">
              <w:rPr>
                <w:rFonts w:ascii="Arial Narrow" w:hAnsi="Arial Narrow"/>
                <w:sz w:val="20"/>
              </w:rPr>
              <w:t>XXXX</w:t>
            </w:r>
          </w:p>
          <w:p w14:paraId="4DF1652C" w14:textId="7B7EC15D" w:rsidR="00AB7A18" w:rsidRPr="00AB7A18" w:rsidRDefault="00AB7A18" w:rsidP="00AB7A18">
            <w:pPr>
              <w:widowControl w:val="0"/>
              <w:spacing w:before="0" w:after="0"/>
              <w:rPr>
                <w:rFonts w:ascii="Arial Narrow" w:hAnsi="Arial Narrow"/>
                <w:bCs/>
                <w:sz w:val="20"/>
              </w:rPr>
            </w:pPr>
            <w:r w:rsidRPr="00AB7A18">
              <w:rPr>
                <w:rFonts w:ascii="Arial Narrow" w:hAnsi="Arial Narrow"/>
                <w:bCs/>
                <w:sz w:val="20"/>
              </w:rPr>
              <w:t>Magnetic resonance imaging (MRI) scan of the head (including MRA, if performed) for the baseline assessment of patients who will be treated with an</w:t>
            </w:r>
            <w:r w:rsidRPr="00AB7A18">
              <w:rPr>
                <w:rFonts w:ascii="Arial Narrow" w:hAnsi="Arial Narrow"/>
                <w:bCs/>
                <w:sz w:val="20"/>
                <w:lang w:val="en-US"/>
              </w:rPr>
              <w:t xml:space="preserve"> </w:t>
            </w:r>
            <w:r w:rsidRPr="00AB7A18">
              <w:rPr>
                <w:rFonts w:ascii="Arial Narrow" w:hAnsi="Arial Narrow"/>
                <w:bCs/>
                <w:sz w:val="20"/>
              </w:rPr>
              <w:t>anti-amyloid monoclonal antibody agent intended to treat Alzheimer disease under the Pharmaceutical Benefits Scheme (PBS), to ensure the patient does not have pathology which would preclude treatment with this agent.</w:t>
            </w:r>
          </w:p>
          <w:p w14:paraId="40C32599" w14:textId="77777777" w:rsidR="00AB7A18" w:rsidRPr="00AB7A18" w:rsidRDefault="00AB7A18" w:rsidP="00AB7A18">
            <w:pPr>
              <w:widowControl w:val="0"/>
              <w:spacing w:before="0" w:after="0"/>
              <w:rPr>
                <w:rFonts w:ascii="Arial Narrow" w:hAnsi="Arial Narrow"/>
                <w:bCs/>
                <w:sz w:val="20"/>
              </w:rPr>
            </w:pPr>
          </w:p>
          <w:p w14:paraId="1986258B" w14:textId="77777777" w:rsidR="00AB7A18" w:rsidRPr="00AB7A18" w:rsidRDefault="00AB7A18" w:rsidP="00AB7A18">
            <w:pPr>
              <w:widowControl w:val="0"/>
              <w:spacing w:before="0" w:after="0"/>
              <w:rPr>
                <w:rFonts w:ascii="Arial Narrow" w:hAnsi="Arial Narrow"/>
                <w:bCs/>
                <w:sz w:val="20"/>
              </w:rPr>
            </w:pPr>
            <w:r w:rsidRPr="00AB7A18">
              <w:rPr>
                <w:rFonts w:ascii="Arial Narrow" w:hAnsi="Arial Narrow"/>
                <w:bCs/>
                <w:sz w:val="20"/>
              </w:rPr>
              <w:t>One scan per patient.</w:t>
            </w:r>
          </w:p>
          <w:p w14:paraId="4A5AF97F" w14:textId="77777777" w:rsidR="00AB7A18" w:rsidRPr="00AB7A18" w:rsidRDefault="00AB7A18" w:rsidP="00AB7A18">
            <w:pPr>
              <w:widowControl w:val="0"/>
              <w:spacing w:before="0" w:after="0"/>
              <w:rPr>
                <w:rFonts w:ascii="Arial Narrow" w:hAnsi="Arial Narrow"/>
                <w:bCs/>
                <w:sz w:val="20"/>
              </w:rPr>
            </w:pPr>
          </w:p>
          <w:p w14:paraId="60EE6916" w14:textId="5465E9AB" w:rsidR="006441C1" w:rsidRPr="00EE0EEB" w:rsidRDefault="00AB7A18" w:rsidP="00AB7A18">
            <w:pPr>
              <w:widowControl w:val="0"/>
              <w:spacing w:before="0" w:after="0"/>
              <w:rPr>
                <w:rFonts w:ascii="Arial Narrow" w:hAnsi="Arial Narrow"/>
                <w:sz w:val="20"/>
              </w:rPr>
            </w:pPr>
            <w:r w:rsidRPr="00AB7A18">
              <w:rPr>
                <w:rFonts w:ascii="Arial Narrow" w:hAnsi="Arial Narrow"/>
                <w:bCs/>
                <w:sz w:val="20"/>
              </w:rPr>
              <w:t>Fee: $4</w:t>
            </w:r>
            <w:r w:rsidR="00485957">
              <w:rPr>
                <w:rFonts w:ascii="Arial Narrow" w:hAnsi="Arial Narrow"/>
                <w:bCs/>
                <w:sz w:val="20"/>
              </w:rPr>
              <w:t>52.05</w:t>
            </w:r>
            <w:r w:rsidRPr="00AB7A18">
              <w:rPr>
                <w:rFonts w:ascii="Arial Narrow" w:hAnsi="Arial Narrow"/>
                <w:bCs/>
                <w:sz w:val="20"/>
              </w:rPr>
              <w:t>* Benefit: 75% = $33</w:t>
            </w:r>
            <w:r w:rsidR="00485957">
              <w:rPr>
                <w:rFonts w:ascii="Arial Narrow" w:hAnsi="Arial Narrow"/>
                <w:bCs/>
                <w:sz w:val="20"/>
              </w:rPr>
              <w:t>9.04</w:t>
            </w:r>
            <w:r w:rsidRPr="00AB7A18">
              <w:rPr>
                <w:rFonts w:ascii="Arial Narrow" w:hAnsi="Arial Narrow"/>
                <w:bCs/>
                <w:sz w:val="20"/>
              </w:rPr>
              <w:t xml:space="preserve"> 85% = $3</w:t>
            </w:r>
            <w:r w:rsidR="00984023">
              <w:rPr>
                <w:rFonts w:ascii="Arial Narrow" w:hAnsi="Arial Narrow"/>
                <w:bCs/>
                <w:sz w:val="20"/>
              </w:rPr>
              <w:t>84.24</w:t>
            </w:r>
          </w:p>
        </w:tc>
      </w:tr>
    </w:tbl>
    <w:p w14:paraId="1EC2B311" w14:textId="5C121AF7" w:rsidR="00123EB9" w:rsidRDefault="00F1448B" w:rsidP="00F1448B">
      <w:pPr>
        <w:pStyle w:val="TableFigureFooter"/>
      </w:pPr>
      <w:r>
        <w:t>*</w:t>
      </w:r>
      <w:r w:rsidRPr="00F1448B">
        <w:t>Proposed fee based on MBS Item 63004</w:t>
      </w:r>
      <w:r w:rsidR="008D62AB">
        <w:t xml:space="preserve">, </w:t>
      </w:r>
      <w:r w:rsidR="008D62AB" w:rsidRPr="008D62AB">
        <w:t>updated to the current schedule fee as of 1 July 2025</w:t>
      </w:r>
      <w:r w:rsidR="008D62AB">
        <w:t>.</w:t>
      </w:r>
    </w:p>
    <w:p w14:paraId="5BFEF331" w14:textId="080F79D9" w:rsidR="004D50D1" w:rsidRPr="00EE0EEB" w:rsidRDefault="00EC557D" w:rsidP="00565B62">
      <w:pPr>
        <w:pStyle w:val="Caption"/>
      </w:pPr>
      <w:bookmarkStart w:id="19" w:name="_Ref207288772"/>
      <w:r>
        <w:lastRenderedPageBreak/>
        <w:t xml:space="preserve">Table </w:t>
      </w:r>
      <w:r>
        <w:fldChar w:fldCharType="begin"/>
      </w:r>
      <w:r>
        <w:instrText xml:space="preserve"> SEQ Table \* ARABIC </w:instrText>
      </w:r>
      <w:r>
        <w:fldChar w:fldCharType="separate"/>
      </w:r>
      <w:r>
        <w:rPr>
          <w:noProof/>
        </w:rPr>
        <w:t>6</w:t>
      </w:r>
      <w:r>
        <w:rPr>
          <w:noProof/>
        </w:rPr>
        <w:fldChar w:fldCharType="end"/>
      </w:r>
      <w:bookmarkEnd w:id="19"/>
      <w:r>
        <w:t xml:space="preserve"> </w:t>
      </w:r>
      <w:r w:rsidR="004D50D1" w:rsidRPr="00EC430C">
        <w:t>Department</w:t>
      </w:r>
      <w:r w:rsidR="00375699">
        <w:t>-</w:t>
      </w:r>
      <w:r w:rsidR="004D50D1" w:rsidRPr="00EC430C">
        <w:t xml:space="preserve">proposed MBS item for </w:t>
      </w:r>
      <w:r w:rsidR="00AD7331" w:rsidRPr="00AD7331">
        <w:t>monitoring MRI scan during treatment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D50D1" w:rsidRPr="00EE0EEB" w14:paraId="32943A68" w14:textId="77777777">
        <w:trPr>
          <w:tblHeader/>
        </w:trPr>
        <w:tc>
          <w:tcPr>
            <w:tcW w:w="5000" w:type="pct"/>
          </w:tcPr>
          <w:p w14:paraId="501BAF71" w14:textId="77777777" w:rsidR="004D50D1" w:rsidRDefault="004D50D1" w:rsidP="00606148">
            <w:pPr>
              <w:spacing w:before="40" w:after="40"/>
              <w:rPr>
                <w:rFonts w:ascii="Arial Narrow" w:hAnsi="Arial Narrow"/>
                <w:sz w:val="20"/>
                <w:szCs w:val="20"/>
              </w:rPr>
            </w:pPr>
            <w:r w:rsidRPr="00902B32">
              <w:rPr>
                <w:rFonts w:ascii="Arial Narrow" w:hAnsi="Arial Narrow"/>
                <w:sz w:val="20"/>
                <w:szCs w:val="20"/>
              </w:rPr>
              <w:t>Category 5 – Diagnostic Imaging Services</w:t>
            </w:r>
          </w:p>
          <w:p w14:paraId="4367A4F2" w14:textId="77777777" w:rsidR="00606148" w:rsidRPr="00606148" w:rsidRDefault="00606148" w:rsidP="00606148">
            <w:pPr>
              <w:spacing w:before="40" w:after="40"/>
              <w:jc w:val="right"/>
              <w:rPr>
                <w:rFonts w:ascii="Arial Narrow" w:hAnsi="Arial Narrow"/>
                <w:sz w:val="20"/>
                <w:szCs w:val="20"/>
              </w:rPr>
            </w:pPr>
            <w:r w:rsidRPr="00606148">
              <w:rPr>
                <w:rFonts w:ascii="Arial Narrow" w:hAnsi="Arial Narrow"/>
                <w:sz w:val="20"/>
                <w:szCs w:val="20"/>
              </w:rPr>
              <w:t>15. Magnetic Resonance Imaging</w:t>
            </w:r>
          </w:p>
          <w:p w14:paraId="5EC47A49" w14:textId="7A2FAFBA" w:rsidR="00BF08E0" w:rsidRPr="00902B32" w:rsidRDefault="00606148" w:rsidP="00606148">
            <w:pPr>
              <w:spacing w:before="40" w:after="40"/>
              <w:jc w:val="right"/>
              <w:rPr>
                <w:rFonts w:ascii="Arial Narrow" w:hAnsi="Arial Narrow"/>
                <w:sz w:val="20"/>
                <w:szCs w:val="20"/>
              </w:rPr>
            </w:pPr>
            <w:r w:rsidRPr="00606148">
              <w:rPr>
                <w:rFonts w:ascii="Arial Narrow" w:hAnsi="Arial Narrow"/>
                <w:sz w:val="20"/>
                <w:szCs w:val="20"/>
              </w:rPr>
              <w:t>Subgroup 1 – Scan of head – for specified conditions</w:t>
            </w:r>
          </w:p>
        </w:tc>
      </w:tr>
      <w:tr w:rsidR="004D50D1" w:rsidRPr="00EE0EEB" w14:paraId="6BAF988B" w14:textId="77777777">
        <w:trPr>
          <w:cantSplit/>
        </w:trPr>
        <w:tc>
          <w:tcPr>
            <w:tcW w:w="5000" w:type="pct"/>
          </w:tcPr>
          <w:p w14:paraId="63974ADB" w14:textId="7AF8AF09" w:rsidR="004D50D1" w:rsidRPr="00EE0EEB" w:rsidRDefault="004D50D1">
            <w:pPr>
              <w:widowControl w:val="0"/>
              <w:spacing w:before="0" w:after="0"/>
              <w:rPr>
                <w:rFonts w:ascii="Arial Narrow" w:hAnsi="Arial Narrow"/>
                <w:sz w:val="20"/>
              </w:rPr>
            </w:pPr>
            <w:r w:rsidRPr="00EE0EEB">
              <w:rPr>
                <w:rFonts w:ascii="Arial Narrow" w:hAnsi="Arial Narrow"/>
                <w:sz w:val="20"/>
              </w:rPr>
              <w:t>Item</w:t>
            </w:r>
            <w:r w:rsidR="00606148">
              <w:rPr>
                <w:rFonts w:ascii="Arial Narrow" w:hAnsi="Arial Narrow"/>
                <w:sz w:val="20"/>
              </w:rPr>
              <w:t xml:space="preserve"> </w:t>
            </w:r>
            <w:r>
              <w:rPr>
                <w:rFonts w:ascii="Arial Narrow" w:hAnsi="Arial Narrow"/>
                <w:sz w:val="20"/>
              </w:rPr>
              <w:t>XXXX</w:t>
            </w:r>
          </w:p>
          <w:p w14:paraId="504A2104" w14:textId="48CD1647" w:rsidR="00B226D7" w:rsidRPr="00B226D7" w:rsidRDefault="00B226D7" w:rsidP="00B226D7">
            <w:pPr>
              <w:widowControl w:val="0"/>
              <w:spacing w:before="0" w:after="0"/>
              <w:rPr>
                <w:rFonts w:ascii="Arial Narrow" w:hAnsi="Arial Narrow"/>
                <w:bCs/>
                <w:sz w:val="20"/>
              </w:rPr>
            </w:pPr>
            <w:r w:rsidRPr="00B226D7">
              <w:rPr>
                <w:rFonts w:ascii="Arial Narrow" w:hAnsi="Arial Narrow"/>
                <w:bCs/>
                <w:sz w:val="20"/>
              </w:rPr>
              <w:t>Magnetic resonance imaging (MRI) scan of the head (including MRA, if performed) for the evaluation of patients currently receiving treatment with an anti-amyloid monoclonal antibody agent intended to treat Alzheimer disease under the Pharmaceutical Benefits Scheme (PBS) to ensure the patient does not have pathology which would preclude further treatment with this agent.</w:t>
            </w:r>
          </w:p>
          <w:p w14:paraId="46E18858" w14:textId="77777777" w:rsidR="00B226D7" w:rsidRPr="00B226D7" w:rsidRDefault="00B226D7" w:rsidP="00B226D7">
            <w:pPr>
              <w:widowControl w:val="0"/>
              <w:spacing w:before="0" w:after="0"/>
              <w:rPr>
                <w:rFonts w:ascii="Arial Narrow" w:hAnsi="Arial Narrow"/>
                <w:bCs/>
                <w:sz w:val="20"/>
              </w:rPr>
            </w:pPr>
          </w:p>
          <w:p w14:paraId="55387567" w14:textId="77777777" w:rsidR="00B226D7" w:rsidRPr="00B226D7" w:rsidRDefault="00B226D7" w:rsidP="00B226D7">
            <w:pPr>
              <w:widowControl w:val="0"/>
              <w:spacing w:before="0" w:after="0"/>
              <w:rPr>
                <w:rFonts w:ascii="Arial Narrow" w:hAnsi="Arial Narrow"/>
                <w:bCs/>
                <w:sz w:val="20"/>
              </w:rPr>
            </w:pPr>
            <w:r w:rsidRPr="00B226D7">
              <w:rPr>
                <w:rFonts w:ascii="Arial Narrow" w:hAnsi="Arial Narrow"/>
                <w:bCs/>
                <w:sz w:val="20"/>
              </w:rPr>
              <w:t>The assessment will be performed to determine the continuing safety of treatment.</w:t>
            </w:r>
          </w:p>
          <w:p w14:paraId="71FCDDA9" w14:textId="77777777" w:rsidR="00B226D7" w:rsidRPr="00B226D7" w:rsidRDefault="00B226D7" w:rsidP="00B226D7">
            <w:pPr>
              <w:widowControl w:val="0"/>
              <w:spacing w:before="0" w:after="0"/>
              <w:rPr>
                <w:rFonts w:ascii="Arial Narrow" w:hAnsi="Arial Narrow"/>
                <w:bCs/>
                <w:sz w:val="20"/>
              </w:rPr>
            </w:pPr>
          </w:p>
          <w:p w14:paraId="0CD09628" w14:textId="77777777" w:rsidR="00B226D7" w:rsidRPr="00B226D7" w:rsidRDefault="00B226D7" w:rsidP="00B226D7">
            <w:pPr>
              <w:widowControl w:val="0"/>
              <w:spacing w:before="0" w:after="0"/>
              <w:rPr>
                <w:rFonts w:ascii="Arial Narrow" w:hAnsi="Arial Narrow"/>
                <w:bCs/>
                <w:sz w:val="20"/>
              </w:rPr>
            </w:pPr>
            <w:r w:rsidRPr="00B226D7">
              <w:rPr>
                <w:rFonts w:ascii="Arial Narrow" w:hAnsi="Arial Narrow"/>
                <w:bCs/>
                <w:sz w:val="20"/>
              </w:rPr>
              <w:t>Applicable not more than four times in a 12-month period</w:t>
            </w:r>
          </w:p>
          <w:p w14:paraId="391D3674" w14:textId="77777777" w:rsidR="00B226D7" w:rsidRPr="00B226D7" w:rsidRDefault="00B226D7" w:rsidP="00B226D7">
            <w:pPr>
              <w:widowControl w:val="0"/>
              <w:spacing w:before="0" w:after="0"/>
              <w:rPr>
                <w:rFonts w:ascii="Arial Narrow" w:hAnsi="Arial Narrow"/>
                <w:bCs/>
                <w:sz w:val="20"/>
              </w:rPr>
            </w:pPr>
          </w:p>
          <w:p w14:paraId="6F6AB506" w14:textId="315FD505" w:rsidR="004D50D1" w:rsidRPr="00EE0EEB" w:rsidRDefault="00606148" w:rsidP="00B226D7">
            <w:pPr>
              <w:widowControl w:val="0"/>
              <w:spacing w:before="0" w:after="0"/>
              <w:rPr>
                <w:rFonts w:ascii="Arial Narrow" w:hAnsi="Arial Narrow"/>
                <w:sz w:val="20"/>
              </w:rPr>
            </w:pPr>
            <w:r w:rsidRPr="00AB7A18">
              <w:rPr>
                <w:rFonts w:ascii="Arial Narrow" w:hAnsi="Arial Narrow"/>
                <w:bCs/>
                <w:sz w:val="20"/>
              </w:rPr>
              <w:t>Fee: $4</w:t>
            </w:r>
            <w:r>
              <w:rPr>
                <w:rFonts w:ascii="Arial Narrow" w:hAnsi="Arial Narrow"/>
                <w:bCs/>
                <w:sz w:val="20"/>
              </w:rPr>
              <w:t>52.05</w:t>
            </w:r>
            <w:r w:rsidRPr="00AB7A18">
              <w:rPr>
                <w:rFonts w:ascii="Arial Narrow" w:hAnsi="Arial Narrow"/>
                <w:bCs/>
                <w:sz w:val="20"/>
              </w:rPr>
              <w:t>* Benefit: 75% = $33</w:t>
            </w:r>
            <w:r>
              <w:rPr>
                <w:rFonts w:ascii="Arial Narrow" w:hAnsi="Arial Narrow"/>
                <w:bCs/>
                <w:sz w:val="20"/>
              </w:rPr>
              <w:t>9.04</w:t>
            </w:r>
            <w:r w:rsidRPr="00AB7A18">
              <w:rPr>
                <w:rFonts w:ascii="Arial Narrow" w:hAnsi="Arial Narrow"/>
                <w:bCs/>
                <w:sz w:val="20"/>
              </w:rPr>
              <w:t xml:space="preserve"> 85% = $3</w:t>
            </w:r>
            <w:r>
              <w:rPr>
                <w:rFonts w:ascii="Arial Narrow" w:hAnsi="Arial Narrow"/>
                <w:bCs/>
                <w:sz w:val="20"/>
              </w:rPr>
              <w:t>84.24</w:t>
            </w:r>
          </w:p>
        </w:tc>
      </w:tr>
    </w:tbl>
    <w:p w14:paraId="4A7C05F4" w14:textId="4C6400F2" w:rsidR="004D50D1" w:rsidRDefault="004D50D1" w:rsidP="004D50D1">
      <w:pPr>
        <w:pStyle w:val="TableFigureFooter"/>
      </w:pPr>
      <w:r>
        <w:t>*</w:t>
      </w:r>
      <w:r w:rsidRPr="00F1448B">
        <w:t>Proposed fee based on MBS Item 63004</w:t>
      </w:r>
      <w:r w:rsidR="00B317D8">
        <w:t xml:space="preserve">, </w:t>
      </w:r>
      <w:r w:rsidR="00B317D8" w:rsidRPr="00B317D8">
        <w:t>updated to the current schedule fee as of 1 July 2025.</w:t>
      </w:r>
    </w:p>
    <w:p w14:paraId="1D373CE2" w14:textId="0206DC73" w:rsidR="008A4914" w:rsidRPr="00902B32" w:rsidRDefault="008A4914" w:rsidP="00172B02">
      <w:pPr>
        <w:pStyle w:val="Heading3"/>
      </w:pPr>
      <w:r w:rsidRPr="00902B32">
        <w:t>Drug</w:t>
      </w:r>
    </w:p>
    <w:p w14:paraId="7F454FD3" w14:textId="62EFD4D7" w:rsidR="003243F3" w:rsidRPr="00902B32" w:rsidRDefault="003243F3" w:rsidP="003243F3">
      <w:r w:rsidRPr="00902B32">
        <w:t xml:space="preserve">This integrated codependent </w:t>
      </w:r>
      <w:r w:rsidR="00C72761">
        <w:t>application</w:t>
      </w:r>
      <w:r w:rsidR="00C72761" w:rsidRPr="00902B32">
        <w:t xml:space="preserve"> </w:t>
      </w:r>
      <w:r w:rsidRPr="00902B32">
        <w:t>request</w:t>
      </w:r>
      <w:r w:rsidR="00F02B2A">
        <w:t>ed</w:t>
      </w:r>
      <w:r w:rsidRPr="00902B32">
        <w:t xml:space="preserve"> PBS Section 100 (Highly Specialised Drugs Program) Authority Required (Telephone) listing of donanemab for the treatment of patients with early symptomatic AD, defined as MCI due to AD or Mild AD.</w:t>
      </w:r>
    </w:p>
    <w:p w14:paraId="60C8830F" w14:textId="1AED21CC" w:rsidR="007E5316" w:rsidRPr="00902B32" w:rsidRDefault="003243F3" w:rsidP="003243F3">
      <w:r w:rsidRPr="00902B32">
        <w:t xml:space="preserve">The clinical eligibility criteria requires that the patient must have a baseline Mini-Mental State Examination (MMSE) or Standardised Mini-Mental State Examination (SMMSE) score of 20 or more, and that </w:t>
      </w:r>
      <w:proofErr w:type="spellStart"/>
      <w:r w:rsidRPr="00902B32">
        <w:t>i</w:t>
      </w:r>
      <w:proofErr w:type="spellEnd"/>
      <w:r w:rsidRPr="00902B32">
        <w:t>) the condition must have the presence of beta-amyloid positivity in the brain</w:t>
      </w:r>
      <w:r w:rsidR="00CA1AC1" w:rsidRPr="00902B32">
        <w:t xml:space="preserve"> or CSF</w:t>
      </w:r>
      <w:r w:rsidRPr="00902B32">
        <w:t xml:space="preserve">, ii) the patient must not be contraindicated to treatment with this drug on the basis of MRI </w:t>
      </w:r>
      <w:r w:rsidR="006F64F3" w:rsidRPr="00902B32">
        <w:t xml:space="preserve">brain </w:t>
      </w:r>
      <w:r w:rsidR="00F25DB6" w:rsidRPr="00902B32">
        <w:t>findings</w:t>
      </w:r>
      <w:r w:rsidRPr="00902B32">
        <w:t xml:space="preserve">, and iii) the patient must </w:t>
      </w:r>
      <w:r w:rsidR="00D263C0" w:rsidRPr="00902B32">
        <w:t>be a</w:t>
      </w:r>
      <w:r w:rsidR="00617EE9" w:rsidRPr="00902B32">
        <w:t>n</w:t>
      </w:r>
      <w:r w:rsidR="00D263C0" w:rsidRPr="00902B32">
        <w:t xml:space="preserve"> </w:t>
      </w:r>
      <w:r w:rsidRPr="00902B32">
        <w:rPr>
          <w:i/>
          <w:iCs/>
        </w:rPr>
        <w:t>APOE4</w:t>
      </w:r>
      <w:r w:rsidRPr="00902B32">
        <w:t xml:space="preserve"> heterozygote or non-carrier. The patient must be treated by a neurologist, geriatrician, or psychiatrist.</w:t>
      </w:r>
    </w:p>
    <w:p w14:paraId="793E8994" w14:textId="7E68908B" w:rsidR="00FD07C6" w:rsidRPr="00394233" w:rsidRDefault="00FD07C6"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20" w:name="_Toc198735647"/>
      <w:r w:rsidRPr="00394233">
        <w:rPr>
          <w:rFonts w:ascii="Franklin Gothic Medium" w:hAnsi="Franklin Gothic Medium"/>
          <w:b w:val="0"/>
          <w:i w:val="0"/>
          <w:snapToGrid/>
          <w:sz w:val="32"/>
          <w:szCs w:val="26"/>
        </w:rPr>
        <w:t>Population</w:t>
      </w:r>
      <w:bookmarkEnd w:id="20"/>
    </w:p>
    <w:p w14:paraId="20250164" w14:textId="77777777" w:rsidR="006730FB" w:rsidRPr="00902B32" w:rsidRDefault="006730FB" w:rsidP="00172B02">
      <w:pPr>
        <w:pStyle w:val="Heading3"/>
      </w:pPr>
      <w:bookmarkStart w:id="21" w:name="_Hlk198029376"/>
      <w:r w:rsidRPr="00902B32">
        <w:t>Test</w:t>
      </w:r>
    </w:p>
    <w:bookmarkEnd w:id="21"/>
    <w:p w14:paraId="068B8FBA" w14:textId="4B7E33B2" w:rsidR="00280EE9" w:rsidRPr="00902B32" w:rsidRDefault="00280EE9" w:rsidP="00280EE9">
      <w:r w:rsidRPr="00902B32">
        <w:t xml:space="preserve">AD is a progressive neurodegenerative brain disease affecting cognition (memory, language, executive function e.g., problem-solving), and visuospatial function. Changes in behaviour (mood and personality), along with decreased or poor judgment and sleep disturbances, also occur. As the disease progresses, patients lose the ability to perform activities of daily living, such as paying bills, bathing and dressing. The </w:t>
      </w:r>
      <w:r w:rsidR="0088064C" w:rsidRPr="0088064C">
        <w:t>submission</w:t>
      </w:r>
      <w:r w:rsidR="009B1678" w:rsidRPr="00902B32">
        <w:t xml:space="preserve"> </w:t>
      </w:r>
      <w:r w:rsidRPr="00902B32">
        <w:t>reported that</w:t>
      </w:r>
      <w:r w:rsidR="00FB2ABE" w:rsidRPr="00902B32">
        <w:t>,</w:t>
      </w:r>
      <w:r w:rsidRPr="00902B32">
        <w:t xml:space="preserve"> in Australia, the number of people with AD, including both MCI and Alzheimer dementia, is expected to double from approximately 600,000 in 2024 to 1,200,000 by 2050 </w:t>
      </w:r>
      <w:proofErr w:type="gramStart"/>
      <w:r w:rsidRPr="00902B32">
        <w:t>as a result of</w:t>
      </w:r>
      <w:proofErr w:type="gramEnd"/>
      <w:r w:rsidRPr="00902B32">
        <w:t xml:space="preserve"> an ageing and growing population.</w:t>
      </w:r>
    </w:p>
    <w:p w14:paraId="331578C9" w14:textId="77777777" w:rsidR="00280EE9" w:rsidRPr="00902B32" w:rsidRDefault="00280EE9" w:rsidP="00280EE9">
      <w:r w:rsidRPr="00902B32">
        <w:t xml:space="preserve">AD is characterised by the presence of extracellular </w:t>
      </w:r>
      <w:proofErr w:type="spellStart"/>
      <w:r w:rsidRPr="00902B32">
        <w:t>neuritic</w:t>
      </w:r>
      <w:proofErr w:type="spellEnd"/>
      <w:r w:rsidRPr="00902B32">
        <w:t xml:space="preserve"> plaques in the brain containing Aβ peptide and intraneuronal neurofibrillary tangles composed of hyperphosphorylated tau proteins. Other changes in the brain include neuroinflammation, gliosis, neuronal loss, and synaptic changes.</w:t>
      </w:r>
    </w:p>
    <w:p w14:paraId="59C782EC" w14:textId="43AE4C9A" w:rsidR="00280EE9" w:rsidRPr="00902B32" w:rsidRDefault="00100EEF" w:rsidP="00280EE9">
      <w:r w:rsidRPr="00902B32">
        <w:t>The commentary considered that w</w:t>
      </w:r>
      <w:r w:rsidR="00280EE9" w:rsidRPr="00902B32">
        <w:t>hilst there is a strong link between the presence of A</w:t>
      </w:r>
      <w:r w:rsidR="00280EE9" w:rsidRPr="00902B32">
        <w:rPr>
          <w:rFonts w:cstheme="minorHAnsi"/>
        </w:rPr>
        <w:t>β</w:t>
      </w:r>
      <w:r w:rsidR="00280EE9" w:rsidRPr="00902B32">
        <w:t xml:space="preserve"> plaques and the development of AD, it is not absolute. Not all individuals with A</w:t>
      </w:r>
      <w:r w:rsidR="00280EE9" w:rsidRPr="00902B32">
        <w:rPr>
          <w:rFonts w:cstheme="minorHAnsi"/>
        </w:rPr>
        <w:t>β</w:t>
      </w:r>
      <w:r w:rsidR="00280EE9" w:rsidRPr="00902B32">
        <w:t xml:space="preserve"> plaques will develop AD. Additionally, Aβ plaques are present for many years prior to symptom development, suggesting that long-term damage to the brain may have already occurred. The prognosis of disease after removal of A</w:t>
      </w:r>
      <w:r w:rsidR="00280EE9" w:rsidRPr="00902B32">
        <w:rPr>
          <w:rFonts w:cstheme="minorHAnsi"/>
        </w:rPr>
        <w:t>β</w:t>
      </w:r>
      <w:r w:rsidR="00280EE9" w:rsidRPr="00902B32">
        <w:t xml:space="preserve"> plaques from the brain has yet to be established.</w:t>
      </w:r>
    </w:p>
    <w:p w14:paraId="55F671A6" w14:textId="48FE36C1" w:rsidR="00280EE9" w:rsidRPr="00902B32" w:rsidRDefault="00280EE9" w:rsidP="00280EE9">
      <w:r w:rsidRPr="00902B32">
        <w:lastRenderedPageBreak/>
        <w:t xml:space="preserve">The </w:t>
      </w:r>
      <w:r w:rsidRPr="00902B32">
        <w:rPr>
          <w:i/>
          <w:iCs/>
        </w:rPr>
        <w:t>APOE4</w:t>
      </w:r>
      <w:r w:rsidRPr="00902B32">
        <w:t xml:space="preserve"> allele is the most significant genetic risk factor for late-onset AD and is associated with an increased risk of developing the disease. Up to 25% of the population and approximately 60-75% of AD patients in clinical studies are </w:t>
      </w:r>
      <w:r w:rsidRPr="00902B32">
        <w:rPr>
          <w:i/>
          <w:iCs/>
        </w:rPr>
        <w:t>APOE4</w:t>
      </w:r>
      <w:r w:rsidRPr="00902B32">
        <w:t xml:space="preserve"> carriers. Heterozygous carriers of </w:t>
      </w:r>
      <w:r w:rsidRPr="00902B32">
        <w:rPr>
          <w:i/>
          <w:iCs/>
        </w:rPr>
        <w:t>APOE4</w:t>
      </w:r>
      <w:r w:rsidRPr="00902B32">
        <w:t xml:space="preserve"> have a 3–4-fold increased risk of developing late-onset AD, while homozygous carriers have a 9–15-fold higher risk compared with having the </w:t>
      </w:r>
      <w:r w:rsidRPr="00902B32">
        <w:rPr>
          <w:i/>
          <w:iCs/>
        </w:rPr>
        <w:t xml:space="preserve">APOE </w:t>
      </w:r>
      <w:r w:rsidRPr="00902B32">
        <w:rPr>
          <w:rFonts w:ascii="Calibri" w:hAnsi="Calibri" w:cs="Calibri"/>
          <w:i/>
          <w:iCs/>
        </w:rPr>
        <w:t>ԑ</w:t>
      </w:r>
      <w:r w:rsidRPr="00902B32">
        <w:rPr>
          <w:i/>
          <w:iCs/>
        </w:rPr>
        <w:t>3</w:t>
      </w:r>
      <w:r w:rsidRPr="00902B32">
        <w:t xml:space="preserve"> (</w:t>
      </w:r>
      <w:r w:rsidRPr="00902B32">
        <w:rPr>
          <w:i/>
          <w:iCs/>
        </w:rPr>
        <w:t>APOE3</w:t>
      </w:r>
      <w:r w:rsidRPr="00902B32">
        <w:t>) allele.</w:t>
      </w:r>
    </w:p>
    <w:p w14:paraId="6A72C5F1" w14:textId="4BCCEC28" w:rsidR="00280EE9" w:rsidRPr="00902B32" w:rsidRDefault="00280EE9" w:rsidP="00280EE9">
      <w:r w:rsidRPr="00902B32">
        <w:rPr>
          <w:i/>
          <w:iCs/>
        </w:rPr>
        <w:t>APOE4</w:t>
      </w:r>
      <w:r w:rsidRPr="00902B32">
        <w:t xml:space="preserve"> has been shown to cause a significant increase in both Aβ plaque accumulation and formation. Moreover, </w:t>
      </w:r>
      <w:r w:rsidRPr="00902B32">
        <w:rPr>
          <w:i/>
          <w:iCs/>
        </w:rPr>
        <w:t>APOE4</w:t>
      </w:r>
      <w:r w:rsidRPr="00902B32">
        <w:t xml:space="preserve"> is involved in neuroinflammation and tau-mediated neurodegeneration, independently of Aβ pathology. </w:t>
      </w:r>
      <w:r w:rsidRPr="00902B32">
        <w:rPr>
          <w:i/>
          <w:iCs/>
        </w:rPr>
        <w:t>APOE4</w:t>
      </w:r>
      <w:r w:rsidRPr="00902B32">
        <w:t xml:space="preserve"> carriers also have an increased risk of having ARIAs when undergoing anti-A</w:t>
      </w:r>
      <w:r w:rsidRPr="00902B32">
        <w:rPr>
          <w:rFonts w:cstheme="minorHAnsi"/>
        </w:rPr>
        <w:t>β</w:t>
      </w:r>
      <w:r w:rsidRPr="00902B32">
        <w:t xml:space="preserve"> immunotherapy. ARIAs appear as regions of oedema or effusions (ARIA-E) in brain parenchyma or as haemorrhagic lesions (ARIA-H) in the form of cerebral microbleeds, hemosiderin deposits or intracerebral haemorrhage. The pathophysiology of ARIA is thought to be related to antibody-mediated breakdown of A</w:t>
      </w:r>
      <w:r w:rsidRPr="00902B32">
        <w:rPr>
          <w:rFonts w:cstheme="minorHAnsi"/>
        </w:rPr>
        <w:t>β</w:t>
      </w:r>
      <w:r w:rsidRPr="00902B32">
        <w:t xml:space="preserve"> plaques, which results in the released A</w:t>
      </w:r>
      <w:r w:rsidRPr="00902B32">
        <w:rPr>
          <w:rFonts w:cstheme="minorHAnsi"/>
        </w:rPr>
        <w:t>β</w:t>
      </w:r>
      <w:r w:rsidRPr="00902B32">
        <w:t xml:space="preserve"> being deposited in vessel walls.</w:t>
      </w:r>
    </w:p>
    <w:p w14:paraId="5020AA2F" w14:textId="7B28E2E0" w:rsidR="00280EE9" w:rsidRPr="00902B32" w:rsidRDefault="00280EE9" w:rsidP="00280EE9">
      <w:r w:rsidRPr="00902B32">
        <w:t xml:space="preserve">The frequency of </w:t>
      </w:r>
      <w:r w:rsidRPr="00902B32">
        <w:rPr>
          <w:i/>
          <w:iCs/>
        </w:rPr>
        <w:t>APOE4</w:t>
      </w:r>
      <w:r w:rsidRPr="00902B32">
        <w:t xml:space="preserve"> homozygosity within the Australian population has previously been observed to be lower than seen in international cohorts. Data from the Australian Imaging, Biomarkers and Lifestyle Flagship Study of Ageing demonstrated the frequency of </w:t>
      </w:r>
      <w:r w:rsidRPr="00902B32">
        <w:rPr>
          <w:i/>
        </w:rPr>
        <w:t>APOE4</w:t>
      </w:r>
      <w:r w:rsidRPr="00902B32">
        <w:t xml:space="preserve"> homozygosity to be 6.0% in patients with MCI and 5.6% in patients with severe AD.</w:t>
      </w:r>
    </w:p>
    <w:p w14:paraId="102D9BAD" w14:textId="61919592" w:rsidR="000C3048" w:rsidRDefault="00B746C9" w:rsidP="00280EE9">
      <w:r w:rsidRPr="00902B32">
        <w:t xml:space="preserve">The </w:t>
      </w:r>
      <w:r w:rsidR="0098698A">
        <w:t>pivotal</w:t>
      </w:r>
      <w:r w:rsidR="0098698A" w:rsidRPr="00902B32">
        <w:t xml:space="preserve"> </w:t>
      </w:r>
      <w:r w:rsidRPr="00902B32">
        <w:t>TB-2 trial enrolled patients who were 60–85 years of age (inclusive).</w:t>
      </w:r>
      <w:r w:rsidRPr="00902B32">
        <w:rPr>
          <w:i/>
          <w:iCs/>
        </w:rPr>
        <w:t xml:space="preserve"> </w:t>
      </w:r>
      <w:r w:rsidRPr="00902B32">
        <w:t xml:space="preserve">The </w:t>
      </w:r>
      <w:r w:rsidR="0088064C" w:rsidRPr="0088064C">
        <w:t>submission</w:t>
      </w:r>
      <w:r w:rsidR="0088064C" w:rsidRPr="0088064C" w:rsidDel="0088064C">
        <w:t xml:space="preserve"> </w:t>
      </w:r>
      <w:r w:rsidRPr="00902B32">
        <w:t xml:space="preserve">did not propose a lower (or upper) age limit in the proposed items. The justification provided in the </w:t>
      </w:r>
      <w:r w:rsidR="0088064C" w:rsidRPr="0088064C">
        <w:t>submission</w:t>
      </w:r>
      <w:r w:rsidR="0088064C" w:rsidRPr="0088064C" w:rsidDel="0088064C">
        <w:t xml:space="preserve"> </w:t>
      </w:r>
      <w:r w:rsidRPr="00902B32">
        <w:t>was that clinical advice received from the sponsor’s Advisory Board indicated that there were ethical concerns regarding an age criterion given the lack of available treatments, and that the proportion of eligible patients below the age of 60 years is only around 10%.</w:t>
      </w:r>
      <w:r w:rsidR="00F4753B" w:rsidRPr="00902B32">
        <w:t xml:space="preserve"> </w:t>
      </w:r>
      <w:r w:rsidR="00280EE9" w:rsidRPr="00902B32">
        <w:t xml:space="preserve">The </w:t>
      </w:r>
      <w:r w:rsidR="0088064C" w:rsidRPr="0088064C">
        <w:t>submission</w:t>
      </w:r>
      <w:r w:rsidR="0088064C" w:rsidRPr="0088064C" w:rsidDel="0088064C">
        <w:t xml:space="preserve"> </w:t>
      </w:r>
      <w:r w:rsidR="00280EE9" w:rsidRPr="00902B32">
        <w:t xml:space="preserve">reported the prevalence of dementia in Australia as estimated by several sources. This has been </w:t>
      </w:r>
      <w:r w:rsidR="00280EE9" w:rsidRPr="008E60E8">
        <w:t xml:space="preserve">summarised in </w:t>
      </w:r>
      <w:r w:rsidR="00A940F1">
        <w:fldChar w:fldCharType="begin"/>
      </w:r>
      <w:r w:rsidR="00A940F1">
        <w:instrText xml:space="preserve"> REF _Ref207288843 \h </w:instrText>
      </w:r>
      <w:r w:rsidR="00A940F1">
        <w:fldChar w:fldCharType="separate"/>
      </w:r>
      <w:r w:rsidR="00A940F1">
        <w:t xml:space="preserve">Table </w:t>
      </w:r>
      <w:r w:rsidR="00A940F1">
        <w:rPr>
          <w:noProof/>
        </w:rPr>
        <w:t>7</w:t>
      </w:r>
      <w:r w:rsidR="00A940F1">
        <w:fldChar w:fldCharType="end"/>
      </w:r>
      <w:r w:rsidR="00280EE9" w:rsidRPr="008E60E8">
        <w:t>.</w:t>
      </w:r>
      <w:r w:rsidR="006B308F" w:rsidRPr="008E60E8">
        <w:t xml:space="preserve"> The</w:t>
      </w:r>
      <w:r w:rsidR="006B308F" w:rsidRPr="00902B32">
        <w:t xml:space="preserve"> </w:t>
      </w:r>
      <w:r w:rsidR="0088064C" w:rsidRPr="0088064C">
        <w:t>submission</w:t>
      </w:r>
      <w:r w:rsidR="0088064C" w:rsidRPr="0088064C" w:rsidDel="0088064C">
        <w:t xml:space="preserve"> </w:t>
      </w:r>
      <w:r w:rsidR="006B308F" w:rsidRPr="00902B32">
        <w:t>noted that the variation in the estimates can be attributed to differences in the underlying data and definitions within these sources.</w:t>
      </w:r>
    </w:p>
    <w:p w14:paraId="40BA0414" w14:textId="6198AF5C" w:rsidR="00280EE9" w:rsidRPr="00EE0EEB" w:rsidRDefault="00865249" w:rsidP="00565B62">
      <w:pPr>
        <w:pStyle w:val="Caption"/>
      </w:pPr>
      <w:bookmarkStart w:id="22" w:name="_Ref207288843"/>
      <w:r>
        <w:t xml:space="preserve">Table </w:t>
      </w:r>
      <w:r>
        <w:fldChar w:fldCharType="begin"/>
      </w:r>
      <w:r>
        <w:instrText xml:space="preserve"> SEQ Table \* ARABIC </w:instrText>
      </w:r>
      <w:r>
        <w:fldChar w:fldCharType="separate"/>
      </w:r>
      <w:r>
        <w:rPr>
          <w:noProof/>
        </w:rPr>
        <w:t>7</w:t>
      </w:r>
      <w:r>
        <w:rPr>
          <w:noProof/>
        </w:rPr>
        <w:fldChar w:fldCharType="end"/>
      </w:r>
      <w:bookmarkEnd w:id="22"/>
      <w:r>
        <w:t xml:space="preserve"> </w:t>
      </w:r>
      <w:r w:rsidR="00CB67E0">
        <w:t xml:space="preserve">The </w:t>
      </w:r>
      <w:r w:rsidR="006527CC" w:rsidRPr="006527CC">
        <w:t>submission</w:t>
      </w:r>
      <w:r w:rsidR="0098698A">
        <w:t xml:space="preserve">’s </w:t>
      </w:r>
      <w:r w:rsidR="00435A32">
        <w:t>e</w:t>
      </w:r>
      <w:r w:rsidR="00280EE9" w:rsidRPr="00EE0EEB">
        <w:t xml:space="preserve">stimation of dementia prevalence in </w:t>
      </w:r>
      <w:r w:rsidR="00FB2ABE" w:rsidRPr="00EE0EEB">
        <w:t xml:space="preserve">Australia in </w:t>
      </w:r>
      <w:r w:rsidR="00280EE9" w:rsidRPr="00EE0EEB">
        <w:t>2023</w:t>
      </w:r>
    </w:p>
    <w:tbl>
      <w:tblPr>
        <w:tblStyle w:val="Header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1486"/>
        <w:gridCol w:w="1488"/>
        <w:gridCol w:w="1488"/>
        <w:gridCol w:w="1488"/>
      </w:tblGrid>
      <w:tr w:rsidR="00280EE9" w:rsidRPr="00EE0EEB" w14:paraId="4F541FBF" w14:textId="77777777" w:rsidTr="000D55CC">
        <w:trPr>
          <w:trHeight w:val="163"/>
        </w:trPr>
        <w:tc>
          <w:tcPr>
            <w:tcW w:w="1701" w:type="pct"/>
            <w:vMerge w:val="restart"/>
          </w:tcPr>
          <w:p w14:paraId="3B3B5100" w14:textId="77777777" w:rsidR="00280EE9" w:rsidRPr="00EE0EEB" w:rsidRDefault="00280EE9" w:rsidP="00280EE9">
            <w:pPr>
              <w:keepNext/>
              <w:keepLines/>
              <w:spacing w:before="20" w:after="20"/>
              <w:rPr>
                <w:rFonts w:ascii="Arial Narrow" w:hAnsi="Arial Narrow" w:cs="Calibri"/>
                <w:b/>
                <w:sz w:val="20"/>
                <w:szCs w:val="20"/>
                <w:lang w:val="en-AU"/>
              </w:rPr>
            </w:pPr>
            <w:r w:rsidRPr="00EE0EEB">
              <w:rPr>
                <w:rFonts w:ascii="Arial Narrow" w:hAnsi="Arial Narrow" w:cs="Calibri"/>
                <w:b/>
                <w:sz w:val="20"/>
                <w:szCs w:val="20"/>
                <w:lang w:val="en-AU"/>
              </w:rPr>
              <w:t>Source</w:t>
            </w:r>
          </w:p>
        </w:tc>
        <w:tc>
          <w:tcPr>
            <w:tcW w:w="1649" w:type="pct"/>
            <w:gridSpan w:val="2"/>
            <w:vAlign w:val="center"/>
          </w:tcPr>
          <w:p w14:paraId="6D9F4FC1" w14:textId="0729C2EE" w:rsidR="00280EE9" w:rsidRPr="00EE0EEB" w:rsidRDefault="00280EE9" w:rsidP="00280EE9">
            <w:pPr>
              <w:keepNext/>
              <w:keepLines/>
              <w:spacing w:before="20" w:after="20"/>
              <w:jc w:val="center"/>
              <w:rPr>
                <w:rFonts w:ascii="Arial Narrow" w:hAnsi="Arial Narrow" w:cs="Calibri"/>
                <w:b/>
                <w:sz w:val="20"/>
                <w:szCs w:val="20"/>
                <w:lang w:val="en-AU"/>
              </w:rPr>
            </w:pPr>
            <w:r w:rsidRPr="00EE0EEB">
              <w:rPr>
                <w:rFonts w:ascii="Arial Narrow" w:hAnsi="Arial Narrow" w:cs="Calibri"/>
                <w:b/>
                <w:sz w:val="20"/>
                <w:szCs w:val="20"/>
                <w:lang w:val="en-AU"/>
              </w:rPr>
              <w:t xml:space="preserve">2023 calculated dementia </w:t>
            </w:r>
            <w:proofErr w:type="spellStart"/>
            <w:r w:rsidRPr="00EE0EEB">
              <w:rPr>
                <w:rFonts w:ascii="Arial Narrow" w:hAnsi="Arial Narrow" w:cs="Calibri"/>
                <w:b/>
                <w:sz w:val="20"/>
                <w:szCs w:val="20"/>
                <w:lang w:val="en-AU"/>
              </w:rPr>
              <w:t>population</w:t>
            </w:r>
            <w:r w:rsidR="00A969D1" w:rsidRPr="00EE0EEB">
              <w:rPr>
                <w:rFonts w:ascii="Arial Narrow" w:hAnsi="Arial Narrow" w:cs="Calibri"/>
                <w:b/>
                <w:sz w:val="20"/>
                <w:szCs w:val="20"/>
                <w:vertAlign w:val="superscript"/>
                <w:lang w:val="en-AU"/>
              </w:rPr>
              <w:t>a</w:t>
            </w:r>
            <w:proofErr w:type="spellEnd"/>
          </w:p>
        </w:tc>
        <w:tc>
          <w:tcPr>
            <w:tcW w:w="1650" w:type="pct"/>
            <w:gridSpan w:val="2"/>
            <w:vAlign w:val="center"/>
          </w:tcPr>
          <w:p w14:paraId="13C38864" w14:textId="5BFE3F13" w:rsidR="00280EE9" w:rsidRPr="00EE0EEB" w:rsidRDefault="00280EE9" w:rsidP="00280EE9">
            <w:pPr>
              <w:keepNext/>
              <w:keepLines/>
              <w:spacing w:before="20" w:after="20"/>
              <w:jc w:val="center"/>
              <w:rPr>
                <w:rFonts w:ascii="Arial Narrow" w:hAnsi="Arial Narrow" w:cs="Calibri"/>
                <w:b/>
                <w:sz w:val="20"/>
                <w:szCs w:val="20"/>
                <w:vertAlign w:val="superscript"/>
                <w:lang w:val="en-AU"/>
              </w:rPr>
            </w:pPr>
            <w:r w:rsidRPr="00EE0EEB">
              <w:rPr>
                <w:rFonts w:ascii="Arial Narrow" w:hAnsi="Arial Narrow" w:cs="Calibri"/>
                <w:b/>
                <w:sz w:val="20"/>
                <w:szCs w:val="20"/>
                <w:lang w:val="en-AU"/>
              </w:rPr>
              <w:t xml:space="preserve">2023 calculated dementia prevalence per 1,000 </w:t>
            </w:r>
            <w:proofErr w:type="spellStart"/>
            <w:r w:rsidRPr="00EE0EEB">
              <w:rPr>
                <w:rFonts w:ascii="Arial Narrow" w:hAnsi="Arial Narrow" w:cs="Calibri"/>
                <w:b/>
                <w:sz w:val="20"/>
                <w:szCs w:val="20"/>
                <w:lang w:val="en-AU"/>
              </w:rPr>
              <w:t>people</w:t>
            </w:r>
            <w:r w:rsidR="00A969D1" w:rsidRPr="00EE0EEB">
              <w:rPr>
                <w:rFonts w:ascii="Arial Narrow" w:hAnsi="Arial Narrow" w:cs="Calibri"/>
                <w:b/>
                <w:sz w:val="20"/>
                <w:szCs w:val="20"/>
                <w:vertAlign w:val="superscript"/>
                <w:lang w:val="en-AU"/>
              </w:rPr>
              <w:t>a</w:t>
            </w:r>
            <w:proofErr w:type="spellEnd"/>
          </w:p>
        </w:tc>
      </w:tr>
      <w:tr w:rsidR="00280EE9" w:rsidRPr="00EE0EEB" w14:paraId="3AFE4BBC" w14:textId="77777777" w:rsidTr="000D55CC">
        <w:trPr>
          <w:trHeight w:val="163"/>
        </w:trPr>
        <w:tc>
          <w:tcPr>
            <w:tcW w:w="1701" w:type="pct"/>
            <w:vMerge/>
          </w:tcPr>
          <w:p w14:paraId="6952BDCC" w14:textId="77777777" w:rsidR="00280EE9" w:rsidRPr="00EE0EEB" w:rsidRDefault="00280EE9" w:rsidP="00280EE9">
            <w:pPr>
              <w:keepNext/>
              <w:keepLines/>
              <w:spacing w:before="20" w:after="20"/>
              <w:rPr>
                <w:rFonts w:ascii="Arial Narrow" w:hAnsi="Arial Narrow" w:cs="Calibri"/>
                <w:b/>
                <w:sz w:val="20"/>
                <w:szCs w:val="20"/>
                <w:lang w:val="en-AU"/>
              </w:rPr>
            </w:pPr>
          </w:p>
        </w:tc>
        <w:tc>
          <w:tcPr>
            <w:tcW w:w="824" w:type="pct"/>
            <w:vAlign w:val="center"/>
          </w:tcPr>
          <w:p w14:paraId="26482C07" w14:textId="4EA296B7" w:rsidR="00280EE9" w:rsidRPr="00EE0EEB" w:rsidRDefault="009D0933" w:rsidP="00280EE9">
            <w:pPr>
              <w:keepNext/>
              <w:keepLines/>
              <w:spacing w:before="20" w:after="20"/>
              <w:jc w:val="center"/>
              <w:rPr>
                <w:rFonts w:ascii="Arial Narrow" w:hAnsi="Arial Narrow" w:cs="Calibri"/>
                <w:b/>
                <w:sz w:val="20"/>
                <w:szCs w:val="20"/>
                <w:lang w:val="en-AU"/>
              </w:rPr>
            </w:pPr>
            <w:r w:rsidRPr="00EE0EEB">
              <w:rPr>
                <w:rFonts w:ascii="Arial Narrow" w:hAnsi="Arial Narrow" w:cs="Calibri"/>
                <w:b/>
                <w:sz w:val="20"/>
                <w:szCs w:val="20"/>
                <w:lang w:val="en-AU"/>
              </w:rPr>
              <w:t xml:space="preserve">Age </w:t>
            </w:r>
            <w:r w:rsidR="00280EE9" w:rsidRPr="00EE0EEB">
              <w:rPr>
                <w:rFonts w:ascii="Arial Narrow" w:hAnsi="Arial Narrow" w:cs="Calibri"/>
                <w:b/>
                <w:sz w:val="20"/>
                <w:szCs w:val="20"/>
                <w:lang w:val="en-AU"/>
              </w:rPr>
              <w:t>60+</w:t>
            </w:r>
            <w:r w:rsidR="00B50592" w:rsidRPr="00EE0EEB">
              <w:rPr>
                <w:rFonts w:ascii="Arial Narrow" w:hAnsi="Arial Narrow" w:cs="Calibri"/>
                <w:b/>
                <w:sz w:val="20"/>
                <w:szCs w:val="20"/>
                <w:lang w:val="en-AU"/>
              </w:rPr>
              <w:t xml:space="preserve"> yrs</w:t>
            </w:r>
          </w:p>
        </w:tc>
        <w:tc>
          <w:tcPr>
            <w:tcW w:w="825" w:type="pct"/>
            <w:vAlign w:val="center"/>
          </w:tcPr>
          <w:p w14:paraId="39CDD81E" w14:textId="0446C3C0" w:rsidR="00280EE9" w:rsidRPr="00EE0EEB" w:rsidRDefault="00B50592" w:rsidP="00280EE9">
            <w:pPr>
              <w:keepNext/>
              <w:keepLines/>
              <w:spacing w:before="20" w:after="20"/>
              <w:jc w:val="center"/>
              <w:rPr>
                <w:rFonts w:ascii="Arial Narrow" w:hAnsi="Arial Narrow" w:cs="Calibri"/>
                <w:b/>
                <w:sz w:val="20"/>
                <w:szCs w:val="20"/>
                <w:lang w:val="en-AU"/>
              </w:rPr>
            </w:pPr>
            <w:r w:rsidRPr="00EE0EEB">
              <w:rPr>
                <w:rFonts w:ascii="Arial Narrow" w:hAnsi="Arial Narrow" w:cs="Calibri"/>
                <w:b/>
                <w:sz w:val="20"/>
                <w:szCs w:val="20"/>
                <w:lang w:val="en-AU"/>
              </w:rPr>
              <w:t xml:space="preserve">Age </w:t>
            </w:r>
            <w:r w:rsidR="00280EE9" w:rsidRPr="00EE0EEB">
              <w:rPr>
                <w:rFonts w:ascii="Arial Narrow" w:hAnsi="Arial Narrow" w:cs="Calibri"/>
                <w:b/>
                <w:sz w:val="20"/>
                <w:szCs w:val="20"/>
                <w:lang w:val="en-AU"/>
              </w:rPr>
              <w:t>65+</w:t>
            </w:r>
            <w:r w:rsidR="00A6447C" w:rsidRPr="00EE0EEB">
              <w:rPr>
                <w:rFonts w:ascii="Arial Narrow" w:hAnsi="Arial Narrow" w:cs="Calibri"/>
                <w:b/>
                <w:sz w:val="20"/>
                <w:szCs w:val="20"/>
                <w:lang w:val="en-AU"/>
              </w:rPr>
              <w:t xml:space="preserve"> yrs</w:t>
            </w:r>
          </w:p>
        </w:tc>
        <w:tc>
          <w:tcPr>
            <w:tcW w:w="825" w:type="pct"/>
            <w:vAlign w:val="center"/>
          </w:tcPr>
          <w:p w14:paraId="28E8CCFE" w14:textId="47926D1B" w:rsidR="00280EE9" w:rsidRPr="00EE0EEB" w:rsidRDefault="00B50592" w:rsidP="00280EE9">
            <w:pPr>
              <w:keepNext/>
              <w:keepLines/>
              <w:spacing w:before="20" w:after="20"/>
              <w:jc w:val="center"/>
              <w:rPr>
                <w:rFonts w:ascii="Arial Narrow" w:hAnsi="Arial Narrow" w:cs="Calibri"/>
                <w:b/>
                <w:sz w:val="20"/>
                <w:szCs w:val="20"/>
                <w:lang w:val="en-AU"/>
              </w:rPr>
            </w:pPr>
            <w:r w:rsidRPr="00EE0EEB">
              <w:rPr>
                <w:rFonts w:ascii="Arial Narrow" w:hAnsi="Arial Narrow" w:cs="Calibri"/>
                <w:b/>
                <w:sz w:val="20"/>
                <w:szCs w:val="20"/>
                <w:lang w:val="en-AU"/>
              </w:rPr>
              <w:t xml:space="preserve">Age </w:t>
            </w:r>
            <w:r w:rsidR="00280EE9" w:rsidRPr="00EE0EEB">
              <w:rPr>
                <w:rFonts w:ascii="Arial Narrow" w:hAnsi="Arial Narrow" w:cs="Calibri"/>
                <w:b/>
                <w:sz w:val="20"/>
                <w:szCs w:val="20"/>
                <w:lang w:val="en-AU"/>
              </w:rPr>
              <w:t>60+</w:t>
            </w:r>
            <w:r w:rsidR="00A6447C" w:rsidRPr="00EE0EEB">
              <w:rPr>
                <w:rFonts w:ascii="Arial Narrow" w:hAnsi="Arial Narrow" w:cs="Calibri"/>
                <w:b/>
                <w:sz w:val="20"/>
                <w:szCs w:val="20"/>
                <w:lang w:val="en-AU"/>
              </w:rPr>
              <w:t xml:space="preserve"> yrs</w:t>
            </w:r>
          </w:p>
        </w:tc>
        <w:tc>
          <w:tcPr>
            <w:tcW w:w="825" w:type="pct"/>
            <w:vAlign w:val="center"/>
          </w:tcPr>
          <w:p w14:paraId="060CFACD" w14:textId="594EDAEF" w:rsidR="00280EE9" w:rsidRPr="00EE0EEB" w:rsidRDefault="007A7CE3" w:rsidP="00280EE9">
            <w:pPr>
              <w:keepNext/>
              <w:keepLines/>
              <w:spacing w:before="20" w:after="20"/>
              <w:jc w:val="center"/>
              <w:rPr>
                <w:rFonts w:ascii="Arial Narrow" w:hAnsi="Arial Narrow" w:cs="Calibri"/>
                <w:b/>
                <w:sz w:val="20"/>
                <w:szCs w:val="20"/>
                <w:lang w:val="en-AU"/>
              </w:rPr>
            </w:pPr>
            <w:r w:rsidRPr="00EE0EEB">
              <w:rPr>
                <w:rFonts w:ascii="Arial Narrow" w:hAnsi="Arial Narrow" w:cs="Calibri"/>
                <w:b/>
                <w:sz w:val="20"/>
                <w:szCs w:val="20"/>
                <w:lang w:val="en-AU"/>
              </w:rPr>
              <w:t xml:space="preserve">Age </w:t>
            </w:r>
            <w:r w:rsidR="00280EE9" w:rsidRPr="00EE0EEB">
              <w:rPr>
                <w:rFonts w:ascii="Arial Narrow" w:hAnsi="Arial Narrow" w:cs="Calibri"/>
                <w:b/>
                <w:sz w:val="20"/>
                <w:szCs w:val="20"/>
                <w:lang w:val="en-AU"/>
              </w:rPr>
              <w:t>65+</w:t>
            </w:r>
            <w:r w:rsidR="00A6447C" w:rsidRPr="00EE0EEB">
              <w:rPr>
                <w:rFonts w:ascii="Arial Narrow" w:hAnsi="Arial Narrow" w:cs="Calibri"/>
                <w:b/>
                <w:sz w:val="20"/>
                <w:szCs w:val="20"/>
                <w:lang w:val="en-AU"/>
              </w:rPr>
              <w:t xml:space="preserve"> yrs</w:t>
            </w:r>
          </w:p>
        </w:tc>
      </w:tr>
      <w:tr w:rsidR="00280EE9" w:rsidRPr="00EE0EEB" w14:paraId="4B288144" w14:textId="77777777" w:rsidTr="000D55CC">
        <w:trPr>
          <w:trHeight w:val="64"/>
        </w:trPr>
        <w:tc>
          <w:tcPr>
            <w:tcW w:w="1701" w:type="pct"/>
          </w:tcPr>
          <w:p w14:paraId="48AC4D27" w14:textId="77777777" w:rsidR="00280EE9" w:rsidRPr="00EE0EEB" w:rsidRDefault="00280EE9" w:rsidP="00280EE9">
            <w:pPr>
              <w:keepNext/>
              <w:keepLines/>
              <w:spacing w:before="20" w:after="20"/>
              <w:rPr>
                <w:rFonts w:ascii="Arial Narrow" w:hAnsi="Arial Narrow" w:cs="Calibri"/>
                <w:sz w:val="20"/>
                <w:szCs w:val="20"/>
                <w:lang w:val="en-AU"/>
              </w:rPr>
            </w:pPr>
            <w:r w:rsidRPr="00EE0EEB">
              <w:rPr>
                <w:rFonts w:ascii="Arial Narrow" w:hAnsi="Arial Narrow" w:cs="Calibri"/>
                <w:sz w:val="20"/>
                <w:szCs w:val="20"/>
                <w:lang w:val="en-AU"/>
              </w:rPr>
              <w:t>AIHW (2024)</w:t>
            </w:r>
          </w:p>
        </w:tc>
        <w:tc>
          <w:tcPr>
            <w:tcW w:w="824" w:type="pct"/>
            <w:vAlign w:val="center"/>
          </w:tcPr>
          <w:p w14:paraId="1518B38D"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405,627</w:t>
            </w:r>
          </w:p>
        </w:tc>
        <w:tc>
          <w:tcPr>
            <w:tcW w:w="825" w:type="pct"/>
            <w:vAlign w:val="center"/>
          </w:tcPr>
          <w:p w14:paraId="6FACEEA7"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382,280</w:t>
            </w:r>
          </w:p>
        </w:tc>
        <w:tc>
          <w:tcPr>
            <w:tcW w:w="825" w:type="pct"/>
            <w:vAlign w:val="center"/>
          </w:tcPr>
          <w:p w14:paraId="584C72FB"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66.8</w:t>
            </w:r>
          </w:p>
        </w:tc>
        <w:tc>
          <w:tcPr>
            <w:tcW w:w="825" w:type="pct"/>
            <w:vAlign w:val="center"/>
          </w:tcPr>
          <w:p w14:paraId="07E3D9D5"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83.8</w:t>
            </w:r>
          </w:p>
        </w:tc>
      </w:tr>
      <w:tr w:rsidR="00280EE9" w:rsidRPr="00EE0EEB" w14:paraId="25376406" w14:textId="77777777" w:rsidTr="000D55CC">
        <w:trPr>
          <w:trHeight w:val="64"/>
        </w:trPr>
        <w:tc>
          <w:tcPr>
            <w:tcW w:w="1701" w:type="pct"/>
          </w:tcPr>
          <w:p w14:paraId="6BF3F314" w14:textId="77777777" w:rsidR="00280EE9" w:rsidRPr="00EE0EEB" w:rsidRDefault="00280EE9" w:rsidP="00280EE9">
            <w:pPr>
              <w:keepNext/>
              <w:keepLines/>
              <w:spacing w:before="20" w:after="20"/>
              <w:rPr>
                <w:rFonts w:ascii="Arial Narrow" w:hAnsi="Arial Narrow" w:cs="Calibri"/>
                <w:sz w:val="20"/>
                <w:szCs w:val="20"/>
                <w:lang w:val="en-AU"/>
              </w:rPr>
            </w:pPr>
            <w:r w:rsidRPr="00EE0EEB">
              <w:rPr>
                <w:rFonts w:ascii="Arial Narrow" w:hAnsi="Arial Narrow" w:cs="Calibri"/>
                <w:sz w:val="20"/>
                <w:szCs w:val="20"/>
                <w:lang w:val="en-AU"/>
              </w:rPr>
              <w:t>ABS Census (2021)</w:t>
            </w:r>
          </w:p>
        </w:tc>
        <w:tc>
          <w:tcPr>
            <w:tcW w:w="824" w:type="pct"/>
            <w:vAlign w:val="center"/>
          </w:tcPr>
          <w:p w14:paraId="08C13D41"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190,251</w:t>
            </w:r>
          </w:p>
        </w:tc>
        <w:tc>
          <w:tcPr>
            <w:tcW w:w="825" w:type="pct"/>
            <w:vAlign w:val="center"/>
          </w:tcPr>
          <w:p w14:paraId="7857AB2B"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185,194</w:t>
            </w:r>
          </w:p>
        </w:tc>
        <w:tc>
          <w:tcPr>
            <w:tcW w:w="825" w:type="pct"/>
            <w:vAlign w:val="center"/>
          </w:tcPr>
          <w:p w14:paraId="564E988A"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31.3</w:t>
            </w:r>
          </w:p>
        </w:tc>
        <w:tc>
          <w:tcPr>
            <w:tcW w:w="825" w:type="pct"/>
            <w:vAlign w:val="center"/>
          </w:tcPr>
          <w:p w14:paraId="203ED328"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40.6</w:t>
            </w:r>
          </w:p>
        </w:tc>
      </w:tr>
      <w:tr w:rsidR="00280EE9" w:rsidRPr="00EE0EEB" w14:paraId="4980B025" w14:textId="77777777" w:rsidTr="000D55CC">
        <w:trPr>
          <w:trHeight w:val="64"/>
        </w:trPr>
        <w:tc>
          <w:tcPr>
            <w:tcW w:w="1701" w:type="pct"/>
          </w:tcPr>
          <w:p w14:paraId="59050063" w14:textId="77777777" w:rsidR="00280EE9" w:rsidRPr="00EE0EEB" w:rsidRDefault="00280EE9" w:rsidP="00280EE9">
            <w:pPr>
              <w:keepNext/>
              <w:keepLines/>
              <w:spacing w:before="20" w:after="20"/>
              <w:rPr>
                <w:rFonts w:ascii="Arial Narrow" w:hAnsi="Arial Narrow" w:cs="Calibri"/>
                <w:sz w:val="20"/>
                <w:szCs w:val="20"/>
                <w:lang w:val="en-AU"/>
              </w:rPr>
            </w:pPr>
            <w:r w:rsidRPr="00EE0EEB">
              <w:rPr>
                <w:rFonts w:ascii="Arial Narrow" w:hAnsi="Arial Narrow" w:cs="Calibri"/>
                <w:sz w:val="20"/>
                <w:szCs w:val="20"/>
                <w:lang w:val="en-AU"/>
              </w:rPr>
              <w:t>NPS MedicineWise GPIR (2018-19)</w:t>
            </w:r>
          </w:p>
        </w:tc>
        <w:tc>
          <w:tcPr>
            <w:tcW w:w="824" w:type="pct"/>
            <w:vAlign w:val="center"/>
          </w:tcPr>
          <w:p w14:paraId="2FECB75F"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130,713</w:t>
            </w:r>
          </w:p>
        </w:tc>
        <w:tc>
          <w:tcPr>
            <w:tcW w:w="825" w:type="pct"/>
            <w:vAlign w:val="center"/>
          </w:tcPr>
          <w:p w14:paraId="27439673"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w:t>
            </w:r>
          </w:p>
        </w:tc>
        <w:tc>
          <w:tcPr>
            <w:tcW w:w="825" w:type="pct"/>
            <w:vAlign w:val="center"/>
          </w:tcPr>
          <w:p w14:paraId="66EF7292"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21.5</w:t>
            </w:r>
          </w:p>
        </w:tc>
        <w:tc>
          <w:tcPr>
            <w:tcW w:w="825" w:type="pct"/>
            <w:vAlign w:val="center"/>
          </w:tcPr>
          <w:p w14:paraId="0B0B3F1B"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w:t>
            </w:r>
          </w:p>
        </w:tc>
      </w:tr>
      <w:tr w:rsidR="00280EE9" w:rsidRPr="00EE0EEB" w14:paraId="4B2A0E06" w14:textId="77777777" w:rsidTr="000D55CC">
        <w:trPr>
          <w:trHeight w:val="173"/>
        </w:trPr>
        <w:tc>
          <w:tcPr>
            <w:tcW w:w="1701" w:type="pct"/>
          </w:tcPr>
          <w:p w14:paraId="68F26444" w14:textId="6AECAFCF" w:rsidR="00280EE9" w:rsidRPr="00EE0EEB" w:rsidRDefault="00280EE9" w:rsidP="00280EE9">
            <w:pPr>
              <w:keepNext/>
              <w:keepLines/>
              <w:spacing w:before="20" w:after="20"/>
              <w:rPr>
                <w:rFonts w:ascii="Arial Narrow" w:hAnsi="Arial Narrow" w:cs="Calibri"/>
                <w:sz w:val="20"/>
                <w:szCs w:val="20"/>
                <w:lang w:val="en-AU"/>
              </w:rPr>
            </w:pPr>
            <w:r w:rsidRPr="00EE0EEB">
              <w:rPr>
                <w:rFonts w:ascii="Arial Narrow" w:hAnsi="Arial Narrow" w:cs="Calibri"/>
                <w:sz w:val="20"/>
                <w:szCs w:val="20"/>
                <w:lang w:val="en-AU"/>
              </w:rPr>
              <w:t>SDAC (</w:t>
            </w:r>
            <w:proofErr w:type="gramStart"/>
            <w:r w:rsidRPr="00EE0EEB">
              <w:rPr>
                <w:rFonts w:ascii="Arial Narrow" w:hAnsi="Arial Narrow" w:cs="Calibri"/>
                <w:sz w:val="20"/>
                <w:szCs w:val="20"/>
                <w:lang w:val="en-AU"/>
              </w:rPr>
              <w:t>2018)</w:t>
            </w:r>
            <w:r w:rsidR="00435A32" w:rsidRPr="00435A32">
              <w:rPr>
                <w:rFonts w:ascii="Arial Narrow" w:hAnsi="Arial Narrow" w:cs="Calibri"/>
                <w:sz w:val="20"/>
                <w:szCs w:val="20"/>
                <w:vertAlign w:val="superscript"/>
                <w:lang w:val="en-AU"/>
              </w:rPr>
              <w:t>b</w:t>
            </w:r>
            <w:proofErr w:type="gramEnd"/>
          </w:p>
        </w:tc>
        <w:tc>
          <w:tcPr>
            <w:tcW w:w="824" w:type="pct"/>
            <w:vAlign w:val="center"/>
          </w:tcPr>
          <w:p w14:paraId="35FD62F7" w14:textId="347F8ACB" w:rsidR="00280EE9" w:rsidRPr="00EE0EEB" w:rsidRDefault="00280EE9" w:rsidP="00280EE9">
            <w:pPr>
              <w:keepNext/>
              <w:keepLines/>
              <w:spacing w:before="20" w:after="20"/>
              <w:jc w:val="center"/>
              <w:rPr>
                <w:rFonts w:ascii="Arial Narrow" w:hAnsi="Arial Narrow" w:cs="Calibri"/>
                <w:sz w:val="20"/>
                <w:szCs w:val="20"/>
                <w:vertAlign w:val="superscript"/>
                <w:lang w:val="en-AU"/>
              </w:rPr>
            </w:pPr>
            <w:r w:rsidRPr="00EE0EEB">
              <w:rPr>
                <w:rFonts w:ascii="Arial Narrow" w:hAnsi="Arial Narrow" w:cs="Calibri"/>
                <w:sz w:val="20"/>
                <w:szCs w:val="20"/>
                <w:lang w:val="en-AU"/>
              </w:rPr>
              <w:t>-</w:t>
            </w:r>
            <w:r w:rsidR="00A969D1" w:rsidRPr="00EE0EEB">
              <w:rPr>
                <w:rFonts w:ascii="Arial Narrow" w:hAnsi="Arial Narrow" w:cs="Calibri"/>
                <w:sz w:val="20"/>
                <w:szCs w:val="20"/>
                <w:vertAlign w:val="superscript"/>
                <w:lang w:val="en-AU"/>
              </w:rPr>
              <w:t>b</w:t>
            </w:r>
          </w:p>
        </w:tc>
        <w:tc>
          <w:tcPr>
            <w:tcW w:w="825" w:type="pct"/>
            <w:vAlign w:val="center"/>
          </w:tcPr>
          <w:p w14:paraId="54CA6489"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143,412</w:t>
            </w:r>
          </w:p>
        </w:tc>
        <w:tc>
          <w:tcPr>
            <w:tcW w:w="825" w:type="pct"/>
            <w:vAlign w:val="center"/>
          </w:tcPr>
          <w:p w14:paraId="737FCE8F" w14:textId="273D93DF" w:rsidR="00280EE9" w:rsidRPr="00EE0EEB" w:rsidRDefault="00280EE9" w:rsidP="00280EE9">
            <w:pPr>
              <w:keepNext/>
              <w:keepLines/>
              <w:spacing w:before="20" w:after="20"/>
              <w:jc w:val="center"/>
              <w:rPr>
                <w:rFonts w:ascii="Arial Narrow" w:hAnsi="Arial Narrow" w:cs="Calibri"/>
                <w:sz w:val="20"/>
                <w:szCs w:val="20"/>
                <w:vertAlign w:val="superscript"/>
                <w:lang w:val="en-AU"/>
              </w:rPr>
            </w:pPr>
            <w:r w:rsidRPr="00EE0EEB">
              <w:rPr>
                <w:rFonts w:ascii="Arial Narrow" w:hAnsi="Arial Narrow" w:cs="Calibri"/>
                <w:sz w:val="20"/>
                <w:szCs w:val="20"/>
                <w:lang w:val="en-AU"/>
              </w:rPr>
              <w:t>-</w:t>
            </w:r>
            <w:r w:rsidR="00A969D1" w:rsidRPr="00EE0EEB">
              <w:rPr>
                <w:rFonts w:ascii="Arial Narrow" w:hAnsi="Arial Narrow" w:cs="Calibri"/>
                <w:sz w:val="20"/>
                <w:szCs w:val="20"/>
                <w:vertAlign w:val="superscript"/>
                <w:lang w:val="en-AU"/>
              </w:rPr>
              <w:t>b</w:t>
            </w:r>
          </w:p>
        </w:tc>
        <w:tc>
          <w:tcPr>
            <w:tcW w:w="825" w:type="pct"/>
            <w:vAlign w:val="center"/>
          </w:tcPr>
          <w:p w14:paraId="09242848"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31.5</w:t>
            </w:r>
          </w:p>
        </w:tc>
      </w:tr>
      <w:tr w:rsidR="00280EE9" w:rsidRPr="00EE0EEB" w14:paraId="05BF465F" w14:textId="77777777" w:rsidTr="000D55CC">
        <w:trPr>
          <w:trHeight w:val="163"/>
        </w:trPr>
        <w:tc>
          <w:tcPr>
            <w:tcW w:w="1701" w:type="pct"/>
          </w:tcPr>
          <w:p w14:paraId="2768DB0A" w14:textId="4E14B5C5" w:rsidR="00280EE9" w:rsidRPr="00EE0EEB" w:rsidRDefault="00280EE9" w:rsidP="00280EE9">
            <w:pPr>
              <w:keepNext/>
              <w:keepLines/>
              <w:spacing w:before="20" w:after="20"/>
              <w:rPr>
                <w:rFonts w:ascii="Arial Narrow" w:hAnsi="Arial Narrow" w:cs="Calibri"/>
                <w:sz w:val="20"/>
                <w:szCs w:val="20"/>
                <w:lang w:val="en-AU"/>
              </w:rPr>
            </w:pPr>
            <w:proofErr w:type="spellStart"/>
            <w:r w:rsidRPr="00EE0EEB">
              <w:rPr>
                <w:rFonts w:ascii="Arial Narrow" w:hAnsi="Arial Narrow" w:cs="Calibri"/>
                <w:sz w:val="20"/>
                <w:szCs w:val="20"/>
                <w:lang w:val="en-AU"/>
              </w:rPr>
              <w:t>DYNOPTA</w:t>
            </w:r>
            <w:r w:rsidR="00435A32" w:rsidRPr="00435A32">
              <w:rPr>
                <w:rFonts w:ascii="Arial Narrow" w:hAnsi="Arial Narrow" w:cs="Calibri"/>
                <w:sz w:val="20"/>
                <w:szCs w:val="20"/>
                <w:vertAlign w:val="superscript"/>
                <w:lang w:val="en-AU"/>
              </w:rPr>
              <w:t>b</w:t>
            </w:r>
            <w:proofErr w:type="spellEnd"/>
          </w:p>
        </w:tc>
        <w:tc>
          <w:tcPr>
            <w:tcW w:w="824" w:type="pct"/>
            <w:vAlign w:val="center"/>
          </w:tcPr>
          <w:p w14:paraId="7CA7E6D2" w14:textId="38BAC9BB" w:rsidR="00280EE9" w:rsidRPr="00EE0EEB" w:rsidRDefault="00280EE9" w:rsidP="00280EE9">
            <w:pPr>
              <w:keepNext/>
              <w:keepLines/>
              <w:spacing w:before="20" w:after="20"/>
              <w:jc w:val="center"/>
              <w:rPr>
                <w:rFonts w:ascii="Arial Narrow" w:hAnsi="Arial Narrow" w:cs="Calibri"/>
                <w:sz w:val="20"/>
                <w:szCs w:val="20"/>
                <w:vertAlign w:val="superscript"/>
                <w:lang w:val="en-AU"/>
              </w:rPr>
            </w:pPr>
            <w:r w:rsidRPr="00EE0EEB">
              <w:rPr>
                <w:rFonts w:ascii="Arial Narrow" w:hAnsi="Arial Narrow" w:cs="Calibri"/>
                <w:sz w:val="20"/>
                <w:szCs w:val="20"/>
                <w:lang w:val="en-AU"/>
              </w:rPr>
              <w:t>-</w:t>
            </w:r>
            <w:r w:rsidR="00A969D1" w:rsidRPr="00EE0EEB">
              <w:rPr>
                <w:rFonts w:ascii="Arial Narrow" w:hAnsi="Arial Narrow" w:cs="Calibri"/>
                <w:sz w:val="20"/>
                <w:szCs w:val="20"/>
                <w:vertAlign w:val="superscript"/>
                <w:lang w:val="en-AU"/>
              </w:rPr>
              <w:t>b</w:t>
            </w:r>
          </w:p>
        </w:tc>
        <w:tc>
          <w:tcPr>
            <w:tcW w:w="825" w:type="pct"/>
            <w:vAlign w:val="center"/>
          </w:tcPr>
          <w:p w14:paraId="504EFE79"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618,615</w:t>
            </w:r>
          </w:p>
        </w:tc>
        <w:tc>
          <w:tcPr>
            <w:tcW w:w="825" w:type="pct"/>
            <w:vAlign w:val="center"/>
          </w:tcPr>
          <w:p w14:paraId="01854F4A" w14:textId="4A21C54F" w:rsidR="00280EE9" w:rsidRPr="00EE0EEB" w:rsidRDefault="00280EE9" w:rsidP="00280EE9">
            <w:pPr>
              <w:keepNext/>
              <w:keepLines/>
              <w:spacing w:before="20" w:after="20"/>
              <w:jc w:val="center"/>
              <w:rPr>
                <w:rFonts w:ascii="Arial Narrow" w:hAnsi="Arial Narrow" w:cs="Calibri"/>
                <w:sz w:val="20"/>
                <w:szCs w:val="20"/>
                <w:vertAlign w:val="superscript"/>
                <w:lang w:val="en-AU"/>
              </w:rPr>
            </w:pPr>
            <w:r w:rsidRPr="00EE0EEB">
              <w:rPr>
                <w:rFonts w:ascii="Arial Narrow" w:hAnsi="Arial Narrow" w:cs="Calibri"/>
                <w:sz w:val="20"/>
                <w:szCs w:val="20"/>
                <w:lang w:val="en-AU"/>
              </w:rPr>
              <w:t>-</w:t>
            </w:r>
            <w:r w:rsidR="00A969D1" w:rsidRPr="00EE0EEB">
              <w:rPr>
                <w:rFonts w:ascii="Arial Narrow" w:hAnsi="Arial Narrow" w:cs="Calibri"/>
                <w:sz w:val="20"/>
                <w:szCs w:val="20"/>
                <w:vertAlign w:val="superscript"/>
                <w:lang w:val="en-AU"/>
              </w:rPr>
              <w:t>b</w:t>
            </w:r>
          </w:p>
        </w:tc>
        <w:tc>
          <w:tcPr>
            <w:tcW w:w="825" w:type="pct"/>
            <w:vAlign w:val="center"/>
          </w:tcPr>
          <w:p w14:paraId="723F6980" w14:textId="77777777" w:rsidR="00280EE9" w:rsidRPr="00EE0EEB" w:rsidRDefault="00280EE9" w:rsidP="00280EE9">
            <w:pPr>
              <w:keepNext/>
              <w:keepLines/>
              <w:spacing w:before="20" w:after="20"/>
              <w:jc w:val="center"/>
              <w:rPr>
                <w:rFonts w:ascii="Arial Narrow" w:hAnsi="Arial Narrow" w:cs="Calibri"/>
                <w:sz w:val="20"/>
                <w:szCs w:val="20"/>
                <w:lang w:val="en-AU"/>
              </w:rPr>
            </w:pPr>
            <w:r w:rsidRPr="00EE0EEB">
              <w:rPr>
                <w:rFonts w:ascii="Arial Narrow" w:hAnsi="Arial Narrow" w:cs="Calibri"/>
                <w:sz w:val="20"/>
                <w:szCs w:val="20"/>
                <w:lang w:val="en-AU"/>
              </w:rPr>
              <w:t>135.7</w:t>
            </w:r>
          </w:p>
        </w:tc>
      </w:tr>
    </w:tbl>
    <w:p w14:paraId="15FB54B3" w14:textId="1A36A395" w:rsidR="00280EE9" w:rsidRPr="00EE0EEB" w:rsidRDefault="00280EE9" w:rsidP="00280EE9">
      <w:pPr>
        <w:pStyle w:val="TableFooter"/>
        <w:rPr>
          <w:rFonts w:eastAsia="Calibri"/>
        </w:rPr>
      </w:pPr>
      <w:r w:rsidRPr="00EE0EEB">
        <w:rPr>
          <w:rFonts w:eastAsia="Calibri"/>
        </w:rPr>
        <w:t>Notes:</w:t>
      </w:r>
      <w:r w:rsidRPr="00EE0EEB">
        <w:rPr>
          <w:rFonts w:eastAsia="Calibri"/>
          <w:vertAlign w:val="superscript"/>
        </w:rPr>
        <w:t xml:space="preserve"> </w:t>
      </w:r>
      <w:proofErr w:type="spellStart"/>
      <w:proofErr w:type="gramStart"/>
      <w:r w:rsidR="00A969D1" w:rsidRPr="00EE0EEB">
        <w:rPr>
          <w:rFonts w:eastAsia="Calibri"/>
          <w:vertAlign w:val="superscript"/>
        </w:rPr>
        <w:t>a</w:t>
      </w:r>
      <w:proofErr w:type="spellEnd"/>
      <w:proofErr w:type="gramEnd"/>
      <w:r w:rsidR="00A969D1" w:rsidRPr="00EE0EEB">
        <w:rPr>
          <w:rFonts w:eastAsia="Calibri"/>
          <w:vertAlign w:val="superscript"/>
        </w:rPr>
        <w:t xml:space="preserve"> </w:t>
      </w:r>
      <w:r w:rsidRPr="00EE0EEB">
        <w:rPr>
          <w:rFonts w:eastAsia="Calibri"/>
        </w:rPr>
        <w:t xml:space="preserve">Estimated total dementia population and prevalence per 1,000 people were calculated by applying the age and gender specific dementia prevalence rates reported in each data source to the Australian Bureau of Statistics estimated resident population, by age </w:t>
      </w:r>
      <w:r w:rsidR="00CB67E0">
        <w:rPr>
          <w:rFonts w:eastAsia="Calibri"/>
        </w:rPr>
        <w:t xml:space="preserve">and </w:t>
      </w:r>
      <w:r w:rsidRPr="00EE0EEB">
        <w:rPr>
          <w:rFonts w:eastAsia="Calibri"/>
        </w:rPr>
        <w:t xml:space="preserve">sex </w:t>
      </w:r>
      <w:proofErr w:type="gramStart"/>
      <w:r w:rsidRPr="00EE0EEB">
        <w:rPr>
          <w:rFonts w:eastAsia="Calibri"/>
        </w:rPr>
        <w:t>at</w:t>
      </w:r>
      <w:proofErr w:type="gramEnd"/>
      <w:r w:rsidRPr="00EE0EEB">
        <w:rPr>
          <w:rFonts w:eastAsia="Calibri"/>
        </w:rPr>
        <w:t xml:space="preserve"> 30 June 2023.</w:t>
      </w:r>
      <w:r w:rsidRPr="00EE0EEB">
        <w:rPr>
          <w:rFonts w:eastAsia="Calibri"/>
          <w:vertAlign w:val="superscript"/>
        </w:rPr>
        <w:t xml:space="preserve"> </w:t>
      </w:r>
      <w:r w:rsidR="00A969D1" w:rsidRPr="00EE0EEB">
        <w:rPr>
          <w:rFonts w:eastAsia="Calibri"/>
          <w:vertAlign w:val="superscript"/>
        </w:rPr>
        <w:t>b</w:t>
      </w:r>
      <w:r w:rsidRPr="00EE0EEB">
        <w:rPr>
          <w:rFonts w:eastAsia="Calibri"/>
        </w:rPr>
        <w:t xml:space="preserve"> Underlying studies report dementia prevalence rates from 65 years and above, dementia population/prevalence in a population 60+ not available.</w:t>
      </w:r>
    </w:p>
    <w:p w14:paraId="65ED149E" w14:textId="77777777" w:rsidR="00280EE9" w:rsidRPr="00EE0EEB" w:rsidRDefault="00280EE9" w:rsidP="00280EE9">
      <w:pPr>
        <w:pStyle w:val="TableFooter"/>
        <w:rPr>
          <w:rFonts w:eastAsia="Calibri"/>
        </w:rPr>
      </w:pPr>
      <w:r w:rsidRPr="00EE0EEB">
        <w:rPr>
          <w:rFonts w:eastAsia="Calibri"/>
        </w:rPr>
        <w:t>Source: Table 1.7, page 20 of the submission</w:t>
      </w:r>
    </w:p>
    <w:p w14:paraId="4F454066" w14:textId="398C4A7E" w:rsidR="009C4D97" w:rsidRPr="00EE0EEB" w:rsidRDefault="00093281" w:rsidP="00280EE9">
      <w:pPr>
        <w:pStyle w:val="TableFooter"/>
        <w:rPr>
          <w:rFonts w:eastAsia="Calibri"/>
        </w:rPr>
      </w:pPr>
      <w:r w:rsidRPr="00EE0EEB">
        <w:rPr>
          <w:rFonts w:eastAsia="Calibri"/>
        </w:rPr>
        <w:t xml:space="preserve">ABS = </w:t>
      </w:r>
      <w:r w:rsidR="00435A32" w:rsidRPr="00435A32">
        <w:rPr>
          <w:rFonts w:eastAsia="Calibri"/>
        </w:rPr>
        <w:t>Australian Bureau of Statistics</w:t>
      </w:r>
      <w:r w:rsidR="00435A32">
        <w:rPr>
          <w:rFonts w:eastAsia="Calibri"/>
        </w:rPr>
        <w:t xml:space="preserve">; AIHW = </w:t>
      </w:r>
      <w:r w:rsidR="00435A32" w:rsidRPr="00435A32">
        <w:rPr>
          <w:rFonts w:eastAsia="Calibri"/>
        </w:rPr>
        <w:t>Australian Institute of Health and Welfare</w:t>
      </w:r>
      <w:r w:rsidR="00435A32">
        <w:rPr>
          <w:rFonts w:eastAsia="Calibri"/>
        </w:rPr>
        <w:t xml:space="preserve">; DYNOPTA = </w:t>
      </w:r>
      <w:r w:rsidR="00435A32" w:rsidRPr="00435A32">
        <w:rPr>
          <w:rFonts w:eastAsia="Calibri"/>
        </w:rPr>
        <w:t>Dynamic Analyses to Optimize Ageing</w:t>
      </w:r>
      <w:r w:rsidR="00435A32">
        <w:rPr>
          <w:rFonts w:eastAsia="Calibri"/>
        </w:rPr>
        <w:t xml:space="preserve">; GPIR = </w:t>
      </w:r>
      <w:r w:rsidR="00435A32" w:rsidRPr="00435A32">
        <w:rPr>
          <w:rFonts w:eastAsia="Calibri"/>
        </w:rPr>
        <w:t>Group Processes &amp; Intergroup Relations</w:t>
      </w:r>
      <w:r w:rsidR="00435A32">
        <w:rPr>
          <w:rFonts w:eastAsia="Calibri"/>
        </w:rPr>
        <w:t xml:space="preserve">; NPS = </w:t>
      </w:r>
      <w:r w:rsidR="00435A32" w:rsidRPr="00435A32">
        <w:rPr>
          <w:rFonts w:eastAsia="Calibri"/>
        </w:rPr>
        <w:t>National Prescribing Service</w:t>
      </w:r>
      <w:r w:rsidR="00435A32">
        <w:rPr>
          <w:rFonts w:eastAsia="Calibri"/>
        </w:rPr>
        <w:t>; SDAC</w:t>
      </w:r>
      <w:r w:rsidR="00CB67E0">
        <w:rPr>
          <w:rFonts w:eastAsia="Calibri"/>
        </w:rPr>
        <w:t xml:space="preserve">= Survey of </w:t>
      </w:r>
      <w:r w:rsidR="00CB67E0" w:rsidRPr="00CB67E0">
        <w:rPr>
          <w:rFonts w:eastAsia="Calibri"/>
        </w:rPr>
        <w:t>Disability, Ageing and Carers</w:t>
      </w:r>
      <w:r w:rsidR="00CB67E0">
        <w:rPr>
          <w:rFonts w:eastAsia="Calibri"/>
        </w:rPr>
        <w:t>.</w:t>
      </w:r>
    </w:p>
    <w:p w14:paraId="533CD713" w14:textId="223B4CF6" w:rsidR="00280EE9" w:rsidRPr="00902B32" w:rsidRDefault="00280EE9" w:rsidP="00280EE9">
      <w:r w:rsidRPr="00902B32">
        <w:t xml:space="preserve">The </w:t>
      </w:r>
      <w:r w:rsidR="00F22CC2" w:rsidRPr="00F22CC2">
        <w:t>submission</w:t>
      </w:r>
      <w:r w:rsidR="00F22CC2" w:rsidRPr="00F22CC2" w:rsidDel="00F22CC2">
        <w:t xml:space="preserve"> </w:t>
      </w:r>
      <w:r w:rsidRPr="00902B32">
        <w:t>has requested that A</w:t>
      </w:r>
      <w:r w:rsidRPr="00902B32">
        <w:rPr>
          <w:rFonts w:cstheme="minorHAnsi"/>
        </w:rPr>
        <w:t>β</w:t>
      </w:r>
      <w:r w:rsidRPr="00902B32">
        <w:t xml:space="preserve"> testing for eligibility for treatment with donanemab be available for patients with early AD (MCI due to AD and mild AD) who have been confirmed as being </w:t>
      </w:r>
      <w:r w:rsidRPr="00902B32">
        <w:rPr>
          <w:i/>
          <w:iCs/>
        </w:rPr>
        <w:t>APOE4</w:t>
      </w:r>
      <w:r w:rsidRPr="00902B32">
        <w:t xml:space="preserve"> heterozygous or non-carriers and A</w:t>
      </w:r>
      <w:r w:rsidRPr="00902B32">
        <w:rPr>
          <w:rFonts w:cstheme="minorHAnsi"/>
        </w:rPr>
        <w:t>β</w:t>
      </w:r>
      <w:r w:rsidRPr="00902B32">
        <w:t>-positive.</w:t>
      </w:r>
      <w:r w:rsidRPr="00902B32">
        <w:rPr>
          <w:i/>
          <w:iCs/>
        </w:rPr>
        <w:t xml:space="preserve"> </w:t>
      </w:r>
      <w:r w:rsidR="00100EEF" w:rsidRPr="00902B32">
        <w:t>The commentary considered that</w:t>
      </w:r>
      <w:r w:rsidR="00100EEF" w:rsidRPr="00902B32">
        <w:rPr>
          <w:i/>
          <w:iCs/>
        </w:rPr>
        <w:t xml:space="preserve"> </w:t>
      </w:r>
      <w:r w:rsidR="00100EEF" w:rsidRPr="00902B32">
        <w:t>t</w:t>
      </w:r>
      <w:r w:rsidRPr="00902B32">
        <w:t xml:space="preserve">his population was </w:t>
      </w:r>
      <w:proofErr w:type="gramStart"/>
      <w:r w:rsidRPr="00902B32">
        <w:t>fairly well</w:t>
      </w:r>
      <w:proofErr w:type="gramEnd"/>
      <w:r w:rsidRPr="00902B32">
        <w:t xml:space="preserve"> described in the submission and is appropriate due to the high likelihood of having an ARIA event in patients who are homozygous for the </w:t>
      </w:r>
      <w:r w:rsidRPr="00902B32">
        <w:rPr>
          <w:i/>
          <w:iCs/>
        </w:rPr>
        <w:t>APOE4</w:t>
      </w:r>
      <w:r w:rsidRPr="00902B32">
        <w:t xml:space="preserve"> allele.</w:t>
      </w:r>
    </w:p>
    <w:p w14:paraId="6013E066" w14:textId="466D4A04" w:rsidR="00280EE9" w:rsidRPr="00902B32" w:rsidRDefault="00F4753B" w:rsidP="00280EE9">
      <w:r w:rsidRPr="00902B32">
        <w:t>T</w:t>
      </w:r>
      <w:r w:rsidR="00280EE9" w:rsidRPr="00902B32">
        <w:t xml:space="preserve">he </w:t>
      </w:r>
      <w:r w:rsidR="00F22CC2" w:rsidRPr="00F22CC2">
        <w:t>submission</w:t>
      </w:r>
      <w:r w:rsidR="00F22CC2" w:rsidRPr="00F22CC2" w:rsidDel="00F22CC2">
        <w:t xml:space="preserve"> </w:t>
      </w:r>
      <w:r w:rsidR="00280EE9" w:rsidRPr="00902B32">
        <w:t>indicate</w:t>
      </w:r>
      <w:r w:rsidR="00DF249D">
        <w:t>d</w:t>
      </w:r>
      <w:r w:rsidR="00280EE9" w:rsidRPr="00902B32">
        <w:t xml:space="preserve"> that in 2025 there would be</w:t>
      </w:r>
      <w:r w:rsidR="00D86A61">
        <w:t xml:space="preserve"> 60,000 to &lt;70,000</w:t>
      </w:r>
      <w:r w:rsidR="00280EE9" w:rsidRPr="00902B32">
        <w:t xml:space="preserve"> patients diagnosed with early AD</w:t>
      </w:r>
      <w:r w:rsidR="00C91BB9">
        <w:t xml:space="preserve">: </w:t>
      </w:r>
      <w:r w:rsidR="00143D38">
        <w:t>10,000 to &lt;20,000</w:t>
      </w:r>
      <w:r w:rsidR="00280EE9" w:rsidRPr="00902B32">
        <w:t xml:space="preserve"> patients with MCI due to AD and </w:t>
      </w:r>
      <w:r w:rsidR="00A06FA5">
        <w:t>40</w:t>
      </w:r>
      <w:r w:rsidR="008E1560">
        <w:t>,000 to &lt;50,000</w:t>
      </w:r>
      <w:r w:rsidR="00280EE9" w:rsidRPr="00902B32">
        <w:t xml:space="preserve"> patients </w:t>
      </w:r>
      <w:r w:rsidR="00280EE9" w:rsidRPr="00902B32">
        <w:lastRenderedPageBreak/>
        <w:t xml:space="preserve">with mild AD. Of these, the </w:t>
      </w:r>
      <w:r w:rsidR="00F22CC2" w:rsidRPr="00F22CC2">
        <w:t>submission</w:t>
      </w:r>
      <w:r w:rsidR="00F22CC2" w:rsidRPr="00F22CC2" w:rsidDel="00F22CC2">
        <w:t xml:space="preserve"> </w:t>
      </w:r>
      <w:r w:rsidR="00280EE9" w:rsidRPr="00902B32">
        <w:t>estimated that</w:t>
      </w:r>
      <w:r w:rsidR="00143D38">
        <w:t xml:space="preserve"> 20,000 to &lt;30,000</w:t>
      </w:r>
      <w:r w:rsidR="00280EE9" w:rsidRPr="00902B32">
        <w:t xml:space="preserve"> (34.7%) patients would be tested for the presence of A</w:t>
      </w:r>
      <w:r w:rsidR="00280EE9" w:rsidRPr="00902B32">
        <w:rPr>
          <w:rFonts w:cstheme="minorHAnsi"/>
        </w:rPr>
        <w:t>β</w:t>
      </w:r>
      <w:r w:rsidR="00280EE9" w:rsidRPr="00902B32">
        <w:t xml:space="preserve"> pathology after MRI results, MMSE scores and </w:t>
      </w:r>
      <w:r w:rsidR="00280EE9" w:rsidRPr="00902B32">
        <w:rPr>
          <w:i/>
          <w:iCs/>
        </w:rPr>
        <w:t>APOE</w:t>
      </w:r>
      <w:r w:rsidR="00280EE9" w:rsidRPr="00902B32">
        <w:t xml:space="preserve"> genotyping were considered</w:t>
      </w:r>
      <w:r w:rsidR="00CB67E0" w:rsidRPr="00902B32">
        <w:t xml:space="preserve"> (</w:t>
      </w:r>
      <w:r w:rsidR="008C3E69">
        <w:t>30,000 to &lt;40,000</w:t>
      </w:r>
      <w:r w:rsidR="00D409AA">
        <w:t xml:space="preserve"> </w:t>
      </w:r>
      <w:r w:rsidR="00CB67E0" w:rsidRPr="00902B32">
        <w:t xml:space="preserve">patients would have been eligible for </w:t>
      </w:r>
      <w:r w:rsidR="00CB67E0" w:rsidRPr="00902B32">
        <w:rPr>
          <w:i/>
          <w:iCs/>
        </w:rPr>
        <w:t>APOE</w:t>
      </w:r>
      <w:r w:rsidR="00CB67E0" w:rsidRPr="00902B32">
        <w:t xml:space="preserve"> genotyping)</w:t>
      </w:r>
      <w:r w:rsidR="00280EE9" w:rsidRPr="00902B32">
        <w:t>. However,</w:t>
      </w:r>
      <w:r w:rsidR="00100EEF" w:rsidRPr="00902B32">
        <w:t xml:space="preserve"> the commentary noted that</w:t>
      </w:r>
      <w:r w:rsidR="00280EE9" w:rsidRPr="00902B32">
        <w:t xml:space="preserve"> these numbers were calculated using a prevalence of </w:t>
      </w:r>
      <w:r w:rsidR="00280EE9" w:rsidRPr="00902B32">
        <w:rPr>
          <w:i/>
          <w:iCs/>
        </w:rPr>
        <w:t>APOE4</w:t>
      </w:r>
      <w:r w:rsidR="00280EE9" w:rsidRPr="00902B32">
        <w:t xml:space="preserve"> homozygosity of 10.9%. If, as stated above, the prevalence in Australia is lower at around 6%, the number of patients to be tested has been underestimated by the submission, with </w:t>
      </w:r>
      <w:r w:rsidR="001E4141">
        <w:t>20,000 to &lt;30,000</w:t>
      </w:r>
      <w:r w:rsidR="00280EE9" w:rsidRPr="00902B32">
        <w:t xml:space="preserve"> patients being eligible for Aβ pathology testing.</w:t>
      </w:r>
      <w:r w:rsidR="006B308F" w:rsidRPr="00902B32">
        <w:t xml:space="preserve"> The population is also underestimated in the first year as no allowance has been made for patients previously diagnosed with MCI or early AD who may be eligible for treatment.</w:t>
      </w:r>
    </w:p>
    <w:p w14:paraId="7594837D" w14:textId="6EB509A1" w:rsidR="00280EE9" w:rsidRPr="00902B32" w:rsidRDefault="00280EE9" w:rsidP="00280EE9">
      <w:pPr>
        <w:spacing w:before="0" w:after="240"/>
        <w:rPr>
          <w:rFonts w:cs="Calibri"/>
          <w:bCs/>
        </w:rPr>
      </w:pPr>
      <w:r w:rsidRPr="00902B32">
        <w:rPr>
          <w:rFonts w:cs="Calibri"/>
          <w:bCs/>
        </w:rPr>
        <w:t xml:space="preserve">Currently, the diagnosis of AD is based on </w:t>
      </w:r>
      <w:r w:rsidR="006B308F" w:rsidRPr="00902B32">
        <w:rPr>
          <w:rFonts w:cs="Calibri"/>
          <w:bCs/>
        </w:rPr>
        <w:t xml:space="preserve">a </w:t>
      </w:r>
      <w:r w:rsidRPr="00902B32">
        <w:rPr>
          <w:rFonts w:cs="Calibri"/>
          <w:bCs/>
        </w:rPr>
        <w:t xml:space="preserve">detailed clinical consultation including patient history, cognitive assessments, medication review, blood tests and structural imaging (CT, MRI, </w:t>
      </w:r>
      <w:r w:rsidRPr="00902B32">
        <w:rPr>
          <w:rFonts w:cs="Calibri"/>
          <w:bCs/>
          <w:vertAlign w:val="superscript"/>
        </w:rPr>
        <w:t>18</w:t>
      </w:r>
      <w:r w:rsidRPr="00902B32">
        <w:rPr>
          <w:rFonts w:cs="Calibri"/>
          <w:bCs/>
        </w:rPr>
        <w:t>F-fluorodeoxyglucose (FDG)-PET). The proposed clinical management algorithm differs from the current clinical management algorithm by introducing several tests.</w:t>
      </w:r>
    </w:p>
    <w:p w14:paraId="5D855BD4" w14:textId="5E37AF23" w:rsidR="00280EE9" w:rsidRPr="00902B32" w:rsidRDefault="00280EE9" w:rsidP="00280EE9">
      <w:r w:rsidRPr="00902B32">
        <w:t xml:space="preserve">The </w:t>
      </w:r>
      <w:r w:rsidR="00F22CC2" w:rsidRPr="00F22CC2">
        <w:t>submission</w:t>
      </w:r>
      <w:r w:rsidR="00F22CC2" w:rsidRPr="00F22CC2" w:rsidDel="00F22CC2">
        <w:t xml:space="preserve"> </w:t>
      </w:r>
      <w:r w:rsidRPr="00902B32">
        <w:t xml:space="preserve">proposed a blood-based PCR test for </w:t>
      </w:r>
      <w:r w:rsidRPr="00902B32">
        <w:rPr>
          <w:i/>
          <w:iCs/>
        </w:rPr>
        <w:t>APOE</w:t>
      </w:r>
      <w:r w:rsidRPr="00902B32">
        <w:t xml:space="preserve"> genotyping for all patients </w:t>
      </w:r>
      <w:r w:rsidRPr="00902B32">
        <w:rPr>
          <w:rFonts w:cs="Calibri"/>
          <w:bCs/>
        </w:rPr>
        <w:t xml:space="preserve">with a clinical diagnosis of MCI due to AD or of mild AD </w:t>
      </w:r>
      <w:r w:rsidRPr="00902B32">
        <w:t xml:space="preserve">who are potentially eligible for targeted treatment after MRI and other findings have been considered. Patients who are homozygous for the </w:t>
      </w:r>
      <w:r w:rsidRPr="00902B32">
        <w:rPr>
          <w:i/>
          <w:iCs/>
        </w:rPr>
        <w:t>APOE4</w:t>
      </w:r>
      <w:r w:rsidRPr="00902B32">
        <w:t xml:space="preserve"> allele are at higher risk of developing ARIA adverse events from donanemab treatment and are excluded from treatment eligibility.</w:t>
      </w:r>
    </w:p>
    <w:p w14:paraId="6020B2F3" w14:textId="24BF127C" w:rsidR="00280EE9" w:rsidRPr="00902B32" w:rsidRDefault="00280EE9" w:rsidP="00280EE9">
      <w:pPr>
        <w:spacing w:before="0" w:after="240"/>
        <w:rPr>
          <w:rFonts w:cs="Calibri"/>
          <w:bCs/>
        </w:rPr>
      </w:pPr>
      <w:r w:rsidRPr="00902B32">
        <w:rPr>
          <w:rFonts w:cs="Calibri"/>
          <w:bCs/>
        </w:rPr>
        <w:t xml:space="preserve">Patients who are not homozygous for </w:t>
      </w:r>
      <w:r w:rsidRPr="00902B32">
        <w:rPr>
          <w:rFonts w:cs="Calibri"/>
          <w:bCs/>
          <w:i/>
          <w:iCs/>
        </w:rPr>
        <w:t>APOE4</w:t>
      </w:r>
      <w:r w:rsidRPr="00902B32">
        <w:rPr>
          <w:rFonts w:cs="Calibri"/>
          <w:bCs/>
        </w:rPr>
        <w:t xml:space="preserve">, would </w:t>
      </w:r>
      <w:r w:rsidR="00A268C4" w:rsidRPr="00902B32">
        <w:rPr>
          <w:rFonts w:cs="Calibri"/>
          <w:bCs/>
        </w:rPr>
        <w:t>then</w:t>
      </w:r>
      <w:r w:rsidRPr="00902B32">
        <w:rPr>
          <w:rFonts w:cs="Calibri"/>
          <w:bCs/>
        </w:rPr>
        <w:t xml:space="preserve"> be eligible for either Aβ-PET or CSF AD biomarker testing. Patients testing positive to Aβ-PET or CSF AD biomarker testing would be eligible to receive donanemab treatment plus standard of care (SOC) whereas patients testing negative for A</w:t>
      </w:r>
      <w:r w:rsidRPr="00902B32">
        <w:t>β</w:t>
      </w:r>
      <w:r w:rsidRPr="00902B32">
        <w:rPr>
          <w:rFonts w:cs="Calibri"/>
          <w:bCs/>
        </w:rPr>
        <w:t xml:space="preserve"> pathology will need further specialist investigation to determine alternative causes of cognitive impairment. </w:t>
      </w:r>
    </w:p>
    <w:p w14:paraId="617DF36F" w14:textId="17FFDE6C" w:rsidR="00280EE9" w:rsidRPr="00902B32" w:rsidRDefault="00280EE9" w:rsidP="00280EE9">
      <w:r w:rsidRPr="00902B32">
        <w:t>A</w:t>
      </w:r>
      <w:r w:rsidRPr="00902B32">
        <w:rPr>
          <w:rFonts w:cstheme="minorHAnsi"/>
        </w:rPr>
        <w:t>β</w:t>
      </w:r>
      <w:r w:rsidRPr="00902B32">
        <w:t>-PET scanning uses small amounts of a radioactive substance (a radiotracer) to provide an image that visualises proteins associated with AD pathophysiology in the brains of affected individuals. Internationally, the Food and Drug Administration (FDA) and the European Medicines Agency (EMA) have approved ¹</w:t>
      </w:r>
      <w:r w:rsidRPr="00902B32">
        <w:rPr>
          <w:rFonts w:ascii="Cambria Math" w:hAnsi="Cambria Math" w:cs="Cambria Math"/>
        </w:rPr>
        <w:t>⁸</w:t>
      </w:r>
      <w:r w:rsidRPr="00902B32">
        <w:t xml:space="preserve">F-Florbetaben (FBB; </w:t>
      </w:r>
      <w:proofErr w:type="spellStart"/>
      <w:r w:rsidRPr="00902B32">
        <w:t>Neuraceq</w:t>
      </w:r>
      <w:proofErr w:type="spellEnd"/>
      <w:r w:rsidRPr="00902B32">
        <w:t xml:space="preserve">), </w:t>
      </w:r>
      <w:r w:rsidRPr="00902B32">
        <w:rPr>
          <w:rFonts w:cs="Franklin Gothic Book"/>
        </w:rPr>
        <w:t>¹</w:t>
      </w:r>
      <w:r w:rsidRPr="00902B32">
        <w:rPr>
          <w:rFonts w:ascii="Cambria Math" w:hAnsi="Cambria Math" w:cs="Cambria Math"/>
        </w:rPr>
        <w:t>⁸</w:t>
      </w:r>
      <w:r w:rsidRPr="00902B32">
        <w:t xml:space="preserve">F-Florbetapir (FBP; </w:t>
      </w:r>
      <w:proofErr w:type="spellStart"/>
      <w:r w:rsidRPr="00902B32">
        <w:t>Amyvid</w:t>
      </w:r>
      <w:proofErr w:type="spellEnd"/>
      <w:r w:rsidRPr="00902B32">
        <w:t xml:space="preserve">), and </w:t>
      </w:r>
      <w:r w:rsidRPr="00902B32">
        <w:rPr>
          <w:rFonts w:cs="Franklin Gothic Book"/>
        </w:rPr>
        <w:t>¹</w:t>
      </w:r>
      <w:r w:rsidRPr="00902B32">
        <w:rPr>
          <w:rFonts w:ascii="Cambria Math" w:hAnsi="Cambria Math" w:cs="Cambria Math"/>
        </w:rPr>
        <w:t>⁸</w:t>
      </w:r>
      <w:r w:rsidRPr="00902B32">
        <w:t xml:space="preserve">F-Flutemetamol (FMM; </w:t>
      </w:r>
      <w:proofErr w:type="spellStart"/>
      <w:r w:rsidRPr="00902B32">
        <w:t>Vizamyl</w:t>
      </w:r>
      <w:proofErr w:type="spellEnd"/>
      <w:r w:rsidRPr="00902B32">
        <w:t xml:space="preserve">) for amyloid imaging. </w:t>
      </w:r>
    </w:p>
    <w:p w14:paraId="37F0DD64" w14:textId="27BA612E" w:rsidR="00280EE9" w:rsidRPr="00902B32" w:rsidRDefault="00280EE9" w:rsidP="00280EE9">
      <w:r w:rsidRPr="00902B32">
        <w:t xml:space="preserve">Aβ-PET scans are almost always performed with CT or MRI for accurate anatomic localisation of the pathology and for attenuation correction purposes. </w:t>
      </w:r>
      <w:r w:rsidR="006B308F" w:rsidRPr="00902B32">
        <w:t xml:space="preserve">The submission stated that in their assessment of MSAC Application 1643, </w:t>
      </w:r>
      <w:r w:rsidR="00470D94" w:rsidRPr="00902B32">
        <w:t>PASC</w:t>
      </w:r>
      <w:r w:rsidR="006B308F" w:rsidRPr="00902B32">
        <w:t xml:space="preserve"> noted that </w:t>
      </w:r>
      <w:r w:rsidRPr="00902B32">
        <w:t>PET is never performed without CT in current clinical practice in Australia, except for rare cases in which PET/MRI is used.</w:t>
      </w:r>
    </w:p>
    <w:p w14:paraId="2E6A06AB" w14:textId="4BBF43C0" w:rsidR="00280EE9" w:rsidRPr="00902B32" w:rsidRDefault="00280EE9" w:rsidP="00280EE9">
      <w:r w:rsidRPr="00902B32">
        <w:t xml:space="preserve">The </w:t>
      </w:r>
      <w:r w:rsidR="00BD5FC1" w:rsidRPr="00BD5FC1">
        <w:t>submission</w:t>
      </w:r>
      <w:r w:rsidR="00BD5FC1" w:rsidRPr="00BD5FC1" w:rsidDel="00BD5FC1">
        <w:t xml:space="preserve"> </w:t>
      </w:r>
      <w:r w:rsidRPr="00902B32">
        <w:t xml:space="preserve">noted that in Australia, FBB, FBP, and FMM are currently commercially manufactured by one company, </w:t>
      </w:r>
      <w:proofErr w:type="spellStart"/>
      <w:r w:rsidRPr="00902B32">
        <w:t>Cyclotek</w:t>
      </w:r>
      <w:proofErr w:type="spellEnd"/>
      <w:r w:rsidRPr="00902B32">
        <w:t xml:space="preserve">, for use in clinical trials in Australia and New Zealand. </w:t>
      </w:r>
      <w:proofErr w:type="spellStart"/>
      <w:r w:rsidRPr="00902B32">
        <w:t>Cyclotek</w:t>
      </w:r>
      <w:proofErr w:type="spellEnd"/>
      <w:r w:rsidRPr="00902B32">
        <w:t xml:space="preserve"> has also made FBB available through the Special Access Scheme for clinical use in Australia. </w:t>
      </w:r>
    </w:p>
    <w:p w14:paraId="348E9095" w14:textId="53A6B7B2" w:rsidR="00280EE9" w:rsidRPr="00902B32" w:rsidRDefault="00280EE9" w:rsidP="00280EE9">
      <w:r w:rsidRPr="00902B32">
        <w:t xml:space="preserve">The </w:t>
      </w:r>
      <w:r w:rsidR="00BD5FC1" w:rsidRPr="00BD5FC1">
        <w:t>submission</w:t>
      </w:r>
      <w:r w:rsidR="00BD5FC1" w:rsidRPr="00BD5FC1" w:rsidDel="00BD5FC1">
        <w:t xml:space="preserve"> </w:t>
      </w:r>
      <w:r w:rsidRPr="00902B32">
        <w:t>also noted that A</w:t>
      </w:r>
      <w:r w:rsidRPr="00902B32">
        <w:rPr>
          <w:rFonts w:cstheme="minorHAnsi"/>
        </w:rPr>
        <w:t>β</w:t>
      </w:r>
      <w:r w:rsidRPr="00902B32">
        <w:t>-PET radiopharmaceuticals are produced by hospital nuclear medicine departments in Australia with onsite cyclotrons</w:t>
      </w:r>
      <w:r w:rsidR="006B308F" w:rsidRPr="00902B32">
        <w:t>, and they</w:t>
      </w:r>
      <w:r w:rsidRPr="00902B32">
        <w:t xml:space="preserve"> do not require a Good Manufacturing Practice license (under Schedule 8 of the Therapeutic Goods Regulations 1990), which is mandatory for commercial companies.</w:t>
      </w:r>
    </w:p>
    <w:p w14:paraId="5C4D8263" w14:textId="29FA616B" w:rsidR="00280EE9" w:rsidRPr="00902B32" w:rsidRDefault="00280EE9" w:rsidP="00280EE9">
      <w:pPr>
        <w:rPr>
          <w:rFonts w:cs="Calibri"/>
        </w:rPr>
      </w:pPr>
      <w:r w:rsidRPr="00902B32">
        <w:rPr>
          <w:rFonts w:cs="Calibri"/>
        </w:rPr>
        <w:t>The</w:t>
      </w:r>
      <w:r w:rsidR="00E73A65" w:rsidRPr="00902B32">
        <w:rPr>
          <w:rFonts w:cs="Calibri"/>
        </w:rPr>
        <w:t xml:space="preserve"> commentary noted that the</w:t>
      </w:r>
      <w:r w:rsidRPr="00902B32">
        <w:rPr>
          <w:rFonts w:cs="Calibri"/>
        </w:rPr>
        <w:t xml:space="preserve"> half-lives of radiotracers used for Aβ-PET </w:t>
      </w:r>
      <w:r w:rsidR="00763F48" w:rsidRPr="00902B32">
        <w:rPr>
          <w:rFonts w:cs="Calibri"/>
        </w:rPr>
        <w:t xml:space="preserve">are comparatively short </w:t>
      </w:r>
      <w:r w:rsidRPr="00902B32">
        <w:rPr>
          <w:rFonts w:cs="Calibri"/>
        </w:rPr>
        <w:t xml:space="preserve">(e.g. the half-life of Fluorine-18 is 110 minutes). Therefore, these radiotracers need to be manufactured on site and administered to patients shortly following manufacture. Due to manufacturing sites requiring an onsite cyclotron, the health workforce and processes to manufacture the radiotracers, and the infrastructure to ensure that the radiotracers can be used shortly following manufacture, this may limit the number of facilities that are able to offer Aβ-PET </w:t>
      </w:r>
      <w:r w:rsidRPr="00902B32">
        <w:rPr>
          <w:rFonts w:cs="Calibri"/>
        </w:rPr>
        <w:lastRenderedPageBreak/>
        <w:t>scans using radiotracers with short half-lives.</w:t>
      </w:r>
      <w:r w:rsidR="00763F48" w:rsidRPr="00902B32">
        <w:t xml:space="preserve"> </w:t>
      </w:r>
      <w:r w:rsidR="00763F48" w:rsidRPr="00902B32">
        <w:rPr>
          <w:rFonts w:cs="Calibri"/>
        </w:rPr>
        <w:t>This also affects the equitable access to the technology across the country.</w:t>
      </w:r>
    </w:p>
    <w:p w14:paraId="757F7126" w14:textId="5C43D076" w:rsidR="00075AF3" w:rsidRPr="00902B32" w:rsidRDefault="00075AF3" w:rsidP="00172B02">
      <w:pPr>
        <w:pStyle w:val="Heading3"/>
      </w:pPr>
      <w:r w:rsidRPr="00902B32">
        <w:t>Drug</w:t>
      </w:r>
    </w:p>
    <w:p w14:paraId="6ED3F478" w14:textId="2232F3D2" w:rsidR="008A4914" w:rsidRPr="000F504E" w:rsidRDefault="003243F3" w:rsidP="008A4914">
      <w:r w:rsidRPr="000F504E">
        <w:t xml:space="preserve">The target population </w:t>
      </w:r>
      <w:r w:rsidR="00C50EAF" w:rsidRPr="000F504E">
        <w:t>comprises</w:t>
      </w:r>
      <w:r w:rsidRPr="000F504E">
        <w:t xml:space="preserve"> patients with a clinical diagnosis of MCI due to AD or mild AD dementia that are subsequently confirmed as being </w:t>
      </w:r>
      <w:r w:rsidRPr="000F504E">
        <w:rPr>
          <w:i/>
          <w:iCs/>
        </w:rPr>
        <w:t>APOE4</w:t>
      </w:r>
      <w:r w:rsidRPr="000F504E">
        <w:t xml:space="preserve"> heterozygous or non-carriers, A</w:t>
      </w:r>
      <w:r w:rsidR="00485270" w:rsidRPr="000F504E">
        <w:rPr>
          <w:rFonts w:cs="Calibri"/>
        </w:rPr>
        <w:t>β</w:t>
      </w:r>
      <w:r w:rsidRPr="000F504E">
        <w:t xml:space="preserve">-positive, and with no evidence </w:t>
      </w:r>
      <w:r w:rsidR="001C19F5" w:rsidRPr="000F504E">
        <w:t xml:space="preserve">on MRI brain </w:t>
      </w:r>
      <w:r w:rsidRPr="000F504E">
        <w:t>of superficial siderosis or the presence of more than 2 microhaemorrhages. The requested target population in this submission aligns with the proposed TGA indication.</w:t>
      </w:r>
    </w:p>
    <w:p w14:paraId="4ABF7510" w14:textId="7FF73926" w:rsidR="00FD07C6" w:rsidRPr="00394233" w:rsidRDefault="00FD07C6"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23" w:name="_Toc198735648"/>
      <w:r w:rsidRPr="00394233">
        <w:rPr>
          <w:rFonts w:ascii="Franklin Gothic Medium" w:hAnsi="Franklin Gothic Medium"/>
          <w:b w:val="0"/>
          <w:i w:val="0"/>
          <w:snapToGrid/>
          <w:sz w:val="32"/>
          <w:szCs w:val="26"/>
        </w:rPr>
        <w:t>Comparator</w:t>
      </w:r>
      <w:bookmarkEnd w:id="23"/>
    </w:p>
    <w:p w14:paraId="526F1D69" w14:textId="77777777" w:rsidR="00FF5DCB" w:rsidRPr="00902B32" w:rsidRDefault="00FF5DCB" w:rsidP="00172B02">
      <w:pPr>
        <w:pStyle w:val="Heading3"/>
      </w:pPr>
      <w:r w:rsidRPr="00902B32">
        <w:t>Test</w:t>
      </w:r>
    </w:p>
    <w:p w14:paraId="2B6C16C2" w14:textId="4E13CD4C" w:rsidR="00280EE9" w:rsidRPr="00D22CB7" w:rsidRDefault="00280EE9" w:rsidP="00280EE9">
      <w:pPr>
        <w:pStyle w:val="MSACESParagraph"/>
        <w:jc w:val="both"/>
        <w:rPr>
          <w:rFonts w:ascii="Franklin Gothic Book" w:hAnsi="Franklin Gothic Book" w:cs="Calibri"/>
          <w:bCs/>
          <w:sz w:val="22"/>
        </w:rPr>
      </w:pPr>
      <w:r w:rsidRPr="00D22CB7">
        <w:rPr>
          <w:rFonts w:ascii="Franklin Gothic Book" w:hAnsi="Franklin Gothic Book" w:cs="Calibri"/>
          <w:bCs/>
          <w:sz w:val="22"/>
        </w:rPr>
        <w:t xml:space="preserve">The main comparator for </w:t>
      </w:r>
      <w:r w:rsidR="00430587" w:rsidRPr="00D22CB7">
        <w:rPr>
          <w:rFonts w:ascii="Franklin Gothic Book" w:hAnsi="Franklin Gothic Book" w:cs="Calibri"/>
          <w:bCs/>
          <w:i/>
          <w:iCs/>
          <w:sz w:val="22"/>
        </w:rPr>
        <w:t>APOE</w:t>
      </w:r>
      <w:r w:rsidR="00430587" w:rsidRPr="00D22CB7">
        <w:rPr>
          <w:rFonts w:ascii="Franklin Gothic Book" w:hAnsi="Franklin Gothic Book" w:cs="Calibri"/>
          <w:bCs/>
          <w:sz w:val="22"/>
        </w:rPr>
        <w:t xml:space="preserve"> genotyping followed by either</w:t>
      </w:r>
      <w:r w:rsidRPr="00D22CB7">
        <w:rPr>
          <w:rFonts w:ascii="Franklin Gothic Book" w:hAnsi="Franklin Gothic Book" w:cs="Calibri"/>
          <w:bCs/>
          <w:sz w:val="22"/>
        </w:rPr>
        <w:t xml:space="preserve"> Aβ-PET scanning </w:t>
      </w:r>
      <w:r w:rsidR="00430587" w:rsidRPr="00D22CB7">
        <w:rPr>
          <w:rFonts w:ascii="Franklin Gothic Book" w:hAnsi="Franklin Gothic Book" w:cs="Calibri"/>
          <w:bCs/>
          <w:sz w:val="22"/>
        </w:rPr>
        <w:t xml:space="preserve">or </w:t>
      </w:r>
      <w:r w:rsidRPr="00D22CB7">
        <w:rPr>
          <w:rFonts w:ascii="Franklin Gothic Book" w:hAnsi="Franklin Gothic Book" w:cs="Calibri"/>
          <w:bCs/>
          <w:sz w:val="22"/>
        </w:rPr>
        <w:t xml:space="preserve">CSF </w:t>
      </w:r>
      <w:r w:rsidR="00430587" w:rsidRPr="00D22CB7">
        <w:rPr>
          <w:rFonts w:ascii="Franklin Gothic Book" w:hAnsi="Franklin Gothic Book" w:cs="Calibri"/>
          <w:bCs/>
          <w:sz w:val="22"/>
        </w:rPr>
        <w:t xml:space="preserve">AD biomarker </w:t>
      </w:r>
      <w:r w:rsidRPr="00D22CB7">
        <w:rPr>
          <w:rFonts w:ascii="Franklin Gothic Book" w:hAnsi="Franklin Gothic Book" w:cs="Calibri"/>
          <w:bCs/>
          <w:sz w:val="22"/>
        </w:rPr>
        <w:t xml:space="preserve">testing </w:t>
      </w:r>
      <w:r w:rsidR="00430587" w:rsidRPr="00D22CB7">
        <w:rPr>
          <w:rFonts w:ascii="Franklin Gothic Book" w:hAnsi="Franklin Gothic Book" w:cs="Calibri"/>
          <w:bCs/>
          <w:sz w:val="22"/>
        </w:rPr>
        <w:t xml:space="preserve">in those who are not </w:t>
      </w:r>
      <w:r w:rsidR="00430587" w:rsidRPr="00D22CB7">
        <w:rPr>
          <w:rFonts w:ascii="Franklin Gothic Book" w:hAnsi="Franklin Gothic Book" w:cs="Calibri"/>
          <w:bCs/>
          <w:i/>
          <w:iCs/>
          <w:sz w:val="22"/>
        </w:rPr>
        <w:t>APOE4</w:t>
      </w:r>
      <w:r w:rsidR="00430587" w:rsidRPr="00D22CB7">
        <w:rPr>
          <w:rFonts w:ascii="Franklin Gothic Book" w:hAnsi="Franklin Gothic Book" w:cs="Calibri"/>
          <w:bCs/>
          <w:sz w:val="22"/>
        </w:rPr>
        <w:t xml:space="preserve"> homozygous </w:t>
      </w:r>
      <w:r w:rsidRPr="00D22CB7">
        <w:rPr>
          <w:rFonts w:ascii="Franklin Gothic Book" w:hAnsi="Franklin Gothic Book" w:cs="Calibri"/>
          <w:bCs/>
          <w:sz w:val="22"/>
        </w:rPr>
        <w:t xml:space="preserve">is </w:t>
      </w:r>
      <w:r w:rsidR="00763F48" w:rsidRPr="00D22CB7">
        <w:rPr>
          <w:rFonts w:ascii="Franklin Gothic Book" w:hAnsi="Franklin Gothic Book" w:cs="Calibri"/>
          <w:bCs/>
          <w:sz w:val="22"/>
        </w:rPr>
        <w:t>‘</w:t>
      </w:r>
      <w:r w:rsidRPr="00D22CB7">
        <w:rPr>
          <w:rFonts w:ascii="Franklin Gothic Book" w:hAnsi="Franklin Gothic Book" w:cs="Calibri"/>
          <w:bCs/>
          <w:sz w:val="22"/>
        </w:rPr>
        <w:t>no testing</w:t>
      </w:r>
      <w:r w:rsidR="00430587" w:rsidRPr="00D22CB7">
        <w:rPr>
          <w:rFonts w:ascii="Franklin Gothic Book" w:hAnsi="Franklin Gothic Book" w:cs="Calibri"/>
          <w:bCs/>
          <w:sz w:val="22"/>
        </w:rPr>
        <w:t>’</w:t>
      </w:r>
      <w:r w:rsidRPr="00D22CB7">
        <w:rPr>
          <w:rFonts w:ascii="Franklin Gothic Book" w:hAnsi="Franklin Gothic Book" w:cs="Calibri"/>
          <w:bCs/>
          <w:sz w:val="22"/>
        </w:rPr>
        <w:t>.</w:t>
      </w:r>
      <w:r w:rsidRPr="00D22CB7">
        <w:rPr>
          <w:rFonts w:ascii="Franklin Gothic Book" w:hAnsi="Franklin Gothic Book" w:cstheme="minorHAnsi"/>
          <w:sz w:val="22"/>
        </w:rPr>
        <w:t xml:space="preserve"> </w:t>
      </w:r>
      <w:r w:rsidRPr="00D22CB7">
        <w:rPr>
          <w:rFonts w:ascii="Franklin Gothic Book" w:hAnsi="Franklin Gothic Book" w:cs="Calibri"/>
          <w:bCs/>
          <w:sz w:val="22"/>
        </w:rPr>
        <w:t>PASC also considered A</w:t>
      </w:r>
      <w:r w:rsidRPr="00D22CB7">
        <w:rPr>
          <w:rFonts w:ascii="Franklin Gothic Book" w:hAnsi="Franklin Gothic Book" w:cstheme="minorHAnsi"/>
          <w:bCs/>
          <w:sz w:val="22"/>
        </w:rPr>
        <w:t>β</w:t>
      </w:r>
      <w:r w:rsidRPr="00D22CB7">
        <w:rPr>
          <w:rFonts w:ascii="Franklin Gothic Book" w:hAnsi="Franklin Gothic Book" w:cs="Calibri"/>
          <w:bCs/>
          <w:sz w:val="22"/>
        </w:rPr>
        <w:t xml:space="preserve"> PET scanning a comparator for CSF </w:t>
      </w:r>
      <w:r w:rsidR="00430587" w:rsidRPr="00D22CB7">
        <w:rPr>
          <w:rFonts w:ascii="Franklin Gothic Book" w:hAnsi="Franklin Gothic Book" w:cs="Calibri"/>
          <w:bCs/>
          <w:sz w:val="22"/>
        </w:rPr>
        <w:t xml:space="preserve">AD biomarker </w:t>
      </w:r>
      <w:r w:rsidRPr="00D22CB7">
        <w:rPr>
          <w:rFonts w:ascii="Franklin Gothic Book" w:hAnsi="Franklin Gothic Book" w:cs="Calibri"/>
          <w:bCs/>
          <w:sz w:val="22"/>
        </w:rPr>
        <w:t>testing</w:t>
      </w:r>
      <w:r w:rsidR="00430587" w:rsidRPr="00D22CB7">
        <w:rPr>
          <w:rFonts w:ascii="Franklin Gothic Book" w:hAnsi="Franklin Gothic Book" w:cs="Calibri"/>
          <w:bCs/>
          <w:sz w:val="22"/>
        </w:rPr>
        <w:t xml:space="preserve"> to determine its diagnostic accuracy</w:t>
      </w:r>
      <w:r w:rsidRPr="00D22CB7">
        <w:rPr>
          <w:rFonts w:ascii="Franklin Gothic Book" w:hAnsi="Franklin Gothic Book" w:cs="Calibri"/>
          <w:bCs/>
          <w:sz w:val="22"/>
        </w:rPr>
        <w:t>. The concordance between CSF testing and A</w:t>
      </w:r>
      <w:r w:rsidRPr="00D22CB7">
        <w:rPr>
          <w:rFonts w:ascii="Franklin Gothic Book" w:hAnsi="Franklin Gothic Book" w:cstheme="minorHAnsi"/>
          <w:bCs/>
          <w:sz w:val="22"/>
        </w:rPr>
        <w:t>β</w:t>
      </w:r>
      <w:r w:rsidRPr="00D22CB7">
        <w:rPr>
          <w:rFonts w:ascii="Franklin Gothic Book" w:hAnsi="Franklin Gothic Book" w:cs="Calibri"/>
          <w:bCs/>
          <w:sz w:val="22"/>
        </w:rPr>
        <w:t>-PET was considered in the submission.</w:t>
      </w:r>
    </w:p>
    <w:p w14:paraId="0776D8E5" w14:textId="30A130E9" w:rsidR="00FF5DCB" w:rsidRPr="00902B32" w:rsidRDefault="00FF5DCB" w:rsidP="00172B02">
      <w:pPr>
        <w:pStyle w:val="Heading3"/>
      </w:pPr>
      <w:r w:rsidRPr="00902B32">
        <w:t>Drug</w:t>
      </w:r>
    </w:p>
    <w:p w14:paraId="32F2467B" w14:textId="24772B7C" w:rsidR="00FF5DCB" w:rsidRPr="00D22CB7" w:rsidRDefault="008A4914" w:rsidP="0056332B">
      <w:pPr>
        <w:rPr>
          <w:rFonts w:cs="Calibri"/>
          <w:bCs/>
        </w:rPr>
      </w:pPr>
      <w:r w:rsidRPr="00D22CB7">
        <w:t xml:space="preserve">The </w:t>
      </w:r>
      <w:r w:rsidR="00BD5FC1" w:rsidRPr="00BD5FC1">
        <w:t>submission</w:t>
      </w:r>
      <w:r w:rsidR="00BD5FC1" w:rsidRPr="00BD5FC1" w:rsidDel="00BD5FC1">
        <w:t xml:space="preserve"> </w:t>
      </w:r>
      <w:r w:rsidRPr="00D22CB7">
        <w:t xml:space="preserve">nominated </w:t>
      </w:r>
      <w:r w:rsidR="003243F3" w:rsidRPr="00D22CB7">
        <w:t>S</w:t>
      </w:r>
      <w:r w:rsidR="006B3503" w:rsidRPr="00D22CB7">
        <w:t>O</w:t>
      </w:r>
      <w:r w:rsidR="003243F3" w:rsidRPr="00D22CB7">
        <w:t>C</w:t>
      </w:r>
      <w:r w:rsidRPr="00D22CB7">
        <w:t xml:space="preserve"> as the main comparator. </w:t>
      </w:r>
      <w:r w:rsidR="006150D5">
        <w:t xml:space="preserve">The commentary considered that </w:t>
      </w:r>
      <w:r w:rsidR="00522D1E">
        <w:t>it</w:t>
      </w:r>
      <w:r w:rsidRPr="00D039B6">
        <w:t xml:space="preserve"> </w:t>
      </w:r>
      <w:r w:rsidR="008A4C72" w:rsidRPr="00D039B6">
        <w:t>w</w:t>
      </w:r>
      <w:r w:rsidR="006D7DD0" w:rsidRPr="00D039B6">
        <w:t>a</w:t>
      </w:r>
      <w:r w:rsidRPr="00D039B6">
        <w:t>s appropriate</w:t>
      </w:r>
      <w:r w:rsidRPr="00D22CB7">
        <w:rPr>
          <w:i/>
          <w:iCs/>
        </w:rPr>
        <w:t xml:space="preserve">. </w:t>
      </w:r>
      <w:r w:rsidRPr="00D22CB7">
        <w:t>S</w:t>
      </w:r>
      <w:r w:rsidR="006B3503" w:rsidRPr="00D22CB7">
        <w:t>O</w:t>
      </w:r>
      <w:r w:rsidRPr="00D22CB7">
        <w:t xml:space="preserve">C encompasses non-pharmaceutical brain health optimisation strategies including exercise, nutrition, mentally challenging activities and social engagement, and symptomatic treatments. Symptomatic treatments for AD are limited to those focussed on providing </w:t>
      </w:r>
      <w:r w:rsidR="00977F5C" w:rsidRPr="00D22CB7">
        <w:t xml:space="preserve">symptomatic </w:t>
      </w:r>
      <w:r w:rsidRPr="00D22CB7">
        <w:t>relief, including acetylcholinesterase inhibitors (</w:t>
      </w:r>
      <w:proofErr w:type="spellStart"/>
      <w:r w:rsidRPr="00D22CB7">
        <w:t>AChEIs</w:t>
      </w:r>
      <w:proofErr w:type="spellEnd"/>
      <w:r w:rsidRPr="00D22CB7">
        <w:t>) and memantine.</w:t>
      </w:r>
      <w:r w:rsidR="0056332B" w:rsidRPr="00D22CB7">
        <w:t xml:space="preserve"> In Australia, </w:t>
      </w:r>
      <w:proofErr w:type="spellStart"/>
      <w:r w:rsidR="0056332B" w:rsidRPr="00D22CB7">
        <w:t>AChEIs</w:t>
      </w:r>
      <w:proofErr w:type="spellEnd"/>
      <w:r w:rsidR="0056332B" w:rsidRPr="00D22CB7">
        <w:t xml:space="preserve"> are PBS reimbursed for the treatment of mild to moderately severe AD and memantine for moderately severe AD.</w:t>
      </w:r>
      <w:r w:rsidR="003243F3" w:rsidRPr="00D22CB7">
        <w:rPr>
          <w:i/>
          <w:iCs/>
        </w:rPr>
        <w:t xml:space="preserve"> </w:t>
      </w:r>
      <w:r w:rsidR="00E73A65" w:rsidRPr="00D22CB7">
        <w:t>The commentary considered that</w:t>
      </w:r>
      <w:r w:rsidR="00E73A65" w:rsidRPr="00D22CB7">
        <w:rPr>
          <w:i/>
          <w:iCs/>
        </w:rPr>
        <w:t xml:space="preserve"> </w:t>
      </w:r>
      <w:r w:rsidR="00E73A65" w:rsidRPr="00D22CB7">
        <w:t>a</w:t>
      </w:r>
      <w:r w:rsidR="003243F3" w:rsidRPr="00D22CB7">
        <w:t>s donanemab could be prescribed concurrently with SoC, the appropriate comparator would be no active therapy. In the key head-to-head TB-2 trial, placebo represents a proxy for no active therapy.</w:t>
      </w:r>
    </w:p>
    <w:p w14:paraId="7A4DD4DA" w14:textId="55D6E0A8" w:rsidR="00B4113A" w:rsidRDefault="00B4113A"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24" w:name="_Toc69491421"/>
      <w:bookmarkStart w:id="25" w:name="_Hlk193982804"/>
      <w:bookmarkStart w:id="26" w:name="_Ref206148601"/>
      <w:bookmarkStart w:id="27" w:name="_Toc198735649"/>
      <w:r w:rsidRPr="00B4113A">
        <w:rPr>
          <w:rFonts w:ascii="Franklin Gothic Medium" w:hAnsi="Franklin Gothic Medium"/>
          <w:b w:val="0"/>
          <w:i w:val="0"/>
          <w:snapToGrid/>
          <w:sz w:val="32"/>
          <w:szCs w:val="26"/>
        </w:rPr>
        <w:t>Summary of public consultation input</w:t>
      </w:r>
      <w:bookmarkEnd w:id="24"/>
      <w:bookmarkEnd w:id="25"/>
      <w:bookmarkEnd w:id="26"/>
    </w:p>
    <w:p w14:paraId="7748A1E1" w14:textId="77777777" w:rsidR="00A6530E" w:rsidRPr="00A6530E" w:rsidRDefault="00A6530E" w:rsidP="002B2C5D">
      <w:pPr>
        <w:tabs>
          <w:tab w:val="left" w:pos="3686"/>
        </w:tabs>
        <w:spacing w:after="0" w:line="257" w:lineRule="auto"/>
        <w:rPr>
          <w:rFonts w:eastAsia="Franklin Gothic Book" w:cs="Franklin Gothic Book"/>
          <w:szCs w:val="20"/>
        </w:rPr>
      </w:pPr>
      <w:r w:rsidRPr="00A6530E">
        <w:rPr>
          <w:rFonts w:eastAsia="Franklin Gothic Book" w:cs="Franklin Gothic Book"/>
          <w:szCs w:val="20"/>
        </w:rPr>
        <w:t>The organisations that submitted input were:</w:t>
      </w:r>
    </w:p>
    <w:p w14:paraId="38772CED" w14:textId="77777777" w:rsidR="00A6530E" w:rsidRPr="00A6530E" w:rsidRDefault="00A6530E" w:rsidP="002B2C5D">
      <w:pPr>
        <w:pStyle w:val="ListParagraph"/>
        <w:numPr>
          <w:ilvl w:val="0"/>
          <w:numId w:val="39"/>
        </w:numPr>
        <w:tabs>
          <w:tab w:val="left" w:pos="3686"/>
        </w:tabs>
        <w:spacing w:before="0" w:line="257" w:lineRule="auto"/>
        <w:ind w:left="714" w:hanging="357"/>
        <w:contextualSpacing/>
        <w:rPr>
          <w:rFonts w:eastAsia="Franklin Gothic Book" w:cs="Franklin Gothic Book"/>
          <w:szCs w:val="20"/>
        </w:rPr>
      </w:pPr>
      <w:r w:rsidRPr="00A6530E">
        <w:rPr>
          <w:rFonts w:eastAsia="Franklin Gothic Book" w:cs="Franklin Gothic Book"/>
          <w:szCs w:val="20"/>
        </w:rPr>
        <w:t>Dementia Australia</w:t>
      </w:r>
    </w:p>
    <w:p w14:paraId="4F03410F" w14:textId="77777777" w:rsidR="00A6530E" w:rsidRPr="00A6530E" w:rsidRDefault="00A6530E" w:rsidP="00B03F74">
      <w:pPr>
        <w:pStyle w:val="ListParagraph"/>
        <w:numPr>
          <w:ilvl w:val="0"/>
          <w:numId w:val="39"/>
        </w:numPr>
        <w:tabs>
          <w:tab w:val="left" w:pos="3686"/>
        </w:tabs>
        <w:spacing w:line="256" w:lineRule="auto"/>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(Aust) Pty Ltd (</w:t>
      </w: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w:t>
      </w:r>
    </w:p>
    <w:p w14:paraId="4AE3C8CC" w14:textId="77777777" w:rsidR="00A6530E" w:rsidRPr="00A6530E" w:rsidRDefault="00A6530E" w:rsidP="00B03F74">
      <w:pPr>
        <w:pStyle w:val="ListParagraph"/>
        <w:numPr>
          <w:ilvl w:val="0"/>
          <w:numId w:val="39"/>
        </w:numPr>
        <w:spacing w:before="0"/>
        <w:contextualSpacing/>
        <w:rPr>
          <w:rFonts w:eastAsia="Franklin Gothic Book" w:cs="Franklin Gothic Book"/>
          <w:szCs w:val="20"/>
        </w:rPr>
      </w:pPr>
      <w:r w:rsidRPr="00A6530E">
        <w:rPr>
          <w:rFonts w:eastAsia="Franklin Gothic Book" w:cs="Franklin Gothic Book"/>
          <w:szCs w:val="20"/>
        </w:rPr>
        <w:t>Australasian Association of Nuclear Medicine Specialists (AANMS)</w:t>
      </w:r>
    </w:p>
    <w:p w14:paraId="1F9B069D" w14:textId="77777777" w:rsidR="00A6530E" w:rsidRPr="00A6530E" w:rsidRDefault="00A6530E" w:rsidP="00B03F74">
      <w:pPr>
        <w:pStyle w:val="ListParagraph"/>
        <w:numPr>
          <w:ilvl w:val="0"/>
          <w:numId w:val="39"/>
        </w:numPr>
        <w:spacing w:before="0"/>
        <w:contextualSpacing/>
        <w:rPr>
          <w:rFonts w:eastAsia="Franklin Gothic Book" w:cs="Franklin Gothic Book"/>
          <w:szCs w:val="20"/>
        </w:rPr>
      </w:pPr>
      <w:r w:rsidRPr="00A6530E">
        <w:rPr>
          <w:rFonts w:eastAsia="Franklin Gothic Book" w:cs="Franklin Gothic Book"/>
          <w:szCs w:val="20"/>
        </w:rPr>
        <w:t>Roche Diagnostics Australia (Roche Diagnostics)</w:t>
      </w:r>
    </w:p>
    <w:p w14:paraId="195979F9" w14:textId="1B78256A" w:rsidR="00A6530E" w:rsidRPr="00A6530E" w:rsidRDefault="00A6530E" w:rsidP="00B03F74">
      <w:pPr>
        <w:pStyle w:val="ListParagraph"/>
        <w:numPr>
          <w:ilvl w:val="0"/>
          <w:numId w:val="39"/>
        </w:numPr>
        <w:spacing w:before="0"/>
        <w:contextualSpacing/>
        <w:rPr>
          <w:rFonts w:eastAsia="Franklin Gothic Book" w:cs="Franklin Gothic Book"/>
          <w:szCs w:val="20"/>
        </w:rPr>
      </w:pPr>
      <w:r w:rsidRPr="00A6530E">
        <w:rPr>
          <w:rFonts w:eastAsia="Franklin Gothic Book" w:cs="Franklin Gothic Book"/>
          <w:szCs w:val="20"/>
        </w:rPr>
        <w:t>Public Pathology Australia (PPA).</w:t>
      </w:r>
    </w:p>
    <w:p w14:paraId="2603B341" w14:textId="77777777" w:rsidR="00A6530E" w:rsidRPr="004A1AB5" w:rsidRDefault="00A6530E" w:rsidP="002B2C5D">
      <w:pPr>
        <w:pStyle w:val="COMexecsumnumberedpara"/>
        <w:rPr>
          <w:b/>
          <w:bCs/>
        </w:rPr>
      </w:pPr>
      <w:r w:rsidRPr="004A1AB5">
        <w:rPr>
          <w:b/>
          <w:bCs/>
        </w:rPr>
        <w:t xml:space="preserve">Level of support for public funding </w:t>
      </w:r>
    </w:p>
    <w:p w14:paraId="77009D66" w14:textId="2E0A32C3" w:rsidR="00A6530E" w:rsidRPr="00A6530E" w:rsidRDefault="00A6530E" w:rsidP="00A6530E">
      <w:pPr>
        <w:tabs>
          <w:tab w:val="left" w:pos="3686"/>
        </w:tabs>
        <w:spacing w:line="256" w:lineRule="auto"/>
        <w:rPr>
          <w:rFonts w:eastAsia="Franklin Gothic Book" w:cs="Franklin Gothic Book"/>
          <w:szCs w:val="20"/>
        </w:rPr>
      </w:pPr>
      <w:r w:rsidRPr="00A6530E">
        <w:rPr>
          <w:rFonts w:eastAsia="Franklin Gothic Book" w:cs="Franklin Gothic Book"/>
          <w:szCs w:val="20"/>
        </w:rPr>
        <w:t xml:space="preserve">All organisations that provided consultation input were supportive of the public funding of this application. However, input from the individuals was mixed. </w:t>
      </w:r>
      <w:r w:rsidR="0008363E">
        <w:rPr>
          <w:rFonts w:eastAsia="Franklin Gothic Book" w:cs="Franklin Gothic Book"/>
          <w:szCs w:val="20"/>
        </w:rPr>
        <w:t>While 2 of</w:t>
      </w:r>
      <w:r w:rsidRPr="00A6530E">
        <w:rPr>
          <w:rFonts w:eastAsia="Franklin Gothic Book" w:cs="Franklin Gothic Book"/>
          <w:szCs w:val="20"/>
        </w:rPr>
        <w:t xml:space="preserve"> the </w:t>
      </w:r>
      <w:r w:rsidR="0008363E">
        <w:rPr>
          <w:rFonts w:eastAsia="Franklin Gothic Book" w:cs="Franklin Gothic Book"/>
          <w:szCs w:val="20"/>
        </w:rPr>
        <w:t>3</w:t>
      </w:r>
      <w:r w:rsidR="0008363E" w:rsidRPr="00A6530E">
        <w:rPr>
          <w:rFonts w:eastAsia="Franklin Gothic Book" w:cs="Franklin Gothic Book"/>
          <w:szCs w:val="20"/>
        </w:rPr>
        <w:t xml:space="preserve"> </w:t>
      </w:r>
      <w:r w:rsidRPr="00A6530E">
        <w:rPr>
          <w:rFonts w:eastAsia="Franklin Gothic Book" w:cs="Franklin Gothic Book"/>
          <w:szCs w:val="20"/>
        </w:rPr>
        <w:t>individuals who provided input expressed support</w:t>
      </w:r>
      <w:r w:rsidR="0008363E">
        <w:rPr>
          <w:rFonts w:eastAsia="Franklin Gothic Book" w:cs="Franklin Gothic Book"/>
          <w:szCs w:val="20"/>
        </w:rPr>
        <w:t xml:space="preserve">, </w:t>
      </w:r>
      <w:r w:rsidR="00105E6A">
        <w:rPr>
          <w:rFonts w:eastAsia="Franklin Gothic Book" w:cs="Franklin Gothic Book"/>
          <w:szCs w:val="20"/>
        </w:rPr>
        <w:t>t</w:t>
      </w:r>
      <w:r w:rsidRPr="00A6530E">
        <w:rPr>
          <w:rFonts w:eastAsia="Franklin Gothic Book" w:cs="Franklin Gothic Book"/>
          <w:szCs w:val="20"/>
        </w:rPr>
        <w:t xml:space="preserve">he </w:t>
      </w:r>
      <w:r w:rsidR="00105E6A">
        <w:rPr>
          <w:rFonts w:eastAsia="Franklin Gothic Book" w:cs="Franklin Gothic Book"/>
          <w:szCs w:val="20"/>
        </w:rPr>
        <w:t>3</w:t>
      </w:r>
      <w:r w:rsidR="00105E6A" w:rsidRPr="00105E6A">
        <w:rPr>
          <w:rFonts w:eastAsia="Franklin Gothic Book" w:cs="Franklin Gothic Book"/>
          <w:szCs w:val="20"/>
          <w:vertAlign w:val="superscript"/>
        </w:rPr>
        <w:t>rd</w:t>
      </w:r>
      <w:r w:rsidR="00105E6A">
        <w:rPr>
          <w:rFonts w:eastAsia="Franklin Gothic Book" w:cs="Franklin Gothic Book"/>
          <w:szCs w:val="20"/>
        </w:rPr>
        <w:t xml:space="preserve"> </w:t>
      </w:r>
      <w:r w:rsidRPr="00A6530E">
        <w:rPr>
          <w:rFonts w:eastAsia="Franklin Gothic Book" w:cs="Franklin Gothic Book"/>
          <w:szCs w:val="20"/>
        </w:rPr>
        <w:t>individual reported being unsure and considered that it would be better to wait until blood biomarkers of AD become available, as PET scanning m</w:t>
      </w:r>
      <w:r w:rsidR="00105E6A">
        <w:rPr>
          <w:rFonts w:eastAsia="Franklin Gothic Book" w:cs="Franklin Gothic Book"/>
          <w:szCs w:val="20"/>
        </w:rPr>
        <w:t xml:space="preserve">ight </w:t>
      </w:r>
      <w:r w:rsidRPr="00A6530E">
        <w:rPr>
          <w:rFonts w:eastAsia="Franklin Gothic Book" w:cs="Franklin Gothic Book"/>
          <w:szCs w:val="20"/>
        </w:rPr>
        <w:t xml:space="preserve">not be accessible for some individuals with dementia and CSF AD biomarker testing </w:t>
      </w:r>
      <w:r w:rsidR="00105E6A">
        <w:rPr>
          <w:rFonts w:eastAsia="Franklin Gothic Book" w:cs="Franklin Gothic Book"/>
          <w:szCs w:val="20"/>
        </w:rPr>
        <w:t>wa</w:t>
      </w:r>
      <w:r w:rsidRPr="00A6530E">
        <w:rPr>
          <w:rFonts w:eastAsia="Franklin Gothic Book" w:cs="Franklin Gothic Book"/>
          <w:szCs w:val="20"/>
        </w:rPr>
        <w:t xml:space="preserve">s invasive. The </w:t>
      </w:r>
      <w:r w:rsidR="00105E6A">
        <w:rPr>
          <w:rFonts w:eastAsia="Franklin Gothic Book" w:cs="Franklin Gothic Book"/>
          <w:szCs w:val="20"/>
        </w:rPr>
        <w:t>3</w:t>
      </w:r>
      <w:r w:rsidR="00105E6A" w:rsidRPr="00105E6A">
        <w:rPr>
          <w:rFonts w:eastAsia="Franklin Gothic Book" w:cs="Franklin Gothic Book"/>
          <w:szCs w:val="20"/>
          <w:vertAlign w:val="superscript"/>
        </w:rPr>
        <w:t>rd</w:t>
      </w:r>
      <w:r w:rsidR="00105E6A">
        <w:rPr>
          <w:rFonts w:eastAsia="Franklin Gothic Book" w:cs="Franklin Gothic Book"/>
          <w:szCs w:val="20"/>
        </w:rPr>
        <w:t xml:space="preserve"> </w:t>
      </w:r>
      <w:r w:rsidRPr="00A6530E">
        <w:rPr>
          <w:rFonts w:eastAsia="Franklin Gothic Book" w:cs="Franklin Gothic Book"/>
          <w:szCs w:val="20"/>
        </w:rPr>
        <w:t xml:space="preserve">individual also did not support public funding and did not believe that there </w:t>
      </w:r>
      <w:r w:rsidR="00B915F4">
        <w:rPr>
          <w:rFonts w:eastAsia="Franklin Gothic Book" w:cs="Franklin Gothic Book"/>
          <w:szCs w:val="20"/>
        </w:rPr>
        <w:t>wa</w:t>
      </w:r>
      <w:r w:rsidRPr="00A6530E">
        <w:rPr>
          <w:rFonts w:eastAsia="Franklin Gothic Book" w:cs="Franklin Gothic Book"/>
          <w:szCs w:val="20"/>
        </w:rPr>
        <w:t xml:space="preserve">s efficient medical evidence to provide support. However, it was unclear </w:t>
      </w:r>
      <w:r w:rsidR="00105E6A">
        <w:rPr>
          <w:rFonts w:eastAsia="Franklin Gothic Book" w:cs="Franklin Gothic Book"/>
          <w:szCs w:val="20"/>
        </w:rPr>
        <w:t>if</w:t>
      </w:r>
      <w:r w:rsidR="00105E6A" w:rsidRPr="00A6530E">
        <w:rPr>
          <w:rFonts w:eastAsia="Franklin Gothic Book" w:cs="Franklin Gothic Book"/>
          <w:szCs w:val="20"/>
        </w:rPr>
        <w:t xml:space="preserve"> </w:t>
      </w:r>
      <w:r w:rsidRPr="00A6530E">
        <w:rPr>
          <w:rFonts w:eastAsia="Franklin Gothic Book" w:cs="Franklin Gothic Book"/>
          <w:szCs w:val="20"/>
        </w:rPr>
        <w:t xml:space="preserve">this individual was </w:t>
      </w:r>
      <w:r w:rsidR="0064352F">
        <w:rPr>
          <w:rFonts w:eastAsia="Franklin Gothic Book" w:cs="Franklin Gothic Book"/>
          <w:szCs w:val="20"/>
        </w:rPr>
        <w:t>referring to</w:t>
      </w:r>
      <w:r w:rsidR="0064352F" w:rsidRPr="00A6530E">
        <w:rPr>
          <w:rFonts w:eastAsia="Franklin Gothic Book" w:cs="Franklin Gothic Book"/>
          <w:szCs w:val="20"/>
        </w:rPr>
        <w:t xml:space="preserve"> </w:t>
      </w:r>
      <w:r w:rsidRPr="00A6530E">
        <w:rPr>
          <w:rFonts w:eastAsia="Franklin Gothic Book" w:cs="Franklin Gothic Book"/>
          <w:szCs w:val="20"/>
        </w:rPr>
        <w:t>the testing or donanemab treatment.</w:t>
      </w:r>
    </w:p>
    <w:p w14:paraId="2EFECF7C" w14:textId="77777777" w:rsidR="00A6530E" w:rsidRPr="004A1AB5" w:rsidRDefault="00A6530E" w:rsidP="002261ED">
      <w:pPr>
        <w:keepNext/>
        <w:keepLines/>
        <w:rPr>
          <w:b/>
          <w:bCs/>
        </w:rPr>
      </w:pPr>
      <w:r w:rsidRPr="004A1AB5">
        <w:rPr>
          <w:b/>
          <w:bCs/>
        </w:rPr>
        <w:lastRenderedPageBreak/>
        <w:t xml:space="preserve">Comments on PICO </w:t>
      </w:r>
    </w:p>
    <w:p w14:paraId="006A911B" w14:textId="30EA4933" w:rsidR="00A6530E" w:rsidRPr="00A6530E" w:rsidRDefault="00A6530E" w:rsidP="002261ED">
      <w:pPr>
        <w:pStyle w:val="ListParagraph"/>
        <w:keepNext/>
        <w:keepLines/>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noted the proposed eligibility criteria as appropriate. Roche Diagnostics was supportive of aligning CSF and/or PET confirmatory diagnosis with the population eligible for treatment with donanemab. The AANMS considered the proposed population as appropriate.</w:t>
      </w:r>
    </w:p>
    <w:p w14:paraId="134D701C" w14:textId="3ABFCFA5"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considered Aβ-PET to be less invasive than CSF biomarker immunoassays, and </w:t>
      </w:r>
      <w:r w:rsidR="00025C83">
        <w:rPr>
          <w:rFonts w:eastAsia="Franklin Gothic Book" w:cs="Franklin Gothic Book"/>
          <w:szCs w:val="20"/>
        </w:rPr>
        <w:t>that</w:t>
      </w:r>
      <w:r w:rsidR="00025C83" w:rsidRPr="00A6530E">
        <w:rPr>
          <w:rFonts w:eastAsia="Franklin Gothic Book" w:cs="Franklin Gothic Book"/>
          <w:szCs w:val="20"/>
        </w:rPr>
        <w:t xml:space="preserve"> </w:t>
      </w:r>
      <w:r w:rsidRPr="00A6530E">
        <w:rPr>
          <w:rFonts w:eastAsia="Franklin Gothic Book" w:cs="Franklin Gothic Book"/>
          <w:szCs w:val="20"/>
        </w:rPr>
        <w:t>the use of Aβ-PET to determine access to PBS-subsidised donanemab align</w:t>
      </w:r>
      <w:r w:rsidR="00F10511">
        <w:rPr>
          <w:rFonts w:eastAsia="Franklin Gothic Book" w:cs="Franklin Gothic Book"/>
          <w:szCs w:val="20"/>
        </w:rPr>
        <w:t>ed</w:t>
      </w:r>
      <w:r w:rsidRPr="00A6530E">
        <w:rPr>
          <w:rFonts w:eastAsia="Franklin Gothic Book" w:cs="Franklin Gothic Book"/>
          <w:szCs w:val="20"/>
        </w:rPr>
        <w:t xml:space="preserve"> more closely with the studies and evidence relied on in the application. </w:t>
      </w: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w:t>
      </w:r>
      <w:r w:rsidR="004D6061">
        <w:rPr>
          <w:rFonts w:eastAsia="Franklin Gothic Book" w:cs="Franklin Gothic Book"/>
          <w:szCs w:val="20"/>
        </w:rPr>
        <w:t>considered that</w:t>
      </w:r>
      <w:r w:rsidR="004D6061" w:rsidRPr="00A6530E">
        <w:rPr>
          <w:rFonts w:eastAsia="Franklin Gothic Book" w:cs="Franklin Gothic Book"/>
          <w:szCs w:val="20"/>
        </w:rPr>
        <w:t xml:space="preserve"> </w:t>
      </w:r>
      <w:r w:rsidRPr="00A6530E">
        <w:rPr>
          <w:rFonts w:eastAsia="Franklin Gothic Book" w:cs="Franklin Gothic Book"/>
          <w:szCs w:val="20"/>
        </w:rPr>
        <w:t>the proposed eligible population captured those who w</w:t>
      </w:r>
      <w:r w:rsidR="001100FE">
        <w:rPr>
          <w:rFonts w:eastAsia="Franklin Gothic Book" w:cs="Franklin Gothic Book"/>
          <w:szCs w:val="20"/>
        </w:rPr>
        <w:t>ould</w:t>
      </w:r>
      <w:r w:rsidRPr="00A6530E">
        <w:rPr>
          <w:rFonts w:eastAsia="Franklin Gothic Book" w:cs="Franklin Gothic Book"/>
          <w:szCs w:val="20"/>
        </w:rPr>
        <w:t xml:space="preserve"> benefit from the proposed health </w:t>
      </w:r>
      <w:proofErr w:type="gramStart"/>
      <w:r w:rsidRPr="00A6530E">
        <w:rPr>
          <w:rFonts w:eastAsia="Franklin Gothic Book" w:cs="Franklin Gothic Book"/>
          <w:szCs w:val="20"/>
        </w:rPr>
        <w:t>technology, and</w:t>
      </w:r>
      <w:proofErr w:type="gramEnd"/>
      <w:r w:rsidRPr="00A6530E">
        <w:rPr>
          <w:rFonts w:eastAsia="Franklin Gothic Book" w:cs="Franklin Gothic Book"/>
          <w:szCs w:val="20"/>
        </w:rPr>
        <w:t xml:space="preserve"> did not consider it to be too broad.</w:t>
      </w:r>
    </w:p>
    <w:p w14:paraId="1CD29799" w14:textId="2CDAF201" w:rsidR="00A6530E" w:rsidRPr="00A6530E" w:rsidRDefault="00A6530E" w:rsidP="00B03F74">
      <w:pPr>
        <w:pStyle w:val="ListParagraph"/>
        <w:numPr>
          <w:ilvl w:val="0"/>
          <w:numId w:val="37"/>
        </w:numPr>
        <w:spacing w:before="0"/>
        <w:contextualSpacing/>
        <w:rPr>
          <w:rFonts w:eastAsia="Franklin Gothic Book" w:cs="Franklin Gothic Book"/>
          <w:szCs w:val="20"/>
        </w:rPr>
      </w:pPr>
      <w:r w:rsidRPr="00A6530E">
        <w:rPr>
          <w:rFonts w:eastAsia="Franklin Gothic Book" w:cs="Franklin Gothic Book"/>
          <w:szCs w:val="20"/>
        </w:rPr>
        <w:t>Roche Diagnostics noted that including CSF testing as an option for confirmatory diagnosis w</w:t>
      </w:r>
      <w:r w:rsidR="007E17FA">
        <w:rPr>
          <w:rFonts w:eastAsia="Franklin Gothic Book" w:cs="Franklin Gothic Book"/>
          <w:szCs w:val="20"/>
        </w:rPr>
        <w:t>ould</w:t>
      </w:r>
      <w:r w:rsidRPr="00A6530E">
        <w:rPr>
          <w:rFonts w:eastAsia="Franklin Gothic Book" w:cs="Franklin Gothic Book"/>
          <w:szCs w:val="20"/>
        </w:rPr>
        <w:t xml:space="preserve"> be important for enabling broad access to testing for those eligible for donanemab treatment, stating that CSF testing c</w:t>
      </w:r>
      <w:r w:rsidR="00486D2B">
        <w:rPr>
          <w:rFonts w:eastAsia="Franklin Gothic Book" w:cs="Franklin Gothic Book"/>
          <w:szCs w:val="20"/>
        </w:rPr>
        <w:t>ould</w:t>
      </w:r>
      <w:r w:rsidRPr="00A6530E">
        <w:rPr>
          <w:rFonts w:eastAsia="Franklin Gothic Book" w:cs="Franklin Gothic Book"/>
          <w:szCs w:val="20"/>
        </w:rPr>
        <w:t xml:space="preserve"> address access issues since samples c</w:t>
      </w:r>
      <w:r w:rsidR="00486D2B">
        <w:rPr>
          <w:rFonts w:eastAsia="Franklin Gothic Book" w:cs="Franklin Gothic Book"/>
          <w:szCs w:val="20"/>
        </w:rPr>
        <w:t>ould</w:t>
      </w:r>
      <w:r w:rsidRPr="00A6530E">
        <w:rPr>
          <w:rFonts w:eastAsia="Franklin Gothic Book" w:cs="Franklin Gothic Book"/>
          <w:szCs w:val="20"/>
        </w:rPr>
        <w:t xml:space="preserve"> be collected in any appropriate treatment centre, which </w:t>
      </w:r>
      <w:r w:rsidR="00486D2B">
        <w:rPr>
          <w:rFonts w:eastAsia="Franklin Gothic Book" w:cs="Franklin Gothic Book"/>
          <w:szCs w:val="20"/>
        </w:rPr>
        <w:t>wa</w:t>
      </w:r>
      <w:r w:rsidRPr="00A6530E">
        <w:rPr>
          <w:rFonts w:eastAsia="Franklin Gothic Book" w:cs="Franklin Gothic Book"/>
          <w:szCs w:val="20"/>
        </w:rPr>
        <w:t>s important for those living in rural and regional areas.</w:t>
      </w:r>
    </w:p>
    <w:p w14:paraId="560E9B1D" w14:textId="6682E70E"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considered that the proposed approach to the delivery of the Aβ-PET services </w:t>
      </w:r>
      <w:r w:rsidR="00486D2B">
        <w:rPr>
          <w:rFonts w:eastAsia="Franklin Gothic Book" w:cs="Franklin Gothic Book"/>
          <w:szCs w:val="20"/>
        </w:rPr>
        <w:t>wa</w:t>
      </w:r>
      <w:r w:rsidRPr="00A6530E">
        <w:rPr>
          <w:rFonts w:eastAsia="Franklin Gothic Book" w:cs="Franklin Gothic Book"/>
          <w:szCs w:val="20"/>
        </w:rPr>
        <w:t xml:space="preserve">s appropriate, i.e., performed by nuclear medicine technologists under the supervision of accredited nuclear medicine providers, with results interpreted by accredited nuclear medicine providers, as consistent with current Australian clinical practice. </w:t>
      </w:r>
    </w:p>
    <w:p w14:paraId="09619785" w14:textId="22C5744C"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noted that the proposed MBS item descriptor for A</w:t>
      </w:r>
      <w:r w:rsidRPr="00A6530E">
        <w:rPr>
          <w:rFonts w:ascii="Calibri" w:eastAsia="Franklin Gothic Book" w:hAnsi="Calibri" w:cs="Calibri"/>
          <w:szCs w:val="20"/>
        </w:rPr>
        <w:t>β</w:t>
      </w:r>
      <w:r w:rsidRPr="00A6530E">
        <w:rPr>
          <w:rFonts w:eastAsia="Franklin Gothic Book" w:cs="Franklin Gothic Book"/>
          <w:szCs w:val="20"/>
        </w:rPr>
        <w:t>-PET to determine eligibility ha</w:t>
      </w:r>
      <w:r w:rsidR="00724502">
        <w:rPr>
          <w:rFonts w:eastAsia="Franklin Gothic Book" w:cs="Franklin Gothic Book"/>
          <w:szCs w:val="20"/>
        </w:rPr>
        <w:t>d</w:t>
      </w:r>
      <w:r w:rsidRPr="00A6530E">
        <w:rPr>
          <w:rFonts w:eastAsia="Franklin Gothic Book" w:cs="Franklin Gothic Book"/>
          <w:szCs w:val="20"/>
        </w:rPr>
        <w:t xml:space="preserve"> no cap while the proposed item to assess patient’s response </w:t>
      </w:r>
      <w:r w:rsidR="00724502">
        <w:rPr>
          <w:rFonts w:eastAsia="Franklin Gothic Book" w:cs="Franklin Gothic Book"/>
          <w:szCs w:val="20"/>
        </w:rPr>
        <w:t>wa</w:t>
      </w:r>
      <w:r w:rsidRPr="00A6530E">
        <w:rPr>
          <w:rFonts w:eastAsia="Franklin Gothic Book" w:cs="Franklin Gothic Book"/>
          <w:szCs w:val="20"/>
        </w:rPr>
        <w:t xml:space="preserve">s limited to 3 per patients. </w:t>
      </w: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noted that “in line with recent MSAC decision”, lifetime scan limitations should not be imposed within the MBS item descriptor bur rather be determined on</w:t>
      </w:r>
      <w:r w:rsidR="00C30EC7">
        <w:rPr>
          <w:rFonts w:eastAsia="Franklin Gothic Book" w:cs="Franklin Gothic Book"/>
          <w:szCs w:val="20"/>
        </w:rPr>
        <w:t xml:space="preserve"> an</w:t>
      </w:r>
      <w:r w:rsidRPr="00A6530E">
        <w:rPr>
          <w:rFonts w:eastAsia="Franklin Gothic Book" w:cs="Franklin Gothic Book"/>
          <w:szCs w:val="20"/>
        </w:rPr>
        <w:t xml:space="preserve"> individual basis. AANMS suggested an eligibility scan and follow-up scan limit of 1 and 3 over a 3-year period, respectively.</w:t>
      </w:r>
    </w:p>
    <w:p w14:paraId="7FFE7B5D" w14:textId="278D19A8"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agreed that a tracer-agnostic MBS item w</w:t>
      </w:r>
      <w:r w:rsidR="00C30EC7">
        <w:rPr>
          <w:rFonts w:eastAsia="Franklin Gothic Book" w:cs="Franklin Gothic Book"/>
          <w:szCs w:val="20"/>
        </w:rPr>
        <w:t>ould</w:t>
      </w:r>
      <w:r w:rsidRPr="00A6530E">
        <w:rPr>
          <w:rFonts w:eastAsia="Franklin Gothic Book" w:cs="Franklin Gothic Book"/>
          <w:szCs w:val="20"/>
        </w:rPr>
        <w:t xml:space="preserve"> allow for more equitable access to Aβ-PET tracers. </w:t>
      </w: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disagreed that research Aβ-PET tracer, NAV4694, </w:t>
      </w:r>
      <w:r w:rsidR="00C30EC7">
        <w:rPr>
          <w:rFonts w:eastAsia="Franklin Gothic Book" w:cs="Franklin Gothic Book"/>
          <w:szCs w:val="20"/>
        </w:rPr>
        <w:t>wa</w:t>
      </w:r>
      <w:r w:rsidRPr="00A6530E">
        <w:rPr>
          <w:rFonts w:eastAsia="Franklin Gothic Book" w:cs="Franklin Gothic Book"/>
          <w:szCs w:val="20"/>
        </w:rPr>
        <w:t xml:space="preserve">s the only Aβ-PET tracer currently available on Australia’s west coast. </w:t>
      </w:r>
    </w:p>
    <w:p w14:paraId="60CFABE0" w14:textId="7882A0D5"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noted that there m</w:t>
      </w:r>
      <w:r w:rsidR="00C30EC7">
        <w:rPr>
          <w:rFonts w:eastAsia="Franklin Gothic Book" w:cs="Franklin Gothic Book"/>
          <w:szCs w:val="20"/>
        </w:rPr>
        <w:t>ight</w:t>
      </w:r>
      <w:r w:rsidRPr="00A6530E">
        <w:rPr>
          <w:rFonts w:eastAsia="Franklin Gothic Book" w:cs="Franklin Gothic Book"/>
          <w:szCs w:val="20"/>
        </w:rPr>
        <w:t xml:space="preserve"> be concern regarding unequal access to Aβ-PET scan for regional and rural populations, as versus metropolitan areas. </w:t>
      </w: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reported its commitment to leveraging a sublicensing model to produce A</w:t>
      </w:r>
      <w:r w:rsidRPr="00A6530E">
        <w:rPr>
          <w:rFonts w:ascii="Calibri" w:eastAsia="Franklin Gothic Book" w:hAnsi="Calibri" w:cs="Calibri"/>
          <w:szCs w:val="20"/>
        </w:rPr>
        <w:t>β</w:t>
      </w:r>
      <w:r w:rsidRPr="00A6530E">
        <w:rPr>
          <w:rFonts w:eastAsia="Franklin Gothic Book" w:cs="Franklin Gothic Book"/>
          <w:szCs w:val="20"/>
        </w:rPr>
        <w:t>-PET radiotracers and stated that it w</w:t>
      </w:r>
      <w:r w:rsidR="00094231">
        <w:rPr>
          <w:rFonts w:eastAsia="Franklin Gothic Book" w:cs="Franklin Gothic Book"/>
          <w:szCs w:val="20"/>
        </w:rPr>
        <w:t>ould</w:t>
      </w:r>
      <w:r w:rsidRPr="00A6530E">
        <w:rPr>
          <w:rFonts w:eastAsia="Franklin Gothic Book" w:cs="Franklin Gothic Book"/>
          <w:szCs w:val="20"/>
        </w:rPr>
        <w:t xml:space="preserve"> subsidise the cost A</w:t>
      </w:r>
      <w:r w:rsidRPr="00A6530E">
        <w:rPr>
          <w:rFonts w:ascii="Calibri" w:eastAsia="Franklin Gothic Book" w:hAnsi="Calibri" w:cs="Calibri"/>
          <w:szCs w:val="20"/>
        </w:rPr>
        <w:t>β</w:t>
      </w:r>
      <w:r w:rsidRPr="00A6530E">
        <w:rPr>
          <w:rFonts w:eastAsia="Franklin Gothic Book" w:cs="Franklin Gothic Book"/>
          <w:szCs w:val="20"/>
        </w:rPr>
        <w:t>-PET tracers distributed to these areas.</w:t>
      </w:r>
    </w:p>
    <w:p w14:paraId="1A018B6A" w14:textId="466110FA" w:rsidR="00A6530E" w:rsidRPr="00A6530E" w:rsidRDefault="00A6530E" w:rsidP="00B03F74">
      <w:pPr>
        <w:pStyle w:val="ListParagraph"/>
        <w:numPr>
          <w:ilvl w:val="0"/>
          <w:numId w:val="37"/>
        </w:numPr>
        <w:spacing w:before="0"/>
        <w:contextualSpacing/>
        <w:rPr>
          <w:rFonts w:eastAsia="Franklin Gothic Book" w:cs="Franklin Gothic Book"/>
          <w:szCs w:val="20"/>
        </w:rPr>
      </w:pPr>
      <w:r w:rsidRPr="00A6530E">
        <w:rPr>
          <w:rFonts w:eastAsia="Franklin Gothic Book" w:cs="Franklin Gothic Book"/>
          <w:szCs w:val="20"/>
        </w:rPr>
        <w:t>AANMS stated that Aβ-PET scans should be provided by a site serviced by accredited nuclear medicine specialists with expertise in interpretation of these PET scans.</w:t>
      </w:r>
    </w:p>
    <w:p w14:paraId="484E2F95" w14:textId="0B5B87D4"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agreed that there </w:t>
      </w:r>
      <w:r w:rsidR="00B42629">
        <w:rPr>
          <w:rFonts w:eastAsia="Franklin Gothic Book" w:cs="Franklin Gothic Book"/>
          <w:szCs w:val="20"/>
        </w:rPr>
        <w:t>were</w:t>
      </w:r>
      <w:r w:rsidRPr="00A6530E">
        <w:rPr>
          <w:rFonts w:eastAsia="Franklin Gothic Book" w:cs="Franklin Gothic Book"/>
          <w:szCs w:val="20"/>
        </w:rPr>
        <w:t xml:space="preserve"> no appropriate comparators to test and monitor Aβ pathology, and that the accurate comparator for donanemab </w:t>
      </w:r>
      <w:r w:rsidR="00B42629">
        <w:rPr>
          <w:rFonts w:eastAsia="Franklin Gothic Book" w:cs="Franklin Gothic Book"/>
          <w:szCs w:val="20"/>
        </w:rPr>
        <w:t>wa</w:t>
      </w:r>
      <w:r w:rsidRPr="00A6530E">
        <w:rPr>
          <w:rFonts w:eastAsia="Franklin Gothic Book" w:cs="Franklin Gothic Book"/>
          <w:szCs w:val="20"/>
        </w:rPr>
        <w:t xml:space="preserve">s standard of care. AANMS agreed that there was no direct comparator for Aβ scans and noted that </w:t>
      </w:r>
      <w:r w:rsidR="00FE3A24" w:rsidRPr="00FE3A24">
        <w:rPr>
          <w:rFonts w:eastAsia="Franklin Gothic Book" w:cs="Franklin Gothic Book"/>
          <w:szCs w:val="20"/>
        </w:rPr>
        <w:t xml:space="preserve">fluorodeoxyglucose </w:t>
      </w:r>
      <w:r w:rsidR="00FE3A24">
        <w:rPr>
          <w:rFonts w:eastAsia="Franklin Gothic Book" w:cs="Franklin Gothic Book"/>
          <w:szCs w:val="20"/>
        </w:rPr>
        <w:t>(</w:t>
      </w:r>
      <w:r w:rsidRPr="00A6530E">
        <w:rPr>
          <w:rFonts w:eastAsia="Franklin Gothic Book" w:cs="Franklin Gothic Book"/>
          <w:szCs w:val="20"/>
        </w:rPr>
        <w:t>FDG</w:t>
      </w:r>
      <w:r w:rsidR="00FE3A24">
        <w:rPr>
          <w:rFonts w:eastAsia="Franklin Gothic Book" w:cs="Franklin Gothic Book"/>
          <w:szCs w:val="20"/>
        </w:rPr>
        <w:t>)</w:t>
      </w:r>
      <w:r w:rsidRPr="00A6530E">
        <w:rPr>
          <w:rFonts w:eastAsia="Franklin Gothic Book" w:cs="Franklin Gothic Book"/>
          <w:szCs w:val="20"/>
        </w:rPr>
        <w:t xml:space="preserve">-PET </w:t>
      </w:r>
      <w:r w:rsidR="00FE3A24">
        <w:rPr>
          <w:rFonts w:eastAsia="Franklin Gothic Book" w:cs="Franklin Gothic Book"/>
          <w:szCs w:val="20"/>
        </w:rPr>
        <w:t>would</w:t>
      </w:r>
      <w:r w:rsidRPr="00A6530E">
        <w:rPr>
          <w:rFonts w:eastAsia="Franklin Gothic Book" w:cs="Franklin Gothic Book"/>
          <w:szCs w:val="20"/>
        </w:rPr>
        <w:t xml:space="preserve"> not provide any information about amyloid burden. Roche Diagnostics noted the comparator as appropriate for the Australian setting, </w:t>
      </w:r>
      <w:r w:rsidR="00A24267">
        <w:rPr>
          <w:rFonts w:eastAsia="Franklin Gothic Book" w:cs="Franklin Gothic Book"/>
          <w:szCs w:val="20"/>
        </w:rPr>
        <w:t>as</w:t>
      </w:r>
      <w:r w:rsidR="00A24267" w:rsidRPr="00A6530E">
        <w:rPr>
          <w:rFonts w:eastAsia="Franklin Gothic Book" w:cs="Franklin Gothic Book"/>
          <w:szCs w:val="20"/>
        </w:rPr>
        <w:t xml:space="preserve"> </w:t>
      </w:r>
      <w:r w:rsidRPr="00A6530E">
        <w:rPr>
          <w:rFonts w:eastAsia="Franklin Gothic Book" w:cs="Franklin Gothic Book"/>
          <w:szCs w:val="20"/>
        </w:rPr>
        <w:t xml:space="preserve">there </w:t>
      </w:r>
      <w:r w:rsidR="00A24267">
        <w:rPr>
          <w:rFonts w:eastAsia="Franklin Gothic Book" w:cs="Franklin Gothic Book"/>
          <w:szCs w:val="20"/>
        </w:rPr>
        <w:t>we</w:t>
      </w:r>
      <w:r w:rsidRPr="00A6530E">
        <w:rPr>
          <w:rFonts w:eastAsia="Franklin Gothic Book" w:cs="Franklin Gothic Book"/>
          <w:szCs w:val="20"/>
        </w:rPr>
        <w:t>re no current specific diagnostic tests for AD in widespread utilisation.</w:t>
      </w:r>
    </w:p>
    <w:p w14:paraId="7A844B4E" w14:textId="51767E3F"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agreed that there </w:t>
      </w:r>
      <w:r w:rsidR="00B40538">
        <w:rPr>
          <w:rFonts w:eastAsia="Franklin Gothic Book" w:cs="Franklin Gothic Book"/>
          <w:szCs w:val="20"/>
        </w:rPr>
        <w:t>wa</w:t>
      </w:r>
      <w:r w:rsidRPr="00A6530E">
        <w:rPr>
          <w:rFonts w:eastAsia="Franklin Gothic Book" w:cs="Franklin Gothic Book"/>
          <w:szCs w:val="20"/>
        </w:rPr>
        <w:t>s a more than reasonable level of certainty around the outcomes as proposed in the PICO set.</w:t>
      </w:r>
    </w:p>
    <w:p w14:paraId="4049E9EB" w14:textId="49D6137F"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agreed that MBS Items 61559 and 61560 </w:t>
      </w:r>
      <w:r w:rsidR="00B40538">
        <w:rPr>
          <w:rFonts w:eastAsia="Franklin Gothic Book" w:cs="Franklin Gothic Book"/>
          <w:szCs w:val="20"/>
        </w:rPr>
        <w:t>we</w:t>
      </w:r>
      <w:r w:rsidRPr="00A6530E">
        <w:rPr>
          <w:rFonts w:eastAsia="Franklin Gothic Book" w:cs="Franklin Gothic Book"/>
          <w:szCs w:val="20"/>
        </w:rPr>
        <w:t>re comparable MBS item numbers regarding A</w:t>
      </w:r>
      <w:r w:rsidRPr="00A6530E">
        <w:rPr>
          <w:rFonts w:ascii="Calibri" w:eastAsia="Franklin Gothic Book" w:hAnsi="Calibri" w:cs="Calibri"/>
          <w:szCs w:val="20"/>
        </w:rPr>
        <w:t>β</w:t>
      </w:r>
      <w:r w:rsidRPr="00A6530E">
        <w:rPr>
          <w:rFonts w:eastAsia="Franklin Gothic Book" w:cs="Franklin Gothic Book"/>
          <w:szCs w:val="20"/>
        </w:rPr>
        <w:t xml:space="preserve">-PET scans. </w:t>
      </w:r>
    </w:p>
    <w:p w14:paraId="6E9FBC80" w14:textId="34B6DC75" w:rsidR="00A6530E" w:rsidRPr="00A6530E" w:rsidRDefault="00A6530E" w:rsidP="00B03F74">
      <w:pPr>
        <w:pStyle w:val="ListParagraph"/>
        <w:numPr>
          <w:ilvl w:val="0"/>
          <w:numId w:val="37"/>
        </w:numPr>
        <w:spacing w:before="0"/>
        <w:contextualSpacing/>
        <w:rPr>
          <w:rFonts w:eastAsia="Franklin Gothic Book" w:cs="Franklin Gothic Book"/>
          <w:szCs w:val="20"/>
        </w:rPr>
      </w:pPr>
      <w:r w:rsidRPr="00A6530E">
        <w:rPr>
          <w:rFonts w:eastAsia="Franklin Gothic Book" w:cs="Franklin Gothic Book"/>
          <w:szCs w:val="20"/>
        </w:rPr>
        <w:t xml:space="preserve">AANMS noted that the general descriptor </w:t>
      </w:r>
      <w:r w:rsidR="0023679A">
        <w:rPr>
          <w:rFonts w:eastAsia="Franklin Gothic Book" w:cs="Franklin Gothic Book"/>
          <w:szCs w:val="20"/>
        </w:rPr>
        <w:t xml:space="preserve">of PET </w:t>
      </w:r>
      <w:r w:rsidRPr="00A6530E">
        <w:rPr>
          <w:rFonts w:eastAsia="Franklin Gothic Book" w:cs="Franklin Gothic Book"/>
          <w:szCs w:val="20"/>
        </w:rPr>
        <w:t xml:space="preserve">for both eligibility and assessment of treatment response </w:t>
      </w:r>
      <w:r w:rsidR="00B40538">
        <w:rPr>
          <w:rFonts w:eastAsia="Franklin Gothic Book" w:cs="Franklin Gothic Book"/>
          <w:szCs w:val="20"/>
        </w:rPr>
        <w:t>wa</w:t>
      </w:r>
      <w:r w:rsidRPr="00A6530E">
        <w:rPr>
          <w:rFonts w:eastAsia="Franklin Gothic Book" w:cs="Franklin Gothic Book"/>
          <w:szCs w:val="20"/>
        </w:rPr>
        <w:t xml:space="preserve">s </w:t>
      </w:r>
      <w:proofErr w:type="gramStart"/>
      <w:r w:rsidRPr="00A6530E">
        <w:rPr>
          <w:rFonts w:eastAsia="Franklin Gothic Book" w:cs="Franklin Gothic Book"/>
          <w:szCs w:val="20"/>
        </w:rPr>
        <w:t>appropriate, but</w:t>
      </w:r>
      <w:proofErr w:type="gramEnd"/>
      <w:r w:rsidRPr="00A6530E">
        <w:rPr>
          <w:rFonts w:eastAsia="Franklin Gothic Book" w:cs="Franklin Gothic Book"/>
          <w:szCs w:val="20"/>
        </w:rPr>
        <w:t xml:space="preserve"> suggested the inclusion of ‘</w:t>
      </w:r>
      <w:proofErr w:type="spellStart"/>
      <w:r w:rsidRPr="00A6530E">
        <w:rPr>
          <w:rFonts w:eastAsia="Franklin Gothic Book" w:cs="Franklin Gothic Book"/>
          <w:szCs w:val="20"/>
        </w:rPr>
        <w:t>Centiloid</w:t>
      </w:r>
      <w:proofErr w:type="spellEnd"/>
      <w:r w:rsidRPr="00A6530E">
        <w:rPr>
          <w:rFonts w:eastAsia="Franklin Gothic Book" w:cs="Franklin Gothic Book"/>
          <w:szCs w:val="20"/>
        </w:rPr>
        <w:t xml:space="preserve"> score’ in the interpretation of Aβ-PET scans to allow standardisation of the results.</w:t>
      </w:r>
    </w:p>
    <w:p w14:paraId="010F7C6E" w14:textId="10F0820A" w:rsidR="00A6530E" w:rsidRPr="00A6530E" w:rsidRDefault="00A6530E" w:rsidP="00B03F74">
      <w:pPr>
        <w:pStyle w:val="ListParagraph"/>
        <w:numPr>
          <w:ilvl w:val="0"/>
          <w:numId w:val="37"/>
        </w:numPr>
        <w:spacing w:before="0"/>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agreed that the MBS fee for proposed items should incorporate the current cost of performing and interpreting an </w:t>
      </w:r>
      <w:r w:rsidRPr="0023679A">
        <w:rPr>
          <w:rFonts w:eastAsia="Franklin Gothic Book" w:cs="Franklin Gothic Book"/>
          <w:szCs w:val="20"/>
          <w:vertAlign w:val="superscript"/>
        </w:rPr>
        <w:t>18</w:t>
      </w:r>
      <w:r w:rsidRPr="00A6530E">
        <w:rPr>
          <w:rFonts w:eastAsia="Franklin Gothic Book" w:cs="Franklin Gothic Book"/>
          <w:szCs w:val="20"/>
        </w:rPr>
        <w:t xml:space="preserve">F-FDG study of the brain and substitute the cost of the </w:t>
      </w:r>
      <w:r w:rsidRPr="0023679A">
        <w:rPr>
          <w:rFonts w:eastAsia="Franklin Gothic Book" w:cs="Franklin Gothic Book"/>
          <w:szCs w:val="20"/>
          <w:vertAlign w:val="superscript"/>
        </w:rPr>
        <w:t>18</w:t>
      </w:r>
      <w:r w:rsidRPr="00A6530E">
        <w:rPr>
          <w:rFonts w:eastAsia="Franklin Gothic Book" w:cs="Franklin Gothic Book"/>
          <w:szCs w:val="20"/>
        </w:rPr>
        <w:t xml:space="preserve">F-FDG radiotracer for the Aβ PET tracer. However, </w:t>
      </w:r>
      <w:proofErr w:type="spellStart"/>
      <w:r w:rsidR="00BB59A0">
        <w:rPr>
          <w:rFonts w:eastAsia="Franklin Gothic Book" w:cs="Franklin Gothic Book"/>
          <w:szCs w:val="20"/>
        </w:rPr>
        <w:t>Cyclotek</w:t>
      </w:r>
      <w:proofErr w:type="spellEnd"/>
      <w:r w:rsidR="00BB59A0">
        <w:rPr>
          <w:rFonts w:eastAsia="Franklin Gothic Book" w:cs="Franklin Gothic Book"/>
          <w:szCs w:val="20"/>
        </w:rPr>
        <w:t xml:space="preserve"> </w:t>
      </w:r>
      <w:r w:rsidRPr="00A6530E">
        <w:rPr>
          <w:rFonts w:eastAsia="Franklin Gothic Book" w:cs="Franklin Gothic Book"/>
          <w:szCs w:val="20"/>
        </w:rPr>
        <w:t xml:space="preserve">noted the fee for MBS item 61560 </w:t>
      </w:r>
      <w:r w:rsidR="00BB59A0">
        <w:rPr>
          <w:rFonts w:eastAsia="Franklin Gothic Book" w:cs="Franklin Gothic Book"/>
          <w:szCs w:val="20"/>
        </w:rPr>
        <w:t>w</w:t>
      </w:r>
      <w:r w:rsidRPr="00A6530E">
        <w:rPr>
          <w:rFonts w:eastAsia="Franklin Gothic Book" w:cs="Franklin Gothic Book"/>
          <w:szCs w:val="20"/>
        </w:rPr>
        <w:t xml:space="preserve">as an outlier and stated that most </w:t>
      </w:r>
      <w:r w:rsidRPr="00BB59A0">
        <w:rPr>
          <w:rFonts w:eastAsia="Franklin Gothic Book" w:cs="Franklin Gothic Book"/>
          <w:szCs w:val="20"/>
          <w:vertAlign w:val="superscript"/>
        </w:rPr>
        <w:t>18</w:t>
      </w:r>
      <w:r w:rsidRPr="00A6530E">
        <w:rPr>
          <w:rFonts w:eastAsia="Franklin Gothic Book" w:cs="Franklin Gothic Book"/>
          <w:szCs w:val="20"/>
        </w:rPr>
        <w:t xml:space="preserve">F-FDG PET MBS item code fees more accurately reflect </w:t>
      </w:r>
      <w:r w:rsidRPr="00A6530E">
        <w:rPr>
          <w:rFonts w:eastAsia="Franklin Gothic Book" w:cs="Franklin Gothic Book"/>
          <w:szCs w:val="20"/>
        </w:rPr>
        <w:lastRenderedPageBreak/>
        <w:t xml:space="preserve">the cost of the radiotracer, PET scan procedure, and results interpretation. AANMS supported the need for a reimbursement fee to cover the radiopharmaceutical itself, as well as an appropriate fee for service delivery. PPA noted </w:t>
      </w:r>
      <w:r w:rsidR="00645C0B">
        <w:rPr>
          <w:rFonts w:eastAsia="Franklin Gothic Book" w:cs="Franklin Gothic Book"/>
          <w:szCs w:val="20"/>
        </w:rPr>
        <w:t>it</w:t>
      </w:r>
      <w:r w:rsidR="00645C0B" w:rsidRPr="00A6530E">
        <w:rPr>
          <w:rFonts w:eastAsia="Franklin Gothic Book" w:cs="Franklin Gothic Book"/>
          <w:szCs w:val="20"/>
        </w:rPr>
        <w:t xml:space="preserve"> </w:t>
      </w:r>
      <w:r w:rsidRPr="00A6530E">
        <w:rPr>
          <w:rFonts w:eastAsia="Franklin Gothic Book" w:cs="Franklin Gothic Book"/>
          <w:szCs w:val="20"/>
        </w:rPr>
        <w:t>w</w:t>
      </w:r>
      <w:r w:rsidR="00645C0B">
        <w:rPr>
          <w:rFonts w:eastAsia="Franklin Gothic Book" w:cs="Franklin Gothic Book"/>
          <w:szCs w:val="20"/>
        </w:rPr>
        <w:t>ould</w:t>
      </w:r>
      <w:r w:rsidRPr="00A6530E">
        <w:rPr>
          <w:rFonts w:eastAsia="Franklin Gothic Book" w:cs="Franklin Gothic Book"/>
          <w:szCs w:val="20"/>
        </w:rPr>
        <w:t xml:space="preserve"> be in a better position to advise on test costs </w:t>
      </w:r>
      <w:proofErr w:type="gramStart"/>
      <w:r w:rsidRPr="00A6530E">
        <w:rPr>
          <w:rFonts w:eastAsia="Franklin Gothic Book" w:cs="Franklin Gothic Book"/>
          <w:szCs w:val="20"/>
        </w:rPr>
        <w:t>in the near future</w:t>
      </w:r>
      <w:proofErr w:type="gramEnd"/>
      <w:r w:rsidRPr="00A6530E">
        <w:rPr>
          <w:rFonts w:eastAsia="Franklin Gothic Book" w:cs="Franklin Gothic Book"/>
          <w:szCs w:val="20"/>
        </w:rPr>
        <w:t xml:space="preserve">. </w:t>
      </w:r>
    </w:p>
    <w:p w14:paraId="4A253A3D" w14:textId="64E3A51E" w:rsidR="00A6530E" w:rsidRPr="00A6530E" w:rsidRDefault="00A6530E" w:rsidP="00B03F74">
      <w:pPr>
        <w:pStyle w:val="ListParagraph"/>
        <w:numPr>
          <w:ilvl w:val="0"/>
          <w:numId w:val="37"/>
        </w:numPr>
        <w:spacing w:before="0"/>
        <w:contextualSpacing/>
        <w:rPr>
          <w:rFonts w:eastAsia="Franklin Gothic Book" w:cs="Franklin Gothic Book"/>
          <w:szCs w:val="20"/>
        </w:rPr>
      </w:pPr>
      <w:r w:rsidRPr="00A6530E">
        <w:rPr>
          <w:rFonts w:eastAsia="Franklin Gothic Book" w:cs="Franklin Gothic Book"/>
          <w:szCs w:val="20"/>
        </w:rPr>
        <w:t>Roche Diagnostics noted the application d</w:t>
      </w:r>
      <w:r w:rsidR="00F9306E">
        <w:rPr>
          <w:rFonts w:eastAsia="Franklin Gothic Book" w:cs="Franklin Gothic Book"/>
          <w:szCs w:val="20"/>
        </w:rPr>
        <w:t>id</w:t>
      </w:r>
      <w:r w:rsidRPr="00A6530E">
        <w:rPr>
          <w:rFonts w:eastAsia="Franklin Gothic Book" w:cs="Franklin Gothic Book"/>
          <w:szCs w:val="20"/>
        </w:rPr>
        <w:t xml:space="preserve"> not currently include an item descriptor for </w:t>
      </w:r>
      <w:r w:rsidRPr="00A6530E">
        <w:rPr>
          <w:rFonts w:eastAsia="Franklin Gothic Book" w:cs="Franklin Gothic Book"/>
          <w:i/>
          <w:iCs/>
          <w:szCs w:val="20"/>
        </w:rPr>
        <w:t>APOE4</w:t>
      </w:r>
      <w:r w:rsidRPr="00A6530E">
        <w:rPr>
          <w:rFonts w:eastAsia="Franklin Gothic Book" w:cs="Franklin Gothic Book"/>
          <w:szCs w:val="20"/>
        </w:rPr>
        <w:t xml:space="preserve"> genotyping, and suggested MSAC consider a cascade testing approach for </w:t>
      </w:r>
      <w:r w:rsidRPr="00A6530E">
        <w:rPr>
          <w:rFonts w:eastAsia="Franklin Gothic Book" w:cs="Franklin Gothic Book"/>
          <w:i/>
          <w:iCs/>
          <w:szCs w:val="20"/>
        </w:rPr>
        <w:t>APOE4</w:t>
      </w:r>
      <w:r w:rsidRPr="00A6530E">
        <w:rPr>
          <w:rFonts w:eastAsia="Franklin Gothic Book" w:cs="Franklin Gothic Book"/>
          <w:szCs w:val="20"/>
        </w:rPr>
        <w:t xml:space="preserve"> status, noting </w:t>
      </w:r>
      <w:r w:rsidR="004F5103">
        <w:rPr>
          <w:rFonts w:eastAsia="Franklin Gothic Book" w:cs="Franklin Gothic Book"/>
          <w:szCs w:val="20"/>
        </w:rPr>
        <w:t>that it</w:t>
      </w:r>
      <w:r w:rsidRPr="00A6530E">
        <w:rPr>
          <w:rFonts w:eastAsia="Franklin Gothic Book" w:cs="Franklin Gothic Book"/>
          <w:szCs w:val="20"/>
        </w:rPr>
        <w:t xml:space="preserve"> would be willing to support MSAC in determining </w:t>
      </w:r>
      <w:r w:rsidR="004F5103">
        <w:rPr>
          <w:rFonts w:eastAsia="Franklin Gothic Book" w:cs="Franklin Gothic Book"/>
          <w:szCs w:val="20"/>
        </w:rPr>
        <w:t xml:space="preserve">the </w:t>
      </w:r>
      <w:r w:rsidRPr="00A6530E">
        <w:rPr>
          <w:rFonts w:eastAsia="Franklin Gothic Book" w:cs="Franklin Gothic Book"/>
          <w:szCs w:val="20"/>
        </w:rPr>
        <w:t>appropriate fees for such testing.</w:t>
      </w:r>
    </w:p>
    <w:p w14:paraId="11380B6F" w14:textId="5D73A2B9" w:rsidR="00A6530E" w:rsidRPr="00A6530E" w:rsidRDefault="00A6530E" w:rsidP="00B03F74">
      <w:pPr>
        <w:pStyle w:val="ListParagraph"/>
        <w:numPr>
          <w:ilvl w:val="0"/>
          <w:numId w:val="37"/>
        </w:numPr>
        <w:spacing w:before="0"/>
        <w:contextualSpacing/>
        <w:rPr>
          <w:rFonts w:eastAsia="Franklin Gothic Book" w:cs="Franklin Gothic Book"/>
          <w:szCs w:val="20"/>
        </w:rPr>
      </w:pPr>
      <w:r w:rsidRPr="00A6530E">
        <w:rPr>
          <w:rFonts w:eastAsia="Franklin Gothic Book" w:cs="Franklin Gothic Book"/>
          <w:szCs w:val="20"/>
        </w:rPr>
        <w:t>Roche Diagnostics noted the application d</w:t>
      </w:r>
      <w:r w:rsidR="004F5103">
        <w:rPr>
          <w:rFonts w:eastAsia="Franklin Gothic Book" w:cs="Franklin Gothic Book"/>
          <w:szCs w:val="20"/>
        </w:rPr>
        <w:t>id</w:t>
      </w:r>
      <w:r w:rsidRPr="00A6530E">
        <w:rPr>
          <w:rFonts w:eastAsia="Franklin Gothic Book" w:cs="Franklin Gothic Book"/>
          <w:szCs w:val="20"/>
        </w:rPr>
        <w:t xml:space="preserve"> not currently include a specific fee for CSF confirmatory testing, stating that such testing </w:t>
      </w:r>
      <w:r w:rsidR="000D47E9">
        <w:rPr>
          <w:rFonts w:eastAsia="Franklin Gothic Book" w:cs="Franklin Gothic Book"/>
          <w:szCs w:val="20"/>
        </w:rPr>
        <w:t>wa</w:t>
      </w:r>
      <w:r w:rsidRPr="00A6530E">
        <w:rPr>
          <w:rFonts w:eastAsia="Franklin Gothic Book" w:cs="Franklin Gothic Book"/>
          <w:szCs w:val="20"/>
        </w:rPr>
        <w:t xml:space="preserve">s currently available in Australia on an out-of-pocket basis, which </w:t>
      </w:r>
      <w:r w:rsidR="000D47E9">
        <w:rPr>
          <w:rFonts w:eastAsia="Franklin Gothic Book" w:cs="Franklin Gothic Book"/>
          <w:szCs w:val="20"/>
        </w:rPr>
        <w:t xml:space="preserve">would </w:t>
      </w:r>
      <w:r w:rsidRPr="00A6530E">
        <w:rPr>
          <w:rFonts w:eastAsia="Franklin Gothic Book" w:cs="Franklin Gothic Book"/>
          <w:szCs w:val="20"/>
        </w:rPr>
        <w:t xml:space="preserve">likely </w:t>
      </w:r>
      <w:r w:rsidR="000D47E9">
        <w:rPr>
          <w:rFonts w:eastAsia="Franklin Gothic Book" w:cs="Franklin Gothic Book"/>
          <w:szCs w:val="20"/>
        </w:rPr>
        <w:t xml:space="preserve">be </w:t>
      </w:r>
      <w:r w:rsidRPr="00A6530E">
        <w:rPr>
          <w:rFonts w:eastAsia="Franklin Gothic Book" w:cs="Franklin Gothic Book"/>
          <w:szCs w:val="20"/>
        </w:rPr>
        <w:t>representative of an appropriate fee.</w:t>
      </w:r>
    </w:p>
    <w:p w14:paraId="6999ADC1" w14:textId="77777777" w:rsidR="00A6530E" w:rsidRPr="004A1AB5" w:rsidRDefault="00A6530E" w:rsidP="004A1AB5">
      <w:pPr>
        <w:rPr>
          <w:b/>
          <w:bCs/>
        </w:rPr>
      </w:pPr>
      <w:r w:rsidRPr="004A1AB5">
        <w:rPr>
          <w:b/>
          <w:bCs/>
        </w:rPr>
        <w:t xml:space="preserve">Perceived Advantages </w:t>
      </w:r>
    </w:p>
    <w:p w14:paraId="47ABB881" w14:textId="38366E65" w:rsidR="00A6530E" w:rsidRPr="00A6530E" w:rsidRDefault="00A6530E" w:rsidP="00B03F74">
      <w:pPr>
        <w:pStyle w:val="ListParagraph"/>
        <w:numPr>
          <w:ilvl w:val="0"/>
          <w:numId w:val="39"/>
        </w:numPr>
        <w:tabs>
          <w:tab w:val="left" w:pos="3686"/>
        </w:tabs>
        <w:spacing w:line="257" w:lineRule="auto"/>
        <w:ind w:left="357" w:hanging="357"/>
        <w:contextualSpacing/>
        <w:rPr>
          <w:rFonts w:eastAsia="Franklin Gothic Book" w:cs="Franklin Gothic Book"/>
          <w:szCs w:val="20"/>
        </w:rPr>
      </w:pPr>
      <w:r w:rsidRPr="00A6530E">
        <w:rPr>
          <w:rFonts w:eastAsia="Franklin Gothic Book" w:cs="Franklin Gothic Book"/>
          <w:szCs w:val="20"/>
        </w:rPr>
        <w:t>Three carers of individuals with AD noted the ability to diagnose symptoms of dementia is vitally important as it w</w:t>
      </w:r>
      <w:r w:rsidR="0091634D">
        <w:rPr>
          <w:rFonts w:eastAsia="Franklin Gothic Book" w:cs="Franklin Gothic Book"/>
          <w:szCs w:val="20"/>
        </w:rPr>
        <w:t>ould</w:t>
      </w:r>
      <w:r w:rsidRPr="00A6530E">
        <w:rPr>
          <w:rFonts w:eastAsia="Franklin Gothic Book" w:cs="Franklin Gothic Book"/>
          <w:szCs w:val="20"/>
        </w:rPr>
        <w:t xml:space="preserve"> provide the opportunity for early treatment by drugs designed to reduce or delay the onset of the disease.   </w:t>
      </w:r>
    </w:p>
    <w:p w14:paraId="21D1FC37" w14:textId="7FF97953" w:rsidR="00A6530E" w:rsidRPr="00A6530E" w:rsidRDefault="00A6530E" w:rsidP="00B03F74">
      <w:pPr>
        <w:pStyle w:val="ListParagraph"/>
        <w:numPr>
          <w:ilvl w:val="0"/>
          <w:numId w:val="39"/>
        </w:numPr>
        <w:tabs>
          <w:tab w:val="left" w:pos="3686"/>
        </w:tabs>
        <w:spacing w:line="257" w:lineRule="auto"/>
        <w:ind w:left="357" w:hanging="357"/>
        <w:contextualSpacing/>
        <w:rPr>
          <w:rFonts w:eastAsia="Franklin Gothic Book" w:cs="Franklin Gothic Book"/>
          <w:szCs w:val="20"/>
        </w:rPr>
      </w:pPr>
      <w:r w:rsidRPr="00A6530E">
        <w:rPr>
          <w:rFonts w:eastAsia="Franklin Gothic Book" w:cs="Franklin Gothic Book"/>
          <w:szCs w:val="20"/>
        </w:rPr>
        <w:t xml:space="preserve">Dementia Australia noted these tests </w:t>
      </w:r>
      <w:r w:rsidR="00E006C0">
        <w:rPr>
          <w:rFonts w:eastAsia="Franklin Gothic Book" w:cs="Franklin Gothic Book"/>
          <w:szCs w:val="20"/>
        </w:rPr>
        <w:t>we</w:t>
      </w:r>
      <w:r w:rsidRPr="00A6530E">
        <w:rPr>
          <w:rFonts w:eastAsia="Franklin Gothic Book" w:cs="Franklin Gothic Book"/>
          <w:szCs w:val="20"/>
        </w:rPr>
        <w:t xml:space="preserve">re essential to accurately determine eligibility and safety for donanemab, and to ensure </w:t>
      </w:r>
      <w:r w:rsidR="001945D8">
        <w:rPr>
          <w:rFonts w:eastAsia="Franklin Gothic Book" w:cs="Franklin Gothic Book"/>
          <w:szCs w:val="20"/>
        </w:rPr>
        <w:t xml:space="preserve">that </w:t>
      </w:r>
      <w:r w:rsidRPr="00A6530E">
        <w:rPr>
          <w:rFonts w:eastAsia="Franklin Gothic Book" w:cs="Franklin Gothic Book"/>
          <w:szCs w:val="20"/>
        </w:rPr>
        <w:t xml:space="preserve">this emerging disease-modifying therapy </w:t>
      </w:r>
      <w:r w:rsidR="001945D8">
        <w:rPr>
          <w:rFonts w:eastAsia="Franklin Gothic Book" w:cs="Franklin Gothic Book"/>
          <w:szCs w:val="20"/>
        </w:rPr>
        <w:t>would be</w:t>
      </w:r>
      <w:r w:rsidRPr="00A6530E">
        <w:rPr>
          <w:rFonts w:eastAsia="Franklin Gothic Book" w:cs="Franklin Gothic Book"/>
          <w:szCs w:val="20"/>
        </w:rPr>
        <w:t xml:space="preserve"> used effectively and appropriately.</w:t>
      </w:r>
    </w:p>
    <w:p w14:paraId="0FC58B2C" w14:textId="29724E4A" w:rsidR="00A6530E" w:rsidRPr="00A6530E" w:rsidRDefault="00A6530E" w:rsidP="00B03F74">
      <w:pPr>
        <w:pStyle w:val="ListParagraph"/>
        <w:numPr>
          <w:ilvl w:val="0"/>
          <w:numId w:val="39"/>
        </w:numPr>
        <w:tabs>
          <w:tab w:val="left" w:pos="3686"/>
        </w:tabs>
        <w:spacing w:line="257" w:lineRule="auto"/>
        <w:ind w:left="357" w:hanging="357"/>
        <w:contextualSpacing/>
        <w:rPr>
          <w:rFonts w:eastAsia="Franklin Gothic Book" w:cs="Franklin Gothic Book"/>
          <w:szCs w:val="20"/>
        </w:rPr>
      </w:pPr>
      <w:proofErr w:type="spellStart"/>
      <w:r w:rsidRPr="00A6530E">
        <w:rPr>
          <w:rFonts w:eastAsia="Franklin Gothic Book" w:cs="Franklin Gothic Book"/>
          <w:szCs w:val="20"/>
        </w:rPr>
        <w:t>Cyclotek</w:t>
      </w:r>
      <w:proofErr w:type="spellEnd"/>
      <w:r w:rsidRPr="00A6530E">
        <w:rPr>
          <w:rFonts w:eastAsia="Franklin Gothic Book" w:cs="Franklin Gothic Book"/>
          <w:szCs w:val="20"/>
        </w:rPr>
        <w:t xml:space="preserve"> noted there </w:t>
      </w:r>
      <w:r w:rsidR="001945D8">
        <w:rPr>
          <w:rFonts w:eastAsia="Franklin Gothic Book" w:cs="Franklin Gothic Book"/>
          <w:szCs w:val="20"/>
        </w:rPr>
        <w:t>we</w:t>
      </w:r>
      <w:r w:rsidRPr="00A6530E">
        <w:rPr>
          <w:rFonts w:eastAsia="Franklin Gothic Book" w:cs="Franklin Gothic Book"/>
          <w:szCs w:val="20"/>
        </w:rPr>
        <w:t>re currently no public funded services or technologies to assess Aβ pathology to determine access to publicly funded donanemab, and without public funding, there w</w:t>
      </w:r>
      <w:r w:rsidR="00FA0993">
        <w:rPr>
          <w:rFonts w:eastAsia="Franklin Gothic Book" w:cs="Franklin Gothic Book"/>
          <w:szCs w:val="20"/>
        </w:rPr>
        <w:t>ould</w:t>
      </w:r>
      <w:r w:rsidRPr="00A6530E">
        <w:rPr>
          <w:rFonts w:eastAsia="Franklin Gothic Book" w:cs="Franklin Gothic Book"/>
          <w:szCs w:val="20"/>
        </w:rPr>
        <w:t xml:space="preserve"> be a significant financial toxicity associated with accessing these services and technologies.</w:t>
      </w:r>
    </w:p>
    <w:p w14:paraId="2878CB83" w14:textId="1CFBC4FB" w:rsidR="00A6530E" w:rsidRPr="00A6530E" w:rsidRDefault="00A6530E" w:rsidP="00B03F74">
      <w:pPr>
        <w:pStyle w:val="ListParagraph"/>
        <w:numPr>
          <w:ilvl w:val="0"/>
          <w:numId w:val="39"/>
        </w:numPr>
        <w:tabs>
          <w:tab w:val="left" w:pos="3686"/>
        </w:tabs>
        <w:spacing w:line="257" w:lineRule="auto"/>
        <w:ind w:left="357" w:hanging="357"/>
        <w:contextualSpacing/>
        <w:rPr>
          <w:rFonts w:eastAsia="Franklin Gothic Book" w:cs="Franklin Gothic Book"/>
          <w:szCs w:val="20"/>
        </w:rPr>
      </w:pPr>
      <w:r w:rsidRPr="00A6530E">
        <w:rPr>
          <w:rFonts w:eastAsia="Franklin Gothic Book" w:cs="Franklin Gothic Book"/>
          <w:szCs w:val="20"/>
        </w:rPr>
        <w:t xml:space="preserve">PPA described the proposed tests as appropriate to allow for the treatment of AD with PBS-subsidised donanemab. </w:t>
      </w:r>
    </w:p>
    <w:p w14:paraId="2E086BFE" w14:textId="77777777" w:rsidR="00A6530E" w:rsidRPr="004A1AB5" w:rsidRDefault="00A6530E" w:rsidP="009260B6">
      <w:pPr>
        <w:keepNext/>
        <w:keepLines/>
        <w:rPr>
          <w:b/>
          <w:bCs/>
        </w:rPr>
      </w:pPr>
      <w:r w:rsidRPr="004A1AB5">
        <w:rPr>
          <w:b/>
          <w:bCs/>
        </w:rPr>
        <w:t>Perceived Disadvantages</w:t>
      </w:r>
    </w:p>
    <w:p w14:paraId="1423C2BF" w14:textId="77777777" w:rsidR="00A6530E" w:rsidRPr="00A6530E" w:rsidRDefault="00A6530E" w:rsidP="009260B6">
      <w:pPr>
        <w:pStyle w:val="ListParagraph"/>
        <w:keepNext/>
        <w:keepLines/>
        <w:numPr>
          <w:ilvl w:val="0"/>
          <w:numId w:val="36"/>
        </w:numPr>
        <w:spacing w:before="0"/>
        <w:ind w:left="357" w:hanging="357"/>
        <w:contextualSpacing/>
        <w:rPr>
          <w:rFonts w:eastAsia="Franklin Gothic Book" w:cs="Franklin Gothic Book"/>
          <w:szCs w:val="20"/>
        </w:rPr>
      </w:pPr>
      <w:r w:rsidRPr="00A6530E">
        <w:rPr>
          <w:rFonts w:eastAsia="Franklin Gothic Book" w:cs="Franklin Gothic Book"/>
          <w:szCs w:val="20"/>
        </w:rPr>
        <w:t xml:space="preserve">A carer of an individual with AD expressed no concern regarding the tests proposed in this application. </w:t>
      </w:r>
    </w:p>
    <w:p w14:paraId="3AF2DA33" w14:textId="327C5CEB" w:rsidR="00A6530E" w:rsidRPr="00A6530E" w:rsidRDefault="00A6530E" w:rsidP="009260B6">
      <w:pPr>
        <w:pStyle w:val="ListParagraph"/>
        <w:keepNext/>
        <w:keepLines/>
        <w:numPr>
          <w:ilvl w:val="0"/>
          <w:numId w:val="36"/>
        </w:numPr>
        <w:spacing w:before="0"/>
        <w:ind w:left="357" w:hanging="357"/>
        <w:contextualSpacing/>
        <w:rPr>
          <w:rFonts w:eastAsia="Franklin Gothic Book" w:cs="Franklin Gothic Book"/>
          <w:szCs w:val="20"/>
        </w:rPr>
      </w:pPr>
      <w:r w:rsidRPr="00A6530E">
        <w:rPr>
          <w:rFonts w:eastAsia="Franklin Gothic Book" w:cs="Franklin Gothic Book"/>
          <w:szCs w:val="20"/>
        </w:rPr>
        <w:t xml:space="preserve">Another carer of an individual with AD noted the cost and invasive nature of testing, such as CSF sampling. The carer also noted that PET scanning </w:t>
      </w:r>
      <w:r w:rsidR="00353B9F">
        <w:rPr>
          <w:rFonts w:eastAsia="Franklin Gothic Book" w:cs="Franklin Gothic Book"/>
          <w:szCs w:val="20"/>
        </w:rPr>
        <w:t>wa</w:t>
      </w:r>
      <w:r w:rsidRPr="00A6530E">
        <w:rPr>
          <w:rFonts w:eastAsia="Franklin Gothic Book" w:cs="Franklin Gothic Book"/>
          <w:szCs w:val="20"/>
        </w:rPr>
        <w:t>s not widely accessible or tolerated by some people with dementia and expressed a preference for blood testing for AD if/when available.</w:t>
      </w:r>
    </w:p>
    <w:p w14:paraId="368F2FEF" w14:textId="77777777" w:rsidR="00A6530E" w:rsidRPr="004A1AB5" w:rsidRDefault="00A6530E" w:rsidP="004A1AB5">
      <w:pPr>
        <w:rPr>
          <w:b/>
          <w:bCs/>
        </w:rPr>
      </w:pPr>
      <w:r w:rsidRPr="004A1AB5">
        <w:rPr>
          <w:b/>
          <w:bCs/>
        </w:rPr>
        <w:t xml:space="preserve">Support for Implementation and Issues </w:t>
      </w:r>
    </w:p>
    <w:p w14:paraId="2E2EA803" w14:textId="77777777"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 xml:space="preserve">An individual with AD expressed the need for additional services, including counselling, a dietician, speech pathologist, and dermatologist. This individual also noted the need for transport for those living in regional areas.  </w:t>
      </w:r>
    </w:p>
    <w:p w14:paraId="4EF039CE" w14:textId="77777777"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 xml:space="preserve">Two carers of individuals with AD considered that counselling after genetic testing is important to ensure that the patient and their family members understand the implications of a positive result.  </w:t>
      </w:r>
    </w:p>
    <w:p w14:paraId="70E66EF2" w14:textId="680568AD"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Dementia Australia considered that while new therapies for AD seem</w:t>
      </w:r>
      <w:r w:rsidR="0078334F">
        <w:rPr>
          <w:rFonts w:eastAsia="Franklin Gothic Book" w:cs="Franklin Gothic Book"/>
          <w:szCs w:val="20"/>
        </w:rPr>
        <w:t>ed</w:t>
      </w:r>
      <w:r w:rsidRPr="00A6530E">
        <w:rPr>
          <w:rFonts w:eastAsia="Franklin Gothic Book" w:cs="Franklin Gothic Book"/>
          <w:szCs w:val="20"/>
        </w:rPr>
        <w:t xml:space="preserve"> to be promising, their success </w:t>
      </w:r>
      <w:r w:rsidR="00E91D35">
        <w:rPr>
          <w:rFonts w:eastAsia="Franklin Gothic Book" w:cs="Franklin Gothic Book"/>
          <w:szCs w:val="20"/>
        </w:rPr>
        <w:t xml:space="preserve">would </w:t>
      </w:r>
      <w:r w:rsidRPr="00A6530E">
        <w:rPr>
          <w:rFonts w:eastAsia="Franklin Gothic Book" w:cs="Franklin Gothic Book"/>
          <w:szCs w:val="20"/>
        </w:rPr>
        <w:t xml:space="preserve">depend on early diagnosis and access to treatment. Therefore, access to these tests would represent a positive step forward in making an early diagnosis and access to treatment possible in Australia as well as enable access to advanced care, financial and legal planning. </w:t>
      </w:r>
    </w:p>
    <w:p w14:paraId="533B3552" w14:textId="6658310C"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 xml:space="preserve">Dementia Australia also considered that access and equity considerations </w:t>
      </w:r>
      <w:r w:rsidR="000C7C5D">
        <w:rPr>
          <w:rFonts w:eastAsia="Franklin Gothic Book" w:cs="Franklin Gothic Book"/>
          <w:szCs w:val="20"/>
        </w:rPr>
        <w:t>we</w:t>
      </w:r>
      <w:r w:rsidRPr="00A6530E">
        <w:rPr>
          <w:rFonts w:eastAsia="Franklin Gothic Book" w:cs="Franklin Gothic Book"/>
          <w:szCs w:val="20"/>
        </w:rPr>
        <w:t>re vital. The organisation stated that access to MBS-funded testing must be equally available to people living in rural and remote communities, Aboriginal and Torres Strait Islander peoples, culturally and linguistically diverse communities, and people with younger-onset dementia.</w:t>
      </w:r>
    </w:p>
    <w:p w14:paraId="21796AED" w14:textId="2322B571"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lastRenderedPageBreak/>
        <w:t xml:space="preserve">Roche Diagnostics considered that the critical element for enabling access </w:t>
      </w:r>
      <w:r w:rsidR="008055FF">
        <w:rPr>
          <w:rFonts w:eastAsia="Franklin Gothic Book" w:cs="Franklin Gothic Book"/>
          <w:szCs w:val="20"/>
        </w:rPr>
        <w:t>wa</w:t>
      </w:r>
      <w:r w:rsidRPr="00A6530E">
        <w:rPr>
          <w:rFonts w:eastAsia="Franklin Gothic Book" w:cs="Franklin Gothic Book"/>
          <w:szCs w:val="20"/>
        </w:rPr>
        <w:t>s to ensure that laboratories c</w:t>
      </w:r>
      <w:r w:rsidR="00B76D63">
        <w:rPr>
          <w:rFonts w:eastAsia="Franklin Gothic Book" w:cs="Franklin Gothic Book"/>
          <w:szCs w:val="20"/>
        </w:rPr>
        <w:t>ould</w:t>
      </w:r>
      <w:r w:rsidRPr="00A6530E">
        <w:rPr>
          <w:rFonts w:eastAsia="Franklin Gothic Book" w:cs="Franklin Gothic Book"/>
          <w:szCs w:val="20"/>
        </w:rPr>
        <w:t xml:space="preserve"> deliver the testing in an economically sustainable model. </w:t>
      </w:r>
    </w:p>
    <w:p w14:paraId="4A07BB4C" w14:textId="77777777"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 xml:space="preserve">AANMS reiterated the need for PET-scans to be provided by appropriately certified PET centres and qualified, reporting nuclear medicine specialists. </w:t>
      </w:r>
    </w:p>
    <w:p w14:paraId="25A92B1A" w14:textId="1EF11FC4" w:rsidR="00A6530E" w:rsidRPr="00A6530E" w:rsidRDefault="00A6530E" w:rsidP="00B03F74">
      <w:pPr>
        <w:pStyle w:val="ListParagraph"/>
        <w:numPr>
          <w:ilvl w:val="0"/>
          <w:numId w:val="38"/>
        </w:numPr>
        <w:spacing w:before="0"/>
        <w:contextualSpacing/>
        <w:rPr>
          <w:rFonts w:eastAsia="Franklin Gothic Book" w:cs="Franklin Gothic Book"/>
          <w:szCs w:val="20"/>
        </w:rPr>
      </w:pPr>
      <w:r w:rsidRPr="00A6530E">
        <w:rPr>
          <w:rFonts w:eastAsia="Franklin Gothic Book" w:cs="Franklin Gothic Book"/>
          <w:szCs w:val="20"/>
        </w:rPr>
        <w:t xml:space="preserve">PPA reported that due to the small volume of </w:t>
      </w:r>
      <w:r w:rsidRPr="00A6530E">
        <w:rPr>
          <w:rFonts w:eastAsia="Franklin Gothic Book" w:cs="Franklin Gothic Book"/>
          <w:i/>
          <w:iCs/>
          <w:szCs w:val="20"/>
        </w:rPr>
        <w:t>APOE</w:t>
      </w:r>
      <w:r w:rsidRPr="00A6530E">
        <w:rPr>
          <w:rFonts w:eastAsia="Franklin Gothic Book" w:cs="Franklin Gothic Book"/>
          <w:szCs w:val="20"/>
        </w:rPr>
        <w:t xml:space="preserve"> genotype testing, its members </w:t>
      </w:r>
      <w:r w:rsidR="002B2C5D">
        <w:rPr>
          <w:rFonts w:eastAsia="Franklin Gothic Book" w:cs="Franklin Gothic Book"/>
          <w:szCs w:val="20"/>
        </w:rPr>
        <w:t>would</w:t>
      </w:r>
      <w:r w:rsidRPr="00A6530E">
        <w:rPr>
          <w:rFonts w:eastAsia="Franklin Gothic Book" w:cs="Franklin Gothic Book"/>
          <w:szCs w:val="20"/>
        </w:rPr>
        <w:t xml:space="preserve"> likely continue referring specimens to other pathology providers for this test.</w:t>
      </w:r>
    </w:p>
    <w:p w14:paraId="503C4D57" w14:textId="07CA633D" w:rsidR="00183A87" w:rsidRPr="00394233" w:rsidRDefault="00183A87" w:rsidP="00B03F74">
      <w:pPr>
        <w:pStyle w:val="Heading2"/>
        <w:numPr>
          <w:ilvl w:val="0"/>
          <w:numId w:val="35"/>
        </w:numPr>
        <w:spacing w:after="240"/>
        <w:ind w:left="720" w:hanging="720"/>
        <w:rPr>
          <w:rFonts w:ascii="Franklin Gothic Medium" w:hAnsi="Franklin Gothic Medium"/>
          <w:b w:val="0"/>
          <w:i w:val="0"/>
          <w:snapToGrid/>
          <w:sz w:val="32"/>
          <w:szCs w:val="26"/>
        </w:rPr>
      </w:pPr>
      <w:r w:rsidRPr="00394233">
        <w:rPr>
          <w:rFonts w:ascii="Franklin Gothic Medium" w:hAnsi="Franklin Gothic Medium"/>
          <w:b w:val="0"/>
          <w:i w:val="0"/>
          <w:snapToGrid/>
          <w:sz w:val="32"/>
          <w:szCs w:val="26"/>
        </w:rPr>
        <w:t>Characteristics of the evidence base</w:t>
      </w:r>
      <w:bookmarkEnd w:id="27"/>
    </w:p>
    <w:p w14:paraId="1F16E101" w14:textId="4B8950D5" w:rsidR="00A862A1" w:rsidRPr="00D22CB7" w:rsidRDefault="00430587" w:rsidP="00A862A1">
      <w:r w:rsidRPr="00D22CB7">
        <w:t xml:space="preserve">The approach taken in the </w:t>
      </w:r>
      <w:r w:rsidR="00BD5FC1" w:rsidRPr="00BD5FC1">
        <w:t>submission</w:t>
      </w:r>
      <w:r w:rsidR="00BD5FC1" w:rsidRPr="00BD5FC1" w:rsidDel="00BD5FC1">
        <w:t xml:space="preserve"> </w:t>
      </w:r>
      <w:r w:rsidRPr="00D22CB7">
        <w:t>is to present evidence that has been linked to support the contention that targeting of Aβ plaques in the brain with donanemab will clear Aβ plaques in patients with confirmed pathological levels, leading to a clinical benefit.</w:t>
      </w:r>
    </w:p>
    <w:p w14:paraId="09325375" w14:textId="39B90E52" w:rsidR="001575CB" w:rsidRDefault="00280EE9" w:rsidP="00280EE9">
      <w:r w:rsidRPr="00D22CB7">
        <w:t>The</w:t>
      </w:r>
      <w:r w:rsidR="00E73A65" w:rsidRPr="00D22CB7">
        <w:t xml:space="preserve"> commentary considered that the</w:t>
      </w:r>
      <w:r w:rsidRPr="00D22CB7">
        <w:t xml:space="preserve"> populations and tests </w:t>
      </w:r>
      <w:r w:rsidR="00BB4FF5" w:rsidRPr="00D22CB7">
        <w:t xml:space="preserve">presented in the studies that formed the evidence base </w:t>
      </w:r>
      <w:r w:rsidRPr="00D22CB7">
        <w:t xml:space="preserve">are mostly transferable across the linked </w:t>
      </w:r>
      <w:r w:rsidRPr="00C5333C">
        <w:t>evidence</w:t>
      </w:r>
      <w:r w:rsidR="00763F48" w:rsidRPr="00C5333C">
        <w:t xml:space="preserve"> (</w:t>
      </w:r>
      <w:r w:rsidR="000105A4">
        <w:fldChar w:fldCharType="begin"/>
      </w:r>
      <w:r w:rsidR="000105A4">
        <w:instrText xml:space="preserve"> REF _Ref207288898 \h </w:instrText>
      </w:r>
      <w:r w:rsidR="000105A4">
        <w:fldChar w:fldCharType="separate"/>
      </w:r>
      <w:r w:rsidR="000105A4">
        <w:t xml:space="preserve">Table </w:t>
      </w:r>
      <w:r w:rsidR="000105A4">
        <w:rPr>
          <w:noProof/>
        </w:rPr>
        <w:t>8</w:t>
      </w:r>
      <w:r w:rsidR="000105A4">
        <w:fldChar w:fldCharType="end"/>
      </w:r>
      <w:r w:rsidR="00C5333C" w:rsidRPr="00C5333C">
        <w:fldChar w:fldCharType="begin"/>
      </w:r>
      <w:r w:rsidR="00C5333C" w:rsidRPr="00C5333C">
        <w:instrText xml:space="preserve"> REF _Ref204873017 \h  \* MERGEFORMAT </w:instrText>
      </w:r>
      <w:r w:rsidR="00C5333C" w:rsidRPr="00C5333C">
        <w:fldChar w:fldCharType="separate"/>
      </w:r>
      <w:r w:rsidR="00C5333C" w:rsidRPr="00C5333C">
        <w:fldChar w:fldCharType="end"/>
      </w:r>
      <w:r w:rsidR="00763F48" w:rsidRPr="00C5333C">
        <w:t>)</w:t>
      </w:r>
      <w:r w:rsidRPr="00C5333C">
        <w:t>.</w:t>
      </w:r>
    </w:p>
    <w:p w14:paraId="6AB871F7" w14:textId="117D4541" w:rsidR="00280EE9" w:rsidRPr="00EE0EEB" w:rsidRDefault="000105A4" w:rsidP="00565B62">
      <w:pPr>
        <w:pStyle w:val="Caption"/>
      </w:pPr>
      <w:bookmarkStart w:id="28" w:name="_Ref207288898"/>
      <w:r>
        <w:t xml:space="preserve">Table </w:t>
      </w:r>
      <w:r>
        <w:fldChar w:fldCharType="begin"/>
      </w:r>
      <w:r>
        <w:instrText xml:space="preserve"> SEQ Table \* ARABIC </w:instrText>
      </w:r>
      <w:r>
        <w:fldChar w:fldCharType="separate"/>
      </w:r>
      <w:r>
        <w:rPr>
          <w:noProof/>
        </w:rPr>
        <w:t>8</w:t>
      </w:r>
      <w:r>
        <w:rPr>
          <w:noProof/>
        </w:rPr>
        <w:fldChar w:fldCharType="end"/>
      </w:r>
      <w:bookmarkEnd w:id="28"/>
      <w:r>
        <w:t xml:space="preserve"> </w:t>
      </w:r>
      <w:r w:rsidR="00280EE9" w:rsidRPr="00EE0EEB">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5"/>
        <w:gridCol w:w="1560"/>
        <w:gridCol w:w="1278"/>
        <w:gridCol w:w="1078"/>
      </w:tblGrid>
      <w:tr w:rsidR="00280EE9" w:rsidRPr="00DF2319" w14:paraId="00DDC1A8" w14:textId="77777777" w:rsidTr="001575CB">
        <w:trPr>
          <w:tblHeader/>
        </w:trPr>
        <w:tc>
          <w:tcPr>
            <w:tcW w:w="862" w:type="pct"/>
            <w:tcBorders>
              <w:top w:val="single" w:sz="4" w:space="0" w:color="auto"/>
              <w:left w:val="single" w:sz="4" w:space="0" w:color="auto"/>
              <w:bottom w:val="single" w:sz="4" w:space="0" w:color="auto"/>
              <w:right w:val="single" w:sz="4" w:space="0" w:color="auto"/>
            </w:tcBorders>
            <w:vAlign w:val="bottom"/>
          </w:tcPr>
          <w:p w14:paraId="40F8EEFE" w14:textId="77777777" w:rsidR="00280EE9" w:rsidRPr="00DF2319" w:rsidRDefault="00280EE9" w:rsidP="00634E44">
            <w:pPr>
              <w:widowControl w:val="0"/>
              <w:spacing w:before="0" w:after="0"/>
              <w:rPr>
                <w:rFonts w:ascii="Arial Narrow" w:hAnsi="Arial Narrow"/>
                <w:b/>
                <w:bCs/>
                <w:sz w:val="20"/>
              </w:rPr>
            </w:pPr>
            <w:r w:rsidRPr="00DF2319">
              <w:rPr>
                <w:rFonts w:ascii="Arial Narrow" w:hAnsi="Arial Narrow"/>
                <w:b/>
                <w:bCs/>
                <w:sz w:val="20"/>
              </w:rPr>
              <w:t>Criterion</w:t>
            </w:r>
          </w:p>
        </w:tc>
        <w:tc>
          <w:tcPr>
            <w:tcW w:w="1966" w:type="pct"/>
            <w:tcBorders>
              <w:top w:val="single" w:sz="4" w:space="0" w:color="auto"/>
              <w:left w:val="single" w:sz="4" w:space="0" w:color="auto"/>
              <w:bottom w:val="single" w:sz="4" w:space="0" w:color="auto"/>
              <w:right w:val="single" w:sz="4" w:space="0" w:color="auto"/>
            </w:tcBorders>
            <w:vAlign w:val="bottom"/>
            <w:hideMark/>
          </w:tcPr>
          <w:p w14:paraId="28F54D15" w14:textId="77777777" w:rsidR="00280EE9" w:rsidRPr="00DF2319" w:rsidRDefault="00280EE9" w:rsidP="00634E44">
            <w:pPr>
              <w:widowControl w:val="0"/>
              <w:spacing w:before="0" w:after="0"/>
              <w:rPr>
                <w:rFonts w:ascii="Arial Narrow" w:hAnsi="Arial Narrow"/>
                <w:b/>
                <w:bCs/>
                <w:sz w:val="20"/>
              </w:rPr>
            </w:pPr>
            <w:r w:rsidRPr="00DF2319">
              <w:rPr>
                <w:rFonts w:ascii="Arial Narrow" w:hAnsi="Arial Narrow"/>
                <w:b/>
                <w:bCs/>
                <w:sz w:val="20"/>
              </w:rPr>
              <w:t>Type of evidence supplied</w:t>
            </w:r>
          </w:p>
        </w:tc>
        <w:tc>
          <w:tcPr>
            <w:tcW w:w="865" w:type="pct"/>
            <w:tcBorders>
              <w:top w:val="single" w:sz="4" w:space="0" w:color="auto"/>
              <w:left w:val="single" w:sz="4" w:space="0" w:color="auto"/>
              <w:bottom w:val="single" w:sz="4" w:space="0" w:color="auto"/>
              <w:right w:val="single" w:sz="4" w:space="0" w:color="auto"/>
            </w:tcBorders>
            <w:vAlign w:val="bottom"/>
            <w:hideMark/>
          </w:tcPr>
          <w:p w14:paraId="659AEB0E" w14:textId="77777777" w:rsidR="00280EE9" w:rsidRPr="00DF2319" w:rsidRDefault="00280EE9" w:rsidP="00634E44">
            <w:pPr>
              <w:widowControl w:val="0"/>
              <w:spacing w:before="0" w:after="0"/>
              <w:rPr>
                <w:rFonts w:ascii="Arial Narrow" w:hAnsi="Arial Narrow"/>
                <w:b/>
                <w:bCs/>
                <w:sz w:val="20"/>
              </w:rPr>
            </w:pPr>
            <w:r w:rsidRPr="00DF2319">
              <w:rPr>
                <w:rFonts w:ascii="Arial Narrow" w:hAnsi="Arial Narrow"/>
                <w:b/>
                <w:bCs/>
                <w:sz w:val="20"/>
              </w:rPr>
              <w:t>Extent of evidence supplied</w:t>
            </w:r>
          </w:p>
        </w:tc>
        <w:tc>
          <w:tcPr>
            <w:tcW w:w="709" w:type="pct"/>
            <w:tcBorders>
              <w:top w:val="single" w:sz="4" w:space="0" w:color="auto"/>
              <w:left w:val="single" w:sz="4" w:space="0" w:color="auto"/>
              <w:bottom w:val="single" w:sz="4" w:space="0" w:color="auto"/>
              <w:right w:val="single" w:sz="4" w:space="0" w:color="auto"/>
            </w:tcBorders>
            <w:vAlign w:val="bottom"/>
            <w:hideMark/>
          </w:tcPr>
          <w:p w14:paraId="03385C6B" w14:textId="5D03CAC2" w:rsidR="00280EE9" w:rsidRPr="00DF2319" w:rsidRDefault="00280EE9" w:rsidP="00634E44">
            <w:pPr>
              <w:widowControl w:val="0"/>
              <w:spacing w:before="0" w:after="0"/>
              <w:rPr>
                <w:rFonts w:ascii="Arial Narrow" w:hAnsi="Arial Narrow"/>
                <w:b/>
                <w:bCs/>
                <w:sz w:val="20"/>
              </w:rPr>
            </w:pPr>
            <w:r w:rsidRPr="00DF2319">
              <w:rPr>
                <w:rFonts w:ascii="Arial Narrow" w:hAnsi="Arial Narrow"/>
                <w:b/>
                <w:bCs/>
                <w:sz w:val="20"/>
              </w:rPr>
              <w:t>Overall risk of bias in evidence base</w:t>
            </w:r>
          </w:p>
        </w:tc>
        <w:tc>
          <w:tcPr>
            <w:tcW w:w="598" w:type="pct"/>
            <w:tcBorders>
              <w:top w:val="single" w:sz="4" w:space="0" w:color="auto"/>
              <w:left w:val="single" w:sz="4" w:space="0" w:color="auto"/>
              <w:bottom w:val="single" w:sz="4" w:space="0" w:color="auto"/>
              <w:right w:val="single" w:sz="4" w:space="0" w:color="auto"/>
            </w:tcBorders>
          </w:tcPr>
          <w:p w14:paraId="243E30AA" w14:textId="77777777" w:rsidR="00280EE9" w:rsidRPr="00DF2319" w:rsidRDefault="00280EE9" w:rsidP="00634E44">
            <w:pPr>
              <w:widowControl w:val="0"/>
              <w:spacing w:before="0" w:after="0"/>
              <w:rPr>
                <w:rFonts w:ascii="Arial Narrow" w:hAnsi="Arial Narrow"/>
                <w:b/>
                <w:bCs/>
                <w:sz w:val="20"/>
              </w:rPr>
            </w:pPr>
            <w:r w:rsidRPr="00DF2319">
              <w:rPr>
                <w:rFonts w:ascii="Arial Narrow" w:hAnsi="Arial Narrow"/>
                <w:b/>
                <w:bCs/>
                <w:sz w:val="20"/>
              </w:rPr>
              <w:t>Used in modelled evaluation</w:t>
            </w:r>
          </w:p>
        </w:tc>
      </w:tr>
      <w:tr w:rsidR="004C2A1F" w:rsidRPr="00DF2319" w14:paraId="27A50695" w14:textId="77777777" w:rsidTr="001575CB">
        <w:tc>
          <w:tcPr>
            <w:tcW w:w="862" w:type="pct"/>
            <w:vMerge w:val="restart"/>
            <w:tcBorders>
              <w:top w:val="single" w:sz="4" w:space="0" w:color="auto"/>
              <w:left w:val="single" w:sz="4" w:space="0" w:color="auto"/>
              <w:right w:val="single" w:sz="4" w:space="0" w:color="auto"/>
            </w:tcBorders>
            <w:hideMark/>
          </w:tcPr>
          <w:p w14:paraId="565AF09E" w14:textId="77777777"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Accuracy and performance of the test (cross-sectional accuracy)</w:t>
            </w:r>
          </w:p>
        </w:tc>
        <w:tc>
          <w:tcPr>
            <w:tcW w:w="1966" w:type="pct"/>
            <w:tcBorders>
              <w:top w:val="single" w:sz="4" w:space="0" w:color="auto"/>
              <w:left w:val="single" w:sz="4" w:space="0" w:color="auto"/>
              <w:bottom w:val="single" w:sz="4" w:space="0" w:color="auto"/>
              <w:right w:val="single" w:sz="4" w:space="0" w:color="auto"/>
            </w:tcBorders>
            <w:hideMark/>
          </w:tcPr>
          <w:p w14:paraId="2293ED68" w14:textId="22BB5433"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4 NHMRC level III-2 studies provided DA evidence for FMM-Aβ-PET versus the clinical utility standard.</w:t>
            </w:r>
          </w:p>
        </w:tc>
        <w:tc>
          <w:tcPr>
            <w:tcW w:w="865" w:type="pct"/>
            <w:tcBorders>
              <w:top w:val="single" w:sz="4" w:space="0" w:color="auto"/>
              <w:left w:val="single" w:sz="4" w:space="0" w:color="auto"/>
              <w:bottom w:val="single" w:sz="4" w:space="0" w:color="auto"/>
              <w:right w:val="single" w:sz="4" w:space="0" w:color="auto"/>
            </w:tcBorders>
            <w:hideMark/>
          </w:tcPr>
          <w:p w14:paraId="6DBC08D8" w14:textId="66773C3A" w:rsidR="004C2A1F" w:rsidRPr="00DF2319" w:rsidRDefault="004C2A1F"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k=4</w:t>
            </w:r>
            <w:r w:rsidRPr="00DF2319">
              <w:rPr>
                <w:rFonts w:ascii="Arial Narrow" w:hAnsi="Arial Narrow"/>
                <w:sz w:val="20"/>
              </w:rPr>
              <w:tab/>
              <w:t>n=602</w:t>
            </w:r>
          </w:p>
        </w:tc>
        <w:tc>
          <w:tcPr>
            <w:tcW w:w="709" w:type="pct"/>
            <w:tcBorders>
              <w:top w:val="single" w:sz="4" w:space="0" w:color="auto"/>
              <w:left w:val="single" w:sz="4" w:space="0" w:color="auto"/>
              <w:bottom w:val="single" w:sz="4" w:space="0" w:color="auto"/>
              <w:right w:val="single" w:sz="4" w:space="0" w:color="auto"/>
            </w:tcBorders>
            <w:hideMark/>
          </w:tcPr>
          <w:p w14:paraId="1C654D93" w14:textId="129D7494"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High for patient selection, low for tests and timing</w:t>
            </w:r>
          </w:p>
        </w:tc>
        <w:tc>
          <w:tcPr>
            <w:tcW w:w="598" w:type="pct"/>
            <w:tcBorders>
              <w:top w:val="single" w:sz="4" w:space="0" w:color="auto"/>
              <w:left w:val="single" w:sz="4" w:space="0" w:color="auto"/>
              <w:bottom w:val="single" w:sz="4" w:space="0" w:color="auto"/>
              <w:right w:val="single" w:sz="4" w:space="0" w:color="auto"/>
            </w:tcBorders>
          </w:tcPr>
          <w:p w14:paraId="755DB992" w14:textId="77777777"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4C2A1F" w:rsidRPr="00DF2319" w14:paraId="6E0EA881" w14:textId="77777777" w:rsidTr="001575CB">
        <w:tc>
          <w:tcPr>
            <w:tcW w:w="862" w:type="pct"/>
            <w:vMerge/>
            <w:tcBorders>
              <w:left w:val="single" w:sz="4" w:space="0" w:color="auto"/>
              <w:right w:val="single" w:sz="4" w:space="0" w:color="auto"/>
            </w:tcBorders>
          </w:tcPr>
          <w:p w14:paraId="31A16B4A" w14:textId="77777777" w:rsidR="004C2A1F" w:rsidRPr="00DF2319" w:rsidRDefault="004C2A1F" w:rsidP="00634E44">
            <w:pPr>
              <w:widowControl w:val="0"/>
              <w:spacing w:before="0" w:after="0"/>
              <w:rPr>
                <w:rFonts w:ascii="Arial Narrow" w:hAnsi="Arial Narrow"/>
                <w:sz w:val="20"/>
              </w:rPr>
            </w:pPr>
          </w:p>
        </w:tc>
        <w:tc>
          <w:tcPr>
            <w:tcW w:w="1966" w:type="pct"/>
            <w:tcBorders>
              <w:top w:val="single" w:sz="4" w:space="0" w:color="auto"/>
              <w:left w:val="single" w:sz="4" w:space="0" w:color="auto"/>
              <w:bottom w:val="single" w:sz="4" w:space="0" w:color="auto"/>
              <w:right w:val="single" w:sz="4" w:space="0" w:color="auto"/>
            </w:tcBorders>
          </w:tcPr>
          <w:p w14:paraId="189DC160" w14:textId="3D8E11C1"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21 NHMRC level III-2 studies provided DA evidence for FMM-Aβ-PET and the clinical utility standard versus clinical diagnosis.</w:t>
            </w:r>
          </w:p>
        </w:tc>
        <w:tc>
          <w:tcPr>
            <w:tcW w:w="865" w:type="pct"/>
            <w:tcBorders>
              <w:top w:val="single" w:sz="4" w:space="0" w:color="auto"/>
              <w:left w:val="single" w:sz="4" w:space="0" w:color="auto"/>
              <w:bottom w:val="single" w:sz="4" w:space="0" w:color="auto"/>
              <w:right w:val="single" w:sz="4" w:space="0" w:color="auto"/>
            </w:tcBorders>
          </w:tcPr>
          <w:p w14:paraId="771046A4" w14:textId="0E4BF79A" w:rsidR="004C2A1F" w:rsidRPr="00DF2319" w:rsidRDefault="004C2A1F" w:rsidP="00634E44">
            <w:pPr>
              <w:widowControl w:val="0"/>
              <w:tabs>
                <w:tab w:val="left" w:pos="457"/>
              </w:tabs>
              <w:spacing w:before="0" w:after="0"/>
              <w:rPr>
                <w:rFonts w:ascii="Segoe UI Symbol" w:hAnsi="Segoe UI Symbol" w:cs="Segoe UI Symbol"/>
                <w:sz w:val="20"/>
              </w:rPr>
            </w:pPr>
            <w:r w:rsidRPr="00DF2319">
              <w:rPr>
                <w:rFonts w:ascii="Segoe UI Symbol" w:hAnsi="Segoe UI Symbol" w:cs="Segoe UI Symbol"/>
                <w:sz w:val="20"/>
              </w:rPr>
              <w:t>☒</w:t>
            </w:r>
            <w:r w:rsidRPr="00DF2319">
              <w:rPr>
                <w:rFonts w:ascii="Arial Narrow" w:hAnsi="Arial Narrow"/>
                <w:sz w:val="20"/>
              </w:rPr>
              <w:tab/>
              <w:t>k=21</w:t>
            </w:r>
            <w:r w:rsidRPr="00DF2319">
              <w:rPr>
                <w:rFonts w:ascii="Arial Narrow" w:hAnsi="Arial Narrow"/>
                <w:sz w:val="20"/>
              </w:rPr>
              <w:tab/>
              <w:t>n=1,377</w:t>
            </w:r>
          </w:p>
        </w:tc>
        <w:tc>
          <w:tcPr>
            <w:tcW w:w="709" w:type="pct"/>
            <w:tcBorders>
              <w:top w:val="single" w:sz="4" w:space="0" w:color="auto"/>
              <w:left w:val="single" w:sz="4" w:space="0" w:color="auto"/>
              <w:bottom w:val="single" w:sz="4" w:space="0" w:color="auto"/>
              <w:right w:val="single" w:sz="4" w:space="0" w:color="auto"/>
            </w:tcBorders>
          </w:tcPr>
          <w:p w14:paraId="46730411" w14:textId="6962098D"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456FD36C" w14:textId="64388B85"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4C2A1F" w:rsidRPr="00DF2319" w14:paraId="4270852F" w14:textId="77777777" w:rsidTr="001575CB">
        <w:tc>
          <w:tcPr>
            <w:tcW w:w="862" w:type="pct"/>
            <w:vMerge/>
            <w:tcBorders>
              <w:left w:val="single" w:sz="4" w:space="0" w:color="auto"/>
              <w:right w:val="single" w:sz="4" w:space="0" w:color="auto"/>
            </w:tcBorders>
          </w:tcPr>
          <w:p w14:paraId="32308585" w14:textId="77777777" w:rsidR="004C2A1F" w:rsidRPr="00DF2319" w:rsidRDefault="004C2A1F" w:rsidP="00634E44">
            <w:pPr>
              <w:widowControl w:val="0"/>
              <w:spacing w:before="0" w:after="0"/>
              <w:rPr>
                <w:rFonts w:ascii="Arial Narrow" w:hAnsi="Arial Narrow"/>
                <w:sz w:val="20"/>
              </w:rPr>
            </w:pPr>
          </w:p>
        </w:tc>
        <w:tc>
          <w:tcPr>
            <w:tcW w:w="1966" w:type="pct"/>
            <w:tcBorders>
              <w:top w:val="single" w:sz="4" w:space="0" w:color="auto"/>
              <w:left w:val="single" w:sz="4" w:space="0" w:color="auto"/>
              <w:bottom w:val="single" w:sz="4" w:space="0" w:color="auto"/>
              <w:right w:val="single" w:sz="4" w:space="0" w:color="auto"/>
            </w:tcBorders>
          </w:tcPr>
          <w:p w14:paraId="0A7EFC16" w14:textId="6239B46F" w:rsidR="004C2A1F" w:rsidRPr="00DF2319" w:rsidRDefault="004C2A1F" w:rsidP="00634E44">
            <w:pPr>
              <w:widowControl w:val="0"/>
              <w:spacing w:before="0" w:after="0"/>
              <w:ind w:right="-57"/>
              <w:rPr>
                <w:rFonts w:ascii="Arial Narrow" w:hAnsi="Arial Narrow"/>
                <w:sz w:val="20"/>
              </w:rPr>
            </w:pPr>
            <w:r w:rsidRPr="00DF2319">
              <w:rPr>
                <w:rFonts w:ascii="Arial Narrow" w:hAnsi="Arial Narrow"/>
                <w:sz w:val="20"/>
              </w:rPr>
              <w:t>11 NHMRC level III-3 studies provided concordance between CSF</w:t>
            </w:r>
            <w:r w:rsidR="00BB4FF5" w:rsidRPr="00DF2319">
              <w:rPr>
                <w:rFonts w:ascii="Arial Narrow" w:hAnsi="Arial Narrow"/>
                <w:sz w:val="20"/>
              </w:rPr>
              <w:t xml:space="preserve"> AD biomarker</w:t>
            </w:r>
            <w:r w:rsidRPr="00DF2319">
              <w:rPr>
                <w:rFonts w:ascii="Arial Narrow" w:hAnsi="Arial Narrow"/>
                <w:sz w:val="20"/>
              </w:rPr>
              <w:t xml:space="preserve"> testing and Aβ-PET</w:t>
            </w:r>
          </w:p>
        </w:tc>
        <w:tc>
          <w:tcPr>
            <w:tcW w:w="865" w:type="pct"/>
            <w:tcBorders>
              <w:top w:val="single" w:sz="4" w:space="0" w:color="auto"/>
              <w:left w:val="single" w:sz="4" w:space="0" w:color="auto"/>
              <w:bottom w:val="single" w:sz="4" w:space="0" w:color="auto"/>
              <w:right w:val="single" w:sz="4" w:space="0" w:color="auto"/>
            </w:tcBorders>
          </w:tcPr>
          <w:p w14:paraId="44999762" w14:textId="5EEE17AC" w:rsidR="004C2A1F" w:rsidRPr="00DF2319" w:rsidRDefault="004C2A1F" w:rsidP="00634E44">
            <w:pPr>
              <w:widowControl w:val="0"/>
              <w:tabs>
                <w:tab w:val="left" w:pos="457"/>
              </w:tabs>
              <w:spacing w:before="0" w:after="0"/>
              <w:rPr>
                <w:rFonts w:ascii="Segoe UI Symbol" w:hAnsi="Segoe UI Symbol" w:cs="Segoe UI Symbol"/>
                <w:sz w:val="20"/>
              </w:rPr>
            </w:pPr>
            <w:r w:rsidRPr="00DF2319">
              <w:rPr>
                <w:rFonts w:ascii="Segoe UI Symbol" w:hAnsi="Segoe UI Symbol" w:cs="Segoe UI Symbol"/>
                <w:sz w:val="20"/>
              </w:rPr>
              <w:t>☒</w:t>
            </w:r>
            <w:r w:rsidRPr="00DF2319">
              <w:rPr>
                <w:rFonts w:ascii="Arial Narrow" w:hAnsi="Arial Narrow"/>
                <w:sz w:val="20"/>
              </w:rPr>
              <w:tab/>
              <w:t>k=6</w:t>
            </w:r>
            <w:r w:rsidRPr="00DF2319">
              <w:rPr>
                <w:rFonts w:ascii="Arial Narrow" w:hAnsi="Arial Narrow"/>
                <w:sz w:val="20"/>
              </w:rPr>
              <w:tab/>
              <w:t>n=2,185</w:t>
            </w:r>
          </w:p>
        </w:tc>
        <w:tc>
          <w:tcPr>
            <w:tcW w:w="709" w:type="pct"/>
            <w:tcBorders>
              <w:top w:val="single" w:sz="4" w:space="0" w:color="auto"/>
              <w:left w:val="single" w:sz="4" w:space="0" w:color="auto"/>
              <w:bottom w:val="single" w:sz="4" w:space="0" w:color="auto"/>
              <w:right w:val="single" w:sz="4" w:space="0" w:color="auto"/>
            </w:tcBorders>
          </w:tcPr>
          <w:p w14:paraId="535157B4" w14:textId="6F0F06EF"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Low risk of bias</w:t>
            </w:r>
          </w:p>
        </w:tc>
        <w:tc>
          <w:tcPr>
            <w:tcW w:w="598" w:type="pct"/>
            <w:tcBorders>
              <w:top w:val="single" w:sz="4" w:space="0" w:color="auto"/>
              <w:left w:val="single" w:sz="4" w:space="0" w:color="auto"/>
              <w:bottom w:val="single" w:sz="4" w:space="0" w:color="auto"/>
              <w:right w:val="single" w:sz="4" w:space="0" w:color="auto"/>
            </w:tcBorders>
          </w:tcPr>
          <w:p w14:paraId="729E6AB5" w14:textId="684D4907"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4C2A1F" w:rsidRPr="00DF2319" w14:paraId="5690CD64" w14:textId="77777777" w:rsidTr="001575CB">
        <w:tc>
          <w:tcPr>
            <w:tcW w:w="862" w:type="pct"/>
            <w:vMerge/>
            <w:tcBorders>
              <w:left w:val="single" w:sz="4" w:space="0" w:color="auto"/>
              <w:right w:val="single" w:sz="4" w:space="0" w:color="auto"/>
            </w:tcBorders>
          </w:tcPr>
          <w:p w14:paraId="143784BC" w14:textId="77777777" w:rsidR="004C2A1F" w:rsidRPr="00DF2319" w:rsidRDefault="004C2A1F" w:rsidP="00634E44">
            <w:pPr>
              <w:widowControl w:val="0"/>
              <w:spacing w:before="0" w:after="0"/>
              <w:rPr>
                <w:rFonts w:ascii="Arial Narrow" w:hAnsi="Arial Narrow"/>
                <w:sz w:val="20"/>
              </w:rPr>
            </w:pPr>
          </w:p>
        </w:tc>
        <w:tc>
          <w:tcPr>
            <w:tcW w:w="1966" w:type="pct"/>
            <w:tcBorders>
              <w:top w:val="single" w:sz="4" w:space="0" w:color="auto"/>
              <w:left w:val="single" w:sz="4" w:space="0" w:color="auto"/>
              <w:bottom w:val="single" w:sz="4" w:space="0" w:color="auto"/>
              <w:right w:val="single" w:sz="4" w:space="0" w:color="auto"/>
            </w:tcBorders>
          </w:tcPr>
          <w:p w14:paraId="30EBD978" w14:textId="7EB3452A"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10 NHMRC level III-2 (k=8) and level III-3 (k=2) studies provided DA evidence the accuracy of </w:t>
            </w:r>
            <w:r w:rsidRPr="00E73A65">
              <w:rPr>
                <w:rFonts w:ascii="Arial Narrow" w:hAnsi="Arial Narrow"/>
                <w:i/>
                <w:iCs/>
                <w:sz w:val="20"/>
              </w:rPr>
              <w:t>APOE</w:t>
            </w:r>
            <w:r w:rsidRPr="00DF2319">
              <w:rPr>
                <w:rFonts w:ascii="Arial Narrow" w:hAnsi="Arial Narrow"/>
                <w:sz w:val="20"/>
              </w:rPr>
              <w:t xml:space="preserve"> genotyping by PCR to detect the </w:t>
            </w:r>
            <w:r w:rsidRPr="00E73A65">
              <w:rPr>
                <w:rFonts w:ascii="Arial Narrow" w:hAnsi="Arial Narrow"/>
                <w:i/>
                <w:iCs/>
                <w:sz w:val="20"/>
              </w:rPr>
              <w:t>APOE4</w:t>
            </w:r>
            <w:r w:rsidRPr="00DF2319">
              <w:rPr>
                <w:rFonts w:ascii="Arial Narrow" w:hAnsi="Arial Narrow"/>
                <w:sz w:val="20"/>
              </w:rPr>
              <w:t xml:space="preserve"> variant</w:t>
            </w:r>
          </w:p>
        </w:tc>
        <w:tc>
          <w:tcPr>
            <w:tcW w:w="865" w:type="pct"/>
            <w:tcBorders>
              <w:top w:val="single" w:sz="4" w:space="0" w:color="auto"/>
              <w:left w:val="single" w:sz="4" w:space="0" w:color="auto"/>
              <w:bottom w:val="single" w:sz="4" w:space="0" w:color="auto"/>
              <w:right w:val="single" w:sz="4" w:space="0" w:color="auto"/>
            </w:tcBorders>
          </w:tcPr>
          <w:p w14:paraId="63029AC5" w14:textId="3E716B85" w:rsidR="004C2A1F" w:rsidRPr="00DF2319" w:rsidRDefault="004C2A1F" w:rsidP="00634E44">
            <w:pPr>
              <w:widowControl w:val="0"/>
              <w:tabs>
                <w:tab w:val="left" w:pos="457"/>
              </w:tabs>
              <w:spacing w:before="0" w:after="0"/>
              <w:rPr>
                <w:rFonts w:ascii="Segoe UI Symbol" w:hAnsi="Segoe UI Symbol" w:cs="Segoe UI Symbol"/>
                <w:sz w:val="20"/>
              </w:rPr>
            </w:pPr>
            <w:r w:rsidRPr="00DF2319">
              <w:rPr>
                <w:rFonts w:ascii="Segoe UI Symbol" w:hAnsi="Segoe UI Symbol" w:cs="Segoe UI Symbol"/>
                <w:sz w:val="20"/>
              </w:rPr>
              <w:t>☒</w:t>
            </w:r>
            <w:r w:rsidRPr="00DF2319">
              <w:rPr>
                <w:rFonts w:ascii="Arial Narrow" w:hAnsi="Arial Narrow"/>
                <w:sz w:val="20"/>
              </w:rPr>
              <w:tab/>
              <w:t>k=10</w:t>
            </w:r>
            <w:r w:rsidRPr="00DF2319">
              <w:rPr>
                <w:rFonts w:ascii="Arial Narrow" w:hAnsi="Arial Narrow"/>
                <w:sz w:val="20"/>
              </w:rPr>
              <w:tab/>
              <w:t>n=3,279</w:t>
            </w:r>
          </w:p>
        </w:tc>
        <w:tc>
          <w:tcPr>
            <w:tcW w:w="709" w:type="pct"/>
            <w:tcBorders>
              <w:top w:val="single" w:sz="4" w:space="0" w:color="auto"/>
              <w:left w:val="single" w:sz="4" w:space="0" w:color="auto"/>
              <w:bottom w:val="single" w:sz="4" w:space="0" w:color="auto"/>
              <w:right w:val="single" w:sz="4" w:space="0" w:color="auto"/>
            </w:tcBorders>
          </w:tcPr>
          <w:p w14:paraId="75F87106" w14:textId="533B06AC"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5714DDE0" w14:textId="77F777F8"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4C2A1F" w:rsidRPr="00DF2319" w14:paraId="1D3F1E1A" w14:textId="77777777" w:rsidTr="001575CB">
        <w:tc>
          <w:tcPr>
            <w:tcW w:w="862" w:type="pct"/>
            <w:vMerge/>
            <w:tcBorders>
              <w:left w:val="single" w:sz="4" w:space="0" w:color="auto"/>
              <w:bottom w:val="single" w:sz="4" w:space="0" w:color="auto"/>
              <w:right w:val="single" w:sz="4" w:space="0" w:color="auto"/>
            </w:tcBorders>
          </w:tcPr>
          <w:p w14:paraId="6FA1B1DE" w14:textId="77777777" w:rsidR="004C2A1F" w:rsidRPr="00DF2319" w:rsidRDefault="004C2A1F" w:rsidP="00634E44">
            <w:pPr>
              <w:widowControl w:val="0"/>
              <w:spacing w:before="0" w:after="0"/>
              <w:rPr>
                <w:rFonts w:ascii="Arial Narrow" w:hAnsi="Arial Narrow"/>
                <w:sz w:val="20"/>
              </w:rPr>
            </w:pPr>
          </w:p>
        </w:tc>
        <w:tc>
          <w:tcPr>
            <w:tcW w:w="1966" w:type="pct"/>
            <w:tcBorders>
              <w:top w:val="single" w:sz="4" w:space="0" w:color="auto"/>
              <w:left w:val="single" w:sz="4" w:space="0" w:color="auto"/>
              <w:bottom w:val="single" w:sz="4" w:space="0" w:color="auto"/>
              <w:right w:val="single" w:sz="4" w:space="0" w:color="auto"/>
            </w:tcBorders>
          </w:tcPr>
          <w:p w14:paraId="293185B7" w14:textId="3AF22B0B"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6 studies provided inter-rater reliability evidence on MRI detection of ARIA.</w:t>
            </w:r>
          </w:p>
        </w:tc>
        <w:tc>
          <w:tcPr>
            <w:tcW w:w="865" w:type="pct"/>
            <w:tcBorders>
              <w:top w:val="single" w:sz="4" w:space="0" w:color="auto"/>
              <w:left w:val="single" w:sz="4" w:space="0" w:color="auto"/>
              <w:bottom w:val="single" w:sz="4" w:space="0" w:color="auto"/>
              <w:right w:val="single" w:sz="4" w:space="0" w:color="auto"/>
            </w:tcBorders>
          </w:tcPr>
          <w:p w14:paraId="6BE37EE4" w14:textId="791F8B84" w:rsidR="004C2A1F" w:rsidRPr="00DF2319" w:rsidRDefault="004C2A1F" w:rsidP="00634E44">
            <w:pPr>
              <w:widowControl w:val="0"/>
              <w:tabs>
                <w:tab w:val="left" w:pos="457"/>
              </w:tabs>
              <w:spacing w:before="0" w:after="0"/>
              <w:rPr>
                <w:rFonts w:ascii="Segoe UI Symbol" w:hAnsi="Segoe UI Symbol" w:cs="Segoe UI Symbol"/>
                <w:sz w:val="20"/>
              </w:rPr>
            </w:pPr>
            <w:r w:rsidRPr="00DF2319">
              <w:rPr>
                <w:rFonts w:ascii="Segoe UI Symbol" w:hAnsi="Segoe UI Symbol" w:cs="Segoe UI Symbol"/>
                <w:sz w:val="20"/>
              </w:rPr>
              <w:t>☒</w:t>
            </w:r>
            <w:r w:rsidRPr="00DF2319">
              <w:rPr>
                <w:rFonts w:ascii="Arial Narrow" w:hAnsi="Arial Narrow"/>
                <w:sz w:val="20"/>
              </w:rPr>
              <w:tab/>
              <w:t>k=6</w:t>
            </w:r>
            <w:r w:rsidRPr="00DF2319">
              <w:rPr>
                <w:rFonts w:ascii="Arial Narrow" w:hAnsi="Arial Narrow"/>
                <w:sz w:val="20"/>
              </w:rPr>
              <w:tab/>
              <w:t>n=455</w:t>
            </w:r>
          </w:p>
        </w:tc>
        <w:tc>
          <w:tcPr>
            <w:tcW w:w="709" w:type="pct"/>
            <w:tcBorders>
              <w:top w:val="single" w:sz="4" w:space="0" w:color="auto"/>
              <w:left w:val="single" w:sz="4" w:space="0" w:color="auto"/>
              <w:bottom w:val="single" w:sz="4" w:space="0" w:color="auto"/>
              <w:right w:val="single" w:sz="4" w:space="0" w:color="auto"/>
            </w:tcBorders>
          </w:tcPr>
          <w:p w14:paraId="1187E0A0" w14:textId="19030502"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24C10DE7" w14:textId="6BC24A8B" w:rsidR="004C2A1F" w:rsidRPr="00DF2319" w:rsidRDefault="004C2A1F"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280EE9" w:rsidRPr="00DF2319" w14:paraId="57026702" w14:textId="77777777" w:rsidTr="001575CB">
        <w:tc>
          <w:tcPr>
            <w:tcW w:w="862" w:type="pct"/>
            <w:tcBorders>
              <w:top w:val="single" w:sz="4" w:space="0" w:color="auto"/>
              <w:left w:val="single" w:sz="4" w:space="0" w:color="auto"/>
              <w:bottom w:val="single" w:sz="4" w:space="0" w:color="auto"/>
              <w:right w:val="single" w:sz="4" w:space="0" w:color="auto"/>
            </w:tcBorders>
            <w:hideMark/>
          </w:tcPr>
          <w:p w14:paraId="00FA5561"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Prognostic evidence (longitudinal accuracy)</w:t>
            </w:r>
          </w:p>
        </w:tc>
        <w:tc>
          <w:tcPr>
            <w:tcW w:w="1966" w:type="pct"/>
            <w:tcBorders>
              <w:top w:val="single" w:sz="4" w:space="0" w:color="auto"/>
              <w:left w:val="single" w:sz="4" w:space="0" w:color="auto"/>
              <w:bottom w:val="single" w:sz="4" w:space="0" w:color="auto"/>
              <w:right w:val="single" w:sz="4" w:space="0" w:color="auto"/>
            </w:tcBorders>
            <w:hideMark/>
          </w:tcPr>
          <w:p w14:paraId="1EAA1626"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25 studies provided prognostic evidence.</w:t>
            </w:r>
          </w:p>
          <w:p w14:paraId="7E207436" w14:textId="77777777" w:rsidR="00280EE9" w:rsidRPr="00DF2319" w:rsidRDefault="00280EE9" w:rsidP="00634E44">
            <w:pPr>
              <w:widowControl w:val="0"/>
              <w:spacing w:before="0" w:after="0"/>
              <w:ind w:left="241"/>
              <w:rPr>
                <w:rFonts w:ascii="Arial Narrow" w:hAnsi="Arial Narrow"/>
                <w:sz w:val="20"/>
              </w:rPr>
            </w:pPr>
            <w:r w:rsidRPr="00DF2319">
              <w:rPr>
                <w:rFonts w:ascii="Arial Narrow" w:hAnsi="Arial Narrow"/>
                <w:sz w:val="20"/>
              </w:rPr>
              <w:t>1 SR</w:t>
            </w:r>
          </w:p>
          <w:p w14:paraId="3E17411A" w14:textId="77777777" w:rsidR="00280EE9" w:rsidRPr="00DF2319" w:rsidRDefault="00280EE9" w:rsidP="00634E44">
            <w:pPr>
              <w:widowControl w:val="0"/>
              <w:spacing w:before="0" w:after="0"/>
              <w:ind w:left="241"/>
              <w:rPr>
                <w:rFonts w:ascii="Arial Narrow" w:hAnsi="Arial Narrow"/>
                <w:sz w:val="20"/>
              </w:rPr>
            </w:pPr>
            <w:r w:rsidRPr="00DF2319">
              <w:rPr>
                <w:rFonts w:ascii="Arial Narrow" w:hAnsi="Arial Narrow"/>
                <w:sz w:val="20"/>
              </w:rPr>
              <w:t>17 were NHMRC level II studies.</w:t>
            </w:r>
          </w:p>
          <w:p w14:paraId="1D295FE2" w14:textId="77777777" w:rsidR="00280EE9" w:rsidRPr="00DF2319" w:rsidRDefault="00280EE9" w:rsidP="00634E44">
            <w:pPr>
              <w:widowControl w:val="0"/>
              <w:spacing w:before="0" w:after="0"/>
              <w:ind w:left="241"/>
              <w:rPr>
                <w:rFonts w:ascii="Arial Narrow" w:hAnsi="Arial Narrow"/>
                <w:sz w:val="20"/>
              </w:rPr>
            </w:pPr>
            <w:r w:rsidRPr="00DF2319">
              <w:rPr>
                <w:rFonts w:ascii="Arial Narrow" w:hAnsi="Arial Narrow"/>
                <w:sz w:val="20"/>
              </w:rPr>
              <w:t>7 was NHMRC level III-3 studies</w:t>
            </w:r>
          </w:p>
        </w:tc>
        <w:tc>
          <w:tcPr>
            <w:tcW w:w="865" w:type="pct"/>
            <w:tcBorders>
              <w:top w:val="single" w:sz="4" w:space="0" w:color="auto"/>
              <w:left w:val="single" w:sz="4" w:space="0" w:color="auto"/>
              <w:bottom w:val="single" w:sz="4" w:space="0" w:color="auto"/>
              <w:right w:val="single" w:sz="4" w:space="0" w:color="auto"/>
            </w:tcBorders>
            <w:hideMark/>
          </w:tcPr>
          <w:p w14:paraId="575027FC" w14:textId="77777777" w:rsidR="00280EE9" w:rsidRPr="00DF2319" w:rsidRDefault="00280EE9"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k=25</w:t>
            </w:r>
            <w:r w:rsidRPr="00DF2319">
              <w:rPr>
                <w:rFonts w:ascii="Arial Narrow" w:hAnsi="Arial Narrow"/>
                <w:sz w:val="20"/>
              </w:rPr>
              <w:tab/>
              <w:t>n=9,928</w:t>
            </w:r>
          </w:p>
        </w:tc>
        <w:tc>
          <w:tcPr>
            <w:tcW w:w="709" w:type="pct"/>
            <w:tcBorders>
              <w:top w:val="single" w:sz="4" w:space="0" w:color="auto"/>
              <w:left w:val="single" w:sz="4" w:space="0" w:color="auto"/>
              <w:bottom w:val="single" w:sz="4" w:space="0" w:color="auto"/>
              <w:right w:val="single" w:sz="4" w:space="0" w:color="auto"/>
            </w:tcBorders>
            <w:hideMark/>
          </w:tcPr>
          <w:p w14:paraId="391AC1F1" w14:textId="3C30F2A6"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528F1AC2"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280EE9" w:rsidRPr="00DF2319" w14:paraId="495D8DEA" w14:textId="77777777" w:rsidTr="001575CB">
        <w:tc>
          <w:tcPr>
            <w:tcW w:w="862" w:type="pct"/>
            <w:tcBorders>
              <w:top w:val="single" w:sz="4" w:space="0" w:color="auto"/>
              <w:left w:val="single" w:sz="4" w:space="0" w:color="auto"/>
              <w:bottom w:val="single" w:sz="4" w:space="0" w:color="auto"/>
              <w:right w:val="single" w:sz="4" w:space="0" w:color="auto"/>
            </w:tcBorders>
            <w:hideMark/>
          </w:tcPr>
          <w:p w14:paraId="12368C19"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Change in patient management </w:t>
            </w:r>
          </w:p>
        </w:tc>
        <w:tc>
          <w:tcPr>
            <w:tcW w:w="1966" w:type="pct"/>
            <w:tcBorders>
              <w:top w:val="single" w:sz="4" w:space="0" w:color="auto"/>
              <w:left w:val="single" w:sz="4" w:space="0" w:color="auto"/>
              <w:bottom w:val="single" w:sz="4" w:space="0" w:color="auto"/>
              <w:right w:val="single" w:sz="4" w:space="0" w:color="auto"/>
            </w:tcBorders>
            <w:hideMark/>
          </w:tcPr>
          <w:p w14:paraId="51A962CA"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2 studies provided evidence for a change in management</w:t>
            </w:r>
          </w:p>
          <w:p w14:paraId="6A3FB2B3" w14:textId="77777777" w:rsidR="00280EE9" w:rsidRPr="00DF2319" w:rsidRDefault="00280EE9" w:rsidP="00634E44">
            <w:pPr>
              <w:widowControl w:val="0"/>
              <w:spacing w:before="0" w:after="0"/>
              <w:ind w:left="270"/>
              <w:rPr>
                <w:rFonts w:ascii="Arial Narrow" w:hAnsi="Arial Narrow"/>
                <w:sz w:val="20"/>
              </w:rPr>
            </w:pPr>
            <w:r w:rsidRPr="00DF2319">
              <w:rPr>
                <w:rFonts w:ascii="Arial Narrow" w:hAnsi="Arial Narrow"/>
                <w:sz w:val="20"/>
              </w:rPr>
              <w:t>1 cross-sectional survey</w:t>
            </w:r>
          </w:p>
          <w:p w14:paraId="28B77CA2" w14:textId="77777777" w:rsidR="00280EE9" w:rsidRPr="00DF2319" w:rsidRDefault="00280EE9" w:rsidP="00634E44">
            <w:pPr>
              <w:widowControl w:val="0"/>
              <w:spacing w:before="0" w:after="0"/>
              <w:ind w:left="270"/>
              <w:rPr>
                <w:rFonts w:ascii="Arial Narrow" w:hAnsi="Arial Narrow"/>
                <w:sz w:val="20"/>
              </w:rPr>
            </w:pPr>
            <w:r w:rsidRPr="00DF2319">
              <w:rPr>
                <w:rFonts w:ascii="Arial Narrow" w:hAnsi="Arial Narrow"/>
                <w:sz w:val="20"/>
              </w:rPr>
              <w:t>1 prospective cohort study</w:t>
            </w:r>
          </w:p>
        </w:tc>
        <w:tc>
          <w:tcPr>
            <w:tcW w:w="865" w:type="pct"/>
            <w:tcBorders>
              <w:top w:val="single" w:sz="4" w:space="0" w:color="auto"/>
              <w:left w:val="single" w:sz="4" w:space="0" w:color="auto"/>
              <w:bottom w:val="single" w:sz="4" w:space="0" w:color="auto"/>
              <w:right w:val="single" w:sz="4" w:space="0" w:color="auto"/>
            </w:tcBorders>
            <w:hideMark/>
          </w:tcPr>
          <w:p w14:paraId="0952D69E" w14:textId="77777777" w:rsidR="00530927" w:rsidRPr="00DF2319" w:rsidRDefault="00280EE9"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k=2</w:t>
            </w:r>
            <w:r w:rsidR="00530927" w:rsidRPr="00DF2319">
              <w:rPr>
                <w:rFonts w:ascii="Arial Narrow" w:hAnsi="Arial Narrow"/>
                <w:sz w:val="20"/>
              </w:rPr>
              <w:br/>
            </w:r>
          </w:p>
          <w:p w14:paraId="232FDCA7" w14:textId="77777777" w:rsidR="00530927" w:rsidRPr="00DF2319" w:rsidRDefault="00280EE9" w:rsidP="00634E44">
            <w:pPr>
              <w:widowControl w:val="0"/>
              <w:tabs>
                <w:tab w:val="left" w:pos="265"/>
              </w:tabs>
              <w:spacing w:before="0" w:after="0"/>
              <w:rPr>
                <w:rFonts w:ascii="Arial Narrow" w:hAnsi="Arial Narrow"/>
                <w:sz w:val="20"/>
              </w:rPr>
            </w:pPr>
            <w:r w:rsidRPr="00DF2319">
              <w:rPr>
                <w:rFonts w:ascii="Arial Narrow" w:hAnsi="Arial Narrow"/>
                <w:sz w:val="20"/>
              </w:rPr>
              <w:tab/>
              <w:t>215 centres</w:t>
            </w:r>
          </w:p>
          <w:p w14:paraId="22351324" w14:textId="7E30BB32" w:rsidR="00280EE9" w:rsidRPr="00DF2319" w:rsidRDefault="00530927" w:rsidP="00634E44">
            <w:pPr>
              <w:widowControl w:val="0"/>
              <w:tabs>
                <w:tab w:val="left" w:pos="265"/>
              </w:tabs>
              <w:spacing w:before="0" w:after="0"/>
              <w:rPr>
                <w:rFonts w:ascii="Arial Narrow" w:hAnsi="Arial Narrow"/>
                <w:sz w:val="20"/>
              </w:rPr>
            </w:pPr>
            <w:r w:rsidRPr="00DF2319">
              <w:rPr>
                <w:rFonts w:ascii="Arial Narrow" w:hAnsi="Arial Narrow"/>
                <w:sz w:val="20"/>
              </w:rPr>
              <w:tab/>
            </w:r>
            <w:r w:rsidR="00280EE9" w:rsidRPr="00DF2319">
              <w:rPr>
                <w:rFonts w:ascii="Arial Narrow" w:hAnsi="Arial Narrow"/>
                <w:sz w:val="20"/>
              </w:rPr>
              <w:t>99 patients</w:t>
            </w:r>
          </w:p>
        </w:tc>
        <w:tc>
          <w:tcPr>
            <w:tcW w:w="709" w:type="pct"/>
            <w:tcBorders>
              <w:top w:val="single" w:sz="4" w:space="0" w:color="auto"/>
              <w:left w:val="single" w:sz="4" w:space="0" w:color="auto"/>
              <w:bottom w:val="single" w:sz="4" w:space="0" w:color="auto"/>
              <w:right w:val="single" w:sz="4" w:space="0" w:color="auto"/>
            </w:tcBorders>
            <w:hideMark/>
          </w:tcPr>
          <w:p w14:paraId="692C2012" w14:textId="183D0A81"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5CD74421"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Not modelled. </w:t>
            </w:r>
          </w:p>
        </w:tc>
      </w:tr>
      <w:tr w:rsidR="00280EE9" w:rsidRPr="00DF2319" w14:paraId="36911357" w14:textId="77777777" w:rsidTr="001575CB">
        <w:trPr>
          <w:cantSplit/>
        </w:trPr>
        <w:tc>
          <w:tcPr>
            <w:tcW w:w="862" w:type="pct"/>
            <w:tcBorders>
              <w:top w:val="single" w:sz="4" w:space="0" w:color="auto"/>
              <w:left w:val="single" w:sz="4" w:space="0" w:color="auto"/>
              <w:bottom w:val="nil"/>
              <w:right w:val="single" w:sz="4" w:space="0" w:color="auto"/>
            </w:tcBorders>
            <w:hideMark/>
          </w:tcPr>
          <w:p w14:paraId="251A2160"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Health outcomes (clinical utility) </w:t>
            </w:r>
          </w:p>
        </w:tc>
        <w:tc>
          <w:tcPr>
            <w:tcW w:w="1966" w:type="pct"/>
            <w:tcBorders>
              <w:top w:val="single" w:sz="4" w:space="0" w:color="auto"/>
              <w:left w:val="single" w:sz="4" w:space="0" w:color="auto"/>
              <w:bottom w:val="single" w:sz="4" w:space="0" w:color="auto"/>
              <w:right w:val="single" w:sz="4" w:space="0" w:color="auto"/>
            </w:tcBorders>
          </w:tcPr>
          <w:p w14:paraId="767F31C5"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No evidence presented</w:t>
            </w:r>
          </w:p>
        </w:tc>
        <w:tc>
          <w:tcPr>
            <w:tcW w:w="865" w:type="pct"/>
            <w:tcBorders>
              <w:top w:val="single" w:sz="4" w:space="0" w:color="auto"/>
              <w:left w:val="single" w:sz="4" w:space="0" w:color="auto"/>
              <w:bottom w:val="single" w:sz="4" w:space="0" w:color="auto"/>
              <w:right w:val="single" w:sz="4" w:space="0" w:color="auto"/>
            </w:tcBorders>
          </w:tcPr>
          <w:p w14:paraId="46B62026" w14:textId="380734A7" w:rsidR="00280EE9" w:rsidRPr="00DF2319" w:rsidRDefault="00280EE9"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w:t>
            </w:r>
            <w:r w:rsidR="00BB4FF5" w:rsidRPr="00DF2319">
              <w:rPr>
                <w:rFonts w:ascii="Arial Narrow" w:hAnsi="Arial Narrow"/>
                <w:sz w:val="20"/>
              </w:rPr>
              <w:t>0</w:t>
            </w:r>
            <w:r w:rsidR="00530927" w:rsidRPr="00DF2319">
              <w:rPr>
                <w:rFonts w:ascii="Arial Narrow" w:hAnsi="Arial Narrow"/>
                <w:sz w:val="20"/>
              </w:rPr>
              <w:br/>
            </w:r>
            <w:r w:rsidRPr="00DF2319">
              <w:rPr>
                <w:rFonts w:ascii="Arial Narrow" w:hAnsi="Arial Narrow"/>
                <w:sz w:val="20"/>
              </w:rPr>
              <w:tab/>
              <w:t>n=</w:t>
            </w:r>
            <w:r w:rsidR="00BB4FF5" w:rsidRPr="00DF2319">
              <w:rPr>
                <w:rFonts w:ascii="Arial Narrow" w:hAnsi="Arial Narrow"/>
                <w:sz w:val="20"/>
              </w:rPr>
              <w:t>0</w:t>
            </w:r>
          </w:p>
        </w:tc>
        <w:tc>
          <w:tcPr>
            <w:tcW w:w="709" w:type="pct"/>
            <w:tcBorders>
              <w:top w:val="single" w:sz="4" w:space="0" w:color="auto"/>
              <w:left w:val="single" w:sz="4" w:space="0" w:color="auto"/>
              <w:bottom w:val="single" w:sz="4" w:space="0" w:color="auto"/>
              <w:right w:val="single" w:sz="4" w:space="0" w:color="auto"/>
            </w:tcBorders>
            <w:hideMark/>
          </w:tcPr>
          <w:p w14:paraId="53FC1EAE" w14:textId="77777777" w:rsidR="00280EE9" w:rsidRPr="00DF2319" w:rsidRDefault="00280EE9" w:rsidP="00634E44">
            <w:pPr>
              <w:widowControl w:val="0"/>
              <w:spacing w:before="0" w:after="0"/>
              <w:rPr>
                <w:rFonts w:ascii="Arial Narrow" w:hAnsi="Arial Narrow"/>
                <w:sz w:val="20"/>
              </w:rPr>
            </w:pPr>
          </w:p>
        </w:tc>
        <w:tc>
          <w:tcPr>
            <w:tcW w:w="598" w:type="pct"/>
            <w:tcBorders>
              <w:top w:val="single" w:sz="4" w:space="0" w:color="auto"/>
              <w:left w:val="single" w:sz="4" w:space="0" w:color="auto"/>
              <w:bottom w:val="single" w:sz="4" w:space="0" w:color="auto"/>
              <w:right w:val="single" w:sz="4" w:space="0" w:color="auto"/>
            </w:tcBorders>
          </w:tcPr>
          <w:p w14:paraId="0A31E0FD" w14:textId="5208B93B" w:rsidR="00280EE9" w:rsidRPr="00DF2319" w:rsidRDefault="00280EE9" w:rsidP="00634E44">
            <w:pPr>
              <w:widowControl w:val="0"/>
              <w:spacing w:before="0" w:after="0"/>
              <w:rPr>
                <w:rFonts w:ascii="Arial Narrow" w:hAnsi="Arial Narrow"/>
                <w:sz w:val="20"/>
              </w:rPr>
            </w:pPr>
          </w:p>
        </w:tc>
      </w:tr>
      <w:tr w:rsidR="00280EE9" w:rsidRPr="00DF2319" w14:paraId="064BD6FB" w14:textId="77777777" w:rsidTr="001575CB">
        <w:tc>
          <w:tcPr>
            <w:tcW w:w="862" w:type="pct"/>
            <w:tcBorders>
              <w:top w:val="nil"/>
              <w:left w:val="single" w:sz="4" w:space="0" w:color="auto"/>
              <w:bottom w:val="nil"/>
              <w:right w:val="single" w:sz="4" w:space="0" w:color="auto"/>
            </w:tcBorders>
          </w:tcPr>
          <w:p w14:paraId="769FCABE"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 xml:space="preserve">Predictive effect (treatment effect variation) </w:t>
            </w:r>
          </w:p>
        </w:tc>
        <w:tc>
          <w:tcPr>
            <w:tcW w:w="1966" w:type="pct"/>
            <w:tcBorders>
              <w:top w:val="single" w:sz="4" w:space="0" w:color="auto"/>
              <w:left w:val="single" w:sz="4" w:space="0" w:color="auto"/>
              <w:bottom w:val="single" w:sz="4" w:space="0" w:color="auto"/>
              <w:right w:val="single" w:sz="4" w:space="0" w:color="auto"/>
            </w:tcBorders>
          </w:tcPr>
          <w:p w14:paraId="6B31C891" w14:textId="77777777" w:rsidR="00280EE9" w:rsidRPr="00DF2319" w:rsidRDefault="00280EE9" w:rsidP="00634E44">
            <w:pPr>
              <w:widowControl w:val="0"/>
              <w:spacing w:before="0" w:after="0"/>
              <w:rPr>
                <w:rFonts w:ascii="Arial Narrow" w:hAnsi="Arial Narrow"/>
                <w:sz w:val="20"/>
              </w:rPr>
            </w:pPr>
            <w:r w:rsidRPr="00DF2319">
              <w:rPr>
                <w:rFonts w:ascii="Arial Narrow" w:hAnsi="Arial Narrow"/>
                <w:sz w:val="20"/>
              </w:rPr>
              <w:t>No evidence presented</w:t>
            </w:r>
          </w:p>
        </w:tc>
        <w:tc>
          <w:tcPr>
            <w:tcW w:w="865" w:type="pct"/>
            <w:tcBorders>
              <w:top w:val="single" w:sz="4" w:space="0" w:color="auto"/>
              <w:left w:val="single" w:sz="4" w:space="0" w:color="auto"/>
              <w:bottom w:val="single" w:sz="4" w:space="0" w:color="auto"/>
              <w:right w:val="single" w:sz="4" w:space="0" w:color="auto"/>
            </w:tcBorders>
          </w:tcPr>
          <w:p w14:paraId="3EA24074" w14:textId="2E376B6D" w:rsidR="00280EE9" w:rsidRPr="00DF2319" w:rsidRDefault="00280EE9"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w:t>
            </w:r>
            <w:r w:rsidR="00BB4FF5" w:rsidRPr="00DF2319">
              <w:rPr>
                <w:rFonts w:ascii="Arial Narrow" w:hAnsi="Arial Narrow"/>
                <w:sz w:val="20"/>
              </w:rPr>
              <w:t>0</w:t>
            </w:r>
            <w:r w:rsidR="00530927" w:rsidRPr="00DF2319">
              <w:rPr>
                <w:rFonts w:ascii="Arial Narrow" w:hAnsi="Arial Narrow"/>
                <w:sz w:val="20"/>
              </w:rPr>
              <w:br/>
            </w:r>
            <w:r w:rsidRPr="00DF2319">
              <w:rPr>
                <w:rFonts w:ascii="Arial Narrow" w:hAnsi="Arial Narrow"/>
                <w:sz w:val="20"/>
              </w:rPr>
              <w:tab/>
              <w:t>n=</w:t>
            </w:r>
            <w:r w:rsidR="00BB4FF5" w:rsidRPr="00DF2319">
              <w:rPr>
                <w:rFonts w:ascii="Arial Narrow" w:hAnsi="Arial Narrow"/>
                <w:sz w:val="20"/>
              </w:rPr>
              <w:t>0</w:t>
            </w:r>
          </w:p>
        </w:tc>
        <w:tc>
          <w:tcPr>
            <w:tcW w:w="709" w:type="pct"/>
            <w:tcBorders>
              <w:top w:val="single" w:sz="4" w:space="0" w:color="auto"/>
              <w:left w:val="single" w:sz="4" w:space="0" w:color="auto"/>
              <w:bottom w:val="single" w:sz="4" w:space="0" w:color="auto"/>
              <w:right w:val="single" w:sz="4" w:space="0" w:color="auto"/>
            </w:tcBorders>
          </w:tcPr>
          <w:p w14:paraId="718F84F8" w14:textId="77777777" w:rsidR="00280EE9" w:rsidRPr="00DF2319" w:rsidRDefault="00280EE9" w:rsidP="00634E44">
            <w:pPr>
              <w:widowControl w:val="0"/>
              <w:spacing w:before="0" w:after="0"/>
              <w:rPr>
                <w:rFonts w:ascii="Arial Narrow" w:hAnsi="Arial Narrow"/>
                <w:sz w:val="20"/>
              </w:rPr>
            </w:pPr>
          </w:p>
        </w:tc>
        <w:tc>
          <w:tcPr>
            <w:tcW w:w="598" w:type="pct"/>
            <w:tcBorders>
              <w:top w:val="single" w:sz="4" w:space="0" w:color="auto"/>
              <w:left w:val="single" w:sz="4" w:space="0" w:color="auto"/>
              <w:bottom w:val="single" w:sz="4" w:space="0" w:color="auto"/>
              <w:right w:val="single" w:sz="4" w:space="0" w:color="auto"/>
            </w:tcBorders>
          </w:tcPr>
          <w:p w14:paraId="29ED0E57" w14:textId="77777777" w:rsidR="00280EE9" w:rsidRPr="00DF2319" w:rsidRDefault="00280EE9" w:rsidP="00634E44">
            <w:pPr>
              <w:widowControl w:val="0"/>
              <w:spacing w:before="0" w:after="0"/>
              <w:rPr>
                <w:rFonts w:ascii="Arial Narrow" w:hAnsi="Arial Narrow"/>
                <w:sz w:val="20"/>
              </w:rPr>
            </w:pPr>
          </w:p>
        </w:tc>
      </w:tr>
      <w:tr w:rsidR="004C1591" w:rsidRPr="00DF2319" w14:paraId="6AFB1921" w14:textId="77777777" w:rsidTr="001575CB">
        <w:tc>
          <w:tcPr>
            <w:tcW w:w="862" w:type="pct"/>
            <w:tcBorders>
              <w:top w:val="nil"/>
              <w:left w:val="single" w:sz="4" w:space="0" w:color="auto"/>
              <w:bottom w:val="single" w:sz="4" w:space="0" w:color="auto"/>
              <w:right w:val="single" w:sz="4" w:space="0" w:color="auto"/>
            </w:tcBorders>
          </w:tcPr>
          <w:p w14:paraId="26831794" w14:textId="77777777"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Treatment effect (enriched)</w:t>
            </w:r>
          </w:p>
        </w:tc>
        <w:tc>
          <w:tcPr>
            <w:tcW w:w="1966" w:type="pct"/>
            <w:tcBorders>
              <w:top w:val="single" w:sz="4" w:space="0" w:color="auto"/>
              <w:left w:val="single" w:sz="4" w:space="0" w:color="auto"/>
              <w:bottom w:val="single" w:sz="4" w:space="0" w:color="auto"/>
              <w:right w:val="single" w:sz="4" w:space="0" w:color="auto"/>
            </w:tcBorders>
          </w:tcPr>
          <w:p w14:paraId="0E2C4BAE" w14:textId="213ADD1C"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1 key randomised controlled trial of drug vs placebo in patients that are test positive</w:t>
            </w:r>
            <w:r w:rsidR="00D8728A" w:rsidRPr="00DF2319">
              <w:rPr>
                <w:rFonts w:ascii="Arial Narrow" w:hAnsi="Arial Narrow"/>
                <w:sz w:val="20"/>
              </w:rPr>
              <w:t xml:space="preserve"> for </w:t>
            </w:r>
            <w:r w:rsidR="00D8728A" w:rsidRPr="00DF2319">
              <w:rPr>
                <w:rFonts w:ascii="Arial Narrow" w:hAnsi="Arial Narrow"/>
                <w:sz w:val="20"/>
              </w:rPr>
              <w:lastRenderedPageBreak/>
              <w:t>Aβ pathology</w:t>
            </w:r>
            <w:r w:rsidRPr="00DF2319">
              <w:rPr>
                <w:rFonts w:ascii="Arial Narrow" w:hAnsi="Arial Narrow"/>
                <w:sz w:val="20"/>
              </w:rPr>
              <w:t xml:space="preserve"> in both arms</w:t>
            </w:r>
            <w:r w:rsidR="00BB4FF5" w:rsidRPr="00DF2319">
              <w:rPr>
                <w:rFonts w:ascii="Arial Narrow" w:hAnsi="Arial Narrow"/>
                <w:sz w:val="20"/>
              </w:rPr>
              <w:t xml:space="preserve"> (TB-2)</w:t>
            </w:r>
          </w:p>
        </w:tc>
        <w:tc>
          <w:tcPr>
            <w:tcW w:w="865" w:type="pct"/>
            <w:tcBorders>
              <w:top w:val="single" w:sz="4" w:space="0" w:color="auto"/>
              <w:left w:val="single" w:sz="4" w:space="0" w:color="auto"/>
              <w:bottom w:val="single" w:sz="4" w:space="0" w:color="auto"/>
              <w:right w:val="single" w:sz="4" w:space="0" w:color="auto"/>
            </w:tcBorders>
          </w:tcPr>
          <w:p w14:paraId="03F4D509" w14:textId="24408A61" w:rsidR="004C1591" w:rsidRPr="00DF2319" w:rsidRDefault="004C1591"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lastRenderedPageBreak/>
              <w:t>☒</w:t>
            </w:r>
            <w:r w:rsidRPr="00DF2319">
              <w:rPr>
                <w:rFonts w:ascii="Arial Narrow" w:hAnsi="Arial Narrow"/>
                <w:sz w:val="20"/>
              </w:rPr>
              <w:tab/>
              <w:t>k=1</w:t>
            </w:r>
            <w:r w:rsidRPr="00DF2319">
              <w:rPr>
                <w:rFonts w:ascii="Arial Narrow" w:hAnsi="Arial Narrow"/>
                <w:sz w:val="20"/>
              </w:rPr>
              <w:tab/>
              <w:t>n=1,736</w:t>
            </w:r>
          </w:p>
        </w:tc>
        <w:tc>
          <w:tcPr>
            <w:tcW w:w="709" w:type="pct"/>
            <w:tcBorders>
              <w:top w:val="single" w:sz="4" w:space="0" w:color="auto"/>
              <w:left w:val="single" w:sz="4" w:space="0" w:color="auto"/>
              <w:bottom w:val="single" w:sz="4" w:space="0" w:color="auto"/>
              <w:right w:val="single" w:sz="4" w:space="0" w:color="auto"/>
            </w:tcBorders>
          </w:tcPr>
          <w:p w14:paraId="629D6294" w14:textId="4197FDD1" w:rsidR="004C1591" w:rsidRPr="00DF2319" w:rsidRDefault="004C1591" w:rsidP="00634E44">
            <w:pPr>
              <w:widowControl w:val="0"/>
              <w:spacing w:before="0" w:after="0"/>
              <w:rPr>
                <w:rFonts w:ascii="Times New Roman" w:hAnsi="Times New Roman" w:cs="Times New Roman"/>
                <w:szCs w:val="24"/>
                <w:lang w:eastAsia="en-AU"/>
              </w:rPr>
            </w:pPr>
            <w:proofErr w:type="spellStart"/>
            <w:r w:rsidRPr="00DF2319">
              <w:rPr>
                <w:rFonts w:ascii="Arial Narrow" w:hAnsi="Arial Narrow"/>
                <w:sz w:val="20"/>
              </w:rPr>
              <w:t>Uncertain</w:t>
            </w:r>
            <w:r w:rsidR="001D4507" w:rsidRPr="00DF2319">
              <w:rPr>
                <w:rFonts w:ascii="Arial Narrow" w:hAnsi="Arial Narrow"/>
                <w:sz w:val="20"/>
                <w:vertAlign w:val="superscript"/>
              </w:rPr>
              <w:t>a</w:t>
            </w:r>
            <w:proofErr w:type="spellEnd"/>
          </w:p>
        </w:tc>
        <w:tc>
          <w:tcPr>
            <w:tcW w:w="598" w:type="pct"/>
            <w:tcBorders>
              <w:top w:val="single" w:sz="4" w:space="0" w:color="auto"/>
              <w:left w:val="single" w:sz="4" w:space="0" w:color="auto"/>
              <w:bottom w:val="single" w:sz="4" w:space="0" w:color="auto"/>
              <w:right w:val="single" w:sz="4" w:space="0" w:color="auto"/>
            </w:tcBorders>
          </w:tcPr>
          <w:p w14:paraId="4ADBBD54" w14:textId="29C07ABD" w:rsidR="004C1591" w:rsidRPr="00DF2319" w:rsidRDefault="00717B17" w:rsidP="00634E44">
            <w:pPr>
              <w:widowControl w:val="0"/>
              <w:spacing w:before="0" w:after="0"/>
              <w:rPr>
                <w:rFonts w:ascii="Arial Narrow" w:hAnsi="Arial Narrow"/>
                <w:sz w:val="20"/>
              </w:rPr>
            </w:pPr>
            <w:r w:rsidRPr="00DF2319">
              <w:rPr>
                <w:rFonts w:ascii="Arial Narrow" w:hAnsi="Arial Narrow"/>
                <w:sz w:val="20"/>
              </w:rPr>
              <w:t>M</w:t>
            </w:r>
            <w:r w:rsidR="004C1591" w:rsidRPr="00DF2319">
              <w:rPr>
                <w:rFonts w:ascii="Arial Narrow" w:hAnsi="Arial Narrow"/>
                <w:sz w:val="20"/>
              </w:rPr>
              <w:t xml:space="preserve">odelled. </w:t>
            </w:r>
          </w:p>
        </w:tc>
      </w:tr>
      <w:tr w:rsidR="004C1591" w:rsidRPr="00DF2319" w14:paraId="689C0909" w14:textId="77777777" w:rsidTr="001575CB">
        <w:tc>
          <w:tcPr>
            <w:tcW w:w="862" w:type="pct"/>
            <w:tcBorders>
              <w:top w:val="single" w:sz="4" w:space="0" w:color="auto"/>
              <w:left w:val="single" w:sz="4" w:space="0" w:color="auto"/>
              <w:bottom w:val="single" w:sz="4" w:space="0" w:color="auto"/>
              <w:right w:val="single" w:sz="4" w:space="0" w:color="auto"/>
            </w:tcBorders>
            <w:hideMark/>
          </w:tcPr>
          <w:p w14:paraId="3DFFEA1E" w14:textId="77777777"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Other</w:t>
            </w:r>
          </w:p>
        </w:tc>
        <w:tc>
          <w:tcPr>
            <w:tcW w:w="1966" w:type="pct"/>
            <w:tcBorders>
              <w:top w:val="single" w:sz="4" w:space="0" w:color="auto"/>
              <w:left w:val="single" w:sz="4" w:space="0" w:color="auto"/>
              <w:bottom w:val="single" w:sz="4" w:space="0" w:color="auto"/>
              <w:right w:val="single" w:sz="4" w:space="0" w:color="auto"/>
            </w:tcBorders>
          </w:tcPr>
          <w:p w14:paraId="1DC566BA" w14:textId="42DC77DF"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20 studies provided DA evidence for plasma AD biomarker testing and CSF AD biomarker testing versus Aβ-PET</w:t>
            </w:r>
          </w:p>
        </w:tc>
        <w:tc>
          <w:tcPr>
            <w:tcW w:w="865" w:type="pct"/>
            <w:tcBorders>
              <w:top w:val="single" w:sz="4" w:space="0" w:color="auto"/>
              <w:left w:val="single" w:sz="4" w:space="0" w:color="auto"/>
              <w:bottom w:val="single" w:sz="4" w:space="0" w:color="auto"/>
              <w:right w:val="single" w:sz="4" w:space="0" w:color="auto"/>
            </w:tcBorders>
            <w:hideMark/>
          </w:tcPr>
          <w:p w14:paraId="3902C1A4" w14:textId="25FACE9B" w:rsidR="004C1591" w:rsidRPr="00DF2319" w:rsidRDefault="004C1591" w:rsidP="00634E44">
            <w:pPr>
              <w:widowControl w:val="0"/>
              <w:tabs>
                <w:tab w:val="left" w:pos="457"/>
              </w:tabs>
              <w:spacing w:before="0" w:after="0"/>
              <w:rPr>
                <w:rFonts w:ascii="Arial Narrow" w:hAnsi="Arial Narrow"/>
                <w:sz w:val="20"/>
              </w:rPr>
            </w:pPr>
            <w:r w:rsidRPr="00DF2319">
              <w:rPr>
                <w:rFonts w:ascii="Segoe UI Symbol" w:hAnsi="Segoe UI Symbol" w:cs="Segoe UI Symbol"/>
                <w:sz w:val="20"/>
              </w:rPr>
              <w:t>☒</w:t>
            </w:r>
            <w:r w:rsidRPr="00DF2319">
              <w:rPr>
                <w:rFonts w:ascii="Arial Narrow" w:hAnsi="Arial Narrow"/>
                <w:sz w:val="20"/>
              </w:rPr>
              <w:tab/>
              <w:t>k=20</w:t>
            </w:r>
            <w:r w:rsidRPr="00DF2319">
              <w:rPr>
                <w:rFonts w:ascii="Arial Narrow" w:hAnsi="Arial Narrow"/>
                <w:sz w:val="20"/>
              </w:rPr>
              <w:tab/>
              <w:t>n=6,060</w:t>
            </w:r>
          </w:p>
        </w:tc>
        <w:tc>
          <w:tcPr>
            <w:tcW w:w="709" w:type="pct"/>
            <w:tcBorders>
              <w:top w:val="single" w:sz="4" w:space="0" w:color="auto"/>
              <w:left w:val="single" w:sz="4" w:space="0" w:color="auto"/>
              <w:bottom w:val="single" w:sz="4" w:space="0" w:color="auto"/>
              <w:right w:val="single" w:sz="4" w:space="0" w:color="auto"/>
            </w:tcBorders>
          </w:tcPr>
          <w:p w14:paraId="39CB82C6" w14:textId="0AAF8B49"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 xml:space="preserve">Not </w:t>
            </w:r>
            <w:r w:rsidR="00763F48" w:rsidRPr="00DF2319">
              <w:rPr>
                <w:rFonts w:ascii="Arial Narrow" w:hAnsi="Arial Narrow"/>
                <w:sz w:val="20"/>
              </w:rPr>
              <w:t>assessed</w:t>
            </w:r>
            <w:r w:rsidRPr="00DF2319">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tcPr>
          <w:p w14:paraId="4F64C9BC" w14:textId="2D5A6292" w:rsidR="004C1591" w:rsidRPr="00DF2319" w:rsidRDefault="004C1591" w:rsidP="00634E44">
            <w:pPr>
              <w:widowControl w:val="0"/>
              <w:spacing w:before="0" w:after="0"/>
              <w:rPr>
                <w:rFonts w:ascii="Arial Narrow" w:hAnsi="Arial Narrow"/>
                <w:sz w:val="20"/>
              </w:rPr>
            </w:pPr>
            <w:r w:rsidRPr="00DF2319">
              <w:rPr>
                <w:rFonts w:ascii="Arial Narrow" w:hAnsi="Arial Narrow"/>
                <w:sz w:val="20"/>
              </w:rPr>
              <w:t>Not modelled.</w:t>
            </w:r>
          </w:p>
        </w:tc>
      </w:tr>
    </w:tbl>
    <w:p w14:paraId="45139302" w14:textId="0E52F45E" w:rsidR="00280EE9" w:rsidRPr="00EE0EEB" w:rsidRDefault="00280EE9" w:rsidP="009260B6">
      <w:pPr>
        <w:pStyle w:val="FooterTableFigure"/>
        <w:keepNext/>
        <w:keepLines/>
      </w:pPr>
      <w:r w:rsidRPr="00EE0EEB">
        <w:t xml:space="preserve">NHMRC levels of evidence: URL:  </w:t>
      </w:r>
      <w:hyperlink r:id="rId15" w:history="1">
        <w:r w:rsidRPr="00EE0EEB">
          <w:rPr>
            <w:u w:val="single"/>
          </w:rPr>
          <w:t>https://www.mja.com.au/sites/default/files/NHMRC.levels.of.evidence.2008-09.pdf</w:t>
        </w:r>
      </w:hyperlink>
      <w:r w:rsidRPr="00EE0EEB">
        <w:t xml:space="preserve"> </w:t>
      </w:r>
    </w:p>
    <w:p w14:paraId="1AFB8D6B" w14:textId="77777777" w:rsidR="00280EE9" w:rsidRPr="00EE0EEB" w:rsidRDefault="00280EE9" w:rsidP="009260B6">
      <w:pPr>
        <w:pStyle w:val="FooterTableFigure"/>
        <w:keepNext/>
        <w:keepLines/>
      </w:pPr>
      <w:r w:rsidRPr="00EE0EEB">
        <w:t>Diagnostic accuracy levels of evidence: level III-1 = a study of test accuracy with an independent, blinded comparison with a valid reference standard, among non-consecutive persons with a defined clinical presentation; level III-2 = a comparison with reference standard that does not meet the criteria required for Level II and III-1 evidence; level III-3 = a diagnostic case-control study.</w:t>
      </w:r>
    </w:p>
    <w:p w14:paraId="3F6D059B" w14:textId="77777777" w:rsidR="00280EE9" w:rsidRPr="00EE0EEB" w:rsidRDefault="00280EE9" w:rsidP="005E515D">
      <w:pPr>
        <w:pStyle w:val="FooterTableFigure"/>
      </w:pPr>
      <w:r w:rsidRPr="00EE0EEB">
        <w:t>Prognostic studies: level II = a prospective cohort study; level III-3 = a retrospective cohort study; level IV = a case series, or cohort study of persons at different stages of disease.</w:t>
      </w:r>
    </w:p>
    <w:p w14:paraId="547CECF0" w14:textId="753266B5" w:rsidR="00280EE9" w:rsidRPr="00EE0EEB" w:rsidRDefault="001D4507" w:rsidP="005E515D">
      <w:pPr>
        <w:pStyle w:val="FooterTableFigure"/>
      </w:pPr>
      <w:proofErr w:type="spellStart"/>
      <w:r w:rsidRPr="00EE0EEB">
        <w:rPr>
          <w:vertAlign w:val="superscript"/>
        </w:rPr>
        <w:t>a</w:t>
      </w:r>
      <w:r w:rsidR="00280EE9" w:rsidRPr="00EE0EEB">
        <w:t>As</w:t>
      </w:r>
      <w:proofErr w:type="spellEnd"/>
      <w:r w:rsidR="00280EE9" w:rsidRPr="00EE0EEB">
        <w:t xml:space="preserve"> assessed by the Commentary</w:t>
      </w:r>
    </w:p>
    <w:p w14:paraId="579AA707" w14:textId="08DCBF69" w:rsidR="00280EE9" w:rsidRPr="00EE0EEB" w:rsidRDefault="00280EE9" w:rsidP="005E515D">
      <w:pPr>
        <w:pStyle w:val="FooterTableFigure"/>
      </w:pPr>
      <w:r w:rsidRPr="009F4C37">
        <w:t xml:space="preserve">Source: Table </w:t>
      </w:r>
      <w:r w:rsidR="00F6299A" w:rsidRPr="009F4C37">
        <w:t>compiled by the evaluation group during evaluation</w:t>
      </w:r>
      <w:r w:rsidR="009F4C37" w:rsidRPr="009F4C37">
        <w:t>.</w:t>
      </w:r>
    </w:p>
    <w:p w14:paraId="63068A56" w14:textId="77777777" w:rsidR="00280EE9" w:rsidRPr="00EE0EEB" w:rsidRDefault="00280EE9" w:rsidP="005E515D">
      <w:pPr>
        <w:pStyle w:val="FooterTableFigure"/>
      </w:pPr>
      <w:r w:rsidRPr="00EE0EEB">
        <w:t>Aβ-PET = amyloid-beta positron emission tomography; ARIA = amyloid-related imaging abnormalities; DA = diagnostic accuracy; CSF = cerebrospinal fluid; k=number of studies, MRI = magnetic resonance imaging; n=number of patients; NHMRC = National Health and Medical Research Council; SR = systematic review.</w:t>
      </w:r>
    </w:p>
    <w:p w14:paraId="683B2108" w14:textId="34D2B6DE" w:rsidR="00BB4FF5" w:rsidRPr="00D22CB7" w:rsidRDefault="00BB4FF5" w:rsidP="009260B6">
      <w:pPr>
        <w:keepNext/>
        <w:keepLines/>
        <w:rPr>
          <w:bCs/>
        </w:rPr>
      </w:pPr>
      <w:r w:rsidRPr="00D22CB7">
        <w:t xml:space="preserve">Overall, </w:t>
      </w:r>
      <w:r w:rsidR="00253C98" w:rsidRPr="00D22CB7">
        <w:t xml:space="preserve">the commentary considered that </w:t>
      </w:r>
      <w:r w:rsidRPr="00D22CB7">
        <w:t>the risk of bias in the TB-2 trial was uncertain. Although the trial investigators and other study personnel were blinded to allocation</w:t>
      </w:r>
      <w:r w:rsidRPr="00D22CB7">
        <w:rPr>
          <w:bCs/>
        </w:rPr>
        <w:t>, the risk of functional unblinding from ARIA</w:t>
      </w:r>
      <w:r w:rsidR="002B0DD3" w:rsidRPr="00D22CB7">
        <w:rPr>
          <w:bCs/>
        </w:rPr>
        <w:t>s</w:t>
      </w:r>
      <w:r w:rsidRPr="00D22CB7">
        <w:rPr>
          <w:bCs/>
        </w:rPr>
        <w:t xml:space="preserve">, which are usually associated with anti-Aβ monoclonal antibodies, cannot be overcome particularly when patients could have learned they were on the intervention from </w:t>
      </w:r>
      <w:r w:rsidR="00177F44" w:rsidRPr="00D22CB7">
        <w:rPr>
          <w:bCs/>
        </w:rPr>
        <w:t xml:space="preserve">experiencing </w:t>
      </w:r>
      <w:r w:rsidRPr="00D22CB7">
        <w:rPr>
          <w:bCs/>
        </w:rPr>
        <w:t>treatment-related side effects. Such unblinding may bias responses on subjective cognitive and functional scales such as those used in the trial.</w:t>
      </w:r>
    </w:p>
    <w:p w14:paraId="37194702" w14:textId="31146A37" w:rsidR="00EE5014" w:rsidRPr="00394233"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29" w:name="_Toc93044767"/>
      <w:bookmarkStart w:id="30" w:name="_Toc93322901"/>
      <w:bookmarkStart w:id="31" w:name="_Toc93044770"/>
      <w:bookmarkStart w:id="32" w:name="_Toc93322904"/>
      <w:bookmarkStart w:id="33" w:name="_Toc93044771"/>
      <w:bookmarkStart w:id="34" w:name="_Toc93322905"/>
      <w:bookmarkStart w:id="35" w:name="_Toc93044772"/>
      <w:bookmarkStart w:id="36" w:name="_Toc93322906"/>
      <w:bookmarkStart w:id="37" w:name="_Toc93044775"/>
      <w:bookmarkStart w:id="38" w:name="_Toc93322909"/>
      <w:bookmarkStart w:id="39" w:name="_Toc198735650"/>
      <w:bookmarkEnd w:id="29"/>
      <w:bookmarkEnd w:id="30"/>
      <w:bookmarkEnd w:id="31"/>
      <w:bookmarkEnd w:id="32"/>
      <w:bookmarkEnd w:id="33"/>
      <w:bookmarkEnd w:id="34"/>
      <w:bookmarkEnd w:id="35"/>
      <w:bookmarkEnd w:id="36"/>
      <w:bookmarkEnd w:id="37"/>
      <w:bookmarkEnd w:id="38"/>
      <w:r w:rsidRPr="00394233">
        <w:rPr>
          <w:rFonts w:ascii="Franklin Gothic Medium" w:hAnsi="Franklin Gothic Medium"/>
          <w:b w:val="0"/>
          <w:i w:val="0"/>
          <w:snapToGrid/>
          <w:sz w:val="32"/>
          <w:szCs w:val="26"/>
        </w:rPr>
        <w:t>Comparative safety</w:t>
      </w:r>
      <w:bookmarkEnd w:id="39"/>
    </w:p>
    <w:p w14:paraId="0D656498" w14:textId="77777777" w:rsidR="00CA2679" w:rsidRPr="00D22CB7" w:rsidRDefault="00CA2679" w:rsidP="00172B02">
      <w:pPr>
        <w:pStyle w:val="Heading3"/>
      </w:pPr>
      <w:r w:rsidRPr="00D22CB7">
        <w:t>Test</w:t>
      </w:r>
    </w:p>
    <w:p w14:paraId="7993310F" w14:textId="1CF4E770" w:rsidR="00280EE9" w:rsidRPr="00B52F6D" w:rsidRDefault="00280EE9" w:rsidP="00280EE9">
      <w:pPr>
        <w:keepNext/>
        <w:keepLines/>
        <w:spacing w:before="240" w:after="0"/>
        <w:outlineLvl w:val="3"/>
        <w:rPr>
          <w:rFonts w:eastAsiaTheme="majorEastAsia" w:cstheme="majorBidi"/>
          <w:b/>
        </w:rPr>
      </w:pPr>
      <w:r w:rsidRPr="00B52F6D">
        <w:rPr>
          <w:rFonts w:eastAsiaTheme="majorEastAsia" w:cstheme="majorBidi"/>
          <w:b/>
        </w:rPr>
        <w:t>Adverse events from testing</w:t>
      </w:r>
    </w:p>
    <w:p w14:paraId="1ECDFAAC" w14:textId="77777777" w:rsidR="00280EE9" w:rsidRPr="00086EBE" w:rsidRDefault="00280EE9" w:rsidP="00086EBE">
      <w:pPr>
        <w:keepNext/>
        <w:keepLines/>
        <w:spacing w:before="240" w:after="0"/>
        <w:outlineLvl w:val="3"/>
        <w:rPr>
          <w:rFonts w:eastAsiaTheme="majorEastAsia" w:cstheme="majorBidi"/>
          <w:b/>
        </w:rPr>
      </w:pPr>
      <w:r w:rsidRPr="00086EBE">
        <w:rPr>
          <w:rFonts w:eastAsiaTheme="majorEastAsia" w:cstheme="majorBidi"/>
          <w:b/>
        </w:rPr>
        <w:t>Safety of Aβ-PET</w:t>
      </w:r>
    </w:p>
    <w:p w14:paraId="5F165374" w14:textId="3BF310F4" w:rsidR="00280EE9" w:rsidRPr="00086EBE" w:rsidRDefault="00280EE9" w:rsidP="00280EE9">
      <w:r w:rsidRPr="00086EBE">
        <w:t xml:space="preserve">The radiation exposure (effective whole-body dose) from Aβ-PET is about 4–7 millisieverts (mSv), which is within the range of commonly performed imaging studies, such as FDG-PET. Aβ-PET tracers offer a reasonable compromise between radiation exposure following ALARA (as low as reasonably achievable) principles, and image quality. The target organ (i.e., the organ with the highest </w:t>
      </w:r>
      <w:r w:rsidR="00D8728A" w:rsidRPr="00086EBE">
        <w:t xml:space="preserve">absorbed </w:t>
      </w:r>
      <w:r w:rsidRPr="00086EBE">
        <w:t>radiation dose) for all three radiotracers is the gallbladder wall with an estimated mean absorbed radiation dose of 143, 287, and 137 µ</w:t>
      </w:r>
      <w:proofErr w:type="spellStart"/>
      <w:r w:rsidRPr="00086EBE">
        <w:t>Sv</w:t>
      </w:r>
      <w:proofErr w:type="spellEnd"/>
      <w:r w:rsidRPr="00086EBE">
        <w:t>/MBq for FBP, FMM and FBB, respectively.</w:t>
      </w:r>
      <w:r w:rsidR="009307DC" w:rsidRPr="00086EBE">
        <w:rPr>
          <w:rStyle w:val="FootnoteReference"/>
        </w:rPr>
        <w:footnoteReference w:id="7"/>
      </w:r>
    </w:p>
    <w:p w14:paraId="768C611A" w14:textId="130C3002" w:rsidR="00280EE9" w:rsidRPr="00086EBE" w:rsidRDefault="00280EE9" w:rsidP="00280EE9">
      <w:r w:rsidRPr="00086EBE">
        <w:t>Common adverse reactions from A</w:t>
      </w:r>
      <w:r w:rsidRPr="00086EBE">
        <w:rPr>
          <w:rFonts w:cstheme="minorHAnsi"/>
        </w:rPr>
        <w:t>β</w:t>
      </w:r>
      <w:r w:rsidRPr="00086EBE">
        <w:t xml:space="preserve">-PET scanning includes headache, </w:t>
      </w:r>
      <w:r w:rsidR="00DA12FD" w:rsidRPr="00086EBE">
        <w:t>i</w:t>
      </w:r>
      <w:r w:rsidRPr="00086EBE">
        <w:t xml:space="preserve">njection site pain, injection/application site erythema, flushing, and increased </w:t>
      </w:r>
      <w:r w:rsidR="00763F48" w:rsidRPr="00086EBE">
        <w:t>blood pressure</w:t>
      </w:r>
      <w:r w:rsidRPr="00086EBE">
        <w:t>.</w:t>
      </w:r>
    </w:p>
    <w:p w14:paraId="02762C18" w14:textId="5D9EFF61" w:rsidR="00280EE9" w:rsidRPr="00086EBE" w:rsidRDefault="00280EE9" w:rsidP="00086EBE">
      <w:pPr>
        <w:keepNext/>
        <w:keepLines/>
        <w:spacing w:before="240" w:after="0"/>
        <w:outlineLvl w:val="3"/>
        <w:rPr>
          <w:rFonts w:eastAsiaTheme="majorEastAsia" w:cstheme="majorBidi"/>
          <w:b/>
        </w:rPr>
      </w:pPr>
      <w:r w:rsidRPr="00086EBE">
        <w:rPr>
          <w:rFonts w:eastAsiaTheme="majorEastAsia" w:cstheme="majorBidi"/>
          <w:b/>
        </w:rPr>
        <w:t xml:space="preserve">Safety of lumbar puncture for CSF </w:t>
      </w:r>
      <w:r w:rsidR="00736395" w:rsidRPr="00086EBE">
        <w:rPr>
          <w:rFonts w:eastAsiaTheme="majorEastAsia" w:cstheme="majorBidi"/>
          <w:b/>
        </w:rPr>
        <w:t xml:space="preserve">AD </w:t>
      </w:r>
      <w:r w:rsidRPr="00086EBE">
        <w:rPr>
          <w:rFonts w:eastAsiaTheme="majorEastAsia" w:cstheme="majorBidi"/>
          <w:b/>
        </w:rPr>
        <w:t>biomarker testing</w:t>
      </w:r>
    </w:p>
    <w:p w14:paraId="0A863BC3" w14:textId="01ACB208" w:rsidR="00280EE9" w:rsidRPr="00086EBE" w:rsidRDefault="00763F48" w:rsidP="00280EE9">
      <w:r w:rsidRPr="00086EBE">
        <w:t xml:space="preserve">The </w:t>
      </w:r>
      <w:r w:rsidR="00BD5FC1" w:rsidRPr="00BD5FC1">
        <w:t>submission</w:t>
      </w:r>
      <w:r w:rsidR="00BD5FC1" w:rsidRPr="00BD5FC1" w:rsidDel="00BD5FC1">
        <w:t xml:space="preserve"> </w:t>
      </w:r>
      <w:r w:rsidRPr="00086EBE">
        <w:t>state</w:t>
      </w:r>
      <w:r w:rsidR="00FE7E92">
        <w:t>d</w:t>
      </w:r>
      <w:r w:rsidRPr="00086EBE">
        <w:t xml:space="preserve"> that </w:t>
      </w:r>
      <w:r w:rsidR="00280EE9" w:rsidRPr="00086EBE">
        <w:t xml:space="preserve">lumbar puncture is a safe procedure in older adults with or without cognitive impairment, with &lt;1% of serious reported events needing specialist treatment. Risks of </w:t>
      </w:r>
      <w:r w:rsidR="00280EE9" w:rsidRPr="00086EBE">
        <w:lastRenderedPageBreak/>
        <w:t>adverse events can be mitigated by considering the appropriate technical considerations when performing a lumbar puncture.</w:t>
      </w:r>
    </w:p>
    <w:p w14:paraId="5AAF4D4E" w14:textId="77777777" w:rsidR="00280EE9" w:rsidRPr="00086EBE" w:rsidRDefault="00280EE9" w:rsidP="00280EE9">
      <w:r w:rsidRPr="00086EBE">
        <w:t>The most common associated AEs are headache, back pain, nausea/vomiting, and numbness of the legs.</w:t>
      </w:r>
    </w:p>
    <w:p w14:paraId="12359347" w14:textId="11CDB164" w:rsidR="00280EE9" w:rsidRPr="00086EBE" w:rsidRDefault="00763F48" w:rsidP="00280EE9">
      <w:r w:rsidRPr="00086EBE">
        <w:t xml:space="preserve">The </w:t>
      </w:r>
      <w:r w:rsidR="00165887" w:rsidRPr="00165887">
        <w:t>submission</w:t>
      </w:r>
      <w:r w:rsidR="00165887" w:rsidRPr="00165887" w:rsidDel="00165887">
        <w:t xml:space="preserve"> </w:t>
      </w:r>
      <w:r w:rsidRPr="00086EBE">
        <w:t xml:space="preserve">noted that the </w:t>
      </w:r>
      <w:r w:rsidR="00280EE9" w:rsidRPr="00086EBE">
        <w:t>use of an atraumatic needle rather than a cutting-bevel needle, a needle with a gauge of &gt;22, collecting the CSF sample passively, having the patient lay down, reducing the number of lumbar puncture attempts and collecting no more than 30</w:t>
      </w:r>
      <w:r w:rsidR="00FE7E92">
        <w:t xml:space="preserve"> </w:t>
      </w:r>
      <w:r w:rsidR="00280EE9" w:rsidRPr="00086EBE">
        <w:t>ml of CSF can all reduce the risk of post-</w:t>
      </w:r>
      <w:r w:rsidR="00D8728A" w:rsidRPr="00086EBE">
        <w:t xml:space="preserve">lumbar puncture </w:t>
      </w:r>
      <w:r w:rsidR="00280EE9" w:rsidRPr="00086EBE">
        <w:t xml:space="preserve">headache. The </w:t>
      </w:r>
      <w:r w:rsidR="00165887" w:rsidRPr="00165887">
        <w:t>submission</w:t>
      </w:r>
      <w:r w:rsidR="00165887" w:rsidRPr="00165887" w:rsidDel="00165887">
        <w:t xml:space="preserve"> </w:t>
      </w:r>
      <w:r w:rsidR="00280EE9" w:rsidRPr="00086EBE">
        <w:t>also noted that in rare cases, more severe presentation of symptoms may develop and that severe and persistent headaches may require treatment with an epidural blood patch.</w:t>
      </w:r>
    </w:p>
    <w:p w14:paraId="2C5FCF34" w14:textId="77777777" w:rsidR="00280EE9" w:rsidRPr="00086EBE" w:rsidRDefault="00280EE9" w:rsidP="00086EBE">
      <w:pPr>
        <w:keepNext/>
        <w:keepLines/>
        <w:spacing w:before="240" w:after="0"/>
        <w:outlineLvl w:val="3"/>
        <w:rPr>
          <w:rFonts w:eastAsiaTheme="majorEastAsia" w:cstheme="majorBidi"/>
          <w:b/>
        </w:rPr>
      </w:pPr>
      <w:r w:rsidRPr="00086EBE">
        <w:rPr>
          <w:rFonts w:eastAsiaTheme="majorEastAsia" w:cstheme="majorBidi"/>
          <w:b/>
        </w:rPr>
        <w:t>Safety of MRI to detect ARIA</w:t>
      </w:r>
    </w:p>
    <w:p w14:paraId="729CD182" w14:textId="765B5141" w:rsidR="00280EE9" w:rsidRPr="00B7002C" w:rsidRDefault="00280EE9" w:rsidP="00280EE9">
      <w:r w:rsidRPr="00B7002C">
        <w:t xml:space="preserve">The </w:t>
      </w:r>
      <w:r w:rsidR="00165887" w:rsidRPr="00165887">
        <w:t>submission</w:t>
      </w:r>
      <w:r w:rsidR="00165887" w:rsidRPr="00165887" w:rsidDel="00165887">
        <w:t xml:space="preserve"> </w:t>
      </w:r>
      <w:r w:rsidRPr="00B7002C">
        <w:t xml:space="preserve">did not discuss the safety of MRI. </w:t>
      </w:r>
      <w:r w:rsidR="00253C98" w:rsidRPr="00B7002C">
        <w:t>The commentary considered that a</w:t>
      </w:r>
      <w:r w:rsidRPr="00B7002C">
        <w:t>s MRI does not expose the body to ionising radiation, it has a good safety profile. However,</w:t>
      </w:r>
      <w:r w:rsidR="00253C98" w:rsidRPr="00B7002C">
        <w:t xml:space="preserve"> the commentary also considered that</w:t>
      </w:r>
      <w:r w:rsidRPr="00B7002C">
        <w:t xml:space="preserve"> it is not without risks. </w:t>
      </w:r>
    </w:p>
    <w:p w14:paraId="051E5D58" w14:textId="0C5B0223" w:rsidR="00280EE9" w:rsidRPr="00B7002C" w:rsidRDefault="00280EE9" w:rsidP="00280EE9">
      <w:r w:rsidRPr="00B7002C">
        <w:t xml:space="preserve">The radiofrequency energy used during the MRI scan </w:t>
      </w:r>
      <w:r w:rsidR="00763F48" w:rsidRPr="00B7002C">
        <w:t>can</w:t>
      </w:r>
      <w:r w:rsidRPr="00B7002C">
        <w:t xml:space="preserve"> lead to heating of the body. The potential for heating is greater during long MRI examinations. Second degree burns are the most common adverse event for MRIs reported to the FDA</w:t>
      </w:r>
      <w:r w:rsidRPr="00B7002C">
        <w:rPr>
          <w:vertAlign w:val="superscript"/>
        </w:rPr>
        <w:footnoteReference w:id="8"/>
      </w:r>
      <w:r w:rsidRPr="00B7002C">
        <w:t xml:space="preserve">. Heating is thought to be a larger problem for people with tattoos, especially with new tattoos. </w:t>
      </w:r>
    </w:p>
    <w:p w14:paraId="78EFA8D8" w14:textId="77777777" w:rsidR="00280EE9" w:rsidRPr="00B7002C" w:rsidRDefault="00280EE9" w:rsidP="00280EE9">
      <w:r w:rsidRPr="00B7002C">
        <w:t>The powerful rapidly changing magnetic fields will attract metallic objects. Careful screening of people and objects entering the MR environment is critical to ensure nothing enters the magnet area that may become a projectile that may cause damage to the scanner or injury to the patient or medical professionals. The FDA has received reports on injuries caused by projectile events.</w:t>
      </w:r>
    </w:p>
    <w:p w14:paraId="1D2D694C" w14:textId="77777777" w:rsidR="00280EE9" w:rsidRPr="00B7002C" w:rsidRDefault="00280EE9" w:rsidP="00280EE9">
      <w:r w:rsidRPr="00B7002C">
        <w:t xml:space="preserve">Patients with claustrophobia may find the inside of the MRI scanner to be uncomfortably small and may not be able to tolerate the scan. These patients, and those that cannot remain still will likely require anaesthesia to obtain a useful MRI result. </w:t>
      </w:r>
    </w:p>
    <w:p w14:paraId="722D41C7" w14:textId="402A75F2" w:rsidR="00280EE9" w:rsidRPr="00B7002C" w:rsidRDefault="00280EE9" w:rsidP="00B7002C">
      <w:pPr>
        <w:keepNext/>
        <w:keepLines/>
        <w:spacing w:before="240" w:after="0"/>
        <w:outlineLvl w:val="3"/>
        <w:rPr>
          <w:rFonts w:eastAsiaTheme="majorEastAsia" w:cstheme="majorBidi"/>
          <w:b/>
        </w:rPr>
      </w:pPr>
      <w:r w:rsidRPr="00B7002C">
        <w:rPr>
          <w:rFonts w:eastAsiaTheme="majorEastAsia" w:cstheme="majorBidi"/>
          <w:b/>
        </w:rPr>
        <w:t>Safety of APOE genotyping</w:t>
      </w:r>
    </w:p>
    <w:p w14:paraId="4D415FD6" w14:textId="217AA92A" w:rsidR="00280EE9" w:rsidRPr="00B7002C" w:rsidRDefault="00253C98" w:rsidP="00280EE9">
      <w:r w:rsidRPr="00B7002C">
        <w:t>The commentary noted that</w:t>
      </w:r>
      <w:r w:rsidRPr="00B7002C">
        <w:rPr>
          <w:i/>
          <w:iCs/>
        </w:rPr>
        <w:t xml:space="preserve"> </w:t>
      </w:r>
      <w:r w:rsidR="00286942" w:rsidRPr="00B7002C">
        <w:rPr>
          <w:i/>
          <w:iCs/>
        </w:rPr>
        <w:t>APOE</w:t>
      </w:r>
      <w:r w:rsidR="00286942" w:rsidRPr="00B7002C">
        <w:t xml:space="preserve"> genotyping is performed on peripheral blood and sampling does not pose any serious risk to the patient.</w:t>
      </w:r>
      <w:r w:rsidR="00CD4F3A" w:rsidRPr="00B7002C">
        <w:t xml:space="preserve"> Due to the high accuracy of the </w:t>
      </w:r>
      <w:r w:rsidR="00CD4F3A" w:rsidRPr="00B7002C">
        <w:rPr>
          <w:i/>
          <w:iCs/>
        </w:rPr>
        <w:t>APOE</w:t>
      </w:r>
      <w:r w:rsidR="00CD4F3A" w:rsidRPr="00B7002C">
        <w:t xml:space="preserve"> genotyping tests, </w:t>
      </w:r>
      <w:r w:rsidRPr="00B7002C">
        <w:t xml:space="preserve">the commentary considered that </w:t>
      </w:r>
      <w:r w:rsidR="00CD4F3A" w:rsidRPr="00B7002C">
        <w:t xml:space="preserve">the likelihood of having a false negative or false positive test result is very </w:t>
      </w:r>
      <w:r w:rsidR="000B3D51" w:rsidRPr="00B7002C">
        <w:t>low</w:t>
      </w:r>
      <w:r w:rsidR="00CD4F3A" w:rsidRPr="00B7002C">
        <w:t>.</w:t>
      </w:r>
    </w:p>
    <w:p w14:paraId="57015C90" w14:textId="77777777" w:rsidR="00FB7E9C" w:rsidRPr="00E23F8C" w:rsidRDefault="00FB7E9C" w:rsidP="00172B02">
      <w:pPr>
        <w:pStyle w:val="Heading3"/>
      </w:pPr>
      <w:r w:rsidRPr="00E23F8C">
        <w:t>Drug</w:t>
      </w:r>
    </w:p>
    <w:p w14:paraId="600667FC" w14:textId="77777777" w:rsidR="00280EE9" w:rsidRPr="00E23F8C" w:rsidRDefault="00280EE9" w:rsidP="00280EE9">
      <w:pPr>
        <w:keepNext/>
        <w:keepLines/>
        <w:spacing w:before="240" w:after="0"/>
        <w:outlineLvl w:val="3"/>
        <w:rPr>
          <w:rFonts w:eastAsiaTheme="majorEastAsia" w:cstheme="majorBidi"/>
          <w:b/>
        </w:rPr>
      </w:pPr>
      <w:r w:rsidRPr="00E23F8C">
        <w:rPr>
          <w:rFonts w:eastAsiaTheme="majorEastAsia" w:cstheme="majorBidi"/>
          <w:b/>
        </w:rPr>
        <w:t>Adverse events from changes in management</w:t>
      </w:r>
    </w:p>
    <w:p w14:paraId="791DA49F" w14:textId="461EB622" w:rsidR="000C3048" w:rsidRDefault="008511D5" w:rsidP="002C0E10">
      <w:r>
        <w:fldChar w:fldCharType="begin"/>
      </w:r>
      <w:r>
        <w:instrText xml:space="preserve"> REF _Ref207288950 \h </w:instrText>
      </w:r>
      <w:r>
        <w:fldChar w:fldCharType="separate"/>
      </w:r>
      <w:r>
        <w:t xml:space="preserve">Table </w:t>
      </w:r>
      <w:r>
        <w:rPr>
          <w:noProof/>
        </w:rPr>
        <w:t>9</w:t>
      </w:r>
      <w:r>
        <w:fldChar w:fldCharType="end"/>
      </w:r>
      <w:r w:rsidR="00762124" w:rsidRPr="00921A81">
        <w:fldChar w:fldCharType="begin"/>
      </w:r>
      <w:r w:rsidR="00762124" w:rsidRPr="00921A81">
        <w:instrText xml:space="preserve"> REF _Ref204961771 \h </w:instrText>
      </w:r>
      <w:r w:rsidR="00921A81" w:rsidRPr="00921A81">
        <w:instrText xml:space="preserve"> \* MERGEFORMAT </w:instrText>
      </w:r>
      <w:r w:rsidR="00762124" w:rsidRPr="00921A81">
        <w:fldChar w:fldCharType="separate"/>
      </w:r>
      <w:r w:rsidR="00762124" w:rsidRPr="00921A81">
        <w:fldChar w:fldCharType="end"/>
      </w:r>
      <w:r w:rsidR="00762124" w:rsidRPr="00921A81">
        <w:t xml:space="preserve"> prese</w:t>
      </w:r>
      <w:r w:rsidR="00762124">
        <w:t xml:space="preserve">nted </w:t>
      </w:r>
      <w:r w:rsidR="00921A81">
        <w:t>a</w:t>
      </w:r>
      <w:r w:rsidR="002C0E10" w:rsidRPr="00272D88">
        <w:t xml:space="preserve"> summary of common key treatment-emergent adverse events (TEAEs) </w:t>
      </w:r>
      <w:r w:rsidR="00212C8D" w:rsidRPr="00272D88">
        <w:t xml:space="preserve">and ARIAs </w:t>
      </w:r>
      <w:r w:rsidR="002C0E10" w:rsidRPr="00272D88">
        <w:t>by treatment arm in the TB-2 trial.</w:t>
      </w:r>
    </w:p>
    <w:p w14:paraId="42C8BCBA" w14:textId="5C196678" w:rsidR="002C0E10" w:rsidRPr="00EE0EEB" w:rsidRDefault="008511D5" w:rsidP="00565B62">
      <w:pPr>
        <w:pStyle w:val="Caption"/>
      </w:pPr>
      <w:bookmarkStart w:id="40" w:name="_Ref207288950"/>
      <w:r>
        <w:lastRenderedPageBreak/>
        <w:t xml:space="preserve">Table </w:t>
      </w:r>
      <w:r>
        <w:fldChar w:fldCharType="begin"/>
      </w:r>
      <w:r>
        <w:instrText xml:space="preserve"> SEQ Table \* ARABIC </w:instrText>
      </w:r>
      <w:r>
        <w:fldChar w:fldCharType="separate"/>
      </w:r>
      <w:r>
        <w:rPr>
          <w:noProof/>
        </w:rPr>
        <w:t>9</w:t>
      </w:r>
      <w:r>
        <w:rPr>
          <w:noProof/>
        </w:rPr>
        <w:fldChar w:fldCharType="end"/>
      </w:r>
      <w:bookmarkEnd w:id="40"/>
      <w:r>
        <w:t xml:space="preserve"> </w:t>
      </w:r>
      <w:r w:rsidR="002C0E10" w:rsidRPr="00EE0EEB">
        <w:t>Summary of TEAEs in the TB-2</w:t>
      </w:r>
      <w:r w:rsidR="003D2CB1">
        <w:t xml:space="preserve"> </w:t>
      </w:r>
      <w:r w:rsidR="00084A2B">
        <w:t>t</w:t>
      </w:r>
      <w:r w:rsidR="002C0E10" w:rsidRPr="00EE0EEB">
        <w:t>rial</w:t>
      </w:r>
    </w:p>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44"/>
        <w:gridCol w:w="2445"/>
      </w:tblGrid>
      <w:tr w:rsidR="00D53B44" w:rsidRPr="00EE0EEB" w14:paraId="68BEA56E" w14:textId="77777777" w:rsidTr="0040278B">
        <w:trPr>
          <w:cnfStyle w:val="100000000000" w:firstRow="1" w:lastRow="0" w:firstColumn="0" w:lastColumn="0" w:oddVBand="0" w:evenVBand="0" w:oddHBand="0" w:evenHBand="0" w:firstRowFirstColumn="0" w:firstRowLastColumn="0" w:lastRowFirstColumn="0" w:lastRowLastColumn="0"/>
          <w:cantSplit/>
          <w:trHeight w:val="357"/>
          <w:tblHeader/>
        </w:trPr>
        <w:tc>
          <w:tcPr>
            <w:tcW w:w="4106" w:type="dxa"/>
            <w:vAlign w:val="center"/>
          </w:tcPr>
          <w:p w14:paraId="29FCF2C1" w14:textId="77777777" w:rsidR="002C0E10" w:rsidRPr="00EE0EEB" w:rsidRDefault="002C0E10" w:rsidP="009260B6">
            <w:pPr>
              <w:keepNext/>
              <w:keepLines/>
              <w:widowControl w:val="0"/>
              <w:spacing w:before="40" w:after="40"/>
              <w:ind w:right="57"/>
              <w:rPr>
                <w:rFonts w:ascii="Arial Narrow" w:hAnsi="Arial Narrow"/>
                <w:sz w:val="20"/>
                <w:szCs w:val="20"/>
                <w:lang w:val="en-AU" w:eastAsia="en-AU"/>
              </w:rPr>
            </w:pPr>
          </w:p>
        </w:tc>
        <w:tc>
          <w:tcPr>
            <w:tcW w:w="2444" w:type="dxa"/>
            <w:vAlign w:val="center"/>
          </w:tcPr>
          <w:p w14:paraId="67F9AA7B" w14:textId="15431E26" w:rsidR="002C0E10" w:rsidRPr="00EE0EEB" w:rsidRDefault="002C0E10" w:rsidP="009260B6">
            <w:pPr>
              <w:keepNext/>
              <w:keepLines/>
              <w:widowControl w:val="0"/>
              <w:spacing w:before="40" w:after="40"/>
              <w:ind w:right="-57"/>
              <w:jc w:val="center"/>
              <w:rPr>
                <w:rFonts w:ascii="Arial Narrow" w:hAnsi="Arial Narrow"/>
                <w:sz w:val="20"/>
                <w:szCs w:val="20"/>
                <w:lang w:val="en-AU" w:eastAsia="en-AU"/>
              </w:rPr>
            </w:pPr>
            <w:r w:rsidRPr="00EE0EEB">
              <w:rPr>
                <w:rFonts w:ascii="Arial Narrow" w:hAnsi="Arial Narrow"/>
                <w:sz w:val="20"/>
                <w:szCs w:val="20"/>
                <w:lang w:val="en-AU" w:eastAsia="en-AU"/>
              </w:rPr>
              <w:t>Donanemab</w:t>
            </w:r>
            <w:r w:rsidR="00212C8D">
              <w:rPr>
                <w:rFonts w:ascii="Arial Narrow" w:hAnsi="Arial Narrow"/>
                <w:sz w:val="20"/>
                <w:szCs w:val="20"/>
                <w:lang w:val="en-AU" w:eastAsia="en-AU"/>
              </w:rPr>
              <w:br/>
            </w:r>
            <w:r w:rsidRPr="00EE0EEB">
              <w:rPr>
                <w:rFonts w:ascii="Arial Narrow" w:hAnsi="Arial Narrow"/>
                <w:sz w:val="20"/>
                <w:szCs w:val="20"/>
                <w:lang w:val="en-AU" w:eastAsia="en-AU"/>
              </w:rPr>
              <w:t>(N = 853), n/m (%)</w:t>
            </w:r>
          </w:p>
        </w:tc>
        <w:tc>
          <w:tcPr>
            <w:tcW w:w="2445" w:type="dxa"/>
            <w:vAlign w:val="center"/>
          </w:tcPr>
          <w:p w14:paraId="700E1EC0" w14:textId="43F4756E" w:rsidR="002C0E10" w:rsidRPr="00EE0EEB" w:rsidRDefault="002C0E10" w:rsidP="009260B6">
            <w:pPr>
              <w:keepNext/>
              <w:keepLines/>
              <w:widowControl w:val="0"/>
              <w:spacing w:before="40" w:after="40"/>
              <w:ind w:right="57"/>
              <w:jc w:val="center"/>
              <w:rPr>
                <w:rFonts w:ascii="Arial Narrow" w:hAnsi="Arial Narrow"/>
                <w:sz w:val="20"/>
                <w:szCs w:val="20"/>
                <w:lang w:val="en-AU" w:eastAsia="en-AU"/>
              </w:rPr>
            </w:pPr>
            <w:r w:rsidRPr="00EE0EEB">
              <w:rPr>
                <w:rFonts w:ascii="Arial Narrow" w:hAnsi="Arial Narrow"/>
                <w:sz w:val="20"/>
                <w:szCs w:val="20"/>
                <w:lang w:val="en-AU" w:eastAsia="en-AU"/>
              </w:rPr>
              <w:t>Placebo</w:t>
            </w:r>
            <w:r w:rsidR="00212C8D">
              <w:rPr>
                <w:rFonts w:ascii="Arial Narrow" w:hAnsi="Arial Narrow"/>
                <w:sz w:val="20"/>
                <w:szCs w:val="20"/>
                <w:lang w:val="en-AU" w:eastAsia="en-AU"/>
              </w:rPr>
              <w:br/>
            </w:r>
            <w:r w:rsidRPr="00EE0EEB">
              <w:rPr>
                <w:rFonts w:ascii="Arial Narrow" w:hAnsi="Arial Narrow"/>
                <w:sz w:val="20"/>
                <w:szCs w:val="20"/>
                <w:lang w:val="en-AU" w:eastAsia="en-AU"/>
              </w:rPr>
              <w:t>(N = 874), n/m (%)</w:t>
            </w:r>
          </w:p>
        </w:tc>
      </w:tr>
      <w:tr w:rsidR="00212C8D" w:rsidRPr="00EE0EEB" w14:paraId="68C3D1F3" w14:textId="77777777" w:rsidTr="0040278B">
        <w:trPr>
          <w:cantSplit/>
        </w:trPr>
        <w:tc>
          <w:tcPr>
            <w:tcW w:w="4106" w:type="dxa"/>
          </w:tcPr>
          <w:p w14:paraId="231418C2" w14:textId="74D3429D" w:rsidR="00212C8D" w:rsidRPr="00212C8D" w:rsidRDefault="00212C8D" w:rsidP="009260B6">
            <w:pPr>
              <w:keepNext/>
              <w:keepLines/>
              <w:widowControl w:val="0"/>
              <w:spacing w:before="40" w:after="40"/>
              <w:ind w:right="57"/>
              <w:rPr>
                <w:rFonts w:ascii="Arial Narrow" w:hAnsi="Arial Narrow"/>
                <w:bCs/>
                <w:sz w:val="20"/>
                <w:szCs w:val="18"/>
                <w:lang w:eastAsia="en-AU"/>
              </w:rPr>
            </w:pPr>
            <w:r w:rsidRPr="00212C8D">
              <w:rPr>
                <w:rFonts w:ascii="Arial Narrow" w:hAnsi="Arial Narrow"/>
                <w:sz w:val="20"/>
                <w:szCs w:val="18"/>
              </w:rPr>
              <w:t>TEAEs</w:t>
            </w:r>
          </w:p>
        </w:tc>
        <w:tc>
          <w:tcPr>
            <w:tcW w:w="2444" w:type="dxa"/>
            <w:vAlign w:val="center"/>
          </w:tcPr>
          <w:p w14:paraId="55068059" w14:textId="67AF880E"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759 (89.0)</w:t>
            </w:r>
          </w:p>
        </w:tc>
        <w:tc>
          <w:tcPr>
            <w:tcW w:w="2445" w:type="dxa"/>
            <w:vAlign w:val="center"/>
          </w:tcPr>
          <w:p w14:paraId="7576C72C" w14:textId="54036736"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718 (82.2)</w:t>
            </w:r>
          </w:p>
        </w:tc>
      </w:tr>
      <w:tr w:rsidR="00212C8D" w:rsidRPr="00EE0EEB" w14:paraId="0CF7EFA2" w14:textId="77777777" w:rsidTr="0040278B">
        <w:trPr>
          <w:cantSplit/>
        </w:trPr>
        <w:tc>
          <w:tcPr>
            <w:tcW w:w="4106" w:type="dxa"/>
          </w:tcPr>
          <w:p w14:paraId="4BB4248A" w14:textId="2C413D48" w:rsidR="00212C8D" w:rsidRPr="00212C8D" w:rsidRDefault="00212C8D" w:rsidP="009260B6">
            <w:pPr>
              <w:keepNext/>
              <w:keepLines/>
              <w:widowControl w:val="0"/>
              <w:spacing w:before="40" w:after="40"/>
              <w:ind w:right="57"/>
              <w:rPr>
                <w:rFonts w:ascii="Arial Narrow" w:hAnsi="Arial Narrow"/>
                <w:bCs/>
                <w:sz w:val="20"/>
                <w:szCs w:val="18"/>
                <w:lang w:eastAsia="en-AU"/>
              </w:rPr>
            </w:pPr>
            <w:r w:rsidRPr="00212C8D">
              <w:rPr>
                <w:rFonts w:ascii="Arial Narrow" w:hAnsi="Arial Narrow"/>
                <w:sz w:val="20"/>
                <w:szCs w:val="18"/>
              </w:rPr>
              <w:t xml:space="preserve">Treatment-related </w:t>
            </w:r>
            <w:proofErr w:type="spellStart"/>
            <w:r w:rsidR="00C71EBE" w:rsidRPr="00212C8D">
              <w:rPr>
                <w:rFonts w:ascii="Arial Narrow" w:hAnsi="Arial Narrow"/>
                <w:sz w:val="20"/>
                <w:szCs w:val="18"/>
              </w:rPr>
              <w:t>TEAEs</w:t>
            </w:r>
            <w:r w:rsidR="00C71EBE">
              <w:rPr>
                <w:rFonts w:ascii="Arial Narrow" w:hAnsi="Arial Narrow"/>
                <w:sz w:val="20"/>
                <w:szCs w:val="18"/>
                <w:vertAlign w:val="superscript"/>
              </w:rPr>
              <w:t>a</w:t>
            </w:r>
            <w:proofErr w:type="spellEnd"/>
          </w:p>
        </w:tc>
        <w:tc>
          <w:tcPr>
            <w:tcW w:w="2444" w:type="dxa"/>
            <w:vAlign w:val="center"/>
          </w:tcPr>
          <w:p w14:paraId="58EAA1F7" w14:textId="6386C006"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410 (48.1)</w:t>
            </w:r>
          </w:p>
        </w:tc>
        <w:tc>
          <w:tcPr>
            <w:tcW w:w="2445" w:type="dxa"/>
            <w:vAlign w:val="center"/>
          </w:tcPr>
          <w:p w14:paraId="3C5466C9" w14:textId="43818B7C"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173 (19.8)</w:t>
            </w:r>
          </w:p>
        </w:tc>
      </w:tr>
      <w:tr w:rsidR="00212C8D" w:rsidRPr="00EE0EEB" w14:paraId="698D07D5" w14:textId="77777777" w:rsidTr="0040278B">
        <w:trPr>
          <w:cantSplit/>
        </w:trPr>
        <w:tc>
          <w:tcPr>
            <w:tcW w:w="4106" w:type="dxa"/>
          </w:tcPr>
          <w:p w14:paraId="490E51FE" w14:textId="5BD0DDB3" w:rsidR="00212C8D" w:rsidRPr="00212C8D" w:rsidRDefault="00212C8D" w:rsidP="009260B6">
            <w:pPr>
              <w:keepNext/>
              <w:keepLines/>
              <w:widowControl w:val="0"/>
              <w:spacing w:before="40" w:after="40"/>
              <w:ind w:right="57"/>
              <w:rPr>
                <w:rFonts w:ascii="Arial Narrow" w:hAnsi="Arial Narrow"/>
                <w:bCs/>
                <w:sz w:val="20"/>
                <w:szCs w:val="18"/>
                <w:lang w:eastAsia="en-AU"/>
              </w:rPr>
            </w:pPr>
            <w:r w:rsidRPr="00212C8D">
              <w:rPr>
                <w:rFonts w:ascii="Arial Narrow" w:hAnsi="Arial Narrow"/>
                <w:sz w:val="20"/>
                <w:szCs w:val="18"/>
              </w:rPr>
              <w:t>TEAEs leading to treatment discontinuation</w:t>
            </w:r>
          </w:p>
        </w:tc>
        <w:tc>
          <w:tcPr>
            <w:tcW w:w="2444" w:type="dxa"/>
            <w:vAlign w:val="center"/>
          </w:tcPr>
          <w:p w14:paraId="456C5F34" w14:textId="76D60B11"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112 (13.1)</w:t>
            </w:r>
          </w:p>
        </w:tc>
        <w:tc>
          <w:tcPr>
            <w:tcW w:w="2445" w:type="dxa"/>
            <w:vAlign w:val="center"/>
          </w:tcPr>
          <w:p w14:paraId="698D373D" w14:textId="0C7392B9"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38 (4.3)</w:t>
            </w:r>
          </w:p>
        </w:tc>
      </w:tr>
      <w:tr w:rsidR="00212C8D" w:rsidRPr="00EE0EEB" w14:paraId="361586E5" w14:textId="77777777" w:rsidTr="0040278B">
        <w:trPr>
          <w:cantSplit/>
        </w:trPr>
        <w:tc>
          <w:tcPr>
            <w:tcW w:w="4106" w:type="dxa"/>
          </w:tcPr>
          <w:p w14:paraId="3169561A" w14:textId="48D08D50" w:rsidR="00212C8D" w:rsidRPr="00212C8D" w:rsidRDefault="00212C8D" w:rsidP="009260B6">
            <w:pPr>
              <w:keepNext/>
              <w:keepLines/>
              <w:widowControl w:val="0"/>
              <w:spacing w:before="40" w:after="40"/>
              <w:ind w:right="57"/>
              <w:rPr>
                <w:rFonts w:ascii="Arial Narrow" w:hAnsi="Arial Narrow"/>
                <w:bCs/>
                <w:sz w:val="20"/>
                <w:szCs w:val="18"/>
                <w:lang w:eastAsia="en-AU"/>
              </w:rPr>
            </w:pPr>
            <w:r w:rsidRPr="00212C8D">
              <w:rPr>
                <w:rFonts w:ascii="Arial Narrow" w:hAnsi="Arial Narrow"/>
                <w:sz w:val="20"/>
                <w:szCs w:val="18"/>
              </w:rPr>
              <w:t>TEAEs leading to study discontinuation</w:t>
            </w:r>
          </w:p>
        </w:tc>
        <w:tc>
          <w:tcPr>
            <w:tcW w:w="2444" w:type="dxa"/>
            <w:vAlign w:val="center"/>
          </w:tcPr>
          <w:p w14:paraId="3118FA10" w14:textId="03CA0232"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69 (8.1)</w:t>
            </w:r>
          </w:p>
        </w:tc>
        <w:tc>
          <w:tcPr>
            <w:tcW w:w="2445" w:type="dxa"/>
            <w:vAlign w:val="center"/>
          </w:tcPr>
          <w:p w14:paraId="263E10C1" w14:textId="77C2DA41" w:rsidR="00212C8D" w:rsidRPr="00212C8D" w:rsidRDefault="00212C8D" w:rsidP="009260B6">
            <w:pPr>
              <w:keepNext/>
              <w:keepLines/>
              <w:widowControl w:val="0"/>
              <w:tabs>
                <w:tab w:val="decimal" w:pos="396"/>
              </w:tabs>
              <w:spacing w:before="40" w:after="40"/>
              <w:ind w:right="57"/>
              <w:jc w:val="center"/>
              <w:rPr>
                <w:rFonts w:ascii="Arial Narrow" w:hAnsi="Arial Narrow"/>
                <w:bCs/>
                <w:sz w:val="20"/>
                <w:szCs w:val="18"/>
                <w:lang w:eastAsia="en-AU"/>
              </w:rPr>
            </w:pPr>
            <w:r w:rsidRPr="00212C8D">
              <w:rPr>
                <w:rFonts w:ascii="Arial Narrow" w:hAnsi="Arial Narrow"/>
                <w:sz w:val="20"/>
                <w:szCs w:val="18"/>
              </w:rPr>
              <w:t>32 (3.7)</w:t>
            </w:r>
          </w:p>
        </w:tc>
      </w:tr>
      <w:tr w:rsidR="00212C8D" w:rsidRPr="00EE0EEB" w14:paraId="730A6B9D" w14:textId="77777777" w:rsidTr="0040278B">
        <w:trPr>
          <w:cantSplit/>
        </w:trPr>
        <w:tc>
          <w:tcPr>
            <w:tcW w:w="4106" w:type="dxa"/>
            <w:vAlign w:val="center"/>
          </w:tcPr>
          <w:p w14:paraId="74DD6C90" w14:textId="77777777"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 xml:space="preserve">ARIA-E </w:t>
            </w:r>
          </w:p>
        </w:tc>
        <w:tc>
          <w:tcPr>
            <w:tcW w:w="2444" w:type="dxa"/>
            <w:vAlign w:val="center"/>
          </w:tcPr>
          <w:p w14:paraId="6D9AB6F6" w14:textId="7112CBDE"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205 (24.0)</w:t>
            </w:r>
          </w:p>
        </w:tc>
        <w:tc>
          <w:tcPr>
            <w:tcW w:w="2445" w:type="dxa"/>
            <w:vAlign w:val="center"/>
          </w:tcPr>
          <w:p w14:paraId="6369F5E0" w14:textId="3B122A4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17 (1.9)</w:t>
            </w:r>
          </w:p>
        </w:tc>
      </w:tr>
      <w:tr w:rsidR="00212C8D" w:rsidRPr="00EE0EEB" w14:paraId="2F49C14D" w14:textId="77777777" w:rsidTr="0040278B">
        <w:trPr>
          <w:cantSplit/>
        </w:trPr>
        <w:tc>
          <w:tcPr>
            <w:tcW w:w="4106" w:type="dxa"/>
            <w:vAlign w:val="center"/>
          </w:tcPr>
          <w:p w14:paraId="71CF4CAF" w14:textId="77777777"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Symptomatic ARIA-E</w:t>
            </w:r>
          </w:p>
        </w:tc>
        <w:tc>
          <w:tcPr>
            <w:tcW w:w="2444" w:type="dxa"/>
            <w:vAlign w:val="center"/>
          </w:tcPr>
          <w:p w14:paraId="38BDD015" w14:textId="5D59E9E0"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52 (6.1)</w:t>
            </w:r>
          </w:p>
        </w:tc>
        <w:tc>
          <w:tcPr>
            <w:tcW w:w="2445" w:type="dxa"/>
            <w:vAlign w:val="center"/>
          </w:tcPr>
          <w:p w14:paraId="64E48EDE" w14:textId="04D11D31"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 (0.1)</w:t>
            </w:r>
          </w:p>
        </w:tc>
      </w:tr>
      <w:tr w:rsidR="00212C8D" w:rsidRPr="00EE0EEB" w14:paraId="56AECFD9" w14:textId="77777777" w:rsidTr="0040278B">
        <w:trPr>
          <w:cantSplit/>
        </w:trPr>
        <w:tc>
          <w:tcPr>
            <w:tcW w:w="4106" w:type="dxa"/>
            <w:vAlign w:val="center"/>
          </w:tcPr>
          <w:p w14:paraId="3B897AF8" w14:textId="5FBAF191"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Serious ARIA-E</w:t>
            </w:r>
          </w:p>
        </w:tc>
        <w:tc>
          <w:tcPr>
            <w:tcW w:w="2444" w:type="dxa"/>
            <w:vAlign w:val="center"/>
          </w:tcPr>
          <w:p w14:paraId="243F4753" w14:textId="77DBCDF6"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13 (1.5)</w:t>
            </w:r>
          </w:p>
        </w:tc>
        <w:tc>
          <w:tcPr>
            <w:tcW w:w="2445" w:type="dxa"/>
            <w:vAlign w:val="center"/>
          </w:tcPr>
          <w:p w14:paraId="2A9FFCB7" w14:textId="7CB4BA94"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0 (0)</w:t>
            </w:r>
          </w:p>
        </w:tc>
      </w:tr>
      <w:tr w:rsidR="00212C8D" w:rsidRPr="00EE0EEB" w14:paraId="463D9D16" w14:textId="77777777" w:rsidTr="0040278B">
        <w:trPr>
          <w:cantSplit/>
        </w:trPr>
        <w:tc>
          <w:tcPr>
            <w:tcW w:w="4106" w:type="dxa"/>
            <w:vAlign w:val="center"/>
          </w:tcPr>
          <w:p w14:paraId="4DD3483D" w14:textId="606E1BE4"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Treatment discontinuation</w:t>
            </w:r>
          </w:p>
        </w:tc>
        <w:tc>
          <w:tcPr>
            <w:tcW w:w="2444" w:type="dxa"/>
            <w:vAlign w:val="center"/>
          </w:tcPr>
          <w:p w14:paraId="3D871C42" w14:textId="34711AE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21 (2.5)</w:t>
            </w:r>
          </w:p>
        </w:tc>
        <w:tc>
          <w:tcPr>
            <w:tcW w:w="2445" w:type="dxa"/>
            <w:vAlign w:val="center"/>
          </w:tcPr>
          <w:p w14:paraId="0353F07D" w14:textId="22BFF713"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3 (0.3)</w:t>
            </w:r>
          </w:p>
        </w:tc>
      </w:tr>
      <w:tr w:rsidR="00212C8D" w:rsidRPr="00EE0EEB" w14:paraId="3BFBC6FA" w14:textId="77777777" w:rsidTr="0040278B">
        <w:trPr>
          <w:cantSplit/>
        </w:trPr>
        <w:tc>
          <w:tcPr>
            <w:tcW w:w="4106" w:type="dxa"/>
            <w:vAlign w:val="center"/>
          </w:tcPr>
          <w:p w14:paraId="36F64DCC" w14:textId="6EA224F4"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i/>
                <w:iCs/>
                <w:sz w:val="20"/>
                <w:szCs w:val="20"/>
                <w:lang w:val="en-AU" w:eastAsia="en-AU"/>
              </w:rPr>
              <w:t>APOE4</w:t>
            </w:r>
            <w:r w:rsidRPr="00EE0EEB">
              <w:rPr>
                <w:rFonts w:ascii="Arial Narrow" w:hAnsi="Arial Narrow"/>
                <w:bCs/>
                <w:sz w:val="20"/>
                <w:szCs w:val="20"/>
                <w:lang w:val="en-AU" w:eastAsia="en-AU"/>
              </w:rPr>
              <w:t xml:space="preserve"> heterozygous carriers</w:t>
            </w:r>
          </w:p>
        </w:tc>
        <w:tc>
          <w:tcPr>
            <w:tcW w:w="2444" w:type="dxa"/>
            <w:vAlign w:val="center"/>
          </w:tcPr>
          <w:p w14:paraId="22135F42" w14:textId="63EBB0C9"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103/452 (22.8)</w:t>
            </w:r>
          </w:p>
        </w:tc>
        <w:tc>
          <w:tcPr>
            <w:tcW w:w="2445" w:type="dxa"/>
            <w:vAlign w:val="center"/>
          </w:tcPr>
          <w:p w14:paraId="5C3A19C7" w14:textId="6C38C37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9/474 (1.9)</w:t>
            </w:r>
          </w:p>
        </w:tc>
      </w:tr>
      <w:tr w:rsidR="00212C8D" w:rsidRPr="00EE0EEB" w14:paraId="3B56139B" w14:textId="77777777" w:rsidTr="0040278B">
        <w:trPr>
          <w:cantSplit/>
        </w:trPr>
        <w:tc>
          <w:tcPr>
            <w:tcW w:w="4106" w:type="dxa"/>
            <w:vAlign w:val="center"/>
          </w:tcPr>
          <w:p w14:paraId="587AF500" w14:textId="72330197" w:rsidR="00212C8D" w:rsidRPr="00EE0EEB" w:rsidRDefault="00212C8D" w:rsidP="009260B6">
            <w:pPr>
              <w:keepNext/>
              <w:keepLines/>
              <w:widowControl w:val="0"/>
              <w:numPr>
                <w:ilvl w:val="0"/>
                <w:numId w:val="22"/>
              </w:numPr>
              <w:spacing w:before="40" w:after="40"/>
              <w:ind w:right="57"/>
              <w:rPr>
                <w:rFonts w:ascii="Arial Narrow" w:hAnsi="Arial Narrow"/>
                <w:bCs/>
                <w:i/>
                <w:iCs/>
                <w:sz w:val="20"/>
                <w:szCs w:val="20"/>
                <w:lang w:val="en-AU" w:eastAsia="en-AU"/>
              </w:rPr>
            </w:pPr>
            <w:r w:rsidRPr="00EE0EEB">
              <w:rPr>
                <w:rFonts w:ascii="Arial Narrow" w:hAnsi="Arial Narrow"/>
                <w:bCs/>
                <w:i/>
                <w:iCs/>
                <w:sz w:val="20"/>
                <w:szCs w:val="20"/>
                <w:lang w:val="en-AU" w:eastAsia="en-AU"/>
              </w:rPr>
              <w:t>APOE4 non-carriers</w:t>
            </w:r>
          </w:p>
        </w:tc>
        <w:tc>
          <w:tcPr>
            <w:tcW w:w="2444" w:type="dxa"/>
            <w:vAlign w:val="center"/>
          </w:tcPr>
          <w:p w14:paraId="0015F85D" w14:textId="722F5930"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40/255 (15.7)</w:t>
            </w:r>
          </w:p>
        </w:tc>
        <w:tc>
          <w:tcPr>
            <w:tcW w:w="2445" w:type="dxa"/>
            <w:vAlign w:val="center"/>
          </w:tcPr>
          <w:p w14:paraId="65E5C8D2" w14:textId="68494CE8"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2/250 (0.8)</w:t>
            </w:r>
          </w:p>
        </w:tc>
      </w:tr>
      <w:tr w:rsidR="00212C8D" w:rsidRPr="00EE0EEB" w14:paraId="04313E78" w14:textId="77777777" w:rsidTr="0040278B">
        <w:trPr>
          <w:cantSplit/>
        </w:trPr>
        <w:tc>
          <w:tcPr>
            <w:tcW w:w="4106" w:type="dxa"/>
            <w:vAlign w:val="center"/>
          </w:tcPr>
          <w:p w14:paraId="0B6889BB" w14:textId="35D226B1"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 xml:space="preserve">ARIA-H </w:t>
            </w:r>
          </w:p>
        </w:tc>
        <w:tc>
          <w:tcPr>
            <w:tcW w:w="2444" w:type="dxa"/>
          </w:tcPr>
          <w:p w14:paraId="447892DD" w14:textId="45F37AE3"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268 (31.4)</w:t>
            </w:r>
          </w:p>
        </w:tc>
        <w:tc>
          <w:tcPr>
            <w:tcW w:w="2445" w:type="dxa"/>
          </w:tcPr>
          <w:p w14:paraId="60A71082" w14:textId="28BE3D7E"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119 (13.6)</w:t>
            </w:r>
          </w:p>
        </w:tc>
      </w:tr>
      <w:tr w:rsidR="00212C8D" w:rsidRPr="00EE0EEB" w14:paraId="43C790F3" w14:textId="77777777" w:rsidTr="0040278B">
        <w:trPr>
          <w:cantSplit/>
        </w:trPr>
        <w:tc>
          <w:tcPr>
            <w:tcW w:w="4106" w:type="dxa"/>
            <w:vAlign w:val="center"/>
          </w:tcPr>
          <w:p w14:paraId="380F3AE6" w14:textId="0A29FF02"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Serious ARIA-H</w:t>
            </w:r>
          </w:p>
        </w:tc>
        <w:tc>
          <w:tcPr>
            <w:tcW w:w="2444" w:type="dxa"/>
            <w:vAlign w:val="center"/>
          </w:tcPr>
          <w:p w14:paraId="3B535528" w14:textId="77D4790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 (0.5)</w:t>
            </w:r>
          </w:p>
        </w:tc>
        <w:tc>
          <w:tcPr>
            <w:tcW w:w="2445" w:type="dxa"/>
            <w:vAlign w:val="center"/>
          </w:tcPr>
          <w:p w14:paraId="06F6C3F0" w14:textId="4CAAD3BA"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0 (0)</w:t>
            </w:r>
          </w:p>
        </w:tc>
      </w:tr>
      <w:tr w:rsidR="00212C8D" w:rsidRPr="00EE0EEB" w14:paraId="7DCC2FC2" w14:textId="77777777" w:rsidTr="0040278B">
        <w:trPr>
          <w:cantSplit/>
        </w:trPr>
        <w:tc>
          <w:tcPr>
            <w:tcW w:w="4106" w:type="dxa"/>
            <w:vAlign w:val="center"/>
          </w:tcPr>
          <w:p w14:paraId="5A108E0C" w14:textId="1EC6AA6C"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Treatment discontinuation</w:t>
            </w:r>
          </w:p>
        </w:tc>
        <w:tc>
          <w:tcPr>
            <w:tcW w:w="2444" w:type="dxa"/>
            <w:vAlign w:val="center"/>
          </w:tcPr>
          <w:p w14:paraId="48263F0C" w14:textId="6A19E37D"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20 (2.3)</w:t>
            </w:r>
          </w:p>
        </w:tc>
        <w:tc>
          <w:tcPr>
            <w:tcW w:w="2445" w:type="dxa"/>
            <w:vAlign w:val="center"/>
          </w:tcPr>
          <w:p w14:paraId="7E4D7D48" w14:textId="2C8924F2"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6 (0.7)</w:t>
            </w:r>
          </w:p>
        </w:tc>
      </w:tr>
      <w:tr w:rsidR="00212C8D" w:rsidRPr="00EE0EEB" w14:paraId="699E9930" w14:textId="77777777" w:rsidTr="0040278B">
        <w:trPr>
          <w:cantSplit/>
        </w:trPr>
        <w:tc>
          <w:tcPr>
            <w:tcW w:w="4106" w:type="dxa"/>
            <w:vAlign w:val="center"/>
          </w:tcPr>
          <w:p w14:paraId="1D512861" w14:textId="6D951EE9" w:rsidR="00212C8D" w:rsidRPr="00EE0EEB" w:rsidRDefault="00212C8D" w:rsidP="009260B6">
            <w:pPr>
              <w:keepNext/>
              <w:keepLines/>
              <w:widowControl w:val="0"/>
              <w:numPr>
                <w:ilvl w:val="0"/>
                <w:numId w:val="22"/>
              </w:numPr>
              <w:spacing w:before="40" w:after="40"/>
              <w:ind w:right="57"/>
              <w:rPr>
                <w:rFonts w:ascii="Arial Narrow" w:hAnsi="Arial Narrow"/>
                <w:bCs/>
                <w:sz w:val="20"/>
                <w:szCs w:val="20"/>
                <w:lang w:val="en-AU" w:eastAsia="en-AU"/>
              </w:rPr>
            </w:pPr>
            <w:r w:rsidRPr="00EE0EEB">
              <w:rPr>
                <w:rFonts w:ascii="Arial Narrow" w:hAnsi="Arial Narrow"/>
                <w:bCs/>
                <w:i/>
                <w:iCs/>
                <w:sz w:val="20"/>
                <w:szCs w:val="20"/>
                <w:lang w:val="en-AU" w:eastAsia="en-AU"/>
              </w:rPr>
              <w:t>APOE4</w:t>
            </w:r>
            <w:r w:rsidRPr="00EE0EEB">
              <w:rPr>
                <w:rFonts w:ascii="Arial Narrow" w:hAnsi="Arial Narrow"/>
                <w:bCs/>
                <w:sz w:val="20"/>
                <w:szCs w:val="20"/>
                <w:lang w:val="en-AU" w:eastAsia="en-AU"/>
              </w:rPr>
              <w:t xml:space="preserve"> heterozygous carriers</w:t>
            </w:r>
          </w:p>
        </w:tc>
        <w:tc>
          <w:tcPr>
            <w:tcW w:w="2444" w:type="dxa"/>
            <w:vAlign w:val="center"/>
          </w:tcPr>
          <w:p w14:paraId="4D86D14D" w14:textId="1D7E6D0D"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146/452 (32.3)</w:t>
            </w:r>
          </w:p>
        </w:tc>
        <w:tc>
          <w:tcPr>
            <w:tcW w:w="2445" w:type="dxa"/>
            <w:vAlign w:val="center"/>
          </w:tcPr>
          <w:p w14:paraId="48185C6D" w14:textId="40DD2C2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57/474 (12.0)</w:t>
            </w:r>
          </w:p>
        </w:tc>
      </w:tr>
      <w:tr w:rsidR="00212C8D" w:rsidRPr="00EE0EEB" w14:paraId="5B6988EE" w14:textId="77777777" w:rsidTr="0040278B">
        <w:trPr>
          <w:cantSplit/>
        </w:trPr>
        <w:tc>
          <w:tcPr>
            <w:tcW w:w="4106" w:type="dxa"/>
            <w:vAlign w:val="center"/>
          </w:tcPr>
          <w:p w14:paraId="573B8F12" w14:textId="5A2A79F1" w:rsidR="00212C8D" w:rsidRPr="00EE0EEB" w:rsidRDefault="00212C8D" w:rsidP="009260B6">
            <w:pPr>
              <w:keepNext/>
              <w:keepLines/>
              <w:widowControl w:val="0"/>
              <w:numPr>
                <w:ilvl w:val="0"/>
                <w:numId w:val="22"/>
              </w:numPr>
              <w:spacing w:before="40" w:after="40"/>
              <w:ind w:right="57"/>
              <w:rPr>
                <w:rFonts w:ascii="Arial Narrow" w:hAnsi="Arial Narrow"/>
                <w:bCs/>
                <w:i/>
                <w:iCs/>
                <w:sz w:val="20"/>
                <w:szCs w:val="20"/>
                <w:lang w:val="en-AU" w:eastAsia="en-AU"/>
              </w:rPr>
            </w:pPr>
            <w:r w:rsidRPr="00EE0EEB">
              <w:rPr>
                <w:rFonts w:ascii="Arial Narrow" w:hAnsi="Arial Narrow"/>
                <w:bCs/>
                <w:i/>
                <w:iCs/>
                <w:sz w:val="20"/>
                <w:szCs w:val="20"/>
                <w:lang w:val="en-AU" w:eastAsia="en-AU"/>
              </w:rPr>
              <w:t>APOE4 non-carriers</w:t>
            </w:r>
          </w:p>
        </w:tc>
        <w:tc>
          <w:tcPr>
            <w:tcW w:w="2444" w:type="dxa"/>
            <w:vAlign w:val="center"/>
          </w:tcPr>
          <w:p w14:paraId="22EC890C" w14:textId="719860C5"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48/255 (18.8)</w:t>
            </w:r>
          </w:p>
        </w:tc>
        <w:tc>
          <w:tcPr>
            <w:tcW w:w="2445" w:type="dxa"/>
            <w:vAlign w:val="center"/>
          </w:tcPr>
          <w:p w14:paraId="67524D3A" w14:textId="3359F78B"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28/250 (11.2)</w:t>
            </w:r>
          </w:p>
        </w:tc>
      </w:tr>
      <w:tr w:rsidR="00212C8D" w:rsidRPr="00EE0EEB" w14:paraId="40062C57" w14:textId="77777777" w:rsidTr="0040278B">
        <w:trPr>
          <w:cantSplit/>
        </w:trPr>
        <w:tc>
          <w:tcPr>
            <w:tcW w:w="4106" w:type="dxa"/>
            <w:vAlign w:val="center"/>
          </w:tcPr>
          <w:p w14:paraId="7165B6F4" w14:textId="0DEBDD18"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Headache</w:t>
            </w:r>
          </w:p>
        </w:tc>
        <w:tc>
          <w:tcPr>
            <w:tcW w:w="2444" w:type="dxa"/>
            <w:vAlign w:val="center"/>
          </w:tcPr>
          <w:p w14:paraId="6628AED7" w14:textId="57720539"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119 (14.0)</w:t>
            </w:r>
          </w:p>
        </w:tc>
        <w:tc>
          <w:tcPr>
            <w:tcW w:w="2445" w:type="dxa"/>
            <w:vAlign w:val="center"/>
          </w:tcPr>
          <w:p w14:paraId="41C86637" w14:textId="410A1119"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86 (9.8)</w:t>
            </w:r>
          </w:p>
        </w:tc>
      </w:tr>
      <w:tr w:rsidR="00212C8D" w:rsidRPr="00EE0EEB" w14:paraId="74868CE3" w14:textId="77777777" w:rsidTr="0040278B">
        <w:trPr>
          <w:cantSplit/>
        </w:trPr>
        <w:tc>
          <w:tcPr>
            <w:tcW w:w="4106" w:type="dxa"/>
            <w:vAlign w:val="center"/>
          </w:tcPr>
          <w:p w14:paraId="1819D14C" w14:textId="2C8DA109"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Fall</w:t>
            </w:r>
          </w:p>
        </w:tc>
        <w:tc>
          <w:tcPr>
            <w:tcW w:w="2444" w:type="dxa"/>
            <w:vAlign w:val="center"/>
          </w:tcPr>
          <w:p w14:paraId="317F1565" w14:textId="7B39A341"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114 (13.4)</w:t>
            </w:r>
          </w:p>
        </w:tc>
        <w:tc>
          <w:tcPr>
            <w:tcW w:w="2445" w:type="dxa"/>
            <w:vAlign w:val="center"/>
          </w:tcPr>
          <w:p w14:paraId="736493C9" w14:textId="5BF9E801"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110 (12.6)</w:t>
            </w:r>
          </w:p>
        </w:tc>
      </w:tr>
      <w:tr w:rsidR="00212C8D" w:rsidRPr="00EE0EEB" w14:paraId="5BBAC90F" w14:textId="77777777" w:rsidTr="0040278B">
        <w:trPr>
          <w:cantSplit/>
        </w:trPr>
        <w:tc>
          <w:tcPr>
            <w:tcW w:w="4106" w:type="dxa"/>
            <w:vAlign w:val="center"/>
          </w:tcPr>
          <w:p w14:paraId="18075589" w14:textId="50679C67"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Infusion-related reaction</w:t>
            </w:r>
          </w:p>
        </w:tc>
        <w:tc>
          <w:tcPr>
            <w:tcW w:w="2444" w:type="dxa"/>
            <w:vAlign w:val="center"/>
          </w:tcPr>
          <w:p w14:paraId="6C692FB9" w14:textId="5D304C3D"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74 (8.7)</w:t>
            </w:r>
          </w:p>
        </w:tc>
        <w:tc>
          <w:tcPr>
            <w:tcW w:w="2445" w:type="dxa"/>
            <w:vAlign w:val="center"/>
          </w:tcPr>
          <w:p w14:paraId="1A58CCF0" w14:textId="4877B5F7"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 (0.5)</w:t>
            </w:r>
          </w:p>
        </w:tc>
      </w:tr>
      <w:tr w:rsidR="00212C8D" w:rsidRPr="00EE0EEB" w14:paraId="134E15D7" w14:textId="77777777" w:rsidTr="0040278B">
        <w:trPr>
          <w:cantSplit/>
        </w:trPr>
        <w:tc>
          <w:tcPr>
            <w:tcW w:w="4106" w:type="dxa"/>
            <w:vAlign w:val="center"/>
          </w:tcPr>
          <w:p w14:paraId="3383EC7A" w14:textId="31E7F5DC"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Superficial siderosis of central nervous system</w:t>
            </w:r>
          </w:p>
        </w:tc>
        <w:tc>
          <w:tcPr>
            <w:tcW w:w="2444" w:type="dxa"/>
            <w:vAlign w:val="center"/>
          </w:tcPr>
          <w:p w14:paraId="6713CD4D" w14:textId="62417F35"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58 (6.8)</w:t>
            </w:r>
          </w:p>
        </w:tc>
        <w:tc>
          <w:tcPr>
            <w:tcW w:w="2445" w:type="dxa"/>
            <w:vAlign w:val="center"/>
          </w:tcPr>
          <w:p w14:paraId="7DB7E80C" w14:textId="2DA55E61"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10 (1.1)</w:t>
            </w:r>
          </w:p>
        </w:tc>
      </w:tr>
      <w:tr w:rsidR="00212C8D" w:rsidRPr="00EE0EEB" w14:paraId="081DCB73" w14:textId="77777777" w:rsidTr="0040278B">
        <w:trPr>
          <w:cantSplit/>
        </w:trPr>
        <w:tc>
          <w:tcPr>
            <w:tcW w:w="4106" w:type="dxa"/>
            <w:vAlign w:val="center"/>
          </w:tcPr>
          <w:p w14:paraId="283721A8" w14:textId="2ACFB59E"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Dizziness</w:t>
            </w:r>
          </w:p>
        </w:tc>
        <w:tc>
          <w:tcPr>
            <w:tcW w:w="2444" w:type="dxa"/>
            <w:vAlign w:val="center"/>
          </w:tcPr>
          <w:p w14:paraId="6612FC00" w14:textId="321FBE4A"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53 (6.2)</w:t>
            </w:r>
          </w:p>
        </w:tc>
        <w:tc>
          <w:tcPr>
            <w:tcW w:w="2445" w:type="dxa"/>
            <w:vAlign w:val="center"/>
          </w:tcPr>
          <w:p w14:paraId="015A8144" w14:textId="5B7D561F"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48 (5.5)</w:t>
            </w:r>
          </w:p>
        </w:tc>
      </w:tr>
      <w:tr w:rsidR="00212C8D" w:rsidRPr="00EE0EEB" w14:paraId="5304272F" w14:textId="77777777" w:rsidTr="0040278B">
        <w:trPr>
          <w:cantSplit/>
        </w:trPr>
        <w:tc>
          <w:tcPr>
            <w:tcW w:w="4106" w:type="dxa"/>
            <w:vAlign w:val="center"/>
          </w:tcPr>
          <w:p w14:paraId="15CE3EA6" w14:textId="069E2B14" w:rsidR="00212C8D" w:rsidRPr="00EE0EEB" w:rsidRDefault="00212C8D" w:rsidP="009260B6">
            <w:pPr>
              <w:keepNext/>
              <w:keepLines/>
              <w:widowControl w:val="0"/>
              <w:spacing w:before="40" w:after="40"/>
              <w:ind w:right="57"/>
              <w:rPr>
                <w:rFonts w:ascii="Arial Narrow" w:hAnsi="Arial Narrow"/>
                <w:bCs/>
                <w:sz w:val="20"/>
                <w:szCs w:val="20"/>
                <w:lang w:val="en-AU" w:eastAsia="en-AU"/>
              </w:rPr>
            </w:pPr>
            <w:r w:rsidRPr="00EE0EEB">
              <w:rPr>
                <w:rFonts w:ascii="Arial Narrow" w:hAnsi="Arial Narrow"/>
                <w:bCs/>
                <w:sz w:val="20"/>
                <w:szCs w:val="20"/>
                <w:lang w:val="en-AU" w:eastAsia="en-AU"/>
              </w:rPr>
              <w:t>Arthralgia</w:t>
            </w:r>
          </w:p>
        </w:tc>
        <w:tc>
          <w:tcPr>
            <w:tcW w:w="2444" w:type="dxa"/>
            <w:vAlign w:val="center"/>
          </w:tcPr>
          <w:p w14:paraId="244633A2" w14:textId="07CFF42A"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49 (5.7)</w:t>
            </w:r>
          </w:p>
        </w:tc>
        <w:tc>
          <w:tcPr>
            <w:tcW w:w="2445" w:type="dxa"/>
            <w:vAlign w:val="center"/>
          </w:tcPr>
          <w:p w14:paraId="343792B6" w14:textId="5959ABF5" w:rsidR="00212C8D" w:rsidRPr="00EE0EEB" w:rsidRDefault="00212C8D" w:rsidP="009260B6">
            <w:pPr>
              <w:keepNext/>
              <w:keepLines/>
              <w:widowControl w:val="0"/>
              <w:tabs>
                <w:tab w:val="decimal" w:pos="396"/>
              </w:tabs>
              <w:spacing w:before="40" w:after="40"/>
              <w:ind w:right="57"/>
              <w:jc w:val="center"/>
              <w:rPr>
                <w:rFonts w:ascii="Arial Narrow" w:hAnsi="Arial Narrow"/>
                <w:bCs/>
                <w:sz w:val="20"/>
                <w:szCs w:val="20"/>
                <w:lang w:val="en-AU" w:eastAsia="en-AU"/>
              </w:rPr>
            </w:pPr>
            <w:r w:rsidRPr="00EE0EEB">
              <w:rPr>
                <w:rFonts w:ascii="Arial Narrow" w:hAnsi="Arial Narrow"/>
                <w:bCs/>
                <w:sz w:val="20"/>
                <w:szCs w:val="20"/>
                <w:lang w:val="en-AU" w:eastAsia="en-AU"/>
              </w:rPr>
              <w:t>42 (4.8)</w:t>
            </w:r>
          </w:p>
        </w:tc>
      </w:tr>
    </w:tbl>
    <w:p w14:paraId="0467AD3E" w14:textId="71F0ADC5" w:rsidR="002C0E10" w:rsidRPr="00EE0EEB" w:rsidRDefault="002C0E10" w:rsidP="009260B6">
      <w:pPr>
        <w:pStyle w:val="TableFooter"/>
        <w:keepNext/>
        <w:keepLines/>
      </w:pPr>
      <w:r w:rsidRPr="00EE0EEB">
        <w:t xml:space="preserve">Source: </w:t>
      </w:r>
      <w:r w:rsidRPr="007B07A9">
        <w:t xml:space="preserve">Table </w:t>
      </w:r>
      <w:r w:rsidRPr="00EE0EEB">
        <w:t xml:space="preserve">summarised </w:t>
      </w:r>
      <w:r w:rsidR="00463D4D">
        <w:t xml:space="preserve">during evaluation </w:t>
      </w:r>
      <w:r w:rsidRPr="00EE0EEB">
        <w:t>from Table 2</w:t>
      </w:r>
      <w:r w:rsidR="001C6115" w:rsidRPr="00EE0EEB">
        <w:t>.</w:t>
      </w:r>
      <w:r w:rsidRPr="00EE0EEB">
        <w:t>6</w:t>
      </w:r>
      <w:r w:rsidR="001C6115" w:rsidRPr="00EE0EEB">
        <w:t>1</w:t>
      </w:r>
      <w:r w:rsidRPr="00EE0EEB">
        <w:t>, p20</w:t>
      </w:r>
      <w:r w:rsidR="001C6115" w:rsidRPr="00EE0EEB">
        <w:t>3</w:t>
      </w:r>
      <w:r w:rsidRPr="00EE0EEB">
        <w:t xml:space="preserve"> of the submission.</w:t>
      </w:r>
    </w:p>
    <w:p w14:paraId="186DDF18" w14:textId="20A76AED" w:rsidR="002C0E10" w:rsidRPr="00EE0EEB" w:rsidRDefault="002C0E10" w:rsidP="009260B6">
      <w:pPr>
        <w:pStyle w:val="TableFooter"/>
        <w:keepNext/>
        <w:keepLines/>
        <w:rPr>
          <w:i/>
          <w:iCs/>
        </w:rPr>
      </w:pPr>
      <w:r w:rsidRPr="00EE0EEB">
        <w:rPr>
          <w:i/>
          <w:iCs/>
        </w:rPr>
        <w:t xml:space="preserve">APOE4 </w:t>
      </w:r>
      <w:r w:rsidRPr="00EE0EEB">
        <w:t>= apolipoprotein E</w:t>
      </w:r>
      <w:r w:rsidR="00267524" w:rsidRPr="00EE0EEB">
        <w:t xml:space="preserve"> allele </w:t>
      </w:r>
      <w:r w:rsidRPr="00EE0EEB">
        <w:t>4; ARIA-E = amyloid-related imaging abnormality-</w:t>
      </w:r>
      <w:proofErr w:type="spellStart"/>
      <w:r w:rsidRPr="00EE0EEB">
        <w:t>edema</w:t>
      </w:r>
      <w:proofErr w:type="spellEnd"/>
      <w:r w:rsidRPr="00EE0EEB">
        <w:t xml:space="preserve">/effusion; </w:t>
      </w:r>
      <w:r w:rsidR="00267524" w:rsidRPr="00EE0EEB">
        <w:t xml:space="preserve">ARIA-H = amyloid-related imaging abnormalities-haemorrhage; </w:t>
      </w:r>
      <w:r w:rsidRPr="00EE0EEB">
        <w:t xml:space="preserve">N = number of patients in treatment group; n = number of patients with an event in each category; m = number of patients in each category; TEAE = treatment-emergent </w:t>
      </w:r>
      <w:r w:rsidR="00267524" w:rsidRPr="00EE0EEB">
        <w:t>adverse event</w:t>
      </w:r>
    </w:p>
    <w:p w14:paraId="4A145EB4" w14:textId="77777777" w:rsidR="002C0E10" w:rsidRPr="00EE0EEB" w:rsidRDefault="002C0E10" w:rsidP="009260B6">
      <w:pPr>
        <w:pStyle w:val="TableFooter"/>
        <w:keepNext/>
        <w:keepLines/>
      </w:pPr>
      <w:r w:rsidRPr="00EE0EEB">
        <w:t>Notes:</w:t>
      </w:r>
    </w:p>
    <w:p w14:paraId="397C4480" w14:textId="5EF2BEB1" w:rsidR="002C0E10" w:rsidRPr="00EE0EEB" w:rsidRDefault="00C71EBE" w:rsidP="009260B6">
      <w:pPr>
        <w:pStyle w:val="TableFooter"/>
        <w:keepNext/>
        <w:keepLines/>
      </w:pPr>
      <w:r>
        <w:rPr>
          <w:vertAlign w:val="superscript"/>
        </w:rPr>
        <w:t>a</w:t>
      </w:r>
      <w:r w:rsidRPr="00EE0EEB">
        <w:t xml:space="preserve"> </w:t>
      </w:r>
      <w:r w:rsidR="002C0E10" w:rsidRPr="00EE0EEB">
        <w:t>TEAE was defined as an AE that emerged during treatment or within 30 days following the last dose of study drug, having been absent at pretreatment (Baseline) or reemerged during treatment, having been present at pretreatment (Baseline) but stopped before treatment, or worsened in severity during treatment relative to the pretreatment state, when the AE was continuous.</w:t>
      </w:r>
    </w:p>
    <w:p w14:paraId="6F5CB18C" w14:textId="5F33F935" w:rsidR="002C0E10" w:rsidRPr="00272D88" w:rsidRDefault="00253C98" w:rsidP="002C0E10">
      <w:r w:rsidRPr="00272D88">
        <w:t xml:space="preserve">The commentary noted that </w:t>
      </w:r>
      <w:r w:rsidR="002C0E10" w:rsidRPr="00272D88">
        <w:t>ARIA-E</w:t>
      </w:r>
      <w:r w:rsidR="001C6115" w:rsidRPr="00272D88">
        <w:t xml:space="preserve"> and ARIA-H </w:t>
      </w:r>
      <w:r w:rsidR="002C0E10" w:rsidRPr="00272D88">
        <w:t xml:space="preserve">events occurred more often in the </w:t>
      </w:r>
      <w:r w:rsidR="001C6115" w:rsidRPr="00272D88">
        <w:t xml:space="preserve">donanemab </w:t>
      </w:r>
      <w:r w:rsidR="002C0E10" w:rsidRPr="00272D88">
        <w:t xml:space="preserve">arm than in the placebo arm. </w:t>
      </w:r>
      <w:r w:rsidR="001C6115" w:rsidRPr="00272D88">
        <w:t>T</w:t>
      </w:r>
      <w:r w:rsidR="002C0E10" w:rsidRPr="00272D88">
        <w:t xml:space="preserve">he frequency of ARIA-E </w:t>
      </w:r>
      <w:r w:rsidR="001C6115" w:rsidRPr="00272D88">
        <w:t xml:space="preserve">and ARIA-H </w:t>
      </w:r>
      <w:r w:rsidR="002C0E10" w:rsidRPr="00272D88">
        <w:t xml:space="preserve">was more common in </w:t>
      </w:r>
      <w:r w:rsidR="002C0E10" w:rsidRPr="00272D88">
        <w:rPr>
          <w:i/>
          <w:iCs/>
        </w:rPr>
        <w:t>APOE4</w:t>
      </w:r>
      <w:r w:rsidR="002C0E10" w:rsidRPr="00272D88">
        <w:t xml:space="preserve"> </w:t>
      </w:r>
      <w:r w:rsidR="001C6115" w:rsidRPr="00272D88">
        <w:t xml:space="preserve">heterozygous </w:t>
      </w:r>
      <w:r w:rsidR="002C0E10" w:rsidRPr="00272D88">
        <w:t xml:space="preserve">carriers versus non-carriers </w:t>
      </w:r>
      <w:r w:rsidR="001C6115" w:rsidRPr="00272D88">
        <w:t xml:space="preserve">in the donanemab </w:t>
      </w:r>
      <w:r w:rsidR="002C0E10" w:rsidRPr="00272D88">
        <w:t xml:space="preserve">group </w:t>
      </w:r>
      <w:r w:rsidR="001C6115" w:rsidRPr="00272D88">
        <w:t>(22.8% and 32.3%</w:t>
      </w:r>
      <w:r w:rsidR="00763F48" w:rsidRPr="00272D88">
        <w:t>, respectively,</w:t>
      </w:r>
      <w:r w:rsidR="001C6115" w:rsidRPr="00272D88">
        <w:t xml:space="preserve"> </w:t>
      </w:r>
      <w:r w:rsidR="002C0E10" w:rsidRPr="00272D88">
        <w:t>v</w:t>
      </w:r>
      <w:r w:rsidR="001C6115" w:rsidRPr="00272D88">
        <w:t>ersus 15.7% and 18.8%).</w:t>
      </w:r>
      <w:r w:rsidR="00CD4F3A" w:rsidRPr="00272D88">
        <w:t xml:space="preserve"> </w:t>
      </w:r>
      <w:r w:rsidR="00CD4F3A" w:rsidRPr="00835F39">
        <w:t xml:space="preserve">Patients who were homozygous for </w:t>
      </w:r>
      <w:r w:rsidR="00CD4F3A" w:rsidRPr="00835F39">
        <w:rPr>
          <w:i/>
          <w:iCs/>
        </w:rPr>
        <w:t>APOE4</w:t>
      </w:r>
      <w:r w:rsidR="00CD4F3A" w:rsidRPr="00835F39">
        <w:t xml:space="preserve"> </w:t>
      </w:r>
      <w:r w:rsidR="00A24BC0" w:rsidRPr="00835F39">
        <w:t>treated with donanemab had a higher incidence of ARIA</w:t>
      </w:r>
      <w:r w:rsidR="00BA30B4" w:rsidRPr="00835F39">
        <w:t xml:space="preserve"> in the brain, compared to h</w:t>
      </w:r>
      <w:r w:rsidR="00AD0116" w:rsidRPr="00835F39">
        <w:t>etero</w:t>
      </w:r>
      <w:r w:rsidR="00BA30B4" w:rsidRPr="00835F39">
        <w:t xml:space="preserve">zygotes and </w:t>
      </w:r>
      <w:r w:rsidR="00040E18" w:rsidRPr="00835F39">
        <w:t>non-</w:t>
      </w:r>
      <w:r w:rsidR="00BA30B4" w:rsidRPr="00835F39">
        <w:t>carriers</w:t>
      </w:r>
      <w:r w:rsidR="00CD4F3A" w:rsidRPr="00835F39">
        <w:t>.</w:t>
      </w:r>
    </w:p>
    <w:p w14:paraId="4455F60B" w14:textId="51E1F287" w:rsidR="00EE5014" w:rsidRPr="00394233"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41" w:name="_Ref496866969"/>
      <w:bookmarkStart w:id="42" w:name="_Ref496866994"/>
      <w:bookmarkStart w:id="43" w:name="_Toc198735651"/>
      <w:r w:rsidRPr="00394233">
        <w:rPr>
          <w:rFonts w:ascii="Franklin Gothic Medium" w:hAnsi="Franklin Gothic Medium"/>
          <w:b w:val="0"/>
          <w:i w:val="0"/>
          <w:snapToGrid/>
          <w:sz w:val="32"/>
          <w:szCs w:val="26"/>
        </w:rPr>
        <w:t>Comparative effectiveness</w:t>
      </w:r>
      <w:bookmarkEnd w:id="41"/>
      <w:bookmarkEnd w:id="42"/>
      <w:bookmarkEnd w:id="43"/>
    </w:p>
    <w:p w14:paraId="3B91FE60" w14:textId="77777777" w:rsidR="00852CEE" w:rsidRPr="00272D88" w:rsidRDefault="00852CEE" w:rsidP="00172B02">
      <w:pPr>
        <w:pStyle w:val="Heading3"/>
      </w:pPr>
      <w:r w:rsidRPr="00272D88">
        <w:t>Test</w:t>
      </w:r>
    </w:p>
    <w:p w14:paraId="5E060B9A" w14:textId="17EE5D44" w:rsidR="00221D05" w:rsidRPr="00272D88" w:rsidRDefault="00280EE9" w:rsidP="00280EE9">
      <w:r w:rsidRPr="00272D88">
        <w:t>The data that are available in the</w:t>
      </w:r>
      <w:r w:rsidR="00D51801" w:rsidRPr="00D51801">
        <w:t xml:space="preserve"> submission</w:t>
      </w:r>
      <w:r w:rsidR="00351844" w:rsidRPr="00272D88">
        <w:t xml:space="preserve"> </w:t>
      </w:r>
      <w:r w:rsidRPr="00272D88">
        <w:t xml:space="preserve">for the relevant comparisons are outlined in </w:t>
      </w:r>
      <w:r w:rsidR="00AF488A">
        <w:fldChar w:fldCharType="begin"/>
      </w:r>
      <w:r w:rsidR="00AF488A">
        <w:instrText xml:space="preserve"> REF _Ref207289042 \h </w:instrText>
      </w:r>
      <w:r w:rsidR="00AF488A">
        <w:fldChar w:fldCharType="separate"/>
      </w:r>
      <w:r w:rsidR="00AF488A">
        <w:t xml:space="preserve">Table </w:t>
      </w:r>
      <w:r w:rsidR="00AF488A">
        <w:rPr>
          <w:noProof/>
        </w:rPr>
        <w:t>10</w:t>
      </w:r>
      <w:r w:rsidR="00AF488A">
        <w:fldChar w:fldCharType="end"/>
      </w:r>
      <w:r w:rsidRPr="00272D88">
        <w:t xml:space="preserve">. No evidence was provided on the performance of </w:t>
      </w:r>
      <w:r w:rsidR="00763F48" w:rsidRPr="00272D88">
        <w:t xml:space="preserve">donanemab </w:t>
      </w:r>
      <w:r w:rsidRPr="00272D88">
        <w:t xml:space="preserve">in a test negative population. </w:t>
      </w:r>
    </w:p>
    <w:p w14:paraId="292F726D" w14:textId="4E7E409D" w:rsidR="00280EE9" w:rsidRPr="00272D88" w:rsidRDefault="00565E70" w:rsidP="00280EE9">
      <w:r w:rsidRPr="00272D88">
        <w:t>No evidence was provided</w:t>
      </w:r>
      <w:r w:rsidR="00253C98" w:rsidRPr="00272D88">
        <w:t xml:space="preserve"> in the </w:t>
      </w:r>
      <w:r w:rsidR="00D51801" w:rsidRPr="00D51801">
        <w:t>submission</w:t>
      </w:r>
      <w:r w:rsidR="00D51801" w:rsidRPr="00D51801" w:rsidDel="00D51801">
        <w:t xml:space="preserve"> </w:t>
      </w:r>
      <w:r w:rsidRPr="00272D88">
        <w:t xml:space="preserve">on </w:t>
      </w:r>
      <w:r w:rsidR="00DA352B" w:rsidRPr="00272D88">
        <w:t>tau</w:t>
      </w:r>
      <w:r w:rsidRPr="00272D88">
        <w:t xml:space="preserve"> tests</w:t>
      </w:r>
      <w:r w:rsidR="001B1468" w:rsidRPr="00272D88">
        <w:t>,</w:t>
      </w:r>
      <w:r w:rsidRPr="00272D88">
        <w:t xml:space="preserve"> </w:t>
      </w:r>
      <w:r w:rsidR="005C2D20" w:rsidRPr="00272D88">
        <w:t xml:space="preserve">either </w:t>
      </w:r>
      <w:r w:rsidRPr="00272D88">
        <w:t>tau-PET or CSF tau</w:t>
      </w:r>
      <w:r w:rsidR="001B1468" w:rsidRPr="00272D88">
        <w:t>,</w:t>
      </w:r>
      <w:r w:rsidRPr="00272D88">
        <w:t xml:space="preserve"> measurements to determine tau burden as a modulator of response to donanemab.</w:t>
      </w:r>
      <w:r w:rsidR="00CD4F3A" w:rsidRPr="00272D88">
        <w:t xml:space="preserve"> </w:t>
      </w:r>
      <w:r w:rsidR="00253C98" w:rsidRPr="00272D88">
        <w:t xml:space="preserve">The </w:t>
      </w:r>
      <w:r w:rsidR="00253C98" w:rsidRPr="00272D88">
        <w:lastRenderedPageBreak/>
        <w:t>commentary noted that i</w:t>
      </w:r>
      <w:r w:rsidR="00221D05" w:rsidRPr="00272D88">
        <w:t xml:space="preserve">n the TB-2 trial, patients were required to have tau-PET scans with evidence of pathologic tau deposition. The prespecified efficacy analyses were conducted in both the intermediate tau (low/medium tau) population and the overall tau population. However, the </w:t>
      </w:r>
      <w:r w:rsidR="00AF488A">
        <w:t>submission</w:t>
      </w:r>
      <w:r w:rsidR="00AF488A" w:rsidRPr="00272D88">
        <w:t xml:space="preserve"> </w:t>
      </w:r>
      <w:r w:rsidR="00351844">
        <w:t>did</w:t>
      </w:r>
      <w:r w:rsidR="00351844" w:rsidRPr="00272D88">
        <w:t xml:space="preserve"> </w:t>
      </w:r>
      <w:r w:rsidR="00221D05" w:rsidRPr="00272D88">
        <w:t>not consider tau deposition status as a prerequisite for treatment with donanemab.</w:t>
      </w:r>
    </w:p>
    <w:p w14:paraId="1C4590F9" w14:textId="2C736BA1" w:rsidR="00280EE9" w:rsidRPr="00EE0EEB" w:rsidRDefault="00AF488A" w:rsidP="00565B62">
      <w:pPr>
        <w:pStyle w:val="Caption"/>
      </w:pPr>
      <w:bookmarkStart w:id="44" w:name="_Ref207289042"/>
      <w:r>
        <w:t xml:space="preserve">Table </w:t>
      </w:r>
      <w:r>
        <w:fldChar w:fldCharType="begin"/>
      </w:r>
      <w:r>
        <w:instrText xml:space="preserve"> SEQ Table \* ARABIC </w:instrText>
      </w:r>
      <w:r>
        <w:fldChar w:fldCharType="separate"/>
      </w:r>
      <w:r>
        <w:rPr>
          <w:noProof/>
        </w:rPr>
        <w:t>10</w:t>
      </w:r>
      <w:r>
        <w:rPr>
          <w:noProof/>
        </w:rPr>
        <w:fldChar w:fldCharType="end"/>
      </w:r>
      <w:bookmarkEnd w:id="44"/>
      <w:r>
        <w:t xml:space="preserve"> </w:t>
      </w:r>
      <w:r w:rsidR="00280EE9" w:rsidRPr="00EE0EEB">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3134"/>
        <w:gridCol w:w="3689"/>
      </w:tblGrid>
      <w:tr w:rsidR="00280EE9" w:rsidRPr="00EE0EEB" w14:paraId="060953E1" w14:textId="77777777">
        <w:tc>
          <w:tcPr>
            <w:tcW w:w="1216" w:type="pct"/>
            <w:tcBorders>
              <w:top w:val="single" w:sz="4" w:space="0" w:color="000000"/>
              <w:left w:val="single" w:sz="4" w:space="0" w:color="000000"/>
              <w:bottom w:val="single" w:sz="4" w:space="0" w:color="000000"/>
              <w:right w:val="single" w:sz="4" w:space="0" w:color="000000"/>
            </w:tcBorders>
            <w:hideMark/>
          </w:tcPr>
          <w:p w14:paraId="33D75DF9"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Proposed test vs no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683CF82A"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No evidence presented</w:t>
            </w:r>
          </w:p>
        </w:tc>
      </w:tr>
      <w:tr w:rsidR="00280EE9" w:rsidRPr="00EE0EEB" w14:paraId="1E5132BB" w14:textId="77777777">
        <w:tc>
          <w:tcPr>
            <w:tcW w:w="1216" w:type="pct"/>
            <w:tcBorders>
              <w:top w:val="single" w:sz="4" w:space="0" w:color="000000"/>
              <w:left w:val="single" w:sz="4" w:space="0" w:color="000000"/>
              <w:bottom w:val="single" w:sz="4" w:space="0" w:color="000000"/>
              <w:right w:val="single" w:sz="4" w:space="0" w:color="000000"/>
            </w:tcBorders>
            <w:hideMark/>
          </w:tcPr>
          <w:p w14:paraId="2EE39271"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Proposed test vs alternative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72A789B9" w14:textId="5BCB896B" w:rsidR="00A02AC1" w:rsidRPr="00EE0EEB" w:rsidRDefault="00A02AC1" w:rsidP="00286942">
            <w:pPr>
              <w:keepNext/>
              <w:widowControl w:val="0"/>
              <w:tabs>
                <w:tab w:val="left" w:pos="2086"/>
              </w:tabs>
              <w:spacing w:before="40" w:after="40"/>
              <w:rPr>
                <w:rFonts w:ascii="Arial Narrow" w:hAnsi="Arial Narrow"/>
                <w:sz w:val="20"/>
              </w:rPr>
            </w:pPr>
            <w:r w:rsidRPr="00EE0EEB">
              <w:rPr>
                <w:rFonts w:ascii="Arial Narrow" w:hAnsi="Arial Narrow"/>
                <w:sz w:val="20"/>
              </w:rPr>
              <w:t>Evidence presented for:</w:t>
            </w:r>
            <w:r w:rsidRPr="00EE0EEB">
              <w:rPr>
                <w:rFonts w:ascii="Arial Narrow" w:hAnsi="Arial Narrow"/>
                <w:sz w:val="20"/>
              </w:rPr>
              <w:tab/>
              <w:t>FMM-Aβ-PET versus FBB- or FBP-Aβ-PET</w:t>
            </w:r>
          </w:p>
          <w:p w14:paraId="5B3B3CB7" w14:textId="205B768B" w:rsidR="00280EE9" w:rsidRPr="00EE0EEB" w:rsidRDefault="00A02AC1" w:rsidP="00286942">
            <w:pPr>
              <w:keepNext/>
              <w:widowControl w:val="0"/>
              <w:tabs>
                <w:tab w:val="left" w:pos="2086"/>
              </w:tabs>
              <w:spacing w:before="40" w:after="40"/>
              <w:rPr>
                <w:rFonts w:ascii="Arial Narrow" w:hAnsi="Arial Narrow"/>
                <w:sz w:val="20"/>
              </w:rPr>
            </w:pPr>
            <w:r w:rsidRPr="00EE0EEB">
              <w:rPr>
                <w:rFonts w:ascii="Arial Narrow" w:hAnsi="Arial Narrow"/>
                <w:sz w:val="20"/>
              </w:rPr>
              <w:tab/>
              <w:t>CSF versus Aβ-PET</w:t>
            </w:r>
          </w:p>
          <w:p w14:paraId="7E29CA97" w14:textId="77777777" w:rsidR="00A02AC1" w:rsidRPr="00EE0EEB" w:rsidRDefault="00A02AC1" w:rsidP="00286942">
            <w:pPr>
              <w:keepNext/>
              <w:widowControl w:val="0"/>
              <w:tabs>
                <w:tab w:val="left" w:pos="2086"/>
              </w:tabs>
              <w:spacing w:before="40" w:after="40"/>
              <w:rPr>
                <w:rFonts w:ascii="Arial Narrow" w:hAnsi="Arial Narrow"/>
                <w:sz w:val="20"/>
              </w:rPr>
            </w:pPr>
            <w:r w:rsidRPr="00EE0EEB">
              <w:rPr>
                <w:rFonts w:ascii="Arial Narrow" w:hAnsi="Arial Narrow"/>
                <w:sz w:val="20"/>
              </w:rPr>
              <w:tab/>
              <w:t>MRI for detection of ARIAs</w:t>
            </w:r>
          </w:p>
          <w:p w14:paraId="6B75B943" w14:textId="38C4816C" w:rsidR="00A02AC1" w:rsidRPr="00EE0EEB" w:rsidRDefault="00A02AC1" w:rsidP="00286942">
            <w:pPr>
              <w:keepNext/>
              <w:widowControl w:val="0"/>
              <w:tabs>
                <w:tab w:val="left" w:pos="2086"/>
              </w:tabs>
              <w:spacing w:before="40" w:after="40"/>
              <w:rPr>
                <w:rFonts w:ascii="Arial Narrow" w:hAnsi="Arial Narrow"/>
                <w:sz w:val="20"/>
              </w:rPr>
            </w:pPr>
            <w:r w:rsidRPr="00EE0EEB">
              <w:rPr>
                <w:rFonts w:ascii="Arial Narrow" w:hAnsi="Arial Narrow"/>
                <w:sz w:val="20"/>
              </w:rPr>
              <w:tab/>
            </w:r>
            <w:r w:rsidRPr="00EE0EEB">
              <w:rPr>
                <w:rFonts w:ascii="Arial Narrow" w:hAnsi="Arial Narrow"/>
                <w:i/>
                <w:iCs/>
                <w:sz w:val="20"/>
              </w:rPr>
              <w:t>APOE</w:t>
            </w:r>
            <w:r w:rsidRPr="00EE0EEB">
              <w:rPr>
                <w:rFonts w:ascii="Arial Narrow" w:hAnsi="Arial Narrow"/>
                <w:sz w:val="20"/>
              </w:rPr>
              <w:t xml:space="preserve"> PCR genotyping versus Sanger sequencing</w:t>
            </w:r>
          </w:p>
        </w:tc>
      </w:tr>
      <w:tr w:rsidR="00280EE9" w:rsidRPr="00EE0EEB" w14:paraId="62AA4014" w14:textId="77777777">
        <w:tc>
          <w:tcPr>
            <w:tcW w:w="1216" w:type="pct"/>
            <w:tcBorders>
              <w:top w:val="single" w:sz="4" w:space="0" w:color="000000"/>
              <w:left w:val="single" w:sz="4" w:space="0" w:color="000000"/>
              <w:bottom w:val="single" w:sz="4" w:space="0" w:color="000000"/>
              <w:right w:val="single" w:sz="4" w:space="0" w:color="000000"/>
            </w:tcBorders>
          </w:tcPr>
          <w:p w14:paraId="2C13FF49" w14:textId="77777777" w:rsidR="00280EE9" w:rsidRPr="00EE0EEB" w:rsidRDefault="00280EE9" w:rsidP="00280EE9">
            <w:pPr>
              <w:keepNext/>
              <w:widowControl w:val="0"/>
              <w:spacing w:before="40" w:after="40"/>
              <w:rPr>
                <w:rFonts w:ascii="Arial Narrow" w:hAnsi="Arial Narrow"/>
                <w:sz w:val="20"/>
              </w:rPr>
            </w:pPr>
          </w:p>
        </w:tc>
        <w:tc>
          <w:tcPr>
            <w:tcW w:w="1738" w:type="pct"/>
            <w:tcBorders>
              <w:top w:val="single" w:sz="4" w:space="0" w:color="000000"/>
              <w:left w:val="single" w:sz="4" w:space="0" w:color="000000"/>
              <w:bottom w:val="single" w:sz="4" w:space="0" w:color="000000"/>
              <w:right w:val="single" w:sz="4" w:space="0" w:color="000000"/>
            </w:tcBorders>
            <w:hideMark/>
          </w:tcPr>
          <w:p w14:paraId="163554B6"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Donanemab plus standard of care</w:t>
            </w:r>
          </w:p>
        </w:tc>
        <w:tc>
          <w:tcPr>
            <w:tcW w:w="2046" w:type="pct"/>
            <w:tcBorders>
              <w:top w:val="single" w:sz="4" w:space="0" w:color="000000"/>
              <w:left w:val="single" w:sz="4" w:space="0" w:color="000000"/>
              <w:bottom w:val="single" w:sz="4" w:space="0" w:color="000000"/>
              <w:right w:val="single" w:sz="4" w:space="0" w:color="000000"/>
            </w:tcBorders>
            <w:hideMark/>
          </w:tcPr>
          <w:p w14:paraId="16FF7EA5"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Standard of care</w:t>
            </w:r>
          </w:p>
        </w:tc>
      </w:tr>
      <w:tr w:rsidR="00280EE9" w:rsidRPr="00EE0EEB" w14:paraId="3306836A" w14:textId="77777777">
        <w:tc>
          <w:tcPr>
            <w:tcW w:w="1216" w:type="pct"/>
            <w:tcBorders>
              <w:top w:val="single" w:sz="4" w:space="0" w:color="000000"/>
              <w:left w:val="single" w:sz="4" w:space="0" w:color="000000"/>
              <w:bottom w:val="single" w:sz="4" w:space="0" w:color="000000"/>
              <w:right w:val="single" w:sz="4" w:space="0" w:color="000000"/>
            </w:tcBorders>
            <w:hideMark/>
          </w:tcPr>
          <w:p w14:paraId="38692BB0"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Biomarker test positive</w:t>
            </w:r>
          </w:p>
        </w:tc>
        <w:tc>
          <w:tcPr>
            <w:tcW w:w="1738" w:type="pct"/>
            <w:tcBorders>
              <w:top w:val="single" w:sz="4" w:space="0" w:color="000000"/>
              <w:left w:val="single" w:sz="4" w:space="0" w:color="000000"/>
              <w:bottom w:val="single" w:sz="4" w:space="0" w:color="000000"/>
              <w:right w:val="single" w:sz="4" w:space="0" w:color="000000"/>
            </w:tcBorders>
          </w:tcPr>
          <w:p w14:paraId="35BDD269" w14:textId="4E189D49" w:rsidR="00280EE9" w:rsidRPr="00EE0EEB" w:rsidRDefault="00007B18" w:rsidP="00280EE9">
            <w:pPr>
              <w:keepNext/>
              <w:widowControl w:val="0"/>
              <w:spacing w:before="40" w:after="40"/>
              <w:rPr>
                <w:rFonts w:ascii="Arial Narrow" w:hAnsi="Arial Narrow"/>
                <w:sz w:val="20"/>
              </w:rPr>
            </w:pPr>
            <w:r w:rsidRPr="00EE0EEB">
              <w:rPr>
                <w:rFonts w:ascii="Arial Narrow" w:hAnsi="Arial Narrow"/>
                <w:sz w:val="20"/>
              </w:rPr>
              <w:t>TRAILBLAZER-ALZ 2</w:t>
            </w:r>
          </w:p>
        </w:tc>
        <w:tc>
          <w:tcPr>
            <w:tcW w:w="2046" w:type="pct"/>
            <w:tcBorders>
              <w:top w:val="single" w:sz="4" w:space="0" w:color="000000"/>
              <w:left w:val="single" w:sz="4" w:space="0" w:color="000000"/>
              <w:bottom w:val="single" w:sz="4" w:space="0" w:color="000000"/>
              <w:right w:val="single" w:sz="4" w:space="0" w:color="000000"/>
            </w:tcBorders>
          </w:tcPr>
          <w:p w14:paraId="4E3DC6F5" w14:textId="42698656" w:rsidR="00280EE9" w:rsidRPr="00EE0EEB" w:rsidRDefault="00007B18" w:rsidP="00280EE9">
            <w:pPr>
              <w:keepNext/>
              <w:widowControl w:val="0"/>
              <w:spacing w:before="40" w:after="40"/>
              <w:rPr>
                <w:rFonts w:ascii="Arial Narrow" w:hAnsi="Arial Narrow"/>
                <w:sz w:val="20"/>
              </w:rPr>
            </w:pPr>
            <w:r w:rsidRPr="00EE0EEB">
              <w:rPr>
                <w:rFonts w:ascii="Arial Narrow" w:hAnsi="Arial Narrow"/>
                <w:sz w:val="20"/>
              </w:rPr>
              <w:t>TRAILBLAZER-ALZ 2</w:t>
            </w:r>
          </w:p>
        </w:tc>
      </w:tr>
      <w:tr w:rsidR="00280EE9" w:rsidRPr="00EE0EEB" w14:paraId="00FE168E" w14:textId="77777777">
        <w:tc>
          <w:tcPr>
            <w:tcW w:w="1216" w:type="pct"/>
            <w:tcBorders>
              <w:top w:val="single" w:sz="4" w:space="0" w:color="000000"/>
              <w:left w:val="single" w:sz="4" w:space="0" w:color="000000"/>
              <w:bottom w:val="single" w:sz="4" w:space="0" w:color="000000"/>
              <w:right w:val="single" w:sz="4" w:space="0" w:color="000000"/>
            </w:tcBorders>
            <w:hideMark/>
          </w:tcPr>
          <w:p w14:paraId="1BEC4E41"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 xml:space="preserve">Biomarker test negative </w:t>
            </w:r>
          </w:p>
        </w:tc>
        <w:tc>
          <w:tcPr>
            <w:tcW w:w="1738" w:type="pct"/>
            <w:tcBorders>
              <w:top w:val="single" w:sz="4" w:space="0" w:color="000000"/>
              <w:left w:val="single" w:sz="4" w:space="0" w:color="000000"/>
              <w:bottom w:val="single" w:sz="4" w:space="0" w:color="000000"/>
              <w:right w:val="single" w:sz="4" w:space="0" w:color="000000"/>
            </w:tcBorders>
            <w:hideMark/>
          </w:tcPr>
          <w:p w14:paraId="5382D7CC"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No evidence presented</w:t>
            </w:r>
          </w:p>
        </w:tc>
        <w:tc>
          <w:tcPr>
            <w:tcW w:w="2046" w:type="pct"/>
            <w:tcBorders>
              <w:top w:val="single" w:sz="4" w:space="0" w:color="000000"/>
              <w:left w:val="single" w:sz="4" w:space="0" w:color="000000"/>
              <w:bottom w:val="single" w:sz="4" w:space="0" w:color="000000"/>
              <w:right w:val="single" w:sz="4" w:space="0" w:color="000000"/>
            </w:tcBorders>
          </w:tcPr>
          <w:p w14:paraId="5D9D9230" w14:textId="77777777" w:rsidR="00280EE9" w:rsidRPr="00EE0EEB" w:rsidRDefault="00280EE9" w:rsidP="00280EE9">
            <w:pPr>
              <w:keepNext/>
              <w:widowControl w:val="0"/>
              <w:spacing w:before="40" w:after="40"/>
              <w:rPr>
                <w:rFonts w:ascii="Arial Narrow" w:hAnsi="Arial Narrow"/>
                <w:sz w:val="20"/>
              </w:rPr>
            </w:pPr>
            <w:r w:rsidRPr="00EE0EEB">
              <w:rPr>
                <w:rFonts w:ascii="Arial Narrow" w:hAnsi="Arial Narrow"/>
                <w:sz w:val="20"/>
              </w:rPr>
              <w:t>No evidence presented</w:t>
            </w:r>
          </w:p>
        </w:tc>
      </w:tr>
    </w:tbl>
    <w:p w14:paraId="2EB3F445" w14:textId="16B5B634" w:rsidR="00280EE9" w:rsidRPr="00EE0EEB" w:rsidRDefault="00280EE9" w:rsidP="00280EE9">
      <w:pPr>
        <w:pStyle w:val="TableFooter"/>
      </w:pPr>
      <w:r w:rsidRPr="00EE0EEB">
        <w:t xml:space="preserve">Source: Table </w:t>
      </w:r>
      <w:r w:rsidR="00F54098" w:rsidRPr="00F54098">
        <w:t>compiled</w:t>
      </w:r>
      <w:r w:rsidR="00F54098">
        <w:t xml:space="preserve"> during evaluation based on information from the submission.</w:t>
      </w:r>
    </w:p>
    <w:p w14:paraId="284085A1" w14:textId="4B158129" w:rsidR="0010086D" w:rsidRPr="00272D88" w:rsidRDefault="00007B18" w:rsidP="00007B18">
      <w:r w:rsidRPr="00272D88">
        <w:t>T</w:t>
      </w:r>
      <w:r w:rsidR="0010086D" w:rsidRPr="00272D88">
        <w:t xml:space="preserve">he populations, tests and treatment regimens </w:t>
      </w:r>
      <w:r w:rsidRPr="00272D88">
        <w:t xml:space="preserve">are </w:t>
      </w:r>
      <w:r w:rsidR="0010086D" w:rsidRPr="00272D88">
        <w:t xml:space="preserve">transferrable across the </w:t>
      </w:r>
      <w:r w:rsidR="00645AB3" w:rsidRPr="00272D88">
        <w:t>linked evidence</w:t>
      </w:r>
      <w:r w:rsidR="00286942" w:rsidRPr="00272D88">
        <w:t>.</w:t>
      </w:r>
    </w:p>
    <w:p w14:paraId="1FE3A3B1" w14:textId="671356FE" w:rsidR="00286942" w:rsidRPr="00272D88" w:rsidRDefault="00286942" w:rsidP="00286942">
      <w:pPr>
        <w:rPr>
          <w:bCs/>
        </w:rPr>
      </w:pPr>
      <w:r w:rsidRPr="00272D88">
        <w:t>Overall, the</w:t>
      </w:r>
      <w:r w:rsidR="00253C98" w:rsidRPr="00272D88">
        <w:t xml:space="preserve"> commentary considered that the</w:t>
      </w:r>
      <w:r w:rsidRPr="00272D88">
        <w:t xml:space="preserve"> risk of bias in TRAILBLAZER-ALZ 2 (TB-2) trial was uncertain. Although the trial investigators and other study personnel were blinded to </w:t>
      </w:r>
      <w:r w:rsidR="00763F48" w:rsidRPr="00272D88">
        <w:t xml:space="preserve">treatment </w:t>
      </w:r>
      <w:r w:rsidRPr="00272D88">
        <w:t>allocation</w:t>
      </w:r>
      <w:r w:rsidRPr="00272D88">
        <w:rPr>
          <w:bCs/>
        </w:rPr>
        <w:t>, the risk of functional unblinding from ARIA</w:t>
      </w:r>
      <w:r w:rsidR="00221D05" w:rsidRPr="00272D88">
        <w:rPr>
          <w:bCs/>
        </w:rPr>
        <w:t>s</w:t>
      </w:r>
      <w:r w:rsidRPr="00272D88">
        <w:rPr>
          <w:bCs/>
        </w:rPr>
        <w:t xml:space="preserve">, which are usually associated with anti-Aβ monoclonal antibodies, cannot be overcome </w:t>
      </w:r>
      <w:r w:rsidR="00701C69" w:rsidRPr="00272D88">
        <w:rPr>
          <w:bCs/>
        </w:rPr>
        <w:t xml:space="preserve">particularly when patients could have learned they were on the intervention from </w:t>
      </w:r>
      <w:r w:rsidR="00125D6A" w:rsidRPr="00272D88">
        <w:rPr>
          <w:bCs/>
        </w:rPr>
        <w:t>experiencing</w:t>
      </w:r>
      <w:r w:rsidR="00701C69" w:rsidRPr="00272D88">
        <w:rPr>
          <w:bCs/>
        </w:rPr>
        <w:t xml:space="preserve"> treatment-related side effects.</w:t>
      </w:r>
      <w:r w:rsidR="00763F48" w:rsidRPr="00272D88">
        <w:rPr>
          <w:bCs/>
        </w:rPr>
        <w:t xml:space="preserve"> It is feasible that s</w:t>
      </w:r>
      <w:r w:rsidRPr="00272D88">
        <w:rPr>
          <w:bCs/>
        </w:rPr>
        <w:t xml:space="preserve">uch unblinding may </w:t>
      </w:r>
      <w:r w:rsidR="0056196C" w:rsidRPr="00272D88">
        <w:rPr>
          <w:bCs/>
        </w:rPr>
        <w:t xml:space="preserve">have </w:t>
      </w:r>
      <w:r w:rsidRPr="00272D88">
        <w:rPr>
          <w:bCs/>
        </w:rPr>
        <w:t>bias</w:t>
      </w:r>
      <w:r w:rsidR="0056196C" w:rsidRPr="00272D88">
        <w:rPr>
          <w:bCs/>
        </w:rPr>
        <w:t>ed</w:t>
      </w:r>
      <w:r w:rsidRPr="00272D88">
        <w:rPr>
          <w:bCs/>
        </w:rPr>
        <w:t xml:space="preserve"> responses on </w:t>
      </w:r>
      <w:r w:rsidR="0056196C" w:rsidRPr="00272D88">
        <w:rPr>
          <w:bCs/>
        </w:rPr>
        <w:t xml:space="preserve">the </w:t>
      </w:r>
      <w:r w:rsidRPr="00272D88">
        <w:rPr>
          <w:bCs/>
        </w:rPr>
        <w:t>subjective scales used in the trial</w:t>
      </w:r>
      <w:r w:rsidR="0056196C" w:rsidRPr="00272D88">
        <w:rPr>
          <w:bCs/>
        </w:rPr>
        <w:t>, such as the</w:t>
      </w:r>
      <w:r w:rsidRPr="00272D88">
        <w:rPr>
          <w:bCs/>
        </w:rPr>
        <w:t xml:space="preserve"> Clinical Dementia Rating Sum of Boxes (CDR-SB), </w:t>
      </w:r>
      <w:r w:rsidR="0056196C" w:rsidRPr="00272D88">
        <w:rPr>
          <w:bCs/>
        </w:rPr>
        <w:t xml:space="preserve">as well as assessments of </w:t>
      </w:r>
      <w:r w:rsidRPr="00272D88">
        <w:rPr>
          <w:bCs/>
        </w:rPr>
        <w:t>activities of daily living, and safety.</w:t>
      </w:r>
    </w:p>
    <w:p w14:paraId="18D51F81" w14:textId="77777777" w:rsidR="00D44F9D" w:rsidRPr="00272D88" w:rsidRDefault="00D44F9D" w:rsidP="00272D88">
      <w:pPr>
        <w:keepNext/>
        <w:keepLines/>
        <w:spacing w:before="240" w:after="0"/>
        <w:outlineLvl w:val="3"/>
        <w:rPr>
          <w:rFonts w:eastAsiaTheme="majorEastAsia" w:cstheme="majorBidi"/>
          <w:b/>
        </w:rPr>
      </w:pPr>
      <w:bookmarkStart w:id="45" w:name="_Ref196215112"/>
      <w:r w:rsidRPr="00272D88">
        <w:rPr>
          <w:rFonts w:eastAsiaTheme="majorEastAsia" w:cstheme="majorBidi"/>
          <w:b/>
        </w:rPr>
        <w:t>Comparative accuracy/test performance</w:t>
      </w:r>
      <w:bookmarkEnd w:id="45"/>
      <w:r w:rsidRPr="00272D88">
        <w:rPr>
          <w:rFonts w:eastAsiaTheme="majorEastAsia" w:cstheme="majorBidi"/>
          <w:b/>
        </w:rPr>
        <w:t xml:space="preserve"> </w:t>
      </w:r>
    </w:p>
    <w:p w14:paraId="411842D8" w14:textId="1DA9E2D1" w:rsidR="00701C69" w:rsidRPr="00272D88" w:rsidRDefault="00701C69" w:rsidP="00272D88">
      <w:pPr>
        <w:keepNext/>
        <w:keepLines/>
        <w:spacing w:before="240" w:after="0"/>
        <w:outlineLvl w:val="3"/>
        <w:rPr>
          <w:rFonts w:eastAsiaTheme="majorEastAsia" w:cstheme="majorBidi"/>
          <w:b/>
        </w:rPr>
      </w:pPr>
      <w:r w:rsidRPr="00272D88">
        <w:rPr>
          <w:rFonts w:eastAsiaTheme="majorEastAsia" w:cstheme="majorBidi"/>
          <w:b/>
        </w:rPr>
        <w:t>Clinical utility standard</w:t>
      </w:r>
    </w:p>
    <w:p w14:paraId="2ADE3197" w14:textId="38C235AB" w:rsidR="00701C69" w:rsidRPr="00DD304A" w:rsidRDefault="00701C69" w:rsidP="00701C69">
      <w:r w:rsidRPr="00DD304A">
        <w:t>Both FBB-Aβ-PET and FBP-Aβ-PET were used in the TB-2 trial to detect A</w:t>
      </w:r>
      <w:r w:rsidRPr="00DD304A">
        <w:rPr>
          <w:rFonts w:cstheme="minorHAnsi"/>
        </w:rPr>
        <w:t>β</w:t>
      </w:r>
      <w:r w:rsidRPr="00DD304A">
        <w:t xml:space="preserve"> pathology. Thus, FBB- and/or FBP-A</w:t>
      </w:r>
      <w:r w:rsidRPr="00DD304A">
        <w:rPr>
          <w:rFonts w:cstheme="minorHAnsi"/>
        </w:rPr>
        <w:t>β</w:t>
      </w:r>
      <w:r w:rsidRPr="00DD304A">
        <w:t xml:space="preserve">-PET </w:t>
      </w:r>
      <w:proofErr w:type="gramStart"/>
      <w:r w:rsidRPr="00DD304A">
        <w:t>are considered to be</w:t>
      </w:r>
      <w:proofErr w:type="gramEnd"/>
      <w:r w:rsidRPr="00DD304A">
        <w:t xml:space="preserve"> the clinical utility standard.</w:t>
      </w:r>
    </w:p>
    <w:p w14:paraId="2B96D330" w14:textId="44DF2EEE" w:rsidR="00280EE9" w:rsidRPr="00DD304A" w:rsidRDefault="00280EE9" w:rsidP="00DD304A">
      <w:pPr>
        <w:keepNext/>
        <w:keepLines/>
        <w:spacing w:before="240" w:after="0"/>
        <w:outlineLvl w:val="3"/>
        <w:rPr>
          <w:rFonts w:eastAsiaTheme="majorEastAsia" w:cstheme="majorBidi"/>
          <w:b/>
        </w:rPr>
      </w:pPr>
      <w:r w:rsidRPr="00DD304A">
        <w:rPr>
          <w:rFonts w:eastAsiaTheme="majorEastAsia" w:cstheme="majorBidi"/>
          <w:b/>
        </w:rPr>
        <w:t>Accuracy of FMM-Aβ-PET compared to FBB-Aβ-PET</w:t>
      </w:r>
    </w:p>
    <w:p w14:paraId="54309787" w14:textId="7572929F" w:rsidR="00280EE9" w:rsidRPr="00DD304A" w:rsidRDefault="00280EE9" w:rsidP="00280EE9">
      <w:r w:rsidRPr="00DD304A">
        <w:t xml:space="preserve">The </w:t>
      </w:r>
      <w:r w:rsidR="00D51801" w:rsidRPr="00D51801">
        <w:t>submission</w:t>
      </w:r>
      <w:r w:rsidR="00D51801" w:rsidRPr="00D51801" w:rsidDel="00D51801">
        <w:t xml:space="preserve"> </w:t>
      </w:r>
      <w:r w:rsidRPr="00DD304A">
        <w:t>included four studies that showed a high level of concordance between A</w:t>
      </w:r>
      <w:r w:rsidRPr="00DD304A">
        <w:rPr>
          <w:rFonts w:cstheme="minorHAnsi"/>
        </w:rPr>
        <w:t>β-</w:t>
      </w:r>
      <w:r w:rsidRPr="00DD304A">
        <w:t xml:space="preserve">PET radiopharmaceuticals regardless of quantitative or qualitative interpretation. </w:t>
      </w:r>
    </w:p>
    <w:p w14:paraId="6731EDA2" w14:textId="4E94BC5B" w:rsidR="00280EE9" w:rsidRPr="00DD304A" w:rsidRDefault="00280EE9" w:rsidP="00280EE9">
      <w:r w:rsidRPr="00DD304A">
        <w:t>Two of the four studies identified by the submission that directly compared the accuracy of FMM-Aβ-PET and FBB-Aβ-PET (the clinical utility standard) found that FMM had higher tracer retention in the striatum than FBB. A third study found high concordance between FMM-Aβ-PET and FBB-Aβ-PET and that all discordant results were FBB-negative and FMM-positive.</w:t>
      </w:r>
    </w:p>
    <w:p w14:paraId="017646A8" w14:textId="11EC93A1" w:rsidR="00280EE9" w:rsidRPr="00DD304A" w:rsidRDefault="00280EE9" w:rsidP="00280EE9">
      <w:r w:rsidRPr="00DD304A">
        <w:t xml:space="preserve">Three studies were identified during </w:t>
      </w:r>
      <w:r w:rsidR="0056196C" w:rsidRPr="00DD304A">
        <w:t xml:space="preserve">the </w:t>
      </w:r>
      <w:r w:rsidRPr="00DD304A">
        <w:t xml:space="preserve">evaluation that reported the accuracy of FMM-Aβ-PET compared with clinical diagnosis in </w:t>
      </w:r>
      <w:r w:rsidR="0056196C" w:rsidRPr="00DD304A">
        <w:t xml:space="preserve">terms of </w:t>
      </w:r>
      <w:r w:rsidRPr="00DD304A">
        <w:t>distinguishing patients with AD from other dementias or cognitively normal controls. A further 11 studies were identified that reported the accuracy of the clinical utility standard (FBB-Aβ-PET [n=2] or FBP-Aβ-PET [n=9]) compared with clinical diagnosis in determining the same outcome.</w:t>
      </w:r>
    </w:p>
    <w:p w14:paraId="3181569A" w14:textId="76876FF3" w:rsidR="00280EE9" w:rsidRPr="00DD304A" w:rsidRDefault="00405140" w:rsidP="00280EE9">
      <w:r w:rsidRPr="00DD304A">
        <w:t xml:space="preserve">A bivariate hierarchical diagnostic accuracy meta-analysis (MA) using </w:t>
      </w:r>
      <w:r w:rsidR="008B6D3F" w:rsidRPr="00DD304A">
        <w:t>t</w:t>
      </w:r>
      <w:r w:rsidRPr="00DD304A">
        <w:t>he ‘</w:t>
      </w:r>
      <w:proofErr w:type="spellStart"/>
      <w:r w:rsidRPr="00DD304A">
        <w:t>midas</w:t>
      </w:r>
      <w:proofErr w:type="spellEnd"/>
      <w:r w:rsidRPr="00DD304A">
        <w:t>’ and ‘</w:t>
      </w:r>
      <w:proofErr w:type="spellStart"/>
      <w:r w:rsidRPr="00DD304A">
        <w:t>metan</w:t>
      </w:r>
      <w:proofErr w:type="spellEnd"/>
      <w:r w:rsidRPr="00DD304A">
        <w:t xml:space="preserve">’ commands in </w:t>
      </w:r>
      <w:r w:rsidR="00280EE9" w:rsidRPr="00DD304A">
        <w:t xml:space="preserve">STATA version 18.0 was conducted during the evaluation. The studies were divided into those reporting on visual assessment of Aβ-PET scans and those using quantitative methods </w:t>
      </w:r>
      <w:r w:rsidR="00280EE9" w:rsidRPr="00DD304A">
        <w:lastRenderedPageBreak/>
        <w:t xml:space="preserve">to evaluate the Aβ-PET scans. The results for the two radiotracer subgroups are shown in </w:t>
      </w:r>
      <w:r w:rsidR="000C1821">
        <w:fldChar w:fldCharType="begin"/>
      </w:r>
      <w:r w:rsidR="000C1821">
        <w:instrText xml:space="preserve"> REF _Ref205191723 \h </w:instrText>
      </w:r>
      <w:r w:rsidR="000C1821">
        <w:fldChar w:fldCharType="separate"/>
      </w:r>
      <w:r w:rsidR="000C1821">
        <w:t xml:space="preserve">Figure </w:t>
      </w:r>
      <w:r w:rsidR="000C1821">
        <w:rPr>
          <w:noProof/>
        </w:rPr>
        <w:t>1</w:t>
      </w:r>
      <w:r w:rsidR="000C1821">
        <w:fldChar w:fldCharType="end"/>
      </w:r>
      <w:r w:rsidR="00280EE9" w:rsidRPr="00DD304A">
        <w:t xml:space="preserve"> and </w:t>
      </w:r>
      <w:r w:rsidR="00A3643E">
        <w:fldChar w:fldCharType="begin"/>
      </w:r>
      <w:r w:rsidR="00A3643E">
        <w:instrText xml:space="preserve"> REF _Ref205191781 \h </w:instrText>
      </w:r>
      <w:r w:rsidR="00A3643E">
        <w:fldChar w:fldCharType="separate"/>
      </w:r>
      <w:r w:rsidR="00A3643E">
        <w:t xml:space="preserve">Figure </w:t>
      </w:r>
      <w:r w:rsidR="00A3643E">
        <w:rPr>
          <w:noProof/>
        </w:rPr>
        <w:t>2</w:t>
      </w:r>
      <w:r w:rsidR="00A3643E">
        <w:fldChar w:fldCharType="end"/>
      </w:r>
      <w:r w:rsidR="00280EE9" w:rsidRPr="00DD304A">
        <w:t>.</w:t>
      </w:r>
    </w:p>
    <w:p w14:paraId="723A9ABD" w14:textId="2CAB30F4" w:rsidR="00873F9D" w:rsidRPr="00DD304A" w:rsidRDefault="00253C98" w:rsidP="00873F9D">
      <w:r w:rsidRPr="00DD304A">
        <w:t>The commentary noted that a</w:t>
      </w:r>
      <w:r w:rsidR="00280EE9" w:rsidRPr="00DD304A">
        <w:t xml:space="preserve">t first glance visual assessment of FMM-Aβ-PET scans appears to be more accurate </w:t>
      </w:r>
      <w:r w:rsidR="00405140" w:rsidRPr="00DD304A">
        <w:t xml:space="preserve">than visual assessment of the clinical utility standard when compared </w:t>
      </w:r>
      <w:r w:rsidR="00280EE9" w:rsidRPr="00DD304A">
        <w:t>to clinical diagnosis (</w:t>
      </w:r>
      <w:r w:rsidR="00A3643E">
        <w:fldChar w:fldCharType="begin"/>
      </w:r>
      <w:r w:rsidR="00A3643E">
        <w:instrText xml:space="preserve"> REF _Ref205191781 \h </w:instrText>
      </w:r>
      <w:r w:rsidR="00A3643E">
        <w:fldChar w:fldCharType="separate"/>
      </w:r>
      <w:r w:rsidR="00A3643E">
        <w:t xml:space="preserve">Figure </w:t>
      </w:r>
      <w:r w:rsidR="00A3643E">
        <w:rPr>
          <w:noProof/>
        </w:rPr>
        <w:t>2</w:t>
      </w:r>
      <w:r w:rsidR="00A3643E">
        <w:fldChar w:fldCharType="end"/>
      </w:r>
      <w:r w:rsidR="00280EE9" w:rsidRPr="00DD304A">
        <w:t xml:space="preserve">A). However, this relies on a very small number of studies evaluating the accuracy of FMM-Aβ-PET. Additionally, as </w:t>
      </w:r>
      <w:r w:rsidR="006B3DF2" w:rsidRPr="00DD304A">
        <w:t xml:space="preserve">the tests used for </w:t>
      </w:r>
      <w:r w:rsidR="00280EE9" w:rsidRPr="00DD304A">
        <w:t xml:space="preserve">a clinical diagnosis </w:t>
      </w:r>
      <w:r w:rsidR="006B3DF2" w:rsidRPr="00DD304A">
        <w:t xml:space="preserve">vary between studies and </w:t>
      </w:r>
      <w:r w:rsidR="00280EE9" w:rsidRPr="00DD304A">
        <w:t>do not usually involve a test to directly detect the presence of Aβ pathology</w:t>
      </w:r>
      <w:r w:rsidR="00405140" w:rsidRPr="00DD304A">
        <w:t xml:space="preserve"> (imaging using MRI and possibly FDG-PET would likely be undertaken)</w:t>
      </w:r>
      <w:r w:rsidR="00280EE9" w:rsidRPr="00DD304A">
        <w:t xml:space="preserve">, it may lead to patients with non-AD pathology being classified as AD, and vice versa. As Aβ-PET scans do detect Aβ pathology, it is likely that they are more accurate in the diagnosis of AD. Thus, many of the “false negative” and “false positive” Aβ-PET results are likely to be true positive or true negative, with an inaccurate clinical diagnosis. </w:t>
      </w:r>
      <w:r w:rsidR="00405140" w:rsidRPr="00DD304A">
        <w:t>Clinical diagnosis in this instance is an imperfect reference standard.</w:t>
      </w:r>
      <w:r w:rsidR="00873F9D" w:rsidRPr="00DD304A">
        <w:t xml:space="preserve"> </w:t>
      </w:r>
      <w:r w:rsidR="00280EE9" w:rsidRPr="00DD304A">
        <w:t>This partially explains the difference in sensitivity and s</w:t>
      </w:r>
      <w:r w:rsidR="006B3DF2" w:rsidRPr="00DD304A">
        <w:t>pec</w:t>
      </w:r>
      <w:r w:rsidR="00280EE9" w:rsidRPr="00DD304A">
        <w:t>i</w:t>
      </w:r>
      <w:r w:rsidR="006B3DF2" w:rsidRPr="00DD304A">
        <w:t>f</w:t>
      </w:r>
      <w:r w:rsidR="00280EE9" w:rsidRPr="00DD304A">
        <w:t>i</w:t>
      </w:r>
      <w:r w:rsidR="006B3DF2" w:rsidRPr="00DD304A">
        <w:t>c</w:t>
      </w:r>
      <w:r w:rsidR="00280EE9" w:rsidRPr="00DD304A">
        <w:t xml:space="preserve">ity between many of the included studies. </w:t>
      </w:r>
      <w:r w:rsidR="00873F9D" w:rsidRPr="00DD304A">
        <w:t>T</w:t>
      </w:r>
      <w:r w:rsidR="00280EE9" w:rsidRPr="00DD304A">
        <w:t>he randomly selected AD patients and cognitively normal controls would vary in the proportion who had Aβ pathology. The age of the cognitively normal controls would also influence the proportion with Aβ pathology</w:t>
      </w:r>
      <w:r w:rsidR="006B3DF2" w:rsidRPr="00DD304A">
        <w:t xml:space="preserve"> (these patients would be considered false positive)</w:t>
      </w:r>
      <w:r w:rsidR="00280EE9" w:rsidRPr="00DD304A">
        <w:t xml:space="preserve">. </w:t>
      </w:r>
      <w:r w:rsidR="00B62C3A" w:rsidRPr="00DD304A">
        <w:t>T</w:t>
      </w:r>
      <w:r w:rsidR="00280EE9" w:rsidRPr="00DD304A">
        <w:t xml:space="preserve">he prevalence of Aβ pathology among participants with normal cognition increased from 10% at age 50 years to 44% at age 90 years. Thus, studies with outlier results were further investigated and excluded from the </w:t>
      </w:r>
      <w:r w:rsidR="00873F9D" w:rsidRPr="00DD304A">
        <w:t>MA</w:t>
      </w:r>
      <w:r w:rsidR="00280EE9" w:rsidRPr="00DD304A">
        <w:t>.</w:t>
      </w:r>
      <w:r w:rsidR="00873F9D" w:rsidRPr="00DD304A">
        <w:t xml:space="preserve"> This improved the sensitivity and specificity of the clinical utility standard using visual assessment of Aβ pathology, as shown in </w:t>
      </w:r>
      <w:r w:rsidR="00A3643E">
        <w:fldChar w:fldCharType="begin"/>
      </w:r>
      <w:r w:rsidR="00A3643E">
        <w:instrText xml:space="preserve"> REF _Ref205191723 \h </w:instrText>
      </w:r>
      <w:r w:rsidR="00A3643E">
        <w:fldChar w:fldCharType="separate"/>
      </w:r>
      <w:r w:rsidR="00A3643E">
        <w:t xml:space="preserve">Figure </w:t>
      </w:r>
      <w:r w:rsidR="00A3643E">
        <w:rPr>
          <w:noProof/>
        </w:rPr>
        <w:t>1</w:t>
      </w:r>
      <w:r w:rsidR="00A3643E">
        <w:fldChar w:fldCharType="end"/>
      </w:r>
      <w:r w:rsidR="00873F9D" w:rsidRPr="00DD304A">
        <w:t>B, but has little effect on the sensitivity and specificity for qua</w:t>
      </w:r>
      <w:r w:rsidR="008C3862" w:rsidRPr="00DD304A">
        <w:t>nt</w:t>
      </w:r>
      <w:r w:rsidR="00873F9D" w:rsidRPr="00DD304A">
        <w:t>itative assessment of Aβ-PET scans.</w:t>
      </w:r>
    </w:p>
    <w:p w14:paraId="49E414EF" w14:textId="39B0D94A" w:rsidR="00280EE9" w:rsidRPr="00DD304A" w:rsidRDefault="00873F9D" w:rsidP="00873F9D">
      <w:r w:rsidRPr="00DD304A">
        <w:t xml:space="preserve">Overall, </w:t>
      </w:r>
      <w:r w:rsidR="00253C98" w:rsidRPr="00DD304A">
        <w:t xml:space="preserve">the commentary considered that </w:t>
      </w:r>
      <w:r w:rsidRPr="00DD304A">
        <w:t>Aβ-PET using FMM, FBB or FBP radiotracers showed relatively high sensitivity and specificity and provide a reliable test for determining Aβ pathology.</w:t>
      </w:r>
    </w:p>
    <w:p w14:paraId="4E03E2A3" w14:textId="3D310F7E" w:rsidR="00280EE9" w:rsidRPr="00EE0EEB" w:rsidRDefault="00280EE9" w:rsidP="007D75A2">
      <w:pPr>
        <w:keepNext/>
        <w:spacing w:after="0"/>
        <w:rPr>
          <w:i/>
          <w:iCs/>
        </w:rPr>
      </w:pPr>
      <w:r w:rsidRPr="00EE0EEB">
        <w:rPr>
          <w:i/>
          <w:iCs/>
          <w:noProof/>
        </w:rPr>
        <w:drawing>
          <wp:inline distT="0" distB="0" distL="0" distR="0" wp14:anchorId="663EA249" wp14:editId="6977A4CC">
            <wp:extent cx="5731510" cy="3679714"/>
            <wp:effectExtent l="19050" t="19050" r="21590" b="16510"/>
            <wp:docPr id="1980602585" name="Picture 1980602585" descr="Figure 1 The accuracy of visual assessment of Aβ-PET scans in detecting AD compared to clinical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02585" name="Picture 1980602585" descr="Figure 1 The accuracy of visual assessment of Aβ-PET scans in detecting AD compared to clinical diagnosi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731510" cy="367971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61A663A" w14:textId="36CFE106" w:rsidR="00280EE9" w:rsidRPr="00F47A5E" w:rsidRDefault="000C1821" w:rsidP="0086509C">
      <w:pPr>
        <w:pStyle w:val="Caption"/>
        <w:spacing w:before="0"/>
      </w:pPr>
      <w:bookmarkStart w:id="46" w:name="_Ref205191723"/>
      <w:bookmarkStart w:id="47" w:name="_Ref195196137"/>
      <w:r>
        <w:t xml:space="preserve">Figure </w:t>
      </w:r>
      <w:r w:rsidR="00A3643E">
        <w:fldChar w:fldCharType="begin"/>
      </w:r>
      <w:r w:rsidR="00A3643E">
        <w:instrText xml:space="preserve"> SEQ Figure \* ARABIC </w:instrText>
      </w:r>
      <w:r w:rsidR="00A3643E">
        <w:fldChar w:fldCharType="separate"/>
      </w:r>
      <w:r w:rsidR="00A3643E">
        <w:rPr>
          <w:noProof/>
        </w:rPr>
        <w:t>1</w:t>
      </w:r>
      <w:r w:rsidR="00A3643E">
        <w:rPr>
          <w:noProof/>
        </w:rPr>
        <w:fldChar w:fldCharType="end"/>
      </w:r>
      <w:bookmarkEnd w:id="46"/>
      <w:bookmarkEnd w:id="47"/>
      <w:r w:rsidR="00CE283A">
        <w:t xml:space="preserve"> </w:t>
      </w:r>
      <w:r w:rsidR="00280EE9" w:rsidRPr="00F47A5E">
        <w:t>The accuracy of visual assessment of Aβ-PET scans in detecting AD compared to clinical diagnosis</w:t>
      </w:r>
    </w:p>
    <w:p w14:paraId="3DD07ED6" w14:textId="77777777" w:rsidR="00280EE9" w:rsidRPr="00DD1AA1" w:rsidRDefault="00280EE9" w:rsidP="00280EE9">
      <w:pPr>
        <w:pStyle w:val="TableFooter"/>
        <w:rPr>
          <w:iCs/>
        </w:rPr>
      </w:pPr>
      <w:r w:rsidRPr="00DD1AA1">
        <w:rPr>
          <w:iCs/>
        </w:rPr>
        <w:t>(A) Meta-analysis with all included studies, (B) Meta-analysis of the clinical utility standard where the two outlier studies for sensitivity and specificity have been excluded, as described in the text below.</w:t>
      </w:r>
    </w:p>
    <w:p w14:paraId="029EA153" w14:textId="77777777" w:rsidR="00280EE9" w:rsidRPr="00DD1AA1" w:rsidRDefault="00280EE9" w:rsidP="00280EE9">
      <w:pPr>
        <w:pStyle w:val="TableFooter"/>
        <w:rPr>
          <w:iCs/>
        </w:rPr>
      </w:pPr>
      <w:r w:rsidRPr="00DD1AA1">
        <w:rPr>
          <w:iCs/>
        </w:rPr>
        <w:t xml:space="preserve">Aβ = amyloid-beta; CI = confidence interval; FBB = </w:t>
      </w:r>
      <w:r w:rsidRPr="00DD1AA1">
        <w:rPr>
          <w:iCs/>
          <w:vertAlign w:val="superscript"/>
        </w:rPr>
        <w:t>18</w:t>
      </w:r>
      <w:r w:rsidRPr="00DD1AA1">
        <w:rPr>
          <w:iCs/>
        </w:rPr>
        <w:t xml:space="preserve">F-florbetaben; FBP = </w:t>
      </w:r>
      <w:r w:rsidRPr="00DD1AA1">
        <w:rPr>
          <w:iCs/>
          <w:vertAlign w:val="superscript"/>
        </w:rPr>
        <w:t>18</w:t>
      </w:r>
      <w:r w:rsidRPr="00DD1AA1">
        <w:rPr>
          <w:iCs/>
        </w:rPr>
        <w:t xml:space="preserve">F-florbetapir; FMM = </w:t>
      </w:r>
      <w:r w:rsidRPr="00DD1AA1">
        <w:rPr>
          <w:iCs/>
          <w:vertAlign w:val="superscript"/>
        </w:rPr>
        <w:t>18</w:t>
      </w:r>
      <w:r w:rsidRPr="00DD1AA1">
        <w:rPr>
          <w:iCs/>
        </w:rPr>
        <w:t>F-flutemetamol; PET = positron emission tomography</w:t>
      </w:r>
    </w:p>
    <w:p w14:paraId="1A9FAEDE" w14:textId="77777777" w:rsidR="00280EE9" w:rsidRPr="00DD1AA1" w:rsidRDefault="00280EE9" w:rsidP="00280EE9">
      <w:pPr>
        <w:pStyle w:val="TableFooter"/>
        <w:rPr>
          <w:iCs/>
        </w:rPr>
      </w:pPr>
      <w:r w:rsidRPr="00DD1AA1">
        <w:rPr>
          <w:iCs/>
        </w:rPr>
        <w:t>Source: constructed during the evaluation</w:t>
      </w:r>
    </w:p>
    <w:p w14:paraId="7B043996" w14:textId="77777777" w:rsidR="00280EE9" w:rsidRPr="00EE0EEB" w:rsidRDefault="00280EE9" w:rsidP="007D75A2">
      <w:pPr>
        <w:spacing w:after="0"/>
        <w:rPr>
          <w:i/>
          <w:iCs/>
        </w:rPr>
      </w:pPr>
      <w:r w:rsidRPr="00EE0EEB">
        <w:rPr>
          <w:i/>
          <w:iCs/>
          <w:noProof/>
        </w:rPr>
        <w:lastRenderedPageBreak/>
        <w:drawing>
          <wp:inline distT="0" distB="0" distL="0" distR="0" wp14:anchorId="6108C67C" wp14:editId="72541B91">
            <wp:extent cx="5818909" cy="2711089"/>
            <wp:effectExtent l="19050" t="19050" r="10795" b="13335"/>
            <wp:docPr id="1714881835" name="Picture 1714881835" descr="Figure 2 The accuracy of quantitative SUVr assessment of Aβ-PET scans in detecting AD compared to clinical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81835" name="Picture 1714881835" descr="Figure 2 The accuracy of quantitative SUVr assessment of Aβ-PET scans in detecting AD compared to clinical diagno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9318" cy="2720598"/>
                    </a:xfrm>
                    <a:prstGeom prst="rect">
                      <a:avLst/>
                    </a:prstGeom>
                    <a:noFill/>
                    <a:ln w="3175">
                      <a:solidFill>
                        <a:schemeClr val="tx1"/>
                      </a:solidFill>
                    </a:ln>
                  </pic:spPr>
                </pic:pic>
              </a:graphicData>
            </a:graphic>
          </wp:inline>
        </w:drawing>
      </w:r>
    </w:p>
    <w:p w14:paraId="6C223683" w14:textId="6F060D58" w:rsidR="00280EE9" w:rsidRPr="00375298" w:rsidRDefault="00A3643E" w:rsidP="00565B62">
      <w:pPr>
        <w:pStyle w:val="Caption"/>
      </w:pPr>
      <w:bookmarkStart w:id="48" w:name="_Ref205191781"/>
      <w:bookmarkStart w:id="49" w:name="_Ref195196145"/>
      <w:r>
        <w:t xml:space="preserve">Figure </w:t>
      </w:r>
      <w:r>
        <w:fldChar w:fldCharType="begin"/>
      </w:r>
      <w:r>
        <w:instrText xml:space="preserve"> SEQ Figure \* ARABIC </w:instrText>
      </w:r>
      <w:r>
        <w:fldChar w:fldCharType="separate"/>
      </w:r>
      <w:r>
        <w:rPr>
          <w:noProof/>
        </w:rPr>
        <w:t>2</w:t>
      </w:r>
      <w:r>
        <w:rPr>
          <w:noProof/>
        </w:rPr>
        <w:fldChar w:fldCharType="end"/>
      </w:r>
      <w:bookmarkEnd w:id="48"/>
      <w:bookmarkEnd w:id="49"/>
      <w:r w:rsidR="00CE283A">
        <w:t xml:space="preserve"> </w:t>
      </w:r>
      <w:r w:rsidR="00280EE9" w:rsidRPr="5EEE9212">
        <w:t xml:space="preserve">The accuracy of quantitative </w:t>
      </w:r>
      <w:proofErr w:type="spellStart"/>
      <w:r w:rsidR="00280EE9" w:rsidRPr="5EEE9212">
        <w:t>SUVr</w:t>
      </w:r>
      <w:proofErr w:type="spellEnd"/>
      <w:r w:rsidR="00280EE9" w:rsidRPr="5EEE9212">
        <w:t xml:space="preserve"> assessment of Aβ-PET scans in detecting AD compared to clinical diagnosis</w:t>
      </w:r>
    </w:p>
    <w:p w14:paraId="779225B7" w14:textId="77777777" w:rsidR="00280EE9" w:rsidRPr="00375298" w:rsidRDefault="00280EE9" w:rsidP="00280EE9">
      <w:pPr>
        <w:pStyle w:val="TableFooter"/>
        <w:rPr>
          <w:i/>
        </w:rPr>
      </w:pPr>
      <w:r w:rsidRPr="00375298">
        <w:rPr>
          <w:i/>
        </w:rPr>
        <w:t xml:space="preserve">Aβ = amyloid-beta; CI = confidence interval; FBB = </w:t>
      </w:r>
      <w:r w:rsidRPr="00375298">
        <w:rPr>
          <w:i/>
          <w:vertAlign w:val="superscript"/>
        </w:rPr>
        <w:t>18</w:t>
      </w:r>
      <w:r w:rsidRPr="00375298">
        <w:rPr>
          <w:i/>
        </w:rPr>
        <w:t xml:space="preserve">F-florbetaben; FBP = </w:t>
      </w:r>
      <w:r w:rsidRPr="00375298">
        <w:rPr>
          <w:i/>
          <w:vertAlign w:val="superscript"/>
        </w:rPr>
        <w:t>18</w:t>
      </w:r>
      <w:r w:rsidRPr="00375298">
        <w:rPr>
          <w:i/>
        </w:rPr>
        <w:t xml:space="preserve">F-florbetapir; FMM = </w:t>
      </w:r>
      <w:r w:rsidRPr="00375298">
        <w:rPr>
          <w:i/>
          <w:vertAlign w:val="superscript"/>
        </w:rPr>
        <w:t>18</w:t>
      </w:r>
      <w:r w:rsidRPr="00375298">
        <w:rPr>
          <w:i/>
        </w:rPr>
        <w:t xml:space="preserve">F-flutemetamol; PET = positron emission tomography; </w:t>
      </w:r>
      <w:proofErr w:type="spellStart"/>
      <w:r w:rsidRPr="00375298">
        <w:rPr>
          <w:i/>
        </w:rPr>
        <w:t>SUVr</w:t>
      </w:r>
      <w:proofErr w:type="spellEnd"/>
      <w:r w:rsidRPr="00375298">
        <w:rPr>
          <w:i/>
        </w:rPr>
        <w:t xml:space="preserve"> = standard uptake value ratios</w:t>
      </w:r>
    </w:p>
    <w:p w14:paraId="3CBDCD80" w14:textId="77777777" w:rsidR="00280EE9" w:rsidRPr="00375298" w:rsidRDefault="00280EE9" w:rsidP="00280EE9">
      <w:pPr>
        <w:pStyle w:val="TableFooter"/>
        <w:rPr>
          <w:i/>
          <w:iCs/>
        </w:rPr>
      </w:pPr>
      <w:r w:rsidRPr="00375298">
        <w:rPr>
          <w:i/>
          <w:iCs/>
        </w:rPr>
        <w:t>Source: constructed during the evaluation</w:t>
      </w:r>
    </w:p>
    <w:p w14:paraId="78BC55C3" w14:textId="77777777" w:rsidR="00280EE9" w:rsidRPr="00DD304A" w:rsidRDefault="00280EE9" w:rsidP="00DD304A">
      <w:pPr>
        <w:keepNext/>
        <w:keepLines/>
        <w:spacing w:before="240" w:after="0"/>
        <w:outlineLvl w:val="3"/>
        <w:rPr>
          <w:rFonts w:eastAsiaTheme="majorEastAsia" w:cstheme="majorBidi"/>
          <w:b/>
        </w:rPr>
      </w:pPr>
      <w:r w:rsidRPr="00DD304A">
        <w:rPr>
          <w:rFonts w:eastAsiaTheme="majorEastAsia" w:cstheme="majorBidi"/>
          <w:b/>
        </w:rPr>
        <w:t>CSF AD biomarker testing</w:t>
      </w:r>
    </w:p>
    <w:p w14:paraId="6C33061C" w14:textId="1F7B7F1B" w:rsidR="00280EE9" w:rsidRPr="00DD304A" w:rsidRDefault="00280EE9" w:rsidP="00280EE9">
      <w:r w:rsidRPr="00DD304A">
        <w:t xml:space="preserve">Eleven studies that directly compared the concordance of CSF </w:t>
      </w:r>
      <w:r w:rsidR="00736395" w:rsidRPr="00DD304A">
        <w:t xml:space="preserve">AD </w:t>
      </w:r>
      <w:r w:rsidRPr="00DD304A">
        <w:t>biomarker testing with the clinical utility standard (FBB- or FBP-Aβ-PET) were included in the analysis conducted during the evaluation.</w:t>
      </w:r>
    </w:p>
    <w:p w14:paraId="7C7E4C24" w14:textId="50EC50BF" w:rsidR="00280EE9" w:rsidRPr="00DD304A" w:rsidRDefault="00405140" w:rsidP="00280EE9">
      <w:r w:rsidRPr="00DD304A">
        <w:t xml:space="preserve">A bivariate hierarchical diagnostic accuracy MA using </w:t>
      </w:r>
      <w:r w:rsidR="009D79B8" w:rsidRPr="00DD304A">
        <w:t>t</w:t>
      </w:r>
      <w:r w:rsidRPr="00DD304A">
        <w:t>he ‘</w:t>
      </w:r>
      <w:proofErr w:type="spellStart"/>
      <w:r w:rsidRPr="00DD304A">
        <w:t>midas</w:t>
      </w:r>
      <w:proofErr w:type="spellEnd"/>
      <w:r w:rsidRPr="00DD304A">
        <w:t>’ and ‘</w:t>
      </w:r>
      <w:proofErr w:type="spellStart"/>
      <w:r w:rsidRPr="00DD304A">
        <w:t>metan</w:t>
      </w:r>
      <w:proofErr w:type="spellEnd"/>
      <w:r w:rsidRPr="00DD304A">
        <w:t xml:space="preserve">’ commands in </w:t>
      </w:r>
      <w:r w:rsidR="00280EE9" w:rsidRPr="00DD304A">
        <w:t>STATA version 18.0 of the extracted 2x2 data was conducted during the evaluation when at least four studies were available. If insufficient data w</w:t>
      </w:r>
      <w:r w:rsidR="00873F9D" w:rsidRPr="00DD304A">
        <w:t>ere</w:t>
      </w:r>
      <w:r w:rsidR="00280EE9" w:rsidRPr="00DD304A">
        <w:t xml:space="preserve"> available for </w:t>
      </w:r>
      <w:proofErr w:type="gramStart"/>
      <w:r w:rsidR="00873F9D" w:rsidRPr="00DD304A">
        <w:t>MA</w:t>
      </w:r>
      <w:proofErr w:type="gramEnd"/>
      <w:r w:rsidR="00280EE9" w:rsidRPr="00DD304A">
        <w:t xml:space="preserve"> the median and range for the positive percent agreement (PPA) and negative percent agreement (NPA) were calculated. The pooled statistics are </w:t>
      </w:r>
      <w:r w:rsidR="00280EE9" w:rsidRPr="00CE283A">
        <w:t xml:space="preserve">shown in </w:t>
      </w:r>
      <w:r w:rsidR="002C6027">
        <w:fldChar w:fldCharType="begin"/>
      </w:r>
      <w:r w:rsidR="002C6027">
        <w:instrText xml:space="preserve"> REF _Ref207289091 \h </w:instrText>
      </w:r>
      <w:r w:rsidR="002C6027">
        <w:fldChar w:fldCharType="separate"/>
      </w:r>
      <w:r w:rsidR="002C6027">
        <w:t xml:space="preserve">Table </w:t>
      </w:r>
      <w:r w:rsidR="002C6027">
        <w:rPr>
          <w:noProof/>
        </w:rPr>
        <w:t>11</w:t>
      </w:r>
      <w:r w:rsidR="002C6027">
        <w:fldChar w:fldCharType="end"/>
      </w:r>
      <w:r w:rsidR="00280EE9" w:rsidRPr="00DD304A">
        <w:t>.</w:t>
      </w:r>
    </w:p>
    <w:p w14:paraId="143BF78B" w14:textId="56E01377" w:rsidR="00280EE9" w:rsidRPr="00EE0EEB" w:rsidRDefault="002C6027" w:rsidP="00565B62">
      <w:pPr>
        <w:pStyle w:val="Caption"/>
      </w:pPr>
      <w:bookmarkStart w:id="50" w:name="_Ref207289091"/>
      <w:r>
        <w:t xml:space="preserve">Table </w:t>
      </w:r>
      <w:r>
        <w:fldChar w:fldCharType="begin"/>
      </w:r>
      <w:r>
        <w:instrText xml:space="preserve"> SEQ Table \* ARABIC </w:instrText>
      </w:r>
      <w:r>
        <w:fldChar w:fldCharType="separate"/>
      </w:r>
      <w:r>
        <w:rPr>
          <w:noProof/>
        </w:rPr>
        <w:t>11</w:t>
      </w:r>
      <w:r>
        <w:rPr>
          <w:noProof/>
        </w:rPr>
        <w:fldChar w:fldCharType="end"/>
      </w:r>
      <w:bookmarkEnd w:id="50"/>
      <w:r>
        <w:t xml:space="preserve"> </w:t>
      </w:r>
      <w:r w:rsidR="00280EE9" w:rsidRPr="00EE0EEB">
        <w:t xml:space="preserve">Pooled accuracy of CSF </w:t>
      </w:r>
      <w:r w:rsidR="00736395">
        <w:t xml:space="preserve">AD </w:t>
      </w:r>
      <w:r w:rsidR="00280EE9" w:rsidRPr="00EE0EEB">
        <w:t>biomarker testing compared with Aβ-PET</w:t>
      </w:r>
    </w:p>
    <w:tbl>
      <w:tblPr>
        <w:tblStyle w:val="Submissionstandard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67"/>
        <w:gridCol w:w="3070"/>
      </w:tblGrid>
      <w:tr w:rsidR="00280EE9" w:rsidRPr="006A77EC" w14:paraId="7C7444B6" w14:textId="77777777" w:rsidTr="00B83478">
        <w:trPr>
          <w:cnfStyle w:val="100000000000" w:firstRow="1" w:lastRow="0" w:firstColumn="0" w:lastColumn="0" w:oddVBand="0" w:evenVBand="0" w:oddHBand="0" w:evenHBand="0" w:firstRowFirstColumn="0" w:firstRowLastColumn="0" w:lastRowFirstColumn="0" w:lastRowLastColumn="0"/>
          <w:tblHeader/>
        </w:trPr>
        <w:tc>
          <w:tcPr>
            <w:tcW w:w="2972" w:type="dxa"/>
          </w:tcPr>
          <w:p w14:paraId="5B9449B7" w14:textId="72E2B55E"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rPr>
              <w:t xml:space="preserve">CSF </w:t>
            </w:r>
            <w:r w:rsidR="00736395" w:rsidRPr="006A77EC">
              <w:rPr>
                <w:rFonts w:ascii="Arial Narrow" w:hAnsi="Arial Narrow"/>
                <w:iCs/>
              </w:rPr>
              <w:t xml:space="preserve">AD </w:t>
            </w:r>
            <w:r w:rsidRPr="006A77EC">
              <w:rPr>
                <w:rFonts w:ascii="Arial Narrow" w:hAnsi="Arial Narrow"/>
                <w:iCs/>
              </w:rPr>
              <w:t>biomarker (cut-off range)</w:t>
            </w:r>
          </w:p>
        </w:tc>
        <w:tc>
          <w:tcPr>
            <w:tcW w:w="3167" w:type="dxa"/>
          </w:tcPr>
          <w:p w14:paraId="62DCD07D" w14:textId="77777777" w:rsidR="00280EE9" w:rsidRPr="006A77EC" w:rsidRDefault="00280EE9" w:rsidP="00375298">
            <w:pPr>
              <w:widowControl w:val="0"/>
              <w:spacing w:before="40" w:after="40"/>
              <w:rPr>
                <w:rFonts w:ascii="Arial Narrow" w:hAnsi="Arial Narrow"/>
                <w:iCs/>
                <w:lang w:val="en-AU"/>
              </w:rPr>
            </w:pPr>
            <w:r w:rsidRPr="006A77EC">
              <w:rPr>
                <w:rFonts w:ascii="Arial Narrow" w:hAnsi="Arial Narrow"/>
                <w:iCs/>
              </w:rPr>
              <w:t>PPA pooled (95% CI) or median (range)</w:t>
            </w:r>
          </w:p>
        </w:tc>
        <w:tc>
          <w:tcPr>
            <w:tcW w:w="3070" w:type="dxa"/>
          </w:tcPr>
          <w:p w14:paraId="4C373189" w14:textId="77777777" w:rsidR="00280EE9" w:rsidRPr="006A77EC" w:rsidRDefault="00280EE9" w:rsidP="00375298">
            <w:pPr>
              <w:widowControl w:val="0"/>
              <w:spacing w:before="40" w:after="40"/>
              <w:rPr>
                <w:rFonts w:ascii="Arial Narrow" w:hAnsi="Arial Narrow"/>
                <w:iCs/>
                <w:lang w:val="en-AU"/>
              </w:rPr>
            </w:pPr>
            <w:r w:rsidRPr="006A77EC">
              <w:rPr>
                <w:rFonts w:ascii="Arial Narrow" w:hAnsi="Arial Narrow"/>
                <w:iCs/>
              </w:rPr>
              <w:t>NPA pooled (95% CI) or median (range)</w:t>
            </w:r>
          </w:p>
        </w:tc>
      </w:tr>
      <w:tr w:rsidR="00280EE9" w:rsidRPr="006A77EC" w14:paraId="1BA09A6B" w14:textId="77777777" w:rsidTr="00B83478">
        <w:trPr>
          <w:trHeight w:val="276"/>
        </w:trPr>
        <w:tc>
          <w:tcPr>
            <w:tcW w:w="2972" w:type="dxa"/>
          </w:tcPr>
          <w:p w14:paraId="137CE232" w14:textId="77777777"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lang w:val="en-AU"/>
              </w:rPr>
              <w:t xml:space="preserve">Aβ42 (192–976.6 </w:t>
            </w:r>
            <w:proofErr w:type="spellStart"/>
            <w:r w:rsidRPr="006A77EC">
              <w:rPr>
                <w:rFonts w:ascii="Arial Narrow" w:hAnsi="Arial Narrow"/>
                <w:iCs/>
                <w:lang w:val="en-AU"/>
              </w:rPr>
              <w:t>pg</w:t>
            </w:r>
            <w:proofErr w:type="spellEnd"/>
            <w:r w:rsidRPr="006A77EC">
              <w:rPr>
                <w:rFonts w:ascii="Arial Narrow" w:hAnsi="Arial Narrow"/>
                <w:iCs/>
                <w:lang w:val="en-AU"/>
              </w:rPr>
              <w:t>/ml)</w:t>
            </w:r>
          </w:p>
        </w:tc>
        <w:tc>
          <w:tcPr>
            <w:tcW w:w="3167" w:type="dxa"/>
          </w:tcPr>
          <w:p w14:paraId="38FE572E"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87% (95% CI 72, 95), k=7</w:t>
            </w:r>
          </w:p>
          <w:p w14:paraId="10635056"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83% (95% CI 70, 91), k=6</w:t>
            </w:r>
          </w:p>
        </w:tc>
        <w:tc>
          <w:tcPr>
            <w:tcW w:w="3070" w:type="dxa"/>
          </w:tcPr>
          <w:p w14:paraId="4D0DB7CD" w14:textId="6B16FDBB"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79% (95% CI 68, 91), k=7</w:t>
            </w:r>
          </w:p>
          <w:p w14:paraId="22511508"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82% (95% CI 68. 91), k=6</w:t>
            </w:r>
          </w:p>
        </w:tc>
      </w:tr>
      <w:tr w:rsidR="00280EE9" w:rsidRPr="006A77EC" w14:paraId="5C4CD840" w14:textId="77777777" w:rsidTr="00B83478">
        <w:trPr>
          <w:trHeight w:val="276"/>
        </w:trPr>
        <w:tc>
          <w:tcPr>
            <w:tcW w:w="2972" w:type="dxa"/>
          </w:tcPr>
          <w:p w14:paraId="7B50AB6C" w14:textId="77777777"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lang w:val="en-AU"/>
              </w:rPr>
              <w:t xml:space="preserve">p-tau181 (61.8–88 </w:t>
            </w:r>
            <w:proofErr w:type="spellStart"/>
            <w:r w:rsidRPr="006A77EC">
              <w:rPr>
                <w:rFonts w:ascii="Arial Narrow" w:hAnsi="Arial Narrow"/>
                <w:iCs/>
                <w:lang w:val="en-AU"/>
              </w:rPr>
              <w:t>pg</w:t>
            </w:r>
            <w:proofErr w:type="spellEnd"/>
            <w:r w:rsidRPr="006A77EC">
              <w:rPr>
                <w:rFonts w:ascii="Arial Narrow" w:hAnsi="Arial Narrow"/>
                <w:iCs/>
                <w:lang w:val="en-AU"/>
              </w:rPr>
              <w:t>/ml)</w:t>
            </w:r>
          </w:p>
        </w:tc>
        <w:tc>
          <w:tcPr>
            <w:tcW w:w="3167" w:type="dxa"/>
          </w:tcPr>
          <w:p w14:paraId="60CD430C"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66% (95% CI 57, 74), k=4</w:t>
            </w:r>
          </w:p>
          <w:p w14:paraId="3D920418" w14:textId="77777777" w:rsidR="00280EE9" w:rsidRPr="006A77EC" w:rsidRDefault="00280EE9" w:rsidP="00280EE9">
            <w:pPr>
              <w:widowControl w:val="0"/>
              <w:tabs>
                <w:tab w:val="left" w:pos="758"/>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80% (95% CI 67, 89), k=1</w:t>
            </w:r>
          </w:p>
        </w:tc>
        <w:tc>
          <w:tcPr>
            <w:tcW w:w="3070" w:type="dxa"/>
          </w:tcPr>
          <w:p w14:paraId="25B3D34E"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82% (95% CI 73, 89), k=4</w:t>
            </w:r>
          </w:p>
          <w:p w14:paraId="7EBE0EDB" w14:textId="77777777" w:rsidR="00280EE9" w:rsidRPr="006A77EC" w:rsidRDefault="00280EE9" w:rsidP="00280EE9">
            <w:pPr>
              <w:widowControl w:val="0"/>
              <w:tabs>
                <w:tab w:val="left" w:pos="795"/>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83% (95% CI 66. 93), k=1</w:t>
            </w:r>
          </w:p>
        </w:tc>
      </w:tr>
      <w:tr w:rsidR="00280EE9" w:rsidRPr="006A77EC" w14:paraId="722BBA50" w14:textId="77777777" w:rsidTr="00B83478">
        <w:trPr>
          <w:trHeight w:val="276"/>
        </w:trPr>
        <w:tc>
          <w:tcPr>
            <w:tcW w:w="2972" w:type="dxa"/>
          </w:tcPr>
          <w:p w14:paraId="0B10F049" w14:textId="77777777"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lang w:val="en-AU"/>
              </w:rPr>
              <w:t xml:space="preserve">t-tau (348–539 </w:t>
            </w:r>
            <w:proofErr w:type="spellStart"/>
            <w:r w:rsidRPr="006A77EC">
              <w:rPr>
                <w:rFonts w:ascii="Arial Narrow" w:hAnsi="Arial Narrow"/>
                <w:iCs/>
                <w:lang w:val="en-AU"/>
              </w:rPr>
              <w:t>pg</w:t>
            </w:r>
            <w:proofErr w:type="spellEnd"/>
            <w:r w:rsidRPr="006A77EC">
              <w:rPr>
                <w:rFonts w:ascii="Arial Narrow" w:hAnsi="Arial Narrow"/>
                <w:iCs/>
                <w:lang w:val="en-AU"/>
              </w:rPr>
              <w:t>/ml)</w:t>
            </w:r>
          </w:p>
        </w:tc>
        <w:tc>
          <w:tcPr>
            <w:tcW w:w="3167" w:type="dxa"/>
          </w:tcPr>
          <w:p w14:paraId="23DEDC9D"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76% (95% CI 70, 81), k=5</w:t>
            </w:r>
          </w:p>
          <w:p w14:paraId="37C24070" w14:textId="77777777" w:rsidR="00280EE9" w:rsidRPr="006A77EC" w:rsidRDefault="00280EE9" w:rsidP="00280EE9">
            <w:pPr>
              <w:widowControl w:val="0"/>
              <w:tabs>
                <w:tab w:val="left" w:pos="758"/>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75% (95% CI 62, 85), k=1</w:t>
            </w:r>
          </w:p>
        </w:tc>
        <w:tc>
          <w:tcPr>
            <w:tcW w:w="3070" w:type="dxa"/>
          </w:tcPr>
          <w:p w14:paraId="322ED484"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80% (95% CI 71, 86), k=5</w:t>
            </w:r>
          </w:p>
          <w:p w14:paraId="499B9EE6" w14:textId="77777777" w:rsidR="00280EE9" w:rsidRPr="006A77EC" w:rsidRDefault="00280EE9" w:rsidP="00280EE9">
            <w:pPr>
              <w:widowControl w:val="0"/>
              <w:tabs>
                <w:tab w:val="left" w:pos="795"/>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83% (95% CI 66. 93), k=1</w:t>
            </w:r>
          </w:p>
        </w:tc>
      </w:tr>
      <w:tr w:rsidR="00280EE9" w:rsidRPr="006A77EC" w14:paraId="615D1EA6" w14:textId="77777777" w:rsidTr="00B83478">
        <w:trPr>
          <w:trHeight w:val="276"/>
        </w:trPr>
        <w:tc>
          <w:tcPr>
            <w:tcW w:w="2972" w:type="dxa"/>
          </w:tcPr>
          <w:p w14:paraId="12978A53" w14:textId="77777777"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lang w:val="en-AU"/>
              </w:rPr>
              <w:t>Aβ42/Aβ40 ratio (0.062-0.088)</w:t>
            </w:r>
          </w:p>
        </w:tc>
        <w:tc>
          <w:tcPr>
            <w:tcW w:w="3167" w:type="dxa"/>
          </w:tcPr>
          <w:p w14:paraId="5AA23DFC"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98% (range 82-100), k=3</w:t>
            </w:r>
          </w:p>
          <w:p w14:paraId="1D30D05B" w14:textId="77777777" w:rsidR="00280EE9" w:rsidRPr="006A77EC" w:rsidRDefault="00280EE9" w:rsidP="00280EE9">
            <w:pPr>
              <w:widowControl w:val="0"/>
              <w:tabs>
                <w:tab w:val="left" w:pos="758"/>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83% (range 77-88), k=2</w:t>
            </w:r>
          </w:p>
        </w:tc>
        <w:tc>
          <w:tcPr>
            <w:tcW w:w="3070" w:type="dxa"/>
          </w:tcPr>
          <w:p w14:paraId="74B5E46F"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72% (range 56-82), k=3</w:t>
            </w:r>
          </w:p>
          <w:p w14:paraId="01096B11" w14:textId="77777777" w:rsidR="00280EE9" w:rsidRPr="006A77EC" w:rsidRDefault="00280EE9" w:rsidP="00280EE9">
            <w:pPr>
              <w:widowControl w:val="0"/>
              <w:tabs>
                <w:tab w:val="left" w:pos="795"/>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80% (range 77. 82), k=2</w:t>
            </w:r>
          </w:p>
        </w:tc>
      </w:tr>
      <w:tr w:rsidR="00280EE9" w:rsidRPr="006A77EC" w14:paraId="4DB66E03" w14:textId="77777777" w:rsidTr="00B83478">
        <w:trPr>
          <w:trHeight w:val="276"/>
        </w:trPr>
        <w:tc>
          <w:tcPr>
            <w:tcW w:w="2972" w:type="dxa"/>
          </w:tcPr>
          <w:p w14:paraId="4C6DBE57" w14:textId="77777777" w:rsidR="00280EE9" w:rsidRPr="006A77EC" w:rsidRDefault="00280EE9" w:rsidP="00280EE9">
            <w:pPr>
              <w:widowControl w:val="0"/>
              <w:spacing w:before="40" w:after="40"/>
              <w:rPr>
                <w:rFonts w:ascii="Arial Narrow" w:hAnsi="Arial Narrow"/>
                <w:iCs/>
                <w:lang w:val="en-AU"/>
              </w:rPr>
            </w:pPr>
            <w:r w:rsidRPr="006A77EC">
              <w:rPr>
                <w:rFonts w:ascii="Arial Narrow" w:hAnsi="Arial Narrow"/>
                <w:iCs/>
                <w:lang w:val="en-AU"/>
              </w:rPr>
              <w:t>p-tau181/Aβ42 ratio (0.0103–0.064)</w:t>
            </w:r>
          </w:p>
        </w:tc>
        <w:tc>
          <w:tcPr>
            <w:tcW w:w="3167" w:type="dxa"/>
          </w:tcPr>
          <w:p w14:paraId="292BF476"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92% (range 80-92), k=3</w:t>
            </w:r>
          </w:p>
          <w:p w14:paraId="164E1914" w14:textId="77777777" w:rsidR="00280EE9" w:rsidRPr="006A77EC" w:rsidRDefault="00280EE9" w:rsidP="00280EE9">
            <w:pPr>
              <w:widowControl w:val="0"/>
              <w:tabs>
                <w:tab w:val="left" w:pos="758"/>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89% (range 85-93), k=2</w:t>
            </w:r>
          </w:p>
        </w:tc>
        <w:tc>
          <w:tcPr>
            <w:tcW w:w="3070" w:type="dxa"/>
          </w:tcPr>
          <w:p w14:paraId="4D24CF4F"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91% (range 86-91), k=3</w:t>
            </w:r>
          </w:p>
          <w:p w14:paraId="1831E8A3" w14:textId="77777777" w:rsidR="00280EE9" w:rsidRPr="006A77EC" w:rsidRDefault="00280EE9" w:rsidP="00280EE9">
            <w:pPr>
              <w:widowControl w:val="0"/>
              <w:tabs>
                <w:tab w:val="left" w:pos="795"/>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87% (range 80-94), k=2</w:t>
            </w:r>
          </w:p>
        </w:tc>
      </w:tr>
      <w:tr w:rsidR="00280EE9" w:rsidRPr="006A77EC" w14:paraId="070E5878" w14:textId="77777777" w:rsidTr="00B83478">
        <w:trPr>
          <w:cantSplit/>
          <w:trHeight w:val="276"/>
        </w:trPr>
        <w:tc>
          <w:tcPr>
            <w:tcW w:w="2972" w:type="dxa"/>
          </w:tcPr>
          <w:p w14:paraId="6AA736CA" w14:textId="77777777" w:rsidR="00280EE9" w:rsidRPr="00622611" w:rsidRDefault="00280EE9" w:rsidP="00280EE9">
            <w:pPr>
              <w:widowControl w:val="0"/>
              <w:spacing w:before="40" w:after="40"/>
              <w:rPr>
                <w:rFonts w:ascii="Arial Narrow" w:hAnsi="Arial Narrow"/>
                <w:iCs/>
                <w:lang w:val="de-DE"/>
              </w:rPr>
            </w:pPr>
            <w:r w:rsidRPr="00622611">
              <w:rPr>
                <w:rFonts w:ascii="Arial Narrow" w:hAnsi="Arial Narrow"/>
                <w:iCs/>
                <w:lang w:val="de-DE"/>
              </w:rPr>
              <w:t>t-tau/A</w:t>
            </w:r>
            <w:r w:rsidRPr="006A77EC">
              <w:rPr>
                <w:rFonts w:ascii="Arial Narrow" w:hAnsi="Arial Narrow"/>
                <w:iCs/>
                <w:lang w:val="en-AU"/>
              </w:rPr>
              <w:t>β</w:t>
            </w:r>
            <w:r w:rsidRPr="00622611">
              <w:rPr>
                <w:rFonts w:ascii="Arial Narrow" w:hAnsi="Arial Narrow"/>
                <w:iCs/>
                <w:lang w:val="de-DE"/>
              </w:rPr>
              <w:t>42 ratio (0.27-0.641)</w:t>
            </w:r>
          </w:p>
          <w:p w14:paraId="2BEDCB16" w14:textId="77777777" w:rsidR="00280EE9" w:rsidRPr="00622611" w:rsidRDefault="00280EE9" w:rsidP="00280EE9">
            <w:pPr>
              <w:widowControl w:val="0"/>
              <w:spacing w:before="40" w:after="40"/>
              <w:rPr>
                <w:rFonts w:ascii="Arial Narrow" w:hAnsi="Arial Narrow"/>
                <w:iCs/>
                <w:lang w:val="de-DE"/>
              </w:rPr>
            </w:pPr>
            <w:r w:rsidRPr="00622611">
              <w:rPr>
                <w:rFonts w:ascii="Arial Narrow" w:hAnsi="Arial Narrow"/>
                <w:iCs/>
                <w:lang w:val="de-DE"/>
              </w:rPr>
              <w:t>A</w:t>
            </w:r>
            <w:r w:rsidRPr="006A77EC">
              <w:rPr>
                <w:rFonts w:ascii="Arial Narrow" w:hAnsi="Arial Narrow"/>
                <w:iCs/>
                <w:lang w:val="en-AU"/>
              </w:rPr>
              <w:t>β</w:t>
            </w:r>
            <w:r w:rsidRPr="00622611">
              <w:rPr>
                <w:rFonts w:ascii="Arial Narrow" w:hAnsi="Arial Narrow"/>
                <w:iCs/>
                <w:lang w:val="de-DE"/>
              </w:rPr>
              <w:t>42/t-tau ratio (2.153)</w:t>
            </w:r>
          </w:p>
        </w:tc>
        <w:tc>
          <w:tcPr>
            <w:tcW w:w="3167" w:type="dxa"/>
          </w:tcPr>
          <w:p w14:paraId="5C94CD74" w14:textId="77777777" w:rsidR="00280EE9" w:rsidRPr="006A77EC" w:rsidRDefault="00280EE9" w:rsidP="00280EE9">
            <w:pPr>
              <w:widowControl w:val="0"/>
              <w:tabs>
                <w:tab w:val="left" w:pos="746"/>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93% (95% CI 87, 96), k=6</w:t>
            </w:r>
          </w:p>
          <w:p w14:paraId="539AB966" w14:textId="77777777" w:rsidR="00280EE9" w:rsidRPr="006A77EC" w:rsidRDefault="00280EE9" w:rsidP="00280EE9">
            <w:pPr>
              <w:widowControl w:val="0"/>
              <w:tabs>
                <w:tab w:val="left" w:pos="758"/>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81% (range 81-82), k=3</w:t>
            </w:r>
          </w:p>
        </w:tc>
        <w:tc>
          <w:tcPr>
            <w:tcW w:w="3070" w:type="dxa"/>
          </w:tcPr>
          <w:p w14:paraId="71C76B39" w14:textId="77777777" w:rsidR="00280EE9" w:rsidRPr="006A77EC" w:rsidRDefault="00280EE9" w:rsidP="00280EE9">
            <w:pPr>
              <w:widowControl w:val="0"/>
              <w:tabs>
                <w:tab w:val="left" w:pos="801"/>
              </w:tabs>
              <w:spacing w:before="40" w:after="40"/>
              <w:rPr>
                <w:rFonts w:ascii="Arial Narrow" w:hAnsi="Arial Narrow"/>
                <w:iCs/>
                <w:lang w:val="en-AU"/>
              </w:rPr>
            </w:pPr>
            <w:r w:rsidRPr="006A77EC">
              <w:rPr>
                <w:rFonts w:ascii="Arial Narrow" w:hAnsi="Arial Narrow"/>
                <w:iCs/>
                <w:lang w:val="en-AU"/>
              </w:rPr>
              <w:t>V:</w:t>
            </w:r>
            <w:r w:rsidRPr="006A77EC">
              <w:rPr>
                <w:rFonts w:ascii="Arial Narrow" w:hAnsi="Arial Narrow"/>
                <w:iCs/>
                <w:lang w:val="en-AU"/>
              </w:rPr>
              <w:tab/>
              <w:t>87% (95% CI 80, 92), k=6</w:t>
            </w:r>
          </w:p>
          <w:p w14:paraId="0A695C80" w14:textId="77777777" w:rsidR="00280EE9" w:rsidRPr="006A77EC" w:rsidRDefault="00280EE9" w:rsidP="00280EE9">
            <w:pPr>
              <w:widowControl w:val="0"/>
              <w:tabs>
                <w:tab w:val="left" w:pos="795"/>
              </w:tabs>
              <w:spacing w:before="40" w:after="40"/>
              <w:rPr>
                <w:rFonts w:ascii="Arial Narrow" w:hAnsi="Arial Narrow"/>
                <w:iCs/>
                <w:lang w:val="en-AU"/>
              </w:rPr>
            </w:pPr>
            <w:r w:rsidRPr="006A77EC">
              <w:rPr>
                <w:rFonts w:ascii="Arial Narrow" w:hAnsi="Arial Narrow"/>
                <w:iCs/>
                <w:lang w:val="en-AU"/>
              </w:rPr>
              <w:t>Q:</w:t>
            </w:r>
            <w:r w:rsidRPr="006A77EC">
              <w:rPr>
                <w:rFonts w:ascii="Arial Narrow" w:hAnsi="Arial Narrow"/>
                <w:iCs/>
                <w:lang w:val="en-AU"/>
              </w:rPr>
              <w:tab/>
              <w:t>94% (range 83-100), k=3</w:t>
            </w:r>
          </w:p>
        </w:tc>
      </w:tr>
    </w:tbl>
    <w:p w14:paraId="4C64AF63" w14:textId="3DF2A8B2" w:rsidR="00280EE9" w:rsidRPr="00EE0EEB" w:rsidRDefault="00280EE9" w:rsidP="00280EE9">
      <w:pPr>
        <w:pStyle w:val="TableFooter"/>
      </w:pPr>
      <w:r w:rsidRPr="00EE0EEB">
        <w:t xml:space="preserve">Aβ = amyloid-beta; Aβ40 = Aβ1-40; Aβ42 = Aβ1-42; AUC = area under the curve; CI = confidence interval; CSF = cerebrospinal fluid; k = number of studies; NPA = negative percent agreement; PET = positron emission tomography; PPA = positive percent agreement; p-tau = phosphorylated tau; </w:t>
      </w:r>
      <w:r w:rsidR="00375298">
        <w:t>Q = qua</w:t>
      </w:r>
      <w:r w:rsidR="008C3862">
        <w:t>nt</w:t>
      </w:r>
      <w:r w:rsidR="00375298">
        <w:t xml:space="preserve">itative; </w:t>
      </w:r>
      <w:r w:rsidRPr="00EE0EEB">
        <w:t>ROC = receiver operating characteristic; t-tau = total tau</w:t>
      </w:r>
      <w:r w:rsidR="00375298">
        <w:t>; V = visual</w:t>
      </w:r>
    </w:p>
    <w:p w14:paraId="4DA940DB" w14:textId="77777777" w:rsidR="00280EE9" w:rsidRPr="00EE0EEB" w:rsidRDefault="00280EE9" w:rsidP="00280EE9">
      <w:pPr>
        <w:pStyle w:val="TableFooter"/>
      </w:pPr>
      <w:r w:rsidRPr="00EE0EEB">
        <w:t>Source: constructed during the evaluation</w:t>
      </w:r>
    </w:p>
    <w:p w14:paraId="7129EDDE" w14:textId="72572AB5" w:rsidR="00280EE9" w:rsidRPr="00DD304A" w:rsidRDefault="00280EE9" w:rsidP="00280EE9">
      <w:r w:rsidRPr="00DD304A">
        <w:lastRenderedPageBreak/>
        <w:t xml:space="preserve">The proportion of discordant results between CSF </w:t>
      </w:r>
      <w:r w:rsidR="00AC087E" w:rsidRPr="00DD304A">
        <w:t xml:space="preserve">AD </w:t>
      </w:r>
      <w:r w:rsidRPr="00DD304A">
        <w:t xml:space="preserve">biomarker tests and Aβ-PET scans was higher for single CSF </w:t>
      </w:r>
      <w:r w:rsidR="00736395" w:rsidRPr="00DD304A">
        <w:t xml:space="preserve">AD </w:t>
      </w:r>
      <w:r w:rsidRPr="00DD304A">
        <w:t xml:space="preserve">biomarkers than for most ratio combinations. All three biomarker ratio combinations included </w:t>
      </w:r>
      <w:proofErr w:type="gramStart"/>
      <w:r w:rsidRPr="00DD304A">
        <w:t>Aβ42</w:t>
      </w:r>
      <w:proofErr w:type="gramEnd"/>
      <w:r w:rsidRPr="00DD304A">
        <w:t xml:space="preserve"> and all had an improved PPA over Aβ42 alone (92–98% versus 87% when compared to visual assessment of Aβ scans</w:t>
      </w:r>
      <w:r w:rsidR="00CB3903" w:rsidRPr="00DD304A">
        <w:t>)</w:t>
      </w:r>
      <w:r w:rsidRPr="00DD304A">
        <w:t xml:space="preserve">. The NPA for p-tau181/Aβ42 and t-tau/Aβ42 were higher compared with Aβ42 alone (91% and 87% versus </w:t>
      </w:r>
      <w:r w:rsidR="00BA631C" w:rsidRPr="00DD304A">
        <w:t>79</w:t>
      </w:r>
      <w:r w:rsidRPr="00DD304A">
        <w:t xml:space="preserve">%), but not the Aβ42/Aβ40 ratio (72% versus </w:t>
      </w:r>
      <w:r w:rsidR="00BA631C" w:rsidRPr="00DD304A">
        <w:t>79</w:t>
      </w:r>
      <w:r w:rsidRPr="00DD304A">
        <w:t xml:space="preserve">%), when compared to visual assessment of Aβ scans. When the accuracy of the CSF </w:t>
      </w:r>
      <w:r w:rsidR="00736395" w:rsidRPr="00DD304A">
        <w:t xml:space="preserve">AD </w:t>
      </w:r>
      <w:r w:rsidRPr="00DD304A">
        <w:t>biomarkers was compared to qua</w:t>
      </w:r>
      <w:r w:rsidR="008C3862" w:rsidRPr="00DD304A">
        <w:t>nt</w:t>
      </w:r>
      <w:r w:rsidRPr="00DD304A">
        <w:t>itative assessment of Aβ scans, the PPA and NPA for single biomarkers were either similar or lower than for the biomarker ratios (75-83% versus 81-89% for PPA and 82-83% versus 80-94% for NPA).</w:t>
      </w:r>
    </w:p>
    <w:p w14:paraId="61DA4238" w14:textId="54582477" w:rsidR="00BA631C" w:rsidRPr="00DD304A" w:rsidRDefault="00BA631C" w:rsidP="00BA631C">
      <w:r w:rsidRPr="00DD304A">
        <w:t>The</w:t>
      </w:r>
      <w:r w:rsidR="00EB1C8B" w:rsidRPr="00DD304A">
        <w:t xml:space="preserve"> commentary noted that the</w:t>
      </w:r>
      <w:r w:rsidRPr="00DD304A">
        <w:t xml:space="preserve"> </w:t>
      </w:r>
      <w:proofErr w:type="spellStart"/>
      <w:r w:rsidRPr="00DD304A">
        <w:t>Elecsys</w:t>
      </w:r>
      <w:proofErr w:type="spellEnd"/>
      <w:r w:rsidRPr="00DD304A">
        <w:t xml:space="preserve">® CSF assays, which are listed on the ARTG for use in Australia, provide results for </w:t>
      </w:r>
      <w:proofErr w:type="spellStart"/>
      <w:r w:rsidRPr="00DD304A">
        <w:t>pTau</w:t>
      </w:r>
      <w:proofErr w:type="spellEnd"/>
      <w:r w:rsidRPr="00DD304A">
        <w:t>/A</w:t>
      </w:r>
      <w:r w:rsidR="00F650A0">
        <w:rPr>
          <w:rFonts w:ascii="Calibri" w:hAnsi="Calibri" w:cs="Calibri"/>
        </w:rPr>
        <w:t>β</w:t>
      </w:r>
      <w:r w:rsidRPr="00DD304A">
        <w:t xml:space="preserve">42 and </w:t>
      </w:r>
      <w:proofErr w:type="spellStart"/>
      <w:r w:rsidRPr="00DD304A">
        <w:t>tTau</w:t>
      </w:r>
      <w:proofErr w:type="spellEnd"/>
      <w:r w:rsidRPr="00DD304A">
        <w:t>/A</w:t>
      </w:r>
      <w:r w:rsidR="00F650A0">
        <w:rPr>
          <w:rFonts w:ascii="Calibri" w:hAnsi="Calibri" w:cs="Calibri"/>
        </w:rPr>
        <w:t>β</w:t>
      </w:r>
      <w:r w:rsidRPr="00DD304A">
        <w:t>42 ratios. A result above the cut-off of 0.023 and 0.28, respectively, is consistent with a positive result.</w:t>
      </w:r>
    </w:p>
    <w:p w14:paraId="70975575" w14:textId="458E9505" w:rsidR="00280EE9" w:rsidRPr="00DD304A" w:rsidRDefault="00280EE9" w:rsidP="00280EE9">
      <w:r w:rsidRPr="00DD304A">
        <w:t>T</w:t>
      </w:r>
      <w:r w:rsidR="00EB1C8B" w:rsidRPr="00DD304A">
        <w:t>he commentary considered that t</w:t>
      </w:r>
      <w:r w:rsidRPr="00DD304A">
        <w:t>here are several reasons why CSF A</w:t>
      </w:r>
      <w:r w:rsidRPr="00DD304A">
        <w:rPr>
          <w:rFonts w:cstheme="minorHAnsi"/>
        </w:rPr>
        <w:t>β</w:t>
      </w:r>
      <w:r w:rsidRPr="00DD304A">
        <w:t xml:space="preserve"> levels and A</w:t>
      </w:r>
      <w:r w:rsidRPr="00DD304A">
        <w:rPr>
          <w:rFonts w:cstheme="minorHAnsi"/>
        </w:rPr>
        <w:t>β</w:t>
      </w:r>
      <w:r w:rsidRPr="00DD304A">
        <w:t>-PET may be discordant. Firstly, the two tests measure different species of A</w:t>
      </w:r>
      <w:r w:rsidRPr="00DD304A">
        <w:rPr>
          <w:rFonts w:cstheme="minorHAnsi"/>
        </w:rPr>
        <w:t>β</w:t>
      </w:r>
      <w:r w:rsidRPr="00DD304A">
        <w:t>. A</w:t>
      </w:r>
      <w:r w:rsidRPr="00DD304A">
        <w:rPr>
          <w:rFonts w:cstheme="minorHAnsi"/>
        </w:rPr>
        <w:t>β</w:t>
      </w:r>
      <w:r w:rsidRPr="00DD304A">
        <w:t xml:space="preserve">-PET detects aggregated forms of Aβ, whereas CSF immunoassays measure the concentration of Aβ42 peptide monomers in the CSF. Also, both tests are subject to errors and variability. The CSF </w:t>
      </w:r>
      <w:r w:rsidR="008C3862" w:rsidRPr="00DD304A">
        <w:t xml:space="preserve">AD biomarker </w:t>
      </w:r>
      <w:r w:rsidRPr="00DD304A">
        <w:t xml:space="preserve">test may be affected by factors related to collection and storage procedures, as well as different protocols and techniques, leading to variability in the measured concentrations of CSF </w:t>
      </w:r>
      <w:r w:rsidR="008C3862" w:rsidRPr="00DD304A">
        <w:t xml:space="preserve">AD </w:t>
      </w:r>
      <w:r w:rsidRPr="00DD304A">
        <w:t>biomarkers. A</w:t>
      </w:r>
      <w:r w:rsidRPr="00DD304A">
        <w:rPr>
          <w:rFonts w:cstheme="minorHAnsi"/>
        </w:rPr>
        <w:t>β-</w:t>
      </w:r>
      <w:r w:rsidRPr="00DD304A">
        <w:t>PET results can be affected by differences in radiotracer characteristics, subject movement, or A</w:t>
      </w:r>
      <w:r w:rsidRPr="00DD304A">
        <w:rPr>
          <w:rFonts w:cstheme="minorHAnsi"/>
        </w:rPr>
        <w:t>β</w:t>
      </w:r>
      <w:r w:rsidRPr="00DD304A">
        <w:t xml:space="preserve"> threshold selection, as well as inter-rater variability.</w:t>
      </w:r>
    </w:p>
    <w:p w14:paraId="78B6546C" w14:textId="5EE783D3" w:rsidR="00280EE9" w:rsidRPr="00DD304A" w:rsidRDefault="00EB1C8B" w:rsidP="00280EE9">
      <w:r w:rsidRPr="00DD304A">
        <w:t>The commentary noted that w</w:t>
      </w:r>
      <w:r w:rsidR="00280EE9" w:rsidRPr="00DD304A">
        <w:t xml:space="preserve">hen comparing visual assessment of Aβ scans with a ratio of two CSF </w:t>
      </w:r>
      <w:r w:rsidR="00736395" w:rsidRPr="00DD304A">
        <w:t xml:space="preserve">AD </w:t>
      </w:r>
      <w:r w:rsidR="00280EE9" w:rsidRPr="00DD304A">
        <w:t xml:space="preserve">biomarkers, 2-7% of </w:t>
      </w:r>
      <w:r w:rsidR="00007B18" w:rsidRPr="00DD304A">
        <w:t xml:space="preserve">Aβ-PET positive </w:t>
      </w:r>
      <w:r w:rsidR="00280EE9" w:rsidRPr="00DD304A">
        <w:t>tests will be CSF Aβ42 negative (i.e. ‘false negative’</w:t>
      </w:r>
      <w:proofErr w:type="gramStart"/>
      <w:r w:rsidR="00280EE9" w:rsidRPr="00DD304A">
        <w:t>)</w:t>
      </w:r>
      <w:proofErr w:type="gramEnd"/>
      <w:r w:rsidR="00280EE9" w:rsidRPr="00DD304A">
        <w:t xml:space="preserve"> and 9-28% of </w:t>
      </w:r>
      <w:r w:rsidR="00007B18" w:rsidRPr="00DD304A">
        <w:t xml:space="preserve">Aβ-PET negative </w:t>
      </w:r>
      <w:r w:rsidR="00280EE9" w:rsidRPr="00DD304A">
        <w:t xml:space="preserve">tests will be CSF Aβ42 positive (i.e. ‘false positive’). When </w:t>
      </w:r>
      <w:r w:rsidR="008C3862" w:rsidRPr="00DD304A">
        <w:t xml:space="preserve">quantitative </w:t>
      </w:r>
      <w:r w:rsidR="00280EE9" w:rsidRPr="00DD304A">
        <w:t xml:space="preserve">assessment of Aβ scans is compared with a ratio of two CSF </w:t>
      </w:r>
      <w:r w:rsidR="00736395" w:rsidRPr="00DD304A">
        <w:t xml:space="preserve">AD </w:t>
      </w:r>
      <w:r w:rsidR="00280EE9" w:rsidRPr="00DD304A">
        <w:t xml:space="preserve">biomarkers, 11-19% will be ‘false negative’ and 6-20% will be ‘false positive’. The studies </w:t>
      </w:r>
      <w:r w:rsidR="00B346B6" w:rsidRPr="00DD304A">
        <w:t xml:space="preserve">included in the </w:t>
      </w:r>
      <w:r w:rsidR="008C3862" w:rsidRPr="00DD304A">
        <w:t>assessment of the concordance between</w:t>
      </w:r>
      <w:r w:rsidR="00280EE9" w:rsidRPr="00DD304A">
        <w:t xml:space="preserve"> A</w:t>
      </w:r>
      <w:r w:rsidR="00280EE9" w:rsidRPr="00DD304A">
        <w:rPr>
          <w:rFonts w:cstheme="minorHAnsi"/>
        </w:rPr>
        <w:t>β</w:t>
      </w:r>
      <w:r w:rsidR="00280EE9" w:rsidRPr="00DD304A">
        <w:t xml:space="preserve">-PET </w:t>
      </w:r>
      <w:r w:rsidR="008C3862" w:rsidRPr="00DD304A">
        <w:t xml:space="preserve">and </w:t>
      </w:r>
      <w:r w:rsidR="00280EE9" w:rsidRPr="00DD304A">
        <w:t xml:space="preserve">CSF AD biomarker testing </w:t>
      </w:r>
      <w:r w:rsidR="008C3862" w:rsidRPr="00DD304A">
        <w:t xml:space="preserve">did not aid in determining which </w:t>
      </w:r>
      <w:r w:rsidR="00280EE9" w:rsidRPr="00DD304A">
        <w:t xml:space="preserve">would be more accurate compared to a definitive diagnosis (e.g. </w:t>
      </w:r>
      <w:r w:rsidR="008C3862" w:rsidRPr="00DD304A">
        <w:t xml:space="preserve">using the gold standard of </w:t>
      </w:r>
      <w:r w:rsidR="00280EE9" w:rsidRPr="00DD304A">
        <w:t>A</w:t>
      </w:r>
      <w:r w:rsidR="00280EE9" w:rsidRPr="00DD304A">
        <w:rPr>
          <w:rFonts w:cstheme="minorHAnsi"/>
        </w:rPr>
        <w:t>β</w:t>
      </w:r>
      <w:r w:rsidR="00280EE9" w:rsidRPr="00DD304A">
        <w:t xml:space="preserve"> pathology by autopsy).</w:t>
      </w:r>
    </w:p>
    <w:p w14:paraId="6A68BA34" w14:textId="09ACBEDD" w:rsidR="0014079E" w:rsidRPr="00DD304A" w:rsidRDefault="00EB1C8B" w:rsidP="0014079E">
      <w:r w:rsidRPr="00DD304A">
        <w:t>The commentary noted that a</w:t>
      </w:r>
      <w:r w:rsidR="0014079E" w:rsidRPr="00DD304A">
        <w:t xml:space="preserve"> systematic review </w:t>
      </w:r>
      <w:r w:rsidR="00B62C3A" w:rsidRPr="00DD304A">
        <w:t xml:space="preserve">of diagnostic test accuracy in AD </w:t>
      </w:r>
      <w:r w:rsidR="0014079E" w:rsidRPr="00DD304A">
        <w:t>found that CSF AD biomarker testing had a pooled sensitivity of 89.4% (95% CI 84.4, 94.8; k=3) and a pooled specificity of 70.5% (95% CI 59.6, 81.4; k=3) when compared to neuropathology at autopsy. A meta-analysis conducted during evaluation of 5 studies comparing the accuracy of A</w:t>
      </w:r>
      <w:r w:rsidR="0014079E" w:rsidRPr="00DD304A">
        <w:rPr>
          <w:rFonts w:cstheme="minorHAnsi"/>
        </w:rPr>
        <w:t>β</w:t>
      </w:r>
      <w:r w:rsidR="0014079E" w:rsidRPr="00DD304A">
        <w:t>-PET with autopsy found that the pooled sensitivity was 93% (95% CI 90, 96) and the pooled specificity was 91% (95% CI 86. 94).</w:t>
      </w:r>
    </w:p>
    <w:p w14:paraId="05D1BB3C" w14:textId="287A2909" w:rsidR="00280EE9" w:rsidRPr="00DD304A" w:rsidRDefault="00280EE9" w:rsidP="00280EE9">
      <w:r w:rsidRPr="00DD304A">
        <w:t xml:space="preserve">Thus, </w:t>
      </w:r>
      <w:r w:rsidR="00EB1C8B" w:rsidRPr="00DD304A">
        <w:t xml:space="preserve">the commentary considered that </w:t>
      </w:r>
      <w:r w:rsidRPr="00DD304A">
        <w:t>CSF AD biomarker testing is likely to result in a higher proportion of patients with false negative results who will miss out on treatment with donanemab and false positive results, who will receive treatment with donanemab with no benefit, when compared with A</w:t>
      </w:r>
      <w:r w:rsidRPr="00DD304A">
        <w:rPr>
          <w:rFonts w:cstheme="minorHAnsi"/>
        </w:rPr>
        <w:t>β</w:t>
      </w:r>
      <w:r w:rsidRPr="00DD304A">
        <w:t>-PET scanning.</w:t>
      </w:r>
    </w:p>
    <w:p w14:paraId="5A0893FC" w14:textId="77777777" w:rsidR="00280EE9" w:rsidRPr="00DD304A" w:rsidRDefault="00280EE9" w:rsidP="00DD304A">
      <w:pPr>
        <w:keepNext/>
        <w:keepLines/>
        <w:spacing w:before="240" w:after="0"/>
        <w:outlineLvl w:val="3"/>
        <w:rPr>
          <w:rFonts w:eastAsiaTheme="majorEastAsia" w:cstheme="majorBidi"/>
          <w:b/>
        </w:rPr>
      </w:pPr>
      <w:r w:rsidRPr="00792A77">
        <w:rPr>
          <w:rFonts w:eastAsiaTheme="majorEastAsia" w:cstheme="majorBidi"/>
          <w:b/>
          <w:i/>
          <w:iCs/>
        </w:rPr>
        <w:t>APOE</w:t>
      </w:r>
      <w:r w:rsidRPr="00DD304A">
        <w:rPr>
          <w:rFonts w:eastAsiaTheme="majorEastAsia" w:cstheme="majorBidi"/>
          <w:b/>
        </w:rPr>
        <w:t xml:space="preserve"> genotyping by PCR</w:t>
      </w:r>
    </w:p>
    <w:p w14:paraId="60BD453A" w14:textId="25E029BA" w:rsidR="00B32D59" w:rsidRPr="00DD304A" w:rsidRDefault="00280EE9" w:rsidP="00B32D59">
      <w:r w:rsidRPr="00DD304A">
        <w:t xml:space="preserve">There was no indication in the </w:t>
      </w:r>
      <w:r w:rsidR="00D51801" w:rsidRPr="00D51801">
        <w:t>submission</w:t>
      </w:r>
      <w:r w:rsidR="00D51801" w:rsidRPr="00D51801" w:rsidDel="00D51801">
        <w:t xml:space="preserve"> </w:t>
      </w:r>
      <w:r w:rsidRPr="00DD304A">
        <w:t xml:space="preserve">as to what type of </w:t>
      </w:r>
      <w:r w:rsidR="00792A77" w:rsidRPr="00DD304A">
        <w:t xml:space="preserve">polymerase chain reaction </w:t>
      </w:r>
      <w:r w:rsidR="00792A77">
        <w:t>(</w:t>
      </w:r>
      <w:r w:rsidRPr="00DD304A">
        <w:t>PCR</w:t>
      </w:r>
      <w:r w:rsidR="00792A77">
        <w:t>)</w:t>
      </w:r>
      <w:r w:rsidRPr="00DD304A">
        <w:t xml:space="preserve">-based </w:t>
      </w:r>
      <w:r w:rsidRPr="00DD304A">
        <w:rPr>
          <w:i/>
          <w:iCs/>
        </w:rPr>
        <w:t>APOE</w:t>
      </w:r>
      <w:r w:rsidRPr="00DD304A">
        <w:t xml:space="preserve"> genotyping methods were used in Australian diagnostic laboratories. Real-time (RT</w:t>
      </w:r>
      <w:r w:rsidR="00526F7C">
        <w:t>)</w:t>
      </w:r>
      <w:r w:rsidR="009A0A67">
        <w:t xml:space="preserve"> </w:t>
      </w:r>
      <w:r w:rsidRPr="00DD304A">
        <w:t>PCR-based techniques, including high resolution melt, TaqMan probe and Fluorescent Resonance Energy Transfer (FRET) methods are currently the most relevant methods for diagnostic genotyping.</w:t>
      </w:r>
    </w:p>
    <w:p w14:paraId="320C3BC4" w14:textId="0BBFD71E" w:rsidR="00280EE9" w:rsidRPr="00DD304A" w:rsidRDefault="00280EE9" w:rsidP="00280EE9">
      <w:r w:rsidRPr="00DD304A">
        <w:t xml:space="preserve">Ten studies that were identified in a </w:t>
      </w:r>
      <w:r w:rsidR="0014079E" w:rsidRPr="00DD304A">
        <w:t xml:space="preserve">rapid non-systematic </w:t>
      </w:r>
      <w:r w:rsidRPr="00DD304A">
        <w:t xml:space="preserve">literature search </w:t>
      </w:r>
      <w:r w:rsidR="00B32D59" w:rsidRPr="00DD304A">
        <w:t xml:space="preserve">during evaluation </w:t>
      </w:r>
      <w:r w:rsidRPr="00DD304A">
        <w:t xml:space="preserve">were included to determine the accuracy of PCR-based methods in detecting </w:t>
      </w:r>
      <w:r w:rsidRPr="00DD304A">
        <w:rPr>
          <w:i/>
          <w:iCs/>
        </w:rPr>
        <w:t>APOE</w:t>
      </w:r>
      <w:r w:rsidRPr="00DD304A">
        <w:t xml:space="preserve"> ε2, ε3 and ε4 </w:t>
      </w:r>
      <w:r w:rsidRPr="00DD304A">
        <w:lastRenderedPageBreak/>
        <w:t xml:space="preserve">alleles. These studies used several different </w:t>
      </w:r>
      <w:r w:rsidRPr="00DD304A">
        <w:rPr>
          <w:i/>
          <w:iCs/>
        </w:rPr>
        <w:t>APOE</w:t>
      </w:r>
      <w:r w:rsidRPr="00DD304A">
        <w:t xml:space="preserve"> genotyping methods</w:t>
      </w:r>
      <w:r w:rsidR="0014079E" w:rsidRPr="00DD304A">
        <w:t>.</w:t>
      </w:r>
      <w:r w:rsidRPr="00DD304A">
        <w:t xml:space="preserve"> Overall, the various PCR-based genotyping methods are highly concordant and highly accurate compared to Sanger sequencing</w:t>
      </w:r>
      <w:r w:rsidR="00234A44" w:rsidRPr="00DD304A">
        <w:t xml:space="preserve"> (94-100%)</w:t>
      </w:r>
      <w:r w:rsidRPr="00DD304A">
        <w:t xml:space="preserve">, which </w:t>
      </w:r>
      <w:proofErr w:type="gramStart"/>
      <w:r w:rsidRPr="00DD304A">
        <w:t>is considered to be</w:t>
      </w:r>
      <w:proofErr w:type="gramEnd"/>
      <w:r w:rsidRPr="00DD304A">
        <w:t xml:space="preserve"> the gold reference standard for determining the </w:t>
      </w:r>
      <w:r w:rsidRPr="00DD304A">
        <w:rPr>
          <w:i/>
          <w:iCs/>
        </w:rPr>
        <w:t>APOE</w:t>
      </w:r>
      <w:r w:rsidRPr="00DD304A">
        <w:t xml:space="preserve"> genotype </w:t>
      </w:r>
      <w:proofErr w:type="gramStart"/>
      <w:r w:rsidRPr="00DD304A">
        <w:t>and also</w:t>
      </w:r>
      <w:proofErr w:type="gramEnd"/>
      <w:r w:rsidRPr="00DD304A">
        <w:t xml:space="preserve"> has a PCR component.</w:t>
      </w:r>
    </w:p>
    <w:p w14:paraId="1A5DABB7" w14:textId="77777777" w:rsidR="00280EE9" w:rsidRPr="00DD304A" w:rsidRDefault="00280EE9" w:rsidP="00DD304A">
      <w:pPr>
        <w:keepNext/>
        <w:keepLines/>
        <w:spacing w:before="240" w:after="0"/>
        <w:outlineLvl w:val="3"/>
        <w:rPr>
          <w:rFonts w:eastAsiaTheme="majorEastAsia" w:cstheme="majorBidi"/>
          <w:b/>
        </w:rPr>
      </w:pPr>
      <w:r w:rsidRPr="00DD304A">
        <w:rPr>
          <w:rFonts w:eastAsiaTheme="majorEastAsia" w:cstheme="majorBidi"/>
          <w:b/>
        </w:rPr>
        <w:t>MRI monitoring for ARIA</w:t>
      </w:r>
    </w:p>
    <w:p w14:paraId="16915955" w14:textId="567D957F" w:rsidR="00280EE9" w:rsidRPr="00DD304A" w:rsidRDefault="00280EE9" w:rsidP="00280EE9">
      <w:r w:rsidRPr="00DD304A">
        <w:t xml:space="preserve">No evidence </w:t>
      </w:r>
      <w:r w:rsidR="0014079E" w:rsidRPr="00DD304A">
        <w:t xml:space="preserve">was provided by the </w:t>
      </w:r>
      <w:r w:rsidR="00D51801" w:rsidRPr="00D51801">
        <w:t>submission</w:t>
      </w:r>
      <w:r w:rsidR="00D51801" w:rsidRPr="00D51801" w:rsidDel="00D51801">
        <w:t xml:space="preserve"> </w:t>
      </w:r>
      <w:r w:rsidRPr="00DD304A">
        <w:t xml:space="preserve">on the accuracy of the use of MRI to monitor for ARIA events. A </w:t>
      </w:r>
      <w:r w:rsidR="0014079E" w:rsidRPr="00DD304A">
        <w:t xml:space="preserve">rapid non-systematic </w:t>
      </w:r>
      <w:r w:rsidRPr="00DD304A">
        <w:t xml:space="preserve">literature search during </w:t>
      </w:r>
      <w:r w:rsidR="0014079E" w:rsidRPr="00DD304A">
        <w:t xml:space="preserve">the </w:t>
      </w:r>
      <w:r w:rsidRPr="00DD304A">
        <w:t>evaluation identified seven articles that were included. Only one study provided any evidence for ARIA-H.</w:t>
      </w:r>
    </w:p>
    <w:p w14:paraId="611CE127" w14:textId="0238AD12" w:rsidR="00280EE9" w:rsidRPr="00DD304A" w:rsidRDefault="00280EE9" w:rsidP="00280EE9">
      <w:r w:rsidRPr="00DD304A">
        <w:t xml:space="preserve">MRI has been found to be useful for monitoring the increased occurrence of ARIAs in MCI and AD patients receiving anti-Aβ therapies. The trials </w:t>
      </w:r>
      <w:r w:rsidR="007220C7" w:rsidRPr="00DD304A">
        <w:t>that have used anti-A</w:t>
      </w:r>
      <w:r w:rsidR="007220C7" w:rsidRPr="00DD304A">
        <w:rPr>
          <w:rFonts w:cstheme="minorHAnsi"/>
        </w:rPr>
        <w:t xml:space="preserve">β antibodies for Aβ clearance and subsequently monitored patients for ARIAs </w:t>
      </w:r>
      <w:r w:rsidRPr="00DD304A">
        <w:t>have used 2D T2-FLAIR MRI sequences for the detection and management of ARIA-E and 2D T2*-GRE MRI sequences for ARIA-H</w:t>
      </w:r>
      <w:r w:rsidR="007220C7" w:rsidRPr="00DD304A">
        <w:t>. These MRI sequences have been reported to be the most effective for this purpose</w:t>
      </w:r>
      <w:r w:rsidRPr="00DD304A">
        <w:t>.</w:t>
      </w:r>
    </w:p>
    <w:p w14:paraId="2BF675C1" w14:textId="5927DB69" w:rsidR="00280EE9" w:rsidRPr="00DD304A" w:rsidRDefault="00280EE9" w:rsidP="00280EE9">
      <w:r w:rsidRPr="00DD304A">
        <w:t>The inter-rater agreement for the rating of ARIA-E severity was high for all rating scales included in the studies</w:t>
      </w:r>
      <w:r w:rsidR="0014079E" w:rsidRPr="00DD304A">
        <w:t xml:space="preserve">. </w:t>
      </w:r>
      <w:r w:rsidR="00191F43" w:rsidRPr="00DD304A">
        <w:t>T</w:t>
      </w:r>
      <w:r w:rsidR="0014079E" w:rsidRPr="00DD304A">
        <w:t>his suggests</w:t>
      </w:r>
      <w:r w:rsidRPr="00DD304A">
        <w:t xml:space="preserve"> that MRI is a reliable method for determining the presence of ARIA-E. Additionally, there was high concordance between rating </w:t>
      </w:r>
      <w:proofErr w:type="gramStart"/>
      <w:r w:rsidRPr="00DD304A">
        <w:t>scales</w:t>
      </w:r>
      <w:proofErr w:type="gramEnd"/>
      <w:r w:rsidRPr="00DD304A">
        <w:t xml:space="preserve"> and the </w:t>
      </w:r>
      <w:proofErr w:type="spellStart"/>
      <w:r w:rsidR="0014079E" w:rsidRPr="00DD304A">
        <w:t>Barkhof</w:t>
      </w:r>
      <w:proofErr w:type="spellEnd"/>
      <w:r w:rsidR="0014079E" w:rsidRPr="00DD304A">
        <w:t xml:space="preserve"> Grand Total Scale (BGTS) </w:t>
      </w:r>
      <w:r w:rsidRPr="00DD304A">
        <w:t xml:space="preserve">rating scale </w:t>
      </w:r>
      <w:r w:rsidR="0014079E" w:rsidRPr="00DD304A">
        <w:t>was</w:t>
      </w:r>
      <w:r w:rsidRPr="00DD304A">
        <w:t xml:space="preserve"> high</w:t>
      </w:r>
      <w:r w:rsidR="0014079E" w:rsidRPr="00DD304A">
        <w:t>ly</w:t>
      </w:r>
      <w:r w:rsidRPr="00DD304A">
        <w:t xml:space="preserve"> concordan</w:t>
      </w:r>
      <w:r w:rsidR="0014079E" w:rsidRPr="00DD304A">
        <w:t>t</w:t>
      </w:r>
      <w:r w:rsidRPr="00DD304A">
        <w:t xml:space="preserve"> with the known status of the patients whose images were examined. The study that investigated the accuracy of MRI in detecting both ARIA-E and ARIA-H events concluded that the concordance between raters was good (0.6-0.9)</w:t>
      </w:r>
      <w:r w:rsidR="0014079E" w:rsidRPr="00DD304A">
        <w:t>,</w:t>
      </w:r>
      <w:r w:rsidRPr="00DD304A">
        <w:t xml:space="preserve"> and diagnosis was significantly better when using the AI-based assistive software.</w:t>
      </w:r>
    </w:p>
    <w:p w14:paraId="38F8290A" w14:textId="77777777" w:rsidR="00D44F9D" w:rsidRPr="00DD304A" w:rsidRDefault="00D44F9D" w:rsidP="00DD304A">
      <w:pPr>
        <w:keepNext/>
        <w:keepLines/>
        <w:spacing w:before="240" w:after="0"/>
        <w:outlineLvl w:val="3"/>
        <w:rPr>
          <w:rFonts w:eastAsiaTheme="majorEastAsia" w:cstheme="majorBidi"/>
          <w:b/>
        </w:rPr>
      </w:pPr>
      <w:r w:rsidRPr="00DD304A">
        <w:rPr>
          <w:rFonts w:eastAsiaTheme="majorEastAsia" w:cstheme="majorBidi"/>
          <w:b/>
        </w:rPr>
        <w:t>Prognostic evidence</w:t>
      </w:r>
    </w:p>
    <w:p w14:paraId="7776662E" w14:textId="77D2F00F" w:rsidR="00280EE9" w:rsidRPr="00DD304A" w:rsidRDefault="00280EE9" w:rsidP="00280EE9">
      <w:r w:rsidRPr="00DD304A">
        <w:t xml:space="preserve">The data from 25 studies reporting on the prognostic effect of the Aβ biomarker, detected by either Aβ-PET or by CSF AD biomarker testing was assessed during </w:t>
      </w:r>
      <w:r w:rsidR="0014079E" w:rsidRPr="00DD304A">
        <w:t xml:space="preserve">the </w:t>
      </w:r>
      <w:r w:rsidRPr="00DD304A">
        <w:t>evaluation.</w:t>
      </w:r>
    </w:p>
    <w:p w14:paraId="143AEAAD" w14:textId="75E704C1" w:rsidR="00280EE9" w:rsidRPr="00DD304A" w:rsidRDefault="00280EE9" w:rsidP="00280EE9">
      <w:r w:rsidRPr="00DD304A">
        <w:t xml:space="preserve">Of the eight studies that investigated the prognostic value of Aβ burden at baseline (detected by Aβ-PET) in predicting cognitive decline from MCI to AD, seven found some significant association. The eighth study reported that the sensitivity and specificity of Aβ-PET for differentiation between stable MCI and conversion of MCI to AD was 66.7% and 60%, respectively, but did not comment on whether this showed a statistically significant ability to identify MCI patients likely to convert to AD. Two studies investigated whether there was any association between conversion to AD and longitudinal Aβ burden changes </w:t>
      </w:r>
      <w:r w:rsidR="000A3B23" w:rsidRPr="00DD304A">
        <w:t>but</w:t>
      </w:r>
      <w:r w:rsidRPr="00DD304A">
        <w:t xml:space="preserve"> found no</w:t>
      </w:r>
      <w:r w:rsidR="000A3B23" w:rsidRPr="00DD304A">
        <w:t xml:space="preserve"> association</w:t>
      </w:r>
      <w:r w:rsidRPr="00DD304A">
        <w:t>.</w:t>
      </w:r>
    </w:p>
    <w:p w14:paraId="33499AFB" w14:textId="6FFF1BF9" w:rsidR="00280EE9" w:rsidRPr="00DD304A" w:rsidRDefault="00280EE9" w:rsidP="00280EE9">
      <w:r w:rsidRPr="00DD304A">
        <w:t>Of the 17 studies reporting on the prognostic effect of CSF AD biomarkers, 13 reported on an association between the CSF AD biomarker concentrations and cognitive decline in MCI patients, leading to progression to AD. Eight found A</w:t>
      </w:r>
      <w:r w:rsidRPr="00DD304A">
        <w:rPr>
          <w:rFonts w:cstheme="minorHAnsi"/>
        </w:rPr>
        <w:t>β</w:t>
      </w:r>
      <w:r w:rsidRPr="00DD304A">
        <w:t xml:space="preserve">42 levels were predictive, and eight found t-tau and/or p-tau levels to be predictive. Of the studies that investigated the ability of CSF </w:t>
      </w:r>
      <w:r w:rsidR="00736395" w:rsidRPr="00DD304A">
        <w:t xml:space="preserve">AD </w:t>
      </w:r>
      <w:r w:rsidRPr="00DD304A">
        <w:t>biomarker ratios to predict progression to AD, 4/4 and 3/3 studies found t-tau/A</w:t>
      </w:r>
      <w:r w:rsidRPr="00DD304A">
        <w:rPr>
          <w:rFonts w:cstheme="minorHAnsi"/>
        </w:rPr>
        <w:t>β</w:t>
      </w:r>
      <w:r w:rsidRPr="00DD304A">
        <w:t>42 and p-tau/A</w:t>
      </w:r>
      <w:r w:rsidRPr="00DD304A">
        <w:rPr>
          <w:rFonts w:cstheme="minorHAnsi"/>
        </w:rPr>
        <w:t>β</w:t>
      </w:r>
      <w:r w:rsidRPr="00DD304A">
        <w:t>42 ratios, respectively, to be predictive. However, only 1</w:t>
      </w:r>
      <w:r w:rsidR="000A3B23" w:rsidRPr="00DD304A">
        <w:t xml:space="preserve"> out of </w:t>
      </w:r>
      <w:r w:rsidRPr="00DD304A">
        <w:t>3 studies found A</w:t>
      </w:r>
      <w:r w:rsidRPr="00DD304A">
        <w:rPr>
          <w:rFonts w:cstheme="minorHAnsi"/>
        </w:rPr>
        <w:t xml:space="preserve">β42/Aβ40 ratios to be predictive. </w:t>
      </w:r>
      <w:r w:rsidRPr="00DD304A">
        <w:t>Two studies found no association between CSF</w:t>
      </w:r>
      <w:r w:rsidR="00736395" w:rsidRPr="00DD304A">
        <w:t xml:space="preserve"> AD</w:t>
      </w:r>
      <w:r w:rsidRPr="00DD304A">
        <w:t xml:space="preserve"> biomarkers and time to conversion from MCI to AD. In contrast, three other studies found some association between biomarker levels and the rate of cognitive impairment.</w:t>
      </w:r>
    </w:p>
    <w:p w14:paraId="29CB6880" w14:textId="5DBF0EE8" w:rsidR="00280EE9" w:rsidRPr="00DD304A" w:rsidRDefault="000A3B23" w:rsidP="00280EE9">
      <w:r w:rsidRPr="00DD304A">
        <w:t>O</w:t>
      </w:r>
      <w:r w:rsidR="00280EE9" w:rsidRPr="00DD304A">
        <w:t xml:space="preserve">f the 25 studies </w:t>
      </w:r>
      <w:r w:rsidR="00574C48" w:rsidRPr="00DD304A">
        <w:t xml:space="preserve">included as providing prognostic evidence </w:t>
      </w:r>
      <w:r w:rsidR="007220C7" w:rsidRPr="00DD304A">
        <w:t xml:space="preserve">(24 </w:t>
      </w:r>
      <w:r w:rsidR="00E51EED" w:rsidRPr="00DD304A">
        <w:t>identified during the evaluation</w:t>
      </w:r>
      <w:r w:rsidR="007220C7" w:rsidRPr="00DD304A">
        <w:t>)</w:t>
      </w:r>
      <w:r w:rsidR="00280EE9" w:rsidRPr="00DD304A">
        <w:t>, 20 (80%) found that Aβ burden, as determined by either A</w:t>
      </w:r>
      <w:r w:rsidR="00280EE9" w:rsidRPr="00DD304A">
        <w:rPr>
          <w:rFonts w:cstheme="minorHAnsi"/>
        </w:rPr>
        <w:t>β</w:t>
      </w:r>
      <w:r w:rsidR="00280EE9" w:rsidRPr="00DD304A">
        <w:t>-PET or CSF A</w:t>
      </w:r>
      <w:r w:rsidR="00280EE9" w:rsidRPr="00DD304A">
        <w:rPr>
          <w:rFonts w:cstheme="minorHAnsi"/>
        </w:rPr>
        <w:t>β</w:t>
      </w:r>
      <w:r w:rsidR="00280EE9" w:rsidRPr="00DD304A">
        <w:t xml:space="preserve">42 concentration, predicted progression to AD in patients with subjective cognitive decline or MCI. </w:t>
      </w:r>
      <w:r w:rsidRPr="00DD304A">
        <w:t xml:space="preserve">Assuming these associations are reliable, </w:t>
      </w:r>
      <w:r w:rsidR="00EB1C8B" w:rsidRPr="00DD304A">
        <w:t xml:space="preserve">the commentary considered that </w:t>
      </w:r>
      <w:r w:rsidRPr="00DD304A">
        <w:t>t</w:t>
      </w:r>
      <w:r w:rsidR="00280EE9" w:rsidRPr="00DD304A">
        <w:t>his suggests that Aβ burden is prognostic of cognitive decline over time.</w:t>
      </w:r>
    </w:p>
    <w:p w14:paraId="18ED7687" w14:textId="77777777" w:rsidR="00D44F9D" w:rsidRPr="00DD304A" w:rsidRDefault="00D44F9D" w:rsidP="00DD304A">
      <w:pPr>
        <w:keepNext/>
        <w:keepLines/>
        <w:spacing w:before="240" w:after="0"/>
        <w:outlineLvl w:val="3"/>
        <w:rPr>
          <w:rFonts w:eastAsiaTheme="majorEastAsia" w:cstheme="majorBidi"/>
          <w:b/>
        </w:rPr>
      </w:pPr>
      <w:r w:rsidRPr="00DD304A">
        <w:rPr>
          <w:rFonts w:eastAsiaTheme="majorEastAsia" w:cstheme="majorBidi"/>
          <w:b/>
        </w:rPr>
        <w:lastRenderedPageBreak/>
        <w:t xml:space="preserve">Predictive evidence </w:t>
      </w:r>
    </w:p>
    <w:p w14:paraId="6C66ECC2" w14:textId="2ADD11BD" w:rsidR="00280EE9" w:rsidRPr="00DD304A" w:rsidRDefault="00280EE9" w:rsidP="00280EE9">
      <w:r w:rsidRPr="00DD304A">
        <w:t xml:space="preserve">No studies were identified by the </w:t>
      </w:r>
      <w:r w:rsidR="00D51801" w:rsidRPr="00D51801">
        <w:t>submission</w:t>
      </w:r>
      <w:r w:rsidRPr="00DD304A">
        <w:t>, or during the evaluation</w:t>
      </w:r>
      <w:r w:rsidR="000A3B23" w:rsidRPr="00DD304A">
        <w:t>,</w:t>
      </w:r>
      <w:r w:rsidRPr="00DD304A">
        <w:t xml:space="preserve"> that investigated the long-term effect of Aβ immune therapy (active or passive) in patients who have detectable Aβ pathology compared to those who do not. </w:t>
      </w:r>
    </w:p>
    <w:p w14:paraId="39992F57" w14:textId="77777777" w:rsidR="003D3E6A" w:rsidRPr="00DD304A" w:rsidRDefault="003D3E6A" w:rsidP="00DD304A">
      <w:pPr>
        <w:keepNext/>
        <w:keepLines/>
        <w:spacing w:before="240" w:after="0"/>
        <w:outlineLvl w:val="3"/>
        <w:rPr>
          <w:rFonts w:eastAsiaTheme="majorEastAsia" w:cstheme="majorBidi"/>
          <w:b/>
        </w:rPr>
      </w:pPr>
      <w:bookmarkStart w:id="51" w:name="_Ref196213623"/>
      <w:r w:rsidRPr="00DD304A">
        <w:rPr>
          <w:rFonts w:eastAsiaTheme="majorEastAsia" w:cstheme="majorBidi"/>
          <w:b/>
        </w:rPr>
        <w:t>Change in management in practice</w:t>
      </w:r>
      <w:bookmarkEnd w:id="51"/>
    </w:p>
    <w:p w14:paraId="28C29C82" w14:textId="1F43F1A0" w:rsidR="00280EE9" w:rsidRPr="00DD304A" w:rsidRDefault="00280EE9" w:rsidP="00280EE9">
      <w:r w:rsidRPr="00DD304A">
        <w:t xml:space="preserve">This </w:t>
      </w:r>
      <w:r w:rsidR="00D51801" w:rsidRPr="00D51801">
        <w:t>submission</w:t>
      </w:r>
      <w:r w:rsidR="00D51801" w:rsidRPr="00D51801" w:rsidDel="00D51801">
        <w:t xml:space="preserve"> </w:t>
      </w:r>
      <w:r w:rsidRPr="00DD304A">
        <w:t>propose</w:t>
      </w:r>
      <w:r w:rsidR="000A3B23" w:rsidRPr="00DD304A">
        <w:t>d</w:t>
      </w:r>
      <w:r w:rsidRPr="00DD304A">
        <w:t xml:space="preserve"> a change in clinical management for patients with early AD, who have A</w:t>
      </w:r>
      <w:r w:rsidRPr="00DD304A">
        <w:rPr>
          <w:rFonts w:cstheme="minorHAnsi"/>
        </w:rPr>
        <w:t>β</w:t>
      </w:r>
      <w:r w:rsidRPr="00DD304A">
        <w:t xml:space="preserve"> pathology confirmed by </w:t>
      </w:r>
      <w:r w:rsidR="000A3B23" w:rsidRPr="00DD304A">
        <w:t>Aβ-PET or CSF AD biomarker testing</w:t>
      </w:r>
      <w:r w:rsidRPr="00DD304A">
        <w:t>.</w:t>
      </w:r>
    </w:p>
    <w:p w14:paraId="4CFB0197" w14:textId="7101CE3B" w:rsidR="00280EE9" w:rsidRPr="00DD304A" w:rsidRDefault="000A3B23" w:rsidP="00280EE9">
      <w:r w:rsidRPr="00DD304A">
        <w:t xml:space="preserve">The </w:t>
      </w:r>
      <w:r w:rsidR="00D51801" w:rsidRPr="00D51801">
        <w:t>submission</w:t>
      </w:r>
      <w:r w:rsidR="00D51801" w:rsidRPr="00D51801" w:rsidDel="00D51801">
        <w:t xml:space="preserve"> </w:t>
      </w:r>
      <w:r w:rsidRPr="00DD304A">
        <w:t>suggest</w:t>
      </w:r>
      <w:r w:rsidR="00936923">
        <w:t>ed</w:t>
      </w:r>
      <w:r w:rsidRPr="00DD304A">
        <w:t xml:space="preserve"> that patients </w:t>
      </w:r>
      <w:r w:rsidR="00280EE9" w:rsidRPr="00DD304A">
        <w:t>who do not have A</w:t>
      </w:r>
      <w:r w:rsidR="00280EE9" w:rsidRPr="00DD304A">
        <w:rPr>
          <w:rFonts w:cstheme="minorHAnsi"/>
        </w:rPr>
        <w:t xml:space="preserve">β pathology detected by Aβ-PET or CSF AD biomarker testing </w:t>
      </w:r>
      <w:r w:rsidR="00280EE9" w:rsidRPr="00DD304A">
        <w:t xml:space="preserve">will not have a change in management and will receive SoC, as per the current clinical management algorithm. </w:t>
      </w:r>
    </w:p>
    <w:p w14:paraId="5478E854" w14:textId="42E0B71E" w:rsidR="00280EE9" w:rsidRPr="00DD304A" w:rsidRDefault="00EB1C8B" w:rsidP="00280EE9">
      <w:r w:rsidRPr="00DD304A">
        <w:t>The commentary considered that t</w:t>
      </w:r>
      <w:r w:rsidR="00280EE9" w:rsidRPr="00DD304A">
        <w:t xml:space="preserve">his assumption </w:t>
      </w:r>
      <w:r w:rsidR="00936923">
        <w:t>wa</w:t>
      </w:r>
      <w:r w:rsidR="000A3B23" w:rsidRPr="00DD304A">
        <w:t>s reasonable,</w:t>
      </w:r>
      <w:r w:rsidR="00280EE9" w:rsidRPr="00DD304A">
        <w:t xml:space="preserve"> although there may be some potential for </w:t>
      </w:r>
      <w:r w:rsidR="000A3B23" w:rsidRPr="00DD304A">
        <w:t>changes to treatment options beyond donanemab treatment</w:t>
      </w:r>
      <w:r w:rsidR="00280EE9" w:rsidRPr="00DD304A">
        <w:t>.</w:t>
      </w:r>
    </w:p>
    <w:p w14:paraId="3D75BCA0" w14:textId="644DE223" w:rsidR="00280EE9" w:rsidRPr="00DD304A" w:rsidRDefault="00280EE9" w:rsidP="00280EE9">
      <w:r w:rsidRPr="00DD304A">
        <w:t>During</w:t>
      </w:r>
      <w:r w:rsidR="000A3B23" w:rsidRPr="00DD304A">
        <w:t xml:space="preserve"> the</w:t>
      </w:r>
      <w:r w:rsidRPr="00DD304A">
        <w:t xml:space="preserve"> evaluation</w:t>
      </w:r>
      <w:r w:rsidR="00421532" w:rsidRPr="00DD304A">
        <w:t>,</w:t>
      </w:r>
      <w:r w:rsidRPr="00DD304A">
        <w:t xml:space="preserve"> two studies were identified that discussed a change in management of up to 40% of patients diagnosed with </w:t>
      </w:r>
      <w:r w:rsidR="00E51EED" w:rsidRPr="00DD304A">
        <w:t>subjective cognitive decline (</w:t>
      </w:r>
      <w:r w:rsidRPr="00DD304A">
        <w:t>SCD</w:t>
      </w:r>
      <w:r w:rsidR="00E51EED" w:rsidRPr="00DD304A">
        <w:t>)</w:t>
      </w:r>
      <w:r w:rsidRPr="00DD304A">
        <w:t>, MCI or AD after CSF AD biomarker testing or A</w:t>
      </w:r>
      <w:r w:rsidRPr="00DD304A">
        <w:rPr>
          <w:rFonts w:cstheme="minorHAnsi"/>
        </w:rPr>
        <w:t>β</w:t>
      </w:r>
      <w:r w:rsidRPr="00DD304A">
        <w:t>-PET scanning. The change in management did not involve anti-A</w:t>
      </w:r>
      <w:r w:rsidRPr="00DD304A">
        <w:rPr>
          <w:rFonts w:cstheme="minorHAnsi"/>
        </w:rPr>
        <w:t>β therapies</w:t>
      </w:r>
      <w:r w:rsidRPr="00DD304A">
        <w:t xml:space="preserve"> but </w:t>
      </w:r>
      <w:r w:rsidR="000A3B23" w:rsidRPr="00DD304A">
        <w:t>included the</w:t>
      </w:r>
      <w:r w:rsidRPr="00DD304A">
        <w:t xml:space="preserve"> initiation of other medications, such as cholinesterase inhibitors and memantine, or non-pharmacological treatments, such as occupational therapy.</w:t>
      </w:r>
    </w:p>
    <w:p w14:paraId="68D2255B" w14:textId="5001FC2A" w:rsidR="00280EE9" w:rsidRPr="00DD304A" w:rsidRDefault="00EB1C8B" w:rsidP="00280EE9">
      <w:r w:rsidRPr="00DD304A">
        <w:t>The commentary considered that t</w:t>
      </w:r>
      <w:r w:rsidR="00280EE9" w:rsidRPr="00DD304A">
        <w:t>hese studies indicate that there are other clinical uses for both A</w:t>
      </w:r>
      <w:r w:rsidR="00280EE9" w:rsidRPr="00DD304A">
        <w:rPr>
          <w:rFonts w:cstheme="minorHAnsi"/>
        </w:rPr>
        <w:t>β</w:t>
      </w:r>
      <w:r w:rsidR="00280EE9" w:rsidRPr="00DD304A">
        <w:t>-PET and CSF AD biomarker testing that could potentially lead to leakage, where the proposed MBS items may be used for purposes other than determining eligibility to donanemab.</w:t>
      </w:r>
    </w:p>
    <w:p w14:paraId="26608A98" w14:textId="1190C1AA" w:rsidR="00852CEE" w:rsidRPr="00DD304A" w:rsidRDefault="00852CEE" w:rsidP="00172B02">
      <w:pPr>
        <w:pStyle w:val="Heading3"/>
      </w:pPr>
      <w:bookmarkStart w:id="52" w:name="_Hlk164425870"/>
      <w:r w:rsidRPr="00DD304A">
        <w:t>Drug</w:t>
      </w:r>
    </w:p>
    <w:p w14:paraId="5FF07E4E" w14:textId="77A5B43E" w:rsidR="000C3048" w:rsidRDefault="0056332B" w:rsidP="00C6692E">
      <w:r w:rsidRPr="00DD304A">
        <w:t xml:space="preserve">A summary of the comparative benefits and harms for donanemab versus placebo at 18 months in the </w:t>
      </w:r>
      <w:r w:rsidR="00936923">
        <w:t>pivotal</w:t>
      </w:r>
      <w:r w:rsidR="00936923" w:rsidRPr="00DD304A">
        <w:t xml:space="preserve"> </w:t>
      </w:r>
      <w:r w:rsidRPr="00DD304A">
        <w:t xml:space="preserve">TB-2 trial </w:t>
      </w:r>
      <w:r w:rsidR="00936923">
        <w:t>wa</w:t>
      </w:r>
      <w:r w:rsidRPr="00DD304A">
        <w:t xml:space="preserve">s </w:t>
      </w:r>
      <w:r w:rsidRPr="00CE283A">
        <w:t xml:space="preserve">presented in </w:t>
      </w:r>
      <w:r w:rsidR="00171C77">
        <w:fldChar w:fldCharType="begin"/>
      </w:r>
      <w:r w:rsidR="00171C77">
        <w:instrText xml:space="preserve"> REF _Ref207289139 \h </w:instrText>
      </w:r>
      <w:r w:rsidR="00171C77">
        <w:fldChar w:fldCharType="separate"/>
      </w:r>
      <w:r w:rsidR="00171C77">
        <w:t xml:space="preserve">Table </w:t>
      </w:r>
      <w:r w:rsidR="00171C77">
        <w:rPr>
          <w:noProof/>
        </w:rPr>
        <w:t>12</w:t>
      </w:r>
      <w:r w:rsidR="00171C77">
        <w:fldChar w:fldCharType="end"/>
      </w:r>
      <w:r w:rsidRPr="00CE283A">
        <w:t>.</w:t>
      </w:r>
      <w:bookmarkStart w:id="53" w:name="_Ref198547518"/>
    </w:p>
    <w:p w14:paraId="421A4BFA" w14:textId="69413A56" w:rsidR="0056332B" w:rsidRDefault="00171C77" w:rsidP="00565B62">
      <w:pPr>
        <w:pStyle w:val="Caption"/>
      </w:pPr>
      <w:bookmarkStart w:id="54" w:name="_Ref207289139"/>
      <w:bookmarkEnd w:id="53"/>
      <w:r>
        <w:lastRenderedPageBreak/>
        <w:t xml:space="preserve">Table </w:t>
      </w:r>
      <w:r>
        <w:fldChar w:fldCharType="begin"/>
      </w:r>
      <w:r>
        <w:instrText xml:space="preserve"> SEQ Table \* ARABIC </w:instrText>
      </w:r>
      <w:r>
        <w:fldChar w:fldCharType="separate"/>
      </w:r>
      <w:r>
        <w:rPr>
          <w:noProof/>
        </w:rPr>
        <w:t>12</w:t>
      </w:r>
      <w:r>
        <w:rPr>
          <w:noProof/>
        </w:rPr>
        <w:fldChar w:fldCharType="end"/>
      </w:r>
      <w:bookmarkEnd w:id="54"/>
      <w:r>
        <w:t xml:space="preserve"> </w:t>
      </w:r>
      <w:r w:rsidR="0056332B" w:rsidRPr="00EE0EEB">
        <w:t xml:space="preserve">TB-2: Summary of comparative benefits and harms for donanemab (700 mg Q4W for the first </w:t>
      </w:r>
      <w:r w:rsidR="000C5D33">
        <w:t>3</w:t>
      </w:r>
      <w:r w:rsidR="0056332B" w:rsidRPr="00EE0EEB">
        <w:t xml:space="preserve"> doses, followed thereafter by 1,400 mg Q4W) compared with placebo </w:t>
      </w:r>
      <w:r w:rsidR="00AB2B91">
        <w:t xml:space="preserve">(overall population) </w:t>
      </w:r>
      <w:r w:rsidR="0056332B" w:rsidRPr="00EE0EEB">
        <w:t>– 76 weeks follow-up</w:t>
      </w:r>
    </w:p>
    <w:tbl>
      <w:tblPr>
        <w:tblStyle w:val="TableGrid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190"/>
        <w:gridCol w:w="1434"/>
        <w:gridCol w:w="1156"/>
        <w:gridCol w:w="1069"/>
        <w:gridCol w:w="1479"/>
      </w:tblGrid>
      <w:tr w:rsidR="00791398" w:rsidRPr="00791398" w14:paraId="7A276B7E" w14:textId="77777777" w:rsidTr="00D661E4">
        <w:trPr>
          <w:cantSplit/>
          <w:tblHeader/>
        </w:trPr>
        <w:tc>
          <w:tcPr>
            <w:tcW w:w="2946" w:type="pct"/>
            <w:gridSpan w:val="3"/>
          </w:tcPr>
          <w:p w14:paraId="4F848089" w14:textId="77777777" w:rsidR="00791398" w:rsidRPr="00791398" w:rsidRDefault="00791398" w:rsidP="004553FA">
            <w:pPr>
              <w:keepNext/>
              <w:keepLines/>
              <w:widowControl w:val="0"/>
              <w:spacing w:before="40" w:after="40"/>
              <w:rPr>
                <w:rFonts w:ascii="Arial Narrow" w:hAnsi="Arial Narrow"/>
                <w:b/>
                <w:bCs/>
                <w:color w:val="auto"/>
                <w:lang w:val="en-AU"/>
              </w:rPr>
            </w:pPr>
            <w:r w:rsidRPr="00791398">
              <w:rPr>
                <w:rFonts w:ascii="Arial Narrow" w:hAnsi="Arial Narrow"/>
                <w:b/>
                <w:color w:val="auto"/>
                <w:lang w:val="en-AU"/>
              </w:rPr>
              <w:t>Outcome</w:t>
            </w:r>
          </w:p>
        </w:tc>
        <w:tc>
          <w:tcPr>
            <w:tcW w:w="1233" w:type="pct"/>
            <w:gridSpan w:val="2"/>
          </w:tcPr>
          <w:p w14:paraId="2943DE17" w14:textId="77777777" w:rsidR="00791398" w:rsidRPr="00791398" w:rsidRDefault="00791398"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Donanemab</w:t>
            </w:r>
          </w:p>
        </w:tc>
        <w:tc>
          <w:tcPr>
            <w:tcW w:w="820" w:type="pct"/>
          </w:tcPr>
          <w:p w14:paraId="2BABD56C" w14:textId="77777777" w:rsidR="00791398" w:rsidRPr="00791398" w:rsidRDefault="00791398"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Placebo</w:t>
            </w:r>
          </w:p>
        </w:tc>
      </w:tr>
      <w:tr w:rsidR="00791398" w:rsidRPr="00791398" w14:paraId="0A7DB8CB" w14:textId="77777777" w:rsidTr="00792757">
        <w:trPr>
          <w:cantSplit/>
        </w:trPr>
        <w:tc>
          <w:tcPr>
            <w:tcW w:w="5000" w:type="pct"/>
            <w:gridSpan w:val="6"/>
          </w:tcPr>
          <w:p w14:paraId="5553CA1E" w14:textId="77777777" w:rsidR="00791398" w:rsidRPr="00791398" w:rsidRDefault="00791398" w:rsidP="004553FA">
            <w:pPr>
              <w:keepNext/>
              <w:keepLines/>
              <w:widowControl w:val="0"/>
              <w:spacing w:before="40" w:after="40"/>
              <w:rPr>
                <w:rFonts w:ascii="Arial Narrow" w:hAnsi="Arial Narrow"/>
                <w:b/>
                <w:bCs/>
                <w:color w:val="auto"/>
                <w:lang w:val="en-AU"/>
              </w:rPr>
            </w:pPr>
            <w:r w:rsidRPr="00791398">
              <w:rPr>
                <w:rFonts w:ascii="Arial Narrow" w:hAnsi="Arial Narrow"/>
                <w:b/>
                <w:color w:val="auto"/>
                <w:lang w:val="en-AU"/>
              </w:rPr>
              <w:t>Benefits (Evaluable Efficacy Set)</w:t>
            </w:r>
          </w:p>
        </w:tc>
      </w:tr>
      <w:tr w:rsidR="00791398" w:rsidRPr="00791398" w14:paraId="08E5EE69" w14:textId="77777777" w:rsidTr="00D661E4">
        <w:trPr>
          <w:cantSplit/>
        </w:trPr>
        <w:tc>
          <w:tcPr>
            <w:tcW w:w="2946" w:type="pct"/>
            <w:gridSpan w:val="3"/>
          </w:tcPr>
          <w:p w14:paraId="1426F9B3" w14:textId="77777777" w:rsidR="00791398" w:rsidRPr="00791398" w:rsidRDefault="00791398" w:rsidP="004553FA">
            <w:pPr>
              <w:keepNext/>
              <w:keepLines/>
              <w:widowControl w:val="0"/>
              <w:spacing w:before="40" w:after="40"/>
              <w:rPr>
                <w:rFonts w:ascii="Arial Narrow" w:hAnsi="Arial Narrow"/>
                <w:b/>
                <w:bCs/>
                <w:color w:val="auto"/>
                <w:lang w:val="en-AU"/>
              </w:rPr>
            </w:pPr>
            <w:r w:rsidRPr="00791398">
              <w:rPr>
                <w:rFonts w:ascii="Arial Narrow" w:hAnsi="Arial Narrow"/>
                <w:b/>
                <w:color w:val="auto"/>
                <w:lang w:val="en-AU"/>
              </w:rPr>
              <w:t xml:space="preserve">Primary outcome of </w:t>
            </w:r>
            <w:proofErr w:type="spellStart"/>
            <w:r w:rsidRPr="00791398">
              <w:rPr>
                <w:rFonts w:ascii="Arial Narrow" w:hAnsi="Arial Narrow"/>
                <w:b/>
                <w:color w:val="auto"/>
                <w:lang w:val="en-AU"/>
              </w:rPr>
              <w:t>iADRS</w:t>
            </w:r>
            <w:r w:rsidRPr="00791398">
              <w:rPr>
                <w:rFonts w:ascii="Arial Narrow" w:hAnsi="Arial Narrow"/>
                <w:b/>
                <w:color w:val="auto"/>
                <w:vertAlign w:val="superscript"/>
                <w:lang w:val="en-AU"/>
              </w:rPr>
              <w:t>a</w:t>
            </w:r>
            <w:proofErr w:type="spellEnd"/>
            <w:r w:rsidRPr="00791398">
              <w:rPr>
                <w:rFonts w:ascii="Arial Narrow" w:hAnsi="Arial Narrow"/>
                <w:b/>
                <w:color w:val="auto"/>
                <w:lang w:val="en-AU"/>
              </w:rPr>
              <w:t xml:space="preserve"> change from baseline at 76 weeks</w:t>
            </w:r>
          </w:p>
        </w:tc>
        <w:tc>
          <w:tcPr>
            <w:tcW w:w="1233" w:type="pct"/>
            <w:gridSpan w:val="2"/>
          </w:tcPr>
          <w:p w14:paraId="3645F31D"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N=583</w:t>
            </w:r>
          </w:p>
        </w:tc>
        <w:tc>
          <w:tcPr>
            <w:tcW w:w="820" w:type="pct"/>
          </w:tcPr>
          <w:p w14:paraId="348C6405"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N=653</w:t>
            </w:r>
          </w:p>
        </w:tc>
      </w:tr>
      <w:tr w:rsidR="00791398" w:rsidRPr="00791398" w14:paraId="71F5367D" w14:textId="77777777" w:rsidTr="00D661E4">
        <w:trPr>
          <w:cantSplit/>
        </w:trPr>
        <w:tc>
          <w:tcPr>
            <w:tcW w:w="2946" w:type="pct"/>
            <w:gridSpan w:val="3"/>
          </w:tcPr>
          <w:p w14:paraId="77F7D668"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 xml:space="preserve">Mean change from baseline </w:t>
            </w:r>
          </w:p>
        </w:tc>
        <w:tc>
          <w:tcPr>
            <w:tcW w:w="1233" w:type="pct"/>
            <w:gridSpan w:val="2"/>
          </w:tcPr>
          <w:p w14:paraId="79E950AF" w14:textId="77777777" w:rsidR="00791398" w:rsidRPr="00791398" w:rsidRDefault="00791398" w:rsidP="004553FA">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-10.19</w:t>
            </w:r>
          </w:p>
        </w:tc>
        <w:tc>
          <w:tcPr>
            <w:tcW w:w="820" w:type="pct"/>
          </w:tcPr>
          <w:p w14:paraId="06C941FD" w14:textId="77777777" w:rsidR="00791398" w:rsidRPr="00791398" w:rsidRDefault="00791398" w:rsidP="004553FA">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-13.11</w:t>
            </w:r>
          </w:p>
        </w:tc>
      </w:tr>
      <w:tr w:rsidR="00791398" w:rsidRPr="00791398" w14:paraId="1DC7E345" w14:textId="77777777" w:rsidTr="00D661E4">
        <w:trPr>
          <w:cantSplit/>
          <w:trHeight w:val="215"/>
        </w:trPr>
        <w:tc>
          <w:tcPr>
            <w:tcW w:w="2946" w:type="pct"/>
            <w:gridSpan w:val="3"/>
          </w:tcPr>
          <w:p w14:paraId="6738405C"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 xml:space="preserve">Difference in mean change donanemab minus placebo (95% CI) </w:t>
            </w:r>
          </w:p>
        </w:tc>
        <w:tc>
          <w:tcPr>
            <w:tcW w:w="2054" w:type="pct"/>
            <w:gridSpan w:val="3"/>
          </w:tcPr>
          <w:p w14:paraId="3DB32CBB" w14:textId="4C21F12E" w:rsidR="00791398" w:rsidRPr="00791398" w:rsidRDefault="00791398" w:rsidP="004553FA">
            <w:pPr>
              <w:keepNext/>
              <w:keepLines/>
              <w:widowControl w:val="0"/>
              <w:numPr>
                <w:ilvl w:val="1"/>
                <w:numId w:val="17"/>
              </w:numPr>
              <w:tabs>
                <w:tab w:val="decimal" w:pos="396"/>
              </w:tabs>
              <w:spacing w:before="40" w:after="40"/>
              <w:ind w:right="57"/>
              <w:jc w:val="center"/>
              <w:rPr>
                <w:rFonts w:ascii="Arial Narrow" w:hAnsi="Arial Narrow"/>
                <w:color w:val="auto"/>
                <w:lang w:val="en-AU"/>
              </w:rPr>
            </w:pPr>
            <w:r w:rsidRPr="00791398">
              <w:rPr>
                <w:rFonts w:ascii="Arial Narrow" w:hAnsi="Arial Narrow"/>
                <w:color w:val="auto"/>
                <w:lang w:val="en-AU"/>
              </w:rPr>
              <w:t>(1.51, 4.33)</w:t>
            </w:r>
            <w:r w:rsidR="00AB2B91">
              <w:rPr>
                <w:rFonts w:ascii="Arial Narrow" w:hAnsi="Arial Narrow"/>
                <w:color w:val="auto"/>
                <w:lang w:val="en-AU"/>
              </w:rPr>
              <w:t xml:space="preserve"> </w:t>
            </w:r>
            <w:r w:rsidRPr="00791398">
              <w:rPr>
                <w:rFonts w:ascii="Arial Narrow" w:hAnsi="Arial Narrow"/>
                <w:color w:val="auto"/>
                <w:lang w:val="en-AU"/>
              </w:rPr>
              <w:t>p&lt;0.001</w:t>
            </w:r>
          </w:p>
        </w:tc>
      </w:tr>
      <w:tr w:rsidR="00791398" w:rsidRPr="00791398" w14:paraId="44C88ABE" w14:textId="77777777" w:rsidTr="00D661E4">
        <w:trPr>
          <w:cantSplit/>
          <w:trHeight w:val="215"/>
        </w:trPr>
        <w:tc>
          <w:tcPr>
            <w:tcW w:w="2946" w:type="pct"/>
            <w:gridSpan w:val="3"/>
          </w:tcPr>
          <w:p w14:paraId="18667FAC" w14:textId="77777777" w:rsidR="00791398" w:rsidRPr="00791398" w:rsidRDefault="00791398" w:rsidP="004553FA">
            <w:pPr>
              <w:keepNext/>
              <w:keepLines/>
              <w:widowControl w:val="0"/>
              <w:spacing w:before="40" w:after="40"/>
              <w:rPr>
                <w:rFonts w:ascii="Arial Narrow" w:hAnsi="Arial Narrow"/>
                <w:bCs/>
                <w:color w:val="auto"/>
                <w:lang w:val="en-AU"/>
              </w:rPr>
            </w:pPr>
            <w:r w:rsidRPr="00791398">
              <w:rPr>
                <w:rFonts w:ascii="Arial Narrow" w:hAnsi="Arial Narrow"/>
                <w:color w:val="auto"/>
                <w:lang w:val="en-AU"/>
              </w:rPr>
              <w:t>% reduction (slowing) in disease decline, donanemab vs. placebo (delay in decline)</w:t>
            </w:r>
          </w:p>
        </w:tc>
        <w:tc>
          <w:tcPr>
            <w:tcW w:w="2054" w:type="pct"/>
            <w:gridSpan w:val="3"/>
          </w:tcPr>
          <w:p w14:paraId="2F3CA667"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22.3% (1.38 months delay)</w:t>
            </w:r>
          </w:p>
        </w:tc>
      </w:tr>
      <w:tr w:rsidR="00791398" w:rsidRPr="00791398" w14:paraId="6346DAF5" w14:textId="77777777" w:rsidTr="00D661E4">
        <w:trPr>
          <w:cantSplit/>
          <w:trHeight w:val="215"/>
        </w:trPr>
        <w:tc>
          <w:tcPr>
            <w:tcW w:w="2946" w:type="pct"/>
            <w:gridSpan w:val="3"/>
          </w:tcPr>
          <w:p w14:paraId="5C7F863F"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b/>
                <w:color w:val="auto"/>
                <w:lang w:val="en-AU"/>
              </w:rPr>
              <w:t>Secondary outcome of CDR-SB change from baseline at 76 weeks</w:t>
            </w:r>
          </w:p>
        </w:tc>
        <w:tc>
          <w:tcPr>
            <w:tcW w:w="1233" w:type="pct"/>
            <w:gridSpan w:val="2"/>
          </w:tcPr>
          <w:p w14:paraId="234DF5F5"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b/>
                <w:color w:val="auto"/>
                <w:lang w:val="en-AU"/>
              </w:rPr>
              <w:t>N=598</w:t>
            </w:r>
          </w:p>
        </w:tc>
        <w:tc>
          <w:tcPr>
            <w:tcW w:w="820" w:type="pct"/>
          </w:tcPr>
          <w:p w14:paraId="00E16E08"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b/>
                <w:color w:val="auto"/>
                <w:lang w:val="en-AU"/>
              </w:rPr>
              <w:t>N=672</w:t>
            </w:r>
          </w:p>
        </w:tc>
      </w:tr>
      <w:tr w:rsidR="00791398" w:rsidRPr="00791398" w14:paraId="073EF5F8" w14:textId="77777777" w:rsidTr="00D661E4">
        <w:trPr>
          <w:cantSplit/>
          <w:trHeight w:val="215"/>
        </w:trPr>
        <w:tc>
          <w:tcPr>
            <w:tcW w:w="2946" w:type="pct"/>
            <w:gridSpan w:val="3"/>
          </w:tcPr>
          <w:p w14:paraId="304ACFBC"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Mean change from baseline</w:t>
            </w:r>
          </w:p>
        </w:tc>
        <w:tc>
          <w:tcPr>
            <w:tcW w:w="1233" w:type="pct"/>
            <w:gridSpan w:val="2"/>
          </w:tcPr>
          <w:p w14:paraId="41101F5C"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1.66</w:t>
            </w:r>
          </w:p>
        </w:tc>
        <w:tc>
          <w:tcPr>
            <w:tcW w:w="820" w:type="pct"/>
          </w:tcPr>
          <w:p w14:paraId="228FF1E0"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2.33</w:t>
            </w:r>
          </w:p>
        </w:tc>
      </w:tr>
      <w:tr w:rsidR="00791398" w:rsidRPr="00791398" w14:paraId="72B6A697" w14:textId="77777777" w:rsidTr="00D661E4">
        <w:trPr>
          <w:cantSplit/>
          <w:trHeight w:val="215"/>
        </w:trPr>
        <w:tc>
          <w:tcPr>
            <w:tcW w:w="2946" w:type="pct"/>
            <w:gridSpan w:val="3"/>
          </w:tcPr>
          <w:p w14:paraId="156EEB89"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Difference in mean change donanemab minus placebo (95% CI)</w:t>
            </w:r>
          </w:p>
        </w:tc>
        <w:tc>
          <w:tcPr>
            <w:tcW w:w="2054" w:type="pct"/>
            <w:gridSpan w:val="3"/>
          </w:tcPr>
          <w:p w14:paraId="5B4EA256"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-0.67 (-0.92, -0.43)</w:t>
            </w:r>
          </w:p>
        </w:tc>
      </w:tr>
      <w:tr w:rsidR="00791398" w:rsidRPr="00791398" w14:paraId="66CD50DA" w14:textId="77777777" w:rsidTr="00D661E4">
        <w:trPr>
          <w:cantSplit/>
          <w:trHeight w:val="215"/>
        </w:trPr>
        <w:tc>
          <w:tcPr>
            <w:tcW w:w="2946" w:type="pct"/>
            <w:gridSpan w:val="3"/>
            <w:tcBorders>
              <w:bottom w:val="single" w:sz="4" w:space="0" w:color="auto"/>
            </w:tcBorders>
          </w:tcPr>
          <w:p w14:paraId="6421D787"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 reduction (slowing) in disease decline, donanemab vs. placebo (delay in decline)</w:t>
            </w:r>
          </w:p>
        </w:tc>
        <w:tc>
          <w:tcPr>
            <w:tcW w:w="2054" w:type="pct"/>
            <w:gridSpan w:val="3"/>
            <w:tcBorders>
              <w:bottom w:val="single" w:sz="4" w:space="0" w:color="auto"/>
            </w:tcBorders>
          </w:tcPr>
          <w:p w14:paraId="01564CCF"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28.9% (5.44 months delay)</w:t>
            </w:r>
          </w:p>
        </w:tc>
      </w:tr>
      <w:tr w:rsidR="00CF1E71" w:rsidRPr="00791398" w14:paraId="65354C42" w14:textId="77777777" w:rsidTr="00CF1E71">
        <w:trPr>
          <w:cantSplit/>
          <w:trHeight w:val="215"/>
        </w:trPr>
        <w:tc>
          <w:tcPr>
            <w:tcW w:w="5000" w:type="pct"/>
            <w:gridSpan w:val="6"/>
            <w:vAlign w:val="center"/>
          </w:tcPr>
          <w:p w14:paraId="0271DCEE" w14:textId="2115BA9C" w:rsidR="00CF1E71" w:rsidRPr="00791398" w:rsidRDefault="00CF1E71" w:rsidP="004553FA">
            <w:pPr>
              <w:keepNext/>
              <w:keepLines/>
              <w:widowControl w:val="0"/>
              <w:spacing w:before="40" w:after="40"/>
              <w:rPr>
                <w:rFonts w:ascii="Arial Narrow" w:hAnsi="Arial Narrow"/>
                <w:color w:val="auto"/>
                <w:lang w:val="en-AU"/>
              </w:rPr>
            </w:pPr>
            <w:r w:rsidRPr="00791398">
              <w:rPr>
                <w:rFonts w:ascii="Arial Narrow" w:hAnsi="Arial Narrow"/>
                <w:b/>
                <w:color w:val="auto"/>
                <w:lang w:val="en-AU"/>
              </w:rPr>
              <w:t>CDR-G</w:t>
            </w:r>
            <w:r w:rsidRPr="00791398">
              <w:rPr>
                <w:rFonts w:ascii="Arial Narrow" w:hAnsi="Arial Narrow"/>
                <w:b/>
                <w:color w:val="auto"/>
                <w:vertAlign w:val="superscript"/>
                <w:lang w:val="en-AU"/>
              </w:rPr>
              <w:t>b</w:t>
            </w:r>
            <w:r w:rsidRPr="00791398">
              <w:rPr>
                <w:rFonts w:ascii="Arial Narrow" w:hAnsi="Arial Narrow"/>
                <w:b/>
                <w:color w:val="auto"/>
                <w:lang w:val="en-AU"/>
              </w:rPr>
              <w:t xml:space="preserve"> Shift from baseline (progression to a later stage)</w:t>
            </w:r>
            <w:r>
              <w:rPr>
                <w:rFonts w:ascii="Arial Narrow" w:hAnsi="Arial Narrow"/>
                <w:b/>
                <w:color w:val="auto"/>
                <w:lang w:val="en-AU"/>
              </w:rPr>
              <w:t xml:space="preserve"> (added by commentary during evaluation)</w:t>
            </w:r>
          </w:p>
        </w:tc>
      </w:tr>
      <w:tr w:rsidR="00791398" w:rsidRPr="00791398" w14:paraId="6AA87AFC" w14:textId="77777777" w:rsidTr="00D661E4">
        <w:trPr>
          <w:cantSplit/>
          <w:trHeight w:val="293"/>
        </w:trPr>
        <w:tc>
          <w:tcPr>
            <w:tcW w:w="2946" w:type="pct"/>
            <w:gridSpan w:val="3"/>
          </w:tcPr>
          <w:p w14:paraId="48BB69DA"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From 0.5 to 1</w:t>
            </w:r>
          </w:p>
          <w:p w14:paraId="58D8B3EC"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(MCI to Mild AD Dementia), n/N (%)</w:t>
            </w:r>
          </w:p>
        </w:tc>
        <w:tc>
          <w:tcPr>
            <w:tcW w:w="1233" w:type="pct"/>
            <w:gridSpan w:val="2"/>
          </w:tcPr>
          <w:p w14:paraId="0C7B5BE0"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N=502</w:t>
            </w:r>
          </w:p>
          <w:p w14:paraId="73804C81"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134/502 (27%)</w:t>
            </w:r>
          </w:p>
        </w:tc>
        <w:tc>
          <w:tcPr>
            <w:tcW w:w="820" w:type="pct"/>
          </w:tcPr>
          <w:p w14:paraId="1C03F08B"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N=521</w:t>
            </w:r>
          </w:p>
          <w:p w14:paraId="5E2FCBC0"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202/521 (39%)</w:t>
            </w:r>
          </w:p>
        </w:tc>
      </w:tr>
      <w:tr w:rsidR="00791398" w:rsidRPr="00791398" w14:paraId="61CCC965" w14:textId="77777777" w:rsidTr="00D661E4">
        <w:trPr>
          <w:cantSplit/>
          <w:trHeight w:val="292"/>
        </w:trPr>
        <w:tc>
          <w:tcPr>
            <w:tcW w:w="2946" w:type="pct"/>
            <w:gridSpan w:val="3"/>
          </w:tcPr>
          <w:p w14:paraId="5C830783"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Difference donanemab minus placebo</w:t>
            </w:r>
          </w:p>
        </w:tc>
        <w:tc>
          <w:tcPr>
            <w:tcW w:w="2054" w:type="pct"/>
            <w:gridSpan w:val="3"/>
          </w:tcPr>
          <w:p w14:paraId="29C410FF"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-12.1%</w:t>
            </w:r>
          </w:p>
        </w:tc>
      </w:tr>
      <w:tr w:rsidR="00791398" w:rsidRPr="00791398" w14:paraId="1128311A" w14:textId="77777777" w:rsidTr="00D661E4">
        <w:trPr>
          <w:cantSplit/>
          <w:trHeight w:val="293"/>
        </w:trPr>
        <w:tc>
          <w:tcPr>
            <w:tcW w:w="2946" w:type="pct"/>
            <w:gridSpan w:val="3"/>
          </w:tcPr>
          <w:p w14:paraId="085721D4"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From 1 to 2</w:t>
            </w:r>
          </w:p>
          <w:p w14:paraId="11B97857"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(Mild AD Dementia to Moderate AD Dementia), n/N (%)</w:t>
            </w:r>
          </w:p>
        </w:tc>
        <w:tc>
          <w:tcPr>
            <w:tcW w:w="1233" w:type="pct"/>
            <w:gridSpan w:val="2"/>
          </w:tcPr>
          <w:p w14:paraId="134A6F89"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N=292</w:t>
            </w:r>
          </w:p>
          <w:p w14:paraId="29A58AA7"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51/292 (17.5%)</w:t>
            </w:r>
          </w:p>
        </w:tc>
        <w:tc>
          <w:tcPr>
            <w:tcW w:w="820" w:type="pct"/>
          </w:tcPr>
          <w:p w14:paraId="4EC4DEC4" w14:textId="77777777" w:rsidR="00791398" w:rsidRPr="00791398" w:rsidRDefault="00791398" w:rsidP="004553FA">
            <w:pPr>
              <w:keepNext/>
              <w:keepLines/>
              <w:widowControl w:val="0"/>
              <w:spacing w:before="40" w:after="40"/>
              <w:jc w:val="center"/>
              <w:rPr>
                <w:rFonts w:ascii="Arial Narrow" w:hAnsi="Arial Narrow"/>
                <w:b/>
                <w:bCs/>
                <w:color w:val="auto"/>
                <w:lang w:val="en-AU"/>
              </w:rPr>
            </w:pPr>
            <w:r w:rsidRPr="00791398">
              <w:rPr>
                <w:rFonts w:ascii="Arial Narrow" w:hAnsi="Arial Narrow"/>
                <w:b/>
                <w:color w:val="auto"/>
                <w:lang w:val="en-AU"/>
              </w:rPr>
              <w:t>N=302</w:t>
            </w:r>
          </w:p>
          <w:p w14:paraId="71A2E496"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82/302 (27.2%)</w:t>
            </w:r>
          </w:p>
        </w:tc>
      </w:tr>
      <w:tr w:rsidR="00791398" w:rsidRPr="00791398" w14:paraId="476814FC" w14:textId="77777777" w:rsidTr="00D661E4">
        <w:trPr>
          <w:cantSplit/>
          <w:trHeight w:val="292"/>
        </w:trPr>
        <w:tc>
          <w:tcPr>
            <w:tcW w:w="2946" w:type="pct"/>
            <w:gridSpan w:val="3"/>
          </w:tcPr>
          <w:p w14:paraId="4DF0676B" w14:textId="77777777"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Difference donanemab minus placebo</w:t>
            </w:r>
          </w:p>
        </w:tc>
        <w:tc>
          <w:tcPr>
            <w:tcW w:w="2054" w:type="pct"/>
            <w:gridSpan w:val="3"/>
          </w:tcPr>
          <w:p w14:paraId="1ABC5DD3" w14:textId="77777777" w:rsidR="00791398" w:rsidRPr="00791398" w:rsidRDefault="00791398" w:rsidP="004553FA">
            <w:pPr>
              <w:keepNext/>
              <w:keepLines/>
              <w:widowControl w:val="0"/>
              <w:spacing w:before="40" w:after="40"/>
              <w:jc w:val="center"/>
              <w:rPr>
                <w:rFonts w:ascii="Arial Narrow" w:hAnsi="Arial Narrow"/>
                <w:color w:val="auto"/>
                <w:lang w:val="en-AU"/>
              </w:rPr>
            </w:pPr>
            <w:r w:rsidRPr="00791398">
              <w:rPr>
                <w:rFonts w:ascii="Arial Narrow" w:hAnsi="Arial Narrow"/>
                <w:color w:val="auto"/>
                <w:lang w:val="en-AU"/>
              </w:rPr>
              <w:t>-9.7%</w:t>
            </w:r>
          </w:p>
        </w:tc>
      </w:tr>
      <w:tr w:rsidR="00791398" w:rsidRPr="00791398" w14:paraId="52AA4BC0" w14:textId="77777777" w:rsidTr="00792757">
        <w:trPr>
          <w:cantSplit/>
        </w:trPr>
        <w:tc>
          <w:tcPr>
            <w:tcW w:w="5000" w:type="pct"/>
            <w:gridSpan w:val="6"/>
          </w:tcPr>
          <w:p w14:paraId="7EF9DD43" w14:textId="77777777" w:rsidR="00791398" w:rsidRPr="00791398" w:rsidRDefault="00791398" w:rsidP="004553FA">
            <w:pPr>
              <w:keepNext/>
              <w:keepLines/>
              <w:widowControl w:val="0"/>
              <w:spacing w:before="40" w:after="40"/>
              <w:rPr>
                <w:rFonts w:ascii="Arial Narrow" w:hAnsi="Arial Narrow"/>
                <w:b/>
                <w:bCs/>
                <w:color w:val="auto"/>
                <w:lang w:val="en-AU"/>
              </w:rPr>
            </w:pPr>
            <w:r w:rsidRPr="00791398">
              <w:rPr>
                <w:rFonts w:ascii="Arial Narrow" w:hAnsi="Arial Narrow"/>
                <w:b/>
                <w:color w:val="auto"/>
                <w:lang w:val="en-AU"/>
              </w:rPr>
              <w:t>Harms (Safety Analysis Set)</w:t>
            </w:r>
          </w:p>
        </w:tc>
      </w:tr>
      <w:tr w:rsidR="00DF7610" w:rsidRPr="00791398" w14:paraId="158553AA" w14:textId="77777777" w:rsidTr="00C82EE9">
        <w:trPr>
          <w:cantSplit/>
          <w:trHeight w:val="405"/>
        </w:trPr>
        <w:tc>
          <w:tcPr>
            <w:tcW w:w="1491" w:type="pct"/>
            <w:vMerge w:val="restart"/>
            <w:vAlign w:val="center"/>
          </w:tcPr>
          <w:p w14:paraId="6A28DAB1" w14:textId="77777777" w:rsidR="00BB163F" w:rsidRPr="00791398" w:rsidRDefault="00BB163F" w:rsidP="004553FA">
            <w:pPr>
              <w:keepNext/>
              <w:keepLines/>
              <w:widowControl w:val="0"/>
              <w:spacing w:before="40" w:after="40"/>
              <w:rPr>
                <w:rFonts w:ascii="Arial Narrow" w:hAnsi="Arial Narrow"/>
                <w:b/>
                <w:bCs/>
                <w:color w:val="auto"/>
                <w:lang w:val="en-AU"/>
              </w:rPr>
            </w:pPr>
            <w:r w:rsidRPr="00791398">
              <w:rPr>
                <w:rFonts w:ascii="Arial Narrow" w:hAnsi="Arial Narrow"/>
                <w:b/>
                <w:color w:val="auto"/>
                <w:lang w:val="en-AU"/>
              </w:rPr>
              <w:t>TEAEs</w:t>
            </w:r>
          </w:p>
        </w:tc>
        <w:tc>
          <w:tcPr>
            <w:tcW w:w="660" w:type="pct"/>
            <w:vMerge w:val="restart"/>
            <w:vAlign w:val="center"/>
          </w:tcPr>
          <w:p w14:paraId="62E6CFC4" w14:textId="77777777" w:rsidR="000A6B06" w:rsidRDefault="00BB163F" w:rsidP="004553FA">
            <w:pPr>
              <w:keepNext/>
              <w:keepLines/>
              <w:widowControl w:val="0"/>
              <w:tabs>
                <w:tab w:val="decimal" w:pos="396"/>
              </w:tabs>
              <w:spacing w:before="40" w:after="40"/>
              <w:jc w:val="center"/>
              <w:rPr>
                <w:rFonts w:ascii="Arial Narrow" w:hAnsi="Arial Narrow"/>
                <w:b/>
                <w:color w:val="auto"/>
                <w:lang w:val="en-AU"/>
              </w:rPr>
            </w:pPr>
            <w:r w:rsidRPr="00791398">
              <w:rPr>
                <w:rFonts w:ascii="Arial Narrow" w:hAnsi="Arial Narrow"/>
                <w:b/>
                <w:color w:val="auto"/>
                <w:lang w:val="en-AU"/>
              </w:rPr>
              <w:t>Donanemab</w:t>
            </w:r>
          </w:p>
          <w:p w14:paraId="3C5A9F41" w14:textId="4A0F6A60" w:rsidR="00D661E4" w:rsidRPr="00791398" w:rsidRDefault="00D661E4" w:rsidP="004553FA">
            <w:pPr>
              <w:keepNext/>
              <w:keepLines/>
              <w:widowControl w:val="0"/>
              <w:tabs>
                <w:tab w:val="decimal" w:pos="396"/>
              </w:tabs>
              <w:spacing w:before="40" w:after="40"/>
              <w:jc w:val="center"/>
              <w:rPr>
                <w:rFonts w:ascii="Arial Narrow" w:hAnsi="Arial Narrow"/>
                <w:b/>
                <w:bCs/>
                <w:color w:val="auto"/>
                <w:lang w:val="en-AU"/>
              </w:rPr>
            </w:pPr>
            <w:r>
              <w:rPr>
                <w:rFonts w:ascii="Arial Narrow" w:hAnsi="Arial Narrow"/>
                <w:b/>
                <w:bCs/>
                <w:color w:val="auto"/>
                <w:lang w:val="en-AU"/>
              </w:rPr>
              <w:t>n/N</w:t>
            </w:r>
          </w:p>
        </w:tc>
        <w:tc>
          <w:tcPr>
            <w:tcW w:w="795" w:type="pct"/>
            <w:vMerge w:val="restart"/>
            <w:vAlign w:val="center"/>
          </w:tcPr>
          <w:p w14:paraId="6FD79428" w14:textId="77777777" w:rsidR="000A6B06" w:rsidRDefault="00BB163F" w:rsidP="004553FA">
            <w:pPr>
              <w:keepNext/>
              <w:keepLines/>
              <w:widowControl w:val="0"/>
              <w:tabs>
                <w:tab w:val="decimal" w:pos="396"/>
              </w:tabs>
              <w:spacing w:before="40" w:after="40"/>
              <w:jc w:val="center"/>
              <w:rPr>
                <w:rFonts w:ascii="Arial Narrow" w:hAnsi="Arial Narrow"/>
                <w:b/>
                <w:color w:val="auto"/>
                <w:lang w:val="en-AU"/>
              </w:rPr>
            </w:pPr>
            <w:r w:rsidRPr="00791398">
              <w:rPr>
                <w:rFonts w:ascii="Arial Narrow" w:hAnsi="Arial Narrow"/>
                <w:b/>
                <w:color w:val="auto"/>
                <w:lang w:val="en-AU"/>
              </w:rPr>
              <w:t>Placebo</w:t>
            </w:r>
          </w:p>
          <w:p w14:paraId="7B9C4A1D" w14:textId="27CED022" w:rsidR="00D661E4" w:rsidRPr="00791398" w:rsidRDefault="00D661E4" w:rsidP="004553FA">
            <w:pPr>
              <w:keepNext/>
              <w:keepLines/>
              <w:widowControl w:val="0"/>
              <w:tabs>
                <w:tab w:val="decimal" w:pos="396"/>
              </w:tabs>
              <w:spacing w:before="40" w:after="40"/>
              <w:jc w:val="center"/>
              <w:rPr>
                <w:rFonts w:ascii="Arial Narrow" w:hAnsi="Arial Narrow"/>
                <w:b/>
                <w:bCs/>
                <w:color w:val="auto"/>
                <w:lang w:val="en-AU"/>
              </w:rPr>
            </w:pPr>
            <w:r>
              <w:rPr>
                <w:rFonts w:ascii="Arial Narrow" w:hAnsi="Arial Narrow"/>
                <w:b/>
                <w:bCs/>
                <w:color w:val="auto"/>
                <w:lang w:val="en-AU"/>
              </w:rPr>
              <w:t>n/N</w:t>
            </w:r>
          </w:p>
        </w:tc>
        <w:tc>
          <w:tcPr>
            <w:tcW w:w="1233" w:type="pct"/>
            <w:gridSpan w:val="2"/>
          </w:tcPr>
          <w:p w14:paraId="35D44202"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 xml:space="preserve">Event rate/100 patients </w:t>
            </w:r>
          </w:p>
        </w:tc>
        <w:tc>
          <w:tcPr>
            <w:tcW w:w="820" w:type="pct"/>
            <w:vMerge w:val="restart"/>
            <w:vAlign w:val="center"/>
          </w:tcPr>
          <w:p w14:paraId="2AF509CA"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Risk difference</w:t>
            </w:r>
          </w:p>
        </w:tc>
      </w:tr>
      <w:tr w:rsidR="00C306D9" w:rsidRPr="00791398" w14:paraId="38C6B514" w14:textId="77777777" w:rsidTr="00C82EE9">
        <w:trPr>
          <w:cantSplit/>
          <w:trHeight w:val="53"/>
        </w:trPr>
        <w:tc>
          <w:tcPr>
            <w:tcW w:w="1491" w:type="pct"/>
            <w:vMerge/>
          </w:tcPr>
          <w:p w14:paraId="36E76CF6" w14:textId="77777777" w:rsidR="00BB163F" w:rsidRPr="00791398" w:rsidRDefault="00BB163F" w:rsidP="004553FA">
            <w:pPr>
              <w:keepNext/>
              <w:keepLines/>
              <w:widowControl w:val="0"/>
              <w:spacing w:before="40" w:after="40"/>
              <w:rPr>
                <w:rFonts w:ascii="Arial Narrow" w:hAnsi="Arial Narrow"/>
                <w:color w:val="auto"/>
                <w:lang w:val="en-AU"/>
              </w:rPr>
            </w:pPr>
          </w:p>
        </w:tc>
        <w:tc>
          <w:tcPr>
            <w:tcW w:w="660" w:type="pct"/>
            <w:vMerge/>
          </w:tcPr>
          <w:p w14:paraId="674BE8CA"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p>
        </w:tc>
        <w:tc>
          <w:tcPr>
            <w:tcW w:w="795" w:type="pct"/>
            <w:vMerge/>
          </w:tcPr>
          <w:p w14:paraId="662E7BE6"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p>
        </w:tc>
        <w:tc>
          <w:tcPr>
            <w:tcW w:w="641" w:type="pct"/>
          </w:tcPr>
          <w:p w14:paraId="205423B0"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 xml:space="preserve">Donanemab </w:t>
            </w:r>
          </w:p>
        </w:tc>
        <w:tc>
          <w:tcPr>
            <w:tcW w:w="593" w:type="pct"/>
          </w:tcPr>
          <w:p w14:paraId="56E9D773" w14:textId="77777777" w:rsidR="00BB163F" w:rsidRPr="00791398" w:rsidRDefault="00BB163F" w:rsidP="004553FA">
            <w:pPr>
              <w:keepNext/>
              <w:keepLines/>
              <w:widowControl w:val="0"/>
              <w:tabs>
                <w:tab w:val="decimal" w:pos="396"/>
              </w:tabs>
              <w:spacing w:before="40" w:after="40"/>
              <w:jc w:val="center"/>
              <w:rPr>
                <w:rFonts w:ascii="Arial Narrow" w:hAnsi="Arial Narrow"/>
                <w:b/>
                <w:bCs/>
                <w:color w:val="auto"/>
                <w:lang w:val="en-AU"/>
              </w:rPr>
            </w:pPr>
            <w:r w:rsidRPr="00791398">
              <w:rPr>
                <w:rFonts w:ascii="Arial Narrow" w:hAnsi="Arial Narrow"/>
                <w:b/>
                <w:color w:val="auto"/>
                <w:lang w:val="en-AU"/>
              </w:rPr>
              <w:t>Placebo</w:t>
            </w:r>
          </w:p>
        </w:tc>
        <w:tc>
          <w:tcPr>
            <w:tcW w:w="820" w:type="pct"/>
            <w:vMerge/>
          </w:tcPr>
          <w:p w14:paraId="63FB3FAD" w14:textId="77777777" w:rsidR="00BB163F" w:rsidRPr="00791398" w:rsidRDefault="00BB163F" w:rsidP="004553FA">
            <w:pPr>
              <w:keepNext/>
              <w:keepLines/>
              <w:widowControl w:val="0"/>
              <w:tabs>
                <w:tab w:val="decimal" w:pos="396"/>
              </w:tabs>
              <w:spacing w:before="40" w:after="40"/>
              <w:jc w:val="center"/>
              <w:rPr>
                <w:rFonts w:ascii="Arial Narrow" w:hAnsi="Arial Narrow"/>
                <w:color w:val="auto"/>
                <w:lang w:val="en-AU"/>
              </w:rPr>
            </w:pPr>
          </w:p>
        </w:tc>
      </w:tr>
      <w:tr w:rsidR="00C306D9" w:rsidRPr="00791398" w14:paraId="07806D63" w14:textId="77777777" w:rsidTr="00C82EE9">
        <w:trPr>
          <w:cantSplit/>
        </w:trPr>
        <w:tc>
          <w:tcPr>
            <w:tcW w:w="1491" w:type="pct"/>
          </w:tcPr>
          <w:p w14:paraId="19359772" w14:textId="0AADD268" w:rsidR="00791398" w:rsidRPr="00791398" w:rsidRDefault="00791398" w:rsidP="00C82EE9">
            <w:pPr>
              <w:keepNext/>
              <w:keepLines/>
              <w:widowControl w:val="0"/>
              <w:spacing w:before="40" w:after="40"/>
              <w:rPr>
                <w:rFonts w:ascii="Arial Narrow" w:hAnsi="Arial Narrow"/>
                <w:color w:val="auto"/>
                <w:lang w:val="en-AU"/>
              </w:rPr>
            </w:pPr>
            <w:r w:rsidRPr="00791398">
              <w:rPr>
                <w:rFonts w:ascii="Arial Narrow" w:hAnsi="Arial Narrow"/>
                <w:color w:val="auto"/>
                <w:lang w:val="en-AU"/>
              </w:rPr>
              <w:t>ARIA-E, Overall population</w:t>
            </w:r>
          </w:p>
        </w:tc>
        <w:tc>
          <w:tcPr>
            <w:tcW w:w="660" w:type="pct"/>
            <w:vAlign w:val="center"/>
          </w:tcPr>
          <w:p w14:paraId="37FFAADC"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205/853</w:t>
            </w:r>
          </w:p>
        </w:tc>
        <w:tc>
          <w:tcPr>
            <w:tcW w:w="795" w:type="pct"/>
            <w:vAlign w:val="center"/>
          </w:tcPr>
          <w:p w14:paraId="664A8778"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18/874</w:t>
            </w:r>
          </w:p>
        </w:tc>
        <w:tc>
          <w:tcPr>
            <w:tcW w:w="641" w:type="pct"/>
            <w:vAlign w:val="center"/>
          </w:tcPr>
          <w:p w14:paraId="543C06B8"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24.0</w:t>
            </w:r>
          </w:p>
        </w:tc>
        <w:tc>
          <w:tcPr>
            <w:tcW w:w="593" w:type="pct"/>
            <w:vAlign w:val="center"/>
          </w:tcPr>
          <w:p w14:paraId="1DDAB1EA"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2.1</w:t>
            </w:r>
          </w:p>
        </w:tc>
        <w:tc>
          <w:tcPr>
            <w:tcW w:w="820" w:type="pct"/>
            <w:vAlign w:val="center"/>
          </w:tcPr>
          <w:p w14:paraId="69E81527"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21.9</w:t>
            </w:r>
          </w:p>
        </w:tc>
      </w:tr>
      <w:tr w:rsidR="00C306D9" w:rsidRPr="00087C04" w14:paraId="0536A186" w14:textId="77777777" w:rsidTr="00C82EE9">
        <w:trPr>
          <w:cantSplit/>
          <w:trHeight w:val="567"/>
        </w:trPr>
        <w:tc>
          <w:tcPr>
            <w:tcW w:w="1491" w:type="pct"/>
            <w:vAlign w:val="center"/>
          </w:tcPr>
          <w:p w14:paraId="102DCCF6" w14:textId="24844045" w:rsidR="00791398" w:rsidRPr="00087C04" w:rsidRDefault="00791398" w:rsidP="00C82EE9">
            <w:pPr>
              <w:keepNext/>
              <w:keepLines/>
              <w:widowControl w:val="0"/>
              <w:spacing w:before="40" w:after="40"/>
              <w:rPr>
                <w:rFonts w:ascii="Arial Narrow" w:hAnsi="Arial Narrow"/>
                <w:color w:val="auto"/>
                <w:lang w:val="en-AU"/>
              </w:rPr>
            </w:pPr>
            <w:r w:rsidRPr="00087C04">
              <w:rPr>
                <w:rFonts w:ascii="Arial Narrow" w:hAnsi="Arial Narrow"/>
                <w:color w:val="auto"/>
                <w:lang w:val="en-AU"/>
              </w:rPr>
              <w:t>ARIA-E, TGA population</w:t>
            </w:r>
            <w:r w:rsidR="001E039E">
              <w:rPr>
                <w:rFonts w:ascii="Arial Narrow" w:hAnsi="Arial Narrow"/>
                <w:color w:val="auto"/>
                <w:lang w:val="en-AU"/>
              </w:rPr>
              <w:t xml:space="preserve"> </w:t>
            </w:r>
            <w:r w:rsidR="00D25788">
              <w:rPr>
                <w:rFonts w:ascii="Arial Narrow" w:hAnsi="Arial Narrow"/>
                <w:color w:val="auto"/>
                <w:vertAlign w:val="superscript"/>
                <w:lang w:val="en-AU"/>
              </w:rPr>
              <w:t>c</w:t>
            </w:r>
            <w:r w:rsidRPr="00087C04">
              <w:rPr>
                <w:rFonts w:ascii="Arial Narrow" w:hAnsi="Arial Narrow"/>
                <w:color w:val="auto"/>
                <w:lang w:val="en-AU"/>
              </w:rPr>
              <w:t xml:space="preserve"> </w:t>
            </w:r>
          </w:p>
        </w:tc>
        <w:tc>
          <w:tcPr>
            <w:tcW w:w="660" w:type="pct"/>
            <w:vAlign w:val="center"/>
          </w:tcPr>
          <w:p w14:paraId="481CB203" w14:textId="00A26B84" w:rsidR="00791398" w:rsidRPr="00087C04" w:rsidRDefault="004E4685" w:rsidP="008D0E09">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w:t>
            </w:r>
            <w:r w:rsidR="00475BF6">
              <w:rPr>
                <w:rFonts w:ascii="Arial Narrow" w:hAnsi="Arial Narrow"/>
                <w:color w:val="auto"/>
                <w:lang w:val="en-AU"/>
              </w:rPr>
              <w:t>39/689</w:t>
            </w:r>
          </w:p>
        </w:tc>
        <w:tc>
          <w:tcPr>
            <w:tcW w:w="795" w:type="pct"/>
            <w:vAlign w:val="center"/>
          </w:tcPr>
          <w:p w14:paraId="0FE60338" w14:textId="72034F43" w:rsidR="00791398" w:rsidRPr="00087C04" w:rsidRDefault="00791398" w:rsidP="008D0E09">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11/</w:t>
            </w:r>
            <w:r w:rsidR="00475BF6">
              <w:rPr>
                <w:rFonts w:ascii="Arial Narrow" w:hAnsi="Arial Narrow"/>
                <w:color w:val="auto"/>
                <w:lang w:val="en-AU"/>
              </w:rPr>
              <w:t>692</w:t>
            </w:r>
          </w:p>
        </w:tc>
        <w:tc>
          <w:tcPr>
            <w:tcW w:w="641" w:type="pct"/>
            <w:vAlign w:val="center"/>
          </w:tcPr>
          <w:p w14:paraId="061644ED" w14:textId="77777777" w:rsidR="00791398" w:rsidRPr="00087C04" w:rsidRDefault="00791398" w:rsidP="008D0E09">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20.2</w:t>
            </w:r>
          </w:p>
        </w:tc>
        <w:tc>
          <w:tcPr>
            <w:tcW w:w="593" w:type="pct"/>
            <w:vAlign w:val="center"/>
          </w:tcPr>
          <w:p w14:paraId="1F5EF9D0" w14:textId="0404B2E8" w:rsidR="00791398" w:rsidRPr="00087C04" w:rsidRDefault="00791398" w:rsidP="008D0E09">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w:t>
            </w:r>
            <w:r w:rsidR="00475BF6">
              <w:rPr>
                <w:rFonts w:ascii="Arial Narrow" w:hAnsi="Arial Narrow"/>
                <w:color w:val="auto"/>
                <w:lang w:val="en-AU"/>
              </w:rPr>
              <w:t>6</w:t>
            </w:r>
          </w:p>
        </w:tc>
        <w:tc>
          <w:tcPr>
            <w:tcW w:w="820" w:type="pct"/>
            <w:vAlign w:val="center"/>
          </w:tcPr>
          <w:p w14:paraId="19A25F81" w14:textId="43502D25" w:rsidR="00791398" w:rsidRPr="00087C04" w:rsidRDefault="00791398" w:rsidP="008D0E09">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18.</w:t>
            </w:r>
            <w:r w:rsidR="00475BF6">
              <w:rPr>
                <w:rFonts w:ascii="Arial Narrow" w:hAnsi="Arial Narrow"/>
                <w:color w:val="auto"/>
                <w:lang w:val="en-AU"/>
              </w:rPr>
              <w:t>6</w:t>
            </w:r>
          </w:p>
        </w:tc>
      </w:tr>
      <w:tr w:rsidR="00C306D9" w:rsidRPr="00087C04" w14:paraId="6092824B" w14:textId="77777777" w:rsidTr="00C82EE9">
        <w:trPr>
          <w:cantSplit/>
        </w:trPr>
        <w:tc>
          <w:tcPr>
            <w:tcW w:w="1491" w:type="pct"/>
          </w:tcPr>
          <w:p w14:paraId="5CDA9ED1" w14:textId="0B17AC0B" w:rsidR="00791398" w:rsidRPr="00087C04" w:rsidRDefault="00791398" w:rsidP="00C82EE9">
            <w:pPr>
              <w:keepNext/>
              <w:keepLines/>
              <w:widowControl w:val="0"/>
              <w:spacing w:before="40" w:after="40"/>
              <w:rPr>
                <w:rFonts w:ascii="Arial Narrow" w:hAnsi="Arial Narrow"/>
                <w:color w:val="auto"/>
                <w:lang w:val="en-AU"/>
              </w:rPr>
            </w:pPr>
            <w:r w:rsidRPr="00087C04">
              <w:rPr>
                <w:rFonts w:ascii="Arial Narrow" w:hAnsi="Arial Narrow"/>
                <w:color w:val="auto"/>
                <w:lang w:val="en-AU"/>
              </w:rPr>
              <w:t>ARIA-H, Overall population</w:t>
            </w:r>
          </w:p>
        </w:tc>
        <w:tc>
          <w:tcPr>
            <w:tcW w:w="660" w:type="pct"/>
            <w:vAlign w:val="center"/>
          </w:tcPr>
          <w:p w14:paraId="4A0BA851" w14:textId="3A8FEF24" w:rsidR="00791398" w:rsidRPr="00087C04" w:rsidRDefault="00791398" w:rsidP="00DA33B7">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268/853</w:t>
            </w:r>
          </w:p>
        </w:tc>
        <w:tc>
          <w:tcPr>
            <w:tcW w:w="795" w:type="pct"/>
            <w:vAlign w:val="center"/>
          </w:tcPr>
          <w:p w14:paraId="3C4516F3" w14:textId="3ED60C13" w:rsidR="00791398" w:rsidRPr="00087C04" w:rsidRDefault="00791398" w:rsidP="00DA33B7">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119/874</w:t>
            </w:r>
          </w:p>
        </w:tc>
        <w:tc>
          <w:tcPr>
            <w:tcW w:w="641" w:type="pct"/>
            <w:vAlign w:val="center"/>
          </w:tcPr>
          <w:p w14:paraId="418E34DB" w14:textId="77777777" w:rsidR="00791398" w:rsidRPr="00087C04" w:rsidRDefault="00791398" w:rsidP="00DA33B7">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31.4</w:t>
            </w:r>
          </w:p>
        </w:tc>
        <w:tc>
          <w:tcPr>
            <w:tcW w:w="593" w:type="pct"/>
            <w:vAlign w:val="center"/>
          </w:tcPr>
          <w:p w14:paraId="078E8177" w14:textId="77777777" w:rsidR="00791398" w:rsidRPr="00087C04" w:rsidRDefault="00791398" w:rsidP="00DA33B7">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13.6</w:t>
            </w:r>
          </w:p>
        </w:tc>
        <w:tc>
          <w:tcPr>
            <w:tcW w:w="820" w:type="pct"/>
            <w:vAlign w:val="center"/>
          </w:tcPr>
          <w:p w14:paraId="010965C9" w14:textId="77777777" w:rsidR="00791398" w:rsidRPr="00087C04" w:rsidRDefault="00791398" w:rsidP="00DA33B7">
            <w:pPr>
              <w:keepNext/>
              <w:keepLines/>
              <w:widowControl w:val="0"/>
              <w:tabs>
                <w:tab w:val="decimal" w:pos="396"/>
              </w:tabs>
              <w:spacing w:before="40" w:after="40"/>
              <w:jc w:val="center"/>
              <w:rPr>
                <w:rFonts w:ascii="Arial Narrow" w:hAnsi="Arial Narrow"/>
                <w:color w:val="auto"/>
                <w:lang w:val="en-AU"/>
              </w:rPr>
            </w:pPr>
            <w:r w:rsidRPr="00087C04">
              <w:rPr>
                <w:rFonts w:ascii="Arial Narrow" w:hAnsi="Arial Narrow"/>
                <w:color w:val="auto"/>
                <w:lang w:val="en-AU"/>
              </w:rPr>
              <w:t>17.8</w:t>
            </w:r>
          </w:p>
        </w:tc>
      </w:tr>
      <w:tr w:rsidR="00C306D9" w:rsidRPr="00087C04" w14:paraId="7DD68737" w14:textId="77777777" w:rsidTr="00C82EE9">
        <w:trPr>
          <w:cantSplit/>
        </w:trPr>
        <w:tc>
          <w:tcPr>
            <w:tcW w:w="1491" w:type="pct"/>
          </w:tcPr>
          <w:p w14:paraId="064CFBCE" w14:textId="2B44286A" w:rsidR="00791398" w:rsidRPr="00747218" w:rsidRDefault="00791398" w:rsidP="00C82EE9">
            <w:pPr>
              <w:keepNext/>
              <w:keepLines/>
              <w:widowControl w:val="0"/>
              <w:spacing w:before="40" w:after="40"/>
              <w:rPr>
                <w:rFonts w:ascii="Arial Narrow" w:hAnsi="Arial Narrow"/>
                <w:color w:val="auto"/>
                <w:vertAlign w:val="superscript"/>
                <w:lang w:val="en-AU"/>
              </w:rPr>
            </w:pPr>
            <w:r w:rsidRPr="00087C04">
              <w:rPr>
                <w:rFonts w:ascii="Arial Narrow" w:hAnsi="Arial Narrow"/>
                <w:color w:val="auto"/>
                <w:lang w:val="en-AU"/>
              </w:rPr>
              <w:t xml:space="preserve">ARIA-H, TGA population </w:t>
            </w:r>
            <w:r w:rsidR="00747218">
              <w:rPr>
                <w:rFonts w:ascii="Arial Narrow" w:hAnsi="Arial Narrow"/>
                <w:color w:val="auto"/>
                <w:vertAlign w:val="superscript"/>
                <w:lang w:val="en-AU"/>
              </w:rPr>
              <w:t>c</w:t>
            </w:r>
          </w:p>
        </w:tc>
        <w:tc>
          <w:tcPr>
            <w:tcW w:w="660" w:type="pct"/>
            <w:vAlign w:val="center"/>
          </w:tcPr>
          <w:p w14:paraId="5264CE33" w14:textId="70CF33A3" w:rsidR="00791398" w:rsidRPr="00087C04" w:rsidRDefault="00475BF6"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184/</w:t>
            </w:r>
            <w:r w:rsidR="00DF7610">
              <w:rPr>
                <w:rFonts w:ascii="Arial Narrow" w:hAnsi="Arial Narrow"/>
                <w:color w:val="auto"/>
                <w:lang w:val="en-AU"/>
              </w:rPr>
              <w:t>689</w:t>
            </w:r>
          </w:p>
        </w:tc>
        <w:tc>
          <w:tcPr>
            <w:tcW w:w="795" w:type="pct"/>
            <w:vAlign w:val="center"/>
          </w:tcPr>
          <w:p w14:paraId="0047557F" w14:textId="57FCD8D8"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75/692</w:t>
            </w:r>
          </w:p>
        </w:tc>
        <w:tc>
          <w:tcPr>
            <w:tcW w:w="641" w:type="pct"/>
            <w:vAlign w:val="center"/>
          </w:tcPr>
          <w:p w14:paraId="4BA789E1" w14:textId="1A17AE36"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26.7</w:t>
            </w:r>
          </w:p>
        </w:tc>
        <w:tc>
          <w:tcPr>
            <w:tcW w:w="593" w:type="pct"/>
            <w:vAlign w:val="center"/>
          </w:tcPr>
          <w:p w14:paraId="75616509" w14:textId="19831BFF"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10.8</w:t>
            </w:r>
          </w:p>
        </w:tc>
        <w:tc>
          <w:tcPr>
            <w:tcW w:w="820" w:type="pct"/>
            <w:vAlign w:val="center"/>
          </w:tcPr>
          <w:p w14:paraId="346E12DD" w14:textId="55D5B8F6"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15.9</w:t>
            </w:r>
          </w:p>
        </w:tc>
      </w:tr>
      <w:tr w:rsidR="00C306D9" w:rsidRPr="00791398" w14:paraId="47333A74" w14:textId="77777777" w:rsidTr="00C82EE9">
        <w:trPr>
          <w:cantSplit/>
        </w:trPr>
        <w:tc>
          <w:tcPr>
            <w:tcW w:w="1491" w:type="pct"/>
          </w:tcPr>
          <w:p w14:paraId="2A0E4E81" w14:textId="586BA701" w:rsidR="00690716" w:rsidRPr="00747218" w:rsidRDefault="00791398" w:rsidP="004F0FD4">
            <w:pPr>
              <w:keepNext/>
              <w:keepLines/>
              <w:widowControl w:val="0"/>
              <w:spacing w:before="40" w:after="40"/>
              <w:rPr>
                <w:rFonts w:ascii="Arial Narrow" w:hAnsi="Arial Narrow"/>
                <w:color w:val="auto"/>
                <w:vertAlign w:val="superscript"/>
                <w:lang w:val="en-AU"/>
              </w:rPr>
            </w:pPr>
            <w:r w:rsidRPr="00087C04">
              <w:rPr>
                <w:rFonts w:ascii="Arial Narrow" w:hAnsi="Arial Narrow"/>
                <w:color w:val="auto"/>
                <w:lang w:val="en-AU"/>
              </w:rPr>
              <w:t>Microhaemorrhage</w:t>
            </w:r>
            <w:r w:rsidR="00747218">
              <w:rPr>
                <w:rFonts w:ascii="Arial Narrow" w:hAnsi="Arial Narrow"/>
                <w:color w:val="auto"/>
                <w:vertAlign w:val="superscript"/>
                <w:lang w:val="en-AU"/>
              </w:rPr>
              <w:t xml:space="preserve"> c</w:t>
            </w:r>
          </w:p>
        </w:tc>
        <w:tc>
          <w:tcPr>
            <w:tcW w:w="660" w:type="pct"/>
            <w:vAlign w:val="center"/>
          </w:tcPr>
          <w:p w14:paraId="01E678B8" w14:textId="03259F78"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159/689</w:t>
            </w:r>
          </w:p>
        </w:tc>
        <w:tc>
          <w:tcPr>
            <w:tcW w:w="795" w:type="pct"/>
            <w:vAlign w:val="center"/>
          </w:tcPr>
          <w:p w14:paraId="01B1D3C2" w14:textId="556379DC" w:rsidR="00791398" w:rsidRPr="00087C04" w:rsidRDefault="00DF7610"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72/692</w:t>
            </w:r>
          </w:p>
        </w:tc>
        <w:tc>
          <w:tcPr>
            <w:tcW w:w="641" w:type="pct"/>
            <w:vAlign w:val="center"/>
          </w:tcPr>
          <w:p w14:paraId="1E1573B3" w14:textId="6446E0C3" w:rsidR="00791398" w:rsidRPr="00087C04" w:rsidRDefault="00BC3DAD"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23.1</w:t>
            </w:r>
          </w:p>
        </w:tc>
        <w:tc>
          <w:tcPr>
            <w:tcW w:w="593" w:type="pct"/>
            <w:vAlign w:val="center"/>
          </w:tcPr>
          <w:p w14:paraId="380469AC" w14:textId="0E2982A4" w:rsidR="00791398" w:rsidRPr="00087C04" w:rsidRDefault="00BC3DAD"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10.4</w:t>
            </w:r>
          </w:p>
        </w:tc>
        <w:tc>
          <w:tcPr>
            <w:tcW w:w="820" w:type="pct"/>
            <w:vAlign w:val="center"/>
          </w:tcPr>
          <w:p w14:paraId="1C56C0E8" w14:textId="69859356" w:rsidR="00791398" w:rsidRPr="00087C04" w:rsidRDefault="00BC3DAD" w:rsidP="00DA33B7">
            <w:pPr>
              <w:keepNext/>
              <w:keepLines/>
              <w:widowControl w:val="0"/>
              <w:tabs>
                <w:tab w:val="decimal" w:pos="396"/>
              </w:tabs>
              <w:spacing w:before="40" w:after="40"/>
              <w:jc w:val="center"/>
              <w:rPr>
                <w:rFonts w:ascii="Arial Narrow" w:hAnsi="Arial Narrow"/>
                <w:color w:val="auto"/>
                <w:lang w:val="en-AU"/>
              </w:rPr>
            </w:pPr>
            <w:r>
              <w:rPr>
                <w:rFonts w:ascii="Arial Narrow" w:hAnsi="Arial Narrow"/>
                <w:color w:val="auto"/>
                <w:lang w:val="en-AU"/>
              </w:rPr>
              <w:t>12.7</w:t>
            </w:r>
          </w:p>
        </w:tc>
      </w:tr>
      <w:tr w:rsidR="00C306D9" w:rsidRPr="00791398" w14:paraId="008CEF8E" w14:textId="77777777" w:rsidTr="00C82EE9">
        <w:trPr>
          <w:cantSplit/>
        </w:trPr>
        <w:tc>
          <w:tcPr>
            <w:tcW w:w="1491" w:type="pct"/>
          </w:tcPr>
          <w:p w14:paraId="13565A7F" w14:textId="6A7D2430" w:rsidR="00791398" w:rsidRPr="00791398" w:rsidRDefault="00791398" w:rsidP="004553FA">
            <w:pPr>
              <w:keepNext/>
              <w:keepLines/>
              <w:widowControl w:val="0"/>
              <w:spacing w:before="40" w:after="40"/>
              <w:rPr>
                <w:rFonts w:ascii="Arial Narrow" w:hAnsi="Arial Narrow"/>
                <w:color w:val="auto"/>
                <w:lang w:val="en-AU"/>
              </w:rPr>
            </w:pPr>
            <w:r w:rsidRPr="00791398">
              <w:rPr>
                <w:rFonts w:ascii="Arial Narrow" w:hAnsi="Arial Narrow"/>
                <w:color w:val="auto"/>
                <w:lang w:val="en-AU"/>
              </w:rPr>
              <w:t xml:space="preserve">Infusion-related reactions </w:t>
            </w:r>
          </w:p>
        </w:tc>
        <w:tc>
          <w:tcPr>
            <w:tcW w:w="660" w:type="pct"/>
            <w:vAlign w:val="center"/>
          </w:tcPr>
          <w:p w14:paraId="72DA7241"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74/853</w:t>
            </w:r>
          </w:p>
        </w:tc>
        <w:tc>
          <w:tcPr>
            <w:tcW w:w="795" w:type="pct"/>
            <w:vAlign w:val="center"/>
          </w:tcPr>
          <w:p w14:paraId="415E29B0"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4/874</w:t>
            </w:r>
          </w:p>
        </w:tc>
        <w:tc>
          <w:tcPr>
            <w:tcW w:w="641" w:type="pct"/>
            <w:vAlign w:val="center"/>
          </w:tcPr>
          <w:p w14:paraId="54722B5D"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8.7</w:t>
            </w:r>
          </w:p>
        </w:tc>
        <w:tc>
          <w:tcPr>
            <w:tcW w:w="593" w:type="pct"/>
            <w:vAlign w:val="center"/>
          </w:tcPr>
          <w:p w14:paraId="3AF6743D"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0.5</w:t>
            </w:r>
          </w:p>
        </w:tc>
        <w:tc>
          <w:tcPr>
            <w:tcW w:w="820" w:type="pct"/>
            <w:vAlign w:val="center"/>
          </w:tcPr>
          <w:p w14:paraId="1BD61FC1" w14:textId="77777777" w:rsidR="00791398" w:rsidRPr="00791398" w:rsidRDefault="00791398" w:rsidP="00DA33B7">
            <w:pPr>
              <w:keepNext/>
              <w:keepLines/>
              <w:widowControl w:val="0"/>
              <w:tabs>
                <w:tab w:val="decimal" w:pos="396"/>
              </w:tabs>
              <w:spacing w:before="40" w:after="40"/>
              <w:jc w:val="center"/>
              <w:rPr>
                <w:rFonts w:ascii="Arial Narrow" w:hAnsi="Arial Narrow"/>
                <w:color w:val="auto"/>
                <w:lang w:val="en-AU"/>
              </w:rPr>
            </w:pPr>
            <w:r w:rsidRPr="00791398">
              <w:rPr>
                <w:rFonts w:ascii="Arial Narrow" w:hAnsi="Arial Narrow"/>
                <w:color w:val="auto"/>
                <w:lang w:val="en-AU"/>
              </w:rPr>
              <w:t>8.2</w:t>
            </w:r>
          </w:p>
        </w:tc>
      </w:tr>
    </w:tbl>
    <w:p w14:paraId="0265A29D" w14:textId="2EB08E95" w:rsidR="0056332B" w:rsidRPr="00EE0EEB" w:rsidRDefault="0056332B" w:rsidP="004553FA">
      <w:pPr>
        <w:pStyle w:val="TableFigureFooter"/>
        <w:keepNext/>
        <w:keepLines/>
      </w:pPr>
      <w:r w:rsidRPr="00EE0EEB">
        <w:t xml:space="preserve">Source: Sections 2.D.5 and 2D.6 of the submission, the TB-2 Clinical Study Report (ARIA safety data by </w:t>
      </w:r>
      <w:r w:rsidRPr="00EE0EEB">
        <w:rPr>
          <w:i/>
          <w:iCs/>
        </w:rPr>
        <w:t>APOE4</w:t>
      </w:r>
      <w:r w:rsidRPr="00EE0EEB">
        <w:t xml:space="preserve"> carrier status), Zimmer et al (2024) (CDR-G shifts), and the FDA Clinical Review of donanemab (Infusion-related reactions in TB-2)</w:t>
      </w:r>
    </w:p>
    <w:p w14:paraId="101C0993" w14:textId="147A95F9" w:rsidR="0056332B" w:rsidRPr="00EE0EEB" w:rsidRDefault="0056332B" w:rsidP="004553FA">
      <w:pPr>
        <w:pStyle w:val="TableFigureFooter"/>
        <w:keepNext/>
        <w:keepLines/>
      </w:pPr>
      <w:r w:rsidRPr="00EE0EEB">
        <w:t>AD=Alzheimer disease; ADAS-Cog13=Alzheimer Disease Assessment Scale (Cognitive subscale); ADCS-</w:t>
      </w:r>
      <w:proofErr w:type="spellStart"/>
      <w:r w:rsidRPr="00EE0EEB">
        <w:t>iADL</w:t>
      </w:r>
      <w:proofErr w:type="spellEnd"/>
      <w:r w:rsidRPr="00EE0EEB">
        <w:t xml:space="preserve">=Alzheimer Disease Cooperative Study – Instrumental Activities; </w:t>
      </w:r>
      <w:r w:rsidRPr="00EE0EEB">
        <w:rPr>
          <w:i/>
          <w:iCs/>
        </w:rPr>
        <w:t>APOE4</w:t>
      </w:r>
      <w:r w:rsidRPr="00EE0EEB">
        <w:t xml:space="preserve">=apolipoprotein epsilon 4; CDR-SB=Clinical Dementia Rating scale Sum of Boxes (values range from 0 to 18, with higher scores indicating greater impairment); </w:t>
      </w:r>
      <w:r w:rsidRPr="00EE0EEB">
        <w:rPr>
          <w:szCs w:val="20"/>
        </w:rPr>
        <w:t xml:space="preserve">CDR-G=Clinical Dementia Rating-Global score; </w:t>
      </w:r>
      <w:r w:rsidRPr="00EE0EEB">
        <w:t xml:space="preserve">CI=confidence interval; </w:t>
      </w:r>
      <w:proofErr w:type="spellStart"/>
      <w:r w:rsidRPr="00EE0EEB">
        <w:t>iADRS</w:t>
      </w:r>
      <w:proofErr w:type="spellEnd"/>
      <w:r w:rsidRPr="00EE0EEB">
        <w:t xml:space="preserve">=Integrated Alzheimer Disease Rating Scale; </w:t>
      </w:r>
      <w:r w:rsidRPr="00EE0EEB">
        <w:rPr>
          <w:szCs w:val="20"/>
        </w:rPr>
        <w:t>MCI=Mild Cognitive Impairment</w:t>
      </w:r>
    </w:p>
    <w:p w14:paraId="1EA80A26" w14:textId="77777777" w:rsidR="0056332B" w:rsidRPr="00EE0EEB" w:rsidRDefault="0056332B" w:rsidP="0056332B">
      <w:pPr>
        <w:pStyle w:val="TableFooter"/>
        <w:keepNext/>
        <w:rPr>
          <w:bCs/>
        </w:rPr>
      </w:pPr>
      <w:proofErr w:type="spellStart"/>
      <w:r w:rsidRPr="00EE0EEB">
        <w:rPr>
          <w:bCs/>
          <w:vertAlign w:val="superscript"/>
        </w:rPr>
        <w:t>a</w:t>
      </w:r>
      <w:r w:rsidRPr="00EE0EEB">
        <w:rPr>
          <w:bCs/>
        </w:rPr>
        <w:t>The</w:t>
      </w:r>
      <w:proofErr w:type="spellEnd"/>
      <w:r w:rsidRPr="00EE0EEB">
        <w:rPr>
          <w:bCs/>
        </w:rPr>
        <w:t xml:space="preserve"> </w:t>
      </w:r>
      <w:proofErr w:type="spellStart"/>
      <w:r w:rsidRPr="00EE0EEB">
        <w:rPr>
          <w:bCs/>
        </w:rPr>
        <w:t>iADRS</w:t>
      </w:r>
      <w:proofErr w:type="spellEnd"/>
      <w:r w:rsidRPr="00EE0EEB">
        <w:rPr>
          <w:bCs/>
        </w:rPr>
        <w:t xml:space="preserve"> assesses the impact of cognitive loss on the ability to conduct everyday activities and provides a measure of global AD severity across the AD continuum as a single summary score. The composite score comprises two underlying domains: cognitive ability and functional ability. The actual scales administered to participants in the trial were the ADAS Cog13 and the ADCS-ADL.</w:t>
      </w:r>
    </w:p>
    <w:p w14:paraId="2F9A11B2" w14:textId="77777777" w:rsidR="0056332B" w:rsidRPr="00EE0EEB" w:rsidRDefault="0056332B" w:rsidP="0056332B">
      <w:pPr>
        <w:pStyle w:val="TableFooter"/>
      </w:pPr>
      <w:r w:rsidRPr="00EE0EEB">
        <w:t xml:space="preserve">Lower scores on the </w:t>
      </w:r>
      <w:proofErr w:type="spellStart"/>
      <w:r w:rsidRPr="00EE0EEB">
        <w:t>iADRS</w:t>
      </w:r>
      <w:proofErr w:type="spellEnd"/>
      <w:r w:rsidRPr="00EE0EEB">
        <w:t xml:space="preserve"> indicate greater impairment; </w:t>
      </w:r>
      <w:proofErr w:type="spellStart"/>
      <w:r w:rsidRPr="00EE0EEB">
        <w:t>iADRS</w:t>
      </w:r>
      <w:proofErr w:type="spellEnd"/>
      <w:r w:rsidRPr="00EE0EEB">
        <w:t xml:space="preserve"> scores range from 0 to 144. All items of the ADAS-Cog13 and ADCS-</w:t>
      </w:r>
      <w:proofErr w:type="spellStart"/>
      <w:r w:rsidRPr="00EE0EEB">
        <w:t>iADL</w:t>
      </w:r>
      <w:proofErr w:type="spellEnd"/>
      <w:r w:rsidRPr="00EE0EEB">
        <w:t xml:space="preserve"> are included without additional weighting of items.</w:t>
      </w:r>
    </w:p>
    <w:p w14:paraId="44A5B4DA" w14:textId="77777777" w:rsidR="0056332B" w:rsidRDefault="0056332B" w:rsidP="0056332B">
      <w:pPr>
        <w:pStyle w:val="TableFooter"/>
      </w:pPr>
      <w:proofErr w:type="spellStart"/>
      <w:r w:rsidRPr="00DF2319">
        <w:rPr>
          <w:vertAlign w:val="superscript"/>
        </w:rPr>
        <w:t>b</w:t>
      </w:r>
      <w:r w:rsidRPr="00DF2319">
        <w:t>CDR</w:t>
      </w:r>
      <w:proofErr w:type="spellEnd"/>
      <w:r w:rsidRPr="00DF2319">
        <w:t>-G Shift represents change in CDR-G from baseline at two consecutive visits. Only shifts from MCI to Mild AD and from Mild AD to Moderate AD are included in table. Other shifts were imprecise.</w:t>
      </w:r>
    </w:p>
    <w:p w14:paraId="5E441BA6" w14:textId="60FEFDC9" w:rsidR="004C4EDC" w:rsidRPr="004C4EDC" w:rsidRDefault="00D25788" w:rsidP="0056332B">
      <w:pPr>
        <w:pStyle w:val="TableFooter"/>
      </w:pPr>
      <w:r>
        <w:rPr>
          <w:vertAlign w:val="superscript"/>
        </w:rPr>
        <w:t>c</w:t>
      </w:r>
      <w:r w:rsidR="004C4EDC">
        <w:t xml:space="preserve"> Based on Safety MRI or TEAE Cluster</w:t>
      </w:r>
      <w:r w:rsidR="001D702A">
        <w:t>, Safety</w:t>
      </w:r>
      <w:r w:rsidR="00521A46">
        <w:t xml:space="preserve"> Analysis Set </w:t>
      </w:r>
      <w:r w:rsidR="001D702A" w:rsidRPr="001D702A">
        <w:t xml:space="preserve">Excluding </w:t>
      </w:r>
      <w:proofErr w:type="spellStart"/>
      <w:r w:rsidR="001D702A" w:rsidRPr="001D702A">
        <w:t>ApoE</w:t>
      </w:r>
      <w:proofErr w:type="spellEnd"/>
      <w:r w:rsidR="001D702A" w:rsidRPr="001D702A">
        <w:t xml:space="preserve"> homozygotes or </w:t>
      </w:r>
      <w:proofErr w:type="spellStart"/>
      <w:r w:rsidR="001D702A" w:rsidRPr="001D702A">
        <w:t>ApoE</w:t>
      </w:r>
      <w:proofErr w:type="spellEnd"/>
      <w:r w:rsidR="001D702A" w:rsidRPr="001D702A">
        <w:t xml:space="preserve"> missing, baseline or missing </w:t>
      </w:r>
      <w:r w:rsidR="00521A46">
        <w:t>superficial siderosis</w:t>
      </w:r>
      <w:r w:rsidR="001D702A" w:rsidRPr="001D702A">
        <w:t xml:space="preserve">, </w:t>
      </w:r>
      <w:r w:rsidR="008043D5">
        <w:t>≥</w:t>
      </w:r>
      <w:r w:rsidR="001D702A" w:rsidRPr="001D702A">
        <w:t>3 or missing microh</w:t>
      </w:r>
      <w:r w:rsidR="008043D5">
        <w:t>a</w:t>
      </w:r>
      <w:r w:rsidR="001D702A" w:rsidRPr="001D702A">
        <w:t>em</w:t>
      </w:r>
      <w:r w:rsidR="008043D5">
        <w:t>orrhage</w:t>
      </w:r>
      <w:r w:rsidR="007C0134">
        <w:t xml:space="preserve"> (</w:t>
      </w:r>
      <w:r w:rsidR="00A75D69">
        <w:t>pp</w:t>
      </w:r>
      <w:r w:rsidR="00B049B1">
        <w:t>8-</w:t>
      </w:r>
      <w:r w:rsidR="001660C4">
        <w:t>9</w:t>
      </w:r>
      <w:r w:rsidR="00D56A12">
        <w:t xml:space="preserve">, Attachment </w:t>
      </w:r>
      <w:r w:rsidR="001660C4">
        <w:t>3.4</w:t>
      </w:r>
      <w:r w:rsidR="00E212BD">
        <w:t>_Economic model TB-2 revised TGA population outputs</w:t>
      </w:r>
      <w:r w:rsidR="00D87173">
        <w:t xml:space="preserve"> </w:t>
      </w:r>
      <w:r w:rsidR="00D56A12">
        <w:t>of the submission)</w:t>
      </w:r>
      <w:r w:rsidR="004C4EDC">
        <w:t>.</w:t>
      </w:r>
    </w:p>
    <w:bookmarkEnd w:id="52"/>
    <w:p w14:paraId="7B5D0767" w14:textId="6F45F191" w:rsidR="003243F3" w:rsidRPr="00DD304A" w:rsidRDefault="003243F3" w:rsidP="003243F3">
      <w:r w:rsidRPr="00DD304A">
        <w:lastRenderedPageBreak/>
        <w:t xml:space="preserve">The therapeutic conclusion in the </w:t>
      </w:r>
      <w:r w:rsidR="00D51801" w:rsidRPr="00D51801">
        <w:t>submission</w:t>
      </w:r>
      <w:r w:rsidR="00D51801" w:rsidRPr="00D51801" w:rsidDel="00D51801">
        <w:t xml:space="preserve"> </w:t>
      </w:r>
      <w:r w:rsidRPr="00DD304A">
        <w:t xml:space="preserve">was that in patients with early symptomatic AD, </w:t>
      </w:r>
      <w:r w:rsidR="00FC51ED" w:rsidRPr="00DD304A">
        <w:t>(</w:t>
      </w:r>
      <w:r w:rsidRPr="00DD304A">
        <w:t xml:space="preserve">excluding patients who are </w:t>
      </w:r>
      <w:r w:rsidRPr="00DD304A">
        <w:rPr>
          <w:i/>
          <w:iCs/>
        </w:rPr>
        <w:t>APOE4</w:t>
      </w:r>
      <w:r w:rsidRPr="00DD304A">
        <w:t xml:space="preserve"> homozygous and patients with a</w:t>
      </w:r>
      <w:r w:rsidR="00AD4F32" w:rsidRPr="00DD304A">
        <w:t>n</w:t>
      </w:r>
      <w:r w:rsidRPr="00DD304A">
        <w:t xml:space="preserve"> </w:t>
      </w:r>
      <w:r w:rsidR="00FC51ED" w:rsidRPr="00DD304A">
        <w:t xml:space="preserve">MRI brain findings of </w:t>
      </w:r>
      <w:r w:rsidRPr="00DD304A">
        <w:t>baseline presence of superficial siderosis and more than 2 microh</w:t>
      </w:r>
      <w:r w:rsidR="00DA0653" w:rsidRPr="00DD304A">
        <w:t>a</w:t>
      </w:r>
      <w:r w:rsidRPr="00DD304A">
        <w:t>emorrhages</w:t>
      </w:r>
      <w:r w:rsidR="00FC51ED" w:rsidRPr="00DD304A">
        <w:t>)</w:t>
      </w:r>
      <w:r w:rsidR="00AF1455">
        <w:t>,</w:t>
      </w:r>
      <w:r w:rsidRPr="00DD304A">
        <w:t xml:space="preserve"> amyloid testing (A</w:t>
      </w:r>
      <w:r w:rsidR="00F650A0">
        <w:rPr>
          <w:rFonts w:ascii="Calibri" w:hAnsi="Calibri" w:cs="Calibri"/>
        </w:rPr>
        <w:t>β</w:t>
      </w:r>
      <w:r w:rsidRPr="00DD304A">
        <w:t xml:space="preserve"> PET or CSF AD protein biomarker testing) followed by treatment with donanemab + SoC in patients with evidence of A</w:t>
      </w:r>
      <w:r w:rsidR="00F650A0">
        <w:rPr>
          <w:rFonts w:ascii="Calibri" w:hAnsi="Calibri" w:cs="Calibri"/>
        </w:rPr>
        <w:t>β</w:t>
      </w:r>
      <w:r w:rsidRPr="00DD304A">
        <w:t xml:space="preserve"> pathology is superior to no amyloid testing and treatment with SOC in terms of effectiveness.</w:t>
      </w:r>
    </w:p>
    <w:p w14:paraId="3AF1F227" w14:textId="689A17D8" w:rsidR="003243F3" w:rsidRPr="00DD304A" w:rsidRDefault="00387711" w:rsidP="003243F3">
      <w:r>
        <w:t>MSAC noted t</w:t>
      </w:r>
      <w:r w:rsidR="003243F3" w:rsidRPr="00DD304A">
        <w:t xml:space="preserve">he </w:t>
      </w:r>
      <w:r w:rsidR="006336C7" w:rsidRPr="00DD304A">
        <w:t xml:space="preserve">commentary </w:t>
      </w:r>
      <w:r w:rsidR="003243F3" w:rsidRPr="00DD304A">
        <w:t>consider</w:t>
      </w:r>
      <w:r w:rsidR="006336C7" w:rsidRPr="00DD304A">
        <w:t>ed</w:t>
      </w:r>
      <w:r w:rsidR="003243F3" w:rsidRPr="00DD304A">
        <w:t xml:space="preserve"> that based on the effectiveness data, in patients with a clinical diagnosis of MCI due to AD or mild AD who </w:t>
      </w:r>
      <w:r w:rsidR="000B5063">
        <w:t>we</w:t>
      </w:r>
      <w:r w:rsidR="003243F3" w:rsidRPr="00DD304A">
        <w:t xml:space="preserve">re not </w:t>
      </w:r>
      <w:r w:rsidR="003243F3" w:rsidRPr="00DD304A">
        <w:rPr>
          <w:i/>
          <w:iCs/>
        </w:rPr>
        <w:t>APOE4</w:t>
      </w:r>
      <w:r w:rsidR="003243F3" w:rsidRPr="00DD304A">
        <w:t xml:space="preserve"> homozygous and who d</w:t>
      </w:r>
      <w:r w:rsidR="000B5063">
        <w:t>id</w:t>
      </w:r>
      <w:r w:rsidR="003243F3" w:rsidRPr="00DD304A">
        <w:t xml:space="preserve"> not have </w:t>
      </w:r>
      <w:r w:rsidR="00FC51ED" w:rsidRPr="00DD304A">
        <w:t>MRI brain findings</w:t>
      </w:r>
      <w:r w:rsidR="003243F3" w:rsidRPr="00DD304A">
        <w:t xml:space="preserve"> of superficial siderosis and more than 2 microhemorrhages, donanemab ± SoC </w:t>
      </w:r>
      <w:r w:rsidR="000B5063">
        <w:t>wa</w:t>
      </w:r>
      <w:r w:rsidR="003243F3" w:rsidRPr="00DD304A">
        <w:t xml:space="preserve">s statistically significantly superior to no active therapy ± SoC in the rate of decline (slowing) of clinical disease progression in both cognitive and functional scales at 76 weeks. However, the clinical </w:t>
      </w:r>
      <w:r w:rsidR="00391E4E" w:rsidRPr="00DD304A">
        <w:t>significance</w:t>
      </w:r>
      <w:r w:rsidR="003243F3" w:rsidRPr="00DD304A">
        <w:t xml:space="preserve"> of th</w:t>
      </w:r>
      <w:r w:rsidR="00391E4E" w:rsidRPr="00DD304A">
        <w:t>is</w:t>
      </w:r>
      <w:r w:rsidR="003243F3" w:rsidRPr="00DD304A">
        <w:t xml:space="preserve"> treatment effect is uncertain. </w:t>
      </w:r>
    </w:p>
    <w:p w14:paraId="06751D9E" w14:textId="4D2A5843" w:rsidR="00EE5014" w:rsidRPr="00394233"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55" w:name="_Toc198735652"/>
      <w:r w:rsidRPr="00394233">
        <w:rPr>
          <w:rFonts w:ascii="Franklin Gothic Medium" w:hAnsi="Franklin Gothic Medium"/>
          <w:b w:val="0"/>
          <w:i w:val="0"/>
          <w:snapToGrid/>
          <w:sz w:val="32"/>
          <w:szCs w:val="26"/>
        </w:rPr>
        <w:t xml:space="preserve">Economic </w:t>
      </w:r>
      <w:r w:rsidR="00331A16" w:rsidRPr="00394233">
        <w:rPr>
          <w:rFonts w:ascii="Franklin Gothic Medium" w:hAnsi="Franklin Gothic Medium"/>
          <w:b w:val="0"/>
          <w:i w:val="0"/>
          <w:snapToGrid/>
          <w:sz w:val="32"/>
          <w:szCs w:val="26"/>
        </w:rPr>
        <w:t>e</w:t>
      </w:r>
      <w:r w:rsidRPr="00394233">
        <w:rPr>
          <w:rFonts w:ascii="Franklin Gothic Medium" w:hAnsi="Franklin Gothic Medium"/>
          <w:b w:val="0"/>
          <w:i w:val="0"/>
          <w:snapToGrid/>
          <w:sz w:val="32"/>
          <w:szCs w:val="26"/>
        </w:rPr>
        <w:t>valuation</w:t>
      </w:r>
      <w:bookmarkEnd w:id="55"/>
    </w:p>
    <w:p w14:paraId="3848E4B6" w14:textId="6B093978" w:rsidR="00295AC7" w:rsidRPr="00DD304A" w:rsidRDefault="00295AC7" w:rsidP="00295AC7">
      <w:pPr>
        <w:pStyle w:val="MSACESParagraph"/>
        <w:jc w:val="both"/>
        <w:rPr>
          <w:rFonts w:ascii="Franklin Gothic Book" w:hAnsi="Franklin Gothic Book" w:cstheme="minorHAnsi"/>
          <w:sz w:val="22"/>
        </w:rPr>
      </w:pPr>
      <w:r w:rsidRPr="00DD304A">
        <w:rPr>
          <w:rFonts w:ascii="Franklin Gothic Book" w:hAnsi="Franklin Gothic Book" w:cstheme="minorHAnsi"/>
          <w:sz w:val="22"/>
        </w:rPr>
        <w:t xml:space="preserve">The </w:t>
      </w:r>
      <w:r w:rsidR="00D51801" w:rsidRPr="00D51801">
        <w:rPr>
          <w:rFonts w:ascii="Franklin Gothic Book" w:hAnsi="Franklin Gothic Book" w:cstheme="minorHAnsi"/>
          <w:sz w:val="22"/>
        </w:rPr>
        <w:t>submission</w:t>
      </w:r>
      <w:r w:rsidR="00D51801" w:rsidRPr="00D51801" w:rsidDel="00D51801">
        <w:rPr>
          <w:rFonts w:ascii="Franklin Gothic Book" w:hAnsi="Franklin Gothic Book" w:cstheme="minorHAnsi"/>
          <w:sz w:val="22"/>
        </w:rPr>
        <w:t xml:space="preserve"> </w:t>
      </w:r>
      <w:r w:rsidRPr="00DD304A">
        <w:rPr>
          <w:rFonts w:ascii="Franklin Gothic Book" w:hAnsi="Franklin Gothic Book" w:cstheme="minorHAnsi"/>
          <w:sz w:val="22"/>
        </w:rPr>
        <w:t>presented a modelled economic evaluation based on the treatment effect</w:t>
      </w:r>
      <w:r w:rsidR="00CC7FD7" w:rsidRPr="00DD304A">
        <w:rPr>
          <w:rFonts w:ascii="Franklin Gothic Book" w:hAnsi="Franklin Gothic Book" w:cstheme="minorHAnsi"/>
          <w:sz w:val="22"/>
        </w:rPr>
        <w:t xml:space="preserve"> </w:t>
      </w:r>
      <w:r w:rsidRPr="00DD304A">
        <w:rPr>
          <w:rFonts w:ascii="Franklin Gothic Book" w:hAnsi="Franklin Gothic Book" w:cstheme="minorHAnsi"/>
          <w:sz w:val="22"/>
        </w:rPr>
        <w:t xml:space="preserve">observed in the TB-2 trial which compared donanemab treatment to SOC in patients with early AD with a positive Aβ biomarker test and who were not </w:t>
      </w:r>
      <w:r w:rsidRPr="00DD304A">
        <w:rPr>
          <w:rFonts w:ascii="Franklin Gothic Book" w:hAnsi="Franklin Gothic Book" w:cstheme="minorHAnsi"/>
          <w:i/>
          <w:iCs/>
          <w:sz w:val="22"/>
        </w:rPr>
        <w:t>APOE4</w:t>
      </w:r>
      <w:r w:rsidRPr="00DD304A">
        <w:rPr>
          <w:rFonts w:ascii="Franklin Gothic Book" w:hAnsi="Franklin Gothic Book" w:cstheme="minorHAnsi"/>
          <w:sz w:val="22"/>
        </w:rPr>
        <w:t xml:space="preserve"> </w:t>
      </w:r>
      <w:r w:rsidR="00CC7FD7" w:rsidRPr="00DD304A">
        <w:rPr>
          <w:rFonts w:ascii="Franklin Gothic Book" w:hAnsi="Franklin Gothic Book" w:cstheme="minorHAnsi"/>
          <w:sz w:val="22"/>
        </w:rPr>
        <w:t>homozygous</w:t>
      </w:r>
      <w:r w:rsidRPr="00DD304A">
        <w:rPr>
          <w:rFonts w:ascii="Franklin Gothic Book" w:hAnsi="Franklin Gothic Book" w:cstheme="minorHAnsi"/>
          <w:sz w:val="22"/>
        </w:rPr>
        <w:t>. The type of economic evaluation presented was a cost-utility analysis.</w:t>
      </w:r>
    </w:p>
    <w:p w14:paraId="51891042" w14:textId="3EB5DAC9" w:rsidR="000E3A1B" w:rsidRPr="00DD304A" w:rsidRDefault="000E3A1B" w:rsidP="00D429A3">
      <w:pPr>
        <w:pStyle w:val="Heading3"/>
      </w:pPr>
      <w:r w:rsidRPr="00DD304A">
        <w:lastRenderedPageBreak/>
        <w:t>Method</w:t>
      </w:r>
    </w:p>
    <w:p w14:paraId="0F173F04" w14:textId="5BEEACAC" w:rsidR="00BD7895" w:rsidRPr="00EE0EEB" w:rsidRDefault="0001285D" w:rsidP="00565B62">
      <w:pPr>
        <w:pStyle w:val="Caption"/>
      </w:pPr>
      <w:r>
        <w:t xml:space="preserve">Table </w:t>
      </w:r>
      <w:r w:rsidR="00965311">
        <w:fldChar w:fldCharType="begin"/>
      </w:r>
      <w:r w:rsidR="00965311">
        <w:instrText xml:space="preserve"> SEQ Table \* ARABIC </w:instrText>
      </w:r>
      <w:r w:rsidR="00965311">
        <w:fldChar w:fldCharType="separate"/>
      </w:r>
      <w:r w:rsidR="00965311">
        <w:rPr>
          <w:noProof/>
        </w:rPr>
        <w:t>13</w:t>
      </w:r>
      <w:r w:rsidR="00965311">
        <w:rPr>
          <w:noProof/>
        </w:rPr>
        <w:fldChar w:fldCharType="end"/>
      </w:r>
      <w:r>
        <w:t xml:space="preserve"> </w:t>
      </w:r>
      <w:r w:rsidR="00BD7895" w:rsidRPr="00EE0EEB">
        <w:t xml:space="preserve">Summary of </w:t>
      </w:r>
      <w:r w:rsidR="00BD7895">
        <w:t xml:space="preserve">testing </w:t>
      </w:r>
      <w:r w:rsidR="00BD7895" w:rsidRPr="00EE0EEB">
        <w:t>key inputs and rationale</w:t>
      </w:r>
      <w:r w:rsidR="00071407">
        <w:t xml:space="preserve"> in the </w:t>
      </w:r>
      <w:r w:rsidR="00D51801" w:rsidRPr="00D51801">
        <w:t>submission</w:t>
      </w:r>
      <w:r w:rsidR="00DB7B6D">
        <w:t xml:space="preserve">’s </w:t>
      </w:r>
      <w:r w:rsidR="00071407">
        <w:t>economic model</w:t>
      </w:r>
    </w:p>
    <w:tbl>
      <w:tblPr>
        <w:tblW w:w="496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9"/>
        <w:gridCol w:w="7712"/>
      </w:tblGrid>
      <w:tr w:rsidR="00BD7895" w:rsidRPr="00DF2319" w14:paraId="448333DE" w14:textId="77777777" w:rsidTr="00DE6098">
        <w:trPr>
          <w:tblHeader/>
        </w:trPr>
        <w:tc>
          <w:tcPr>
            <w:tcW w:w="692" w:type="pct"/>
            <w:vAlign w:val="center"/>
          </w:tcPr>
          <w:p w14:paraId="09D93088" w14:textId="77777777" w:rsidR="00BD7895" w:rsidRPr="00DF2319" w:rsidRDefault="00BD7895" w:rsidP="00336E0A">
            <w:pPr>
              <w:pStyle w:val="In-tableHeading"/>
              <w:spacing w:before="20" w:after="20"/>
              <w:rPr>
                <w:lang w:val="en-AU"/>
              </w:rPr>
            </w:pPr>
            <w:r w:rsidRPr="00DF2319">
              <w:rPr>
                <w:lang w:val="en-AU"/>
              </w:rPr>
              <w:t>Component</w:t>
            </w:r>
          </w:p>
        </w:tc>
        <w:tc>
          <w:tcPr>
            <w:tcW w:w="4308" w:type="pct"/>
            <w:vAlign w:val="center"/>
          </w:tcPr>
          <w:p w14:paraId="6C278E19" w14:textId="77777777" w:rsidR="00BD7895" w:rsidRPr="00DF2319" w:rsidRDefault="00BD7895" w:rsidP="00336E0A">
            <w:pPr>
              <w:pStyle w:val="In-tableHeading"/>
              <w:spacing w:before="20" w:after="20"/>
              <w:rPr>
                <w:lang w:val="en-AU"/>
              </w:rPr>
            </w:pPr>
            <w:r w:rsidRPr="00DF2319">
              <w:rPr>
                <w:lang w:val="en-AU"/>
              </w:rPr>
              <w:t>Summary</w:t>
            </w:r>
          </w:p>
        </w:tc>
      </w:tr>
      <w:tr w:rsidR="00BD7895" w:rsidRPr="00DF2319" w14:paraId="2DDC9D7C" w14:textId="77777777" w:rsidTr="00DE6098">
        <w:tc>
          <w:tcPr>
            <w:tcW w:w="692" w:type="pct"/>
            <w:vAlign w:val="center"/>
          </w:tcPr>
          <w:p w14:paraId="78699CF1" w14:textId="77777777" w:rsidR="00BD7895" w:rsidRPr="00DF2319" w:rsidRDefault="00BD7895" w:rsidP="00336E0A">
            <w:pPr>
              <w:pStyle w:val="TableText"/>
              <w:keepNext/>
              <w:spacing w:before="20" w:after="20"/>
            </w:pPr>
            <w:r w:rsidRPr="00DF2319">
              <w:t>Comparison</w:t>
            </w:r>
          </w:p>
        </w:tc>
        <w:tc>
          <w:tcPr>
            <w:tcW w:w="4308" w:type="pct"/>
            <w:vAlign w:val="center"/>
          </w:tcPr>
          <w:p w14:paraId="06B6CCD4" w14:textId="77777777" w:rsidR="00BD7895" w:rsidRPr="00DF2319" w:rsidRDefault="00BD7895" w:rsidP="00336E0A">
            <w:pPr>
              <w:pStyle w:val="TableText"/>
              <w:keepNext/>
              <w:spacing w:before="20" w:after="20"/>
            </w:pPr>
            <w:r w:rsidRPr="00DF2319">
              <w:t xml:space="preserve">Donanemab with amyloid and </w:t>
            </w:r>
            <w:r w:rsidRPr="00C6025F">
              <w:rPr>
                <w:i/>
                <w:iCs/>
              </w:rPr>
              <w:t>APOE4</w:t>
            </w:r>
            <w:r w:rsidRPr="00DF2319">
              <w:t xml:space="preserve"> testing versus SOC. This was reasonable.</w:t>
            </w:r>
          </w:p>
        </w:tc>
      </w:tr>
      <w:tr w:rsidR="00BD7895" w:rsidRPr="00DF2319" w14:paraId="671E2A64" w14:textId="77777777" w:rsidTr="00DE6098">
        <w:tc>
          <w:tcPr>
            <w:tcW w:w="692" w:type="pct"/>
            <w:vAlign w:val="center"/>
          </w:tcPr>
          <w:p w14:paraId="039267EE" w14:textId="77777777" w:rsidR="00BD7895" w:rsidRPr="00DF2319" w:rsidRDefault="00BD7895" w:rsidP="00336E0A">
            <w:pPr>
              <w:pStyle w:val="TableText"/>
              <w:keepNext/>
              <w:spacing w:before="20" w:after="20"/>
            </w:pPr>
            <w:r w:rsidRPr="00DF2319">
              <w:t>Outcomes</w:t>
            </w:r>
          </w:p>
        </w:tc>
        <w:tc>
          <w:tcPr>
            <w:tcW w:w="4308" w:type="pct"/>
            <w:vAlign w:val="center"/>
          </w:tcPr>
          <w:p w14:paraId="22A9CCAF" w14:textId="77777777" w:rsidR="00BD7895" w:rsidRPr="00DF2319" w:rsidRDefault="00BD7895" w:rsidP="00336E0A">
            <w:pPr>
              <w:pStyle w:val="TableText"/>
              <w:keepNext/>
              <w:spacing w:before="20" w:after="20"/>
            </w:pPr>
            <w:r w:rsidRPr="00DF2319">
              <w:t>QALYs.</w:t>
            </w:r>
          </w:p>
        </w:tc>
      </w:tr>
      <w:tr w:rsidR="00BD7895" w:rsidRPr="00DF2319" w14:paraId="1E33FB16" w14:textId="77777777" w:rsidTr="00DE6098">
        <w:tc>
          <w:tcPr>
            <w:tcW w:w="692" w:type="pct"/>
            <w:vAlign w:val="center"/>
          </w:tcPr>
          <w:p w14:paraId="0B4D2FD9" w14:textId="77777777" w:rsidR="00BD7895" w:rsidRPr="00DF2319" w:rsidRDefault="00BD7895" w:rsidP="00336E0A">
            <w:pPr>
              <w:pStyle w:val="TableText"/>
              <w:keepNext/>
              <w:spacing w:before="20" w:after="20"/>
            </w:pPr>
            <w:r w:rsidRPr="00DF2319">
              <w:t>Time horizon</w:t>
            </w:r>
          </w:p>
        </w:tc>
        <w:tc>
          <w:tcPr>
            <w:tcW w:w="4308" w:type="pct"/>
            <w:vAlign w:val="center"/>
          </w:tcPr>
          <w:p w14:paraId="2B31526D" w14:textId="77777777" w:rsidR="00BD7895" w:rsidRPr="00DF2319" w:rsidRDefault="00BD7895" w:rsidP="00336E0A">
            <w:pPr>
              <w:pStyle w:val="TableText"/>
              <w:keepNext/>
              <w:spacing w:before="20" w:after="20"/>
            </w:pPr>
            <w:r w:rsidRPr="00DF2319">
              <w:t xml:space="preserve">Lifetime (26 years) in the model base case (versus 18 months in the key trial). A lifetime extrapolation is reasonable however a shorter time horizon was adequate to capture the differences between the arms. The data was reasonably </w:t>
            </w:r>
            <w:proofErr w:type="gramStart"/>
            <w:r w:rsidRPr="00DF2319">
              <w:t>immature,</w:t>
            </w:r>
            <w:proofErr w:type="gramEnd"/>
            <w:r w:rsidRPr="00DF2319">
              <w:t xml:space="preserve"> </w:t>
            </w:r>
            <w:proofErr w:type="gramStart"/>
            <w:r w:rsidRPr="00DF2319">
              <w:t>the majority of</w:t>
            </w:r>
            <w:proofErr w:type="gramEnd"/>
            <w:r w:rsidRPr="00DF2319">
              <w:t xml:space="preserve"> the modelled benefit was accrued during the extrapolated period.</w:t>
            </w:r>
          </w:p>
        </w:tc>
      </w:tr>
      <w:tr w:rsidR="00BD7895" w:rsidRPr="00DF2319" w14:paraId="145DE320" w14:textId="77777777" w:rsidTr="00DE6098">
        <w:tc>
          <w:tcPr>
            <w:tcW w:w="692" w:type="pct"/>
            <w:vAlign w:val="center"/>
          </w:tcPr>
          <w:p w14:paraId="1EA66FC8" w14:textId="77777777" w:rsidR="00BD7895" w:rsidRPr="00DF2319" w:rsidRDefault="00BD7895" w:rsidP="00336E0A">
            <w:pPr>
              <w:pStyle w:val="TableText"/>
              <w:keepNext/>
              <w:spacing w:before="20" w:after="20"/>
            </w:pPr>
            <w:r w:rsidRPr="00DF2319">
              <w:t>Test parameters</w:t>
            </w:r>
          </w:p>
        </w:tc>
        <w:tc>
          <w:tcPr>
            <w:tcW w:w="4308" w:type="pct"/>
            <w:vAlign w:val="center"/>
          </w:tcPr>
          <w:p w14:paraId="721B1768" w14:textId="7962461C" w:rsidR="00BD7895" w:rsidRPr="00DF2319" w:rsidRDefault="00BD7895" w:rsidP="00336E0A">
            <w:pPr>
              <w:pStyle w:val="TableText"/>
              <w:keepNext/>
              <w:spacing w:before="20" w:after="20"/>
            </w:pPr>
            <w:r w:rsidRPr="00DF2319">
              <w:t xml:space="preserve">Patients enter the model at the point of </w:t>
            </w:r>
            <w:proofErr w:type="gramStart"/>
            <w:r w:rsidRPr="00DF2319">
              <w:t>treatment</w:t>
            </w:r>
            <w:proofErr w:type="gramEnd"/>
            <w:r w:rsidRPr="00DF2319">
              <w:t xml:space="preserve"> and each patient incurs the testing costs associated with the number required to identify one treated patient with donanemab. This was reasonable as testing costs for all patients considered for the medicine are included in the model. </w:t>
            </w:r>
          </w:p>
        </w:tc>
      </w:tr>
      <w:tr w:rsidR="00BD7895" w:rsidRPr="00DF2319" w14:paraId="0A62AEF2" w14:textId="77777777" w:rsidTr="00DE6098">
        <w:tc>
          <w:tcPr>
            <w:tcW w:w="692" w:type="pct"/>
            <w:vAlign w:val="center"/>
          </w:tcPr>
          <w:p w14:paraId="70DEFD4B" w14:textId="77777777" w:rsidR="00BD7895" w:rsidRPr="00DF2319" w:rsidRDefault="00BD7895" w:rsidP="00336E0A">
            <w:pPr>
              <w:pStyle w:val="TableText"/>
              <w:keepNext/>
              <w:spacing w:before="20" w:after="20"/>
            </w:pPr>
            <w:r w:rsidRPr="00DF2319">
              <w:t>Implications of false positive and false negative results</w:t>
            </w:r>
          </w:p>
        </w:tc>
        <w:tc>
          <w:tcPr>
            <w:tcW w:w="4308" w:type="pct"/>
            <w:vAlign w:val="center"/>
          </w:tcPr>
          <w:p w14:paraId="35A808B4" w14:textId="77777777" w:rsidR="00BD7895" w:rsidRPr="00DF2319" w:rsidRDefault="00BD7895" w:rsidP="00336E0A">
            <w:pPr>
              <w:pStyle w:val="TableText"/>
              <w:keepNext/>
              <w:spacing w:before="20" w:after="20"/>
            </w:pPr>
            <w:r w:rsidRPr="00DF2319">
              <w:t>Not considered in the economic evaluation. While this was reasonable for PET scans (as this was used in the trial and would have the same performance in practice), CSF assays which was not used in the trial and can be used in practice, have a 6 – 28% false positive rate when compared to PET. The submission has not considered that in clinical practice a proportion of patients with false positive CSF assays would be eligible for donanemab treatment which would affect the overall treatment effect of donanemab.</w:t>
            </w:r>
          </w:p>
        </w:tc>
      </w:tr>
      <w:tr w:rsidR="00BD7895" w:rsidRPr="00DF2319" w14:paraId="76591DE0" w14:textId="77777777" w:rsidTr="00DE6098">
        <w:tc>
          <w:tcPr>
            <w:tcW w:w="692" w:type="pct"/>
            <w:vAlign w:val="center"/>
          </w:tcPr>
          <w:p w14:paraId="460BF5B2" w14:textId="0F077A0D" w:rsidR="00BD7895" w:rsidRPr="00DF2319" w:rsidRDefault="00BD7895" w:rsidP="00336E0A">
            <w:pPr>
              <w:pStyle w:val="TableText"/>
              <w:keepNext/>
              <w:spacing w:before="20" w:after="20"/>
            </w:pPr>
            <w:r w:rsidRPr="00DF2319">
              <w:t>Tests required for access to PBS subsidised donanemab</w:t>
            </w:r>
          </w:p>
        </w:tc>
        <w:tc>
          <w:tcPr>
            <w:tcW w:w="4308" w:type="pct"/>
            <w:vAlign w:val="center"/>
          </w:tcPr>
          <w:p w14:paraId="29D0C69C" w14:textId="77777777" w:rsidR="00143B75" w:rsidRPr="00DF2319" w:rsidRDefault="00143B75" w:rsidP="00336E0A">
            <w:pPr>
              <w:pStyle w:val="TableText"/>
              <w:keepNext/>
              <w:numPr>
                <w:ilvl w:val="0"/>
                <w:numId w:val="22"/>
              </w:numPr>
              <w:spacing w:before="20" w:after="20"/>
              <w:ind w:left="357" w:hanging="357"/>
            </w:pPr>
            <w:r w:rsidRPr="00DF2319">
              <w:t xml:space="preserve">PET or CSF test (50% of patients each) for 1.18 patients (the number of treated patients versus tested patients). Although the distribution of patients testing through PET or CSF was uncertain, this was reasonable. </w:t>
            </w:r>
          </w:p>
          <w:p w14:paraId="35146C5B" w14:textId="4320A49B" w:rsidR="00143B75" w:rsidRPr="00DF2319" w:rsidRDefault="00143B75" w:rsidP="00336E0A">
            <w:pPr>
              <w:pStyle w:val="TableText"/>
              <w:keepNext/>
              <w:numPr>
                <w:ilvl w:val="0"/>
                <w:numId w:val="22"/>
              </w:numPr>
              <w:spacing w:before="20" w:after="20"/>
              <w:ind w:left="357" w:hanging="357"/>
            </w:pPr>
            <w:r w:rsidRPr="00C6025F">
              <w:rPr>
                <w:i/>
                <w:iCs/>
              </w:rPr>
              <w:t>APOE4</w:t>
            </w:r>
            <w:r w:rsidRPr="00DF2319">
              <w:t xml:space="preserve"> test for 1.57 patients (the number of treated patients versus tested patients). Th</w:t>
            </w:r>
            <w:r w:rsidR="00B17453" w:rsidRPr="00DF2319">
              <w:t>e</w:t>
            </w:r>
            <w:r w:rsidRPr="00DF2319">
              <w:t xml:space="preserve"> source behind the number of treated versus tested patients was not provided.</w:t>
            </w:r>
          </w:p>
          <w:p w14:paraId="53DD92E4" w14:textId="7C1F885F" w:rsidR="00BD7895" w:rsidRPr="00DF2319" w:rsidRDefault="00143B75" w:rsidP="00336E0A">
            <w:pPr>
              <w:pStyle w:val="TableText"/>
              <w:keepNext/>
              <w:numPr>
                <w:ilvl w:val="0"/>
                <w:numId w:val="22"/>
              </w:numPr>
              <w:spacing w:before="20" w:after="20"/>
              <w:ind w:left="357" w:hanging="357"/>
            </w:pPr>
            <w:r w:rsidRPr="00DF2319">
              <w:t xml:space="preserve">MRI </w:t>
            </w:r>
            <w:r w:rsidR="007A7454" w:rsidRPr="00DF2319">
              <w:t>brain</w:t>
            </w:r>
            <w:r w:rsidRPr="00DF2319">
              <w:t xml:space="preserve"> scan for 18% of patients. </w:t>
            </w:r>
            <w:proofErr w:type="gramStart"/>
            <w:r w:rsidRPr="00DF2319">
              <w:t>Assuming that</w:t>
            </w:r>
            <w:proofErr w:type="gramEnd"/>
            <w:r w:rsidRPr="00DF2319">
              <w:t xml:space="preserve"> the remaining patients would have an MRI </w:t>
            </w:r>
            <w:r w:rsidR="0075473F" w:rsidRPr="00DF2319">
              <w:t xml:space="preserve">brain </w:t>
            </w:r>
            <w:r w:rsidRPr="00DF2319">
              <w:t xml:space="preserve">as part of usual clinical diagnosis. However, this does not account for the proportion of patients </w:t>
            </w:r>
            <w:r w:rsidR="0075473F" w:rsidRPr="00DF2319">
              <w:t xml:space="preserve">who </w:t>
            </w:r>
            <w:r w:rsidRPr="00DF2319">
              <w:t xml:space="preserve">would fail the pre-treatment MRI.  </w:t>
            </w:r>
          </w:p>
        </w:tc>
      </w:tr>
      <w:tr w:rsidR="00BD7895" w:rsidRPr="00DF2319" w14:paraId="524C39B1" w14:textId="77777777" w:rsidTr="00DE6098">
        <w:tc>
          <w:tcPr>
            <w:tcW w:w="692" w:type="pct"/>
            <w:vAlign w:val="center"/>
          </w:tcPr>
          <w:p w14:paraId="7EA855D7" w14:textId="3CD97C9D" w:rsidR="00BD7895" w:rsidRPr="00DF2319" w:rsidRDefault="00BD7895" w:rsidP="00336E0A">
            <w:pPr>
              <w:pStyle w:val="TableText"/>
              <w:keepNext/>
              <w:spacing w:before="20" w:after="20"/>
            </w:pPr>
            <w:r w:rsidRPr="00DF2319">
              <w:t xml:space="preserve">Testing costs </w:t>
            </w:r>
          </w:p>
        </w:tc>
        <w:tc>
          <w:tcPr>
            <w:tcW w:w="4308" w:type="pct"/>
            <w:vAlign w:val="center"/>
          </w:tcPr>
          <w:p w14:paraId="193CFAC6" w14:textId="77777777" w:rsidR="0072190B" w:rsidRPr="00DF2319" w:rsidRDefault="00BD7895" w:rsidP="00336E0A">
            <w:pPr>
              <w:pStyle w:val="TableText"/>
              <w:keepNext/>
              <w:numPr>
                <w:ilvl w:val="0"/>
                <w:numId w:val="23"/>
              </w:numPr>
              <w:spacing w:before="20" w:after="20"/>
              <w:ind w:left="357" w:hanging="357"/>
            </w:pPr>
            <w:r w:rsidRPr="00DF2319">
              <w:t>The amyloid PET scan was assumed to cost $2,300, consisting of the cost of the proposed MBS item descriptor ($2,200) and MBS 61505 ($100) for a CT scan alongside a PET scan.</w:t>
            </w:r>
            <w:r w:rsidR="00143B75" w:rsidRPr="00DF2319">
              <w:t xml:space="preserve"> </w:t>
            </w:r>
          </w:p>
          <w:p w14:paraId="45FF3ABF" w14:textId="77777777" w:rsidR="00E83AF0" w:rsidRPr="00DF2319" w:rsidRDefault="00BD7895" w:rsidP="00336E0A">
            <w:pPr>
              <w:pStyle w:val="TableText"/>
              <w:keepNext/>
              <w:numPr>
                <w:ilvl w:val="0"/>
                <w:numId w:val="23"/>
              </w:numPr>
              <w:spacing w:before="20" w:after="20"/>
              <w:ind w:left="357" w:hanging="357"/>
            </w:pPr>
            <w:r w:rsidRPr="00DF2319">
              <w:t>The cost of the CSF test was assumed to be $750, consisting of the cost of the proposed MBS item descriptor ($400), MBS 56223 ($264) for CT of the spinal region and MBS 39000 ($86) for a lumbar puncture.</w:t>
            </w:r>
            <w:r w:rsidR="00143B75" w:rsidRPr="00DF2319">
              <w:t xml:space="preserve"> </w:t>
            </w:r>
          </w:p>
          <w:p w14:paraId="48F40C42" w14:textId="60BF8E16" w:rsidR="00E83AF0" w:rsidRPr="00DF2319" w:rsidRDefault="00143B75" w:rsidP="00336E0A">
            <w:pPr>
              <w:pStyle w:val="TableText"/>
              <w:keepNext/>
              <w:numPr>
                <w:ilvl w:val="0"/>
                <w:numId w:val="23"/>
              </w:numPr>
              <w:spacing w:before="20" w:after="20"/>
              <w:ind w:left="357" w:hanging="357"/>
            </w:pPr>
            <w:r w:rsidRPr="00C6025F">
              <w:rPr>
                <w:i/>
                <w:iCs/>
              </w:rPr>
              <w:t>APOE4</w:t>
            </w:r>
            <w:r w:rsidRPr="00DF2319">
              <w:t xml:space="preserve"> testing was assumed to be $160, consisting of the cost </w:t>
            </w:r>
            <w:r w:rsidRPr="00C6025F">
              <w:rPr>
                <w:i/>
                <w:iCs/>
              </w:rPr>
              <w:t>APOE4</w:t>
            </w:r>
            <w:r w:rsidRPr="00DF2319">
              <w:t xml:space="preserve"> testing as proposed in the MBS item descriptor ($154) and MBS item 73928 ($</w:t>
            </w:r>
            <w:r w:rsidR="00E83AF0" w:rsidRPr="00DF2319">
              <w:t>5.95</w:t>
            </w:r>
            <w:r w:rsidRPr="00DF2319">
              <w:t xml:space="preserve">) for blood collection. </w:t>
            </w:r>
          </w:p>
          <w:p w14:paraId="6A6D0163" w14:textId="77777777" w:rsidR="00E83AF0" w:rsidRPr="00DF2319" w:rsidRDefault="00BD7895" w:rsidP="00336E0A">
            <w:pPr>
              <w:pStyle w:val="TableText"/>
              <w:keepNext/>
              <w:numPr>
                <w:ilvl w:val="0"/>
                <w:numId w:val="23"/>
              </w:numPr>
              <w:spacing w:before="20" w:after="20"/>
              <w:ind w:left="357" w:hanging="357"/>
            </w:pPr>
            <w:r w:rsidRPr="00DF2319">
              <w:t xml:space="preserve">MRI costs were based on the pre-existing MBS item 63004, MRI of the head, $441. </w:t>
            </w:r>
          </w:p>
          <w:p w14:paraId="1AF208E7" w14:textId="05E8E99B" w:rsidR="00BD7895" w:rsidRPr="00DF2319" w:rsidRDefault="00071407" w:rsidP="00336E0A">
            <w:pPr>
              <w:pStyle w:val="TableText"/>
              <w:keepNext/>
              <w:spacing w:before="20" w:after="20"/>
            </w:pPr>
            <w:r w:rsidRPr="00DF2319">
              <w:t>These costs were reasonable however the submission did not consider anaesthesia</w:t>
            </w:r>
            <w:r w:rsidR="00B6507A" w:rsidRPr="00DF2319">
              <w:t xml:space="preserve"> that</w:t>
            </w:r>
            <w:r w:rsidRPr="00DF2319">
              <w:t xml:space="preserve"> may be required for some patients during </w:t>
            </w:r>
            <w:proofErr w:type="gramStart"/>
            <w:r w:rsidRPr="00DF2319">
              <w:t>testing,</w:t>
            </w:r>
            <w:proofErr w:type="gramEnd"/>
            <w:r w:rsidRPr="00DF2319">
              <w:t xml:space="preserve"> however this is unlikely to </w:t>
            </w:r>
            <w:proofErr w:type="gramStart"/>
            <w:r w:rsidRPr="00DF2319">
              <w:t>have an effect on</w:t>
            </w:r>
            <w:proofErr w:type="gramEnd"/>
            <w:r w:rsidRPr="00DF2319">
              <w:t xml:space="preserve"> the economic model.</w:t>
            </w:r>
          </w:p>
        </w:tc>
      </w:tr>
      <w:tr w:rsidR="00BD7895" w:rsidRPr="00DF2319" w14:paraId="6FF0E8A0" w14:textId="77777777" w:rsidTr="00DE6098">
        <w:tc>
          <w:tcPr>
            <w:tcW w:w="692" w:type="pct"/>
            <w:vAlign w:val="center"/>
          </w:tcPr>
          <w:p w14:paraId="0C170CA3" w14:textId="10BECEF9" w:rsidR="00BD7895" w:rsidRPr="00DF2319" w:rsidRDefault="00143B75" w:rsidP="00336E0A">
            <w:pPr>
              <w:pStyle w:val="TableText"/>
              <w:keepNext/>
              <w:spacing w:before="20" w:after="20"/>
            </w:pPr>
            <w:r w:rsidRPr="00DF2319">
              <w:t>Amyloid m</w:t>
            </w:r>
            <w:r w:rsidR="00BD7895" w:rsidRPr="00DF2319">
              <w:t>onitoring</w:t>
            </w:r>
          </w:p>
        </w:tc>
        <w:tc>
          <w:tcPr>
            <w:tcW w:w="4308" w:type="pct"/>
            <w:vAlign w:val="center"/>
          </w:tcPr>
          <w:p w14:paraId="6B4C79FE" w14:textId="2962F073" w:rsidR="00BD7895" w:rsidRPr="00DF2319" w:rsidRDefault="00143B75" w:rsidP="00336E0A">
            <w:pPr>
              <w:pStyle w:val="TableText"/>
              <w:keepNext/>
              <w:spacing w:before="20" w:after="20"/>
            </w:pPr>
            <w:r w:rsidRPr="00DF2319">
              <w:t>The model assumes that 40% of patients would have their amyloid levels monitored through a PET scan at 6 and 12 months and if amyloid clearance w</w:t>
            </w:r>
            <w:r w:rsidR="007A7454" w:rsidRPr="00DF2319">
              <w:t>ere</w:t>
            </w:r>
            <w:r w:rsidRPr="00DF2319">
              <w:t xml:space="preserve"> achieved, they would cease treatment. The other 60% of patients were assumed to be treated until the maximum treatment duration (18 months). This distribution is substantially </w:t>
            </w:r>
            <w:proofErr w:type="gramStart"/>
            <w:r w:rsidRPr="00DF2319">
              <w:t>uncertain, but</w:t>
            </w:r>
            <w:proofErr w:type="gramEnd"/>
            <w:r w:rsidRPr="00DF2319">
              <w:t xml:space="preserve"> affects only the costs in the economic model as patients who cease treatment early (32% and 37% of screened patients at 6 and 12 months, respectively, based on the TB-2 trial) have the same treatment effect waning assumptions incorporated in the model as those who complete the full treatment course.</w:t>
            </w:r>
          </w:p>
        </w:tc>
      </w:tr>
    </w:tbl>
    <w:p w14:paraId="514E28D8" w14:textId="77777777" w:rsidR="00BD7895" w:rsidRPr="00EE0EEB" w:rsidRDefault="00BD7895" w:rsidP="00476E0A">
      <w:pPr>
        <w:pStyle w:val="FooterTableFigure"/>
      </w:pPr>
      <w:r w:rsidRPr="00EE0EEB">
        <w:t xml:space="preserve">Source: </w:t>
      </w:r>
      <w:r w:rsidRPr="00EE0EEB">
        <w:rPr>
          <w:i/>
          <w:iCs/>
        </w:rPr>
        <w:t>Constructed during the evaluation</w:t>
      </w:r>
      <w:r w:rsidRPr="00EE0EEB">
        <w:t xml:space="preserve"> </w:t>
      </w:r>
      <w:r w:rsidRPr="00EE0EEB">
        <w:rPr>
          <w:i/>
          <w:iCs/>
        </w:rPr>
        <w:t>from the</w:t>
      </w:r>
      <w:r w:rsidRPr="00EE0EEB">
        <w:t xml:space="preserve"> “3.3_Donanemab cost effectiveness model” attachment provided with the submission.</w:t>
      </w:r>
    </w:p>
    <w:p w14:paraId="3E81D5BD" w14:textId="6E633AE4" w:rsidR="00BD7895" w:rsidRPr="00EE0EEB" w:rsidRDefault="00BD7895" w:rsidP="00476E0A">
      <w:pPr>
        <w:pStyle w:val="FooterTableFigure"/>
      </w:pPr>
      <w:r w:rsidRPr="00EE0EEB">
        <w:t xml:space="preserve">AD = Alzheimer Disease; </w:t>
      </w:r>
      <w:r w:rsidRPr="00EE0EEB">
        <w:rPr>
          <w:i/>
        </w:rPr>
        <w:t>APOE</w:t>
      </w:r>
      <w:r w:rsidRPr="00EE0EEB">
        <w:t xml:space="preserve"> = Apolipoprotein E gene;</w:t>
      </w:r>
      <w:r w:rsidR="00071407">
        <w:t xml:space="preserve"> CSF = </w:t>
      </w:r>
      <w:r w:rsidR="00071407" w:rsidRPr="00071407">
        <w:t>cerebrospinal fluid</w:t>
      </w:r>
      <w:r w:rsidR="00071407">
        <w:t>; MBS = Medicare Benefits Schedule;</w:t>
      </w:r>
      <w:r w:rsidRPr="00EE0EEB">
        <w:t xml:space="preserve"> MRI = magnetic resonance imaging;</w:t>
      </w:r>
      <w:r w:rsidR="00143B75">
        <w:t xml:space="preserve"> PET = </w:t>
      </w:r>
      <w:r w:rsidR="00071407" w:rsidRPr="00071407">
        <w:t>Positron Emission Tomography</w:t>
      </w:r>
      <w:r w:rsidR="00071407">
        <w:t>;</w:t>
      </w:r>
      <w:r w:rsidRPr="00EE0EEB">
        <w:t xml:space="preserve"> QALY = qualify-adjusted life year; SOC = Standard of Care</w:t>
      </w:r>
      <w:r w:rsidR="00071407">
        <w:t>.</w:t>
      </w:r>
    </w:p>
    <w:p w14:paraId="5F7AEDA9" w14:textId="3E9EE520" w:rsidR="00295AC7" w:rsidRPr="00DD304A" w:rsidRDefault="00295AC7" w:rsidP="00295AC7">
      <w:pPr>
        <w:pStyle w:val="MSACESParagraph"/>
        <w:jc w:val="both"/>
        <w:rPr>
          <w:rFonts w:ascii="Franklin Gothic Book" w:hAnsi="Franklin Gothic Book" w:cstheme="minorHAnsi"/>
          <w:i/>
          <w:iCs/>
          <w:sz w:val="22"/>
        </w:rPr>
      </w:pPr>
      <w:r w:rsidRPr="00DD304A">
        <w:rPr>
          <w:rFonts w:ascii="Franklin Gothic Book" w:hAnsi="Franklin Gothic Book" w:cstheme="minorHAnsi"/>
          <w:sz w:val="22"/>
        </w:rPr>
        <w:t>The economic model adopt</w:t>
      </w:r>
      <w:r w:rsidR="00D07097">
        <w:rPr>
          <w:rFonts w:ascii="Franklin Gothic Book" w:hAnsi="Franklin Gothic Book" w:cstheme="minorHAnsi"/>
          <w:sz w:val="22"/>
        </w:rPr>
        <w:t>ed</w:t>
      </w:r>
      <w:r w:rsidRPr="00DD304A">
        <w:rPr>
          <w:rFonts w:ascii="Franklin Gothic Book" w:hAnsi="Franklin Gothic Book" w:cstheme="minorHAnsi"/>
          <w:sz w:val="22"/>
        </w:rPr>
        <w:t xml:space="preserve"> a Markov model structure with two settings (community and institutional) and four health states (MCI due to AD, mild, moderate and severe AD) in each setting based on AD disease severity (as per </w:t>
      </w:r>
      <w:r w:rsidR="00CC7FD7" w:rsidRPr="00DD304A">
        <w:rPr>
          <w:rFonts w:ascii="Franklin Gothic Book" w:hAnsi="Franklin Gothic Book" w:cstheme="minorHAnsi"/>
          <w:sz w:val="22"/>
        </w:rPr>
        <w:t>Clinical Dementia Rating – Sum of Boxes [</w:t>
      </w:r>
      <w:r w:rsidRPr="00DD304A">
        <w:rPr>
          <w:rFonts w:ascii="Franklin Gothic Book" w:hAnsi="Franklin Gothic Book" w:cstheme="minorHAnsi"/>
          <w:sz w:val="22"/>
        </w:rPr>
        <w:t>CDR-SB</w:t>
      </w:r>
      <w:r w:rsidR="00CC7FD7" w:rsidRPr="00DD304A">
        <w:rPr>
          <w:rFonts w:ascii="Franklin Gothic Book" w:hAnsi="Franklin Gothic Book" w:cstheme="minorHAnsi"/>
          <w:sz w:val="22"/>
        </w:rPr>
        <w:t>]</w:t>
      </w:r>
      <w:r w:rsidRPr="00DD304A">
        <w:rPr>
          <w:rFonts w:ascii="Franklin Gothic Book" w:hAnsi="Franklin Gothic Book" w:cstheme="minorHAnsi"/>
          <w:sz w:val="22"/>
        </w:rPr>
        <w:t>) and a dead health state. Patients enter</w:t>
      </w:r>
      <w:r w:rsidR="00DB6BBF">
        <w:rPr>
          <w:rFonts w:ascii="Franklin Gothic Book" w:hAnsi="Franklin Gothic Book" w:cstheme="minorHAnsi"/>
          <w:sz w:val="22"/>
        </w:rPr>
        <w:t>ed</w:t>
      </w:r>
      <w:r w:rsidRPr="00DD304A">
        <w:rPr>
          <w:rFonts w:ascii="Franklin Gothic Book" w:hAnsi="Franklin Gothic Book" w:cstheme="minorHAnsi"/>
          <w:sz w:val="22"/>
        </w:rPr>
        <w:t xml:space="preserve"> the model at the point of treatment and testing costs associated with the number of patients tested </w:t>
      </w:r>
      <w:r w:rsidR="00DB6BBF">
        <w:rPr>
          <w:rFonts w:ascii="Franklin Gothic Book" w:hAnsi="Franklin Gothic Book" w:cstheme="minorHAnsi"/>
          <w:sz w:val="22"/>
        </w:rPr>
        <w:t>we</w:t>
      </w:r>
      <w:r w:rsidRPr="00DD304A">
        <w:rPr>
          <w:rFonts w:ascii="Franklin Gothic Book" w:hAnsi="Franklin Gothic Book" w:cstheme="minorHAnsi"/>
          <w:sz w:val="22"/>
        </w:rPr>
        <w:t xml:space="preserve">re applied to each patient upon model entry. </w:t>
      </w:r>
      <w:r w:rsidR="006336C7" w:rsidRPr="00DD304A">
        <w:rPr>
          <w:rFonts w:ascii="Franklin Gothic Book" w:hAnsi="Franklin Gothic Book" w:cstheme="minorHAnsi"/>
          <w:sz w:val="22"/>
        </w:rPr>
        <w:t>The commentary considered that t</w:t>
      </w:r>
      <w:r w:rsidRPr="00DD304A">
        <w:rPr>
          <w:rFonts w:ascii="Franklin Gothic Book" w:hAnsi="Franklin Gothic Book" w:cstheme="minorHAnsi"/>
          <w:sz w:val="22"/>
        </w:rPr>
        <w:t>his was reasonable</w:t>
      </w:r>
      <w:r w:rsidRPr="00DD304A">
        <w:rPr>
          <w:rFonts w:ascii="Franklin Gothic Book" w:hAnsi="Franklin Gothic Book" w:cstheme="minorHAnsi"/>
          <w:i/>
          <w:iCs/>
          <w:sz w:val="22"/>
        </w:rPr>
        <w:t>.</w:t>
      </w:r>
    </w:p>
    <w:p w14:paraId="0DE3F6EE" w14:textId="6FD7390F" w:rsidR="006572FE" w:rsidRPr="00DD304A" w:rsidRDefault="00295AC7" w:rsidP="00295AC7">
      <w:r w:rsidRPr="00DD304A">
        <w:lastRenderedPageBreak/>
        <w:t xml:space="preserve">No consideration was given </w:t>
      </w:r>
      <w:r w:rsidR="00CC7FD7" w:rsidRPr="00DD304A">
        <w:t xml:space="preserve">to the likelihood of </w:t>
      </w:r>
      <w:r w:rsidRPr="00DD304A">
        <w:t xml:space="preserve">false-negative and false positive results. </w:t>
      </w:r>
      <w:r w:rsidR="006336C7" w:rsidRPr="00DD304A">
        <w:t>The commentary considered that w</w:t>
      </w:r>
      <w:r w:rsidR="00717B17" w:rsidRPr="00DD304A">
        <w:t>hile this was reasonable for PET scans (</w:t>
      </w:r>
      <w:r w:rsidR="006572FE" w:rsidRPr="00DD304A">
        <w:t>as this was</w:t>
      </w:r>
      <w:r w:rsidR="00717B17" w:rsidRPr="00DD304A">
        <w:t xml:space="preserve"> used in the trial and would have the same performance in practice), CSF assays </w:t>
      </w:r>
      <w:r w:rsidR="006572FE" w:rsidRPr="00DD304A">
        <w:t xml:space="preserve">which </w:t>
      </w:r>
      <w:r w:rsidR="00232487" w:rsidRPr="00DD304A">
        <w:t>were</w:t>
      </w:r>
      <w:r w:rsidR="006572FE" w:rsidRPr="00DD304A">
        <w:t xml:space="preserve"> not used in the trial and </w:t>
      </w:r>
      <w:r w:rsidR="00232487" w:rsidRPr="00DD304A">
        <w:t>may</w:t>
      </w:r>
      <w:r w:rsidR="006572FE" w:rsidRPr="00DD304A">
        <w:t xml:space="preserve"> be used in practice, </w:t>
      </w:r>
      <w:r w:rsidR="00717B17" w:rsidRPr="00DD304A">
        <w:t xml:space="preserve">have a </w:t>
      </w:r>
      <w:r w:rsidR="006572FE" w:rsidRPr="00DD304A">
        <w:t xml:space="preserve">6 – 28% false positive rate when compared to PET scans (see </w:t>
      </w:r>
      <w:r w:rsidR="00382D69" w:rsidRPr="00DD304A">
        <w:fldChar w:fldCharType="begin"/>
      </w:r>
      <w:r w:rsidR="00382D69" w:rsidRPr="00DD304A">
        <w:instrText xml:space="preserve"> REF _Ref196215112 \h </w:instrText>
      </w:r>
      <w:r w:rsidR="003E5C65" w:rsidRPr="00DD304A">
        <w:instrText xml:space="preserve"> \* MERGEFORMAT </w:instrText>
      </w:r>
      <w:r w:rsidR="00382D69" w:rsidRPr="00DD304A">
        <w:fldChar w:fldCharType="separate"/>
      </w:r>
      <w:r w:rsidR="00413BC5" w:rsidRPr="00DD304A">
        <w:t>Comparative accuracy/test performance</w:t>
      </w:r>
      <w:r w:rsidR="00382D69" w:rsidRPr="00DD304A">
        <w:fldChar w:fldCharType="end"/>
      </w:r>
      <w:r w:rsidR="006572FE" w:rsidRPr="00DD304A">
        <w:t xml:space="preserve">). The </w:t>
      </w:r>
      <w:r w:rsidR="00D51801" w:rsidRPr="00D51801">
        <w:t>submission</w:t>
      </w:r>
      <w:r w:rsidR="0038614D" w:rsidRPr="00DD304A">
        <w:t xml:space="preserve"> </w:t>
      </w:r>
      <w:r w:rsidR="006572FE" w:rsidRPr="00DD304A">
        <w:t>ha</w:t>
      </w:r>
      <w:r w:rsidR="00145EC3">
        <w:t>d</w:t>
      </w:r>
      <w:r w:rsidR="006572FE" w:rsidRPr="00DD304A">
        <w:t xml:space="preserve"> not considered that in clinical practice a proportion of patients with false positive CSF assays would be eligible for donanemab treatment which would affect the overall treatment effect of donanemab. The impact of this </w:t>
      </w:r>
      <w:proofErr w:type="gramStart"/>
      <w:r w:rsidR="006572FE" w:rsidRPr="00DD304A">
        <w:t>was not able to</w:t>
      </w:r>
      <w:proofErr w:type="gramEnd"/>
      <w:r w:rsidR="006572FE" w:rsidRPr="00DD304A">
        <w:t xml:space="preserve"> be explored during the evaluation due to the structure of the economic model.</w:t>
      </w:r>
      <w:r w:rsidR="00834F2D">
        <w:t xml:space="preserve"> </w:t>
      </w:r>
      <w:r w:rsidR="00834F2D" w:rsidRPr="00834F2D">
        <w:t>MSAC considered that the economic evaluation should consider the whole population, both tested and treated populations, especially in the context of two proposed alternative tests for Aβ pathology which might have discordant results to determine access to a drug and the pivotal TB2 trial used only one of the tests. MSAC considered that the economic model should incorporate the downstream impact of false positive (e.g., potential harms from unnecessary donanemab treatment and associated monitoring) and false negative test results (e.g., not eligible to donanemab treatment).</w:t>
      </w:r>
    </w:p>
    <w:p w14:paraId="312A3A6C" w14:textId="6A4C33C4" w:rsidR="00295AC7" w:rsidRPr="00336E0A" w:rsidRDefault="00295AC7" w:rsidP="00295AC7">
      <w:r w:rsidRPr="00DD304A">
        <w:t xml:space="preserve">Three tests are required </w:t>
      </w:r>
      <w:r w:rsidR="005958AE" w:rsidRPr="00DD304A">
        <w:t>for patients who already have a</w:t>
      </w:r>
      <w:r w:rsidR="006F48F5" w:rsidRPr="00DD304A">
        <w:t>n</w:t>
      </w:r>
      <w:r w:rsidR="005958AE" w:rsidRPr="00DD304A">
        <w:t xml:space="preserve"> MCI or mild AD diagnosis </w:t>
      </w:r>
      <w:r w:rsidRPr="00DD304A">
        <w:t xml:space="preserve">before </w:t>
      </w:r>
      <w:r w:rsidR="005958AE" w:rsidRPr="00DD304A">
        <w:t xml:space="preserve">they </w:t>
      </w:r>
      <w:r w:rsidRPr="00DD304A">
        <w:t xml:space="preserve">can be treated with donanemab: a pre-treatment MRI, </w:t>
      </w:r>
      <w:r w:rsidRPr="00DD304A">
        <w:rPr>
          <w:i/>
          <w:iCs/>
        </w:rPr>
        <w:t>APOE</w:t>
      </w:r>
      <w:r w:rsidRPr="00DD304A">
        <w:rPr>
          <w:rFonts w:cstheme="minorHAnsi"/>
          <w:i/>
          <w:iCs/>
        </w:rPr>
        <w:t>4</w:t>
      </w:r>
      <w:r w:rsidRPr="00DD304A">
        <w:rPr>
          <w:rFonts w:cstheme="minorHAnsi"/>
        </w:rPr>
        <w:t xml:space="preserve"> and </w:t>
      </w:r>
      <w:r w:rsidRPr="00DD304A">
        <w:t>Aβ</w:t>
      </w:r>
      <w:r w:rsidRPr="00DD304A">
        <w:rPr>
          <w:rFonts w:cstheme="minorHAnsi"/>
        </w:rPr>
        <w:t xml:space="preserve"> tests.</w:t>
      </w:r>
      <w:r w:rsidRPr="00DD304A">
        <w:t xml:space="preserve"> Patients must test positive for Aβ through either a PET scan or CSF test. The </w:t>
      </w:r>
      <w:r w:rsidR="00D51801" w:rsidRPr="00D51801">
        <w:t>submission</w:t>
      </w:r>
      <w:r w:rsidR="00D51801" w:rsidRPr="00D51801" w:rsidDel="00D51801">
        <w:t xml:space="preserve"> </w:t>
      </w:r>
      <w:r w:rsidRPr="00DD304A">
        <w:t>cited the Australian Dementia Network Registry 2022 Annual Report and indicates that 61% of patients with MCI due to AD and 91% of patients with mild AD are Aβ positive.</w:t>
      </w:r>
      <w:r w:rsidRPr="00DD304A">
        <w:rPr>
          <w:rStyle w:val="FootnoteReference"/>
        </w:rPr>
        <w:footnoteReference w:id="9"/>
      </w:r>
      <w:r w:rsidRPr="00DD304A">
        <w:t xml:space="preserve"> </w:t>
      </w:r>
      <w:r w:rsidR="006336C7" w:rsidRPr="00DD304A">
        <w:t>The commentary noted that t</w:t>
      </w:r>
      <w:r w:rsidRPr="00DD304A">
        <w:t xml:space="preserve">hese values </w:t>
      </w:r>
      <w:proofErr w:type="gramStart"/>
      <w:r w:rsidRPr="00DD304A">
        <w:t>were not able to</w:t>
      </w:r>
      <w:proofErr w:type="gramEnd"/>
      <w:r w:rsidRPr="00DD304A">
        <w:t xml:space="preserve"> be verified from the report. The calculated rate of Aβ positivity (weighted by the proportion of patients with MCI due to AD and mild AD at model entry) was 85% and was relatively </w:t>
      </w:r>
      <w:proofErr w:type="gramStart"/>
      <w:r w:rsidRPr="00DD304A">
        <w:t>similar to</w:t>
      </w:r>
      <w:proofErr w:type="gramEnd"/>
      <w:r w:rsidRPr="00DD304A">
        <w:t xml:space="preserve"> the Aβ positivity rate during TB-2 screening (75% with 25% of patients being excluded due to negative amyloid on PET). The amyloid positivity rate from the trial was tested in sensitivity analyses (</w:t>
      </w:r>
      <w:r w:rsidRPr="00336E0A">
        <w:t>see</w:t>
      </w:r>
      <w:r w:rsidR="000A5642" w:rsidRPr="00336E0A">
        <w:t xml:space="preserve"> </w:t>
      </w:r>
      <w:r w:rsidR="00336E0A" w:rsidRPr="00336E0A">
        <w:fldChar w:fldCharType="begin"/>
      </w:r>
      <w:r w:rsidR="00336E0A" w:rsidRPr="00336E0A">
        <w:instrText xml:space="preserve"> REF _Ref205192127 \h  \* MERGEFORMAT </w:instrText>
      </w:r>
      <w:r w:rsidR="00336E0A" w:rsidRPr="00336E0A">
        <w:fldChar w:fldCharType="separate"/>
      </w:r>
      <w:r w:rsidR="00A84C6B">
        <w:t xml:space="preserve">Table </w:t>
      </w:r>
      <w:r w:rsidR="00A84C6B">
        <w:rPr>
          <w:noProof/>
        </w:rPr>
        <w:t>17</w:t>
      </w:r>
      <w:r w:rsidR="00336E0A" w:rsidRPr="00336E0A">
        <w:fldChar w:fldCharType="end"/>
      </w:r>
      <w:r w:rsidRPr="00336E0A">
        <w:t>).</w:t>
      </w:r>
    </w:p>
    <w:p w14:paraId="3C10165A" w14:textId="086AC5AA" w:rsidR="00295AC7" w:rsidRPr="00DD304A" w:rsidRDefault="00295AC7" w:rsidP="00295AC7">
      <w:r w:rsidRPr="00DD304A">
        <w:rPr>
          <w:rFonts w:cstheme="minorHAnsi"/>
        </w:rPr>
        <w:t xml:space="preserve">The </w:t>
      </w:r>
      <w:r w:rsidR="00D51801" w:rsidRPr="00D51801">
        <w:rPr>
          <w:rFonts w:cstheme="minorHAnsi"/>
        </w:rPr>
        <w:t>submission</w:t>
      </w:r>
      <w:r w:rsidR="00A84C6B" w:rsidRPr="00DD304A">
        <w:rPr>
          <w:rFonts w:cstheme="minorHAnsi"/>
        </w:rPr>
        <w:t xml:space="preserve"> </w:t>
      </w:r>
      <w:r w:rsidRPr="00DD304A">
        <w:rPr>
          <w:rFonts w:cstheme="minorHAnsi"/>
        </w:rPr>
        <w:t xml:space="preserve">assumed </w:t>
      </w:r>
      <w:r w:rsidR="00D0388A" w:rsidRPr="00DD304A">
        <w:rPr>
          <w:rFonts w:cstheme="minorHAnsi"/>
        </w:rPr>
        <w:t>a</w:t>
      </w:r>
      <w:r w:rsidRPr="00DD304A">
        <w:rPr>
          <w:rFonts w:cstheme="minorHAnsi"/>
        </w:rPr>
        <w:t xml:space="preserve"> prevalence rate of non-</w:t>
      </w:r>
      <w:r w:rsidRPr="00DD304A">
        <w:rPr>
          <w:i/>
          <w:iCs/>
        </w:rPr>
        <w:t>APOE</w:t>
      </w:r>
      <w:r w:rsidRPr="00DD304A">
        <w:rPr>
          <w:rFonts w:cstheme="minorHAnsi"/>
          <w:i/>
          <w:iCs/>
        </w:rPr>
        <w:t>4</w:t>
      </w:r>
      <w:r w:rsidRPr="00DD304A">
        <w:rPr>
          <w:rFonts w:cstheme="minorHAnsi"/>
        </w:rPr>
        <w:t xml:space="preserve"> homozygotes of 64%</w:t>
      </w:r>
      <w:r w:rsidR="00B3155B" w:rsidRPr="00DD304A">
        <w:rPr>
          <w:rFonts w:cstheme="minorHAnsi"/>
        </w:rPr>
        <w:t xml:space="preserve"> in the economic analysis</w:t>
      </w:r>
      <w:r w:rsidRPr="00DD304A">
        <w:rPr>
          <w:rFonts w:cstheme="minorHAnsi"/>
        </w:rPr>
        <w:t>, hence 1.57 patients would need to be tested to identify one treatment eligible patient. The source of this estimate was not provided in the submission. The</w:t>
      </w:r>
      <w:r w:rsidR="006336C7" w:rsidRPr="00DD304A">
        <w:rPr>
          <w:rFonts w:cstheme="minorHAnsi"/>
        </w:rPr>
        <w:t xml:space="preserve"> commentary noted that the</w:t>
      </w:r>
      <w:r w:rsidRPr="00DD304A">
        <w:rPr>
          <w:rFonts w:cstheme="minorHAnsi"/>
        </w:rPr>
        <w:t xml:space="preserve"> financial analysis applied a prevalence rate of 89% for non-homozygotes (11% for homozygotes) whereas the proportion of non-homozygotes in the TB-2 trial was 71%. These alternative prevalence rates were tested in sensitivity analyses; however</w:t>
      </w:r>
      <w:r w:rsidR="006F48F5" w:rsidRPr="00DD304A">
        <w:rPr>
          <w:rFonts w:cstheme="minorHAnsi"/>
        </w:rPr>
        <w:t>,</w:t>
      </w:r>
      <w:r w:rsidRPr="00DD304A">
        <w:rPr>
          <w:rFonts w:cstheme="minorHAnsi"/>
        </w:rPr>
        <w:t xml:space="preserve"> the model was not sensitive to these alternative </w:t>
      </w:r>
      <w:r w:rsidRPr="00DD304A">
        <w:t>values</w:t>
      </w:r>
      <w:r w:rsidRPr="00336E0A">
        <w:t>.</w:t>
      </w:r>
    </w:p>
    <w:p w14:paraId="503661B9" w14:textId="0F437A50" w:rsidR="00295AC7" w:rsidRPr="00812C34" w:rsidRDefault="00295AC7" w:rsidP="00295AC7">
      <w:pPr>
        <w:rPr>
          <w:rFonts w:cstheme="minorHAnsi"/>
        </w:rPr>
      </w:pPr>
      <w:r w:rsidRPr="00DD304A">
        <w:rPr>
          <w:rFonts w:cstheme="minorHAnsi"/>
        </w:rPr>
        <w:t>As per the PBS restriction, a pre-treatment MRI is needed rule out</w:t>
      </w:r>
      <w:r w:rsidRPr="00DD304A">
        <w:t xml:space="preserve"> haemorrhage or ARIA events.</w:t>
      </w:r>
      <w:r w:rsidRPr="00DD304A">
        <w:rPr>
          <w:rFonts w:cstheme="minorHAnsi"/>
        </w:rPr>
        <w:t xml:space="preserve"> Based on a commissioned analysis of AD patients in Australia conducted by Ipsos, the </w:t>
      </w:r>
      <w:r w:rsidR="00D51801" w:rsidRPr="00D51801">
        <w:rPr>
          <w:rFonts w:cstheme="minorHAnsi"/>
        </w:rPr>
        <w:t>submission</w:t>
      </w:r>
      <w:r w:rsidR="003F287C" w:rsidRPr="00DD304A">
        <w:rPr>
          <w:rFonts w:cstheme="minorHAnsi"/>
        </w:rPr>
        <w:t xml:space="preserve"> </w:t>
      </w:r>
      <w:r w:rsidRPr="00DD304A">
        <w:rPr>
          <w:rFonts w:cstheme="minorHAnsi"/>
        </w:rPr>
        <w:t xml:space="preserve">estimated that 82% of patients would have an MRI upon diagnosis (regardless of donanemab treatment), hence the </w:t>
      </w:r>
      <w:r w:rsidR="00D51801" w:rsidRPr="00D51801">
        <w:rPr>
          <w:rFonts w:cstheme="minorHAnsi"/>
        </w:rPr>
        <w:t>submission</w:t>
      </w:r>
      <w:r w:rsidR="003F287C" w:rsidRPr="00DD304A">
        <w:rPr>
          <w:rFonts w:cstheme="minorHAnsi"/>
        </w:rPr>
        <w:t xml:space="preserve"> </w:t>
      </w:r>
      <w:r w:rsidRPr="00DD304A">
        <w:rPr>
          <w:rFonts w:cstheme="minorHAnsi"/>
        </w:rPr>
        <w:t xml:space="preserve">has only costed pre-treatment MRIs for 18% of donanemab patients. </w:t>
      </w:r>
      <w:r w:rsidR="006336C7" w:rsidRPr="00DD304A">
        <w:rPr>
          <w:rFonts w:cstheme="minorHAnsi"/>
        </w:rPr>
        <w:t>The commentary considered that t</w:t>
      </w:r>
      <w:r w:rsidRPr="00DD304A">
        <w:rPr>
          <w:rFonts w:cstheme="minorHAnsi"/>
        </w:rPr>
        <w:t>his was reasonable. However, this approach assume</w:t>
      </w:r>
      <w:r w:rsidR="003F287C">
        <w:rPr>
          <w:rFonts w:cstheme="minorHAnsi"/>
        </w:rPr>
        <w:t>d</w:t>
      </w:r>
      <w:r w:rsidRPr="00DD304A">
        <w:rPr>
          <w:rFonts w:cstheme="minorHAnsi"/>
        </w:rPr>
        <w:t xml:space="preserve"> that all patients would pass the pre-treatment MRI. In the financial analysis, 89% of patients are modelled to pass the pre-treatment MRI. This proportion should be used to calculate the number of pre-treatment MRI scans per treated patient (1.12) and then applied to the 18% of patients who undergo the pre-treatment MRI. The model was not sensitive to small changes in the number of scans per </w:t>
      </w:r>
      <w:r w:rsidRPr="00812C34">
        <w:rPr>
          <w:rFonts w:cstheme="minorHAnsi"/>
        </w:rPr>
        <w:t xml:space="preserve">patient. </w:t>
      </w:r>
    </w:p>
    <w:p w14:paraId="514FC6AE" w14:textId="69C70E51" w:rsidR="00295AC7" w:rsidRPr="00DD304A" w:rsidRDefault="00295AC7" w:rsidP="00295AC7">
      <w:r w:rsidRPr="00DD304A">
        <w:t xml:space="preserve">The submission has not considered that testing for </w:t>
      </w:r>
      <w:r w:rsidR="005958AE" w:rsidRPr="00DD304A">
        <w:t xml:space="preserve">PBS subsidised </w:t>
      </w:r>
      <w:r w:rsidRPr="00DD304A">
        <w:t>donanemab may occur in a sequential testing approach. As per the proposed clinical management algorithm (see</w:t>
      </w:r>
      <w:r w:rsidR="00655D11" w:rsidRPr="00DD304A">
        <w:t xml:space="preserve"> </w:t>
      </w:r>
      <w:r w:rsidR="00655D11" w:rsidRPr="00DD304A">
        <w:fldChar w:fldCharType="begin"/>
      </w:r>
      <w:r w:rsidR="00655D11" w:rsidRPr="00DD304A">
        <w:instrText xml:space="preserve"> REF _Ref196213623 \h  \* MERGEFORMAT </w:instrText>
      </w:r>
      <w:r w:rsidR="00655D11" w:rsidRPr="00DD304A">
        <w:fldChar w:fldCharType="separate"/>
      </w:r>
      <w:r w:rsidR="00413BC5" w:rsidRPr="00DD304A">
        <w:t xml:space="preserve">Change in </w:t>
      </w:r>
      <w:r w:rsidR="00413BC5" w:rsidRPr="00DD304A">
        <w:lastRenderedPageBreak/>
        <w:t>management in practice</w:t>
      </w:r>
      <w:r w:rsidR="00655D11" w:rsidRPr="00DD304A">
        <w:fldChar w:fldCharType="end"/>
      </w:r>
      <w:r w:rsidRPr="00DD304A">
        <w:t xml:space="preserve">), MRI scans would be performed first, followed by </w:t>
      </w:r>
      <w:r w:rsidRPr="00DD304A">
        <w:rPr>
          <w:i/>
        </w:rPr>
        <w:t>APOE4</w:t>
      </w:r>
      <w:r w:rsidRPr="00DD304A">
        <w:t xml:space="preserve"> and then Aβ testing. This would mean the number of patients who undergo MRI scans per treated patient would need to include the proportion of patients passing </w:t>
      </w:r>
      <w:r w:rsidRPr="00DD304A">
        <w:rPr>
          <w:i/>
        </w:rPr>
        <w:t>APOE4</w:t>
      </w:r>
      <w:r w:rsidRPr="00DD304A">
        <w:t xml:space="preserve"> and Aβ testing and the number of patients who undergo </w:t>
      </w:r>
      <w:r w:rsidRPr="00DD304A">
        <w:rPr>
          <w:i/>
        </w:rPr>
        <w:t>APOE4</w:t>
      </w:r>
      <w:r w:rsidRPr="00DD304A">
        <w:t xml:space="preserve"> would need to include the proportion of patients passing Aβ tests. The impact of sequential testing on the overall cost of testing required to establish eligibility for donanemab was included in sensitivity analyses</w:t>
      </w:r>
      <w:r w:rsidRPr="00812C34">
        <w:t>.</w:t>
      </w:r>
    </w:p>
    <w:p w14:paraId="7C85DE32" w14:textId="2AB81307" w:rsidR="00295AC7" w:rsidRPr="00DD304A" w:rsidRDefault="00295AC7" w:rsidP="00295AC7">
      <w:r w:rsidRPr="00DD304A">
        <w:t xml:space="preserve">As mentioned above, Aβ biomarker testing included either a CSF test or PET scan. The submission assumed that an even distribution of patients would initially test with either CSF or PET (i.e. 50% each). </w:t>
      </w:r>
      <w:r w:rsidR="006336C7" w:rsidRPr="00DD304A">
        <w:t>The commentary noted that t</w:t>
      </w:r>
      <w:r w:rsidRPr="00DD304A">
        <w:t xml:space="preserve">his distribution, while uncertain, was not a significant model driver. However, the </w:t>
      </w:r>
      <w:r w:rsidR="00D51801" w:rsidRPr="00D51801">
        <w:t>submission</w:t>
      </w:r>
      <w:r w:rsidR="003F287C" w:rsidRPr="00DD304A">
        <w:t xml:space="preserve"> </w:t>
      </w:r>
      <w:r w:rsidRPr="00DD304A">
        <w:t>did not consider if patients who receive a negative CSF result would re-test again with PET. This was also tested in sensitivity analyses.</w:t>
      </w:r>
    </w:p>
    <w:p w14:paraId="36AA0DF7" w14:textId="0F12ADF6" w:rsidR="00295AC7" w:rsidRPr="00DD304A" w:rsidRDefault="00295AC7" w:rsidP="00295AC7">
      <w:r w:rsidRPr="00DD304A">
        <w:t xml:space="preserve">The amyloid PET scan was assumed to cost $2,300, consisting of the cost of the proposed MBS item descriptor ($2,200) and MBS 61505 ($100) for a CT scan alongside a PET scan. The cost of the CSF test was assumed to be $750, consisting of the cost of the proposed MBS item descriptor ($400), MBS 56223 ($264) for CT of the spinal region and MBS 39000 ($86) for a lumbar puncture. </w:t>
      </w:r>
      <w:r w:rsidRPr="00DD304A">
        <w:rPr>
          <w:i/>
          <w:iCs/>
        </w:rPr>
        <w:t>APOE4</w:t>
      </w:r>
      <w:r w:rsidRPr="00DD304A">
        <w:t xml:space="preserve"> testing was assumed to be $160, consisting of the cost </w:t>
      </w:r>
      <w:r w:rsidRPr="00DD304A">
        <w:rPr>
          <w:i/>
          <w:iCs/>
        </w:rPr>
        <w:t>APOE4</w:t>
      </w:r>
      <w:r w:rsidRPr="00DD304A">
        <w:t xml:space="preserve"> testing as proposed in the MBS item descriptor ($154) and MBS item 73928 ($6) for blood collection. MRI costs were based on the pre-existing MBS item 63004, MRI of the head, $441. These costs were reasonable.</w:t>
      </w:r>
    </w:p>
    <w:p w14:paraId="34E6827D" w14:textId="64773FF4" w:rsidR="00295AC7" w:rsidRPr="0001285D" w:rsidRDefault="00295AC7" w:rsidP="00295AC7">
      <w:r w:rsidRPr="0001285D">
        <w:t xml:space="preserve">A summary of </w:t>
      </w:r>
      <w:r w:rsidR="00CC7FD7" w:rsidRPr="0001285D">
        <w:t xml:space="preserve">the proportion of tested and treated </w:t>
      </w:r>
      <w:r w:rsidRPr="0001285D">
        <w:t>patients and associated</w:t>
      </w:r>
      <w:r w:rsidRPr="0001285D">
        <w:rPr>
          <w:i/>
          <w:iCs/>
        </w:rPr>
        <w:t xml:space="preserve"> </w:t>
      </w:r>
      <w:r w:rsidRPr="0001285D">
        <w:t>diagnostic costs per treated patient for donanemab is presented in</w:t>
      </w:r>
      <w:r w:rsidR="000A5642" w:rsidRPr="0001285D">
        <w:t xml:space="preserve"> </w:t>
      </w:r>
      <w:r w:rsidR="00965311">
        <w:fldChar w:fldCharType="begin"/>
      </w:r>
      <w:r w:rsidR="00965311">
        <w:instrText xml:space="preserve"> REF _Ref207289343 \h </w:instrText>
      </w:r>
      <w:r w:rsidR="00965311">
        <w:fldChar w:fldCharType="separate"/>
      </w:r>
      <w:r w:rsidR="00965311">
        <w:t xml:space="preserve">Table </w:t>
      </w:r>
      <w:r w:rsidR="00965311">
        <w:rPr>
          <w:noProof/>
        </w:rPr>
        <w:t>14</w:t>
      </w:r>
      <w:r w:rsidR="00965311">
        <w:fldChar w:fldCharType="end"/>
      </w:r>
      <w:r w:rsidR="006C4B8A" w:rsidRPr="0001285D">
        <w:fldChar w:fldCharType="begin"/>
      </w:r>
      <w:r w:rsidR="006C4B8A" w:rsidRPr="0001285D">
        <w:instrText xml:space="preserve"> REF _Ref205192048 \h </w:instrText>
      </w:r>
      <w:r w:rsidR="00EC2D9F" w:rsidRPr="0001285D">
        <w:instrText xml:space="preserve"> \* MERGEFORMAT </w:instrText>
      </w:r>
      <w:r w:rsidR="006C4B8A" w:rsidRPr="0001285D">
        <w:fldChar w:fldCharType="separate"/>
      </w:r>
      <w:r w:rsidR="006C4B8A" w:rsidRPr="0001285D">
        <w:fldChar w:fldCharType="end"/>
      </w:r>
      <w:r w:rsidRPr="0001285D">
        <w:t>.</w:t>
      </w:r>
    </w:p>
    <w:p w14:paraId="0A28D360" w14:textId="135B4334" w:rsidR="00295AC7" w:rsidRPr="00EE0EEB" w:rsidRDefault="00965311" w:rsidP="00565B62">
      <w:pPr>
        <w:pStyle w:val="Caption"/>
        <w:rPr>
          <w:i/>
        </w:rPr>
      </w:pPr>
      <w:bookmarkStart w:id="56" w:name="_Ref207289343"/>
      <w:r>
        <w:t xml:space="preserve">Table </w:t>
      </w:r>
      <w:r>
        <w:fldChar w:fldCharType="begin"/>
      </w:r>
      <w:r>
        <w:instrText xml:space="preserve"> SEQ Table \* ARABIC </w:instrText>
      </w:r>
      <w:r>
        <w:fldChar w:fldCharType="separate"/>
      </w:r>
      <w:r>
        <w:rPr>
          <w:noProof/>
        </w:rPr>
        <w:t>14</w:t>
      </w:r>
      <w:r>
        <w:rPr>
          <w:noProof/>
        </w:rPr>
        <w:fldChar w:fldCharType="end"/>
      </w:r>
      <w:bookmarkEnd w:id="56"/>
      <w:r>
        <w:t xml:space="preserve"> </w:t>
      </w:r>
      <w:r w:rsidR="00295AC7" w:rsidRPr="0001285D">
        <w:t>Number of patients undergo diagnostic testing for donanemab</w:t>
      </w:r>
      <w:r w:rsidR="00CC7FD7" w:rsidRPr="0001285D">
        <w:t xml:space="preserve"> eligibility</w:t>
      </w:r>
      <w:r w:rsidR="00295AC7" w:rsidRPr="0001285D">
        <w:t xml:space="preserve"> and associated costs</w:t>
      </w:r>
    </w:p>
    <w:tbl>
      <w:tblPr>
        <w:tblStyle w:val="ASDTable1"/>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559"/>
        <w:gridCol w:w="1701"/>
        <w:gridCol w:w="1855"/>
      </w:tblGrid>
      <w:tr w:rsidR="00295AC7" w:rsidRPr="00EE0EEB" w14:paraId="735DE628" w14:textId="77777777" w:rsidTr="00B83478">
        <w:trPr>
          <w:trHeight w:val="469"/>
        </w:trPr>
        <w:tc>
          <w:tcPr>
            <w:tcW w:w="2689" w:type="dxa"/>
            <w:vAlign w:val="center"/>
          </w:tcPr>
          <w:p w14:paraId="5B41B4CF" w14:textId="77777777" w:rsidR="00295AC7" w:rsidRPr="00EE0EEB" w:rsidRDefault="00295AC7">
            <w:pPr>
              <w:pStyle w:val="TableText"/>
              <w:jc w:val="center"/>
              <w:rPr>
                <w:b/>
                <w:bCs/>
              </w:rPr>
            </w:pPr>
            <w:r w:rsidRPr="00EE0EEB">
              <w:rPr>
                <w:b/>
                <w:bCs/>
              </w:rPr>
              <w:t>Test</w:t>
            </w:r>
          </w:p>
        </w:tc>
        <w:tc>
          <w:tcPr>
            <w:tcW w:w="1417" w:type="dxa"/>
            <w:vAlign w:val="center"/>
          </w:tcPr>
          <w:p w14:paraId="02C2461D" w14:textId="77777777" w:rsidR="00295AC7" w:rsidRPr="00EE0EEB" w:rsidRDefault="00295AC7">
            <w:pPr>
              <w:pStyle w:val="TableText"/>
              <w:jc w:val="center"/>
              <w:rPr>
                <w:b/>
                <w:bCs/>
              </w:rPr>
            </w:pPr>
            <w:r w:rsidRPr="00EE0EEB">
              <w:rPr>
                <w:b/>
                <w:bCs/>
              </w:rPr>
              <w:t>Base case pass rate</w:t>
            </w:r>
          </w:p>
        </w:tc>
        <w:tc>
          <w:tcPr>
            <w:tcW w:w="1559" w:type="dxa"/>
            <w:vAlign w:val="center"/>
          </w:tcPr>
          <w:p w14:paraId="72088300" w14:textId="77777777" w:rsidR="00295AC7" w:rsidRPr="00EE0EEB" w:rsidRDefault="00295AC7">
            <w:pPr>
              <w:pStyle w:val="TableText"/>
              <w:jc w:val="center"/>
              <w:rPr>
                <w:b/>
                <w:bCs/>
              </w:rPr>
            </w:pPr>
            <w:r w:rsidRPr="00EE0EEB">
              <w:rPr>
                <w:b/>
                <w:bCs/>
              </w:rPr>
              <w:t>Proportion of treated patients</w:t>
            </w:r>
          </w:p>
        </w:tc>
        <w:tc>
          <w:tcPr>
            <w:tcW w:w="1701" w:type="dxa"/>
            <w:vAlign w:val="center"/>
          </w:tcPr>
          <w:p w14:paraId="4B96873F" w14:textId="634F094B" w:rsidR="00295AC7" w:rsidRPr="00EE0EEB" w:rsidRDefault="00295AC7">
            <w:pPr>
              <w:pStyle w:val="TableText"/>
              <w:jc w:val="center"/>
              <w:rPr>
                <w:b/>
                <w:bCs/>
              </w:rPr>
            </w:pPr>
            <w:r w:rsidRPr="00EE0EEB">
              <w:rPr>
                <w:b/>
                <w:bCs/>
              </w:rPr>
              <w:t>Cost per test</w:t>
            </w:r>
            <w:r w:rsidR="00A76E33">
              <w:rPr>
                <w:b/>
                <w:bCs/>
              </w:rPr>
              <w:t xml:space="preserve"> applied in model</w:t>
            </w:r>
          </w:p>
        </w:tc>
        <w:tc>
          <w:tcPr>
            <w:tcW w:w="1855" w:type="dxa"/>
            <w:vAlign w:val="center"/>
          </w:tcPr>
          <w:p w14:paraId="68CF4A2F" w14:textId="77777777" w:rsidR="00295AC7" w:rsidRPr="00EE0EEB" w:rsidRDefault="00295AC7">
            <w:pPr>
              <w:pStyle w:val="TableText"/>
              <w:jc w:val="center"/>
              <w:rPr>
                <w:b/>
                <w:bCs/>
                <w:vertAlign w:val="superscript"/>
              </w:rPr>
            </w:pPr>
            <w:r w:rsidRPr="00EE0EEB">
              <w:rPr>
                <w:b/>
                <w:bCs/>
              </w:rPr>
              <w:t xml:space="preserve">Number of tests per treated </w:t>
            </w:r>
            <w:proofErr w:type="spellStart"/>
            <w:r w:rsidRPr="00EE0EEB">
              <w:rPr>
                <w:b/>
                <w:bCs/>
              </w:rPr>
              <w:t>patient</w:t>
            </w:r>
            <w:r w:rsidRPr="00EE0EEB">
              <w:rPr>
                <w:b/>
                <w:bCs/>
                <w:vertAlign w:val="superscript"/>
              </w:rPr>
              <w:t>a</w:t>
            </w:r>
            <w:proofErr w:type="spellEnd"/>
          </w:p>
        </w:tc>
      </w:tr>
      <w:tr w:rsidR="00295AC7" w:rsidRPr="00EE0EEB" w14:paraId="77E5BD13" w14:textId="77777777" w:rsidTr="00B83478">
        <w:trPr>
          <w:trHeight w:val="257"/>
        </w:trPr>
        <w:tc>
          <w:tcPr>
            <w:tcW w:w="2689" w:type="dxa"/>
            <w:vAlign w:val="center"/>
          </w:tcPr>
          <w:p w14:paraId="74537ABF" w14:textId="77777777" w:rsidR="00295AC7" w:rsidRPr="00EE0EEB" w:rsidRDefault="00295AC7">
            <w:pPr>
              <w:pStyle w:val="TableText"/>
            </w:pPr>
            <w:r w:rsidRPr="00EE0EEB">
              <w:t>Amyloid – PET</w:t>
            </w:r>
          </w:p>
        </w:tc>
        <w:tc>
          <w:tcPr>
            <w:tcW w:w="1417" w:type="dxa"/>
            <w:vMerge w:val="restart"/>
            <w:vAlign w:val="center"/>
          </w:tcPr>
          <w:p w14:paraId="4198F915" w14:textId="77777777" w:rsidR="00295AC7" w:rsidRPr="00EE0EEB" w:rsidRDefault="00295AC7">
            <w:pPr>
              <w:pStyle w:val="TableText"/>
              <w:jc w:val="center"/>
              <w:rPr>
                <w:vertAlign w:val="superscript"/>
              </w:rPr>
            </w:pPr>
            <w:r w:rsidRPr="00EE0EEB">
              <w:t>85%</w:t>
            </w:r>
            <w:r w:rsidRPr="00EE0EEB">
              <w:rPr>
                <w:vertAlign w:val="superscript"/>
              </w:rPr>
              <w:t>b</w:t>
            </w:r>
          </w:p>
        </w:tc>
        <w:tc>
          <w:tcPr>
            <w:tcW w:w="1559" w:type="dxa"/>
            <w:vAlign w:val="center"/>
          </w:tcPr>
          <w:p w14:paraId="249872AC" w14:textId="77777777" w:rsidR="00295AC7" w:rsidRPr="00EE0EEB" w:rsidRDefault="00295AC7">
            <w:pPr>
              <w:pStyle w:val="TableText"/>
              <w:jc w:val="center"/>
              <w:rPr>
                <w:vertAlign w:val="superscript"/>
              </w:rPr>
            </w:pPr>
            <w:r w:rsidRPr="00EE0EEB">
              <w:t>50%</w:t>
            </w:r>
            <w:r w:rsidRPr="00EE0EEB">
              <w:rPr>
                <w:vertAlign w:val="superscript"/>
              </w:rPr>
              <w:t>c</w:t>
            </w:r>
          </w:p>
        </w:tc>
        <w:tc>
          <w:tcPr>
            <w:tcW w:w="1701" w:type="dxa"/>
            <w:vAlign w:val="center"/>
          </w:tcPr>
          <w:p w14:paraId="0773F460" w14:textId="77777777" w:rsidR="00295AC7" w:rsidRPr="00EE0EEB" w:rsidRDefault="00295AC7">
            <w:pPr>
              <w:pStyle w:val="TableText"/>
              <w:jc w:val="center"/>
            </w:pPr>
            <w:r w:rsidRPr="00EE0EEB">
              <w:t>$2,300.00</w:t>
            </w:r>
          </w:p>
        </w:tc>
        <w:tc>
          <w:tcPr>
            <w:tcW w:w="1855" w:type="dxa"/>
            <w:vMerge w:val="restart"/>
            <w:vAlign w:val="center"/>
          </w:tcPr>
          <w:p w14:paraId="0672A9B8" w14:textId="77777777" w:rsidR="00295AC7" w:rsidRPr="00EE0EEB" w:rsidRDefault="00295AC7">
            <w:pPr>
              <w:pStyle w:val="TableText"/>
              <w:jc w:val="center"/>
            </w:pPr>
            <w:r w:rsidRPr="00EE0EEB">
              <w:t>1.18</w:t>
            </w:r>
          </w:p>
        </w:tc>
      </w:tr>
      <w:tr w:rsidR="00295AC7" w:rsidRPr="00EE0EEB" w14:paraId="4EE41F3A" w14:textId="77777777" w:rsidTr="00B83478">
        <w:trPr>
          <w:trHeight w:val="257"/>
        </w:trPr>
        <w:tc>
          <w:tcPr>
            <w:tcW w:w="2689" w:type="dxa"/>
            <w:vAlign w:val="center"/>
          </w:tcPr>
          <w:p w14:paraId="43937BD0" w14:textId="77777777" w:rsidR="00295AC7" w:rsidRPr="00EE0EEB" w:rsidRDefault="00295AC7">
            <w:pPr>
              <w:pStyle w:val="TableText"/>
            </w:pPr>
            <w:r w:rsidRPr="00EE0EEB">
              <w:t>Amyloid – CSF</w:t>
            </w:r>
          </w:p>
        </w:tc>
        <w:tc>
          <w:tcPr>
            <w:tcW w:w="1417" w:type="dxa"/>
            <w:vMerge/>
            <w:vAlign w:val="center"/>
          </w:tcPr>
          <w:p w14:paraId="0C01A26C" w14:textId="77777777" w:rsidR="00295AC7" w:rsidRPr="00EE0EEB" w:rsidRDefault="00295AC7">
            <w:pPr>
              <w:pStyle w:val="TableText"/>
              <w:jc w:val="center"/>
            </w:pPr>
          </w:p>
        </w:tc>
        <w:tc>
          <w:tcPr>
            <w:tcW w:w="1559" w:type="dxa"/>
            <w:vAlign w:val="center"/>
          </w:tcPr>
          <w:p w14:paraId="35C0C421" w14:textId="77777777" w:rsidR="00295AC7" w:rsidRPr="00EE0EEB" w:rsidRDefault="00295AC7">
            <w:pPr>
              <w:pStyle w:val="TableText"/>
              <w:jc w:val="center"/>
              <w:rPr>
                <w:vertAlign w:val="superscript"/>
              </w:rPr>
            </w:pPr>
            <w:r w:rsidRPr="00EE0EEB">
              <w:t>50%</w:t>
            </w:r>
            <w:r w:rsidRPr="00EE0EEB">
              <w:rPr>
                <w:vertAlign w:val="superscript"/>
              </w:rPr>
              <w:t>c</w:t>
            </w:r>
          </w:p>
        </w:tc>
        <w:tc>
          <w:tcPr>
            <w:tcW w:w="1701" w:type="dxa"/>
            <w:vAlign w:val="center"/>
          </w:tcPr>
          <w:p w14:paraId="3F30F6FC" w14:textId="77777777" w:rsidR="00295AC7" w:rsidRPr="00EE0EEB" w:rsidRDefault="00295AC7">
            <w:pPr>
              <w:pStyle w:val="TableText"/>
              <w:jc w:val="center"/>
            </w:pPr>
            <w:r w:rsidRPr="00EE0EEB">
              <w:t>$749.50</w:t>
            </w:r>
          </w:p>
        </w:tc>
        <w:tc>
          <w:tcPr>
            <w:tcW w:w="1855" w:type="dxa"/>
            <w:vMerge/>
            <w:vAlign w:val="center"/>
          </w:tcPr>
          <w:p w14:paraId="548008F2" w14:textId="77777777" w:rsidR="00295AC7" w:rsidRPr="00EE0EEB" w:rsidRDefault="00295AC7">
            <w:pPr>
              <w:pStyle w:val="TableText"/>
              <w:jc w:val="center"/>
              <w:rPr>
                <w:i/>
                <w:iCs/>
              </w:rPr>
            </w:pPr>
          </w:p>
        </w:tc>
      </w:tr>
      <w:tr w:rsidR="00295AC7" w:rsidRPr="00EE0EEB" w14:paraId="65989C9B" w14:textId="77777777" w:rsidTr="00B83478">
        <w:trPr>
          <w:trHeight w:val="257"/>
        </w:trPr>
        <w:tc>
          <w:tcPr>
            <w:tcW w:w="2689" w:type="dxa"/>
            <w:vAlign w:val="center"/>
          </w:tcPr>
          <w:p w14:paraId="208EE2D1" w14:textId="09A69882" w:rsidR="00295AC7" w:rsidRPr="00EE0EEB" w:rsidRDefault="00295AC7">
            <w:pPr>
              <w:pStyle w:val="TableText"/>
              <w:rPr>
                <w:i/>
                <w:iCs/>
              </w:rPr>
            </w:pPr>
            <w:r w:rsidRPr="00EE0EEB">
              <w:rPr>
                <w:i/>
                <w:iCs/>
              </w:rPr>
              <w:t>APOE4</w:t>
            </w:r>
          </w:p>
        </w:tc>
        <w:tc>
          <w:tcPr>
            <w:tcW w:w="1417" w:type="dxa"/>
            <w:vAlign w:val="center"/>
          </w:tcPr>
          <w:p w14:paraId="24A0313D" w14:textId="77777777" w:rsidR="00295AC7" w:rsidRPr="00EE0EEB" w:rsidRDefault="00295AC7">
            <w:pPr>
              <w:pStyle w:val="TableText"/>
              <w:jc w:val="center"/>
              <w:rPr>
                <w:vertAlign w:val="superscript"/>
              </w:rPr>
            </w:pPr>
            <w:r w:rsidRPr="00EE0EEB">
              <w:t>64%</w:t>
            </w:r>
            <w:r w:rsidRPr="00EE0EEB">
              <w:rPr>
                <w:vertAlign w:val="superscript"/>
              </w:rPr>
              <w:t>b</w:t>
            </w:r>
          </w:p>
        </w:tc>
        <w:tc>
          <w:tcPr>
            <w:tcW w:w="1559" w:type="dxa"/>
            <w:vAlign w:val="center"/>
          </w:tcPr>
          <w:p w14:paraId="308DA550" w14:textId="77777777" w:rsidR="00295AC7" w:rsidRPr="00EE0EEB" w:rsidRDefault="00295AC7">
            <w:pPr>
              <w:pStyle w:val="TableText"/>
              <w:jc w:val="center"/>
            </w:pPr>
            <w:r w:rsidRPr="00EE0EEB">
              <w:t>100%</w:t>
            </w:r>
          </w:p>
        </w:tc>
        <w:tc>
          <w:tcPr>
            <w:tcW w:w="1701" w:type="dxa"/>
            <w:vAlign w:val="center"/>
          </w:tcPr>
          <w:p w14:paraId="450BB1B9" w14:textId="77777777" w:rsidR="00295AC7" w:rsidRPr="00EE0EEB" w:rsidRDefault="00295AC7">
            <w:pPr>
              <w:pStyle w:val="TableText"/>
              <w:jc w:val="center"/>
            </w:pPr>
            <w:r w:rsidRPr="00EE0EEB">
              <w:t>$159.95</w:t>
            </w:r>
          </w:p>
        </w:tc>
        <w:tc>
          <w:tcPr>
            <w:tcW w:w="1855" w:type="dxa"/>
            <w:vAlign w:val="center"/>
          </w:tcPr>
          <w:p w14:paraId="6CADE0DE" w14:textId="77777777" w:rsidR="00295AC7" w:rsidRPr="00EE0EEB" w:rsidRDefault="00295AC7">
            <w:pPr>
              <w:pStyle w:val="TableText"/>
              <w:jc w:val="center"/>
              <w:rPr>
                <w:i/>
                <w:iCs/>
                <w:vertAlign w:val="superscript"/>
              </w:rPr>
            </w:pPr>
            <w:r w:rsidRPr="00EE0EEB">
              <w:t>1.57</w:t>
            </w:r>
          </w:p>
        </w:tc>
      </w:tr>
      <w:tr w:rsidR="00295AC7" w:rsidRPr="00EE0EEB" w14:paraId="6069F373" w14:textId="77777777" w:rsidTr="00B83478">
        <w:trPr>
          <w:trHeight w:val="257"/>
        </w:trPr>
        <w:tc>
          <w:tcPr>
            <w:tcW w:w="2689" w:type="dxa"/>
            <w:vAlign w:val="center"/>
          </w:tcPr>
          <w:p w14:paraId="2ABCDF2B" w14:textId="77777777" w:rsidR="00295AC7" w:rsidRPr="00EE0EEB" w:rsidRDefault="00295AC7">
            <w:pPr>
              <w:pStyle w:val="TableText"/>
            </w:pPr>
            <w:r w:rsidRPr="00EE0EEB">
              <w:t>Pre-treatment MRI</w:t>
            </w:r>
          </w:p>
        </w:tc>
        <w:tc>
          <w:tcPr>
            <w:tcW w:w="1417" w:type="dxa"/>
            <w:vAlign w:val="center"/>
          </w:tcPr>
          <w:p w14:paraId="2ACA4DF0" w14:textId="77777777" w:rsidR="00295AC7" w:rsidRPr="00EE0EEB" w:rsidRDefault="00295AC7">
            <w:pPr>
              <w:pStyle w:val="TableText"/>
              <w:jc w:val="center"/>
            </w:pPr>
            <w:r w:rsidRPr="00EE0EEB">
              <w:t>100%</w:t>
            </w:r>
          </w:p>
        </w:tc>
        <w:tc>
          <w:tcPr>
            <w:tcW w:w="1559" w:type="dxa"/>
            <w:vAlign w:val="center"/>
          </w:tcPr>
          <w:p w14:paraId="2E1CB772" w14:textId="77777777" w:rsidR="00295AC7" w:rsidRPr="00EE0EEB" w:rsidRDefault="00295AC7">
            <w:pPr>
              <w:pStyle w:val="TableText"/>
              <w:jc w:val="center"/>
              <w:rPr>
                <w:vertAlign w:val="superscript"/>
              </w:rPr>
            </w:pPr>
            <w:r w:rsidRPr="00EE0EEB">
              <w:t>18%</w:t>
            </w:r>
            <w:r w:rsidRPr="00EE0EEB">
              <w:rPr>
                <w:vertAlign w:val="superscript"/>
              </w:rPr>
              <w:t>d</w:t>
            </w:r>
          </w:p>
        </w:tc>
        <w:tc>
          <w:tcPr>
            <w:tcW w:w="1701" w:type="dxa"/>
            <w:vAlign w:val="center"/>
          </w:tcPr>
          <w:p w14:paraId="1EB6604A" w14:textId="77777777" w:rsidR="00295AC7" w:rsidRPr="00EE0EEB" w:rsidRDefault="00295AC7">
            <w:pPr>
              <w:pStyle w:val="TableText"/>
              <w:jc w:val="center"/>
            </w:pPr>
            <w:r w:rsidRPr="00EE0EEB">
              <w:t>$441.45</w:t>
            </w:r>
          </w:p>
        </w:tc>
        <w:tc>
          <w:tcPr>
            <w:tcW w:w="1855" w:type="dxa"/>
            <w:vAlign w:val="center"/>
          </w:tcPr>
          <w:p w14:paraId="5598C27C" w14:textId="77777777" w:rsidR="00295AC7" w:rsidRPr="00EE0EEB" w:rsidRDefault="00295AC7">
            <w:pPr>
              <w:pStyle w:val="TableText"/>
              <w:jc w:val="center"/>
              <w:rPr>
                <w:i/>
                <w:iCs/>
              </w:rPr>
            </w:pPr>
            <w:r w:rsidRPr="00EE0EEB">
              <w:t>1.00</w:t>
            </w:r>
          </w:p>
        </w:tc>
      </w:tr>
      <w:tr w:rsidR="00295AC7" w:rsidRPr="00EE0EEB" w14:paraId="5E514C9F" w14:textId="77777777" w:rsidTr="00B83478">
        <w:trPr>
          <w:trHeight w:val="237"/>
        </w:trPr>
        <w:tc>
          <w:tcPr>
            <w:tcW w:w="7366" w:type="dxa"/>
            <w:gridSpan w:val="4"/>
            <w:vAlign w:val="center"/>
          </w:tcPr>
          <w:p w14:paraId="5BAD6BE6" w14:textId="77777777" w:rsidR="00295AC7" w:rsidRPr="00EE0EEB" w:rsidRDefault="00295AC7">
            <w:pPr>
              <w:pStyle w:val="TableText"/>
              <w:rPr>
                <w:b/>
                <w:bCs/>
              </w:rPr>
            </w:pPr>
            <w:r w:rsidRPr="00EE0EEB">
              <w:rPr>
                <w:b/>
                <w:bCs/>
              </w:rPr>
              <w:t>Total diagnostic cost per treated patient</w:t>
            </w:r>
          </w:p>
        </w:tc>
        <w:tc>
          <w:tcPr>
            <w:tcW w:w="1855" w:type="dxa"/>
            <w:vAlign w:val="center"/>
          </w:tcPr>
          <w:p w14:paraId="271150B1" w14:textId="77777777" w:rsidR="00295AC7" w:rsidRPr="00EE0EEB" w:rsidRDefault="00295AC7">
            <w:pPr>
              <w:pStyle w:val="TableText"/>
              <w:jc w:val="center"/>
              <w:rPr>
                <w:b/>
                <w:bCs/>
                <w:i/>
                <w:iCs/>
              </w:rPr>
            </w:pPr>
            <w:r w:rsidRPr="00EE0EEB">
              <w:rPr>
                <w:b/>
                <w:bCs/>
              </w:rPr>
              <w:t>$2,129.92</w:t>
            </w:r>
          </w:p>
        </w:tc>
      </w:tr>
    </w:tbl>
    <w:p w14:paraId="6FF5640C" w14:textId="77777777" w:rsidR="00295AC7" w:rsidRPr="00EE0EEB" w:rsidRDefault="00295AC7" w:rsidP="00295AC7">
      <w:pPr>
        <w:pStyle w:val="TableFigureFooter"/>
      </w:pPr>
      <w:r w:rsidRPr="00EE0EEB">
        <w:t xml:space="preserve">Source: </w:t>
      </w:r>
      <w:r w:rsidRPr="00EE0EEB">
        <w:rPr>
          <w:i/>
          <w:iCs/>
        </w:rPr>
        <w:t>Constructed during the evaluation</w:t>
      </w:r>
      <w:r w:rsidRPr="00EE0EEB">
        <w:t xml:space="preserve"> </w:t>
      </w:r>
      <w:r w:rsidRPr="00EE0EEB">
        <w:rPr>
          <w:i/>
          <w:iCs/>
        </w:rPr>
        <w:t>from the</w:t>
      </w:r>
      <w:r w:rsidRPr="00EE0EEB">
        <w:t xml:space="preserve"> “3.3_Donanemab cost effectiveness model” attachment provided with the submission.</w:t>
      </w:r>
    </w:p>
    <w:p w14:paraId="340C1CF7" w14:textId="1919E579" w:rsidR="00295AC7" w:rsidRPr="00EE0EEB" w:rsidRDefault="00295AC7" w:rsidP="00295AC7">
      <w:pPr>
        <w:pStyle w:val="TableFigureFooter"/>
      </w:pPr>
      <w:r w:rsidRPr="00EE0EEB">
        <w:t xml:space="preserve">AD = Alzheimer Disease; </w:t>
      </w:r>
      <w:r w:rsidRPr="00EE0EEB">
        <w:rPr>
          <w:i/>
          <w:iCs/>
        </w:rPr>
        <w:t xml:space="preserve">APOE </w:t>
      </w:r>
      <w:r w:rsidRPr="00EE0EEB">
        <w:t xml:space="preserve">= Apolipoprotein E gene; CSF = cerebrospinal fluid; MCI = mild cognitive impairment; MRI = magnetic resonance imaging; PET = positron emission tomography. </w:t>
      </w:r>
    </w:p>
    <w:p w14:paraId="4FC00C44" w14:textId="77777777" w:rsidR="00295AC7" w:rsidRPr="00EE0EEB" w:rsidRDefault="00295AC7" w:rsidP="00295AC7">
      <w:pPr>
        <w:pStyle w:val="TableFigureFooter"/>
      </w:pPr>
      <w:r w:rsidRPr="00EE0EEB">
        <w:rPr>
          <w:vertAlign w:val="superscript"/>
        </w:rPr>
        <w:t xml:space="preserve">a </w:t>
      </w:r>
      <w:r w:rsidRPr="00EE0EEB">
        <w:t>1 / base case pass rate</w:t>
      </w:r>
    </w:p>
    <w:p w14:paraId="15A3730F" w14:textId="77777777" w:rsidR="00295AC7" w:rsidRPr="00EE0EEB" w:rsidRDefault="00295AC7" w:rsidP="00295AC7">
      <w:pPr>
        <w:pStyle w:val="TableFigureFooter"/>
        <w:rPr>
          <w:i/>
          <w:iCs/>
        </w:rPr>
      </w:pPr>
      <w:r w:rsidRPr="00EE0EEB">
        <w:rPr>
          <w:vertAlign w:val="superscript"/>
        </w:rPr>
        <w:t>b</w:t>
      </w:r>
      <w:r w:rsidRPr="00EE0EEB">
        <w:t xml:space="preserve"> </w:t>
      </w:r>
      <w:r w:rsidRPr="00EE0EEB">
        <w:rPr>
          <w:i/>
          <w:iCs/>
        </w:rPr>
        <w:t xml:space="preserve">These values </w:t>
      </w:r>
      <w:proofErr w:type="gramStart"/>
      <w:r w:rsidRPr="00EE0EEB">
        <w:rPr>
          <w:i/>
          <w:iCs/>
        </w:rPr>
        <w:t>were not able to</w:t>
      </w:r>
      <w:proofErr w:type="gramEnd"/>
      <w:r w:rsidRPr="00EE0EEB">
        <w:rPr>
          <w:i/>
          <w:iCs/>
        </w:rPr>
        <w:t xml:space="preserve"> be verified during the evaluation.</w:t>
      </w:r>
    </w:p>
    <w:p w14:paraId="3A81BE92" w14:textId="11850157" w:rsidR="00295AC7" w:rsidRPr="00EE0EEB" w:rsidRDefault="00295AC7" w:rsidP="00295AC7">
      <w:pPr>
        <w:pStyle w:val="TableFigureFooter"/>
      </w:pPr>
      <w:r w:rsidRPr="00EE0EEB">
        <w:rPr>
          <w:vertAlign w:val="superscript"/>
        </w:rPr>
        <w:t xml:space="preserve">c </w:t>
      </w:r>
      <w:proofErr w:type="gramStart"/>
      <w:r w:rsidRPr="00EE0EEB">
        <w:t>The</w:t>
      </w:r>
      <w:proofErr w:type="gramEnd"/>
      <w:r w:rsidRPr="00EE0EEB">
        <w:t xml:space="preserve"> </w:t>
      </w:r>
      <w:r w:rsidR="00D51801" w:rsidRPr="00D51801">
        <w:t>submission</w:t>
      </w:r>
      <w:r w:rsidR="00C46842" w:rsidRPr="00EE0EEB">
        <w:t xml:space="preserve"> </w:t>
      </w:r>
      <w:r w:rsidRPr="00EE0EEB">
        <w:t>assumed 50% of patients would test for amyloid through PET and 50% would test through CSF.</w:t>
      </w:r>
    </w:p>
    <w:p w14:paraId="1E78C2C1" w14:textId="36912ACB" w:rsidR="00295AC7" w:rsidRPr="00EE0EEB" w:rsidRDefault="00295AC7" w:rsidP="00295AC7">
      <w:pPr>
        <w:pStyle w:val="TableFigureFooter"/>
      </w:pPr>
      <w:r w:rsidRPr="00EE0EEB">
        <w:rPr>
          <w:vertAlign w:val="superscript"/>
        </w:rPr>
        <w:t xml:space="preserve">d </w:t>
      </w:r>
      <w:proofErr w:type="gramStart"/>
      <w:r w:rsidRPr="00EE0EEB">
        <w:t>The</w:t>
      </w:r>
      <w:proofErr w:type="gramEnd"/>
      <w:r w:rsidRPr="00EE0EEB">
        <w:t xml:space="preserve"> </w:t>
      </w:r>
      <w:r w:rsidR="00D51801" w:rsidRPr="00D51801">
        <w:t>submission</w:t>
      </w:r>
      <w:r w:rsidR="00C46842" w:rsidRPr="00EE0EEB">
        <w:t xml:space="preserve"> </w:t>
      </w:r>
      <w:r w:rsidRPr="00EE0EEB">
        <w:t xml:space="preserve">assumed only 18% of patients would need an MRI prior to treatment as the remaining patients would have received one upon diagnosis of MCI or AD. </w:t>
      </w:r>
    </w:p>
    <w:p w14:paraId="19D4262E" w14:textId="7A236C75" w:rsidR="00295AC7" w:rsidRPr="00DD304A" w:rsidRDefault="00CC7FD7" w:rsidP="00295AC7">
      <w:r w:rsidRPr="00DD304A">
        <w:t>As indicated in the proposed PBS criteria, donanemab has a treat-to-clear strategy where patients’ amyloid levels are monitored at 6 and 12 months and treatment ceased if there is amyloid clearance</w:t>
      </w:r>
      <w:r w:rsidR="00D4648A" w:rsidRPr="00DD304A">
        <w:t xml:space="preserve"> defined as an Aβ-PET level of &lt;24.1 CL</w:t>
      </w:r>
      <w:r w:rsidRPr="00DD304A">
        <w:t>. Patients who do not achieve amyloid clearance are assumed to complete the full 18-month treatment course. This strategy was employed in the TB-2 trial</w:t>
      </w:r>
      <w:r w:rsidR="005601D3" w:rsidRPr="00DD304A">
        <w:t xml:space="preserve"> for all patients</w:t>
      </w:r>
      <w:r w:rsidRPr="00DD304A">
        <w:t xml:space="preserve">. However, in the economic model the </w:t>
      </w:r>
      <w:r w:rsidR="00D51801" w:rsidRPr="00D51801">
        <w:t>submission</w:t>
      </w:r>
      <w:r w:rsidR="001751FE" w:rsidRPr="00DD304A">
        <w:t xml:space="preserve"> </w:t>
      </w:r>
      <w:r w:rsidRPr="00DD304A">
        <w:t>assumed that only 40% of donanemab patients would undergo this strategy through PET scans (costing $2,300 per scan).</w:t>
      </w:r>
      <w:r w:rsidR="005601D3" w:rsidRPr="00DD304A">
        <w:t xml:space="preserve"> The other 60% of patients were assumed to be treated until the maximum treatment duration (18 months).</w:t>
      </w:r>
      <w:r w:rsidRPr="00DD304A">
        <w:t xml:space="preserve"> </w:t>
      </w:r>
      <w:r w:rsidR="006336C7" w:rsidRPr="00DD304A">
        <w:t>The commentary considered that t</w:t>
      </w:r>
      <w:r w:rsidRPr="00DD304A">
        <w:t xml:space="preserve">his </w:t>
      </w:r>
      <w:r w:rsidR="005601D3" w:rsidRPr="00DD304A">
        <w:t xml:space="preserve">distribution </w:t>
      </w:r>
      <w:r w:rsidR="001751FE">
        <w:t>wa</w:t>
      </w:r>
      <w:r w:rsidRPr="00DD304A">
        <w:t>s substantially uncertain in the Australian setting, but affect</w:t>
      </w:r>
      <w:r w:rsidR="001751FE">
        <w:t>ed</w:t>
      </w:r>
      <w:r w:rsidRPr="00DD304A">
        <w:t xml:space="preserve"> only the costs in the economic model as patients who cease</w:t>
      </w:r>
      <w:r w:rsidR="001751FE">
        <w:t>d</w:t>
      </w:r>
      <w:r w:rsidRPr="00DD304A">
        <w:t xml:space="preserve"> treatment early (32% and 37% of screened patients at 6 and 12 months, respectively, based on the TB-2 trial) ha</w:t>
      </w:r>
      <w:r w:rsidR="001751FE">
        <w:t>d</w:t>
      </w:r>
      <w:r w:rsidRPr="00DD304A">
        <w:t xml:space="preserve"> the same treatment effect waning assumptions incorporated in the model as those who complete the full treatment course. If the availability of PET scans in Australia cannot accommodate such a large proportion of patients </w:t>
      </w:r>
      <w:r w:rsidRPr="00DD304A">
        <w:lastRenderedPageBreak/>
        <w:t xml:space="preserve">having 6 and 12 monthly PET scans while on donanemab treatment, </w:t>
      </w:r>
      <w:r w:rsidR="0003493C" w:rsidRPr="00DD304A">
        <w:t>then</w:t>
      </w:r>
      <w:r w:rsidR="00CA1BFA" w:rsidRPr="00DD304A">
        <w:t xml:space="preserve"> some</w:t>
      </w:r>
      <w:r w:rsidRPr="00DD304A">
        <w:t xml:space="preserve"> of </w:t>
      </w:r>
      <w:r w:rsidR="00CA1BFA" w:rsidRPr="00DD304A">
        <w:t xml:space="preserve">these patients may </w:t>
      </w:r>
      <w:r w:rsidR="00053961" w:rsidRPr="00DD304A">
        <w:t>r</w:t>
      </w:r>
      <w:r w:rsidR="00CA1BFA" w:rsidRPr="00DD304A">
        <w:t>eceiv</w:t>
      </w:r>
      <w:r w:rsidR="00053961" w:rsidRPr="00DD304A">
        <w:t>e</w:t>
      </w:r>
      <w:r w:rsidR="00CA1BFA" w:rsidRPr="00DD304A">
        <w:t xml:space="preserve"> </w:t>
      </w:r>
      <w:r w:rsidR="00053961" w:rsidRPr="00DD304A">
        <w:t xml:space="preserve">longer </w:t>
      </w:r>
      <w:r w:rsidRPr="00DD304A">
        <w:t xml:space="preserve">donanemab </w:t>
      </w:r>
      <w:r w:rsidR="00053961" w:rsidRPr="00DD304A">
        <w:t>treatment than is necessary</w:t>
      </w:r>
      <w:r w:rsidR="00295AC7" w:rsidRPr="00DD304A">
        <w:t>.</w:t>
      </w:r>
    </w:p>
    <w:p w14:paraId="7AC971CC" w14:textId="3C04C5FB" w:rsidR="00295AC7" w:rsidRPr="00DD304A" w:rsidRDefault="00295AC7" w:rsidP="00295AC7">
      <w:r w:rsidRPr="00DD304A">
        <w:t xml:space="preserve">Consistent with the TB-2 trial and the draft PI, the </w:t>
      </w:r>
      <w:r w:rsidR="00D51801" w:rsidRPr="00D51801">
        <w:t>submission</w:t>
      </w:r>
      <w:r w:rsidR="001751FE">
        <w:t xml:space="preserve">’s </w:t>
      </w:r>
      <w:r w:rsidRPr="00DD304A">
        <w:t xml:space="preserve">economic model also includes two MRI scans for each ARIA adverse events (AEs) while on treatment for donanemab. </w:t>
      </w:r>
      <w:r w:rsidR="006336C7" w:rsidRPr="00DD304A">
        <w:t>The commentary considered that t</w:t>
      </w:r>
      <w:r w:rsidRPr="00DD304A">
        <w:t>his was reasonable, the incidence of ARIAs was sourced from the TB-2 trial and applied as a once-off cost upon model entry.</w:t>
      </w:r>
    </w:p>
    <w:p w14:paraId="1D1F9D11" w14:textId="77777777" w:rsidR="00295AC7" w:rsidRPr="00DD304A" w:rsidRDefault="00295AC7" w:rsidP="00D429A3">
      <w:pPr>
        <w:pStyle w:val="Heading3"/>
      </w:pPr>
      <w:r w:rsidRPr="00DD304A">
        <w:t>Results of the economic model</w:t>
      </w:r>
    </w:p>
    <w:p w14:paraId="0F1A499E" w14:textId="223967CB" w:rsidR="00A143B3" w:rsidRDefault="00295AC7" w:rsidP="00295AC7">
      <w:r w:rsidRPr="00DD304A">
        <w:t xml:space="preserve">The </w:t>
      </w:r>
      <w:r w:rsidR="00D51801" w:rsidRPr="00D51801">
        <w:t>submission</w:t>
      </w:r>
      <w:r w:rsidR="001751FE" w:rsidRPr="00DD304A">
        <w:t xml:space="preserve"> </w:t>
      </w:r>
      <w:r w:rsidRPr="00DD304A">
        <w:t>presented a three-stepped economic analysis. However</w:t>
      </w:r>
      <w:r w:rsidR="00CC7FD7" w:rsidRPr="00DD304A">
        <w:t>,</w:t>
      </w:r>
      <w:r w:rsidRPr="00DD304A">
        <w:t xml:space="preserve"> the inclusion of modelled parameters between the steps was not described. </w:t>
      </w:r>
      <w:r w:rsidR="00CC7FD7" w:rsidRPr="00DD304A">
        <w:t>Accordingly</w:t>
      </w:r>
      <w:r w:rsidRPr="00DD304A">
        <w:t>, the evaluation has presented a more transparent stepped analysis, see</w:t>
      </w:r>
      <w:r w:rsidR="000A5642" w:rsidRPr="00DD304A">
        <w:t xml:space="preserve"> </w:t>
      </w:r>
      <w:r w:rsidR="006C4B8A">
        <w:fldChar w:fldCharType="begin"/>
      </w:r>
      <w:r w:rsidR="006C4B8A">
        <w:instrText xml:space="preserve"> REF _Ref205192088 \h </w:instrText>
      </w:r>
      <w:r w:rsidR="006C4B8A">
        <w:fldChar w:fldCharType="separate"/>
      </w:r>
      <w:r w:rsidR="00965311">
        <w:t xml:space="preserve">Table </w:t>
      </w:r>
      <w:r w:rsidR="00965311">
        <w:rPr>
          <w:noProof/>
        </w:rPr>
        <w:t>15</w:t>
      </w:r>
      <w:r w:rsidR="006C4B8A">
        <w:fldChar w:fldCharType="end"/>
      </w:r>
      <w:r w:rsidRPr="00DD304A">
        <w:t xml:space="preserve">. As the institutionalisation rates were substantially uncertain, these have been incorporated into the last step of the analysis along with carer QALYs (which fall outside the scope of a base case analysis) to allow </w:t>
      </w:r>
      <w:r w:rsidR="00CC7FD7" w:rsidRPr="00DD304A">
        <w:t xml:space="preserve">their </w:t>
      </w:r>
      <w:r w:rsidRPr="00DD304A">
        <w:t>effect to be clearly observed. Incorporation of institutionalisation reduced the incremental costs by $</w:t>
      </w:r>
      <w:r w:rsidR="002B0554">
        <w:t>REDACTED</w:t>
      </w:r>
      <w:r w:rsidRPr="008E0501">
        <w:t>.</w:t>
      </w:r>
    </w:p>
    <w:p w14:paraId="0CB929D7" w14:textId="5C28FB0F" w:rsidR="00295AC7" w:rsidRPr="00EE0EEB" w:rsidRDefault="006C4B8A" w:rsidP="00565B62">
      <w:pPr>
        <w:pStyle w:val="Caption"/>
      </w:pPr>
      <w:bookmarkStart w:id="57" w:name="_Ref205192088"/>
      <w:bookmarkStart w:id="58" w:name="_Ref196232893"/>
      <w:r>
        <w:t xml:space="preserve">Table </w:t>
      </w:r>
      <w:r w:rsidR="00965311">
        <w:fldChar w:fldCharType="begin"/>
      </w:r>
      <w:r w:rsidR="00965311">
        <w:instrText xml:space="preserve"> SEQ Table \* ARABIC </w:instrText>
      </w:r>
      <w:r w:rsidR="00965311">
        <w:fldChar w:fldCharType="separate"/>
      </w:r>
      <w:r w:rsidR="00965311">
        <w:rPr>
          <w:noProof/>
        </w:rPr>
        <w:t>15</w:t>
      </w:r>
      <w:r w:rsidR="00965311">
        <w:rPr>
          <w:noProof/>
        </w:rPr>
        <w:fldChar w:fldCharType="end"/>
      </w:r>
      <w:bookmarkEnd w:id="57"/>
      <w:bookmarkEnd w:id="58"/>
      <w:r w:rsidR="00D26369">
        <w:t xml:space="preserve"> </w:t>
      </w:r>
      <w:r w:rsidR="00295AC7" w:rsidRPr="00EE0EEB">
        <w:t>Results of the stepped economic evaluation,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31"/>
        <w:gridCol w:w="1560"/>
        <w:gridCol w:w="1414"/>
        <w:gridCol w:w="1511"/>
      </w:tblGrid>
      <w:tr w:rsidR="00D849FE" w:rsidRPr="00DF2319" w14:paraId="26F34B4D" w14:textId="77777777" w:rsidTr="00D849FE">
        <w:trPr>
          <w:tblHeader/>
        </w:trPr>
        <w:tc>
          <w:tcPr>
            <w:tcW w:w="2513" w:type="pct"/>
            <w:vAlign w:val="center"/>
          </w:tcPr>
          <w:p w14:paraId="3686DBF9" w14:textId="77777777" w:rsidR="00295AC7" w:rsidRPr="00DF2319" w:rsidRDefault="00295AC7" w:rsidP="0086509C">
            <w:pPr>
              <w:pStyle w:val="In-tableHeading"/>
              <w:keepNext w:val="0"/>
              <w:rPr>
                <w:lang w:val="en-AU"/>
              </w:rPr>
            </w:pPr>
            <w:r w:rsidRPr="00DF2319">
              <w:rPr>
                <w:lang w:val="en-AU"/>
              </w:rPr>
              <w:t>Step and component</w:t>
            </w:r>
          </w:p>
        </w:tc>
        <w:tc>
          <w:tcPr>
            <w:tcW w:w="865" w:type="pct"/>
            <w:vAlign w:val="center"/>
          </w:tcPr>
          <w:p w14:paraId="6EB1A224" w14:textId="77777777" w:rsidR="00295AC7" w:rsidRPr="00DF2319" w:rsidRDefault="00295AC7" w:rsidP="0086509C">
            <w:pPr>
              <w:pStyle w:val="In-tableHeading"/>
              <w:keepNext w:val="0"/>
              <w:jc w:val="center"/>
              <w:rPr>
                <w:lang w:val="en-AU"/>
              </w:rPr>
            </w:pPr>
            <w:r w:rsidRPr="00DF2319">
              <w:rPr>
                <w:lang w:val="en-AU"/>
              </w:rPr>
              <w:t>Donanemab</w:t>
            </w:r>
          </w:p>
        </w:tc>
        <w:tc>
          <w:tcPr>
            <w:tcW w:w="784" w:type="pct"/>
            <w:vAlign w:val="center"/>
          </w:tcPr>
          <w:p w14:paraId="2FA6323F" w14:textId="77777777" w:rsidR="00295AC7" w:rsidRPr="00DF2319" w:rsidRDefault="00295AC7" w:rsidP="0086509C">
            <w:pPr>
              <w:pStyle w:val="In-tableHeading"/>
              <w:keepNext w:val="0"/>
              <w:jc w:val="center"/>
              <w:rPr>
                <w:lang w:val="en-AU"/>
              </w:rPr>
            </w:pPr>
            <w:r w:rsidRPr="00DF2319">
              <w:rPr>
                <w:lang w:val="en-AU"/>
              </w:rPr>
              <w:t>SOC</w:t>
            </w:r>
          </w:p>
        </w:tc>
        <w:tc>
          <w:tcPr>
            <w:tcW w:w="838" w:type="pct"/>
            <w:vAlign w:val="center"/>
          </w:tcPr>
          <w:p w14:paraId="15E25569" w14:textId="77777777" w:rsidR="00295AC7" w:rsidRPr="00DF2319" w:rsidRDefault="00295AC7" w:rsidP="0086509C">
            <w:pPr>
              <w:pStyle w:val="In-tableHeading"/>
              <w:keepNext w:val="0"/>
              <w:jc w:val="center"/>
              <w:rPr>
                <w:lang w:val="en-AU"/>
              </w:rPr>
            </w:pPr>
            <w:r w:rsidRPr="00DF2319">
              <w:rPr>
                <w:lang w:val="en-AU"/>
              </w:rPr>
              <w:t>Increment</w:t>
            </w:r>
          </w:p>
        </w:tc>
      </w:tr>
      <w:tr w:rsidR="00295AC7" w:rsidRPr="00DF2319" w14:paraId="397DDE7A" w14:textId="77777777">
        <w:tc>
          <w:tcPr>
            <w:tcW w:w="5000" w:type="pct"/>
            <w:gridSpan w:val="4"/>
            <w:vAlign w:val="center"/>
          </w:tcPr>
          <w:p w14:paraId="5E9C9E9D" w14:textId="77777777" w:rsidR="00295AC7" w:rsidRPr="00DF2319" w:rsidRDefault="00295AC7" w:rsidP="0086509C">
            <w:pPr>
              <w:pStyle w:val="TableText"/>
              <w:rPr>
                <w:b/>
                <w:bCs/>
              </w:rPr>
            </w:pPr>
            <w:r w:rsidRPr="00DF2319">
              <w:rPr>
                <w:b/>
              </w:rPr>
              <w:t>Step 1: Trial based outcomes and costs (18-month time horizon)</w:t>
            </w:r>
          </w:p>
        </w:tc>
      </w:tr>
      <w:tr w:rsidR="00D849FE" w:rsidRPr="00DF2319" w14:paraId="16EDE5E9" w14:textId="77777777" w:rsidTr="00D849FE">
        <w:tc>
          <w:tcPr>
            <w:tcW w:w="2513" w:type="pct"/>
            <w:vAlign w:val="center"/>
          </w:tcPr>
          <w:p w14:paraId="2CCCC850" w14:textId="77777777" w:rsidR="00295AC7" w:rsidRPr="00DF2319" w:rsidRDefault="00295AC7" w:rsidP="0086509C">
            <w:pPr>
              <w:pStyle w:val="TableText"/>
              <w:rPr>
                <w:rFonts w:ascii="Times" w:hAnsi="Times"/>
                <w:vertAlign w:val="superscript"/>
              </w:rPr>
            </w:pPr>
            <w:proofErr w:type="spellStart"/>
            <w:r w:rsidRPr="00DF2319">
              <w:t>Costs</w:t>
            </w:r>
            <w:r w:rsidRPr="00DF2319">
              <w:rPr>
                <w:vertAlign w:val="superscript"/>
              </w:rPr>
              <w:t>a</w:t>
            </w:r>
            <w:proofErr w:type="spellEnd"/>
          </w:p>
        </w:tc>
        <w:tc>
          <w:tcPr>
            <w:tcW w:w="865" w:type="pct"/>
          </w:tcPr>
          <w:p w14:paraId="472D5E4F" w14:textId="7BE64250" w:rsidR="00295AC7" w:rsidRPr="005560BB" w:rsidRDefault="00295AC7" w:rsidP="0086509C">
            <w:pPr>
              <w:pStyle w:val="TableText"/>
              <w:jc w:val="center"/>
              <w:rPr>
                <w:rFonts w:ascii="Times" w:hAnsi="Times"/>
                <w:vertAlign w:val="superscript"/>
              </w:rPr>
            </w:pPr>
            <w:r w:rsidRPr="00DF2319">
              <w:t>$</w:t>
            </w:r>
            <w:r w:rsidR="004406ED">
              <w:t>REDACTED</w:t>
            </w:r>
          </w:p>
        </w:tc>
        <w:tc>
          <w:tcPr>
            <w:tcW w:w="784" w:type="pct"/>
          </w:tcPr>
          <w:p w14:paraId="3287CDD9" w14:textId="77777777" w:rsidR="00295AC7" w:rsidRPr="00DF2319" w:rsidRDefault="00295AC7" w:rsidP="0086509C">
            <w:pPr>
              <w:pStyle w:val="TableText"/>
              <w:jc w:val="center"/>
              <w:rPr>
                <w:rFonts w:ascii="Times" w:hAnsi="Times"/>
              </w:rPr>
            </w:pPr>
            <w:r w:rsidRPr="00DF2319">
              <w:t>$</w:t>
            </w:r>
            <w:r w:rsidRPr="000F603E">
              <w:t>619</w:t>
            </w:r>
          </w:p>
        </w:tc>
        <w:tc>
          <w:tcPr>
            <w:tcW w:w="838" w:type="pct"/>
          </w:tcPr>
          <w:p w14:paraId="1EF0CCCF" w14:textId="2B6272DD" w:rsidR="00295AC7" w:rsidRPr="005560BB" w:rsidRDefault="00295AC7" w:rsidP="0086509C">
            <w:pPr>
              <w:pStyle w:val="TableText"/>
              <w:jc w:val="center"/>
              <w:rPr>
                <w:rFonts w:ascii="Times" w:hAnsi="Times"/>
                <w:vertAlign w:val="superscript"/>
              </w:rPr>
            </w:pPr>
            <w:r w:rsidRPr="00DF2319">
              <w:t>$</w:t>
            </w:r>
            <w:r w:rsidR="005F2FB1">
              <w:t>REDACTED</w:t>
            </w:r>
          </w:p>
        </w:tc>
      </w:tr>
      <w:tr w:rsidR="00D849FE" w:rsidRPr="00DF2319" w14:paraId="462F01B9" w14:textId="77777777" w:rsidTr="00D849FE">
        <w:tc>
          <w:tcPr>
            <w:tcW w:w="2513" w:type="pct"/>
            <w:vAlign w:val="center"/>
          </w:tcPr>
          <w:p w14:paraId="3F99E4C6" w14:textId="77777777" w:rsidR="00295AC7" w:rsidRPr="00DF2319" w:rsidRDefault="00295AC7" w:rsidP="0086509C">
            <w:pPr>
              <w:pStyle w:val="TableText"/>
              <w:rPr>
                <w:rFonts w:ascii="Times" w:hAnsi="Times"/>
              </w:rPr>
            </w:pPr>
            <w:r w:rsidRPr="00DF2319">
              <w:t xml:space="preserve">% of patients with MCI due to </w:t>
            </w:r>
            <w:proofErr w:type="spellStart"/>
            <w:r w:rsidRPr="00DF2319">
              <w:t>AD</w:t>
            </w:r>
            <w:r w:rsidRPr="00DF2319">
              <w:rPr>
                <w:vertAlign w:val="superscript"/>
              </w:rPr>
              <w:t>b</w:t>
            </w:r>
            <w:proofErr w:type="spellEnd"/>
          </w:p>
        </w:tc>
        <w:tc>
          <w:tcPr>
            <w:tcW w:w="865" w:type="pct"/>
          </w:tcPr>
          <w:p w14:paraId="0DEA6490" w14:textId="77777777" w:rsidR="00295AC7" w:rsidRPr="00DF2319" w:rsidRDefault="00295AC7" w:rsidP="0086509C">
            <w:pPr>
              <w:pStyle w:val="TableText"/>
              <w:jc w:val="center"/>
              <w:rPr>
                <w:rFonts w:ascii="Times" w:hAnsi="Times"/>
              </w:rPr>
            </w:pPr>
            <w:r w:rsidRPr="00DF2319">
              <w:t>73%</w:t>
            </w:r>
          </w:p>
        </w:tc>
        <w:tc>
          <w:tcPr>
            <w:tcW w:w="784" w:type="pct"/>
          </w:tcPr>
          <w:p w14:paraId="7420999D" w14:textId="77777777" w:rsidR="00295AC7" w:rsidRPr="00DF2319" w:rsidRDefault="00295AC7" w:rsidP="0086509C">
            <w:pPr>
              <w:pStyle w:val="TableText"/>
              <w:jc w:val="center"/>
              <w:rPr>
                <w:rFonts w:ascii="Times" w:hAnsi="Times"/>
              </w:rPr>
            </w:pPr>
            <w:r w:rsidRPr="00DF2319">
              <w:t>61%</w:t>
            </w:r>
          </w:p>
        </w:tc>
        <w:tc>
          <w:tcPr>
            <w:tcW w:w="838" w:type="pct"/>
          </w:tcPr>
          <w:p w14:paraId="21B209CF" w14:textId="77777777" w:rsidR="00295AC7" w:rsidRPr="00DF2319" w:rsidRDefault="00295AC7" w:rsidP="0086509C">
            <w:pPr>
              <w:pStyle w:val="TableText"/>
              <w:jc w:val="center"/>
            </w:pPr>
            <w:r w:rsidRPr="00DF2319">
              <w:t>12%</w:t>
            </w:r>
          </w:p>
        </w:tc>
      </w:tr>
      <w:tr w:rsidR="00D849FE" w:rsidRPr="00DF2319" w14:paraId="774FF71C" w14:textId="77777777" w:rsidTr="00D849FE">
        <w:tc>
          <w:tcPr>
            <w:tcW w:w="2513" w:type="pct"/>
            <w:vAlign w:val="center"/>
          </w:tcPr>
          <w:p w14:paraId="1461E08A" w14:textId="77777777" w:rsidR="00295AC7" w:rsidRPr="00DF2319" w:rsidRDefault="00295AC7" w:rsidP="0086509C">
            <w:pPr>
              <w:pStyle w:val="TableText"/>
            </w:pPr>
            <w:r w:rsidRPr="00DF2319">
              <w:t xml:space="preserve">% of patients with mild </w:t>
            </w:r>
            <w:proofErr w:type="spellStart"/>
            <w:r w:rsidRPr="00DF2319">
              <w:t>AD</w:t>
            </w:r>
            <w:r w:rsidRPr="00DF2319">
              <w:rPr>
                <w:vertAlign w:val="superscript"/>
              </w:rPr>
              <w:t>c</w:t>
            </w:r>
            <w:proofErr w:type="spellEnd"/>
          </w:p>
        </w:tc>
        <w:tc>
          <w:tcPr>
            <w:tcW w:w="865" w:type="pct"/>
          </w:tcPr>
          <w:p w14:paraId="09EFC8CE" w14:textId="77777777" w:rsidR="00295AC7" w:rsidRPr="00DF2319" w:rsidRDefault="00295AC7" w:rsidP="0086509C">
            <w:pPr>
              <w:pStyle w:val="TableText"/>
              <w:jc w:val="center"/>
            </w:pPr>
            <w:r w:rsidRPr="00DF2319">
              <w:t>83%</w:t>
            </w:r>
          </w:p>
        </w:tc>
        <w:tc>
          <w:tcPr>
            <w:tcW w:w="784" w:type="pct"/>
          </w:tcPr>
          <w:p w14:paraId="4EF742EE" w14:textId="77777777" w:rsidR="00295AC7" w:rsidRPr="00DF2319" w:rsidRDefault="00295AC7" w:rsidP="0086509C">
            <w:pPr>
              <w:pStyle w:val="TableText"/>
              <w:jc w:val="center"/>
            </w:pPr>
            <w:r w:rsidRPr="00DF2319">
              <w:t>73%</w:t>
            </w:r>
          </w:p>
        </w:tc>
        <w:tc>
          <w:tcPr>
            <w:tcW w:w="838" w:type="pct"/>
          </w:tcPr>
          <w:p w14:paraId="7ECF71DC" w14:textId="77777777" w:rsidR="00295AC7" w:rsidRPr="00DF2319" w:rsidRDefault="00295AC7" w:rsidP="0086509C">
            <w:pPr>
              <w:pStyle w:val="TableText"/>
              <w:jc w:val="center"/>
            </w:pPr>
            <w:r w:rsidRPr="00DF2319">
              <w:t>10%</w:t>
            </w:r>
          </w:p>
        </w:tc>
      </w:tr>
      <w:tr w:rsidR="00295AC7" w:rsidRPr="00DF2319" w14:paraId="7F629F2D" w14:textId="77777777">
        <w:tc>
          <w:tcPr>
            <w:tcW w:w="4162" w:type="pct"/>
            <w:gridSpan w:val="3"/>
            <w:vAlign w:val="center"/>
          </w:tcPr>
          <w:p w14:paraId="51C7E67B" w14:textId="77777777" w:rsidR="00295AC7" w:rsidRPr="00DF2319" w:rsidRDefault="00295AC7" w:rsidP="0086509C">
            <w:pPr>
              <w:pStyle w:val="TableText"/>
              <w:rPr>
                <w:rFonts w:ascii="Times" w:hAnsi="Times"/>
              </w:rPr>
            </w:pPr>
            <w:r w:rsidRPr="00DF2319">
              <w:t>Incremental cost per MCI progression avoided</w:t>
            </w:r>
          </w:p>
        </w:tc>
        <w:tc>
          <w:tcPr>
            <w:tcW w:w="838" w:type="pct"/>
          </w:tcPr>
          <w:p w14:paraId="7CE1D984" w14:textId="1A7A5241" w:rsidR="00295AC7" w:rsidRPr="00480604" w:rsidRDefault="00295AC7" w:rsidP="0086509C">
            <w:pPr>
              <w:pStyle w:val="TableText"/>
              <w:jc w:val="center"/>
              <w:rPr>
                <w:rFonts w:ascii="Times" w:hAnsi="Times"/>
                <w:vertAlign w:val="superscript"/>
              </w:rPr>
            </w:pPr>
            <w:r w:rsidRPr="00DF2319">
              <w:t>$</w:t>
            </w:r>
            <w:r w:rsidR="005F2FB1">
              <w:t>REDACTED</w:t>
            </w:r>
          </w:p>
        </w:tc>
      </w:tr>
      <w:tr w:rsidR="00295AC7" w:rsidRPr="00DF2319" w14:paraId="7B75B681" w14:textId="77777777">
        <w:tc>
          <w:tcPr>
            <w:tcW w:w="4162" w:type="pct"/>
            <w:gridSpan w:val="3"/>
            <w:vAlign w:val="center"/>
          </w:tcPr>
          <w:p w14:paraId="058175DD" w14:textId="77777777" w:rsidR="00295AC7" w:rsidRPr="00DF2319" w:rsidRDefault="00295AC7" w:rsidP="0086509C">
            <w:pPr>
              <w:pStyle w:val="TableText"/>
            </w:pPr>
            <w:r w:rsidRPr="00DF2319">
              <w:t>Incremental cost per mild progression avoided</w:t>
            </w:r>
          </w:p>
        </w:tc>
        <w:tc>
          <w:tcPr>
            <w:tcW w:w="838" w:type="pct"/>
          </w:tcPr>
          <w:p w14:paraId="52936425" w14:textId="122C3E02" w:rsidR="00295AC7" w:rsidRPr="00542AF7" w:rsidRDefault="00295AC7" w:rsidP="0086509C">
            <w:pPr>
              <w:pStyle w:val="TableText"/>
              <w:jc w:val="center"/>
              <w:rPr>
                <w:vertAlign w:val="superscript"/>
              </w:rPr>
            </w:pPr>
            <w:r w:rsidRPr="00DF2319">
              <w:t>$</w:t>
            </w:r>
            <w:r w:rsidR="005F2FB1">
              <w:t>REDACTED</w:t>
            </w:r>
          </w:p>
        </w:tc>
      </w:tr>
      <w:tr w:rsidR="00295AC7" w:rsidRPr="00DF2319" w14:paraId="6397E086" w14:textId="77777777">
        <w:tc>
          <w:tcPr>
            <w:tcW w:w="5000" w:type="pct"/>
            <w:gridSpan w:val="4"/>
            <w:vAlign w:val="center"/>
          </w:tcPr>
          <w:p w14:paraId="6DE7759C" w14:textId="77777777" w:rsidR="00295AC7" w:rsidRPr="00DF2319" w:rsidRDefault="00295AC7" w:rsidP="0086509C">
            <w:pPr>
              <w:pStyle w:val="In-tableHeading"/>
              <w:keepNext w:val="0"/>
              <w:rPr>
                <w:lang w:val="en-AU"/>
              </w:rPr>
            </w:pPr>
            <w:r w:rsidRPr="00DF2319">
              <w:rPr>
                <w:lang w:val="en-AU"/>
              </w:rPr>
              <w:t>Step 2: Time horizon extended to 30 years and adding disease management costs</w:t>
            </w:r>
          </w:p>
        </w:tc>
      </w:tr>
      <w:tr w:rsidR="00D849FE" w:rsidRPr="00DF2319" w14:paraId="7088B46E" w14:textId="77777777" w:rsidTr="00D849FE">
        <w:tc>
          <w:tcPr>
            <w:tcW w:w="2513" w:type="pct"/>
            <w:vAlign w:val="center"/>
          </w:tcPr>
          <w:p w14:paraId="548D6273" w14:textId="77777777" w:rsidR="00295AC7" w:rsidRPr="00DF2319" w:rsidRDefault="00295AC7" w:rsidP="0086509C">
            <w:pPr>
              <w:pStyle w:val="TableText"/>
              <w:rPr>
                <w:rFonts w:ascii="Times" w:hAnsi="Times"/>
              </w:rPr>
            </w:pPr>
            <w:r w:rsidRPr="00DF2319">
              <w:t>Costs</w:t>
            </w:r>
          </w:p>
        </w:tc>
        <w:tc>
          <w:tcPr>
            <w:tcW w:w="865" w:type="pct"/>
          </w:tcPr>
          <w:p w14:paraId="4F06B396" w14:textId="0CFFCE30" w:rsidR="00295AC7" w:rsidRPr="00573E3B" w:rsidRDefault="00295AC7" w:rsidP="0086509C">
            <w:pPr>
              <w:pStyle w:val="TableText"/>
              <w:jc w:val="center"/>
              <w:rPr>
                <w:vertAlign w:val="superscript"/>
              </w:rPr>
            </w:pPr>
            <w:r w:rsidRPr="00DF2319">
              <w:t>$</w:t>
            </w:r>
            <w:r w:rsidR="00D41ABC">
              <w:t>REDACTED</w:t>
            </w:r>
          </w:p>
        </w:tc>
        <w:tc>
          <w:tcPr>
            <w:tcW w:w="784" w:type="pct"/>
          </w:tcPr>
          <w:p w14:paraId="4F246B37" w14:textId="77777777" w:rsidR="00295AC7" w:rsidRPr="00DF2319" w:rsidRDefault="00295AC7" w:rsidP="0086509C">
            <w:pPr>
              <w:pStyle w:val="TableText"/>
              <w:jc w:val="center"/>
            </w:pPr>
            <w:r w:rsidRPr="00DF2319">
              <w:t>$</w:t>
            </w:r>
            <w:r w:rsidRPr="002256F8">
              <w:t>103,238</w:t>
            </w:r>
          </w:p>
        </w:tc>
        <w:tc>
          <w:tcPr>
            <w:tcW w:w="838" w:type="pct"/>
          </w:tcPr>
          <w:p w14:paraId="43320222" w14:textId="272AB4F1" w:rsidR="00295AC7" w:rsidRPr="005560BB" w:rsidRDefault="00295AC7" w:rsidP="0086509C">
            <w:pPr>
              <w:pStyle w:val="TableText"/>
              <w:jc w:val="center"/>
              <w:rPr>
                <w:vertAlign w:val="superscript"/>
              </w:rPr>
            </w:pPr>
            <w:r w:rsidRPr="00DF2319">
              <w:t>$</w:t>
            </w:r>
            <w:r w:rsidR="0088567C">
              <w:t>REDACTED</w:t>
            </w:r>
          </w:p>
        </w:tc>
      </w:tr>
      <w:tr w:rsidR="00D849FE" w:rsidRPr="00DF2319" w14:paraId="00961A28" w14:textId="77777777" w:rsidTr="00D849FE">
        <w:tc>
          <w:tcPr>
            <w:tcW w:w="2513" w:type="pct"/>
            <w:vAlign w:val="center"/>
          </w:tcPr>
          <w:p w14:paraId="477ED73F" w14:textId="77777777" w:rsidR="00295AC7" w:rsidRPr="00DF2319" w:rsidRDefault="00295AC7" w:rsidP="0086509C">
            <w:pPr>
              <w:pStyle w:val="TableText"/>
              <w:rPr>
                <w:rFonts w:ascii="Times" w:hAnsi="Times"/>
              </w:rPr>
            </w:pPr>
            <w:r w:rsidRPr="00DF2319">
              <w:t>LYs gained</w:t>
            </w:r>
          </w:p>
        </w:tc>
        <w:tc>
          <w:tcPr>
            <w:tcW w:w="865" w:type="pct"/>
          </w:tcPr>
          <w:p w14:paraId="68146C51" w14:textId="77777777" w:rsidR="00295AC7" w:rsidRPr="00DF2319" w:rsidRDefault="00295AC7" w:rsidP="0086509C">
            <w:pPr>
              <w:pStyle w:val="TableText"/>
              <w:jc w:val="center"/>
            </w:pPr>
            <w:r w:rsidRPr="00DF2319">
              <w:t>10.77</w:t>
            </w:r>
          </w:p>
        </w:tc>
        <w:tc>
          <w:tcPr>
            <w:tcW w:w="784" w:type="pct"/>
          </w:tcPr>
          <w:p w14:paraId="728C56DC" w14:textId="77777777" w:rsidR="00295AC7" w:rsidRPr="00DF2319" w:rsidRDefault="00295AC7" w:rsidP="0086509C">
            <w:pPr>
              <w:pStyle w:val="TableText"/>
              <w:jc w:val="center"/>
            </w:pPr>
            <w:r w:rsidRPr="00DF2319">
              <w:t>10.75</w:t>
            </w:r>
          </w:p>
        </w:tc>
        <w:tc>
          <w:tcPr>
            <w:tcW w:w="838" w:type="pct"/>
          </w:tcPr>
          <w:p w14:paraId="0CED244B" w14:textId="77777777" w:rsidR="00295AC7" w:rsidRPr="00DF2319" w:rsidRDefault="00295AC7" w:rsidP="0086509C">
            <w:pPr>
              <w:pStyle w:val="TableText"/>
              <w:jc w:val="center"/>
            </w:pPr>
            <w:r w:rsidRPr="00DF2319">
              <w:t>0.02</w:t>
            </w:r>
          </w:p>
        </w:tc>
      </w:tr>
      <w:tr w:rsidR="00295AC7" w:rsidRPr="00DF2319" w14:paraId="4C8880B5" w14:textId="77777777">
        <w:trPr>
          <w:trHeight w:val="91"/>
        </w:trPr>
        <w:tc>
          <w:tcPr>
            <w:tcW w:w="4162" w:type="pct"/>
            <w:gridSpan w:val="3"/>
            <w:vAlign w:val="center"/>
          </w:tcPr>
          <w:p w14:paraId="197619E5" w14:textId="77777777" w:rsidR="00295AC7" w:rsidRPr="00DF2319" w:rsidRDefault="00295AC7" w:rsidP="0086509C">
            <w:pPr>
              <w:pStyle w:val="TableText"/>
              <w:rPr>
                <w:b/>
                <w:bCs/>
              </w:rPr>
            </w:pPr>
            <w:r w:rsidRPr="00DF2319">
              <w:rPr>
                <w:b/>
              </w:rPr>
              <w:t>Incremental cost/extra LYG gained</w:t>
            </w:r>
          </w:p>
        </w:tc>
        <w:tc>
          <w:tcPr>
            <w:tcW w:w="838" w:type="pct"/>
            <w:vAlign w:val="center"/>
          </w:tcPr>
          <w:p w14:paraId="62CC23DB" w14:textId="4F6611C4" w:rsidR="00295AC7" w:rsidRPr="00251F3B" w:rsidRDefault="00295AC7" w:rsidP="0086509C">
            <w:pPr>
              <w:pStyle w:val="TableText"/>
              <w:jc w:val="center"/>
              <w:rPr>
                <w:vertAlign w:val="superscript"/>
              </w:rPr>
            </w:pPr>
            <w:r w:rsidRPr="00DF2319">
              <w:t>$</w:t>
            </w:r>
            <w:r w:rsidR="00251F3B">
              <w:t>REDACTED</w:t>
            </w:r>
            <w:r w:rsidR="000246B8">
              <w:t xml:space="preserve"> </w:t>
            </w:r>
            <w:r w:rsidR="00251F3B">
              <w:rPr>
                <w:vertAlign w:val="superscript"/>
              </w:rPr>
              <w:t>1</w:t>
            </w:r>
          </w:p>
        </w:tc>
      </w:tr>
      <w:tr w:rsidR="00295AC7" w:rsidRPr="00DF2319" w14:paraId="43E9FDCC" w14:textId="77777777">
        <w:tc>
          <w:tcPr>
            <w:tcW w:w="5000" w:type="pct"/>
            <w:gridSpan w:val="4"/>
            <w:vAlign w:val="center"/>
          </w:tcPr>
          <w:p w14:paraId="2BBE7061" w14:textId="77777777" w:rsidR="00295AC7" w:rsidRPr="00DF2319" w:rsidRDefault="00295AC7" w:rsidP="0086509C">
            <w:pPr>
              <w:pStyle w:val="In-tableHeading"/>
              <w:keepNext w:val="0"/>
              <w:rPr>
                <w:lang w:val="en-AU"/>
              </w:rPr>
            </w:pPr>
            <w:r w:rsidRPr="00DF2319">
              <w:rPr>
                <w:lang w:val="en-AU"/>
              </w:rPr>
              <w:t>Step 3: Transformation to QALYs, 5% p.a. discounting</w:t>
            </w:r>
          </w:p>
        </w:tc>
      </w:tr>
      <w:tr w:rsidR="00D849FE" w:rsidRPr="00DF2319" w14:paraId="60AA8D63" w14:textId="77777777" w:rsidTr="00D849FE">
        <w:tc>
          <w:tcPr>
            <w:tcW w:w="2513" w:type="pct"/>
            <w:vAlign w:val="center"/>
          </w:tcPr>
          <w:p w14:paraId="02BA5CAC" w14:textId="77777777" w:rsidR="00295AC7" w:rsidRPr="00DF2319" w:rsidRDefault="00295AC7" w:rsidP="0086509C">
            <w:pPr>
              <w:pStyle w:val="TableText"/>
              <w:rPr>
                <w:rFonts w:ascii="Times" w:hAnsi="Times"/>
              </w:rPr>
            </w:pPr>
            <w:r w:rsidRPr="00DF2319">
              <w:t>Costs</w:t>
            </w:r>
          </w:p>
        </w:tc>
        <w:tc>
          <w:tcPr>
            <w:tcW w:w="865" w:type="pct"/>
          </w:tcPr>
          <w:p w14:paraId="4281D2A1" w14:textId="1D7D51D4" w:rsidR="00295AC7" w:rsidRPr="005A7142" w:rsidRDefault="00295AC7" w:rsidP="0086509C">
            <w:pPr>
              <w:pStyle w:val="TableText"/>
              <w:jc w:val="center"/>
              <w:rPr>
                <w:rFonts w:ascii="Times" w:hAnsi="Times"/>
                <w:vertAlign w:val="superscript"/>
              </w:rPr>
            </w:pPr>
            <w:r w:rsidRPr="00DF2319">
              <w:t>$</w:t>
            </w:r>
            <w:r w:rsidR="00072E17">
              <w:t>REDACTED</w:t>
            </w:r>
          </w:p>
        </w:tc>
        <w:tc>
          <w:tcPr>
            <w:tcW w:w="784" w:type="pct"/>
          </w:tcPr>
          <w:p w14:paraId="097A4169" w14:textId="77777777" w:rsidR="00295AC7" w:rsidRPr="00DF2319" w:rsidRDefault="00295AC7" w:rsidP="0086509C">
            <w:pPr>
              <w:pStyle w:val="TableText"/>
              <w:jc w:val="center"/>
              <w:rPr>
                <w:rFonts w:ascii="Times" w:hAnsi="Times"/>
              </w:rPr>
            </w:pPr>
            <w:r w:rsidRPr="00DF2319">
              <w:t>$</w:t>
            </w:r>
            <w:r w:rsidRPr="002256F8">
              <w:t>70,298</w:t>
            </w:r>
          </w:p>
        </w:tc>
        <w:tc>
          <w:tcPr>
            <w:tcW w:w="838" w:type="pct"/>
          </w:tcPr>
          <w:p w14:paraId="322C183C" w14:textId="2FC75EC2" w:rsidR="00295AC7" w:rsidRPr="00F155AF" w:rsidRDefault="00295AC7" w:rsidP="0086509C">
            <w:pPr>
              <w:pStyle w:val="TableText"/>
              <w:jc w:val="center"/>
              <w:rPr>
                <w:rFonts w:ascii="Times" w:hAnsi="Times"/>
                <w:vertAlign w:val="superscript"/>
              </w:rPr>
            </w:pPr>
            <w:r w:rsidRPr="00DF2319">
              <w:t>$</w:t>
            </w:r>
            <w:r w:rsidR="00072E17">
              <w:t>REDACTED</w:t>
            </w:r>
          </w:p>
        </w:tc>
      </w:tr>
      <w:tr w:rsidR="00D849FE" w:rsidRPr="00DF2319" w14:paraId="248CCBB7" w14:textId="77777777" w:rsidTr="00D849FE">
        <w:tc>
          <w:tcPr>
            <w:tcW w:w="2513" w:type="pct"/>
            <w:vAlign w:val="center"/>
          </w:tcPr>
          <w:p w14:paraId="09FEF5C5" w14:textId="77777777" w:rsidR="00295AC7" w:rsidRPr="00DF2319" w:rsidRDefault="00295AC7" w:rsidP="0086509C">
            <w:pPr>
              <w:pStyle w:val="TableText"/>
              <w:rPr>
                <w:rFonts w:ascii="Times" w:hAnsi="Times"/>
              </w:rPr>
            </w:pPr>
            <w:r w:rsidRPr="00DF2319">
              <w:t>QALY gained</w:t>
            </w:r>
          </w:p>
        </w:tc>
        <w:tc>
          <w:tcPr>
            <w:tcW w:w="865" w:type="pct"/>
          </w:tcPr>
          <w:p w14:paraId="15274223" w14:textId="77777777" w:rsidR="00295AC7" w:rsidRPr="00DF2319" w:rsidRDefault="00295AC7" w:rsidP="0086509C">
            <w:pPr>
              <w:pStyle w:val="TableText"/>
              <w:jc w:val="center"/>
              <w:rPr>
                <w:rFonts w:ascii="Times" w:hAnsi="Times"/>
              </w:rPr>
            </w:pPr>
            <w:r w:rsidRPr="00DF2319">
              <w:t>4.48</w:t>
            </w:r>
          </w:p>
        </w:tc>
        <w:tc>
          <w:tcPr>
            <w:tcW w:w="784" w:type="pct"/>
          </w:tcPr>
          <w:p w14:paraId="1E20FBB4" w14:textId="77777777" w:rsidR="00295AC7" w:rsidRPr="00DF2319" w:rsidRDefault="00295AC7" w:rsidP="0086509C">
            <w:pPr>
              <w:pStyle w:val="TableText"/>
              <w:jc w:val="center"/>
              <w:rPr>
                <w:rFonts w:ascii="Times" w:hAnsi="Times"/>
              </w:rPr>
            </w:pPr>
            <w:r w:rsidRPr="00DF2319">
              <w:t>4.14</w:t>
            </w:r>
          </w:p>
        </w:tc>
        <w:tc>
          <w:tcPr>
            <w:tcW w:w="838" w:type="pct"/>
          </w:tcPr>
          <w:p w14:paraId="7264EAB3" w14:textId="77777777" w:rsidR="00295AC7" w:rsidRPr="00DF2319" w:rsidRDefault="00295AC7" w:rsidP="0086509C">
            <w:pPr>
              <w:pStyle w:val="TableText"/>
              <w:jc w:val="center"/>
            </w:pPr>
            <w:r w:rsidRPr="00DF2319">
              <w:t>0.34</w:t>
            </w:r>
          </w:p>
        </w:tc>
      </w:tr>
      <w:tr w:rsidR="00295AC7" w:rsidRPr="00DF2319" w14:paraId="7448B400" w14:textId="77777777">
        <w:tc>
          <w:tcPr>
            <w:tcW w:w="4162" w:type="pct"/>
            <w:gridSpan w:val="3"/>
            <w:vAlign w:val="center"/>
          </w:tcPr>
          <w:p w14:paraId="486FFA88" w14:textId="77777777" w:rsidR="00295AC7" w:rsidRPr="00DF2319" w:rsidRDefault="00295AC7" w:rsidP="0086509C">
            <w:pPr>
              <w:pStyle w:val="TableText"/>
              <w:rPr>
                <w:rFonts w:ascii="Times" w:hAnsi="Times"/>
              </w:rPr>
            </w:pPr>
            <w:r w:rsidRPr="00DF2319">
              <w:t>Incremental cost/extra QALY gained</w:t>
            </w:r>
          </w:p>
        </w:tc>
        <w:tc>
          <w:tcPr>
            <w:tcW w:w="838" w:type="pct"/>
            <w:vAlign w:val="center"/>
          </w:tcPr>
          <w:p w14:paraId="0AEAFF16" w14:textId="0411AFBA" w:rsidR="00295AC7" w:rsidRPr="00785E7F" w:rsidRDefault="00295AC7" w:rsidP="0086509C">
            <w:pPr>
              <w:pStyle w:val="TableText"/>
              <w:jc w:val="center"/>
              <w:rPr>
                <w:rFonts w:ascii="Times" w:hAnsi="Times"/>
                <w:vertAlign w:val="superscript"/>
              </w:rPr>
            </w:pPr>
            <w:r w:rsidRPr="00DF2319">
              <w:t>$</w:t>
            </w:r>
            <w:r w:rsidR="00785E7F">
              <w:t>REDACTED</w:t>
            </w:r>
            <w:r w:rsidR="00573E3B">
              <w:t xml:space="preserve"> </w:t>
            </w:r>
            <w:r w:rsidR="00785E7F">
              <w:rPr>
                <w:vertAlign w:val="superscript"/>
              </w:rPr>
              <w:t>2</w:t>
            </w:r>
          </w:p>
        </w:tc>
      </w:tr>
      <w:tr w:rsidR="00295AC7" w:rsidRPr="00DF2319" w14:paraId="1EB37F83" w14:textId="77777777">
        <w:tc>
          <w:tcPr>
            <w:tcW w:w="5000" w:type="pct"/>
            <w:gridSpan w:val="4"/>
            <w:vAlign w:val="center"/>
          </w:tcPr>
          <w:p w14:paraId="242E4901" w14:textId="37F307EC" w:rsidR="00295AC7" w:rsidRPr="00DF2319" w:rsidRDefault="00295AC7" w:rsidP="0086509C">
            <w:pPr>
              <w:pStyle w:val="In-tableHeading"/>
              <w:keepNext w:val="0"/>
              <w:rPr>
                <w:vertAlign w:val="superscript"/>
                <w:lang w:val="en-AU"/>
              </w:rPr>
            </w:pPr>
            <w:r w:rsidRPr="00DF2319">
              <w:rPr>
                <w:lang w:val="en-AU"/>
              </w:rPr>
              <w:t xml:space="preserve">Step 4: Incorporation of institutionalisation </w:t>
            </w:r>
            <w:r w:rsidR="00CC7FD7" w:rsidRPr="00DF2319">
              <w:rPr>
                <w:lang w:val="en-AU"/>
              </w:rPr>
              <w:t xml:space="preserve">costs </w:t>
            </w:r>
            <w:r w:rsidRPr="00DF2319">
              <w:rPr>
                <w:lang w:val="en-AU"/>
              </w:rPr>
              <w:t>and carer QALYs</w:t>
            </w:r>
          </w:p>
        </w:tc>
      </w:tr>
      <w:tr w:rsidR="00D849FE" w:rsidRPr="00DF2319" w14:paraId="5E5C9954" w14:textId="77777777" w:rsidTr="00D849FE">
        <w:tc>
          <w:tcPr>
            <w:tcW w:w="2513" w:type="pct"/>
            <w:vAlign w:val="center"/>
          </w:tcPr>
          <w:p w14:paraId="672F7764" w14:textId="77777777" w:rsidR="00295AC7" w:rsidRPr="00DF2319" w:rsidRDefault="00295AC7" w:rsidP="0086509C">
            <w:pPr>
              <w:pStyle w:val="TableText"/>
              <w:rPr>
                <w:rFonts w:ascii="Times" w:hAnsi="Times"/>
              </w:rPr>
            </w:pPr>
            <w:r w:rsidRPr="00DF2319">
              <w:t>Costs</w:t>
            </w:r>
          </w:p>
        </w:tc>
        <w:tc>
          <w:tcPr>
            <w:tcW w:w="865" w:type="pct"/>
          </w:tcPr>
          <w:p w14:paraId="23041703" w14:textId="51E112F1" w:rsidR="00295AC7" w:rsidRPr="00773296" w:rsidRDefault="00295AC7" w:rsidP="0086509C">
            <w:pPr>
              <w:pStyle w:val="TableText"/>
              <w:jc w:val="center"/>
              <w:rPr>
                <w:rFonts w:ascii="Times" w:hAnsi="Times"/>
                <w:vertAlign w:val="superscript"/>
              </w:rPr>
            </w:pPr>
            <w:r w:rsidRPr="00DF2319">
              <w:t>$</w:t>
            </w:r>
            <w:r w:rsidR="00072E17">
              <w:t>REDACTED</w:t>
            </w:r>
          </w:p>
        </w:tc>
        <w:tc>
          <w:tcPr>
            <w:tcW w:w="784" w:type="pct"/>
          </w:tcPr>
          <w:p w14:paraId="6EF3A634" w14:textId="77777777" w:rsidR="00295AC7" w:rsidRPr="00DF2319" w:rsidRDefault="00295AC7" w:rsidP="0086509C">
            <w:pPr>
              <w:pStyle w:val="TableText"/>
              <w:jc w:val="center"/>
              <w:rPr>
                <w:rFonts w:ascii="Times" w:hAnsi="Times"/>
              </w:rPr>
            </w:pPr>
            <w:r w:rsidRPr="00DF2319">
              <w:t>$</w:t>
            </w:r>
            <w:r w:rsidRPr="002256F8">
              <w:t>414,477</w:t>
            </w:r>
          </w:p>
        </w:tc>
        <w:tc>
          <w:tcPr>
            <w:tcW w:w="838" w:type="pct"/>
          </w:tcPr>
          <w:p w14:paraId="143C0A1C" w14:textId="236B212C" w:rsidR="00295AC7" w:rsidRPr="00232B5C" w:rsidRDefault="00295AC7" w:rsidP="0086509C">
            <w:pPr>
              <w:pStyle w:val="TableText"/>
              <w:jc w:val="center"/>
              <w:rPr>
                <w:rFonts w:ascii="Times" w:hAnsi="Times"/>
                <w:vertAlign w:val="superscript"/>
              </w:rPr>
            </w:pPr>
            <w:r w:rsidRPr="00DF2319">
              <w:t>$</w:t>
            </w:r>
            <w:r w:rsidR="00072E17">
              <w:t>REDACTED</w:t>
            </w:r>
          </w:p>
        </w:tc>
      </w:tr>
      <w:tr w:rsidR="00D849FE" w:rsidRPr="00DF2319" w14:paraId="43BD1F9B" w14:textId="77777777" w:rsidTr="00D849FE">
        <w:tc>
          <w:tcPr>
            <w:tcW w:w="2513" w:type="pct"/>
            <w:vAlign w:val="center"/>
          </w:tcPr>
          <w:p w14:paraId="21731E75" w14:textId="77777777" w:rsidR="00295AC7" w:rsidRPr="00DF2319" w:rsidRDefault="00295AC7" w:rsidP="0086509C">
            <w:pPr>
              <w:pStyle w:val="TableText"/>
              <w:rPr>
                <w:rFonts w:ascii="Times" w:hAnsi="Times"/>
              </w:rPr>
            </w:pPr>
            <w:r w:rsidRPr="00DF2319">
              <w:t>QALY gained</w:t>
            </w:r>
          </w:p>
        </w:tc>
        <w:tc>
          <w:tcPr>
            <w:tcW w:w="865" w:type="pct"/>
          </w:tcPr>
          <w:p w14:paraId="58643A68" w14:textId="77777777" w:rsidR="00295AC7" w:rsidRPr="00DF2319" w:rsidRDefault="00295AC7" w:rsidP="0086509C">
            <w:pPr>
              <w:pStyle w:val="TableText"/>
              <w:jc w:val="center"/>
              <w:rPr>
                <w:rFonts w:ascii="Times" w:hAnsi="Times"/>
              </w:rPr>
            </w:pPr>
            <w:r w:rsidRPr="00DF2319">
              <w:t>3.70</w:t>
            </w:r>
          </w:p>
        </w:tc>
        <w:tc>
          <w:tcPr>
            <w:tcW w:w="784" w:type="pct"/>
          </w:tcPr>
          <w:p w14:paraId="182181B3" w14:textId="77777777" w:rsidR="00295AC7" w:rsidRPr="00DF2319" w:rsidRDefault="00295AC7" w:rsidP="0086509C">
            <w:pPr>
              <w:pStyle w:val="TableText"/>
              <w:jc w:val="center"/>
              <w:rPr>
                <w:rFonts w:ascii="Times" w:hAnsi="Times"/>
              </w:rPr>
            </w:pPr>
            <w:r w:rsidRPr="00DF2319">
              <w:t>3.28</w:t>
            </w:r>
          </w:p>
        </w:tc>
        <w:tc>
          <w:tcPr>
            <w:tcW w:w="838" w:type="pct"/>
          </w:tcPr>
          <w:p w14:paraId="5879624E" w14:textId="77777777" w:rsidR="00295AC7" w:rsidRPr="00DF2319" w:rsidRDefault="00295AC7" w:rsidP="0086509C">
            <w:pPr>
              <w:pStyle w:val="TableText"/>
              <w:jc w:val="center"/>
            </w:pPr>
            <w:r w:rsidRPr="00DF2319">
              <w:t>0.42</w:t>
            </w:r>
          </w:p>
        </w:tc>
      </w:tr>
      <w:tr w:rsidR="00295AC7" w:rsidRPr="00DF2319" w14:paraId="1109FC1D" w14:textId="77777777">
        <w:tc>
          <w:tcPr>
            <w:tcW w:w="4162" w:type="pct"/>
            <w:gridSpan w:val="3"/>
            <w:vAlign w:val="center"/>
          </w:tcPr>
          <w:p w14:paraId="49724BE8" w14:textId="77777777" w:rsidR="00295AC7" w:rsidRPr="00DF2319" w:rsidRDefault="00295AC7" w:rsidP="0086509C">
            <w:pPr>
              <w:pStyle w:val="TableText"/>
              <w:rPr>
                <w:rFonts w:ascii="Times" w:hAnsi="Times"/>
                <w:b/>
              </w:rPr>
            </w:pPr>
            <w:r w:rsidRPr="00DF2319">
              <w:rPr>
                <w:b/>
              </w:rPr>
              <w:t>Incremental cost/extra QALY gained (base case)</w:t>
            </w:r>
          </w:p>
        </w:tc>
        <w:tc>
          <w:tcPr>
            <w:tcW w:w="838" w:type="pct"/>
            <w:vAlign w:val="center"/>
          </w:tcPr>
          <w:p w14:paraId="40D6F1E0" w14:textId="5879B1F6" w:rsidR="00295AC7" w:rsidRPr="00F14661" w:rsidRDefault="00295AC7" w:rsidP="0086509C">
            <w:pPr>
              <w:pStyle w:val="TableText"/>
              <w:jc w:val="center"/>
              <w:rPr>
                <w:rFonts w:ascii="Times" w:hAnsi="Times"/>
                <w:b/>
                <w:vertAlign w:val="superscript"/>
              </w:rPr>
            </w:pPr>
            <w:r w:rsidRPr="00DF2319">
              <w:rPr>
                <w:b/>
              </w:rPr>
              <w:t>$</w:t>
            </w:r>
            <w:r w:rsidR="00F14661">
              <w:rPr>
                <w:b/>
              </w:rPr>
              <w:t xml:space="preserve">REDACTED </w:t>
            </w:r>
            <w:r w:rsidR="00F14661">
              <w:rPr>
                <w:b/>
                <w:vertAlign w:val="superscript"/>
              </w:rPr>
              <w:t>3</w:t>
            </w:r>
          </w:p>
        </w:tc>
      </w:tr>
    </w:tbl>
    <w:p w14:paraId="4719A0ED" w14:textId="77777777" w:rsidR="00295AC7" w:rsidRPr="00DF2319" w:rsidRDefault="00295AC7" w:rsidP="00295AC7">
      <w:pPr>
        <w:pStyle w:val="TableFigureFooter"/>
        <w:keepNext/>
      </w:pPr>
      <w:r w:rsidRPr="00DF2319">
        <w:t>Source: Constructed during the evaluation from the “3.3_Donanemab cost effectiveness model” attachment provided with the submission.</w:t>
      </w:r>
    </w:p>
    <w:p w14:paraId="3D3F8D5F" w14:textId="536662D1" w:rsidR="00295AC7" w:rsidRPr="00EE0EEB" w:rsidRDefault="00295AC7" w:rsidP="00295AC7">
      <w:pPr>
        <w:pStyle w:val="TableFigureFooter"/>
        <w:keepNext/>
      </w:pPr>
      <w:r w:rsidRPr="00EE0EEB">
        <w:t>AD = Alzheimer Disease; LYs = life years; MCI = mild cognitive impairment; p.a. = per annum; QALYs = quality adjusted life years; SOC = standard of care.</w:t>
      </w:r>
    </w:p>
    <w:p w14:paraId="4A1F5738" w14:textId="77777777" w:rsidR="00295AC7" w:rsidRPr="00EE0EEB" w:rsidRDefault="00295AC7" w:rsidP="00295AC7">
      <w:pPr>
        <w:pStyle w:val="TableFigureFooter"/>
        <w:keepNext/>
      </w:pPr>
      <w:proofErr w:type="spellStart"/>
      <w:r w:rsidRPr="00EE0EEB">
        <w:rPr>
          <w:vertAlign w:val="superscript"/>
        </w:rPr>
        <w:t>a</w:t>
      </w:r>
      <w:proofErr w:type="spellEnd"/>
      <w:r w:rsidRPr="00EE0EEB">
        <w:t xml:space="preserve"> Costs include donanemab diagnostic, acquisition, administration and monitoring costs, symptomatic treatment and adverse event costs.</w:t>
      </w:r>
    </w:p>
    <w:p w14:paraId="2F61D3CA" w14:textId="484F32B1" w:rsidR="00295AC7" w:rsidRPr="00EE0EEB" w:rsidRDefault="00295AC7" w:rsidP="00295AC7">
      <w:pPr>
        <w:pStyle w:val="TableFigureFooter"/>
        <w:keepNext/>
      </w:pPr>
      <w:r w:rsidRPr="00EE0EEB">
        <w:rPr>
          <w:vertAlign w:val="superscript"/>
        </w:rPr>
        <w:t xml:space="preserve">b </w:t>
      </w:r>
      <w:r w:rsidRPr="00EE0EEB">
        <w:t>Proportion of MCI due to AD patients at baseline remaining as MCI due to AD at the end of the 18-month trial period as per CDR score reported in Zimmer et al (2024)</w:t>
      </w:r>
      <w:bookmarkStart w:id="59" w:name="_Ref196213500"/>
      <w:r w:rsidR="00655D11" w:rsidRPr="00EE0EEB">
        <w:t>.</w:t>
      </w:r>
      <w:r w:rsidR="00655D11" w:rsidRPr="00EE0EEB">
        <w:rPr>
          <w:rStyle w:val="FootnoteReference"/>
        </w:rPr>
        <w:footnoteReference w:id="10"/>
      </w:r>
      <w:bookmarkEnd w:id="59"/>
    </w:p>
    <w:p w14:paraId="6D4E7F39" w14:textId="77777777" w:rsidR="000F4274" w:rsidRDefault="00295AC7" w:rsidP="00295AC7">
      <w:pPr>
        <w:pStyle w:val="TableFigureFooter"/>
        <w:keepNext/>
      </w:pPr>
      <w:r w:rsidRPr="00EE0EEB">
        <w:rPr>
          <w:vertAlign w:val="superscript"/>
        </w:rPr>
        <w:t xml:space="preserve">c </w:t>
      </w:r>
      <w:r w:rsidRPr="00EE0EEB">
        <w:t>Proportion of mild AD patients at baseline remaining as mild AD at the end of the 18-month trial period as per CDR score reported in Zimmer et al. (2024).</w:t>
      </w:r>
    </w:p>
    <w:p w14:paraId="3934286E" w14:textId="77777777" w:rsidR="000F4274" w:rsidRDefault="000F4274" w:rsidP="000F4274">
      <w:pPr>
        <w:pStyle w:val="TableFigureFooter"/>
      </w:pPr>
      <w:r>
        <w:t>The redacted values correspond to the following ranges:</w:t>
      </w:r>
    </w:p>
    <w:p w14:paraId="696029D1" w14:textId="77777777" w:rsidR="003745DA" w:rsidRDefault="003745DA" w:rsidP="003745DA">
      <w:pPr>
        <w:pStyle w:val="TableFigureFooter"/>
      </w:pPr>
      <w:r>
        <w:rPr>
          <w:vertAlign w:val="superscript"/>
        </w:rPr>
        <w:t xml:space="preserve">1 </w:t>
      </w:r>
      <w:r>
        <w:t xml:space="preserve">&gt;$1,055,000 </w:t>
      </w:r>
    </w:p>
    <w:p w14:paraId="6DB536A2" w14:textId="51EAB1C3" w:rsidR="000F4274" w:rsidRDefault="003745DA" w:rsidP="000F4274">
      <w:pPr>
        <w:pStyle w:val="TableFigureFooter"/>
      </w:pPr>
      <w:r>
        <w:rPr>
          <w:vertAlign w:val="superscript"/>
        </w:rPr>
        <w:t>2</w:t>
      </w:r>
      <w:r w:rsidR="000F4274">
        <w:rPr>
          <w:vertAlign w:val="superscript"/>
        </w:rPr>
        <w:t xml:space="preserve"> </w:t>
      </w:r>
      <w:r w:rsidR="000F4274">
        <w:t>$</w:t>
      </w:r>
      <w:r w:rsidR="00573E3B">
        <w:t>15</w:t>
      </w:r>
      <w:r w:rsidR="000F4274">
        <w:t>5,000 to &lt;$</w:t>
      </w:r>
      <w:r w:rsidR="00573E3B">
        <w:t>2</w:t>
      </w:r>
      <w:r w:rsidR="000F4274">
        <w:t>55,000</w:t>
      </w:r>
    </w:p>
    <w:p w14:paraId="5706BB0E" w14:textId="0A65E87C" w:rsidR="00295AC7" w:rsidRPr="00EE0EEB" w:rsidRDefault="00F14661" w:rsidP="00760DA6">
      <w:pPr>
        <w:pStyle w:val="TableFigureFooter"/>
      </w:pPr>
      <w:r>
        <w:rPr>
          <w:vertAlign w:val="superscript"/>
        </w:rPr>
        <w:t>3</w:t>
      </w:r>
      <w:r w:rsidR="00FA456F">
        <w:rPr>
          <w:vertAlign w:val="superscript"/>
        </w:rPr>
        <w:t xml:space="preserve"> </w:t>
      </w:r>
      <w:r w:rsidR="00FA456F">
        <w:t>$</w:t>
      </w:r>
      <w:r w:rsidR="00773296">
        <w:t>3</w:t>
      </w:r>
      <w:r w:rsidR="00FA456F">
        <w:t>5,000 to &lt;$</w:t>
      </w:r>
      <w:r w:rsidR="00773296">
        <w:t>4</w:t>
      </w:r>
      <w:r w:rsidR="00FA456F">
        <w:t>5,000</w:t>
      </w:r>
      <w:r w:rsidR="00655D11" w:rsidRPr="00EE0EEB">
        <w:fldChar w:fldCharType="begin"/>
      </w:r>
      <w:r w:rsidR="00655D11" w:rsidRPr="00EE0EEB">
        <w:instrText xml:space="preserve"> NOTEREF _Ref196213500 \f \h </w:instrText>
      </w:r>
      <w:r w:rsidR="00655D11" w:rsidRPr="00EE0EEB">
        <w:fldChar w:fldCharType="separate"/>
      </w:r>
      <w:r w:rsidR="00655D11" w:rsidRPr="00EE0EEB">
        <w:fldChar w:fldCharType="end"/>
      </w:r>
    </w:p>
    <w:p w14:paraId="3842FDA6" w14:textId="0962F41E" w:rsidR="00295AC7" w:rsidRPr="00DD304A" w:rsidRDefault="00295AC7" w:rsidP="00295AC7">
      <w:r w:rsidRPr="00DD304A">
        <w:lastRenderedPageBreak/>
        <w:t>The total testing cost for access to donanemab was $1,764 per patient (consisting of a</w:t>
      </w:r>
      <w:r w:rsidR="00CC7FD7" w:rsidRPr="00DD304A">
        <w:t>n</w:t>
      </w:r>
      <w:r w:rsidRPr="00DD304A">
        <w:t xml:space="preserve"> MRI scan for 18% of patients ($441 per scan), 50% of patients undergoing amyloid testing through PET ($2,300 per scan) and 50% through CSF ($750 per test) and all patients undergoing an </w:t>
      </w:r>
      <w:r w:rsidRPr="00DD304A">
        <w:rPr>
          <w:i/>
          <w:iCs/>
        </w:rPr>
        <w:t>APOE4</w:t>
      </w:r>
      <w:r w:rsidRPr="00DD304A">
        <w:t xml:space="preserve"> test ($160 per test)</w:t>
      </w:r>
      <w:r w:rsidR="00CC7FD7" w:rsidRPr="00DD304A">
        <w:t>)</w:t>
      </w:r>
      <w:r w:rsidRPr="00DD304A">
        <w:t xml:space="preserve">. </w:t>
      </w:r>
      <w:r w:rsidR="00C95117" w:rsidRPr="00DD304A">
        <w:t>The commentary noted that t</w:t>
      </w:r>
      <w:r w:rsidRPr="00DD304A">
        <w:t>his cost increased to $2,130 per treated patient when considering patients who</w:t>
      </w:r>
      <w:r w:rsidR="00CC7FD7" w:rsidRPr="00DD304A">
        <w:t xml:space="preserve"> were </w:t>
      </w:r>
      <w:r w:rsidRPr="00DD304A">
        <w:t>test</w:t>
      </w:r>
      <w:r w:rsidR="00CC7FD7" w:rsidRPr="00DD304A">
        <w:t>ed</w:t>
      </w:r>
      <w:r w:rsidRPr="00DD304A">
        <w:t xml:space="preserve"> for access to donanemab but </w:t>
      </w:r>
      <w:r w:rsidR="00CC7FD7" w:rsidRPr="00DD304A">
        <w:t xml:space="preserve">were found </w:t>
      </w:r>
      <w:r w:rsidRPr="00DD304A">
        <w:t>ineligible.</w:t>
      </w:r>
    </w:p>
    <w:p w14:paraId="3366E4BE" w14:textId="07659261" w:rsidR="006C4E6F" w:rsidRPr="00DD304A" w:rsidRDefault="006C4E6F" w:rsidP="00D429A3">
      <w:pPr>
        <w:pStyle w:val="Heading3"/>
      </w:pPr>
      <w:r w:rsidRPr="00DD304A">
        <w:t>Sensitivity analyses</w:t>
      </w:r>
    </w:p>
    <w:p w14:paraId="7D09A2EA" w14:textId="411551C5" w:rsidR="00295AC7" w:rsidRPr="00DD304A" w:rsidRDefault="00295AC7" w:rsidP="00295AC7">
      <w:r w:rsidRPr="00DD304A">
        <w:t xml:space="preserve">Key sensitivity analyses </w:t>
      </w:r>
      <w:r w:rsidR="00CC7FD7" w:rsidRPr="00DD304A">
        <w:t>o</w:t>
      </w:r>
      <w:r w:rsidRPr="00DD304A">
        <w:t xml:space="preserve">n the testing parameters were conducted during the evaluation and </w:t>
      </w:r>
      <w:r w:rsidR="006E5702">
        <w:t>we</w:t>
      </w:r>
      <w:r w:rsidRPr="00DD304A">
        <w:t xml:space="preserve">re </w:t>
      </w:r>
      <w:r w:rsidRPr="00D26369">
        <w:t>presented in</w:t>
      </w:r>
      <w:r w:rsidR="000A5642" w:rsidRPr="00D26369">
        <w:t xml:space="preserve"> </w:t>
      </w:r>
      <w:r w:rsidR="00AF3586" w:rsidRPr="00D26369">
        <w:fldChar w:fldCharType="begin"/>
      </w:r>
      <w:r w:rsidR="00AF3586" w:rsidRPr="00D26369">
        <w:instrText xml:space="preserve"> REF _Ref205192127 \h </w:instrText>
      </w:r>
      <w:r w:rsidR="00D26369" w:rsidRPr="00D26369">
        <w:instrText xml:space="preserve"> \* MERGEFORMAT </w:instrText>
      </w:r>
      <w:r w:rsidR="00AF3586" w:rsidRPr="00D26369">
        <w:fldChar w:fldCharType="separate"/>
      </w:r>
      <w:r w:rsidR="00A60D9F">
        <w:t xml:space="preserve">Table </w:t>
      </w:r>
      <w:r w:rsidR="00A60D9F">
        <w:rPr>
          <w:noProof/>
        </w:rPr>
        <w:t>16</w:t>
      </w:r>
      <w:r w:rsidR="00AF3586" w:rsidRPr="00D26369">
        <w:fldChar w:fldCharType="end"/>
      </w:r>
      <w:r w:rsidRPr="00D26369">
        <w:t>. The</w:t>
      </w:r>
      <w:r w:rsidRPr="00DD304A">
        <w:t xml:space="preserve"> model was sensitive to the proportion of patients undergoing the donanemab treat to clear strategy. This was expected given this directly relates to donanemab acquisition costs, a main contributor to the incremental costs between the two modelled arms.</w:t>
      </w:r>
    </w:p>
    <w:p w14:paraId="75BBF480" w14:textId="13491B42" w:rsidR="00295AC7" w:rsidRPr="00EE0EEB" w:rsidRDefault="00AF3586" w:rsidP="00565B62">
      <w:pPr>
        <w:pStyle w:val="Caption"/>
        <w:rPr>
          <w:i/>
        </w:rPr>
      </w:pPr>
      <w:bookmarkStart w:id="60" w:name="_Ref205192127"/>
      <w:bookmarkStart w:id="61" w:name="_Ref196232937"/>
      <w:r>
        <w:t xml:space="preserve">Table </w:t>
      </w:r>
      <w:r w:rsidR="00965311">
        <w:fldChar w:fldCharType="begin"/>
      </w:r>
      <w:r w:rsidR="00965311">
        <w:instrText xml:space="preserve"> SEQ Table \* ARABIC </w:instrText>
      </w:r>
      <w:r w:rsidR="00965311">
        <w:fldChar w:fldCharType="separate"/>
      </w:r>
      <w:r w:rsidR="00965311">
        <w:rPr>
          <w:noProof/>
        </w:rPr>
        <w:t>16</w:t>
      </w:r>
      <w:r w:rsidR="00965311">
        <w:rPr>
          <w:noProof/>
        </w:rPr>
        <w:fldChar w:fldCharType="end"/>
      </w:r>
      <w:bookmarkEnd w:id="60"/>
      <w:bookmarkEnd w:id="61"/>
      <w:r w:rsidR="00D26369">
        <w:t xml:space="preserve"> </w:t>
      </w:r>
      <w:r w:rsidR="00295AC7" w:rsidRPr="00EE0EEB">
        <w:t xml:space="preserve">Key sensitivity analyses conducted </w:t>
      </w:r>
      <w:r w:rsidR="00EB1A0D">
        <w:t xml:space="preserve">during evaluation </w:t>
      </w:r>
      <w:r w:rsidR="00295AC7" w:rsidRPr="00EE0EEB">
        <w:t>on the test parameters</w:t>
      </w:r>
      <w:r w:rsidR="00295AC7" w:rsidRPr="00EE0EEB">
        <w:rPr>
          <w:i/>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1134"/>
        <w:gridCol w:w="1418"/>
        <w:gridCol w:w="1366"/>
      </w:tblGrid>
      <w:tr w:rsidR="00080E33" w:rsidRPr="00DF2319" w14:paraId="5EF7E1BA" w14:textId="77777777" w:rsidTr="005848B6">
        <w:trPr>
          <w:cnfStyle w:val="100000000000" w:firstRow="1" w:lastRow="0" w:firstColumn="0" w:lastColumn="0" w:oddVBand="0" w:evenVBand="0" w:oddHBand="0" w:evenHBand="0" w:firstRowFirstColumn="0" w:firstRowLastColumn="0" w:lastRowFirstColumn="0" w:lastRowLastColumn="0"/>
          <w:trHeight w:val="20"/>
          <w:tblHeader/>
        </w:trPr>
        <w:tc>
          <w:tcPr>
            <w:tcW w:w="3681" w:type="dxa"/>
            <w:noWrap/>
            <w:vAlign w:val="center"/>
          </w:tcPr>
          <w:p w14:paraId="469FB854" w14:textId="77777777" w:rsidR="00295AC7" w:rsidRPr="00DF2319" w:rsidRDefault="00295AC7" w:rsidP="00D26369">
            <w:pPr>
              <w:pStyle w:val="TableText"/>
              <w:keepNext/>
              <w:keepLines/>
              <w:tabs>
                <w:tab w:val="center" w:pos="2593"/>
              </w:tabs>
              <w:spacing w:before="20" w:after="20"/>
              <w:contextualSpacing/>
              <w:jc w:val="center"/>
              <w:rPr>
                <w:bCs/>
                <w:lang w:val="en-AU"/>
              </w:rPr>
            </w:pPr>
            <w:r w:rsidRPr="00DF2319">
              <w:rPr>
                <w:lang w:val="en-AU"/>
              </w:rPr>
              <w:t>Analyses</w:t>
            </w:r>
          </w:p>
        </w:tc>
        <w:tc>
          <w:tcPr>
            <w:tcW w:w="1417" w:type="dxa"/>
            <w:noWrap/>
            <w:vAlign w:val="center"/>
          </w:tcPr>
          <w:p w14:paraId="786F42A8" w14:textId="77777777" w:rsidR="00295AC7" w:rsidRPr="00DF2319" w:rsidRDefault="00295AC7" w:rsidP="00D26369">
            <w:pPr>
              <w:pStyle w:val="TableText"/>
              <w:keepNext/>
              <w:keepLines/>
              <w:spacing w:before="20" w:after="20"/>
              <w:contextualSpacing/>
              <w:jc w:val="center"/>
              <w:rPr>
                <w:bCs/>
                <w:lang w:val="en-AU"/>
              </w:rPr>
            </w:pPr>
            <w:r w:rsidRPr="00DF2319">
              <w:rPr>
                <w:lang w:val="en-AU"/>
              </w:rPr>
              <w:t>Inc. cost</w:t>
            </w:r>
          </w:p>
        </w:tc>
        <w:tc>
          <w:tcPr>
            <w:tcW w:w="1134" w:type="dxa"/>
            <w:noWrap/>
            <w:vAlign w:val="center"/>
          </w:tcPr>
          <w:p w14:paraId="5F5D268F" w14:textId="77777777" w:rsidR="00295AC7" w:rsidRPr="00DF2319" w:rsidRDefault="00295AC7" w:rsidP="00D26369">
            <w:pPr>
              <w:pStyle w:val="TableText"/>
              <w:keepNext/>
              <w:keepLines/>
              <w:spacing w:before="20" w:after="20"/>
              <w:contextualSpacing/>
              <w:jc w:val="center"/>
              <w:rPr>
                <w:bCs/>
                <w:lang w:val="en-AU"/>
              </w:rPr>
            </w:pPr>
            <w:r w:rsidRPr="00DF2319">
              <w:rPr>
                <w:lang w:val="en-AU"/>
              </w:rPr>
              <w:t>Inc. QALYs</w:t>
            </w:r>
          </w:p>
        </w:tc>
        <w:tc>
          <w:tcPr>
            <w:tcW w:w="1418" w:type="dxa"/>
            <w:noWrap/>
            <w:vAlign w:val="center"/>
          </w:tcPr>
          <w:p w14:paraId="139D1BC9" w14:textId="77777777" w:rsidR="00295AC7" w:rsidRPr="00DF2319" w:rsidRDefault="00295AC7" w:rsidP="00D26369">
            <w:pPr>
              <w:pStyle w:val="TableText"/>
              <w:keepNext/>
              <w:keepLines/>
              <w:spacing w:before="20" w:after="20"/>
              <w:contextualSpacing/>
              <w:jc w:val="center"/>
              <w:rPr>
                <w:bCs/>
                <w:lang w:val="en-AU"/>
              </w:rPr>
            </w:pPr>
            <w:r w:rsidRPr="00DF2319">
              <w:rPr>
                <w:lang w:val="en-AU"/>
              </w:rPr>
              <w:t>ICER</w:t>
            </w:r>
          </w:p>
        </w:tc>
        <w:tc>
          <w:tcPr>
            <w:tcW w:w="1366" w:type="dxa"/>
            <w:noWrap/>
            <w:vAlign w:val="center"/>
          </w:tcPr>
          <w:p w14:paraId="0D3FADB6" w14:textId="77777777" w:rsidR="00295AC7" w:rsidRPr="00DF2319" w:rsidRDefault="00295AC7" w:rsidP="00D26369">
            <w:pPr>
              <w:pStyle w:val="TableText"/>
              <w:keepNext/>
              <w:keepLines/>
              <w:spacing w:before="20" w:after="20"/>
              <w:contextualSpacing/>
              <w:jc w:val="center"/>
              <w:rPr>
                <w:bCs/>
                <w:lang w:val="en-AU"/>
              </w:rPr>
            </w:pPr>
            <w:r w:rsidRPr="00DF2319">
              <w:rPr>
                <w:lang w:val="en-AU"/>
              </w:rPr>
              <w:t>%</w:t>
            </w:r>
          </w:p>
        </w:tc>
      </w:tr>
      <w:tr w:rsidR="00295AC7" w:rsidRPr="00DF2319" w14:paraId="51068C38" w14:textId="77777777" w:rsidTr="005848B6">
        <w:trPr>
          <w:trHeight w:val="20"/>
        </w:trPr>
        <w:tc>
          <w:tcPr>
            <w:tcW w:w="3681" w:type="dxa"/>
            <w:noWrap/>
            <w:vAlign w:val="center"/>
          </w:tcPr>
          <w:p w14:paraId="669B88C4" w14:textId="77777777" w:rsidR="00295AC7" w:rsidRPr="00DF2319" w:rsidRDefault="00295AC7" w:rsidP="00D26369">
            <w:pPr>
              <w:pStyle w:val="TableText"/>
              <w:keepNext/>
              <w:keepLines/>
              <w:spacing w:before="20" w:after="20"/>
              <w:contextualSpacing/>
              <w:rPr>
                <w:b/>
                <w:bCs/>
                <w:lang w:val="en-AU"/>
              </w:rPr>
            </w:pPr>
            <w:r w:rsidRPr="00DF2319">
              <w:rPr>
                <w:b/>
                <w:bCs/>
                <w:lang w:val="en-AU"/>
              </w:rPr>
              <w:t>Base case</w:t>
            </w:r>
          </w:p>
        </w:tc>
        <w:tc>
          <w:tcPr>
            <w:tcW w:w="1417" w:type="dxa"/>
            <w:noWrap/>
            <w:vAlign w:val="center"/>
          </w:tcPr>
          <w:p w14:paraId="77DAAC21" w14:textId="3E18F2BD" w:rsidR="00295AC7" w:rsidRPr="00881A0A" w:rsidRDefault="00295AC7" w:rsidP="000D4A01">
            <w:pPr>
              <w:pStyle w:val="TableText"/>
              <w:keepNext/>
              <w:keepLines/>
              <w:spacing w:before="20" w:after="20"/>
              <w:contextualSpacing/>
              <w:jc w:val="center"/>
              <w:rPr>
                <w:b/>
                <w:bCs/>
                <w:vertAlign w:val="superscript"/>
                <w:lang w:val="en-AU"/>
              </w:rPr>
            </w:pPr>
            <w:r w:rsidRPr="00DF2319">
              <w:rPr>
                <w:lang w:val="en-AU"/>
              </w:rPr>
              <w:t>$</w:t>
            </w:r>
            <w:r w:rsidR="000D4A01">
              <w:t>REDACTED</w:t>
            </w:r>
          </w:p>
        </w:tc>
        <w:tc>
          <w:tcPr>
            <w:tcW w:w="1134" w:type="dxa"/>
            <w:noWrap/>
            <w:vAlign w:val="center"/>
          </w:tcPr>
          <w:p w14:paraId="1B0A6188" w14:textId="77777777" w:rsidR="00295AC7" w:rsidRPr="00DF2319" w:rsidRDefault="00295AC7" w:rsidP="00D26369">
            <w:pPr>
              <w:pStyle w:val="TableText"/>
              <w:keepNext/>
              <w:keepLines/>
              <w:spacing w:before="20" w:after="20"/>
              <w:contextualSpacing/>
              <w:jc w:val="center"/>
              <w:rPr>
                <w:b/>
                <w:bCs/>
                <w:lang w:val="en-AU"/>
              </w:rPr>
            </w:pPr>
            <w:r w:rsidRPr="00DF2319">
              <w:rPr>
                <w:lang w:val="en-AU"/>
              </w:rPr>
              <w:t>0.42</w:t>
            </w:r>
          </w:p>
        </w:tc>
        <w:tc>
          <w:tcPr>
            <w:tcW w:w="1418" w:type="dxa"/>
            <w:noWrap/>
            <w:vAlign w:val="center"/>
          </w:tcPr>
          <w:p w14:paraId="784C557A" w14:textId="40C2C0B0" w:rsidR="00295AC7" w:rsidRPr="00B26E2E" w:rsidRDefault="00295AC7" w:rsidP="00D26369">
            <w:pPr>
              <w:pStyle w:val="TableText"/>
              <w:keepNext/>
              <w:keepLines/>
              <w:spacing w:before="20" w:after="20"/>
              <w:contextualSpacing/>
              <w:jc w:val="center"/>
              <w:rPr>
                <w:b/>
                <w:bCs/>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noWrap/>
            <w:vAlign w:val="center"/>
          </w:tcPr>
          <w:p w14:paraId="23781691" w14:textId="0A66E9AC" w:rsidR="00295AC7" w:rsidRPr="00B26E2E" w:rsidRDefault="00B26E2E" w:rsidP="00D26369">
            <w:pPr>
              <w:pStyle w:val="TableText"/>
              <w:keepNext/>
              <w:keepLines/>
              <w:spacing w:before="20" w:after="20"/>
              <w:contextualSpacing/>
              <w:jc w:val="center"/>
              <w:rPr>
                <w:b/>
                <w:bCs/>
                <w:lang w:val="en-AU"/>
              </w:rPr>
            </w:pPr>
            <w:r w:rsidRPr="00B26E2E">
              <w:rPr>
                <w:lang w:val="en-AU"/>
              </w:rPr>
              <w:t>─</w:t>
            </w:r>
          </w:p>
        </w:tc>
      </w:tr>
      <w:tr w:rsidR="00295AC7" w:rsidRPr="00DF2319" w14:paraId="038A4BB4" w14:textId="77777777" w:rsidTr="005848B6">
        <w:trPr>
          <w:trHeight w:val="20"/>
        </w:trPr>
        <w:tc>
          <w:tcPr>
            <w:tcW w:w="9016" w:type="dxa"/>
            <w:gridSpan w:val="5"/>
            <w:tcBorders>
              <w:bottom w:val="single" w:sz="4" w:space="0" w:color="auto"/>
            </w:tcBorders>
            <w:noWrap/>
            <w:vAlign w:val="center"/>
          </w:tcPr>
          <w:p w14:paraId="033E2E7E" w14:textId="77777777" w:rsidR="00295AC7" w:rsidRPr="00B26E2E" w:rsidRDefault="00295AC7" w:rsidP="00D26369">
            <w:pPr>
              <w:pStyle w:val="TableText"/>
              <w:keepNext/>
              <w:keepLines/>
              <w:spacing w:before="20" w:after="20"/>
              <w:contextualSpacing/>
              <w:rPr>
                <w:lang w:val="en-AU"/>
              </w:rPr>
            </w:pPr>
            <w:r w:rsidRPr="00B26E2E">
              <w:rPr>
                <w:lang w:val="en-AU"/>
              </w:rPr>
              <w:t>% of amyloid positive patients during testing (base case: 85%)</w:t>
            </w:r>
          </w:p>
        </w:tc>
      </w:tr>
      <w:tr w:rsidR="00295AC7" w:rsidRPr="00DF2319" w14:paraId="039F101E" w14:textId="77777777" w:rsidTr="005848B6">
        <w:trPr>
          <w:trHeight w:val="20"/>
        </w:trPr>
        <w:tc>
          <w:tcPr>
            <w:tcW w:w="3681" w:type="dxa"/>
            <w:tcBorders>
              <w:bottom w:val="nil"/>
            </w:tcBorders>
            <w:noWrap/>
            <w:vAlign w:val="center"/>
          </w:tcPr>
          <w:p w14:paraId="6B86E725"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75% (TB-2 screening)</w:t>
            </w:r>
          </w:p>
        </w:tc>
        <w:tc>
          <w:tcPr>
            <w:tcW w:w="1417" w:type="dxa"/>
            <w:tcBorders>
              <w:bottom w:val="nil"/>
            </w:tcBorders>
            <w:noWrap/>
          </w:tcPr>
          <w:p w14:paraId="315E7476" w14:textId="6B4138E4" w:rsidR="00295AC7" w:rsidRPr="00970F38"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bottom w:val="nil"/>
            </w:tcBorders>
            <w:noWrap/>
          </w:tcPr>
          <w:p w14:paraId="0FA6B181"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bottom w:val="nil"/>
            </w:tcBorders>
            <w:noWrap/>
          </w:tcPr>
          <w:p w14:paraId="08F46527" w14:textId="54C8BB78"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bottom w:val="nil"/>
            </w:tcBorders>
            <w:noWrap/>
          </w:tcPr>
          <w:p w14:paraId="22D940FE" w14:textId="33CCD944"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33157E96" w14:textId="77777777" w:rsidTr="005848B6">
        <w:trPr>
          <w:trHeight w:val="20"/>
        </w:trPr>
        <w:tc>
          <w:tcPr>
            <w:tcW w:w="0" w:type="dxa"/>
            <w:gridSpan w:val="5"/>
            <w:tcBorders>
              <w:bottom w:val="single" w:sz="4" w:space="0" w:color="auto"/>
            </w:tcBorders>
            <w:noWrap/>
            <w:vAlign w:val="center"/>
          </w:tcPr>
          <w:p w14:paraId="0839F916" w14:textId="676DC667" w:rsidR="00295AC7" w:rsidRPr="00B26E2E" w:rsidRDefault="00295AC7" w:rsidP="00D26369">
            <w:pPr>
              <w:pStyle w:val="TableText"/>
              <w:keepNext/>
              <w:keepLines/>
              <w:spacing w:before="20" w:after="20"/>
              <w:contextualSpacing/>
              <w:rPr>
                <w:lang w:val="en-AU"/>
              </w:rPr>
            </w:pPr>
            <w:r w:rsidRPr="00B26E2E">
              <w:rPr>
                <w:lang w:val="en-AU"/>
              </w:rPr>
              <w:t xml:space="preserve">% of </w:t>
            </w:r>
            <w:r w:rsidRPr="00B26E2E">
              <w:rPr>
                <w:i/>
                <w:iCs/>
                <w:lang w:val="en-AU"/>
              </w:rPr>
              <w:t>APOE4</w:t>
            </w:r>
            <w:r w:rsidRPr="00B26E2E">
              <w:rPr>
                <w:lang w:val="en-AU"/>
              </w:rPr>
              <w:t xml:space="preserve"> non-homozygotes during testing (base case: 64%)</w:t>
            </w:r>
          </w:p>
        </w:tc>
      </w:tr>
      <w:tr w:rsidR="00295AC7" w:rsidRPr="00DF2319" w14:paraId="21DBFC90" w14:textId="77777777" w:rsidTr="005848B6">
        <w:trPr>
          <w:trHeight w:val="20"/>
        </w:trPr>
        <w:tc>
          <w:tcPr>
            <w:tcW w:w="3681" w:type="dxa"/>
            <w:tcBorders>
              <w:bottom w:val="nil"/>
            </w:tcBorders>
            <w:noWrap/>
            <w:vAlign w:val="center"/>
          </w:tcPr>
          <w:p w14:paraId="5AA5FFCE"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89%</w:t>
            </w:r>
          </w:p>
        </w:tc>
        <w:tc>
          <w:tcPr>
            <w:tcW w:w="1417" w:type="dxa"/>
            <w:tcBorders>
              <w:bottom w:val="nil"/>
            </w:tcBorders>
            <w:noWrap/>
          </w:tcPr>
          <w:p w14:paraId="2D536E55" w14:textId="02FFE224" w:rsidR="00295AC7" w:rsidRPr="00970F38"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bottom w:val="nil"/>
            </w:tcBorders>
            <w:noWrap/>
          </w:tcPr>
          <w:p w14:paraId="74BC8D51"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bottom w:val="nil"/>
            </w:tcBorders>
            <w:noWrap/>
          </w:tcPr>
          <w:p w14:paraId="00863F7C" w14:textId="44A02907"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bottom w:val="nil"/>
            </w:tcBorders>
            <w:noWrap/>
          </w:tcPr>
          <w:p w14:paraId="393E309E" w14:textId="36797E77" w:rsidR="00295AC7" w:rsidRPr="00B26E2E" w:rsidRDefault="00295AC7" w:rsidP="00D26369">
            <w:pPr>
              <w:pStyle w:val="TableText"/>
              <w:keepNext/>
              <w:keepLines/>
              <w:spacing w:before="20" w:after="20"/>
              <w:contextualSpacing/>
              <w:jc w:val="center"/>
              <w:rPr>
                <w:lang w:val="en-AU"/>
              </w:rPr>
            </w:pPr>
            <w:r w:rsidRPr="00B26E2E">
              <w:rPr>
                <w:lang w:val="en-AU"/>
              </w:rPr>
              <w:t>-</w:t>
            </w:r>
            <w:r w:rsidR="00B26E2E" w:rsidRPr="00B26E2E">
              <w:t>REDACTED</w:t>
            </w:r>
            <w:r w:rsidR="00B26E2E" w:rsidRPr="00B26E2E" w:rsidDel="00B26E2E">
              <w:rPr>
                <w:lang w:val="en-AU"/>
              </w:rPr>
              <w:t xml:space="preserve"> </w:t>
            </w:r>
            <w:r w:rsidRPr="00B26E2E">
              <w:rPr>
                <w:lang w:val="en-AU"/>
              </w:rPr>
              <w:t>%</w:t>
            </w:r>
          </w:p>
        </w:tc>
      </w:tr>
      <w:tr w:rsidR="00295AC7" w:rsidRPr="00DF2319" w14:paraId="29C004DB" w14:textId="77777777" w:rsidTr="005848B6">
        <w:trPr>
          <w:trHeight w:val="20"/>
        </w:trPr>
        <w:tc>
          <w:tcPr>
            <w:tcW w:w="3681" w:type="dxa"/>
            <w:tcBorders>
              <w:top w:val="nil"/>
              <w:bottom w:val="nil"/>
            </w:tcBorders>
            <w:noWrap/>
            <w:vAlign w:val="center"/>
          </w:tcPr>
          <w:p w14:paraId="0F74D31E"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71%</w:t>
            </w:r>
          </w:p>
        </w:tc>
        <w:tc>
          <w:tcPr>
            <w:tcW w:w="1417" w:type="dxa"/>
            <w:tcBorders>
              <w:top w:val="nil"/>
              <w:bottom w:val="nil"/>
            </w:tcBorders>
            <w:noWrap/>
          </w:tcPr>
          <w:p w14:paraId="0FD3DF39" w14:textId="5CCC8F05" w:rsidR="00295AC7" w:rsidRPr="00970F38"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bottom w:val="nil"/>
            </w:tcBorders>
            <w:noWrap/>
          </w:tcPr>
          <w:p w14:paraId="4E273F75"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bottom w:val="nil"/>
            </w:tcBorders>
            <w:noWrap/>
          </w:tcPr>
          <w:p w14:paraId="52BA5CB8" w14:textId="5B3899AA"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top w:val="nil"/>
              <w:bottom w:val="nil"/>
            </w:tcBorders>
            <w:noWrap/>
          </w:tcPr>
          <w:p w14:paraId="5283EA4A" w14:textId="38765F5E" w:rsidR="00295AC7" w:rsidRPr="00B26E2E" w:rsidRDefault="00295AC7" w:rsidP="00D26369">
            <w:pPr>
              <w:pStyle w:val="TableText"/>
              <w:keepNext/>
              <w:keepLines/>
              <w:spacing w:before="20" w:after="20"/>
              <w:contextualSpacing/>
              <w:jc w:val="center"/>
              <w:rPr>
                <w:lang w:val="en-AU"/>
              </w:rPr>
            </w:pPr>
            <w:r w:rsidRPr="00B26E2E">
              <w:rPr>
                <w:lang w:val="en-AU"/>
              </w:rPr>
              <w:t>-</w:t>
            </w:r>
            <w:r w:rsidR="00B26E2E" w:rsidRPr="00B26E2E">
              <w:t>REDACTED</w:t>
            </w:r>
            <w:r w:rsidR="00B26E2E" w:rsidRPr="00B26E2E" w:rsidDel="00B26E2E">
              <w:rPr>
                <w:lang w:val="en-AU"/>
              </w:rPr>
              <w:t xml:space="preserve"> </w:t>
            </w:r>
            <w:r w:rsidRPr="00B26E2E">
              <w:rPr>
                <w:lang w:val="en-AU"/>
              </w:rPr>
              <w:t>%</w:t>
            </w:r>
          </w:p>
        </w:tc>
      </w:tr>
      <w:tr w:rsidR="00295AC7" w:rsidRPr="00DF2319" w14:paraId="4753CEAB" w14:textId="77777777" w:rsidTr="005848B6">
        <w:trPr>
          <w:trHeight w:val="20"/>
        </w:trPr>
        <w:tc>
          <w:tcPr>
            <w:tcW w:w="9016" w:type="dxa"/>
            <w:gridSpan w:val="5"/>
            <w:tcBorders>
              <w:bottom w:val="nil"/>
            </w:tcBorders>
            <w:noWrap/>
            <w:vAlign w:val="center"/>
          </w:tcPr>
          <w:p w14:paraId="46871595" w14:textId="77777777" w:rsidR="00295AC7" w:rsidRPr="00B26E2E" w:rsidRDefault="00295AC7" w:rsidP="00D26369">
            <w:pPr>
              <w:pStyle w:val="TableText"/>
              <w:keepNext/>
              <w:keepLines/>
              <w:spacing w:before="20" w:after="20"/>
              <w:contextualSpacing/>
              <w:rPr>
                <w:lang w:val="en-AU"/>
              </w:rPr>
            </w:pPr>
            <w:r w:rsidRPr="00B26E2E">
              <w:rPr>
                <w:lang w:val="en-AU"/>
              </w:rPr>
              <w:t>% of patients passing the pre-treatment MRI during testing (base case: 100%)</w:t>
            </w:r>
          </w:p>
        </w:tc>
      </w:tr>
      <w:tr w:rsidR="00295AC7" w:rsidRPr="00DF2319" w14:paraId="78FD0E0C" w14:textId="77777777" w:rsidTr="005848B6">
        <w:trPr>
          <w:trHeight w:val="20"/>
        </w:trPr>
        <w:tc>
          <w:tcPr>
            <w:tcW w:w="3681" w:type="dxa"/>
            <w:tcBorders>
              <w:bottom w:val="nil"/>
            </w:tcBorders>
            <w:noWrap/>
            <w:vAlign w:val="center"/>
          </w:tcPr>
          <w:p w14:paraId="752C5248"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89%</w:t>
            </w:r>
          </w:p>
        </w:tc>
        <w:tc>
          <w:tcPr>
            <w:tcW w:w="1417" w:type="dxa"/>
            <w:tcBorders>
              <w:bottom w:val="nil"/>
            </w:tcBorders>
            <w:noWrap/>
          </w:tcPr>
          <w:p w14:paraId="405D7E08" w14:textId="63F6141D" w:rsidR="00295AC7" w:rsidRPr="00970F38"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bottom w:val="nil"/>
            </w:tcBorders>
            <w:noWrap/>
          </w:tcPr>
          <w:p w14:paraId="5DB8C5B5"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bottom w:val="nil"/>
            </w:tcBorders>
            <w:noWrap/>
          </w:tcPr>
          <w:p w14:paraId="14859190" w14:textId="68CDAD6A"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bottom w:val="nil"/>
            </w:tcBorders>
            <w:noWrap/>
          </w:tcPr>
          <w:p w14:paraId="632E0EDD" w14:textId="3582A60F"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638BDA2E" w14:textId="77777777" w:rsidTr="005848B6">
        <w:trPr>
          <w:trHeight w:val="20"/>
        </w:trPr>
        <w:tc>
          <w:tcPr>
            <w:tcW w:w="9016" w:type="dxa"/>
            <w:gridSpan w:val="5"/>
            <w:tcBorders>
              <w:bottom w:val="single" w:sz="4" w:space="0" w:color="auto"/>
            </w:tcBorders>
            <w:noWrap/>
            <w:vAlign w:val="center"/>
          </w:tcPr>
          <w:p w14:paraId="1F10D36E" w14:textId="77777777" w:rsidR="00295AC7" w:rsidRPr="00DF2319" w:rsidRDefault="00295AC7" w:rsidP="00D26369">
            <w:pPr>
              <w:pStyle w:val="TableText"/>
              <w:keepNext/>
              <w:keepLines/>
              <w:spacing w:before="20" w:after="20"/>
              <w:contextualSpacing/>
              <w:rPr>
                <w:lang w:val="en-AU"/>
              </w:rPr>
            </w:pPr>
            <w:r w:rsidRPr="00DF2319">
              <w:rPr>
                <w:lang w:val="en-AU"/>
              </w:rPr>
              <w:t>Sequential testing approach for donanemab (base case: not considered)</w:t>
            </w:r>
          </w:p>
        </w:tc>
      </w:tr>
      <w:tr w:rsidR="00295AC7" w:rsidRPr="00DF2319" w14:paraId="118054D7" w14:textId="77777777" w:rsidTr="005848B6">
        <w:trPr>
          <w:trHeight w:val="20"/>
        </w:trPr>
        <w:tc>
          <w:tcPr>
            <w:tcW w:w="3681" w:type="dxa"/>
            <w:tcBorders>
              <w:bottom w:val="single" w:sz="4" w:space="0" w:color="auto"/>
            </w:tcBorders>
            <w:noWrap/>
            <w:vAlign w:val="center"/>
          </w:tcPr>
          <w:p w14:paraId="073E11E6"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Included</w:t>
            </w:r>
          </w:p>
        </w:tc>
        <w:tc>
          <w:tcPr>
            <w:tcW w:w="1417" w:type="dxa"/>
            <w:tcBorders>
              <w:bottom w:val="single" w:sz="4" w:space="0" w:color="auto"/>
            </w:tcBorders>
            <w:noWrap/>
            <w:vAlign w:val="center"/>
          </w:tcPr>
          <w:p w14:paraId="73414957" w14:textId="0A3C8B8F" w:rsidR="00295AC7" w:rsidRPr="00970F38"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bottom w:val="single" w:sz="4" w:space="0" w:color="auto"/>
            </w:tcBorders>
            <w:noWrap/>
            <w:vAlign w:val="center"/>
          </w:tcPr>
          <w:p w14:paraId="2AA795ED"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bottom w:val="single" w:sz="4" w:space="0" w:color="auto"/>
            </w:tcBorders>
            <w:noWrap/>
            <w:vAlign w:val="center"/>
          </w:tcPr>
          <w:p w14:paraId="7A2F80BB" w14:textId="2782BA46"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bottom w:val="single" w:sz="4" w:space="0" w:color="auto"/>
            </w:tcBorders>
            <w:noWrap/>
            <w:vAlign w:val="center"/>
          </w:tcPr>
          <w:p w14:paraId="0B6A8BC2" w14:textId="5D30D6D6"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4ECE8546" w14:textId="77777777" w:rsidTr="005848B6">
        <w:trPr>
          <w:trHeight w:val="20"/>
        </w:trPr>
        <w:tc>
          <w:tcPr>
            <w:tcW w:w="9016" w:type="dxa"/>
            <w:gridSpan w:val="5"/>
            <w:tcBorders>
              <w:top w:val="nil"/>
              <w:bottom w:val="single" w:sz="4" w:space="0" w:color="auto"/>
            </w:tcBorders>
            <w:noWrap/>
            <w:vAlign w:val="center"/>
          </w:tcPr>
          <w:p w14:paraId="03437AE6" w14:textId="548FE742" w:rsidR="00295AC7" w:rsidRPr="00B26E2E" w:rsidRDefault="00295AC7" w:rsidP="00D26369">
            <w:pPr>
              <w:pStyle w:val="TableText"/>
              <w:keepNext/>
              <w:keepLines/>
              <w:spacing w:before="20" w:after="20"/>
              <w:contextualSpacing/>
              <w:rPr>
                <w:lang w:val="en-AU"/>
              </w:rPr>
            </w:pPr>
            <w:r w:rsidRPr="00B26E2E">
              <w:rPr>
                <w:lang w:val="en-AU"/>
              </w:rPr>
              <w:t xml:space="preserve">% undertaking PET versus CSF </w:t>
            </w:r>
            <w:r w:rsidR="00736395" w:rsidRPr="00B26E2E">
              <w:rPr>
                <w:lang w:val="en-AU"/>
              </w:rPr>
              <w:t xml:space="preserve">AD </w:t>
            </w:r>
            <w:r w:rsidRPr="00B26E2E">
              <w:rPr>
                <w:lang w:val="en-AU"/>
              </w:rPr>
              <w:t>biomarker tests (base case: 50% each)</w:t>
            </w:r>
          </w:p>
        </w:tc>
      </w:tr>
      <w:tr w:rsidR="00295AC7" w:rsidRPr="00DF2319" w14:paraId="3CCEFF31" w14:textId="77777777" w:rsidTr="005848B6">
        <w:trPr>
          <w:trHeight w:val="20"/>
        </w:trPr>
        <w:tc>
          <w:tcPr>
            <w:tcW w:w="3681" w:type="dxa"/>
            <w:tcBorders>
              <w:top w:val="single" w:sz="4" w:space="0" w:color="auto"/>
              <w:bottom w:val="nil"/>
            </w:tcBorders>
            <w:noWrap/>
            <w:vAlign w:val="center"/>
          </w:tcPr>
          <w:p w14:paraId="63DB9F5A"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75% PET, 25% CSF</w:t>
            </w:r>
          </w:p>
        </w:tc>
        <w:tc>
          <w:tcPr>
            <w:tcW w:w="1417" w:type="dxa"/>
            <w:tcBorders>
              <w:top w:val="single" w:sz="4" w:space="0" w:color="auto"/>
              <w:bottom w:val="nil"/>
            </w:tcBorders>
            <w:noWrap/>
          </w:tcPr>
          <w:p w14:paraId="7B7D3721" w14:textId="32E9A012" w:rsidR="00295AC7" w:rsidRPr="001454F5"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single" w:sz="4" w:space="0" w:color="auto"/>
              <w:bottom w:val="nil"/>
            </w:tcBorders>
            <w:noWrap/>
          </w:tcPr>
          <w:p w14:paraId="0DB8DB5C"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single" w:sz="4" w:space="0" w:color="auto"/>
              <w:bottom w:val="nil"/>
            </w:tcBorders>
            <w:noWrap/>
          </w:tcPr>
          <w:p w14:paraId="07C42155" w14:textId="6A0A39FC"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top w:val="single" w:sz="4" w:space="0" w:color="auto"/>
              <w:bottom w:val="nil"/>
            </w:tcBorders>
            <w:noWrap/>
          </w:tcPr>
          <w:p w14:paraId="0A3F633E" w14:textId="255F6FFC"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726B5A74" w14:textId="77777777" w:rsidTr="005848B6">
        <w:trPr>
          <w:trHeight w:val="20"/>
        </w:trPr>
        <w:tc>
          <w:tcPr>
            <w:tcW w:w="3681" w:type="dxa"/>
            <w:tcBorders>
              <w:top w:val="nil"/>
              <w:bottom w:val="nil"/>
            </w:tcBorders>
            <w:noWrap/>
            <w:vAlign w:val="center"/>
          </w:tcPr>
          <w:p w14:paraId="6C20C115"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100% PET</w:t>
            </w:r>
          </w:p>
        </w:tc>
        <w:tc>
          <w:tcPr>
            <w:tcW w:w="1417" w:type="dxa"/>
            <w:tcBorders>
              <w:top w:val="nil"/>
              <w:bottom w:val="nil"/>
            </w:tcBorders>
            <w:noWrap/>
          </w:tcPr>
          <w:p w14:paraId="3F9C2B01" w14:textId="1B01B66B" w:rsidR="00295AC7" w:rsidRPr="001454F5"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bottom w:val="nil"/>
            </w:tcBorders>
            <w:noWrap/>
          </w:tcPr>
          <w:p w14:paraId="652AA040"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bottom w:val="nil"/>
            </w:tcBorders>
            <w:noWrap/>
          </w:tcPr>
          <w:p w14:paraId="2F529DC1" w14:textId="4F2F2AB3"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top w:val="nil"/>
              <w:bottom w:val="nil"/>
            </w:tcBorders>
            <w:noWrap/>
          </w:tcPr>
          <w:p w14:paraId="0F7ABB2D" w14:textId="5F8600FF"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3156F718" w14:textId="77777777" w:rsidTr="005848B6">
        <w:trPr>
          <w:trHeight w:val="20"/>
        </w:trPr>
        <w:tc>
          <w:tcPr>
            <w:tcW w:w="3681" w:type="dxa"/>
            <w:tcBorders>
              <w:top w:val="nil"/>
            </w:tcBorders>
            <w:noWrap/>
            <w:vAlign w:val="center"/>
          </w:tcPr>
          <w:p w14:paraId="1B79FB52"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100% CSF</w:t>
            </w:r>
          </w:p>
        </w:tc>
        <w:tc>
          <w:tcPr>
            <w:tcW w:w="1417" w:type="dxa"/>
            <w:tcBorders>
              <w:top w:val="nil"/>
            </w:tcBorders>
            <w:noWrap/>
          </w:tcPr>
          <w:p w14:paraId="31AB30E9" w14:textId="3D862702" w:rsidR="00295AC7" w:rsidRPr="00B4392C"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tcBorders>
            <w:noWrap/>
          </w:tcPr>
          <w:p w14:paraId="0F80365C"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tcBorders>
            <w:noWrap/>
          </w:tcPr>
          <w:p w14:paraId="44B2277C" w14:textId="2CEF614E"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2</w:t>
            </w:r>
          </w:p>
        </w:tc>
        <w:tc>
          <w:tcPr>
            <w:tcW w:w="1366" w:type="dxa"/>
            <w:tcBorders>
              <w:top w:val="nil"/>
            </w:tcBorders>
            <w:noWrap/>
          </w:tcPr>
          <w:p w14:paraId="01A1A581" w14:textId="77D0891D" w:rsidR="00295AC7" w:rsidRPr="00B26E2E" w:rsidRDefault="00295AC7" w:rsidP="00D26369">
            <w:pPr>
              <w:pStyle w:val="TableText"/>
              <w:keepNext/>
              <w:keepLines/>
              <w:spacing w:before="20" w:after="20"/>
              <w:contextualSpacing/>
              <w:jc w:val="center"/>
              <w:rPr>
                <w:lang w:val="en-AU"/>
              </w:rPr>
            </w:pPr>
            <w:r w:rsidRPr="00B26E2E">
              <w:rPr>
                <w:lang w:val="en-AU"/>
              </w:rPr>
              <w:t>-</w:t>
            </w:r>
            <w:r w:rsidR="00B26E2E" w:rsidRPr="00B26E2E">
              <w:t>REDACTED</w:t>
            </w:r>
            <w:r w:rsidR="00B26E2E" w:rsidRPr="00B26E2E" w:rsidDel="00B26E2E">
              <w:rPr>
                <w:lang w:val="en-AU"/>
              </w:rPr>
              <w:t xml:space="preserve"> </w:t>
            </w:r>
            <w:r w:rsidRPr="00B26E2E">
              <w:rPr>
                <w:lang w:val="en-AU"/>
              </w:rPr>
              <w:t>%</w:t>
            </w:r>
          </w:p>
        </w:tc>
      </w:tr>
      <w:tr w:rsidR="00295AC7" w:rsidRPr="00DF2319" w14:paraId="17DC2FF8" w14:textId="77777777" w:rsidTr="005848B6">
        <w:trPr>
          <w:trHeight w:val="20"/>
        </w:trPr>
        <w:tc>
          <w:tcPr>
            <w:tcW w:w="9016" w:type="dxa"/>
            <w:gridSpan w:val="5"/>
            <w:tcBorders>
              <w:top w:val="nil"/>
              <w:bottom w:val="single" w:sz="4" w:space="0" w:color="auto"/>
            </w:tcBorders>
            <w:noWrap/>
            <w:vAlign w:val="center"/>
          </w:tcPr>
          <w:p w14:paraId="70521428" w14:textId="77777777" w:rsidR="00295AC7" w:rsidRPr="00B26E2E" w:rsidRDefault="00295AC7" w:rsidP="00D26369">
            <w:pPr>
              <w:pStyle w:val="TableText"/>
              <w:keepNext/>
              <w:keepLines/>
              <w:spacing w:before="20" w:after="20"/>
              <w:contextualSpacing/>
              <w:rPr>
                <w:lang w:val="en-AU"/>
              </w:rPr>
            </w:pPr>
            <w:r w:rsidRPr="00B26E2E">
              <w:rPr>
                <w:lang w:val="en-AU"/>
              </w:rPr>
              <w:t>% of CSF tests that would be re-taken with PET (base case: 0%)</w:t>
            </w:r>
          </w:p>
        </w:tc>
      </w:tr>
      <w:tr w:rsidR="00295AC7" w:rsidRPr="00DF2319" w14:paraId="759E4AAD" w14:textId="77777777" w:rsidTr="005848B6">
        <w:trPr>
          <w:trHeight w:val="20"/>
        </w:trPr>
        <w:tc>
          <w:tcPr>
            <w:tcW w:w="3681" w:type="dxa"/>
            <w:tcBorders>
              <w:top w:val="single" w:sz="4" w:space="0" w:color="auto"/>
              <w:left w:val="single" w:sz="4" w:space="0" w:color="auto"/>
              <w:bottom w:val="nil"/>
              <w:right w:val="single" w:sz="4" w:space="0" w:color="auto"/>
            </w:tcBorders>
            <w:noWrap/>
            <w:vAlign w:val="center"/>
          </w:tcPr>
          <w:p w14:paraId="7528E879"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100%</w:t>
            </w:r>
          </w:p>
        </w:tc>
        <w:tc>
          <w:tcPr>
            <w:tcW w:w="1417" w:type="dxa"/>
            <w:tcBorders>
              <w:top w:val="single" w:sz="4" w:space="0" w:color="auto"/>
              <w:left w:val="single" w:sz="4" w:space="0" w:color="auto"/>
              <w:bottom w:val="nil"/>
              <w:right w:val="single" w:sz="4" w:space="0" w:color="auto"/>
            </w:tcBorders>
            <w:noWrap/>
            <w:vAlign w:val="center"/>
          </w:tcPr>
          <w:p w14:paraId="3D6B70AE" w14:textId="21BB9BFB" w:rsidR="00295AC7" w:rsidRPr="00605382"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single" w:sz="4" w:space="0" w:color="auto"/>
              <w:left w:val="single" w:sz="4" w:space="0" w:color="auto"/>
              <w:bottom w:val="nil"/>
              <w:right w:val="single" w:sz="4" w:space="0" w:color="auto"/>
            </w:tcBorders>
            <w:noWrap/>
            <w:vAlign w:val="center"/>
          </w:tcPr>
          <w:p w14:paraId="5DCE8D77"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single" w:sz="4" w:space="0" w:color="auto"/>
              <w:left w:val="single" w:sz="4" w:space="0" w:color="auto"/>
              <w:bottom w:val="nil"/>
              <w:right w:val="single" w:sz="4" w:space="0" w:color="auto"/>
            </w:tcBorders>
            <w:noWrap/>
            <w:vAlign w:val="center"/>
          </w:tcPr>
          <w:p w14:paraId="5815E84B" w14:textId="3FD5E0C1"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top w:val="single" w:sz="4" w:space="0" w:color="auto"/>
              <w:left w:val="single" w:sz="4" w:space="0" w:color="auto"/>
              <w:bottom w:val="nil"/>
              <w:right w:val="single" w:sz="4" w:space="0" w:color="auto"/>
            </w:tcBorders>
            <w:noWrap/>
            <w:vAlign w:val="center"/>
          </w:tcPr>
          <w:p w14:paraId="5B7D6BD2" w14:textId="0B1C2AD4"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7B9A7081" w14:textId="77777777" w:rsidTr="005848B6">
        <w:trPr>
          <w:trHeight w:val="20"/>
        </w:trPr>
        <w:tc>
          <w:tcPr>
            <w:tcW w:w="3681" w:type="dxa"/>
            <w:tcBorders>
              <w:top w:val="nil"/>
              <w:left w:val="single" w:sz="4" w:space="0" w:color="auto"/>
              <w:bottom w:val="single" w:sz="4" w:space="0" w:color="auto"/>
              <w:right w:val="single" w:sz="4" w:space="0" w:color="auto"/>
            </w:tcBorders>
            <w:noWrap/>
            <w:vAlign w:val="center"/>
          </w:tcPr>
          <w:p w14:paraId="54A3C48F"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15% (% that would return a negative result)</w:t>
            </w:r>
          </w:p>
        </w:tc>
        <w:tc>
          <w:tcPr>
            <w:tcW w:w="1417" w:type="dxa"/>
            <w:tcBorders>
              <w:top w:val="nil"/>
              <w:left w:val="single" w:sz="4" w:space="0" w:color="auto"/>
              <w:bottom w:val="single" w:sz="4" w:space="0" w:color="auto"/>
              <w:right w:val="single" w:sz="4" w:space="0" w:color="auto"/>
            </w:tcBorders>
            <w:noWrap/>
            <w:vAlign w:val="center"/>
          </w:tcPr>
          <w:p w14:paraId="29B88994" w14:textId="19DCF68C" w:rsidR="00295AC7" w:rsidRPr="001454F5"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left w:val="single" w:sz="4" w:space="0" w:color="auto"/>
              <w:bottom w:val="single" w:sz="4" w:space="0" w:color="auto"/>
              <w:right w:val="single" w:sz="4" w:space="0" w:color="auto"/>
            </w:tcBorders>
            <w:noWrap/>
            <w:vAlign w:val="center"/>
          </w:tcPr>
          <w:p w14:paraId="2782AE43"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left w:val="single" w:sz="4" w:space="0" w:color="auto"/>
              <w:bottom w:val="single" w:sz="4" w:space="0" w:color="auto"/>
              <w:right w:val="single" w:sz="4" w:space="0" w:color="auto"/>
            </w:tcBorders>
            <w:noWrap/>
            <w:vAlign w:val="center"/>
          </w:tcPr>
          <w:p w14:paraId="5B63FC5B" w14:textId="76B83100"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3</w:t>
            </w:r>
          </w:p>
        </w:tc>
        <w:tc>
          <w:tcPr>
            <w:tcW w:w="1366" w:type="dxa"/>
            <w:tcBorders>
              <w:top w:val="nil"/>
              <w:left w:val="single" w:sz="4" w:space="0" w:color="auto"/>
              <w:bottom w:val="single" w:sz="4" w:space="0" w:color="auto"/>
              <w:right w:val="single" w:sz="4" w:space="0" w:color="auto"/>
            </w:tcBorders>
            <w:noWrap/>
            <w:vAlign w:val="center"/>
          </w:tcPr>
          <w:p w14:paraId="25D51BDB" w14:textId="133CCEB4"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r w:rsidR="00295AC7" w:rsidRPr="00DF2319" w14:paraId="62475B8A" w14:textId="77777777" w:rsidTr="005848B6">
        <w:trPr>
          <w:trHeight w:val="20"/>
        </w:trPr>
        <w:tc>
          <w:tcPr>
            <w:tcW w:w="9016" w:type="dxa"/>
            <w:gridSpan w:val="5"/>
            <w:tcBorders>
              <w:top w:val="single" w:sz="4" w:space="0" w:color="auto"/>
              <w:bottom w:val="single" w:sz="4" w:space="0" w:color="auto"/>
            </w:tcBorders>
            <w:noWrap/>
            <w:vAlign w:val="center"/>
          </w:tcPr>
          <w:p w14:paraId="6EDAFDCC" w14:textId="77777777" w:rsidR="00295AC7" w:rsidRPr="00B26E2E" w:rsidRDefault="00295AC7" w:rsidP="00D26369">
            <w:pPr>
              <w:pStyle w:val="TableText"/>
              <w:keepNext/>
              <w:keepLines/>
              <w:spacing w:before="20" w:after="20"/>
              <w:contextualSpacing/>
              <w:rPr>
                <w:lang w:val="en-AU"/>
              </w:rPr>
            </w:pPr>
            <w:r w:rsidRPr="00B26E2E">
              <w:rPr>
                <w:lang w:val="en-AU"/>
              </w:rPr>
              <w:t>Donanemab patients undergoing treat to clear strategy (base case: 40%)</w:t>
            </w:r>
          </w:p>
        </w:tc>
      </w:tr>
      <w:tr w:rsidR="00295AC7" w:rsidRPr="00DF2319" w14:paraId="1797147A" w14:textId="77777777" w:rsidTr="005848B6">
        <w:trPr>
          <w:trHeight w:val="189"/>
        </w:trPr>
        <w:tc>
          <w:tcPr>
            <w:tcW w:w="3681" w:type="dxa"/>
            <w:tcBorders>
              <w:top w:val="single" w:sz="4" w:space="0" w:color="auto"/>
              <w:left w:val="single" w:sz="4" w:space="0" w:color="auto"/>
              <w:bottom w:val="nil"/>
              <w:right w:val="single" w:sz="4" w:space="0" w:color="auto"/>
            </w:tcBorders>
            <w:noWrap/>
            <w:vAlign w:val="center"/>
          </w:tcPr>
          <w:p w14:paraId="668FB4A4"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100%</w:t>
            </w:r>
          </w:p>
        </w:tc>
        <w:tc>
          <w:tcPr>
            <w:tcW w:w="1417" w:type="dxa"/>
            <w:tcBorders>
              <w:top w:val="single" w:sz="4" w:space="0" w:color="auto"/>
              <w:left w:val="single" w:sz="4" w:space="0" w:color="auto"/>
              <w:bottom w:val="nil"/>
              <w:right w:val="single" w:sz="4" w:space="0" w:color="auto"/>
            </w:tcBorders>
            <w:noWrap/>
          </w:tcPr>
          <w:p w14:paraId="3211ECEB" w14:textId="78C68B8F" w:rsidR="00295AC7" w:rsidRPr="00B4392C"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single" w:sz="4" w:space="0" w:color="auto"/>
              <w:left w:val="single" w:sz="4" w:space="0" w:color="auto"/>
              <w:bottom w:val="nil"/>
              <w:right w:val="single" w:sz="4" w:space="0" w:color="auto"/>
            </w:tcBorders>
            <w:noWrap/>
          </w:tcPr>
          <w:p w14:paraId="74BAB814"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single" w:sz="4" w:space="0" w:color="auto"/>
              <w:left w:val="single" w:sz="4" w:space="0" w:color="auto"/>
              <w:bottom w:val="nil"/>
              <w:right w:val="single" w:sz="4" w:space="0" w:color="auto"/>
            </w:tcBorders>
            <w:noWrap/>
          </w:tcPr>
          <w:p w14:paraId="3A34C6C2" w14:textId="65869864"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1</w:t>
            </w:r>
          </w:p>
        </w:tc>
        <w:tc>
          <w:tcPr>
            <w:tcW w:w="1366" w:type="dxa"/>
            <w:tcBorders>
              <w:top w:val="single" w:sz="4" w:space="0" w:color="auto"/>
              <w:left w:val="single" w:sz="4" w:space="0" w:color="auto"/>
              <w:bottom w:val="nil"/>
              <w:right w:val="single" w:sz="4" w:space="0" w:color="auto"/>
            </w:tcBorders>
            <w:noWrap/>
          </w:tcPr>
          <w:p w14:paraId="15B9E51C" w14:textId="1817BCE7" w:rsidR="00295AC7" w:rsidRPr="00B26E2E" w:rsidRDefault="00295AC7" w:rsidP="00D26369">
            <w:pPr>
              <w:pStyle w:val="TableText"/>
              <w:keepNext/>
              <w:keepLines/>
              <w:spacing w:before="20" w:after="20"/>
              <w:contextualSpacing/>
              <w:jc w:val="center"/>
              <w:rPr>
                <w:lang w:val="en-AU"/>
              </w:rPr>
            </w:pPr>
            <w:r w:rsidRPr="00B26E2E">
              <w:rPr>
                <w:lang w:val="en-AU"/>
              </w:rPr>
              <w:t>-</w:t>
            </w:r>
            <w:r w:rsidR="00B26E2E" w:rsidRPr="00B26E2E">
              <w:t>REDACTED</w:t>
            </w:r>
            <w:r w:rsidR="00B26E2E" w:rsidRPr="00B26E2E" w:rsidDel="00B26E2E">
              <w:rPr>
                <w:lang w:val="en-AU"/>
              </w:rPr>
              <w:t xml:space="preserve"> </w:t>
            </w:r>
            <w:r w:rsidRPr="00B26E2E">
              <w:rPr>
                <w:lang w:val="en-AU"/>
              </w:rPr>
              <w:t>%</w:t>
            </w:r>
          </w:p>
        </w:tc>
      </w:tr>
      <w:tr w:rsidR="00295AC7" w:rsidRPr="00DF2319" w14:paraId="56DF59FA" w14:textId="77777777" w:rsidTr="005848B6">
        <w:trPr>
          <w:trHeight w:val="189"/>
        </w:trPr>
        <w:tc>
          <w:tcPr>
            <w:tcW w:w="3681" w:type="dxa"/>
            <w:tcBorders>
              <w:top w:val="nil"/>
              <w:left w:val="single" w:sz="4" w:space="0" w:color="auto"/>
              <w:bottom w:val="nil"/>
              <w:right w:val="single" w:sz="4" w:space="0" w:color="auto"/>
            </w:tcBorders>
            <w:noWrap/>
            <w:vAlign w:val="center"/>
          </w:tcPr>
          <w:p w14:paraId="19F953BB"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60%</w:t>
            </w:r>
          </w:p>
        </w:tc>
        <w:tc>
          <w:tcPr>
            <w:tcW w:w="1417" w:type="dxa"/>
            <w:tcBorders>
              <w:top w:val="nil"/>
              <w:left w:val="single" w:sz="4" w:space="0" w:color="auto"/>
              <w:bottom w:val="nil"/>
              <w:right w:val="single" w:sz="4" w:space="0" w:color="auto"/>
            </w:tcBorders>
            <w:noWrap/>
          </w:tcPr>
          <w:p w14:paraId="0D0DE462" w14:textId="03037805" w:rsidR="00295AC7" w:rsidRPr="00B4392C"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left w:val="single" w:sz="4" w:space="0" w:color="auto"/>
              <w:bottom w:val="nil"/>
              <w:right w:val="single" w:sz="4" w:space="0" w:color="auto"/>
            </w:tcBorders>
            <w:noWrap/>
          </w:tcPr>
          <w:p w14:paraId="68FF46F6"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left w:val="single" w:sz="4" w:space="0" w:color="auto"/>
              <w:bottom w:val="nil"/>
              <w:right w:val="single" w:sz="4" w:space="0" w:color="auto"/>
            </w:tcBorders>
            <w:noWrap/>
          </w:tcPr>
          <w:p w14:paraId="24523086" w14:textId="1AB468EF"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2</w:t>
            </w:r>
          </w:p>
        </w:tc>
        <w:tc>
          <w:tcPr>
            <w:tcW w:w="1366" w:type="dxa"/>
            <w:tcBorders>
              <w:top w:val="nil"/>
              <w:left w:val="single" w:sz="4" w:space="0" w:color="auto"/>
              <w:bottom w:val="nil"/>
              <w:right w:val="single" w:sz="4" w:space="0" w:color="auto"/>
            </w:tcBorders>
            <w:noWrap/>
          </w:tcPr>
          <w:p w14:paraId="001C4067" w14:textId="72EB730B" w:rsidR="00295AC7" w:rsidRPr="00B26E2E" w:rsidRDefault="00295AC7" w:rsidP="00D26369">
            <w:pPr>
              <w:pStyle w:val="TableText"/>
              <w:keepNext/>
              <w:keepLines/>
              <w:spacing w:before="20" w:after="20"/>
              <w:contextualSpacing/>
              <w:jc w:val="center"/>
              <w:rPr>
                <w:lang w:val="en-AU"/>
              </w:rPr>
            </w:pPr>
            <w:r w:rsidRPr="00B26E2E">
              <w:rPr>
                <w:lang w:val="en-AU"/>
              </w:rPr>
              <w:t>-</w:t>
            </w:r>
            <w:r w:rsidR="00B26E2E" w:rsidRPr="00B26E2E">
              <w:t>REDACTED</w:t>
            </w:r>
            <w:r w:rsidR="00B26E2E" w:rsidRPr="00B26E2E" w:rsidDel="00B26E2E">
              <w:rPr>
                <w:lang w:val="en-AU"/>
              </w:rPr>
              <w:t xml:space="preserve"> </w:t>
            </w:r>
            <w:r w:rsidRPr="00B26E2E">
              <w:rPr>
                <w:lang w:val="en-AU"/>
              </w:rPr>
              <w:t>%</w:t>
            </w:r>
          </w:p>
        </w:tc>
      </w:tr>
      <w:tr w:rsidR="00295AC7" w:rsidRPr="00DF2319" w14:paraId="35395EF8" w14:textId="77777777" w:rsidTr="005848B6">
        <w:trPr>
          <w:trHeight w:val="20"/>
        </w:trPr>
        <w:tc>
          <w:tcPr>
            <w:tcW w:w="3681" w:type="dxa"/>
            <w:tcBorders>
              <w:top w:val="nil"/>
              <w:left w:val="single" w:sz="4" w:space="0" w:color="auto"/>
              <w:bottom w:val="single" w:sz="4" w:space="0" w:color="auto"/>
              <w:right w:val="single" w:sz="4" w:space="0" w:color="auto"/>
            </w:tcBorders>
            <w:noWrap/>
            <w:vAlign w:val="center"/>
          </w:tcPr>
          <w:p w14:paraId="518BAC41" w14:textId="77777777" w:rsidR="00295AC7" w:rsidRPr="00DF2319" w:rsidRDefault="00295AC7" w:rsidP="00D26369">
            <w:pPr>
              <w:pStyle w:val="TableText"/>
              <w:keepNext/>
              <w:keepLines/>
              <w:numPr>
                <w:ilvl w:val="0"/>
                <w:numId w:val="15"/>
              </w:numPr>
              <w:spacing w:before="20" w:after="20"/>
              <w:ind w:left="0" w:firstLine="0"/>
              <w:rPr>
                <w:lang w:val="en-AU"/>
              </w:rPr>
            </w:pPr>
            <w:r w:rsidRPr="00DF2319">
              <w:rPr>
                <w:lang w:val="en-AU"/>
              </w:rPr>
              <w:t>0%</w:t>
            </w:r>
          </w:p>
        </w:tc>
        <w:tc>
          <w:tcPr>
            <w:tcW w:w="1417" w:type="dxa"/>
            <w:tcBorders>
              <w:top w:val="nil"/>
              <w:left w:val="single" w:sz="4" w:space="0" w:color="auto"/>
              <w:bottom w:val="single" w:sz="4" w:space="0" w:color="auto"/>
              <w:right w:val="single" w:sz="4" w:space="0" w:color="auto"/>
            </w:tcBorders>
            <w:noWrap/>
          </w:tcPr>
          <w:p w14:paraId="765C1912" w14:textId="797DA9FC" w:rsidR="00295AC7" w:rsidRPr="00605382" w:rsidRDefault="00295AC7" w:rsidP="000D4A01">
            <w:pPr>
              <w:pStyle w:val="TableText"/>
              <w:keepNext/>
              <w:keepLines/>
              <w:spacing w:before="20" w:after="20"/>
              <w:contextualSpacing/>
              <w:jc w:val="center"/>
              <w:rPr>
                <w:vertAlign w:val="superscript"/>
                <w:lang w:val="en-AU"/>
              </w:rPr>
            </w:pPr>
            <w:r w:rsidRPr="00DF2319">
              <w:rPr>
                <w:lang w:val="en-AU"/>
              </w:rPr>
              <w:t>$</w:t>
            </w:r>
            <w:r w:rsidR="000D4A01">
              <w:t>REDACTED</w:t>
            </w:r>
          </w:p>
        </w:tc>
        <w:tc>
          <w:tcPr>
            <w:tcW w:w="1134" w:type="dxa"/>
            <w:tcBorders>
              <w:top w:val="nil"/>
              <w:left w:val="single" w:sz="4" w:space="0" w:color="auto"/>
              <w:bottom w:val="single" w:sz="4" w:space="0" w:color="auto"/>
              <w:right w:val="single" w:sz="4" w:space="0" w:color="auto"/>
            </w:tcBorders>
            <w:noWrap/>
          </w:tcPr>
          <w:p w14:paraId="463AB11D" w14:textId="77777777" w:rsidR="00295AC7" w:rsidRPr="00DF2319" w:rsidRDefault="00295AC7" w:rsidP="00D26369">
            <w:pPr>
              <w:pStyle w:val="TableText"/>
              <w:keepNext/>
              <w:keepLines/>
              <w:spacing w:before="20" w:after="20"/>
              <w:contextualSpacing/>
              <w:jc w:val="center"/>
              <w:rPr>
                <w:lang w:val="en-AU"/>
              </w:rPr>
            </w:pPr>
            <w:r w:rsidRPr="00DF2319">
              <w:rPr>
                <w:lang w:val="en-AU"/>
              </w:rPr>
              <w:t>0.42</w:t>
            </w:r>
          </w:p>
        </w:tc>
        <w:tc>
          <w:tcPr>
            <w:tcW w:w="1418" w:type="dxa"/>
            <w:tcBorders>
              <w:top w:val="nil"/>
              <w:left w:val="single" w:sz="4" w:space="0" w:color="auto"/>
              <w:bottom w:val="single" w:sz="4" w:space="0" w:color="auto"/>
              <w:right w:val="single" w:sz="4" w:space="0" w:color="auto"/>
            </w:tcBorders>
            <w:noWrap/>
          </w:tcPr>
          <w:p w14:paraId="54A97CD3" w14:textId="0B580F9E" w:rsidR="00295AC7" w:rsidRPr="00B26E2E" w:rsidRDefault="00295AC7" w:rsidP="00D26369">
            <w:pPr>
              <w:pStyle w:val="TableText"/>
              <w:keepNext/>
              <w:keepLines/>
              <w:spacing w:before="20" w:after="20"/>
              <w:contextualSpacing/>
              <w:jc w:val="center"/>
              <w:rPr>
                <w:vertAlign w:val="superscript"/>
                <w:lang w:val="en-AU"/>
              </w:rPr>
            </w:pPr>
            <w:r w:rsidRPr="00B26E2E">
              <w:rPr>
                <w:lang w:val="en-AU"/>
              </w:rPr>
              <w:t>$</w:t>
            </w:r>
            <w:r w:rsidR="00B26E2E" w:rsidRPr="00B26E2E">
              <w:t>REDACTED</w:t>
            </w:r>
            <w:r w:rsidR="00B26E2E" w:rsidRPr="00B26E2E" w:rsidDel="00B26E2E">
              <w:rPr>
                <w:lang w:val="en-AU"/>
              </w:rPr>
              <w:t xml:space="preserve"> </w:t>
            </w:r>
            <w:r w:rsidR="00D66302" w:rsidRPr="00B26E2E">
              <w:rPr>
                <w:vertAlign w:val="superscript"/>
                <w:lang w:val="en-AU"/>
              </w:rPr>
              <w:t>4</w:t>
            </w:r>
          </w:p>
        </w:tc>
        <w:tc>
          <w:tcPr>
            <w:tcW w:w="1366" w:type="dxa"/>
            <w:tcBorders>
              <w:top w:val="nil"/>
              <w:left w:val="single" w:sz="4" w:space="0" w:color="auto"/>
              <w:bottom w:val="single" w:sz="4" w:space="0" w:color="auto"/>
              <w:right w:val="single" w:sz="4" w:space="0" w:color="auto"/>
            </w:tcBorders>
            <w:noWrap/>
          </w:tcPr>
          <w:p w14:paraId="05269BF3" w14:textId="78AB57C1" w:rsidR="00295AC7" w:rsidRPr="00B26E2E" w:rsidRDefault="00B26E2E" w:rsidP="00D26369">
            <w:pPr>
              <w:pStyle w:val="TableText"/>
              <w:keepNext/>
              <w:keepLines/>
              <w:spacing w:before="20" w:after="20"/>
              <w:contextualSpacing/>
              <w:jc w:val="center"/>
              <w:rPr>
                <w:lang w:val="en-AU"/>
              </w:rPr>
            </w:pPr>
            <w:r w:rsidRPr="00B26E2E">
              <w:t>REDACTED</w:t>
            </w:r>
            <w:r w:rsidRPr="00B26E2E" w:rsidDel="00B26E2E">
              <w:rPr>
                <w:lang w:val="en-AU"/>
              </w:rPr>
              <w:t xml:space="preserve"> </w:t>
            </w:r>
            <w:r w:rsidR="00295AC7" w:rsidRPr="00B26E2E">
              <w:rPr>
                <w:lang w:val="en-AU"/>
              </w:rPr>
              <w:t>%</w:t>
            </w:r>
          </w:p>
        </w:tc>
      </w:tr>
    </w:tbl>
    <w:p w14:paraId="74FD1194" w14:textId="6AE9D7C8" w:rsidR="00295AC7" w:rsidRPr="00DF2319" w:rsidRDefault="00295AC7" w:rsidP="00295AC7">
      <w:pPr>
        <w:pStyle w:val="TableFigureFooter"/>
        <w:keepNext/>
      </w:pPr>
      <w:r w:rsidRPr="00DF2319">
        <w:t xml:space="preserve">Source: Constructed during the evaluation from the “3.3_Donanemab cost effectiveness model” attachment provided with the </w:t>
      </w:r>
      <w:r w:rsidR="00D51801" w:rsidRPr="00D51801">
        <w:t>submission</w:t>
      </w:r>
      <w:r w:rsidRPr="00DF2319">
        <w:t>.</w:t>
      </w:r>
    </w:p>
    <w:p w14:paraId="2B985187" w14:textId="561A5142" w:rsidR="00295AC7" w:rsidRDefault="00295AC7" w:rsidP="00295AC7">
      <w:pPr>
        <w:pStyle w:val="TableFigureFooter"/>
      </w:pPr>
      <w:r w:rsidRPr="00EE0EEB">
        <w:rPr>
          <w:i/>
          <w:iCs/>
        </w:rPr>
        <w:t xml:space="preserve">APOE </w:t>
      </w:r>
      <w:r w:rsidRPr="00EE0EEB">
        <w:t>= Apolipoprotein E gene; CSF = cerebrospinal fluid; ICER = incremental cost effectiveness ratio; Inc = incremental; MRI = magnetic resonance imaging; PET = positron emission tomography; QALY = quality</w:t>
      </w:r>
      <w:r w:rsidR="00533419">
        <w:t>-</w:t>
      </w:r>
      <w:r w:rsidRPr="00EE0EEB">
        <w:t>adjusted life year.</w:t>
      </w:r>
    </w:p>
    <w:p w14:paraId="0493B358" w14:textId="1F4A2D3C" w:rsidR="0078436D" w:rsidRDefault="000A1FE7" w:rsidP="00295AC7">
      <w:pPr>
        <w:pStyle w:val="TableFigureFooter"/>
      </w:pPr>
      <w:r>
        <w:t>The redacted values correspond to the following ranges:</w:t>
      </w:r>
    </w:p>
    <w:p w14:paraId="57D58E3A" w14:textId="4BFB4818" w:rsidR="0048421F" w:rsidRDefault="00D66302" w:rsidP="0048421F">
      <w:pPr>
        <w:pStyle w:val="TableFigureFooter"/>
      </w:pPr>
      <w:r>
        <w:rPr>
          <w:vertAlign w:val="superscript"/>
        </w:rPr>
        <w:t>1</w:t>
      </w:r>
      <w:r w:rsidR="0048421F">
        <w:rPr>
          <w:vertAlign w:val="superscript"/>
        </w:rPr>
        <w:t xml:space="preserve"> </w:t>
      </w:r>
      <w:r w:rsidR="0048421F">
        <w:t>$15,000 to &lt;$25,000</w:t>
      </w:r>
    </w:p>
    <w:p w14:paraId="439D651D" w14:textId="0209953E" w:rsidR="00266893" w:rsidRDefault="00D66302" w:rsidP="00266893">
      <w:pPr>
        <w:pStyle w:val="TableFigureFooter"/>
      </w:pPr>
      <w:r>
        <w:rPr>
          <w:vertAlign w:val="superscript"/>
        </w:rPr>
        <w:t>2</w:t>
      </w:r>
      <w:r w:rsidR="00266893">
        <w:rPr>
          <w:vertAlign w:val="superscript"/>
        </w:rPr>
        <w:t xml:space="preserve"> </w:t>
      </w:r>
      <w:r w:rsidR="00266893">
        <w:t>$25,000 to &lt;$35,000</w:t>
      </w:r>
    </w:p>
    <w:p w14:paraId="22ADB16F" w14:textId="44AF1ACE" w:rsidR="00266893" w:rsidRDefault="00D66302" w:rsidP="00266893">
      <w:pPr>
        <w:pStyle w:val="TableFigureFooter"/>
      </w:pPr>
      <w:r>
        <w:rPr>
          <w:vertAlign w:val="superscript"/>
        </w:rPr>
        <w:t>3</w:t>
      </w:r>
      <w:r w:rsidR="00266893">
        <w:rPr>
          <w:vertAlign w:val="superscript"/>
        </w:rPr>
        <w:t xml:space="preserve"> </w:t>
      </w:r>
      <w:r w:rsidR="00266893">
        <w:t>$35,000 to &lt;$45,000</w:t>
      </w:r>
    </w:p>
    <w:p w14:paraId="7B150310" w14:textId="6E1320FD" w:rsidR="00933F2D" w:rsidRPr="00EE0EEB" w:rsidRDefault="00D66302" w:rsidP="00295AC7">
      <w:pPr>
        <w:pStyle w:val="TableFigureFooter"/>
      </w:pPr>
      <w:r>
        <w:rPr>
          <w:vertAlign w:val="superscript"/>
        </w:rPr>
        <w:t>4</w:t>
      </w:r>
      <w:r w:rsidR="00266893">
        <w:rPr>
          <w:vertAlign w:val="superscript"/>
        </w:rPr>
        <w:t xml:space="preserve"> </w:t>
      </w:r>
      <w:r w:rsidR="00266893">
        <w:t>$45,000 to &lt;$55,000</w:t>
      </w:r>
    </w:p>
    <w:p w14:paraId="2948932C" w14:textId="2A6E397F" w:rsidR="00EE5014" w:rsidRPr="008B454C"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62" w:name="_Toc198735653"/>
      <w:r w:rsidRPr="008B454C">
        <w:rPr>
          <w:rFonts w:ascii="Franklin Gothic Medium" w:hAnsi="Franklin Gothic Medium"/>
          <w:b w:val="0"/>
          <w:i w:val="0"/>
          <w:snapToGrid/>
          <w:sz w:val="32"/>
          <w:szCs w:val="26"/>
        </w:rPr>
        <w:t>Financial/budgetary impacts</w:t>
      </w:r>
      <w:bookmarkEnd w:id="62"/>
    </w:p>
    <w:p w14:paraId="76F78E48" w14:textId="102DE93D" w:rsidR="0031200F" w:rsidRPr="00000097" w:rsidRDefault="00171B01" w:rsidP="0031200F">
      <w:pPr>
        <w:pStyle w:val="MSACESParagraph"/>
        <w:jc w:val="both"/>
        <w:rPr>
          <w:rFonts w:ascii="Franklin Gothic Book" w:hAnsi="Franklin Gothic Book" w:cstheme="minorHAnsi"/>
          <w:sz w:val="22"/>
        </w:rPr>
      </w:pPr>
      <w:r w:rsidRPr="00000097">
        <w:rPr>
          <w:rFonts w:ascii="Franklin Gothic Book" w:hAnsi="Franklin Gothic Book" w:cstheme="minorHAnsi"/>
          <w:sz w:val="22"/>
        </w:rPr>
        <w:t xml:space="preserve">The key inputs for the financial estimates </w:t>
      </w:r>
      <w:r w:rsidR="00EB1A0D">
        <w:rPr>
          <w:rFonts w:ascii="Franklin Gothic Book" w:hAnsi="Franklin Gothic Book" w:cstheme="minorHAnsi"/>
          <w:sz w:val="22"/>
        </w:rPr>
        <w:t>we</w:t>
      </w:r>
      <w:r w:rsidRPr="00000097">
        <w:rPr>
          <w:rFonts w:ascii="Franklin Gothic Book" w:hAnsi="Franklin Gothic Book" w:cstheme="minorHAnsi"/>
          <w:sz w:val="22"/>
        </w:rPr>
        <w:t xml:space="preserve">re </w:t>
      </w:r>
      <w:r w:rsidRPr="003C47BE">
        <w:rPr>
          <w:rFonts w:ascii="Franklin Gothic Book" w:hAnsi="Franklin Gothic Book" w:cstheme="minorHAnsi"/>
          <w:sz w:val="22"/>
        </w:rPr>
        <w:t xml:space="preserve">summarised in </w:t>
      </w:r>
      <w:r w:rsidR="00AF3586" w:rsidRPr="003C47BE">
        <w:rPr>
          <w:rFonts w:ascii="Franklin Gothic Book" w:hAnsi="Franklin Gothic Book" w:cstheme="minorHAnsi"/>
          <w:sz w:val="22"/>
        </w:rPr>
        <w:fldChar w:fldCharType="begin"/>
      </w:r>
      <w:r w:rsidR="00AF3586" w:rsidRPr="003C47BE">
        <w:rPr>
          <w:rFonts w:ascii="Franklin Gothic Book" w:hAnsi="Franklin Gothic Book" w:cstheme="minorHAnsi"/>
          <w:sz w:val="22"/>
        </w:rPr>
        <w:instrText xml:space="preserve"> REF _Ref205192171 \h </w:instrText>
      </w:r>
      <w:r w:rsidR="003C47BE" w:rsidRPr="003C47BE">
        <w:rPr>
          <w:rFonts w:ascii="Franklin Gothic Book" w:hAnsi="Franklin Gothic Book" w:cstheme="minorHAnsi"/>
          <w:sz w:val="22"/>
        </w:rPr>
        <w:instrText xml:space="preserve"> \* MERGEFORMAT </w:instrText>
      </w:r>
      <w:r w:rsidR="00AF3586" w:rsidRPr="003C47BE">
        <w:rPr>
          <w:rFonts w:ascii="Franklin Gothic Book" w:hAnsi="Franklin Gothic Book" w:cstheme="minorHAnsi"/>
          <w:sz w:val="22"/>
        </w:rPr>
      </w:r>
      <w:r w:rsidR="00AF3586" w:rsidRPr="003C47BE">
        <w:rPr>
          <w:rFonts w:ascii="Franklin Gothic Book" w:hAnsi="Franklin Gothic Book" w:cstheme="minorHAnsi"/>
          <w:sz w:val="22"/>
        </w:rPr>
        <w:fldChar w:fldCharType="separate"/>
      </w:r>
      <w:r w:rsidR="00A60D9F" w:rsidRPr="00A60D9F">
        <w:rPr>
          <w:rFonts w:ascii="Franklin Gothic Book" w:hAnsi="Franklin Gothic Book"/>
          <w:sz w:val="22"/>
        </w:rPr>
        <w:t xml:space="preserve">Table </w:t>
      </w:r>
      <w:r w:rsidR="00A60D9F" w:rsidRPr="00A60D9F">
        <w:rPr>
          <w:rFonts w:ascii="Franklin Gothic Book" w:hAnsi="Franklin Gothic Book"/>
          <w:noProof/>
          <w:sz w:val="22"/>
        </w:rPr>
        <w:t>17</w:t>
      </w:r>
      <w:r w:rsidR="00AF3586" w:rsidRPr="003C47BE">
        <w:rPr>
          <w:rFonts w:ascii="Franklin Gothic Book" w:hAnsi="Franklin Gothic Book" w:cstheme="minorHAnsi"/>
          <w:sz w:val="22"/>
        </w:rPr>
        <w:fldChar w:fldCharType="end"/>
      </w:r>
      <w:r w:rsidRPr="003C47BE">
        <w:rPr>
          <w:rFonts w:ascii="Franklin Gothic Book" w:hAnsi="Franklin Gothic Book" w:cstheme="minorHAnsi"/>
          <w:sz w:val="22"/>
        </w:rPr>
        <w:t>.</w:t>
      </w:r>
    </w:p>
    <w:p w14:paraId="0C01CFB7" w14:textId="7CD5B46C" w:rsidR="00C00D46" w:rsidRPr="00EE0EEB" w:rsidRDefault="00AF3586" w:rsidP="00565B62">
      <w:pPr>
        <w:pStyle w:val="Caption"/>
      </w:pPr>
      <w:bookmarkStart w:id="63" w:name="_Ref198565289"/>
      <w:bookmarkStart w:id="64" w:name="_Ref205192171"/>
      <w:r>
        <w:lastRenderedPageBreak/>
        <w:t xml:space="preserve">Table </w:t>
      </w:r>
      <w:r w:rsidR="00A60D9F">
        <w:fldChar w:fldCharType="begin"/>
      </w:r>
      <w:r w:rsidR="00A60D9F">
        <w:instrText xml:space="preserve"> SEQ Table \* ARABIC </w:instrText>
      </w:r>
      <w:r w:rsidR="00A60D9F">
        <w:fldChar w:fldCharType="separate"/>
      </w:r>
      <w:r w:rsidR="00A60D9F">
        <w:rPr>
          <w:noProof/>
        </w:rPr>
        <w:t>17</w:t>
      </w:r>
      <w:r w:rsidR="00A60D9F">
        <w:rPr>
          <w:noProof/>
        </w:rPr>
        <w:fldChar w:fldCharType="end"/>
      </w:r>
      <w:bookmarkEnd w:id="63"/>
      <w:bookmarkEnd w:id="64"/>
      <w:r w:rsidR="00D26369">
        <w:t xml:space="preserve"> </w:t>
      </w:r>
      <w:r w:rsidR="00C00D46" w:rsidRPr="00EE0EEB">
        <w:t>Key inputs for financial estimates</w:t>
      </w:r>
    </w:p>
    <w:tbl>
      <w:tblPr>
        <w:tblStyle w:val="TableGrid"/>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141"/>
        <w:gridCol w:w="851"/>
        <w:gridCol w:w="1985"/>
        <w:gridCol w:w="3733"/>
      </w:tblGrid>
      <w:tr w:rsidR="00457871" w:rsidRPr="00457871" w:rsidDel="00B2138A" w14:paraId="36D1A0F9" w14:textId="77777777" w:rsidTr="0033059C">
        <w:trPr>
          <w:cnfStyle w:val="100000000000" w:firstRow="1" w:lastRow="0" w:firstColumn="0" w:lastColumn="0" w:oddVBand="0" w:evenVBand="0" w:oddHBand="0" w:evenHBand="0" w:firstRowFirstColumn="0" w:firstRowLastColumn="0" w:lastRowFirstColumn="0" w:lastRowLastColumn="0"/>
          <w:cantSplit/>
          <w:tblHeader/>
        </w:trPr>
        <w:tc>
          <w:tcPr>
            <w:tcW w:w="704" w:type="pct"/>
          </w:tcPr>
          <w:p w14:paraId="036027EB" w14:textId="3F7615EA" w:rsidR="00457871" w:rsidRPr="00457871" w:rsidRDefault="00457871" w:rsidP="004553FA">
            <w:pPr>
              <w:pStyle w:val="TableText"/>
              <w:keepNext/>
              <w:keepLines/>
            </w:pPr>
            <w:r w:rsidRPr="00457871">
              <w:rPr>
                <w:lang w:val="en-AU"/>
              </w:rPr>
              <w:t>Parameter</w:t>
            </w:r>
          </w:p>
        </w:tc>
        <w:tc>
          <w:tcPr>
            <w:tcW w:w="636" w:type="pct"/>
          </w:tcPr>
          <w:p w14:paraId="1AE81DCB" w14:textId="46A287F8" w:rsidR="00457871" w:rsidRPr="00457871" w:rsidRDefault="00457871" w:rsidP="004553FA">
            <w:pPr>
              <w:pStyle w:val="TableText"/>
              <w:keepNext/>
              <w:keepLines/>
              <w:jc w:val="center"/>
            </w:pPr>
            <w:r w:rsidRPr="00457871">
              <w:rPr>
                <w:lang w:val="en-AU"/>
              </w:rPr>
              <w:t>Proportion</w:t>
            </w:r>
          </w:p>
        </w:tc>
        <w:tc>
          <w:tcPr>
            <w:tcW w:w="474" w:type="pct"/>
          </w:tcPr>
          <w:p w14:paraId="55CBA9CB" w14:textId="047628EE" w:rsidR="00457871" w:rsidRPr="00457871" w:rsidRDefault="00457871" w:rsidP="004553FA">
            <w:pPr>
              <w:pStyle w:val="TableText"/>
              <w:keepNext/>
              <w:keepLines/>
              <w:jc w:val="center"/>
            </w:pPr>
            <w:r w:rsidRPr="00457871">
              <w:rPr>
                <w:lang w:val="en-AU"/>
              </w:rPr>
              <w:t>Rate</w:t>
            </w:r>
          </w:p>
        </w:tc>
        <w:tc>
          <w:tcPr>
            <w:tcW w:w="1106" w:type="pct"/>
          </w:tcPr>
          <w:p w14:paraId="013DC1AB" w14:textId="7BC5FD24" w:rsidR="00457871" w:rsidRPr="00457871" w:rsidRDefault="00457871" w:rsidP="004553FA">
            <w:pPr>
              <w:pStyle w:val="TableText"/>
              <w:keepNext/>
              <w:keepLines/>
            </w:pPr>
            <w:r w:rsidRPr="00457871">
              <w:rPr>
                <w:lang w:val="en-AU"/>
              </w:rPr>
              <w:t>Basis / Source</w:t>
            </w:r>
          </w:p>
        </w:tc>
        <w:tc>
          <w:tcPr>
            <w:tcW w:w="2080" w:type="pct"/>
          </w:tcPr>
          <w:p w14:paraId="393B6655" w14:textId="11F98AA7" w:rsidR="00457871" w:rsidRPr="00457871" w:rsidRDefault="00457871" w:rsidP="004553FA">
            <w:pPr>
              <w:pStyle w:val="TableText"/>
              <w:keepNext/>
              <w:keepLines/>
            </w:pPr>
            <w:r w:rsidRPr="00457871">
              <w:rPr>
                <w:lang w:val="en-AU"/>
              </w:rPr>
              <w:t>Comment</w:t>
            </w:r>
          </w:p>
        </w:tc>
      </w:tr>
      <w:tr w:rsidR="00457871" w:rsidRPr="00DF2319" w:rsidDel="00B2138A" w14:paraId="74DA80AD" w14:textId="77777777" w:rsidTr="0033059C">
        <w:trPr>
          <w:cantSplit/>
        </w:trPr>
        <w:tc>
          <w:tcPr>
            <w:tcW w:w="704" w:type="pct"/>
          </w:tcPr>
          <w:p w14:paraId="6F37E508" w14:textId="77777777" w:rsidR="00C00D46" w:rsidRPr="00DF2319" w:rsidRDefault="00C00D46" w:rsidP="004553FA">
            <w:pPr>
              <w:pStyle w:val="TableText"/>
              <w:keepNext/>
              <w:keepLines/>
              <w:rPr>
                <w:lang w:val="en-AU"/>
              </w:rPr>
            </w:pPr>
            <w:r w:rsidRPr="00DF2319">
              <w:rPr>
                <w:lang w:val="en-AU"/>
              </w:rPr>
              <w:t>MRI testing – eligibility</w:t>
            </w:r>
          </w:p>
        </w:tc>
        <w:tc>
          <w:tcPr>
            <w:tcW w:w="636" w:type="pct"/>
          </w:tcPr>
          <w:p w14:paraId="4E5A5679" w14:textId="77777777" w:rsidR="00C00D46" w:rsidRPr="00DF2319" w:rsidRDefault="00C00D46" w:rsidP="004553FA">
            <w:pPr>
              <w:pStyle w:val="TableText"/>
              <w:keepNext/>
              <w:keepLines/>
              <w:jc w:val="center"/>
              <w:rPr>
                <w:lang w:val="en-AU"/>
              </w:rPr>
            </w:pPr>
            <w:r w:rsidRPr="00DF2319">
              <w:rPr>
                <w:lang w:val="en-AU"/>
              </w:rPr>
              <w:t>18%</w:t>
            </w:r>
          </w:p>
        </w:tc>
        <w:tc>
          <w:tcPr>
            <w:tcW w:w="474" w:type="pct"/>
          </w:tcPr>
          <w:p w14:paraId="7AB42F74"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6D8D6AA0" w14:textId="77777777" w:rsidR="00C00D46" w:rsidRPr="00DF2319" w:rsidRDefault="00C00D46" w:rsidP="004553FA">
            <w:pPr>
              <w:pStyle w:val="TableText"/>
              <w:keepNext/>
              <w:keepLines/>
              <w:rPr>
                <w:lang w:val="en-AU"/>
              </w:rPr>
            </w:pPr>
            <w:r w:rsidRPr="00DF2319">
              <w:rPr>
                <w:lang w:val="en-AU"/>
              </w:rPr>
              <w:t>82% of patients have already have a baseline MRI.</w:t>
            </w:r>
          </w:p>
        </w:tc>
        <w:tc>
          <w:tcPr>
            <w:tcW w:w="2080" w:type="pct"/>
          </w:tcPr>
          <w:p w14:paraId="65407522" w14:textId="77777777" w:rsidR="00C00D46" w:rsidRPr="00DF2319" w:rsidRDefault="00C00D46" w:rsidP="004553FA">
            <w:pPr>
              <w:pStyle w:val="TableText"/>
              <w:keepNext/>
              <w:keepLines/>
              <w:rPr>
                <w:lang w:val="en-AU"/>
              </w:rPr>
            </w:pPr>
            <w:r w:rsidRPr="00DF2319">
              <w:rPr>
                <w:lang w:val="en-AU"/>
              </w:rPr>
              <w:t>Remaining patients will require a baseline MRI prior to commencing treatment.</w:t>
            </w:r>
          </w:p>
        </w:tc>
      </w:tr>
      <w:tr w:rsidR="00457871" w:rsidRPr="00DF2319" w:rsidDel="00B2138A" w14:paraId="125A32C7" w14:textId="77777777" w:rsidTr="0033059C">
        <w:trPr>
          <w:cantSplit/>
        </w:trPr>
        <w:tc>
          <w:tcPr>
            <w:tcW w:w="704" w:type="pct"/>
          </w:tcPr>
          <w:p w14:paraId="7D875931" w14:textId="77777777" w:rsidR="00C00D46" w:rsidRPr="00DF2319" w:rsidRDefault="00C00D46" w:rsidP="004553FA">
            <w:pPr>
              <w:pStyle w:val="TableText"/>
              <w:keepNext/>
              <w:keepLines/>
              <w:rPr>
                <w:lang w:val="en-AU"/>
              </w:rPr>
            </w:pPr>
            <w:r w:rsidRPr="00C6025F">
              <w:rPr>
                <w:i/>
                <w:iCs/>
                <w:lang w:val="en-AU"/>
              </w:rPr>
              <w:t xml:space="preserve">APOE </w:t>
            </w:r>
            <w:r w:rsidRPr="00C6025F">
              <w:rPr>
                <w:rFonts w:ascii="Calibri" w:hAnsi="Calibri" w:cs="Calibri"/>
                <w:i/>
                <w:iCs/>
                <w:lang w:val="en-AU"/>
              </w:rPr>
              <w:t>ԑ</w:t>
            </w:r>
            <w:r w:rsidRPr="00C6025F">
              <w:rPr>
                <w:i/>
                <w:iCs/>
                <w:lang w:val="en-AU"/>
              </w:rPr>
              <w:t>4</w:t>
            </w:r>
            <w:r w:rsidRPr="00DF2319">
              <w:rPr>
                <w:lang w:val="en-AU"/>
              </w:rPr>
              <w:t xml:space="preserve"> genotyping – eligibility</w:t>
            </w:r>
          </w:p>
        </w:tc>
        <w:tc>
          <w:tcPr>
            <w:tcW w:w="636" w:type="pct"/>
          </w:tcPr>
          <w:p w14:paraId="4C759FD1" w14:textId="77777777" w:rsidR="00C00D46" w:rsidRPr="00DF2319" w:rsidDel="00B2138A" w:rsidRDefault="00C00D46" w:rsidP="004553FA">
            <w:pPr>
              <w:pStyle w:val="TableText"/>
              <w:keepNext/>
              <w:keepLines/>
              <w:jc w:val="center"/>
              <w:rPr>
                <w:lang w:val="en-AU"/>
              </w:rPr>
            </w:pPr>
            <w:r w:rsidRPr="00DF2319">
              <w:rPr>
                <w:lang w:val="en-AU"/>
              </w:rPr>
              <w:t>100%</w:t>
            </w:r>
          </w:p>
        </w:tc>
        <w:tc>
          <w:tcPr>
            <w:tcW w:w="474" w:type="pct"/>
          </w:tcPr>
          <w:p w14:paraId="5780E7DF"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074C32C7" w14:textId="77777777" w:rsidR="00C00D46" w:rsidRPr="00DF2319" w:rsidRDefault="00C00D46" w:rsidP="004553FA">
            <w:pPr>
              <w:pStyle w:val="TableText"/>
              <w:keepNext/>
              <w:keepLines/>
              <w:rPr>
                <w:lang w:val="en-AU"/>
              </w:rPr>
            </w:pPr>
            <w:r w:rsidRPr="00DF2319">
              <w:rPr>
                <w:lang w:val="en-AU"/>
              </w:rPr>
              <w:t>All MRI eligible patients.</w:t>
            </w:r>
          </w:p>
        </w:tc>
        <w:tc>
          <w:tcPr>
            <w:tcW w:w="2080" w:type="pct"/>
          </w:tcPr>
          <w:p w14:paraId="1144AAD4" w14:textId="77777777" w:rsidR="00C00D46" w:rsidRPr="00DF2319" w:rsidRDefault="00C00D46" w:rsidP="004553FA">
            <w:pPr>
              <w:pStyle w:val="TableText"/>
              <w:keepNext/>
              <w:keepLines/>
              <w:rPr>
                <w:lang w:val="en-AU"/>
              </w:rPr>
            </w:pPr>
            <w:r w:rsidRPr="00DF2319">
              <w:rPr>
                <w:lang w:val="en-AU"/>
              </w:rPr>
              <w:t>This assumes that there is no need for additional testing due to test failure or indeterminant results.</w:t>
            </w:r>
          </w:p>
        </w:tc>
      </w:tr>
      <w:tr w:rsidR="00457871" w:rsidRPr="00DF2319" w:rsidDel="00B2138A" w14:paraId="0C45CEA5" w14:textId="77777777" w:rsidTr="0033059C">
        <w:trPr>
          <w:cantSplit/>
        </w:trPr>
        <w:tc>
          <w:tcPr>
            <w:tcW w:w="704" w:type="pct"/>
          </w:tcPr>
          <w:p w14:paraId="295AB2C4" w14:textId="132F75CC" w:rsidR="00C00D46" w:rsidRPr="00DF2319" w:rsidRDefault="00C00D46" w:rsidP="004553FA">
            <w:pPr>
              <w:pStyle w:val="TableText"/>
              <w:keepNext/>
              <w:keepLines/>
              <w:rPr>
                <w:lang w:val="en-AU"/>
              </w:rPr>
            </w:pPr>
            <w:r w:rsidRPr="00DF2319">
              <w:rPr>
                <w:lang w:val="en-AU"/>
              </w:rPr>
              <w:t>A</w:t>
            </w:r>
            <w:r w:rsidR="00DE024F">
              <w:rPr>
                <w:rFonts w:ascii="Calibri" w:hAnsi="Calibri" w:cs="Calibri"/>
                <w:lang w:val="en-AU"/>
              </w:rPr>
              <w:t>β</w:t>
            </w:r>
            <w:r w:rsidRPr="00DF2319">
              <w:rPr>
                <w:lang w:val="en-AU"/>
              </w:rPr>
              <w:t>-PET scan – eligibility</w:t>
            </w:r>
          </w:p>
        </w:tc>
        <w:tc>
          <w:tcPr>
            <w:tcW w:w="636" w:type="pct"/>
          </w:tcPr>
          <w:p w14:paraId="1788E511" w14:textId="77777777" w:rsidR="00C00D46" w:rsidRPr="00DF2319" w:rsidDel="00B2138A" w:rsidRDefault="00C00D46" w:rsidP="004553FA">
            <w:pPr>
              <w:pStyle w:val="TableText"/>
              <w:keepNext/>
              <w:keepLines/>
              <w:jc w:val="center"/>
              <w:rPr>
                <w:lang w:val="en-AU"/>
              </w:rPr>
            </w:pPr>
            <w:r w:rsidRPr="00DF2319">
              <w:rPr>
                <w:lang w:val="en-AU"/>
              </w:rPr>
              <w:t>50%</w:t>
            </w:r>
          </w:p>
        </w:tc>
        <w:tc>
          <w:tcPr>
            <w:tcW w:w="474" w:type="pct"/>
          </w:tcPr>
          <w:p w14:paraId="79C88B2C"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1D901A90" w14:textId="77777777" w:rsidR="00C00D46" w:rsidRPr="00DF2319" w:rsidRDefault="00C00D46" w:rsidP="004553FA">
            <w:pPr>
              <w:pStyle w:val="TableText"/>
              <w:keepNext/>
              <w:keepLines/>
              <w:rPr>
                <w:lang w:val="en-AU"/>
              </w:rPr>
            </w:pPr>
            <w:r w:rsidRPr="00DF2319">
              <w:rPr>
                <w:lang w:val="en-AU"/>
              </w:rPr>
              <w:t xml:space="preserve">All </w:t>
            </w:r>
            <w:r w:rsidRPr="00C6025F">
              <w:rPr>
                <w:i/>
                <w:iCs/>
                <w:lang w:val="en-AU"/>
              </w:rPr>
              <w:t xml:space="preserve">APOE </w:t>
            </w:r>
            <w:r w:rsidRPr="00C6025F">
              <w:rPr>
                <w:rFonts w:ascii="Calibri" w:hAnsi="Calibri" w:cs="Calibri"/>
                <w:i/>
                <w:iCs/>
                <w:lang w:val="en-AU"/>
              </w:rPr>
              <w:t>ԑ</w:t>
            </w:r>
            <w:r w:rsidRPr="00C6025F">
              <w:rPr>
                <w:i/>
                <w:iCs/>
                <w:lang w:val="en-AU"/>
              </w:rPr>
              <w:t>4</w:t>
            </w:r>
            <w:r w:rsidRPr="00DF2319">
              <w:rPr>
                <w:lang w:val="en-AU"/>
              </w:rPr>
              <w:t xml:space="preserve"> genotype eligible patients.</w:t>
            </w:r>
          </w:p>
        </w:tc>
        <w:tc>
          <w:tcPr>
            <w:tcW w:w="2080" w:type="pct"/>
          </w:tcPr>
          <w:p w14:paraId="3C57B84A" w14:textId="1EC6DAAB" w:rsidR="00C00D46" w:rsidRPr="00DF2319" w:rsidRDefault="00C00D46" w:rsidP="004553FA">
            <w:pPr>
              <w:pStyle w:val="TableText"/>
              <w:keepNext/>
              <w:keepLines/>
              <w:rPr>
                <w:lang w:val="en-AU"/>
              </w:rPr>
            </w:pPr>
            <w:r w:rsidRPr="00DF2319">
              <w:rPr>
                <w:lang w:val="en-AU"/>
              </w:rPr>
              <w:t>The submission assumes that 50% of patients will A</w:t>
            </w:r>
            <w:r w:rsidR="00DE024F">
              <w:rPr>
                <w:rFonts w:ascii="Calibri" w:hAnsi="Calibri" w:cs="Calibri"/>
                <w:lang w:val="en-AU"/>
              </w:rPr>
              <w:t>β</w:t>
            </w:r>
            <w:r w:rsidRPr="00DF2319">
              <w:rPr>
                <w:lang w:val="en-AU"/>
              </w:rPr>
              <w:t>-PET scan. This is likely to be overestimated due to access constraints.</w:t>
            </w:r>
          </w:p>
        </w:tc>
      </w:tr>
      <w:tr w:rsidR="00457871" w:rsidRPr="00DF2319" w:rsidDel="00B2138A" w14:paraId="413E3E84" w14:textId="77777777" w:rsidTr="0033059C">
        <w:trPr>
          <w:cantSplit/>
        </w:trPr>
        <w:tc>
          <w:tcPr>
            <w:tcW w:w="704" w:type="pct"/>
          </w:tcPr>
          <w:p w14:paraId="6D1548A9" w14:textId="77777777" w:rsidR="00C00D46" w:rsidRPr="00DF2319" w:rsidRDefault="00C00D46" w:rsidP="004553FA">
            <w:pPr>
              <w:pStyle w:val="TableText"/>
              <w:keepNext/>
              <w:keepLines/>
              <w:rPr>
                <w:lang w:val="en-AU"/>
              </w:rPr>
            </w:pPr>
            <w:r w:rsidRPr="00DF2319">
              <w:rPr>
                <w:lang w:val="en-AU"/>
              </w:rPr>
              <w:t>CT scan – eligibility</w:t>
            </w:r>
          </w:p>
        </w:tc>
        <w:tc>
          <w:tcPr>
            <w:tcW w:w="636" w:type="pct"/>
          </w:tcPr>
          <w:p w14:paraId="6491687D" w14:textId="77777777" w:rsidR="00C00D46" w:rsidRPr="00DF2319" w:rsidRDefault="00C00D46" w:rsidP="004553FA">
            <w:pPr>
              <w:pStyle w:val="TableText"/>
              <w:keepNext/>
              <w:keepLines/>
              <w:jc w:val="center"/>
              <w:rPr>
                <w:lang w:val="en-AU"/>
              </w:rPr>
            </w:pPr>
            <w:r w:rsidRPr="00DF2319">
              <w:rPr>
                <w:lang w:val="en-AU"/>
              </w:rPr>
              <w:t>50%</w:t>
            </w:r>
          </w:p>
        </w:tc>
        <w:tc>
          <w:tcPr>
            <w:tcW w:w="474" w:type="pct"/>
          </w:tcPr>
          <w:p w14:paraId="39626F3C"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105212E3" w14:textId="4DBF9781" w:rsidR="00C00D46" w:rsidRPr="00DF2319" w:rsidRDefault="00C00D46" w:rsidP="004553FA">
            <w:pPr>
              <w:pStyle w:val="TableText"/>
              <w:keepNext/>
              <w:keepLines/>
              <w:rPr>
                <w:lang w:val="en-AU"/>
              </w:rPr>
            </w:pPr>
            <w:r w:rsidRPr="00DF2319">
              <w:rPr>
                <w:lang w:val="en-AU"/>
              </w:rPr>
              <w:t>All A</w:t>
            </w:r>
            <w:r w:rsidR="00DE024F">
              <w:rPr>
                <w:rFonts w:ascii="Calibri" w:hAnsi="Calibri" w:cs="Calibri"/>
                <w:lang w:val="en-AU"/>
              </w:rPr>
              <w:t>β</w:t>
            </w:r>
            <w:r w:rsidRPr="00DF2319">
              <w:rPr>
                <w:lang w:val="en-AU"/>
              </w:rPr>
              <w:t>-PET scan patients.</w:t>
            </w:r>
          </w:p>
        </w:tc>
        <w:tc>
          <w:tcPr>
            <w:tcW w:w="2080" w:type="pct"/>
          </w:tcPr>
          <w:p w14:paraId="37AB49E2" w14:textId="4A241158" w:rsidR="00C00D46" w:rsidRPr="00DF2319" w:rsidRDefault="00C00D46" w:rsidP="004553FA">
            <w:pPr>
              <w:pStyle w:val="TableText"/>
              <w:keepNext/>
              <w:keepLines/>
              <w:rPr>
                <w:lang w:val="en-AU"/>
              </w:rPr>
            </w:pPr>
            <w:r w:rsidRPr="00DF2319">
              <w:rPr>
                <w:lang w:val="en-AU"/>
              </w:rPr>
              <w:t>The CT scan is required as part of the A</w:t>
            </w:r>
            <w:r w:rsidR="00DE024F">
              <w:rPr>
                <w:rFonts w:ascii="Calibri" w:hAnsi="Calibri" w:cs="Calibri"/>
                <w:lang w:val="en-AU"/>
              </w:rPr>
              <w:t>β</w:t>
            </w:r>
            <w:r w:rsidRPr="00DF2319">
              <w:rPr>
                <w:lang w:val="en-AU"/>
              </w:rPr>
              <w:t>-PET scan. This is appropriate.</w:t>
            </w:r>
          </w:p>
        </w:tc>
      </w:tr>
      <w:tr w:rsidR="00457871" w:rsidRPr="00DF2319" w:rsidDel="00B2138A" w14:paraId="1968E7B6" w14:textId="77777777" w:rsidTr="0033059C">
        <w:trPr>
          <w:cantSplit/>
        </w:trPr>
        <w:tc>
          <w:tcPr>
            <w:tcW w:w="704" w:type="pct"/>
          </w:tcPr>
          <w:p w14:paraId="22A2BB90" w14:textId="77777777" w:rsidR="00C00D46" w:rsidRPr="00DF2319" w:rsidRDefault="00C00D46" w:rsidP="004553FA">
            <w:pPr>
              <w:pStyle w:val="TableText"/>
              <w:keepNext/>
              <w:keepLines/>
              <w:rPr>
                <w:lang w:val="en-AU"/>
              </w:rPr>
            </w:pPr>
            <w:r w:rsidRPr="00DF2319">
              <w:rPr>
                <w:lang w:val="en-AU"/>
              </w:rPr>
              <w:t>CSF AD biomarker testing – eligibility</w:t>
            </w:r>
          </w:p>
        </w:tc>
        <w:tc>
          <w:tcPr>
            <w:tcW w:w="636" w:type="pct"/>
          </w:tcPr>
          <w:p w14:paraId="580249BE" w14:textId="77777777" w:rsidR="00C00D46" w:rsidRPr="00DF2319" w:rsidRDefault="00C00D46" w:rsidP="004553FA">
            <w:pPr>
              <w:pStyle w:val="TableText"/>
              <w:keepNext/>
              <w:keepLines/>
              <w:jc w:val="center"/>
              <w:rPr>
                <w:lang w:val="en-AU"/>
              </w:rPr>
            </w:pPr>
            <w:r w:rsidRPr="00DF2319">
              <w:rPr>
                <w:lang w:val="en-AU"/>
              </w:rPr>
              <w:t>50%</w:t>
            </w:r>
          </w:p>
        </w:tc>
        <w:tc>
          <w:tcPr>
            <w:tcW w:w="474" w:type="pct"/>
          </w:tcPr>
          <w:p w14:paraId="6AD3F455"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605159D0" w14:textId="77777777" w:rsidR="00C00D46" w:rsidRPr="00DF2319" w:rsidRDefault="00C00D46" w:rsidP="004553FA">
            <w:pPr>
              <w:pStyle w:val="TableText"/>
              <w:keepNext/>
              <w:keepLines/>
              <w:rPr>
                <w:lang w:val="en-AU"/>
              </w:rPr>
            </w:pPr>
            <w:r w:rsidRPr="00DF2319">
              <w:rPr>
                <w:lang w:val="en-AU"/>
              </w:rPr>
              <w:t xml:space="preserve">All </w:t>
            </w:r>
            <w:r w:rsidRPr="00C6025F">
              <w:rPr>
                <w:i/>
                <w:iCs/>
                <w:lang w:val="en-AU"/>
              </w:rPr>
              <w:t xml:space="preserve">APOE </w:t>
            </w:r>
            <w:r w:rsidRPr="00C6025F">
              <w:rPr>
                <w:rFonts w:ascii="Calibri" w:hAnsi="Calibri" w:cs="Calibri"/>
                <w:i/>
                <w:iCs/>
                <w:lang w:val="en-AU"/>
              </w:rPr>
              <w:t>ԑ</w:t>
            </w:r>
            <w:r w:rsidRPr="00C6025F">
              <w:rPr>
                <w:i/>
                <w:iCs/>
                <w:lang w:val="en-AU"/>
              </w:rPr>
              <w:t>4</w:t>
            </w:r>
            <w:r w:rsidRPr="00DF2319">
              <w:rPr>
                <w:lang w:val="en-AU"/>
              </w:rPr>
              <w:t xml:space="preserve"> genotype eligible patients.</w:t>
            </w:r>
          </w:p>
        </w:tc>
        <w:tc>
          <w:tcPr>
            <w:tcW w:w="2080" w:type="pct"/>
          </w:tcPr>
          <w:p w14:paraId="2BEF60FF" w14:textId="58A4400C" w:rsidR="00C00D46" w:rsidRPr="00DF2319" w:rsidRDefault="00C00D46" w:rsidP="004553FA">
            <w:pPr>
              <w:pStyle w:val="TableText"/>
              <w:keepNext/>
              <w:keepLines/>
              <w:rPr>
                <w:lang w:val="en-AU"/>
              </w:rPr>
            </w:pPr>
            <w:r w:rsidRPr="00DF2319">
              <w:rPr>
                <w:lang w:val="en-AU"/>
              </w:rPr>
              <w:t>The submission assumes that 50% of patients will A</w:t>
            </w:r>
            <w:r w:rsidR="00DE024F">
              <w:rPr>
                <w:rFonts w:ascii="Calibri" w:hAnsi="Calibri" w:cs="Calibri"/>
                <w:lang w:val="en-AU"/>
              </w:rPr>
              <w:t>β</w:t>
            </w:r>
            <w:r w:rsidRPr="00DF2319">
              <w:rPr>
                <w:lang w:val="en-AU"/>
              </w:rPr>
              <w:t>-PET scan. This is likely to be underestimated due to overestimate of A</w:t>
            </w:r>
            <w:r w:rsidR="00DE024F">
              <w:rPr>
                <w:rFonts w:ascii="Calibri" w:hAnsi="Calibri" w:cs="Calibri"/>
                <w:lang w:val="en-AU"/>
              </w:rPr>
              <w:t>β</w:t>
            </w:r>
            <w:r w:rsidRPr="00DF2319">
              <w:rPr>
                <w:lang w:val="en-AU"/>
              </w:rPr>
              <w:t>-PET scan utilisation.</w:t>
            </w:r>
          </w:p>
        </w:tc>
      </w:tr>
      <w:tr w:rsidR="00457871" w:rsidRPr="00DF2319" w:rsidDel="00B2138A" w14:paraId="515BD216" w14:textId="77777777" w:rsidTr="0033059C">
        <w:trPr>
          <w:cantSplit/>
        </w:trPr>
        <w:tc>
          <w:tcPr>
            <w:tcW w:w="704" w:type="pct"/>
          </w:tcPr>
          <w:p w14:paraId="688DF91F" w14:textId="77777777" w:rsidR="00C00D46" w:rsidRPr="00DF2319" w:rsidRDefault="00C00D46" w:rsidP="004553FA">
            <w:pPr>
              <w:pStyle w:val="TableText"/>
              <w:keepNext/>
              <w:keepLines/>
              <w:rPr>
                <w:lang w:val="en-AU"/>
              </w:rPr>
            </w:pPr>
            <w:r w:rsidRPr="00DF2319">
              <w:rPr>
                <w:lang w:val="en-AU"/>
              </w:rPr>
              <w:t>Lumbar puncture – eligibility</w:t>
            </w:r>
          </w:p>
        </w:tc>
        <w:tc>
          <w:tcPr>
            <w:tcW w:w="636" w:type="pct"/>
          </w:tcPr>
          <w:p w14:paraId="299B0975" w14:textId="77777777" w:rsidR="00C00D46" w:rsidRPr="00DF2319" w:rsidRDefault="00C00D46" w:rsidP="004553FA">
            <w:pPr>
              <w:pStyle w:val="TableText"/>
              <w:keepNext/>
              <w:keepLines/>
              <w:jc w:val="center"/>
              <w:rPr>
                <w:lang w:val="en-AU"/>
              </w:rPr>
            </w:pPr>
            <w:r w:rsidRPr="00DF2319">
              <w:rPr>
                <w:lang w:val="en-AU"/>
              </w:rPr>
              <w:t>50%</w:t>
            </w:r>
          </w:p>
        </w:tc>
        <w:tc>
          <w:tcPr>
            <w:tcW w:w="474" w:type="pct"/>
          </w:tcPr>
          <w:p w14:paraId="3BC69643"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4C7F4A20" w14:textId="77777777" w:rsidR="00C00D46" w:rsidRPr="00DF2319" w:rsidRDefault="00C00D46" w:rsidP="004553FA">
            <w:pPr>
              <w:pStyle w:val="TableText"/>
              <w:keepNext/>
              <w:keepLines/>
              <w:rPr>
                <w:lang w:val="en-AU"/>
              </w:rPr>
            </w:pPr>
            <w:r w:rsidRPr="00DF2319">
              <w:rPr>
                <w:lang w:val="en-AU"/>
              </w:rPr>
              <w:t>All CSF AD biomarker patients.</w:t>
            </w:r>
          </w:p>
        </w:tc>
        <w:tc>
          <w:tcPr>
            <w:tcW w:w="2080" w:type="pct"/>
          </w:tcPr>
          <w:p w14:paraId="4A4B99E5" w14:textId="0693EACC" w:rsidR="00C00D46" w:rsidRPr="00DF2319" w:rsidRDefault="00C00D46" w:rsidP="004553FA">
            <w:pPr>
              <w:pStyle w:val="TableText"/>
              <w:keepNext/>
              <w:keepLines/>
              <w:rPr>
                <w:lang w:val="en-AU"/>
              </w:rPr>
            </w:pPr>
            <w:r w:rsidRPr="00DF2319">
              <w:rPr>
                <w:lang w:val="en-AU"/>
              </w:rPr>
              <w:t xml:space="preserve">The lumbar puncture is required to obtain the CSF for testing. This is </w:t>
            </w:r>
            <w:r w:rsidR="002A042A" w:rsidRPr="00DF2319">
              <w:rPr>
                <w:lang w:val="en-AU"/>
              </w:rPr>
              <w:t>appropriate; however, the submission omitted several services associated with the lumbar puncture procedure.</w:t>
            </w:r>
          </w:p>
        </w:tc>
      </w:tr>
      <w:tr w:rsidR="00457871" w:rsidRPr="00DF2319" w:rsidDel="00B2138A" w14:paraId="2C802E54" w14:textId="77777777" w:rsidTr="0033059C">
        <w:trPr>
          <w:cantSplit/>
        </w:trPr>
        <w:tc>
          <w:tcPr>
            <w:tcW w:w="704" w:type="pct"/>
          </w:tcPr>
          <w:p w14:paraId="4A978569" w14:textId="77777777" w:rsidR="00C00D46" w:rsidRPr="00DF2319" w:rsidRDefault="00C00D46" w:rsidP="004553FA">
            <w:pPr>
              <w:pStyle w:val="TableText"/>
              <w:keepNext/>
              <w:keepLines/>
              <w:rPr>
                <w:lang w:val="en-AU"/>
              </w:rPr>
            </w:pPr>
            <w:r w:rsidRPr="00DF2319">
              <w:rPr>
                <w:lang w:val="en-AU"/>
              </w:rPr>
              <w:t>CT scan – eligibility</w:t>
            </w:r>
          </w:p>
        </w:tc>
        <w:tc>
          <w:tcPr>
            <w:tcW w:w="636" w:type="pct"/>
          </w:tcPr>
          <w:p w14:paraId="31E5EACE" w14:textId="77777777" w:rsidR="00C00D46" w:rsidRPr="00DF2319" w:rsidRDefault="00C00D46" w:rsidP="004553FA">
            <w:pPr>
              <w:pStyle w:val="TableText"/>
              <w:keepNext/>
              <w:keepLines/>
              <w:jc w:val="center"/>
              <w:rPr>
                <w:lang w:val="en-AU"/>
              </w:rPr>
            </w:pPr>
            <w:r w:rsidRPr="00DF2319">
              <w:rPr>
                <w:lang w:val="en-AU"/>
              </w:rPr>
              <w:t>50%</w:t>
            </w:r>
          </w:p>
        </w:tc>
        <w:tc>
          <w:tcPr>
            <w:tcW w:w="474" w:type="pct"/>
          </w:tcPr>
          <w:p w14:paraId="5C6DBC9F" w14:textId="77777777" w:rsidR="00C00D46" w:rsidRPr="00DF2319" w:rsidRDefault="00C00D46" w:rsidP="004553FA">
            <w:pPr>
              <w:pStyle w:val="TableText"/>
              <w:keepNext/>
              <w:keepLines/>
              <w:jc w:val="center"/>
              <w:rPr>
                <w:lang w:val="en-AU"/>
              </w:rPr>
            </w:pPr>
            <w:r w:rsidRPr="00DF2319">
              <w:rPr>
                <w:lang w:val="en-AU"/>
              </w:rPr>
              <w:t>1</w:t>
            </w:r>
          </w:p>
        </w:tc>
        <w:tc>
          <w:tcPr>
            <w:tcW w:w="1106" w:type="pct"/>
          </w:tcPr>
          <w:p w14:paraId="78EA0D27" w14:textId="77777777" w:rsidR="00C00D46" w:rsidRPr="00DF2319" w:rsidRDefault="00C00D46" w:rsidP="004553FA">
            <w:pPr>
              <w:pStyle w:val="TableText"/>
              <w:keepNext/>
              <w:keepLines/>
              <w:rPr>
                <w:lang w:val="en-AU"/>
              </w:rPr>
            </w:pPr>
            <w:r w:rsidRPr="00DF2319">
              <w:rPr>
                <w:lang w:val="en-AU"/>
              </w:rPr>
              <w:t>All CSF AD biomarker patients.</w:t>
            </w:r>
          </w:p>
        </w:tc>
        <w:tc>
          <w:tcPr>
            <w:tcW w:w="2080" w:type="pct"/>
          </w:tcPr>
          <w:p w14:paraId="460798DD" w14:textId="77777777" w:rsidR="00C00D46" w:rsidRPr="00DF2319" w:rsidRDefault="00C00D46" w:rsidP="004553FA">
            <w:pPr>
              <w:pStyle w:val="TableText"/>
              <w:keepNext/>
              <w:keepLines/>
              <w:rPr>
                <w:lang w:val="en-AU"/>
              </w:rPr>
            </w:pPr>
            <w:r w:rsidRPr="00DF2319">
              <w:rPr>
                <w:lang w:val="en-AU"/>
              </w:rPr>
              <w:t>The CT scan is required as part of the lumbar puncture. This is appropriate.</w:t>
            </w:r>
          </w:p>
        </w:tc>
      </w:tr>
      <w:tr w:rsidR="00457871" w:rsidRPr="00DF2319" w:rsidDel="00B2138A" w14:paraId="22047DBA" w14:textId="77777777" w:rsidTr="0033059C">
        <w:trPr>
          <w:cantSplit/>
        </w:trPr>
        <w:tc>
          <w:tcPr>
            <w:tcW w:w="704" w:type="pct"/>
          </w:tcPr>
          <w:p w14:paraId="35DB899E" w14:textId="77777777" w:rsidR="00C00D46" w:rsidRPr="00DF2319" w:rsidRDefault="00C00D46" w:rsidP="004553FA">
            <w:pPr>
              <w:pStyle w:val="TableText"/>
              <w:keepNext/>
              <w:keepLines/>
              <w:rPr>
                <w:lang w:val="en-AU"/>
              </w:rPr>
            </w:pPr>
            <w:r w:rsidRPr="00DF2319">
              <w:rPr>
                <w:lang w:val="en-AU"/>
              </w:rPr>
              <w:t>Infusions</w:t>
            </w:r>
          </w:p>
        </w:tc>
        <w:tc>
          <w:tcPr>
            <w:tcW w:w="636" w:type="pct"/>
          </w:tcPr>
          <w:p w14:paraId="423B512F" w14:textId="77777777" w:rsidR="00C00D46" w:rsidRPr="00DF2319" w:rsidRDefault="00C00D46" w:rsidP="004553FA">
            <w:pPr>
              <w:pStyle w:val="TableText"/>
              <w:keepNext/>
              <w:keepLines/>
              <w:jc w:val="center"/>
              <w:rPr>
                <w:lang w:val="en-AU"/>
              </w:rPr>
            </w:pPr>
            <w:r w:rsidRPr="00DF2319">
              <w:rPr>
                <w:lang w:val="en-AU"/>
              </w:rPr>
              <w:t>100%</w:t>
            </w:r>
          </w:p>
        </w:tc>
        <w:tc>
          <w:tcPr>
            <w:tcW w:w="474" w:type="pct"/>
          </w:tcPr>
          <w:p w14:paraId="78A6494B" w14:textId="77777777" w:rsidR="00C00D46" w:rsidRPr="00DF2319" w:rsidRDefault="00C00D46" w:rsidP="004553FA">
            <w:pPr>
              <w:pStyle w:val="TableText"/>
              <w:keepNext/>
              <w:keepLines/>
              <w:jc w:val="center"/>
              <w:rPr>
                <w:lang w:val="en-AU"/>
              </w:rPr>
            </w:pPr>
            <w:r w:rsidRPr="00DF2319">
              <w:rPr>
                <w:lang w:val="en-AU"/>
              </w:rPr>
              <w:t>12</w:t>
            </w:r>
          </w:p>
        </w:tc>
        <w:tc>
          <w:tcPr>
            <w:tcW w:w="1106" w:type="pct"/>
          </w:tcPr>
          <w:p w14:paraId="1E56BE8E" w14:textId="77777777" w:rsidR="00C00D46" w:rsidRPr="00DF2319" w:rsidRDefault="00C00D46" w:rsidP="004553FA">
            <w:pPr>
              <w:pStyle w:val="TableText"/>
              <w:keepNext/>
              <w:keepLines/>
              <w:rPr>
                <w:lang w:val="en-AU"/>
              </w:rPr>
            </w:pPr>
            <w:r w:rsidRPr="00DF2319">
              <w:rPr>
                <w:lang w:val="en-AU"/>
              </w:rPr>
              <w:t>1 infusion per dose of donanemab.</w:t>
            </w:r>
          </w:p>
        </w:tc>
        <w:tc>
          <w:tcPr>
            <w:tcW w:w="2080" w:type="pct"/>
          </w:tcPr>
          <w:p w14:paraId="00D90E41" w14:textId="19E9DC8C" w:rsidR="00C00D46" w:rsidRPr="00DF2319" w:rsidRDefault="00C00D46" w:rsidP="004553FA">
            <w:pPr>
              <w:pStyle w:val="TableText"/>
              <w:keepNext/>
              <w:keepLines/>
              <w:rPr>
                <w:lang w:val="en-AU"/>
              </w:rPr>
            </w:pPr>
            <w:r w:rsidRPr="33D0522D">
              <w:rPr>
                <w:lang w:val="en-AU"/>
              </w:rPr>
              <w:t>The submission assumes one dose per month, but donanemab is dosed Q</w:t>
            </w:r>
            <w:r w:rsidR="00416EC9">
              <w:rPr>
                <w:lang w:val="en-AU"/>
              </w:rPr>
              <w:t>4</w:t>
            </w:r>
            <w:r w:rsidRPr="33D0522D">
              <w:rPr>
                <w:lang w:val="en-AU"/>
              </w:rPr>
              <w:t>W which requires 13 doses annually. This underestimates the number of doses required.</w:t>
            </w:r>
          </w:p>
        </w:tc>
      </w:tr>
      <w:tr w:rsidR="00457871" w:rsidRPr="00DF2319" w:rsidDel="00B2138A" w14:paraId="2B508DD4" w14:textId="77777777" w:rsidTr="0033059C">
        <w:trPr>
          <w:cantSplit/>
        </w:trPr>
        <w:tc>
          <w:tcPr>
            <w:tcW w:w="704" w:type="pct"/>
          </w:tcPr>
          <w:p w14:paraId="48CF3225" w14:textId="77777777" w:rsidR="00C00D46" w:rsidRPr="00DF2319" w:rsidRDefault="00C00D46" w:rsidP="004553FA">
            <w:pPr>
              <w:pStyle w:val="TableText"/>
              <w:keepNext/>
              <w:keepLines/>
              <w:rPr>
                <w:lang w:val="en-AU"/>
              </w:rPr>
            </w:pPr>
            <w:r w:rsidRPr="00DF2319">
              <w:rPr>
                <w:lang w:val="en-AU"/>
              </w:rPr>
              <w:t>MRI testing – monitoring</w:t>
            </w:r>
          </w:p>
        </w:tc>
        <w:tc>
          <w:tcPr>
            <w:tcW w:w="636" w:type="pct"/>
          </w:tcPr>
          <w:p w14:paraId="4FC3908E" w14:textId="77777777" w:rsidR="00C00D46" w:rsidRPr="00DF2319" w:rsidRDefault="00C00D46" w:rsidP="004553FA">
            <w:pPr>
              <w:pStyle w:val="TableText"/>
              <w:keepNext/>
              <w:keepLines/>
              <w:jc w:val="center"/>
              <w:rPr>
                <w:lang w:val="en-AU"/>
              </w:rPr>
            </w:pPr>
            <w:r w:rsidRPr="00DF2319">
              <w:rPr>
                <w:lang w:val="en-AU"/>
              </w:rPr>
              <w:t>100%</w:t>
            </w:r>
          </w:p>
        </w:tc>
        <w:tc>
          <w:tcPr>
            <w:tcW w:w="474" w:type="pct"/>
          </w:tcPr>
          <w:p w14:paraId="1C8D6CA2" w14:textId="77777777" w:rsidR="00C00D46" w:rsidRPr="00DF2319" w:rsidRDefault="00C00D46" w:rsidP="004553FA">
            <w:pPr>
              <w:pStyle w:val="TableText"/>
              <w:keepNext/>
              <w:keepLines/>
              <w:jc w:val="center"/>
              <w:rPr>
                <w:lang w:val="en-AU"/>
              </w:rPr>
            </w:pPr>
            <w:r w:rsidRPr="00DF2319">
              <w:rPr>
                <w:lang w:val="en-AU"/>
              </w:rPr>
              <w:t>4</w:t>
            </w:r>
          </w:p>
        </w:tc>
        <w:tc>
          <w:tcPr>
            <w:tcW w:w="1106" w:type="pct"/>
          </w:tcPr>
          <w:p w14:paraId="788D3C8B" w14:textId="77777777" w:rsidR="00C00D46" w:rsidRPr="00DF2319" w:rsidRDefault="00C00D46" w:rsidP="004553FA">
            <w:pPr>
              <w:pStyle w:val="TableText"/>
              <w:keepNext/>
              <w:keepLines/>
              <w:rPr>
                <w:lang w:val="en-AU"/>
              </w:rPr>
            </w:pPr>
            <w:r w:rsidRPr="00DF2319">
              <w:rPr>
                <w:lang w:val="en-AU"/>
              </w:rPr>
              <w:t>Testing for ARIA prior to infusions 2,3,4 and 7.</w:t>
            </w:r>
          </w:p>
        </w:tc>
        <w:tc>
          <w:tcPr>
            <w:tcW w:w="2080" w:type="pct"/>
          </w:tcPr>
          <w:p w14:paraId="5D589B74" w14:textId="77777777" w:rsidR="00C00D46" w:rsidRPr="00DF2319" w:rsidRDefault="00C00D46" w:rsidP="004553FA">
            <w:pPr>
              <w:pStyle w:val="TableText"/>
              <w:keepNext/>
              <w:keepLines/>
              <w:rPr>
                <w:lang w:val="en-AU"/>
              </w:rPr>
            </w:pPr>
            <w:r w:rsidRPr="00DF2319">
              <w:rPr>
                <w:lang w:val="en-AU"/>
              </w:rPr>
              <w:t>This monitoring approach does not account for patients who will develop ARIA related symptoms at other time points and require an MRI scan to continue treatment. This underestimates the potential number of MRI scans required</w:t>
            </w:r>
          </w:p>
        </w:tc>
      </w:tr>
      <w:tr w:rsidR="00457871" w:rsidRPr="00DF2319" w:rsidDel="00B2138A" w14:paraId="551810A0" w14:textId="77777777" w:rsidTr="0033059C">
        <w:trPr>
          <w:cantSplit/>
        </w:trPr>
        <w:tc>
          <w:tcPr>
            <w:tcW w:w="704" w:type="pct"/>
          </w:tcPr>
          <w:p w14:paraId="4C5DCBF1" w14:textId="7E52A917" w:rsidR="00C00D46" w:rsidRPr="00DF2319" w:rsidRDefault="00C00D46" w:rsidP="004553FA">
            <w:pPr>
              <w:pStyle w:val="TableText"/>
              <w:keepNext/>
              <w:keepLines/>
              <w:rPr>
                <w:lang w:val="en-AU"/>
              </w:rPr>
            </w:pPr>
            <w:r w:rsidRPr="00DF2319">
              <w:rPr>
                <w:lang w:val="en-AU"/>
              </w:rPr>
              <w:t>A</w:t>
            </w:r>
            <w:r w:rsidR="00E01EB2">
              <w:rPr>
                <w:rFonts w:ascii="Calibri" w:hAnsi="Calibri" w:cs="Calibri"/>
                <w:lang w:val="en-AU"/>
              </w:rPr>
              <w:t>β</w:t>
            </w:r>
            <w:r w:rsidRPr="00DF2319">
              <w:rPr>
                <w:lang w:val="en-AU"/>
              </w:rPr>
              <w:t>-PET scan – monitoring</w:t>
            </w:r>
          </w:p>
        </w:tc>
        <w:tc>
          <w:tcPr>
            <w:tcW w:w="636" w:type="pct"/>
          </w:tcPr>
          <w:p w14:paraId="4565B2CB" w14:textId="77777777" w:rsidR="00C00D46" w:rsidRPr="00DF2319" w:rsidRDefault="00C00D46" w:rsidP="004553FA">
            <w:pPr>
              <w:pStyle w:val="TableText"/>
              <w:keepNext/>
              <w:keepLines/>
              <w:jc w:val="center"/>
              <w:rPr>
                <w:lang w:val="en-AU"/>
              </w:rPr>
            </w:pPr>
            <w:r w:rsidRPr="00DF2319">
              <w:rPr>
                <w:lang w:val="en-AU"/>
              </w:rPr>
              <w:t>40%</w:t>
            </w:r>
          </w:p>
        </w:tc>
        <w:tc>
          <w:tcPr>
            <w:tcW w:w="474" w:type="pct"/>
          </w:tcPr>
          <w:p w14:paraId="6988F235" w14:textId="77777777" w:rsidR="00C00D46" w:rsidRPr="00DF2319" w:rsidRDefault="00C00D46" w:rsidP="004553FA">
            <w:pPr>
              <w:pStyle w:val="TableText"/>
              <w:keepNext/>
              <w:keepLines/>
              <w:jc w:val="center"/>
              <w:rPr>
                <w:lang w:val="en-AU"/>
              </w:rPr>
            </w:pPr>
            <w:r w:rsidRPr="00DF2319">
              <w:rPr>
                <w:lang w:val="en-AU"/>
              </w:rPr>
              <w:t>1.38</w:t>
            </w:r>
          </w:p>
        </w:tc>
        <w:tc>
          <w:tcPr>
            <w:tcW w:w="1106" w:type="pct"/>
          </w:tcPr>
          <w:p w14:paraId="45C0BAA3" w14:textId="77777777" w:rsidR="00C00D46" w:rsidRPr="00DF2319" w:rsidRDefault="00C00D46" w:rsidP="004553FA">
            <w:pPr>
              <w:pStyle w:val="TableText"/>
              <w:keepNext/>
              <w:keepLines/>
              <w:rPr>
                <w:lang w:val="en-AU"/>
              </w:rPr>
            </w:pPr>
            <w:r w:rsidRPr="00DF2319">
              <w:rPr>
                <w:lang w:val="en-AU"/>
              </w:rPr>
              <w:t>Assessment of plaque in treat-to-clearance patients.</w:t>
            </w:r>
          </w:p>
        </w:tc>
        <w:tc>
          <w:tcPr>
            <w:tcW w:w="2080" w:type="pct"/>
          </w:tcPr>
          <w:p w14:paraId="0DC4E1D3" w14:textId="77777777" w:rsidR="00C00D46" w:rsidRPr="00DF2319" w:rsidRDefault="00C00D46" w:rsidP="004553FA">
            <w:pPr>
              <w:pStyle w:val="TableText"/>
              <w:keepNext/>
              <w:keepLines/>
              <w:rPr>
                <w:lang w:val="en-AU"/>
              </w:rPr>
            </w:pPr>
            <w:r w:rsidRPr="00DF2319">
              <w:rPr>
                <w:lang w:val="en-AU"/>
              </w:rPr>
              <w:t>The submission assumes treat-to-clearance is 40% of the patient population. This may be overestimated because of the access constraints.</w:t>
            </w:r>
          </w:p>
        </w:tc>
      </w:tr>
      <w:tr w:rsidR="00457871" w:rsidRPr="00DF2319" w:rsidDel="00B2138A" w14:paraId="4D3B558F" w14:textId="77777777" w:rsidTr="0033059C">
        <w:trPr>
          <w:cantSplit/>
        </w:trPr>
        <w:tc>
          <w:tcPr>
            <w:tcW w:w="704" w:type="pct"/>
          </w:tcPr>
          <w:p w14:paraId="1742B414" w14:textId="77777777" w:rsidR="00C00D46" w:rsidRPr="00DF2319" w:rsidRDefault="00C00D46" w:rsidP="004553FA">
            <w:pPr>
              <w:pStyle w:val="TableText"/>
              <w:keepNext/>
              <w:keepLines/>
              <w:rPr>
                <w:lang w:val="en-AU"/>
              </w:rPr>
            </w:pPr>
            <w:r w:rsidRPr="00DF2319">
              <w:rPr>
                <w:lang w:val="en-AU"/>
              </w:rPr>
              <w:t>CT scan – monitoring</w:t>
            </w:r>
          </w:p>
        </w:tc>
        <w:tc>
          <w:tcPr>
            <w:tcW w:w="636" w:type="pct"/>
          </w:tcPr>
          <w:p w14:paraId="75031098" w14:textId="77777777" w:rsidR="00C00D46" w:rsidRPr="00DF2319" w:rsidRDefault="00C00D46" w:rsidP="004553FA">
            <w:pPr>
              <w:pStyle w:val="TableText"/>
              <w:keepNext/>
              <w:keepLines/>
              <w:jc w:val="center"/>
              <w:rPr>
                <w:lang w:val="en-AU"/>
              </w:rPr>
            </w:pPr>
            <w:r w:rsidRPr="00DF2319">
              <w:rPr>
                <w:lang w:val="en-AU"/>
              </w:rPr>
              <w:t>40%</w:t>
            </w:r>
          </w:p>
        </w:tc>
        <w:tc>
          <w:tcPr>
            <w:tcW w:w="474" w:type="pct"/>
          </w:tcPr>
          <w:p w14:paraId="11A0934E" w14:textId="77777777" w:rsidR="00C00D46" w:rsidRPr="00DF2319" w:rsidRDefault="00C00D46" w:rsidP="004553FA">
            <w:pPr>
              <w:pStyle w:val="TableText"/>
              <w:keepNext/>
              <w:keepLines/>
              <w:jc w:val="center"/>
              <w:rPr>
                <w:lang w:val="en-AU"/>
              </w:rPr>
            </w:pPr>
            <w:r w:rsidRPr="00DF2319">
              <w:rPr>
                <w:lang w:val="en-AU"/>
              </w:rPr>
              <w:t>1.38</w:t>
            </w:r>
          </w:p>
        </w:tc>
        <w:tc>
          <w:tcPr>
            <w:tcW w:w="1106" w:type="pct"/>
          </w:tcPr>
          <w:p w14:paraId="583FC305" w14:textId="442DC7E6" w:rsidR="00C00D46" w:rsidRPr="00DF2319" w:rsidRDefault="00C00D46" w:rsidP="004553FA">
            <w:pPr>
              <w:pStyle w:val="TableText"/>
              <w:keepNext/>
              <w:keepLines/>
              <w:rPr>
                <w:lang w:val="en-AU"/>
              </w:rPr>
            </w:pPr>
            <w:r w:rsidRPr="00DF2319">
              <w:rPr>
                <w:lang w:val="en-AU"/>
              </w:rPr>
              <w:t>All A</w:t>
            </w:r>
            <w:r w:rsidR="00E01EB2">
              <w:rPr>
                <w:rFonts w:ascii="Calibri" w:hAnsi="Calibri" w:cs="Calibri"/>
                <w:lang w:val="en-AU"/>
              </w:rPr>
              <w:t>β</w:t>
            </w:r>
            <w:r w:rsidRPr="00DF2319">
              <w:rPr>
                <w:lang w:val="en-AU"/>
              </w:rPr>
              <w:t>-PET scan patients.</w:t>
            </w:r>
          </w:p>
        </w:tc>
        <w:tc>
          <w:tcPr>
            <w:tcW w:w="2080" w:type="pct"/>
          </w:tcPr>
          <w:p w14:paraId="21296CB0" w14:textId="2B5A95CD" w:rsidR="00C00D46" w:rsidRPr="00DF2319" w:rsidRDefault="00C00D46" w:rsidP="004553FA">
            <w:pPr>
              <w:pStyle w:val="TableText"/>
              <w:keepNext/>
              <w:keepLines/>
              <w:rPr>
                <w:lang w:val="en-AU"/>
              </w:rPr>
            </w:pPr>
            <w:r w:rsidRPr="00DF2319">
              <w:rPr>
                <w:lang w:val="en-AU"/>
              </w:rPr>
              <w:t>The CT scan is required as part of the A</w:t>
            </w:r>
            <w:r w:rsidR="00DE024F">
              <w:rPr>
                <w:rFonts w:ascii="Calibri" w:hAnsi="Calibri" w:cs="Calibri"/>
                <w:lang w:val="en-AU"/>
              </w:rPr>
              <w:t>β</w:t>
            </w:r>
            <w:r w:rsidRPr="00DF2319">
              <w:rPr>
                <w:lang w:val="en-AU"/>
              </w:rPr>
              <w:t>-PET scan. This is appropriate.</w:t>
            </w:r>
          </w:p>
        </w:tc>
      </w:tr>
    </w:tbl>
    <w:p w14:paraId="6169C1C2" w14:textId="4AAC3408" w:rsidR="00C00D46" w:rsidRPr="00EE0EEB" w:rsidRDefault="00C00D46" w:rsidP="004553FA">
      <w:pPr>
        <w:pStyle w:val="TableFigureFooter"/>
      </w:pPr>
      <w:r w:rsidRPr="00EE0EEB">
        <w:t xml:space="preserve">Source: Financial estimates workbook provided with the </w:t>
      </w:r>
      <w:r w:rsidR="00D51801" w:rsidRPr="00D51801">
        <w:t>submission</w:t>
      </w:r>
      <w:r w:rsidRPr="00EE0EEB">
        <w:t>.</w:t>
      </w:r>
    </w:p>
    <w:p w14:paraId="41A80DF1" w14:textId="4B54F5B1" w:rsidR="00347D60" w:rsidRPr="00EE0EEB" w:rsidRDefault="003C47BE" w:rsidP="00565B62">
      <w:pPr>
        <w:pStyle w:val="Caption"/>
      </w:pPr>
      <w:r>
        <w:lastRenderedPageBreak/>
        <w:t xml:space="preserve">Table </w:t>
      </w:r>
      <w:r w:rsidR="002E1F45">
        <w:fldChar w:fldCharType="begin"/>
      </w:r>
      <w:r w:rsidR="002E1F45">
        <w:instrText xml:space="preserve"> SEQ Table \* ARABIC </w:instrText>
      </w:r>
      <w:r w:rsidR="002E1F45">
        <w:fldChar w:fldCharType="separate"/>
      </w:r>
      <w:r w:rsidR="002E1F45">
        <w:rPr>
          <w:noProof/>
        </w:rPr>
        <w:t>18</w:t>
      </w:r>
      <w:r w:rsidR="002E1F45">
        <w:rPr>
          <w:noProof/>
        </w:rPr>
        <w:fldChar w:fldCharType="end"/>
      </w:r>
      <w:r w:rsidR="00D26369">
        <w:t xml:space="preserve"> </w:t>
      </w:r>
      <w:r w:rsidR="00347D60" w:rsidRPr="00EE0EEB">
        <w:t>Estimated use and financial implications</w:t>
      </w:r>
      <w:r w:rsidR="00E459C7">
        <w:t xml:space="preserve"> in the </w:t>
      </w:r>
      <w:r w:rsidR="00D51801" w:rsidRPr="00D51801">
        <w:t>submission</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1276"/>
        <w:gridCol w:w="1276"/>
        <w:gridCol w:w="1276"/>
        <w:gridCol w:w="1276"/>
        <w:gridCol w:w="1278"/>
        <w:gridCol w:w="1283"/>
      </w:tblGrid>
      <w:tr w:rsidR="001B18CD" w:rsidRPr="00060BE9" w14:paraId="2797908D" w14:textId="77777777" w:rsidTr="001B18CD">
        <w:trPr>
          <w:tblHeader/>
        </w:trPr>
        <w:tc>
          <w:tcPr>
            <w:tcW w:w="711" w:type="pct"/>
            <w:vAlign w:val="center"/>
          </w:tcPr>
          <w:p w14:paraId="68F63B4E" w14:textId="77777777" w:rsidR="00347D60" w:rsidRPr="00EE0EEB" w:rsidRDefault="00347D60" w:rsidP="004553FA">
            <w:pPr>
              <w:pStyle w:val="TableText"/>
              <w:keepNext/>
              <w:keepLines/>
              <w:spacing w:before="20" w:after="20"/>
              <w:jc w:val="center"/>
              <w:rPr>
                <w:b/>
              </w:rPr>
            </w:pPr>
          </w:p>
        </w:tc>
        <w:tc>
          <w:tcPr>
            <w:tcW w:w="714" w:type="pct"/>
            <w:vAlign w:val="center"/>
          </w:tcPr>
          <w:p w14:paraId="494E0A1C" w14:textId="77777777" w:rsidR="00347D60" w:rsidRPr="00060BE9" w:rsidRDefault="00347D60" w:rsidP="004553FA">
            <w:pPr>
              <w:pStyle w:val="TableText"/>
              <w:keepNext/>
              <w:keepLines/>
              <w:spacing w:before="20" w:after="20"/>
              <w:jc w:val="center"/>
              <w:rPr>
                <w:b/>
              </w:rPr>
            </w:pPr>
            <w:r w:rsidRPr="00060BE9">
              <w:rPr>
                <w:b/>
              </w:rPr>
              <w:t>Year 1</w:t>
            </w:r>
          </w:p>
        </w:tc>
        <w:tc>
          <w:tcPr>
            <w:tcW w:w="714" w:type="pct"/>
            <w:vAlign w:val="center"/>
          </w:tcPr>
          <w:p w14:paraId="51E6A7CB" w14:textId="77777777" w:rsidR="00347D60" w:rsidRPr="00060BE9" w:rsidRDefault="00347D60" w:rsidP="004553FA">
            <w:pPr>
              <w:pStyle w:val="TableText"/>
              <w:keepNext/>
              <w:keepLines/>
              <w:spacing w:before="20" w:after="20"/>
              <w:jc w:val="center"/>
              <w:rPr>
                <w:b/>
              </w:rPr>
            </w:pPr>
            <w:r w:rsidRPr="00060BE9">
              <w:rPr>
                <w:b/>
              </w:rPr>
              <w:t>Year 2</w:t>
            </w:r>
          </w:p>
        </w:tc>
        <w:tc>
          <w:tcPr>
            <w:tcW w:w="714" w:type="pct"/>
            <w:vAlign w:val="center"/>
          </w:tcPr>
          <w:p w14:paraId="18BFE580" w14:textId="77777777" w:rsidR="00347D60" w:rsidRPr="00060BE9" w:rsidRDefault="00347D60" w:rsidP="004553FA">
            <w:pPr>
              <w:pStyle w:val="TableText"/>
              <w:keepNext/>
              <w:keepLines/>
              <w:spacing w:before="20" w:after="20"/>
              <w:jc w:val="center"/>
              <w:rPr>
                <w:b/>
              </w:rPr>
            </w:pPr>
            <w:r w:rsidRPr="00060BE9">
              <w:rPr>
                <w:b/>
              </w:rPr>
              <w:t>Year 3</w:t>
            </w:r>
          </w:p>
        </w:tc>
        <w:tc>
          <w:tcPr>
            <w:tcW w:w="714" w:type="pct"/>
            <w:vAlign w:val="center"/>
          </w:tcPr>
          <w:p w14:paraId="14D40F4F" w14:textId="77777777" w:rsidR="00347D60" w:rsidRPr="00060BE9" w:rsidRDefault="00347D60" w:rsidP="004553FA">
            <w:pPr>
              <w:pStyle w:val="TableText"/>
              <w:keepNext/>
              <w:keepLines/>
              <w:spacing w:before="20" w:after="20"/>
              <w:jc w:val="center"/>
              <w:rPr>
                <w:b/>
              </w:rPr>
            </w:pPr>
            <w:r w:rsidRPr="00060BE9">
              <w:rPr>
                <w:b/>
              </w:rPr>
              <w:t>Year 4</w:t>
            </w:r>
          </w:p>
        </w:tc>
        <w:tc>
          <w:tcPr>
            <w:tcW w:w="715" w:type="pct"/>
            <w:vAlign w:val="center"/>
          </w:tcPr>
          <w:p w14:paraId="265BF8D5" w14:textId="77777777" w:rsidR="00347D60" w:rsidRPr="00060BE9" w:rsidRDefault="00347D60" w:rsidP="004553FA">
            <w:pPr>
              <w:pStyle w:val="TableText"/>
              <w:keepNext/>
              <w:keepLines/>
              <w:spacing w:before="20" w:after="20"/>
              <w:jc w:val="center"/>
              <w:rPr>
                <w:b/>
              </w:rPr>
            </w:pPr>
            <w:r w:rsidRPr="00060BE9">
              <w:rPr>
                <w:b/>
              </w:rPr>
              <w:t>Year 5</w:t>
            </w:r>
          </w:p>
        </w:tc>
        <w:tc>
          <w:tcPr>
            <w:tcW w:w="718" w:type="pct"/>
          </w:tcPr>
          <w:p w14:paraId="3165C086" w14:textId="77777777" w:rsidR="00347D60" w:rsidRPr="00060BE9" w:rsidRDefault="00347D60" w:rsidP="004553FA">
            <w:pPr>
              <w:pStyle w:val="TableText"/>
              <w:keepNext/>
              <w:keepLines/>
              <w:spacing w:before="20" w:after="20"/>
              <w:jc w:val="center"/>
              <w:rPr>
                <w:b/>
              </w:rPr>
            </w:pPr>
            <w:r w:rsidRPr="00060BE9">
              <w:rPr>
                <w:b/>
              </w:rPr>
              <w:t>Year 6</w:t>
            </w:r>
          </w:p>
        </w:tc>
      </w:tr>
      <w:tr w:rsidR="00347D60" w:rsidRPr="00060BE9" w14:paraId="67FA5008" w14:textId="77777777" w:rsidTr="00DE6098">
        <w:tc>
          <w:tcPr>
            <w:tcW w:w="5000" w:type="pct"/>
            <w:gridSpan w:val="7"/>
            <w:vAlign w:val="center"/>
          </w:tcPr>
          <w:p w14:paraId="7C9129B7" w14:textId="77777777" w:rsidR="00347D60" w:rsidRPr="00060BE9" w:rsidRDefault="00347D60" w:rsidP="004553FA">
            <w:pPr>
              <w:pStyle w:val="TableText"/>
              <w:keepNext/>
              <w:keepLines/>
              <w:spacing w:before="20" w:after="20"/>
              <w:rPr>
                <w:b/>
              </w:rPr>
            </w:pPr>
            <w:r w:rsidRPr="00060BE9">
              <w:rPr>
                <w:b/>
              </w:rPr>
              <w:t xml:space="preserve">Estimated extent of use of </w:t>
            </w:r>
            <w:r w:rsidRPr="00060BE9">
              <w:rPr>
                <w:b/>
                <w:i/>
                <w:iCs/>
              </w:rPr>
              <w:t>APOE4</w:t>
            </w:r>
            <w:r w:rsidRPr="00060BE9">
              <w:rPr>
                <w:b/>
              </w:rPr>
              <w:t xml:space="preserve"> genotyping</w:t>
            </w:r>
          </w:p>
        </w:tc>
      </w:tr>
      <w:tr w:rsidR="001B18CD" w:rsidRPr="00060BE9" w14:paraId="514EB8DA" w14:textId="77777777" w:rsidTr="001B18CD">
        <w:tc>
          <w:tcPr>
            <w:tcW w:w="711" w:type="pct"/>
            <w:vAlign w:val="center"/>
          </w:tcPr>
          <w:p w14:paraId="08DD3B2B" w14:textId="77777777" w:rsidR="00347D60" w:rsidRPr="00060BE9" w:rsidRDefault="00347D60" w:rsidP="004553FA">
            <w:pPr>
              <w:pStyle w:val="TableText"/>
              <w:keepNext/>
              <w:keepLines/>
              <w:spacing w:before="20" w:after="20"/>
            </w:pPr>
            <w:r w:rsidRPr="00060BE9">
              <w:t>Number of tests</w:t>
            </w:r>
          </w:p>
        </w:tc>
        <w:tc>
          <w:tcPr>
            <w:tcW w:w="714" w:type="pct"/>
          </w:tcPr>
          <w:p w14:paraId="2A33A88E" w14:textId="6EFB8094" w:rsidR="00347D60" w:rsidRPr="00060BE9" w:rsidRDefault="00430EAF" w:rsidP="004553FA">
            <w:pPr>
              <w:pStyle w:val="TableNumber"/>
              <w:keepNext/>
              <w:keepLines/>
              <w:spacing w:before="20" w:after="20"/>
              <w:rPr>
                <w:vertAlign w:val="superscript"/>
              </w:rPr>
            </w:pPr>
            <w:r w:rsidRPr="00060BE9">
              <w:t>REDACTED</w:t>
            </w:r>
            <w:r w:rsidRPr="00060BE9" w:rsidDel="00430EAF">
              <w:t xml:space="preserve"> </w:t>
            </w:r>
            <w:r w:rsidR="00D87E65" w:rsidRPr="00060BE9">
              <w:rPr>
                <w:vertAlign w:val="superscript"/>
              </w:rPr>
              <w:t>3</w:t>
            </w:r>
          </w:p>
        </w:tc>
        <w:tc>
          <w:tcPr>
            <w:tcW w:w="714" w:type="pct"/>
          </w:tcPr>
          <w:p w14:paraId="1AD61173" w14:textId="7D013E7B"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EC64B1" w:rsidRPr="00060BE9">
              <w:rPr>
                <w:vertAlign w:val="superscript"/>
              </w:rPr>
              <w:t>4</w:t>
            </w:r>
          </w:p>
        </w:tc>
        <w:tc>
          <w:tcPr>
            <w:tcW w:w="714" w:type="pct"/>
          </w:tcPr>
          <w:p w14:paraId="216835A8" w14:textId="714BEA0B"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EC64B1" w:rsidRPr="00060BE9">
              <w:rPr>
                <w:vertAlign w:val="superscript"/>
              </w:rPr>
              <w:t>5</w:t>
            </w:r>
          </w:p>
        </w:tc>
        <w:tc>
          <w:tcPr>
            <w:tcW w:w="714" w:type="pct"/>
          </w:tcPr>
          <w:p w14:paraId="35DF2F72" w14:textId="2DCFD33F"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EC64B1" w:rsidRPr="00060BE9">
              <w:rPr>
                <w:vertAlign w:val="superscript"/>
              </w:rPr>
              <w:t>6</w:t>
            </w:r>
          </w:p>
        </w:tc>
        <w:tc>
          <w:tcPr>
            <w:tcW w:w="715" w:type="pct"/>
          </w:tcPr>
          <w:p w14:paraId="4E2BF1D8" w14:textId="11180D73"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EC64B1" w:rsidRPr="00060BE9">
              <w:rPr>
                <w:vertAlign w:val="superscript"/>
              </w:rPr>
              <w:t>7</w:t>
            </w:r>
          </w:p>
        </w:tc>
        <w:tc>
          <w:tcPr>
            <w:tcW w:w="718" w:type="pct"/>
          </w:tcPr>
          <w:p w14:paraId="06E9C59C" w14:textId="58DF6BDD"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EC64B1" w:rsidRPr="00060BE9">
              <w:rPr>
                <w:vertAlign w:val="superscript"/>
              </w:rPr>
              <w:t>8</w:t>
            </w:r>
          </w:p>
        </w:tc>
      </w:tr>
      <w:tr w:rsidR="00347D60" w:rsidRPr="00060BE9" w14:paraId="7C320EF3" w14:textId="77777777" w:rsidTr="00DE6098">
        <w:tc>
          <w:tcPr>
            <w:tcW w:w="5000" w:type="pct"/>
            <w:gridSpan w:val="7"/>
            <w:vAlign w:val="center"/>
          </w:tcPr>
          <w:p w14:paraId="54167277" w14:textId="78A9DD4F" w:rsidR="00347D60" w:rsidRPr="00060BE9" w:rsidRDefault="00347D60" w:rsidP="004553FA">
            <w:pPr>
              <w:pStyle w:val="TableText"/>
              <w:keepNext/>
              <w:keepLines/>
              <w:spacing w:before="20" w:after="20"/>
              <w:rPr>
                <w:b/>
              </w:rPr>
            </w:pPr>
            <w:r w:rsidRPr="00060BE9">
              <w:rPr>
                <w:b/>
              </w:rPr>
              <w:t>Estimated extent of use of A</w:t>
            </w:r>
            <w:r w:rsidR="0045732C" w:rsidRPr="00060BE9">
              <w:rPr>
                <w:rFonts w:ascii="Calibri" w:hAnsi="Calibri" w:cs="Calibri"/>
                <w:b/>
              </w:rPr>
              <w:t>β</w:t>
            </w:r>
            <w:r w:rsidRPr="00060BE9">
              <w:rPr>
                <w:b/>
              </w:rPr>
              <w:t>-PET scan (eligibility and monitoring)</w:t>
            </w:r>
          </w:p>
        </w:tc>
      </w:tr>
      <w:tr w:rsidR="001B18CD" w:rsidRPr="00060BE9" w14:paraId="560D4A57" w14:textId="77777777" w:rsidTr="001B18CD">
        <w:tc>
          <w:tcPr>
            <w:tcW w:w="711" w:type="pct"/>
            <w:vAlign w:val="center"/>
          </w:tcPr>
          <w:p w14:paraId="27748AAC" w14:textId="77777777" w:rsidR="00347D60" w:rsidRPr="00060BE9" w:rsidRDefault="00347D60" w:rsidP="004553FA">
            <w:pPr>
              <w:pStyle w:val="TableText"/>
              <w:keepNext/>
              <w:keepLines/>
              <w:spacing w:before="20" w:after="20"/>
            </w:pPr>
            <w:r w:rsidRPr="00060BE9">
              <w:t>Number of tests</w:t>
            </w:r>
          </w:p>
        </w:tc>
        <w:tc>
          <w:tcPr>
            <w:tcW w:w="714" w:type="pct"/>
          </w:tcPr>
          <w:p w14:paraId="3CF8AED8" w14:textId="567316E2" w:rsidR="00347D60" w:rsidRPr="00060BE9" w:rsidRDefault="00430EAF" w:rsidP="004553FA">
            <w:pPr>
              <w:pStyle w:val="TableNumber"/>
              <w:keepNext/>
              <w:keepLines/>
              <w:spacing w:before="20" w:after="20"/>
              <w:rPr>
                <w:vertAlign w:val="superscript"/>
              </w:rPr>
            </w:pPr>
            <w:r w:rsidRPr="00060BE9">
              <w:t>REDACTED</w:t>
            </w:r>
            <w:r w:rsidRPr="00060BE9" w:rsidDel="00430EAF">
              <w:t xml:space="preserve"> </w:t>
            </w:r>
            <w:r w:rsidR="00475E80" w:rsidRPr="00060BE9">
              <w:rPr>
                <w:vertAlign w:val="superscript"/>
              </w:rPr>
              <w:t>2</w:t>
            </w:r>
          </w:p>
        </w:tc>
        <w:tc>
          <w:tcPr>
            <w:tcW w:w="714" w:type="pct"/>
          </w:tcPr>
          <w:p w14:paraId="2B585D73" w14:textId="2D801E1E"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475E80" w:rsidRPr="00060BE9">
              <w:rPr>
                <w:vertAlign w:val="superscript"/>
              </w:rPr>
              <w:t>3</w:t>
            </w:r>
          </w:p>
        </w:tc>
        <w:tc>
          <w:tcPr>
            <w:tcW w:w="714" w:type="pct"/>
          </w:tcPr>
          <w:p w14:paraId="7805DB77" w14:textId="34F8EDB2"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F467A9" w:rsidRPr="00060BE9">
              <w:rPr>
                <w:vertAlign w:val="superscript"/>
              </w:rPr>
              <w:t>4</w:t>
            </w:r>
          </w:p>
        </w:tc>
        <w:tc>
          <w:tcPr>
            <w:tcW w:w="714" w:type="pct"/>
          </w:tcPr>
          <w:p w14:paraId="13C16A81" w14:textId="0688F806"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F467A9" w:rsidRPr="00060BE9">
              <w:rPr>
                <w:vertAlign w:val="superscript"/>
              </w:rPr>
              <w:t>5</w:t>
            </w:r>
          </w:p>
        </w:tc>
        <w:tc>
          <w:tcPr>
            <w:tcW w:w="715" w:type="pct"/>
          </w:tcPr>
          <w:p w14:paraId="7E1F9D84" w14:textId="3C8C0A69"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F467A9" w:rsidRPr="00060BE9">
              <w:rPr>
                <w:vertAlign w:val="superscript"/>
              </w:rPr>
              <w:t>6</w:t>
            </w:r>
          </w:p>
        </w:tc>
        <w:tc>
          <w:tcPr>
            <w:tcW w:w="718" w:type="pct"/>
          </w:tcPr>
          <w:p w14:paraId="1DEADC2C" w14:textId="158A15E9"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F467A9" w:rsidRPr="00060BE9">
              <w:rPr>
                <w:vertAlign w:val="superscript"/>
              </w:rPr>
              <w:t>7</w:t>
            </w:r>
          </w:p>
        </w:tc>
      </w:tr>
      <w:tr w:rsidR="00347D60" w:rsidRPr="00060BE9" w14:paraId="648172F8" w14:textId="77777777" w:rsidTr="00DE6098">
        <w:tc>
          <w:tcPr>
            <w:tcW w:w="5000" w:type="pct"/>
            <w:gridSpan w:val="7"/>
            <w:vAlign w:val="center"/>
          </w:tcPr>
          <w:p w14:paraId="56E9DAF3" w14:textId="77777777" w:rsidR="00347D60" w:rsidRPr="00060BE9" w:rsidRDefault="00347D60" w:rsidP="004553FA">
            <w:pPr>
              <w:pStyle w:val="TableText"/>
              <w:keepNext/>
              <w:keepLines/>
              <w:spacing w:before="20" w:after="20"/>
              <w:rPr>
                <w:b/>
              </w:rPr>
            </w:pPr>
            <w:r w:rsidRPr="00060BE9">
              <w:rPr>
                <w:b/>
              </w:rPr>
              <w:t>Estimated extent of use of CSF AD biomarker testing</w:t>
            </w:r>
          </w:p>
        </w:tc>
      </w:tr>
      <w:tr w:rsidR="001B18CD" w:rsidRPr="00060BE9" w14:paraId="1F916406" w14:textId="77777777" w:rsidTr="001B18CD">
        <w:tc>
          <w:tcPr>
            <w:tcW w:w="711" w:type="pct"/>
            <w:vAlign w:val="center"/>
          </w:tcPr>
          <w:p w14:paraId="55247400" w14:textId="77777777" w:rsidR="00347D60" w:rsidRPr="00060BE9" w:rsidRDefault="00347D60" w:rsidP="004553FA">
            <w:pPr>
              <w:pStyle w:val="TableText"/>
              <w:keepNext/>
              <w:keepLines/>
              <w:spacing w:before="20" w:after="20"/>
            </w:pPr>
            <w:r w:rsidRPr="00060BE9">
              <w:t>Number of tests</w:t>
            </w:r>
          </w:p>
        </w:tc>
        <w:tc>
          <w:tcPr>
            <w:tcW w:w="714" w:type="pct"/>
          </w:tcPr>
          <w:p w14:paraId="72831105" w14:textId="16D96A9A" w:rsidR="00347D60" w:rsidRPr="00060BE9" w:rsidRDefault="00430EAF" w:rsidP="004553FA">
            <w:pPr>
              <w:pStyle w:val="TableNumber"/>
              <w:keepNext/>
              <w:keepLines/>
              <w:spacing w:before="20" w:after="20"/>
              <w:rPr>
                <w:vertAlign w:val="superscript"/>
              </w:rPr>
            </w:pPr>
            <w:r w:rsidRPr="00060BE9">
              <w:t>REDACTED</w:t>
            </w:r>
            <w:r w:rsidRPr="00060BE9" w:rsidDel="00430EAF">
              <w:t xml:space="preserve"> </w:t>
            </w:r>
            <w:r w:rsidR="00144F1F" w:rsidRPr="00060BE9">
              <w:rPr>
                <w:vertAlign w:val="superscript"/>
              </w:rPr>
              <w:t>1</w:t>
            </w:r>
          </w:p>
        </w:tc>
        <w:tc>
          <w:tcPr>
            <w:tcW w:w="714" w:type="pct"/>
          </w:tcPr>
          <w:p w14:paraId="2930D1AC" w14:textId="5479596B"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6B5FAC" w:rsidRPr="00060BE9">
              <w:rPr>
                <w:vertAlign w:val="superscript"/>
              </w:rPr>
              <w:t>1</w:t>
            </w:r>
          </w:p>
        </w:tc>
        <w:tc>
          <w:tcPr>
            <w:tcW w:w="714" w:type="pct"/>
          </w:tcPr>
          <w:p w14:paraId="50E879D7" w14:textId="0F61D077"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6B5FAC" w:rsidRPr="00060BE9">
              <w:rPr>
                <w:vertAlign w:val="superscript"/>
              </w:rPr>
              <w:t>2</w:t>
            </w:r>
          </w:p>
        </w:tc>
        <w:tc>
          <w:tcPr>
            <w:tcW w:w="714" w:type="pct"/>
          </w:tcPr>
          <w:p w14:paraId="01971C74" w14:textId="781C25CD"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6B5FAC" w:rsidRPr="00060BE9">
              <w:rPr>
                <w:vertAlign w:val="superscript"/>
              </w:rPr>
              <w:t>2</w:t>
            </w:r>
          </w:p>
        </w:tc>
        <w:tc>
          <w:tcPr>
            <w:tcW w:w="715" w:type="pct"/>
          </w:tcPr>
          <w:p w14:paraId="1D2B3E79" w14:textId="27A5E4E4"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3D5241" w:rsidRPr="00060BE9">
              <w:rPr>
                <w:vertAlign w:val="superscript"/>
              </w:rPr>
              <w:t>3</w:t>
            </w:r>
          </w:p>
        </w:tc>
        <w:tc>
          <w:tcPr>
            <w:tcW w:w="718" w:type="pct"/>
          </w:tcPr>
          <w:p w14:paraId="1F086181" w14:textId="3CF84057" w:rsidR="00347D60" w:rsidRPr="00060BE9" w:rsidRDefault="00430EAF" w:rsidP="004553FA">
            <w:pPr>
              <w:pStyle w:val="TableText"/>
              <w:keepNext/>
              <w:keepLines/>
              <w:tabs>
                <w:tab w:val="decimal" w:pos="396"/>
              </w:tabs>
              <w:spacing w:before="20" w:after="20"/>
              <w:jc w:val="center"/>
              <w:rPr>
                <w:vertAlign w:val="superscript"/>
              </w:rPr>
            </w:pPr>
            <w:r w:rsidRPr="00060BE9">
              <w:t>REDACTED</w:t>
            </w:r>
            <w:r w:rsidRPr="00060BE9" w:rsidDel="00430EAF">
              <w:t xml:space="preserve"> </w:t>
            </w:r>
            <w:r w:rsidR="003D5241" w:rsidRPr="00060BE9">
              <w:rPr>
                <w:vertAlign w:val="superscript"/>
              </w:rPr>
              <w:t>3</w:t>
            </w:r>
          </w:p>
        </w:tc>
      </w:tr>
      <w:tr w:rsidR="00347D60" w:rsidRPr="00060BE9" w14:paraId="33A09B69" w14:textId="77777777" w:rsidTr="00DE6098">
        <w:tc>
          <w:tcPr>
            <w:tcW w:w="5000" w:type="pct"/>
            <w:gridSpan w:val="7"/>
            <w:vAlign w:val="center"/>
          </w:tcPr>
          <w:p w14:paraId="27B70752" w14:textId="77777777" w:rsidR="00347D60" w:rsidRPr="00060BE9" w:rsidRDefault="00347D60" w:rsidP="004553FA">
            <w:pPr>
              <w:pStyle w:val="TableText"/>
              <w:keepNext/>
              <w:keepLines/>
              <w:spacing w:before="20" w:after="20"/>
              <w:rPr>
                <w:b/>
              </w:rPr>
            </w:pPr>
            <w:r w:rsidRPr="00060BE9">
              <w:rPr>
                <w:b/>
              </w:rPr>
              <w:t>Estimated extent of use of donanemab</w:t>
            </w:r>
          </w:p>
        </w:tc>
      </w:tr>
      <w:tr w:rsidR="001B18CD" w:rsidRPr="00060BE9" w14:paraId="5DA18EED" w14:textId="77777777" w:rsidTr="001B18CD">
        <w:tc>
          <w:tcPr>
            <w:tcW w:w="711" w:type="pct"/>
            <w:vAlign w:val="center"/>
          </w:tcPr>
          <w:p w14:paraId="1466F2CD" w14:textId="745ADADD" w:rsidR="00347D60" w:rsidRPr="00060BE9" w:rsidRDefault="00347D60" w:rsidP="004553FA">
            <w:pPr>
              <w:pStyle w:val="TableText"/>
              <w:keepNext/>
              <w:keepLines/>
              <w:spacing w:before="20" w:after="20"/>
              <w:rPr>
                <w:rFonts w:ascii="Times" w:eastAsia="Times New Roman" w:hAnsi="Times" w:cs="Times New Roman"/>
              </w:rPr>
            </w:pPr>
            <w:r w:rsidRPr="00060BE9">
              <w:t xml:space="preserve">Number of scripts dispensed / infusions </w:t>
            </w:r>
            <w:r w:rsidRPr="00060BE9">
              <w:rPr>
                <w:vertAlign w:val="superscript"/>
              </w:rPr>
              <w:t>a</w:t>
            </w:r>
          </w:p>
        </w:tc>
        <w:tc>
          <w:tcPr>
            <w:tcW w:w="714" w:type="pct"/>
          </w:tcPr>
          <w:p w14:paraId="4C7D6FE0" w14:textId="18CD3D6E"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DC6569" w:rsidRPr="00060BE9">
              <w:rPr>
                <w:vertAlign w:val="superscript"/>
              </w:rPr>
              <w:t>10</w:t>
            </w:r>
          </w:p>
        </w:tc>
        <w:tc>
          <w:tcPr>
            <w:tcW w:w="714" w:type="pct"/>
          </w:tcPr>
          <w:p w14:paraId="0339B035" w14:textId="724DD201"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434E5D" w:rsidRPr="00060BE9">
              <w:rPr>
                <w:vertAlign w:val="superscript"/>
              </w:rPr>
              <w:t>11</w:t>
            </w:r>
          </w:p>
        </w:tc>
        <w:tc>
          <w:tcPr>
            <w:tcW w:w="714" w:type="pct"/>
          </w:tcPr>
          <w:p w14:paraId="57298DD6" w14:textId="17A7089A"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434E5D" w:rsidRPr="00060BE9">
              <w:rPr>
                <w:vertAlign w:val="superscript"/>
              </w:rPr>
              <w:t>12</w:t>
            </w:r>
          </w:p>
        </w:tc>
        <w:tc>
          <w:tcPr>
            <w:tcW w:w="714" w:type="pct"/>
          </w:tcPr>
          <w:p w14:paraId="70332781" w14:textId="5F354816"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434E5D" w:rsidRPr="00060BE9">
              <w:rPr>
                <w:vertAlign w:val="superscript"/>
              </w:rPr>
              <w:t>13</w:t>
            </w:r>
          </w:p>
        </w:tc>
        <w:tc>
          <w:tcPr>
            <w:tcW w:w="715" w:type="pct"/>
          </w:tcPr>
          <w:p w14:paraId="757F6BC2" w14:textId="30308E1C"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434E5D" w:rsidRPr="00060BE9">
              <w:rPr>
                <w:vertAlign w:val="superscript"/>
              </w:rPr>
              <w:t>14</w:t>
            </w:r>
          </w:p>
        </w:tc>
        <w:tc>
          <w:tcPr>
            <w:tcW w:w="718" w:type="pct"/>
          </w:tcPr>
          <w:p w14:paraId="3455E0E5" w14:textId="19992216" w:rsidR="00347D60" w:rsidRPr="00060BE9" w:rsidRDefault="00430EAF" w:rsidP="004553FA">
            <w:pPr>
              <w:pStyle w:val="TableText"/>
              <w:keepNext/>
              <w:keepLines/>
              <w:spacing w:before="20" w:after="20"/>
              <w:jc w:val="center"/>
              <w:rPr>
                <w:vertAlign w:val="superscript"/>
              </w:rPr>
            </w:pPr>
            <w:r w:rsidRPr="00060BE9">
              <w:t>REDACTED</w:t>
            </w:r>
            <w:r w:rsidRPr="00060BE9" w:rsidDel="00430EAF">
              <w:t xml:space="preserve"> </w:t>
            </w:r>
            <w:r w:rsidR="00434E5D" w:rsidRPr="00060BE9">
              <w:rPr>
                <w:vertAlign w:val="superscript"/>
              </w:rPr>
              <w:t>15</w:t>
            </w:r>
          </w:p>
        </w:tc>
      </w:tr>
      <w:tr w:rsidR="00347D60" w:rsidRPr="00060BE9" w14:paraId="66952078" w14:textId="77777777" w:rsidTr="00DE6098">
        <w:tc>
          <w:tcPr>
            <w:tcW w:w="5000" w:type="pct"/>
            <w:gridSpan w:val="7"/>
            <w:vAlign w:val="center"/>
          </w:tcPr>
          <w:p w14:paraId="19F4FCDB" w14:textId="77777777" w:rsidR="00347D60" w:rsidRPr="00060BE9" w:rsidRDefault="00347D60" w:rsidP="004553FA">
            <w:pPr>
              <w:pStyle w:val="TableText"/>
              <w:keepNext/>
              <w:keepLines/>
              <w:spacing w:before="20" w:after="20"/>
              <w:rPr>
                <w:b/>
                <w:bCs/>
                <w:color w:val="000000"/>
              </w:rPr>
            </w:pPr>
            <w:r w:rsidRPr="00060BE9">
              <w:rPr>
                <w:b/>
              </w:rPr>
              <w:t xml:space="preserve">Estimated financial implications of the </w:t>
            </w:r>
            <w:r w:rsidRPr="00060BE9">
              <w:rPr>
                <w:b/>
                <w:i/>
                <w:iCs/>
              </w:rPr>
              <w:t>APOE4</w:t>
            </w:r>
            <w:r w:rsidRPr="00060BE9">
              <w:rPr>
                <w:b/>
              </w:rPr>
              <w:t xml:space="preserve"> genotyping to the MBS</w:t>
            </w:r>
          </w:p>
        </w:tc>
      </w:tr>
      <w:tr w:rsidR="001B18CD" w:rsidRPr="00060BE9" w14:paraId="48F40376" w14:textId="77777777" w:rsidTr="001B18CD">
        <w:tc>
          <w:tcPr>
            <w:tcW w:w="711" w:type="pct"/>
            <w:vAlign w:val="center"/>
          </w:tcPr>
          <w:p w14:paraId="020B7D4E" w14:textId="77777777" w:rsidR="00347D60" w:rsidRPr="00060BE9" w:rsidRDefault="00347D60" w:rsidP="004553FA">
            <w:pPr>
              <w:pStyle w:val="TableText"/>
              <w:keepNext/>
              <w:keepLines/>
              <w:spacing w:before="20" w:after="20"/>
            </w:pPr>
            <w:r w:rsidRPr="00060BE9">
              <w:t>Cost to the MBS</w:t>
            </w:r>
          </w:p>
        </w:tc>
        <w:tc>
          <w:tcPr>
            <w:tcW w:w="714" w:type="pct"/>
          </w:tcPr>
          <w:p w14:paraId="0DD2C76C" w14:textId="58963588"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E04246" w:rsidRPr="00060BE9">
              <w:rPr>
                <w:szCs w:val="20"/>
                <w:vertAlign w:val="superscript"/>
              </w:rPr>
              <w:t>1</w:t>
            </w:r>
            <w:r w:rsidR="000E5F66" w:rsidRPr="00060BE9">
              <w:rPr>
                <w:szCs w:val="20"/>
                <w:vertAlign w:val="superscript"/>
              </w:rPr>
              <w:t>6</w:t>
            </w:r>
          </w:p>
        </w:tc>
        <w:tc>
          <w:tcPr>
            <w:tcW w:w="714" w:type="pct"/>
          </w:tcPr>
          <w:p w14:paraId="6A39228C" w14:textId="53E3977C"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E04246" w:rsidRPr="00060BE9">
              <w:rPr>
                <w:szCs w:val="20"/>
                <w:vertAlign w:val="superscript"/>
              </w:rPr>
              <w:t>1</w:t>
            </w:r>
            <w:r w:rsidR="000E5F66" w:rsidRPr="00060BE9">
              <w:rPr>
                <w:szCs w:val="20"/>
                <w:vertAlign w:val="superscript"/>
              </w:rPr>
              <w:t>6</w:t>
            </w:r>
          </w:p>
        </w:tc>
        <w:tc>
          <w:tcPr>
            <w:tcW w:w="714" w:type="pct"/>
          </w:tcPr>
          <w:p w14:paraId="2CEF3B10" w14:textId="235E30CC"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53470B" w:rsidRPr="00060BE9">
              <w:rPr>
                <w:szCs w:val="20"/>
                <w:vertAlign w:val="superscript"/>
              </w:rPr>
              <w:t>1</w:t>
            </w:r>
            <w:r w:rsidR="000E5F66" w:rsidRPr="00060BE9">
              <w:rPr>
                <w:szCs w:val="20"/>
                <w:vertAlign w:val="superscript"/>
              </w:rPr>
              <w:t>6</w:t>
            </w:r>
          </w:p>
        </w:tc>
        <w:tc>
          <w:tcPr>
            <w:tcW w:w="714" w:type="pct"/>
          </w:tcPr>
          <w:p w14:paraId="70B9A55C" w14:textId="5BE4385F"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53470B" w:rsidRPr="00060BE9">
              <w:rPr>
                <w:szCs w:val="20"/>
                <w:vertAlign w:val="superscript"/>
              </w:rPr>
              <w:t>1</w:t>
            </w:r>
            <w:r w:rsidR="000E5F66" w:rsidRPr="00060BE9">
              <w:rPr>
                <w:szCs w:val="20"/>
                <w:vertAlign w:val="superscript"/>
              </w:rPr>
              <w:t>6</w:t>
            </w:r>
          </w:p>
        </w:tc>
        <w:tc>
          <w:tcPr>
            <w:tcW w:w="715" w:type="pct"/>
          </w:tcPr>
          <w:p w14:paraId="1D099E61" w14:textId="47C98417"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53470B" w:rsidRPr="00060BE9">
              <w:rPr>
                <w:szCs w:val="20"/>
                <w:vertAlign w:val="superscript"/>
              </w:rPr>
              <w:t>1</w:t>
            </w:r>
            <w:r w:rsidR="000E5F66" w:rsidRPr="00060BE9">
              <w:rPr>
                <w:szCs w:val="20"/>
                <w:vertAlign w:val="superscript"/>
              </w:rPr>
              <w:t>6</w:t>
            </w:r>
          </w:p>
        </w:tc>
        <w:tc>
          <w:tcPr>
            <w:tcW w:w="718" w:type="pct"/>
          </w:tcPr>
          <w:p w14:paraId="150DAEB5" w14:textId="425C421C"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961447" w:rsidRPr="00060BE9">
              <w:rPr>
                <w:szCs w:val="20"/>
                <w:vertAlign w:val="superscript"/>
              </w:rPr>
              <w:t>1</w:t>
            </w:r>
            <w:r w:rsidR="000E5F66" w:rsidRPr="00060BE9">
              <w:rPr>
                <w:szCs w:val="20"/>
                <w:vertAlign w:val="superscript"/>
              </w:rPr>
              <w:t>7</w:t>
            </w:r>
          </w:p>
        </w:tc>
      </w:tr>
      <w:tr w:rsidR="00347D60" w:rsidRPr="00060BE9" w14:paraId="2717819E" w14:textId="77777777" w:rsidTr="00DE6098">
        <w:tc>
          <w:tcPr>
            <w:tcW w:w="5000" w:type="pct"/>
            <w:gridSpan w:val="7"/>
            <w:vAlign w:val="center"/>
          </w:tcPr>
          <w:p w14:paraId="54359810" w14:textId="279C1171" w:rsidR="00347D60" w:rsidRPr="00060BE9" w:rsidRDefault="00347D60" w:rsidP="004553FA">
            <w:pPr>
              <w:pStyle w:val="TableText"/>
              <w:keepNext/>
              <w:keepLines/>
              <w:spacing w:before="20" w:after="20"/>
              <w:rPr>
                <w:b/>
                <w:bCs/>
                <w:color w:val="000000"/>
                <w:szCs w:val="20"/>
              </w:rPr>
            </w:pPr>
            <w:r w:rsidRPr="00060BE9">
              <w:rPr>
                <w:b/>
                <w:szCs w:val="20"/>
              </w:rPr>
              <w:t>Estimated financial implications of the A</w:t>
            </w:r>
            <w:r w:rsidR="0045732C" w:rsidRPr="00060BE9">
              <w:rPr>
                <w:rFonts w:ascii="Calibri" w:hAnsi="Calibri" w:cs="Calibri"/>
                <w:b/>
                <w:szCs w:val="20"/>
              </w:rPr>
              <w:t>β</w:t>
            </w:r>
            <w:r w:rsidRPr="00060BE9">
              <w:rPr>
                <w:b/>
                <w:szCs w:val="20"/>
              </w:rPr>
              <w:t>-PET scan to the MBS</w:t>
            </w:r>
          </w:p>
        </w:tc>
      </w:tr>
      <w:tr w:rsidR="001B18CD" w:rsidRPr="00060BE9" w14:paraId="4B144F90" w14:textId="77777777" w:rsidTr="001B18CD">
        <w:tc>
          <w:tcPr>
            <w:tcW w:w="711" w:type="pct"/>
            <w:vAlign w:val="center"/>
          </w:tcPr>
          <w:p w14:paraId="4BD46224" w14:textId="77777777" w:rsidR="00347D60" w:rsidRPr="00060BE9" w:rsidRDefault="00347D60" w:rsidP="004553FA">
            <w:pPr>
              <w:pStyle w:val="TableText"/>
              <w:keepNext/>
              <w:keepLines/>
              <w:spacing w:before="20" w:after="20"/>
            </w:pPr>
            <w:r w:rsidRPr="00060BE9">
              <w:t>Cost to the MBS</w:t>
            </w:r>
          </w:p>
        </w:tc>
        <w:tc>
          <w:tcPr>
            <w:tcW w:w="714" w:type="pct"/>
          </w:tcPr>
          <w:p w14:paraId="2DC5CD74" w14:textId="6AD1EE0C"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DD1851" w:rsidRPr="00060BE9">
              <w:rPr>
                <w:szCs w:val="20"/>
                <w:vertAlign w:val="superscript"/>
              </w:rPr>
              <w:t>21</w:t>
            </w:r>
          </w:p>
        </w:tc>
        <w:tc>
          <w:tcPr>
            <w:tcW w:w="714" w:type="pct"/>
          </w:tcPr>
          <w:p w14:paraId="1867B4D5" w14:textId="0D579707"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330F47" w:rsidRPr="00060BE9">
              <w:rPr>
                <w:szCs w:val="20"/>
                <w:vertAlign w:val="superscript"/>
              </w:rPr>
              <w:t>22</w:t>
            </w:r>
          </w:p>
        </w:tc>
        <w:tc>
          <w:tcPr>
            <w:tcW w:w="714" w:type="pct"/>
          </w:tcPr>
          <w:p w14:paraId="5D91131D" w14:textId="48E6684E"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330F47" w:rsidRPr="00060BE9">
              <w:rPr>
                <w:szCs w:val="20"/>
                <w:vertAlign w:val="superscript"/>
              </w:rPr>
              <w:t>23</w:t>
            </w:r>
          </w:p>
        </w:tc>
        <w:tc>
          <w:tcPr>
            <w:tcW w:w="714" w:type="pct"/>
          </w:tcPr>
          <w:p w14:paraId="2197212B" w14:textId="0699A07D"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330F47" w:rsidRPr="00060BE9">
              <w:rPr>
                <w:szCs w:val="20"/>
                <w:vertAlign w:val="superscript"/>
              </w:rPr>
              <w:t>25</w:t>
            </w:r>
          </w:p>
        </w:tc>
        <w:tc>
          <w:tcPr>
            <w:tcW w:w="715" w:type="pct"/>
          </w:tcPr>
          <w:p w14:paraId="3DE03C19" w14:textId="1BBD5458"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E20686" w:rsidRPr="00060BE9">
              <w:rPr>
                <w:szCs w:val="20"/>
                <w:vertAlign w:val="superscript"/>
              </w:rPr>
              <w:t>26</w:t>
            </w:r>
          </w:p>
        </w:tc>
        <w:tc>
          <w:tcPr>
            <w:tcW w:w="718" w:type="pct"/>
          </w:tcPr>
          <w:p w14:paraId="5E6E5DE0" w14:textId="072A0359" w:rsidR="00347D60" w:rsidRPr="00060BE9" w:rsidRDefault="00347D60" w:rsidP="004553FA">
            <w:pPr>
              <w:pStyle w:val="TableText"/>
              <w:keepNext/>
              <w:keepLines/>
              <w:spacing w:before="20" w:after="20"/>
              <w:jc w:val="center"/>
              <w:rPr>
                <w:szCs w:val="20"/>
                <w:vertAlign w:val="superscript"/>
              </w:rPr>
            </w:pPr>
            <w:r w:rsidRPr="00060BE9">
              <w:rPr>
                <w:szCs w:val="20"/>
              </w:rPr>
              <w:t>$</w:t>
            </w:r>
            <w:r w:rsidR="00430EAF" w:rsidRPr="00060BE9">
              <w:t xml:space="preserve"> REDACTED</w:t>
            </w:r>
            <w:r w:rsidR="00430EAF" w:rsidRPr="00060BE9" w:rsidDel="00430EAF">
              <w:rPr>
                <w:szCs w:val="20"/>
              </w:rPr>
              <w:t xml:space="preserve"> </w:t>
            </w:r>
            <w:r w:rsidR="00E20686" w:rsidRPr="00060BE9">
              <w:rPr>
                <w:szCs w:val="20"/>
                <w:vertAlign w:val="superscript"/>
              </w:rPr>
              <w:t>26</w:t>
            </w:r>
          </w:p>
        </w:tc>
      </w:tr>
      <w:tr w:rsidR="00347D60" w:rsidRPr="00060BE9" w14:paraId="75AC2126" w14:textId="77777777" w:rsidTr="00DE6098">
        <w:tc>
          <w:tcPr>
            <w:tcW w:w="5000" w:type="pct"/>
            <w:gridSpan w:val="7"/>
            <w:vAlign w:val="center"/>
          </w:tcPr>
          <w:p w14:paraId="653D2472" w14:textId="77777777" w:rsidR="00347D60" w:rsidRPr="00060BE9" w:rsidRDefault="00347D60" w:rsidP="004553FA">
            <w:pPr>
              <w:pStyle w:val="TableText"/>
              <w:keepNext/>
              <w:keepLines/>
              <w:spacing w:before="20" w:after="20"/>
              <w:rPr>
                <w:b/>
                <w:bCs/>
                <w:color w:val="000000"/>
                <w:szCs w:val="20"/>
              </w:rPr>
            </w:pPr>
            <w:r w:rsidRPr="00060BE9">
              <w:rPr>
                <w:b/>
                <w:szCs w:val="20"/>
              </w:rPr>
              <w:t>Estimated financial implications of the CSF AD biomarker testing to the MBS</w:t>
            </w:r>
          </w:p>
        </w:tc>
      </w:tr>
      <w:tr w:rsidR="001B18CD" w:rsidRPr="00060BE9" w14:paraId="066F91CC" w14:textId="77777777" w:rsidTr="001B18CD">
        <w:tc>
          <w:tcPr>
            <w:tcW w:w="711" w:type="pct"/>
            <w:vAlign w:val="center"/>
          </w:tcPr>
          <w:p w14:paraId="678092AF" w14:textId="77777777" w:rsidR="00347D60" w:rsidRPr="00060BE9" w:rsidRDefault="00347D60" w:rsidP="004553FA">
            <w:pPr>
              <w:pStyle w:val="TableText"/>
              <w:keepNext/>
              <w:keepLines/>
              <w:spacing w:before="20" w:after="20"/>
            </w:pPr>
            <w:r w:rsidRPr="00060BE9">
              <w:t>Cost to the MBS</w:t>
            </w:r>
          </w:p>
        </w:tc>
        <w:tc>
          <w:tcPr>
            <w:tcW w:w="714" w:type="pct"/>
          </w:tcPr>
          <w:p w14:paraId="4A88225C" w14:textId="6C23FC9E"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FC33C8" w:rsidRPr="00060BE9">
              <w:rPr>
                <w:szCs w:val="20"/>
                <w:vertAlign w:val="superscript"/>
              </w:rPr>
              <w:t>1</w:t>
            </w:r>
            <w:r w:rsidR="007E1799" w:rsidRPr="00060BE9">
              <w:rPr>
                <w:szCs w:val="20"/>
                <w:vertAlign w:val="superscript"/>
              </w:rPr>
              <w:t>6</w:t>
            </w:r>
          </w:p>
        </w:tc>
        <w:tc>
          <w:tcPr>
            <w:tcW w:w="714" w:type="pct"/>
          </w:tcPr>
          <w:p w14:paraId="639AF4A4" w14:textId="748B853D"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FC33C8" w:rsidRPr="00060BE9">
              <w:rPr>
                <w:szCs w:val="20"/>
                <w:vertAlign w:val="superscript"/>
              </w:rPr>
              <w:t>1</w:t>
            </w:r>
            <w:r w:rsidR="007E1799" w:rsidRPr="00060BE9">
              <w:rPr>
                <w:szCs w:val="20"/>
                <w:vertAlign w:val="superscript"/>
              </w:rPr>
              <w:t>6</w:t>
            </w:r>
          </w:p>
        </w:tc>
        <w:tc>
          <w:tcPr>
            <w:tcW w:w="714" w:type="pct"/>
          </w:tcPr>
          <w:p w14:paraId="4AA833E2" w14:textId="66D53D6C"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747DE1" w:rsidRPr="00060BE9">
              <w:rPr>
                <w:szCs w:val="20"/>
                <w:vertAlign w:val="superscript"/>
              </w:rPr>
              <w:t>1</w:t>
            </w:r>
            <w:r w:rsidR="007E1799" w:rsidRPr="00060BE9">
              <w:rPr>
                <w:szCs w:val="20"/>
                <w:vertAlign w:val="superscript"/>
              </w:rPr>
              <w:t>6</w:t>
            </w:r>
          </w:p>
        </w:tc>
        <w:tc>
          <w:tcPr>
            <w:tcW w:w="714" w:type="pct"/>
          </w:tcPr>
          <w:p w14:paraId="31DB4C0E" w14:textId="38E06327"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747DE1" w:rsidRPr="00060BE9">
              <w:rPr>
                <w:szCs w:val="20"/>
                <w:vertAlign w:val="superscript"/>
              </w:rPr>
              <w:t>1</w:t>
            </w:r>
            <w:r w:rsidR="007E1799" w:rsidRPr="00060BE9">
              <w:rPr>
                <w:szCs w:val="20"/>
                <w:vertAlign w:val="superscript"/>
              </w:rPr>
              <w:t>6</w:t>
            </w:r>
          </w:p>
        </w:tc>
        <w:tc>
          <w:tcPr>
            <w:tcW w:w="715" w:type="pct"/>
          </w:tcPr>
          <w:p w14:paraId="45017E97" w14:textId="6AAAE92C"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B8436D" w:rsidRPr="00060BE9">
              <w:rPr>
                <w:szCs w:val="20"/>
                <w:vertAlign w:val="superscript"/>
              </w:rPr>
              <w:t>1</w:t>
            </w:r>
            <w:r w:rsidR="007E1799" w:rsidRPr="00060BE9">
              <w:rPr>
                <w:szCs w:val="20"/>
                <w:vertAlign w:val="superscript"/>
              </w:rPr>
              <w:t>7</w:t>
            </w:r>
          </w:p>
        </w:tc>
        <w:tc>
          <w:tcPr>
            <w:tcW w:w="718" w:type="pct"/>
          </w:tcPr>
          <w:p w14:paraId="656247F6" w14:textId="498CA12F" w:rsidR="00347D60" w:rsidRPr="00060BE9" w:rsidRDefault="00347D60" w:rsidP="004553FA">
            <w:pPr>
              <w:pStyle w:val="TableText"/>
              <w:keepNext/>
              <w:keepLines/>
              <w:spacing w:before="20" w:after="20"/>
              <w:jc w:val="center"/>
              <w:rPr>
                <w:szCs w:val="20"/>
                <w:vertAlign w:val="superscript"/>
              </w:rPr>
            </w:pPr>
            <w:r w:rsidRPr="00060BE9">
              <w:rPr>
                <w:szCs w:val="20"/>
              </w:rPr>
              <w:t>$</w:t>
            </w:r>
            <w:r w:rsidR="00293635" w:rsidRPr="00060BE9">
              <w:t xml:space="preserve"> REDACTED</w:t>
            </w:r>
            <w:r w:rsidR="00293635" w:rsidRPr="00060BE9" w:rsidDel="00293635">
              <w:rPr>
                <w:szCs w:val="20"/>
              </w:rPr>
              <w:t xml:space="preserve"> </w:t>
            </w:r>
            <w:r w:rsidR="00B8436D" w:rsidRPr="00060BE9">
              <w:rPr>
                <w:szCs w:val="20"/>
                <w:vertAlign w:val="superscript"/>
              </w:rPr>
              <w:t>1</w:t>
            </w:r>
            <w:r w:rsidR="007E1799" w:rsidRPr="00060BE9">
              <w:rPr>
                <w:szCs w:val="20"/>
                <w:vertAlign w:val="superscript"/>
              </w:rPr>
              <w:t>7</w:t>
            </w:r>
          </w:p>
        </w:tc>
      </w:tr>
      <w:tr w:rsidR="00347D60" w:rsidRPr="00060BE9" w14:paraId="7ACE8BEF" w14:textId="77777777" w:rsidTr="00DE6098">
        <w:tc>
          <w:tcPr>
            <w:tcW w:w="5000" w:type="pct"/>
            <w:gridSpan w:val="7"/>
            <w:vAlign w:val="center"/>
          </w:tcPr>
          <w:p w14:paraId="56AE6110" w14:textId="77777777" w:rsidR="00347D60" w:rsidRPr="00060BE9" w:rsidRDefault="00347D60" w:rsidP="004553FA">
            <w:pPr>
              <w:pStyle w:val="TableText"/>
              <w:keepNext/>
              <w:keepLines/>
              <w:spacing w:before="20" w:after="20"/>
              <w:rPr>
                <w:b/>
                <w:szCs w:val="20"/>
              </w:rPr>
            </w:pPr>
            <w:r w:rsidRPr="00060BE9">
              <w:rPr>
                <w:b/>
                <w:szCs w:val="20"/>
              </w:rPr>
              <w:t>Estimated financial implications for additional services to the MBS</w:t>
            </w:r>
          </w:p>
        </w:tc>
      </w:tr>
      <w:tr w:rsidR="001B18CD" w:rsidRPr="00060BE9" w14:paraId="5253B084" w14:textId="77777777" w:rsidTr="001B18CD">
        <w:tc>
          <w:tcPr>
            <w:tcW w:w="711" w:type="pct"/>
          </w:tcPr>
          <w:p w14:paraId="60DB49F5" w14:textId="77777777" w:rsidR="00347D60" w:rsidRPr="00060BE9" w:rsidRDefault="00347D60" w:rsidP="004553FA">
            <w:pPr>
              <w:pStyle w:val="TableText"/>
              <w:keepNext/>
              <w:keepLines/>
              <w:spacing w:before="20" w:after="20"/>
            </w:pPr>
            <w:r w:rsidRPr="00060BE9">
              <w:t>MRI scans – ARIA</w:t>
            </w:r>
          </w:p>
        </w:tc>
        <w:tc>
          <w:tcPr>
            <w:tcW w:w="714" w:type="pct"/>
          </w:tcPr>
          <w:p w14:paraId="57B118D7" w14:textId="159A8A6B"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D62335" w:rsidRPr="00060BE9">
              <w:rPr>
                <w:szCs w:val="20"/>
                <w:vertAlign w:val="superscript"/>
              </w:rPr>
              <w:t>19</w:t>
            </w:r>
          </w:p>
        </w:tc>
        <w:tc>
          <w:tcPr>
            <w:tcW w:w="714" w:type="pct"/>
          </w:tcPr>
          <w:p w14:paraId="4012CBF8" w14:textId="3C1DF457"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D62335" w:rsidRPr="00060BE9">
              <w:rPr>
                <w:szCs w:val="20"/>
                <w:vertAlign w:val="superscript"/>
              </w:rPr>
              <w:t>20</w:t>
            </w:r>
          </w:p>
        </w:tc>
        <w:tc>
          <w:tcPr>
            <w:tcW w:w="714" w:type="pct"/>
          </w:tcPr>
          <w:p w14:paraId="2C27B718" w14:textId="2952C168"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323EB0" w:rsidRPr="00060BE9">
              <w:rPr>
                <w:szCs w:val="20"/>
                <w:vertAlign w:val="superscript"/>
              </w:rPr>
              <w:t>21</w:t>
            </w:r>
          </w:p>
        </w:tc>
        <w:tc>
          <w:tcPr>
            <w:tcW w:w="714" w:type="pct"/>
          </w:tcPr>
          <w:p w14:paraId="0AA7F0EF" w14:textId="316A5AFC"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FA41C2" w:rsidRPr="00060BE9">
              <w:rPr>
                <w:szCs w:val="20"/>
                <w:vertAlign w:val="superscript"/>
              </w:rPr>
              <w:t>22</w:t>
            </w:r>
          </w:p>
        </w:tc>
        <w:tc>
          <w:tcPr>
            <w:tcW w:w="715" w:type="pct"/>
          </w:tcPr>
          <w:p w14:paraId="67D2B2CD" w14:textId="758BC879"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8B2E11" w:rsidRPr="00060BE9">
              <w:rPr>
                <w:szCs w:val="20"/>
                <w:vertAlign w:val="superscript"/>
              </w:rPr>
              <w:t>24</w:t>
            </w:r>
          </w:p>
        </w:tc>
        <w:tc>
          <w:tcPr>
            <w:tcW w:w="718" w:type="pct"/>
          </w:tcPr>
          <w:p w14:paraId="1922423C" w14:textId="46DC9AFD"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8B2E11" w:rsidRPr="00060BE9">
              <w:rPr>
                <w:szCs w:val="20"/>
                <w:vertAlign w:val="superscript"/>
              </w:rPr>
              <w:t>25</w:t>
            </w:r>
          </w:p>
        </w:tc>
      </w:tr>
      <w:tr w:rsidR="001B18CD" w:rsidRPr="00060BE9" w14:paraId="3298EDF7" w14:textId="77777777" w:rsidTr="001B18CD">
        <w:tc>
          <w:tcPr>
            <w:tcW w:w="711" w:type="pct"/>
          </w:tcPr>
          <w:p w14:paraId="6FA7A50C" w14:textId="77777777" w:rsidR="00347D60" w:rsidRPr="00060BE9" w:rsidRDefault="00347D60" w:rsidP="004553FA">
            <w:pPr>
              <w:pStyle w:val="TableText"/>
              <w:keepNext/>
              <w:keepLines/>
              <w:spacing w:before="20" w:after="20"/>
            </w:pPr>
            <w:r w:rsidRPr="00060BE9">
              <w:t>CT scan with PET scan</w:t>
            </w:r>
          </w:p>
        </w:tc>
        <w:tc>
          <w:tcPr>
            <w:tcW w:w="714" w:type="pct"/>
          </w:tcPr>
          <w:p w14:paraId="0D73A92F" w14:textId="6B680472"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8759CA" w:rsidRPr="00060BE9">
              <w:rPr>
                <w:szCs w:val="20"/>
                <w:vertAlign w:val="superscript"/>
              </w:rPr>
              <w:t>1</w:t>
            </w:r>
            <w:r w:rsidR="00647441" w:rsidRPr="00060BE9">
              <w:rPr>
                <w:szCs w:val="20"/>
                <w:vertAlign w:val="superscript"/>
              </w:rPr>
              <w:t>6</w:t>
            </w:r>
          </w:p>
        </w:tc>
        <w:tc>
          <w:tcPr>
            <w:tcW w:w="714" w:type="pct"/>
          </w:tcPr>
          <w:p w14:paraId="292E323D" w14:textId="786CB321"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2164A0" w:rsidRPr="00060BE9">
              <w:rPr>
                <w:szCs w:val="20"/>
                <w:vertAlign w:val="superscript"/>
              </w:rPr>
              <w:t>1</w:t>
            </w:r>
            <w:r w:rsidR="00647441" w:rsidRPr="00060BE9">
              <w:rPr>
                <w:szCs w:val="20"/>
                <w:vertAlign w:val="superscript"/>
              </w:rPr>
              <w:t>6</w:t>
            </w:r>
          </w:p>
        </w:tc>
        <w:tc>
          <w:tcPr>
            <w:tcW w:w="714" w:type="pct"/>
          </w:tcPr>
          <w:p w14:paraId="6C4A108B" w14:textId="57806440"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2164A0" w:rsidRPr="00060BE9">
              <w:rPr>
                <w:szCs w:val="20"/>
                <w:vertAlign w:val="superscript"/>
              </w:rPr>
              <w:t>1</w:t>
            </w:r>
            <w:r w:rsidR="00647441" w:rsidRPr="00060BE9">
              <w:rPr>
                <w:szCs w:val="20"/>
                <w:vertAlign w:val="superscript"/>
              </w:rPr>
              <w:t>6</w:t>
            </w:r>
          </w:p>
        </w:tc>
        <w:tc>
          <w:tcPr>
            <w:tcW w:w="714" w:type="pct"/>
          </w:tcPr>
          <w:p w14:paraId="7069A226" w14:textId="5081527A"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2164A0" w:rsidRPr="00060BE9">
              <w:rPr>
                <w:szCs w:val="20"/>
                <w:vertAlign w:val="superscript"/>
              </w:rPr>
              <w:t>1</w:t>
            </w:r>
            <w:r w:rsidR="00647441" w:rsidRPr="00060BE9">
              <w:rPr>
                <w:szCs w:val="20"/>
                <w:vertAlign w:val="superscript"/>
              </w:rPr>
              <w:t>6</w:t>
            </w:r>
          </w:p>
        </w:tc>
        <w:tc>
          <w:tcPr>
            <w:tcW w:w="715" w:type="pct"/>
          </w:tcPr>
          <w:p w14:paraId="1F7E7D2C" w14:textId="156802AF"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A51E36" w:rsidRPr="00060BE9">
              <w:rPr>
                <w:szCs w:val="20"/>
                <w:vertAlign w:val="superscript"/>
              </w:rPr>
              <w:t>1</w:t>
            </w:r>
            <w:r w:rsidR="00647441" w:rsidRPr="00060BE9">
              <w:rPr>
                <w:szCs w:val="20"/>
                <w:vertAlign w:val="superscript"/>
              </w:rPr>
              <w:t>6</w:t>
            </w:r>
          </w:p>
        </w:tc>
        <w:tc>
          <w:tcPr>
            <w:tcW w:w="718" w:type="pct"/>
          </w:tcPr>
          <w:p w14:paraId="5294D414" w14:textId="77E74115" w:rsidR="00347D60" w:rsidRPr="00060BE9" w:rsidRDefault="00347D60" w:rsidP="004553FA">
            <w:pPr>
              <w:pStyle w:val="TableText"/>
              <w:keepNext/>
              <w:keepLines/>
              <w:spacing w:before="20" w:after="20"/>
              <w:jc w:val="center"/>
              <w:rPr>
                <w:szCs w:val="20"/>
                <w:vertAlign w:val="superscript"/>
              </w:rPr>
            </w:pPr>
            <w:r w:rsidRPr="00060BE9">
              <w:rPr>
                <w:szCs w:val="20"/>
              </w:rPr>
              <w:t>$</w:t>
            </w:r>
            <w:r w:rsidR="00957608" w:rsidRPr="00060BE9">
              <w:t xml:space="preserve"> REDACTED</w:t>
            </w:r>
            <w:r w:rsidR="00957608" w:rsidRPr="00060BE9" w:rsidDel="00957608">
              <w:rPr>
                <w:szCs w:val="20"/>
              </w:rPr>
              <w:t xml:space="preserve"> </w:t>
            </w:r>
            <w:r w:rsidR="00A51E36" w:rsidRPr="00060BE9">
              <w:rPr>
                <w:szCs w:val="20"/>
                <w:vertAlign w:val="superscript"/>
              </w:rPr>
              <w:t>1</w:t>
            </w:r>
            <w:r w:rsidR="00647441" w:rsidRPr="00060BE9">
              <w:rPr>
                <w:szCs w:val="20"/>
                <w:vertAlign w:val="superscript"/>
              </w:rPr>
              <w:t>6</w:t>
            </w:r>
          </w:p>
        </w:tc>
      </w:tr>
      <w:tr w:rsidR="001B18CD" w:rsidRPr="00060BE9" w14:paraId="360BFCCF" w14:textId="77777777" w:rsidTr="001B18CD">
        <w:tc>
          <w:tcPr>
            <w:tcW w:w="711" w:type="pct"/>
          </w:tcPr>
          <w:p w14:paraId="2FEDE962" w14:textId="77777777" w:rsidR="00347D60" w:rsidRPr="00060BE9" w:rsidRDefault="00347D60" w:rsidP="004553FA">
            <w:pPr>
              <w:pStyle w:val="TableText"/>
              <w:keepNext/>
              <w:keepLines/>
              <w:spacing w:before="20" w:after="20"/>
            </w:pPr>
            <w:r w:rsidRPr="00060BE9">
              <w:t>Lumbar puncture</w:t>
            </w:r>
          </w:p>
        </w:tc>
        <w:tc>
          <w:tcPr>
            <w:tcW w:w="714" w:type="pct"/>
          </w:tcPr>
          <w:p w14:paraId="551F2779" w14:textId="583A9C23"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c>
          <w:tcPr>
            <w:tcW w:w="714" w:type="pct"/>
          </w:tcPr>
          <w:p w14:paraId="273A22C0" w14:textId="52C601ED"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c>
          <w:tcPr>
            <w:tcW w:w="714" w:type="pct"/>
          </w:tcPr>
          <w:p w14:paraId="7C53F8C3" w14:textId="53F687FE"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c>
          <w:tcPr>
            <w:tcW w:w="714" w:type="pct"/>
          </w:tcPr>
          <w:p w14:paraId="3C7B48F3" w14:textId="040EF40D"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c>
          <w:tcPr>
            <w:tcW w:w="715" w:type="pct"/>
          </w:tcPr>
          <w:p w14:paraId="60AA72B5" w14:textId="4B56B4D0"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c>
          <w:tcPr>
            <w:tcW w:w="718" w:type="pct"/>
          </w:tcPr>
          <w:p w14:paraId="05FF8132" w14:textId="5314CF3C"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3C3BFE" w:rsidRPr="00060BE9">
              <w:rPr>
                <w:szCs w:val="20"/>
                <w:vertAlign w:val="superscript"/>
              </w:rPr>
              <w:t>1</w:t>
            </w:r>
            <w:r w:rsidR="00647441" w:rsidRPr="00060BE9">
              <w:rPr>
                <w:szCs w:val="20"/>
                <w:vertAlign w:val="superscript"/>
              </w:rPr>
              <w:t>6</w:t>
            </w:r>
          </w:p>
        </w:tc>
      </w:tr>
      <w:tr w:rsidR="001B18CD" w:rsidRPr="00060BE9" w14:paraId="273CD191" w14:textId="77777777" w:rsidTr="001B18CD">
        <w:tc>
          <w:tcPr>
            <w:tcW w:w="711" w:type="pct"/>
          </w:tcPr>
          <w:p w14:paraId="04EE5A09" w14:textId="77777777" w:rsidR="00347D60" w:rsidRPr="00060BE9" w:rsidRDefault="00347D60" w:rsidP="004553FA">
            <w:pPr>
              <w:pStyle w:val="TableText"/>
              <w:keepNext/>
              <w:keepLines/>
              <w:spacing w:before="20" w:after="20"/>
            </w:pPr>
            <w:r w:rsidRPr="00060BE9">
              <w:t>CT scan with LP</w:t>
            </w:r>
          </w:p>
        </w:tc>
        <w:tc>
          <w:tcPr>
            <w:tcW w:w="714" w:type="pct"/>
          </w:tcPr>
          <w:p w14:paraId="4700ADA9" w14:textId="321FA43C"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682B9E" w:rsidRPr="00060BE9">
              <w:rPr>
                <w:szCs w:val="20"/>
                <w:vertAlign w:val="superscript"/>
              </w:rPr>
              <w:t>1</w:t>
            </w:r>
            <w:r w:rsidR="00471693" w:rsidRPr="00060BE9">
              <w:rPr>
                <w:szCs w:val="20"/>
                <w:vertAlign w:val="superscript"/>
              </w:rPr>
              <w:t>6</w:t>
            </w:r>
          </w:p>
        </w:tc>
        <w:tc>
          <w:tcPr>
            <w:tcW w:w="714" w:type="pct"/>
          </w:tcPr>
          <w:p w14:paraId="0013148D" w14:textId="621981AD"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682B9E" w:rsidRPr="00060BE9">
              <w:rPr>
                <w:szCs w:val="20"/>
                <w:vertAlign w:val="superscript"/>
              </w:rPr>
              <w:t>1</w:t>
            </w:r>
            <w:r w:rsidR="00471693" w:rsidRPr="00060BE9">
              <w:rPr>
                <w:szCs w:val="20"/>
                <w:vertAlign w:val="superscript"/>
              </w:rPr>
              <w:t>6</w:t>
            </w:r>
          </w:p>
        </w:tc>
        <w:tc>
          <w:tcPr>
            <w:tcW w:w="714" w:type="pct"/>
          </w:tcPr>
          <w:p w14:paraId="770804C4" w14:textId="48D4F794"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682B9E" w:rsidRPr="00060BE9">
              <w:rPr>
                <w:szCs w:val="20"/>
                <w:vertAlign w:val="superscript"/>
              </w:rPr>
              <w:t>1</w:t>
            </w:r>
            <w:r w:rsidR="00471693" w:rsidRPr="00060BE9">
              <w:rPr>
                <w:szCs w:val="20"/>
                <w:vertAlign w:val="superscript"/>
              </w:rPr>
              <w:t>6</w:t>
            </w:r>
          </w:p>
        </w:tc>
        <w:tc>
          <w:tcPr>
            <w:tcW w:w="714" w:type="pct"/>
          </w:tcPr>
          <w:p w14:paraId="09ABBF1B" w14:textId="2079761C"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682B9E" w:rsidRPr="00060BE9">
              <w:rPr>
                <w:szCs w:val="20"/>
                <w:vertAlign w:val="superscript"/>
              </w:rPr>
              <w:t>1</w:t>
            </w:r>
            <w:r w:rsidR="00471693" w:rsidRPr="00060BE9">
              <w:rPr>
                <w:szCs w:val="20"/>
                <w:vertAlign w:val="superscript"/>
              </w:rPr>
              <w:t>6</w:t>
            </w:r>
          </w:p>
        </w:tc>
        <w:tc>
          <w:tcPr>
            <w:tcW w:w="715" w:type="pct"/>
          </w:tcPr>
          <w:p w14:paraId="1CCF1F4A" w14:textId="592F03E5"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682B9E" w:rsidRPr="00060BE9">
              <w:rPr>
                <w:szCs w:val="20"/>
                <w:vertAlign w:val="superscript"/>
              </w:rPr>
              <w:t>1</w:t>
            </w:r>
            <w:r w:rsidR="00471693" w:rsidRPr="00060BE9">
              <w:rPr>
                <w:szCs w:val="20"/>
                <w:vertAlign w:val="superscript"/>
              </w:rPr>
              <w:t>6</w:t>
            </w:r>
          </w:p>
        </w:tc>
        <w:tc>
          <w:tcPr>
            <w:tcW w:w="718" w:type="pct"/>
          </w:tcPr>
          <w:p w14:paraId="50F0215D" w14:textId="1C762214"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164BC9" w:rsidRPr="00060BE9">
              <w:rPr>
                <w:szCs w:val="20"/>
                <w:vertAlign w:val="superscript"/>
              </w:rPr>
              <w:t>1</w:t>
            </w:r>
            <w:r w:rsidR="00471693" w:rsidRPr="00060BE9">
              <w:rPr>
                <w:szCs w:val="20"/>
                <w:vertAlign w:val="superscript"/>
              </w:rPr>
              <w:t>6</w:t>
            </w:r>
          </w:p>
        </w:tc>
      </w:tr>
      <w:tr w:rsidR="001B18CD" w:rsidRPr="00060BE9" w14:paraId="3575BD89" w14:textId="77777777" w:rsidTr="001B18CD">
        <w:tc>
          <w:tcPr>
            <w:tcW w:w="711" w:type="pct"/>
          </w:tcPr>
          <w:p w14:paraId="634066EA" w14:textId="77777777" w:rsidR="00347D60" w:rsidRPr="00060BE9" w:rsidRDefault="00347D60" w:rsidP="004553FA">
            <w:pPr>
              <w:pStyle w:val="TableText"/>
              <w:keepNext/>
              <w:keepLines/>
              <w:spacing w:before="20" w:after="20"/>
            </w:pPr>
            <w:r w:rsidRPr="00060BE9">
              <w:t>Attendance</w:t>
            </w:r>
          </w:p>
        </w:tc>
        <w:tc>
          <w:tcPr>
            <w:tcW w:w="714" w:type="pct"/>
          </w:tcPr>
          <w:p w14:paraId="38B90489" w14:textId="31A52C63"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7A394C" w:rsidRPr="00060BE9">
              <w:rPr>
                <w:szCs w:val="20"/>
                <w:vertAlign w:val="superscript"/>
              </w:rPr>
              <w:t>18</w:t>
            </w:r>
          </w:p>
        </w:tc>
        <w:tc>
          <w:tcPr>
            <w:tcW w:w="714" w:type="pct"/>
          </w:tcPr>
          <w:p w14:paraId="2CEFDA55" w14:textId="4EC1E221"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732E80" w:rsidRPr="00060BE9">
              <w:rPr>
                <w:szCs w:val="20"/>
                <w:vertAlign w:val="superscript"/>
              </w:rPr>
              <w:t>18</w:t>
            </w:r>
          </w:p>
        </w:tc>
        <w:tc>
          <w:tcPr>
            <w:tcW w:w="714" w:type="pct"/>
          </w:tcPr>
          <w:p w14:paraId="0897AB33" w14:textId="2F7A696D"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732E80" w:rsidRPr="00060BE9">
              <w:rPr>
                <w:szCs w:val="20"/>
                <w:vertAlign w:val="superscript"/>
              </w:rPr>
              <w:t>19</w:t>
            </w:r>
          </w:p>
        </w:tc>
        <w:tc>
          <w:tcPr>
            <w:tcW w:w="714" w:type="pct"/>
          </w:tcPr>
          <w:p w14:paraId="3D8F7F78" w14:textId="4678A830"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D62335" w:rsidRPr="00060BE9">
              <w:rPr>
                <w:szCs w:val="20"/>
                <w:vertAlign w:val="superscript"/>
              </w:rPr>
              <w:t>20</w:t>
            </w:r>
          </w:p>
        </w:tc>
        <w:tc>
          <w:tcPr>
            <w:tcW w:w="715" w:type="pct"/>
          </w:tcPr>
          <w:p w14:paraId="451A046C" w14:textId="2CA59261"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D62335" w:rsidRPr="00060BE9">
              <w:rPr>
                <w:szCs w:val="20"/>
                <w:vertAlign w:val="superscript"/>
              </w:rPr>
              <w:t>21</w:t>
            </w:r>
          </w:p>
        </w:tc>
        <w:tc>
          <w:tcPr>
            <w:tcW w:w="718" w:type="pct"/>
          </w:tcPr>
          <w:p w14:paraId="1228774F" w14:textId="3B3F83CE" w:rsidR="00347D60" w:rsidRPr="00060BE9" w:rsidRDefault="00347D60" w:rsidP="004553FA">
            <w:pPr>
              <w:pStyle w:val="TableText"/>
              <w:keepNext/>
              <w:keepLines/>
              <w:spacing w:before="20" w:after="20"/>
              <w:jc w:val="center"/>
              <w:rPr>
                <w:szCs w:val="20"/>
                <w:vertAlign w:val="superscript"/>
              </w:rPr>
            </w:pPr>
            <w:r w:rsidRPr="00060BE9">
              <w:rPr>
                <w:szCs w:val="20"/>
              </w:rPr>
              <w:t>$</w:t>
            </w:r>
            <w:r w:rsidR="00060BE9" w:rsidRPr="00060BE9">
              <w:t xml:space="preserve"> REDACTED</w:t>
            </w:r>
            <w:r w:rsidR="00060BE9" w:rsidRPr="00060BE9" w:rsidDel="00060BE9">
              <w:rPr>
                <w:szCs w:val="20"/>
              </w:rPr>
              <w:t xml:space="preserve"> </w:t>
            </w:r>
            <w:r w:rsidR="00D62335" w:rsidRPr="00060BE9">
              <w:rPr>
                <w:szCs w:val="20"/>
                <w:vertAlign w:val="superscript"/>
              </w:rPr>
              <w:t>21</w:t>
            </w:r>
          </w:p>
        </w:tc>
      </w:tr>
      <w:tr w:rsidR="00347D60" w:rsidRPr="00060BE9" w14:paraId="4F63655C" w14:textId="77777777" w:rsidTr="00DE6098">
        <w:tc>
          <w:tcPr>
            <w:tcW w:w="5000" w:type="pct"/>
            <w:gridSpan w:val="7"/>
            <w:vAlign w:val="center"/>
          </w:tcPr>
          <w:p w14:paraId="00F4EE37" w14:textId="77777777" w:rsidR="00347D60" w:rsidRPr="00060BE9" w:rsidRDefault="00347D60" w:rsidP="004553FA">
            <w:pPr>
              <w:pStyle w:val="TableText"/>
              <w:keepNext/>
              <w:keepLines/>
              <w:spacing w:before="20" w:after="20"/>
              <w:rPr>
                <w:b/>
              </w:rPr>
            </w:pPr>
            <w:r w:rsidRPr="00060BE9">
              <w:rPr>
                <w:b/>
              </w:rPr>
              <w:t>Net financial implications</w:t>
            </w:r>
          </w:p>
        </w:tc>
      </w:tr>
      <w:tr w:rsidR="001B18CD" w:rsidRPr="00060BE9" w14:paraId="15B4E6A2" w14:textId="77777777" w:rsidTr="001B18CD">
        <w:tc>
          <w:tcPr>
            <w:tcW w:w="711" w:type="pct"/>
            <w:vAlign w:val="center"/>
          </w:tcPr>
          <w:p w14:paraId="4D376701" w14:textId="77777777" w:rsidR="00347D60" w:rsidRPr="00060BE9" w:rsidRDefault="00347D60" w:rsidP="004553FA">
            <w:pPr>
              <w:pStyle w:val="TableText"/>
              <w:keepNext/>
              <w:keepLines/>
              <w:spacing w:before="20" w:after="20"/>
              <w:rPr>
                <w:rFonts w:ascii="Times" w:eastAsia="Times New Roman" w:hAnsi="Times" w:cs="Times New Roman"/>
                <w:b/>
                <w:bCs/>
              </w:rPr>
            </w:pPr>
            <w:r w:rsidRPr="00060BE9">
              <w:rPr>
                <w:b/>
                <w:bCs/>
              </w:rPr>
              <w:t>Net cost to MBS</w:t>
            </w:r>
          </w:p>
        </w:tc>
        <w:tc>
          <w:tcPr>
            <w:tcW w:w="714" w:type="pct"/>
          </w:tcPr>
          <w:p w14:paraId="61777DC8" w14:textId="2AF85B3C"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771E09" w:rsidRPr="00060BE9">
              <w:rPr>
                <w:b/>
                <w:bCs/>
                <w:szCs w:val="20"/>
                <w:vertAlign w:val="superscript"/>
              </w:rPr>
              <w:t>2</w:t>
            </w:r>
            <w:r w:rsidR="00236AF6" w:rsidRPr="00060BE9">
              <w:rPr>
                <w:b/>
                <w:bCs/>
                <w:szCs w:val="20"/>
                <w:vertAlign w:val="superscript"/>
              </w:rPr>
              <w:t>6</w:t>
            </w:r>
          </w:p>
        </w:tc>
        <w:tc>
          <w:tcPr>
            <w:tcW w:w="714" w:type="pct"/>
          </w:tcPr>
          <w:p w14:paraId="40215B7D" w14:textId="57F4B85C"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771E09" w:rsidRPr="00060BE9">
              <w:rPr>
                <w:b/>
                <w:bCs/>
                <w:szCs w:val="20"/>
                <w:vertAlign w:val="superscript"/>
              </w:rPr>
              <w:t>2</w:t>
            </w:r>
            <w:r w:rsidR="00236AF6" w:rsidRPr="00060BE9">
              <w:rPr>
                <w:b/>
                <w:bCs/>
                <w:szCs w:val="20"/>
                <w:vertAlign w:val="superscript"/>
              </w:rPr>
              <w:t>6</w:t>
            </w:r>
          </w:p>
        </w:tc>
        <w:tc>
          <w:tcPr>
            <w:tcW w:w="714" w:type="pct"/>
          </w:tcPr>
          <w:p w14:paraId="5ABFB196" w14:textId="12801AC5"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771E09" w:rsidRPr="00060BE9">
              <w:rPr>
                <w:b/>
                <w:bCs/>
                <w:szCs w:val="20"/>
                <w:vertAlign w:val="superscript"/>
              </w:rPr>
              <w:t>2</w:t>
            </w:r>
            <w:r w:rsidR="00236AF6" w:rsidRPr="00060BE9">
              <w:rPr>
                <w:b/>
                <w:bCs/>
                <w:szCs w:val="20"/>
                <w:vertAlign w:val="superscript"/>
              </w:rPr>
              <w:t>6</w:t>
            </w:r>
          </w:p>
        </w:tc>
        <w:tc>
          <w:tcPr>
            <w:tcW w:w="714" w:type="pct"/>
          </w:tcPr>
          <w:p w14:paraId="070CA5E8" w14:textId="306BC0BC"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B02342" w:rsidRPr="00060BE9">
              <w:rPr>
                <w:b/>
                <w:bCs/>
                <w:szCs w:val="20"/>
                <w:vertAlign w:val="superscript"/>
              </w:rPr>
              <w:t>2</w:t>
            </w:r>
            <w:r w:rsidR="003D7CA3" w:rsidRPr="00060BE9">
              <w:rPr>
                <w:b/>
                <w:bCs/>
                <w:szCs w:val="20"/>
                <w:vertAlign w:val="superscript"/>
              </w:rPr>
              <w:t>7</w:t>
            </w:r>
          </w:p>
        </w:tc>
        <w:tc>
          <w:tcPr>
            <w:tcW w:w="715" w:type="pct"/>
          </w:tcPr>
          <w:p w14:paraId="0B4563AA" w14:textId="7B74EAED"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B02342" w:rsidRPr="00060BE9">
              <w:rPr>
                <w:b/>
                <w:bCs/>
                <w:szCs w:val="20"/>
                <w:vertAlign w:val="superscript"/>
              </w:rPr>
              <w:t>2</w:t>
            </w:r>
            <w:r w:rsidR="003D7CA3" w:rsidRPr="00060BE9">
              <w:rPr>
                <w:b/>
                <w:bCs/>
                <w:szCs w:val="20"/>
                <w:vertAlign w:val="superscript"/>
              </w:rPr>
              <w:t>7</w:t>
            </w:r>
          </w:p>
        </w:tc>
        <w:tc>
          <w:tcPr>
            <w:tcW w:w="718" w:type="pct"/>
          </w:tcPr>
          <w:p w14:paraId="000D34F2" w14:textId="6D518D5D" w:rsidR="00347D60" w:rsidRPr="00060BE9" w:rsidRDefault="00347D60" w:rsidP="004553FA">
            <w:pPr>
              <w:pStyle w:val="TableText"/>
              <w:keepNext/>
              <w:keepLines/>
              <w:spacing w:before="20" w:after="20"/>
              <w:jc w:val="center"/>
              <w:rPr>
                <w:b/>
                <w:bCs/>
                <w:szCs w:val="20"/>
                <w:vertAlign w:val="superscript"/>
              </w:rPr>
            </w:pPr>
            <w:r w:rsidRPr="00060BE9">
              <w:rPr>
                <w:b/>
                <w:bCs/>
                <w:szCs w:val="20"/>
              </w:rPr>
              <w:t>$</w:t>
            </w:r>
            <w:r w:rsidR="00060BE9" w:rsidRPr="00060BE9">
              <w:t xml:space="preserve"> REDACTED</w:t>
            </w:r>
            <w:r w:rsidR="00060BE9" w:rsidRPr="00060BE9" w:rsidDel="00060BE9">
              <w:rPr>
                <w:b/>
                <w:bCs/>
                <w:szCs w:val="20"/>
              </w:rPr>
              <w:t xml:space="preserve"> </w:t>
            </w:r>
            <w:r w:rsidR="00B02342" w:rsidRPr="00060BE9">
              <w:rPr>
                <w:b/>
                <w:bCs/>
                <w:szCs w:val="20"/>
                <w:vertAlign w:val="superscript"/>
              </w:rPr>
              <w:t>2</w:t>
            </w:r>
            <w:r w:rsidR="003D7CA3" w:rsidRPr="00060BE9">
              <w:rPr>
                <w:b/>
                <w:bCs/>
                <w:szCs w:val="20"/>
                <w:vertAlign w:val="superscript"/>
              </w:rPr>
              <w:t>8</w:t>
            </w:r>
          </w:p>
        </w:tc>
      </w:tr>
      <w:tr w:rsidR="001B18CD" w:rsidRPr="00EE0EEB" w14:paraId="65B6ED06" w14:textId="77777777" w:rsidTr="001B18CD">
        <w:tc>
          <w:tcPr>
            <w:tcW w:w="711" w:type="pct"/>
            <w:vAlign w:val="center"/>
          </w:tcPr>
          <w:p w14:paraId="1CC09F66" w14:textId="45871DC4" w:rsidR="007656C8" w:rsidRPr="00060BE9" w:rsidRDefault="007656C8" w:rsidP="004553FA">
            <w:pPr>
              <w:pStyle w:val="TableText"/>
              <w:keepNext/>
              <w:keepLines/>
              <w:spacing w:before="20" w:after="20"/>
              <w:rPr>
                <w:b/>
                <w:bCs/>
              </w:rPr>
            </w:pPr>
            <w:r w:rsidRPr="00060BE9">
              <w:rPr>
                <w:b/>
                <w:bCs/>
              </w:rPr>
              <w:t>Net cost to MBS (</w:t>
            </w:r>
            <w:r w:rsidR="00021E9F" w:rsidRPr="00060BE9">
              <w:rPr>
                <w:b/>
                <w:bCs/>
              </w:rPr>
              <w:t xml:space="preserve">evaluation estimates </w:t>
            </w:r>
            <w:r w:rsidRPr="00060BE9">
              <w:rPr>
                <w:b/>
                <w:bCs/>
              </w:rPr>
              <w:t xml:space="preserve">revised in </w:t>
            </w:r>
            <w:proofErr w:type="spellStart"/>
            <w:r w:rsidRPr="00060BE9">
              <w:rPr>
                <w:b/>
                <w:bCs/>
              </w:rPr>
              <w:t>Rejoinder</w:t>
            </w:r>
            <w:r w:rsidR="00DA4BF4" w:rsidRPr="00060BE9">
              <w:rPr>
                <w:b/>
                <w:bCs/>
                <w:vertAlign w:val="superscript"/>
              </w:rPr>
              <w:t>b</w:t>
            </w:r>
            <w:proofErr w:type="spellEnd"/>
            <w:r w:rsidRPr="00060BE9">
              <w:rPr>
                <w:b/>
                <w:bCs/>
              </w:rPr>
              <w:t>)</w:t>
            </w:r>
          </w:p>
        </w:tc>
        <w:tc>
          <w:tcPr>
            <w:tcW w:w="714" w:type="pct"/>
            <w:tcBorders>
              <w:top w:val="nil"/>
              <w:bottom w:val="single" w:sz="4" w:space="0" w:color="auto"/>
            </w:tcBorders>
          </w:tcPr>
          <w:p w14:paraId="24AFD70F" w14:textId="4D8ACCE2"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236AF6" w:rsidRPr="00060BE9">
              <w:rPr>
                <w:b/>
                <w:bCs/>
                <w:szCs w:val="20"/>
                <w:vertAlign w:val="superscript"/>
              </w:rPr>
              <w:t>6</w:t>
            </w:r>
          </w:p>
        </w:tc>
        <w:tc>
          <w:tcPr>
            <w:tcW w:w="714" w:type="pct"/>
            <w:tcBorders>
              <w:top w:val="nil"/>
              <w:bottom w:val="single" w:sz="4" w:space="0" w:color="auto"/>
            </w:tcBorders>
          </w:tcPr>
          <w:p w14:paraId="08DA2D79" w14:textId="10BA5186"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236AF6" w:rsidRPr="00060BE9">
              <w:rPr>
                <w:b/>
                <w:bCs/>
                <w:szCs w:val="20"/>
                <w:vertAlign w:val="superscript"/>
              </w:rPr>
              <w:t>6</w:t>
            </w:r>
          </w:p>
        </w:tc>
        <w:tc>
          <w:tcPr>
            <w:tcW w:w="714" w:type="pct"/>
            <w:tcBorders>
              <w:top w:val="nil"/>
              <w:bottom w:val="single" w:sz="4" w:space="0" w:color="auto"/>
            </w:tcBorders>
          </w:tcPr>
          <w:p w14:paraId="350F3853" w14:textId="0D238CB4"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236AF6" w:rsidRPr="00060BE9">
              <w:rPr>
                <w:b/>
                <w:bCs/>
                <w:szCs w:val="20"/>
                <w:vertAlign w:val="superscript"/>
              </w:rPr>
              <w:t>6</w:t>
            </w:r>
          </w:p>
        </w:tc>
        <w:tc>
          <w:tcPr>
            <w:tcW w:w="714" w:type="pct"/>
            <w:tcBorders>
              <w:top w:val="nil"/>
              <w:bottom w:val="single" w:sz="4" w:space="0" w:color="auto"/>
            </w:tcBorders>
          </w:tcPr>
          <w:p w14:paraId="23F098ED" w14:textId="47F48FD8"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3D7CA3" w:rsidRPr="00060BE9">
              <w:rPr>
                <w:b/>
                <w:bCs/>
                <w:szCs w:val="20"/>
                <w:vertAlign w:val="superscript"/>
              </w:rPr>
              <w:t>7</w:t>
            </w:r>
          </w:p>
        </w:tc>
        <w:tc>
          <w:tcPr>
            <w:tcW w:w="715" w:type="pct"/>
            <w:tcBorders>
              <w:top w:val="nil"/>
              <w:bottom w:val="single" w:sz="4" w:space="0" w:color="auto"/>
            </w:tcBorders>
          </w:tcPr>
          <w:p w14:paraId="60278E98" w14:textId="2FB491E6"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3D7CA3" w:rsidRPr="00060BE9">
              <w:rPr>
                <w:b/>
                <w:bCs/>
                <w:szCs w:val="20"/>
                <w:vertAlign w:val="superscript"/>
              </w:rPr>
              <w:t>7</w:t>
            </w:r>
          </w:p>
        </w:tc>
        <w:tc>
          <w:tcPr>
            <w:tcW w:w="718" w:type="pct"/>
            <w:tcBorders>
              <w:top w:val="nil"/>
              <w:bottom w:val="single" w:sz="4" w:space="0" w:color="auto"/>
            </w:tcBorders>
          </w:tcPr>
          <w:p w14:paraId="68963688" w14:textId="038DCB68" w:rsidR="007656C8" w:rsidRPr="00060BE9" w:rsidRDefault="007656C8" w:rsidP="004553FA">
            <w:pPr>
              <w:pStyle w:val="TableText"/>
              <w:keepNext/>
              <w:keepLines/>
              <w:spacing w:before="20" w:after="20"/>
              <w:jc w:val="center"/>
              <w:rPr>
                <w:b/>
                <w:bCs/>
                <w:szCs w:val="20"/>
                <w:vertAlign w:val="superscript"/>
              </w:rPr>
            </w:pPr>
            <w:r w:rsidRPr="00060BE9">
              <w:rPr>
                <w:b/>
                <w:bCs/>
                <w:sz w:val="18"/>
                <w:szCs w:val="18"/>
              </w:rPr>
              <w:t>$</w:t>
            </w:r>
            <w:r w:rsidR="00060BE9" w:rsidRPr="00060BE9">
              <w:t xml:space="preserve"> REDACTED</w:t>
            </w:r>
            <w:r w:rsidR="00060BE9" w:rsidRPr="00060BE9" w:rsidDel="00060BE9">
              <w:rPr>
                <w:b/>
                <w:bCs/>
                <w:sz w:val="18"/>
                <w:szCs w:val="18"/>
              </w:rPr>
              <w:t xml:space="preserve"> </w:t>
            </w:r>
            <w:r w:rsidR="00B02342" w:rsidRPr="00060BE9">
              <w:rPr>
                <w:b/>
                <w:bCs/>
                <w:szCs w:val="20"/>
                <w:vertAlign w:val="superscript"/>
              </w:rPr>
              <w:t>2</w:t>
            </w:r>
            <w:r w:rsidR="003D7CA3" w:rsidRPr="00060BE9">
              <w:rPr>
                <w:b/>
                <w:bCs/>
                <w:szCs w:val="20"/>
                <w:vertAlign w:val="superscript"/>
              </w:rPr>
              <w:t>8</w:t>
            </w:r>
          </w:p>
        </w:tc>
      </w:tr>
    </w:tbl>
    <w:p w14:paraId="69F4EBCF" w14:textId="15625887" w:rsidR="00347D60" w:rsidRDefault="00347D60" w:rsidP="004553FA">
      <w:pPr>
        <w:pStyle w:val="FooterTableFigure"/>
        <w:keepNext/>
        <w:keepLines/>
      </w:pPr>
      <w:proofErr w:type="gramStart"/>
      <w:r w:rsidRPr="00EE0EEB">
        <w:rPr>
          <w:vertAlign w:val="superscript"/>
        </w:rPr>
        <w:t>a</w:t>
      </w:r>
      <w:proofErr w:type="gramEnd"/>
      <w:r w:rsidRPr="00EE0EEB">
        <w:t xml:space="preserve"> Assuming 12.1 scripts per course of treatment (treat to clearance) or 15.4 scripts per course of treatment (full duration treatment) as estimated by the </w:t>
      </w:r>
      <w:r w:rsidR="00D51801" w:rsidRPr="00D51801">
        <w:t>submission</w:t>
      </w:r>
      <w:r w:rsidRPr="00EE0EEB">
        <w:t>.</w:t>
      </w:r>
    </w:p>
    <w:p w14:paraId="1B9AAA96" w14:textId="0739749E" w:rsidR="00DA4BF4" w:rsidRPr="00DA4BF4" w:rsidRDefault="00DA4BF4" w:rsidP="004553FA">
      <w:pPr>
        <w:pStyle w:val="FooterTableFigure"/>
        <w:keepNext/>
        <w:keepLines/>
      </w:pPr>
      <w:r>
        <w:rPr>
          <w:vertAlign w:val="superscript"/>
        </w:rPr>
        <w:t>b</w:t>
      </w:r>
      <w:r>
        <w:t xml:space="preserve"> </w:t>
      </w:r>
      <w:r w:rsidR="002A537F">
        <w:t>Evaluation response following submission’s pre-ESC response.</w:t>
      </w:r>
    </w:p>
    <w:p w14:paraId="74074827" w14:textId="78EAE29F" w:rsidR="00347D60" w:rsidRDefault="00347D60" w:rsidP="008A33E7">
      <w:pPr>
        <w:pStyle w:val="FooterTableFigure"/>
      </w:pPr>
      <w:r w:rsidRPr="00EE0EEB">
        <w:t xml:space="preserve">Source: Table 4.22 – Table 4.29, pp317-320 of the </w:t>
      </w:r>
      <w:r w:rsidR="00D51801" w:rsidRPr="00D51801">
        <w:t>submission</w:t>
      </w:r>
      <w:r w:rsidR="00EB1A0D">
        <w:t>.</w:t>
      </w:r>
    </w:p>
    <w:p w14:paraId="04F2957F" w14:textId="77777777" w:rsidR="00963DAC" w:rsidRPr="00963DAC" w:rsidRDefault="00963DAC" w:rsidP="00963DAC">
      <w:pPr>
        <w:pStyle w:val="FooterTableFigure"/>
      </w:pPr>
      <w:r w:rsidRPr="00963DAC">
        <w:t>The redacted values correspond to the following ranges per year:</w:t>
      </w:r>
    </w:p>
    <w:p w14:paraId="5D0D1C28" w14:textId="0C3C1382" w:rsidR="00527542" w:rsidRDefault="00144F1F" w:rsidP="00527542">
      <w:pPr>
        <w:pStyle w:val="FooterTableFigure"/>
      </w:pPr>
      <w:r>
        <w:rPr>
          <w:vertAlign w:val="superscript"/>
        </w:rPr>
        <w:t xml:space="preserve">1 </w:t>
      </w:r>
      <w:r w:rsidR="00527542" w:rsidRPr="00144F1F">
        <w:t>10</w:t>
      </w:r>
      <w:r w:rsidR="00527542">
        <w:t>,000 to &lt; 20,000</w:t>
      </w:r>
    </w:p>
    <w:p w14:paraId="5AFE0591" w14:textId="4D2151B2" w:rsidR="00527542" w:rsidRDefault="006B5FAC" w:rsidP="00527542">
      <w:pPr>
        <w:pStyle w:val="FooterTableFigure"/>
      </w:pPr>
      <w:r>
        <w:rPr>
          <w:vertAlign w:val="superscript"/>
        </w:rPr>
        <w:t xml:space="preserve">2 </w:t>
      </w:r>
      <w:r w:rsidR="00527542">
        <w:t>20,000 to &lt; 30,000</w:t>
      </w:r>
    </w:p>
    <w:p w14:paraId="5E28801D" w14:textId="053EAA04" w:rsidR="00527542" w:rsidRDefault="006B5FAC" w:rsidP="00527542">
      <w:pPr>
        <w:pStyle w:val="FooterTableFigure"/>
      </w:pPr>
      <w:r>
        <w:rPr>
          <w:vertAlign w:val="superscript"/>
        </w:rPr>
        <w:t xml:space="preserve">3 </w:t>
      </w:r>
      <w:r w:rsidR="00527542">
        <w:t>30,000 to &lt; 40,000</w:t>
      </w:r>
    </w:p>
    <w:p w14:paraId="66893B56" w14:textId="4F15DD3E" w:rsidR="00475E80" w:rsidRDefault="009A12DF" w:rsidP="00475E80">
      <w:pPr>
        <w:pStyle w:val="FooterTableFigure"/>
      </w:pPr>
      <w:r>
        <w:rPr>
          <w:vertAlign w:val="superscript"/>
        </w:rPr>
        <w:t>4</w:t>
      </w:r>
      <w:r w:rsidR="00475E80">
        <w:rPr>
          <w:vertAlign w:val="superscript"/>
        </w:rPr>
        <w:t xml:space="preserve"> </w:t>
      </w:r>
      <w:r>
        <w:t>4</w:t>
      </w:r>
      <w:r w:rsidR="00475E80">
        <w:t xml:space="preserve">0,000 to &lt; </w:t>
      </w:r>
      <w:r>
        <w:t>5</w:t>
      </w:r>
      <w:r w:rsidR="00475E80">
        <w:t>0,000</w:t>
      </w:r>
    </w:p>
    <w:p w14:paraId="0C1EAED8" w14:textId="57D50A95" w:rsidR="00475E80" w:rsidRDefault="00EC64B1" w:rsidP="00475E80">
      <w:pPr>
        <w:pStyle w:val="FooterTableFigure"/>
      </w:pPr>
      <w:r>
        <w:rPr>
          <w:vertAlign w:val="superscript"/>
        </w:rPr>
        <w:t>5</w:t>
      </w:r>
      <w:r w:rsidR="00475E80">
        <w:rPr>
          <w:vertAlign w:val="superscript"/>
        </w:rPr>
        <w:t xml:space="preserve"> </w:t>
      </w:r>
      <w:r w:rsidR="009A12DF">
        <w:t>5</w:t>
      </w:r>
      <w:r w:rsidR="00475E80">
        <w:t xml:space="preserve">0,000 to &lt; </w:t>
      </w:r>
      <w:r w:rsidR="009A12DF">
        <w:t>6</w:t>
      </w:r>
      <w:r w:rsidR="00475E80">
        <w:t>0,000</w:t>
      </w:r>
    </w:p>
    <w:p w14:paraId="38A3B873" w14:textId="3A43A2FB" w:rsidR="00475E80" w:rsidRDefault="00EC64B1" w:rsidP="00475E80">
      <w:pPr>
        <w:pStyle w:val="FooterTableFigure"/>
      </w:pPr>
      <w:r>
        <w:rPr>
          <w:vertAlign w:val="superscript"/>
        </w:rPr>
        <w:t>6</w:t>
      </w:r>
      <w:r w:rsidR="00475E80">
        <w:rPr>
          <w:vertAlign w:val="superscript"/>
        </w:rPr>
        <w:t xml:space="preserve"> </w:t>
      </w:r>
      <w:r w:rsidR="009A12DF">
        <w:t>6</w:t>
      </w:r>
      <w:r w:rsidR="00475E80">
        <w:t xml:space="preserve">0,000 to &lt; </w:t>
      </w:r>
      <w:r>
        <w:t>7</w:t>
      </w:r>
      <w:r w:rsidR="00475E80">
        <w:t>0,000</w:t>
      </w:r>
    </w:p>
    <w:p w14:paraId="5FE604D8" w14:textId="093AC97D" w:rsidR="00475E80" w:rsidRDefault="00EC64B1" w:rsidP="00475E80">
      <w:pPr>
        <w:pStyle w:val="FooterTableFigure"/>
      </w:pPr>
      <w:r>
        <w:rPr>
          <w:vertAlign w:val="superscript"/>
        </w:rPr>
        <w:t>7</w:t>
      </w:r>
      <w:r w:rsidR="00475E80">
        <w:rPr>
          <w:vertAlign w:val="superscript"/>
        </w:rPr>
        <w:t xml:space="preserve"> </w:t>
      </w:r>
      <w:r>
        <w:t>7</w:t>
      </w:r>
      <w:r w:rsidR="00475E80">
        <w:t xml:space="preserve">0,000 to &lt; </w:t>
      </w:r>
      <w:r>
        <w:t>8</w:t>
      </w:r>
      <w:r w:rsidR="00475E80">
        <w:t>0,000</w:t>
      </w:r>
    </w:p>
    <w:p w14:paraId="4DB1751D" w14:textId="75A88899" w:rsidR="00475E80" w:rsidRDefault="00A966F4" w:rsidP="00475E80">
      <w:pPr>
        <w:pStyle w:val="FooterTableFigure"/>
      </w:pPr>
      <w:r>
        <w:rPr>
          <w:vertAlign w:val="superscript"/>
        </w:rPr>
        <w:t>8</w:t>
      </w:r>
      <w:r w:rsidR="00475E80">
        <w:rPr>
          <w:vertAlign w:val="superscript"/>
        </w:rPr>
        <w:t xml:space="preserve"> </w:t>
      </w:r>
      <w:r w:rsidR="00EC64B1">
        <w:t>8</w:t>
      </w:r>
      <w:r w:rsidR="00475E80">
        <w:t xml:space="preserve">0,000 to &lt; </w:t>
      </w:r>
      <w:r w:rsidR="00EC64B1">
        <w:t>9</w:t>
      </w:r>
      <w:r w:rsidR="00475E80">
        <w:t>0,000</w:t>
      </w:r>
    </w:p>
    <w:p w14:paraId="04F1A8AC" w14:textId="5A28CE0F" w:rsidR="007F4D68" w:rsidRDefault="00FD1728" w:rsidP="007F4D68">
      <w:pPr>
        <w:pStyle w:val="FooterTableFigure"/>
      </w:pPr>
      <w:r>
        <w:rPr>
          <w:vertAlign w:val="superscript"/>
        </w:rPr>
        <w:t>10</w:t>
      </w:r>
      <w:r w:rsidR="003070D5">
        <w:rPr>
          <w:vertAlign w:val="superscript"/>
        </w:rPr>
        <w:t xml:space="preserve"> </w:t>
      </w:r>
      <w:r w:rsidR="007F4D68">
        <w:t>200,000 to &lt; 300,000</w:t>
      </w:r>
    </w:p>
    <w:p w14:paraId="45E086FB" w14:textId="6A760CF5" w:rsidR="007F4D68" w:rsidRDefault="00FD1728" w:rsidP="007F4D68">
      <w:pPr>
        <w:pStyle w:val="FooterTableFigure"/>
      </w:pPr>
      <w:r>
        <w:rPr>
          <w:vertAlign w:val="superscript"/>
        </w:rPr>
        <w:t>11</w:t>
      </w:r>
      <w:r w:rsidR="00267875">
        <w:rPr>
          <w:vertAlign w:val="superscript"/>
        </w:rPr>
        <w:t xml:space="preserve"> </w:t>
      </w:r>
      <w:r w:rsidR="007F4D68">
        <w:t>300,000 to &lt; 400,000</w:t>
      </w:r>
    </w:p>
    <w:p w14:paraId="51A72360" w14:textId="4DDC0857" w:rsidR="007F4D68" w:rsidRDefault="00FD1728" w:rsidP="007F4D68">
      <w:pPr>
        <w:pStyle w:val="FooterTableFigure"/>
      </w:pPr>
      <w:r>
        <w:rPr>
          <w:vertAlign w:val="superscript"/>
        </w:rPr>
        <w:t>12</w:t>
      </w:r>
      <w:r w:rsidR="005F20A9">
        <w:rPr>
          <w:vertAlign w:val="superscript"/>
        </w:rPr>
        <w:t xml:space="preserve"> </w:t>
      </w:r>
      <w:r w:rsidR="007F4D68">
        <w:t>400,000 to &lt; 500,000</w:t>
      </w:r>
    </w:p>
    <w:p w14:paraId="1404EBB3" w14:textId="0D38DCAE" w:rsidR="007F4D68" w:rsidRDefault="00FD1728" w:rsidP="007F4D68">
      <w:pPr>
        <w:pStyle w:val="FooterTableFigure"/>
      </w:pPr>
      <w:r>
        <w:rPr>
          <w:vertAlign w:val="superscript"/>
        </w:rPr>
        <w:lastRenderedPageBreak/>
        <w:t>13</w:t>
      </w:r>
      <w:r w:rsidR="005F20A9">
        <w:rPr>
          <w:vertAlign w:val="superscript"/>
        </w:rPr>
        <w:t xml:space="preserve"> </w:t>
      </w:r>
      <w:r w:rsidR="007F4D68">
        <w:t>500,000 to &lt; 600,000</w:t>
      </w:r>
    </w:p>
    <w:p w14:paraId="1BD2F2FE" w14:textId="5976C857" w:rsidR="007F4D68" w:rsidRDefault="00FD1728" w:rsidP="007F4D68">
      <w:pPr>
        <w:pStyle w:val="FooterTableFigure"/>
      </w:pPr>
      <w:r>
        <w:rPr>
          <w:vertAlign w:val="superscript"/>
        </w:rPr>
        <w:t>14</w:t>
      </w:r>
      <w:r w:rsidR="005F20A9">
        <w:rPr>
          <w:vertAlign w:val="superscript"/>
        </w:rPr>
        <w:t xml:space="preserve"> </w:t>
      </w:r>
      <w:r w:rsidR="007F4D68">
        <w:t>600,000 to &lt; 700,000</w:t>
      </w:r>
    </w:p>
    <w:p w14:paraId="7C6E4849" w14:textId="3CF0963C" w:rsidR="00527542" w:rsidRDefault="00FD1728" w:rsidP="007F4D68">
      <w:pPr>
        <w:pStyle w:val="FooterTableFigure"/>
      </w:pPr>
      <w:r>
        <w:rPr>
          <w:vertAlign w:val="superscript"/>
        </w:rPr>
        <w:t>15</w:t>
      </w:r>
      <w:r w:rsidR="00F0171F">
        <w:rPr>
          <w:vertAlign w:val="superscript"/>
        </w:rPr>
        <w:t xml:space="preserve"> </w:t>
      </w:r>
      <w:r w:rsidR="007F4D68">
        <w:t>700,000 to &lt; 800,000</w:t>
      </w:r>
    </w:p>
    <w:p w14:paraId="094C8092" w14:textId="74C05376" w:rsidR="00251021" w:rsidRDefault="00251021" w:rsidP="007F4D68">
      <w:pPr>
        <w:pStyle w:val="FooterTableFigure"/>
      </w:pPr>
      <w:r>
        <w:rPr>
          <w:vertAlign w:val="superscript"/>
        </w:rPr>
        <w:t>1</w:t>
      </w:r>
      <w:r w:rsidR="00FD1728">
        <w:rPr>
          <w:vertAlign w:val="superscript"/>
        </w:rPr>
        <w:t>6</w:t>
      </w:r>
      <w:r>
        <w:rPr>
          <w:vertAlign w:val="superscript"/>
        </w:rPr>
        <w:t xml:space="preserve"> </w:t>
      </w:r>
      <w:r w:rsidRPr="00251021">
        <w:t>$0 to &lt; $10 million</w:t>
      </w:r>
    </w:p>
    <w:p w14:paraId="037B74F7" w14:textId="15B4221A" w:rsidR="007253EA" w:rsidRDefault="007253EA" w:rsidP="007253EA">
      <w:pPr>
        <w:pStyle w:val="FooterTableFigure"/>
      </w:pPr>
      <w:r>
        <w:rPr>
          <w:vertAlign w:val="superscript"/>
        </w:rPr>
        <w:t>1</w:t>
      </w:r>
      <w:r w:rsidR="00FD1728">
        <w:rPr>
          <w:vertAlign w:val="superscript"/>
        </w:rPr>
        <w:t>7</w:t>
      </w:r>
      <w:r>
        <w:rPr>
          <w:vertAlign w:val="superscript"/>
        </w:rPr>
        <w:t xml:space="preserve"> </w:t>
      </w:r>
      <w:r w:rsidRPr="00251021">
        <w:t>$</w:t>
      </w:r>
      <w:r>
        <w:t>1</w:t>
      </w:r>
      <w:r w:rsidRPr="00251021">
        <w:t xml:space="preserve">0 </w:t>
      </w:r>
      <w:r>
        <w:t>million</w:t>
      </w:r>
      <w:r w:rsidR="00961447">
        <w:t xml:space="preserve"> </w:t>
      </w:r>
      <w:r w:rsidRPr="00251021">
        <w:t>to &lt; $</w:t>
      </w:r>
      <w:r w:rsidR="00961447">
        <w:t>2</w:t>
      </w:r>
      <w:r w:rsidRPr="00251021">
        <w:t>0 million</w:t>
      </w:r>
    </w:p>
    <w:p w14:paraId="7D7428D4" w14:textId="3A8D09C6" w:rsidR="00A724C3" w:rsidRDefault="00A724C3" w:rsidP="00A724C3">
      <w:pPr>
        <w:pStyle w:val="FooterTableFigure"/>
      </w:pPr>
      <w:r>
        <w:rPr>
          <w:vertAlign w:val="superscript"/>
        </w:rPr>
        <w:t>1</w:t>
      </w:r>
      <w:r w:rsidR="00FD1728">
        <w:rPr>
          <w:vertAlign w:val="superscript"/>
        </w:rPr>
        <w:t>8</w:t>
      </w:r>
      <w:r>
        <w:rPr>
          <w:vertAlign w:val="superscript"/>
        </w:rPr>
        <w:t xml:space="preserve"> </w:t>
      </w:r>
      <w:r w:rsidRPr="00251021">
        <w:t>$</w:t>
      </w:r>
      <w:r>
        <w:t>2</w:t>
      </w:r>
      <w:r w:rsidRPr="00251021">
        <w:t xml:space="preserve">0 </w:t>
      </w:r>
      <w:r>
        <w:t xml:space="preserve">million </w:t>
      </w:r>
      <w:r w:rsidRPr="00251021">
        <w:t>to &lt; $</w:t>
      </w:r>
      <w:r>
        <w:t>3</w:t>
      </w:r>
      <w:r w:rsidRPr="00251021">
        <w:t>0 million</w:t>
      </w:r>
    </w:p>
    <w:p w14:paraId="375B25A6" w14:textId="7C442CE9" w:rsidR="00A724C3" w:rsidRDefault="00A724C3" w:rsidP="00A724C3">
      <w:pPr>
        <w:pStyle w:val="FooterTableFigure"/>
      </w:pPr>
      <w:r>
        <w:rPr>
          <w:vertAlign w:val="superscript"/>
        </w:rPr>
        <w:t>1</w:t>
      </w:r>
      <w:r w:rsidR="00FD1728">
        <w:rPr>
          <w:vertAlign w:val="superscript"/>
        </w:rPr>
        <w:t>9</w:t>
      </w:r>
      <w:r>
        <w:rPr>
          <w:vertAlign w:val="superscript"/>
        </w:rPr>
        <w:t xml:space="preserve"> </w:t>
      </w:r>
      <w:r w:rsidRPr="00251021">
        <w:t>$</w:t>
      </w:r>
      <w:r w:rsidR="002D090E">
        <w:t>3</w:t>
      </w:r>
      <w:r w:rsidRPr="00251021">
        <w:t xml:space="preserve">0 </w:t>
      </w:r>
      <w:r>
        <w:t xml:space="preserve">million </w:t>
      </w:r>
      <w:r w:rsidRPr="00251021">
        <w:t>to &lt; $</w:t>
      </w:r>
      <w:r w:rsidR="002D090E">
        <w:t>4</w:t>
      </w:r>
      <w:r w:rsidRPr="00251021">
        <w:t>0 million</w:t>
      </w:r>
    </w:p>
    <w:p w14:paraId="6B46A585" w14:textId="5E7BFF1D" w:rsidR="00A724C3" w:rsidRDefault="00FD1728" w:rsidP="00A724C3">
      <w:pPr>
        <w:pStyle w:val="FooterTableFigure"/>
      </w:pPr>
      <w:r>
        <w:rPr>
          <w:vertAlign w:val="superscript"/>
        </w:rPr>
        <w:t>20</w:t>
      </w:r>
      <w:r w:rsidR="00A724C3">
        <w:rPr>
          <w:vertAlign w:val="superscript"/>
        </w:rPr>
        <w:t xml:space="preserve"> </w:t>
      </w:r>
      <w:r w:rsidR="00A724C3" w:rsidRPr="00251021">
        <w:t>$</w:t>
      </w:r>
      <w:r w:rsidR="002D090E">
        <w:t>4</w:t>
      </w:r>
      <w:r w:rsidR="00A724C3" w:rsidRPr="00251021">
        <w:t xml:space="preserve">0 </w:t>
      </w:r>
      <w:r w:rsidR="00A724C3">
        <w:t xml:space="preserve">million </w:t>
      </w:r>
      <w:r w:rsidR="00A724C3" w:rsidRPr="00251021">
        <w:t>to &lt; $</w:t>
      </w:r>
      <w:r w:rsidR="002D090E">
        <w:t>5</w:t>
      </w:r>
      <w:r w:rsidR="00A724C3" w:rsidRPr="00251021">
        <w:t>0 million</w:t>
      </w:r>
    </w:p>
    <w:p w14:paraId="6250A4E0" w14:textId="76242E90" w:rsidR="00A724C3" w:rsidRDefault="00FD1728" w:rsidP="00A724C3">
      <w:pPr>
        <w:pStyle w:val="FooterTableFigure"/>
      </w:pPr>
      <w:r>
        <w:rPr>
          <w:vertAlign w:val="superscript"/>
        </w:rPr>
        <w:t>21</w:t>
      </w:r>
      <w:r w:rsidR="00A724C3">
        <w:rPr>
          <w:vertAlign w:val="superscript"/>
        </w:rPr>
        <w:t xml:space="preserve"> </w:t>
      </w:r>
      <w:r w:rsidR="00A724C3" w:rsidRPr="00251021">
        <w:t>$</w:t>
      </w:r>
      <w:r w:rsidR="002D090E">
        <w:t>5</w:t>
      </w:r>
      <w:r w:rsidR="00A724C3" w:rsidRPr="00251021">
        <w:t xml:space="preserve">0 </w:t>
      </w:r>
      <w:r w:rsidR="00A724C3">
        <w:t xml:space="preserve">million </w:t>
      </w:r>
      <w:r w:rsidR="00A724C3" w:rsidRPr="00251021">
        <w:t>to &lt; $</w:t>
      </w:r>
      <w:r w:rsidR="002D090E">
        <w:t>6</w:t>
      </w:r>
      <w:r w:rsidR="00A724C3" w:rsidRPr="00251021">
        <w:t>0 million</w:t>
      </w:r>
    </w:p>
    <w:p w14:paraId="1ABE002C" w14:textId="744FE97E" w:rsidR="000539E7" w:rsidRDefault="000539E7" w:rsidP="000539E7">
      <w:pPr>
        <w:pStyle w:val="FooterTableFigure"/>
      </w:pPr>
      <w:r>
        <w:rPr>
          <w:vertAlign w:val="superscript"/>
        </w:rPr>
        <w:t xml:space="preserve">22 </w:t>
      </w:r>
      <w:r w:rsidRPr="00251021">
        <w:t>$</w:t>
      </w:r>
      <w:r>
        <w:t>6</w:t>
      </w:r>
      <w:r w:rsidRPr="00251021">
        <w:t xml:space="preserve">0 </w:t>
      </w:r>
      <w:r>
        <w:t xml:space="preserve">million </w:t>
      </w:r>
      <w:r w:rsidRPr="00251021">
        <w:t>to &lt; $</w:t>
      </w:r>
      <w:r>
        <w:t>7</w:t>
      </w:r>
      <w:r w:rsidRPr="00251021">
        <w:t>0 million</w:t>
      </w:r>
    </w:p>
    <w:p w14:paraId="1456B532" w14:textId="4C72830F" w:rsidR="000539E7" w:rsidRDefault="000539E7" w:rsidP="000539E7">
      <w:pPr>
        <w:pStyle w:val="FooterTableFigure"/>
      </w:pPr>
      <w:r>
        <w:rPr>
          <w:vertAlign w:val="superscript"/>
        </w:rPr>
        <w:t>2</w:t>
      </w:r>
      <w:r w:rsidR="00FA41C2">
        <w:rPr>
          <w:vertAlign w:val="superscript"/>
        </w:rPr>
        <w:t>3</w:t>
      </w:r>
      <w:r>
        <w:rPr>
          <w:vertAlign w:val="superscript"/>
        </w:rPr>
        <w:t xml:space="preserve"> </w:t>
      </w:r>
      <w:r w:rsidRPr="00251021">
        <w:t>$</w:t>
      </w:r>
      <w:r w:rsidR="00FA41C2">
        <w:t>7</w:t>
      </w:r>
      <w:r w:rsidRPr="00251021">
        <w:t xml:space="preserve">0 </w:t>
      </w:r>
      <w:r>
        <w:t xml:space="preserve">million </w:t>
      </w:r>
      <w:r w:rsidRPr="00251021">
        <w:t>to &lt; $</w:t>
      </w:r>
      <w:r w:rsidR="00FA41C2">
        <w:t>8</w:t>
      </w:r>
      <w:r w:rsidRPr="00251021">
        <w:t>0 million</w:t>
      </w:r>
    </w:p>
    <w:p w14:paraId="562E2776" w14:textId="7E187F61" w:rsidR="000539E7" w:rsidRDefault="000539E7" w:rsidP="000539E7">
      <w:pPr>
        <w:pStyle w:val="FooterTableFigure"/>
      </w:pPr>
      <w:r>
        <w:rPr>
          <w:vertAlign w:val="superscript"/>
        </w:rPr>
        <w:t>2</w:t>
      </w:r>
      <w:r w:rsidR="00FA41C2">
        <w:rPr>
          <w:vertAlign w:val="superscript"/>
        </w:rPr>
        <w:t>4</w:t>
      </w:r>
      <w:r>
        <w:rPr>
          <w:vertAlign w:val="superscript"/>
        </w:rPr>
        <w:t xml:space="preserve"> </w:t>
      </w:r>
      <w:r w:rsidRPr="00251021">
        <w:t>$</w:t>
      </w:r>
      <w:r w:rsidR="00FA41C2">
        <w:t>8</w:t>
      </w:r>
      <w:r w:rsidRPr="00251021">
        <w:t xml:space="preserve">0 </w:t>
      </w:r>
      <w:r>
        <w:t xml:space="preserve">million </w:t>
      </w:r>
      <w:r w:rsidRPr="00251021">
        <w:t>to &lt; $</w:t>
      </w:r>
      <w:r w:rsidR="00FA41C2">
        <w:t>9</w:t>
      </w:r>
      <w:r w:rsidRPr="00251021">
        <w:t>0 million</w:t>
      </w:r>
    </w:p>
    <w:p w14:paraId="3AC4C886" w14:textId="5A576DAF" w:rsidR="000539E7" w:rsidRDefault="000539E7" w:rsidP="000539E7">
      <w:pPr>
        <w:pStyle w:val="FooterTableFigure"/>
      </w:pPr>
      <w:r>
        <w:rPr>
          <w:vertAlign w:val="superscript"/>
        </w:rPr>
        <w:t>2</w:t>
      </w:r>
      <w:r w:rsidR="00FA41C2">
        <w:rPr>
          <w:vertAlign w:val="superscript"/>
        </w:rPr>
        <w:t>5</w:t>
      </w:r>
      <w:r>
        <w:rPr>
          <w:vertAlign w:val="superscript"/>
        </w:rPr>
        <w:t xml:space="preserve"> </w:t>
      </w:r>
      <w:r w:rsidRPr="00251021">
        <w:t>$</w:t>
      </w:r>
      <w:r w:rsidR="00FA41C2">
        <w:t>9</w:t>
      </w:r>
      <w:r w:rsidRPr="00251021">
        <w:t xml:space="preserve">0 </w:t>
      </w:r>
      <w:r>
        <w:t xml:space="preserve">million </w:t>
      </w:r>
      <w:r w:rsidRPr="00251021">
        <w:t>to &lt; $</w:t>
      </w:r>
      <w:r w:rsidR="006A7A51">
        <w:t xml:space="preserve">100 million </w:t>
      </w:r>
    </w:p>
    <w:p w14:paraId="0BBD8E58" w14:textId="63DB61DF" w:rsidR="00332C79" w:rsidRPr="00332C79" w:rsidRDefault="00332C79" w:rsidP="000539E7">
      <w:pPr>
        <w:pStyle w:val="FooterTableFigure"/>
      </w:pPr>
      <w:r>
        <w:rPr>
          <w:vertAlign w:val="superscript"/>
        </w:rPr>
        <w:t>26</w:t>
      </w:r>
      <w:r>
        <w:t xml:space="preserve"> $100 million to &lt; $200 million</w:t>
      </w:r>
    </w:p>
    <w:p w14:paraId="39AA914A" w14:textId="50AD8AA0" w:rsidR="003D7CA3" w:rsidRPr="00332C79" w:rsidRDefault="003D7CA3" w:rsidP="003D7CA3">
      <w:pPr>
        <w:pStyle w:val="FooterTableFigure"/>
      </w:pPr>
      <w:r>
        <w:rPr>
          <w:vertAlign w:val="superscript"/>
        </w:rPr>
        <w:t>27</w:t>
      </w:r>
      <w:r>
        <w:t xml:space="preserve"> $200 million to &lt; $300 million</w:t>
      </w:r>
    </w:p>
    <w:p w14:paraId="7ABFF18C" w14:textId="1ED2595A" w:rsidR="00251021" w:rsidRPr="00EE0EEB" w:rsidRDefault="003D7CA3" w:rsidP="007F4D68">
      <w:pPr>
        <w:pStyle w:val="FooterTableFigure"/>
      </w:pPr>
      <w:r>
        <w:rPr>
          <w:vertAlign w:val="superscript"/>
        </w:rPr>
        <w:t>28</w:t>
      </w:r>
      <w:r>
        <w:t xml:space="preserve"> $300 million to &lt; $400 million</w:t>
      </w:r>
    </w:p>
    <w:p w14:paraId="20F196D3" w14:textId="62613A22" w:rsidR="00345B81" w:rsidRPr="00000097" w:rsidRDefault="08035A26" w:rsidP="00345B81">
      <w:r w:rsidRPr="00000097">
        <w:t xml:space="preserve">The </w:t>
      </w:r>
      <w:r w:rsidR="00D51801" w:rsidRPr="00D51801">
        <w:t>submission</w:t>
      </w:r>
      <w:r w:rsidR="00EB1A0D" w:rsidRPr="00000097">
        <w:t xml:space="preserve"> </w:t>
      </w:r>
      <w:r w:rsidRPr="00000097">
        <w:t xml:space="preserve">used an epidemiological approach to calculate script and service volumes. The patient population was derived from the </w:t>
      </w:r>
      <w:r w:rsidR="5967FF21" w:rsidRPr="00000097">
        <w:t xml:space="preserve">estimated </w:t>
      </w:r>
      <w:r w:rsidRPr="00000097">
        <w:t xml:space="preserve">system capacity to assess potential patients. The foundation of this derivation was the number of treating facilities, the number of clinics held and the number of patients a clinic can treat in a working week. A growth rate in the number of facilities and patient treatment days was then applied across the six years of the model. The </w:t>
      </w:r>
      <w:r w:rsidR="00D51801" w:rsidRPr="00D51801">
        <w:t>submission</w:t>
      </w:r>
      <w:r w:rsidR="00EB1A0D" w:rsidRPr="00000097">
        <w:t xml:space="preserve"> </w:t>
      </w:r>
      <w:r w:rsidRPr="00000097">
        <w:t>assumed that private facilities were able to see twice as many patients each day as public facilities, based on the reported waiting times in each type of clinic</w:t>
      </w:r>
      <w:r w:rsidR="00AB6B4E" w:rsidRPr="00000097">
        <w:t>.</w:t>
      </w:r>
    </w:p>
    <w:p w14:paraId="3844BD55" w14:textId="5CD88B94" w:rsidR="00D02777" w:rsidRPr="00000097" w:rsidRDefault="00C95117" w:rsidP="00EB1A0D">
      <w:pPr>
        <w:pStyle w:val="Bulletpoints"/>
        <w:numPr>
          <w:ilvl w:val="0"/>
          <w:numId w:val="0"/>
        </w:numPr>
        <w:spacing w:before="120" w:after="160"/>
        <w:contextualSpacing w:val="0"/>
        <w:rPr>
          <w:szCs w:val="22"/>
        </w:rPr>
      </w:pPr>
      <w:r w:rsidRPr="00000097">
        <w:rPr>
          <w:szCs w:val="22"/>
        </w:rPr>
        <w:t>The commentary considered that i</w:t>
      </w:r>
      <w:r w:rsidR="00D02777" w:rsidRPr="00000097">
        <w:rPr>
          <w:szCs w:val="22"/>
        </w:rPr>
        <w:t>n a resource constrained system, it is reasonable to apply the constraint as a rate limiting step in system throughput. However, the results do not appear to be plausible for the number of facilities</w:t>
      </w:r>
      <w:r w:rsidR="00D1584C">
        <w:rPr>
          <w:szCs w:val="22"/>
        </w:rPr>
        <w:t>,</w:t>
      </w:r>
      <w:r w:rsidR="00D02777" w:rsidRPr="00000097">
        <w:rPr>
          <w:szCs w:val="22"/>
        </w:rPr>
        <w:t xml:space="preserve"> or the treatment days provided by private facilities.</w:t>
      </w:r>
    </w:p>
    <w:p w14:paraId="3197F7BD" w14:textId="47001965" w:rsidR="00D02777" w:rsidRPr="00000097" w:rsidRDefault="00D02777" w:rsidP="00D1584C">
      <w:pPr>
        <w:pStyle w:val="Bulletpoints"/>
        <w:numPr>
          <w:ilvl w:val="0"/>
          <w:numId w:val="0"/>
        </w:numPr>
        <w:spacing w:before="120" w:after="160"/>
        <w:contextualSpacing w:val="0"/>
        <w:rPr>
          <w:szCs w:val="22"/>
        </w:rPr>
      </w:pPr>
      <w:r w:rsidRPr="00000097">
        <w:rPr>
          <w:szCs w:val="22"/>
        </w:rPr>
        <w:t>The</w:t>
      </w:r>
      <w:r w:rsidR="00C95117" w:rsidRPr="00000097">
        <w:rPr>
          <w:szCs w:val="22"/>
        </w:rPr>
        <w:t xml:space="preserve"> commentary noted that the</w:t>
      </w:r>
      <w:r w:rsidRPr="00000097">
        <w:rPr>
          <w:szCs w:val="22"/>
        </w:rPr>
        <w:t xml:space="preserve"> growth rate in the number of facilities is assumed to be the same as the growth rate in the number of neurologists and geriatricians. This is only valid if practitioners are sole practitioners in individual facilities or the “clinics” referred to in the submission are individual practitioners. The </w:t>
      </w:r>
      <w:r w:rsidR="00D51801" w:rsidRPr="00D51801">
        <w:rPr>
          <w:szCs w:val="22"/>
        </w:rPr>
        <w:t>submission</w:t>
      </w:r>
      <w:r w:rsidR="00D1584C" w:rsidRPr="00000097">
        <w:rPr>
          <w:szCs w:val="22"/>
        </w:rPr>
        <w:t xml:space="preserve"> </w:t>
      </w:r>
      <w:r w:rsidRPr="00000097">
        <w:rPr>
          <w:szCs w:val="22"/>
        </w:rPr>
        <w:t>did not provide any evidence to support this assumption.</w:t>
      </w:r>
    </w:p>
    <w:p w14:paraId="7F9C72EE" w14:textId="7A02F2B8" w:rsidR="00D02777" w:rsidRPr="00000097" w:rsidRDefault="00D02777" w:rsidP="00D1584C">
      <w:r w:rsidRPr="00000097">
        <w:t>The</w:t>
      </w:r>
      <w:r w:rsidR="00C95117" w:rsidRPr="00000097">
        <w:t xml:space="preserve"> commentary noted that the</w:t>
      </w:r>
      <w:r w:rsidRPr="00000097">
        <w:t xml:space="preserve"> assumption that private facilities can see twice as many patients as public facilities coupled with an assumed 8% annual growth rate in daily patient consultations results in private facilities devoting more than 92% of their available time to assessing these patients by the model’s sixth year. This would effectively leave no time for the on-going management of existing patients and the impossibility of treating any patient with an alternative condition.</w:t>
      </w:r>
    </w:p>
    <w:p w14:paraId="71CDF502" w14:textId="6717C969" w:rsidR="00D02777" w:rsidRPr="00000097" w:rsidRDefault="00D02777" w:rsidP="00B518CC">
      <w:r w:rsidRPr="00000097">
        <w:t xml:space="preserve">The </w:t>
      </w:r>
      <w:proofErr w:type="spellStart"/>
      <w:r w:rsidRPr="00000097">
        <w:t>ADNeT</w:t>
      </w:r>
      <w:proofErr w:type="spellEnd"/>
      <w:r w:rsidRPr="00000097">
        <w:t xml:space="preserve"> 2023 Annual Report indicated that by 2060 approximately 850,000 people would be living with dementia, increasing from the 400,000 patients in 2023. Assuming that the growth of dementia is linear, by 2030 approximately 600,000 people will be living with dementia. If this figure is compared to the cumulative total of patients </w:t>
      </w:r>
      <w:r w:rsidR="00AA0D18" w:rsidRPr="00000097">
        <w:t>estimated to be initiated</w:t>
      </w:r>
      <w:r w:rsidRPr="00000097">
        <w:t xml:space="preserve"> with donanemab shown in the </w:t>
      </w:r>
      <w:r w:rsidR="00D51801" w:rsidRPr="00D51801">
        <w:t>submission</w:t>
      </w:r>
      <w:r w:rsidR="00B518CC" w:rsidRPr="00000097">
        <w:t xml:space="preserve"> </w:t>
      </w:r>
      <w:r w:rsidRPr="00000097">
        <w:t>(</w:t>
      </w:r>
      <w:r w:rsidR="009A7C6F">
        <w:t>600,000 to &lt;700,000</w:t>
      </w:r>
      <w:r w:rsidRPr="00000097">
        <w:t>), by the sixth year of the model (2030) more than all the prevalent dementia patients in Australia would be or would have been treated with donanemab.</w:t>
      </w:r>
    </w:p>
    <w:p w14:paraId="6F33EF4C" w14:textId="15561368" w:rsidR="00345B81" w:rsidRPr="005B0548" w:rsidRDefault="00345B81" w:rsidP="00345B81">
      <w:r w:rsidRPr="00000097">
        <w:t xml:space="preserve">The </w:t>
      </w:r>
      <w:r w:rsidR="00D51801" w:rsidRPr="00D51801">
        <w:t>submission</w:t>
      </w:r>
      <w:r w:rsidR="00B518CC" w:rsidRPr="00000097">
        <w:t xml:space="preserve"> </w:t>
      </w:r>
      <w:r w:rsidRPr="00000097">
        <w:t xml:space="preserve">used the total number of new patients derived above, as if it were an incident population and then applied disease and eligibility criteria to determine </w:t>
      </w:r>
      <w:r w:rsidR="00216CF2" w:rsidRPr="00000097">
        <w:t xml:space="preserve">the </w:t>
      </w:r>
      <w:r w:rsidRPr="00000097">
        <w:t>patient</w:t>
      </w:r>
      <w:r w:rsidR="00216CF2" w:rsidRPr="00000097">
        <w:t>s</w:t>
      </w:r>
      <w:r w:rsidRPr="00000097">
        <w:t xml:space="preserve"> eligible for </w:t>
      </w:r>
      <w:r w:rsidR="00216CF2" w:rsidRPr="00000097">
        <w:t xml:space="preserve">the </w:t>
      </w:r>
      <w:r w:rsidR="00AB6B4E" w:rsidRPr="00000097">
        <w:t xml:space="preserve">three </w:t>
      </w:r>
      <w:r w:rsidRPr="00000097">
        <w:t xml:space="preserve">proposed MBS items – </w:t>
      </w:r>
      <w:r w:rsidRPr="00000097">
        <w:rPr>
          <w:i/>
          <w:iCs/>
        </w:rPr>
        <w:t>APOE4</w:t>
      </w:r>
      <w:r w:rsidRPr="00000097">
        <w:t xml:space="preserve"> genotyping</w:t>
      </w:r>
      <w:r w:rsidR="00AB6B4E" w:rsidRPr="00000097">
        <w:t>,</w:t>
      </w:r>
      <w:r w:rsidRPr="00000097">
        <w:t xml:space="preserve"> A</w:t>
      </w:r>
      <w:r w:rsidR="00884E19">
        <w:rPr>
          <w:rFonts w:ascii="Calibri" w:hAnsi="Calibri" w:cs="Calibri"/>
        </w:rPr>
        <w:t>β</w:t>
      </w:r>
      <w:r w:rsidRPr="00000097">
        <w:t>-PET scan</w:t>
      </w:r>
      <w:r w:rsidR="00AB6B4E" w:rsidRPr="00000097">
        <w:t xml:space="preserve"> and CSF AD biomarker testing</w:t>
      </w:r>
      <w:r w:rsidRPr="00000097">
        <w:t>. The A</w:t>
      </w:r>
      <w:r w:rsidR="0045732C">
        <w:rPr>
          <w:rFonts w:ascii="Calibri" w:hAnsi="Calibri" w:cs="Calibri"/>
        </w:rPr>
        <w:t>β</w:t>
      </w:r>
      <w:r w:rsidRPr="00000097">
        <w:t xml:space="preserve">-PET scan is subsequently used to monitor patients to determine their eligibility to cease treatment. The details of the use and cost of these tests are shown below </w:t>
      </w:r>
      <w:r w:rsidRPr="005B0548">
        <w:t>in</w:t>
      </w:r>
      <w:r w:rsidR="000A5642" w:rsidRPr="005B0548">
        <w:t xml:space="preserve"> </w:t>
      </w:r>
      <w:r w:rsidR="009F302B" w:rsidRPr="005B0548">
        <w:fldChar w:fldCharType="begin"/>
      </w:r>
      <w:r w:rsidR="009F302B" w:rsidRPr="005B0548">
        <w:instrText xml:space="preserve"> REF _Ref205192311 \h </w:instrText>
      </w:r>
      <w:r w:rsidR="005B0548" w:rsidRPr="005B0548">
        <w:instrText xml:space="preserve"> \* MERGEFORMAT </w:instrText>
      </w:r>
      <w:r w:rsidR="009F302B" w:rsidRPr="005B0548">
        <w:fldChar w:fldCharType="separate"/>
      </w:r>
      <w:r w:rsidR="002E1F45">
        <w:t xml:space="preserve">Table </w:t>
      </w:r>
      <w:r w:rsidR="002E1F45">
        <w:rPr>
          <w:noProof/>
        </w:rPr>
        <w:t>20</w:t>
      </w:r>
      <w:r w:rsidR="009F302B" w:rsidRPr="005B0548">
        <w:fldChar w:fldCharType="end"/>
      </w:r>
      <w:r w:rsidRPr="005B0548">
        <w:t>.</w:t>
      </w:r>
    </w:p>
    <w:p w14:paraId="26B13499" w14:textId="51F7F5DA" w:rsidR="00AB6B4E" w:rsidRPr="00EE0EEB" w:rsidRDefault="000C4E64" w:rsidP="00565B62">
      <w:pPr>
        <w:pStyle w:val="Caption"/>
      </w:pPr>
      <w:r>
        <w:lastRenderedPageBreak/>
        <w:t xml:space="preserve">Table </w:t>
      </w:r>
      <w:r w:rsidR="002E1F45">
        <w:fldChar w:fldCharType="begin"/>
      </w:r>
      <w:r w:rsidR="002E1F45">
        <w:instrText xml:space="preserve"> SEQ Table \* ARABIC </w:instrText>
      </w:r>
      <w:r w:rsidR="002E1F45">
        <w:fldChar w:fldCharType="separate"/>
      </w:r>
      <w:r w:rsidR="002E1F45">
        <w:rPr>
          <w:noProof/>
        </w:rPr>
        <w:t>19</w:t>
      </w:r>
      <w:r w:rsidR="002E1F45">
        <w:rPr>
          <w:noProof/>
        </w:rPr>
        <w:fldChar w:fldCharType="end"/>
      </w:r>
      <w:r w:rsidR="005B0548">
        <w:t xml:space="preserve"> </w:t>
      </w:r>
      <w:r w:rsidR="00AB6B4E" w:rsidRPr="00EE0EEB">
        <w:t>Estimated number of patients to be tested</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1902"/>
        <w:gridCol w:w="1118"/>
        <w:gridCol w:w="1118"/>
        <w:gridCol w:w="1118"/>
        <w:gridCol w:w="1118"/>
        <w:gridCol w:w="1118"/>
        <w:gridCol w:w="1171"/>
      </w:tblGrid>
      <w:tr w:rsidR="008C4C67" w:rsidRPr="00EE0EEB" w:rsidDel="00B2138A" w14:paraId="6B9B89BB" w14:textId="77777777" w:rsidTr="00AA56CB">
        <w:trPr>
          <w:cnfStyle w:val="100000000000" w:firstRow="1" w:lastRow="0" w:firstColumn="0" w:lastColumn="0" w:oddVBand="0" w:evenVBand="0" w:oddHBand="0" w:evenHBand="0" w:firstRowFirstColumn="0" w:firstRowLastColumn="0" w:lastRowFirstColumn="0" w:lastRowLastColumn="0"/>
          <w:tblHeader/>
        </w:trPr>
        <w:tc>
          <w:tcPr>
            <w:tcW w:w="196" w:type="pct"/>
          </w:tcPr>
          <w:p w14:paraId="2741E3A4" w14:textId="77777777" w:rsidR="008C4C67" w:rsidRPr="00EE0EEB" w:rsidDel="00B2138A" w:rsidRDefault="008C4C67" w:rsidP="008C4C67">
            <w:pPr>
              <w:pStyle w:val="TableText"/>
              <w:spacing w:before="20" w:after="20"/>
              <w:jc w:val="center"/>
            </w:pPr>
          </w:p>
        </w:tc>
        <w:tc>
          <w:tcPr>
            <w:tcW w:w="1084" w:type="pct"/>
          </w:tcPr>
          <w:p w14:paraId="25C6DCDA" w14:textId="77777777" w:rsidR="008C4C67" w:rsidRPr="00EE0EEB" w:rsidRDefault="008C4C67" w:rsidP="008C4C67">
            <w:pPr>
              <w:pStyle w:val="TableText"/>
              <w:spacing w:before="20" w:after="20"/>
            </w:pPr>
          </w:p>
        </w:tc>
        <w:tc>
          <w:tcPr>
            <w:tcW w:w="620" w:type="pct"/>
            <w:vAlign w:val="center"/>
          </w:tcPr>
          <w:p w14:paraId="59135B9B" w14:textId="6DF3EAA8" w:rsidR="008C4C67" w:rsidRPr="00EE0EEB" w:rsidRDefault="008C4C67" w:rsidP="008C4C67">
            <w:pPr>
              <w:pStyle w:val="TableText"/>
              <w:spacing w:before="20" w:after="20"/>
              <w:jc w:val="center"/>
            </w:pPr>
            <w:r w:rsidRPr="00E82EFC" w:rsidDel="00B2138A">
              <w:rPr>
                <w:bCs/>
                <w:lang w:val="en-AU"/>
              </w:rPr>
              <w:t>Year 1</w:t>
            </w:r>
          </w:p>
        </w:tc>
        <w:tc>
          <w:tcPr>
            <w:tcW w:w="620" w:type="pct"/>
            <w:vAlign w:val="center"/>
          </w:tcPr>
          <w:p w14:paraId="56AE1CED" w14:textId="417E298A" w:rsidR="008C4C67" w:rsidRPr="00EE0EEB" w:rsidRDefault="008C4C67" w:rsidP="008C4C67">
            <w:pPr>
              <w:pStyle w:val="TableText"/>
              <w:spacing w:before="20" w:after="20"/>
              <w:jc w:val="center"/>
            </w:pPr>
            <w:r w:rsidRPr="00E82EFC" w:rsidDel="00B2138A">
              <w:rPr>
                <w:bCs/>
                <w:lang w:val="en-AU"/>
              </w:rPr>
              <w:t>Year 2</w:t>
            </w:r>
          </w:p>
        </w:tc>
        <w:tc>
          <w:tcPr>
            <w:tcW w:w="620" w:type="pct"/>
            <w:vAlign w:val="center"/>
          </w:tcPr>
          <w:p w14:paraId="7098A535" w14:textId="200C6C60" w:rsidR="008C4C67" w:rsidRPr="00EE0EEB" w:rsidRDefault="008C4C67" w:rsidP="008C4C67">
            <w:pPr>
              <w:pStyle w:val="TableText"/>
              <w:spacing w:before="20" w:after="20"/>
              <w:jc w:val="center"/>
            </w:pPr>
            <w:r w:rsidRPr="00E82EFC" w:rsidDel="00B2138A">
              <w:rPr>
                <w:bCs/>
                <w:lang w:val="en-AU"/>
              </w:rPr>
              <w:t>Year 3</w:t>
            </w:r>
          </w:p>
        </w:tc>
        <w:tc>
          <w:tcPr>
            <w:tcW w:w="620" w:type="pct"/>
            <w:vAlign w:val="center"/>
          </w:tcPr>
          <w:p w14:paraId="2B06DEC9" w14:textId="17A65F2B" w:rsidR="008C4C67" w:rsidRPr="00EE0EEB" w:rsidRDefault="008C4C67" w:rsidP="008C4C67">
            <w:pPr>
              <w:pStyle w:val="TableText"/>
              <w:spacing w:before="20" w:after="20"/>
              <w:jc w:val="center"/>
            </w:pPr>
            <w:r w:rsidRPr="00E82EFC" w:rsidDel="00B2138A">
              <w:rPr>
                <w:bCs/>
                <w:lang w:val="en-AU"/>
              </w:rPr>
              <w:t>Year 4</w:t>
            </w:r>
          </w:p>
        </w:tc>
        <w:tc>
          <w:tcPr>
            <w:tcW w:w="561" w:type="pct"/>
            <w:vAlign w:val="center"/>
          </w:tcPr>
          <w:p w14:paraId="419D9AAA" w14:textId="649DA240" w:rsidR="008C4C67" w:rsidRPr="00EE0EEB" w:rsidRDefault="008C4C67" w:rsidP="008C4C67">
            <w:pPr>
              <w:pStyle w:val="TableText"/>
              <w:spacing w:before="20" w:after="20"/>
              <w:jc w:val="center"/>
            </w:pPr>
            <w:r w:rsidRPr="00E82EFC" w:rsidDel="00B2138A">
              <w:rPr>
                <w:bCs/>
                <w:lang w:val="en-AU"/>
              </w:rPr>
              <w:t>Year 5</w:t>
            </w:r>
          </w:p>
        </w:tc>
        <w:tc>
          <w:tcPr>
            <w:tcW w:w="679" w:type="pct"/>
            <w:vAlign w:val="center"/>
          </w:tcPr>
          <w:p w14:paraId="564336D6" w14:textId="0E6662D8" w:rsidR="008C4C67" w:rsidRPr="00EE0EEB" w:rsidRDefault="008C4C67" w:rsidP="008C4C67">
            <w:pPr>
              <w:pStyle w:val="TableText"/>
              <w:spacing w:before="20" w:after="20"/>
              <w:jc w:val="center"/>
            </w:pPr>
            <w:r w:rsidRPr="00E82EFC" w:rsidDel="00B2138A">
              <w:rPr>
                <w:bCs/>
                <w:lang w:val="en-AU"/>
              </w:rPr>
              <w:t>Year 6</w:t>
            </w:r>
          </w:p>
        </w:tc>
      </w:tr>
      <w:tr w:rsidR="008C4C67" w:rsidRPr="00EE0EEB" w:rsidDel="00B2138A" w14:paraId="3C713A6C" w14:textId="77777777" w:rsidTr="00AA56CB">
        <w:tc>
          <w:tcPr>
            <w:tcW w:w="196" w:type="pct"/>
          </w:tcPr>
          <w:p w14:paraId="2B6D4B29" w14:textId="77777777" w:rsidR="008C4C67" w:rsidRPr="00EE0EEB" w:rsidDel="00B2138A" w:rsidRDefault="008C4C67" w:rsidP="008C4C67">
            <w:pPr>
              <w:pStyle w:val="TableText"/>
              <w:spacing w:before="20" w:after="20"/>
              <w:jc w:val="center"/>
              <w:rPr>
                <w:lang w:val="en-AU"/>
              </w:rPr>
            </w:pPr>
            <w:r w:rsidRPr="00EE0EEB" w:rsidDel="00B2138A">
              <w:rPr>
                <w:lang w:val="en-AU"/>
              </w:rPr>
              <w:t>A</w:t>
            </w:r>
          </w:p>
        </w:tc>
        <w:tc>
          <w:tcPr>
            <w:tcW w:w="1084" w:type="pct"/>
          </w:tcPr>
          <w:p w14:paraId="1AE92B01" w14:textId="77777777" w:rsidR="008C4C67" w:rsidRPr="00EE0EEB" w:rsidRDefault="008C4C67" w:rsidP="008C4C67">
            <w:pPr>
              <w:pStyle w:val="TableText"/>
              <w:spacing w:before="20" w:after="20"/>
              <w:rPr>
                <w:lang w:val="en-AU"/>
              </w:rPr>
            </w:pPr>
            <w:r w:rsidRPr="00EE0EEB">
              <w:rPr>
                <w:lang w:val="en-AU"/>
              </w:rPr>
              <w:t>Proportion of patients with MCI</w:t>
            </w:r>
          </w:p>
        </w:tc>
        <w:tc>
          <w:tcPr>
            <w:tcW w:w="620" w:type="pct"/>
          </w:tcPr>
          <w:p w14:paraId="7E23874C" w14:textId="77777777" w:rsidR="008C4C67" w:rsidRPr="00EE0EEB" w:rsidRDefault="008C4C67" w:rsidP="008C4C67">
            <w:pPr>
              <w:pStyle w:val="TableText"/>
              <w:spacing w:before="20" w:after="20"/>
              <w:jc w:val="center"/>
              <w:rPr>
                <w:lang w:val="en-AU"/>
              </w:rPr>
            </w:pPr>
            <w:r w:rsidRPr="00EE0EEB">
              <w:rPr>
                <w:lang w:val="en-AU"/>
              </w:rPr>
              <w:t>37.0%</w:t>
            </w:r>
          </w:p>
        </w:tc>
        <w:tc>
          <w:tcPr>
            <w:tcW w:w="620" w:type="pct"/>
          </w:tcPr>
          <w:p w14:paraId="340A68D2" w14:textId="77777777" w:rsidR="008C4C67" w:rsidRPr="00EE0EEB" w:rsidRDefault="008C4C67" w:rsidP="008C4C67">
            <w:pPr>
              <w:pStyle w:val="TableText"/>
              <w:spacing w:before="20" w:after="20"/>
              <w:jc w:val="center"/>
              <w:rPr>
                <w:lang w:val="en-AU"/>
              </w:rPr>
            </w:pPr>
            <w:r w:rsidRPr="00EE0EEB">
              <w:rPr>
                <w:lang w:val="en-AU"/>
              </w:rPr>
              <w:t>37.0%</w:t>
            </w:r>
          </w:p>
        </w:tc>
        <w:tc>
          <w:tcPr>
            <w:tcW w:w="620" w:type="pct"/>
          </w:tcPr>
          <w:p w14:paraId="0E63FDA9" w14:textId="77777777" w:rsidR="008C4C67" w:rsidRPr="00EE0EEB" w:rsidRDefault="008C4C67" w:rsidP="008C4C67">
            <w:pPr>
              <w:pStyle w:val="TableText"/>
              <w:spacing w:before="20" w:after="20"/>
              <w:jc w:val="center"/>
              <w:rPr>
                <w:lang w:val="en-AU"/>
              </w:rPr>
            </w:pPr>
            <w:r w:rsidRPr="00EE0EEB">
              <w:rPr>
                <w:lang w:val="en-AU"/>
              </w:rPr>
              <w:t>37.0%</w:t>
            </w:r>
          </w:p>
        </w:tc>
        <w:tc>
          <w:tcPr>
            <w:tcW w:w="620" w:type="pct"/>
          </w:tcPr>
          <w:p w14:paraId="2D06E6CE" w14:textId="77777777" w:rsidR="008C4C67" w:rsidRPr="00EE0EEB" w:rsidRDefault="008C4C67" w:rsidP="008C4C67">
            <w:pPr>
              <w:pStyle w:val="TableText"/>
              <w:spacing w:before="20" w:after="20"/>
              <w:jc w:val="center"/>
              <w:rPr>
                <w:lang w:val="en-AU"/>
              </w:rPr>
            </w:pPr>
            <w:r w:rsidRPr="00EE0EEB">
              <w:rPr>
                <w:lang w:val="en-AU"/>
              </w:rPr>
              <w:t>37.0%</w:t>
            </w:r>
          </w:p>
        </w:tc>
        <w:tc>
          <w:tcPr>
            <w:tcW w:w="561" w:type="pct"/>
          </w:tcPr>
          <w:p w14:paraId="7CD13F54" w14:textId="77777777" w:rsidR="008C4C67" w:rsidRPr="00EE0EEB" w:rsidRDefault="008C4C67" w:rsidP="008C4C67">
            <w:pPr>
              <w:pStyle w:val="TableText"/>
              <w:spacing w:before="20" w:after="20"/>
              <w:jc w:val="center"/>
              <w:rPr>
                <w:lang w:val="en-AU"/>
              </w:rPr>
            </w:pPr>
            <w:r w:rsidRPr="00EE0EEB">
              <w:rPr>
                <w:lang w:val="en-AU"/>
              </w:rPr>
              <w:t>37.0%</w:t>
            </w:r>
          </w:p>
        </w:tc>
        <w:tc>
          <w:tcPr>
            <w:tcW w:w="679" w:type="pct"/>
          </w:tcPr>
          <w:p w14:paraId="02777933" w14:textId="77777777" w:rsidR="008C4C67" w:rsidRPr="00EE0EEB" w:rsidRDefault="008C4C67" w:rsidP="008C4C67">
            <w:pPr>
              <w:pStyle w:val="TableText"/>
              <w:spacing w:before="20" w:after="20"/>
              <w:jc w:val="center"/>
              <w:rPr>
                <w:lang w:val="en-AU"/>
              </w:rPr>
            </w:pPr>
            <w:r w:rsidRPr="00EE0EEB">
              <w:rPr>
                <w:lang w:val="en-AU"/>
              </w:rPr>
              <w:t>37.0%</w:t>
            </w:r>
          </w:p>
        </w:tc>
      </w:tr>
      <w:tr w:rsidR="008C4C67" w:rsidRPr="00EE0EEB" w:rsidDel="00B2138A" w14:paraId="06D2CFA9" w14:textId="77777777" w:rsidTr="00AA56CB">
        <w:tc>
          <w:tcPr>
            <w:tcW w:w="196" w:type="pct"/>
          </w:tcPr>
          <w:p w14:paraId="5EDB111C" w14:textId="77777777" w:rsidR="008C4C67" w:rsidRPr="00EE0EEB" w:rsidDel="00B2138A" w:rsidRDefault="008C4C67" w:rsidP="008C4C67">
            <w:pPr>
              <w:pStyle w:val="TableText"/>
              <w:spacing w:before="20" w:after="20"/>
              <w:jc w:val="center"/>
              <w:rPr>
                <w:lang w:val="en-AU"/>
              </w:rPr>
            </w:pPr>
            <w:r w:rsidRPr="00EE0EEB">
              <w:rPr>
                <w:lang w:val="en-AU"/>
              </w:rPr>
              <w:t>B</w:t>
            </w:r>
          </w:p>
        </w:tc>
        <w:tc>
          <w:tcPr>
            <w:tcW w:w="1084" w:type="pct"/>
          </w:tcPr>
          <w:p w14:paraId="152C41C8" w14:textId="77777777" w:rsidR="008C4C67" w:rsidRPr="00EE0EEB" w:rsidRDefault="008C4C67" w:rsidP="008C4C67">
            <w:pPr>
              <w:pStyle w:val="TableText"/>
              <w:spacing w:before="20" w:after="20"/>
              <w:rPr>
                <w:lang w:val="en-AU"/>
              </w:rPr>
            </w:pPr>
            <w:r w:rsidRPr="00EE0EEB">
              <w:rPr>
                <w:lang w:val="en-AU"/>
              </w:rPr>
              <w:t>Number of patients with MCI</w:t>
            </w:r>
          </w:p>
        </w:tc>
        <w:tc>
          <w:tcPr>
            <w:tcW w:w="620" w:type="pct"/>
          </w:tcPr>
          <w:p w14:paraId="5DE44AA1" w14:textId="2B3D41CA" w:rsidR="008C4C67" w:rsidRPr="00595CE7"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595CE7" w:rsidRPr="00713A30">
              <w:rPr>
                <w:vertAlign w:val="superscript"/>
                <w:lang w:val="en-AU"/>
              </w:rPr>
              <w:t>2</w:t>
            </w:r>
          </w:p>
        </w:tc>
        <w:tc>
          <w:tcPr>
            <w:tcW w:w="620" w:type="pct"/>
          </w:tcPr>
          <w:p w14:paraId="1A0FEC71" w14:textId="086C4B0B" w:rsidR="008C4C67" w:rsidRPr="00595CE7"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595CE7" w:rsidRPr="00713A30">
              <w:rPr>
                <w:vertAlign w:val="superscript"/>
                <w:lang w:val="en-AU"/>
              </w:rPr>
              <w:t>2</w:t>
            </w:r>
            <w:r w:rsidR="00595CE7">
              <w:rPr>
                <w:highlight w:val="yellow"/>
                <w:vertAlign w:val="superscript"/>
                <w:lang w:val="en-AU"/>
              </w:rPr>
              <w:t xml:space="preserve"> </w:t>
            </w:r>
          </w:p>
        </w:tc>
        <w:tc>
          <w:tcPr>
            <w:tcW w:w="620" w:type="pct"/>
          </w:tcPr>
          <w:p w14:paraId="6FEE5861" w14:textId="14A97A60" w:rsidR="008C4C67" w:rsidRPr="00595CE7"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595CE7" w:rsidRPr="00713A30">
              <w:rPr>
                <w:vertAlign w:val="superscript"/>
                <w:lang w:val="en-AU"/>
              </w:rPr>
              <w:t>3</w:t>
            </w:r>
          </w:p>
        </w:tc>
        <w:tc>
          <w:tcPr>
            <w:tcW w:w="620" w:type="pct"/>
          </w:tcPr>
          <w:p w14:paraId="25C17D52" w14:textId="1A60906C"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713A30">
              <w:rPr>
                <w:vertAlign w:val="superscript"/>
                <w:lang w:val="en-AU"/>
              </w:rPr>
              <w:t>3</w:t>
            </w:r>
          </w:p>
        </w:tc>
        <w:tc>
          <w:tcPr>
            <w:tcW w:w="561" w:type="pct"/>
          </w:tcPr>
          <w:p w14:paraId="0AF184D7" w14:textId="2D92AA75"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713A30">
              <w:rPr>
                <w:vertAlign w:val="superscript"/>
                <w:lang w:val="en-AU"/>
              </w:rPr>
              <w:t>4</w:t>
            </w:r>
          </w:p>
        </w:tc>
        <w:tc>
          <w:tcPr>
            <w:tcW w:w="679" w:type="pct"/>
          </w:tcPr>
          <w:p w14:paraId="6E81DB9C" w14:textId="58AA6B91"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713A30">
              <w:rPr>
                <w:vertAlign w:val="superscript"/>
                <w:lang w:val="en-AU"/>
              </w:rPr>
              <w:t>5</w:t>
            </w:r>
          </w:p>
        </w:tc>
      </w:tr>
      <w:tr w:rsidR="008C4C67" w:rsidRPr="00EE0EEB" w:rsidDel="00B2138A" w14:paraId="3555E66C" w14:textId="77777777" w:rsidTr="00AA56CB">
        <w:tc>
          <w:tcPr>
            <w:tcW w:w="196" w:type="pct"/>
          </w:tcPr>
          <w:p w14:paraId="60752DBB" w14:textId="77777777" w:rsidR="008C4C67" w:rsidRPr="00EE0EEB" w:rsidDel="00B2138A" w:rsidRDefault="008C4C67" w:rsidP="008C4C67">
            <w:pPr>
              <w:pStyle w:val="TableText"/>
              <w:spacing w:before="20" w:after="20"/>
              <w:jc w:val="center"/>
              <w:rPr>
                <w:lang w:val="en-AU"/>
              </w:rPr>
            </w:pPr>
            <w:r w:rsidRPr="00EE0EEB">
              <w:rPr>
                <w:lang w:val="en-AU"/>
              </w:rPr>
              <w:t>C</w:t>
            </w:r>
          </w:p>
        </w:tc>
        <w:tc>
          <w:tcPr>
            <w:tcW w:w="1084" w:type="pct"/>
          </w:tcPr>
          <w:p w14:paraId="0A6846A3" w14:textId="77777777" w:rsidR="008C4C67" w:rsidRPr="00EE0EEB" w:rsidRDefault="008C4C67" w:rsidP="008C4C67">
            <w:pPr>
              <w:pStyle w:val="TableText"/>
              <w:spacing w:before="20" w:after="20"/>
              <w:rPr>
                <w:lang w:val="en-AU"/>
              </w:rPr>
            </w:pPr>
            <w:r w:rsidRPr="00EE0EEB">
              <w:rPr>
                <w:lang w:val="en-AU"/>
              </w:rPr>
              <w:t>Proportion of patients with MCI due to AD</w:t>
            </w:r>
          </w:p>
        </w:tc>
        <w:tc>
          <w:tcPr>
            <w:tcW w:w="620" w:type="pct"/>
          </w:tcPr>
          <w:p w14:paraId="5D6A9DAD" w14:textId="77777777" w:rsidR="008C4C67" w:rsidRPr="00EE0EEB" w:rsidRDefault="008C4C67" w:rsidP="008C4C67">
            <w:pPr>
              <w:pStyle w:val="TableText"/>
              <w:spacing w:before="20" w:after="20"/>
              <w:jc w:val="center"/>
              <w:rPr>
                <w:lang w:val="en-AU"/>
              </w:rPr>
            </w:pPr>
            <w:r w:rsidRPr="00EE0EEB">
              <w:rPr>
                <w:lang w:val="en-AU"/>
              </w:rPr>
              <w:t>62.0%</w:t>
            </w:r>
          </w:p>
        </w:tc>
        <w:tc>
          <w:tcPr>
            <w:tcW w:w="620" w:type="pct"/>
          </w:tcPr>
          <w:p w14:paraId="5E2FD41B" w14:textId="77777777" w:rsidR="008C4C67" w:rsidRPr="00EE0EEB" w:rsidRDefault="008C4C67" w:rsidP="008C4C67">
            <w:pPr>
              <w:pStyle w:val="TableText"/>
              <w:spacing w:before="20" w:after="20"/>
              <w:jc w:val="center"/>
              <w:rPr>
                <w:lang w:val="en-AU"/>
              </w:rPr>
            </w:pPr>
            <w:r w:rsidRPr="00EE0EEB">
              <w:rPr>
                <w:lang w:val="en-AU"/>
              </w:rPr>
              <w:t>62.0%</w:t>
            </w:r>
          </w:p>
        </w:tc>
        <w:tc>
          <w:tcPr>
            <w:tcW w:w="620" w:type="pct"/>
          </w:tcPr>
          <w:p w14:paraId="6BE8FCFA" w14:textId="77777777" w:rsidR="008C4C67" w:rsidRPr="00EE0EEB" w:rsidRDefault="008C4C67" w:rsidP="008C4C67">
            <w:pPr>
              <w:pStyle w:val="TableText"/>
              <w:spacing w:before="20" w:after="20"/>
              <w:jc w:val="center"/>
              <w:rPr>
                <w:lang w:val="en-AU"/>
              </w:rPr>
            </w:pPr>
            <w:r w:rsidRPr="00EE0EEB">
              <w:rPr>
                <w:lang w:val="en-AU"/>
              </w:rPr>
              <w:t>62.0%</w:t>
            </w:r>
          </w:p>
        </w:tc>
        <w:tc>
          <w:tcPr>
            <w:tcW w:w="620" w:type="pct"/>
          </w:tcPr>
          <w:p w14:paraId="643DF59C" w14:textId="77777777" w:rsidR="008C4C67" w:rsidRPr="00EE0EEB" w:rsidRDefault="008C4C67" w:rsidP="008C4C67">
            <w:pPr>
              <w:pStyle w:val="TableText"/>
              <w:spacing w:before="20" w:after="20"/>
              <w:jc w:val="center"/>
              <w:rPr>
                <w:lang w:val="en-AU"/>
              </w:rPr>
            </w:pPr>
            <w:r w:rsidRPr="00EE0EEB">
              <w:rPr>
                <w:lang w:val="en-AU"/>
              </w:rPr>
              <w:t>62.0%</w:t>
            </w:r>
          </w:p>
        </w:tc>
        <w:tc>
          <w:tcPr>
            <w:tcW w:w="561" w:type="pct"/>
          </w:tcPr>
          <w:p w14:paraId="38044600" w14:textId="77777777" w:rsidR="008C4C67" w:rsidRPr="00EE0EEB" w:rsidRDefault="008C4C67" w:rsidP="008C4C67">
            <w:pPr>
              <w:pStyle w:val="TableText"/>
              <w:spacing w:before="20" w:after="20"/>
              <w:jc w:val="center"/>
              <w:rPr>
                <w:lang w:val="en-AU"/>
              </w:rPr>
            </w:pPr>
            <w:r w:rsidRPr="00EE0EEB">
              <w:rPr>
                <w:lang w:val="en-AU"/>
              </w:rPr>
              <w:t>62.0%</w:t>
            </w:r>
          </w:p>
        </w:tc>
        <w:tc>
          <w:tcPr>
            <w:tcW w:w="679" w:type="pct"/>
          </w:tcPr>
          <w:p w14:paraId="16FE5029" w14:textId="77777777" w:rsidR="008C4C67" w:rsidRPr="00EE0EEB" w:rsidRDefault="008C4C67" w:rsidP="008C4C67">
            <w:pPr>
              <w:pStyle w:val="TableText"/>
              <w:spacing w:before="20" w:after="20"/>
              <w:jc w:val="center"/>
              <w:rPr>
                <w:lang w:val="en-AU"/>
              </w:rPr>
            </w:pPr>
            <w:r w:rsidRPr="00EE0EEB">
              <w:rPr>
                <w:lang w:val="en-AU"/>
              </w:rPr>
              <w:t>62.0%</w:t>
            </w:r>
          </w:p>
        </w:tc>
      </w:tr>
      <w:tr w:rsidR="008C4C67" w:rsidRPr="00EE0EEB" w:rsidDel="00B2138A" w14:paraId="010B6EB5" w14:textId="77777777" w:rsidTr="00AA56CB">
        <w:tc>
          <w:tcPr>
            <w:tcW w:w="196" w:type="pct"/>
          </w:tcPr>
          <w:p w14:paraId="3B75998C" w14:textId="77777777" w:rsidR="008C4C67" w:rsidRPr="00EE0EEB" w:rsidDel="00B2138A" w:rsidRDefault="008C4C67" w:rsidP="008C4C67">
            <w:pPr>
              <w:pStyle w:val="TableText"/>
              <w:spacing w:before="20" w:after="20"/>
              <w:jc w:val="center"/>
              <w:rPr>
                <w:lang w:val="en-AU"/>
              </w:rPr>
            </w:pPr>
            <w:r w:rsidRPr="00EE0EEB">
              <w:rPr>
                <w:lang w:val="en-AU"/>
              </w:rPr>
              <w:t>D</w:t>
            </w:r>
          </w:p>
        </w:tc>
        <w:tc>
          <w:tcPr>
            <w:tcW w:w="1084" w:type="pct"/>
          </w:tcPr>
          <w:p w14:paraId="2990614F" w14:textId="77777777" w:rsidR="008C4C67" w:rsidRPr="00EE0EEB" w:rsidDel="00B2138A" w:rsidRDefault="008C4C67" w:rsidP="008C4C67">
            <w:pPr>
              <w:pStyle w:val="TableText"/>
              <w:spacing w:before="20" w:after="20"/>
              <w:rPr>
                <w:lang w:val="en-AU"/>
              </w:rPr>
            </w:pPr>
            <w:r w:rsidRPr="00EE0EEB">
              <w:rPr>
                <w:lang w:val="en-AU"/>
              </w:rPr>
              <w:t>Number of patients with MCI due to AD</w:t>
            </w:r>
          </w:p>
        </w:tc>
        <w:tc>
          <w:tcPr>
            <w:tcW w:w="620" w:type="pct"/>
          </w:tcPr>
          <w:p w14:paraId="22F1D830" w14:textId="60F8ECA2"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1</w:t>
            </w:r>
          </w:p>
        </w:tc>
        <w:tc>
          <w:tcPr>
            <w:tcW w:w="620" w:type="pct"/>
          </w:tcPr>
          <w:p w14:paraId="32FF5DAA" w14:textId="7CB18EB0"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1</w:t>
            </w:r>
          </w:p>
        </w:tc>
        <w:tc>
          <w:tcPr>
            <w:tcW w:w="620" w:type="pct"/>
          </w:tcPr>
          <w:p w14:paraId="09B90D64" w14:textId="3E51E6AC"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2</w:t>
            </w:r>
          </w:p>
        </w:tc>
        <w:tc>
          <w:tcPr>
            <w:tcW w:w="620" w:type="pct"/>
          </w:tcPr>
          <w:p w14:paraId="1B436582" w14:textId="32F45837"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2</w:t>
            </w:r>
          </w:p>
        </w:tc>
        <w:tc>
          <w:tcPr>
            <w:tcW w:w="561" w:type="pct"/>
          </w:tcPr>
          <w:p w14:paraId="0399FE34" w14:textId="1E1A0A9E"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2</w:t>
            </w:r>
          </w:p>
        </w:tc>
        <w:tc>
          <w:tcPr>
            <w:tcW w:w="679" w:type="pct"/>
          </w:tcPr>
          <w:p w14:paraId="45B9B96D" w14:textId="2EF20320"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D215FC">
              <w:rPr>
                <w:vertAlign w:val="superscript"/>
                <w:lang w:val="en-AU"/>
              </w:rPr>
              <w:t>3</w:t>
            </w:r>
          </w:p>
        </w:tc>
      </w:tr>
      <w:tr w:rsidR="008C4C67" w:rsidRPr="00EE0EEB" w:rsidDel="00B2138A" w14:paraId="4858AC4E" w14:textId="77777777" w:rsidTr="00AA56CB">
        <w:tc>
          <w:tcPr>
            <w:tcW w:w="196" w:type="pct"/>
          </w:tcPr>
          <w:p w14:paraId="2EA2BCA5" w14:textId="77777777" w:rsidR="008C4C67" w:rsidRPr="00EE0EEB" w:rsidDel="00B2138A" w:rsidRDefault="008C4C67" w:rsidP="008C4C67">
            <w:pPr>
              <w:pStyle w:val="TableText"/>
              <w:spacing w:before="20" w:after="20"/>
              <w:jc w:val="center"/>
              <w:rPr>
                <w:lang w:val="en-AU"/>
              </w:rPr>
            </w:pPr>
            <w:r w:rsidRPr="00EE0EEB">
              <w:rPr>
                <w:lang w:val="en-AU"/>
              </w:rPr>
              <w:t>E</w:t>
            </w:r>
          </w:p>
        </w:tc>
        <w:tc>
          <w:tcPr>
            <w:tcW w:w="1084" w:type="pct"/>
          </w:tcPr>
          <w:p w14:paraId="342BC3D6" w14:textId="77777777" w:rsidR="008C4C67" w:rsidRPr="00EE0EEB" w:rsidRDefault="008C4C67" w:rsidP="008C4C67">
            <w:pPr>
              <w:pStyle w:val="TableText"/>
              <w:spacing w:before="20" w:after="20"/>
              <w:rPr>
                <w:lang w:val="en-AU"/>
              </w:rPr>
            </w:pPr>
            <w:r w:rsidRPr="00EE0EEB">
              <w:rPr>
                <w:lang w:val="en-AU"/>
              </w:rPr>
              <w:t>Proportion with MMSE ≥ 20</w:t>
            </w:r>
          </w:p>
        </w:tc>
        <w:tc>
          <w:tcPr>
            <w:tcW w:w="620" w:type="pct"/>
            <w:vAlign w:val="center"/>
          </w:tcPr>
          <w:p w14:paraId="0E04A912"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620" w:type="pct"/>
            <w:vAlign w:val="center"/>
          </w:tcPr>
          <w:p w14:paraId="63D6DBD6"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620" w:type="pct"/>
            <w:vAlign w:val="center"/>
          </w:tcPr>
          <w:p w14:paraId="44BC7D17"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620" w:type="pct"/>
            <w:vAlign w:val="center"/>
          </w:tcPr>
          <w:p w14:paraId="0E17C382"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561" w:type="pct"/>
            <w:vAlign w:val="center"/>
          </w:tcPr>
          <w:p w14:paraId="40B41823"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679" w:type="pct"/>
            <w:vAlign w:val="center"/>
          </w:tcPr>
          <w:p w14:paraId="580EBC3F" w14:textId="77777777" w:rsidR="008C4C67" w:rsidRPr="00EE0EEB" w:rsidDel="00B2138A" w:rsidRDefault="008C4C67" w:rsidP="008C4C67">
            <w:pPr>
              <w:pStyle w:val="TableText"/>
              <w:spacing w:before="20" w:after="20"/>
              <w:jc w:val="center"/>
              <w:rPr>
                <w:lang w:val="en-AU"/>
              </w:rPr>
            </w:pPr>
            <w:r w:rsidRPr="00EE0EEB">
              <w:rPr>
                <w:lang w:val="en-AU"/>
              </w:rPr>
              <w:t>95.0%</w:t>
            </w:r>
          </w:p>
        </w:tc>
      </w:tr>
      <w:tr w:rsidR="008C4C67" w:rsidRPr="00EE0EEB" w:rsidDel="00B2138A" w14:paraId="683B06D1" w14:textId="77777777" w:rsidTr="00AA56CB">
        <w:tc>
          <w:tcPr>
            <w:tcW w:w="196" w:type="pct"/>
          </w:tcPr>
          <w:p w14:paraId="0CD70A00" w14:textId="77777777" w:rsidR="008C4C67" w:rsidRPr="00EE0EEB" w:rsidDel="00B2138A" w:rsidRDefault="008C4C67" w:rsidP="008C4C67">
            <w:pPr>
              <w:pStyle w:val="TableText"/>
              <w:spacing w:before="20" w:after="20"/>
              <w:jc w:val="center"/>
              <w:rPr>
                <w:lang w:val="en-AU"/>
              </w:rPr>
            </w:pPr>
            <w:r w:rsidRPr="00EE0EEB">
              <w:rPr>
                <w:lang w:val="en-AU"/>
              </w:rPr>
              <w:t>F</w:t>
            </w:r>
          </w:p>
        </w:tc>
        <w:tc>
          <w:tcPr>
            <w:tcW w:w="1084" w:type="pct"/>
          </w:tcPr>
          <w:p w14:paraId="30A7576D" w14:textId="77777777" w:rsidR="008C4C67" w:rsidRPr="00EE0EEB" w:rsidRDefault="008C4C67" w:rsidP="008C4C67">
            <w:pPr>
              <w:pStyle w:val="TableText"/>
              <w:spacing w:before="20" w:after="20"/>
              <w:rPr>
                <w:lang w:val="en-AU"/>
              </w:rPr>
            </w:pPr>
            <w:r w:rsidRPr="00EE0EEB">
              <w:rPr>
                <w:lang w:val="en-AU"/>
              </w:rPr>
              <w:t>Number of patients with MMSE ≥ 20</w:t>
            </w:r>
          </w:p>
        </w:tc>
        <w:tc>
          <w:tcPr>
            <w:tcW w:w="620" w:type="pct"/>
          </w:tcPr>
          <w:p w14:paraId="1ED1B7A2" w14:textId="156EBDE4"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1</w:t>
            </w:r>
          </w:p>
        </w:tc>
        <w:tc>
          <w:tcPr>
            <w:tcW w:w="620" w:type="pct"/>
          </w:tcPr>
          <w:p w14:paraId="6E7E7CD1" w14:textId="09ED3D3C"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1</w:t>
            </w:r>
          </w:p>
        </w:tc>
        <w:tc>
          <w:tcPr>
            <w:tcW w:w="620" w:type="pct"/>
          </w:tcPr>
          <w:p w14:paraId="05875C42" w14:textId="1DE008DD"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2</w:t>
            </w:r>
          </w:p>
        </w:tc>
        <w:tc>
          <w:tcPr>
            <w:tcW w:w="620" w:type="pct"/>
          </w:tcPr>
          <w:p w14:paraId="34EB0D0B" w14:textId="1D27228C"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2</w:t>
            </w:r>
          </w:p>
        </w:tc>
        <w:tc>
          <w:tcPr>
            <w:tcW w:w="561" w:type="pct"/>
          </w:tcPr>
          <w:p w14:paraId="38603A42" w14:textId="1B9061D5"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2</w:t>
            </w:r>
          </w:p>
        </w:tc>
        <w:tc>
          <w:tcPr>
            <w:tcW w:w="679" w:type="pct"/>
          </w:tcPr>
          <w:p w14:paraId="5EA7D8F5" w14:textId="3537B914"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6934D1">
              <w:rPr>
                <w:b/>
                <w:bCs/>
                <w:vertAlign w:val="superscript"/>
                <w:lang w:val="en-AU"/>
              </w:rPr>
              <w:t>3</w:t>
            </w:r>
          </w:p>
        </w:tc>
      </w:tr>
      <w:tr w:rsidR="008C4C67" w:rsidRPr="00EE0EEB" w:rsidDel="00B2138A" w14:paraId="29FAE1FA" w14:textId="77777777" w:rsidTr="00AA56CB">
        <w:tc>
          <w:tcPr>
            <w:tcW w:w="196" w:type="pct"/>
          </w:tcPr>
          <w:p w14:paraId="3B817BA2" w14:textId="77777777" w:rsidR="008C4C67" w:rsidRPr="00EE0EEB" w:rsidRDefault="008C4C67" w:rsidP="008C4C67">
            <w:pPr>
              <w:pStyle w:val="TableText"/>
              <w:spacing w:before="20" w:after="20"/>
              <w:jc w:val="center"/>
              <w:rPr>
                <w:lang w:val="en-AU"/>
              </w:rPr>
            </w:pPr>
            <w:r w:rsidRPr="00EE0EEB">
              <w:rPr>
                <w:lang w:val="en-AU"/>
              </w:rPr>
              <w:t>G</w:t>
            </w:r>
          </w:p>
        </w:tc>
        <w:tc>
          <w:tcPr>
            <w:tcW w:w="1084" w:type="pct"/>
          </w:tcPr>
          <w:p w14:paraId="7170CB6B" w14:textId="77777777" w:rsidR="008C4C67" w:rsidRPr="00EE0EEB" w:rsidRDefault="008C4C67" w:rsidP="008C4C67">
            <w:pPr>
              <w:pStyle w:val="TableText"/>
              <w:spacing w:before="20" w:after="20"/>
              <w:rPr>
                <w:lang w:val="en-AU"/>
              </w:rPr>
            </w:pPr>
            <w:r w:rsidRPr="00EE0EEB">
              <w:rPr>
                <w:lang w:val="en-AU"/>
              </w:rPr>
              <w:t>Proportion of patients with dementia</w:t>
            </w:r>
          </w:p>
        </w:tc>
        <w:tc>
          <w:tcPr>
            <w:tcW w:w="620" w:type="pct"/>
          </w:tcPr>
          <w:p w14:paraId="0F38B259" w14:textId="77777777" w:rsidR="008C4C67" w:rsidRPr="00EE0EEB" w:rsidRDefault="008C4C67" w:rsidP="008C4C67">
            <w:pPr>
              <w:pStyle w:val="TableText"/>
              <w:spacing w:before="20" w:after="20"/>
              <w:jc w:val="center"/>
              <w:rPr>
                <w:lang w:val="en-AU"/>
              </w:rPr>
            </w:pPr>
            <w:r w:rsidRPr="00EE0EEB">
              <w:rPr>
                <w:lang w:val="en-AU"/>
              </w:rPr>
              <w:t>63.0%</w:t>
            </w:r>
          </w:p>
        </w:tc>
        <w:tc>
          <w:tcPr>
            <w:tcW w:w="620" w:type="pct"/>
          </w:tcPr>
          <w:p w14:paraId="0D1EB828" w14:textId="77777777" w:rsidR="008C4C67" w:rsidRPr="00EE0EEB" w:rsidRDefault="008C4C67" w:rsidP="008C4C67">
            <w:pPr>
              <w:pStyle w:val="TableText"/>
              <w:spacing w:before="20" w:after="20"/>
              <w:jc w:val="center"/>
              <w:rPr>
                <w:lang w:val="en-AU"/>
              </w:rPr>
            </w:pPr>
            <w:r w:rsidRPr="00EE0EEB">
              <w:rPr>
                <w:lang w:val="en-AU"/>
              </w:rPr>
              <w:t>63.0%</w:t>
            </w:r>
          </w:p>
        </w:tc>
        <w:tc>
          <w:tcPr>
            <w:tcW w:w="620" w:type="pct"/>
          </w:tcPr>
          <w:p w14:paraId="6E8B965E" w14:textId="77777777" w:rsidR="008C4C67" w:rsidRPr="00EE0EEB" w:rsidRDefault="008C4C67" w:rsidP="008C4C67">
            <w:pPr>
              <w:pStyle w:val="TableText"/>
              <w:spacing w:before="20" w:after="20"/>
              <w:jc w:val="center"/>
              <w:rPr>
                <w:lang w:val="en-AU"/>
              </w:rPr>
            </w:pPr>
            <w:r w:rsidRPr="00EE0EEB">
              <w:rPr>
                <w:lang w:val="en-AU"/>
              </w:rPr>
              <w:t>63.0%</w:t>
            </w:r>
          </w:p>
        </w:tc>
        <w:tc>
          <w:tcPr>
            <w:tcW w:w="620" w:type="pct"/>
          </w:tcPr>
          <w:p w14:paraId="7C148B0E" w14:textId="77777777" w:rsidR="008C4C67" w:rsidRPr="00EE0EEB" w:rsidRDefault="008C4C67" w:rsidP="008C4C67">
            <w:pPr>
              <w:pStyle w:val="TableText"/>
              <w:spacing w:before="20" w:after="20"/>
              <w:jc w:val="center"/>
              <w:rPr>
                <w:lang w:val="en-AU"/>
              </w:rPr>
            </w:pPr>
            <w:r w:rsidRPr="00EE0EEB">
              <w:rPr>
                <w:lang w:val="en-AU"/>
              </w:rPr>
              <w:t>63.0%</w:t>
            </w:r>
          </w:p>
        </w:tc>
        <w:tc>
          <w:tcPr>
            <w:tcW w:w="561" w:type="pct"/>
          </w:tcPr>
          <w:p w14:paraId="3B27A27B" w14:textId="77777777" w:rsidR="008C4C67" w:rsidRPr="00EE0EEB" w:rsidRDefault="008C4C67" w:rsidP="008C4C67">
            <w:pPr>
              <w:pStyle w:val="TableText"/>
              <w:spacing w:before="20" w:after="20"/>
              <w:jc w:val="center"/>
              <w:rPr>
                <w:lang w:val="en-AU"/>
              </w:rPr>
            </w:pPr>
            <w:r w:rsidRPr="00EE0EEB">
              <w:rPr>
                <w:lang w:val="en-AU"/>
              </w:rPr>
              <w:t>63.0%</w:t>
            </w:r>
          </w:p>
        </w:tc>
        <w:tc>
          <w:tcPr>
            <w:tcW w:w="679" w:type="pct"/>
          </w:tcPr>
          <w:p w14:paraId="7A910F0A" w14:textId="77777777" w:rsidR="008C4C67" w:rsidRPr="00EE0EEB" w:rsidRDefault="008C4C67" w:rsidP="008C4C67">
            <w:pPr>
              <w:pStyle w:val="TableText"/>
              <w:spacing w:before="20" w:after="20"/>
              <w:jc w:val="center"/>
              <w:rPr>
                <w:lang w:val="en-AU"/>
              </w:rPr>
            </w:pPr>
            <w:r w:rsidRPr="00EE0EEB">
              <w:rPr>
                <w:lang w:val="en-AU"/>
              </w:rPr>
              <w:t>63.0%</w:t>
            </w:r>
          </w:p>
        </w:tc>
      </w:tr>
      <w:tr w:rsidR="008C4C67" w:rsidRPr="00EE0EEB" w:rsidDel="00B2138A" w14:paraId="0633C342" w14:textId="77777777" w:rsidTr="00AA56CB">
        <w:tc>
          <w:tcPr>
            <w:tcW w:w="196" w:type="pct"/>
          </w:tcPr>
          <w:p w14:paraId="18BC0AAA" w14:textId="77777777" w:rsidR="008C4C67" w:rsidRPr="00EE0EEB" w:rsidRDefault="008C4C67" w:rsidP="008C4C67">
            <w:pPr>
              <w:pStyle w:val="TableText"/>
              <w:spacing w:before="20" w:after="20"/>
              <w:jc w:val="center"/>
              <w:rPr>
                <w:lang w:val="en-AU"/>
              </w:rPr>
            </w:pPr>
            <w:r w:rsidRPr="00EE0EEB">
              <w:rPr>
                <w:lang w:val="en-AU"/>
              </w:rPr>
              <w:t>H</w:t>
            </w:r>
          </w:p>
        </w:tc>
        <w:tc>
          <w:tcPr>
            <w:tcW w:w="1084" w:type="pct"/>
          </w:tcPr>
          <w:p w14:paraId="00F1E33E" w14:textId="77777777" w:rsidR="008C4C67" w:rsidRPr="00EE0EEB" w:rsidRDefault="008C4C67" w:rsidP="008C4C67">
            <w:pPr>
              <w:pStyle w:val="TableText"/>
              <w:spacing w:before="20" w:after="20"/>
              <w:rPr>
                <w:lang w:val="en-AU"/>
              </w:rPr>
            </w:pPr>
            <w:r w:rsidRPr="00EE0EEB">
              <w:rPr>
                <w:lang w:val="en-AU"/>
              </w:rPr>
              <w:t>Number of patients with dementia</w:t>
            </w:r>
          </w:p>
        </w:tc>
        <w:tc>
          <w:tcPr>
            <w:tcW w:w="620" w:type="pct"/>
          </w:tcPr>
          <w:p w14:paraId="5AA77FF0" w14:textId="3A826465"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4</w:t>
            </w:r>
          </w:p>
        </w:tc>
        <w:tc>
          <w:tcPr>
            <w:tcW w:w="620" w:type="pct"/>
          </w:tcPr>
          <w:p w14:paraId="66E3FFCA" w14:textId="6AE86E96"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5</w:t>
            </w:r>
          </w:p>
        </w:tc>
        <w:tc>
          <w:tcPr>
            <w:tcW w:w="620" w:type="pct"/>
          </w:tcPr>
          <w:p w14:paraId="53D8D960" w14:textId="54432C36"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5</w:t>
            </w:r>
          </w:p>
        </w:tc>
        <w:tc>
          <w:tcPr>
            <w:tcW w:w="620" w:type="pct"/>
          </w:tcPr>
          <w:p w14:paraId="41180E6B" w14:textId="209A001C"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6</w:t>
            </w:r>
          </w:p>
        </w:tc>
        <w:tc>
          <w:tcPr>
            <w:tcW w:w="561" w:type="pct"/>
          </w:tcPr>
          <w:p w14:paraId="52EDF0D8" w14:textId="4163F29C"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7</w:t>
            </w:r>
          </w:p>
        </w:tc>
        <w:tc>
          <w:tcPr>
            <w:tcW w:w="679" w:type="pct"/>
          </w:tcPr>
          <w:p w14:paraId="0D3D5D5F" w14:textId="05F493AE" w:rsidR="008C4C67" w:rsidRPr="00713A30"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8</w:t>
            </w:r>
          </w:p>
        </w:tc>
      </w:tr>
      <w:tr w:rsidR="008C4C67" w:rsidRPr="00EE0EEB" w:rsidDel="00B2138A" w14:paraId="21754D58" w14:textId="77777777" w:rsidTr="00AA56CB">
        <w:tc>
          <w:tcPr>
            <w:tcW w:w="196" w:type="pct"/>
          </w:tcPr>
          <w:p w14:paraId="0AD661DE" w14:textId="77777777" w:rsidR="008C4C67" w:rsidRPr="00EE0EEB" w:rsidRDefault="008C4C67" w:rsidP="008C4C67">
            <w:pPr>
              <w:pStyle w:val="TableText"/>
              <w:spacing w:before="20" w:after="20"/>
              <w:jc w:val="center"/>
              <w:rPr>
                <w:lang w:val="en-AU"/>
              </w:rPr>
            </w:pPr>
            <w:r w:rsidRPr="00EE0EEB">
              <w:rPr>
                <w:lang w:val="en-AU"/>
              </w:rPr>
              <w:t>I</w:t>
            </w:r>
          </w:p>
        </w:tc>
        <w:tc>
          <w:tcPr>
            <w:tcW w:w="1084" w:type="pct"/>
          </w:tcPr>
          <w:p w14:paraId="5D753F8A" w14:textId="77777777" w:rsidR="008C4C67" w:rsidRPr="00EE0EEB" w:rsidRDefault="008C4C67" w:rsidP="008C4C67">
            <w:pPr>
              <w:pStyle w:val="TableText"/>
              <w:spacing w:before="20" w:after="20"/>
              <w:rPr>
                <w:lang w:val="en-AU"/>
              </w:rPr>
            </w:pPr>
            <w:r w:rsidRPr="00EE0EEB">
              <w:rPr>
                <w:lang w:val="en-AU"/>
              </w:rPr>
              <w:t>Proportion of patients with dementia from AD</w:t>
            </w:r>
          </w:p>
        </w:tc>
        <w:tc>
          <w:tcPr>
            <w:tcW w:w="620" w:type="pct"/>
          </w:tcPr>
          <w:p w14:paraId="76136C51" w14:textId="77777777" w:rsidR="008C4C67" w:rsidRPr="00EE0EEB" w:rsidRDefault="008C4C67" w:rsidP="008C4C67">
            <w:pPr>
              <w:pStyle w:val="TableText"/>
              <w:spacing w:before="20" w:after="20"/>
              <w:jc w:val="center"/>
              <w:rPr>
                <w:lang w:val="en-AU"/>
              </w:rPr>
            </w:pPr>
            <w:r w:rsidRPr="00EE0EEB">
              <w:rPr>
                <w:lang w:val="en-AU"/>
              </w:rPr>
              <w:t>74.0%</w:t>
            </w:r>
          </w:p>
        </w:tc>
        <w:tc>
          <w:tcPr>
            <w:tcW w:w="620" w:type="pct"/>
          </w:tcPr>
          <w:p w14:paraId="622F61CD" w14:textId="77777777" w:rsidR="008C4C67" w:rsidRPr="00EE0EEB" w:rsidRDefault="008C4C67" w:rsidP="008C4C67">
            <w:pPr>
              <w:pStyle w:val="TableText"/>
              <w:spacing w:before="20" w:after="20"/>
              <w:jc w:val="center"/>
              <w:rPr>
                <w:lang w:val="en-AU"/>
              </w:rPr>
            </w:pPr>
            <w:r w:rsidRPr="00EE0EEB">
              <w:rPr>
                <w:lang w:val="en-AU"/>
              </w:rPr>
              <w:t>74.0%</w:t>
            </w:r>
          </w:p>
        </w:tc>
        <w:tc>
          <w:tcPr>
            <w:tcW w:w="620" w:type="pct"/>
          </w:tcPr>
          <w:p w14:paraId="4EC7D169" w14:textId="77777777" w:rsidR="008C4C67" w:rsidRPr="00EE0EEB" w:rsidRDefault="008C4C67" w:rsidP="008C4C67">
            <w:pPr>
              <w:pStyle w:val="TableText"/>
              <w:spacing w:before="20" w:after="20"/>
              <w:jc w:val="center"/>
              <w:rPr>
                <w:lang w:val="en-AU"/>
              </w:rPr>
            </w:pPr>
            <w:r w:rsidRPr="00EE0EEB">
              <w:rPr>
                <w:lang w:val="en-AU"/>
              </w:rPr>
              <w:t>74.0%</w:t>
            </w:r>
          </w:p>
        </w:tc>
        <w:tc>
          <w:tcPr>
            <w:tcW w:w="620" w:type="pct"/>
          </w:tcPr>
          <w:p w14:paraId="62B97E1D" w14:textId="77777777" w:rsidR="008C4C67" w:rsidRPr="00EE0EEB" w:rsidRDefault="008C4C67" w:rsidP="008C4C67">
            <w:pPr>
              <w:pStyle w:val="TableText"/>
              <w:spacing w:before="20" w:after="20"/>
              <w:jc w:val="center"/>
              <w:rPr>
                <w:lang w:val="en-AU"/>
              </w:rPr>
            </w:pPr>
            <w:r w:rsidRPr="00EE0EEB">
              <w:rPr>
                <w:lang w:val="en-AU"/>
              </w:rPr>
              <w:t>74.0%</w:t>
            </w:r>
          </w:p>
        </w:tc>
        <w:tc>
          <w:tcPr>
            <w:tcW w:w="561" w:type="pct"/>
          </w:tcPr>
          <w:p w14:paraId="0127F7A1" w14:textId="77777777" w:rsidR="008C4C67" w:rsidRPr="00EE0EEB" w:rsidRDefault="008C4C67" w:rsidP="008C4C67">
            <w:pPr>
              <w:pStyle w:val="TableText"/>
              <w:spacing w:before="20" w:after="20"/>
              <w:jc w:val="center"/>
              <w:rPr>
                <w:lang w:val="en-AU"/>
              </w:rPr>
            </w:pPr>
            <w:r w:rsidRPr="00EE0EEB">
              <w:rPr>
                <w:lang w:val="en-AU"/>
              </w:rPr>
              <w:t>74.0%</w:t>
            </w:r>
          </w:p>
        </w:tc>
        <w:tc>
          <w:tcPr>
            <w:tcW w:w="679" w:type="pct"/>
          </w:tcPr>
          <w:p w14:paraId="75538DD6" w14:textId="77777777" w:rsidR="008C4C67" w:rsidRPr="00EE0EEB" w:rsidRDefault="008C4C67" w:rsidP="008C4C67">
            <w:pPr>
              <w:pStyle w:val="TableText"/>
              <w:spacing w:before="20" w:after="20"/>
              <w:jc w:val="center"/>
              <w:rPr>
                <w:lang w:val="en-AU"/>
              </w:rPr>
            </w:pPr>
            <w:r w:rsidRPr="00EE0EEB">
              <w:rPr>
                <w:lang w:val="en-AU"/>
              </w:rPr>
              <w:t>74.0%</w:t>
            </w:r>
          </w:p>
        </w:tc>
      </w:tr>
      <w:tr w:rsidR="008C4C67" w:rsidRPr="00EE0EEB" w:rsidDel="00B2138A" w14:paraId="3356B78D" w14:textId="77777777" w:rsidTr="00AA56CB">
        <w:tc>
          <w:tcPr>
            <w:tcW w:w="196" w:type="pct"/>
          </w:tcPr>
          <w:p w14:paraId="2C24FF10" w14:textId="77777777" w:rsidR="008C4C67" w:rsidRPr="00EE0EEB" w:rsidDel="00B2138A" w:rsidRDefault="008C4C67" w:rsidP="008C4C67">
            <w:pPr>
              <w:pStyle w:val="TableText"/>
              <w:spacing w:before="20" w:after="20"/>
              <w:jc w:val="center"/>
              <w:rPr>
                <w:lang w:val="en-AU"/>
              </w:rPr>
            </w:pPr>
            <w:r w:rsidRPr="00EE0EEB">
              <w:rPr>
                <w:lang w:val="en-AU"/>
              </w:rPr>
              <w:t>J</w:t>
            </w:r>
          </w:p>
        </w:tc>
        <w:tc>
          <w:tcPr>
            <w:tcW w:w="1084" w:type="pct"/>
          </w:tcPr>
          <w:p w14:paraId="2259D757" w14:textId="77777777" w:rsidR="008C4C67" w:rsidRPr="00EE0EEB" w:rsidRDefault="008C4C67" w:rsidP="008C4C67">
            <w:pPr>
              <w:pStyle w:val="TableText"/>
              <w:spacing w:before="20" w:after="20"/>
              <w:rPr>
                <w:lang w:val="en-AU"/>
              </w:rPr>
            </w:pPr>
            <w:r w:rsidRPr="00EE0EEB">
              <w:rPr>
                <w:lang w:val="en-AU"/>
              </w:rPr>
              <w:t>Number of patients with dementia from AD</w:t>
            </w:r>
          </w:p>
        </w:tc>
        <w:tc>
          <w:tcPr>
            <w:tcW w:w="620" w:type="pct"/>
          </w:tcPr>
          <w:p w14:paraId="6BA6E5DE" w14:textId="25EA36B2"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3</w:t>
            </w:r>
          </w:p>
        </w:tc>
        <w:tc>
          <w:tcPr>
            <w:tcW w:w="620" w:type="pct"/>
          </w:tcPr>
          <w:p w14:paraId="7CCD5780" w14:textId="4BF1DF43"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3</w:t>
            </w:r>
          </w:p>
        </w:tc>
        <w:tc>
          <w:tcPr>
            <w:tcW w:w="620" w:type="pct"/>
          </w:tcPr>
          <w:p w14:paraId="6CA2D264" w14:textId="6EA1C088"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4</w:t>
            </w:r>
          </w:p>
        </w:tc>
        <w:tc>
          <w:tcPr>
            <w:tcW w:w="620" w:type="pct"/>
          </w:tcPr>
          <w:p w14:paraId="3D6E4123" w14:textId="70B54313"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4</w:t>
            </w:r>
          </w:p>
        </w:tc>
        <w:tc>
          <w:tcPr>
            <w:tcW w:w="561" w:type="pct"/>
          </w:tcPr>
          <w:p w14:paraId="49C5AA77" w14:textId="14EE8EDF"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5</w:t>
            </w:r>
          </w:p>
        </w:tc>
        <w:tc>
          <w:tcPr>
            <w:tcW w:w="679" w:type="pct"/>
          </w:tcPr>
          <w:p w14:paraId="3F296D66" w14:textId="533E73AB"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185E7B">
              <w:rPr>
                <w:vertAlign w:val="superscript"/>
                <w:lang w:val="en-AU"/>
              </w:rPr>
              <w:t>6</w:t>
            </w:r>
          </w:p>
        </w:tc>
      </w:tr>
      <w:tr w:rsidR="008C4C67" w:rsidRPr="00EE0EEB" w:rsidDel="00B2138A" w14:paraId="21738F4A" w14:textId="77777777" w:rsidTr="00AA56CB">
        <w:tc>
          <w:tcPr>
            <w:tcW w:w="196" w:type="pct"/>
          </w:tcPr>
          <w:p w14:paraId="20CC595E" w14:textId="77777777" w:rsidR="008C4C67" w:rsidRPr="00EE0EEB" w:rsidDel="00B2138A" w:rsidRDefault="008C4C67" w:rsidP="008C4C67">
            <w:pPr>
              <w:pStyle w:val="TableText"/>
              <w:spacing w:before="20" w:after="20"/>
              <w:jc w:val="center"/>
              <w:rPr>
                <w:lang w:val="en-AU"/>
              </w:rPr>
            </w:pPr>
            <w:r w:rsidRPr="00EE0EEB">
              <w:rPr>
                <w:lang w:val="en-AU"/>
              </w:rPr>
              <w:t>K</w:t>
            </w:r>
          </w:p>
        </w:tc>
        <w:tc>
          <w:tcPr>
            <w:tcW w:w="1084" w:type="pct"/>
          </w:tcPr>
          <w:p w14:paraId="5A8D2704" w14:textId="77777777" w:rsidR="008C4C67" w:rsidRPr="00EE0EEB" w:rsidRDefault="008C4C67" w:rsidP="008C4C67">
            <w:pPr>
              <w:pStyle w:val="TableText"/>
              <w:spacing w:before="20" w:after="20"/>
              <w:rPr>
                <w:lang w:val="en-AU"/>
              </w:rPr>
            </w:pPr>
            <w:r w:rsidRPr="00EE0EEB">
              <w:rPr>
                <w:lang w:val="en-AU"/>
              </w:rPr>
              <w:t>Proportion with MMSE ≥ 20</w:t>
            </w:r>
          </w:p>
        </w:tc>
        <w:tc>
          <w:tcPr>
            <w:tcW w:w="620" w:type="pct"/>
          </w:tcPr>
          <w:p w14:paraId="741EA34F" w14:textId="77777777" w:rsidR="008C4C67" w:rsidRPr="00EE0EEB" w:rsidDel="00B2138A" w:rsidRDefault="008C4C67" w:rsidP="008C4C67">
            <w:pPr>
              <w:pStyle w:val="TableText"/>
              <w:spacing w:before="20" w:after="20"/>
              <w:jc w:val="center"/>
              <w:rPr>
                <w:lang w:val="en-AU"/>
              </w:rPr>
            </w:pPr>
            <w:r w:rsidRPr="00EE0EEB">
              <w:rPr>
                <w:lang w:val="en-AU"/>
              </w:rPr>
              <w:t>75.0%</w:t>
            </w:r>
          </w:p>
        </w:tc>
        <w:tc>
          <w:tcPr>
            <w:tcW w:w="620" w:type="pct"/>
          </w:tcPr>
          <w:p w14:paraId="566C0C41" w14:textId="77777777" w:rsidR="008C4C67" w:rsidRPr="00EE0EEB" w:rsidDel="00B2138A" w:rsidRDefault="008C4C67" w:rsidP="008C4C67">
            <w:pPr>
              <w:pStyle w:val="TableText"/>
              <w:spacing w:before="20" w:after="20"/>
              <w:jc w:val="center"/>
              <w:rPr>
                <w:lang w:val="en-AU"/>
              </w:rPr>
            </w:pPr>
            <w:r w:rsidRPr="00EE0EEB">
              <w:rPr>
                <w:lang w:val="en-AU"/>
              </w:rPr>
              <w:t>80.0%</w:t>
            </w:r>
          </w:p>
        </w:tc>
        <w:tc>
          <w:tcPr>
            <w:tcW w:w="620" w:type="pct"/>
          </w:tcPr>
          <w:p w14:paraId="0A1EEB83" w14:textId="77777777" w:rsidR="008C4C67" w:rsidRPr="00EE0EEB" w:rsidDel="00B2138A" w:rsidRDefault="008C4C67" w:rsidP="008C4C67">
            <w:pPr>
              <w:pStyle w:val="TableText"/>
              <w:spacing w:before="20" w:after="20"/>
              <w:jc w:val="center"/>
              <w:rPr>
                <w:lang w:val="en-AU"/>
              </w:rPr>
            </w:pPr>
            <w:r w:rsidRPr="00EE0EEB">
              <w:rPr>
                <w:lang w:val="en-AU"/>
              </w:rPr>
              <w:t>85.0%</w:t>
            </w:r>
          </w:p>
        </w:tc>
        <w:tc>
          <w:tcPr>
            <w:tcW w:w="620" w:type="pct"/>
          </w:tcPr>
          <w:p w14:paraId="5F3DC885" w14:textId="77777777" w:rsidR="008C4C67" w:rsidRPr="00EE0EEB" w:rsidDel="00B2138A" w:rsidRDefault="008C4C67" w:rsidP="008C4C67">
            <w:pPr>
              <w:pStyle w:val="TableText"/>
              <w:spacing w:before="20" w:after="20"/>
              <w:jc w:val="center"/>
              <w:rPr>
                <w:lang w:val="en-AU"/>
              </w:rPr>
            </w:pPr>
            <w:r w:rsidRPr="00EE0EEB">
              <w:rPr>
                <w:lang w:val="en-AU"/>
              </w:rPr>
              <w:t>90.0%</w:t>
            </w:r>
          </w:p>
        </w:tc>
        <w:tc>
          <w:tcPr>
            <w:tcW w:w="561" w:type="pct"/>
          </w:tcPr>
          <w:p w14:paraId="60427E8A" w14:textId="77777777" w:rsidR="008C4C67" w:rsidRPr="00EE0EEB" w:rsidDel="00B2138A" w:rsidRDefault="008C4C67" w:rsidP="008C4C67">
            <w:pPr>
              <w:pStyle w:val="TableText"/>
              <w:spacing w:before="20" w:after="20"/>
              <w:jc w:val="center"/>
              <w:rPr>
                <w:lang w:val="en-AU"/>
              </w:rPr>
            </w:pPr>
            <w:r w:rsidRPr="00EE0EEB">
              <w:rPr>
                <w:lang w:val="en-AU"/>
              </w:rPr>
              <w:t>95.0%</w:t>
            </w:r>
          </w:p>
        </w:tc>
        <w:tc>
          <w:tcPr>
            <w:tcW w:w="679" w:type="pct"/>
          </w:tcPr>
          <w:p w14:paraId="71FD675F" w14:textId="77777777" w:rsidR="008C4C67" w:rsidRPr="00EE0EEB" w:rsidDel="00B2138A" w:rsidRDefault="008C4C67" w:rsidP="008C4C67">
            <w:pPr>
              <w:pStyle w:val="TableText"/>
              <w:spacing w:before="20" w:after="20"/>
              <w:jc w:val="center"/>
              <w:rPr>
                <w:lang w:val="en-AU"/>
              </w:rPr>
            </w:pPr>
            <w:r w:rsidRPr="00EE0EEB">
              <w:rPr>
                <w:lang w:val="en-AU"/>
              </w:rPr>
              <w:t>95.0%</w:t>
            </w:r>
          </w:p>
        </w:tc>
      </w:tr>
      <w:tr w:rsidR="008C4C67" w:rsidRPr="00EE0EEB" w:rsidDel="00B2138A" w14:paraId="5ABF63D8" w14:textId="77777777" w:rsidTr="00AA56CB">
        <w:tc>
          <w:tcPr>
            <w:tcW w:w="196" w:type="pct"/>
          </w:tcPr>
          <w:p w14:paraId="694CD363" w14:textId="77777777" w:rsidR="008C4C67" w:rsidRPr="00EE0EEB" w:rsidDel="00B2138A" w:rsidRDefault="008C4C67" w:rsidP="008C4C67">
            <w:pPr>
              <w:pStyle w:val="TableText"/>
              <w:spacing w:before="20" w:after="20"/>
              <w:jc w:val="center"/>
              <w:rPr>
                <w:lang w:val="en-AU"/>
              </w:rPr>
            </w:pPr>
            <w:r w:rsidRPr="00EE0EEB">
              <w:rPr>
                <w:lang w:val="en-AU"/>
              </w:rPr>
              <w:t>L</w:t>
            </w:r>
          </w:p>
        </w:tc>
        <w:tc>
          <w:tcPr>
            <w:tcW w:w="1084" w:type="pct"/>
          </w:tcPr>
          <w:p w14:paraId="43565E12" w14:textId="77777777" w:rsidR="008C4C67" w:rsidRPr="00EE0EEB" w:rsidRDefault="008C4C67" w:rsidP="008C4C67">
            <w:pPr>
              <w:pStyle w:val="TableText"/>
              <w:spacing w:before="20" w:after="20"/>
              <w:rPr>
                <w:lang w:val="en-AU"/>
              </w:rPr>
            </w:pPr>
            <w:r w:rsidRPr="00EE0EEB">
              <w:rPr>
                <w:lang w:val="en-AU"/>
              </w:rPr>
              <w:t>Number of patients with MMSE ≥ 20</w:t>
            </w:r>
          </w:p>
        </w:tc>
        <w:tc>
          <w:tcPr>
            <w:tcW w:w="620" w:type="pct"/>
          </w:tcPr>
          <w:p w14:paraId="6363C1F6" w14:textId="72DA25FC"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2</w:t>
            </w:r>
          </w:p>
        </w:tc>
        <w:tc>
          <w:tcPr>
            <w:tcW w:w="620" w:type="pct"/>
          </w:tcPr>
          <w:p w14:paraId="0514EA04" w14:textId="35F0205F"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3</w:t>
            </w:r>
          </w:p>
        </w:tc>
        <w:tc>
          <w:tcPr>
            <w:tcW w:w="620" w:type="pct"/>
          </w:tcPr>
          <w:p w14:paraId="0E62414C" w14:textId="76D2153B"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3</w:t>
            </w:r>
          </w:p>
        </w:tc>
        <w:tc>
          <w:tcPr>
            <w:tcW w:w="620" w:type="pct"/>
          </w:tcPr>
          <w:p w14:paraId="6A6FA9AB" w14:textId="3F101B5C"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4</w:t>
            </w:r>
          </w:p>
        </w:tc>
        <w:tc>
          <w:tcPr>
            <w:tcW w:w="561" w:type="pct"/>
          </w:tcPr>
          <w:p w14:paraId="58CCF3A4" w14:textId="738791A6"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5</w:t>
            </w:r>
          </w:p>
        </w:tc>
        <w:tc>
          <w:tcPr>
            <w:tcW w:w="679" w:type="pct"/>
          </w:tcPr>
          <w:p w14:paraId="49ABB158" w14:textId="0FA69CBD" w:rsidR="008C4C67" w:rsidRPr="00713A30" w:rsidDel="00B2138A" w:rsidRDefault="005F6121" w:rsidP="008C4C67">
            <w:pPr>
              <w:pStyle w:val="TableText"/>
              <w:spacing w:before="20" w:after="20"/>
              <w:jc w:val="center"/>
              <w:rPr>
                <w:b/>
                <w:bCs/>
                <w:highlight w:val="yellow"/>
                <w:vertAlign w:val="superscript"/>
                <w:lang w:val="en-AU"/>
              </w:rPr>
            </w:pPr>
            <w:r>
              <w:t>REDACTED</w:t>
            </w:r>
            <w:r w:rsidRPr="007A60C9" w:rsidDel="005F6121">
              <w:rPr>
                <w:b/>
                <w:bCs/>
                <w:highlight w:val="yellow"/>
                <w:lang w:val="en-AU"/>
              </w:rPr>
              <w:t xml:space="preserve"> </w:t>
            </w:r>
            <w:r w:rsidR="00713A30" w:rsidRPr="00311642">
              <w:rPr>
                <w:b/>
                <w:bCs/>
                <w:vertAlign w:val="superscript"/>
                <w:lang w:val="en-AU"/>
              </w:rPr>
              <w:t>6</w:t>
            </w:r>
          </w:p>
        </w:tc>
      </w:tr>
      <w:tr w:rsidR="008C4C67" w:rsidRPr="00EE0EEB" w:rsidDel="00B2138A" w14:paraId="60B55AC6" w14:textId="77777777" w:rsidTr="00AA56CB">
        <w:tc>
          <w:tcPr>
            <w:tcW w:w="196" w:type="pct"/>
          </w:tcPr>
          <w:p w14:paraId="7B663E5D" w14:textId="77777777" w:rsidR="008C4C67" w:rsidRPr="00EE0EEB" w:rsidDel="00B2138A" w:rsidRDefault="008C4C67" w:rsidP="008C4C67">
            <w:pPr>
              <w:pStyle w:val="TableText"/>
              <w:spacing w:before="20" w:after="20"/>
              <w:jc w:val="center"/>
              <w:rPr>
                <w:lang w:val="en-AU"/>
              </w:rPr>
            </w:pPr>
            <w:r w:rsidRPr="00EE0EEB">
              <w:rPr>
                <w:lang w:val="en-AU"/>
              </w:rPr>
              <w:t>M</w:t>
            </w:r>
          </w:p>
        </w:tc>
        <w:tc>
          <w:tcPr>
            <w:tcW w:w="1084" w:type="pct"/>
          </w:tcPr>
          <w:p w14:paraId="1C738161" w14:textId="77777777" w:rsidR="008C4C67" w:rsidRPr="00EE0EEB" w:rsidDel="00B2138A" w:rsidRDefault="008C4C67" w:rsidP="008C4C67">
            <w:pPr>
              <w:pStyle w:val="TableText"/>
              <w:spacing w:before="20" w:after="20"/>
              <w:rPr>
                <w:lang w:val="en-AU"/>
              </w:rPr>
            </w:pPr>
            <w:r w:rsidRPr="00EE0EEB">
              <w:rPr>
                <w:lang w:val="en-AU"/>
              </w:rPr>
              <w:t>Total number of patients with MMSE ≥ 20</w:t>
            </w:r>
          </w:p>
        </w:tc>
        <w:tc>
          <w:tcPr>
            <w:tcW w:w="620" w:type="pct"/>
          </w:tcPr>
          <w:p w14:paraId="16372901" w14:textId="3F49D558"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3</w:t>
            </w:r>
          </w:p>
        </w:tc>
        <w:tc>
          <w:tcPr>
            <w:tcW w:w="620" w:type="pct"/>
          </w:tcPr>
          <w:p w14:paraId="5D2CB8C5" w14:textId="6E084630"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4</w:t>
            </w:r>
          </w:p>
        </w:tc>
        <w:tc>
          <w:tcPr>
            <w:tcW w:w="620" w:type="pct"/>
          </w:tcPr>
          <w:p w14:paraId="17B93A41" w14:textId="2B3BC4E9"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5</w:t>
            </w:r>
          </w:p>
        </w:tc>
        <w:tc>
          <w:tcPr>
            <w:tcW w:w="620" w:type="pct"/>
          </w:tcPr>
          <w:p w14:paraId="37FC9D8A" w14:textId="5D0AC30F"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6</w:t>
            </w:r>
          </w:p>
        </w:tc>
        <w:tc>
          <w:tcPr>
            <w:tcW w:w="561" w:type="pct"/>
          </w:tcPr>
          <w:p w14:paraId="71348D5F" w14:textId="2AB3ED0C"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8</w:t>
            </w:r>
          </w:p>
        </w:tc>
        <w:tc>
          <w:tcPr>
            <w:tcW w:w="679" w:type="pct"/>
          </w:tcPr>
          <w:p w14:paraId="08207857" w14:textId="48FEAA98"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9</w:t>
            </w:r>
          </w:p>
        </w:tc>
      </w:tr>
      <w:tr w:rsidR="008C4C67" w:rsidRPr="00EE0EEB" w:rsidDel="00B2138A" w14:paraId="61B8C34D" w14:textId="77777777" w:rsidTr="00AA56CB">
        <w:tc>
          <w:tcPr>
            <w:tcW w:w="196" w:type="pct"/>
          </w:tcPr>
          <w:p w14:paraId="28684E79" w14:textId="77777777" w:rsidR="008C4C67" w:rsidRPr="00EE0EEB" w:rsidRDefault="008C4C67" w:rsidP="008C4C67">
            <w:pPr>
              <w:pStyle w:val="TableText"/>
              <w:spacing w:before="20" w:after="20"/>
              <w:jc w:val="center"/>
              <w:rPr>
                <w:lang w:val="en-AU"/>
              </w:rPr>
            </w:pPr>
            <w:r w:rsidRPr="00EE0EEB">
              <w:rPr>
                <w:lang w:val="en-AU"/>
              </w:rPr>
              <w:t>N</w:t>
            </w:r>
          </w:p>
        </w:tc>
        <w:tc>
          <w:tcPr>
            <w:tcW w:w="1084" w:type="pct"/>
          </w:tcPr>
          <w:p w14:paraId="44974B0D" w14:textId="77777777" w:rsidR="008C4C67" w:rsidRPr="00EE0EEB" w:rsidRDefault="008C4C67" w:rsidP="008C4C67">
            <w:pPr>
              <w:pStyle w:val="TableText"/>
              <w:spacing w:before="20" w:after="20"/>
              <w:rPr>
                <w:lang w:val="en-AU"/>
              </w:rPr>
            </w:pPr>
            <w:r w:rsidRPr="00EE0EEB">
              <w:rPr>
                <w:lang w:val="en-AU"/>
              </w:rPr>
              <w:t>Proportion of patients meeting MRI criteria</w:t>
            </w:r>
          </w:p>
        </w:tc>
        <w:tc>
          <w:tcPr>
            <w:tcW w:w="620" w:type="pct"/>
            <w:vAlign w:val="center"/>
          </w:tcPr>
          <w:p w14:paraId="7B271C6B" w14:textId="77777777" w:rsidR="008C4C67" w:rsidRPr="00EE0EEB" w:rsidDel="00B2138A" w:rsidRDefault="008C4C67" w:rsidP="008C4C67">
            <w:pPr>
              <w:pStyle w:val="TableText"/>
              <w:spacing w:before="20" w:after="20"/>
              <w:jc w:val="center"/>
              <w:rPr>
                <w:lang w:val="en-AU"/>
              </w:rPr>
            </w:pPr>
            <w:r w:rsidRPr="00EE0EEB">
              <w:rPr>
                <w:lang w:val="en-AU"/>
              </w:rPr>
              <w:t>89.0%</w:t>
            </w:r>
          </w:p>
        </w:tc>
        <w:tc>
          <w:tcPr>
            <w:tcW w:w="620" w:type="pct"/>
            <w:vAlign w:val="center"/>
          </w:tcPr>
          <w:p w14:paraId="267A27E3" w14:textId="77777777" w:rsidR="008C4C67" w:rsidRPr="00EE0EEB" w:rsidDel="00B2138A" w:rsidRDefault="008C4C67" w:rsidP="008C4C67">
            <w:pPr>
              <w:pStyle w:val="TableText"/>
              <w:spacing w:before="20" w:after="20"/>
              <w:jc w:val="center"/>
              <w:rPr>
                <w:lang w:val="en-AU"/>
              </w:rPr>
            </w:pPr>
            <w:r w:rsidRPr="00EE0EEB">
              <w:rPr>
                <w:lang w:val="en-AU"/>
              </w:rPr>
              <w:t>89.0%</w:t>
            </w:r>
          </w:p>
        </w:tc>
        <w:tc>
          <w:tcPr>
            <w:tcW w:w="620" w:type="pct"/>
            <w:vAlign w:val="center"/>
          </w:tcPr>
          <w:p w14:paraId="37590269" w14:textId="77777777" w:rsidR="008C4C67" w:rsidRPr="00EE0EEB" w:rsidDel="00B2138A" w:rsidRDefault="008C4C67" w:rsidP="008C4C67">
            <w:pPr>
              <w:pStyle w:val="TableText"/>
              <w:spacing w:before="20" w:after="20"/>
              <w:jc w:val="center"/>
              <w:rPr>
                <w:lang w:val="en-AU"/>
              </w:rPr>
            </w:pPr>
            <w:r w:rsidRPr="00EE0EEB">
              <w:rPr>
                <w:lang w:val="en-AU"/>
              </w:rPr>
              <w:t>89.0%</w:t>
            </w:r>
          </w:p>
        </w:tc>
        <w:tc>
          <w:tcPr>
            <w:tcW w:w="620" w:type="pct"/>
            <w:vAlign w:val="center"/>
          </w:tcPr>
          <w:p w14:paraId="6CBE52E7" w14:textId="77777777" w:rsidR="008C4C67" w:rsidRPr="00EE0EEB" w:rsidDel="00B2138A" w:rsidRDefault="008C4C67" w:rsidP="008C4C67">
            <w:pPr>
              <w:pStyle w:val="TableText"/>
              <w:spacing w:before="20" w:after="20"/>
              <w:jc w:val="center"/>
              <w:rPr>
                <w:lang w:val="en-AU"/>
              </w:rPr>
            </w:pPr>
            <w:r w:rsidRPr="00EE0EEB">
              <w:rPr>
                <w:lang w:val="en-AU"/>
              </w:rPr>
              <w:t>89.0%</w:t>
            </w:r>
          </w:p>
        </w:tc>
        <w:tc>
          <w:tcPr>
            <w:tcW w:w="561" w:type="pct"/>
            <w:vAlign w:val="center"/>
          </w:tcPr>
          <w:p w14:paraId="5C7F632C" w14:textId="77777777" w:rsidR="008C4C67" w:rsidRPr="00EE0EEB" w:rsidDel="00B2138A" w:rsidRDefault="008C4C67" w:rsidP="008C4C67">
            <w:pPr>
              <w:pStyle w:val="TableText"/>
              <w:spacing w:before="20" w:after="20"/>
              <w:jc w:val="center"/>
              <w:rPr>
                <w:lang w:val="en-AU"/>
              </w:rPr>
            </w:pPr>
            <w:r w:rsidRPr="00EE0EEB">
              <w:rPr>
                <w:lang w:val="en-AU"/>
              </w:rPr>
              <w:t>89.0%</w:t>
            </w:r>
          </w:p>
        </w:tc>
        <w:tc>
          <w:tcPr>
            <w:tcW w:w="679" w:type="pct"/>
            <w:vAlign w:val="center"/>
          </w:tcPr>
          <w:p w14:paraId="1E0C878C" w14:textId="77777777" w:rsidR="008C4C67" w:rsidRPr="00EE0EEB" w:rsidDel="00B2138A" w:rsidRDefault="008C4C67" w:rsidP="008C4C67">
            <w:pPr>
              <w:pStyle w:val="TableText"/>
              <w:spacing w:before="20" w:after="20"/>
              <w:jc w:val="center"/>
              <w:rPr>
                <w:lang w:val="en-AU"/>
              </w:rPr>
            </w:pPr>
            <w:r w:rsidRPr="00EE0EEB">
              <w:rPr>
                <w:lang w:val="en-AU"/>
              </w:rPr>
              <w:t>89.0%</w:t>
            </w:r>
          </w:p>
        </w:tc>
      </w:tr>
      <w:tr w:rsidR="008C4C67" w:rsidRPr="00EE0EEB" w:rsidDel="00B2138A" w14:paraId="51BF1EE6" w14:textId="77777777" w:rsidTr="00AA56CB">
        <w:tc>
          <w:tcPr>
            <w:tcW w:w="196" w:type="pct"/>
          </w:tcPr>
          <w:p w14:paraId="082938B8" w14:textId="77777777" w:rsidR="008C4C67" w:rsidRPr="00EE0EEB" w:rsidRDefault="008C4C67" w:rsidP="008C4C67">
            <w:pPr>
              <w:pStyle w:val="TableText"/>
              <w:spacing w:before="20" w:after="20"/>
              <w:jc w:val="center"/>
              <w:rPr>
                <w:lang w:val="en-AU"/>
              </w:rPr>
            </w:pPr>
            <w:r w:rsidRPr="00EE0EEB">
              <w:rPr>
                <w:lang w:val="en-AU"/>
              </w:rPr>
              <w:t>O</w:t>
            </w:r>
          </w:p>
        </w:tc>
        <w:tc>
          <w:tcPr>
            <w:tcW w:w="1084" w:type="pct"/>
          </w:tcPr>
          <w:p w14:paraId="307192DB" w14:textId="77777777" w:rsidR="008C4C67" w:rsidRPr="00EE0EEB" w:rsidRDefault="008C4C67" w:rsidP="008C4C67">
            <w:pPr>
              <w:pStyle w:val="TableText"/>
              <w:spacing w:before="20" w:after="20"/>
              <w:rPr>
                <w:lang w:val="en-AU"/>
              </w:rPr>
            </w:pPr>
            <w:r w:rsidRPr="00EE0EEB">
              <w:rPr>
                <w:lang w:val="en-AU"/>
              </w:rPr>
              <w:t>Number of patients meeting MRI criteria</w:t>
            </w:r>
          </w:p>
        </w:tc>
        <w:tc>
          <w:tcPr>
            <w:tcW w:w="620" w:type="pct"/>
          </w:tcPr>
          <w:p w14:paraId="101BB540" w14:textId="6978F256"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3</w:t>
            </w:r>
          </w:p>
        </w:tc>
        <w:tc>
          <w:tcPr>
            <w:tcW w:w="620" w:type="pct"/>
          </w:tcPr>
          <w:p w14:paraId="12051BFD" w14:textId="70D502BE"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4</w:t>
            </w:r>
          </w:p>
        </w:tc>
        <w:tc>
          <w:tcPr>
            <w:tcW w:w="620" w:type="pct"/>
          </w:tcPr>
          <w:p w14:paraId="690F742D" w14:textId="778D588F"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5</w:t>
            </w:r>
          </w:p>
        </w:tc>
        <w:tc>
          <w:tcPr>
            <w:tcW w:w="620" w:type="pct"/>
          </w:tcPr>
          <w:p w14:paraId="10E8D631" w14:textId="6F7F3E81"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6</w:t>
            </w:r>
          </w:p>
        </w:tc>
        <w:tc>
          <w:tcPr>
            <w:tcW w:w="561" w:type="pct"/>
          </w:tcPr>
          <w:p w14:paraId="4F6DC23C" w14:textId="00B805E4"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7</w:t>
            </w:r>
          </w:p>
        </w:tc>
        <w:tc>
          <w:tcPr>
            <w:tcW w:w="679" w:type="pct"/>
          </w:tcPr>
          <w:p w14:paraId="40C1469F" w14:textId="140FB9BE" w:rsidR="008C4C67" w:rsidRPr="00713A30" w:rsidDel="00B2138A" w:rsidRDefault="005F6121" w:rsidP="008C4C67">
            <w:pPr>
              <w:pStyle w:val="TableText"/>
              <w:spacing w:before="20" w:after="20"/>
              <w:jc w:val="center"/>
              <w:rPr>
                <w:highlight w:val="yellow"/>
                <w:vertAlign w:val="superscript"/>
                <w:lang w:val="en-AU"/>
              </w:rPr>
            </w:pPr>
            <w:r>
              <w:t>REDACTED</w:t>
            </w:r>
            <w:r w:rsidRPr="007A60C9" w:rsidDel="005F6121">
              <w:rPr>
                <w:highlight w:val="yellow"/>
                <w:lang w:val="en-AU"/>
              </w:rPr>
              <w:t xml:space="preserve"> </w:t>
            </w:r>
            <w:r w:rsidR="00713A30" w:rsidRPr="00311642">
              <w:rPr>
                <w:vertAlign w:val="superscript"/>
                <w:lang w:val="en-AU"/>
              </w:rPr>
              <w:t>8</w:t>
            </w:r>
          </w:p>
        </w:tc>
      </w:tr>
    </w:tbl>
    <w:p w14:paraId="3CEE7A6D" w14:textId="223341F1" w:rsidR="00AB6B4E" w:rsidRDefault="00AB6B4E" w:rsidP="00AB6B4E">
      <w:pPr>
        <w:pStyle w:val="TableFooter"/>
      </w:pPr>
      <w:r w:rsidRPr="00EE0EEB">
        <w:t xml:space="preserve">Source: Worksheet </w:t>
      </w:r>
      <w:r w:rsidRPr="00EE0EEB">
        <w:rPr>
          <w:i/>
          <w:iCs/>
        </w:rPr>
        <w:t xml:space="preserve">Appendix A </w:t>
      </w:r>
      <w:r w:rsidRPr="00EE0EEB">
        <w:t xml:space="preserve">of the financial estimates model provided with the </w:t>
      </w:r>
      <w:r w:rsidR="00D51801" w:rsidRPr="00D51801">
        <w:t>submission</w:t>
      </w:r>
      <w:r w:rsidRPr="00EE0EEB">
        <w:t>.</w:t>
      </w:r>
    </w:p>
    <w:p w14:paraId="376D2D4E" w14:textId="77777777" w:rsidR="00604A75" w:rsidRPr="00963DAC" w:rsidRDefault="00604A75" w:rsidP="00604A75">
      <w:pPr>
        <w:pStyle w:val="FooterTableFigure"/>
      </w:pPr>
      <w:r w:rsidRPr="00963DAC">
        <w:t>The redacted values correspond to the following ranges per year:</w:t>
      </w:r>
    </w:p>
    <w:p w14:paraId="726FE2F3" w14:textId="77777777" w:rsidR="00604A75" w:rsidRDefault="00604A75" w:rsidP="00604A75">
      <w:pPr>
        <w:pStyle w:val="FooterTableFigure"/>
      </w:pPr>
      <w:r>
        <w:rPr>
          <w:vertAlign w:val="superscript"/>
        </w:rPr>
        <w:t xml:space="preserve">1 </w:t>
      </w:r>
      <w:r w:rsidRPr="00144F1F">
        <w:t>10</w:t>
      </w:r>
      <w:r>
        <w:t>,000 to &lt; 20,000</w:t>
      </w:r>
    </w:p>
    <w:p w14:paraId="49626768" w14:textId="77777777" w:rsidR="00604A75" w:rsidRDefault="00604A75" w:rsidP="00604A75">
      <w:pPr>
        <w:pStyle w:val="FooterTableFigure"/>
      </w:pPr>
      <w:r>
        <w:rPr>
          <w:vertAlign w:val="superscript"/>
        </w:rPr>
        <w:t xml:space="preserve">2 </w:t>
      </w:r>
      <w:r>
        <w:t>20,000 to &lt; 30,000</w:t>
      </w:r>
    </w:p>
    <w:p w14:paraId="5F25E69B" w14:textId="77777777" w:rsidR="00604A75" w:rsidRDefault="00604A75" w:rsidP="00604A75">
      <w:pPr>
        <w:pStyle w:val="FooterTableFigure"/>
      </w:pPr>
      <w:r>
        <w:rPr>
          <w:vertAlign w:val="superscript"/>
        </w:rPr>
        <w:t xml:space="preserve">3 </w:t>
      </w:r>
      <w:r>
        <w:t>30,000 to &lt; 40,000</w:t>
      </w:r>
    </w:p>
    <w:p w14:paraId="646E88E1" w14:textId="157DC9F4" w:rsidR="00B453FB" w:rsidRDefault="00B453FB" w:rsidP="00B453FB">
      <w:pPr>
        <w:pStyle w:val="FooterTableFigure"/>
      </w:pPr>
      <w:r>
        <w:rPr>
          <w:vertAlign w:val="superscript"/>
        </w:rPr>
        <w:t xml:space="preserve">4 </w:t>
      </w:r>
      <w:r>
        <w:t>40,000 to &lt; 50,000</w:t>
      </w:r>
    </w:p>
    <w:p w14:paraId="309FEDCC" w14:textId="282EA723" w:rsidR="00B453FB" w:rsidRDefault="00B453FB" w:rsidP="00B453FB">
      <w:pPr>
        <w:pStyle w:val="FooterTableFigure"/>
      </w:pPr>
      <w:r>
        <w:rPr>
          <w:vertAlign w:val="superscript"/>
        </w:rPr>
        <w:t xml:space="preserve">5 </w:t>
      </w:r>
      <w:r>
        <w:t>50,000 to &lt; 60,000</w:t>
      </w:r>
    </w:p>
    <w:p w14:paraId="77332791" w14:textId="5A878896" w:rsidR="00861C3E" w:rsidRDefault="00861C3E" w:rsidP="00861C3E">
      <w:pPr>
        <w:pStyle w:val="FooterTableFigure"/>
      </w:pPr>
      <w:r>
        <w:rPr>
          <w:vertAlign w:val="superscript"/>
        </w:rPr>
        <w:t xml:space="preserve">6 </w:t>
      </w:r>
      <w:r>
        <w:t>60,000 to &lt; 70,000</w:t>
      </w:r>
    </w:p>
    <w:p w14:paraId="0081E01D" w14:textId="3C4100E7" w:rsidR="00861C3E" w:rsidRDefault="00861C3E" w:rsidP="00861C3E">
      <w:pPr>
        <w:pStyle w:val="FooterTableFigure"/>
      </w:pPr>
      <w:r>
        <w:rPr>
          <w:vertAlign w:val="superscript"/>
        </w:rPr>
        <w:t xml:space="preserve">7 </w:t>
      </w:r>
      <w:r>
        <w:t>70,000 to &lt; 80,000</w:t>
      </w:r>
    </w:p>
    <w:p w14:paraId="117F6485" w14:textId="6996A78A" w:rsidR="00861C3E" w:rsidRDefault="00861C3E" w:rsidP="00861C3E">
      <w:pPr>
        <w:pStyle w:val="FooterTableFigure"/>
      </w:pPr>
      <w:r>
        <w:rPr>
          <w:vertAlign w:val="superscript"/>
        </w:rPr>
        <w:t xml:space="preserve">8 </w:t>
      </w:r>
      <w:r>
        <w:t>80,000 to &lt; 90,000</w:t>
      </w:r>
    </w:p>
    <w:p w14:paraId="02A4F718" w14:textId="39683A21" w:rsidR="00604A75" w:rsidRPr="00EE0EEB" w:rsidRDefault="00861C3E" w:rsidP="005051F2">
      <w:pPr>
        <w:pStyle w:val="FooterTableFigure"/>
      </w:pPr>
      <w:r>
        <w:rPr>
          <w:vertAlign w:val="superscript"/>
        </w:rPr>
        <w:t xml:space="preserve">9 </w:t>
      </w:r>
      <w:r>
        <w:t xml:space="preserve">90,000 to &lt; </w:t>
      </w:r>
      <w:r w:rsidR="007441EC">
        <w:t>100,000</w:t>
      </w:r>
    </w:p>
    <w:p w14:paraId="36701DDD" w14:textId="23758721" w:rsidR="00345B81" w:rsidRPr="00EE0EEB" w:rsidRDefault="009F302B" w:rsidP="00565B62">
      <w:pPr>
        <w:pStyle w:val="Caption"/>
      </w:pPr>
      <w:bookmarkStart w:id="65" w:name="_Ref196233129"/>
      <w:bookmarkStart w:id="66" w:name="_Ref205192311"/>
      <w:r>
        <w:lastRenderedPageBreak/>
        <w:t xml:space="preserve">Table </w:t>
      </w:r>
      <w:r w:rsidR="002E1F45">
        <w:fldChar w:fldCharType="begin"/>
      </w:r>
      <w:r w:rsidR="002E1F45">
        <w:instrText xml:space="preserve"> SEQ Table \* ARABIC </w:instrText>
      </w:r>
      <w:r w:rsidR="002E1F45">
        <w:fldChar w:fldCharType="separate"/>
      </w:r>
      <w:r w:rsidR="002E1F45">
        <w:rPr>
          <w:noProof/>
        </w:rPr>
        <w:t>20</w:t>
      </w:r>
      <w:r w:rsidR="002E1F45">
        <w:rPr>
          <w:noProof/>
        </w:rPr>
        <w:fldChar w:fldCharType="end"/>
      </w:r>
      <w:bookmarkEnd w:id="65"/>
      <w:bookmarkEnd w:id="66"/>
      <w:r w:rsidR="005B0548">
        <w:t xml:space="preserve"> </w:t>
      </w:r>
      <w:r w:rsidR="00BA11B1">
        <w:t>S</w:t>
      </w:r>
      <w:r w:rsidR="00BA11B1" w:rsidRPr="00BA11B1">
        <w:t>ubmission</w:t>
      </w:r>
      <w:r w:rsidR="00CF6545">
        <w:t>’s e</w:t>
      </w:r>
      <w:r w:rsidR="00345B81" w:rsidRPr="00EE0EEB">
        <w:t>stimated use and financial implications – proposed tests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345B81" w:rsidRPr="00D24D4A" w14:paraId="031603C7" w14:textId="77777777">
        <w:trPr>
          <w:tblHeader/>
        </w:trPr>
        <w:tc>
          <w:tcPr>
            <w:tcW w:w="1118" w:type="pct"/>
            <w:vAlign w:val="center"/>
          </w:tcPr>
          <w:p w14:paraId="06366674" w14:textId="77777777" w:rsidR="00345B81" w:rsidRPr="00EE0EEB" w:rsidRDefault="00345B81" w:rsidP="005051F2">
            <w:pPr>
              <w:pStyle w:val="TableText"/>
              <w:keepNext/>
              <w:keepLines/>
              <w:jc w:val="center"/>
              <w:rPr>
                <w:b/>
              </w:rPr>
            </w:pPr>
          </w:p>
        </w:tc>
        <w:tc>
          <w:tcPr>
            <w:tcW w:w="647" w:type="pct"/>
            <w:vAlign w:val="center"/>
          </w:tcPr>
          <w:p w14:paraId="70052856" w14:textId="77777777" w:rsidR="00345B81" w:rsidRPr="00D24D4A" w:rsidRDefault="00345B81" w:rsidP="005051F2">
            <w:pPr>
              <w:pStyle w:val="TableText"/>
              <w:keepNext/>
              <w:keepLines/>
              <w:jc w:val="center"/>
              <w:rPr>
                <w:b/>
              </w:rPr>
            </w:pPr>
            <w:r w:rsidRPr="00D24D4A">
              <w:rPr>
                <w:b/>
              </w:rPr>
              <w:t>Year 1</w:t>
            </w:r>
          </w:p>
        </w:tc>
        <w:tc>
          <w:tcPr>
            <w:tcW w:w="647" w:type="pct"/>
            <w:vAlign w:val="center"/>
          </w:tcPr>
          <w:p w14:paraId="10E94DED" w14:textId="77777777" w:rsidR="00345B81" w:rsidRPr="00D24D4A" w:rsidRDefault="00345B81" w:rsidP="005051F2">
            <w:pPr>
              <w:pStyle w:val="TableText"/>
              <w:keepNext/>
              <w:keepLines/>
              <w:jc w:val="center"/>
              <w:rPr>
                <w:b/>
              </w:rPr>
            </w:pPr>
            <w:r w:rsidRPr="00D24D4A">
              <w:rPr>
                <w:b/>
              </w:rPr>
              <w:t>Year 2</w:t>
            </w:r>
          </w:p>
        </w:tc>
        <w:tc>
          <w:tcPr>
            <w:tcW w:w="647" w:type="pct"/>
            <w:vAlign w:val="center"/>
          </w:tcPr>
          <w:p w14:paraId="615F391D" w14:textId="77777777" w:rsidR="00345B81" w:rsidRPr="00D24D4A" w:rsidRDefault="00345B81" w:rsidP="005051F2">
            <w:pPr>
              <w:pStyle w:val="TableText"/>
              <w:keepNext/>
              <w:keepLines/>
              <w:jc w:val="center"/>
              <w:rPr>
                <w:b/>
              </w:rPr>
            </w:pPr>
            <w:r w:rsidRPr="00D24D4A">
              <w:rPr>
                <w:b/>
              </w:rPr>
              <w:t>Year 3</w:t>
            </w:r>
          </w:p>
        </w:tc>
        <w:tc>
          <w:tcPr>
            <w:tcW w:w="647" w:type="pct"/>
            <w:vAlign w:val="center"/>
          </w:tcPr>
          <w:p w14:paraId="1D1EFA55" w14:textId="77777777" w:rsidR="00345B81" w:rsidRPr="00D24D4A" w:rsidRDefault="00345B81" w:rsidP="005051F2">
            <w:pPr>
              <w:pStyle w:val="TableText"/>
              <w:keepNext/>
              <w:keepLines/>
              <w:jc w:val="center"/>
              <w:rPr>
                <w:b/>
              </w:rPr>
            </w:pPr>
            <w:r w:rsidRPr="00D24D4A">
              <w:rPr>
                <w:b/>
              </w:rPr>
              <w:t>Year 4</w:t>
            </w:r>
          </w:p>
        </w:tc>
        <w:tc>
          <w:tcPr>
            <w:tcW w:w="647" w:type="pct"/>
            <w:vAlign w:val="center"/>
          </w:tcPr>
          <w:p w14:paraId="48765ED4" w14:textId="77777777" w:rsidR="00345B81" w:rsidRPr="00D24D4A" w:rsidRDefault="00345B81" w:rsidP="005051F2">
            <w:pPr>
              <w:pStyle w:val="TableText"/>
              <w:keepNext/>
              <w:keepLines/>
              <w:jc w:val="center"/>
              <w:rPr>
                <w:b/>
              </w:rPr>
            </w:pPr>
            <w:r w:rsidRPr="00D24D4A">
              <w:rPr>
                <w:b/>
              </w:rPr>
              <w:t>Year 5</w:t>
            </w:r>
          </w:p>
        </w:tc>
        <w:tc>
          <w:tcPr>
            <w:tcW w:w="647" w:type="pct"/>
          </w:tcPr>
          <w:p w14:paraId="0020BD97" w14:textId="77777777" w:rsidR="00345B81" w:rsidRPr="00D24D4A" w:rsidRDefault="00345B81" w:rsidP="005051F2">
            <w:pPr>
              <w:pStyle w:val="TableText"/>
              <w:keepNext/>
              <w:keepLines/>
              <w:jc w:val="center"/>
              <w:rPr>
                <w:b/>
              </w:rPr>
            </w:pPr>
            <w:r w:rsidRPr="00D24D4A">
              <w:rPr>
                <w:b/>
              </w:rPr>
              <w:t>Year 6</w:t>
            </w:r>
          </w:p>
        </w:tc>
      </w:tr>
      <w:tr w:rsidR="00345B81" w:rsidRPr="00D24D4A" w14:paraId="3532D696" w14:textId="77777777">
        <w:tc>
          <w:tcPr>
            <w:tcW w:w="5000" w:type="pct"/>
            <w:gridSpan w:val="7"/>
            <w:vAlign w:val="center"/>
          </w:tcPr>
          <w:p w14:paraId="7E9BAC6D" w14:textId="532D3E86" w:rsidR="00345B81" w:rsidRPr="00D24D4A" w:rsidRDefault="00345B81" w:rsidP="005051F2">
            <w:pPr>
              <w:pStyle w:val="TableText"/>
              <w:keepNext/>
              <w:keepLines/>
              <w:rPr>
                <w:b/>
              </w:rPr>
            </w:pPr>
            <w:r w:rsidRPr="00D24D4A">
              <w:rPr>
                <w:b/>
              </w:rPr>
              <w:t xml:space="preserve">Estimated extent of use of </w:t>
            </w:r>
            <w:r w:rsidRPr="00D24D4A">
              <w:rPr>
                <w:b/>
                <w:i/>
                <w:iCs/>
              </w:rPr>
              <w:t xml:space="preserve">APOE4 </w:t>
            </w:r>
            <w:r w:rsidRPr="00D24D4A">
              <w:rPr>
                <w:b/>
              </w:rPr>
              <w:t>genotyping</w:t>
            </w:r>
          </w:p>
        </w:tc>
      </w:tr>
      <w:tr w:rsidR="00345B81" w:rsidRPr="00D24D4A" w14:paraId="21A59E4C" w14:textId="77777777">
        <w:tc>
          <w:tcPr>
            <w:tcW w:w="1118" w:type="pct"/>
            <w:vAlign w:val="center"/>
          </w:tcPr>
          <w:p w14:paraId="7A5EFC00" w14:textId="201004E8" w:rsidR="00345B81" w:rsidRPr="00D24D4A" w:rsidRDefault="00345B81" w:rsidP="005051F2">
            <w:pPr>
              <w:pStyle w:val="TableText"/>
              <w:keepNext/>
              <w:keepLines/>
            </w:pPr>
            <w:r w:rsidRPr="00D24D4A">
              <w:t>Number of patients tested</w:t>
            </w:r>
            <w:r w:rsidR="00596E97" w:rsidRPr="00D24D4A">
              <w:t xml:space="preserve"> [A]</w:t>
            </w:r>
          </w:p>
        </w:tc>
        <w:tc>
          <w:tcPr>
            <w:tcW w:w="647" w:type="pct"/>
          </w:tcPr>
          <w:p w14:paraId="28F67F17" w14:textId="775DDAAF" w:rsidR="00345B81" w:rsidRPr="00D24D4A" w:rsidRDefault="001C45CE" w:rsidP="005051F2">
            <w:pPr>
              <w:pStyle w:val="TableNumber"/>
              <w:keepNext/>
              <w:keepLines/>
              <w:rPr>
                <w:vertAlign w:val="superscript"/>
              </w:rPr>
            </w:pPr>
            <w:r w:rsidRPr="00D24D4A">
              <w:t>REDACTED</w:t>
            </w:r>
            <w:r w:rsidRPr="00D24D4A" w:rsidDel="001C45CE">
              <w:t xml:space="preserve"> </w:t>
            </w:r>
            <w:r w:rsidR="008410C0" w:rsidRPr="00D24D4A">
              <w:rPr>
                <w:vertAlign w:val="superscript"/>
              </w:rPr>
              <w:t>3</w:t>
            </w:r>
          </w:p>
        </w:tc>
        <w:tc>
          <w:tcPr>
            <w:tcW w:w="647" w:type="pct"/>
          </w:tcPr>
          <w:p w14:paraId="13766F33" w14:textId="71DBF5F9"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4</w:t>
            </w:r>
          </w:p>
        </w:tc>
        <w:tc>
          <w:tcPr>
            <w:tcW w:w="647" w:type="pct"/>
          </w:tcPr>
          <w:p w14:paraId="4194A2D6" w14:textId="079CC0D5"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5</w:t>
            </w:r>
          </w:p>
        </w:tc>
        <w:tc>
          <w:tcPr>
            <w:tcW w:w="647" w:type="pct"/>
          </w:tcPr>
          <w:p w14:paraId="7E37C521" w14:textId="107B48C6"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6</w:t>
            </w:r>
          </w:p>
        </w:tc>
        <w:tc>
          <w:tcPr>
            <w:tcW w:w="647" w:type="pct"/>
          </w:tcPr>
          <w:p w14:paraId="3C927794" w14:textId="70B3D0C5"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7</w:t>
            </w:r>
          </w:p>
        </w:tc>
        <w:tc>
          <w:tcPr>
            <w:tcW w:w="647" w:type="pct"/>
          </w:tcPr>
          <w:p w14:paraId="5A023484" w14:textId="34C0336B"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8</w:t>
            </w:r>
          </w:p>
        </w:tc>
      </w:tr>
      <w:tr w:rsidR="00345B81" w:rsidRPr="00D24D4A" w14:paraId="19F7BA83" w14:textId="77777777">
        <w:tc>
          <w:tcPr>
            <w:tcW w:w="5000" w:type="pct"/>
            <w:gridSpan w:val="7"/>
            <w:vAlign w:val="center"/>
          </w:tcPr>
          <w:p w14:paraId="69B68420" w14:textId="535785BA" w:rsidR="00345B81" w:rsidRPr="00D24D4A" w:rsidRDefault="00345B81" w:rsidP="005051F2">
            <w:pPr>
              <w:pStyle w:val="TableText"/>
              <w:keepNext/>
              <w:keepLines/>
              <w:rPr>
                <w:b/>
                <w:bCs/>
                <w:color w:val="000000"/>
              </w:rPr>
            </w:pPr>
            <w:r w:rsidRPr="00D24D4A">
              <w:rPr>
                <w:b/>
              </w:rPr>
              <w:t xml:space="preserve">Estimated financial implications of </w:t>
            </w:r>
            <w:r w:rsidRPr="00D24D4A">
              <w:rPr>
                <w:b/>
                <w:i/>
                <w:iCs/>
              </w:rPr>
              <w:t>APOE4</w:t>
            </w:r>
            <w:r w:rsidRPr="00D24D4A">
              <w:rPr>
                <w:b/>
              </w:rPr>
              <w:t xml:space="preserve"> genotyping to the MBS</w:t>
            </w:r>
          </w:p>
        </w:tc>
      </w:tr>
      <w:tr w:rsidR="00345B81" w:rsidRPr="00D24D4A" w14:paraId="55EED6F1" w14:textId="77777777">
        <w:tc>
          <w:tcPr>
            <w:tcW w:w="1118" w:type="pct"/>
            <w:vAlign w:val="center"/>
          </w:tcPr>
          <w:p w14:paraId="4FBAE2DE" w14:textId="70637CDB" w:rsidR="00345B81" w:rsidRPr="00D24D4A" w:rsidRDefault="00345B81" w:rsidP="005051F2">
            <w:pPr>
              <w:pStyle w:val="TableText"/>
              <w:keepNext/>
              <w:keepLines/>
            </w:pPr>
            <w:r w:rsidRPr="00D24D4A">
              <w:t xml:space="preserve">Unit cost of the test </w:t>
            </w:r>
            <w:r w:rsidR="00596E97" w:rsidRPr="00D24D4A">
              <w:t>[B]</w:t>
            </w:r>
          </w:p>
        </w:tc>
        <w:tc>
          <w:tcPr>
            <w:tcW w:w="647" w:type="pct"/>
          </w:tcPr>
          <w:p w14:paraId="4F9E5017" w14:textId="77777777" w:rsidR="00345B81" w:rsidRPr="00D24D4A" w:rsidRDefault="00345B81" w:rsidP="005051F2">
            <w:pPr>
              <w:pStyle w:val="TableText"/>
              <w:keepNext/>
              <w:keepLines/>
              <w:jc w:val="center"/>
            </w:pPr>
            <w:r w:rsidRPr="00D24D4A">
              <w:t>$127.96</w:t>
            </w:r>
          </w:p>
        </w:tc>
        <w:tc>
          <w:tcPr>
            <w:tcW w:w="647" w:type="pct"/>
          </w:tcPr>
          <w:p w14:paraId="07735C59" w14:textId="77777777" w:rsidR="00345B81" w:rsidRPr="00D24D4A" w:rsidRDefault="00345B81" w:rsidP="005051F2">
            <w:pPr>
              <w:pStyle w:val="TableText"/>
              <w:keepNext/>
              <w:keepLines/>
              <w:jc w:val="center"/>
            </w:pPr>
            <w:r w:rsidRPr="00D24D4A">
              <w:t>$127.96</w:t>
            </w:r>
          </w:p>
        </w:tc>
        <w:tc>
          <w:tcPr>
            <w:tcW w:w="647" w:type="pct"/>
          </w:tcPr>
          <w:p w14:paraId="6FAA7B93" w14:textId="77777777" w:rsidR="00345B81" w:rsidRPr="00D24D4A" w:rsidRDefault="00345B81" w:rsidP="005051F2">
            <w:pPr>
              <w:pStyle w:val="TableText"/>
              <w:keepNext/>
              <w:keepLines/>
              <w:jc w:val="center"/>
            </w:pPr>
            <w:r w:rsidRPr="00D24D4A">
              <w:t>$127.96</w:t>
            </w:r>
          </w:p>
        </w:tc>
        <w:tc>
          <w:tcPr>
            <w:tcW w:w="647" w:type="pct"/>
          </w:tcPr>
          <w:p w14:paraId="7A53ADE9" w14:textId="77777777" w:rsidR="00345B81" w:rsidRPr="00D24D4A" w:rsidRDefault="00345B81" w:rsidP="005051F2">
            <w:pPr>
              <w:pStyle w:val="TableText"/>
              <w:keepNext/>
              <w:keepLines/>
              <w:jc w:val="center"/>
            </w:pPr>
            <w:r w:rsidRPr="00D24D4A">
              <w:t>$127.96</w:t>
            </w:r>
          </w:p>
        </w:tc>
        <w:tc>
          <w:tcPr>
            <w:tcW w:w="647" w:type="pct"/>
          </w:tcPr>
          <w:p w14:paraId="7743B90E" w14:textId="77777777" w:rsidR="00345B81" w:rsidRPr="00D24D4A" w:rsidRDefault="00345B81" w:rsidP="005051F2">
            <w:pPr>
              <w:pStyle w:val="TableText"/>
              <w:keepNext/>
              <w:keepLines/>
              <w:jc w:val="center"/>
            </w:pPr>
            <w:r w:rsidRPr="00D24D4A">
              <w:t>$127.96</w:t>
            </w:r>
          </w:p>
        </w:tc>
        <w:tc>
          <w:tcPr>
            <w:tcW w:w="647" w:type="pct"/>
          </w:tcPr>
          <w:p w14:paraId="7C1F4033" w14:textId="77777777" w:rsidR="00345B81" w:rsidRPr="00D24D4A" w:rsidRDefault="00345B81" w:rsidP="005051F2">
            <w:pPr>
              <w:pStyle w:val="TableText"/>
              <w:keepNext/>
              <w:keepLines/>
              <w:jc w:val="center"/>
            </w:pPr>
            <w:r w:rsidRPr="00D24D4A">
              <w:t>$127.96</w:t>
            </w:r>
          </w:p>
        </w:tc>
      </w:tr>
      <w:tr w:rsidR="00345B81" w:rsidRPr="00D24D4A" w14:paraId="62A33040" w14:textId="77777777">
        <w:tc>
          <w:tcPr>
            <w:tcW w:w="1118" w:type="pct"/>
            <w:vAlign w:val="center"/>
          </w:tcPr>
          <w:p w14:paraId="46B8C37A" w14:textId="65C5A5EE" w:rsidR="00345B81" w:rsidRPr="00D24D4A" w:rsidRDefault="00345B81" w:rsidP="005051F2">
            <w:pPr>
              <w:pStyle w:val="TableText"/>
              <w:keepNext/>
              <w:keepLines/>
            </w:pPr>
            <w:r w:rsidRPr="00D24D4A">
              <w:t>Cost to the MBS</w:t>
            </w:r>
            <w:r w:rsidR="00596E97" w:rsidRPr="00D24D4A">
              <w:t xml:space="preserve"> [C=</w:t>
            </w:r>
            <w:proofErr w:type="spellStart"/>
            <w:r w:rsidR="00596E97" w:rsidRPr="00D24D4A">
              <w:t>AxB</w:t>
            </w:r>
            <w:proofErr w:type="spellEnd"/>
            <w:r w:rsidR="00596E97" w:rsidRPr="00D24D4A">
              <w:t>]</w:t>
            </w:r>
          </w:p>
        </w:tc>
        <w:tc>
          <w:tcPr>
            <w:tcW w:w="647" w:type="pct"/>
          </w:tcPr>
          <w:p w14:paraId="392FF6B0" w14:textId="5D7E23D0"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BE4BA6" w:rsidRPr="00D24D4A">
              <w:rPr>
                <w:vertAlign w:val="superscript"/>
              </w:rPr>
              <w:t>9</w:t>
            </w:r>
          </w:p>
        </w:tc>
        <w:tc>
          <w:tcPr>
            <w:tcW w:w="647" w:type="pct"/>
          </w:tcPr>
          <w:p w14:paraId="00178FD7" w14:textId="3A2814F2"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BE4BA6" w:rsidRPr="00D24D4A">
              <w:rPr>
                <w:vertAlign w:val="superscript"/>
              </w:rPr>
              <w:t>9</w:t>
            </w:r>
          </w:p>
        </w:tc>
        <w:tc>
          <w:tcPr>
            <w:tcW w:w="647" w:type="pct"/>
          </w:tcPr>
          <w:p w14:paraId="22F5CCAD" w14:textId="6A3F264D"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BE4BA6" w:rsidRPr="00D24D4A">
              <w:rPr>
                <w:vertAlign w:val="superscript"/>
              </w:rPr>
              <w:t>9</w:t>
            </w:r>
          </w:p>
        </w:tc>
        <w:tc>
          <w:tcPr>
            <w:tcW w:w="647" w:type="pct"/>
          </w:tcPr>
          <w:p w14:paraId="4AB9CAB6" w14:textId="501ABB64"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BE4BA6" w:rsidRPr="00D24D4A">
              <w:rPr>
                <w:vertAlign w:val="superscript"/>
              </w:rPr>
              <w:t>9</w:t>
            </w:r>
          </w:p>
        </w:tc>
        <w:tc>
          <w:tcPr>
            <w:tcW w:w="647" w:type="pct"/>
          </w:tcPr>
          <w:p w14:paraId="54A282A1" w14:textId="0376D26E"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BE4BA6" w:rsidRPr="00D24D4A">
              <w:rPr>
                <w:vertAlign w:val="superscript"/>
              </w:rPr>
              <w:t>9</w:t>
            </w:r>
          </w:p>
        </w:tc>
        <w:tc>
          <w:tcPr>
            <w:tcW w:w="647" w:type="pct"/>
          </w:tcPr>
          <w:p w14:paraId="797A4482" w14:textId="0C3E7FAE"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28609F" w:rsidRPr="00D24D4A">
              <w:rPr>
                <w:vertAlign w:val="superscript"/>
              </w:rPr>
              <w:t>1</w:t>
            </w:r>
            <w:r w:rsidR="00BE4BA6" w:rsidRPr="00D24D4A">
              <w:rPr>
                <w:vertAlign w:val="superscript"/>
              </w:rPr>
              <w:t>0</w:t>
            </w:r>
          </w:p>
        </w:tc>
      </w:tr>
      <w:tr w:rsidR="00345B81" w:rsidRPr="00D24D4A" w14:paraId="08174CC9" w14:textId="77777777">
        <w:tc>
          <w:tcPr>
            <w:tcW w:w="5000" w:type="pct"/>
            <w:gridSpan w:val="7"/>
            <w:vAlign w:val="center"/>
          </w:tcPr>
          <w:p w14:paraId="297EFF5D" w14:textId="0E2A9FEE" w:rsidR="00345B81" w:rsidRPr="00D24D4A" w:rsidRDefault="00345B81" w:rsidP="005051F2">
            <w:pPr>
              <w:pStyle w:val="TableText"/>
              <w:keepNext/>
              <w:keepLines/>
              <w:rPr>
                <w:b/>
              </w:rPr>
            </w:pPr>
            <w:r w:rsidRPr="00D24D4A">
              <w:rPr>
                <w:b/>
              </w:rPr>
              <w:t>Estimated extent of use of A</w:t>
            </w:r>
            <w:r w:rsidR="00D31014" w:rsidRPr="00D24D4A">
              <w:rPr>
                <w:rFonts w:ascii="Calibri" w:hAnsi="Calibri" w:cs="Calibri"/>
                <w:b/>
              </w:rPr>
              <w:t>β</w:t>
            </w:r>
            <w:r w:rsidRPr="00D24D4A">
              <w:rPr>
                <w:b/>
              </w:rPr>
              <w:t xml:space="preserve">-PET scan – </w:t>
            </w:r>
            <w:r w:rsidR="000A68B2" w:rsidRPr="00D24D4A">
              <w:rPr>
                <w:b/>
              </w:rPr>
              <w:t>eligibility</w:t>
            </w:r>
          </w:p>
        </w:tc>
      </w:tr>
      <w:tr w:rsidR="00345B81" w:rsidRPr="00D24D4A" w14:paraId="319E9003" w14:textId="77777777">
        <w:tc>
          <w:tcPr>
            <w:tcW w:w="1118" w:type="pct"/>
            <w:vAlign w:val="center"/>
          </w:tcPr>
          <w:p w14:paraId="00E95EC4" w14:textId="7A8B5DD5" w:rsidR="00345B81" w:rsidRPr="00D24D4A" w:rsidRDefault="00345B81" w:rsidP="005051F2">
            <w:pPr>
              <w:pStyle w:val="TableText"/>
              <w:keepNext/>
              <w:keepLines/>
            </w:pPr>
            <w:r w:rsidRPr="00D24D4A">
              <w:t>Number of patients tested</w:t>
            </w:r>
            <w:r w:rsidR="00C714C3" w:rsidRPr="00D24D4A">
              <w:t xml:space="preserve"> [D]</w:t>
            </w:r>
          </w:p>
        </w:tc>
        <w:tc>
          <w:tcPr>
            <w:tcW w:w="647" w:type="pct"/>
          </w:tcPr>
          <w:p w14:paraId="13E52AF8" w14:textId="3BEBB14F" w:rsidR="00345B81" w:rsidRPr="00D24D4A" w:rsidRDefault="001C45CE" w:rsidP="005051F2">
            <w:pPr>
              <w:pStyle w:val="TableNumber"/>
              <w:keepNext/>
              <w:keepLines/>
              <w:rPr>
                <w:vertAlign w:val="superscript"/>
              </w:rPr>
            </w:pPr>
            <w:r w:rsidRPr="00D24D4A">
              <w:t>REDACTED</w:t>
            </w:r>
            <w:r w:rsidRPr="00D24D4A" w:rsidDel="001C45CE">
              <w:t xml:space="preserve"> </w:t>
            </w:r>
            <w:r w:rsidR="008410C0" w:rsidRPr="00D24D4A">
              <w:rPr>
                <w:vertAlign w:val="superscript"/>
              </w:rPr>
              <w:t>1</w:t>
            </w:r>
          </w:p>
        </w:tc>
        <w:tc>
          <w:tcPr>
            <w:tcW w:w="647" w:type="pct"/>
          </w:tcPr>
          <w:p w14:paraId="59AE348D" w14:textId="3790245A"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0B22DD01" w14:textId="4276441B"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53852E01" w14:textId="2E675AB1"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3742B082" w14:textId="31F8AF1B"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3</w:t>
            </w:r>
          </w:p>
        </w:tc>
        <w:tc>
          <w:tcPr>
            <w:tcW w:w="647" w:type="pct"/>
          </w:tcPr>
          <w:p w14:paraId="147A4465" w14:textId="5839EFCC"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3</w:t>
            </w:r>
          </w:p>
        </w:tc>
      </w:tr>
      <w:tr w:rsidR="00345B81" w:rsidRPr="00D24D4A" w14:paraId="5DDA0B1B" w14:textId="77777777">
        <w:tc>
          <w:tcPr>
            <w:tcW w:w="5000" w:type="pct"/>
            <w:gridSpan w:val="7"/>
            <w:vAlign w:val="center"/>
          </w:tcPr>
          <w:p w14:paraId="2B079B35" w14:textId="1446183F" w:rsidR="00345B81" w:rsidRPr="00D24D4A" w:rsidRDefault="00345B81" w:rsidP="005051F2">
            <w:pPr>
              <w:pStyle w:val="TableText"/>
              <w:keepNext/>
              <w:keepLines/>
              <w:rPr>
                <w:b/>
              </w:rPr>
            </w:pPr>
            <w:r w:rsidRPr="00D24D4A">
              <w:rPr>
                <w:b/>
              </w:rPr>
              <w:t>Estimated extent of use of A</w:t>
            </w:r>
            <w:r w:rsidR="00D31014" w:rsidRPr="00D24D4A">
              <w:rPr>
                <w:rFonts w:ascii="Calibri" w:hAnsi="Calibri" w:cs="Calibri"/>
                <w:b/>
              </w:rPr>
              <w:t>β</w:t>
            </w:r>
            <w:r w:rsidRPr="00D24D4A">
              <w:rPr>
                <w:b/>
              </w:rPr>
              <w:t>-PET scan – monitoring</w:t>
            </w:r>
          </w:p>
        </w:tc>
      </w:tr>
      <w:tr w:rsidR="00345B81" w:rsidRPr="00D24D4A" w14:paraId="6BFDE5F3" w14:textId="77777777">
        <w:tc>
          <w:tcPr>
            <w:tcW w:w="1118" w:type="pct"/>
            <w:vAlign w:val="center"/>
          </w:tcPr>
          <w:p w14:paraId="10E8F642" w14:textId="77777777" w:rsidR="00345B81" w:rsidRPr="00D24D4A" w:rsidRDefault="00345B81" w:rsidP="005051F2">
            <w:pPr>
              <w:pStyle w:val="TableText"/>
              <w:keepNext/>
              <w:keepLines/>
            </w:pPr>
            <w:r w:rsidRPr="00D24D4A">
              <w:t>Number of patients tested</w:t>
            </w:r>
          </w:p>
        </w:tc>
        <w:tc>
          <w:tcPr>
            <w:tcW w:w="647" w:type="pct"/>
          </w:tcPr>
          <w:p w14:paraId="543C0796" w14:textId="46C32DB8" w:rsidR="00345B81" w:rsidRPr="00D24D4A" w:rsidRDefault="001C45CE" w:rsidP="005051F2">
            <w:pPr>
              <w:pStyle w:val="TableNumber"/>
              <w:keepNext/>
              <w:keepLines/>
              <w:rPr>
                <w:vertAlign w:val="superscript"/>
              </w:rPr>
            </w:pPr>
            <w:r w:rsidRPr="00D24D4A">
              <w:t>REDACTED</w:t>
            </w:r>
            <w:r w:rsidRPr="00D24D4A" w:rsidDel="001C45CE">
              <w:t xml:space="preserve"> </w:t>
            </w:r>
            <w:r w:rsidR="008410C0" w:rsidRPr="00D24D4A">
              <w:rPr>
                <w:vertAlign w:val="superscript"/>
              </w:rPr>
              <w:t>1</w:t>
            </w:r>
          </w:p>
        </w:tc>
        <w:tc>
          <w:tcPr>
            <w:tcW w:w="647" w:type="pct"/>
          </w:tcPr>
          <w:p w14:paraId="1DFBD585" w14:textId="31F9CBE5"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613B027E" w14:textId="187DE77C"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2FDB77F0" w14:textId="25D4DC57"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1194F5B3" w14:textId="4599AA11"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1AA2A0C2" w14:textId="260BFD79"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r>
      <w:tr w:rsidR="00345B81" w:rsidRPr="00D24D4A" w14:paraId="06BBC357" w14:textId="77777777">
        <w:tc>
          <w:tcPr>
            <w:tcW w:w="1118" w:type="pct"/>
            <w:vAlign w:val="center"/>
          </w:tcPr>
          <w:p w14:paraId="066B9351" w14:textId="437E62D4" w:rsidR="00345B81" w:rsidRPr="00D24D4A" w:rsidRDefault="00345B81" w:rsidP="005051F2">
            <w:pPr>
              <w:pStyle w:val="TableText"/>
              <w:keepNext/>
              <w:keepLines/>
            </w:pPr>
            <w:r w:rsidRPr="00D24D4A">
              <w:t>Number of tests required</w:t>
            </w:r>
            <w:r w:rsidR="00955768" w:rsidRPr="00D24D4A">
              <w:t xml:space="preserve"> [E]</w:t>
            </w:r>
          </w:p>
        </w:tc>
        <w:tc>
          <w:tcPr>
            <w:tcW w:w="647" w:type="pct"/>
          </w:tcPr>
          <w:p w14:paraId="67FF3D9A" w14:textId="087A1376"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45EB191B" w14:textId="6C6D0831"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672F0AAE" w14:textId="0ADCA7F7"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12B9A84E" w14:textId="645CC27C"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777A6BCF" w14:textId="297A15EB"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2E86DC3C" w14:textId="79028F17"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3</w:t>
            </w:r>
          </w:p>
        </w:tc>
      </w:tr>
      <w:tr w:rsidR="00345B81" w:rsidRPr="00D24D4A" w14:paraId="2B33D74B" w14:textId="77777777">
        <w:tc>
          <w:tcPr>
            <w:tcW w:w="5000" w:type="pct"/>
            <w:gridSpan w:val="7"/>
            <w:vAlign w:val="center"/>
          </w:tcPr>
          <w:p w14:paraId="6C419667" w14:textId="601CF7DC" w:rsidR="00345B81" w:rsidRPr="00D24D4A" w:rsidRDefault="00345B81" w:rsidP="005051F2">
            <w:pPr>
              <w:pStyle w:val="TableText"/>
              <w:keepNext/>
              <w:keepLines/>
              <w:rPr>
                <w:b/>
              </w:rPr>
            </w:pPr>
            <w:r w:rsidRPr="00D24D4A">
              <w:rPr>
                <w:b/>
              </w:rPr>
              <w:t>Estimated financial implications for A</w:t>
            </w:r>
            <w:r w:rsidR="00D31014" w:rsidRPr="00D24D4A">
              <w:rPr>
                <w:rFonts w:ascii="Calibri" w:hAnsi="Calibri" w:cs="Calibri"/>
                <w:b/>
              </w:rPr>
              <w:t>β</w:t>
            </w:r>
            <w:r w:rsidRPr="00D24D4A">
              <w:rPr>
                <w:b/>
              </w:rPr>
              <w:t>-PET scan to the MBS</w:t>
            </w:r>
          </w:p>
        </w:tc>
      </w:tr>
      <w:tr w:rsidR="00345B81" w:rsidRPr="00D24D4A" w14:paraId="39D702E3" w14:textId="77777777">
        <w:tc>
          <w:tcPr>
            <w:tcW w:w="1118" w:type="pct"/>
            <w:vAlign w:val="center"/>
          </w:tcPr>
          <w:p w14:paraId="7ED7250B" w14:textId="0B38EBEE" w:rsidR="00345B81" w:rsidRPr="00D24D4A" w:rsidRDefault="00345B81" w:rsidP="005051F2">
            <w:pPr>
              <w:pStyle w:val="TableText"/>
              <w:keepNext/>
              <w:keepLines/>
            </w:pPr>
            <w:r w:rsidRPr="00D24D4A">
              <w:t>Total number of tests</w:t>
            </w:r>
            <w:r w:rsidR="00955768" w:rsidRPr="00D24D4A">
              <w:t xml:space="preserve"> [F=D+E]</w:t>
            </w:r>
          </w:p>
        </w:tc>
        <w:tc>
          <w:tcPr>
            <w:tcW w:w="647" w:type="pct"/>
          </w:tcPr>
          <w:p w14:paraId="1EB51E2B" w14:textId="79188B35"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2553252D" w14:textId="73DD1BD6"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3</w:t>
            </w:r>
          </w:p>
        </w:tc>
        <w:tc>
          <w:tcPr>
            <w:tcW w:w="647" w:type="pct"/>
          </w:tcPr>
          <w:p w14:paraId="01C5E2C1" w14:textId="045AA45B"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4</w:t>
            </w:r>
          </w:p>
        </w:tc>
        <w:tc>
          <w:tcPr>
            <w:tcW w:w="647" w:type="pct"/>
          </w:tcPr>
          <w:p w14:paraId="1F98AA75" w14:textId="0BC71D33"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5</w:t>
            </w:r>
          </w:p>
        </w:tc>
        <w:tc>
          <w:tcPr>
            <w:tcW w:w="647" w:type="pct"/>
          </w:tcPr>
          <w:p w14:paraId="3ED001A7" w14:textId="5965135A"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6</w:t>
            </w:r>
          </w:p>
        </w:tc>
        <w:tc>
          <w:tcPr>
            <w:tcW w:w="647" w:type="pct"/>
          </w:tcPr>
          <w:p w14:paraId="4CDC4885" w14:textId="5C435B20" w:rsidR="00345B81" w:rsidRPr="00D24D4A" w:rsidRDefault="001C45CE" w:rsidP="005051F2">
            <w:pPr>
              <w:pStyle w:val="TableText"/>
              <w:keepNext/>
              <w:keepLines/>
              <w:jc w:val="center"/>
              <w:rPr>
                <w:vertAlign w:val="superscript"/>
              </w:rPr>
            </w:pPr>
            <w:r w:rsidRPr="00D24D4A">
              <w:t>REDACTED</w:t>
            </w:r>
            <w:r w:rsidRPr="00D24D4A" w:rsidDel="001C45CE">
              <w:t xml:space="preserve"> </w:t>
            </w:r>
            <w:r w:rsidR="008410C0" w:rsidRPr="00D24D4A">
              <w:rPr>
                <w:vertAlign w:val="superscript"/>
              </w:rPr>
              <w:t>7</w:t>
            </w:r>
          </w:p>
        </w:tc>
      </w:tr>
      <w:tr w:rsidR="00345B81" w:rsidRPr="00D24D4A" w14:paraId="4CC6473D" w14:textId="77777777">
        <w:tc>
          <w:tcPr>
            <w:tcW w:w="1118" w:type="pct"/>
            <w:vAlign w:val="center"/>
          </w:tcPr>
          <w:p w14:paraId="08969FE0" w14:textId="4C068C2A" w:rsidR="00345B81" w:rsidRPr="00D24D4A" w:rsidRDefault="00345B81" w:rsidP="005051F2">
            <w:pPr>
              <w:pStyle w:val="TableText"/>
              <w:keepNext/>
              <w:keepLines/>
            </w:pPr>
            <w:r w:rsidRPr="00D24D4A">
              <w:t>Unit cost of the test</w:t>
            </w:r>
            <w:r w:rsidR="00955768" w:rsidRPr="00D24D4A">
              <w:t xml:space="preserve"> [G]</w:t>
            </w:r>
          </w:p>
        </w:tc>
        <w:tc>
          <w:tcPr>
            <w:tcW w:w="647" w:type="pct"/>
          </w:tcPr>
          <w:p w14:paraId="15800CF3" w14:textId="77777777" w:rsidR="00345B81" w:rsidRPr="00D24D4A" w:rsidRDefault="00345B81" w:rsidP="005051F2">
            <w:pPr>
              <w:pStyle w:val="TableText"/>
              <w:keepNext/>
              <w:keepLines/>
              <w:jc w:val="center"/>
            </w:pPr>
            <w:r w:rsidRPr="00D24D4A">
              <w:t>$1,760.00</w:t>
            </w:r>
          </w:p>
        </w:tc>
        <w:tc>
          <w:tcPr>
            <w:tcW w:w="647" w:type="pct"/>
          </w:tcPr>
          <w:p w14:paraId="6C7D7F12" w14:textId="77777777" w:rsidR="00345B81" w:rsidRPr="00D24D4A" w:rsidRDefault="00345B81" w:rsidP="005051F2">
            <w:pPr>
              <w:pStyle w:val="TableText"/>
              <w:keepNext/>
              <w:keepLines/>
              <w:jc w:val="center"/>
            </w:pPr>
            <w:r w:rsidRPr="00D24D4A">
              <w:t>$1,760.00</w:t>
            </w:r>
          </w:p>
        </w:tc>
        <w:tc>
          <w:tcPr>
            <w:tcW w:w="647" w:type="pct"/>
          </w:tcPr>
          <w:p w14:paraId="2580C99B" w14:textId="77777777" w:rsidR="00345B81" w:rsidRPr="00D24D4A" w:rsidRDefault="00345B81" w:rsidP="005051F2">
            <w:pPr>
              <w:pStyle w:val="TableText"/>
              <w:keepNext/>
              <w:keepLines/>
              <w:jc w:val="center"/>
            </w:pPr>
            <w:r w:rsidRPr="00D24D4A">
              <w:t>$1,760.00</w:t>
            </w:r>
          </w:p>
        </w:tc>
        <w:tc>
          <w:tcPr>
            <w:tcW w:w="647" w:type="pct"/>
          </w:tcPr>
          <w:p w14:paraId="58C300B8" w14:textId="77777777" w:rsidR="00345B81" w:rsidRPr="00D24D4A" w:rsidRDefault="00345B81" w:rsidP="005051F2">
            <w:pPr>
              <w:pStyle w:val="TableText"/>
              <w:keepNext/>
              <w:keepLines/>
              <w:jc w:val="center"/>
            </w:pPr>
            <w:r w:rsidRPr="00D24D4A">
              <w:t>$1,760.00</w:t>
            </w:r>
          </w:p>
        </w:tc>
        <w:tc>
          <w:tcPr>
            <w:tcW w:w="647" w:type="pct"/>
          </w:tcPr>
          <w:p w14:paraId="4BFF82A3" w14:textId="77777777" w:rsidR="00345B81" w:rsidRPr="00D24D4A" w:rsidRDefault="00345B81" w:rsidP="005051F2">
            <w:pPr>
              <w:pStyle w:val="TableText"/>
              <w:keepNext/>
              <w:keepLines/>
              <w:jc w:val="center"/>
            </w:pPr>
            <w:r w:rsidRPr="00D24D4A">
              <w:t>$1,760.00</w:t>
            </w:r>
          </w:p>
        </w:tc>
        <w:tc>
          <w:tcPr>
            <w:tcW w:w="647" w:type="pct"/>
          </w:tcPr>
          <w:p w14:paraId="2443815B" w14:textId="77777777" w:rsidR="00345B81" w:rsidRPr="00D24D4A" w:rsidRDefault="00345B81" w:rsidP="005051F2">
            <w:pPr>
              <w:pStyle w:val="TableText"/>
              <w:keepNext/>
              <w:keepLines/>
              <w:jc w:val="center"/>
            </w:pPr>
            <w:r w:rsidRPr="00D24D4A">
              <w:t>$1,760.00</w:t>
            </w:r>
          </w:p>
        </w:tc>
      </w:tr>
      <w:tr w:rsidR="00345B81" w:rsidRPr="00D24D4A" w14:paraId="01D67AD3" w14:textId="77777777">
        <w:tc>
          <w:tcPr>
            <w:tcW w:w="1118" w:type="pct"/>
            <w:vAlign w:val="center"/>
          </w:tcPr>
          <w:p w14:paraId="6DA7DE6D" w14:textId="101CE00C" w:rsidR="00345B81" w:rsidRPr="00D24D4A" w:rsidRDefault="00345B81" w:rsidP="005051F2">
            <w:pPr>
              <w:pStyle w:val="TableText"/>
              <w:keepNext/>
              <w:keepLines/>
            </w:pPr>
            <w:r w:rsidRPr="00D24D4A">
              <w:t xml:space="preserve">Cost to </w:t>
            </w:r>
            <w:r w:rsidR="00606075">
              <w:t xml:space="preserve">the </w:t>
            </w:r>
            <w:r w:rsidRPr="00D24D4A">
              <w:t>MBS</w:t>
            </w:r>
            <w:r w:rsidR="00955768" w:rsidRPr="00D24D4A">
              <w:t xml:space="preserve"> [H=</w:t>
            </w:r>
            <w:proofErr w:type="spellStart"/>
            <w:r w:rsidR="00955768" w:rsidRPr="00D24D4A">
              <w:t>FxG</w:t>
            </w:r>
            <w:proofErr w:type="spellEnd"/>
            <w:r w:rsidR="00955768" w:rsidRPr="00D24D4A">
              <w:t>]</w:t>
            </w:r>
          </w:p>
        </w:tc>
        <w:tc>
          <w:tcPr>
            <w:tcW w:w="647" w:type="pct"/>
          </w:tcPr>
          <w:p w14:paraId="5C0CF1AF" w14:textId="20FFB4EB"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7C2CC7" w:rsidRPr="00D24D4A">
              <w:rPr>
                <w:vertAlign w:val="superscript"/>
              </w:rPr>
              <w:t>12</w:t>
            </w:r>
          </w:p>
        </w:tc>
        <w:tc>
          <w:tcPr>
            <w:tcW w:w="647" w:type="pct"/>
          </w:tcPr>
          <w:p w14:paraId="77A0AA9A" w14:textId="1926FC66"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2B306B" w:rsidRPr="00D24D4A">
              <w:rPr>
                <w:vertAlign w:val="superscript"/>
              </w:rPr>
              <w:t>13</w:t>
            </w:r>
          </w:p>
        </w:tc>
        <w:tc>
          <w:tcPr>
            <w:tcW w:w="647" w:type="pct"/>
          </w:tcPr>
          <w:p w14:paraId="69BDC297" w14:textId="2783D945"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2B306B" w:rsidRPr="00D24D4A">
              <w:rPr>
                <w:vertAlign w:val="superscript"/>
              </w:rPr>
              <w:t>14</w:t>
            </w:r>
          </w:p>
        </w:tc>
        <w:tc>
          <w:tcPr>
            <w:tcW w:w="647" w:type="pct"/>
          </w:tcPr>
          <w:p w14:paraId="2FDF0362" w14:textId="257F8919"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756EAD" w:rsidRPr="00D24D4A">
              <w:rPr>
                <w:vertAlign w:val="superscript"/>
              </w:rPr>
              <w:t>16</w:t>
            </w:r>
          </w:p>
        </w:tc>
        <w:tc>
          <w:tcPr>
            <w:tcW w:w="647" w:type="pct"/>
          </w:tcPr>
          <w:p w14:paraId="199188FE" w14:textId="334EE39A"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756EAD" w:rsidRPr="00D24D4A">
              <w:rPr>
                <w:vertAlign w:val="superscript"/>
              </w:rPr>
              <w:t>17</w:t>
            </w:r>
          </w:p>
        </w:tc>
        <w:tc>
          <w:tcPr>
            <w:tcW w:w="647" w:type="pct"/>
          </w:tcPr>
          <w:p w14:paraId="7F412933" w14:textId="2F29CD7D" w:rsidR="00345B81" w:rsidRPr="00D24D4A" w:rsidRDefault="00345B81" w:rsidP="005051F2">
            <w:pPr>
              <w:pStyle w:val="TableText"/>
              <w:keepNext/>
              <w:keepLines/>
              <w:jc w:val="center"/>
              <w:rPr>
                <w:vertAlign w:val="superscript"/>
              </w:rPr>
            </w:pPr>
            <w:r w:rsidRPr="00D24D4A">
              <w:t>$</w:t>
            </w:r>
            <w:r w:rsidR="001C45CE" w:rsidRPr="00D24D4A">
              <w:t xml:space="preserve"> REDACTED</w:t>
            </w:r>
            <w:r w:rsidR="001C45CE" w:rsidRPr="00D24D4A" w:rsidDel="001C45CE">
              <w:t xml:space="preserve"> </w:t>
            </w:r>
            <w:r w:rsidR="00756EAD" w:rsidRPr="00D24D4A">
              <w:rPr>
                <w:vertAlign w:val="superscript"/>
              </w:rPr>
              <w:t>17</w:t>
            </w:r>
          </w:p>
        </w:tc>
      </w:tr>
      <w:tr w:rsidR="00345B81" w:rsidRPr="00D24D4A" w14:paraId="5BBE6F75" w14:textId="77777777">
        <w:tc>
          <w:tcPr>
            <w:tcW w:w="5000" w:type="pct"/>
            <w:gridSpan w:val="7"/>
            <w:vAlign w:val="center"/>
          </w:tcPr>
          <w:p w14:paraId="1C329658" w14:textId="6282FF68" w:rsidR="00345B81" w:rsidRPr="00D24D4A" w:rsidRDefault="00345B81" w:rsidP="005051F2">
            <w:pPr>
              <w:pStyle w:val="TableText"/>
              <w:keepNext/>
              <w:keepLines/>
              <w:rPr>
                <w:b/>
              </w:rPr>
            </w:pPr>
            <w:r w:rsidRPr="00D24D4A">
              <w:rPr>
                <w:b/>
              </w:rPr>
              <w:t xml:space="preserve">Estimated extent of use of </w:t>
            </w:r>
            <w:r w:rsidR="00A268C4" w:rsidRPr="00D24D4A">
              <w:rPr>
                <w:b/>
              </w:rPr>
              <w:t>CSF AD biomarker testing</w:t>
            </w:r>
            <w:r w:rsidRPr="00D24D4A">
              <w:rPr>
                <w:b/>
              </w:rPr>
              <w:t xml:space="preserve"> – </w:t>
            </w:r>
            <w:r w:rsidR="000A68B2" w:rsidRPr="00D24D4A">
              <w:rPr>
                <w:b/>
              </w:rPr>
              <w:t>eligibility</w:t>
            </w:r>
          </w:p>
        </w:tc>
      </w:tr>
      <w:tr w:rsidR="00345B81" w:rsidRPr="00D24D4A" w14:paraId="51FC9FBE" w14:textId="77777777">
        <w:tc>
          <w:tcPr>
            <w:tcW w:w="1118" w:type="pct"/>
            <w:vAlign w:val="center"/>
          </w:tcPr>
          <w:p w14:paraId="33C6C2E8" w14:textId="12E71E37" w:rsidR="00345B81" w:rsidRPr="00D24D4A" w:rsidRDefault="00345B81" w:rsidP="005051F2">
            <w:pPr>
              <w:pStyle w:val="TableText"/>
              <w:keepNext/>
              <w:keepLines/>
            </w:pPr>
            <w:r w:rsidRPr="00D24D4A">
              <w:t>Number of patients tested</w:t>
            </w:r>
            <w:r w:rsidR="00430EB0" w:rsidRPr="00D24D4A">
              <w:t xml:space="preserve"> [I]</w:t>
            </w:r>
          </w:p>
        </w:tc>
        <w:tc>
          <w:tcPr>
            <w:tcW w:w="647" w:type="pct"/>
          </w:tcPr>
          <w:p w14:paraId="6B300B3B" w14:textId="78CDAD7A" w:rsidR="00345B81" w:rsidRPr="00D24D4A" w:rsidRDefault="001C45CE" w:rsidP="005051F2">
            <w:pPr>
              <w:pStyle w:val="TableNumber"/>
              <w:keepNext/>
              <w:keepLines/>
              <w:rPr>
                <w:vertAlign w:val="superscript"/>
              </w:rPr>
            </w:pPr>
            <w:r w:rsidRPr="00D24D4A">
              <w:t>REDACTED</w:t>
            </w:r>
            <w:r w:rsidRPr="00D24D4A" w:rsidDel="001C45CE">
              <w:t xml:space="preserve"> </w:t>
            </w:r>
            <w:r w:rsidR="008410C0" w:rsidRPr="00D24D4A">
              <w:rPr>
                <w:vertAlign w:val="superscript"/>
              </w:rPr>
              <w:t>1</w:t>
            </w:r>
          </w:p>
        </w:tc>
        <w:tc>
          <w:tcPr>
            <w:tcW w:w="647" w:type="pct"/>
          </w:tcPr>
          <w:p w14:paraId="2D2BC52E" w14:textId="5D7579AB"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1</w:t>
            </w:r>
          </w:p>
        </w:tc>
        <w:tc>
          <w:tcPr>
            <w:tcW w:w="647" w:type="pct"/>
          </w:tcPr>
          <w:p w14:paraId="03383B2C" w14:textId="146A1A3C"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1F42C913" w14:textId="6F3D2963"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2</w:t>
            </w:r>
          </w:p>
        </w:tc>
        <w:tc>
          <w:tcPr>
            <w:tcW w:w="647" w:type="pct"/>
          </w:tcPr>
          <w:p w14:paraId="60289952" w14:textId="2C0D290F"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3</w:t>
            </w:r>
          </w:p>
        </w:tc>
        <w:tc>
          <w:tcPr>
            <w:tcW w:w="647" w:type="pct"/>
          </w:tcPr>
          <w:p w14:paraId="108ED135" w14:textId="0EA573EF" w:rsidR="00345B81" w:rsidRPr="00D24D4A" w:rsidRDefault="001C45CE" w:rsidP="005051F2">
            <w:pPr>
              <w:pStyle w:val="TableText"/>
              <w:keepNext/>
              <w:keepLines/>
              <w:tabs>
                <w:tab w:val="decimal" w:pos="396"/>
              </w:tabs>
              <w:jc w:val="center"/>
              <w:rPr>
                <w:vertAlign w:val="superscript"/>
              </w:rPr>
            </w:pPr>
            <w:r w:rsidRPr="00D24D4A">
              <w:t>REDACTED</w:t>
            </w:r>
            <w:r w:rsidRPr="00D24D4A" w:rsidDel="001C45CE">
              <w:t xml:space="preserve"> </w:t>
            </w:r>
            <w:r w:rsidR="008410C0" w:rsidRPr="00D24D4A">
              <w:rPr>
                <w:vertAlign w:val="superscript"/>
              </w:rPr>
              <w:t>3</w:t>
            </w:r>
          </w:p>
        </w:tc>
      </w:tr>
      <w:tr w:rsidR="00345B81" w:rsidRPr="00D24D4A" w14:paraId="1BAE6141" w14:textId="77777777">
        <w:tc>
          <w:tcPr>
            <w:tcW w:w="5000" w:type="pct"/>
            <w:gridSpan w:val="7"/>
            <w:vAlign w:val="center"/>
          </w:tcPr>
          <w:p w14:paraId="63890C6B" w14:textId="1F715AEE" w:rsidR="00345B81" w:rsidRPr="00D24D4A" w:rsidRDefault="00345B81" w:rsidP="005051F2">
            <w:pPr>
              <w:pStyle w:val="TableText"/>
              <w:keepNext/>
              <w:keepLines/>
              <w:rPr>
                <w:b/>
                <w:bCs/>
                <w:color w:val="000000"/>
              </w:rPr>
            </w:pPr>
            <w:r w:rsidRPr="00D24D4A">
              <w:rPr>
                <w:b/>
              </w:rPr>
              <w:t xml:space="preserve">Estimated financial implications of </w:t>
            </w:r>
            <w:r w:rsidR="00A268C4" w:rsidRPr="00D24D4A">
              <w:rPr>
                <w:b/>
              </w:rPr>
              <w:t>CSF AD biomarker testing</w:t>
            </w:r>
            <w:r w:rsidRPr="00D24D4A">
              <w:rPr>
                <w:b/>
              </w:rPr>
              <w:t xml:space="preserve"> to the MBS</w:t>
            </w:r>
          </w:p>
        </w:tc>
      </w:tr>
      <w:tr w:rsidR="00345B81" w:rsidRPr="00D24D4A" w14:paraId="121995B0" w14:textId="77777777">
        <w:tc>
          <w:tcPr>
            <w:tcW w:w="1118" w:type="pct"/>
            <w:vAlign w:val="center"/>
          </w:tcPr>
          <w:p w14:paraId="0BD5C22C" w14:textId="5BAB377F" w:rsidR="00345B81" w:rsidRPr="00D24D4A" w:rsidRDefault="00345B81" w:rsidP="005051F2">
            <w:pPr>
              <w:pStyle w:val="TableText"/>
              <w:keepNext/>
              <w:keepLines/>
            </w:pPr>
            <w:r w:rsidRPr="00D24D4A">
              <w:t xml:space="preserve">Unit cost of the test </w:t>
            </w:r>
            <w:r w:rsidR="00430EB0" w:rsidRPr="00D24D4A">
              <w:t>[J]</w:t>
            </w:r>
          </w:p>
        </w:tc>
        <w:tc>
          <w:tcPr>
            <w:tcW w:w="647" w:type="pct"/>
          </w:tcPr>
          <w:p w14:paraId="2286D75F" w14:textId="77777777" w:rsidR="00345B81" w:rsidRPr="00D24D4A" w:rsidRDefault="00345B81" w:rsidP="005051F2">
            <w:pPr>
              <w:pStyle w:val="TableText"/>
              <w:keepNext/>
              <w:keepLines/>
              <w:jc w:val="center"/>
            </w:pPr>
            <w:r w:rsidRPr="00D24D4A">
              <w:t>$320.00</w:t>
            </w:r>
          </w:p>
        </w:tc>
        <w:tc>
          <w:tcPr>
            <w:tcW w:w="647" w:type="pct"/>
          </w:tcPr>
          <w:p w14:paraId="2A0112A2" w14:textId="77777777" w:rsidR="00345B81" w:rsidRPr="00D24D4A" w:rsidRDefault="00345B81" w:rsidP="005051F2">
            <w:pPr>
              <w:pStyle w:val="TableText"/>
              <w:keepNext/>
              <w:keepLines/>
              <w:jc w:val="center"/>
            </w:pPr>
            <w:r w:rsidRPr="00D24D4A">
              <w:t>$320.00</w:t>
            </w:r>
          </w:p>
        </w:tc>
        <w:tc>
          <w:tcPr>
            <w:tcW w:w="647" w:type="pct"/>
          </w:tcPr>
          <w:p w14:paraId="06349065" w14:textId="77777777" w:rsidR="00345B81" w:rsidRPr="00D24D4A" w:rsidRDefault="00345B81" w:rsidP="005051F2">
            <w:pPr>
              <w:pStyle w:val="TableText"/>
              <w:keepNext/>
              <w:keepLines/>
              <w:jc w:val="center"/>
            </w:pPr>
            <w:r w:rsidRPr="00D24D4A">
              <w:t>$320.00</w:t>
            </w:r>
          </w:p>
        </w:tc>
        <w:tc>
          <w:tcPr>
            <w:tcW w:w="647" w:type="pct"/>
          </w:tcPr>
          <w:p w14:paraId="2994275E" w14:textId="77777777" w:rsidR="00345B81" w:rsidRPr="00D24D4A" w:rsidRDefault="00345B81" w:rsidP="005051F2">
            <w:pPr>
              <w:pStyle w:val="TableText"/>
              <w:keepNext/>
              <w:keepLines/>
              <w:jc w:val="center"/>
            </w:pPr>
            <w:r w:rsidRPr="00D24D4A">
              <w:t>$320.00</w:t>
            </w:r>
          </w:p>
        </w:tc>
        <w:tc>
          <w:tcPr>
            <w:tcW w:w="647" w:type="pct"/>
          </w:tcPr>
          <w:p w14:paraId="33B70F3A" w14:textId="77777777" w:rsidR="00345B81" w:rsidRPr="00D24D4A" w:rsidRDefault="00345B81" w:rsidP="005051F2">
            <w:pPr>
              <w:pStyle w:val="TableText"/>
              <w:keepNext/>
              <w:keepLines/>
              <w:jc w:val="center"/>
            </w:pPr>
            <w:r w:rsidRPr="00D24D4A">
              <w:t>$320.00</w:t>
            </w:r>
          </w:p>
        </w:tc>
        <w:tc>
          <w:tcPr>
            <w:tcW w:w="647" w:type="pct"/>
          </w:tcPr>
          <w:p w14:paraId="10CFE1E4" w14:textId="77777777" w:rsidR="00345B81" w:rsidRPr="00D24D4A" w:rsidRDefault="00345B81" w:rsidP="005051F2">
            <w:pPr>
              <w:pStyle w:val="TableText"/>
              <w:keepNext/>
              <w:keepLines/>
              <w:jc w:val="center"/>
            </w:pPr>
            <w:r w:rsidRPr="00D24D4A">
              <w:t>$320.00</w:t>
            </w:r>
          </w:p>
        </w:tc>
      </w:tr>
      <w:tr w:rsidR="00345B81" w:rsidRPr="00D24D4A" w14:paraId="48E27374" w14:textId="77777777">
        <w:tc>
          <w:tcPr>
            <w:tcW w:w="1118" w:type="pct"/>
            <w:vAlign w:val="center"/>
          </w:tcPr>
          <w:p w14:paraId="7A903AB4" w14:textId="71658B8A" w:rsidR="00345B81" w:rsidRPr="00D24D4A" w:rsidRDefault="00345B81" w:rsidP="005051F2">
            <w:pPr>
              <w:pStyle w:val="TableText"/>
              <w:keepNext/>
              <w:keepLines/>
            </w:pPr>
            <w:r w:rsidRPr="00D24D4A">
              <w:t>Cost to the MBS</w:t>
            </w:r>
            <w:r w:rsidR="00430EB0" w:rsidRPr="00D24D4A">
              <w:t xml:space="preserve"> [K=</w:t>
            </w:r>
            <w:proofErr w:type="spellStart"/>
            <w:r w:rsidR="00430EB0" w:rsidRPr="00D24D4A">
              <w:t>IxJ</w:t>
            </w:r>
            <w:proofErr w:type="spellEnd"/>
            <w:r w:rsidR="00430EB0" w:rsidRPr="00D24D4A">
              <w:t>]</w:t>
            </w:r>
          </w:p>
        </w:tc>
        <w:tc>
          <w:tcPr>
            <w:tcW w:w="647" w:type="pct"/>
          </w:tcPr>
          <w:p w14:paraId="0A290D52" w14:textId="5DCC8D8C"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613CB9" w:rsidRPr="00D24D4A">
              <w:rPr>
                <w:vertAlign w:val="superscript"/>
              </w:rPr>
              <w:t>9</w:t>
            </w:r>
          </w:p>
        </w:tc>
        <w:tc>
          <w:tcPr>
            <w:tcW w:w="647" w:type="pct"/>
          </w:tcPr>
          <w:p w14:paraId="63F0B510" w14:textId="1073F8E8"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613CB9" w:rsidRPr="00D24D4A">
              <w:rPr>
                <w:vertAlign w:val="superscript"/>
              </w:rPr>
              <w:t>9</w:t>
            </w:r>
          </w:p>
        </w:tc>
        <w:tc>
          <w:tcPr>
            <w:tcW w:w="647" w:type="pct"/>
          </w:tcPr>
          <w:p w14:paraId="245F2272" w14:textId="76451A91"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613CB9" w:rsidRPr="00D24D4A">
              <w:rPr>
                <w:vertAlign w:val="superscript"/>
              </w:rPr>
              <w:t>9</w:t>
            </w:r>
          </w:p>
        </w:tc>
        <w:tc>
          <w:tcPr>
            <w:tcW w:w="647" w:type="pct"/>
          </w:tcPr>
          <w:p w14:paraId="70B93E03" w14:textId="68F50F59"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613CB9" w:rsidRPr="00D24D4A">
              <w:rPr>
                <w:vertAlign w:val="superscript"/>
              </w:rPr>
              <w:t>9</w:t>
            </w:r>
          </w:p>
        </w:tc>
        <w:tc>
          <w:tcPr>
            <w:tcW w:w="647" w:type="pct"/>
          </w:tcPr>
          <w:p w14:paraId="0D8CE7B0" w14:textId="71BEF584"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28609F" w:rsidRPr="00D24D4A">
              <w:rPr>
                <w:vertAlign w:val="superscript"/>
              </w:rPr>
              <w:t>1</w:t>
            </w:r>
            <w:r w:rsidR="00613CB9" w:rsidRPr="00D24D4A">
              <w:rPr>
                <w:vertAlign w:val="superscript"/>
              </w:rPr>
              <w:t>0</w:t>
            </w:r>
          </w:p>
        </w:tc>
        <w:tc>
          <w:tcPr>
            <w:tcW w:w="647" w:type="pct"/>
          </w:tcPr>
          <w:p w14:paraId="71A1024F" w14:textId="2029EB71"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28609F" w:rsidRPr="00D24D4A">
              <w:rPr>
                <w:vertAlign w:val="superscript"/>
              </w:rPr>
              <w:t>1</w:t>
            </w:r>
            <w:r w:rsidR="00613CB9" w:rsidRPr="00D24D4A">
              <w:rPr>
                <w:vertAlign w:val="superscript"/>
              </w:rPr>
              <w:t>0</w:t>
            </w:r>
          </w:p>
        </w:tc>
      </w:tr>
      <w:tr w:rsidR="00345B81" w:rsidRPr="00D24D4A" w14:paraId="29F90DF5" w14:textId="77777777">
        <w:tc>
          <w:tcPr>
            <w:tcW w:w="5000" w:type="pct"/>
            <w:gridSpan w:val="7"/>
            <w:vAlign w:val="center"/>
          </w:tcPr>
          <w:p w14:paraId="32741291" w14:textId="77777777" w:rsidR="00345B81" w:rsidRPr="00D24D4A" w:rsidRDefault="00345B81" w:rsidP="005051F2">
            <w:pPr>
              <w:pStyle w:val="TableText"/>
              <w:keepNext/>
              <w:keepLines/>
              <w:rPr>
                <w:b/>
              </w:rPr>
            </w:pPr>
            <w:r w:rsidRPr="00D24D4A">
              <w:rPr>
                <w:b/>
              </w:rPr>
              <w:t>Net financial implications</w:t>
            </w:r>
            <w:r w:rsidRPr="00D24D4A">
              <w:rPr>
                <w:b/>
                <w:color w:val="4472C4" w:themeColor="accent5"/>
              </w:rPr>
              <w:t xml:space="preserve"> </w:t>
            </w:r>
          </w:p>
        </w:tc>
      </w:tr>
      <w:tr w:rsidR="00345B81" w:rsidRPr="00EE0EEB" w14:paraId="1527F433" w14:textId="77777777">
        <w:tc>
          <w:tcPr>
            <w:tcW w:w="1118" w:type="pct"/>
            <w:vAlign w:val="center"/>
          </w:tcPr>
          <w:p w14:paraId="52993C35" w14:textId="27798EE0" w:rsidR="00345B81" w:rsidRPr="00D24D4A" w:rsidRDefault="00345B81" w:rsidP="005051F2">
            <w:pPr>
              <w:pStyle w:val="TableText"/>
              <w:keepNext/>
              <w:keepLines/>
              <w:rPr>
                <w:rFonts w:ascii="Times" w:eastAsia="Times New Roman" w:hAnsi="Times" w:cs="Times New Roman"/>
              </w:rPr>
            </w:pPr>
            <w:r w:rsidRPr="00D24D4A">
              <w:t xml:space="preserve">Net cost to </w:t>
            </w:r>
            <w:r w:rsidR="00606075">
              <w:t xml:space="preserve">the </w:t>
            </w:r>
            <w:r w:rsidRPr="00D24D4A">
              <w:t>MBS</w:t>
            </w:r>
            <w:r w:rsidR="00FD7BC7" w:rsidRPr="00D24D4A">
              <w:t xml:space="preserve"> [C+</w:t>
            </w:r>
            <w:r w:rsidR="00835EDD" w:rsidRPr="00D24D4A">
              <w:t>H+K]</w:t>
            </w:r>
          </w:p>
        </w:tc>
        <w:tc>
          <w:tcPr>
            <w:tcW w:w="647" w:type="pct"/>
          </w:tcPr>
          <w:p w14:paraId="5BA78CAD" w14:textId="678C7958"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2B306B" w:rsidRPr="00D24D4A">
              <w:rPr>
                <w:vertAlign w:val="superscript"/>
              </w:rPr>
              <w:t>13</w:t>
            </w:r>
          </w:p>
        </w:tc>
        <w:tc>
          <w:tcPr>
            <w:tcW w:w="647" w:type="pct"/>
          </w:tcPr>
          <w:p w14:paraId="45CCB75E" w14:textId="1F42FE14"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2B306B" w:rsidRPr="00D24D4A">
              <w:rPr>
                <w:vertAlign w:val="superscript"/>
              </w:rPr>
              <w:t>14</w:t>
            </w:r>
          </w:p>
        </w:tc>
        <w:tc>
          <w:tcPr>
            <w:tcW w:w="647" w:type="pct"/>
          </w:tcPr>
          <w:p w14:paraId="59A367EA" w14:textId="47C73E6D"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756EAD" w:rsidRPr="00D24D4A">
              <w:rPr>
                <w:vertAlign w:val="superscript"/>
              </w:rPr>
              <w:t>15</w:t>
            </w:r>
          </w:p>
        </w:tc>
        <w:tc>
          <w:tcPr>
            <w:tcW w:w="647" w:type="pct"/>
          </w:tcPr>
          <w:p w14:paraId="6CD662E2" w14:textId="746564D1"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756EAD" w:rsidRPr="00D24D4A">
              <w:rPr>
                <w:vertAlign w:val="superscript"/>
              </w:rPr>
              <w:t>1</w:t>
            </w:r>
            <w:r w:rsidR="00BB52DD" w:rsidRPr="00D24D4A">
              <w:rPr>
                <w:vertAlign w:val="superscript"/>
              </w:rPr>
              <w:t>7</w:t>
            </w:r>
          </w:p>
        </w:tc>
        <w:tc>
          <w:tcPr>
            <w:tcW w:w="647" w:type="pct"/>
          </w:tcPr>
          <w:p w14:paraId="779C6100" w14:textId="7D4A6D25"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756EAD" w:rsidRPr="00D24D4A">
              <w:rPr>
                <w:vertAlign w:val="superscript"/>
              </w:rPr>
              <w:t>1</w:t>
            </w:r>
            <w:r w:rsidR="00BB52DD" w:rsidRPr="00D24D4A">
              <w:rPr>
                <w:vertAlign w:val="superscript"/>
              </w:rPr>
              <w:t>7</w:t>
            </w:r>
          </w:p>
        </w:tc>
        <w:tc>
          <w:tcPr>
            <w:tcW w:w="647" w:type="pct"/>
          </w:tcPr>
          <w:p w14:paraId="4542223A" w14:textId="6C5503E6" w:rsidR="00345B81" w:rsidRPr="00D24D4A" w:rsidRDefault="00345B81" w:rsidP="005051F2">
            <w:pPr>
              <w:pStyle w:val="TableText"/>
              <w:keepNext/>
              <w:keepLines/>
              <w:jc w:val="center"/>
              <w:rPr>
                <w:vertAlign w:val="superscript"/>
              </w:rPr>
            </w:pPr>
            <w:r w:rsidRPr="00D24D4A">
              <w:t>$</w:t>
            </w:r>
            <w:r w:rsidR="00D24D4A" w:rsidRPr="00D24D4A">
              <w:t xml:space="preserve"> REDACTED</w:t>
            </w:r>
            <w:r w:rsidR="00D24D4A" w:rsidRPr="00D24D4A" w:rsidDel="00D24D4A">
              <w:t xml:space="preserve"> </w:t>
            </w:r>
            <w:r w:rsidR="00756EAD" w:rsidRPr="00D24D4A">
              <w:rPr>
                <w:vertAlign w:val="superscript"/>
              </w:rPr>
              <w:t>1</w:t>
            </w:r>
            <w:r w:rsidR="00BB52DD" w:rsidRPr="00D24D4A">
              <w:rPr>
                <w:vertAlign w:val="superscript"/>
              </w:rPr>
              <w:t>7</w:t>
            </w:r>
          </w:p>
        </w:tc>
      </w:tr>
    </w:tbl>
    <w:p w14:paraId="38CFF5EF" w14:textId="6ECDC8E3" w:rsidR="00345B81" w:rsidRPr="00EE0EEB" w:rsidRDefault="00345B81" w:rsidP="004553FA">
      <w:pPr>
        <w:pStyle w:val="TableFooter"/>
        <w:keepNext/>
        <w:keepLines/>
      </w:pPr>
      <w:r w:rsidRPr="00EE0EEB" w:rsidDel="0015247C">
        <w:t xml:space="preserve">Source: </w:t>
      </w:r>
      <w:r w:rsidRPr="00EE0EEB">
        <w:t xml:space="preserve">Worksheet </w:t>
      </w:r>
      <w:r w:rsidRPr="00EE0EEB">
        <w:rPr>
          <w:i/>
          <w:iCs/>
        </w:rPr>
        <w:t>7 Net changes – MBS</w:t>
      </w:r>
      <w:r w:rsidRPr="00EE0EEB">
        <w:t xml:space="preserve"> of the financial estimates model provided with</w:t>
      </w:r>
      <w:r w:rsidRPr="00EE0EEB" w:rsidDel="0015247C">
        <w:t xml:space="preserve"> the </w:t>
      </w:r>
      <w:r w:rsidR="00BA11B1" w:rsidRPr="00BA11B1">
        <w:t>submission</w:t>
      </w:r>
      <w:r w:rsidRPr="00EE0EEB" w:rsidDel="0015247C">
        <w:t>.</w:t>
      </w:r>
    </w:p>
    <w:p w14:paraId="1D1AAE83" w14:textId="5549D443" w:rsidR="00345B81" w:rsidRDefault="00345B81" w:rsidP="004553FA">
      <w:pPr>
        <w:pStyle w:val="TableFooter"/>
        <w:keepNext/>
        <w:keepLines/>
      </w:pPr>
      <w:r w:rsidRPr="00EE0EEB">
        <w:t>Cost is calculated at 80% of schedule fee.</w:t>
      </w:r>
    </w:p>
    <w:p w14:paraId="22813ED3" w14:textId="34E2DEB3" w:rsidR="003B3157" w:rsidRDefault="003B3157" w:rsidP="004553FA">
      <w:pPr>
        <w:pStyle w:val="TableFooter"/>
        <w:keepNext/>
        <w:keepLines/>
      </w:pPr>
      <w:r>
        <w:t xml:space="preserve">B = $154 (proposed fee of </w:t>
      </w:r>
      <w:r w:rsidRPr="00955768">
        <w:rPr>
          <w:i/>
          <w:iCs/>
        </w:rPr>
        <w:t>APOE</w:t>
      </w:r>
      <w:r>
        <w:t xml:space="preserve"> genotyping</w:t>
      </w:r>
      <w:r w:rsidR="00BB69EE">
        <w:t>) + $5.95 (blood collection fee, MBS 73928), applied at 80% benefit.</w:t>
      </w:r>
    </w:p>
    <w:p w14:paraId="71545F75" w14:textId="66E961F3" w:rsidR="00955768" w:rsidRDefault="00D77356" w:rsidP="00345B81">
      <w:pPr>
        <w:pStyle w:val="TableFooter"/>
      </w:pPr>
      <w:r>
        <w:t>G = $2,200 (proposed fee for A</w:t>
      </w:r>
      <w:r>
        <w:rPr>
          <w:rFonts w:ascii="Calibri" w:hAnsi="Calibri" w:cs="Calibri"/>
        </w:rPr>
        <w:t>β</w:t>
      </w:r>
      <w:r>
        <w:t>-PET), applied at 80% benefit.</w:t>
      </w:r>
    </w:p>
    <w:p w14:paraId="120103E2" w14:textId="104711C4" w:rsidR="00430EB0" w:rsidRDefault="00430EB0" w:rsidP="00345B81">
      <w:pPr>
        <w:pStyle w:val="TableFooter"/>
      </w:pPr>
      <w:r>
        <w:t>J = $400 (proposed fee for CSF AD biomarker testing), applied at 80% benefit.</w:t>
      </w:r>
    </w:p>
    <w:p w14:paraId="07AFA666" w14:textId="77777777" w:rsidR="007441EC" w:rsidRPr="00963DAC" w:rsidRDefault="007441EC" w:rsidP="007441EC">
      <w:pPr>
        <w:pStyle w:val="FooterTableFigure"/>
      </w:pPr>
      <w:r w:rsidRPr="00963DAC">
        <w:t>The redacted values correspond to the following ranges per year:</w:t>
      </w:r>
    </w:p>
    <w:p w14:paraId="788F49A1" w14:textId="77777777" w:rsidR="007441EC" w:rsidRDefault="007441EC" w:rsidP="007441EC">
      <w:pPr>
        <w:pStyle w:val="FooterTableFigure"/>
      </w:pPr>
      <w:r>
        <w:rPr>
          <w:vertAlign w:val="superscript"/>
        </w:rPr>
        <w:t xml:space="preserve">1 </w:t>
      </w:r>
      <w:r w:rsidRPr="00144F1F">
        <w:t>10</w:t>
      </w:r>
      <w:r>
        <w:t>,000 to &lt; 20,000</w:t>
      </w:r>
    </w:p>
    <w:p w14:paraId="2C0896A2" w14:textId="77777777" w:rsidR="007441EC" w:rsidRDefault="007441EC" w:rsidP="007441EC">
      <w:pPr>
        <w:pStyle w:val="FooterTableFigure"/>
      </w:pPr>
      <w:r>
        <w:rPr>
          <w:vertAlign w:val="superscript"/>
        </w:rPr>
        <w:t xml:space="preserve">2 </w:t>
      </w:r>
      <w:r>
        <w:t>20,000 to &lt; 30,000</w:t>
      </w:r>
    </w:p>
    <w:p w14:paraId="6087831E" w14:textId="77777777" w:rsidR="007441EC" w:rsidRDefault="007441EC" w:rsidP="007441EC">
      <w:pPr>
        <w:pStyle w:val="FooterTableFigure"/>
      </w:pPr>
      <w:r>
        <w:rPr>
          <w:vertAlign w:val="superscript"/>
        </w:rPr>
        <w:t xml:space="preserve">3 </w:t>
      </w:r>
      <w:r>
        <w:t>30,000 to &lt; 40,000</w:t>
      </w:r>
    </w:p>
    <w:p w14:paraId="49BDED90" w14:textId="77777777" w:rsidR="007441EC" w:rsidRDefault="007441EC" w:rsidP="007441EC">
      <w:pPr>
        <w:pStyle w:val="FooterTableFigure"/>
      </w:pPr>
      <w:r>
        <w:rPr>
          <w:vertAlign w:val="superscript"/>
        </w:rPr>
        <w:t xml:space="preserve">4 </w:t>
      </w:r>
      <w:r>
        <w:t>40,000 to &lt; 50,000</w:t>
      </w:r>
    </w:p>
    <w:p w14:paraId="164F9B16" w14:textId="77777777" w:rsidR="007441EC" w:rsidRDefault="007441EC" w:rsidP="007441EC">
      <w:pPr>
        <w:pStyle w:val="FooterTableFigure"/>
      </w:pPr>
      <w:r>
        <w:rPr>
          <w:vertAlign w:val="superscript"/>
        </w:rPr>
        <w:t xml:space="preserve">5 </w:t>
      </w:r>
      <w:r>
        <w:t>50,000 to &lt; 60,000</w:t>
      </w:r>
    </w:p>
    <w:p w14:paraId="06FD5271" w14:textId="77777777" w:rsidR="007441EC" w:rsidRDefault="007441EC" w:rsidP="007441EC">
      <w:pPr>
        <w:pStyle w:val="FooterTableFigure"/>
      </w:pPr>
      <w:r>
        <w:rPr>
          <w:vertAlign w:val="superscript"/>
        </w:rPr>
        <w:t xml:space="preserve">6 </w:t>
      </w:r>
      <w:r>
        <w:t>60,000 to &lt; 70,000</w:t>
      </w:r>
    </w:p>
    <w:p w14:paraId="3F507C69" w14:textId="77777777" w:rsidR="007441EC" w:rsidRDefault="007441EC" w:rsidP="007441EC">
      <w:pPr>
        <w:pStyle w:val="FooterTableFigure"/>
      </w:pPr>
      <w:r>
        <w:rPr>
          <w:vertAlign w:val="superscript"/>
        </w:rPr>
        <w:t xml:space="preserve">7 </w:t>
      </w:r>
      <w:r>
        <w:t>70,000 to &lt; 80,000</w:t>
      </w:r>
    </w:p>
    <w:p w14:paraId="0DC1AD4D" w14:textId="77777777" w:rsidR="007441EC" w:rsidRDefault="007441EC" w:rsidP="007441EC">
      <w:pPr>
        <w:pStyle w:val="FooterTableFigure"/>
      </w:pPr>
      <w:r>
        <w:rPr>
          <w:vertAlign w:val="superscript"/>
        </w:rPr>
        <w:t xml:space="preserve">8 </w:t>
      </w:r>
      <w:r>
        <w:t>80,000 to &lt; 90,000</w:t>
      </w:r>
    </w:p>
    <w:p w14:paraId="47522AB7" w14:textId="58901DED" w:rsidR="00E93B0E" w:rsidRDefault="00E7675A" w:rsidP="00E93B0E">
      <w:pPr>
        <w:pStyle w:val="FooterTableFigure"/>
      </w:pPr>
      <w:r>
        <w:rPr>
          <w:vertAlign w:val="superscript"/>
        </w:rPr>
        <w:t>9</w:t>
      </w:r>
      <w:r w:rsidR="00E93B0E">
        <w:rPr>
          <w:vertAlign w:val="superscript"/>
        </w:rPr>
        <w:t xml:space="preserve"> </w:t>
      </w:r>
      <w:r w:rsidR="00E93B0E" w:rsidRPr="00251021">
        <w:t>$0 to &lt; $10 million</w:t>
      </w:r>
    </w:p>
    <w:p w14:paraId="363D985B" w14:textId="2BD8E524" w:rsidR="00E93B0E" w:rsidRDefault="00E93B0E" w:rsidP="00E93B0E">
      <w:pPr>
        <w:pStyle w:val="FooterTableFigure"/>
      </w:pPr>
      <w:r>
        <w:rPr>
          <w:vertAlign w:val="superscript"/>
        </w:rPr>
        <w:t>1</w:t>
      </w:r>
      <w:r w:rsidR="00E7675A">
        <w:rPr>
          <w:vertAlign w:val="superscript"/>
        </w:rPr>
        <w:t>0</w:t>
      </w:r>
      <w:r>
        <w:rPr>
          <w:vertAlign w:val="superscript"/>
        </w:rPr>
        <w:t xml:space="preserve"> </w:t>
      </w:r>
      <w:r w:rsidRPr="00251021">
        <w:t>$</w:t>
      </w:r>
      <w:r>
        <w:t>1</w:t>
      </w:r>
      <w:r w:rsidRPr="00251021">
        <w:t xml:space="preserve">0 </w:t>
      </w:r>
      <w:r>
        <w:t xml:space="preserve">million </w:t>
      </w:r>
      <w:r w:rsidRPr="00251021">
        <w:t>to &lt; $</w:t>
      </w:r>
      <w:r>
        <w:t>2</w:t>
      </w:r>
      <w:r w:rsidRPr="00251021">
        <w:t>0 million</w:t>
      </w:r>
    </w:p>
    <w:p w14:paraId="740AA7C8" w14:textId="3ADB59F7" w:rsidR="00E93B0E" w:rsidRDefault="00E93B0E" w:rsidP="00E93B0E">
      <w:pPr>
        <w:pStyle w:val="FooterTableFigure"/>
      </w:pPr>
      <w:r>
        <w:rPr>
          <w:vertAlign w:val="superscript"/>
        </w:rPr>
        <w:t>1</w:t>
      </w:r>
      <w:r w:rsidR="00E7675A">
        <w:rPr>
          <w:vertAlign w:val="superscript"/>
        </w:rPr>
        <w:t>1</w:t>
      </w:r>
      <w:r>
        <w:rPr>
          <w:vertAlign w:val="superscript"/>
        </w:rPr>
        <w:t xml:space="preserve"> </w:t>
      </w:r>
      <w:r w:rsidRPr="00251021">
        <w:t>$</w:t>
      </w:r>
      <w:r>
        <w:t>2</w:t>
      </w:r>
      <w:r w:rsidRPr="00251021">
        <w:t xml:space="preserve">0 </w:t>
      </w:r>
      <w:r>
        <w:t xml:space="preserve">million </w:t>
      </w:r>
      <w:r w:rsidRPr="00251021">
        <w:t>to &lt; $</w:t>
      </w:r>
      <w:r>
        <w:t>3</w:t>
      </w:r>
      <w:r w:rsidRPr="00251021">
        <w:t>0 million</w:t>
      </w:r>
    </w:p>
    <w:p w14:paraId="1820807B" w14:textId="7C2283A0" w:rsidR="00E93B0E" w:rsidRDefault="00E7675A" w:rsidP="00E93B0E">
      <w:pPr>
        <w:pStyle w:val="FooterTableFigure"/>
      </w:pPr>
      <w:r>
        <w:rPr>
          <w:vertAlign w:val="superscript"/>
        </w:rPr>
        <w:t>1</w:t>
      </w:r>
      <w:r w:rsidR="00450388">
        <w:rPr>
          <w:vertAlign w:val="superscript"/>
        </w:rPr>
        <w:t>2</w:t>
      </w:r>
      <w:r w:rsidR="00E93B0E">
        <w:rPr>
          <w:vertAlign w:val="superscript"/>
        </w:rPr>
        <w:t xml:space="preserve"> </w:t>
      </w:r>
      <w:r w:rsidR="00E93B0E" w:rsidRPr="00251021">
        <w:t>$</w:t>
      </w:r>
      <w:r w:rsidR="00E93B0E">
        <w:t>5</w:t>
      </w:r>
      <w:r w:rsidR="00E93B0E" w:rsidRPr="00251021">
        <w:t xml:space="preserve">0 </w:t>
      </w:r>
      <w:r w:rsidR="00E93B0E">
        <w:t xml:space="preserve">million </w:t>
      </w:r>
      <w:r w:rsidR="00E93B0E" w:rsidRPr="00251021">
        <w:t>to &lt; $</w:t>
      </w:r>
      <w:r w:rsidR="00E93B0E">
        <w:t>6</w:t>
      </w:r>
      <w:r w:rsidR="00E93B0E" w:rsidRPr="00251021">
        <w:t>0 million</w:t>
      </w:r>
    </w:p>
    <w:p w14:paraId="31EDB8F0" w14:textId="24C18643" w:rsidR="00E93B0E" w:rsidRDefault="00E7675A" w:rsidP="00E93B0E">
      <w:pPr>
        <w:pStyle w:val="FooterTableFigure"/>
      </w:pPr>
      <w:r>
        <w:rPr>
          <w:vertAlign w:val="superscript"/>
        </w:rPr>
        <w:t>1</w:t>
      </w:r>
      <w:r w:rsidR="007C2CC7">
        <w:rPr>
          <w:vertAlign w:val="superscript"/>
        </w:rPr>
        <w:t>3</w:t>
      </w:r>
      <w:r w:rsidR="00E93B0E">
        <w:rPr>
          <w:vertAlign w:val="superscript"/>
        </w:rPr>
        <w:t xml:space="preserve"> </w:t>
      </w:r>
      <w:r w:rsidR="00E93B0E" w:rsidRPr="00251021">
        <w:t>$</w:t>
      </w:r>
      <w:r w:rsidR="00E93B0E">
        <w:t>6</w:t>
      </w:r>
      <w:r w:rsidR="00E93B0E" w:rsidRPr="00251021">
        <w:t xml:space="preserve">0 </w:t>
      </w:r>
      <w:r w:rsidR="00E93B0E">
        <w:t xml:space="preserve">million </w:t>
      </w:r>
      <w:r w:rsidR="00E93B0E" w:rsidRPr="00251021">
        <w:t>to &lt; $</w:t>
      </w:r>
      <w:r w:rsidR="00E93B0E">
        <w:t>7</w:t>
      </w:r>
      <w:r w:rsidR="00E93B0E" w:rsidRPr="00251021">
        <w:t>0 million</w:t>
      </w:r>
    </w:p>
    <w:p w14:paraId="07DCA941" w14:textId="0C7073A8" w:rsidR="00E93B0E" w:rsidRDefault="00E7675A" w:rsidP="00E93B0E">
      <w:pPr>
        <w:pStyle w:val="FooterTableFigure"/>
      </w:pPr>
      <w:r>
        <w:rPr>
          <w:vertAlign w:val="superscript"/>
        </w:rPr>
        <w:t>1</w:t>
      </w:r>
      <w:r w:rsidR="007C2CC7">
        <w:rPr>
          <w:vertAlign w:val="superscript"/>
        </w:rPr>
        <w:t>4</w:t>
      </w:r>
      <w:r w:rsidR="00E93B0E">
        <w:rPr>
          <w:vertAlign w:val="superscript"/>
        </w:rPr>
        <w:t xml:space="preserve"> </w:t>
      </w:r>
      <w:r w:rsidR="00E93B0E" w:rsidRPr="00251021">
        <w:t>$</w:t>
      </w:r>
      <w:r w:rsidR="00E93B0E">
        <w:t>7</w:t>
      </w:r>
      <w:r w:rsidR="00E93B0E" w:rsidRPr="00251021">
        <w:t xml:space="preserve">0 </w:t>
      </w:r>
      <w:r w:rsidR="00E93B0E">
        <w:t xml:space="preserve">million </w:t>
      </w:r>
      <w:r w:rsidR="00E93B0E" w:rsidRPr="00251021">
        <w:t>to &lt; $</w:t>
      </w:r>
      <w:r w:rsidR="00E93B0E">
        <w:t>8</w:t>
      </w:r>
      <w:r w:rsidR="00E93B0E" w:rsidRPr="00251021">
        <w:t>0 million</w:t>
      </w:r>
    </w:p>
    <w:p w14:paraId="3755E2D4" w14:textId="2D4B584A" w:rsidR="00E93B0E" w:rsidRDefault="00E7675A" w:rsidP="00E93B0E">
      <w:pPr>
        <w:pStyle w:val="FooterTableFigure"/>
      </w:pPr>
      <w:r>
        <w:rPr>
          <w:vertAlign w:val="superscript"/>
        </w:rPr>
        <w:t>1</w:t>
      </w:r>
      <w:r w:rsidR="002B306B">
        <w:rPr>
          <w:vertAlign w:val="superscript"/>
        </w:rPr>
        <w:t>5</w:t>
      </w:r>
      <w:r w:rsidR="00E93B0E">
        <w:rPr>
          <w:vertAlign w:val="superscript"/>
        </w:rPr>
        <w:t xml:space="preserve"> </w:t>
      </w:r>
      <w:r w:rsidR="00E93B0E" w:rsidRPr="00251021">
        <w:t>$</w:t>
      </w:r>
      <w:r w:rsidR="00E93B0E">
        <w:t>8</w:t>
      </w:r>
      <w:r w:rsidR="00E93B0E" w:rsidRPr="00251021">
        <w:t xml:space="preserve">0 </w:t>
      </w:r>
      <w:r w:rsidR="00E93B0E">
        <w:t xml:space="preserve">million </w:t>
      </w:r>
      <w:r w:rsidR="00E93B0E" w:rsidRPr="00251021">
        <w:t>to &lt; $</w:t>
      </w:r>
      <w:r w:rsidR="00E93B0E">
        <w:t>9</w:t>
      </w:r>
      <w:r w:rsidR="00E93B0E" w:rsidRPr="00251021">
        <w:t>0 million</w:t>
      </w:r>
    </w:p>
    <w:p w14:paraId="74EBAC0A" w14:textId="3780D7B9" w:rsidR="00E93B0E" w:rsidRDefault="00E7675A" w:rsidP="00E93B0E">
      <w:pPr>
        <w:pStyle w:val="FooterTableFigure"/>
      </w:pPr>
      <w:r>
        <w:rPr>
          <w:vertAlign w:val="superscript"/>
        </w:rPr>
        <w:t>1</w:t>
      </w:r>
      <w:r w:rsidR="002B306B">
        <w:rPr>
          <w:vertAlign w:val="superscript"/>
        </w:rPr>
        <w:t>6</w:t>
      </w:r>
      <w:r w:rsidR="00E93B0E">
        <w:rPr>
          <w:vertAlign w:val="superscript"/>
        </w:rPr>
        <w:t xml:space="preserve"> </w:t>
      </w:r>
      <w:r w:rsidR="00E93B0E" w:rsidRPr="00251021">
        <w:t>$</w:t>
      </w:r>
      <w:r w:rsidR="00E93B0E">
        <w:t>9</w:t>
      </w:r>
      <w:r w:rsidR="00E93B0E" w:rsidRPr="00251021">
        <w:t xml:space="preserve">0 </w:t>
      </w:r>
      <w:r w:rsidR="00E93B0E">
        <w:t xml:space="preserve">million </w:t>
      </w:r>
      <w:r w:rsidR="00E93B0E" w:rsidRPr="00251021">
        <w:t>to &lt; $</w:t>
      </w:r>
      <w:r w:rsidR="005364A3">
        <w:t>100 million</w:t>
      </w:r>
    </w:p>
    <w:p w14:paraId="5FE8323C" w14:textId="1F683D23" w:rsidR="007441EC" w:rsidRPr="00EE0EEB" w:rsidRDefault="00465EE1" w:rsidP="005051F2">
      <w:pPr>
        <w:pStyle w:val="FooterTableFigure"/>
      </w:pPr>
      <w:r>
        <w:rPr>
          <w:vertAlign w:val="superscript"/>
        </w:rPr>
        <w:t>17</w:t>
      </w:r>
      <w:r>
        <w:t xml:space="preserve"> $100 million to &lt; $200 million</w:t>
      </w:r>
    </w:p>
    <w:p w14:paraId="23A5A584" w14:textId="4F1589AB" w:rsidR="00345B81" w:rsidRPr="00000097" w:rsidRDefault="5A07D365" w:rsidP="00345B81">
      <w:r w:rsidRPr="00000097">
        <w:lastRenderedPageBreak/>
        <w:t>The proposed MBS items</w:t>
      </w:r>
      <w:r w:rsidR="00216CF2" w:rsidRPr="00000097">
        <w:t xml:space="preserve"> will</w:t>
      </w:r>
      <w:r w:rsidRPr="00000097">
        <w:t xml:space="preserve"> require increased use of already listed MBS items. The proposed A</w:t>
      </w:r>
      <w:r w:rsidR="0045732C">
        <w:rPr>
          <w:rFonts w:ascii="Calibri" w:hAnsi="Calibri" w:cs="Calibri"/>
        </w:rPr>
        <w:t>β</w:t>
      </w:r>
      <w:r w:rsidRPr="00000097">
        <w:t xml:space="preserve">-PET scan will require a CT scan (MBS item 61505) with each test. The proposed </w:t>
      </w:r>
      <w:r w:rsidR="4626001C" w:rsidRPr="00000097">
        <w:t>CSF AD biomarker testing</w:t>
      </w:r>
      <w:r w:rsidRPr="00000097">
        <w:t xml:space="preserve"> will require a lumbar puncture (MBS item 39000) </w:t>
      </w:r>
      <w:r w:rsidR="002A042A" w:rsidRPr="00000097">
        <w:t xml:space="preserve">and a CT scan (MBS item 61505) </w:t>
      </w:r>
      <w:r w:rsidRPr="00000097">
        <w:t xml:space="preserve">with each test. </w:t>
      </w:r>
      <w:r w:rsidR="002A042A" w:rsidRPr="00000097">
        <w:t xml:space="preserve">The lumbar puncture </w:t>
      </w:r>
      <w:r w:rsidR="00966587" w:rsidRPr="00000097">
        <w:t xml:space="preserve">item </w:t>
      </w:r>
      <w:r w:rsidR="002A042A" w:rsidRPr="00000097">
        <w:t xml:space="preserve">also requires several anaesthesia items according to the characteristics of individual patients. </w:t>
      </w:r>
      <w:r w:rsidRPr="00000097">
        <w:t>The details of the use and cost of these items are shown in</w:t>
      </w:r>
      <w:r w:rsidR="49CE26D5" w:rsidRPr="00000097">
        <w:t xml:space="preserve"> </w:t>
      </w:r>
      <w:r w:rsidR="00380F34">
        <w:fldChar w:fldCharType="begin"/>
      </w:r>
      <w:r w:rsidR="00380F34">
        <w:instrText xml:space="preserve"> REF _Ref205192388 \h </w:instrText>
      </w:r>
      <w:r w:rsidR="00380F34">
        <w:fldChar w:fldCharType="separate"/>
      </w:r>
      <w:r w:rsidR="003244DD">
        <w:t xml:space="preserve">Table </w:t>
      </w:r>
      <w:r w:rsidR="003244DD">
        <w:rPr>
          <w:noProof/>
        </w:rPr>
        <w:t>23</w:t>
      </w:r>
      <w:r w:rsidR="00380F34">
        <w:fldChar w:fldCharType="end"/>
      </w:r>
      <w:r w:rsidRPr="00000097">
        <w:t>.</w:t>
      </w:r>
    </w:p>
    <w:p w14:paraId="21CFA699" w14:textId="3EDC257B" w:rsidR="00657F30" w:rsidRDefault="00657F30" w:rsidP="00657F30">
      <w:r w:rsidRPr="00000097">
        <w:t>The following items were identified as required to support the lumbar puncture services</w:t>
      </w:r>
      <w:r w:rsidR="00C95117" w:rsidRPr="00000097">
        <w:t xml:space="preserve"> during the evaluation</w:t>
      </w:r>
      <w:r w:rsidRPr="00000097">
        <w:t>.</w:t>
      </w:r>
      <w:r w:rsidR="00AA56CB">
        <w:t xml:space="preserve"> </w:t>
      </w:r>
    </w:p>
    <w:p w14:paraId="3636FEDE" w14:textId="7E29CBCE" w:rsidR="00657F30" w:rsidRPr="00EE0EEB" w:rsidDel="00B2138A" w:rsidRDefault="00380F34" w:rsidP="005051F2">
      <w:pPr>
        <w:pStyle w:val="Caption"/>
        <w:keepNext w:val="0"/>
      </w:pPr>
      <w:r>
        <w:t xml:space="preserve">Table </w:t>
      </w:r>
      <w:r w:rsidR="003244DD">
        <w:fldChar w:fldCharType="begin"/>
      </w:r>
      <w:r w:rsidR="003244DD">
        <w:instrText xml:space="preserve"> SEQ Table \* ARABIC </w:instrText>
      </w:r>
      <w:r w:rsidR="003244DD">
        <w:fldChar w:fldCharType="separate"/>
      </w:r>
      <w:r w:rsidR="003244DD">
        <w:rPr>
          <w:noProof/>
        </w:rPr>
        <w:t>21</w:t>
      </w:r>
      <w:r w:rsidR="003244DD">
        <w:rPr>
          <w:noProof/>
        </w:rPr>
        <w:fldChar w:fldCharType="end"/>
      </w:r>
      <w:r w:rsidR="005B0548">
        <w:t xml:space="preserve"> </w:t>
      </w:r>
      <w:r w:rsidR="00657F30">
        <w:t xml:space="preserve">Additional anaesthesia items </w:t>
      </w:r>
      <w:r w:rsidR="00657F30" w:rsidRPr="00EE0EEB">
        <w:t>for lumbar puncture</w:t>
      </w:r>
      <w:r w:rsidR="004D395F">
        <w:t xml:space="preserve"> (compiled during evaluation)</w:t>
      </w:r>
    </w:p>
    <w:tbl>
      <w:tblPr>
        <w:tblStyle w:val="TableGrid"/>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835"/>
        <w:gridCol w:w="3322"/>
      </w:tblGrid>
      <w:tr w:rsidR="00CE152F" w:rsidRPr="00172C11" w:rsidDel="00B2138A" w14:paraId="56FC9313" w14:textId="77777777" w:rsidTr="00CE152F">
        <w:trPr>
          <w:cnfStyle w:val="100000000000" w:firstRow="1" w:lastRow="0" w:firstColumn="0" w:lastColumn="0" w:oddVBand="0" w:evenVBand="0" w:oddHBand="0" w:evenHBand="0" w:firstRowFirstColumn="0" w:firstRowLastColumn="0" w:lastRowFirstColumn="0" w:lastRowLastColumn="0"/>
          <w:tblHeader/>
        </w:trPr>
        <w:tc>
          <w:tcPr>
            <w:tcW w:w="2679" w:type="pct"/>
          </w:tcPr>
          <w:p w14:paraId="4189EAFC" w14:textId="224A04A4" w:rsidR="00CE152F" w:rsidRPr="00172C11" w:rsidRDefault="00CE152F" w:rsidP="005051F2">
            <w:pPr>
              <w:pStyle w:val="TableText"/>
              <w:rPr>
                <w:sz w:val="19"/>
                <w:szCs w:val="19"/>
              </w:rPr>
            </w:pPr>
            <w:r w:rsidRPr="00172C11">
              <w:rPr>
                <w:bCs/>
                <w:sz w:val="19"/>
                <w:szCs w:val="19"/>
                <w:lang w:val="en-AU"/>
              </w:rPr>
              <w:t>Item</w:t>
            </w:r>
          </w:p>
        </w:tc>
        <w:tc>
          <w:tcPr>
            <w:tcW w:w="466" w:type="pct"/>
          </w:tcPr>
          <w:p w14:paraId="6308A06F" w14:textId="54B1A758" w:rsidR="00CE152F" w:rsidRPr="00172C11" w:rsidRDefault="00CE152F" w:rsidP="005051F2">
            <w:pPr>
              <w:pStyle w:val="TableText"/>
              <w:jc w:val="center"/>
              <w:rPr>
                <w:sz w:val="19"/>
                <w:szCs w:val="19"/>
              </w:rPr>
            </w:pPr>
            <w:r w:rsidRPr="00172C11">
              <w:rPr>
                <w:bCs/>
                <w:sz w:val="19"/>
                <w:szCs w:val="19"/>
                <w:lang w:val="en-AU"/>
              </w:rPr>
              <w:t>Rate</w:t>
            </w:r>
          </w:p>
        </w:tc>
        <w:tc>
          <w:tcPr>
            <w:tcW w:w="1855" w:type="pct"/>
          </w:tcPr>
          <w:p w14:paraId="5CFFA8D3" w14:textId="2B664788" w:rsidR="00CE152F" w:rsidRPr="00172C11" w:rsidRDefault="00CE152F" w:rsidP="005051F2">
            <w:pPr>
              <w:pStyle w:val="TableText"/>
              <w:rPr>
                <w:sz w:val="19"/>
                <w:szCs w:val="19"/>
              </w:rPr>
            </w:pPr>
            <w:r w:rsidRPr="00172C11">
              <w:rPr>
                <w:bCs/>
                <w:sz w:val="19"/>
                <w:szCs w:val="19"/>
                <w:lang w:val="en-AU"/>
              </w:rPr>
              <w:t>Reason</w:t>
            </w:r>
          </w:p>
        </w:tc>
      </w:tr>
      <w:tr w:rsidR="00657F30" w:rsidRPr="00172C11" w:rsidDel="00B2138A" w14:paraId="5AB01B39" w14:textId="77777777" w:rsidTr="00CE152F">
        <w:tc>
          <w:tcPr>
            <w:tcW w:w="2679" w:type="pct"/>
          </w:tcPr>
          <w:p w14:paraId="5D417A9D" w14:textId="77777777" w:rsidR="00657F30" w:rsidRPr="00172C11" w:rsidRDefault="00657F30" w:rsidP="005051F2">
            <w:pPr>
              <w:pStyle w:val="TableText"/>
              <w:rPr>
                <w:sz w:val="19"/>
                <w:szCs w:val="19"/>
                <w:lang w:val="en-AU"/>
              </w:rPr>
            </w:pPr>
            <w:r w:rsidRPr="00172C11">
              <w:rPr>
                <w:sz w:val="19"/>
                <w:szCs w:val="19"/>
                <w:lang w:val="en-AU"/>
              </w:rPr>
              <w:t>MBS 21945 - Initiation of management of anaesthesia</w:t>
            </w:r>
          </w:p>
        </w:tc>
        <w:tc>
          <w:tcPr>
            <w:tcW w:w="466" w:type="pct"/>
          </w:tcPr>
          <w:p w14:paraId="3409BD84" w14:textId="77777777" w:rsidR="00657F30" w:rsidRPr="00172C11" w:rsidRDefault="00657F30" w:rsidP="005051F2">
            <w:pPr>
              <w:pStyle w:val="TableText"/>
              <w:jc w:val="center"/>
              <w:rPr>
                <w:sz w:val="19"/>
                <w:szCs w:val="19"/>
                <w:lang w:val="en-AU"/>
              </w:rPr>
            </w:pPr>
            <w:r w:rsidRPr="00172C11">
              <w:rPr>
                <w:sz w:val="19"/>
                <w:szCs w:val="19"/>
                <w:lang w:val="en-AU"/>
              </w:rPr>
              <w:t>100%</w:t>
            </w:r>
          </w:p>
        </w:tc>
        <w:tc>
          <w:tcPr>
            <w:tcW w:w="1855" w:type="pct"/>
          </w:tcPr>
          <w:p w14:paraId="74B83AAE" w14:textId="77777777" w:rsidR="00657F30" w:rsidRPr="00172C11" w:rsidRDefault="00657F30" w:rsidP="005051F2">
            <w:pPr>
              <w:pStyle w:val="TableText"/>
              <w:rPr>
                <w:sz w:val="19"/>
                <w:szCs w:val="19"/>
                <w:lang w:val="en-AU"/>
              </w:rPr>
            </w:pPr>
            <w:r w:rsidRPr="00172C11">
              <w:rPr>
                <w:sz w:val="19"/>
                <w:szCs w:val="19"/>
                <w:lang w:val="en-AU"/>
              </w:rPr>
              <w:t>All patients will require this service</w:t>
            </w:r>
          </w:p>
        </w:tc>
      </w:tr>
      <w:tr w:rsidR="00657F30" w:rsidRPr="00172C11" w:rsidDel="00B2138A" w14:paraId="594A6654" w14:textId="77777777" w:rsidTr="00CE152F">
        <w:tc>
          <w:tcPr>
            <w:tcW w:w="2679" w:type="pct"/>
          </w:tcPr>
          <w:p w14:paraId="311136D8" w14:textId="77777777" w:rsidR="00657F30" w:rsidRPr="00172C11" w:rsidRDefault="00657F30" w:rsidP="005051F2">
            <w:pPr>
              <w:pStyle w:val="TableText"/>
              <w:rPr>
                <w:sz w:val="19"/>
                <w:szCs w:val="19"/>
                <w:lang w:val="en-AU"/>
              </w:rPr>
            </w:pPr>
            <w:r w:rsidRPr="00172C11">
              <w:rPr>
                <w:sz w:val="19"/>
                <w:szCs w:val="19"/>
                <w:lang w:val="en-AU"/>
              </w:rPr>
              <w:t>MBS 17610 - Professional attendance by a medical practitioner (ANAESTHESIA)</w:t>
            </w:r>
          </w:p>
        </w:tc>
        <w:tc>
          <w:tcPr>
            <w:tcW w:w="466" w:type="pct"/>
          </w:tcPr>
          <w:p w14:paraId="7C71CDD6" w14:textId="77777777" w:rsidR="00657F30" w:rsidRPr="00172C11" w:rsidRDefault="00657F30" w:rsidP="005051F2">
            <w:pPr>
              <w:pStyle w:val="TableText"/>
              <w:jc w:val="center"/>
              <w:rPr>
                <w:sz w:val="19"/>
                <w:szCs w:val="19"/>
                <w:lang w:val="en-AU"/>
              </w:rPr>
            </w:pPr>
            <w:r w:rsidRPr="00172C11">
              <w:rPr>
                <w:sz w:val="19"/>
                <w:szCs w:val="19"/>
                <w:lang w:val="en-AU"/>
              </w:rPr>
              <w:t>100%</w:t>
            </w:r>
          </w:p>
        </w:tc>
        <w:tc>
          <w:tcPr>
            <w:tcW w:w="1855" w:type="pct"/>
          </w:tcPr>
          <w:p w14:paraId="34F294FC" w14:textId="77777777" w:rsidR="00657F30" w:rsidRPr="00172C11" w:rsidRDefault="00657F30" w:rsidP="005051F2">
            <w:pPr>
              <w:pStyle w:val="TableText"/>
              <w:rPr>
                <w:sz w:val="19"/>
                <w:szCs w:val="19"/>
                <w:lang w:val="en-AU"/>
              </w:rPr>
            </w:pPr>
            <w:r w:rsidRPr="00172C11">
              <w:rPr>
                <w:sz w:val="19"/>
                <w:szCs w:val="19"/>
                <w:lang w:val="en-AU"/>
              </w:rPr>
              <w:t>All patients will require this service</w:t>
            </w:r>
          </w:p>
        </w:tc>
      </w:tr>
      <w:tr w:rsidR="00657F30" w:rsidRPr="00172C11" w:rsidDel="00B2138A" w14:paraId="4E942BE0" w14:textId="77777777" w:rsidTr="00CE152F">
        <w:tc>
          <w:tcPr>
            <w:tcW w:w="2679" w:type="pct"/>
          </w:tcPr>
          <w:p w14:paraId="16449C1B" w14:textId="77777777" w:rsidR="00657F30" w:rsidRPr="00172C11" w:rsidRDefault="00657F30" w:rsidP="005051F2">
            <w:pPr>
              <w:pStyle w:val="TableText"/>
              <w:rPr>
                <w:sz w:val="19"/>
                <w:szCs w:val="19"/>
                <w:lang w:val="en-AU"/>
              </w:rPr>
            </w:pPr>
            <w:r w:rsidRPr="00172C11">
              <w:rPr>
                <w:sz w:val="19"/>
                <w:szCs w:val="19"/>
                <w:lang w:val="en-AU"/>
              </w:rPr>
              <w:t>MBS 23010 - Anaesthesia, if the service time is not more than 15 minutes</w:t>
            </w:r>
          </w:p>
        </w:tc>
        <w:tc>
          <w:tcPr>
            <w:tcW w:w="466" w:type="pct"/>
          </w:tcPr>
          <w:p w14:paraId="61256763" w14:textId="77777777" w:rsidR="00657F30" w:rsidRPr="00172C11" w:rsidRDefault="00657F30" w:rsidP="005051F2">
            <w:pPr>
              <w:pStyle w:val="TableText"/>
              <w:jc w:val="center"/>
              <w:rPr>
                <w:sz w:val="19"/>
                <w:szCs w:val="19"/>
                <w:lang w:val="en-AU"/>
              </w:rPr>
            </w:pPr>
            <w:r w:rsidRPr="00172C11">
              <w:rPr>
                <w:sz w:val="19"/>
                <w:szCs w:val="19"/>
                <w:lang w:val="en-AU"/>
              </w:rPr>
              <w:t>50%</w:t>
            </w:r>
          </w:p>
        </w:tc>
        <w:tc>
          <w:tcPr>
            <w:tcW w:w="1855" w:type="pct"/>
          </w:tcPr>
          <w:p w14:paraId="72FC27EA" w14:textId="77777777" w:rsidR="00657F30" w:rsidRPr="00172C11" w:rsidRDefault="00657F30" w:rsidP="005051F2">
            <w:pPr>
              <w:pStyle w:val="TableText"/>
              <w:rPr>
                <w:sz w:val="19"/>
                <w:szCs w:val="19"/>
                <w:lang w:val="en-AU"/>
              </w:rPr>
            </w:pPr>
            <w:r w:rsidRPr="00172C11">
              <w:rPr>
                <w:sz w:val="19"/>
                <w:szCs w:val="19"/>
                <w:lang w:val="en-AU"/>
              </w:rPr>
              <w:t>Assumption that half the patients will require a short anaesthesia service</w:t>
            </w:r>
          </w:p>
        </w:tc>
      </w:tr>
      <w:tr w:rsidR="00657F30" w:rsidRPr="00172C11" w:rsidDel="00B2138A" w14:paraId="7BA81A8B" w14:textId="77777777" w:rsidTr="00CE152F">
        <w:tc>
          <w:tcPr>
            <w:tcW w:w="2679" w:type="pct"/>
          </w:tcPr>
          <w:p w14:paraId="2564118F" w14:textId="77777777" w:rsidR="00657F30" w:rsidRPr="00172C11" w:rsidRDefault="00657F30" w:rsidP="005051F2">
            <w:pPr>
              <w:pStyle w:val="TableText"/>
              <w:rPr>
                <w:sz w:val="19"/>
                <w:szCs w:val="19"/>
                <w:lang w:val="en-AU"/>
              </w:rPr>
            </w:pPr>
            <w:r w:rsidRPr="00172C11">
              <w:rPr>
                <w:sz w:val="19"/>
                <w:szCs w:val="19"/>
                <w:lang w:val="en-AU"/>
              </w:rPr>
              <w:t xml:space="preserve">MBS 23025 - Anaesthesia, if the service time is more than 15 minutes and less than 30 minutes </w:t>
            </w:r>
          </w:p>
        </w:tc>
        <w:tc>
          <w:tcPr>
            <w:tcW w:w="466" w:type="pct"/>
          </w:tcPr>
          <w:p w14:paraId="0B0264FB" w14:textId="77777777" w:rsidR="00657F30" w:rsidRPr="00172C11" w:rsidRDefault="00657F30" w:rsidP="005051F2">
            <w:pPr>
              <w:pStyle w:val="TableText"/>
              <w:jc w:val="center"/>
              <w:rPr>
                <w:sz w:val="19"/>
                <w:szCs w:val="19"/>
                <w:lang w:val="en-AU"/>
              </w:rPr>
            </w:pPr>
            <w:r w:rsidRPr="00172C11">
              <w:rPr>
                <w:sz w:val="19"/>
                <w:szCs w:val="19"/>
                <w:lang w:val="en-AU"/>
              </w:rPr>
              <w:t>50%</w:t>
            </w:r>
          </w:p>
        </w:tc>
        <w:tc>
          <w:tcPr>
            <w:tcW w:w="1855" w:type="pct"/>
          </w:tcPr>
          <w:p w14:paraId="75E8B657" w14:textId="77777777" w:rsidR="00657F30" w:rsidRPr="00172C11" w:rsidRDefault="00657F30" w:rsidP="005051F2">
            <w:pPr>
              <w:pStyle w:val="TableText"/>
              <w:rPr>
                <w:sz w:val="19"/>
                <w:szCs w:val="19"/>
                <w:lang w:val="en-AU"/>
              </w:rPr>
            </w:pPr>
            <w:r w:rsidRPr="00172C11">
              <w:rPr>
                <w:sz w:val="19"/>
                <w:szCs w:val="19"/>
                <w:lang w:val="en-AU"/>
              </w:rPr>
              <w:t>Assumption that half the patients will require a long anaesthesia service</w:t>
            </w:r>
          </w:p>
        </w:tc>
      </w:tr>
      <w:tr w:rsidR="00657F30" w:rsidRPr="00172C11" w:rsidDel="00B2138A" w14:paraId="65AE198C" w14:textId="77777777" w:rsidTr="00CE152F">
        <w:tc>
          <w:tcPr>
            <w:tcW w:w="2679" w:type="pct"/>
          </w:tcPr>
          <w:p w14:paraId="7B0F38E9" w14:textId="77777777" w:rsidR="00657F30" w:rsidRPr="00172C11" w:rsidRDefault="00657F30" w:rsidP="005051F2">
            <w:pPr>
              <w:pStyle w:val="TableText"/>
              <w:rPr>
                <w:sz w:val="19"/>
                <w:szCs w:val="19"/>
                <w:lang w:val="en-AU"/>
              </w:rPr>
            </w:pPr>
            <w:r w:rsidRPr="00172C11">
              <w:rPr>
                <w:sz w:val="19"/>
                <w:szCs w:val="19"/>
                <w:lang w:val="en-AU"/>
              </w:rPr>
              <w:t xml:space="preserve">MBS 25000 - Anaesthesia, if the patient has severe systemic disease </w:t>
            </w:r>
          </w:p>
        </w:tc>
        <w:tc>
          <w:tcPr>
            <w:tcW w:w="466" w:type="pct"/>
          </w:tcPr>
          <w:p w14:paraId="12072A93" w14:textId="77777777" w:rsidR="00657F30" w:rsidRPr="00172C11" w:rsidRDefault="00657F30" w:rsidP="005051F2">
            <w:pPr>
              <w:pStyle w:val="TableText"/>
              <w:jc w:val="center"/>
              <w:rPr>
                <w:sz w:val="19"/>
                <w:szCs w:val="19"/>
                <w:lang w:val="en-AU"/>
              </w:rPr>
            </w:pPr>
            <w:r w:rsidRPr="00172C11">
              <w:rPr>
                <w:sz w:val="19"/>
                <w:szCs w:val="19"/>
                <w:lang w:val="en-AU"/>
              </w:rPr>
              <w:t>25%</w:t>
            </w:r>
          </w:p>
        </w:tc>
        <w:tc>
          <w:tcPr>
            <w:tcW w:w="1855" w:type="pct"/>
          </w:tcPr>
          <w:p w14:paraId="37F8FA7B" w14:textId="77777777" w:rsidR="00657F30" w:rsidRPr="00172C11" w:rsidRDefault="00657F30" w:rsidP="005051F2">
            <w:pPr>
              <w:pStyle w:val="TableText"/>
              <w:rPr>
                <w:sz w:val="19"/>
                <w:szCs w:val="19"/>
                <w:lang w:val="en-AU"/>
              </w:rPr>
            </w:pPr>
            <w:r w:rsidRPr="00172C11">
              <w:rPr>
                <w:sz w:val="19"/>
                <w:szCs w:val="19"/>
                <w:lang w:val="en-AU"/>
              </w:rPr>
              <w:t>Assumption that a proportion of patients will have simple comorbidities</w:t>
            </w:r>
          </w:p>
        </w:tc>
      </w:tr>
      <w:tr w:rsidR="00657F30" w:rsidRPr="00172C11" w:rsidDel="00B2138A" w14:paraId="7DB8F04C" w14:textId="77777777" w:rsidTr="00CE152F">
        <w:tc>
          <w:tcPr>
            <w:tcW w:w="2679" w:type="pct"/>
          </w:tcPr>
          <w:p w14:paraId="6316FA08" w14:textId="77777777" w:rsidR="00657F30" w:rsidRPr="00172C11" w:rsidRDefault="00657F30" w:rsidP="005051F2">
            <w:pPr>
              <w:pStyle w:val="TableText"/>
              <w:rPr>
                <w:sz w:val="19"/>
                <w:szCs w:val="19"/>
                <w:lang w:val="en-AU"/>
              </w:rPr>
            </w:pPr>
            <w:r w:rsidRPr="00172C11">
              <w:rPr>
                <w:sz w:val="19"/>
                <w:szCs w:val="19"/>
                <w:lang w:val="en-AU"/>
              </w:rPr>
              <w:t xml:space="preserve">MBS 25005 - Anaesthesia, if the patient has severe systemic disease which is a constant threat to life </w:t>
            </w:r>
          </w:p>
        </w:tc>
        <w:tc>
          <w:tcPr>
            <w:tcW w:w="466" w:type="pct"/>
          </w:tcPr>
          <w:p w14:paraId="0382ED83" w14:textId="77777777" w:rsidR="00657F30" w:rsidRPr="00172C11" w:rsidRDefault="00657F30" w:rsidP="005051F2">
            <w:pPr>
              <w:pStyle w:val="TableText"/>
              <w:jc w:val="center"/>
              <w:rPr>
                <w:sz w:val="19"/>
                <w:szCs w:val="19"/>
                <w:lang w:val="en-AU"/>
              </w:rPr>
            </w:pPr>
            <w:r w:rsidRPr="00172C11">
              <w:rPr>
                <w:sz w:val="19"/>
                <w:szCs w:val="19"/>
                <w:lang w:val="en-AU"/>
              </w:rPr>
              <w:t>25%</w:t>
            </w:r>
          </w:p>
        </w:tc>
        <w:tc>
          <w:tcPr>
            <w:tcW w:w="1855" w:type="pct"/>
          </w:tcPr>
          <w:p w14:paraId="50DE5D95" w14:textId="77777777" w:rsidR="00657F30" w:rsidRPr="00172C11" w:rsidRDefault="00657F30" w:rsidP="005051F2">
            <w:pPr>
              <w:pStyle w:val="TableText"/>
              <w:rPr>
                <w:sz w:val="19"/>
                <w:szCs w:val="19"/>
                <w:lang w:val="en-AU"/>
              </w:rPr>
            </w:pPr>
            <w:r w:rsidRPr="00172C11">
              <w:rPr>
                <w:sz w:val="19"/>
                <w:szCs w:val="19"/>
                <w:lang w:val="en-AU"/>
              </w:rPr>
              <w:t>Assumption that a proportion of patients will have complex comorbidities</w:t>
            </w:r>
          </w:p>
        </w:tc>
      </w:tr>
      <w:tr w:rsidR="00657F30" w:rsidRPr="00172C11" w:rsidDel="00B2138A" w14:paraId="6B0F4137" w14:textId="77777777" w:rsidTr="00CE152F">
        <w:tc>
          <w:tcPr>
            <w:tcW w:w="2679" w:type="pct"/>
          </w:tcPr>
          <w:p w14:paraId="3AE78547" w14:textId="77777777" w:rsidR="00657F30" w:rsidRPr="00172C11" w:rsidRDefault="00657F30" w:rsidP="005051F2">
            <w:pPr>
              <w:pStyle w:val="TableText"/>
              <w:rPr>
                <w:sz w:val="19"/>
                <w:szCs w:val="19"/>
                <w:lang w:val="en-AU"/>
              </w:rPr>
            </w:pPr>
            <w:r w:rsidRPr="00172C11">
              <w:rPr>
                <w:sz w:val="19"/>
                <w:szCs w:val="19"/>
                <w:lang w:val="en-AU"/>
              </w:rPr>
              <w:t xml:space="preserve">MBS 25014 - Anaesthesia, if the patient is aged 75 years or more </w:t>
            </w:r>
          </w:p>
        </w:tc>
        <w:tc>
          <w:tcPr>
            <w:tcW w:w="466" w:type="pct"/>
          </w:tcPr>
          <w:p w14:paraId="5EF0BD66" w14:textId="77777777" w:rsidR="00657F30" w:rsidRPr="00172C11" w:rsidDel="00B2138A" w:rsidRDefault="00657F30" w:rsidP="005051F2">
            <w:pPr>
              <w:pStyle w:val="TableText"/>
              <w:jc w:val="center"/>
              <w:rPr>
                <w:sz w:val="19"/>
                <w:szCs w:val="19"/>
                <w:lang w:val="en-AU"/>
              </w:rPr>
            </w:pPr>
            <w:r w:rsidRPr="00172C11">
              <w:rPr>
                <w:sz w:val="19"/>
                <w:szCs w:val="19"/>
                <w:lang w:val="en-AU"/>
              </w:rPr>
              <w:t>50%</w:t>
            </w:r>
          </w:p>
        </w:tc>
        <w:tc>
          <w:tcPr>
            <w:tcW w:w="1855" w:type="pct"/>
          </w:tcPr>
          <w:p w14:paraId="549ECC44" w14:textId="77777777" w:rsidR="00657F30" w:rsidRPr="00172C11" w:rsidDel="00B2138A" w:rsidRDefault="00657F30" w:rsidP="005051F2">
            <w:pPr>
              <w:pStyle w:val="TableText"/>
              <w:rPr>
                <w:sz w:val="19"/>
                <w:szCs w:val="19"/>
                <w:lang w:val="en-AU"/>
              </w:rPr>
            </w:pPr>
            <w:r w:rsidRPr="00172C11">
              <w:rPr>
                <w:sz w:val="19"/>
                <w:szCs w:val="19"/>
                <w:lang w:val="en-AU"/>
              </w:rPr>
              <w:t xml:space="preserve">Assumption based on median age of patients reported in </w:t>
            </w:r>
            <w:proofErr w:type="spellStart"/>
            <w:r w:rsidRPr="00172C11">
              <w:rPr>
                <w:sz w:val="19"/>
                <w:szCs w:val="19"/>
                <w:lang w:val="en-AU"/>
              </w:rPr>
              <w:t>ADNet</w:t>
            </w:r>
            <w:proofErr w:type="spellEnd"/>
            <w:r w:rsidRPr="00172C11">
              <w:rPr>
                <w:sz w:val="19"/>
                <w:szCs w:val="19"/>
                <w:lang w:val="en-AU"/>
              </w:rPr>
              <w:t xml:space="preserve"> 2023 Report</w:t>
            </w:r>
          </w:p>
        </w:tc>
      </w:tr>
    </w:tbl>
    <w:p w14:paraId="099CAED6" w14:textId="4BB4678B" w:rsidR="00565B62" w:rsidRPr="00E10534" w:rsidRDefault="00657F30" w:rsidP="005051F2">
      <w:pPr>
        <w:pStyle w:val="TableFooter"/>
        <w:rPr>
          <w:i/>
          <w:iCs/>
        </w:rPr>
      </w:pPr>
      <w:r w:rsidRPr="00E10534" w:rsidDel="0015247C">
        <w:rPr>
          <w:i/>
          <w:iCs/>
        </w:rPr>
        <w:t xml:space="preserve">Source: </w:t>
      </w:r>
      <w:r w:rsidRPr="00E10534">
        <w:rPr>
          <w:i/>
          <w:iCs/>
        </w:rPr>
        <w:t>Developed during the evaluation based on Departmental advice</w:t>
      </w:r>
      <w:r w:rsidRPr="00E10534" w:rsidDel="0015247C">
        <w:rPr>
          <w:i/>
          <w:iCs/>
        </w:rPr>
        <w:t>.</w:t>
      </w:r>
    </w:p>
    <w:p w14:paraId="31A2E971" w14:textId="3D0C2E31" w:rsidR="00657F30" w:rsidRPr="00EE0EEB" w:rsidDel="0015247C" w:rsidRDefault="00380F34" w:rsidP="00565B62">
      <w:pPr>
        <w:pStyle w:val="Caption"/>
      </w:pPr>
      <w:r>
        <w:lastRenderedPageBreak/>
        <w:t xml:space="preserve">Table </w:t>
      </w:r>
      <w:r w:rsidR="003244DD">
        <w:fldChar w:fldCharType="begin"/>
      </w:r>
      <w:r w:rsidR="003244DD">
        <w:instrText xml:space="preserve"> SEQ Table \* ARABIC </w:instrText>
      </w:r>
      <w:r w:rsidR="003244DD">
        <w:fldChar w:fldCharType="separate"/>
      </w:r>
      <w:r w:rsidR="003244DD">
        <w:rPr>
          <w:noProof/>
        </w:rPr>
        <w:t>22</w:t>
      </w:r>
      <w:r w:rsidR="003244DD">
        <w:rPr>
          <w:noProof/>
        </w:rPr>
        <w:fldChar w:fldCharType="end"/>
      </w:r>
      <w:r w:rsidR="005B0548">
        <w:t xml:space="preserve"> </w:t>
      </w:r>
      <w:r w:rsidR="00657F30" w:rsidRPr="00EE0EEB" w:rsidDel="0015247C">
        <w:t xml:space="preserve">Estimated net cost of </w:t>
      </w:r>
      <w:r w:rsidR="00657F30">
        <w:t>anaesthesia</w:t>
      </w:r>
      <w:r w:rsidR="00657F30" w:rsidRPr="00EE0EEB">
        <w:t xml:space="preserve"> </w:t>
      </w:r>
      <w:r w:rsidR="00657F30">
        <w:t xml:space="preserve">items </w:t>
      </w:r>
      <w:r w:rsidR="00657F30" w:rsidRPr="00EE0EEB">
        <w:t>for lumbar puncture to MBS</w:t>
      </w:r>
      <w:r w:rsidR="004D395F">
        <w:t xml:space="preserve"> (compiled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1"/>
        <w:gridCol w:w="1128"/>
        <w:gridCol w:w="1128"/>
        <w:gridCol w:w="1128"/>
        <w:gridCol w:w="1127"/>
        <w:gridCol w:w="1127"/>
        <w:gridCol w:w="1127"/>
      </w:tblGrid>
      <w:tr w:rsidR="00657F30" w:rsidRPr="00EA57B9" w:rsidDel="0015247C" w14:paraId="631C9364" w14:textId="77777777" w:rsidTr="005F3941">
        <w:trPr>
          <w:tblHeader/>
        </w:trPr>
        <w:tc>
          <w:tcPr>
            <w:tcW w:w="1248" w:type="pct"/>
            <w:vAlign w:val="center"/>
          </w:tcPr>
          <w:p w14:paraId="51E25B9B" w14:textId="77777777" w:rsidR="00657F30" w:rsidRPr="00EA57B9" w:rsidDel="0015247C" w:rsidRDefault="00657F30" w:rsidP="00DE6098">
            <w:pPr>
              <w:pStyle w:val="In-tableHeading"/>
              <w:rPr>
                <w:sz w:val="19"/>
                <w:szCs w:val="19"/>
                <w:lang w:val="en-AU"/>
              </w:rPr>
            </w:pPr>
          </w:p>
        </w:tc>
        <w:tc>
          <w:tcPr>
            <w:tcW w:w="625" w:type="pct"/>
            <w:vAlign w:val="center"/>
          </w:tcPr>
          <w:p w14:paraId="73E1350D"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1</w:t>
            </w:r>
          </w:p>
        </w:tc>
        <w:tc>
          <w:tcPr>
            <w:tcW w:w="625" w:type="pct"/>
            <w:vAlign w:val="center"/>
          </w:tcPr>
          <w:p w14:paraId="21BD3B92"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2</w:t>
            </w:r>
          </w:p>
        </w:tc>
        <w:tc>
          <w:tcPr>
            <w:tcW w:w="625" w:type="pct"/>
            <w:vAlign w:val="center"/>
          </w:tcPr>
          <w:p w14:paraId="73A30FA6"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3</w:t>
            </w:r>
          </w:p>
        </w:tc>
        <w:tc>
          <w:tcPr>
            <w:tcW w:w="625" w:type="pct"/>
            <w:vAlign w:val="center"/>
          </w:tcPr>
          <w:p w14:paraId="519C5BAC"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4</w:t>
            </w:r>
          </w:p>
        </w:tc>
        <w:tc>
          <w:tcPr>
            <w:tcW w:w="625" w:type="pct"/>
            <w:vAlign w:val="center"/>
          </w:tcPr>
          <w:p w14:paraId="7675C5CD"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5</w:t>
            </w:r>
          </w:p>
        </w:tc>
        <w:tc>
          <w:tcPr>
            <w:tcW w:w="625" w:type="pct"/>
            <w:vAlign w:val="center"/>
          </w:tcPr>
          <w:p w14:paraId="1F322E07" w14:textId="77777777" w:rsidR="00657F30" w:rsidRPr="00EA57B9" w:rsidDel="0015247C" w:rsidRDefault="00657F30" w:rsidP="00DE6098">
            <w:pPr>
              <w:pStyle w:val="In-tableHeading"/>
              <w:jc w:val="center"/>
              <w:rPr>
                <w:sz w:val="19"/>
                <w:szCs w:val="19"/>
                <w:lang w:val="en-AU"/>
              </w:rPr>
            </w:pPr>
            <w:r w:rsidRPr="00EA57B9" w:rsidDel="0015247C">
              <w:rPr>
                <w:sz w:val="19"/>
                <w:szCs w:val="19"/>
                <w:lang w:val="en-AU"/>
              </w:rPr>
              <w:t>Year 6</w:t>
            </w:r>
          </w:p>
        </w:tc>
      </w:tr>
      <w:tr w:rsidR="00657F30" w:rsidRPr="00EA57B9" w14:paraId="37821652"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5A4F3CCB" w14:textId="77777777" w:rsidR="00657F30" w:rsidRPr="00EA57B9" w:rsidRDefault="00657F30" w:rsidP="00DE6098">
            <w:pPr>
              <w:pStyle w:val="In-tableHeading"/>
              <w:rPr>
                <w:b w:val="0"/>
                <w:bCs/>
                <w:sz w:val="19"/>
                <w:szCs w:val="19"/>
                <w:lang w:val="en-AU"/>
              </w:rPr>
            </w:pPr>
            <w:r w:rsidRPr="00EA57B9">
              <w:rPr>
                <w:b w:val="0"/>
                <w:bCs/>
                <w:sz w:val="19"/>
                <w:szCs w:val="19"/>
                <w:lang w:val="en-AU"/>
              </w:rPr>
              <w:t>MBS 21945 - Initiation of management of anaesthesia</w:t>
            </w:r>
          </w:p>
        </w:tc>
        <w:tc>
          <w:tcPr>
            <w:tcW w:w="625" w:type="pct"/>
            <w:tcBorders>
              <w:top w:val="single" w:sz="4" w:space="0" w:color="auto"/>
              <w:left w:val="single" w:sz="4" w:space="0" w:color="auto"/>
              <w:bottom w:val="single" w:sz="4" w:space="0" w:color="auto"/>
              <w:right w:val="single" w:sz="4" w:space="0" w:color="auto"/>
            </w:tcBorders>
            <w:vAlign w:val="center"/>
          </w:tcPr>
          <w:p w14:paraId="2CDC0CF1" w14:textId="1BF1C37B"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10E9412F" w14:textId="00961BCB"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5F76746D" w14:textId="4C775A24"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4</w:t>
            </w:r>
          </w:p>
        </w:tc>
        <w:tc>
          <w:tcPr>
            <w:tcW w:w="625" w:type="pct"/>
            <w:tcBorders>
              <w:top w:val="single" w:sz="4" w:space="0" w:color="auto"/>
              <w:left w:val="single" w:sz="4" w:space="0" w:color="auto"/>
              <w:bottom w:val="single" w:sz="4" w:space="0" w:color="auto"/>
              <w:right w:val="single" w:sz="4" w:space="0" w:color="auto"/>
            </w:tcBorders>
            <w:vAlign w:val="center"/>
          </w:tcPr>
          <w:p w14:paraId="5E5D56F5" w14:textId="71A3DABB"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4</w:t>
            </w:r>
          </w:p>
        </w:tc>
        <w:tc>
          <w:tcPr>
            <w:tcW w:w="625" w:type="pct"/>
            <w:tcBorders>
              <w:top w:val="single" w:sz="4" w:space="0" w:color="auto"/>
              <w:left w:val="single" w:sz="4" w:space="0" w:color="auto"/>
              <w:bottom w:val="single" w:sz="4" w:space="0" w:color="auto"/>
              <w:right w:val="single" w:sz="4" w:space="0" w:color="auto"/>
            </w:tcBorders>
            <w:vAlign w:val="center"/>
          </w:tcPr>
          <w:p w14:paraId="3DDDDB48" w14:textId="65F9F988"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56F2A" w:rsidRPr="00A52F96">
              <w:rPr>
                <w:b w:val="0"/>
                <w:bCs/>
                <w:sz w:val="19"/>
                <w:szCs w:val="19"/>
                <w:vertAlign w:val="superscript"/>
                <w:lang w:val="en-AU"/>
              </w:rPr>
              <w:t>5</w:t>
            </w:r>
          </w:p>
        </w:tc>
        <w:tc>
          <w:tcPr>
            <w:tcW w:w="625" w:type="pct"/>
            <w:tcBorders>
              <w:top w:val="single" w:sz="4" w:space="0" w:color="auto"/>
              <w:left w:val="single" w:sz="4" w:space="0" w:color="auto"/>
              <w:bottom w:val="single" w:sz="4" w:space="0" w:color="auto"/>
              <w:right w:val="single" w:sz="4" w:space="0" w:color="auto"/>
            </w:tcBorders>
            <w:vAlign w:val="center"/>
          </w:tcPr>
          <w:p w14:paraId="033230AD" w14:textId="4C06BB69"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56F2A" w:rsidRPr="00A52F96">
              <w:rPr>
                <w:b w:val="0"/>
                <w:bCs/>
                <w:sz w:val="19"/>
                <w:szCs w:val="19"/>
                <w:vertAlign w:val="superscript"/>
                <w:lang w:val="en-AU"/>
              </w:rPr>
              <w:t>5</w:t>
            </w:r>
          </w:p>
        </w:tc>
      </w:tr>
      <w:tr w:rsidR="00657F30" w:rsidRPr="00EA57B9" w14:paraId="0BFAF047"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149F077C"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21945</w:t>
            </w:r>
          </w:p>
        </w:tc>
        <w:tc>
          <w:tcPr>
            <w:tcW w:w="625" w:type="pct"/>
            <w:tcBorders>
              <w:top w:val="single" w:sz="4" w:space="0" w:color="auto"/>
              <w:left w:val="single" w:sz="4" w:space="0" w:color="auto"/>
              <w:bottom w:val="single" w:sz="4" w:space="0" w:color="auto"/>
              <w:right w:val="single" w:sz="4" w:space="0" w:color="auto"/>
            </w:tcBorders>
            <w:vAlign w:val="center"/>
          </w:tcPr>
          <w:p w14:paraId="33EED34D"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c>
          <w:tcPr>
            <w:tcW w:w="625" w:type="pct"/>
            <w:tcBorders>
              <w:top w:val="single" w:sz="4" w:space="0" w:color="auto"/>
              <w:left w:val="single" w:sz="4" w:space="0" w:color="auto"/>
              <w:bottom w:val="single" w:sz="4" w:space="0" w:color="auto"/>
              <w:right w:val="single" w:sz="4" w:space="0" w:color="auto"/>
            </w:tcBorders>
            <w:vAlign w:val="center"/>
          </w:tcPr>
          <w:p w14:paraId="6C2CEDBD"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c>
          <w:tcPr>
            <w:tcW w:w="625" w:type="pct"/>
            <w:tcBorders>
              <w:top w:val="single" w:sz="4" w:space="0" w:color="auto"/>
              <w:left w:val="single" w:sz="4" w:space="0" w:color="auto"/>
              <w:bottom w:val="single" w:sz="4" w:space="0" w:color="auto"/>
              <w:right w:val="single" w:sz="4" w:space="0" w:color="auto"/>
            </w:tcBorders>
            <w:vAlign w:val="center"/>
          </w:tcPr>
          <w:p w14:paraId="12A9516A"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c>
          <w:tcPr>
            <w:tcW w:w="625" w:type="pct"/>
            <w:tcBorders>
              <w:top w:val="single" w:sz="4" w:space="0" w:color="auto"/>
              <w:left w:val="single" w:sz="4" w:space="0" w:color="auto"/>
              <w:bottom w:val="single" w:sz="4" w:space="0" w:color="auto"/>
              <w:right w:val="single" w:sz="4" w:space="0" w:color="auto"/>
            </w:tcBorders>
            <w:vAlign w:val="center"/>
          </w:tcPr>
          <w:p w14:paraId="04A51CC3"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c>
          <w:tcPr>
            <w:tcW w:w="625" w:type="pct"/>
            <w:tcBorders>
              <w:top w:val="single" w:sz="4" w:space="0" w:color="auto"/>
              <w:left w:val="single" w:sz="4" w:space="0" w:color="auto"/>
              <w:bottom w:val="single" w:sz="4" w:space="0" w:color="auto"/>
              <w:right w:val="single" w:sz="4" w:space="0" w:color="auto"/>
            </w:tcBorders>
            <w:vAlign w:val="center"/>
          </w:tcPr>
          <w:p w14:paraId="4D4D22BB"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c>
          <w:tcPr>
            <w:tcW w:w="625" w:type="pct"/>
            <w:tcBorders>
              <w:top w:val="single" w:sz="4" w:space="0" w:color="auto"/>
              <w:left w:val="single" w:sz="4" w:space="0" w:color="auto"/>
              <w:bottom w:val="single" w:sz="4" w:space="0" w:color="auto"/>
              <w:right w:val="single" w:sz="4" w:space="0" w:color="auto"/>
            </w:tcBorders>
            <w:vAlign w:val="center"/>
          </w:tcPr>
          <w:p w14:paraId="233A3B20" w14:textId="77777777" w:rsidR="00657F30" w:rsidRPr="00A52F96" w:rsidRDefault="00657F30" w:rsidP="00DE6098">
            <w:pPr>
              <w:pStyle w:val="In-tableHeading"/>
              <w:jc w:val="center"/>
              <w:rPr>
                <w:b w:val="0"/>
                <w:bCs/>
                <w:sz w:val="19"/>
                <w:szCs w:val="19"/>
                <w:lang w:val="en-AU"/>
              </w:rPr>
            </w:pPr>
            <w:r w:rsidRPr="00A52F96">
              <w:rPr>
                <w:b w:val="0"/>
                <w:bCs/>
                <w:sz w:val="19"/>
                <w:szCs w:val="19"/>
                <w:lang w:val="en-AU"/>
              </w:rPr>
              <w:t>$90.20</w:t>
            </w:r>
          </w:p>
        </w:tc>
      </w:tr>
      <w:tr w:rsidR="00657F30" w:rsidRPr="00EA57B9" w14:paraId="5F507AE9"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34E0895E" w14:textId="5A355FA3" w:rsidR="00657F30" w:rsidRPr="00EA57B9" w:rsidRDefault="00657F30" w:rsidP="00DE6098">
            <w:pPr>
              <w:pStyle w:val="In-tableHeading"/>
              <w:rPr>
                <w:b w:val="0"/>
                <w:bCs/>
                <w:sz w:val="19"/>
                <w:szCs w:val="19"/>
                <w:lang w:val="en-AU"/>
              </w:rPr>
            </w:pPr>
            <w:r w:rsidRPr="00EA57B9">
              <w:rPr>
                <w:b w:val="0"/>
                <w:bCs/>
                <w:sz w:val="19"/>
                <w:szCs w:val="19"/>
                <w:lang w:val="en-AU"/>
              </w:rPr>
              <w:t>Cost</w:t>
            </w:r>
            <w:r w:rsidR="00606075">
              <w:rPr>
                <w:b w:val="0"/>
                <w:bCs/>
                <w:sz w:val="19"/>
                <w:szCs w:val="19"/>
                <w:lang w:val="en-AU"/>
              </w:rPr>
              <w:t xml:space="preserve"> to</w:t>
            </w:r>
            <w:r w:rsidRPr="00EA57B9">
              <w:rPr>
                <w:b w:val="0"/>
                <w:bCs/>
                <w:sz w:val="19"/>
                <w:szCs w:val="19"/>
                <w:lang w:val="en-AU"/>
              </w:rPr>
              <w:t xml:space="preserve"> the MBS</w:t>
            </w:r>
          </w:p>
        </w:tc>
        <w:tc>
          <w:tcPr>
            <w:tcW w:w="625" w:type="pct"/>
            <w:tcBorders>
              <w:top w:val="single" w:sz="4" w:space="0" w:color="auto"/>
              <w:left w:val="single" w:sz="4" w:space="0" w:color="auto"/>
              <w:bottom w:val="single" w:sz="4" w:space="0" w:color="auto"/>
              <w:right w:val="single" w:sz="4" w:space="0" w:color="auto"/>
            </w:tcBorders>
            <w:vAlign w:val="center"/>
          </w:tcPr>
          <w:p w14:paraId="2502B01E" w14:textId="5FA8F920"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32B47FC" w14:textId="32AE2B95"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E758DA0" w14:textId="24B8DCAF"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EC70F5C" w14:textId="335914BD"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5A52D44" w14:textId="1703E828"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CC6524E" w14:textId="457FDAAC" w:rsidR="00657F30" w:rsidRPr="00A52F96" w:rsidRDefault="00657F30" w:rsidP="00DE6098">
            <w:pPr>
              <w:pStyle w:val="In-tableHeading"/>
              <w:jc w:val="center"/>
              <w:rPr>
                <w:b w:val="0"/>
                <w:bCs/>
                <w:sz w:val="19"/>
                <w:szCs w:val="19"/>
                <w:vertAlign w:val="superscript"/>
                <w:lang w:val="en-AU"/>
              </w:rPr>
            </w:pPr>
            <w:r w:rsidRPr="00A52F96">
              <w:rPr>
                <w:b w:val="0"/>
                <w:bCs/>
                <w:sz w:val="19"/>
                <w:szCs w:val="19"/>
                <w:lang w:val="en-AU"/>
              </w:rPr>
              <w:t>$</w:t>
            </w:r>
            <w:r w:rsidR="00A52F96" w:rsidRPr="00A52F96">
              <w:rPr>
                <w:b w:val="0"/>
                <w:bCs/>
              </w:rPr>
              <w:t xml:space="preserve"> REDACTED</w:t>
            </w:r>
            <w:r w:rsidR="00A52F96" w:rsidRPr="00A52F96" w:rsidDel="00A52F96">
              <w:rPr>
                <w:b w:val="0"/>
                <w:bCs/>
                <w:sz w:val="19"/>
                <w:szCs w:val="19"/>
                <w:lang w:val="en-AU"/>
              </w:rPr>
              <w:t xml:space="preserve"> </w:t>
            </w:r>
            <w:r w:rsidR="00E54AD6" w:rsidRPr="00A52F96">
              <w:rPr>
                <w:b w:val="0"/>
                <w:bCs/>
                <w:sz w:val="19"/>
                <w:szCs w:val="19"/>
                <w:vertAlign w:val="superscript"/>
                <w:lang w:val="en-AU"/>
              </w:rPr>
              <w:t>6</w:t>
            </w:r>
          </w:p>
        </w:tc>
      </w:tr>
      <w:tr w:rsidR="00657F30" w:rsidRPr="00EA57B9" w14:paraId="7F200BF6"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2D883129" w14:textId="77777777" w:rsidR="00657F30" w:rsidRPr="00EA57B9" w:rsidRDefault="00657F30" w:rsidP="00DE6098">
            <w:pPr>
              <w:pStyle w:val="In-tableHeading"/>
              <w:rPr>
                <w:b w:val="0"/>
                <w:bCs/>
                <w:sz w:val="19"/>
                <w:szCs w:val="19"/>
                <w:lang w:val="en-AU"/>
              </w:rPr>
            </w:pPr>
            <w:r w:rsidRPr="00EA57B9">
              <w:rPr>
                <w:b w:val="0"/>
                <w:bCs/>
                <w:sz w:val="19"/>
                <w:szCs w:val="19"/>
                <w:lang w:val="en-AU"/>
              </w:rPr>
              <w:t>MBS 17610 - Professional attendance by a medical practitioner (ANAESTHESIA)</w:t>
            </w:r>
          </w:p>
        </w:tc>
        <w:tc>
          <w:tcPr>
            <w:tcW w:w="625" w:type="pct"/>
            <w:tcBorders>
              <w:top w:val="single" w:sz="4" w:space="0" w:color="auto"/>
              <w:left w:val="single" w:sz="4" w:space="0" w:color="auto"/>
              <w:bottom w:val="single" w:sz="4" w:space="0" w:color="auto"/>
              <w:right w:val="single" w:sz="4" w:space="0" w:color="auto"/>
            </w:tcBorders>
            <w:vAlign w:val="center"/>
          </w:tcPr>
          <w:p w14:paraId="5CD2B6AD" w14:textId="4EDF4FB4"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1AB70150" w14:textId="1EBDC924"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79BA1434" w14:textId="59E5C8A6"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4</w:t>
            </w:r>
          </w:p>
        </w:tc>
        <w:tc>
          <w:tcPr>
            <w:tcW w:w="625" w:type="pct"/>
            <w:tcBorders>
              <w:top w:val="single" w:sz="4" w:space="0" w:color="auto"/>
              <w:left w:val="single" w:sz="4" w:space="0" w:color="auto"/>
              <w:bottom w:val="single" w:sz="4" w:space="0" w:color="auto"/>
              <w:right w:val="single" w:sz="4" w:space="0" w:color="auto"/>
            </w:tcBorders>
            <w:vAlign w:val="center"/>
          </w:tcPr>
          <w:p w14:paraId="72A60D4B" w14:textId="0796C786"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F7A53" w:rsidRPr="00A52F96">
              <w:rPr>
                <w:b w:val="0"/>
                <w:bCs/>
                <w:sz w:val="19"/>
                <w:szCs w:val="19"/>
                <w:vertAlign w:val="superscript"/>
                <w:lang w:val="en-AU"/>
              </w:rPr>
              <w:t>4</w:t>
            </w:r>
          </w:p>
        </w:tc>
        <w:tc>
          <w:tcPr>
            <w:tcW w:w="625" w:type="pct"/>
            <w:tcBorders>
              <w:top w:val="single" w:sz="4" w:space="0" w:color="auto"/>
              <w:left w:val="single" w:sz="4" w:space="0" w:color="auto"/>
              <w:bottom w:val="single" w:sz="4" w:space="0" w:color="auto"/>
              <w:right w:val="single" w:sz="4" w:space="0" w:color="auto"/>
            </w:tcBorders>
            <w:vAlign w:val="center"/>
          </w:tcPr>
          <w:p w14:paraId="6758E091" w14:textId="159958F2"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56F2A" w:rsidRPr="00A52F96">
              <w:rPr>
                <w:b w:val="0"/>
                <w:bCs/>
                <w:sz w:val="19"/>
                <w:szCs w:val="19"/>
                <w:vertAlign w:val="superscript"/>
                <w:lang w:val="en-AU"/>
              </w:rPr>
              <w:t>5</w:t>
            </w:r>
          </w:p>
        </w:tc>
        <w:tc>
          <w:tcPr>
            <w:tcW w:w="625" w:type="pct"/>
            <w:tcBorders>
              <w:top w:val="single" w:sz="4" w:space="0" w:color="auto"/>
              <w:left w:val="single" w:sz="4" w:space="0" w:color="auto"/>
              <w:bottom w:val="single" w:sz="4" w:space="0" w:color="auto"/>
              <w:right w:val="single" w:sz="4" w:space="0" w:color="auto"/>
            </w:tcBorders>
            <w:vAlign w:val="center"/>
          </w:tcPr>
          <w:p w14:paraId="57AC1149" w14:textId="13132AD5" w:rsidR="00657F30" w:rsidRPr="00A52F96" w:rsidRDefault="00A52F96" w:rsidP="00DE6098">
            <w:pPr>
              <w:pStyle w:val="In-tableHeading"/>
              <w:jc w:val="center"/>
              <w:rPr>
                <w:b w:val="0"/>
                <w:bCs/>
                <w:sz w:val="19"/>
                <w:szCs w:val="19"/>
                <w:vertAlign w:val="superscript"/>
                <w:lang w:val="en-AU"/>
              </w:rPr>
            </w:pPr>
            <w:r w:rsidRPr="00A52F96">
              <w:rPr>
                <w:b w:val="0"/>
                <w:bCs/>
              </w:rPr>
              <w:t>REDACTED</w:t>
            </w:r>
            <w:r w:rsidRPr="00A52F96" w:rsidDel="00A52F96">
              <w:rPr>
                <w:b w:val="0"/>
                <w:bCs/>
                <w:sz w:val="19"/>
                <w:szCs w:val="19"/>
                <w:lang w:val="en-AU"/>
              </w:rPr>
              <w:t xml:space="preserve"> </w:t>
            </w:r>
            <w:r w:rsidR="00656F2A" w:rsidRPr="00A52F96">
              <w:rPr>
                <w:b w:val="0"/>
                <w:bCs/>
                <w:sz w:val="19"/>
                <w:szCs w:val="19"/>
                <w:vertAlign w:val="superscript"/>
                <w:lang w:val="en-AU"/>
              </w:rPr>
              <w:t>5</w:t>
            </w:r>
          </w:p>
        </w:tc>
      </w:tr>
      <w:tr w:rsidR="00657F30" w:rsidRPr="00EA57B9" w14:paraId="23B68FD8"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0B77D288"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17610</w:t>
            </w:r>
          </w:p>
        </w:tc>
        <w:tc>
          <w:tcPr>
            <w:tcW w:w="625" w:type="pct"/>
            <w:tcBorders>
              <w:top w:val="single" w:sz="4" w:space="0" w:color="auto"/>
              <w:left w:val="single" w:sz="4" w:space="0" w:color="auto"/>
              <w:bottom w:val="single" w:sz="4" w:space="0" w:color="auto"/>
              <w:right w:val="single" w:sz="4" w:space="0" w:color="auto"/>
            </w:tcBorders>
            <w:vAlign w:val="center"/>
          </w:tcPr>
          <w:p w14:paraId="0ED4701E"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c>
          <w:tcPr>
            <w:tcW w:w="625" w:type="pct"/>
            <w:tcBorders>
              <w:top w:val="single" w:sz="4" w:space="0" w:color="auto"/>
              <w:left w:val="single" w:sz="4" w:space="0" w:color="auto"/>
              <w:bottom w:val="single" w:sz="4" w:space="0" w:color="auto"/>
              <w:right w:val="single" w:sz="4" w:space="0" w:color="auto"/>
            </w:tcBorders>
            <w:vAlign w:val="center"/>
          </w:tcPr>
          <w:p w14:paraId="06DDF808"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c>
          <w:tcPr>
            <w:tcW w:w="625" w:type="pct"/>
            <w:tcBorders>
              <w:top w:val="single" w:sz="4" w:space="0" w:color="auto"/>
              <w:left w:val="single" w:sz="4" w:space="0" w:color="auto"/>
              <w:bottom w:val="single" w:sz="4" w:space="0" w:color="auto"/>
              <w:right w:val="single" w:sz="4" w:space="0" w:color="auto"/>
            </w:tcBorders>
            <w:vAlign w:val="center"/>
          </w:tcPr>
          <w:p w14:paraId="0C81092D"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c>
          <w:tcPr>
            <w:tcW w:w="625" w:type="pct"/>
            <w:tcBorders>
              <w:top w:val="single" w:sz="4" w:space="0" w:color="auto"/>
              <w:left w:val="single" w:sz="4" w:space="0" w:color="auto"/>
              <w:bottom w:val="single" w:sz="4" w:space="0" w:color="auto"/>
              <w:right w:val="single" w:sz="4" w:space="0" w:color="auto"/>
            </w:tcBorders>
            <w:vAlign w:val="center"/>
          </w:tcPr>
          <w:p w14:paraId="4D49B4A6"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c>
          <w:tcPr>
            <w:tcW w:w="625" w:type="pct"/>
            <w:tcBorders>
              <w:top w:val="single" w:sz="4" w:space="0" w:color="auto"/>
              <w:left w:val="single" w:sz="4" w:space="0" w:color="auto"/>
              <w:bottom w:val="single" w:sz="4" w:space="0" w:color="auto"/>
              <w:right w:val="single" w:sz="4" w:space="0" w:color="auto"/>
            </w:tcBorders>
            <w:vAlign w:val="center"/>
          </w:tcPr>
          <w:p w14:paraId="1FA43214"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c>
          <w:tcPr>
            <w:tcW w:w="625" w:type="pct"/>
            <w:tcBorders>
              <w:top w:val="single" w:sz="4" w:space="0" w:color="auto"/>
              <w:left w:val="single" w:sz="4" w:space="0" w:color="auto"/>
              <w:bottom w:val="single" w:sz="4" w:space="0" w:color="auto"/>
              <w:right w:val="single" w:sz="4" w:space="0" w:color="auto"/>
            </w:tcBorders>
            <w:vAlign w:val="center"/>
          </w:tcPr>
          <w:p w14:paraId="7921E0B6" w14:textId="77777777" w:rsidR="00657F30" w:rsidRPr="00EA57B9" w:rsidRDefault="00657F30" w:rsidP="00DE6098">
            <w:pPr>
              <w:pStyle w:val="In-tableHeading"/>
              <w:jc w:val="center"/>
              <w:rPr>
                <w:b w:val="0"/>
                <w:bCs/>
                <w:sz w:val="19"/>
                <w:szCs w:val="19"/>
                <w:lang w:val="en-AU"/>
              </w:rPr>
            </w:pPr>
            <w:r w:rsidRPr="00EA57B9">
              <w:rPr>
                <w:b w:val="0"/>
                <w:bCs/>
                <w:sz w:val="19"/>
                <w:szCs w:val="19"/>
                <w:lang w:val="en-AU"/>
              </w:rPr>
              <w:t>$39.80</w:t>
            </w:r>
          </w:p>
        </w:tc>
      </w:tr>
      <w:tr w:rsidR="00657F30" w:rsidRPr="00EA57B9" w14:paraId="7EF2EF91"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2DB91056" w14:textId="7817DCCA" w:rsidR="00657F30" w:rsidRPr="00EA57B9" w:rsidRDefault="00657F30" w:rsidP="00DE6098">
            <w:pPr>
              <w:pStyle w:val="In-tableHeading"/>
              <w:rPr>
                <w:b w:val="0"/>
                <w:bCs/>
                <w:sz w:val="19"/>
                <w:szCs w:val="19"/>
                <w:lang w:val="en-AU"/>
              </w:rPr>
            </w:pPr>
            <w:r w:rsidRPr="00EA57B9">
              <w:rPr>
                <w:b w:val="0"/>
                <w:bCs/>
                <w:sz w:val="19"/>
                <w:szCs w:val="19"/>
                <w:lang w:val="en-AU"/>
              </w:rPr>
              <w:t xml:space="preserve">Cost </w:t>
            </w:r>
            <w:r w:rsidR="00606075">
              <w:rPr>
                <w:b w:val="0"/>
                <w:bCs/>
                <w:sz w:val="19"/>
                <w:szCs w:val="19"/>
                <w:lang w:val="en-AU"/>
              </w:rPr>
              <w:t xml:space="preserve">to </w:t>
            </w:r>
            <w:r w:rsidRPr="00EA57B9">
              <w:rPr>
                <w:b w:val="0"/>
                <w:bCs/>
                <w:sz w:val="19"/>
                <w:szCs w:val="19"/>
                <w:lang w:val="en-AU"/>
              </w:rPr>
              <w:t>the MBS</w:t>
            </w:r>
          </w:p>
        </w:tc>
        <w:tc>
          <w:tcPr>
            <w:tcW w:w="625" w:type="pct"/>
            <w:tcBorders>
              <w:top w:val="single" w:sz="4" w:space="0" w:color="auto"/>
              <w:left w:val="single" w:sz="4" w:space="0" w:color="auto"/>
              <w:bottom w:val="single" w:sz="4" w:space="0" w:color="auto"/>
              <w:right w:val="single" w:sz="4" w:space="0" w:color="auto"/>
            </w:tcBorders>
            <w:vAlign w:val="center"/>
          </w:tcPr>
          <w:p w14:paraId="2FB475EE" w14:textId="10C53925" w:rsidR="00657F30" w:rsidRPr="00516960" w:rsidRDefault="00657F30" w:rsidP="00DE6098">
            <w:pPr>
              <w:pStyle w:val="In-tableHeading"/>
              <w:jc w:val="center"/>
              <w:rPr>
                <w:b w:val="0"/>
                <w:bCs/>
                <w:sz w:val="19"/>
                <w:szCs w:val="19"/>
                <w:vertAlign w:val="superscript"/>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391CF843" w14:textId="767427B1" w:rsidR="00657F30" w:rsidRPr="00516960" w:rsidRDefault="00657F30" w:rsidP="00DE6098">
            <w:pPr>
              <w:pStyle w:val="In-tableHeading"/>
              <w:jc w:val="center"/>
              <w:rPr>
                <w:b w:val="0"/>
                <w:bCs/>
                <w:sz w:val="19"/>
                <w:szCs w:val="19"/>
                <w:vertAlign w:val="superscript"/>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276D0326" w14:textId="2E5B1645"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C1E965C" w14:textId="7241EEAB"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C7AFAD2" w14:textId="2405B1D2"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4F53B5A" w14:textId="1762FED9"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r>
      <w:tr w:rsidR="00657F30" w:rsidRPr="00EA57B9" w14:paraId="4E3BEB43"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48DD81E4" w14:textId="77777777" w:rsidR="00657F30" w:rsidRPr="00EA57B9" w:rsidRDefault="00657F30" w:rsidP="00DE6098">
            <w:pPr>
              <w:pStyle w:val="In-tableHeading"/>
              <w:rPr>
                <w:b w:val="0"/>
                <w:bCs/>
                <w:sz w:val="19"/>
                <w:szCs w:val="19"/>
                <w:lang w:val="en-AU"/>
              </w:rPr>
            </w:pPr>
            <w:r w:rsidRPr="00EA57B9">
              <w:rPr>
                <w:b w:val="0"/>
                <w:bCs/>
                <w:sz w:val="19"/>
                <w:szCs w:val="19"/>
                <w:lang w:val="en-AU"/>
              </w:rPr>
              <w:t>MBS 23010 - Anaesthesia, not more than 15 minutes</w:t>
            </w:r>
          </w:p>
        </w:tc>
        <w:tc>
          <w:tcPr>
            <w:tcW w:w="625" w:type="pct"/>
            <w:tcBorders>
              <w:top w:val="single" w:sz="4" w:space="0" w:color="auto"/>
              <w:left w:val="single" w:sz="4" w:space="0" w:color="auto"/>
              <w:bottom w:val="single" w:sz="4" w:space="0" w:color="auto"/>
              <w:right w:val="single" w:sz="4" w:space="0" w:color="auto"/>
            </w:tcBorders>
            <w:vAlign w:val="center"/>
          </w:tcPr>
          <w:p w14:paraId="74CCD72D" w14:textId="25858954"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656F2A" w:rsidRPr="00516960">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7167C0E5" w14:textId="7BCDA30C"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656F2A" w:rsidRPr="00516960">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34601298" w14:textId="44E419A4"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E33693" w:rsidRPr="00516960">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64B61F5E" w14:textId="2D0816AC"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E33693" w:rsidRPr="00516960">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39DE444C" w14:textId="6CBB9E66"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E33693" w:rsidRPr="00516960">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1EEEE7B6" w14:textId="683FF5BA" w:rsidR="00657F30" w:rsidRPr="00516960" w:rsidRDefault="00516960" w:rsidP="00DE6098">
            <w:pPr>
              <w:pStyle w:val="In-tableHeading"/>
              <w:jc w:val="center"/>
              <w:rPr>
                <w:b w:val="0"/>
                <w:bCs/>
                <w:sz w:val="19"/>
                <w:szCs w:val="19"/>
                <w:vertAlign w:val="superscript"/>
                <w:lang w:val="en-AU"/>
              </w:rPr>
            </w:pPr>
            <w:r w:rsidRPr="00516960">
              <w:rPr>
                <w:b w:val="0"/>
                <w:bCs/>
              </w:rPr>
              <w:t>REDACTED</w:t>
            </w:r>
            <w:r w:rsidRPr="00516960" w:rsidDel="00516960">
              <w:rPr>
                <w:b w:val="0"/>
                <w:bCs/>
                <w:sz w:val="19"/>
                <w:szCs w:val="19"/>
                <w:lang w:val="en-AU"/>
              </w:rPr>
              <w:t xml:space="preserve"> </w:t>
            </w:r>
            <w:r w:rsidR="00E33693" w:rsidRPr="00516960">
              <w:rPr>
                <w:b w:val="0"/>
                <w:bCs/>
                <w:sz w:val="19"/>
                <w:szCs w:val="19"/>
                <w:vertAlign w:val="superscript"/>
                <w:lang w:val="en-AU"/>
              </w:rPr>
              <w:t>3</w:t>
            </w:r>
          </w:p>
        </w:tc>
      </w:tr>
      <w:tr w:rsidR="00657F30" w:rsidRPr="00EA57B9" w14:paraId="148631D7"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6BBD4161"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23010</w:t>
            </w:r>
          </w:p>
        </w:tc>
        <w:tc>
          <w:tcPr>
            <w:tcW w:w="625" w:type="pct"/>
            <w:tcBorders>
              <w:top w:val="single" w:sz="4" w:space="0" w:color="auto"/>
              <w:left w:val="single" w:sz="4" w:space="0" w:color="auto"/>
              <w:bottom w:val="single" w:sz="4" w:space="0" w:color="auto"/>
              <w:right w:val="single" w:sz="4" w:space="0" w:color="auto"/>
            </w:tcBorders>
            <w:vAlign w:val="center"/>
          </w:tcPr>
          <w:p w14:paraId="5682107C"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56BF54C4"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0523B661"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46184C2E"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2D2F493E"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0A19A2C6" w14:textId="77777777" w:rsidR="00657F30" w:rsidRPr="00516960" w:rsidRDefault="00657F30" w:rsidP="00DE6098">
            <w:pPr>
              <w:pStyle w:val="In-tableHeading"/>
              <w:jc w:val="center"/>
              <w:rPr>
                <w:b w:val="0"/>
                <w:bCs/>
                <w:sz w:val="19"/>
                <w:szCs w:val="19"/>
                <w:lang w:val="en-AU"/>
              </w:rPr>
            </w:pPr>
            <w:r w:rsidRPr="00516960">
              <w:rPr>
                <w:b w:val="0"/>
                <w:bCs/>
                <w:sz w:val="19"/>
                <w:szCs w:val="19"/>
                <w:lang w:val="en-AU"/>
              </w:rPr>
              <w:t>$18.04</w:t>
            </w:r>
          </w:p>
        </w:tc>
      </w:tr>
      <w:tr w:rsidR="00657F30" w:rsidRPr="00EA57B9" w14:paraId="0DFE95A9"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7B32C983" w14:textId="3921DD12" w:rsidR="00657F30" w:rsidRPr="00EA57B9" w:rsidRDefault="00657F30" w:rsidP="00DE6098">
            <w:pPr>
              <w:pStyle w:val="In-tableHeading"/>
              <w:rPr>
                <w:b w:val="0"/>
                <w:bCs/>
                <w:sz w:val="19"/>
                <w:szCs w:val="19"/>
                <w:lang w:val="en-AU"/>
              </w:rPr>
            </w:pPr>
            <w:r w:rsidRPr="00EA57B9">
              <w:rPr>
                <w:b w:val="0"/>
                <w:bCs/>
                <w:sz w:val="19"/>
                <w:szCs w:val="19"/>
                <w:lang w:val="en-AU"/>
              </w:rPr>
              <w:t xml:space="preserve">Cost </w:t>
            </w:r>
            <w:r w:rsidR="00606075">
              <w:rPr>
                <w:b w:val="0"/>
                <w:bCs/>
                <w:sz w:val="19"/>
                <w:szCs w:val="19"/>
                <w:lang w:val="en-AU"/>
              </w:rPr>
              <w:t xml:space="preserve">to </w:t>
            </w:r>
            <w:r w:rsidRPr="00EA57B9">
              <w:rPr>
                <w:b w:val="0"/>
                <w:bCs/>
                <w:sz w:val="19"/>
                <w:szCs w:val="19"/>
                <w:lang w:val="en-AU"/>
              </w:rPr>
              <w:t>the MBS</w:t>
            </w:r>
          </w:p>
        </w:tc>
        <w:tc>
          <w:tcPr>
            <w:tcW w:w="625" w:type="pct"/>
            <w:tcBorders>
              <w:top w:val="single" w:sz="4" w:space="0" w:color="auto"/>
              <w:left w:val="single" w:sz="4" w:space="0" w:color="auto"/>
              <w:bottom w:val="single" w:sz="4" w:space="0" w:color="auto"/>
              <w:right w:val="single" w:sz="4" w:space="0" w:color="auto"/>
            </w:tcBorders>
            <w:vAlign w:val="center"/>
          </w:tcPr>
          <w:p w14:paraId="6669A092" w14:textId="64A67B16"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D41F626" w14:textId="0CD6A0FB"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668D0C55" w14:textId="5EF07E0B"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4C1F14E3" w14:textId="35203AFF"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F71138B" w14:textId="541AE2CF"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007957D" w14:textId="7C55CE94" w:rsidR="00657F30" w:rsidRPr="00516960" w:rsidRDefault="00657F30" w:rsidP="00DE6098">
            <w:pPr>
              <w:pStyle w:val="In-tableHeading"/>
              <w:jc w:val="center"/>
              <w:rPr>
                <w:b w:val="0"/>
                <w:bCs/>
                <w:sz w:val="19"/>
                <w:szCs w:val="19"/>
                <w:lang w:val="en-AU"/>
              </w:rPr>
            </w:pPr>
            <w:r w:rsidRPr="00516960">
              <w:rPr>
                <w:b w:val="0"/>
                <w:bCs/>
                <w:sz w:val="19"/>
                <w:szCs w:val="19"/>
                <w:lang w:val="en-AU"/>
              </w:rPr>
              <w:t>$</w:t>
            </w:r>
            <w:r w:rsidR="00516960" w:rsidRPr="00516960">
              <w:rPr>
                <w:b w:val="0"/>
                <w:bCs/>
              </w:rPr>
              <w:t xml:space="preserve"> REDACTED</w:t>
            </w:r>
            <w:r w:rsidR="00516960" w:rsidRPr="00516960" w:rsidDel="00516960">
              <w:rPr>
                <w:b w:val="0"/>
                <w:bCs/>
                <w:sz w:val="19"/>
                <w:szCs w:val="19"/>
                <w:lang w:val="en-AU"/>
              </w:rPr>
              <w:t xml:space="preserve"> </w:t>
            </w:r>
            <w:r w:rsidR="00C9249B" w:rsidRPr="00516960">
              <w:rPr>
                <w:b w:val="0"/>
                <w:bCs/>
                <w:sz w:val="19"/>
                <w:szCs w:val="19"/>
                <w:vertAlign w:val="superscript"/>
                <w:lang w:val="en-AU"/>
              </w:rPr>
              <w:t>6</w:t>
            </w:r>
          </w:p>
        </w:tc>
      </w:tr>
      <w:tr w:rsidR="00657F30" w:rsidRPr="00EA57B9" w14:paraId="6C336E6E"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7AC01F2D" w14:textId="77777777" w:rsidR="00657F30" w:rsidRPr="00EA57B9" w:rsidRDefault="00657F30" w:rsidP="00DE6098">
            <w:pPr>
              <w:pStyle w:val="In-tableHeading"/>
              <w:rPr>
                <w:b w:val="0"/>
                <w:bCs/>
                <w:sz w:val="19"/>
                <w:szCs w:val="19"/>
                <w:lang w:val="en-AU"/>
              </w:rPr>
            </w:pPr>
            <w:r w:rsidRPr="00EA57B9">
              <w:rPr>
                <w:b w:val="0"/>
                <w:bCs/>
                <w:sz w:val="19"/>
                <w:szCs w:val="19"/>
                <w:lang w:val="en-AU"/>
              </w:rPr>
              <w:t>MBS 23025 - Anaesthesia, more than 15 and less than 30 minutes</w:t>
            </w:r>
          </w:p>
        </w:tc>
        <w:tc>
          <w:tcPr>
            <w:tcW w:w="625" w:type="pct"/>
            <w:tcBorders>
              <w:top w:val="single" w:sz="4" w:space="0" w:color="auto"/>
              <w:left w:val="single" w:sz="4" w:space="0" w:color="auto"/>
              <w:bottom w:val="single" w:sz="4" w:space="0" w:color="auto"/>
              <w:right w:val="single" w:sz="4" w:space="0" w:color="auto"/>
            </w:tcBorders>
            <w:vAlign w:val="center"/>
          </w:tcPr>
          <w:p w14:paraId="3778F6B0" w14:textId="5952DBE4"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369C82CC" w14:textId="2C86A225"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2D52A32D" w14:textId="641C49F3"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564AD1BC" w14:textId="4076C692"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0F5CF1B7" w14:textId="231FF0B6"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7BB1B9D7" w14:textId="1FCB7EED"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3</w:t>
            </w:r>
          </w:p>
        </w:tc>
      </w:tr>
      <w:tr w:rsidR="00657F30" w:rsidRPr="00EA57B9" w14:paraId="72060C47"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0C205F96"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23025</w:t>
            </w:r>
          </w:p>
        </w:tc>
        <w:tc>
          <w:tcPr>
            <w:tcW w:w="625" w:type="pct"/>
            <w:tcBorders>
              <w:top w:val="single" w:sz="4" w:space="0" w:color="auto"/>
              <w:left w:val="single" w:sz="4" w:space="0" w:color="auto"/>
              <w:bottom w:val="single" w:sz="4" w:space="0" w:color="auto"/>
              <w:right w:val="single" w:sz="4" w:space="0" w:color="auto"/>
            </w:tcBorders>
            <w:vAlign w:val="center"/>
          </w:tcPr>
          <w:p w14:paraId="50FFA714"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7AB97CD5"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38F6FE07"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767C15C0"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115B6455"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7A24D4D6"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$36.08</w:t>
            </w:r>
          </w:p>
        </w:tc>
      </w:tr>
      <w:tr w:rsidR="00657F30" w:rsidRPr="00EA57B9" w14:paraId="4EE7F303"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6D11E76B" w14:textId="3511D39A" w:rsidR="00657F30" w:rsidRPr="00EA57B9" w:rsidRDefault="00657F30" w:rsidP="00DE6098">
            <w:pPr>
              <w:pStyle w:val="In-tableHeading"/>
              <w:rPr>
                <w:b w:val="0"/>
                <w:bCs/>
                <w:sz w:val="19"/>
                <w:szCs w:val="19"/>
                <w:lang w:val="en-AU"/>
              </w:rPr>
            </w:pPr>
            <w:r w:rsidRPr="00EA57B9">
              <w:rPr>
                <w:b w:val="0"/>
                <w:bCs/>
                <w:sz w:val="19"/>
                <w:szCs w:val="19"/>
                <w:lang w:val="en-AU"/>
              </w:rPr>
              <w:t>Cost</w:t>
            </w:r>
            <w:r w:rsidR="00606075">
              <w:rPr>
                <w:b w:val="0"/>
                <w:bCs/>
                <w:sz w:val="19"/>
                <w:szCs w:val="19"/>
                <w:lang w:val="en-AU"/>
              </w:rPr>
              <w:t xml:space="preserve"> to</w:t>
            </w:r>
            <w:r w:rsidRPr="00EA57B9">
              <w:rPr>
                <w:b w:val="0"/>
                <w:bCs/>
                <w:sz w:val="19"/>
                <w:szCs w:val="19"/>
                <w:lang w:val="en-AU"/>
              </w:rPr>
              <w:t xml:space="preserve"> the MBS</w:t>
            </w:r>
          </w:p>
        </w:tc>
        <w:tc>
          <w:tcPr>
            <w:tcW w:w="625" w:type="pct"/>
            <w:tcBorders>
              <w:top w:val="single" w:sz="4" w:space="0" w:color="auto"/>
              <w:left w:val="single" w:sz="4" w:space="0" w:color="auto"/>
              <w:bottom w:val="single" w:sz="4" w:space="0" w:color="auto"/>
              <w:right w:val="single" w:sz="4" w:space="0" w:color="auto"/>
            </w:tcBorders>
            <w:vAlign w:val="center"/>
          </w:tcPr>
          <w:p w14:paraId="62E7D5CD" w14:textId="5D7C49F2"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30202E5" w14:textId="67E5FF78"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2F35FAD6" w14:textId="2F56177E"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44E4B018" w14:textId="0A688018"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4446615" w14:textId="2FEB13C8"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F0CF38C" w14:textId="2E7E8E4B"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AD5C91" w:rsidRPr="002361F5">
              <w:rPr>
                <w:b w:val="0"/>
                <w:bCs/>
              </w:rPr>
              <w:t xml:space="preserve"> REDACTED</w:t>
            </w:r>
            <w:r w:rsidR="00AD5C91" w:rsidRPr="002361F5" w:rsidDel="00AD5C91">
              <w:rPr>
                <w:b w:val="0"/>
                <w:bCs/>
                <w:sz w:val="19"/>
                <w:szCs w:val="19"/>
                <w:lang w:val="en-AU"/>
              </w:rPr>
              <w:t xml:space="preserve"> </w:t>
            </w:r>
            <w:r w:rsidR="00C9249B" w:rsidRPr="002361F5">
              <w:rPr>
                <w:b w:val="0"/>
                <w:bCs/>
                <w:sz w:val="19"/>
                <w:szCs w:val="19"/>
                <w:vertAlign w:val="superscript"/>
                <w:lang w:val="en-AU"/>
              </w:rPr>
              <w:t>6</w:t>
            </w:r>
          </w:p>
        </w:tc>
      </w:tr>
      <w:tr w:rsidR="00657F30" w:rsidRPr="00EA57B9" w14:paraId="74D935D1"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336299ED" w14:textId="77777777" w:rsidR="00657F30" w:rsidRPr="00EA57B9" w:rsidRDefault="00657F30" w:rsidP="00DE6098">
            <w:pPr>
              <w:pStyle w:val="In-tableHeading"/>
              <w:rPr>
                <w:b w:val="0"/>
                <w:bCs/>
                <w:sz w:val="19"/>
                <w:szCs w:val="19"/>
                <w:lang w:val="en-AU"/>
              </w:rPr>
            </w:pPr>
            <w:r w:rsidRPr="00EA57B9">
              <w:rPr>
                <w:b w:val="0"/>
                <w:bCs/>
                <w:sz w:val="19"/>
                <w:szCs w:val="19"/>
                <w:lang w:val="en-AU"/>
              </w:rPr>
              <w:t>MBS 25000 - Anaesthesia, if the patient has severe systemic disease</w:t>
            </w:r>
          </w:p>
        </w:tc>
        <w:tc>
          <w:tcPr>
            <w:tcW w:w="625" w:type="pct"/>
            <w:tcBorders>
              <w:top w:val="single" w:sz="4" w:space="0" w:color="auto"/>
              <w:left w:val="single" w:sz="4" w:space="0" w:color="auto"/>
              <w:bottom w:val="single" w:sz="4" w:space="0" w:color="auto"/>
              <w:right w:val="single" w:sz="4" w:space="0" w:color="auto"/>
            </w:tcBorders>
            <w:vAlign w:val="center"/>
          </w:tcPr>
          <w:p w14:paraId="68B7D8C9" w14:textId="65E453E4"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1</w:t>
            </w:r>
          </w:p>
        </w:tc>
        <w:tc>
          <w:tcPr>
            <w:tcW w:w="625" w:type="pct"/>
            <w:tcBorders>
              <w:top w:val="single" w:sz="4" w:space="0" w:color="auto"/>
              <w:left w:val="single" w:sz="4" w:space="0" w:color="auto"/>
              <w:bottom w:val="single" w:sz="4" w:space="0" w:color="auto"/>
              <w:right w:val="single" w:sz="4" w:space="0" w:color="auto"/>
            </w:tcBorders>
            <w:vAlign w:val="center"/>
          </w:tcPr>
          <w:p w14:paraId="70047FFE" w14:textId="75E5FF34"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1</w:t>
            </w:r>
          </w:p>
        </w:tc>
        <w:tc>
          <w:tcPr>
            <w:tcW w:w="625" w:type="pct"/>
            <w:tcBorders>
              <w:top w:val="single" w:sz="4" w:space="0" w:color="auto"/>
              <w:left w:val="single" w:sz="4" w:space="0" w:color="auto"/>
              <w:bottom w:val="single" w:sz="4" w:space="0" w:color="auto"/>
              <w:right w:val="single" w:sz="4" w:space="0" w:color="auto"/>
            </w:tcBorders>
            <w:vAlign w:val="center"/>
          </w:tcPr>
          <w:p w14:paraId="77AF1F78" w14:textId="24064998"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14572386" w14:textId="20E0EB7B" w:rsidR="00657F30" w:rsidRPr="002361F5" w:rsidRDefault="00AD5C91" w:rsidP="00DE6098">
            <w:pPr>
              <w:pStyle w:val="In-tableHeading"/>
              <w:jc w:val="center"/>
              <w:rPr>
                <w:b w:val="0"/>
                <w:bCs/>
                <w:sz w:val="19"/>
                <w:szCs w:val="19"/>
                <w:vertAlign w:val="superscript"/>
                <w:lang w:val="en-AU"/>
              </w:rPr>
            </w:pPr>
            <w:r w:rsidRPr="002361F5">
              <w:rPr>
                <w:b w:val="0"/>
                <w:bCs/>
              </w:rPr>
              <w:t>REDACTED</w:t>
            </w:r>
            <w:r w:rsidRPr="002361F5" w:rsidDel="00AD5C91">
              <w:rPr>
                <w:b w:val="0"/>
                <w:bCs/>
                <w:sz w:val="19"/>
                <w:szCs w:val="19"/>
                <w:lang w:val="en-AU"/>
              </w:rPr>
              <w:t xml:space="preserve"> </w:t>
            </w:r>
            <w:r w:rsidR="00656F2A" w:rsidRPr="002361F5">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6DFA98EE" w14:textId="4C513C58" w:rsidR="00657F30" w:rsidRPr="002361F5" w:rsidRDefault="002361F5" w:rsidP="00DE6098">
            <w:pPr>
              <w:pStyle w:val="In-tableHeading"/>
              <w:jc w:val="center"/>
              <w:rPr>
                <w:b w:val="0"/>
                <w:bCs/>
                <w:sz w:val="19"/>
                <w:szCs w:val="19"/>
                <w:vertAlign w:val="superscript"/>
                <w:lang w:val="en-AU"/>
              </w:rPr>
            </w:pPr>
            <w:r w:rsidRPr="002361F5">
              <w:rPr>
                <w:b w:val="0"/>
                <w:bCs/>
              </w:rPr>
              <w:t>REDACTED</w:t>
            </w:r>
            <w:r w:rsidRPr="002361F5" w:rsidDel="002361F5">
              <w:rPr>
                <w:b w:val="0"/>
                <w:bCs/>
                <w:sz w:val="19"/>
                <w:szCs w:val="19"/>
                <w:lang w:val="en-AU"/>
              </w:rPr>
              <w:t xml:space="preserve"> </w:t>
            </w:r>
            <w:r w:rsidR="00656F2A" w:rsidRPr="002361F5">
              <w:rPr>
                <w:b w:val="0"/>
                <w:bCs/>
                <w:sz w:val="19"/>
                <w:szCs w:val="19"/>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41C9C6B7" w14:textId="7ABD6FD9" w:rsidR="00657F30" w:rsidRPr="002361F5" w:rsidRDefault="002361F5" w:rsidP="00DE6098">
            <w:pPr>
              <w:pStyle w:val="In-tableHeading"/>
              <w:jc w:val="center"/>
              <w:rPr>
                <w:b w:val="0"/>
                <w:bCs/>
                <w:sz w:val="19"/>
                <w:szCs w:val="19"/>
                <w:vertAlign w:val="superscript"/>
                <w:lang w:val="en-AU"/>
              </w:rPr>
            </w:pPr>
            <w:r w:rsidRPr="002361F5">
              <w:rPr>
                <w:b w:val="0"/>
                <w:bCs/>
              </w:rPr>
              <w:t>REDACTED</w:t>
            </w:r>
            <w:r w:rsidRPr="002361F5" w:rsidDel="002361F5">
              <w:rPr>
                <w:b w:val="0"/>
                <w:bCs/>
                <w:sz w:val="19"/>
                <w:szCs w:val="19"/>
                <w:lang w:val="en-AU"/>
              </w:rPr>
              <w:t xml:space="preserve"> </w:t>
            </w:r>
            <w:r w:rsidR="00656F2A" w:rsidRPr="002361F5">
              <w:rPr>
                <w:b w:val="0"/>
                <w:bCs/>
                <w:sz w:val="19"/>
                <w:szCs w:val="19"/>
                <w:vertAlign w:val="superscript"/>
                <w:lang w:val="en-AU"/>
              </w:rPr>
              <w:t>2</w:t>
            </w:r>
          </w:p>
        </w:tc>
      </w:tr>
      <w:tr w:rsidR="00657F30" w:rsidRPr="00EA57B9" w14:paraId="2AB75043"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4BF27CE0"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25000</w:t>
            </w:r>
          </w:p>
        </w:tc>
        <w:tc>
          <w:tcPr>
            <w:tcW w:w="625" w:type="pct"/>
            <w:tcBorders>
              <w:top w:val="single" w:sz="4" w:space="0" w:color="auto"/>
              <w:left w:val="single" w:sz="4" w:space="0" w:color="auto"/>
              <w:bottom w:val="single" w:sz="4" w:space="0" w:color="auto"/>
              <w:right w:val="single" w:sz="4" w:space="0" w:color="auto"/>
            </w:tcBorders>
            <w:vAlign w:val="center"/>
          </w:tcPr>
          <w:p w14:paraId="30AD7139"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08DD5501"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2E12AACE"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1D2F7775"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41067615"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2FECCE69" w14:textId="77777777" w:rsidR="00657F30" w:rsidRPr="002361F5" w:rsidRDefault="00657F30" w:rsidP="00DE6098">
            <w:pPr>
              <w:pStyle w:val="In-tableHeading"/>
              <w:jc w:val="center"/>
              <w:rPr>
                <w:b w:val="0"/>
                <w:bCs/>
                <w:sz w:val="19"/>
                <w:szCs w:val="19"/>
                <w:lang w:val="en-AU"/>
              </w:rPr>
            </w:pPr>
            <w:r w:rsidRPr="002361F5">
              <w:rPr>
                <w:b w:val="0"/>
                <w:bCs/>
                <w:sz w:val="19"/>
                <w:szCs w:val="19"/>
                <w:lang w:val="en-AU"/>
              </w:rPr>
              <w:t>$18.04</w:t>
            </w:r>
          </w:p>
        </w:tc>
      </w:tr>
      <w:tr w:rsidR="00657F30" w:rsidRPr="00EA57B9" w14:paraId="66DA2CB6"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558EE411" w14:textId="7314EB55" w:rsidR="00657F30" w:rsidRPr="00EA57B9" w:rsidRDefault="00657F30" w:rsidP="00DE6098">
            <w:pPr>
              <w:pStyle w:val="In-tableHeading"/>
              <w:rPr>
                <w:b w:val="0"/>
                <w:bCs/>
                <w:sz w:val="19"/>
                <w:szCs w:val="19"/>
                <w:lang w:val="en-AU"/>
              </w:rPr>
            </w:pPr>
            <w:r w:rsidRPr="00EA57B9">
              <w:rPr>
                <w:b w:val="0"/>
                <w:bCs/>
                <w:sz w:val="19"/>
                <w:szCs w:val="19"/>
                <w:lang w:val="en-AU"/>
              </w:rPr>
              <w:t xml:space="preserve">Cost </w:t>
            </w:r>
            <w:r w:rsidR="00606075">
              <w:rPr>
                <w:b w:val="0"/>
                <w:bCs/>
                <w:sz w:val="19"/>
                <w:szCs w:val="19"/>
                <w:lang w:val="en-AU"/>
              </w:rPr>
              <w:t xml:space="preserve">to </w:t>
            </w:r>
            <w:r w:rsidRPr="00EA57B9">
              <w:rPr>
                <w:b w:val="0"/>
                <w:bCs/>
                <w:sz w:val="19"/>
                <w:szCs w:val="19"/>
                <w:lang w:val="en-AU"/>
              </w:rPr>
              <w:t>the MBS</w:t>
            </w:r>
          </w:p>
        </w:tc>
        <w:tc>
          <w:tcPr>
            <w:tcW w:w="625" w:type="pct"/>
            <w:tcBorders>
              <w:top w:val="single" w:sz="4" w:space="0" w:color="auto"/>
              <w:left w:val="single" w:sz="4" w:space="0" w:color="auto"/>
              <w:bottom w:val="single" w:sz="4" w:space="0" w:color="auto"/>
              <w:right w:val="single" w:sz="4" w:space="0" w:color="auto"/>
            </w:tcBorders>
            <w:vAlign w:val="center"/>
          </w:tcPr>
          <w:p w14:paraId="65D05630" w14:textId="48E78D4A"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04874C81" w14:textId="651687BB"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58E94E7" w14:textId="44C030DC"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9F349EB" w14:textId="74AF3894"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65679AB4" w14:textId="728981B7"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2A6DF87" w14:textId="29AD0050" w:rsidR="00657F30" w:rsidRPr="002361F5" w:rsidRDefault="00657F30" w:rsidP="00DE6098">
            <w:pPr>
              <w:pStyle w:val="In-tableHeading"/>
              <w:jc w:val="center"/>
              <w:rPr>
                <w:b w:val="0"/>
                <w:bCs/>
                <w:sz w:val="19"/>
                <w:szCs w:val="19"/>
                <w:lang w:val="en-AU"/>
              </w:rPr>
            </w:pPr>
            <w:r w:rsidRPr="002361F5">
              <w:rPr>
                <w:b w:val="0"/>
                <w:bCs/>
                <w:sz w:val="19"/>
                <w:szCs w:val="19"/>
                <w:lang w:val="en-AU"/>
              </w:rPr>
              <w:t>$</w:t>
            </w:r>
            <w:r w:rsidR="002361F5" w:rsidRPr="002361F5">
              <w:rPr>
                <w:b w:val="0"/>
                <w:bCs/>
              </w:rPr>
              <w:t xml:space="preserve"> REDACTED</w:t>
            </w:r>
            <w:r w:rsidR="002361F5" w:rsidRPr="002361F5" w:rsidDel="002361F5">
              <w:rPr>
                <w:b w:val="0"/>
                <w:bCs/>
                <w:sz w:val="19"/>
                <w:szCs w:val="19"/>
                <w:lang w:val="en-AU"/>
              </w:rPr>
              <w:t xml:space="preserve"> </w:t>
            </w:r>
            <w:r w:rsidR="00C9249B" w:rsidRPr="002361F5">
              <w:rPr>
                <w:b w:val="0"/>
                <w:bCs/>
                <w:sz w:val="19"/>
                <w:szCs w:val="19"/>
                <w:vertAlign w:val="superscript"/>
                <w:lang w:val="en-AU"/>
              </w:rPr>
              <w:t>6</w:t>
            </w:r>
          </w:p>
        </w:tc>
      </w:tr>
      <w:tr w:rsidR="00657F30" w:rsidRPr="00EA57B9" w14:paraId="41D0E539"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5AF226D2" w14:textId="77777777" w:rsidR="00657F30" w:rsidRPr="00EA57B9" w:rsidRDefault="00657F30" w:rsidP="00DE6098">
            <w:pPr>
              <w:pStyle w:val="In-tableHeading"/>
              <w:rPr>
                <w:b w:val="0"/>
                <w:bCs/>
                <w:sz w:val="19"/>
                <w:szCs w:val="19"/>
                <w:lang w:val="en-AU"/>
              </w:rPr>
            </w:pPr>
            <w:r w:rsidRPr="00EA57B9">
              <w:rPr>
                <w:b w:val="0"/>
                <w:bCs/>
                <w:sz w:val="19"/>
                <w:szCs w:val="19"/>
                <w:lang w:val="en-AU"/>
              </w:rPr>
              <w:t>MBS 25005 - Anaesthesia, if the patient has severe systemic disease which is a constant threat to life</w:t>
            </w:r>
          </w:p>
        </w:tc>
        <w:tc>
          <w:tcPr>
            <w:tcW w:w="625" w:type="pct"/>
            <w:tcBorders>
              <w:top w:val="single" w:sz="4" w:space="0" w:color="auto"/>
              <w:left w:val="single" w:sz="4" w:space="0" w:color="auto"/>
              <w:bottom w:val="single" w:sz="4" w:space="0" w:color="auto"/>
              <w:right w:val="single" w:sz="4" w:space="0" w:color="auto"/>
            </w:tcBorders>
            <w:vAlign w:val="center"/>
          </w:tcPr>
          <w:p w14:paraId="16C824ED" w14:textId="13332016"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1</w:t>
            </w:r>
          </w:p>
        </w:tc>
        <w:tc>
          <w:tcPr>
            <w:tcW w:w="625" w:type="pct"/>
            <w:tcBorders>
              <w:top w:val="single" w:sz="4" w:space="0" w:color="auto"/>
              <w:left w:val="single" w:sz="4" w:space="0" w:color="auto"/>
              <w:bottom w:val="single" w:sz="4" w:space="0" w:color="auto"/>
              <w:right w:val="single" w:sz="4" w:space="0" w:color="auto"/>
            </w:tcBorders>
            <w:vAlign w:val="center"/>
          </w:tcPr>
          <w:p w14:paraId="173D5B63" w14:textId="0391F8FE"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1</w:t>
            </w:r>
          </w:p>
        </w:tc>
        <w:tc>
          <w:tcPr>
            <w:tcW w:w="625" w:type="pct"/>
            <w:tcBorders>
              <w:top w:val="single" w:sz="4" w:space="0" w:color="auto"/>
              <w:left w:val="single" w:sz="4" w:space="0" w:color="auto"/>
              <w:bottom w:val="single" w:sz="4" w:space="0" w:color="auto"/>
              <w:right w:val="single" w:sz="4" w:space="0" w:color="auto"/>
            </w:tcBorders>
            <w:vAlign w:val="center"/>
          </w:tcPr>
          <w:p w14:paraId="27E79CCA" w14:textId="1D407D72"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7B76B138" w14:textId="383CC242"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1379A842" w14:textId="1342E069"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3D38A9A5" w14:textId="4EA937D8"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r>
      <w:tr w:rsidR="00657F30" w:rsidRPr="00EA57B9" w14:paraId="7810BB44"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05F6A416"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25005</w:t>
            </w:r>
          </w:p>
        </w:tc>
        <w:tc>
          <w:tcPr>
            <w:tcW w:w="625" w:type="pct"/>
            <w:tcBorders>
              <w:top w:val="single" w:sz="4" w:space="0" w:color="auto"/>
              <w:left w:val="single" w:sz="4" w:space="0" w:color="auto"/>
              <w:bottom w:val="single" w:sz="4" w:space="0" w:color="auto"/>
              <w:right w:val="single" w:sz="4" w:space="0" w:color="auto"/>
            </w:tcBorders>
            <w:vAlign w:val="center"/>
          </w:tcPr>
          <w:p w14:paraId="62019471"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71A89295"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6B0C4EAB"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5232EFBB"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0723AB49"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c>
          <w:tcPr>
            <w:tcW w:w="625" w:type="pct"/>
            <w:tcBorders>
              <w:top w:val="single" w:sz="4" w:space="0" w:color="auto"/>
              <w:left w:val="single" w:sz="4" w:space="0" w:color="auto"/>
              <w:bottom w:val="single" w:sz="4" w:space="0" w:color="auto"/>
              <w:right w:val="single" w:sz="4" w:space="0" w:color="auto"/>
            </w:tcBorders>
            <w:vAlign w:val="center"/>
          </w:tcPr>
          <w:p w14:paraId="7E6EB488" w14:textId="77777777" w:rsidR="00657F30" w:rsidRPr="000F0C13" w:rsidRDefault="00657F30" w:rsidP="00DE6098">
            <w:pPr>
              <w:pStyle w:val="In-tableHeading"/>
              <w:jc w:val="center"/>
              <w:rPr>
                <w:b w:val="0"/>
                <w:bCs/>
                <w:szCs w:val="20"/>
                <w:lang w:val="en-AU"/>
              </w:rPr>
            </w:pPr>
            <w:r w:rsidRPr="000F0C13">
              <w:rPr>
                <w:b w:val="0"/>
                <w:bCs/>
                <w:szCs w:val="20"/>
                <w:lang w:val="en-AU"/>
              </w:rPr>
              <w:t>$36.08</w:t>
            </w:r>
          </w:p>
        </w:tc>
      </w:tr>
      <w:tr w:rsidR="00657F30" w:rsidRPr="00EA57B9" w14:paraId="529F3883"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34ED1544" w14:textId="75A3D45D" w:rsidR="00657F30" w:rsidRPr="00EA57B9" w:rsidRDefault="00657F30" w:rsidP="00DE6098">
            <w:pPr>
              <w:pStyle w:val="In-tableHeading"/>
              <w:rPr>
                <w:b w:val="0"/>
                <w:bCs/>
                <w:sz w:val="19"/>
                <w:szCs w:val="19"/>
                <w:lang w:val="en-AU"/>
              </w:rPr>
            </w:pPr>
            <w:r w:rsidRPr="00EA57B9">
              <w:rPr>
                <w:b w:val="0"/>
                <w:bCs/>
                <w:sz w:val="19"/>
                <w:szCs w:val="19"/>
                <w:lang w:val="en-AU"/>
              </w:rPr>
              <w:t>Cost</w:t>
            </w:r>
            <w:r w:rsidR="00606075">
              <w:rPr>
                <w:b w:val="0"/>
                <w:bCs/>
                <w:sz w:val="19"/>
                <w:szCs w:val="19"/>
                <w:lang w:val="en-AU"/>
              </w:rPr>
              <w:t xml:space="preserve"> to</w:t>
            </w:r>
            <w:r w:rsidRPr="00EA57B9">
              <w:rPr>
                <w:b w:val="0"/>
                <w:bCs/>
                <w:sz w:val="19"/>
                <w:szCs w:val="19"/>
                <w:lang w:val="en-AU"/>
              </w:rPr>
              <w:t xml:space="preserve"> the MBS</w:t>
            </w:r>
          </w:p>
        </w:tc>
        <w:tc>
          <w:tcPr>
            <w:tcW w:w="625" w:type="pct"/>
            <w:tcBorders>
              <w:top w:val="single" w:sz="4" w:space="0" w:color="auto"/>
              <w:left w:val="single" w:sz="4" w:space="0" w:color="auto"/>
              <w:bottom w:val="single" w:sz="4" w:space="0" w:color="auto"/>
              <w:right w:val="single" w:sz="4" w:space="0" w:color="auto"/>
            </w:tcBorders>
            <w:vAlign w:val="center"/>
          </w:tcPr>
          <w:p w14:paraId="0655AB65" w14:textId="69D474CD"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F9D056E" w14:textId="71EBCBA0"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65E6083A" w14:textId="6DB47F25"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44D68CE9" w14:textId="5310AEF4"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5E89970" w14:textId="2B074FBF"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75352DF" w14:textId="3EDC2DE0" w:rsidR="00657F30" w:rsidRPr="000F0C13" w:rsidRDefault="00657F30" w:rsidP="00DE6098">
            <w:pPr>
              <w:pStyle w:val="In-tableHeading"/>
              <w:jc w:val="center"/>
              <w:rPr>
                <w:b w:val="0"/>
                <w:bCs/>
                <w:szCs w:val="20"/>
                <w:lang w:val="en-AU"/>
              </w:rPr>
            </w:pPr>
            <w:r w:rsidRPr="000F0C13">
              <w:rPr>
                <w:b w:val="0"/>
                <w:bCs/>
                <w:szCs w:val="20"/>
                <w:lang w:val="en-AU"/>
              </w:rPr>
              <w:t>$</w:t>
            </w:r>
            <w:r w:rsidR="000F0C13" w:rsidRPr="000F0C13">
              <w:rPr>
                <w:b w:val="0"/>
                <w:bCs/>
                <w:szCs w:val="20"/>
              </w:rPr>
              <w:t xml:space="preserve"> REDACTED</w:t>
            </w:r>
            <w:r w:rsidR="000F0C13" w:rsidRPr="000F0C13" w:rsidDel="000F0C13">
              <w:rPr>
                <w:b w:val="0"/>
                <w:bCs/>
                <w:szCs w:val="20"/>
                <w:lang w:val="en-AU"/>
              </w:rPr>
              <w:t xml:space="preserve"> </w:t>
            </w:r>
            <w:r w:rsidR="00C9249B" w:rsidRPr="000F0C13">
              <w:rPr>
                <w:b w:val="0"/>
                <w:bCs/>
                <w:szCs w:val="20"/>
                <w:vertAlign w:val="superscript"/>
                <w:lang w:val="en-AU"/>
              </w:rPr>
              <w:t>6</w:t>
            </w:r>
          </w:p>
        </w:tc>
      </w:tr>
      <w:tr w:rsidR="00657F30" w:rsidRPr="00EA57B9" w14:paraId="63D8A78F"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4147CB0A" w14:textId="77777777" w:rsidR="00657F30" w:rsidRPr="00EA57B9" w:rsidRDefault="00657F30" w:rsidP="00DE6098">
            <w:pPr>
              <w:pStyle w:val="In-tableHeading"/>
              <w:rPr>
                <w:b w:val="0"/>
                <w:bCs/>
                <w:sz w:val="19"/>
                <w:szCs w:val="19"/>
                <w:lang w:val="en-AU"/>
              </w:rPr>
            </w:pPr>
            <w:r w:rsidRPr="00EA57B9">
              <w:rPr>
                <w:b w:val="0"/>
                <w:bCs/>
                <w:sz w:val="19"/>
                <w:szCs w:val="19"/>
                <w:lang w:val="en-AU"/>
              </w:rPr>
              <w:t>MBS 25014 - Anaesthesia, if patient is aged 75 years +</w:t>
            </w:r>
          </w:p>
        </w:tc>
        <w:tc>
          <w:tcPr>
            <w:tcW w:w="625" w:type="pct"/>
            <w:tcBorders>
              <w:top w:val="single" w:sz="4" w:space="0" w:color="auto"/>
              <w:left w:val="single" w:sz="4" w:space="0" w:color="auto"/>
              <w:bottom w:val="single" w:sz="4" w:space="0" w:color="auto"/>
              <w:right w:val="single" w:sz="4" w:space="0" w:color="auto"/>
            </w:tcBorders>
            <w:vAlign w:val="center"/>
          </w:tcPr>
          <w:p w14:paraId="7A45031D" w14:textId="575FC102"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4495707D" w14:textId="2F5DEAA6"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2</w:t>
            </w:r>
          </w:p>
        </w:tc>
        <w:tc>
          <w:tcPr>
            <w:tcW w:w="625" w:type="pct"/>
            <w:tcBorders>
              <w:top w:val="single" w:sz="4" w:space="0" w:color="auto"/>
              <w:left w:val="single" w:sz="4" w:space="0" w:color="auto"/>
              <w:bottom w:val="single" w:sz="4" w:space="0" w:color="auto"/>
              <w:right w:val="single" w:sz="4" w:space="0" w:color="auto"/>
            </w:tcBorders>
            <w:vAlign w:val="center"/>
          </w:tcPr>
          <w:p w14:paraId="3409361D" w14:textId="2AD6AC2A"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606DD40B" w14:textId="36DEE960"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706C9E35" w14:textId="7A2D7B9C"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3</w:t>
            </w:r>
          </w:p>
        </w:tc>
        <w:tc>
          <w:tcPr>
            <w:tcW w:w="625" w:type="pct"/>
            <w:tcBorders>
              <w:top w:val="single" w:sz="4" w:space="0" w:color="auto"/>
              <w:left w:val="single" w:sz="4" w:space="0" w:color="auto"/>
              <w:bottom w:val="single" w:sz="4" w:space="0" w:color="auto"/>
              <w:right w:val="single" w:sz="4" w:space="0" w:color="auto"/>
            </w:tcBorders>
            <w:vAlign w:val="center"/>
          </w:tcPr>
          <w:p w14:paraId="11FE4CE5" w14:textId="23E1F96F" w:rsidR="00657F30" w:rsidRPr="000F0C13" w:rsidRDefault="000F0C13" w:rsidP="00DE6098">
            <w:pPr>
              <w:pStyle w:val="In-tableHeading"/>
              <w:jc w:val="center"/>
              <w:rPr>
                <w:b w:val="0"/>
                <w:bCs/>
                <w:szCs w:val="20"/>
                <w:vertAlign w:val="superscript"/>
                <w:lang w:val="en-AU"/>
              </w:rPr>
            </w:pPr>
            <w:r w:rsidRPr="000F0C13">
              <w:rPr>
                <w:b w:val="0"/>
                <w:bCs/>
                <w:szCs w:val="20"/>
              </w:rPr>
              <w:t>REDACTED</w:t>
            </w:r>
            <w:r w:rsidRPr="000F0C13" w:rsidDel="000F0C13">
              <w:rPr>
                <w:b w:val="0"/>
                <w:bCs/>
                <w:szCs w:val="20"/>
                <w:lang w:val="en-AU"/>
              </w:rPr>
              <w:t xml:space="preserve"> </w:t>
            </w:r>
            <w:r w:rsidR="00656F2A" w:rsidRPr="000F0C13">
              <w:rPr>
                <w:b w:val="0"/>
                <w:bCs/>
                <w:szCs w:val="20"/>
                <w:vertAlign w:val="superscript"/>
                <w:lang w:val="en-AU"/>
              </w:rPr>
              <w:t>3</w:t>
            </w:r>
          </w:p>
        </w:tc>
      </w:tr>
      <w:tr w:rsidR="00657F30" w:rsidRPr="00EA57B9" w14:paraId="0CEFC475"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09A105E6" w14:textId="77777777" w:rsidR="00657F30" w:rsidRPr="00EA57B9" w:rsidRDefault="00657F30" w:rsidP="00DE6098">
            <w:pPr>
              <w:pStyle w:val="In-tableHeading"/>
              <w:rPr>
                <w:b w:val="0"/>
                <w:bCs/>
                <w:sz w:val="19"/>
                <w:szCs w:val="19"/>
                <w:lang w:val="en-AU"/>
              </w:rPr>
            </w:pPr>
            <w:r w:rsidRPr="00EA57B9">
              <w:rPr>
                <w:b w:val="0"/>
                <w:bCs/>
                <w:sz w:val="19"/>
                <w:szCs w:val="19"/>
                <w:lang w:val="en-AU"/>
              </w:rPr>
              <w:t>Cost of MBS 25014</w:t>
            </w:r>
          </w:p>
        </w:tc>
        <w:tc>
          <w:tcPr>
            <w:tcW w:w="625" w:type="pct"/>
            <w:tcBorders>
              <w:top w:val="single" w:sz="4" w:space="0" w:color="auto"/>
              <w:left w:val="single" w:sz="4" w:space="0" w:color="auto"/>
              <w:bottom w:val="single" w:sz="4" w:space="0" w:color="auto"/>
              <w:right w:val="single" w:sz="4" w:space="0" w:color="auto"/>
            </w:tcBorders>
            <w:vAlign w:val="center"/>
          </w:tcPr>
          <w:p w14:paraId="016C0015"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274BC999"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2181AD41"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06E05E36"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688AF34D"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c>
          <w:tcPr>
            <w:tcW w:w="625" w:type="pct"/>
            <w:tcBorders>
              <w:top w:val="single" w:sz="4" w:space="0" w:color="auto"/>
              <w:left w:val="single" w:sz="4" w:space="0" w:color="auto"/>
              <w:bottom w:val="single" w:sz="4" w:space="0" w:color="auto"/>
              <w:right w:val="single" w:sz="4" w:space="0" w:color="auto"/>
            </w:tcBorders>
            <w:vAlign w:val="center"/>
          </w:tcPr>
          <w:p w14:paraId="35A4C394" w14:textId="77777777" w:rsidR="00657F30" w:rsidRPr="00EB7416" w:rsidRDefault="00657F30" w:rsidP="00DE6098">
            <w:pPr>
              <w:pStyle w:val="In-tableHeading"/>
              <w:jc w:val="center"/>
              <w:rPr>
                <w:b w:val="0"/>
                <w:bCs/>
                <w:sz w:val="19"/>
                <w:szCs w:val="19"/>
                <w:lang w:val="en-AU"/>
              </w:rPr>
            </w:pPr>
            <w:r w:rsidRPr="00EB7416">
              <w:rPr>
                <w:b w:val="0"/>
                <w:bCs/>
                <w:sz w:val="19"/>
                <w:szCs w:val="19"/>
                <w:lang w:val="en-AU"/>
              </w:rPr>
              <w:t>$18.04</w:t>
            </w:r>
          </w:p>
        </w:tc>
      </w:tr>
      <w:tr w:rsidR="00657F30" w:rsidRPr="00EA57B9" w14:paraId="66F64476"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65507F1D" w14:textId="1431DEF1" w:rsidR="00657F30" w:rsidRPr="00EA57B9" w:rsidRDefault="00657F30" w:rsidP="00DE6098">
            <w:pPr>
              <w:pStyle w:val="In-tableHeading"/>
              <w:rPr>
                <w:b w:val="0"/>
                <w:bCs/>
                <w:sz w:val="19"/>
                <w:szCs w:val="19"/>
                <w:lang w:val="en-AU"/>
              </w:rPr>
            </w:pPr>
            <w:r w:rsidRPr="00EA57B9">
              <w:rPr>
                <w:b w:val="0"/>
                <w:bCs/>
                <w:sz w:val="19"/>
                <w:szCs w:val="19"/>
                <w:lang w:val="en-AU"/>
              </w:rPr>
              <w:t>Cos</w:t>
            </w:r>
            <w:r w:rsidR="00606075">
              <w:rPr>
                <w:b w:val="0"/>
                <w:bCs/>
                <w:sz w:val="19"/>
                <w:szCs w:val="19"/>
                <w:lang w:val="en-AU"/>
              </w:rPr>
              <w:t>t to</w:t>
            </w:r>
            <w:r w:rsidRPr="00EA57B9">
              <w:rPr>
                <w:b w:val="0"/>
                <w:bCs/>
                <w:sz w:val="19"/>
                <w:szCs w:val="19"/>
                <w:lang w:val="en-AU"/>
              </w:rPr>
              <w:t xml:space="preserve"> the MBS</w:t>
            </w:r>
          </w:p>
        </w:tc>
        <w:tc>
          <w:tcPr>
            <w:tcW w:w="625" w:type="pct"/>
            <w:tcBorders>
              <w:top w:val="single" w:sz="4" w:space="0" w:color="auto"/>
              <w:left w:val="single" w:sz="4" w:space="0" w:color="auto"/>
              <w:bottom w:val="single" w:sz="4" w:space="0" w:color="auto"/>
              <w:right w:val="single" w:sz="4" w:space="0" w:color="auto"/>
            </w:tcBorders>
            <w:vAlign w:val="center"/>
          </w:tcPr>
          <w:p w14:paraId="5C2967BB" w14:textId="17E989B1"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3B7D55DD" w14:textId="32144D75"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5253CC76" w14:textId="38D817E2"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73D7A826" w14:textId="3DFE38F7"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335ABF7A" w14:textId="05B282B7"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3B7086F5" w14:textId="3115FFEF"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r>
      <w:tr w:rsidR="00657F30" w:rsidRPr="00EA57B9" w14:paraId="183DDD1C" w14:textId="77777777" w:rsidTr="005F3941">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10AD4C72" w14:textId="77777777" w:rsidR="00657F30" w:rsidRPr="00EA57B9" w:rsidRDefault="00657F30" w:rsidP="00DE6098">
            <w:pPr>
              <w:pStyle w:val="In-tableHeading"/>
              <w:rPr>
                <w:sz w:val="19"/>
                <w:szCs w:val="19"/>
                <w:lang w:val="en-AU"/>
              </w:rPr>
            </w:pPr>
            <w:r w:rsidRPr="00EA57B9">
              <w:rPr>
                <w:sz w:val="19"/>
                <w:szCs w:val="19"/>
                <w:lang w:val="en-AU"/>
              </w:rPr>
              <w:t>Total cost to the MBS</w:t>
            </w:r>
          </w:p>
        </w:tc>
        <w:tc>
          <w:tcPr>
            <w:tcW w:w="625" w:type="pct"/>
            <w:tcBorders>
              <w:top w:val="single" w:sz="4" w:space="0" w:color="auto"/>
              <w:left w:val="single" w:sz="4" w:space="0" w:color="auto"/>
              <w:bottom w:val="single" w:sz="4" w:space="0" w:color="auto"/>
              <w:right w:val="single" w:sz="4" w:space="0" w:color="auto"/>
            </w:tcBorders>
            <w:vAlign w:val="center"/>
          </w:tcPr>
          <w:p w14:paraId="635A6244" w14:textId="39767406"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1D78B507" w14:textId="146E454E"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3AC59DB8" w14:textId="02A085D2"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4A405CF5" w14:textId="570D6EA6"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223AF6ED" w14:textId="6B93BA07"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c>
          <w:tcPr>
            <w:tcW w:w="625" w:type="pct"/>
            <w:tcBorders>
              <w:top w:val="single" w:sz="4" w:space="0" w:color="auto"/>
              <w:left w:val="single" w:sz="4" w:space="0" w:color="auto"/>
              <w:bottom w:val="single" w:sz="4" w:space="0" w:color="auto"/>
              <w:right w:val="single" w:sz="4" w:space="0" w:color="auto"/>
            </w:tcBorders>
            <w:vAlign w:val="center"/>
          </w:tcPr>
          <w:p w14:paraId="4B1FA65B" w14:textId="4FCE546A" w:rsidR="00657F30" w:rsidRPr="00EB7416" w:rsidRDefault="00657F30" w:rsidP="00DE6098">
            <w:pPr>
              <w:pStyle w:val="In-tableHeading"/>
              <w:jc w:val="center"/>
              <w:rPr>
                <w:b w:val="0"/>
                <w:bCs/>
                <w:sz w:val="19"/>
                <w:szCs w:val="19"/>
                <w:lang w:val="en-AU"/>
              </w:rPr>
            </w:pPr>
            <w:r w:rsidRPr="00EB7416">
              <w:rPr>
                <w:b w:val="0"/>
                <w:bCs/>
                <w:sz w:val="19"/>
                <w:szCs w:val="19"/>
                <w:lang w:val="en-AU"/>
              </w:rPr>
              <w:t>$</w:t>
            </w:r>
            <w:r w:rsidR="00EB7416" w:rsidRPr="00EB7416">
              <w:rPr>
                <w:b w:val="0"/>
                <w:bCs/>
                <w:szCs w:val="20"/>
              </w:rPr>
              <w:t xml:space="preserve"> REDACTED</w:t>
            </w:r>
            <w:r w:rsidR="00EB7416" w:rsidRPr="00EB7416" w:rsidDel="00EB7416">
              <w:rPr>
                <w:b w:val="0"/>
                <w:bCs/>
                <w:sz w:val="19"/>
                <w:szCs w:val="19"/>
                <w:lang w:val="en-AU"/>
              </w:rPr>
              <w:t xml:space="preserve"> </w:t>
            </w:r>
            <w:r w:rsidR="00C9249B" w:rsidRPr="00EB7416">
              <w:rPr>
                <w:b w:val="0"/>
                <w:bCs/>
                <w:sz w:val="19"/>
                <w:szCs w:val="19"/>
                <w:vertAlign w:val="superscript"/>
                <w:lang w:val="en-AU"/>
              </w:rPr>
              <w:t>6</w:t>
            </w:r>
          </w:p>
        </w:tc>
      </w:tr>
    </w:tbl>
    <w:p w14:paraId="18582BCE" w14:textId="77777777" w:rsidR="00657F30" w:rsidRPr="00E10534" w:rsidRDefault="00657F30" w:rsidP="0045732C">
      <w:pPr>
        <w:pStyle w:val="TableFigureFooter"/>
      </w:pPr>
      <w:r w:rsidRPr="00E10534" w:rsidDel="0015247C">
        <w:t xml:space="preserve">Source: </w:t>
      </w:r>
      <w:r w:rsidRPr="00E10534">
        <w:t>Developed during the evaluation based on Departmental advice</w:t>
      </w:r>
      <w:r w:rsidRPr="00E10534" w:rsidDel="0015247C">
        <w:t>.</w:t>
      </w:r>
    </w:p>
    <w:p w14:paraId="09952CE5" w14:textId="77777777" w:rsidR="00657F30" w:rsidRPr="005146F0" w:rsidRDefault="00657F30" w:rsidP="0045732C">
      <w:pPr>
        <w:pStyle w:val="TableFigureFooter"/>
      </w:pPr>
      <w:r w:rsidRPr="005146F0">
        <w:t>Fee for MBS 21945 is $112.75. Cost is calculated at 80% of schedule fee.</w:t>
      </w:r>
    </w:p>
    <w:p w14:paraId="3AE8035D" w14:textId="77777777" w:rsidR="00657F30" w:rsidRPr="005146F0" w:rsidRDefault="00657F30" w:rsidP="0045732C">
      <w:pPr>
        <w:pStyle w:val="TableFigureFooter"/>
      </w:pPr>
      <w:r w:rsidRPr="005146F0">
        <w:t>Fee for MBS 17610 is $49.75. Cost is calculated at 80% of schedule fee.</w:t>
      </w:r>
    </w:p>
    <w:p w14:paraId="71D5ED22" w14:textId="77777777" w:rsidR="00657F30" w:rsidRPr="005146F0" w:rsidRDefault="00657F30" w:rsidP="0045732C">
      <w:pPr>
        <w:pStyle w:val="TableFigureFooter"/>
      </w:pPr>
      <w:r w:rsidRPr="005146F0">
        <w:t>Fee for MBS 23010 is $22.55. Cost is calculated at 80% of schedule fee.</w:t>
      </w:r>
    </w:p>
    <w:p w14:paraId="36F73633" w14:textId="77777777" w:rsidR="00657F30" w:rsidRPr="005146F0" w:rsidRDefault="00657F30" w:rsidP="0045732C">
      <w:pPr>
        <w:pStyle w:val="TableFigureFooter"/>
      </w:pPr>
      <w:r w:rsidRPr="005146F0">
        <w:t>Fee for MBS 23025 is $45.1</w:t>
      </w:r>
      <w:r>
        <w:t>0</w:t>
      </w:r>
      <w:r w:rsidRPr="005146F0">
        <w:t>. Cost is calculated at 80% of schedule fee.</w:t>
      </w:r>
    </w:p>
    <w:p w14:paraId="44E71E51" w14:textId="77777777" w:rsidR="00657F30" w:rsidRPr="005146F0" w:rsidRDefault="00657F30" w:rsidP="0045732C">
      <w:pPr>
        <w:pStyle w:val="TableFigureFooter"/>
      </w:pPr>
      <w:r w:rsidRPr="005146F0">
        <w:t>Fee for MBS 25000 is $22.55. Cost is calculated at 80% of schedule fee.</w:t>
      </w:r>
    </w:p>
    <w:p w14:paraId="7182D075" w14:textId="77777777" w:rsidR="00657F30" w:rsidRPr="005146F0" w:rsidRDefault="00657F30" w:rsidP="0045732C">
      <w:pPr>
        <w:pStyle w:val="TableFigureFooter"/>
      </w:pPr>
      <w:r w:rsidRPr="005146F0">
        <w:t>Fee for MBS 25005 is $45.1</w:t>
      </w:r>
      <w:r>
        <w:t>0</w:t>
      </w:r>
      <w:r w:rsidRPr="005146F0">
        <w:t>. Cost is calculated at 80% of schedule fee.</w:t>
      </w:r>
    </w:p>
    <w:p w14:paraId="4283F9D6" w14:textId="10253945" w:rsidR="006A0ADF" w:rsidRDefault="00657F30" w:rsidP="0045732C">
      <w:pPr>
        <w:pStyle w:val="TableFigureFooter"/>
      </w:pPr>
      <w:r w:rsidRPr="005146F0">
        <w:t>Fee for MBS 25014 is $22.55. Cost is calculated at 80% of schedule fee.</w:t>
      </w:r>
    </w:p>
    <w:p w14:paraId="4840A0C9" w14:textId="77777777" w:rsidR="000D4A43" w:rsidRDefault="000D4A43" w:rsidP="000D4A43">
      <w:pPr>
        <w:pStyle w:val="FooterTableFigure"/>
      </w:pPr>
      <w:r w:rsidRPr="00963DAC">
        <w:t>The redacted values correspond to the following ranges per year:</w:t>
      </w:r>
    </w:p>
    <w:p w14:paraId="2FB5285E" w14:textId="5D09C8DE" w:rsidR="000D4A43" w:rsidRDefault="000D4A43" w:rsidP="000D4A43">
      <w:pPr>
        <w:pStyle w:val="FooterTableFigure"/>
      </w:pPr>
      <w:r>
        <w:rPr>
          <w:vertAlign w:val="superscript"/>
        </w:rPr>
        <w:t xml:space="preserve">1 </w:t>
      </w:r>
      <w:r w:rsidR="005148B0">
        <w:t>5</w:t>
      </w:r>
      <w:r>
        <w:t xml:space="preserve">00 to &lt; </w:t>
      </w:r>
      <w:r w:rsidR="005148B0">
        <w:t>5</w:t>
      </w:r>
      <w:r>
        <w:t>,000</w:t>
      </w:r>
    </w:p>
    <w:p w14:paraId="53DA60FC" w14:textId="4677CE87" w:rsidR="000D4A43" w:rsidRDefault="000D4A43" w:rsidP="000D4A43">
      <w:pPr>
        <w:pStyle w:val="FooterTableFigure"/>
      </w:pPr>
      <w:r>
        <w:rPr>
          <w:vertAlign w:val="superscript"/>
        </w:rPr>
        <w:t xml:space="preserve">2 </w:t>
      </w:r>
      <w:r w:rsidR="005148B0">
        <w:t>5</w:t>
      </w:r>
      <w:r>
        <w:t xml:space="preserve">,000 to &lt; </w:t>
      </w:r>
      <w:r w:rsidR="005148B0">
        <w:t>1</w:t>
      </w:r>
      <w:r>
        <w:t>0,000</w:t>
      </w:r>
    </w:p>
    <w:p w14:paraId="7265115E" w14:textId="7D3AFE6F" w:rsidR="000D4A43" w:rsidRDefault="005148B0" w:rsidP="000D4A43">
      <w:pPr>
        <w:pStyle w:val="FooterTableFigure"/>
      </w:pPr>
      <w:r>
        <w:rPr>
          <w:vertAlign w:val="superscript"/>
        </w:rPr>
        <w:t>3</w:t>
      </w:r>
      <w:r w:rsidR="000D4A43">
        <w:rPr>
          <w:vertAlign w:val="superscript"/>
        </w:rPr>
        <w:t xml:space="preserve"> </w:t>
      </w:r>
      <w:r w:rsidR="000D4A43" w:rsidRPr="00144F1F">
        <w:t>10</w:t>
      </w:r>
      <w:r w:rsidR="000D4A43">
        <w:t>,000 to &lt; 20,000</w:t>
      </w:r>
    </w:p>
    <w:p w14:paraId="2A582588" w14:textId="5B3FF005" w:rsidR="000D4A43" w:rsidRDefault="005148B0" w:rsidP="000D4A43">
      <w:pPr>
        <w:pStyle w:val="FooterTableFigure"/>
      </w:pPr>
      <w:r>
        <w:rPr>
          <w:vertAlign w:val="superscript"/>
        </w:rPr>
        <w:t>4</w:t>
      </w:r>
      <w:r w:rsidR="000D4A43">
        <w:rPr>
          <w:vertAlign w:val="superscript"/>
        </w:rPr>
        <w:t xml:space="preserve"> </w:t>
      </w:r>
      <w:r w:rsidR="000D4A43">
        <w:t>20,000 to &lt; 30,000</w:t>
      </w:r>
    </w:p>
    <w:p w14:paraId="12A498EB" w14:textId="3EE7C7DC" w:rsidR="000D4A43" w:rsidRDefault="005148B0" w:rsidP="000D4A43">
      <w:pPr>
        <w:pStyle w:val="FooterTableFigure"/>
      </w:pPr>
      <w:r>
        <w:rPr>
          <w:vertAlign w:val="superscript"/>
        </w:rPr>
        <w:t>5</w:t>
      </w:r>
      <w:r w:rsidR="000D4A43">
        <w:rPr>
          <w:vertAlign w:val="superscript"/>
        </w:rPr>
        <w:t xml:space="preserve"> </w:t>
      </w:r>
      <w:r w:rsidR="000D4A43">
        <w:t>30,000 to &lt; 40,000</w:t>
      </w:r>
    </w:p>
    <w:p w14:paraId="54393281" w14:textId="0AB49491" w:rsidR="000D4A43" w:rsidRDefault="000D4A43" w:rsidP="005051F2">
      <w:pPr>
        <w:pStyle w:val="FooterTableFigure"/>
      </w:pPr>
      <w:r>
        <w:rPr>
          <w:vertAlign w:val="superscript"/>
        </w:rPr>
        <w:t xml:space="preserve">6 </w:t>
      </w:r>
      <w:r w:rsidRPr="00251021">
        <w:t>$0 to &lt; $10 million</w:t>
      </w:r>
    </w:p>
    <w:p w14:paraId="24CB8F33" w14:textId="1A927D1F" w:rsidR="00345B81" w:rsidRPr="00EE0EEB" w:rsidRDefault="00380F34" w:rsidP="00565B62">
      <w:pPr>
        <w:pStyle w:val="Caption"/>
      </w:pPr>
      <w:bookmarkStart w:id="67" w:name="_Ref205192388"/>
      <w:bookmarkStart w:id="68" w:name="_Ref196233163"/>
      <w:r>
        <w:lastRenderedPageBreak/>
        <w:t xml:space="preserve">Table </w:t>
      </w:r>
      <w:r w:rsidR="003244DD">
        <w:fldChar w:fldCharType="begin"/>
      </w:r>
      <w:r w:rsidR="003244DD">
        <w:instrText xml:space="preserve"> SEQ Table \* ARABIC </w:instrText>
      </w:r>
      <w:r w:rsidR="003244DD">
        <w:fldChar w:fldCharType="separate"/>
      </w:r>
      <w:r w:rsidR="003244DD">
        <w:rPr>
          <w:noProof/>
        </w:rPr>
        <w:t>23</w:t>
      </w:r>
      <w:r w:rsidR="003244DD">
        <w:rPr>
          <w:noProof/>
        </w:rPr>
        <w:fldChar w:fldCharType="end"/>
      </w:r>
      <w:bookmarkEnd w:id="67"/>
      <w:bookmarkEnd w:id="68"/>
      <w:r w:rsidR="00D111A4">
        <w:t xml:space="preserve"> </w:t>
      </w:r>
      <w:r w:rsidR="00345B81" w:rsidRPr="00EE0EEB">
        <w:t>Estimated use and financial implications – complementary items</w:t>
      </w:r>
    </w:p>
    <w:tbl>
      <w:tblPr>
        <w:tblW w:w="49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1134"/>
        <w:gridCol w:w="1136"/>
        <w:gridCol w:w="1275"/>
        <w:gridCol w:w="1132"/>
        <w:gridCol w:w="1136"/>
        <w:gridCol w:w="1288"/>
      </w:tblGrid>
      <w:tr w:rsidR="00475EAE" w:rsidRPr="00EE0EEB" w14:paraId="656197FF" w14:textId="77777777" w:rsidTr="00475EAE">
        <w:trPr>
          <w:tblHeader/>
        </w:trPr>
        <w:tc>
          <w:tcPr>
            <w:tcW w:w="1030" w:type="pct"/>
            <w:vAlign w:val="center"/>
          </w:tcPr>
          <w:p w14:paraId="30414DA0" w14:textId="77777777" w:rsidR="00345B81" w:rsidRPr="00EE0EEB" w:rsidRDefault="00345B81" w:rsidP="00D111A4">
            <w:pPr>
              <w:pStyle w:val="TableText"/>
              <w:spacing w:before="20" w:after="20"/>
              <w:jc w:val="center"/>
              <w:rPr>
                <w:b/>
              </w:rPr>
            </w:pPr>
          </w:p>
        </w:tc>
        <w:tc>
          <w:tcPr>
            <w:tcW w:w="634" w:type="pct"/>
            <w:vAlign w:val="center"/>
          </w:tcPr>
          <w:p w14:paraId="544BD282" w14:textId="77777777" w:rsidR="00345B81" w:rsidRPr="00EE0EEB" w:rsidRDefault="00345B81" w:rsidP="00D111A4">
            <w:pPr>
              <w:pStyle w:val="TableText"/>
              <w:spacing w:before="20" w:after="20"/>
              <w:jc w:val="center"/>
              <w:rPr>
                <w:b/>
              </w:rPr>
            </w:pPr>
            <w:r w:rsidRPr="00EE0EEB">
              <w:rPr>
                <w:b/>
              </w:rPr>
              <w:t>Year 1</w:t>
            </w:r>
          </w:p>
        </w:tc>
        <w:tc>
          <w:tcPr>
            <w:tcW w:w="635" w:type="pct"/>
            <w:vAlign w:val="center"/>
          </w:tcPr>
          <w:p w14:paraId="7BD7A7D4" w14:textId="77777777" w:rsidR="00345B81" w:rsidRPr="00EE0EEB" w:rsidRDefault="00345B81" w:rsidP="00D111A4">
            <w:pPr>
              <w:pStyle w:val="TableText"/>
              <w:spacing w:before="20" w:after="20"/>
              <w:jc w:val="center"/>
              <w:rPr>
                <w:b/>
              </w:rPr>
            </w:pPr>
            <w:r w:rsidRPr="00EE0EEB">
              <w:rPr>
                <w:b/>
              </w:rPr>
              <w:t>Year 2</w:t>
            </w:r>
          </w:p>
        </w:tc>
        <w:tc>
          <w:tcPr>
            <w:tcW w:w="713" w:type="pct"/>
            <w:vAlign w:val="center"/>
          </w:tcPr>
          <w:p w14:paraId="1B4E71B8" w14:textId="77777777" w:rsidR="00345B81" w:rsidRPr="00EE0EEB" w:rsidRDefault="00345B81" w:rsidP="00D111A4">
            <w:pPr>
              <w:pStyle w:val="TableText"/>
              <w:spacing w:before="20" w:after="20"/>
              <w:jc w:val="center"/>
              <w:rPr>
                <w:b/>
              </w:rPr>
            </w:pPr>
            <w:r w:rsidRPr="00EE0EEB">
              <w:rPr>
                <w:b/>
              </w:rPr>
              <w:t>Year 3</w:t>
            </w:r>
          </w:p>
        </w:tc>
        <w:tc>
          <w:tcPr>
            <w:tcW w:w="633" w:type="pct"/>
            <w:vAlign w:val="center"/>
          </w:tcPr>
          <w:p w14:paraId="2B6D6381" w14:textId="77777777" w:rsidR="00345B81" w:rsidRPr="00EE0EEB" w:rsidRDefault="00345B81" w:rsidP="00D111A4">
            <w:pPr>
              <w:pStyle w:val="TableText"/>
              <w:spacing w:before="20" w:after="20"/>
              <w:jc w:val="center"/>
              <w:rPr>
                <w:b/>
              </w:rPr>
            </w:pPr>
            <w:r w:rsidRPr="00EE0EEB">
              <w:rPr>
                <w:b/>
              </w:rPr>
              <w:t>Year 4</w:t>
            </w:r>
          </w:p>
        </w:tc>
        <w:tc>
          <w:tcPr>
            <w:tcW w:w="635" w:type="pct"/>
            <w:vAlign w:val="center"/>
          </w:tcPr>
          <w:p w14:paraId="1E8F2687" w14:textId="77777777" w:rsidR="00345B81" w:rsidRPr="00EE0EEB" w:rsidRDefault="00345B81" w:rsidP="00D111A4">
            <w:pPr>
              <w:pStyle w:val="TableText"/>
              <w:spacing w:before="20" w:after="20"/>
              <w:jc w:val="center"/>
              <w:rPr>
                <w:b/>
              </w:rPr>
            </w:pPr>
            <w:r w:rsidRPr="00EE0EEB">
              <w:rPr>
                <w:b/>
              </w:rPr>
              <w:t>Year 5</w:t>
            </w:r>
          </w:p>
        </w:tc>
        <w:tc>
          <w:tcPr>
            <w:tcW w:w="720" w:type="pct"/>
          </w:tcPr>
          <w:p w14:paraId="74C5DAA3" w14:textId="77777777" w:rsidR="00345B81" w:rsidRPr="00EE0EEB" w:rsidRDefault="00345B81" w:rsidP="00D111A4">
            <w:pPr>
              <w:pStyle w:val="TableText"/>
              <w:spacing w:before="20" w:after="20"/>
              <w:jc w:val="center"/>
              <w:rPr>
                <w:b/>
              </w:rPr>
            </w:pPr>
            <w:r w:rsidRPr="00EE0EEB">
              <w:rPr>
                <w:b/>
              </w:rPr>
              <w:t>Year 6</w:t>
            </w:r>
          </w:p>
        </w:tc>
      </w:tr>
      <w:tr w:rsidR="00B32F53" w:rsidRPr="00EE0EEB" w14:paraId="64C6C3B5" w14:textId="77777777" w:rsidTr="00074465">
        <w:tc>
          <w:tcPr>
            <w:tcW w:w="5000" w:type="pct"/>
            <w:gridSpan w:val="7"/>
            <w:vAlign w:val="center"/>
          </w:tcPr>
          <w:p w14:paraId="6C110A58" w14:textId="76EE651D" w:rsidR="00345B81" w:rsidRPr="00EE0EEB" w:rsidRDefault="00345B81" w:rsidP="00D111A4">
            <w:pPr>
              <w:pStyle w:val="TableText"/>
              <w:spacing w:before="20" w:after="20"/>
              <w:rPr>
                <w:b/>
              </w:rPr>
            </w:pPr>
            <w:r w:rsidRPr="00EE0EEB">
              <w:rPr>
                <w:b/>
              </w:rPr>
              <w:t>Estimated extent of use of CT scan with A</w:t>
            </w:r>
            <w:r w:rsidR="00D31014">
              <w:rPr>
                <w:rFonts w:ascii="Calibri" w:hAnsi="Calibri" w:cs="Calibri"/>
                <w:b/>
              </w:rPr>
              <w:t>β</w:t>
            </w:r>
            <w:r w:rsidRPr="00EE0EEB">
              <w:rPr>
                <w:b/>
              </w:rPr>
              <w:t xml:space="preserve">-PET scan – </w:t>
            </w:r>
            <w:r w:rsidR="000A68B2" w:rsidRPr="00EE0EEB">
              <w:rPr>
                <w:b/>
              </w:rPr>
              <w:t>eli</w:t>
            </w:r>
            <w:r w:rsidR="005D0898" w:rsidRPr="00EE0EEB">
              <w:rPr>
                <w:b/>
              </w:rPr>
              <w:t>gibility</w:t>
            </w:r>
          </w:p>
        </w:tc>
      </w:tr>
      <w:tr w:rsidR="00475EAE" w:rsidRPr="00EE0EEB" w14:paraId="2DCC2CF6" w14:textId="77777777" w:rsidTr="00475EAE">
        <w:tc>
          <w:tcPr>
            <w:tcW w:w="1030" w:type="pct"/>
            <w:vAlign w:val="center"/>
          </w:tcPr>
          <w:p w14:paraId="384EECC4" w14:textId="77777777" w:rsidR="00345B81" w:rsidRPr="00EE0EEB" w:rsidRDefault="00345B81" w:rsidP="00D111A4">
            <w:pPr>
              <w:pStyle w:val="TableText"/>
              <w:spacing w:before="20" w:after="20"/>
            </w:pPr>
            <w:r w:rsidRPr="00EE0EEB">
              <w:t>Number of patients tested</w:t>
            </w:r>
          </w:p>
        </w:tc>
        <w:tc>
          <w:tcPr>
            <w:tcW w:w="634" w:type="pct"/>
          </w:tcPr>
          <w:p w14:paraId="46DDF844" w14:textId="6C8FE703" w:rsidR="00345B81" w:rsidRPr="00BD502A" w:rsidRDefault="00BD502A" w:rsidP="00D111A4">
            <w:pPr>
              <w:pStyle w:val="TableNumber"/>
              <w:spacing w:before="20" w:after="20"/>
              <w:rPr>
                <w:vertAlign w:val="superscript"/>
              </w:rPr>
            </w:pPr>
            <w:r w:rsidRPr="00BD502A">
              <w:rPr>
                <w:szCs w:val="20"/>
              </w:rPr>
              <w:t>REDACTED</w:t>
            </w:r>
            <w:r w:rsidRPr="00BD502A" w:rsidDel="00BD502A">
              <w:t xml:space="preserve"> </w:t>
            </w:r>
            <w:r w:rsidR="000A7D0B" w:rsidRPr="00BD502A">
              <w:rPr>
                <w:vertAlign w:val="superscript"/>
              </w:rPr>
              <w:t>1</w:t>
            </w:r>
          </w:p>
        </w:tc>
        <w:tc>
          <w:tcPr>
            <w:tcW w:w="635" w:type="pct"/>
          </w:tcPr>
          <w:p w14:paraId="4C8A131B" w14:textId="40A2BFDB"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0A7D0B" w:rsidRPr="00BD502A">
              <w:rPr>
                <w:vertAlign w:val="superscript"/>
              </w:rPr>
              <w:t>1</w:t>
            </w:r>
          </w:p>
        </w:tc>
        <w:tc>
          <w:tcPr>
            <w:tcW w:w="713" w:type="pct"/>
          </w:tcPr>
          <w:p w14:paraId="680BDACF" w14:textId="2AFCC3ED"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B22C3" w:rsidRPr="00BD502A">
              <w:rPr>
                <w:vertAlign w:val="superscript"/>
              </w:rPr>
              <w:t>2</w:t>
            </w:r>
          </w:p>
        </w:tc>
        <w:tc>
          <w:tcPr>
            <w:tcW w:w="633" w:type="pct"/>
          </w:tcPr>
          <w:p w14:paraId="29D61589" w14:textId="7F4537AA"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B22C3" w:rsidRPr="00BD502A">
              <w:rPr>
                <w:vertAlign w:val="superscript"/>
              </w:rPr>
              <w:t>2</w:t>
            </w:r>
          </w:p>
        </w:tc>
        <w:tc>
          <w:tcPr>
            <w:tcW w:w="635" w:type="pct"/>
          </w:tcPr>
          <w:p w14:paraId="1504F68C" w14:textId="3B771153"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B22C3" w:rsidRPr="00BD502A">
              <w:rPr>
                <w:vertAlign w:val="superscript"/>
              </w:rPr>
              <w:t>3</w:t>
            </w:r>
          </w:p>
        </w:tc>
        <w:tc>
          <w:tcPr>
            <w:tcW w:w="720" w:type="pct"/>
          </w:tcPr>
          <w:p w14:paraId="7A732129" w14:textId="77B288F0"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B22C3" w:rsidRPr="00BD502A">
              <w:rPr>
                <w:vertAlign w:val="superscript"/>
              </w:rPr>
              <w:t>3</w:t>
            </w:r>
          </w:p>
        </w:tc>
      </w:tr>
      <w:tr w:rsidR="00B32F53" w:rsidRPr="00EE0EEB" w14:paraId="63D0C1A6" w14:textId="77777777" w:rsidTr="00074465">
        <w:tc>
          <w:tcPr>
            <w:tcW w:w="5000" w:type="pct"/>
            <w:gridSpan w:val="7"/>
            <w:vAlign w:val="center"/>
          </w:tcPr>
          <w:p w14:paraId="0CE5B801" w14:textId="32AA0AA3" w:rsidR="00345B81" w:rsidRPr="00BD502A" w:rsidRDefault="00345B81" w:rsidP="00D111A4">
            <w:pPr>
              <w:pStyle w:val="TableText"/>
              <w:spacing w:before="20" w:after="20"/>
            </w:pPr>
            <w:r w:rsidRPr="00BD502A">
              <w:t>Estimated extent of use of CT scan with A</w:t>
            </w:r>
            <w:r w:rsidR="00D31014" w:rsidRPr="00BD502A">
              <w:rPr>
                <w:rFonts w:cs="Calibri"/>
              </w:rPr>
              <w:t>β</w:t>
            </w:r>
            <w:r w:rsidRPr="00BD502A">
              <w:t>-PET scan – monitoring</w:t>
            </w:r>
          </w:p>
        </w:tc>
      </w:tr>
      <w:tr w:rsidR="00475EAE" w:rsidRPr="00EE0EEB" w14:paraId="3BA86BFB" w14:textId="77777777" w:rsidTr="00475EAE">
        <w:tc>
          <w:tcPr>
            <w:tcW w:w="1030" w:type="pct"/>
            <w:vAlign w:val="center"/>
          </w:tcPr>
          <w:p w14:paraId="5AA1DB7D" w14:textId="77777777" w:rsidR="00345B81" w:rsidRPr="00EE0EEB" w:rsidRDefault="00345B81" w:rsidP="00D111A4">
            <w:pPr>
              <w:pStyle w:val="TableText"/>
              <w:spacing w:before="20" w:after="20"/>
            </w:pPr>
            <w:r w:rsidRPr="00EE0EEB">
              <w:t>Number of patients tested</w:t>
            </w:r>
          </w:p>
        </w:tc>
        <w:tc>
          <w:tcPr>
            <w:tcW w:w="634" w:type="pct"/>
          </w:tcPr>
          <w:p w14:paraId="0E6E309E" w14:textId="0260AE4A" w:rsidR="00345B81" w:rsidRPr="00BD502A" w:rsidRDefault="00BD502A" w:rsidP="00D111A4">
            <w:pPr>
              <w:pStyle w:val="TableNumber"/>
              <w:spacing w:before="20" w:after="20"/>
              <w:rPr>
                <w:vertAlign w:val="superscript"/>
              </w:rPr>
            </w:pPr>
            <w:r w:rsidRPr="00BD502A">
              <w:rPr>
                <w:szCs w:val="20"/>
              </w:rPr>
              <w:t>REDACTED</w:t>
            </w:r>
            <w:r w:rsidRPr="00BD502A" w:rsidDel="00BD502A">
              <w:t xml:space="preserve"> </w:t>
            </w:r>
            <w:r w:rsidR="00536B63" w:rsidRPr="00BD502A">
              <w:rPr>
                <w:vertAlign w:val="superscript"/>
              </w:rPr>
              <w:t>1</w:t>
            </w:r>
          </w:p>
        </w:tc>
        <w:tc>
          <w:tcPr>
            <w:tcW w:w="635" w:type="pct"/>
          </w:tcPr>
          <w:p w14:paraId="344BC796" w14:textId="098FCCD1"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1</w:t>
            </w:r>
          </w:p>
        </w:tc>
        <w:tc>
          <w:tcPr>
            <w:tcW w:w="713" w:type="pct"/>
          </w:tcPr>
          <w:p w14:paraId="5A348315" w14:textId="6CB12D17"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00536B63" w:rsidRPr="00BD502A">
              <w:rPr>
                <w:vertAlign w:val="superscript"/>
              </w:rPr>
              <w:t xml:space="preserve"> 1</w:t>
            </w:r>
          </w:p>
        </w:tc>
        <w:tc>
          <w:tcPr>
            <w:tcW w:w="633" w:type="pct"/>
          </w:tcPr>
          <w:p w14:paraId="2B95A24F" w14:textId="145258D7"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1</w:t>
            </w:r>
          </w:p>
        </w:tc>
        <w:tc>
          <w:tcPr>
            <w:tcW w:w="635" w:type="pct"/>
          </w:tcPr>
          <w:p w14:paraId="268076D5" w14:textId="10511623"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c>
          <w:tcPr>
            <w:tcW w:w="720" w:type="pct"/>
          </w:tcPr>
          <w:p w14:paraId="295BA3D2" w14:textId="30ACC224"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r>
      <w:tr w:rsidR="00475EAE" w:rsidRPr="00EE0EEB" w14:paraId="53B06210" w14:textId="77777777" w:rsidTr="00475EAE">
        <w:tc>
          <w:tcPr>
            <w:tcW w:w="1030" w:type="pct"/>
            <w:vAlign w:val="center"/>
          </w:tcPr>
          <w:p w14:paraId="47435AF8" w14:textId="77777777" w:rsidR="00345B81" w:rsidRPr="00EE0EEB" w:rsidRDefault="00345B81" w:rsidP="00D111A4">
            <w:pPr>
              <w:pStyle w:val="TableText"/>
              <w:spacing w:before="20" w:after="20"/>
            </w:pPr>
            <w:r w:rsidRPr="00EE0EEB">
              <w:t>Number of tests required</w:t>
            </w:r>
          </w:p>
        </w:tc>
        <w:tc>
          <w:tcPr>
            <w:tcW w:w="634" w:type="pct"/>
          </w:tcPr>
          <w:p w14:paraId="7E05AD50" w14:textId="223436F9"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1</w:t>
            </w:r>
          </w:p>
        </w:tc>
        <w:tc>
          <w:tcPr>
            <w:tcW w:w="635" w:type="pct"/>
          </w:tcPr>
          <w:p w14:paraId="3AD6D25F" w14:textId="1E2DAB82"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1</w:t>
            </w:r>
          </w:p>
        </w:tc>
        <w:tc>
          <w:tcPr>
            <w:tcW w:w="713" w:type="pct"/>
          </w:tcPr>
          <w:p w14:paraId="5E51472C" w14:textId="3F670EC8"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c>
          <w:tcPr>
            <w:tcW w:w="633" w:type="pct"/>
          </w:tcPr>
          <w:p w14:paraId="6F2459D1" w14:textId="228D73A8"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c>
          <w:tcPr>
            <w:tcW w:w="635" w:type="pct"/>
          </w:tcPr>
          <w:p w14:paraId="6096AA46" w14:textId="77C4C219"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c>
          <w:tcPr>
            <w:tcW w:w="720" w:type="pct"/>
          </w:tcPr>
          <w:p w14:paraId="0F0F294F" w14:textId="73386590"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3</w:t>
            </w:r>
          </w:p>
        </w:tc>
      </w:tr>
      <w:tr w:rsidR="00B32F53" w:rsidRPr="00EE0EEB" w14:paraId="3EE0AD57" w14:textId="77777777" w:rsidTr="00074465">
        <w:tc>
          <w:tcPr>
            <w:tcW w:w="5000" w:type="pct"/>
            <w:gridSpan w:val="7"/>
            <w:vAlign w:val="center"/>
          </w:tcPr>
          <w:p w14:paraId="30AED9A7" w14:textId="77777777" w:rsidR="00345B81" w:rsidRPr="00EE0EEB" w:rsidRDefault="00345B81" w:rsidP="00D111A4">
            <w:pPr>
              <w:pStyle w:val="TableText"/>
              <w:spacing w:before="20" w:after="20"/>
              <w:rPr>
                <w:b/>
              </w:rPr>
            </w:pPr>
            <w:r w:rsidRPr="00EE0EEB">
              <w:rPr>
                <w:b/>
              </w:rPr>
              <w:t>Estimated financial implications for CT scan to the MBS</w:t>
            </w:r>
          </w:p>
        </w:tc>
      </w:tr>
      <w:tr w:rsidR="00475EAE" w:rsidRPr="00EE0EEB" w14:paraId="0B26C339" w14:textId="77777777" w:rsidTr="00475EAE">
        <w:tc>
          <w:tcPr>
            <w:tcW w:w="1030" w:type="pct"/>
            <w:vAlign w:val="center"/>
          </w:tcPr>
          <w:p w14:paraId="4C66BBFF" w14:textId="77777777" w:rsidR="00345B81" w:rsidRPr="00EE0EEB" w:rsidRDefault="00345B81" w:rsidP="00D111A4">
            <w:pPr>
              <w:pStyle w:val="TableText"/>
              <w:spacing w:before="20" w:after="20"/>
            </w:pPr>
            <w:r w:rsidRPr="00EE0EEB">
              <w:t>Total number of tests</w:t>
            </w:r>
          </w:p>
        </w:tc>
        <w:tc>
          <w:tcPr>
            <w:tcW w:w="634" w:type="pct"/>
          </w:tcPr>
          <w:p w14:paraId="1C46F3DD" w14:textId="0B5BA354"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2</w:t>
            </w:r>
          </w:p>
        </w:tc>
        <w:tc>
          <w:tcPr>
            <w:tcW w:w="635" w:type="pct"/>
          </w:tcPr>
          <w:p w14:paraId="69063109" w14:textId="666AE073"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3</w:t>
            </w:r>
          </w:p>
        </w:tc>
        <w:tc>
          <w:tcPr>
            <w:tcW w:w="713" w:type="pct"/>
          </w:tcPr>
          <w:p w14:paraId="2D94189D" w14:textId="5E6E5513"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4</w:t>
            </w:r>
          </w:p>
        </w:tc>
        <w:tc>
          <w:tcPr>
            <w:tcW w:w="633" w:type="pct"/>
          </w:tcPr>
          <w:p w14:paraId="2580F98E" w14:textId="4D9898EC"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536B63" w:rsidRPr="00BD502A">
              <w:rPr>
                <w:vertAlign w:val="superscript"/>
              </w:rPr>
              <w:t>5</w:t>
            </w:r>
          </w:p>
        </w:tc>
        <w:tc>
          <w:tcPr>
            <w:tcW w:w="635" w:type="pct"/>
          </w:tcPr>
          <w:p w14:paraId="5FF2911A" w14:textId="1FDE1754"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6</w:t>
            </w:r>
          </w:p>
        </w:tc>
        <w:tc>
          <w:tcPr>
            <w:tcW w:w="720" w:type="pct"/>
          </w:tcPr>
          <w:p w14:paraId="77B58E73" w14:textId="5B81DFB3" w:rsidR="00345B81" w:rsidRPr="00BD502A" w:rsidRDefault="00BD502A" w:rsidP="00D111A4">
            <w:pPr>
              <w:pStyle w:val="TableText"/>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7</w:t>
            </w:r>
          </w:p>
        </w:tc>
      </w:tr>
      <w:tr w:rsidR="00475EAE" w:rsidRPr="00EE0EEB" w14:paraId="7529D631" w14:textId="77777777" w:rsidTr="00475EAE">
        <w:tc>
          <w:tcPr>
            <w:tcW w:w="1030" w:type="pct"/>
            <w:vAlign w:val="center"/>
          </w:tcPr>
          <w:p w14:paraId="691C157B" w14:textId="77777777" w:rsidR="00345B81" w:rsidRPr="00EE0EEB" w:rsidRDefault="00345B81" w:rsidP="00D111A4">
            <w:pPr>
              <w:pStyle w:val="TableText"/>
              <w:spacing w:before="20" w:after="20"/>
            </w:pPr>
            <w:r w:rsidRPr="00EE0EEB">
              <w:t>Unit cost of the test</w:t>
            </w:r>
          </w:p>
        </w:tc>
        <w:tc>
          <w:tcPr>
            <w:tcW w:w="634" w:type="pct"/>
          </w:tcPr>
          <w:p w14:paraId="7570FD3A" w14:textId="77777777" w:rsidR="00345B81" w:rsidRPr="00BD502A" w:rsidRDefault="00345B81" w:rsidP="00D111A4">
            <w:pPr>
              <w:pStyle w:val="TableText"/>
              <w:spacing w:before="20" w:after="20"/>
              <w:jc w:val="center"/>
            </w:pPr>
            <w:r w:rsidRPr="00BD502A">
              <w:t>$80.00</w:t>
            </w:r>
          </w:p>
        </w:tc>
        <w:tc>
          <w:tcPr>
            <w:tcW w:w="635" w:type="pct"/>
          </w:tcPr>
          <w:p w14:paraId="0AAF8958" w14:textId="77777777" w:rsidR="00345B81" w:rsidRPr="00BD502A" w:rsidRDefault="00345B81" w:rsidP="00D111A4">
            <w:pPr>
              <w:pStyle w:val="TableText"/>
              <w:spacing w:before="20" w:after="20"/>
              <w:jc w:val="center"/>
            </w:pPr>
            <w:r w:rsidRPr="00BD502A">
              <w:t>$80.00</w:t>
            </w:r>
          </w:p>
        </w:tc>
        <w:tc>
          <w:tcPr>
            <w:tcW w:w="713" w:type="pct"/>
          </w:tcPr>
          <w:p w14:paraId="0B349E68" w14:textId="77777777" w:rsidR="00345B81" w:rsidRPr="00BD502A" w:rsidRDefault="00345B81" w:rsidP="00D111A4">
            <w:pPr>
              <w:pStyle w:val="TableText"/>
              <w:spacing w:before="20" w:after="20"/>
              <w:jc w:val="center"/>
            </w:pPr>
            <w:r w:rsidRPr="00BD502A">
              <w:t>$80.00</w:t>
            </w:r>
          </w:p>
        </w:tc>
        <w:tc>
          <w:tcPr>
            <w:tcW w:w="633" w:type="pct"/>
          </w:tcPr>
          <w:p w14:paraId="7CADC06A" w14:textId="77777777" w:rsidR="00345B81" w:rsidRPr="00BD502A" w:rsidRDefault="00345B81" w:rsidP="00D111A4">
            <w:pPr>
              <w:pStyle w:val="TableText"/>
              <w:spacing w:before="20" w:after="20"/>
              <w:jc w:val="center"/>
            </w:pPr>
            <w:r w:rsidRPr="00BD502A">
              <w:t>$80.00</w:t>
            </w:r>
          </w:p>
        </w:tc>
        <w:tc>
          <w:tcPr>
            <w:tcW w:w="635" w:type="pct"/>
          </w:tcPr>
          <w:p w14:paraId="30BB8B09" w14:textId="77777777" w:rsidR="00345B81" w:rsidRPr="00BD502A" w:rsidRDefault="00345B81" w:rsidP="00D111A4">
            <w:pPr>
              <w:pStyle w:val="TableText"/>
              <w:spacing w:before="20" w:after="20"/>
              <w:jc w:val="center"/>
            </w:pPr>
            <w:r w:rsidRPr="00BD502A">
              <w:t>$80.00</w:t>
            </w:r>
          </w:p>
        </w:tc>
        <w:tc>
          <w:tcPr>
            <w:tcW w:w="720" w:type="pct"/>
          </w:tcPr>
          <w:p w14:paraId="25D19ABC" w14:textId="77777777" w:rsidR="00345B81" w:rsidRPr="00BD502A" w:rsidRDefault="00345B81" w:rsidP="00D111A4">
            <w:pPr>
              <w:pStyle w:val="TableText"/>
              <w:spacing w:before="20" w:after="20"/>
              <w:jc w:val="center"/>
            </w:pPr>
            <w:r w:rsidRPr="00BD502A">
              <w:t>$80.00</w:t>
            </w:r>
          </w:p>
        </w:tc>
      </w:tr>
      <w:tr w:rsidR="00475EAE" w:rsidRPr="00EE0EEB" w14:paraId="66AA782C" w14:textId="77777777" w:rsidTr="00475EAE">
        <w:tc>
          <w:tcPr>
            <w:tcW w:w="1030" w:type="pct"/>
            <w:vAlign w:val="center"/>
          </w:tcPr>
          <w:p w14:paraId="610B02F8" w14:textId="7D9A3F79" w:rsidR="00345B81" w:rsidRPr="00EE0EEB" w:rsidRDefault="00345B81" w:rsidP="00D111A4">
            <w:pPr>
              <w:pStyle w:val="TableText"/>
              <w:spacing w:before="20" w:after="20"/>
            </w:pPr>
            <w:r w:rsidRPr="00EE0EEB">
              <w:t xml:space="preserve">Cost to </w:t>
            </w:r>
            <w:r w:rsidR="00606075">
              <w:t xml:space="preserve">the </w:t>
            </w:r>
            <w:r w:rsidRPr="00EE0EEB">
              <w:t>MBS</w:t>
            </w:r>
          </w:p>
        </w:tc>
        <w:tc>
          <w:tcPr>
            <w:tcW w:w="634" w:type="pct"/>
          </w:tcPr>
          <w:p w14:paraId="7E7DD6F5" w14:textId="7AABC76F"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c>
          <w:tcPr>
            <w:tcW w:w="635" w:type="pct"/>
          </w:tcPr>
          <w:p w14:paraId="3CAC604D" w14:textId="75D53022"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c>
          <w:tcPr>
            <w:tcW w:w="713" w:type="pct"/>
          </w:tcPr>
          <w:p w14:paraId="3BF74802" w14:textId="57BBB10E"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c>
          <w:tcPr>
            <w:tcW w:w="633" w:type="pct"/>
          </w:tcPr>
          <w:p w14:paraId="18924CFF" w14:textId="2C97C19F"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c>
          <w:tcPr>
            <w:tcW w:w="635" w:type="pct"/>
          </w:tcPr>
          <w:p w14:paraId="3FA08510" w14:textId="7366B785"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c>
          <w:tcPr>
            <w:tcW w:w="720" w:type="pct"/>
          </w:tcPr>
          <w:p w14:paraId="0C1D9A05" w14:textId="5453F7D1" w:rsidR="00345B81" w:rsidRPr="00BD502A" w:rsidRDefault="00345B81" w:rsidP="00D111A4">
            <w:pPr>
              <w:pStyle w:val="TableText"/>
              <w:spacing w:before="20" w:after="20"/>
              <w:jc w:val="center"/>
              <w:rPr>
                <w:vertAlign w:val="superscript"/>
              </w:rPr>
            </w:pPr>
            <w:r w:rsidRPr="00BD502A">
              <w:t>$</w:t>
            </w:r>
            <w:r w:rsidR="00BD502A" w:rsidRPr="00BD502A">
              <w:rPr>
                <w:szCs w:val="20"/>
              </w:rPr>
              <w:t xml:space="preserve"> REDACTED</w:t>
            </w:r>
            <w:r w:rsidR="00BD502A" w:rsidRPr="00BD502A" w:rsidDel="00BD502A">
              <w:t xml:space="preserve"> </w:t>
            </w:r>
            <w:r w:rsidR="007514E3" w:rsidRPr="00BD502A">
              <w:rPr>
                <w:vertAlign w:val="superscript"/>
              </w:rPr>
              <w:t>8</w:t>
            </w:r>
          </w:p>
        </w:tc>
      </w:tr>
      <w:tr w:rsidR="00B32F53" w:rsidRPr="00EE0EEB" w14:paraId="55ABB035" w14:textId="77777777" w:rsidTr="00074465">
        <w:tc>
          <w:tcPr>
            <w:tcW w:w="5000" w:type="pct"/>
            <w:gridSpan w:val="7"/>
            <w:vAlign w:val="center"/>
          </w:tcPr>
          <w:p w14:paraId="34D11F54" w14:textId="45DD8198" w:rsidR="00345B81" w:rsidRPr="00BD502A" w:rsidRDefault="00345B81" w:rsidP="00D111A4">
            <w:pPr>
              <w:pStyle w:val="TableText"/>
              <w:spacing w:before="20" w:after="20"/>
              <w:rPr>
                <w:b/>
              </w:rPr>
            </w:pPr>
            <w:r w:rsidRPr="00BD502A">
              <w:rPr>
                <w:b/>
              </w:rPr>
              <w:t xml:space="preserve">Estimated extent of use of lumbar puncture with </w:t>
            </w:r>
            <w:r w:rsidR="00A268C4" w:rsidRPr="00BD502A">
              <w:rPr>
                <w:b/>
              </w:rPr>
              <w:t>CSF AD biomarker testing</w:t>
            </w:r>
          </w:p>
        </w:tc>
      </w:tr>
      <w:tr w:rsidR="00475EAE" w:rsidRPr="00EE0EEB" w14:paraId="0EC0A526" w14:textId="77777777" w:rsidTr="00475EAE">
        <w:tc>
          <w:tcPr>
            <w:tcW w:w="1030" w:type="pct"/>
            <w:vAlign w:val="center"/>
          </w:tcPr>
          <w:p w14:paraId="3693C12A" w14:textId="77777777" w:rsidR="00345B81" w:rsidRPr="00EE0EEB" w:rsidRDefault="00345B81" w:rsidP="00D111A4">
            <w:pPr>
              <w:pStyle w:val="TableText"/>
              <w:spacing w:before="20" w:after="20"/>
            </w:pPr>
            <w:r w:rsidRPr="00EE0EEB">
              <w:t>Number of patients tested</w:t>
            </w:r>
          </w:p>
        </w:tc>
        <w:tc>
          <w:tcPr>
            <w:tcW w:w="634" w:type="pct"/>
          </w:tcPr>
          <w:p w14:paraId="5D662EEA" w14:textId="06864BDE" w:rsidR="00345B81" w:rsidRPr="00BD502A" w:rsidRDefault="00BD502A" w:rsidP="00D111A4">
            <w:pPr>
              <w:pStyle w:val="TableNumber"/>
              <w:spacing w:before="20" w:after="20"/>
              <w:rPr>
                <w:vertAlign w:val="superscript"/>
              </w:rPr>
            </w:pPr>
            <w:r w:rsidRPr="00BD502A">
              <w:rPr>
                <w:szCs w:val="20"/>
              </w:rPr>
              <w:t>REDACTED</w:t>
            </w:r>
            <w:r w:rsidRPr="00BD502A" w:rsidDel="00BD502A">
              <w:t xml:space="preserve"> </w:t>
            </w:r>
            <w:r w:rsidR="00BE25BD" w:rsidRPr="00BD502A">
              <w:rPr>
                <w:vertAlign w:val="superscript"/>
              </w:rPr>
              <w:t>1</w:t>
            </w:r>
          </w:p>
        </w:tc>
        <w:tc>
          <w:tcPr>
            <w:tcW w:w="635" w:type="pct"/>
          </w:tcPr>
          <w:p w14:paraId="3422ABDD" w14:textId="0886EB3D"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1</w:t>
            </w:r>
          </w:p>
        </w:tc>
        <w:tc>
          <w:tcPr>
            <w:tcW w:w="713" w:type="pct"/>
          </w:tcPr>
          <w:p w14:paraId="3128037F" w14:textId="5337F3B4"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2</w:t>
            </w:r>
          </w:p>
        </w:tc>
        <w:tc>
          <w:tcPr>
            <w:tcW w:w="633" w:type="pct"/>
          </w:tcPr>
          <w:p w14:paraId="671ADA2E" w14:textId="5647E32E"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2</w:t>
            </w:r>
          </w:p>
        </w:tc>
        <w:tc>
          <w:tcPr>
            <w:tcW w:w="635" w:type="pct"/>
          </w:tcPr>
          <w:p w14:paraId="0C30F5A6" w14:textId="0E33CC45"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3</w:t>
            </w:r>
          </w:p>
        </w:tc>
        <w:tc>
          <w:tcPr>
            <w:tcW w:w="720" w:type="pct"/>
          </w:tcPr>
          <w:p w14:paraId="4D4C9A1A" w14:textId="7440EB50" w:rsidR="00345B81" w:rsidRPr="00BD502A" w:rsidRDefault="00BD502A" w:rsidP="00D111A4">
            <w:pPr>
              <w:pStyle w:val="TableText"/>
              <w:tabs>
                <w:tab w:val="decimal" w:pos="396"/>
              </w:tabs>
              <w:spacing w:before="20" w:after="20"/>
              <w:jc w:val="center"/>
              <w:rPr>
                <w:vertAlign w:val="superscript"/>
              </w:rPr>
            </w:pPr>
            <w:r w:rsidRPr="00BD502A">
              <w:rPr>
                <w:szCs w:val="20"/>
              </w:rPr>
              <w:t>REDACTED</w:t>
            </w:r>
            <w:r w:rsidRPr="00BD502A" w:rsidDel="00BD502A">
              <w:t xml:space="preserve"> </w:t>
            </w:r>
            <w:r w:rsidR="00BE25BD" w:rsidRPr="00BD502A">
              <w:rPr>
                <w:vertAlign w:val="superscript"/>
              </w:rPr>
              <w:t>3</w:t>
            </w:r>
          </w:p>
        </w:tc>
      </w:tr>
      <w:tr w:rsidR="00B32F53" w:rsidRPr="00EE0EEB" w14:paraId="17EAA1E8" w14:textId="77777777" w:rsidTr="00074465">
        <w:tc>
          <w:tcPr>
            <w:tcW w:w="5000" w:type="pct"/>
            <w:gridSpan w:val="7"/>
            <w:vAlign w:val="center"/>
          </w:tcPr>
          <w:p w14:paraId="0F8C6425" w14:textId="77777777" w:rsidR="00345B81" w:rsidRPr="00EE0EEB" w:rsidRDefault="00345B81" w:rsidP="00D111A4">
            <w:pPr>
              <w:pStyle w:val="TableText"/>
              <w:spacing w:before="20" w:after="20"/>
              <w:rPr>
                <w:b/>
                <w:bCs/>
                <w:color w:val="000000"/>
              </w:rPr>
            </w:pPr>
            <w:r w:rsidRPr="00EE0EEB">
              <w:rPr>
                <w:b/>
              </w:rPr>
              <w:t>Estimated financial implications of lumbar puncture to the MBS</w:t>
            </w:r>
          </w:p>
        </w:tc>
      </w:tr>
      <w:tr w:rsidR="00475EAE" w:rsidRPr="00EE0EEB" w14:paraId="75CDF9C8" w14:textId="77777777" w:rsidTr="00475EAE">
        <w:tc>
          <w:tcPr>
            <w:tcW w:w="1030" w:type="pct"/>
            <w:vAlign w:val="center"/>
          </w:tcPr>
          <w:p w14:paraId="1F51F92E" w14:textId="77777777" w:rsidR="00345B81" w:rsidRPr="00EE0EEB" w:rsidRDefault="00345B81" w:rsidP="00D111A4">
            <w:pPr>
              <w:pStyle w:val="TableText"/>
              <w:spacing w:before="20" w:after="20"/>
            </w:pPr>
            <w:r w:rsidRPr="00EE0EEB">
              <w:t xml:space="preserve">Unit cost of the test </w:t>
            </w:r>
          </w:p>
        </w:tc>
        <w:tc>
          <w:tcPr>
            <w:tcW w:w="634" w:type="pct"/>
          </w:tcPr>
          <w:p w14:paraId="26D12085" w14:textId="0F0FBD0F" w:rsidR="00345B81" w:rsidRPr="00EE0EEB" w:rsidRDefault="00345B81" w:rsidP="00D111A4">
            <w:pPr>
              <w:pStyle w:val="TableText"/>
              <w:spacing w:before="20" w:after="20"/>
              <w:jc w:val="center"/>
            </w:pPr>
            <w:r w:rsidRPr="00EE0EEB">
              <w:t>$68.60</w:t>
            </w:r>
          </w:p>
        </w:tc>
        <w:tc>
          <w:tcPr>
            <w:tcW w:w="635" w:type="pct"/>
          </w:tcPr>
          <w:p w14:paraId="3FD95ABE" w14:textId="77777777" w:rsidR="00345B81" w:rsidRPr="00EE0EEB" w:rsidRDefault="00345B81" w:rsidP="00D111A4">
            <w:pPr>
              <w:pStyle w:val="TableText"/>
              <w:spacing w:before="20" w:after="20"/>
              <w:jc w:val="center"/>
            </w:pPr>
            <w:r w:rsidRPr="00EE0EEB">
              <w:t>$68.60</w:t>
            </w:r>
          </w:p>
        </w:tc>
        <w:tc>
          <w:tcPr>
            <w:tcW w:w="713" w:type="pct"/>
          </w:tcPr>
          <w:p w14:paraId="107B0F5B" w14:textId="77777777" w:rsidR="00345B81" w:rsidRPr="00EE0EEB" w:rsidRDefault="00345B81" w:rsidP="00D111A4">
            <w:pPr>
              <w:pStyle w:val="TableText"/>
              <w:spacing w:before="20" w:after="20"/>
              <w:jc w:val="center"/>
            </w:pPr>
            <w:r w:rsidRPr="00EE0EEB">
              <w:t>$68.60</w:t>
            </w:r>
          </w:p>
        </w:tc>
        <w:tc>
          <w:tcPr>
            <w:tcW w:w="633" w:type="pct"/>
          </w:tcPr>
          <w:p w14:paraId="5C08D1DA" w14:textId="77777777" w:rsidR="00345B81" w:rsidRPr="00EE0EEB" w:rsidRDefault="00345B81" w:rsidP="00D111A4">
            <w:pPr>
              <w:pStyle w:val="TableText"/>
              <w:spacing w:before="20" w:after="20"/>
              <w:jc w:val="center"/>
            </w:pPr>
            <w:r w:rsidRPr="00EE0EEB">
              <w:t>$68.60</w:t>
            </w:r>
          </w:p>
        </w:tc>
        <w:tc>
          <w:tcPr>
            <w:tcW w:w="635" w:type="pct"/>
          </w:tcPr>
          <w:p w14:paraId="59677016" w14:textId="77777777" w:rsidR="00345B81" w:rsidRPr="00EE0EEB" w:rsidRDefault="00345B81" w:rsidP="00D111A4">
            <w:pPr>
              <w:pStyle w:val="TableText"/>
              <w:spacing w:before="20" w:after="20"/>
              <w:jc w:val="center"/>
            </w:pPr>
            <w:r w:rsidRPr="00EE0EEB">
              <w:t>$68.60</w:t>
            </w:r>
          </w:p>
        </w:tc>
        <w:tc>
          <w:tcPr>
            <w:tcW w:w="720" w:type="pct"/>
          </w:tcPr>
          <w:p w14:paraId="7043D84D" w14:textId="77777777" w:rsidR="00345B81" w:rsidRPr="00EE0EEB" w:rsidRDefault="00345B81" w:rsidP="00D111A4">
            <w:pPr>
              <w:pStyle w:val="TableText"/>
              <w:spacing w:before="20" w:after="20"/>
              <w:jc w:val="center"/>
            </w:pPr>
            <w:r w:rsidRPr="00EE0EEB">
              <w:t>$68.60</w:t>
            </w:r>
          </w:p>
        </w:tc>
      </w:tr>
      <w:tr w:rsidR="00475EAE" w:rsidRPr="00EE0EEB" w14:paraId="7793E1C1" w14:textId="77777777" w:rsidTr="00475EAE">
        <w:tc>
          <w:tcPr>
            <w:tcW w:w="1030" w:type="pct"/>
            <w:vAlign w:val="center"/>
          </w:tcPr>
          <w:p w14:paraId="79F45893" w14:textId="77777777" w:rsidR="00345B81" w:rsidRPr="00EE0EEB" w:rsidRDefault="00345B81" w:rsidP="00D111A4">
            <w:pPr>
              <w:pStyle w:val="TableText"/>
              <w:spacing w:before="20" w:after="20"/>
            </w:pPr>
            <w:r w:rsidRPr="00EE0EEB">
              <w:t>Cost to the MBS</w:t>
            </w:r>
          </w:p>
        </w:tc>
        <w:tc>
          <w:tcPr>
            <w:tcW w:w="634" w:type="pct"/>
          </w:tcPr>
          <w:p w14:paraId="2DF70766" w14:textId="33725FF7"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c>
          <w:tcPr>
            <w:tcW w:w="635" w:type="pct"/>
          </w:tcPr>
          <w:p w14:paraId="78E3A19A" w14:textId="19CC8967"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c>
          <w:tcPr>
            <w:tcW w:w="713" w:type="pct"/>
          </w:tcPr>
          <w:p w14:paraId="4FBB9112" w14:textId="1CA5BD0E"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c>
          <w:tcPr>
            <w:tcW w:w="633" w:type="pct"/>
          </w:tcPr>
          <w:p w14:paraId="69B950C1" w14:textId="7F97656E"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c>
          <w:tcPr>
            <w:tcW w:w="635" w:type="pct"/>
          </w:tcPr>
          <w:p w14:paraId="055BE790" w14:textId="21E5C9EC"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c>
          <w:tcPr>
            <w:tcW w:w="720" w:type="pct"/>
          </w:tcPr>
          <w:p w14:paraId="31CF44EC" w14:textId="5BFCF7F4" w:rsidR="00345B81" w:rsidRPr="00D42DAB" w:rsidRDefault="00345B81" w:rsidP="00D111A4">
            <w:pPr>
              <w:pStyle w:val="TableText"/>
              <w:spacing w:before="20" w:after="20"/>
              <w:jc w:val="center"/>
              <w:rPr>
                <w:vertAlign w:val="superscript"/>
              </w:rPr>
            </w:pPr>
            <w:r w:rsidRPr="00D42DAB">
              <w:t>$</w:t>
            </w:r>
            <w:r w:rsidR="00D42DAB" w:rsidRPr="00D42DAB">
              <w:rPr>
                <w:szCs w:val="20"/>
              </w:rPr>
              <w:t xml:space="preserve"> REDACTED</w:t>
            </w:r>
            <w:r w:rsidR="00D42DAB" w:rsidRPr="00D42DAB" w:rsidDel="00D42DAB">
              <w:t xml:space="preserve"> </w:t>
            </w:r>
            <w:r w:rsidR="003A4F51" w:rsidRPr="00D42DAB">
              <w:rPr>
                <w:vertAlign w:val="superscript"/>
              </w:rPr>
              <w:t>8</w:t>
            </w:r>
          </w:p>
        </w:tc>
      </w:tr>
      <w:tr w:rsidR="00B32F53" w:rsidRPr="00EE0EEB" w14:paraId="2188DAB1" w14:textId="77777777" w:rsidTr="00074465">
        <w:tc>
          <w:tcPr>
            <w:tcW w:w="5000" w:type="pct"/>
            <w:gridSpan w:val="7"/>
            <w:vAlign w:val="center"/>
          </w:tcPr>
          <w:p w14:paraId="7F48A903" w14:textId="77777777" w:rsidR="00345B81" w:rsidRPr="00D42DAB" w:rsidRDefault="00345B81" w:rsidP="00D111A4">
            <w:pPr>
              <w:pStyle w:val="TableText"/>
              <w:spacing w:before="20" w:after="20"/>
              <w:rPr>
                <w:b/>
              </w:rPr>
            </w:pPr>
            <w:r w:rsidRPr="00D42DAB">
              <w:rPr>
                <w:b/>
              </w:rPr>
              <w:t>Estimated extent of use of CT scan with lumbar puncture</w:t>
            </w:r>
          </w:p>
        </w:tc>
      </w:tr>
      <w:tr w:rsidR="00475EAE" w:rsidRPr="00EE0EEB" w14:paraId="19597A20" w14:textId="77777777" w:rsidTr="00475EAE">
        <w:tc>
          <w:tcPr>
            <w:tcW w:w="1030" w:type="pct"/>
            <w:vAlign w:val="center"/>
          </w:tcPr>
          <w:p w14:paraId="1A3A82DB" w14:textId="77777777" w:rsidR="00345B81" w:rsidRPr="00EE0EEB" w:rsidRDefault="00345B81" w:rsidP="00D111A4">
            <w:pPr>
              <w:pStyle w:val="TableText"/>
              <w:spacing w:before="20" w:after="20"/>
            </w:pPr>
            <w:r w:rsidRPr="00EE0EEB">
              <w:t>Number of patients tested</w:t>
            </w:r>
          </w:p>
        </w:tc>
        <w:tc>
          <w:tcPr>
            <w:tcW w:w="634" w:type="pct"/>
          </w:tcPr>
          <w:p w14:paraId="51BADB22" w14:textId="1AA484DF" w:rsidR="00345B81" w:rsidRPr="00D42DAB" w:rsidRDefault="00D42DAB" w:rsidP="00D111A4">
            <w:pPr>
              <w:pStyle w:val="TableNumber"/>
              <w:spacing w:before="20" w:after="20"/>
              <w:rPr>
                <w:vertAlign w:val="superscript"/>
              </w:rPr>
            </w:pPr>
            <w:r w:rsidRPr="00D42DAB">
              <w:rPr>
                <w:szCs w:val="20"/>
              </w:rPr>
              <w:t>REDACTED</w:t>
            </w:r>
            <w:r w:rsidRPr="00D42DAB" w:rsidDel="00D42DAB">
              <w:t xml:space="preserve"> </w:t>
            </w:r>
            <w:r w:rsidR="00E85159" w:rsidRPr="00D42DAB">
              <w:rPr>
                <w:vertAlign w:val="superscript"/>
              </w:rPr>
              <w:t>1</w:t>
            </w:r>
          </w:p>
        </w:tc>
        <w:tc>
          <w:tcPr>
            <w:tcW w:w="635" w:type="pct"/>
          </w:tcPr>
          <w:p w14:paraId="08757D73" w14:textId="3027D4C1" w:rsidR="00345B81" w:rsidRPr="00D42DAB" w:rsidRDefault="00D42DAB" w:rsidP="00D111A4">
            <w:pPr>
              <w:pStyle w:val="TableText"/>
              <w:tabs>
                <w:tab w:val="decimal" w:pos="396"/>
              </w:tabs>
              <w:spacing w:before="20" w:after="20"/>
              <w:jc w:val="center"/>
              <w:rPr>
                <w:vertAlign w:val="superscript"/>
              </w:rPr>
            </w:pPr>
            <w:r w:rsidRPr="00D42DAB">
              <w:rPr>
                <w:szCs w:val="20"/>
              </w:rPr>
              <w:t>REDACTED</w:t>
            </w:r>
            <w:r w:rsidRPr="00D42DAB" w:rsidDel="00D42DAB">
              <w:t xml:space="preserve"> </w:t>
            </w:r>
            <w:r w:rsidR="00E85159" w:rsidRPr="00D42DAB">
              <w:rPr>
                <w:vertAlign w:val="superscript"/>
              </w:rPr>
              <w:t>1</w:t>
            </w:r>
          </w:p>
        </w:tc>
        <w:tc>
          <w:tcPr>
            <w:tcW w:w="713" w:type="pct"/>
          </w:tcPr>
          <w:p w14:paraId="1E5A4CF1" w14:textId="0FB5E3B2" w:rsidR="00345B81" w:rsidRPr="00D42DAB" w:rsidRDefault="00D42DAB" w:rsidP="00D111A4">
            <w:pPr>
              <w:pStyle w:val="TableText"/>
              <w:tabs>
                <w:tab w:val="decimal" w:pos="396"/>
              </w:tabs>
              <w:spacing w:before="20" w:after="20"/>
              <w:jc w:val="center"/>
              <w:rPr>
                <w:vertAlign w:val="superscript"/>
              </w:rPr>
            </w:pPr>
            <w:r w:rsidRPr="00D42DAB">
              <w:rPr>
                <w:szCs w:val="20"/>
              </w:rPr>
              <w:t>REDACTED</w:t>
            </w:r>
            <w:r w:rsidRPr="00D42DAB" w:rsidDel="00D42DAB">
              <w:t xml:space="preserve"> </w:t>
            </w:r>
            <w:r w:rsidR="00E85159" w:rsidRPr="00D42DAB">
              <w:rPr>
                <w:vertAlign w:val="superscript"/>
              </w:rPr>
              <w:t>2</w:t>
            </w:r>
          </w:p>
        </w:tc>
        <w:tc>
          <w:tcPr>
            <w:tcW w:w="633" w:type="pct"/>
          </w:tcPr>
          <w:p w14:paraId="09467AD1" w14:textId="4BE9AA0C" w:rsidR="00345B81" w:rsidRPr="00D42DAB" w:rsidRDefault="00D42DAB" w:rsidP="00D111A4">
            <w:pPr>
              <w:pStyle w:val="TableText"/>
              <w:tabs>
                <w:tab w:val="decimal" w:pos="396"/>
              </w:tabs>
              <w:spacing w:before="20" w:after="20"/>
              <w:jc w:val="center"/>
              <w:rPr>
                <w:vertAlign w:val="superscript"/>
              </w:rPr>
            </w:pPr>
            <w:r w:rsidRPr="00D42DAB">
              <w:rPr>
                <w:szCs w:val="20"/>
              </w:rPr>
              <w:t>REDACTED</w:t>
            </w:r>
            <w:r w:rsidRPr="00D42DAB" w:rsidDel="00D42DAB">
              <w:t xml:space="preserve"> </w:t>
            </w:r>
            <w:r w:rsidR="00E85159" w:rsidRPr="00D42DAB">
              <w:rPr>
                <w:vertAlign w:val="superscript"/>
              </w:rPr>
              <w:t>2</w:t>
            </w:r>
          </w:p>
        </w:tc>
        <w:tc>
          <w:tcPr>
            <w:tcW w:w="635" w:type="pct"/>
          </w:tcPr>
          <w:p w14:paraId="6FE25F6B" w14:textId="0E0369B6" w:rsidR="00345B81" w:rsidRPr="00D42DAB" w:rsidRDefault="00D42DAB" w:rsidP="00D111A4">
            <w:pPr>
              <w:pStyle w:val="TableText"/>
              <w:tabs>
                <w:tab w:val="decimal" w:pos="396"/>
              </w:tabs>
              <w:spacing w:before="20" w:after="20"/>
              <w:jc w:val="center"/>
              <w:rPr>
                <w:vertAlign w:val="superscript"/>
              </w:rPr>
            </w:pPr>
            <w:r w:rsidRPr="00D42DAB">
              <w:rPr>
                <w:szCs w:val="20"/>
              </w:rPr>
              <w:t>REDACTED</w:t>
            </w:r>
            <w:r w:rsidRPr="00D42DAB" w:rsidDel="00D42DAB">
              <w:t xml:space="preserve"> </w:t>
            </w:r>
            <w:r w:rsidR="00E85159" w:rsidRPr="00D42DAB">
              <w:rPr>
                <w:vertAlign w:val="superscript"/>
              </w:rPr>
              <w:t>3</w:t>
            </w:r>
          </w:p>
        </w:tc>
        <w:tc>
          <w:tcPr>
            <w:tcW w:w="720" w:type="pct"/>
          </w:tcPr>
          <w:p w14:paraId="5A736E40" w14:textId="46F93A8D" w:rsidR="00345B81" w:rsidRPr="00D42DAB" w:rsidRDefault="00D42DAB" w:rsidP="00D111A4">
            <w:pPr>
              <w:pStyle w:val="TableText"/>
              <w:tabs>
                <w:tab w:val="decimal" w:pos="396"/>
              </w:tabs>
              <w:spacing w:before="20" w:after="20"/>
              <w:jc w:val="center"/>
              <w:rPr>
                <w:vertAlign w:val="superscript"/>
              </w:rPr>
            </w:pPr>
            <w:r w:rsidRPr="00D42DAB">
              <w:rPr>
                <w:szCs w:val="20"/>
              </w:rPr>
              <w:t>REDACTED</w:t>
            </w:r>
            <w:r w:rsidRPr="00D42DAB" w:rsidDel="00D42DAB">
              <w:t xml:space="preserve"> </w:t>
            </w:r>
            <w:r w:rsidR="00E85159" w:rsidRPr="00D42DAB">
              <w:rPr>
                <w:vertAlign w:val="superscript"/>
              </w:rPr>
              <w:t>3</w:t>
            </w:r>
          </w:p>
        </w:tc>
      </w:tr>
      <w:tr w:rsidR="00B32F53" w:rsidRPr="00EE0EEB" w14:paraId="0528892A" w14:textId="77777777" w:rsidTr="00074465">
        <w:tc>
          <w:tcPr>
            <w:tcW w:w="5000" w:type="pct"/>
            <w:gridSpan w:val="7"/>
            <w:vAlign w:val="center"/>
          </w:tcPr>
          <w:p w14:paraId="18AECE2E" w14:textId="77777777" w:rsidR="00345B81" w:rsidRPr="00EE0EEB" w:rsidRDefault="00345B81" w:rsidP="00D111A4">
            <w:pPr>
              <w:pStyle w:val="TableText"/>
              <w:spacing w:before="20" w:after="20"/>
              <w:rPr>
                <w:b/>
                <w:bCs/>
                <w:color w:val="000000"/>
              </w:rPr>
            </w:pPr>
            <w:r w:rsidRPr="00EE0EEB">
              <w:rPr>
                <w:b/>
              </w:rPr>
              <w:t>Estimated financial implications of CT scan to the MBS</w:t>
            </w:r>
          </w:p>
        </w:tc>
      </w:tr>
      <w:tr w:rsidR="00475EAE" w:rsidRPr="00EE0EEB" w14:paraId="79CAD21A" w14:textId="77777777" w:rsidTr="00475EAE">
        <w:tc>
          <w:tcPr>
            <w:tcW w:w="1030" w:type="pct"/>
            <w:vAlign w:val="center"/>
          </w:tcPr>
          <w:p w14:paraId="7F22CA8C" w14:textId="77777777" w:rsidR="00345B81" w:rsidRPr="00EE0EEB" w:rsidRDefault="00345B81" w:rsidP="00D111A4">
            <w:pPr>
              <w:pStyle w:val="TableText"/>
              <w:spacing w:before="20" w:after="20"/>
            </w:pPr>
            <w:r w:rsidRPr="00EE0EEB">
              <w:t xml:space="preserve">Unit cost of the test </w:t>
            </w:r>
          </w:p>
        </w:tc>
        <w:tc>
          <w:tcPr>
            <w:tcW w:w="634" w:type="pct"/>
          </w:tcPr>
          <w:p w14:paraId="74C16932" w14:textId="77777777" w:rsidR="00345B81" w:rsidRPr="00EE0EEB" w:rsidRDefault="00345B81" w:rsidP="00D111A4">
            <w:pPr>
              <w:pStyle w:val="TableText"/>
              <w:spacing w:before="20" w:after="20"/>
              <w:jc w:val="center"/>
            </w:pPr>
            <w:r w:rsidRPr="00EE0EEB">
              <w:t>$211.00</w:t>
            </w:r>
          </w:p>
        </w:tc>
        <w:tc>
          <w:tcPr>
            <w:tcW w:w="635" w:type="pct"/>
          </w:tcPr>
          <w:p w14:paraId="3AEDAB9C" w14:textId="77777777" w:rsidR="00345B81" w:rsidRPr="00EE0EEB" w:rsidRDefault="00345B81" w:rsidP="00D111A4">
            <w:pPr>
              <w:pStyle w:val="TableText"/>
              <w:spacing w:before="20" w:after="20"/>
              <w:jc w:val="center"/>
            </w:pPr>
            <w:r w:rsidRPr="00EE0EEB">
              <w:t>$211.00</w:t>
            </w:r>
          </w:p>
        </w:tc>
        <w:tc>
          <w:tcPr>
            <w:tcW w:w="713" w:type="pct"/>
          </w:tcPr>
          <w:p w14:paraId="4ADD50AB" w14:textId="77777777" w:rsidR="00345B81" w:rsidRPr="00EE0EEB" w:rsidRDefault="00345B81" w:rsidP="00D111A4">
            <w:pPr>
              <w:pStyle w:val="TableText"/>
              <w:spacing w:before="20" w:after="20"/>
              <w:jc w:val="center"/>
            </w:pPr>
            <w:r w:rsidRPr="00EE0EEB">
              <w:t>$211.00</w:t>
            </w:r>
          </w:p>
        </w:tc>
        <w:tc>
          <w:tcPr>
            <w:tcW w:w="633" w:type="pct"/>
          </w:tcPr>
          <w:p w14:paraId="276C9786" w14:textId="77777777" w:rsidR="00345B81" w:rsidRPr="00EE0EEB" w:rsidRDefault="00345B81" w:rsidP="00D111A4">
            <w:pPr>
              <w:pStyle w:val="TableText"/>
              <w:spacing w:before="20" w:after="20"/>
              <w:jc w:val="center"/>
            </w:pPr>
            <w:r w:rsidRPr="00EE0EEB">
              <w:t>$211.00</w:t>
            </w:r>
          </w:p>
        </w:tc>
        <w:tc>
          <w:tcPr>
            <w:tcW w:w="635" w:type="pct"/>
          </w:tcPr>
          <w:p w14:paraId="0BFDBCA2" w14:textId="77777777" w:rsidR="00345B81" w:rsidRPr="00EE0EEB" w:rsidRDefault="00345B81" w:rsidP="00D111A4">
            <w:pPr>
              <w:pStyle w:val="TableText"/>
              <w:spacing w:before="20" w:after="20"/>
              <w:jc w:val="center"/>
            </w:pPr>
            <w:r w:rsidRPr="00EE0EEB">
              <w:t>$211.00</w:t>
            </w:r>
          </w:p>
        </w:tc>
        <w:tc>
          <w:tcPr>
            <w:tcW w:w="720" w:type="pct"/>
          </w:tcPr>
          <w:p w14:paraId="203A5B3C" w14:textId="77777777" w:rsidR="00345B81" w:rsidRPr="00EE0EEB" w:rsidRDefault="00345B81" w:rsidP="00D111A4">
            <w:pPr>
              <w:pStyle w:val="TableText"/>
              <w:spacing w:before="20" w:after="20"/>
              <w:jc w:val="center"/>
            </w:pPr>
            <w:r w:rsidRPr="00EE0EEB">
              <w:t>$211.00</w:t>
            </w:r>
          </w:p>
        </w:tc>
      </w:tr>
      <w:tr w:rsidR="00475EAE" w:rsidRPr="00EE0EEB" w14:paraId="63CFCECF" w14:textId="77777777" w:rsidTr="00475EAE">
        <w:tc>
          <w:tcPr>
            <w:tcW w:w="1030" w:type="pct"/>
            <w:vAlign w:val="center"/>
          </w:tcPr>
          <w:p w14:paraId="74EB3052" w14:textId="77777777" w:rsidR="00345B81" w:rsidRPr="00EE0EEB" w:rsidRDefault="00345B81" w:rsidP="00D111A4">
            <w:pPr>
              <w:pStyle w:val="TableText"/>
              <w:spacing w:before="20" w:after="20"/>
            </w:pPr>
            <w:r w:rsidRPr="00EE0EEB">
              <w:t>Cost to the MBS</w:t>
            </w:r>
          </w:p>
        </w:tc>
        <w:tc>
          <w:tcPr>
            <w:tcW w:w="634" w:type="pct"/>
          </w:tcPr>
          <w:p w14:paraId="7DA9A3CF" w14:textId="00079D8D"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c>
          <w:tcPr>
            <w:tcW w:w="635" w:type="pct"/>
          </w:tcPr>
          <w:p w14:paraId="6FFE3D4C" w14:textId="42DE586F"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c>
          <w:tcPr>
            <w:tcW w:w="713" w:type="pct"/>
          </w:tcPr>
          <w:p w14:paraId="07828B9E" w14:textId="263A8FBB"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c>
          <w:tcPr>
            <w:tcW w:w="633" w:type="pct"/>
          </w:tcPr>
          <w:p w14:paraId="3632DB61" w14:textId="78F2FB63"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c>
          <w:tcPr>
            <w:tcW w:w="635" w:type="pct"/>
          </w:tcPr>
          <w:p w14:paraId="5816EDCE" w14:textId="31BA1A72"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c>
          <w:tcPr>
            <w:tcW w:w="720" w:type="pct"/>
          </w:tcPr>
          <w:p w14:paraId="02ADE250" w14:textId="3AE681A0" w:rsidR="00345B81" w:rsidRPr="00054C5C" w:rsidRDefault="00345B81" w:rsidP="00D111A4">
            <w:pPr>
              <w:pStyle w:val="TableText"/>
              <w:spacing w:before="20" w:after="20"/>
              <w:jc w:val="center"/>
              <w:rPr>
                <w:vertAlign w:val="superscript"/>
              </w:rPr>
            </w:pPr>
            <w:r w:rsidRPr="00054C5C">
              <w:t>$</w:t>
            </w:r>
            <w:r w:rsidR="00054C5C" w:rsidRPr="00054C5C">
              <w:rPr>
                <w:szCs w:val="20"/>
              </w:rPr>
              <w:t xml:space="preserve"> REDACTED</w:t>
            </w:r>
            <w:r w:rsidR="00054C5C" w:rsidRPr="00054C5C" w:rsidDel="00054C5C">
              <w:t xml:space="preserve"> </w:t>
            </w:r>
            <w:r w:rsidR="00196148" w:rsidRPr="00054C5C">
              <w:rPr>
                <w:vertAlign w:val="superscript"/>
              </w:rPr>
              <w:t>8</w:t>
            </w:r>
          </w:p>
        </w:tc>
      </w:tr>
      <w:tr w:rsidR="00B32F53" w:rsidRPr="0007288C" w14:paraId="0A7B1C50" w14:textId="77777777" w:rsidTr="00074465">
        <w:tc>
          <w:tcPr>
            <w:tcW w:w="5000" w:type="pct"/>
            <w:gridSpan w:val="7"/>
            <w:vAlign w:val="center"/>
          </w:tcPr>
          <w:p w14:paraId="7A14C94A" w14:textId="18C27A16" w:rsidR="00657F30" w:rsidRPr="0007288C" w:rsidRDefault="00657F30" w:rsidP="00D111A4">
            <w:pPr>
              <w:pStyle w:val="TableText"/>
              <w:spacing w:before="20" w:after="20"/>
              <w:rPr>
                <w:b/>
                <w:bCs/>
                <w:color w:val="000000"/>
              </w:rPr>
            </w:pPr>
            <w:r w:rsidRPr="0007288C">
              <w:rPr>
                <w:b/>
              </w:rPr>
              <w:t>Estimated financial implications of anaesthesia with lumbar puncture to the MBS</w:t>
            </w:r>
          </w:p>
        </w:tc>
      </w:tr>
      <w:tr w:rsidR="00475EAE" w:rsidRPr="0007288C" w14:paraId="795C1C25" w14:textId="77777777" w:rsidTr="00475EAE">
        <w:tc>
          <w:tcPr>
            <w:tcW w:w="1030" w:type="pct"/>
            <w:vAlign w:val="center"/>
          </w:tcPr>
          <w:p w14:paraId="311DB2B4" w14:textId="705DEC7D" w:rsidR="00A57AD5" w:rsidRPr="0007288C" w:rsidRDefault="00A57AD5" w:rsidP="00D111A4">
            <w:pPr>
              <w:pStyle w:val="TableText"/>
              <w:spacing w:before="20" w:after="20"/>
              <w:rPr>
                <w:rFonts w:ascii="Times" w:eastAsia="Times New Roman" w:hAnsi="Times" w:cs="Times New Roman"/>
              </w:rPr>
            </w:pPr>
            <w:r w:rsidRPr="0007288C">
              <w:t xml:space="preserve">Cost to </w:t>
            </w:r>
            <w:r w:rsidR="00606075">
              <w:t xml:space="preserve">the </w:t>
            </w:r>
            <w:r w:rsidRPr="0007288C">
              <w:t>MBS</w:t>
            </w:r>
          </w:p>
        </w:tc>
        <w:tc>
          <w:tcPr>
            <w:tcW w:w="634" w:type="pct"/>
            <w:vAlign w:val="center"/>
          </w:tcPr>
          <w:p w14:paraId="5B5D7224" w14:textId="1876386A"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c>
          <w:tcPr>
            <w:tcW w:w="635" w:type="pct"/>
            <w:vAlign w:val="center"/>
          </w:tcPr>
          <w:p w14:paraId="2AF0A53F" w14:textId="7B579A9D"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c>
          <w:tcPr>
            <w:tcW w:w="713" w:type="pct"/>
            <w:vAlign w:val="center"/>
          </w:tcPr>
          <w:p w14:paraId="6D003761" w14:textId="4E99C26D"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c>
          <w:tcPr>
            <w:tcW w:w="633" w:type="pct"/>
            <w:vAlign w:val="center"/>
          </w:tcPr>
          <w:p w14:paraId="3C5967BE" w14:textId="42B07ED8"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c>
          <w:tcPr>
            <w:tcW w:w="635" w:type="pct"/>
            <w:vAlign w:val="center"/>
          </w:tcPr>
          <w:p w14:paraId="4CEDC641" w14:textId="59EB0B57"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c>
          <w:tcPr>
            <w:tcW w:w="720" w:type="pct"/>
            <w:vAlign w:val="center"/>
          </w:tcPr>
          <w:p w14:paraId="58DB8A79" w14:textId="212CBDBA" w:rsidR="00A57AD5" w:rsidRPr="00197756" w:rsidRDefault="00A57AD5" w:rsidP="00D111A4">
            <w:pPr>
              <w:pStyle w:val="TableText"/>
              <w:spacing w:before="20" w:after="20"/>
              <w:jc w:val="center"/>
              <w:rPr>
                <w:vertAlign w:val="superscript"/>
              </w:rPr>
            </w:pPr>
            <w:r w:rsidRPr="00197756">
              <w:rPr>
                <w:rFonts w:eastAsiaTheme="majorEastAsia" w:cs="Times New Roman"/>
                <w:szCs w:val="20"/>
                <w:lang w:eastAsia="en-AU"/>
              </w:rPr>
              <w:t>$</w:t>
            </w:r>
            <w:r w:rsidR="00197756" w:rsidRPr="00197756">
              <w:rPr>
                <w:szCs w:val="20"/>
              </w:rPr>
              <w:t xml:space="preserve"> REDACTED</w:t>
            </w:r>
            <w:r w:rsidR="00197756" w:rsidRPr="00197756" w:rsidDel="00197756">
              <w:rPr>
                <w:rFonts w:eastAsiaTheme="majorEastAsia" w:cs="Times New Roman"/>
                <w:szCs w:val="20"/>
                <w:lang w:eastAsia="en-AU"/>
              </w:rPr>
              <w:t xml:space="preserve"> </w:t>
            </w:r>
            <w:r w:rsidR="00196148" w:rsidRPr="00197756">
              <w:rPr>
                <w:rFonts w:eastAsiaTheme="majorEastAsia" w:cs="Times New Roman"/>
                <w:szCs w:val="20"/>
                <w:vertAlign w:val="superscript"/>
                <w:lang w:eastAsia="en-AU"/>
              </w:rPr>
              <w:t>8</w:t>
            </w:r>
          </w:p>
        </w:tc>
      </w:tr>
      <w:tr w:rsidR="00B32F53" w:rsidRPr="0007288C" w14:paraId="79261FFE" w14:textId="77777777" w:rsidTr="00074465">
        <w:tc>
          <w:tcPr>
            <w:tcW w:w="5000" w:type="pct"/>
            <w:gridSpan w:val="7"/>
            <w:vAlign w:val="center"/>
          </w:tcPr>
          <w:p w14:paraId="363DBA70" w14:textId="77777777" w:rsidR="00345B81" w:rsidRPr="00197756" w:rsidRDefault="00345B81" w:rsidP="00D111A4">
            <w:pPr>
              <w:pStyle w:val="TableText"/>
              <w:spacing w:before="20" w:after="20"/>
              <w:rPr>
                <w:b/>
              </w:rPr>
            </w:pPr>
            <w:r w:rsidRPr="00197756">
              <w:rPr>
                <w:b/>
              </w:rPr>
              <w:t>Net financial implications</w:t>
            </w:r>
            <w:r w:rsidRPr="00197756">
              <w:rPr>
                <w:b/>
                <w:color w:val="4472C4" w:themeColor="accent5"/>
              </w:rPr>
              <w:t xml:space="preserve"> </w:t>
            </w:r>
          </w:p>
        </w:tc>
      </w:tr>
      <w:tr w:rsidR="00475EAE" w:rsidRPr="0007288C" w14:paraId="71266F75" w14:textId="77777777" w:rsidTr="00475EAE">
        <w:tc>
          <w:tcPr>
            <w:tcW w:w="1030" w:type="pct"/>
            <w:vAlign w:val="center"/>
          </w:tcPr>
          <w:p w14:paraId="46A65426" w14:textId="2E91F102" w:rsidR="00A57AD5" w:rsidRPr="0007288C" w:rsidRDefault="00A57AD5" w:rsidP="00D111A4">
            <w:pPr>
              <w:pStyle w:val="TableText"/>
              <w:spacing w:before="20" w:after="20"/>
              <w:rPr>
                <w:rFonts w:ascii="Times" w:eastAsia="Times New Roman" w:hAnsi="Times" w:cs="Times New Roman"/>
              </w:rPr>
            </w:pPr>
            <w:r w:rsidRPr="0007288C">
              <w:t>Net cost to</w:t>
            </w:r>
            <w:r w:rsidR="00606075">
              <w:t xml:space="preserve"> the</w:t>
            </w:r>
            <w:r w:rsidRPr="0007288C">
              <w:t xml:space="preserve"> MBS</w:t>
            </w:r>
          </w:p>
        </w:tc>
        <w:tc>
          <w:tcPr>
            <w:tcW w:w="634" w:type="pct"/>
          </w:tcPr>
          <w:p w14:paraId="75F71FD3" w14:textId="1666DD1A"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8</w:t>
            </w:r>
          </w:p>
        </w:tc>
        <w:tc>
          <w:tcPr>
            <w:tcW w:w="635" w:type="pct"/>
          </w:tcPr>
          <w:p w14:paraId="248CE2AE" w14:textId="531E1C1C"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9</w:t>
            </w:r>
          </w:p>
        </w:tc>
        <w:tc>
          <w:tcPr>
            <w:tcW w:w="713" w:type="pct"/>
          </w:tcPr>
          <w:p w14:paraId="4BE0FEF5" w14:textId="5BF195C2"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9</w:t>
            </w:r>
          </w:p>
        </w:tc>
        <w:tc>
          <w:tcPr>
            <w:tcW w:w="633" w:type="pct"/>
          </w:tcPr>
          <w:p w14:paraId="11A1DD5D" w14:textId="6DD05722"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9</w:t>
            </w:r>
          </w:p>
        </w:tc>
        <w:tc>
          <w:tcPr>
            <w:tcW w:w="635" w:type="pct"/>
          </w:tcPr>
          <w:p w14:paraId="09B602E5" w14:textId="0E3FEC83"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9</w:t>
            </w:r>
          </w:p>
        </w:tc>
        <w:tc>
          <w:tcPr>
            <w:tcW w:w="720" w:type="pct"/>
          </w:tcPr>
          <w:p w14:paraId="2699B0F5" w14:textId="37C18BE2" w:rsidR="00A57AD5" w:rsidRPr="00197756" w:rsidRDefault="00A57AD5" w:rsidP="00D111A4">
            <w:pPr>
              <w:pStyle w:val="TableText"/>
              <w:spacing w:before="20" w:after="20"/>
              <w:jc w:val="center"/>
              <w:rPr>
                <w:vertAlign w:val="superscript"/>
              </w:rPr>
            </w:pPr>
            <w:r w:rsidRPr="00197756">
              <w:t>$</w:t>
            </w:r>
            <w:r w:rsidR="00197756" w:rsidRPr="00197756">
              <w:rPr>
                <w:szCs w:val="20"/>
              </w:rPr>
              <w:t xml:space="preserve"> REDACTED</w:t>
            </w:r>
            <w:r w:rsidR="00197756" w:rsidRPr="00197756" w:rsidDel="00197756">
              <w:t xml:space="preserve"> </w:t>
            </w:r>
            <w:r w:rsidR="00196148" w:rsidRPr="00197756">
              <w:rPr>
                <w:vertAlign w:val="superscript"/>
              </w:rPr>
              <w:t>10</w:t>
            </w:r>
          </w:p>
        </w:tc>
      </w:tr>
    </w:tbl>
    <w:p w14:paraId="6A8ECE24" w14:textId="77777777" w:rsidR="00345B81" w:rsidRPr="0007288C" w:rsidRDefault="00345B81" w:rsidP="0045732C">
      <w:pPr>
        <w:pStyle w:val="TableFigureFooter"/>
      </w:pPr>
      <w:r w:rsidRPr="0007288C" w:rsidDel="0015247C">
        <w:t xml:space="preserve">Source: </w:t>
      </w:r>
      <w:r w:rsidRPr="0007288C">
        <w:t>Worksheet 7 Net changes – MBS of the financial estimates model provided with</w:t>
      </w:r>
      <w:r w:rsidRPr="0007288C" w:rsidDel="0015247C">
        <w:t xml:space="preserve"> the submission.</w:t>
      </w:r>
    </w:p>
    <w:p w14:paraId="7B1DB9E9" w14:textId="098CE40C" w:rsidR="002A042A" w:rsidRPr="0007288C" w:rsidRDefault="002A042A" w:rsidP="0045732C">
      <w:pPr>
        <w:pStyle w:val="TableFigureFooter"/>
      </w:pPr>
      <w:r w:rsidRPr="0007288C">
        <w:t xml:space="preserve">Source: </w:t>
      </w:r>
      <w:r w:rsidR="006D1506" w:rsidRPr="0007288C">
        <w:t>A</w:t>
      </w:r>
      <w:r w:rsidRPr="0007288C">
        <w:t xml:space="preserve">naesthesia items </w:t>
      </w:r>
      <w:r w:rsidR="00966587" w:rsidRPr="0007288C">
        <w:t>were</w:t>
      </w:r>
      <w:r w:rsidRPr="0007288C">
        <w:t xml:space="preserve"> developed during the evaluation based on Departmental advice.</w:t>
      </w:r>
    </w:p>
    <w:p w14:paraId="038737FD" w14:textId="77777777" w:rsidR="00345B81" w:rsidRDefault="00345B81" w:rsidP="0045732C">
      <w:pPr>
        <w:pStyle w:val="TableFigureFooter"/>
      </w:pPr>
      <w:r w:rsidRPr="00EE0EEB">
        <w:t>Cost is calculated at 80% of schedule fee.</w:t>
      </w:r>
    </w:p>
    <w:p w14:paraId="46117820" w14:textId="77777777" w:rsidR="000A7D0B" w:rsidRPr="00963DAC" w:rsidRDefault="000A7D0B" w:rsidP="000A7D0B">
      <w:pPr>
        <w:pStyle w:val="FooterTableFigure"/>
      </w:pPr>
      <w:r w:rsidRPr="00963DAC">
        <w:t>The redacted values correspond to the following ranges per year:</w:t>
      </w:r>
    </w:p>
    <w:p w14:paraId="273A4AE1" w14:textId="77777777" w:rsidR="000A7D0B" w:rsidRDefault="000A7D0B" w:rsidP="000A7D0B">
      <w:pPr>
        <w:pStyle w:val="FooterTableFigure"/>
      </w:pPr>
      <w:r>
        <w:rPr>
          <w:vertAlign w:val="superscript"/>
        </w:rPr>
        <w:t xml:space="preserve">1 </w:t>
      </w:r>
      <w:r w:rsidRPr="00144F1F">
        <w:t>10</w:t>
      </w:r>
      <w:r>
        <w:t>,000 to &lt; 20,000</w:t>
      </w:r>
    </w:p>
    <w:p w14:paraId="02576725" w14:textId="77777777" w:rsidR="000A7D0B" w:rsidRDefault="000A7D0B" w:rsidP="000A7D0B">
      <w:pPr>
        <w:pStyle w:val="FooterTableFigure"/>
      </w:pPr>
      <w:r>
        <w:rPr>
          <w:vertAlign w:val="superscript"/>
        </w:rPr>
        <w:t xml:space="preserve">2 </w:t>
      </w:r>
      <w:r>
        <w:t>20,000 to &lt; 30,000</w:t>
      </w:r>
    </w:p>
    <w:p w14:paraId="6E1C9BE7" w14:textId="77777777" w:rsidR="000A7D0B" w:rsidRDefault="000A7D0B" w:rsidP="000A7D0B">
      <w:pPr>
        <w:pStyle w:val="FooterTableFigure"/>
      </w:pPr>
      <w:r>
        <w:rPr>
          <w:vertAlign w:val="superscript"/>
        </w:rPr>
        <w:t xml:space="preserve">3 </w:t>
      </w:r>
      <w:r>
        <w:t>30,000 to &lt; 40,000</w:t>
      </w:r>
    </w:p>
    <w:p w14:paraId="5A95E63A" w14:textId="77777777" w:rsidR="000A7D0B" w:rsidRDefault="000A7D0B" w:rsidP="000A7D0B">
      <w:pPr>
        <w:pStyle w:val="FooterTableFigure"/>
      </w:pPr>
      <w:r>
        <w:rPr>
          <w:vertAlign w:val="superscript"/>
        </w:rPr>
        <w:t xml:space="preserve">4 </w:t>
      </w:r>
      <w:r>
        <w:t>40,000 to &lt; 50,000</w:t>
      </w:r>
    </w:p>
    <w:p w14:paraId="43AE32D6" w14:textId="77777777" w:rsidR="000A7D0B" w:rsidRDefault="000A7D0B" w:rsidP="000A7D0B">
      <w:pPr>
        <w:pStyle w:val="FooterTableFigure"/>
      </w:pPr>
      <w:r>
        <w:rPr>
          <w:vertAlign w:val="superscript"/>
        </w:rPr>
        <w:t xml:space="preserve">5 </w:t>
      </w:r>
      <w:r>
        <w:t>50,000 to &lt; 60,000</w:t>
      </w:r>
    </w:p>
    <w:p w14:paraId="0CE10793" w14:textId="77777777" w:rsidR="000A7D0B" w:rsidRDefault="000A7D0B" w:rsidP="000A7D0B">
      <w:pPr>
        <w:pStyle w:val="FooterTableFigure"/>
      </w:pPr>
      <w:r>
        <w:rPr>
          <w:vertAlign w:val="superscript"/>
        </w:rPr>
        <w:t xml:space="preserve">6 </w:t>
      </w:r>
      <w:r>
        <w:t>60,000 to &lt; 70,000</w:t>
      </w:r>
    </w:p>
    <w:p w14:paraId="2FEC3EFC" w14:textId="77777777" w:rsidR="000A7D0B" w:rsidRDefault="000A7D0B" w:rsidP="000A7D0B">
      <w:pPr>
        <w:pStyle w:val="FooterTableFigure"/>
      </w:pPr>
      <w:r>
        <w:rPr>
          <w:vertAlign w:val="superscript"/>
        </w:rPr>
        <w:t xml:space="preserve">7 </w:t>
      </w:r>
      <w:r>
        <w:t>70,000 to &lt; 80,000</w:t>
      </w:r>
    </w:p>
    <w:p w14:paraId="04AEB50C" w14:textId="57F7838A" w:rsidR="002D45D7" w:rsidRDefault="002D45D7" w:rsidP="002D45D7">
      <w:pPr>
        <w:pStyle w:val="FooterTableFigure"/>
      </w:pPr>
      <w:r>
        <w:rPr>
          <w:vertAlign w:val="superscript"/>
        </w:rPr>
        <w:t xml:space="preserve">8 </w:t>
      </w:r>
      <w:r w:rsidRPr="00251021">
        <w:t>$0 to &lt; $10 million</w:t>
      </w:r>
    </w:p>
    <w:p w14:paraId="3D64415C" w14:textId="099758A0" w:rsidR="002D45D7" w:rsidRDefault="002D45D7" w:rsidP="002D45D7">
      <w:pPr>
        <w:pStyle w:val="FooterTableFigure"/>
      </w:pPr>
      <w:r>
        <w:rPr>
          <w:vertAlign w:val="superscript"/>
        </w:rPr>
        <w:t xml:space="preserve">9 </w:t>
      </w:r>
      <w:r w:rsidRPr="00251021">
        <w:t>$</w:t>
      </w:r>
      <w:r>
        <w:t>1</w:t>
      </w:r>
      <w:r w:rsidRPr="00251021">
        <w:t xml:space="preserve">0 </w:t>
      </w:r>
      <w:r>
        <w:t xml:space="preserve">million </w:t>
      </w:r>
      <w:r w:rsidRPr="00251021">
        <w:t>to &lt; $</w:t>
      </w:r>
      <w:r>
        <w:t>2</w:t>
      </w:r>
      <w:r w:rsidRPr="00251021">
        <w:t>0 million</w:t>
      </w:r>
    </w:p>
    <w:p w14:paraId="71A8119B" w14:textId="363FAF21" w:rsidR="00762D5F" w:rsidRPr="00EE0EEB" w:rsidRDefault="001F247B" w:rsidP="005051F2">
      <w:pPr>
        <w:pStyle w:val="FooterTableFigure"/>
      </w:pPr>
      <w:r>
        <w:rPr>
          <w:vertAlign w:val="superscript"/>
        </w:rPr>
        <w:t xml:space="preserve">10 </w:t>
      </w:r>
      <w:r w:rsidRPr="00251021">
        <w:t>$</w:t>
      </w:r>
      <w:r>
        <w:t>2</w:t>
      </w:r>
      <w:r w:rsidRPr="00251021">
        <w:t xml:space="preserve">0 </w:t>
      </w:r>
      <w:r>
        <w:t xml:space="preserve">million </w:t>
      </w:r>
      <w:r w:rsidRPr="00251021">
        <w:t>to &lt; $</w:t>
      </w:r>
      <w:r>
        <w:t>3</w:t>
      </w:r>
      <w:r w:rsidRPr="00251021">
        <w:t>0 million</w:t>
      </w:r>
    </w:p>
    <w:p w14:paraId="757B9084" w14:textId="3EB43600" w:rsidR="00345B81" w:rsidRPr="00000097" w:rsidRDefault="00216CF2" w:rsidP="00345B81">
      <w:r w:rsidRPr="00000097">
        <w:t>E</w:t>
      </w:r>
      <w:r w:rsidR="00345B81" w:rsidRPr="00000097">
        <w:t xml:space="preserve">ligibility for donanemab </w:t>
      </w:r>
      <w:r w:rsidRPr="00000097">
        <w:t>require</w:t>
      </w:r>
      <w:r w:rsidR="00F86C2D" w:rsidRPr="00000097">
        <w:t>s</w:t>
      </w:r>
      <w:r w:rsidRPr="00000097">
        <w:t xml:space="preserve"> patients to</w:t>
      </w:r>
      <w:r w:rsidR="00345B81" w:rsidRPr="00000097">
        <w:t xml:space="preserve"> have no evidence of superficial siderosis or &gt; 2 cerebral microhaemorrhages. This is confirmed through</w:t>
      </w:r>
      <w:r w:rsidRPr="00000097">
        <w:t xml:space="preserve"> an</w:t>
      </w:r>
      <w:r w:rsidR="00345B81" w:rsidRPr="00000097">
        <w:t xml:space="preserve"> MRI scan (MBS item 63004). The </w:t>
      </w:r>
      <w:r w:rsidR="00C95117" w:rsidRPr="00000097">
        <w:lastRenderedPageBreak/>
        <w:t xml:space="preserve">commentary considered that the </w:t>
      </w:r>
      <w:r w:rsidR="00345B81" w:rsidRPr="00000097">
        <w:t>MBS item descriptor for the existing MBS item 63004 will need to be broadened to allow this use or an additional MBS item created.</w:t>
      </w:r>
    </w:p>
    <w:p w14:paraId="20640D38" w14:textId="62F0678D" w:rsidR="00345B81" w:rsidRPr="00000097" w:rsidRDefault="00345B81" w:rsidP="00345B81">
      <w:r w:rsidRPr="00000097">
        <w:t xml:space="preserve">Once patients commence treatment with donanemab, they require monitoring to detect the development of amyloid-related imaging abnormalities (ARIA) that will require either dose adjustments or cessation. This monitoring is confirmed through </w:t>
      </w:r>
      <w:r w:rsidR="00216CF2" w:rsidRPr="00000097">
        <w:t xml:space="preserve">an </w:t>
      </w:r>
      <w:r w:rsidRPr="00000097">
        <w:t>MRI scan (MBS item 63004).</w:t>
      </w:r>
    </w:p>
    <w:p w14:paraId="395BDB29" w14:textId="33380876" w:rsidR="00345B81" w:rsidRPr="00D111A4" w:rsidRDefault="00345B81" w:rsidP="00345B81">
      <w:r w:rsidRPr="00000097">
        <w:t xml:space="preserve">The details of the use and cost of these items are shown </w:t>
      </w:r>
      <w:r w:rsidRPr="00D111A4">
        <w:t>below in</w:t>
      </w:r>
      <w:r w:rsidR="000A5642" w:rsidRPr="00D111A4">
        <w:t xml:space="preserve"> </w:t>
      </w:r>
      <w:r w:rsidR="007432E0" w:rsidRPr="00D111A4">
        <w:fldChar w:fldCharType="begin"/>
      </w:r>
      <w:r w:rsidR="007432E0" w:rsidRPr="00D111A4">
        <w:instrText xml:space="preserve"> REF _Ref205192428 \h </w:instrText>
      </w:r>
      <w:r w:rsidR="00D111A4" w:rsidRPr="00D111A4">
        <w:instrText xml:space="preserve"> \* MERGEFORMAT </w:instrText>
      </w:r>
      <w:r w:rsidR="007432E0" w:rsidRPr="00D111A4">
        <w:fldChar w:fldCharType="separate"/>
      </w:r>
      <w:r w:rsidR="003244DD">
        <w:t xml:space="preserve">Table </w:t>
      </w:r>
      <w:r w:rsidR="003244DD">
        <w:rPr>
          <w:noProof/>
        </w:rPr>
        <w:t>24</w:t>
      </w:r>
      <w:r w:rsidR="007432E0" w:rsidRPr="00D111A4">
        <w:fldChar w:fldCharType="end"/>
      </w:r>
      <w:r w:rsidRPr="00D111A4">
        <w:t>.</w:t>
      </w:r>
    </w:p>
    <w:p w14:paraId="13F3881E" w14:textId="3CF0099D" w:rsidR="00345B81" w:rsidRPr="00EE0EEB" w:rsidRDefault="007432E0" w:rsidP="00565B62">
      <w:pPr>
        <w:pStyle w:val="Caption"/>
      </w:pPr>
      <w:bookmarkStart w:id="69" w:name="_Ref196233190"/>
      <w:bookmarkStart w:id="70" w:name="_Ref205192428"/>
      <w:r>
        <w:t xml:space="preserve">Table </w:t>
      </w:r>
      <w:r w:rsidR="003244DD">
        <w:fldChar w:fldCharType="begin"/>
      </w:r>
      <w:r w:rsidR="003244DD">
        <w:instrText xml:space="preserve"> SEQ Table \* ARABIC </w:instrText>
      </w:r>
      <w:r w:rsidR="003244DD">
        <w:fldChar w:fldCharType="separate"/>
      </w:r>
      <w:r w:rsidR="003244DD">
        <w:rPr>
          <w:noProof/>
        </w:rPr>
        <w:t>24</w:t>
      </w:r>
      <w:r w:rsidR="003244DD">
        <w:rPr>
          <w:noProof/>
        </w:rPr>
        <w:fldChar w:fldCharType="end"/>
      </w:r>
      <w:bookmarkEnd w:id="69"/>
      <w:bookmarkEnd w:id="70"/>
      <w:r w:rsidR="00D111A4">
        <w:t xml:space="preserve"> </w:t>
      </w:r>
      <w:r w:rsidR="00345B81" w:rsidRPr="00EE0EEB">
        <w:t>Estimated use and financial implications – MRI items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345B81" w:rsidRPr="00EE0EEB" w14:paraId="64549B04" w14:textId="77777777" w:rsidTr="19A39685">
        <w:trPr>
          <w:tblHeader/>
        </w:trPr>
        <w:tc>
          <w:tcPr>
            <w:tcW w:w="1118" w:type="pct"/>
            <w:vAlign w:val="center"/>
          </w:tcPr>
          <w:p w14:paraId="00B9A0AC" w14:textId="77777777" w:rsidR="00345B81" w:rsidRPr="00EE0EEB" w:rsidRDefault="00345B81" w:rsidP="00EA57B9">
            <w:pPr>
              <w:pStyle w:val="TableText"/>
              <w:keepNext/>
              <w:keepLines/>
              <w:spacing w:before="20" w:after="20"/>
              <w:jc w:val="center"/>
              <w:rPr>
                <w:b/>
              </w:rPr>
            </w:pPr>
          </w:p>
        </w:tc>
        <w:tc>
          <w:tcPr>
            <w:tcW w:w="647" w:type="pct"/>
            <w:vAlign w:val="center"/>
          </w:tcPr>
          <w:p w14:paraId="6C559BAE" w14:textId="77777777" w:rsidR="00345B81" w:rsidRPr="00EE0EEB" w:rsidRDefault="00345B81" w:rsidP="00EA57B9">
            <w:pPr>
              <w:pStyle w:val="TableText"/>
              <w:keepNext/>
              <w:keepLines/>
              <w:spacing w:before="20" w:after="20"/>
              <w:jc w:val="center"/>
              <w:rPr>
                <w:b/>
              </w:rPr>
            </w:pPr>
            <w:r w:rsidRPr="00EE0EEB">
              <w:rPr>
                <w:b/>
              </w:rPr>
              <w:t>Year 1</w:t>
            </w:r>
          </w:p>
        </w:tc>
        <w:tc>
          <w:tcPr>
            <w:tcW w:w="647" w:type="pct"/>
            <w:vAlign w:val="center"/>
          </w:tcPr>
          <w:p w14:paraId="2B426111" w14:textId="77777777" w:rsidR="00345B81" w:rsidRPr="00EE0EEB" w:rsidRDefault="00345B81" w:rsidP="00EA57B9">
            <w:pPr>
              <w:pStyle w:val="TableText"/>
              <w:keepNext/>
              <w:keepLines/>
              <w:spacing w:before="20" w:after="20"/>
              <w:jc w:val="center"/>
              <w:rPr>
                <w:b/>
              </w:rPr>
            </w:pPr>
            <w:r w:rsidRPr="00EE0EEB">
              <w:rPr>
                <w:b/>
              </w:rPr>
              <w:t>Year 2</w:t>
            </w:r>
          </w:p>
        </w:tc>
        <w:tc>
          <w:tcPr>
            <w:tcW w:w="647" w:type="pct"/>
            <w:vAlign w:val="center"/>
          </w:tcPr>
          <w:p w14:paraId="2C929C1F" w14:textId="77777777" w:rsidR="00345B81" w:rsidRPr="00EE0EEB" w:rsidRDefault="00345B81" w:rsidP="00EA57B9">
            <w:pPr>
              <w:pStyle w:val="TableText"/>
              <w:keepNext/>
              <w:keepLines/>
              <w:spacing w:before="20" w:after="20"/>
              <w:jc w:val="center"/>
              <w:rPr>
                <w:b/>
              </w:rPr>
            </w:pPr>
            <w:r w:rsidRPr="00EE0EEB">
              <w:rPr>
                <w:b/>
              </w:rPr>
              <w:t>Year 3</w:t>
            </w:r>
          </w:p>
        </w:tc>
        <w:tc>
          <w:tcPr>
            <w:tcW w:w="647" w:type="pct"/>
            <w:vAlign w:val="center"/>
          </w:tcPr>
          <w:p w14:paraId="0F7C2E07" w14:textId="77777777" w:rsidR="00345B81" w:rsidRPr="00EE0EEB" w:rsidRDefault="00345B81" w:rsidP="00EA57B9">
            <w:pPr>
              <w:pStyle w:val="TableText"/>
              <w:keepNext/>
              <w:keepLines/>
              <w:spacing w:before="20" w:after="20"/>
              <w:jc w:val="center"/>
              <w:rPr>
                <w:b/>
              </w:rPr>
            </w:pPr>
            <w:r w:rsidRPr="00EE0EEB">
              <w:rPr>
                <w:b/>
              </w:rPr>
              <w:t>Year 4</w:t>
            </w:r>
          </w:p>
        </w:tc>
        <w:tc>
          <w:tcPr>
            <w:tcW w:w="647" w:type="pct"/>
            <w:vAlign w:val="center"/>
          </w:tcPr>
          <w:p w14:paraId="29FE7113" w14:textId="77777777" w:rsidR="00345B81" w:rsidRPr="00EE0EEB" w:rsidRDefault="00345B81" w:rsidP="00EA57B9">
            <w:pPr>
              <w:pStyle w:val="TableText"/>
              <w:keepNext/>
              <w:keepLines/>
              <w:spacing w:before="20" w:after="20"/>
              <w:jc w:val="center"/>
              <w:rPr>
                <w:b/>
              </w:rPr>
            </w:pPr>
            <w:r w:rsidRPr="00EE0EEB">
              <w:rPr>
                <w:b/>
              </w:rPr>
              <w:t>Year 5</w:t>
            </w:r>
          </w:p>
        </w:tc>
        <w:tc>
          <w:tcPr>
            <w:tcW w:w="647" w:type="pct"/>
          </w:tcPr>
          <w:p w14:paraId="2144B807" w14:textId="77777777" w:rsidR="00345B81" w:rsidRPr="00EE0EEB" w:rsidRDefault="00345B81" w:rsidP="00EA57B9">
            <w:pPr>
              <w:pStyle w:val="TableText"/>
              <w:keepNext/>
              <w:keepLines/>
              <w:spacing w:before="20" w:after="20"/>
              <w:jc w:val="center"/>
              <w:rPr>
                <w:b/>
              </w:rPr>
            </w:pPr>
            <w:r w:rsidRPr="00EE0EEB">
              <w:rPr>
                <w:b/>
              </w:rPr>
              <w:t>Year 6</w:t>
            </w:r>
          </w:p>
        </w:tc>
      </w:tr>
      <w:tr w:rsidR="00345B81" w:rsidRPr="00EE0EEB" w14:paraId="5037256D" w14:textId="77777777" w:rsidTr="19A39685">
        <w:tc>
          <w:tcPr>
            <w:tcW w:w="5000" w:type="pct"/>
            <w:gridSpan w:val="7"/>
            <w:vAlign w:val="center"/>
          </w:tcPr>
          <w:p w14:paraId="1CCBC451" w14:textId="2F94E4AA" w:rsidR="00345B81" w:rsidRPr="00EE0EEB" w:rsidRDefault="00345B81" w:rsidP="00EA57B9">
            <w:pPr>
              <w:pStyle w:val="TableText"/>
              <w:keepNext/>
              <w:keepLines/>
              <w:spacing w:before="20" w:after="20"/>
              <w:rPr>
                <w:b/>
              </w:rPr>
            </w:pPr>
            <w:r w:rsidRPr="00EE0EEB">
              <w:rPr>
                <w:b/>
              </w:rPr>
              <w:t xml:space="preserve">Estimated extent of use of MRI scan – </w:t>
            </w:r>
            <w:r w:rsidR="005D0898" w:rsidRPr="00EE0EEB">
              <w:rPr>
                <w:b/>
              </w:rPr>
              <w:t>eligibility</w:t>
            </w:r>
          </w:p>
        </w:tc>
      </w:tr>
      <w:tr w:rsidR="00345B81" w:rsidRPr="00EE0EEB" w14:paraId="0E068F0B" w14:textId="77777777" w:rsidTr="19A39685">
        <w:tc>
          <w:tcPr>
            <w:tcW w:w="1118" w:type="pct"/>
            <w:vAlign w:val="center"/>
          </w:tcPr>
          <w:p w14:paraId="6EA3A3CE" w14:textId="77777777" w:rsidR="00345B81" w:rsidRPr="00EE0EEB" w:rsidRDefault="00345B81" w:rsidP="00EA57B9">
            <w:pPr>
              <w:pStyle w:val="TableText"/>
              <w:keepNext/>
              <w:keepLines/>
              <w:spacing w:before="20" w:after="20"/>
            </w:pPr>
            <w:r w:rsidRPr="00EE0EEB">
              <w:t>Number of patients tested</w:t>
            </w:r>
          </w:p>
        </w:tc>
        <w:tc>
          <w:tcPr>
            <w:tcW w:w="647" w:type="pct"/>
          </w:tcPr>
          <w:p w14:paraId="16D0148B" w14:textId="4908574F" w:rsidR="00345B81" w:rsidRPr="0082509E" w:rsidRDefault="0082509E" w:rsidP="00EA57B9">
            <w:pPr>
              <w:pStyle w:val="TableNumber"/>
              <w:keepNext/>
              <w:keepLines/>
              <w:spacing w:before="20" w:after="20"/>
              <w:rPr>
                <w:vertAlign w:val="superscript"/>
              </w:rPr>
            </w:pPr>
            <w:r w:rsidRPr="0082509E">
              <w:rPr>
                <w:szCs w:val="20"/>
              </w:rPr>
              <w:t>REDACTED</w:t>
            </w:r>
            <w:r w:rsidRPr="0082509E" w:rsidDel="0082509E">
              <w:t xml:space="preserve"> </w:t>
            </w:r>
            <w:r w:rsidR="00F51A29" w:rsidRPr="0082509E">
              <w:rPr>
                <w:vertAlign w:val="superscript"/>
              </w:rPr>
              <w:t>1</w:t>
            </w:r>
          </w:p>
        </w:tc>
        <w:tc>
          <w:tcPr>
            <w:tcW w:w="647" w:type="pct"/>
          </w:tcPr>
          <w:p w14:paraId="47B0D1F7" w14:textId="081D267F" w:rsidR="00345B81" w:rsidRPr="0082509E" w:rsidRDefault="0082509E" w:rsidP="00EA57B9">
            <w:pPr>
              <w:pStyle w:val="TableText"/>
              <w:keepNext/>
              <w:keepLines/>
              <w:tabs>
                <w:tab w:val="decimal" w:pos="396"/>
              </w:tabs>
              <w:spacing w:before="20" w:after="20"/>
              <w:jc w:val="center"/>
              <w:rPr>
                <w:vertAlign w:val="superscript"/>
              </w:rPr>
            </w:pPr>
            <w:r w:rsidRPr="0082509E">
              <w:rPr>
                <w:szCs w:val="20"/>
              </w:rPr>
              <w:t>REDACTED</w:t>
            </w:r>
            <w:r w:rsidRPr="0082509E" w:rsidDel="0082509E">
              <w:t xml:space="preserve"> </w:t>
            </w:r>
            <w:r w:rsidR="00F51A29" w:rsidRPr="0082509E">
              <w:rPr>
                <w:vertAlign w:val="superscript"/>
              </w:rPr>
              <w:t>1</w:t>
            </w:r>
          </w:p>
        </w:tc>
        <w:tc>
          <w:tcPr>
            <w:tcW w:w="647" w:type="pct"/>
          </w:tcPr>
          <w:p w14:paraId="6573D6C8" w14:textId="682D6B6A" w:rsidR="00345B81" w:rsidRPr="0082509E" w:rsidRDefault="0082509E" w:rsidP="00EA57B9">
            <w:pPr>
              <w:pStyle w:val="TableText"/>
              <w:keepNext/>
              <w:keepLines/>
              <w:tabs>
                <w:tab w:val="decimal" w:pos="396"/>
              </w:tabs>
              <w:spacing w:before="20" w:after="20"/>
              <w:jc w:val="center"/>
              <w:rPr>
                <w:vertAlign w:val="superscript"/>
              </w:rPr>
            </w:pPr>
            <w:r w:rsidRPr="0082509E">
              <w:rPr>
                <w:szCs w:val="20"/>
              </w:rPr>
              <w:t>REDACTED</w:t>
            </w:r>
            <w:r w:rsidRPr="0082509E" w:rsidDel="0082509E">
              <w:t xml:space="preserve"> </w:t>
            </w:r>
            <w:r w:rsidR="00F51A29" w:rsidRPr="0082509E">
              <w:rPr>
                <w:vertAlign w:val="superscript"/>
              </w:rPr>
              <w:t>2</w:t>
            </w:r>
          </w:p>
        </w:tc>
        <w:tc>
          <w:tcPr>
            <w:tcW w:w="647" w:type="pct"/>
          </w:tcPr>
          <w:p w14:paraId="28039FA2" w14:textId="63425E2C" w:rsidR="00345B81" w:rsidRPr="0082509E" w:rsidRDefault="0082509E" w:rsidP="00EA57B9">
            <w:pPr>
              <w:pStyle w:val="TableText"/>
              <w:keepNext/>
              <w:keepLines/>
              <w:tabs>
                <w:tab w:val="decimal" w:pos="396"/>
              </w:tabs>
              <w:spacing w:before="20" w:after="20"/>
              <w:jc w:val="center"/>
              <w:rPr>
                <w:vertAlign w:val="superscript"/>
              </w:rPr>
            </w:pPr>
            <w:r w:rsidRPr="0082509E">
              <w:rPr>
                <w:szCs w:val="20"/>
              </w:rPr>
              <w:t>REDACTED</w:t>
            </w:r>
            <w:r w:rsidRPr="0082509E" w:rsidDel="0082509E">
              <w:t xml:space="preserve"> </w:t>
            </w:r>
            <w:r w:rsidR="00F51A29" w:rsidRPr="0082509E">
              <w:rPr>
                <w:vertAlign w:val="superscript"/>
              </w:rPr>
              <w:t>2</w:t>
            </w:r>
          </w:p>
        </w:tc>
        <w:tc>
          <w:tcPr>
            <w:tcW w:w="647" w:type="pct"/>
          </w:tcPr>
          <w:p w14:paraId="2E0FCFB0" w14:textId="669AF344" w:rsidR="00345B81" w:rsidRPr="0082509E" w:rsidRDefault="0082509E" w:rsidP="00EA57B9">
            <w:pPr>
              <w:pStyle w:val="TableText"/>
              <w:keepNext/>
              <w:keepLines/>
              <w:tabs>
                <w:tab w:val="decimal" w:pos="396"/>
              </w:tabs>
              <w:spacing w:before="20" w:after="20"/>
              <w:jc w:val="center"/>
              <w:rPr>
                <w:vertAlign w:val="superscript"/>
              </w:rPr>
            </w:pPr>
            <w:r w:rsidRPr="0082509E">
              <w:rPr>
                <w:szCs w:val="20"/>
              </w:rPr>
              <w:t>REDACTED</w:t>
            </w:r>
            <w:r w:rsidRPr="0082509E" w:rsidDel="0082509E">
              <w:t xml:space="preserve"> </w:t>
            </w:r>
            <w:r w:rsidR="00F51A29" w:rsidRPr="0082509E">
              <w:rPr>
                <w:vertAlign w:val="superscript"/>
              </w:rPr>
              <w:t>2</w:t>
            </w:r>
          </w:p>
        </w:tc>
        <w:tc>
          <w:tcPr>
            <w:tcW w:w="647" w:type="pct"/>
          </w:tcPr>
          <w:p w14:paraId="2F9F5181" w14:textId="25D75070" w:rsidR="00345B81" w:rsidRPr="0082509E" w:rsidRDefault="0082509E" w:rsidP="00EA57B9">
            <w:pPr>
              <w:pStyle w:val="TableText"/>
              <w:keepNext/>
              <w:keepLines/>
              <w:tabs>
                <w:tab w:val="decimal" w:pos="396"/>
              </w:tabs>
              <w:spacing w:before="20" w:after="20"/>
              <w:jc w:val="center"/>
              <w:rPr>
                <w:vertAlign w:val="superscript"/>
              </w:rPr>
            </w:pPr>
            <w:r w:rsidRPr="0082509E">
              <w:rPr>
                <w:szCs w:val="20"/>
              </w:rPr>
              <w:t>REDACTED</w:t>
            </w:r>
            <w:r w:rsidRPr="0082509E" w:rsidDel="0082509E">
              <w:t xml:space="preserve"> </w:t>
            </w:r>
            <w:r w:rsidR="00F51A29" w:rsidRPr="0082509E">
              <w:rPr>
                <w:vertAlign w:val="superscript"/>
              </w:rPr>
              <w:t>2</w:t>
            </w:r>
          </w:p>
        </w:tc>
      </w:tr>
      <w:tr w:rsidR="00345B81" w:rsidRPr="00EE0EEB" w14:paraId="1CC8C9AF" w14:textId="77777777" w:rsidTr="19A39685">
        <w:tc>
          <w:tcPr>
            <w:tcW w:w="5000" w:type="pct"/>
            <w:gridSpan w:val="7"/>
            <w:vAlign w:val="center"/>
          </w:tcPr>
          <w:p w14:paraId="2CAA4FEC" w14:textId="77777777" w:rsidR="00345B81" w:rsidRPr="0082509E" w:rsidRDefault="00345B81" w:rsidP="00EA57B9">
            <w:pPr>
              <w:pStyle w:val="TableText"/>
              <w:keepNext/>
              <w:keepLines/>
              <w:spacing w:before="20" w:after="20"/>
              <w:rPr>
                <w:b/>
              </w:rPr>
            </w:pPr>
            <w:r w:rsidRPr="0082509E">
              <w:rPr>
                <w:b/>
              </w:rPr>
              <w:t>Estimated extent of use of MRI scan – monitoring</w:t>
            </w:r>
          </w:p>
        </w:tc>
      </w:tr>
      <w:tr w:rsidR="00345B81" w:rsidRPr="00EE0EEB" w14:paraId="0F65AB85" w14:textId="77777777" w:rsidTr="19A39685">
        <w:tc>
          <w:tcPr>
            <w:tcW w:w="1118" w:type="pct"/>
            <w:vAlign w:val="center"/>
          </w:tcPr>
          <w:p w14:paraId="5DEDF3D9" w14:textId="77777777" w:rsidR="00345B81" w:rsidRPr="00EE0EEB" w:rsidRDefault="00345B81" w:rsidP="00EA57B9">
            <w:pPr>
              <w:pStyle w:val="TableText"/>
              <w:keepNext/>
              <w:keepLines/>
              <w:spacing w:before="20" w:after="20"/>
            </w:pPr>
            <w:r w:rsidRPr="00EE0EEB">
              <w:t>Number of patients tested</w:t>
            </w:r>
          </w:p>
        </w:tc>
        <w:tc>
          <w:tcPr>
            <w:tcW w:w="647" w:type="pct"/>
          </w:tcPr>
          <w:p w14:paraId="0CB0AB4B" w14:textId="348513F2" w:rsidR="00345B81" w:rsidRPr="0082509E" w:rsidRDefault="0082509E" w:rsidP="00EA57B9">
            <w:pPr>
              <w:pStyle w:val="TableNumber"/>
              <w:keepNext/>
              <w:keepLines/>
              <w:spacing w:before="20" w:after="20"/>
              <w:rPr>
                <w:vertAlign w:val="superscript"/>
              </w:rPr>
            </w:pPr>
            <w:r w:rsidRPr="0082509E">
              <w:rPr>
                <w:szCs w:val="20"/>
              </w:rPr>
              <w:t>REDACTED</w:t>
            </w:r>
            <w:r w:rsidRPr="0082509E" w:rsidDel="0082509E">
              <w:t xml:space="preserve"> </w:t>
            </w:r>
            <w:r w:rsidR="00F51A29" w:rsidRPr="0082509E">
              <w:rPr>
                <w:vertAlign w:val="superscript"/>
              </w:rPr>
              <w:t>3</w:t>
            </w:r>
          </w:p>
        </w:tc>
        <w:tc>
          <w:tcPr>
            <w:tcW w:w="647" w:type="pct"/>
          </w:tcPr>
          <w:p w14:paraId="70A81F74" w14:textId="19613EAC" w:rsidR="00345B81" w:rsidRPr="0082509E" w:rsidRDefault="0082509E" w:rsidP="00EA57B9">
            <w:pPr>
              <w:pStyle w:val="TableText"/>
              <w:keepNext/>
              <w:keepLines/>
              <w:tabs>
                <w:tab w:val="decimal" w:pos="396"/>
              </w:tabs>
              <w:spacing w:before="20" w:after="20"/>
              <w:jc w:val="center"/>
            </w:pPr>
            <w:r w:rsidRPr="0082509E">
              <w:rPr>
                <w:szCs w:val="20"/>
              </w:rPr>
              <w:t>REDACTED</w:t>
            </w:r>
            <w:r w:rsidRPr="0082509E" w:rsidDel="0082509E">
              <w:t xml:space="preserve"> </w:t>
            </w:r>
            <w:r w:rsidR="00193E31" w:rsidRPr="0082509E">
              <w:rPr>
                <w:vertAlign w:val="superscript"/>
              </w:rPr>
              <w:t>4</w:t>
            </w:r>
          </w:p>
        </w:tc>
        <w:tc>
          <w:tcPr>
            <w:tcW w:w="647" w:type="pct"/>
          </w:tcPr>
          <w:p w14:paraId="7CCBA2B8" w14:textId="2A7D584E" w:rsidR="00345B81" w:rsidRPr="0082509E" w:rsidRDefault="0082509E" w:rsidP="00EA57B9">
            <w:pPr>
              <w:pStyle w:val="TableText"/>
              <w:keepNext/>
              <w:keepLines/>
              <w:tabs>
                <w:tab w:val="decimal" w:pos="396"/>
              </w:tabs>
              <w:spacing w:before="20" w:after="20"/>
              <w:jc w:val="center"/>
            </w:pPr>
            <w:r w:rsidRPr="0082509E">
              <w:rPr>
                <w:szCs w:val="20"/>
              </w:rPr>
              <w:t>REDACTED</w:t>
            </w:r>
            <w:r w:rsidRPr="0082509E" w:rsidDel="0082509E">
              <w:t xml:space="preserve"> </w:t>
            </w:r>
            <w:r w:rsidR="00193E31" w:rsidRPr="0082509E">
              <w:rPr>
                <w:vertAlign w:val="superscript"/>
              </w:rPr>
              <w:t>4</w:t>
            </w:r>
            <w:r w:rsidR="00345B81" w:rsidRPr="0082509E">
              <w:t xml:space="preserve"> </w:t>
            </w:r>
          </w:p>
        </w:tc>
        <w:tc>
          <w:tcPr>
            <w:tcW w:w="647" w:type="pct"/>
          </w:tcPr>
          <w:p w14:paraId="2B2E572B" w14:textId="239FC3C2" w:rsidR="00345B81" w:rsidRPr="0082509E" w:rsidRDefault="0082509E" w:rsidP="00EA57B9">
            <w:pPr>
              <w:pStyle w:val="TableText"/>
              <w:keepNext/>
              <w:keepLines/>
              <w:tabs>
                <w:tab w:val="decimal" w:pos="396"/>
              </w:tabs>
              <w:spacing w:before="20" w:after="20"/>
              <w:jc w:val="center"/>
            </w:pPr>
            <w:r w:rsidRPr="0082509E">
              <w:rPr>
                <w:szCs w:val="20"/>
              </w:rPr>
              <w:t>REDACTED</w:t>
            </w:r>
            <w:r w:rsidRPr="0082509E" w:rsidDel="0082509E">
              <w:t xml:space="preserve"> </w:t>
            </w:r>
            <w:r w:rsidR="00436456" w:rsidRPr="0082509E">
              <w:rPr>
                <w:vertAlign w:val="superscript"/>
              </w:rPr>
              <w:t>5</w:t>
            </w:r>
            <w:r w:rsidR="00345B81" w:rsidRPr="0082509E">
              <w:t xml:space="preserve"> </w:t>
            </w:r>
          </w:p>
        </w:tc>
        <w:tc>
          <w:tcPr>
            <w:tcW w:w="647" w:type="pct"/>
          </w:tcPr>
          <w:p w14:paraId="2BD2DCDF" w14:textId="171C9622" w:rsidR="00345B81" w:rsidRPr="0082509E" w:rsidRDefault="0082509E" w:rsidP="00EA57B9">
            <w:pPr>
              <w:pStyle w:val="TableText"/>
              <w:keepNext/>
              <w:keepLines/>
              <w:tabs>
                <w:tab w:val="decimal" w:pos="396"/>
              </w:tabs>
              <w:spacing w:before="20" w:after="20"/>
              <w:jc w:val="center"/>
            </w:pPr>
            <w:r w:rsidRPr="0082509E">
              <w:rPr>
                <w:szCs w:val="20"/>
              </w:rPr>
              <w:t>REDACTED</w:t>
            </w:r>
            <w:r w:rsidRPr="0082509E" w:rsidDel="0082509E">
              <w:t xml:space="preserve"> </w:t>
            </w:r>
            <w:r w:rsidR="00436456" w:rsidRPr="0082509E">
              <w:rPr>
                <w:vertAlign w:val="superscript"/>
              </w:rPr>
              <w:t>6</w:t>
            </w:r>
            <w:r w:rsidR="00345B81" w:rsidRPr="0082509E">
              <w:t xml:space="preserve"> </w:t>
            </w:r>
          </w:p>
        </w:tc>
        <w:tc>
          <w:tcPr>
            <w:tcW w:w="647" w:type="pct"/>
          </w:tcPr>
          <w:p w14:paraId="53701F18" w14:textId="3E628249" w:rsidR="00345B81" w:rsidRPr="0082509E" w:rsidRDefault="0082509E" w:rsidP="00EA57B9">
            <w:pPr>
              <w:pStyle w:val="TableText"/>
              <w:keepNext/>
              <w:keepLines/>
              <w:tabs>
                <w:tab w:val="decimal" w:pos="396"/>
              </w:tabs>
              <w:spacing w:before="20" w:after="20"/>
              <w:jc w:val="center"/>
            </w:pPr>
            <w:r w:rsidRPr="0082509E">
              <w:rPr>
                <w:szCs w:val="20"/>
              </w:rPr>
              <w:t>REDACTED</w:t>
            </w:r>
            <w:r w:rsidRPr="0082509E" w:rsidDel="0082509E">
              <w:t xml:space="preserve"> </w:t>
            </w:r>
            <w:r w:rsidR="00436456" w:rsidRPr="0082509E">
              <w:rPr>
                <w:vertAlign w:val="superscript"/>
              </w:rPr>
              <w:t>7</w:t>
            </w:r>
            <w:r w:rsidR="00345B81" w:rsidRPr="0082509E">
              <w:t xml:space="preserve"> </w:t>
            </w:r>
          </w:p>
        </w:tc>
      </w:tr>
      <w:tr w:rsidR="00345B81" w:rsidRPr="00EE0EEB" w14:paraId="1D495274" w14:textId="77777777" w:rsidTr="19A39685">
        <w:tc>
          <w:tcPr>
            <w:tcW w:w="1118" w:type="pct"/>
            <w:vAlign w:val="center"/>
          </w:tcPr>
          <w:p w14:paraId="4A71D1F3" w14:textId="77777777" w:rsidR="00345B81" w:rsidRPr="00EE0EEB" w:rsidRDefault="00345B81" w:rsidP="00EA57B9">
            <w:pPr>
              <w:pStyle w:val="TableText"/>
              <w:keepNext/>
              <w:keepLines/>
              <w:spacing w:before="20" w:after="20"/>
            </w:pPr>
            <w:r w:rsidRPr="00EE0EEB">
              <w:t>Number of tests required</w:t>
            </w:r>
          </w:p>
        </w:tc>
        <w:tc>
          <w:tcPr>
            <w:tcW w:w="647" w:type="pct"/>
          </w:tcPr>
          <w:p w14:paraId="0B903FCE" w14:textId="2AFC5267"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8</w:t>
            </w:r>
          </w:p>
        </w:tc>
        <w:tc>
          <w:tcPr>
            <w:tcW w:w="647" w:type="pct"/>
          </w:tcPr>
          <w:p w14:paraId="37EC8439" w14:textId="59E8AA0A"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8</w:t>
            </w:r>
          </w:p>
        </w:tc>
        <w:tc>
          <w:tcPr>
            <w:tcW w:w="647" w:type="pct"/>
          </w:tcPr>
          <w:p w14:paraId="07995601" w14:textId="47B734B8"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8</w:t>
            </w:r>
          </w:p>
        </w:tc>
        <w:tc>
          <w:tcPr>
            <w:tcW w:w="647" w:type="pct"/>
          </w:tcPr>
          <w:p w14:paraId="208508EE" w14:textId="544284F2"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8</w:t>
            </w:r>
          </w:p>
        </w:tc>
        <w:tc>
          <w:tcPr>
            <w:tcW w:w="647" w:type="pct"/>
          </w:tcPr>
          <w:p w14:paraId="2AB45E84" w14:textId="063F07D1"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9</w:t>
            </w:r>
          </w:p>
        </w:tc>
        <w:tc>
          <w:tcPr>
            <w:tcW w:w="647" w:type="pct"/>
          </w:tcPr>
          <w:p w14:paraId="649AAF70" w14:textId="28B99109" w:rsidR="00345B81" w:rsidRPr="0082509E" w:rsidRDefault="0082509E" w:rsidP="00EA57B9">
            <w:pPr>
              <w:pStyle w:val="TableText"/>
              <w:keepNext/>
              <w:keepLines/>
              <w:spacing w:before="20" w:after="20"/>
              <w:jc w:val="center"/>
              <w:rPr>
                <w:i/>
                <w:iCs/>
                <w:vertAlign w:val="superscript"/>
              </w:rPr>
            </w:pPr>
            <w:r w:rsidRPr="0082509E">
              <w:rPr>
                <w:szCs w:val="20"/>
              </w:rPr>
              <w:t>REDACTED</w:t>
            </w:r>
            <w:r w:rsidRPr="0082509E" w:rsidDel="0082509E">
              <w:t xml:space="preserve"> </w:t>
            </w:r>
            <w:r w:rsidR="00A0636F" w:rsidRPr="0082509E">
              <w:rPr>
                <w:vertAlign w:val="superscript"/>
              </w:rPr>
              <w:t>9</w:t>
            </w:r>
          </w:p>
        </w:tc>
      </w:tr>
      <w:tr w:rsidR="00345B81" w:rsidRPr="00EE0EEB" w14:paraId="4F40D470" w14:textId="77777777" w:rsidTr="19A39685">
        <w:tc>
          <w:tcPr>
            <w:tcW w:w="1118" w:type="pct"/>
            <w:vAlign w:val="center"/>
          </w:tcPr>
          <w:p w14:paraId="20ECDBCC" w14:textId="77777777" w:rsidR="00345B81" w:rsidRPr="00EE0EEB" w:rsidRDefault="00345B81" w:rsidP="00EA57B9">
            <w:pPr>
              <w:pStyle w:val="TableText"/>
              <w:keepNext/>
              <w:keepLines/>
              <w:spacing w:before="20" w:after="20"/>
              <w:rPr>
                <w:i/>
                <w:iCs/>
              </w:rPr>
            </w:pPr>
            <w:r w:rsidRPr="00EE0EEB">
              <w:rPr>
                <w:i/>
                <w:iCs/>
              </w:rPr>
              <w:t>Revised number of tests</w:t>
            </w:r>
          </w:p>
        </w:tc>
        <w:tc>
          <w:tcPr>
            <w:tcW w:w="647" w:type="pct"/>
          </w:tcPr>
          <w:p w14:paraId="39B8E8AB" w14:textId="30CB2388" w:rsidR="00345B81" w:rsidRPr="0082509E" w:rsidRDefault="0082509E" w:rsidP="00EA57B9">
            <w:pPr>
              <w:pStyle w:val="TableText"/>
              <w:keepNext/>
              <w:keepLines/>
              <w:spacing w:before="20" w:after="20"/>
              <w:jc w:val="center"/>
            </w:pPr>
            <w:r w:rsidRPr="0082509E">
              <w:rPr>
                <w:szCs w:val="20"/>
              </w:rPr>
              <w:t>REDACTED</w:t>
            </w:r>
            <w:r w:rsidRPr="0082509E" w:rsidDel="0082509E">
              <w:rPr>
                <w:i/>
                <w:iCs/>
              </w:rPr>
              <w:t xml:space="preserve"> </w:t>
            </w:r>
            <w:r w:rsidR="00A0636F" w:rsidRPr="0082509E">
              <w:rPr>
                <w:vertAlign w:val="superscript"/>
              </w:rPr>
              <w:t>8</w:t>
            </w:r>
            <w:r w:rsidR="00345B81" w:rsidRPr="0082509E">
              <w:rPr>
                <w:i/>
                <w:iCs/>
              </w:rPr>
              <w:t xml:space="preserve"> </w:t>
            </w:r>
          </w:p>
        </w:tc>
        <w:tc>
          <w:tcPr>
            <w:tcW w:w="647" w:type="pct"/>
          </w:tcPr>
          <w:p w14:paraId="05C2AD82" w14:textId="7C1ED7B8"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A0636F" w:rsidRPr="0082509E">
              <w:rPr>
                <w:vertAlign w:val="superscript"/>
              </w:rPr>
              <w:t>8</w:t>
            </w:r>
          </w:p>
        </w:tc>
        <w:tc>
          <w:tcPr>
            <w:tcW w:w="647" w:type="pct"/>
          </w:tcPr>
          <w:p w14:paraId="18870F59" w14:textId="1D9BD60C" w:rsidR="00345B81" w:rsidRPr="0082509E" w:rsidRDefault="0082509E" w:rsidP="00EA57B9">
            <w:pPr>
              <w:pStyle w:val="TableText"/>
              <w:keepNext/>
              <w:keepLines/>
              <w:spacing w:before="20" w:after="20"/>
              <w:jc w:val="center"/>
            </w:pPr>
            <w:r w:rsidRPr="0082509E">
              <w:rPr>
                <w:szCs w:val="20"/>
              </w:rPr>
              <w:t>REDACTED</w:t>
            </w:r>
            <w:r w:rsidRPr="0082509E" w:rsidDel="0082509E">
              <w:rPr>
                <w:i/>
                <w:iCs/>
              </w:rPr>
              <w:t xml:space="preserve"> </w:t>
            </w:r>
            <w:r w:rsidR="00A0636F" w:rsidRPr="0082509E">
              <w:rPr>
                <w:vertAlign w:val="superscript"/>
              </w:rPr>
              <w:t>8</w:t>
            </w:r>
            <w:r w:rsidR="00345B81" w:rsidRPr="0082509E">
              <w:rPr>
                <w:i/>
                <w:iCs/>
              </w:rPr>
              <w:t xml:space="preserve"> </w:t>
            </w:r>
          </w:p>
        </w:tc>
        <w:tc>
          <w:tcPr>
            <w:tcW w:w="647" w:type="pct"/>
          </w:tcPr>
          <w:p w14:paraId="106488E0" w14:textId="7E6F470C"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A0636F" w:rsidRPr="0082509E">
              <w:rPr>
                <w:vertAlign w:val="superscript"/>
              </w:rPr>
              <w:t>8</w:t>
            </w:r>
          </w:p>
        </w:tc>
        <w:tc>
          <w:tcPr>
            <w:tcW w:w="647" w:type="pct"/>
          </w:tcPr>
          <w:p w14:paraId="7BE3AE0C" w14:textId="0E059C83"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A0636F" w:rsidRPr="0082509E">
              <w:rPr>
                <w:vertAlign w:val="superscript"/>
              </w:rPr>
              <w:t>9</w:t>
            </w:r>
          </w:p>
        </w:tc>
        <w:tc>
          <w:tcPr>
            <w:tcW w:w="647" w:type="pct"/>
          </w:tcPr>
          <w:p w14:paraId="6898F6CC" w14:textId="0851F887"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A0636F" w:rsidRPr="0082509E">
              <w:rPr>
                <w:vertAlign w:val="superscript"/>
              </w:rPr>
              <w:t>9</w:t>
            </w:r>
          </w:p>
        </w:tc>
      </w:tr>
      <w:tr w:rsidR="00345B81" w:rsidRPr="00EE0EEB" w14:paraId="1E9A6C5D" w14:textId="77777777" w:rsidTr="19A39685">
        <w:tc>
          <w:tcPr>
            <w:tcW w:w="5000" w:type="pct"/>
            <w:gridSpan w:val="7"/>
            <w:vAlign w:val="center"/>
          </w:tcPr>
          <w:p w14:paraId="0522AED9" w14:textId="37F42FCA" w:rsidR="00345B81" w:rsidRPr="0082509E" w:rsidRDefault="00345B81" w:rsidP="00EA57B9">
            <w:pPr>
              <w:pStyle w:val="TableText"/>
              <w:keepNext/>
              <w:keepLines/>
              <w:spacing w:before="20" w:after="20"/>
              <w:rPr>
                <w:b/>
              </w:rPr>
            </w:pPr>
            <w:r w:rsidRPr="0082509E">
              <w:rPr>
                <w:b/>
              </w:rPr>
              <w:t xml:space="preserve">Estimated financial implications for </w:t>
            </w:r>
            <w:r w:rsidR="004468BA" w:rsidRPr="0082509E">
              <w:rPr>
                <w:b/>
              </w:rPr>
              <w:t>MRI</w:t>
            </w:r>
            <w:r w:rsidRPr="0082509E">
              <w:rPr>
                <w:b/>
              </w:rPr>
              <w:t xml:space="preserve"> scan to the MBS</w:t>
            </w:r>
          </w:p>
        </w:tc>
      </w:tr>
      <w:tr w:rsidR="00345B81" w:rsidRPr="00EE0EEB" w14:paraId="6B44755D" w14:textId="77777777" w:rsidTr="19A39685">
        <w:tc>
          <w:tcPr>
            <w:tcW w:w="1118" w:type="pct"/>
            <w:vAlign w:val="center"/>
          </w:tcPr>
          <w:p w14:paraId="253BE1BC" w14:textId="77777777" w:rsidR="00345B81" w:rsidRPr="00EE0EEB" w:rsidRDefault="00345B81" w:rsidP="00EA57B9">
            <w:pPr>
              <w:pStyle w:val="TableText"/>
              <w:keepNext/>
              <w:keepLines/>
              <w:spacing w:before="20" w:after="20"/>
            </w:pPr>
            <w:r w:rsidRPr="00EE0EEB">
              <w:t>Total number of tests</w:t>
            </w:r>
          </w:p>
        </w:tc>
        <w:tc>
          <w:tcPr>
            <w:tcW w:w="647" w:type="pct"/>
          </w:tcPr>
          <w:p w14:paraId="054FBABF" w14:textId="4BB80997"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8</w:t>
            </w:r>
          </w:p>
        </w:tc>
        <w:tc>
          <w:tcPr>
            <w:tcW w:w="647" w:type="pct"/>
          </w:tcPr>
          <w:p w14:paraId="5EBBF5DF" w14:textId="6E54C8AF"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8</w:t>
            </w:r>
          </w:p>
        </w:tc>
        <w:tc>
          <w:tcPr>
            <w:tcW w:w="647" w:type="pct"/>
          </w:tcPr>
          <w:p w14:paraId="6BD44699" w14:textId="45A3D1D1"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8</w:t>
            </w:r>
          </w:p>
        </w:tc>
        <w:tc>
          <w:tcPr>
            <w:tcW w:w="647" w:type="pct"/>
          </w:tcPr>
          <w:p w14:paraId="49A54C93" w14:textId="38B51CA9"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8</w:t>
            </w:r>
          </w:p>
        </w:tc>
        <w:tc>
          <w:tcPr>
            <w:tcW w:w="647" w:type="pct"/>
          </w:tcPr>
          <w:p w14:paraId="657779F1" w14:textId="17196227"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9</w:t>
            </w:r>
          </w:p>
        </w:tc>
        <w:tc>
          <w:tcPr>
            <w:tcW w:w="647" w:type="pct"/>
          </w:tcPr>
          <w:p w14:paraId="338E0AE3" w14:textId="43D73514"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t xml:space="preserve"> </w:t>
            </w:r>
            <w:r w:rsidR="001F175B" w:rsidRPr="0082509E">
              <w:rPr>
                <w:vertAlign w:val="superscript"/>
              </w:rPr>
              <w:t>9</w:t>
            </w:r>
          </w:p>
        </w:tc>
      </w:tr>
      <w:tr w:rsidR="00345B81" w:rsidRPr="00EE0EEB" w14:paraId="57589FD4" w14:textId="77777777" w:rsidTr="19A39685">
        <w:tc>
          <w:tcPr>
            <w:tcW w:w="1118" w:type="pct"/>
            <w:vAlign w:val="center"/>
          </w:tcPr>
          <w:p w14:paraId="3C5754E4" w14:textId="77777777" w:rsidR="00345B81" w:rsidRPr="00EE0EEB" w:rsidRDefault="00345B81" w:rsidP="00EA57B9">
            <w:pPr>
              <w:pStyle w:val="TableText"/>
              <w:keepNext/>
              <w:keepLines/>
              <w:spacing w:before="20" w:after="20"/>
              <w:rPr>
                <w:i/>
                <w:iCs/>
              </w:rPr>
            </w:pPr>
            <w:r w:rsidRPr="00EE0EEB">
              <w:rPr>
                <w:i/>
                <w:iCs/>
              </w:rPr>
              <w:t>Revised number of tests</w:t>
            </w:r>
          </w:p>
        </w:tc>
        <w:tc>
          <w:tcPr>
            <w:tcW w:w="647" w:type="pct"/>
          </w:tcPr>
          <w:p w14:paraId="7D607C13" w14:textId="7C5021E6"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8</w:t>
            </w:r>
          </w:p>
        </w:tc>
        <w:tc>
          <w:tcPr>
            <w:tcW w:w="647" w:type="pct"/>
          </w:tcPr>
          <w:p w14:paraId="7984EF84" w14:textId="67ACBB91"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8</w:t>
            </w:r>
          </w:p>
        </w:tc>
        <w:tc>
          <w:tcPr>
            <w:tcW w:w="647" w:type="pct"/>
          </w:tcPr>
          <w:p w14:paraId="7BE59CA7" w14:textId="0C6438F6"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8</w:t>
            </w:r>
          </w:p>
        </w:tc>
        <w:tc>
          <w:tcPr>
            <w:tcW w:w="647" w:type="pct"/>
          </w:tcPr>
          <w:p w14:paraId="32B79CB1" w14:textId="597C4249"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8</w:t>
            </w:r>
          </w:p>
        </w:tc>
        <w:tc>
          <w:tcPr>
            <w:tcW w:w="647" w:type="pct"/>
          </w:tcPr>
          <w:p w14:paraId="49030D0A" w14:textId="371359F5"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9</w:t>
            </w:r>
          </w:p>
        </w:tc>
        <w:tc>
          <w:tcPr>
            <w:tcW w:w="647" w:type="pct"/>
          </w:tcPr>
          <w:p w14:paraId="15181133" w14:textId="4585A05D" w:rsidR="00345B81" w:rsidRPr="0082509E" w:rsidRDefault="0082509E" w:rsidP="00EA57B9">
            <w:pPr>
              <w:pStyle w:val="TableText"/>
              <w:keepNext/>
              <w:keepLines/>
              <w:spacing w:before="20" w:after="20"/>
              <w:jc w:val="center"/>
              <w:rPr>
                <w:vertAlign w:val="superscript"/>
              </w:rPr>
            </w:pPr>
            <w:r w:rsidRPr="0082509E">
              <w:rPr>
                <w:szCs w:val="20"/>
              </w:rPr>
              <w:t>REDACTED</w:t>
            </w:r>
            <w:r w:rsidRPr="0082509E" w:rsidDel="0082509E">
              <w:rPr>
                <w:i/>
                <w:iCs/>
              </w:rPr>
              <w:t xml:space="preserve"> </w:t>
            </w:r>
            <w:r w:rsidR="001F175B" w:rsidRPr="0082509E">
              <w:rPr>
                <w:vertAlign w:val="superscript"/>
              </w:rPr>
              <w:t>9</w:t>
            </w:r>
          </w:p>
        </w:tc>
      </w:tr>
      <w:tr w:rsidR="00345B81" w:rsidRPr="00EE0EEB" w14:paraId="4A3080FD" w14:textId="77777777" w:rsidTr="19A39685">
        <w:tc>
          <w:tcPr>
            <w:tcW w:w="1118" w:type="pct"/>
            <w:vAlign w:val="center"/>
          </w:tcPr>
          <w:p w14:paraId="7DF85ABC" w14:textId="77777777" w:rsidR="00345B81" w:rsidRPr="00EE0EEB" w:rsidRDefault="00345B81" w:rsidP="00EA57B9">
            <w:pPr>
              <w:pStyle w:val="TableText"/>
              <w:keepNext/>
              <w:keepLines/>
              <w:spacing w:before="20" w:after="20"/>
            </w:pPr>
            <w:r w:rsidRPr="00EE0EEB">
              <w:t>Unit cost of the test</w:t>
            </w:r>
          </w:p>
        </w:tc>
        <w:tc>
          <w:tcPr>
            <w:tcW w:w="647" w:type="pct"/>
          </w:tcPr>
          <w:p w14:paraId="3BBDCC84" w14:textId="77777777" w:rsidR="00345B81" w:rsidRPr="0082509E" w:rsidRDefault="00345B81" w:rsidP="00EA57B9">
            <w:pPr>
              <w:pStyle w:val="TableText"/>
              <w:keepNext/>
              <w:keepLines/>
              <w:spacing w:before="20" w:after="20"/>
              <w:jc w:val="center"/>
            </w:pPr>
            <w:r w:rsidRPr="0082509E">
              <w:t>$353.16</w:t>
            </w:r>
          </w:p>
        </w:tc>
        <w:tc>
          <w:tcPr>
            <w:tcW w:w="647" w:type="pct"/>
          </w:tcPr>
          <w:p w14:paraId="7B5BC548" w14:textId="77777777" w:rsidR="00345B81" w:rsidRPr="0082509E" w:rsidRDefault="00345B81" w:rsidP="00EA57B9">
            <w:pPr>
              <w:pStyle w:val="TableText"/>
              <w:keepNext/>
              <w:keepLines/>
              <w:spacing w:before="20" w:after="20"/>
              <w:jc w:val="center"/>
            </w:pPr>
            <w:r w:rsidRPr="0082509E">
              <w:t>$353.16</w:t>
            </w:r>
          </w:p>
        </w:tc>
        <w:tc>
          <w:tcPr>
            <w:tcW w:w="647" w:type="pct"/>
          </w:tcPr>
          <w:p w14:paraId="0AAC597D" w14:textId="77777777" w:rsidR="00345B81" w:rsidRPr="0082509E" w:rsidRDefault="00345B81" w:rsidP="00EA57B9">
            <w:pPr>
              <w:pStyle w:val="TableText"/>
              <w:keepNext/>
              <w:keepLines/>
              <w:spacing w:before="20" w:after="20"/>
              <w:jc w:val="center"/>
            </w:pPr>
            <w:r w:rsidRPr="0082509E">
              <w:t>$353.16</w:t>
            </w:r>
          </w:p>
        </w:tc>
        <w:tc>
          <w:tcPr>
            <w:tcW w:w="647" w:type="pct"/>
          </w:tcPr>
          <w:p w14:paraId="10F1CD7B" w14:textId="77777777" w:rsidR="00345B81" w:rsidRPr="0082509E" w:rsidRDefault="00345B81" w:rsidP="00EA57B9">
            <w:pPr>
              <w:pStyle w:val="TableText"/>
              <w:keepNext/>
              <w:keepLines/>
              <w:spacing w:before="20" w:after="20"/>
              <w:jc w:val="center"/>
            </w:pPr>
            <w:r w:rsidRPr="0082509E">
              <w:t>$353.16</w:t>
            </w:r>
          </w:p>
        </w:tc>
        <w:tc>
          <w:tcPr>
            <w:tcW w:w="647" w:type="pct"/>
          </w:tcPr>
          <w:p w14:paraId="27649C96" w14:textId="77777777" w:rsidR="00345B81" w:rsidRPr="0082509E" w:rsidRDefault="00345B81" w:rsidP="00EA57B9">
            <w:pPr>
              <w:pStyle w:val="TableText"/>
              <w:keepNext/>
              <w:keepLines/>
              <w:spacing w:before="20" w:after="20"/>
              <w:jc w:val="center"/>
            </w:pPr>
            <w:r w:rsidRPr="0082509E">
              <w:t>$353.16</w:t>
            </w:r>
          </w:p>
        </w:tc>
        <w:tc>
          <w:tcPr>
            <w:tcW w:w="647" w:type="pct"/>
          </w:tcPr>
          <w:p w14:paraId="59D7E31C" w14:textId="77777777" w:rsidR="00345B81" w:rsidRPr="0082509E" w:rsidRDefault="00345B81" w:rsidP="00EA57B9">
            <w:pPr>
              <w:pStyle w:val="TableText"/>
              <w:keepNext/>
              <w:keepLines/>
              <w:spacing w:before="20" w:after="20"/>
              <w:jc w:val="center"/>
            </w:pPr>
            <w:r w:rsidRPr="0082509E">
              <w:t>$353.16</w:t>
            </w:r>
          </w:p>
        </w:tc>
      </w:tr>
      <w:tr w:rsidR="00345B81" w:rsidRPr="00EE0EEB" w14:paraId="5C5674C5" w14:textId="77777777" w:rsidTr="19A39685">
        <w:tc>
          <w:tcPr>
            <w:tcW w:w="1118" w:type="pct"/>
            <w:vAlign w:val="center"/>
          </w:tcPr>
          <w:p w14:paraId="41D13F41" w14:textId="343548BC" w:rsidR="00345B81" w:rsidRPr="00EE0EEB" w:rsidRDefault="00345B81" w:rsidP="00EA57B9">
            <w:pPr>
              <w:pStyle w:val="TableText"/>
              <w:keepNext/>
              <w:keepLines/>
              <w:spacing w:before="20" w:after="20"/>
            </w:pPr>
            <w:r w:rsidRPr="00EE0EEB">
              <w:t xml:space="preserve">Net cost to </w:t>
            </w:r>
            <w:r w:rsidR="00606075">
              <w:t xml:space="preserve">the </w:t>
            </w:r>
            <w:r w:rsidRPr="00EE0EEB">
              <w:t>MBS</w:t>
            </w:r>
          </w:p>
        </w:tc>
        <w:tc>
          <w:tcPr>
            <w:tcW w:w="647" w:type="pct"/>
          </w:tcPr>
          <w:p w14:paraId="1374762F" w14:textId="0CBA5A0A"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E76923" w:rsidRPr="0082509E">
              <w:rPr>
                <w:vertAlign w:val="superscript"/>
              </w:rPr>
              <w:t>10</w:t>
            </w:r>
          </w:p>
        </w:tc>
        <w:tc>
          <w:tcPr>
            <w:tcW w:w="647" w:type="pct"/>
          </w:tcPr>
          <w:p w14:paraId="75E6AD2E" w14:textId="4406EF69"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E76923" w:rsidRPr="0082509E">
              <w:rPr>
                <w:vertAlign w:val="superscript"/>
              </w:rPr>
              <w:t>11</w:t>
            </w:r>
          </w:p>
        </w:tc>
        <w:tc>
          <w:tcPr>
            <w:tcW w:w="647" w:type="pct"/>
          </w:tcPr>
          <w:p w14:paraId="2D8EC230" w14:textId="0E54BDAB"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901924" w:rsidRPr="0082509E">
              <w:rPr>
                <w:vertAlign w:val="superscript"/>
              </w:rPr>
              <w:t>12</w:t>
            </w:r>
          </w:p>
        </w:tc>
        <w:tc>
          <w:tcPr>
            <w:tcW w:w="647" w:type="pct"/>
          </w:tcPr>
          <w:p w14:paraId="58BC644F" w14:textId="7A2B99FE"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1D362F" w:rsidRPr="0082509E">
              <w:rPr>
                <w:vertAlign w:val="superscript"/>
              </w:rPr>
              <w:t>13</w:t>
            </w:r>
          </w:p>
        </w:tc>
        <w:tc>
          <w:tcPr>
            <w:tcW w:w="647" w:type="pct"/>
          </w:tcPr>
          <w:p w14:paraId="4E60FF5E" w14:textId="5594FB8C"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1D362F" w:rsidRPr="0082509E">
              <w:rPr>
                <w:vertAlign w:val="superscript"/>
              </w:rPr>
              <w:t>15</w:t>
            </w:r>
          </w:p>
        </w:tc>
        <w:tc>
          <w:tcPr>
            <w:tcW w:w="647" w:type="pct"/>
          </w:tcPr>
          <w:p w14:paraId="7A319CBA" w14:textId="71CFA913" w:rsidR="00345B81" w:rsidRPr="0082509E" w:rsidRDefault="00345B81" w:rsidP="00EA57B9">
            <w:pPr>
              <w:pStyle w:val="TableText"/>
              <w:keepNext/>
              <w:keepLines/>
              <w:spacing w:before="20" w:after="20"/>
              <w:jc w:val="center"/>
              <w:rPr>
                <w:vertAlign w:val="superscript"/>
              </w:rPr>
            </w:pPr>
            <w:r w:rsidRPr="0082509E">
              <w:t>$</w:t>
            </w:r>
            <w:r w:rsidR="0082509E" w:rsidRPr="0082509E">
              <w:rPr>
                <w:szCs w:val="20"/>
              </w:rPr>
              <w:t xml:space="preserve"> REDACTED</w:t>
            </w:r>
            <w:r w:rsidR="0082509E" w:rsidRPr="0082509E" w:rsidDel="0082509E">
              <w:t xml:space="preserve"> </w:t>
            </w:r>
            <w:r w:rsidR="00652D3E" w:rsidRPr="0082509E">
              <w:rPr>
                <w:vertAlign w:val="superscript"/>
              </w:rPr>
              <w:t>16</w:t>
            </w:r>
          </w:p>
        </w:tc>
      </w:tr>
      <w:tr w:rsidR="00345B81" w:rsidRPr="00EE0EEB" w14:paraId="71A2ADD3" w14:textId="77777777" w:rsidTr="19A39685">
        <w:tc>
          <w:tcPr>
            <w:tcW w:w="1118" w:type="pct"/>
            <w:vAlign w:val="center"/>
          </w:tcPr>
          <w:p w14:paraId="7BCA844D" w14:textId="459B340E" w:rsidR="00345B81" w:rsidRPr="00EE0EEB" w:rsidRDefault="00345B81" w:rsidP="00EA57B9">
            <w:pPr>
              <w:pStyle w:val="TableText"/>
              <w:keepNext/>
              <w:keepLines/>
              <w:spacing w:before="20" w:after="20"/>
              <w:rPr>
                <w:i/>
                <w:iCs/>
              </w:rPr>
            </w:pPr>
            <w:r w:rsidRPr="00EE0EEB">
              <w:rPr>
                <w:i/>
                <w:iCs/>
              </w:rPr>
              <w:t>Revised cost to</w:t>
            </w:r>
            <w:r w:rsidR="00606075">
              <w:rPr>
                <w:i/>
                <w:iCs/>
              </w:rPr>
              <w:t xml:space="preserve"> the</w:t>
            </w:r>
            <w:r w:rsidRPr="00EE0EEB">
              <w:rPr>
                <w:i/>
                <w:iCs/>
              </w:rPr>
              <w:t xml:space="preserve"> MBS</w:t>
            </w:r>
          </w:p>
        </w:tc>
        <w:tc>
          <w:tcPr>
            <w:tcW w:w="647" w:type="pct"/>
          </w:tcPr>
          <w:p w14:paraId="23427CE7" w14:textId="0A164360"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E76923" w:rsidRPr="0082509E">
              <w:rPr>
                <w:vertAlign w:val="superscript"/>
              </w:rPr>
              <w:t>10</w:t>
            </w:r>
          </w:p>
        </w:tc>
        <w:tc>
          <w:tcPr>
            <w:tcW w:w="647" w:type="pct"/>
          </w:tcPr>
          <w:p w14:paraId="48BE785E" w14:textId="4ED3E223"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E76923" w:rsidRPr="0082509E">
              <w:rPr>
                <w:vertAlign w:val="superscript"/>
              </w:rPr>
              <w:t>11</w:t>
            </w:r>
          </w:p>
        </w:tc>
        <w:tc>
          <w:tcPr>
            <w:tcW w:w="647" w:type="pct"/>
          </w:tcPr>
          <w:p w14:paraId="4E1C8ECE" w14:textId="11C5D463"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901924" w:rsidRPr="0082509E">
              <w:rPr>
                <w:vertAlign w:val="superscript"/>
              </w:rPr>
              <w:t>12</w:t>
            </w:r>
          </w:p>
        </w:tc>
        <w:tc>
          <w:tcPr>
            <w:tcW w:w="647" w:type="pct"/>
          </w:tcPr>
          <w:p w14:paraId="389F5AD0" w14:textId="3BF22FB1"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1D362F" w:rsidRPr="0082509E">
              <w:rPr>
                <w:vertAlign w:val="superscript"/>
              </w:rPr>
              <w:t>13</w:t>
            </w:r>
          </w:p>
        </w:tc>
        <w:tc>
          <w:tcPr>
            <w:tcW w:w="647" w:type="pct"/>
          </w:tcPr>
          <w:p w14:paraId="546BBF91" w14:textId="3FECF894"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1D362F" w:rsidRPr="0082509E">
              <w:rPr>
                <w:vertAlign w:val="superscript"/>
              </w:rPr>
              <w:t>14</w:t>
            </w:r>
          </w:p>
        </w:tc>
        <w:tc>
          <w:tcPr>
            <w:tcW w:w="647" w:type="pct"/>
          </w:tcPr>
          <w:p w14:paraId="44A10DFE" w14:textId="5448236A" w:rsidR="00345B81" w:rsidRPr="0082509E" w:rsidRDefault="00345B81" w:rsidP="00EA57B9">
            <w:pPr>
              <w:pStyle w:val="TableText"/>
              <w:keepNext/>
              <w:keepLines/>
              <w:spacing w:before="20" w:after="20"/>
              <w:jc w:val="center"/>
              <w:rPr>
                <w:vertAlign w:val="superscript"/>
              </w:rPr>
            </w:pPr>
            <w:r w:rsidRPr="0082509E">
              <w:rPr>
                <w:i/>
                <w:iCs/>
              </w:rPr>
              <w:t>$</w:t>
            </w:r>
            <w:r w:rsidR="0082509E" w:rsidRPr="0082509E">
              <w:rPr>
                <w:szCs w:val="20"/>
              </w:rPr>
              <w:t xml:space="preserve"> REDACTED</w:t>
            </w:r>
            <w:r w:rsidR="0082509E" w:rsidRPr="0082509E" w:rsidDel="0082509E">
              <w:rPr>
                <w:i/>
                <w:iCs/>
              </w:rPr>
              <w:t xml:space="preserve"> </w:t>
            </w:r>
            <w:r w:rsidR="00652D3E" w:rsidRPr="0082509E">
              <w:rPr>
                <w:vertAlign w:val="superscript"/>
              </w:rPr>
              <w:t>16</w:t>
            </w:r>
          </w:p>
        </w:tc>
      </w:tr>
    </w:tbl>
    <w:p w14:paraId="08F36EB8" w14:textId="77777777" w:rsidR="00345B81" w:rsidRPr="00EE0EEB" w:rsidRDefault="00345B81" w:rsidP="00EA57B9">
      <w:pPr>
        <w:pStyle w:val="TableFooter"/>
        <w:keepNext/>
        <w:keepLines/>
      </w:pPr>
      <w:r w:rsidRPr="00EE0EEB" w:rsidDel="0015247C">
        <w:t xml:space="preserve">Source: </w:t>
      </w:r>
      <w:r w:rsidRPr="00EE0EEB">
        <w:t xml:space="preserve">Worksheet </w:t>
      </w:r>
      <w:r w:rsidRPr="00EE0EEB">
        <w:rPr>
          <w:i/>
          <w:iCs/>
        </w:rPr>
        <w:t>7 Net changes – MBS</w:t>
      </w:r>
      <w:r w:rsidRPr="00EE0EEB">
        <w:t xml:space="preserve"> of the financial estimates model provided with</w:t>
      </w:r>
      <w:r w:rsidRPr="00EE0EEB" w:rsidDel="0015247C">
        <w:t xml:space="preserve"> the submission.</w:t>
      </w:r>
    </w:p>
    <w:p w14:paraId="7DEB2E14" w14:textId="77777777" w:rsidR="00345B81" w:rsidRPr="00EE0EEB" w:rsidRDefault="00345B81" w:rsidP="00EA57B9">
      <w:pPr>
        <w:pStyle w:val="TableFooter"/>
        <w:keepNext/>
        <w:keepLines/>
      </w:pPr>
      <w:r w:rsidRPr="00EE0EEB">
        <w:t>Cost is calculated at 80% of schedule fee.</w:t>
      </w:r>
    </w:p>
    <w:p w14:paraId="4253C008" w14:textId="77777777" w:rsidR="00345B81" w:rsidRDefault="00345B81" w:rsidP="00EA57B9">
      <w:pPr>
        <w:pStyle w:val="TableFooter"/>
        <w:keepNext/>
        <w:keepLines/>
        <w:rPr>
          <w:i/>
          <w:iCs/>
        </w:rPr>
      </w:pPr>
      <w:r w:rsidRPr="00675920">
        <w:rPr>
          <w:i/>
          <w:iCs/>
        </w:rPr>
        <w:t>Note: Italics show corrections applied during the evaluation. The number of tested patients was overestimated by using patient years of treatment rather than patients in the calculation.</w:t>
      </w:r>
    </w:p>
    <w:p w14:paraId="4F7D5181" w14:textId="77777777" w:rsidR="00723D1A" w:rsidRDefault="00723D1A" w:rsidP="00723D1A">
      <w:pPr>
        <w:pStyle w:val="FooterTableFigure"/>
      </w:pPr>
      <w:r w:rsidRPr="00963DAC">
        <w:t>The redacted values correspond to the following ranges per year:</w:t>
      </w:r>
    </w:p>
    <w:p w14:paraId="1BC10457" w14:textId="0EFFCEE5" w:rsidR="00723D1A" w:rsidRDefault="00F51A29" w:rsidP="00723D1A">
      <w:pPr>
        <w:pStyle w:val="FooterTableFigure"/>
      </w:pPr>
      <w:r>
        <w:rPr>
          <w:vertAlign w:val="superscript"/>
        </w:rPr>
        <w:t>1</w:t>
      </w:r>
      <w:r w:rsidR="00723D1A">
        <w:rPr>
          <w:vertAlign w:val="superscript"/>
        </w:rPr>
        <w:t xml:space="preserve"> </w:t>
      </w:r>
      <w:r w:rsidR="00723D1A">
        <w:t>5,000 to &lt; 10,000</w:t>
      </w:r>
    </w:p>
    <w:p w14:paraId="56D02ED5" w14:textId="06B0E7EF" w:rsidR="00723D1A" w:rsidRDefault="00F51A29" w:rsidP="00723D1A">
      <w:pPr>
        <w:pStyle w:val="FooterTableFigure"/>
      </w:pPr>
      <w:r>
        <w:rPr>
          <w:vertAlign w:val="superscript"/>
        </w:rPr>
        <w:t>2</w:t>
      </w:r>
      <w:r w:rsidR="00723D1A">
        <w:rPr>
          <w:vertAlign w:val="superscript"/>
        </w:rPr>
        <w:t xml:space="preserve"> </w:t>
      </w:r>
      <w:r w:rsidR="00723D1A" w:rsidRPr="00144F1F">
        <w:t>10</w:t>
      </w:r>
      <w:r w:rsidR="00723D1A">
        <w:t>,000 to &lt; 20,000</w:t>
      </w:r>
    </w:p>
    <w:p w14:paraId="0BA1882F" w14:textId="4BBE6CE7" w:rsidR="00723D1A" w:rsidRDefault="00F51A29" w:rsidP="00723D1A">
      <w:pPr>
        <w:pStyle w:val="FooterTableFigure"/>
      </w:pPr>
      <w:r>
        <w:rPr>
          <w:vertAlign w:val="superscript"/>
        </w:rPr>
        <w:t>3</w:t>
      </w:r>
      <w:r w:rsidR="00723D1A">
        <w:rPr>
          <w:vertAlign w:val="superscript"/>
        </w:rPr>
        <w:t xml:space="preserve"> </w:t>
      </w:r>
      <w:r w:rsidR="00723D1A">
        <w:t>20,000 to &lt; 30,000</w:t>
      </w:r>
    </w:p>
    <w:p w14:paraId="4EF22EA4" w14:textId="6364B2C8" w:rsidR="00723D1A" w:rsidRDefault="00F51A29" w:rsidP="00723D1A">
      <w:pPr>
        <w:pStyle w:val="FooterTableFigure"/>
      </w:pPr>
      <w:r>
        <w:rPr>
          <w:vertAlign w:val="superscript"/>
        </w:rPr>
        <w:t>4</w:t>
      </w:r>
      <w:r w:rsidR="00723D1A">
        <w:rPr>
          <w:vertAlign w:val="superscript"/>
        </w:rPr>
        <w:t xml:space="preserve"> </w:t>
      </w:r>
      <w:r w:rsidR="00723D1A">
        <w:t>30,000 to &lt; 40,000</w:t>
      </w:r>
    </w:p>
    <w:p w14:paraId="6BFFFB0E" w14:textId="292B8CD5" w:rsidR="009E1E36" w:rsidRDefault="00F51A29" w:rsidP="009E1E36">
      <w:pPr>
        <w:pStyle w:val="FooterTableFigure"/>
      </w:pPr>
      <w:r>
        <w:rPr>
          <w:vertAlign w:val="superscript"/>
        </w:rPr>
        <w:t>5</w:t>
      </w:r>
      <w:r w:rsidR="009E1E36">
        <w:rPr>
          <w:vertAlign w:val="superscript"/>
        </w:rPr>
        <w:t xml:space="preserve"> </w:t>
      </w:r>
      <w:r w:rsidR="009E1E36">
        <w:t>40,000 to &lt; 50,000</w:t>
      </w:r>
    </w:p>
    <w:p w14:paraId="564F39C0" w14:textId="06C6899F" w:rsidR="009E1E36" w:rsidRDefault="00193E31" w:rsidP="009E1E36">
      <w:pPr>
        <w:pStyle w:val="FooterTableFigure"/>
      </w:pPr>
      <w:r>
        <w:rPr>
          <w:vertAlign w:val="superscript"/>
        </w:rPr>
        <w:t>6</w:t>
      </w:r>
      <w:r w:rsidR="009E1E36">
        <w:rPr>
          <w:vertAlign w:val="superscript"/>
        </w:rPr>
        <w:t xml:space="preserve"> </w:t>
      </w:r>
      <w:r w:rsidR="009E1E36">
        <w:t>50,000 to &lt; 60,000</w:t>
      </w:r>
    </w:p>
    <w:p w14:paraId="45AE9BBC" w14:textId="099A3BC2" w:rsidR="00805AE2" w:rsidRDefault="00193E31" w:rsidP="00805AE2">
      <w:pPr>
        <w:pStyle w:val="FooterTableFigure"/>
      </w:pPr>
      <w:r>
        <w:rPr>
          <w:vertAlign w:val="superscript"/>
        </w:rPr>
        <w:t>7</w:t>
      </w:r>
      <w:r w:rsidR="009E1E36">
        <w:rPr>
          <w:vertAlign w:val="superscript"/>
        </w:rPr>
        <w:t xml:space="preserve"> </w:t>
      </w:r>
      <w:r w:rsidR="009E1E36">
        <w:t>60,000 to &lt; 70,000</w:t>
      </w:r>
      <w:r w:rsidR="00805AE2">
        <w:t xml:space="preserve"> </w:t>
      </w:r>
    </w:p>
    <w:p w14:paraId="45388911" w14:textId="39EE8FF3" w:rsidR="00805AE2" w:rsidRDefault="00805AE2" w:rsidP="00805AE2">
      <w:pPr>
        <w:pStyle w:val="FooterTableFigure"/>
      </w:pPr>
      <w:r>
        <w:rPr>
          <w:vertAlign w:val="superscript"/>
        </w:rPr>
        <w:t xml:space="preserve">8 </w:t>
      </w:r>
      <w:r>
        <w:t>100,000 to &lt; 200,000</w:t>
      </w:r>
    </w:p>
    <w:p w14:paraId="18CD33CF" w14:textId="1A6A418E" w:rsidR="009E1E36" w:rsidRDefault="00805AE2" w:rsidP="009E1E36">
      <w:pPr>
        <w:pStyle w:val="FooterTableFigure"/>
      </w:pPr>
      <w:r>
        <w:rPr>
          <w:vertAlign w:val="superscript"/>
        </w:rPr>
        <w:t>9</w:t>
      </w:r>
      <w:r w:rsidR="009E1E36">
        <w:rPr>
          <w:vertAlign w:val="superscript"/>
        </w:rPr>
        <w:t xml:space="preserve"> </w:t>
      </w:r>
      <w:r w:rsidR="009E1E36">
        <w:t>200,000 to &lt; 300,000</w:t>
      </w:r>
    </w:p>
    <w:p w14:paraId="0FB4174E" w14:textId="184371D3" w:rsidR="00BD4594" w:rsidRDefault="00BD4594" w:rsidP="00BD4594">
      <w:pPr>
        <w:pStyle w:val="FooterTableFigure"/>
      </w:pPr>
      <w:r>
        <w:rPr>
          <w:vertAlign w:val="superscript"/>
        </w:rPr>
        <w:t xml:space="preserve">10 </w:t>
      </w:r>
      <w:r w:rsidRPr="00251021">
        <w:t>$</w:t>
      </w:r>
      <w:r w:rsidR="00E20648">
        <w:t>3</w:t>
      </w:r>
      <w:r w:rsidRPr="00251021">
        <w:t xml:space="preserve">0 </w:t>
      </w:r>
      <w:r>
        <w:t xml:space="preserve">million </w:t>
      </w:r>
      <w:r w:rsidRPr="00251021">
        <w:t>to &lt; $</w:t>
      </w:r>
      <w:r w:rsidR="00E20648">
        <w:t>4</w:t>
      </w:r>
      <w:r w:rsidRPr="00251021">
        <w:t>0 million</w:t>
      </w:r>
    </w:p>
    <w:p w14:paraId="0AEEC6E8" w14:textId="37E2E231" w:rsidR="00BD4594" w:rsidRDefault="00BD4594" w:rsidP="00BD4594">
      <w:pPr>
        <w:pStyle w:val="FooterTableFigure"/>
      </w:pPr>
      <w:r>
        <w:rPr>
          <w:vertAlign w:val="superscript"/>
        </w:rPr>
        <w:t xml:space="preserve">11 </w:t>
      </w:r>
      <w:r w:rsidRPr="00251021">
        <w:t>$</w:t>
      </w:r>
      <w:r w:rsidR="00E20648">
        <w:t>4</w:t>
      </w:r>
      <w:r w:rsidRPr="00251021">
        <w:t xml:space="preserve">0 </w:t>
      </w:r>
      <w:r>
        <w:t xml:space="preserve">million </w:t>
      </w:r>
      <w:r w:rsidRPr="00251021">
        <w:t>to &lt; $</w:t>
      </w:r>
      <w:r w:rsidR="00E20648">
        <w:t>5</w:t>
      </w:r>
      <w:r w:rsidRPr="00251021">
        <w:t>0 million</w:t>
      </w:r>
    </w:p>
    <w:p w14:paraId="05517545" w14:textId="77777777" w:rsidR="00BD4594" w:rsidRDefault="00BD4594" w:rsidP="00BD4594">
      <w:pPr>
        <w:pStyle w:val="FooterTableFigure"/>
      </w:pPr>
      <w:r>
        <w:rPr>
          <w:vertAlign w:val="superscript"/>
        </w:rPr>
        <w:t xml:space="preserve">12 </w:t>
      </w:r>
      <w:r w:rsidRPr="00251021">
        <w:t>$</w:t>
      </w:r>
      <w:r>
        <w:t>5</w:t>
      </w:r>
      <w:r w:rsidRPr="00251021">
        <w:t xml:space="preserve">0 </w:t>
      </w:r>
      <w:r>
        <w:t xml:space="preserve">million </w:t>
      </w:r>
      <w:r w:rsidRPr="00251021">
        <w:t>to &lt; $</w:t>
      </w:r>
      <w:r>
        <w:t>6</w:t>
      </w:r>
      <w:r w:rsidRPr="00251021">
        <w:t>0 million</w:t>
      </w:r>
    </w:p>
    <w:p w14:paraId="210C9A61" w14:textId="77777777" w:rsidR="00BD4594" w:rsidRDefault="00BD4594" w:rsidP="00BD4594">
      <w:pPr>
        <w:pStyle w:val="FooterTableFigure"/>
      </w:pPr>
      <w:r>
        <w:rPr>
          <w:vertAlign w:val="superscript"/>
        </w:rPr>
        <w:t xml:space="preserve">13 </w:t>
      </w:r>
      <w:r w:rsidRPr="00251021">
        <w:t>$</w:t>
      </w:r>
      <w:r>
        <w:t>6</w:t>
      </w:r>
      <w:r w:rsidRPr="00251021">
        <w:t xml:space="preserve">0 </w:t>
      </w:r>
      <w:r>
        <w:t xml:space="preserve">million </w:t>
      </w:r>
      <w:r w:rsidRPr="00251021">
        <w:t>to &lt; $</w:t>
      </w:r>
      <w:r>
        <w:t>7</w:t>
      </w:r>
      <w:r w:rsidRPr="00251021">
        <w:t>0 million</w:t>
      </w:r>
    </w:p>
    <w:p w14:paraId="7B8B4B8F" w14:textId="77777777" w:rsidR="00BD4594" w:rsidRDefault="00BD4594" w:rsidP="00BD4594">
      <w:pPr>
        <w:pStyle w:val="FooterTableFigure"/>
      </w:pPr>
      <w:r>
        <w:rPr>
          <w:vertAlign w:val="superscript"/>
        </w:rPr>
        <w:t xml:space="preserve">14 </w:t>
      </w:r>
      <w:r w:rsidRPr="00251021">
        <w:t>$</w:t>
      </w:r>
      <w:r>
        <w:t>7</w:t>
      </w:r>
      <w:r w:rsidRPr="00251021">
        <w:t xml:space="preserve">0 </w:t>
      </w:r>
      <w:r>
        <w:t xml:space="preserve">million </w:t>
      </w:r>
      <w:r w:rsidRPr="00251021">
        <w:t>to &lt; $</w:t>
      </w:r>
      <w:r>
        <w:t>8</w:t>
      </w:r>
      <w:r w:rsidRPr="00251021">
        <w:t>0 million</w:t>
      </w:r>
    </w:p>
    <w:p w14:paraId="29DEA25D" w14:textId="77777777" w:rsidR="00BD4594" w:rsidRDefault="00BD4594" w:rsidP="00BD4594">
      <w:pPr>
        <w:pStyle w:val="FooterTableFigure"/>
      </w:pPr>
      <w:r>
        <w:rPr>
          <w:vertAlign w:val="superscript"/>
        </w:rPr>
        <w:t xml:space="preserve">15 </w:t>
      </w:r>
      <w:r w:rsidRPr="00251021">
        <w:t>$</w:t>
      </w:r>
      <w:r>
        <w:t>8</w:t>
      </w:r>
      <w:r w:rsidRPr="00251021">
        <w:t xml:space="preserve">0 </w:t>
      </w:r>
      <w:r>
        <w:t xml:space="preserve">million </w:t>
      </w:r>
      <w:r w:rsidRPr="00251021">
        <w:t>to &lt; $</w:t>
      </w:r>
      <w:r>
        <w:t>9</w:t>
      </w:r>
      <w:r w:rsidRPr="00251021">
        <w:t>0 million</w:t>
      </w:r>
    </w:p>
    <w:p w14:paraId="1D43BFA3" w14:textId="4F31A967" w:rsidR="00723D1A" w:rsidRPr="00723D1A" w:rsidRDefault="00BD4594" w:rsidP="005051F2">
      <w:pPr>
        <w:pStyle w:val="FooterTableFigure"/>
      </w:pPr>
      <w:r>
        <w:rPr>
          <w:vertAlign w:val="superscript"/>
        </w:rPr>
        <w:t xml:space="preserve">16 </w:t>
      </w:r>
      <w:r w:rsidRPr="00251021">
        <w:t>$</w:t>
      </w:r>
      <w:r>
        <w:t>9</w:t>
      </w:r>
      <w:r w:rsidRPr="00251021">
        <w:t xml:space="preserve">0 </w:t>
      </w:r>
      <w:r>
        <w:t xml:space="preserve">million </w:t>
      </w:r>
      <w:r w:rsidRPr="00251021">
        <w:t>to &lt; $</w:t>
      </w:r>
      <w:r w:rsidR="00526860">
        <w:t>100 million</w:t>
      </w:r>
    </w:p>
    <w:p w14:paraId="21FADC08" w14:textId="4C28A407" w:rsidR="00345B81" w:rsidRPr="00000097" w:rsidRDefault="00345B81" w:rsidP="00345B81">
      <w:r w:rsidRPr="00000097">
        <w:t>The total financial impact on the MBS of the listing of donanemab on the PBS is shown below in</w:t>
      </w:r>
      <w:r w:rsidR="000A5642" w:rsidRPr="00000097">
        <w:t xml:space="preserve"> </w:t>
      </w:r>
      <w:r w:rsidR="007432E0" w:rsidRPr="00D111A4">
        <w:fldChar w:fldCharType="begin"/>
      </w:r>
      <w:r w:rsidR="007432E0" w:rsidRPr="00D111A4">
        <w:instrText xml:space="preserve"> REF _Ref205192454 \h </w:instrText>
      </w:r>
      <w:r w:rsidR="00D111A4" w:rsidRPr="00D111A4">
        <w:instrText xml:space="preserve"> \* MERGEFORMAT </w:instrText>
      </w:r>
      <w:r w:rsidR="007432E0" w:rsidRPr="00D111A4">
        <w:fldChar w:fldCharType="separate"/>
      </w:r>
      <w:r w:rsidR="003B676A">
        <w:t xml:space="preserve">Table </w:t>
      </w:r>
      <w:r w:rsidR="003B676A">
        <w:rPr>
          <w:noProof/>
        </w:rPr>
        <w:t>25</w:t>
      </w:r>
      <w:r w:rsidR="007432E0" w:rsidRPr="00D111A4">
        <w:fldChar w:fldCharType="end"/>
      </w:r>
      <w:r w:rsidRPr="00D111A4">
        <w:t>. This total does not include the MBS item (MBS item 116) associated with the administration of</w:t>
      </w:r>
      <w:r w:rsidRPr="00000097">
        <w:t xml:space="preserve"> donanemab.</w:t>
      </w:r>
    </w:p>
    <w:p w14:paraId="2FD7F2AD" w14:textId="06E9483B" w:rsidR="00345B81" w:rsidRPr="00EE0EEB" w:rsidRDefault="007432E0" w:rsidP="005051F2">
      <w:pPr>
        <w:pStyle w:val="Caption"/>
        <w:keepLines/>
      </w:pPr>
      <w:bookmarkStart w:id="71" w:name="_Ref205192454"/>
      <w:bookmarkStart w:id="72" w:name="_Ref196233217"/>
      <w:r>
        <w:lastRenderedPageBreak/>
        <w:t xml:space="preserve">Table </w:t>
      </w:r>
      <w:r w:rsidR="003B676A">
        <w:fldChar w:fldCharType="begin"/>
      </w:r>
      <w:r w:rsidR="003B676A">
        <w:instrText xml:space="preserve"> SEQ Table \* ARABIC </w:instrText>
      </w:r>
      <w:r w:rsidR="003B676A">
        <w:fldChar w:fldCharType="separate"/>
      </w:r>
      <w:r w:rsidR="003B676A">
        <w:rPr>
          <w:noProof/>
        </w:rPr>
        <w:t>25</w:t>
      </w:r>
      <w:r w:rsidR="003B676A">
        <w:rPr>
          <w:noProof/>
        </w:rPr>
        <w:fldChar w:fldCharType="end"/>
      </w:r>
      <w:bookmarkEnd w:id="71"/>
      <w:bookmarkEnd w:id="72"/>
      <w:r w:rsidR="00D111A4">
        <w:t xml:space="preserve"> </w:t>
      </w:r>
      <w:r w:rsidR="00345B81" w:rsidRPr="00EE0EEB">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275"/>
        <w:gridCol w:w="1276"/>
        <w:gridCol w:w="1276"/>
        <w:gridCol w:w="1416"/>
        <w:gridCol w:w="1441"/>
        <w:gridCol w:w="1266"/>
      </w:tblGrid>
      <w:tr w:rsidR="00475EAE" w:rsidRPr="0093424A" w14:paraId="2B600712" w14:textId="77777777" w:rsidTr="00475EAE">
        <w:trPr>
          <w:tblHeader/>
        </w:trPr>
        <w:tc>
          <w:tcPr>
            <w:tcW w:w="553" w:type="pct"/>
            <w:vAlign w:val="center"/>
          </w:tcPr>
          <w:p w14:paraId="0A85B38A" w14:textId="77777777" w:rsidR="00345B81" w:rsidRPr="00EE0EEB" w:rsidRDefault="00345B81" w:rsidP="005051F2">
            <w:pPr>
              <w:pStyle w:val="TableText"/>
              <w:keepNext/>
              <w:keepLines/>
              <w:spacing w:before="20" w:after="20"/>
              <w:jc w:val="center"/>
              <w:rPr>
                <w:b/>
              </w:rPr>
            </w:pPr>
          </w:p>
        </w:tc>
        <w:tc>
          <w:tcPr>
            <w:tcW w:w="713" w:type="pct"/>
            <w:vAlign w:val="center"/>
          </w:tcPr>
          <w:p w14:paraId="46455CB2" w14:textId="77777777" w:rsidR="00345B81" w:rsidRPr="0093424A" w:rsidRDefault="00345B81" w:rsidP="005051F2">
            <w:pPr>
              <w:pStyle w:val="TableText"/>
              <w:keepNext/>
              <w:keepLines/>
              <w:spacing w:before="20" w:after="20"/>
              <w:jc w:val="center"/>
              <w:rPr>
                <w:b/>
              </w:rPr>
            </w:pPr>
            <w:r w:rsidRPr="0093424A">
              <w:rPr>
                <w:b/>
              </w:rPr>
              <w:t>Year 1</w:t>
            </w:r>
          </w:p>
        </w:tc>
        <w:tc>
          <w:tcPr>
            <w:tcW w:w="714" w:type="pct"/>
            <w:vAlign w:val="center"/>
          </w:tcPr>
          <w:p w14:paraId="6E01EEE7" w14:textId="77777777" w:rsidR="00345B81" w:rsidRPr="0093424A" w:rsidRDefault="00345B81" w:rsidP="005051F2">
            <w:pPr>
              <w:pStyle w:val="TableText"/>
              <w:keepNext/>
              <w:keepLines/>
              <w:spacing w:before="20" w:after="20"/>
              <w:jc w:val="center"/>
              <w:rPr>
                <w:b/>
              </w:rPr>
            </w:pPr>
            <w:r w:rsidRPr="0093424A">
              <w:rPr>
                <w:b/>
              </w:rPr>
              <w:t>Year 2</w:t>
            </w:r>
          </w:p>
        </w:tc>
        <w:tc>
          <w:tcPr>
            <w:tcW w:w="714" w:type="pct"/>
            <w:vAlign w:val="center"/>
          </w:tcPr>
          <w:p w14:paraId="5B3716BE" w14:textId="77777777" w:rsidR="00345B81" w:rsidRPr="0093424A" w:rsidRDefault="00345B81" w:rsidP="005051F2">
            <w:pPr>
              <w:pStyle w:val="TableText"/>
              <w:keepNext/>
              <w:keepLines/>
              <w:spacing w:before="20" w:after="20"/>
              <w:jc w:val="center"/>
              <w:rPr>
                <w:b/>
              </w:rPr>
            </w:pPr>
            <w:r w:rsidRPr="0093424A">
              <w:rPr>
                <w:b/>
              </w:rPr>
              <w:t>Year 3</w:t>
            </w:r>
          </w:p>
        </w:tc>
        <w:tc>
          <w:tcPr>
            <w:tcW w:w="792" w:type="pct"/>
            <w:vAlign w:val="center"/>
          </w:tcPr>
          <w:p w14:paraId="6B70568E" w14:textId="77777777" w:rsidR="00345B81" w:rsidRPr="0093424A" w:rsidRDefault="00345B81" w:rsidP="005051F2">
            <w:pPr>
              <w:pStyle w:val="TableText"/>
              <w:keepNext/>
              <w:keepLines/>
              <w:spacing w:before="20" w:after="20"/>
              <w:jc w:val="center"/>
              <w:rPr>
                <w:b/>
              </w:rPr>
            </w:pPr>
            <w:r w:rsidRPr="0093424A">
              <w:rPr>
                <w:b/>
              </w:rPr>
              <w:t>Year 4</w:t>
            </w:r>
          </w:p>
        </w:tc>
        <w:tc>
          <w:tcPr>
            <w:tcW w:w="806" w:type="pct"/>
            <w:vAlign w:val="center"/>
          </w:tcPr>
          <w:p w14:paraId="4FB57621" w14:textId="77777777" w:rsidR="00345B81" w:rsidRPr="0093424A" w:rsidRDefault="00345B81" w:rsidP="005051F2">
            <w:pPr>
              <w:pStyle w:val="TableText"/>
              <w:keepNext/>
              <w:keepLines/>
              <w:spacing w:before="20" w:after="20"/>
              <w:jc w:val="center"/>
              <w:rPr>
                <w:b/>
              </w:rPr>
            </w:pPr>
            <w:r w:rsidRPr="0093424A">
              <w:rPr>
                <w:b/>
              </w:rPr>
              <w:t>Year 5</w:t>
            </w:r>
          </w:p>
        </w:tc>
        <w:tc>
          <w:tcPr>
            <w:tcW w:w="708" w:type="pct"/>
          </w:tcPr>
          <w:p w14:paraId="7F81A33B" w14:textId="77777777" w:rsidR="00345B81" w:rsidRPr="0093424A" w:rsidRDefault="00345B81" w:rsidP="005051F2">
            <w:pPr>
              <w:pStyle w:val="TableText"/>
              <w:keepNext/>
              <w:keepLines/>
              <w:spacing w:before="20" w:after="20"/>
              <w:jc w:val="center"/>
              <w:rPr>
                <w:b/>
              </w:rPr>
            </w:pPr>
            <w:r w:rsidRPr="0093424A">
              <w:rPr>
                <w:b/>
              </w:rPr>
              <w:t>Year 6</w:t>
            </w:r>
          </w:p>
        </w:tc>
      </w:tr>
      <w:tr w:rsidR="00475EAE" w:rsidRPr="0093424A" w14:paraId="0EF13148" w14:textId="77777777" w:rsidTr="00475EAE">
        <w:tc>
          <w:tcPr>
            <w:tcW w:w="553" w:type="pct"/>
            <w:vAlign w:val="center"/>
          </w:tcPr>
          <w:p w14:paraId="1DFC021A" w14:textId="77777777" w:rsidR="00345B81" w:rsidRPr="0093424A" w:rsidRDefault="00345B81" w:rsidP="005051F2">
            <w:pPr>
              <w:pStyle w:val="TableText"/>
              <w:keepNext/>
              <w:keepLines/>
              <w:spacing w:before="20" w:after="20"/>
            </w:pPr>
            <w:r w:rsidRPr="0093424A">
              <w:t>Proposed MBS items</w:t>
            </w:r>
          </w:p>
        </w:tc>
        <w:tc>
          <w:tcPr>
            <w:tcW w:w="713" w:type="pct"/>
          </w:tcPr>
          <w:p w14:paraId="67E95AA3" w14:textId="652DF63F" w:rsidR="00345B81" w:rsidRPr="0093424A" w:rsidRDefault="00345B81" w:rsidP="005051F2">
            <w:pPr>
              <w:pStyle w:val="TableNumber"/>
              <w:keepNext/>
              <w:keepLines/>
              <w:spacing w:before="20" w:after="20"/>
              <w:rPr>
                <w:vertAlign w:val="superscript"/>
              </w:rPr>
            </w:pPr>
            <w:r w:rsidRPr="0093424A">
              <w:t>$</w:t>
            </w:r>
            <w:r w:rsidR="0093424A" w:rsidRPr="0093424A">
              <w:rPr>
                <w:szCs w:val="20"/>
              </w:rPr>
              <w:t xml:space="preserve"> REDACTED</w:t>
            </w:r>
            <w:r w:rsidR="0093424A" w:rsidRPr="0093424A" w:rsidDel="0093424A">
              <w:t xml:space="preserve"> </w:t>
            </w:r>
            <w:r w:rsidR="00960106" w:rsidRPr="0093424A">
              <w:rPr>
                <w:vertAlign w:val="superscript"/>
              </w:rPr>
              <w:t>7</w:t>
            </w:r>
          </w:p>
        </w:tc>
        <w:tc>
          <w:tcPr>
            <w:tcW w:w="714" w:type="pct"/>
          </w:tcPr>
          <w:p w14:paraId="7E470C15" w14:textId="2BB81052" w:rsidR="00345B81" w:rsidRPr="0093424A" w:rsidRDefault="00345B81" w:rsidP="005051F2">
            <w:pPr>
              <w:pStyle w:val="TableText"/>
              <w:keepNext/>
              <w:keepLines/>
              <w:tabs>
                <w:tab w:val="decimal" w:pos="396"/>
              </w:tab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960106" w:rsidRPr="0093424A">
              <w:rPr>
                <w:vertAlign w:val="superscript"/>
              </w:rPr>
              <w:t>8</w:t>
            </w:r>
          </w:p>
        </w:tc>
        <w:tc>
          <w:tcPr>
            <w:tcW w:w="714" w:type="pct"/>
          </w:tcPr>
          <w:p w14:paraId="06A77EEA" w14:textId="535D7539" w:rsidR="00345B81" w:rsidRPr="0093424A" w:rsidRDefault="00345B81" w:rsidP="005051F2">
            <w:pPr>
              <w:pStyle w:val="TableText"/>
              <w:keepNext/>
              <w:keepLines/>
              <w:tabs>
                <w:tab w:val="decimal" w:pos="396"/>
              </w:tab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4A21AB" w:rsidRPr="0093424A">
              <w:rPr>
                <w:vertAlign w:val="superscript"/>
              </w:rPr>
              <w:t>9</w:t>
            </w:r>
          </w:p>
        </w:tc>
        <w:tc>
          <w:tcPr>
            <w:tcW w:w="792" w:type="pct"/>
          </w:tcPr>
          <w:p w14:paraId="62BC7F18" w14:textId="5F38C9BE" w:rsidR="00345B81" w:rsidRPr="0093424A" w:rsidRDefault="00345B81" w:rsidP="005051F2">
            <w:pPr>
              <w:pStyle w:val="TableText"/>
              <w:keepNext/>
              <w:keepLines/>
              <w:tabs>
                <w:tab w:val="decimal" w:pos="396"/>
              </w:tab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2E66D8" w:rsidRPr="0093424A">
              <w:rPr>
                <w:vertAlign w:val="superscript"/>
              </w:rPr>
              <w:t>11</w:t>
            </w:r>
          </w:p>
        </w:tc>
        <w:tc>
          <w:tcPr>
            <w:tcW w:w="806" w:type="pct"/>
          </w:tcPr>
          <w:p w14:paraId="74649C60" w14:textId="4585065C" w:rsidR="00345B81" w:rsidRPr="0093424A" w:rsidRDefault="00345B81" w:rsidP="005051F2">
            <w:pPr>
              <w:pStyle w:val="TableText"/>
              <w:keepNext/>
              <w:keepLines/>
              <w:tabs>
                <w:tab w:val="decimal" w:pos="396"/>
              </w:tab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2E66D8" w:rsidRPr="0093424A">
              <w:rPr>
                <w:vertAlign w:val="superscript"/>
              </w:rPr>
              <w:t>11</w:t>
            </w:r>
          </w:p>
        </w:tc>
        <w:tc>
          <w:tcPr>
            <w:tcW w:w="708" w:type="pct"/>
          </w:tcPr>
          <w:p w14:paraId="52CFF4DA" w14:textId="2A77444D" w:rsidR="00345B81" w:rsidRPr="0093424A" w:rsidRDefault="00345B81" w:rsidP="005051F2">
            <w:pPr>
              <w:pStyle w:val="TableText"/>
              <w:keepNext/>
              <w:keepLines/>
              <w:tabs>
                <w:tab w:val="decimal" w:pos="396"/>
              </w:tab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2E66D8" w:rsidRPr="0093424A">
              <w:rPr>
                <w:vertAlign w:val="superscript"/>
              </w:rPr>
              <w:t>11</w:t>
            </w:r>
          </w:p>
        </w:tc>
      </w:tr>
      <w:tr w:rsidR="00475EAE" w:rsidRPr="0093424A" w14:paraId="2160E8FF" w14:textId="77777777" w:rsidTr="00475EAE">
        <w:tc>
          <w:tcPr>
            <w:tcW w:w="553" w:type="pct"/>
            <w:vAlign w:val="center"/>
          </w:tcPr>
          <w:p w14:paraId="55FC41B7" w14:textId="77777777" w:rsidR="006D1506" w:rsidRPr="0093424A" w:rsidRDefault="006D1506" w:rsidP="005051F2">
            <w:pPr>
              <w:pStyle w:val="TableText"/>
              <w:keepNext/>
              <w:keepLines/>
              <w:spacing w:before="20" w:after="20"/>
            </w:pPr>
            <w:r w:rsidRPr="0093424A">
              <w:t>Increased MBS items</w:t>
            </w:r>
          </w:p>
        </w:tc>
        <w:tc>
          <w:tcPr>
            <w:tcW w:w="713" w:type="pct"/>
          </w:tcPr>
          <w:p w14:paraId="4971E9EA" w14:textId="3C840A8D" w:rsidR="006D1506" w:rsidRPr="0093424A" w:rsidRDefault="006D1506" w:rsidP="005051F2">
            <w:pPr>
              <w:pStyle w:val="TableNumber"/>
              <w:keepNext/>
              <w:keepLines/>
              <w:spacing w:before="20" w:after="20"/>
              <w:rPr>
                <w:vertAlign w:val="superscript"/>
              </w:rPr>
            </w:pPr>
            <w:r w:rsidRPr="0093424A">
              <w:t>$</w:t>
            </w:r>
            <w:r w:rsidR="0093424A" w:rsidRPr="0093424A">
              <w:rPr>
                <w:szCs w:val="20"/>
              </w:rPr>
              <w:t xml:space="preserve"> REDACTED</w:t>
            </w:r>
            <w:r w:rsidR="0093424A" w:rsidRPr="0093424A" w:rsidDel="0093424A">
              <w:t xml:space="preserve"> </w:t>
            </w:r>
            <w:r w:rsidR="00960106" w:rsidRPr="0093424A">
              <w:rPr>
                <w:vertAlign w:val="superscript"/>
              </w:rPr>
              <w:t>1</w:t>
            </w:r>
          </w:p>
        </w:tc>
        <w:tc>
          <w:tcPr>
            <w:tcW w:w="714" w:type="pct"/>
          </w:tcPr>
          <w:p w14:paraId="32278715" w14:textId="74A09889" w:rsidR="006D1506" w:rsidRPr="0093424A" w:rsidRDefault="006D1506" w:rsidP="005051F2">
            <w:pPr>
              <w:pStyle w:val="TableText"/>
              <w:keepNext/>
              <w:keepLines/>
              <w:tabs>
                <w:tab w:val="decimal" w:pos="396"/>
              </w:tabs>
              <w:spacing w:before="20" w:after="20"/>
              <w:jc w:val="center"/>
            </w:pPr>
            <w:r w:rsidRPr="0093424A">
              <w:t>$</w:t>
            </w:r>
            <w:r w:rsidR="0093424A" w:rsidRPr="0093424A">
              <w:rPr>
                <w:szCs w:val="20"/>
              </w:rPr>
              <w:t xml:space="preserve"> REDACTED</w:t>
            </w:r>
            <w:r w:rsidR="0093424A" w:rsidRPr="0093424A" w:rsidDel="0093424A">
              <w:t xml:space="preserve"> </w:t>
            </w:r>
            <w:r w:rsidR="002E66D8" w:rsidRPr="0093424A">
              <w:rPr>
                <w:vertAlign w:val="superscript"/>
              </w:rPr>
              <w:t>2</w:t>
            </w:r>
            <w:r w:rsidRPr="0093424A">
              <w:t xml:space="preserve"> </w:t>
            </w:r>
          </w:p>
        </w:tc>
        <w:tc>
          <w:tcPr>
            <w:tcW w:w="714" w:type="pct"/>
          </w:tcPr>
          <w:p w14:paraId="3175F8A3" w14:textId="7A8B8745" w:rsidR="006D1506" w:rsidRPr="0093424A" w:rsidRDefault="006D1506" w:rsidP="005051F2">
            <w:pPr>
              <w:pStyle w:val="TableText"/>
              <w:keepNext/>
              <w:keepLines/>
              <w:tabs>
                <w:tab w:val="decimal" w:pos="396"/>
              </w:tabs>
              <w:spacing w:before="20" w:after="20"/>
              <w:jc w:val="center"/>
            </w:pPr>
            <w:r w:rsidRPr="0093424A">
              <w:t>$</w:t>
            </w:r>
            <w:r w:rsidR="0093424A" w:rsidRPr="0093424A">
              <w:rPr>
                <w:szCs w:val="20"/>
              </w:rPr>
              <w:t xml:space="preserve"> REDACTED</w:t>
            </w:r>
            <w:r w:rsidR="0093424A" w:rsidRPr="0093424A" w:rsidDel="0093424A">
              <w:t xml:space="preserve"> </w:t>
            </w:r>
            <w:r w:rsidR="002E66D8" w:rsidRPr="0093424A">
              <w:rPr>
                <w:vertAlign w:val="superscript"/>
              </w:rPr>
              <w:t>2</w:t>
            </w:r>
            <w:r w:rsidRPr="0093424A">
              <w:t xml:space="preserve"> </w:t>
            </w:r>
          </w:p>
        </w:tc>
        <w:tc>
          <w:tcPr>
            <w:tcW w:w="792" w:type="pct"/>
          </w:tcPr>
          <w:p w14:paraId="15D04E0C" w14:textId="5C0FEA42" w:rsidR="006D1506" w:rsidRPr="0093424A" w:rsidRDefault="006D1506" w:rsidP="005051F2">
            <w:pPr>
              <w:pStyle w:val="TableText"/>
              <w:keepNext/>
              <w:keepLines/>
              <w:tabs>
                <w:tab w:val="decimal" w:pos="396"/>
              </w:tabs>
              <w:spacing w:before="20" w:after="20"/>
              <w:jc w:val="center"/>
            </w:pPr>
            <w:r w:rsidRPr="0093424A">
              <w:t>$</w:t>
            </w:r>
            <w:r w:rsidR="0093424A" w:rsidRPr="0093424A">
              <w:rPr>
                <w:szCs w:val="20"/>
              </w:rPr>
              <w:t xml:space="preserve"> REDACTED</w:t>
            </w:r>
            <w:r w:rsidR="0093424A" w:rsidRPr="0093424A" w:rsidDel="0093424A">
              <w:t xml:space="preserve"> </w:t>
            </w:r>
            <w:r w:rsidR="002E66D8" w:rsidRPr="0093424A">
              <w:rPr>
                <w:vertAlign w:val="superscript"/>
              </w:rPr>
              <w:t>2</w:t>
            </w:r>
            <w:r w:rsidRPr="0093424A">
              <w:t xml:space="preserve"> </w:t>
            </w:r>
          </w:p>
        </w:tc>
        <w:tc>
          <w:tcPr>
            <w:tcW w:w="806" w:type="pct"/>
          </w:tcPr>
          <w:p w14:paraId="734EEB1D" w14:textId="7378072B" w:rsidR="006D1506" w:rsidRPr="0093424A" w:rsidRDefault="006D1506" w:rsidP="005051F2">
            <w:pPr>
              <w:pStyle w:val="TableText"/>
              <w:keepNext/>
              <w:keepLines/>
              <w:tabs>
                <w:tab w:val="decimal" w:pos="396"/>
              </w:tabs>
              <w:spacing w:before="20" w:after="20"/>
              <w:jc w:val="center"/>
            </w:pPr>
            <w:r w:rsidRPr="0093424A">
              <w:t>$</w:t>
            </w:r>
            <w:r w:rsidR="0093424A" w:rsidRPr="0093424A">
              <w:rPr>
                <w:szCs w:val="20"/>
              </w:rPr>
              <w:t xml:space="preserve"> REDACTED</w:t>
            </w:r>
            <w:r w:rsidR="0093424A" w:rsidRPr="0093424A" w:rsidDel="0093424A">
              <w:t xml:space="preserve"> </w:t>
            </w:r>
            <w:r w:rsidR="002E66D8" w:rsidRPr="0093424A">
              <w:rPr>
                <w:vertAlign w:val="superscript"/>
              </w:rPr>
              <w:t>2</w:t>
            </w:r>
            <w:r w:rsidRPr="0093424A">
              <w:t xml:space="preserve"> </w:t>
            </w:r>
          </w:p>
        </w:tc>
        <w:tc>
          <w:tcPr>
            <w:tcW w:w="708" w:type="pct"/>
          </w:tcPr>
          <w:p w14:paraId="359E9FB0" w14:textId="52C163F4" w:rsidR="006D1506" w:rsidRPr="0093424A" w:rsidRDefault="006D1506" w:rsidP="005051F2">
            <w:pPr>
              <w:pStyle w:val="TableText"/>
              <w:keepNext/>
              <w:keepLines/>
              <w:tabs>
                <w:tab w:val="decimal" w:pos="396"/>
              </w:tabs>
              <w:spacing w:before="20" w:after="20"/>
              <w:jc w:val="center"/>
            </w:pPr>
            <w:r w:rsidRPr="0093424A">
              <w:t>$</w:t>
            </w:r>
            <w:r w:rsidR="0093424A" w:rsidRPr="0093424A">
              <w:rPr>
                <w:szCs w:val="20"/>
              </w:rPr>
              <w:t xml:space="preserve"> REDACTED</w:t>
            </w:r>
            <w:r w:rsidR="0093424A" w:rsidRPr="0093424A" w:rsidDel="0093424A">
              <w:t xml:space="preserve"> </w:t>
            </w:r>
            <w:r w:rsidR="002E66D8" w:rsidRPr="0093424A">
              <w:rPr>
                <w:vertAlign w:val="superscript"/>
              </w:rPr>
              <w:t>3</w:t>
            </w:r>
            <w:r w:rsidRPr="0093424A">
              <w:t xml:space="preserve"> </w:t>
            </w:r>
          </w:p>
        </w:tc>
      </w:tr>
      <w:tr w:rsidR="00475EAE" w:rsidRPr="0093424A" w14:paraId="1BB3AAF4" w14:textId="77777777" w:rsidTr="00475EAE">
        <w:tc>
          <w:tcPr>
            <w:tcW w:w="553" w:type="pct"/>
            <w:vAlign w:val="center"/>
          </w:tcPr>
          <w:p w14:paraId="1DD7521C" w14:textId="77777777" w:rsidR="00345B81" w:rsidRPr="0093424A" w:rsidRDefault="00345B81" w:rsidP="005051F2">
            <w:pPr>
              <w:pStyle w:val="TableText"/>
              <w:keepNext/>
              <w:keepLines/>
              <w:spacing w:before="20" w:after="20"/>
            </w:pPr>
            <w:r w:rsidRPr="0093424A">
              <w:t>Increased MRI scans</w:t>
            </w:r>
          </w:p>
        </w:tc>
        <w:tc>
          <w:tcPr>
            <w:tcW w:w="713" w:type="pct"/>
          </w:tcPr>
          <w:p w14:paraId="6875BCFC" w14:textId="709C87C1"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2E66D8" w:rsidRPr="0093424A">
              <w:rPr>
                <w:vertAlign w:val="superscript"/>
              </w:rPr>
              <w:t>4</w:t>
            </w:r>
          </w:p>
        </w:tc>
        <w:tc>
          <w:tcPr>
            <w:tcW w:w="714" w:type="pct"/>
          </w:tcPr>
          <w:p w14:paraId="07DFEDF6" w14:textId="66348CDD"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5</w:t>
            </w:r>
          </w:p>
        </w:tc>
        <w:tc>
          <w:tcPr>
            <w:tcW w:w="714" w:type="pct"/>
          </w:tcPr>
          <w:p w14:paraId="34B8A4C0" w14:textId="4DF02D40"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6</w:t>
            </w:r>
          </w:p>
        </w:tc>
        <w:tc>
          <w:tcPr>
            <w:tcW w:w="792" w:type="pct"/>
          </w:tcPr>
          <w:p w14:paraId="2A951DF0" w14:textId="5EBAEFA7"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7</w:t>
            </w:r>
          </w:p>
        </w:tc>
        <w:tc>
          <w:tcPr>
            <w:tcW w:w="806" w:type="pct"/>
          </w:tcPr>
          <w:p w14:paraId="35AA3EE7" w14:textId="4DAE5921"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9</w:t>
            </w:r>
          </w:p>
        </w:tc>
        <w:tc>
          <w:tcPr>
            <w:tcW w:w="708" w:type="pct"/>
          </w:tcPr>
          <w:p w14:paraId="5F3BFF07" w14:textId="2FF1271D" w:rsidR="00345B81" w:rsidRPr="0093424A" w:rsidRDefault="00345B81" w:rsidP="005051F2">
            <w:pPr>
              <w:pStyle w:val="TableText"/>
              <w:keepNext/>
              <w:keepLines/>
              <w:spacing w:before="20" w:after="20"/>
              <w:jc w:val="center"/>
              <w:rPr>
                <w:vertAlign w:val="superscript"/>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10</w:t>
            </w:r>
          </w:p>
        </w:tc>
      </w:tr>
      <w:tr w:rsidR="00475EAE" w:rsidRPr="0093424A" w14:paraId="1983007D" w14:textId="77777777" w:rsidTr="00475EAE">
        <w:tc>
          <w:tcPr>
            <w:tcW w:w="553" w:type="pct"/>
            <w:vAlign w:val="center"/>
          </w:tcPr>
          <w:p w14:paraId="56B20C56" w14:textId="77777777" w:rsidR="00345B81" w:rsidRPr="0093424A" w:rsidRDefault="00345B81" w:rsidP="005051F2">
            <w:pPr>
              <w:pStyle w:val="TableText"/>
              <w:keepNext/>
              <w:keepLines/>
              <w:spacing w:before="20" w:after="20"/>
              <w:rPr>
                <w:i/>
                <w:iCs/>
              </w:rPr>
            </w:pPr>
            <w:r w:rsidRPr="0093424A">
              <w:rPr>
                <w:i/>
                <w:iCs/>
              </w:rPr>
              <w:t>Revised MRI scans</w:t>
            </w:r>
          </w:p>
        </w:tc>
        <w:tc>
          <w:tcPr>
            <w:tcW w:w="713" w:type="pct"/>
          </w:tcPr>
          <w:p w14:paraId="079013D7" w14:textId="42C9B5FD" w:rsidR="00345B81" w:rsidRPr="0093424A" w:rsidRDefault="00345B81" w:rsidP="005051F2">
            <w:pPr>
              <w:pStyle w:val="TableText"/>
              <w:keepNext/>
              <w:keepLines/>
              <w:spacing w:before="20" w:after="20"/>
              <w:jc w:val="center"/>
              <w:rPr>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2E66D8" w:rsidRPr="0093424A">
              <w:rPr>
                <w:vertAlign w:val="superscript"/>
              </w:rPr>
              <w:t>4</w:t>
            </w:r>
          </w:p>
        </w:tc>
        <w:tc>
          <w:tcPr>
            <w:tcW w:w="714" w:type="pct"/>
          </w:tcPr>
          <w:p w14:paraId="3D55D55B" w14:textId="6D38D826" w:rsidR="00345B81" w:rsidRPr="0093424A" w:rsidRDefault="00345B81" w:rsidP="005051F2">
            <w:pPr>
              <w:pStyle w:val="TableText"/>
              <w:keepNext/>
              <w:keepLines/>
              <w:spacing w:before="20" w:after="20"/>
              <w:jc w:val="center"/>
              <w:rPr>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C917D9" w:rsidRPr="0093424A">
              <w:rPr>
                <w:vertAlign w:val="superscript"/>
              </w:rPr>
              <w:t>5</w:t>
            </w:r>
          </w:p>
        </w:tc>
        <w:tc>
          <w:tcPr>
            <w:tcW w:w="714" w:type="pct"/>
          </w:tcPr>
          <w:p w14:paraId="20E6CB05" w14:textId="184381B7" w:rsidR="00345B81" w:rsidRPr="0093424A" w:rsidRDefault="00345B81" w:rsidP="005051F2">
            <w:pPr>
              <w:pStyle w:val="TableText"/>
              <w:keepNext/>
              <w:keepLines/>
              <w:spacing w:before="20" w:after="20"/>
              <w:jc w:val="center"/>
              <w:rPr>
                <w:i/>
                <w:iCs/>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C917D9" w:rsidRPr="0093424A">
              <w:rPr>
                <w:vertAlign w:val="superscript"/>
              </w:rPr>
              <w:t>6</w:t>
            </w:r>
          </w:p>
        </w:tc>
        <w:tc>
          <w:tcPr>
            <w:tcW w:w="792" w:type="pct"/>
          </w:tcPr>
          <w:p w14:paraId="510732D1" w14:textId="11709F99" w:rsidR="00345B81" w:rsidRPr="0093424A" w:rsidRDefault="00345B81" w:rsidP="005051F2">
            <w:pPr>
              <w:pStyle w:val="TableText"/>
              <w:keepNext/>
              <w:keepLines/>
              <w:spacing w:before="20" w:after="20"/>
              <w:jc w:val="center"/>
              <w:rPr>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C917D9" w:rsidRPr="0093424A">
              <w:rPr>
                <w:vertAlign w:val="superscript"/>
              </w:rPr>
              <w:t>7</w:t>
            </w:r>
          </w:p>
        </w:tc>
        <w:tc>
          <w:tcPr>
            <w:tcW w:w="806" w:type="pct"/>
          </w:tcPr>
          <w:p w14:paraId="1C355804" w14:textId="3B79854F" w:rsidR="00345B81" w:rsidRPr="0093424A" w:rsidRDefault="00345B81" w:rsidP="005051F2">
            <w:pPr>
              <w:pStyle w:val="TableText"/>
              <w:keepNext/>
              <w:keepLines/>
              <w:spacing w:before="20" w:after="20"/>
              <w:jc w:val="center"/>
              <w:rPr>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C917D9" w:rsidRPr="0093424A">
              <w:rPr>
                <w:vertAlign w:val="superscript"/>
              </w:rPr>
              <w:t>8</w:t>
            </w:r>
          </w:p>
        </w:tc>
        <w:tc>
          <w:tcPr>
            <w:tcW w:w="708" w:type="pct"/>
          </w:tcPr>
          <w:p w14:paraId="457E4DFF" w14:textId="3F4FF9C6" w:rsidR="00345B81" w:rsidRPr="0093424A" w:rsidRDefault="00345B81" w:rsidP="005051F2">
            <w:pPr>
              <w:pStyle w:val="TableText"/>
              <w:keepNext/>
              <w:keepLines/>
              <w:spacing w:before="20" w:after="20"/>
              <w:jc w:val="center"/>
              <w:rPr>
                <w:vertAlign w:val="superscript"/>
              </w:rPr>
            </w:pPr>
            <w:r w:rsidRPr="0093424A">
              <w:rPr>
                <w:i/>
                <w:iCs/>
              </w:rPr>
              <w:t>$</w:t>
            </w:r>
            <w:r w:rsidR="0093424A" w:rsidRPr="0093424A">
              <w:rPr>
                <w:szCs w:val="20"/>
              </w:rPr>
              <w:t xml:space="preserve"> REDACTED</w:t>
            </w:r>
            <w:r w:rsidR="0093424A" w:rsidRPr="0093424A" w:rsidDel="0093424A">
              <w:rPr>
                <w:i/>
                <w:iCs/>
              </w:rPr>
              <w:t xml:space="preserve"> </w:t>
            </w:r>
            <w:r w:rsidR="00C917D9" w:rsidRPr="0093424A">
              <w:rPr>
                <w:vertAlign w:val="superscript"/>
              </w:rPr>
              <w:t>10</w:t>
            </w:r>
          </w:p>
        </w:tc>
      </w:tr>
      <w:tr w:rsidR="00475EAE" w:rsidRPr="0093424A" w14:paraId="0BDDC632" w14:textId="77777777" w:rsidTr="00475EAE">
        <w:tc>
          <w:tcPr>
            <w:tcW w:w="553" w:type="pct"/>
            <w:vAlign w:val="center"/>
          </w:tcPr>
          <w:p w14:paraId="51B66E83" w14:textId="77777777" w:rsidR="006D1506" w:rsidRPr="0093424A" w:rsidRDefault="006D1506" w:rsidP="005051F2">
            <w:pPr>
              <w:pStyle w:val="TableText"/>
              <w:keepNext/>
              <w:keepLines/>
              <w:spacing w:before="20" w:after="20"/>
            </w:pPr>
            <w:r w:rsidRPr="0093424A">
              <w:t>Net cost to the MBS</w:t>
            </w:r>
          </w:p>
        </w:tc>
        <w:tc>
          <w:tcPr>
            <w:tcW w:w="713" w:type="pct"/>
          </w:tcPr>
          <w:p w14:paraId="5EBA6CC8" w14:textId="3F392C20"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14" w:type="pct"/>
          </w:tcPr>
          <w:p w14:paraId="30EC22A7" w14:textId="7F008339"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14" w:type="pct"/>
          </w:tcPr>
          <w:p w14:paraId="6DFA2D04" w14:textId="067E8056"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92" w:type="pct"/>
          </w:tcPr>
          <w:p w14:paraId="319DF62E" w14:textId="3BA30353"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806" w:type="pct"/>
          </w:tcPr>
          <w:p w14:paraId="13FA02C7" w14:textId="1E585234"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2</w:t>
            </w:r>
          </w:p>
        </w:tc>
        <w:tc>
          <w:tcPr>
            <w:tcW w:w="708" w:type="pct"/>
          </w:tcPr>
          <w:p w14:paraId="79494B61" w14:textId="0E168F01" w:rsidR="006D1506" w:rsidRPr="0093424A" w:rsidRDefault="006D1506" w:rsidP="005051F2">
            <w:pPr>
              <w:pStyle w:val="TableText"/>
              <w:keepNext/>
              <w:keepLines/>
              <w:spacing w:before="20" w:after="20"/>
              <w:jc w:val="cente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2</w:t>
            </w:r>
          </w:p>
        </w:tc>
      </w:tr>
      <w:tr w:rsidR="00475EAE" w:rsidRPr="00EE0EEB" w14:paraId="541AEA7A" w14:textId="77777777" w:rsidTr="00475EAE">
        <w:tc>
          <w:tcPr>
            <w:tcW w:w="553" w:type="pct"/>
            <w:vAlign w:val="center"/>
          </w:tcPr>
          <w:p w14:paraId="56092CAD" w14:textId="77777777" w:rsidR="006D1506" w:rsidRPr="0093424A" w:rsidRDefault="006D1506" w:rsidP="005051F2">
            <w:pPr>
              <w:pStyle w:val="TableText"/>
              <w:keepNext/>
              <w:keepLines/>
              <w:spacing w:before="20" w:after="20"/>
              <w:rPr>
                <w:i/>
                <w:iCs/>
              </w:rPr>
            </w:pPr>
            <w:r w:rsidRPr="0093424A">
              <w:rPr>
                <w:i/>
                <w:iCs/>
              </w:rPr>
              <w:t>Revised cost to the MBS</w:t>
            </w:r>
          </w:p>
        </w:tc>
        <w:tc>
          <w:tcPr>
            <w:tcW w:w="713" w:type="pct"/>
          </w:tcPr>
          <w:p w14:paraId="3903D1BF" w14:textId="2DE71C6B"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14" w:type="pct"/>
          </w:tcPr>
          <w:p w14:paraId="6292719D" w14:textId="2DDD7A5B"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14" w:type="pct"/>
          </w:tcPr>
          <w:p w14:paraId="271D7D16" w14:textId="4C441488"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792" w:type="pct"/>
          </w:tcPr>
          <w:p w14:paraId="315481CB" w14:textId="18237B71"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1</w:t>
            </w:r>
          </w:p>
        </w:tc>
        <w:tc>
          <w:tcPr>
            <w:tcW w:w="806" w:type="pct"/>
          </w:tcPr>
          <w:p w14:paraId="1204298E" w14:textId="39C2D651"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2</w:t>
            </w:r>
          </w:p>
        </w:tc>
        <w:tc>
          <w:tcPr>
            <w:tcW w:w="708" w:type="pct"/>
          </w:tcPr>
          <w:p w14:paraId="44BAFA23" w14:textId="653784A5" w:rsidR="006D1506" w:rsidRPr="0093424A" w:rsidRDefault="006D1506" w:rsidP="005051F2">
            <w:pPr>
              <w:pStyle w:val="TableText"/>
              <w:keepNext/>
              <w:keepLines/>
              <w:spacing w:before="20" w:after="20"/>
              <w:jc w:val="center"/>
              <w:rPr>
                <w:i/>
                <w:iCs/>
              </w:rPr>
            </w:pPr>
            <w:r w:rsidRPr="0093424A">
              <w:t>$</w:t>
            </w:r>
            <w:r w:rsidR="0093424A" w:rsidRPr="0093424A">
              <w:rPr>
                <w:szCs w:val="20"/>
              </w:rPr>
              <w:t xml:space="preserve"> REDACTED</w:t>
            </w:r>
            <w:r w:rsidR="0093424A" w:rsidRPr="0093424A" w:rsidDel="0093424A">
              <w:t xml:space="preserve"> </w:t>
            </w:r>
            <w:r w:rsidR="00C917D9" w:rsidRPr="0093424A">
              <w:rPr>
                <w:vertAlign w:val="superscript"/>
              </w:rPr>
              <w:t>1</w:t>
            </w:r>
            <w:r w:rsidR="00A707C0" w:rsidRPr="0093424A">
              <w:rPr>
                <w:vertAlign w:val="superscript"/>
              </w:rPr>
              <w:t>2</w:t>
            </w:r>
          </w:p>
        </w:tc>
      </w:tr>
    </w:tbl>
    <w:p w14:paraId="27A23B64" w14:textId="77777777" w:rsidR="00345B81" w:rsidRPr="00EE0EEB" w:rsidRDefault="00345B81" w:rsidP="005051F2">
      <w:pPr>
        <w:pStyle w:val="TableFooter"/>
        <w:keepNext/>
        <w:keepLines/>
      </w:pPr>
      <w:r w:rsidRPr="00EE0EEB" w:rsidDel="0015247C">
        <w:t xml:space="preserve">Source: </w:t>
      </w:r>
      <w:r w:rsidRPr="00EE0EEB">
        <w:t xml:space="preserve">Worksheet </w:t>
      </w:r>
      <w:r w:rsidRPr="00EE0EEB">
        <w:rPr>
          <w:i/>
          <w:iCs/>
        </w:rPr>
        <w:t>7 Net changes – MBS</w:t>
      </w:r>
      <w:r w:rsidRPr="00EE0EEB">
        <w:t xml:space="preserve"> of the financial estimates model provided with</w:t>
      </w:r>
      <w:r w:rsidRPr="00EE0EEB" w:rsidDel="0015247C">
        <w:t xml:space="preserve"> the submission.</w:t>
      </w:r>
    </w:p>
    <w:p w14:paraId="15CD227A" w14:textId="77777777" w:rsidR="00345B81" w:rsidRPr="00EE0EEB" w:rsidRDefault="00345B81" w:rsidP="005051F2">
      <w:pPr>
        <w:pStyle w:val="TableFooter"/>
        <w:keepNext/>
        <w:keepLines/>
      </w:pPr>
      <w:r w:rsidRPr="00EE0EEB">
        <w:t>Cost is calculated at 80% of schedule fee.</w:t>
      </w:r>
    </w:p>
    <w:p w14:paraId="79B0702B" w14:textId="77777777" w:rsidR="00345B81" w:rsidRDefault="00345B81" w:rsidP="005051F2">
      <w:pPr>
        <w:pStyle w:val="TableFooter"/>
        <w:keepNext/>
        <w:keepLines/>
      </w:pPr>
      <w:r w:rsidRPr="00FB2BEA">
        <w:t xml:space="preserve">Note: </w:t>
      </w:r>
      <w:r w:rsidRPr="00FB2BEA">
        <w:rPr>
          <w:i/>
          <w:iCs/>
        </w:rPr>
        <w:t>Italics</w:t>
      </w:r>
      <w:r w:rsidRPr="00FB2BEA">
        <w:t xml:space="preserve"> show corrections applied during the evaluation.</w:t>
      </w:r>
    </w:p>
    <w:p w14:paraId="5B1240E5" w14:textId="77777777" w:rsidR="00B725BE" w:rsidRDefault="00B725BE" w:rsidP="00B725BE">
      <w:pPr>
        <w:pStyle w:val="FooterTableFigure"/>
      </w:pPr>
      <w:r w:rsidRPr="00963DAC">
        <w:t>The redacted values correspond to the following ranges per year:</w:t>
      </w:r>
    </w:p>
    <w:p w14:paraId="347E42A9" w14:textId="1B47519F" w:rsidR="0072476D" w:rsidRDefault="0072476D" w:rsidP="0072476D">
      <w:pPr>
        <w:pStyle w:val="FooterTableFigure"/>
      </w:pPr>
      <w:r>
        <w:rPr>
          <w:vertAlign w:val="superscript"/>
        </w:rPr>
        <w:t xml:space="preserve">1 </w:t>
      </w:r>
      <w:r w:rsidRPr="00251021">
        <w:t>$0 to &lt; $10 million</w:t>
      </w:r>
    </w:p>
    <w:p w14:paraId="6AD00AFC" w14:textId="79EF2A7B" w:rsidR="0072476D" w:rsidRDefault="0072476D" w:rsidP="0072476D">
      <w:pPr>
        <w:pStyle w:val="FooterTableFigure"/>
      </w:pPr>
      <w:r>
        <w:rPr>
          <w:vertAlign w:val="superscript"/>
        </w:rPr>
        <w:t xml:space="preserve">2 </w:t>
      </w:r>
      <w:r w:rsidRPr="00251021">
        <w:t>$</w:t>
      </w:r>
      <w:r>
        <w:t>1</w:t>
      </w:r>
      <w:r w:rsidRPr="00251021">
        <w:t xml:space="preserve">0 </w:t>
      </w:r>
      <w:r>
        <w:t xml:space="preserve">million </w:t>
      </w:r>
      <w:r w:rsidRPr="00251021">
        <w:t>to &lt; $</w:t>
      </w:r>
      <w:r>
        <w:t>2</w:t>
      </w:r>
      <w:r w:rsidRPr="00251021">
        <w:t>0 million</w:t>
      </w:r>
    </w:p>
    <w:p w14:paraId="4A424B39" w14:textId="1DE8A2B8" w:rsidR="0072476D" w:rsidRDefault="00AB7C24" w:rsidP="0072476D">
      <w:pPr>
        <w:pStyle w:val="FooterTableFigure"/>
      </w:pPr>
      <w:r>
        <w:rPr>
          <w:vertAlign w:val="superscript"/>
        </w:rPr>
        <w:t>3</w:t>
      </w:r>
      <w:r w:rsidR="0072476D">
        <w:rPr>
          <w:vertAlign w:val="superscript"/>
        </w:rPr>
        <w:t xml:space="preserve"> </w:t>
      </w:r>
      <w:r w:rsidR="0072476D" w:rsidRPr="00251021">
        <w:t>$</w:t>
      </w:r>
      <w:r w:rsidR="0072476D">
        <w:t>2</w:t>
      </w:r>
      <w:r w:rsidR="0072476D" w:rsidRPr="00251021">
        <w:t xml:space="preserve">0 </w:t>
      </w:r>
      <w:r w:rsidR="0072476D">
        <w:t xml:space="preserve">million </w:t>
      </w:r>
      <w:r w:rsidR="0072476D" w:rsidRPr="00251021">
        <w:t>to &lt; $</w:t>
      </w:r>
      <w:r w:rsidR="0072476D">
        <w:t>3</w:t>
      </w:r>
      <w:r w:rsidR="0072476D" w:rsidRPr="00251021">
        <w:t>0 million</w:t>
      </w:r>
    </w:p>
    <w:p w14:paraId="6C4CB647" w14:textId="00B736E1" w:rsidR="0072476D" w:rsidRDefault="00AB7C24" w:rsidP="0072476D">
      <w:pPr>
        <w:pStyle w:val="FooterTableFigure"/>
      </w:pPr>
      <w:r>
        <w:rPr>
          <w:vertAlign w:val="superscript"/>
        </w:rPr>
        <w:t>4</w:t>
      </w:r>
      <w:r w:rsidR="0072476D">
        <w:rPr>
          <w:vertAlign w:val="superscript"/>
        </w:rPr>
        <w:t xml:space="preserve"> </w:t>
      </w:r>
      <w:r w:rsidR="0072476D" w:rsidRPr="00251021">
        <w:t>$</w:t>
      </w:r>
      <w:r w:rsidR="0072476D">
        <w:t>3</w:t>
      </w:r>
      <w:r w:rsidR="0072476D" w:rsidRPr="00251021">
        <w:t xml:space="preserve">0 </w:t>
      </w:r>
      <w:r w:rsidR="0072476D">
        <w:t xml:space="preserve">million </w:t>
      </w:r>
      <w:r w:rsidR="0072476D" w:rsidRPr="00251021">
        <w:t>to &lt; $</w:t>
      </w:r>
      <w:r w:rsidR="0072476D">
        <w:t>4</w:t>
      </w:r>
      <w:r w:rsidR="0072476D" w:rsidRPr="00251021">
        <w:t>0 million</w:t>
      </w:r>
    </w:p>
    <w:p w14:paraId="55F9A333" w14:textId="0FC0F489" w:rsidR="0072476D" w:rsidRDefault="00AB7C24" w:rsidP="0072476D">
      <w:pPr>
        <w:pStyle w:val="FooterTableFigure"/>
      </w:pPr>
      <w:r>
        <w:rPr>
          <w:vertAlign w:val="superscript"/>
        </w:rPr>
        <w:t>5</w:t>
      </w:r>
      <w:r w:rsidR="0072476D">
        <w:rPr>
          <w:vertAlign w:val="superscript"/>
        </w:rPr>
        <w:t xml:space="preserve"> </w:t>
      </w:r>
      <w:r w:rsidR="0072476D" w:rsidRPr="00251021">
        <w:t>$</w:t>
      </w:r>
      <w:r w:rsidR="0072476D">
        <w:t>4</w:t>
      </w:r>
      <w:r w:rsidR="0072476D" w:rsidRPr="00251021">
        <w:t xml:space="preserve">0 </w:t>
      </w:r>
      <w:r w:rsidR="0072476D">
        <w:t xml:space="preserve">million </w:t>
      </w:r>
      <w:r w:rsidR="0072476D" w:rsidRPr="00251021">
        <w:t>to &lt; $</w:t>
      </w:r>
      <w:r w:rsidR="0072476D">
        <w:t>5</w:t>
      </w:r>
      <w:r w:rsidR="0072476D" w:rsidRPr="00251021">
        <w:t>0 million</w:t>
      </w:r>
    </w:p>
    <w:p w14:paraId="64F6BA76" w14:textId="7871F858" w:rsidR="0072476D" w:rsidRDefault="00AB7C24" w:rsidP="0072476D">
      <w:pPr>
        <w:pStyle w:val="FooterTableFigure"/>
      </w:pPr>
      <w:r>
        <w:rPr>
          <w:vertAlign w:val="superscript"/>
        </w:rPr>
        <w:t>6</w:t>
      </w:r>
      <w:r w:rsidR="0072476D">
        <w:rPr>
          <w:vertAlign w:val="superscript"/>
        </w:rPr>
        <w:t xml:space="preserve"> </w:t>
      </w:r>
      <w:r w:rsidR="0072476D" w:rsidRPr="00251021">
        <w:t>$</w:t>
      </w:r>
      <w:r w:rsidR="0072476D">
        <w:t>5</w:t>
      </w:r>
      <w:r w:rsidR="0072476D" w:rsidRPr="00251021">
        <w:t xml:space="preserve">0 </w:t>
      </w:r>
      <w:r w:rsidR="0072476D">
        <w:t xml:space="preserve">million </w:t>
      </w:r>
      <w:r w:rsidR="0072476D" w:rsidRPr="00251021">
        <w:t>to &lt; $</w:t>
      </w:r>
      <w:r w:rsidR="0072476D">
        <w:t>6</w:t>
      </w:r>
      <w:r w:rsidR="0072476D" w:rsidRPr="00251021">
        <w:t>0 million</w:t>
      </w:r>
    </w:p>
    <w:p w14:paraId="685C2006" w14:textId="475145BC" w:rsidR="0072476D" w:rsidRDefault="00AB7C24" w:rsidP="0072476D">
      <w:pPr>
        <w:pStyle w:val="FooterTableFigure"/>
      </w:pPr>
      <w:r>
        <w:rPr>
          <w:vertAlign w:val="superscript"/>
        </w:rPr>
        <w:t>7</w:t>
      </w:r>
      <w:r w:rsidR="0072476D">
        <w:rPr>
          <w:vertAlign w:val="superscript"/>
        </w:rPr>
        <w:t xml:space="preserve"> </w:t>
      </w:r>
      <w:r w:rsidR="0072476D" w:rsidRPr="00251021">
        <w:t>$</w:t>
      </w:r>
      <w:r w:rsidR="0072476D">
        <w:t>6</w:t>
      </w:r>
      <w:r w:rsidR="0072476D" w:rsidRPr="00251021">
        <w:t xml:space="preserve">0 </w:t>
      </w:r>
      <w:r w:rsidR="0072476D">
        <w:t xml:space="preserve">million </w:t>
      </w:r>
      <w:r w:rsidR="0072476D" w:rsidRPr="00251021">
        <w:t>to &lt; $</w:t>
      </w:r>
      <w:r w:rsidR="0072476D">
        <w:t>7</w:t>
      </w:r>
      <w:r w:rsidR="0072476D" w:rsidRPr="00251021">
        <w:t>0 million</w:t>
      </w:r>
    </w:p>
    <w:p w14:paraId="31457A3F" w14:textId="13ED25FA" w:rsidR="0072476D" w:rsidRDefault="00AB7C24" w:rsidP="0072476D">
      <w:pPr>
        <w:pStyle w:val="FooterTableFigure"/>
      </w:pPr>
      <w:r>
        <w:rPr>
          <w:vertAlign w:val="superscript"/>
        </w:rPr>
        <w:t>8</w:t>
      </w:r>
      <w:r w:rsidR="0072476D">
        <w:rPr>
          <w:vertAlign w:val="superscript"/>
        </w:rPr>
        <w:t xml:space="preserve"> </w:t>
      </w:r>
      <w:r w:rsidR="0072476D" w:rsidRPr="00251021">
        <w:t>$</w:t>
      </w:r>
      <w:r w:rsidR="0072476D">
        <w:t>7</w:t>
      </w:r>
      <w:r w:rsidR="0072476D" w:rsidRPr="00251021">
        <w:t xml:space="preserve">0 </w:t>
      </w:r>
      <w:r w:rsidR="0072476D">
        <w:t xml:space="preserve">million </w:t>
      </w:r>
      <w:r w:rsidR="0072476D" w:rsidRPr="00251021">
        <w:t>to &lt; $</w:t>
      </w:r>
      <w:r w:rsidR="0072476D">
        <w:t>8</w:t>
      </w:r>
      <w:r w:rsidR="0072476D" w:rsidRPr="00251021">
        <w:t>0 million</w:t>
      </w:r>
    </w:p>
    <w:p w14:paraId="516F8439" w14:textId="0BD691C9" w:rsidR="0072476D" w:rsidRDefault="00AB7C24" w:rsidP="0072476D">
      <w:pPr>
        <w:pStyle w:val="FooterTableFigure"/>
      </w:pPr>
      <w:r>
        <w:rPr>
          <w:vertAlign w:val="superscript"/>
        </w:rPr>
        <w:t>9</w:t>
      </w:r>
      <w:r w:rsidR="0072476D">
        <w:rPr>
          <w:vertAlign w:val="superscript"/>
        </w:rPr>
        <w:t xml:space="preserve"> </w:t>
      </w:r>
      <w:r w:rsidR="0072476D" w:rsidRPr="00251021">
        <w:t>$</w:t>
      </w:r>
      <w:r w:rsidR="0072476D">
        <w:t>8</w:t>
      </w:r>
      <w:r w:rsidR="0072476D" w:rsidRPr="00251021">
        <w:t xml:space="preserve">0 </w:t>
      </w:r>
      <w:r w:rsidR="0072476D">
        <w:t xml:space="preserve">million </w:t>
      </w:r>
      <w:r w:rsidR="0072476D" w:rsidRPr="00251021">
        <w:t>to &lt; $</w:t>
      </w:r>
      <w:r w:rsidR="0072476D">
        <w:t>9</w:t>
      </w:r>
      <w:r w:rsidR="0072476D" w:rsidRPr="00251021">
        <w:t>0 million</w:t>
      </w:r>
    </w:p>
    <w:p w14:paraId="3E306788" w14:textId="2779DA56" w:rsidR="0072476D" w:rsidRDefault="00AB7C24" w:rsidP="0072476D">
      <w:pPr>
        <w:pStyle w:val="FooterTableFigure"/>
      </w:pPr>
      <w:r>
        <w:rPr>
          <w:vertAlign w:val="superscript"/>
        </w:rPr>
        <w:t>10</w:t>
      </w:r>
      <w:r w:rsidR="0072476D">
        <w:rPr>
          <w:vertAlign w:val="superscript"/>
        </w:rPr>
        <w:t xml:space="preserve"> </w:t>
      </w:r>
      <w:r w:rsidR="0072476D" w:rsidRPr="00251021">
        <w:t>$</w:t>
      </w:r>
      <w:r w:rsidR="0072476D">
        <w:t>9</w:t>
      </w:r>
      <w:r w:rsidR="0072476D" w:rsidRPr="00251021">
        <w:t xml:space="preserve">0 </w:t>
      </w:r>
      <w:r w:rsidR="0072476D">
        <w:t xml:space="preserve">million </w:t>
      </w:r>
      <w:r w:rsidR="0072476D" w:rsidRPr="00251021">
        <w:t>to &lt; $</w:t>
      </w:r>
      <w:r w:rsidR="00AC11F8">
        <w:t>100 million</w:t>
      </w:r>
    </w:p>
    <w:p w14:paraId="56DDB799" w14:textId="6C2DE75B" w:rsidR="00F46A11" w:rsidRDefault="00F46A11" w:rsidP="0072476D">
      <w:pPr>
        <w:pStyle w:val="FooterTableFigure"/>
      </w:pPr>
      <w:r>
        <w:rPr>
          <w:vertAlign w:val="superscript"/>
        </w:rPr>
        <w:t>11</w:t>
      </w:r>
      <w:r>
        <w:t xml:space="preserve"> $100 million to &lt; $200 million</w:t>
      </w:r>
    </w:p>
    <w:p w14:paraId="1C220A47" w14:textId="3E5DE077" w:rsidR="00F46A11" w:rsidRPr="00F46A11" w:rsidRDefault="00F46A11" w:rsidP="0072476D">
      <w:pPr>
        <w:pStyle w:val="FooterTableFigure"/>
      </w:pPr>
      <w:r>
        <w:rPr>
          <w:vertAlign w:val="superscript"/>
        </w:rPr>
        <w:t>12</w:t>
      </w:r>
      <w:r>
        <w:t xml:space="preserve"> $200 million to &lt; $300 million</w:t>
      </w:r>
    </w:p>
    <w:p w14:paraId="78F098FD" w14:textId="55A33A42" w:rsidR="00EE5014" w:rsidRPr="00EB1130" w:rsidRDefault="00EE5014"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73" w:name="_Toc198735654"/>
      <w:r w:rsidRPr="00EB1130">
        <w:rPr>
          <w:rFonts w:ascii="Franklin Gothic Medium" w:hAnsi="Franklin Gothic Medium"/>
          <w:b w:val="0"/>
          <w:i w:val="0"/>
          <w:snapToGrid/>
          <w:sz w:val="32"/>
          <w:szCs w:val="26"/>
        </w:rPr>
        <w:t>Other significant factors</w:t>
      </w:r>
      <w:bookmarkEnd w:id="73"/>
    </w:p>
    <w:p w14:paraId="0F8B4423" w14:textId="77777777" w:rsidR="00931B87" w:rsidRPr="007D4200" w:rsidRDefault="00931B87" w:rsidP="007D4200">
      <w:pPr>
        <w:rPr>
          <w:b/>
          <w:bCs/>
        </w:rPr>
      </w:pPr>
      <w:r w:rsidRPr="007D4200">
        <w:rPr>
          <w:b/>
          <w:bCs/>
        </w:rPr>
        <w:t>Health system capacity</w:t>
      </w:r>
    </w:p>
    <w:p w14:paraId="6CC1AC68" w14:textId="5C949237" w:rsidR="00931B87" w:rsidRPr="00000097" w:rsidRDefault="00931B87" w:rsidP="00931B87">
      <w:pPr>
        <w:pStyle w:val="InstructionBulletpoint"/>
        <w:numPr>
          <w:ilvl w:val="0"/>
          <w:numId w:val="0"/>
        </w:numPr>
        <w:jc w:val="both"/>
        <w:rPr>
          <w:rStyle w:val="InstructionalTextChar"/>
          <w:rFonts w:ascii="Franklin Gothic Book" w:hAnsi="Franklin Gothic Book"/>
          <w:b/>
          <w:color w:val="auto"/>
          <w:sz w:val="22"/>
        </w:rPr>
      </w:pPr>
      <w:r w:rsidRPr="00000097">
        <w:rPr>
          <w:rStyle w:val="InstructionalTextChar"/>
          <w:rFonts w:ascii="Franklin Gothic Book" w:hAnsi="Franklin Gothic Book"/>
          <w:color w:val="auto"/>
          <w:sz w:val="22"/>
        </w:rPr>
        <w:t xml:space="preserve">The </w:t>
      </w:r>
      <w:r w:rsidR="00BA11B1" w:rsidRPr="00BA11B1">
        <w:rPr>
          <w:rStyle w:val="InstructionalTextChar"/>
          <w:rFonts w:ascii="Franklin Gothic Book" w:hAnsi="Franklin Gothic Book"/>
          <w:color w:val="auto"/>
          <w:sz w:val="22"/>
        </w:rPr>
        <w:t>submission</w:t>
      </w:r>
      <w:r w:rsidR="00EF4636" w:rsidRPr="00000097">
        <w:rPr>
          <w:rStyle w:val="InstructionalTextChar"/>
          <w:rFonts w:ascii="Franklin Gothic Book" w:hAnsi="Franklin Gothic Book"/>
          <w:color w:val="auto"/>
          <w:sz w:val="22"/>
        </w:rPr>
        <w:t xml:space="preserve"> </w:t>
      </w:r>
      <w:r w:rsidRPr="00000097">
        <w:rPr>
          <w:rStyle w:val="InstructionalTextChar"/>
          <w:rFonts w:ascii="Franklin Gothic Book" w:hAnsi="Franklin Gothic Book"/>
          <w:color w:val="auto"/>
          <w:sz w:val="22"/>
        </w:rPr>
        <w:t xml:space="preserve">estimated that of the </w:t>
      </w:r>
      <w:r w:rsidR="00FD0E57">
        <w:rPr>
          <w:rStyle w:val="InstructionalTextChar"/>
          <w:rFonts w:ascii="Franklin Gothic Book" w:hAnsi="Franklin Gothic Book"/>
          <w:color w:val="auto"/>
          <w:sz w:val="22"/>
        </w:rPr>
        <w:t>30,000 to &lt;</w:t>
      </w:r>
      <w:r w:rsidR="002A0DFB">
        <w:rPr>
          <w:rStyle w:val="InstructionalTextChar"/>
          <w:rFonts w:ascii="Franklin Gothic Book" w:hAnsi="Franklin Gothic Book"/>
          <w:color w:val="auto"/>
          <w:sz w:val="22"/>
        </w:rPr>
        <w:t>40,000 (Year 1)</w:t>
      </w:r>
      <w:r w:rsidRPr="00000097">
        <w:rPr>
          <w:rStyle w:val="InstructionalTextChar"/>
          <w:rFonts w:ascii="Franklin Gothic Book" w:hAnsi="Franklin Gothic Book"/>
          <w:color w:val="auto"/>
          <w:sz w:val="22"/>
        </w:rPr>
        <w:t xml:space="preserve"> patients with MCI due to AD or mild AD, </w:t>
      </w:r>
      <w:r w:rsidR="00F41E0F">
        <w:rPr>
          <w:rStyle w:val="InstructionalTextChar"/>
          <w:rFonts w:ascii="Franklin Gothic Book" w:hAnsi="Franklin Gothic Book"/>
          <w:color w:val="auto"/>
          <w:sz w:val="22"/>
        </w:rPr>
        <w:t xml:space="preserve">30,000 to &lt;40,000 (Year 1) </w:t>
      </w:r>
      <w:r w:rsidRPr="00000097">
        <w:rPr>
          <w:rStyle w:val="InstructionalTextChar"/>
          <w:rFonts w:ascii="Franklin Gothic Book" w:hAnsi="Franklin Gothic Book"/>
          <w:color w:val="auto"/>
          <w:sz w:val="22"/>
        </w:rPr>
        <w:t xml:space="preserve">individuals would undergo Aβ pathology testing, split 50/50 between Aβ-PET and CSF </w:t>
      </w:r>
      <w:r w:rsidR="00736395" w:rsidRPr="00000097">
        <w:rPr>
          <w:rStyle w:val="InstructionalTextChar"/>
          <w:rFonts w:ascii="Franklin Gothic Book" w:hAnsi="Franklin Gothic Book"/>
          <w:color w:val="auto"/>
          <w:sz w:val="22"/>
        </w:rPr>
        <w:t xml:space="preserve">AD </w:t>
      </w:r>
      <w:r w:rsidRPr="00000097">
        <w:rPr>
          <w:rStyle w:val="InstructionalTextChar"/>
          <w:rFonts w:ascii="Franklin Gothic Book" w:hAnsi="Franklin Gothic Book"/>
          <w:color w:val="auto"/>
          <w:sz w:val="22"/>
        </w:rPr>
        <w:t xml:space="preserve">biomarker testing. </w:t>
      </w:r>
    </w:p>
    <w:p w14:paraId="5D000CBD" w14:textId="77777777" w:rsidR="00931B87" w:rsidRPr="00000097" w:rsidRDefault="00931B87" w:rsidP="00931B87">
      <w:pPr>
        <w:pStyle w:val="InstructionBulletpoint"/>
        <w:numPr>
          <w:ilvl w:val="0"/>
          <w:numId w:val="0"/>
        </w:numPr>
        <w:jc w:val="both"/>
        <w:rPr>
          <w:rStyle w:val="InstructionalTextChar"/>
          <w:rFonts w:ascii="Franklin Gothic Book" w:hAnsi="Franklin Gothic Book"/>
          <w:b/>
          <w:color w:val="auto"/>
          <w:sz w:val="22"/>
        </w:rPr>
      </w:pPr>
      <w:r w:rsidRPr="00000097">
        <w:rPr>
          <w:rStyle w:val="InstructionalTextChar"/>
          <w:rFonts w:ascii="Franklin Gothic Book" w:hAnsi="Franklin Gothic Book"/>
          <w:color w:val="auto"/>
          <w:sz w:val="22"/>
        </w:rPr>
        <w:t>Two additional Aβ-PET scans would also be required to determine if there has been clearance of the amyloid plaques while on treatment.</w:t>
      </w:r>
    </w:p>
    <w:p w14:paraId="65F58B58" w14:textId="77777777" w:rsidR="00931B87" w:rsidRPr="00000097" w:rsidRDefault="00931B87" w:rsidP="00931B87">
      <w:pPr>
        <w:pStyle w:val="InstructionBulletpoint"/>
        <w:numPr>
          <w:ilvl w:val="0"/>
          <w:numId w:val="0"/>
        </w:numPr>
        <w:jc w:val="both"/>
        <w:rPr>
          <w:rStyle w:val="InstructionalTextChar"/>
          <w:rFonts w:ascii="Franklin Gothic Book" w:hAnsi="Franklin Gothic Book"/>
          <w:b/>
          <w:color w:val="auto"/>
          <w:sz w:val="22"/>
        </w:rPr>
      </w:pPr>
      <w:r w:rsidRPr="00000097">
        <w:rPr>
          <w:rStyle w:val="InstructionalTextChar"/>
          <w:rFonts w:ascii="Franklin Gothic Book" w:hAnsi="Franklin Gothic Book"/>
          <w:color w:val="auto"/>
          <w:sz w:val="22"/>
        </w:rPr>
        <w:t>Each person treated would also require multiple additional MRI brain scans to monitor for the appearance of amyloid-related imaging abnormalities (ARIAs), noting the safety concerns associated with donanemab treatment.</w:t>
      </w:r>
    </w:p>
    <w:p w14:paraId="17EFA343" w14:textId="2DEEEE05" w:rsidR="00931B87" w:rsidRPr="00000097" w:rsidRDefault="00C95117" w:rsidP="00931B87">
      <w:pPr>
        <w:pStyle w:val="InstructionBulletpoint"/>
        <w:numPr>
          <w:ilvl w:val="0"/>
          <w:numId w:val="0"/>
        </w:numPr>
        <w:jc w:val="both"/>
        <w:rPr>
          <w:rStyle w:val="InstructionalTextChar"/>
          <w:rFonts w:ascii="Franklin Gothic Book" w:hAnsi="Franklin Gothic Book"/>
          <w:color w:val="auto"/>
          <w:sz w:val="22"/>
        </w:rPr>
      </w:pPr>
      <w:r w:rsidRPr="00000097">
        <w:rPr>
          <w:rStyle w:val="InstructionalTextChar"/>
          <w:rFonts w:ascii="Franklin Gothic Book" w:hAnsi="Franklin Gothic Book"/>
          <w:color w:val="auto"/>
          <w:sz w:val="22"/>
        </w:rPr>
        <w:t>The commentary considered that t</w:t>
      </w:r>
      <w:r w:rsidR="00931B87" w:rsidRPr="00000097">
        <w:rPr>
          <w:rStyle w:val="InstructionalTextChar"/>
          <w:rFonts w:ascii="Franklin Gothic Book" w:hAnsi="Franklin Gothic Book"/>
          <w:color w:val="auto"/>
          <w:sz w:val="22"/>
        </w:rPr>
        <w:t xml:space="preserve">his level of resource use would place significant pressure on the current capacity of the health care </w:t>
      </w:r>
      <w:proofErr w:type="gramStart"/>
      <w:r w:rsidR="00931B87" w:rsidRPr="00000097">
        <w:rPr>
          <w:rStyle w:val="InstructionalTextChar"/>
          <w:rFonts w:ascii="Franklin Gothic Book" w:hAnsi="Franklin Gothic Book"/>
          <w:color w:val="auto"/>
          <w:sz w:val="22"/>
        </w:rPr>
        <w:t>system</w:t>
      </w:r>
      <w:proofErr w:type="gramEnd"/>
      <w:r w:rsidR="00931B87" w:rsidRPr="00000097">
        <w:rPr>
          <w:rStyle w:val="InstructionalTextChar"/>
          <w:rFonts w:ascii="Franklin Gothic Book" w:hAnsi="Franklin Gothic Book"/>
          <w:color w:val="auto"/>
          <w:sz w:val="22"/>
        </w:rPr>
        <w:t xml:space="preserve"> and it is uncertain how this would be implemented in the short term. Either many eligible patients will miss out on testing, safety monitoring and/or treatment, or the services will be performed with the effect of increasing wait times for diagnostic imaging services, meaning delays in access to PET and MRI services across the community. The alternative would be increasing capital outlays on PET and MRI equipment.</w:t>
      </w:r>
    </w:p>
    <w:p w14:paraId="5F56F138" w14:textId="25245A0B" w:rsidR="00931B87" w:rsidRPr="00000097" w:rsidRDefault="00931B87" w:rsidP="00931B87">
      <w:pPr>
        <w:pStyle w:val="InstructionBulletpoint"/>
        <w:numPr>
          <w:ilvl w:val="0"/>
          <w:numId w:val="0"/>
        </w:numPr>
        <w:jc w:val="both"/>
        <w:rPr>
          <w:rStyle w:val="InstructionalTextChar"/>
          <w:rFonts w:ascii="Franklin Gothic Book" w:hAnsi="Franklin Gothic Book"/>
          <w:b/>
          <w:bCs/>
          <w:color w:val="auto"/>
          <w:sz w:val="22"/>
        </w:rPr>
      </w:pPr>
      <w:r w:rsidRPr="00000097">
        <w:rPr>
          <w:rStyle w:val="InstructionalTextChar"/>
          <w:rFonts w:ascii="Franklin Gothic Book" w:hAnsi="Franklin Gothic Book"/>
          <w:bCs/>
          <w:color w:val="auto"/>
          <w:sz w:val="22"/>
        </w:rPr>
        <w:t xml:space="preserve">Additional resources would also be required for infusion of the drug, both in the public hospital system and </w:t>
      </w:r>
      <w:proofErr w:type="gramStart"/>
      <w:r w:rsidRPr="00000097">
        <w:rPr>
          <w:rStyle w:val="InstructionalTextChar"/>
          <w:rFonts w:ascii="Franklin Gothic Book" w:hAnsi="Franklin Gothic Book"/>
          <w:bCs/>
          <w:color w:val="auto"/>
          <w:sz w:val="22"/>
        </w:rPr>
        <w:t xml:space="preserve">through the </w:t>
      </w:r>
      <w:r w:rsidR="00F030D5" w:rsidRPr="00000097">
        <w:rPr>
          <w:rFonts w:ascii="Franklin Gothic Book" w:hAnsi="Franklin Gothic Book"/>
          <w:bCs/>
          <w:color w:val="auto"/>
          <w:sz w:val="22"/>
        </w:rPr>
        <w:t>use</w:t>
      </w:r>
      <w:r w:rsidRPr="00000097">
        <w:rPr>
          <w:rFonts w:ascii="Franklin Gothic Book" w:hAnsi="Franklin Gothic Book"/>
          <w:bCs/>
          <w:color w:val="auto"/>
          <w:sz w:val="22"/>
        </w:rPr>
        <w:t xml:space="preserve"> of</w:t>
      </w:r>
      <w:proofErr w:type="gramEnd"/>
      <w:r w:rsidRPr="00000097">
        <w:rPr>
          <w:rFonts w:ascii="Franklin Gothic Book" w:hAnsi="Franklin Gothic Book"/>
          <w:bCs/>
          <w:color w:val="auto"/>
          <w:sz w:val="22"/>
        </w:rPr>
        <w:t xml:space="preserve"> </w:t>
      </w:r>
      <w:r w:rsidRPr="00000097">
        <w:rPr>
          <w:rStyle w:val="InstructionalTextChar"/>
          <w:rFonts w:ascii="Franklin Gothic Book" w:hAnsi="Franklin Gothic Book"/>
          <w:bCs/>
          <w:color w:val="auto"/>
          <w:sz w:val="22"/>
        </w:rPr>
        <w:t>MBS items for consultations and administering the drug.</w:t>
      </w:r>
    </w:p>
    <w:p w14:paraId="3B68F47B" w14:textId="6F3EC656" w:rsidR="00572583" w:rsidRPr="00000097" w:rsidRDefault="00572583" w:rsidP="00931B87">
      <w:pPr>
        <w:pStyle w:val="InstructionBulletpoint"/>
        <w:numPr>
          <w:ilvl w:val="0"/>
          <w:numId w:val="0"/>
        </w:numPr>
        <w:jc w:val="both"/>
        <w:rPr>
          <w:rFonts w:ascii="Franklin Gothic Book" w:hAnsi="Franklin Gothic Book"/>
          <w:color w:val="auto"/>
          <w:sz w:val="22"/>
        </w:rPr>
      </w:pPr>
      <w:r w:rsidRPr="00000097">
        <w:rPr>
          <w:rFonts w:ascii="Franklin Gothic Book" w:hAnsi="Franklin Gothic Book"/>
          <w:color w:val="auto"/>
          <w:sz w:val="22"/>
        </w:rPr>
        <w:lastRenderedPageBreak/>
        <w:t xml:space="preserve">The </w:t>
      </w:r>
      <w:r w:rsidR="000F1592">
        <w:rPr>
          <w:rFonts w:ascii="Franklin Gothic Book" w:hAnsi="Franklin Gothic Book"/>
          <w:color w:val="auto"/>
          <w:sz w:val="22"/>
        </w:rPr>
        <w:t>TGA-approved PI for donanemab</w:t>
      </w:r>
      <w:r w:rsidRPr="00000097">
        <w:rPr>
          <w:rFonts w:ascii="Franklin Gothic Book" w:hAnsi="Franklin Gothic Book"/>
          <w:color w:val="auto"/>
          <w:sz w:val="22"/>
        </w:rPr>
        <w:t xml:space="preserve"> states that “KISUNLA should be administered in specialised centres under the supervision of a multidisciplinary team trained in detection, monitoring and management of ARIA and experienced in detecting and managing infusion related reactions. These centres will likely need to be established.</w:t>
      </w:r>
    </w:p>
    <w:p w14:paraId="2570CDCF" w14:textId="0D9DA176" w:rsidR="00931B87" w:rsidRPr="00000097" w:rsidRDefault="00931B87" w:rsidP="00931B87">
      <w:pPr>
        <w:pStyle w:val="InstructionBulletpoint"/>
        <w:numPr>
          <w:ilvl w:val="0"/>
          <w:numId w:val="0"/>
        </w:numPr>
        <w:jc w:val="both"/>
        <w:rPr>
          <w:rStyle w:val="InstructionalTextChar"/>
          <w:rFonts w:ascii="Franklin Gothic Book" w:hAnsi="Franklin Gothic Book"/>
          <w:b/>
          <w:bCs/>
          <w:color w:val="auto"/>
          <w:sz w:val="22"/>
        </w:rPr>
      </w:pPr>
      <w:r w:rsidRPr="00000097">
        <w:rPr>
          <w:rFonts w:ascii="Franklin Gothic Book" w:hAnsi="Franklin Gothic Book"/>
          <w:color w:val="auto"/>
          <w:sz w:val="22"/>
        </w:rPr>
        <w:t xml:space="preserve">A national, cross-sectional survey was </w:t>
      </w:r>
      <w:r w:rsidR="00572583" w:rsidRPr="00000097">
        <w:rPr>
          <w:rFonts w:ascii="Franklin Gothic Book" w:hAnsi="Franklin Gothic Book"/>
          <w:color w:val="auto"/>
          <w:sz w:val="22"/>
        </w:rPr>
        <w:t xml:space="preserve">conducted from 7 September 2023 to 7 February 2024, and the results were published in the </w:t>
      </w:r>
      <w:r w:rsidR="00572583" w:rsidRPr="00735454">
        <w:rPr>
          <w:rFonts w:ascii="Franklin Gothic Book" w:hAnsi="Franklin Gothic Book"/>
          <w:i/>
          <w:iCs/>
          <w:color w:val="auto"/>
          <w:sz w:val="22"/>
        </w:rPr>
        <w:t>Internal Medicine Journal</w:t>
      </w:r>
      <w:r w:rsidR="00572583" w:rsidRPr="00000097">
        <w:rPr>
          <w:rFonts w:ascii="Franklin Gothic Book" w:hAnsi="Franklin Gothic Book"/>
          <w:color w:val="auto"/>
          <w:sz w:val="22"/>
        </w:rPr>
        <w:t xml:space="preserve"> in 2025</w:t>
      </w:r>
      <w:r w:rsidR="003C2DC8">
        <w:rPr>
          <w:rFonts w:ascii="Franklin Gothic Book" w:hAnsi="Franklin Gothic Book"/>
          <w:color w:val="auto"/>
          <w:sz w:val="22"/>
        </w:rPr>
        <w:t xml:space="preserve"> </w:t>
      </w:r>
      <w:r w:rsidRPr="00000097">
        <w:rPr>
          <w:rFonts w:ascii="Franklin Gothic Book" w:hAnsi="Franklin Gothic Book"/>
          <w:color w:val="auto"/>
          <w:sz w:val="22"/>
        </w:rPr>
        <w:t>to gauge Australia’s capacity and readiness for the rollout of Aβ-targeting therapies for AD. Specialist clinicians who responded to the survey raised concerns about the IV administration of anti-Aβ drugs, mostly centred around ‘staffing needs’, ‘location’, ‘resources/infrastructure needs’ as well as ‘capacity’.</w:t>
      </w:r>
    </w:p>
    <w:p w14:paraId="73943738" w14:textId="77777777" w:rsidR="00931B87" w:rsidRPr="007D4200" w:rsidRDefault="00931B87" w:rsidP="007D4200">
      <w:pPr>
        <w:rPr>
          <w:b/>
          <w:bCs/>
        </w:rPr>
      </w:pPr>
      <w:r w:rsidRPr="007D4200">
        <w:rPr>
          <w:b/>
          <w:bCs/>
        </w:rPr>
        <w:t>Accessibility issues</w:t>
      </w:r>
    </w:p>
    <w:p w14:paraId="181741F4" w14:textId="5042B601" w:rsidR="00931B87" w:rsidRPr="005D60D2" w:rsidRDefault="00C95117" w:rsidP="00931B87">
      <w:pPr>
        <w:spacing w:before="0" w:after="120"/>
        <w:rPr>
          <w:rFonts w:cstheme="minorHAnsi"/>
          <w:b/>
          <w:bCs/>
        </w:rPr>
      </w:pPr>
      <w:r w:rsidRPr="007432E0">
        <w:rPr>
          <w:rFonts w:cstheme="minorHAnsi"/>
          <w:bCs/>
        </w:rPr>
        <w:t>The commentary noted that t</w:t>
      </w:r>
      <w:r w:rsidR="00931B87" w:rsidRPr="007432E0">
        <w:rPr>
          <w:rFonts w:cstheme="minorHAnsi"/>
          <w:bCs/>
        </w:rPr>
        <w:t>here is a significant financial impact for rural and remote patients. To receive the rebate for a Medicare eligible MRI or PET scan, a patient requires a specialist referral, which</w:t>
      </w:r>
      <w:r w:rsidR="00931B87" w:rsidRPr="005D60D2">
        <w:rPr>
          <w:rFonts w:cstheme="minorHAnsi"/>
          <w:bCs/>
        </w:rPr>
        <w:t xml:space="preserve"> first requires a visit to a GP. Both visits are likely to incur out-of-pocket costs for the patient and are in addition to any travel, accommodation and the out-of-pocket costs associated with receiving the scan.</w:t>
      </w:r>
      <w:r w:rsidR="00931B87" w:rsidRPr="005D60D2">
        <w:t xml:space="preserve"> </w:t>
      </w:r>
      <w:r w:rsidR="00931B87" w:rsidRPr="005D60D2">
        <w:rPr>
          <w:rFonts w:cstheme="minorHAnsi"/>
          <w:bCs/>
        </w:rPr>
        <w:t>Multiple scans will result in a significant financial impost.</w:t>
      </w:r>
    </w:p>
    <w:p w14:paraId="4F49E29D" w14:textId="2A4D1B0F" w:rsidR="00931B87" w:rsidRPr="005D60D2" w:rsidRDefault="00C95117" w:rsidP="00931B87">
      <w:pPr>
        <w:spacing w:before="0" w:after="120"/>
        <w:rPr>
          <w:rFonts w:cstheme="minorHAnsi"/>
          <w:b/>
          <w:bCs/>
        </w:rPr>
      </w:pPr>
      <w:r w:rsidRPr="005D60D2">
        <w:rPr>
          <w:rFonts w:cstheme="minorHAnsi"/>
          <w:bCs/>
        </w:rPr>
        <w:t>The commentary considered that a</w:t>
      </w:r>
      <w:r w:rsidR="00931B87" w:rsidRPr="005D60D2">
        <w:rPr>
          <w:rFonts w:cstheme="minorHAnsi"/>
          <w:bCs/>
        </w:rPr>
        <w:t xml:space="preserve">ccess to Aβ-PET scanning in Australia is also likely to be problematic due to the production of amyloid radiopharmaceuticals being limited to a few sites, such as </w:t>
      </w:r>
      <w:proofErr w:type="spellStart"/>
      <w:r w:rsidR="00931B87" w:rsidRPr="005D60D2">
        <w:rPr>
          <w:rFonts w:cstheme="minorHAnsi"/>
          <w:bCs/>
        </w:rPr>
        <w:t>Cyclotek's</w:t>
      </w:r>
      <w:proofErr w:type="spellEnd"/>
      <w:r w:rsidR="00931B87" w:rsidRPr="005D60D2">
        <w:rPr>
          <w:rFonts w:cstheme="minorHAnsi"/>
          <w:bCs/>
        </w:rPr>
        <w:t xml:space="preserve"> manufacturing facilities in Victoria, New South Wales, and Queensland, and some hospital nuclear medicine departments with onsite cyclotrons</w:t>
      </w:r>
      <w:r w:rsidR="00C043E8" w:rsidRPr="005D60D2">
        <w:rPr>
          <w:rFonts w:cstheme="minorHAnsi"/>
          <w:bCs/>
        </w:rPr>
        <w:t>.</w:t>
      </w:r>
    </w:p>
    <w:p w14:paraId="60878AFB" w14:textId="77777777" w:rsidR="00931B87" w:rsidRPr="005D60D2" w:rsidRDefault="00931B87" w:rsidP="00931B87">
      <w:pPr>
        <w:spacing w:before="0" w:after="120"/>
        <w:rPr>
          <w:rFonts w:cstheme="minorHAnsi"/>
          <w:b/>
          <w:bCs/>
        </w:rPr>
      </w:pPr>
      <w:r w:rsidRPr="005D60D2">
        <w:rPr>
          <w:rFonts w:cstheme="minorHAnsi"/>
          <w:bCs/>
        </w:rPr>
        <w:t>Additionally, the radiopharmaceuticals have a short half-life (~110 minutes), posing a challenge for timely delivery. This constraint is exacerbated by the vast geographic distances in Australia</w:t>
      </w:r>
    </w:p>
    <w:p w14:paraId="4AEBB93E" w14:textId="77777777" w:rsidR="00931B87" w:rsidRPr="005D60D2" w:rsidRDefault="00931B87" w:rsidP="00931B87">
      <w:pPr>
        <w:spacing w:before="0" w:after="120"/>
        <w:rPr>
          <w:rFonts w:cstheme="minorHAnsi"/>
          <w:bCs/>
        </w:rPr>
      </w:pPr>
      <w:r w:rsidRPr="005D60D2">
        <w:rPr>
          <w:rFonts w:cstheme="minorHAnsi"/>
          <w:bCs/>
        </w:rPr>
        <w:t>Clinical specialists have indicated that use of lumbar puncture is not widespread in Australia and may not be as acceptable to patients as non-invasive PET scanning.</w:t>
      </w:r>
    </w:p>
    <w:p w14:paraId="502E553E" w14:textId="77777777" w:rsidR="00931B87" w:rsidRPr="005D60D2" w:rsidRDefault="00931B87" w:rsidP="00931B87">
      <w:pPr>
        <w:spacing w:before="0" w:after="120"/>
        <w:rPr>
          <w:rFonts w:cstheme="minorHAnsi"/>
          <w:b/>
          <w:bCs/>
        </w:rPr>
      </w:pPr>
      <w:r w:rsidRPr="005D60D2">
        <w:rPr>
          <w:rFonts w:cstheme="minorHAnsi"/>
          <w:bCs/>
        </w:rPr>
        <w:t xml:space="preserve">Currently the CSF test is only available from two pathology testing laboratories who have received National Association of Testing Authorities (NATA) accreditation for the use of the </w:t>
      </w:r>
      <w:proofErr w:type="spellStart"/>
      <w:r w:rsidRPr="005D60D2">
        <w:rPr>
          <w:rFonts w:cstheme="minorHAnsi"/>
          <w:bCs/>
        </w:rPr>
        <w:t>Elecsys</w:t>
      </w:r>
      <w:proofErr w:type="spellEnd"/>
      <w:r w:rsidRPr="005D60D2">
        <w:rPr>
          <w:rFonts w:cstheme="minorHAnsi"/>
          <w:bCs/>
        </w:rPr>
        <w:t>® CSF assays.</w:t>
      </w:r>
    </w:p>
    <w:p w14:paraId="1C88FD93" w14:textId="77777777" w:rsidR="00931B87" w:rsidRPr="005D60D2" w:rsidRDefault="00931B87" w:rsidP="00931B87">
      <w:pPr>
        <w:spacing w:before="0" w:after="120"/>
        <w:rPr>
          <w:rFonts w:cstheme="minorHAnsi"/>
          <w:b/>
          <w:bCs/>
        </w:rPr>
      </w:pPr>
      <w:r w:rsidRPr="005D60D2">
        <w:rPr>
          <w:rFonts w:cstheme="minorHAnsi"/>
          <w:bCs/>
        </w:rPr>
        <w:t>Timely processing of patient samples will require increased capacity at these two pathology laboratories as well as additional laboratories being accredited to offer this service. This would also require the establishment of a Quality Assurance Program to ensure the reliability and reproducibility of results between diagnostic laboratories.</w:t>
      </w:r>
    </w:p>
    <w:p w14:paraId="4E749FE8" w14:textId="26303547" w:rsidR="00931B87" w:rsidRPr="005D60D2" w:rsidRDefault="00931B87" w:rsidP="00931B87">
      <w:pPr>
        <w:spacing w:before="0" w:after="120"/>
        <w:rPr>
          <w:rFonts w:cstheme="minorHAnsi"/>
          <w:b/>
          <w:bCs/>
        </w:rPr>
      </w:pPr>
      <w:r w:rsidRPr="005D60D2">
        <w:rPr>
          <w:rFonts w:cstheme="minorHAnsi"/>
          <w:bCs/>
        </w:rPr>
        <w:t>According to the Royal College of Pathologists of Australasia (RCPA) website</w:t>
      </w:r>
      <w:r w:rsidR="00151B65" w:rsidRPr="005D60D2">
        <w:rPr>
          <w:rFonts w:cstheme="minorHAnsi"/>
          <w:bCs/>
        </w:rPr>
        <w:t>,</w:t>
      </w:r>
      <w:r w:rsidRPr="005D60D2">
        <w:rPr>
          <w:rFonts w:cstheme="minorHAnsi"/>
          <w:bCs/>
        </w:rPr>
        <w:t xml:space="preserve"> </w:t>
      </w:r>
      <w:r w:rsidRPr="005D60D2">
        <w:rPr>
          <w:rFonts w:cstheme="minorHAnsi"/>
          <w:bCs/>
          <w:i/>
          <w:iCs/>
        </w:rPr>
        <w:t>APOE</w:t>
      </w:r>
      <w:r w:rsidRPr="005D60D2">
        <w:rPr>
          <w:rFonts w:cstheme="minorHAnsi"/>
          <w:bCs/>
        </w:rPr>
        <w:t xml:space="preserve"> genotyping is available through five member laboratories in Australia.</w:t>
      </w:r>
    </w:p>
    <w:p w14:paraId="350F089C" w14:textId="6B276743" w:rsidR="00931B87" w:rsidRPr="005D60D2" w:rsidRDefault="00931B87" w:rsidP="00931B87">
      <w:pPr>
        <w:rPr>
          <w:rFonts w:cstheme="minorHAnsi"/>
          <w:bCs/>
        </w:rPr>
      </w:pPr>
      <w:r w:rsidRPr="005D60D2">
        <w:rPr>
          <w:rFonts w:cstheme="minorHAnsi"/>
          <w:bCs/>
        </w:rPr>
        <w:t xml:space="preserve">Timely processing of all patient samples will require increased capacity with additional laboratories being accredited to offer </w:t>
      </w:r>
      <w:r w:rsidRPr="005D60D2">
        <w:rPr>
          <w:rFonts w:cstheme="minorHAnsi"/>
          <w:bCs/>
          <w:i/>
          <w:iCs/>
        </w:rPr>
        <w:t>APOE</w:t>
      </w:r>
      <w:r w:rsidRPr="005D60D2">
        <w:rPr>
          <w:rFonts w:cstheme="minorHAnsi"/>
          <w:bCs/>
        </w:rPr>
        <w:t xml:space="preserve"> genotyping. A Quality Assurance Program would also need to be established.</w:t>
      </w:r>
    </w:p>
    <w:p w14:paraId="77CFA337" w14:textId="0A8DF046" w:rsidR="00931B87" w:rsidRPr="007D4200" w:rsidRDefault="00931B87" w:rsidP="007D4200">
      <w:pPr>
        <w:rPr>
          <w:b/>
          <w:bCs/>
        </w:rPr>
      </w:pPr>
      <w:r w:rsidRPr="007D4200">
        <w:rPr>
          <w:b/>
          <w:bCs/>
        </w:rPr>
        <w:t>AD biomarker testing using plasma instead of CSF</w:t>
      </w:r>
    </w:p>
    <w:p w14:paraId="73B57A20" w14:textId="1A0FCDAB" w:rsidR="00931B87" w:rsidRPr="005D60D2" w:rsidRDefault="00931B87" w:rsidP="00931B87">
      <w:r w:rsidRPr="005D60D2">
        <w:t xml:space="preserve">The </w:t>
      </w:r>
      <w:r w:rsidR="00BA11B1" w:rsidRPr="00BA11B1">
        <w:t>submission</w:t>
      </w:r>
      <w:r w:rsidR="004720DE" w:rsidRPr="005D60D2">
        <w:t xml:space="preserve"> </w:t>
      </w:r>
      <w:r w:rsidRPr="005D60D2">
        <w:t>noted that emerging blood-based biomarkers (BBB) have the potential to be accurate, cost-effective, and easily accessible for widespread clinical use, and could become important tools for AD evaluation in the future.</w:t>
      </w:r>
    </w:p>
    <w:p w14:paraId="6DF834A9" w14:textId="56070C4E" w:rsidR="00931B87" w:rsidRPr="005D60D2" w:rsidRDefault="00931B87" w:rsidP="00931B87">
      <w:r w:rsidRPr="005D60D2">
        <w:t>In Australia, BBB tests are not currently subsidised on the MBS, however, the PrecivityAD2 test is offered for a non-rebated fee of $1</w:t>
      </w:r>
      <w:r w:rsidR="00011418" w:rsidRPr="005D60D2">
        <w:t>,</w:t>
      </w:r>
      <w:r w:rsidRPr="005D60D2">
        <w:t>495 by the private pathology provider Laverty Pathology. Laverty Pathology currently send blood samples to the C2N diagnostics laboratory in the United States</w:t>
      </w:r>
      <w:r w:rsidR="00960E87">
        <w:t>,</w:t>
      </w:r>
      <w:r w:rsidRPr="005D60D2">
        <w:t xml:space="preserve"> and it takes approximately 4 weeks to receive the test results. </w:t>
      </w:r>
    </w:p>
    <w:p w14:paraId="66092384" w14:textId="6B51C806" w:rsidR="00931B87" w:rsidRPr="005D60D2" w:rsidRDefault="00931B87" w:rsidP="00931B87">
      <w:r w:rsidRPr="005D60D2">
        <w:lastRenderedPageBreak/>
        <w:t xml:space="preserve">The </w:t>
      </w:r>
      <w:r w:rsidR="00BA11B1" w:rsidRPr="00BA11B1">
        <w:t>submission</w:t>
      </w:r>
      <w:r w:rsidR="00960E87" w:rsidRPr="005D60D2">
        <w:t xml:space="preserve"> </w:t>
      </w:r>
      <w:r w:rsidRPr="005D60D2">
        <w:t>identified four studies that compared the diagnostic accuracy of BBB tests with A</w:t>
      </w:r>
      <w:r w:rsidRPr="005D60D2">
        <w:rPr>
          <w:rFonts w:cstheme="minorHAnsi"/>
        </w:rPr>
        <w:t>β-PET</w:t>
      </w:r>
      <w:r w:rsidRPr="005D60D2">
        <w:t>. During evaluation</w:t>
      </w:r>
      <w:r w:rsidR="00CD41C3" w:rsidRPr="005D60D2">
        <w:t>,</w:t>
      </w:r>
      <w:r w:rsidRPr="005D60D2">
        <w:t xml:space="preserve"> a rapid non-systematic literature search identified an additional six studies comparing BBB with A</w:t>
      </w:r>
      <w:r w:rsidRPr="005D60D2">
        <w:rPr>
          <w:rFonts w:cstheme="minorHAnsi"/>
        </w:rPr>
        <w:t>β</w:t>
      </w:r>
      <w:r w:rsidRPr="005D60D2">
        <w:t xml:space="preserve">-PET. </w:t>
      </w:r>
    </w:p>
    <w:p w14:paraId="29D54140" w14:textId="4F740367" w:rsidR="00931B87" w:rsidRPr="005D60D2" w:rsidRDefault="00931B87" w:rsidP="00931B87">
      <w:r w:rsidRPr="005D60D2">
        <w:t>These studies found that the measurement of the Aβ42/Aβ40 ratio may be less robust when using plasma samples compared with CSF samples for testing. They also concluded that plasma Aβ42/Aβ40 would pose significant challenges, with misclassification risks if implemented for routine clinical use, partly because variation between tests greatly affected the use of plasma Aβ42/40 in discriminating Aβ status.</w:t>
      </w:r>
    </w:p>
    <w:p w14:paraId="75350EFC" w14:textId="0A8CEC1F" w:rsidR="00931B87" w:rsidRPr="005D60D2" w:rsidRDefault="00931B87" w:rsidP="00931B87">
      <w:r w:rsidRPr="005D60D2">
        <w:t xml:space="preserve">In contrast, p-tau217 had comparable performance in both plasma and CSF and has potential for use in the diagnosis and screening for AD. When measuring plasma p-tau217 levels or the ratio of phosphorylated to non-phosphorylated tau217 (p-tau217/np-tau217), the median ROC-AUC varies from 0.918 to 0.93. This is very comparable to the median ROC-AUC values for CSF ratios of Aβ42/Aβ40, p-tau181/Aβ42 and t-tau/Aβ42, which vary from 0.894 to 0.953. Thus, </w:t>
      </w:r>
      <w:r w:rsidR="00C95117" w:rsidRPr="005D60D2">
        <w:t xml:space="preserve">the commentary considered that </w:t>
      </w:r>
      <w:r w:rsidRPr="005D60D2">
        <w:t>the BBB p-tau217 is a robust candidate for predicting A</w:t>
      </w:r>
      <w:r w:rsidRPr="005D60D2">
        <w:rPr>
          <w:rFonts w:cstheme="minorHAnsi"/>
        </w:rPr>
        <w:t>β</w:t>
      </w:r>
      <w:r w:rsidRPr="005D60D2">
        <w:t xml:space="preserve"> pathology via a blood test, potentially reducing the need for either A</w:t>
      </w:r>
      <w:r w:rsidRPr="005D60D2">
        <w:rPr>
          <w:rFonts w:cstheme="minorHAnsi"/>
        </w:rPr>
        <w:t>β</w:t>
      </w:r>
      <w:r w:rsidRPr="005D60D2">
        <w:t xml:space="preserve">-PET or lumbar puncture for CSF AD biomarker testing </w:t>
      </w:r>
      <w:proofErr w:type="gramStart"/>
      <w:r w:rsidRPr="005D60D2">
        <w:t>in the near future</w:t>
      </w:r>
      <w:proofErr w:type="gramEnd"/>
      <w:r w:rsidRPr="005D60D2">
        <w:t>.</w:t>
      </w:r>
    </w:p>
    <w:p w14:paraId="33674B8A" w14:textId="29F5A88B" w:rsidR="000321CF" w:rsidRPr="005D60D2" w:rsidRDefault="000321CF" w:rsidP="000321CF">
      <w:r w:rsidRPr="005D60D2">
        <w:t>The Australian Dementia Network is already running a trial of the pTau-217 blood biomarker test in primary care settings in Adelaide, Newcastle and north-eastern Melbourne</w:t>
      </w:r>
      <w:r w:rsidRPr="005D60D2">
        <w:rPr>
          <w:rStyle w:val="FootnoteReference"/>
        </w:rPr>
        <w:footnoteReference w:id="11"/>
      </w:r>
      <w:r w:rsidRPr="005D60D2">
        <w:t>. They have also asked for Federal Government funding of an Australian testing centre at the Florey NATA-accredited laboratory to “make the test widely available to Australians in the short term and facilitate the processes for TGA approval and Medicare coverage.”</w:t>
      </w:r>
    </w:p>
    <w:p w14:paraId="01DF0812" w14:textId="2F01B29A" w:rsidR="00EA57B9" w:rsidRDefault="000321CF" w:rsidP="00EA57B9">
      <w:r w:rsidRPr="005D60D2">
        <w:t xml:space="preserve">On 16 May 2025, the FDA, approved the use of the blood test, </w:t>
      </w:r>
      <w:proofErr w:type="spellStart"/>
      <w:r w:rsidRPr="005D60D2">
        <w:t>Lumipulse</w:t>
      </w:r>
      <w:proofErr w:type="spellEnd"/>
      <w:r w:rsidRPr="005D60D2">
        <w:t xml:space="preserve"> G pTau217/</w:t>
      </w:r>
      <w:r w:rsidR="0045732C">
        <w:rPr>
          <w:rFonts w:ascii="Calibri" w:hAnsi="Calibri" w:cs="Calibri"/>
        </w:rPr>
        <w:t>β</w:t>
      </w:r>
      <w:r w:rsidRPr="005D60D2">
        <w:t>-Amyloid 1-42 Plasma Ratio, “for the early detection of amyloid plaques associated with Alzheimer disease in adult patients, aged 55 years and older, exhibiting signs and symptoms of the disease.”</w:t>
      </w:r>
      <w:r w:rsidR="00EA57B9">
        <w:br w:type="page"/>
      </w:r>
    </w:p>
    <w:p w14:paraId="5D6AB7AA" w14:textId="59434BD8" w:rsidR="0022449F" w:rsidRPr="0022449F" w:rsidRDefault="0022449F"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74" w:name="_Toc145678765"/>
      <w:bookmarkStart w:id="75" w:name="_Toc150172410"/>
      <w:bookmarkStart w:id="76" w:name="_Toc153462785"/>
      <w:r w:rsidRPr="0022449F">
        <w:rPr>
          <w:rFonts w:ascii="Franklin Gothic Medium" w:hAnsi="Franklin Gothic Medium"/>
          <w:b w:val="0"/>
          <w:i w:val="0"/>
          <w:snapToGrid/>
          <w:sz w:val="32"/>
          <w:szCs w:val="26"/>
        </w:rPr>
        <w:lastRenderedPageBreak/>
        <w:t>Key issues from ESC to MSAC</w:t>
      </w:r>
      <w:bookmarkEnd w:id="74"/>
      <w:bookmarkEnd w:id="75"/>
      <w:bookmarkEnd w:id="7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727" w:rsidRPr="00FF013A" w14:paraId="7354CA24" w14:textId="77777777" w:rsidTr="007078E3">
        <w:trPr>
          <w:cnfStyle w:val="100000000000" w:firstRow="1" w:lastRow="0" w:firstColumn="0" w:lastColumn="0" w:oddVBand="0" w:evenVBand="0" w:oddHBand="0" w:evenHBand="0" w:firstRowFirstColumn="0" w:firstRowLastColumn="0" w:lastRowFirstColumn="0" w:lastRowLastColumn="0"/>
        </w:trPr>
        <w:tc>
          <w:tcPr>
            <w:tcW w:w="9242" w:type="dxa"/>
          </w:tcPr>
          <w:p w14:paraId="738F4C81" w14:textId="77777777" w:rsidR="00C27228" w:rsidRPr="00381F0B" w:rsidRDefault="00C27228" w:rsidP="0099020A">
            <w:pPr>
              <w:rPr>
                <w:rFonts w:cstheme="minorHAnsi"/>
                <w:b w:val="0"/>
                <w:iCs/>
                <w:szCs w:val="24"/>
                <w:lang w:val="en-AU"/>
              </w:rPr>
            </w:pPr>
            <w:r w:rsidRPr="00381F0B">
              <w:rPr>
                <w:rFonts w:cstheme="minorHAnsi"/>
                <w:iCs/>
                <w:szCs w:val="24"/>
                <w:lang w:val="en-AU"/>
              </w:rPr>
              <w:t>Main issues for MSAC consideration</w:t>
            </w:r>
          </w:p>
          <w:p w14:paraId="54016CD9" w14:textId="66555AF5" w:rsidR="0022449F" w:rsidRPr="00FF013A" w:rsidRDefault="0022449F" w:rsidP="0099020A">
            <w:pPr>
              <w:rPr>
                <w:iCs/>
                <w:lang w:val="en-AU"/>
              </w:rPr>
            </w:pPr>
            <w:r w:rsidRPr="00FF013A">
              <w:rPr>
                <w:rFonts w:cstheme="minorHAnsi"/>
                <w:iCs/>
                <w:lang w:val="en-AU"/>
              </w:rPr>
              <w:t>Clinical issues</w:t>
            </w:r>
          </w:p>
          <w:p w14:paraId="55B99AE5" w14:textId="77777777" w:rsidR="0022449F" w:rsidRPr="00FF013A" w:rsidRDefault="0022449F" w:rsidP="0099020A">
            <w:pPr>
              <w:pStyle w:val="InstructionBulletpoint"/>
              <w:jc w:val="both"/>
              <w:rPr>
                <w:rStyle w:val="InstructionalTextChar"/>
                <w:rFonts w:ascii="Franklin Gothic Book" w:hAnsi="Franklin Gothic Book"/>
                <w:b w:val="0"/>
                <w:bCs/>
                <w:iCs/>
                <w:color w:val="auto"/>
                <w:sz w:val="22"/>
                <w:lang w:val="en-AU"/>
              </w:rPr>
            </w:pPr>
            <w:r w:rsidRPr="00FF013A">
              <w:rPr>
                <w:rStyle w:val="InstructionalTextChar"/>
                <w:rFonts w:ascii="Franklin Gothic Book" w:hAnsi="Franklin Gothic Book"/>
                <w:b w:val="0"/>
                <w:bCs/>
                <w:iCs/>
                <w:color w:val="auto"/>
                <w:sz w:val="22"/>
                <w:u w:val="single"/>
                <w:lang w:val="en-AU"/>
              </w:rPr>
              <w:t xml:space="preserve">Issue of </w:t>
            </w:r>
            <w:r w:rsidRPr="00FF013A">
              <w:rPr>
                <w:rStyle w:val="InstructionalTextChar"/>
                <w:rFonts w:ascii="Franklin Gothic Book" w:hAnsi="Franklin Gothic Book"/>
                <w:b w:val="0"/>
                <w:bCs/>
                <w:iCs/>
                <w:color w:val="000000" w:themeColor="text1"/>
                <w:sz w:val="22"/>
                <w:u w:val="single"/>
                <w:lang w:val="en-AU"/>
              </w:rPr>
              <w:t>discordance b</w:t>
            </w:r>
            <w:proofErr w:type="spellStart"/>
            <w:r w:rsidRPr="00FF013A">
              <w:rPr>
                <w:rStyle w:val="InstructionalTextChar"/>
                <w:rFonts w:ascii="Franklin Gothic Book" w:hAnsi="Franklin Gothic Book"/>
                <w:b w:val="0"/>
                <w:bCs/>
                <w:iCs/>
                <w:color w:val="000000" w:themeColor="text1"/>
                <w:sz w:val="22"/>
                <w:u w:val="single"/>
              </w:rPr>
              <w:t>etween</w:t>
            </w:r>
            <w:proofErr w:type="spellEnd"/>
            <w:r w:rsidRPr="00FF013A">
              <w:rPr>
                <w:rStyle w:val="InstructionalTextChar"/>
                <w:rFonts w:ascii="Franklin Gothic Book" w:hAnsi="Franklin Gothic Book"/>
                <w:b w:val="0"/>
                <w:bCs/>
                <w:iCs/>
                <w:color w:val="000000" w:themeColor="text1"/>
                <w:sz w:val="22"/>
                <w:u w:val="single"/>
                <w:lang w:val="en-AU"/>
              </w:rPr>
              <w:t xml:space="preserve"> t</w:t>
            </w:r>
            <w:r w:rsidRPr="00FF013A">
              <w:rPr>
                <w:rStyle w:val="InstructionalTextChar"/>
                <w:rFonts w:ascii="Franklin Gothic Book" w:hAnsi="Franklin Gothic Book"/>
                <w:b w:val="0"/>
                <w:bCs/>
                <w:color w:val="000000" w:themeColor="text1"/>
                <w:sz w:val="22"/>
                <w:u w:val="single"/>
              </w:rPr>
              <w:t xml:space="preserve">he </w:t>
            </w:r>
            <w:r w:rsidRPr="00FF013A">
              <w:rPr>
                <w:rStyle w:val="InstructionalTextChar"/>
                <w:rFonts w:ascii="Franklin Gothic Book" w:hAnsi="Franklin Gothic Book"/>
                <w:b w:val="0"/>
                <w:bCs/>
                <w:iCs/>
                <w:color w:val="000000" w:themeColor="text1"/>
                <w:sz w:val="22"/>
                <w:u w:val="single"/>
                <w:lang w:val="en-AU"/>
              </w:rPr>
              <w:t xml:space="preserve">results </w:t>
            </w:r>
            <w:r w:rsidRPr="00FF013A">
              <w:rPr>
                <w:rStyle w:val="InstructionalTextChar"/>
                <w:rFonts w:ascii="Franklin Gothic Book" w:hAnsi="Franklin Gothic Book"/>
                <w:b w:val="0"/>
                <w:bCs/>
                <w:iCs/>
                <w:color w:val="auto"/>
                <w:sz w:val="22"/>
                <w:u w:val="single"/>
                <w:lang w:val="en-AU"/>
              </w:rPr>
              <w:t xml:space="preserve">from Aβ PET scans </w:t>
            </w:r>
            <w:r w:rsidRPr="00FF013A">
              <w:rPr>
                <w:rStyle w:val="InstructionalTextChar"/>
                <w:rFonts w:ascii="Franklin Gothic Book" w:hAnsi="Franklin Gothic Book"/>
                <w:b w:val="0"/>
                <w:bCs/>
                <w:iCs/>
                <w:color w:val="000000" w:themeColor="text1"/>
                <w:sz w:val="22"/>
                <w:u w:val="single"/>
                <w:lang w:val="en-AU"/>
              </w:rPr>
              <w:t>a</w:t>
            </w:r>
            <w:proofErr w:type="spellStart"/>
            <w:r w:rsidRPr="00FF013A">
              <w:rPr>
                <w:rStyle w:val="InstructionalTextChar"/>
                <w:rFonts w:ascii="Franklin Gothic Book" w:hAnsi="Franklin Gothic Book"/>
                <w:b w:val="0"/>
                <w:bCs/>
                <w:iCs/>
                <w:color w:val="000000" w:themeColor="text1"/>
                <w:sz w:val="22"/>
                <w:u w:val="single"/>
              </w:rPr>
              <w:t>nd</w:t>
            </w:r>
            <w:proofErr w:type="spellEnd"/>
            <w:r w:rsidRPr="00FF013A">
              <w:rPr>
                <w:rStyle w:val="InstructionalTextChar"/>
                <w:rFonts w:ascii="Franklin Gothic Book" w:hAnsi="Franklin Gothic Book"/>
                <w:b w:val="0"/>
                <w:bCs/>
                <w:iCs/>
                <w:color w:val="000000" w:themeColor="text1"/>
                <w:sz w:val="22"/>
                <w:u w:val="single"/>
                <w:lang w:val="en-AU"/>
              </w:rPr>
              <w:t xml:space="preserve"> CSF AD biomarker testing to detect Aβ pathology</w:t>
            </w:r>
            <w:r w:rsidRPr="00FF013A">
              <w:rPr>
                <w:rStyle w:val="InstructionalTextChar"/>
                <w:rFonts w:ascii="Franklin Gothic Book" w:hAnsi="Franklin Gothic Book"/>
                <w:b w:val="0"/>
                <w:bCs/>
                <w:iCs/>
                <w:color w:val="000000" w:themeColor="text1"/>
                <w:sz w:val="22"/>
                <w:lang w:val="en-AU"/>
              </w:rPr>
              <w:t xml:space="preserve">: The ESCs considered that an overall assessment of the comparative safety and clinical effectiveness of test and </w:t>
            </w:r>
            <w:proofErr w:type="spellStart"/>
            <w:r w:rsidRPr="00FF013A">
              <w:rPr>
                <w:rStyle w:val="InstructionalTextChar"/>
                <w:rFonts w:ascii="Franklin Gothic Book" w:hAnsi="Franklin Gothic Book"/>
                <w:b w:val="0"/>
                <w:bCs/>
                <w:iCs/>
                <w:color w:val="000000" w:themeColor="text1"/>
                <w:sz w:val="22"/>
                <w:lang w:val="en-AU"/>
              </w:rPr>
              <w:t>treatm</w:t>
            </w:r>
            <w:r w:rsidRPr="00FF013A">
              <w:rPr>
                <w:rStyle w:val="InstructionalTextChar"/>
                <w:rFonts w:ascii="Franklin Gothic Book" w:hAnsi="Franklin Gothic Book"/>
                <w:b w:val="0"/>
                <w:bCs/>
                <w:color w:val="000000" w:themeColor="text1"/>
                <w:sz w:val="22"/>
              </w:rPr>
              <w:t>ent</w:t>
            </w:r>
            <w:proofErr w:type="spellEnd"/>
            <w:r w:rsidRPr="00FF013A">
              <w:rPr>
                <w:rStyle w:val="InstructionalTextChar"/>
                <w:rFonts w:ascii="Franklin Gothic Book" w:hAnsi="Franklin Gothic Book"/>
                <w:b w:val="0"/>
                <w:bCs/>
                <w:iCs/>
                <w:color w:val="000000" w:themeColor="text1"/>
                <w:sz w:val="22"/>
                <w:lang w:val="en-AU"/>
              </w:rPr>
              <w:t xml:space="preserve"> with donanemab (+SOC) versus no testing and </w:t>
            </w:r>
            <w:proofErr w:type="spellStart"/>
            <w:r w:rsidRPr="00FF013A">
              <w:rPr>
                <w:rStyle w:val="InstructionalTextChar"/>
                <w:rFonts w:ascii="Franklin Gothic Book" w:hAnsi="Franklin Gothic Book"/>
                <w:b w:val="0"/>
                <w:bCs/>
                <w:iCs/>
                <w:color w:val="000000" w:themeColor="text1"/>
                <w:sz w:val="22"/>
                <w:lang w:val="en-AU"/>
              </w:rPr>
              <w:t>treatm</w:t>
            </w:r>
            <w:r w:rsidRPr="00FF013A">
              <w:rPr>
                <w:rStyle w:val="InstructionalTextChar"/>
                <w:rFonts w:ascii="Franklin Gothic Book" w:hAnsi="Franklin Gothic Book"/>
                <w:b w:val="0"/>
                <w:bCs/>
                <w:color w:val="000000" w:themeColor="text1"/>
                <w:sz w:val="22"/>
              </w:rPr>
              <w:t>ent</w:t>
            </w:r>
            <w:proofErr w:type="spellEnd"/>
            <w:r w:rsidRPr="00FF013A">
              <w:rPr>
                <w:rStyle w:val="InstructionalTextChar"/>
                <w:rFonts w:ascii="Franklin Gothic Book" w:hAnsi="Franklin Gothic Book"/>
                <w:b w:val="0"/>
                <w:bCs/>
                <w:iCs/>
                <w:color w:val="000000" w:themeColor="text1"/>
                <w:sz w:val="22"/>
                <w:lang w:val="en-AU"/>
              </w:rPr>
              <w:t xml:space="preserve"> with S</w:t>
            </w:r>
            <w:r w:rsidRPr="00FF013A">
              <w:rPr>
                <w:rStyle w:val="InstructionalTextChar"/>
                <w:rFonts w:ascii="Franklin Gothic Book" w:hAnsi="Franklin Gothic Book"/>
                <w:b w:val="0"/>
                <w:bCs/>
                <w:iCs/>
                <w:color w:val="auto"/>
                <w:sz w:val="22"/>
                <w:lang w:val="en-AU"/>
              </w:rPr>
              <w:t xml:space="preserve">OC should incorporate consideration of the discordance between results from Aβ PET scans and CSF AD biomarker </w:t>
            </w:r>
            <w:r w:rsidRPr="00FF013A">
              <w:rPr>
                <w:rStyle w:val="InstructionalTextChar"/>
                <w:rFonts w:ascii="Franklin Gothic Book" w:hAnsi="Franklin Gothic Book"/>
                <w:b w:val="0"/>
                <w:bCs/>
                <w:iCs/>
                <w:color w:val="000000" w:themeColor="text1"/>
                <w:sz w:val="22"/>
                <w:lang w:val="en-AU"/>
              </w:rPr>
              <w:t xml:space="preserve">testing </w:t>
            </w:r>
            <w:r w:rsidRPr="00FF013A">
              <w:rPr>
                <w:rStyle w:val="InstructionalTextChar"/>
                <w:rFonts w:ascii="Franklin Gothic Book" w:hAnsi="Franklin Gothic Book"/>
                <w:b w:val="0"/>
                <w:bCs/>
                <w:color w:val="000000" w:themeColor="text1"/>
                <w:sz w:val="22"/>
              </w:rPr>
              <w:t>(i.e., false positives and false negatives)</w:t>
            </w:r>
            <w:r w:rsidRPr="00FF013A">
              <w:rPr>
                <w:rStyle w:val="InstructionalTextChar"/>
                <w:rFonts w:ascii="Franklin Gothic Book" w:hAnsi="Franklin Gothic Book"/>
                <w:b w:val="0"/>
                <w:bCs/>
                <w:iCs/>
                <w:color w:val="000000" w:themeColor="text1"/>
                <w:sz w:val="22"/>
                <w:lang w:val="en-AU"/>
              </w:rPr>
              <w:t xml:space="preserve">. The </w:t>
            </w:r>
            <w:r w:rsidRPr="00FF013A">
              <w:rPr>
                <w:rStyle w:val="InstructionalTextChar"/>
                <w:rFonts w:ascii="Franklin Gothic Book" w:hAnsi="Franklin Gothic Book"/>
                <w:b w:val="0"/>
                <w:bCs/>
                <w:iCs/>
                <w:color w:val="auto"/>
                <w:sz w:val="22"/>
                <w:lang w:val="en-AU"/>
              </w:rPr>
              <w:t xml:space="preserve">ESCs noted that the pivotal trial (TB-2) used Aβ PET scan results to detect Aβ </w:t>
            </w:r>
            <w:r w:rsidRPr="00FF013A">
              <w:rPr>
                <w:rStyle w:val="InstructionalTextChar"/>
                <w:rFonts w:ascii="Franklin Gothic Book" w:hAnsi="Franklin Gothic Book"/>
                <w:b w:val="0"/>
                <w:bCs/>
                <w:iCs/>
                <w:color w:val="000000" w:themeColor="text1"/>
                <w:sz w:val="22"/>
                <w:lang w:val="en-AU"/>
              </w:rPr>
              <w:t>pathology a</w:t>
            </w:r>
            <w:proofErr w:type="spellStart"/>
            <w:r w:rsidRPr="00FF013A">
              <w:rPr>
                <w:rStyle w:val="InstructionalTextChar"/>
                <w:rFonts w:ascii="Franklin Gothic Book" w:hAnsi="Franklin Gothic Book"/>
                <w:b w:val="0"/>
                <w:bCs/>
                <w:iCs/>
                <w:color w:val="000000" w:themeColor="text1"/>
                <w:sz w:val="22"/>
              </w:rPr>
              <w:t>nd</w:t>
            </w:r>
            <w:proofErr w:type="spellEnd"/>
            <w:r w:rsidRPr="00FF013A">
              <w:rPr>
                <w:rStyle w:val="InstructionalTextChar"/>
                <w:rFonts w:ascii="Franklin Gothic Book" w:hAnsi="Franklin Gothic Book"/>
                <w:b w:val="0"/>
                <w:bCs/>
                <w:iCs/>
                <w:color w:val="000000" w:themeColor="text1"/>
                <w:sz w:val="22"/>
              </w:rPr>
              <w:t xml:space="preserve"> that </w:t>
            </w:r>
            <w:r w:rsidRPr="00FF013A">
              <w:rPr>
                <w:rStyle w:val="InstructionalTextChar"/>
                <w:rFonts w:ascii="Franklin Gothic Book" w:hAnsi="Franklin Gothic Book"/>
                <w:b w:val="0"/>
                <w:bCs/>
                <w:iCs/>
                <w:color w:val="000000" w:themeColor="text1"/>
                <w:sz w:val="22"/>
                <w:lang w:val="en-AU"/>
              </w:rPr>
              <w:t xml:space="preserve">CSF AD biomarker testing was not used </w:t>
            </w:r>
            <w:r w:rsidRPr="00FF013A">
              <w:rPr>
                <w:rStyle w:val="InstructionalTextChar"/>
                <w:rFonts w:ascii="Franklin Gothic Book" w:hAnsi="Franklin Gothic Book"/>
                <w:b w:val="0"/>
                <w:bCs/>
                <w:iCs/>
                <w:color w:val="000000" w:themeColor="text1"/>
                <w:sz w:val="22"/>
              </w:rPr>
              <w:t>in this trial</w:t>
            </w:r>
            <w:r w:rsidRPr="00FF013A">
              <w:rPr>
                <w:rStyle w:val="InstructionalTextChar"/>
                <w:rFonts w:ascii="Franklin Gothic Book" w:hAnsi="Franklin Gothic Book"/>
                <w:b w:val="0"/>
                <w:bCs/>
                <w:iCs/>
                <w:color w:val="000000" w:themeColor="text1"/>
                <w:sz w:val="22"/>
                <w:lang w:val="en-AU"/>
              </w:rPr>
              <w:t>. The ESCs noted that the submission did not assess the impact (benefits, harms) of discordant results from A</w:t>
            </w:r>
            <w:r w:rsidRPr="00FF013A">
              <w:rPr>
                <w:rStyle w:val="InstructionalTextChar"/>
                <w:rFonts w:ascii="Franklin Gothic Book" w:hAnsi="Franklin Gothic Book" w:cs="Calibri"/>
                <w:b w:val="0"/>
                <w:bCs/>
                <w:iCs/>
                <w:color w:val="000000" w:themeColor="text1"/>
                <w:sz w:val="22"/>
                <w:lang w:val="en-AU"/>
              </w:rPr>
              <w:t>β</w:t>
            </w:r>
            <w:r w:rsidRPr="00FF013A">
              <w:rPr>
                <w:rStyle w:val="InstructionalTextChar"/>
                <w:rFonts w:ascii="Franklin Gothic Book" w:hAnsi="Franklin Gothic Book"/>
                <w:b w:val="0"/>
                <w:bCs/>
                <w:iCs/>
                <w:color w:val="000000" w:themeColor="text1"/>
                <w:sz w:val="22"/>
                <w:lang w:val="en-AU"/>
              </w:rPr>
              <w:t xml:space="preserve"> PET and CSF AD biomarker testing on subsequent unnecessary treatment from false positives or </w:t>
            </w:r>
            <w:proofErr w:type="spellStart"/>
            <w:r w:rsidRPr="00FF013A">
              <w:rPr>
                <w:rStyle w:val="InstructionalTextChar"/>
                <w:rFonts w:ascii="Franklin Gothic Book" w:hAnsi="Franklin Gothic Book"/>
                <w:b w:val="0"/>
                <w:bCs/>
                <w:iCs/>
                <w:color w:val="000000" w:themeColor="text1"/>
                <w:sz w:val="22"/>
                <w:lang w:val="en-AU"/>
              </w:rPr>
              <w:t>i</w:t>
            </w:r>
            <w:r w:rsidRPr="00FF013A">
              <w:rPr>
                <w:rStyle w:val="InstructionalTextChar"/>
                <w:rFonts w:ascii="Franklin Gothic Book" w:hAnsi="Franklin Gothic Book"/>
                <w:b w:val="0"/>
                <w:bCs/>
                <w:color w:val="000000" w:themeColor="text1"/>
                <w:sz w:val="22"/>
              </w:rPr>
              <w:t>nappropriate</w:t>
            </w:r>
            <w:proofErr w:type="spellEnd"/>
            <w:r w:rsidRPr="00FF013A">
              <w:rPr>
                <w:rStyle w:val="InstructionalTextChar"/>
                <w:rFonts w:ascii="Franklin Gothic Book" w:hAnsi="Franklin Gothic Book"/>
                <w:b w:val="0"/>
                <w:bCs/>
                <w:color w:val="000000" w:themeColor="text1"/>
                <w:sz w:val="22"/>
              </w:rPr>
              <w:t xml:space="preserve"> omission of</w:t>
            </w:r>
            <w:r w:rsidRPr="00FF013A">
              <w:rPr>
                <w:rStyle w:val="InstructionalTextChar"/>
                <w:rFonts w:ascii="Franklin Gothic Book" w:hAnsi="Franklin Gothic Book"/>
                <w:b w:val="0"/>
                <w:bCs/>
                <w:iCs/>
                <w:color w:val="000000" w:themeColor="text1"/>
                <w:sz w:val="22"/>
                <w:lang w:val="en-AU"/>
              </w:rPr>
              <w:t xml:space="preserve"> treatment from false negatives.</w:t>
            </w:r>
          </w:p>
          <w:p w14:paraId="4C7829C5" w14:textId="77777777" w:rsidR="0022449F" w:rsidRPr="00FF013A" w:rsidRDefault="0022449F" w:rsidP="0099020A">
            <w:pPr>
              <w:rPr>
                <w:iCs/>
                <w:lang w:val="en-AU"/>
              </w:rPr>
            </w:pPr>
            <w:r w:rsidRPr="00FF013A">
              <w:rPr>
                <w:rFonts w:cstheme="minorHAnsi"/>
                <w:iCs/>
                <w:lang w:val="en-AU"/>
              </w:rPr>
              <w:t>Economic issues</w:t>
            </w:r>
          </w:p>
          <w:p w14:paraId="38E73798" w14:textId="77777777" w:rsidR="0022449F" w:rsidRPr="00FF013A" w:rsidRDefault="0022449F" w:rsidP="0099020A">
            <w:pPr>
              <w:pStyle w:val="InstructionBulletpoint"/>
              <w:jc w:val="both"/>
              <w:rPr>
                <w:rFonts w:ascii="Franklin Gothic Book" w:hAnsi="Franklin Gothic Book"/>
                <w:b w:val="0"/>
                <w:color w:val="auto"/>
                <w:sz w:val="22"/>
                <w:lang w:val="en-AU"/>
              </w:rPr>
            </w:pPr>
            <w:r w:rsidRPr="00FF013A">
              <w:rPr>
                <w:rStyle w:val="InstructionalTextChar"/>
                <w:rFonts w:ascii="Franklin Gothic Book" w:hAnsi="Franklin Gothic Book"/>
                <w:b w:val="0"/>
                <w:iCs/>
                <w:color w:val="auto"/>
                <w:sz w:val="22"/>
                <w:lang w:val="en-AU"/>
              </w:rPr>
              <w:t>The ESCs considered the submission model’s exclusion of consideration of false positive/false negative test results from A</w:t>
            </w:r>
            <w:r w:rsidRPr="00FF013A">
              <w:rPr>
                <w:rStyle w:val="InstructionalTextChar"/>
                <w:rFonts w:ascii="Franklin Gothic Book" w:hAnsi="Franklin Gothic Book" w:cs="Calibri"/>
                <w:b w:val="0"/>
                <w:iCs/>
                <w:color w:val="auto"/>
                <w:sz w:val="22"/>
                <w:lang w:val="en-AU"/>
              </w:rPr>
              <w:t>β</w:t>
            </w:r>
            <w:r w:rsidRPr="00FF013A">
              <w:rPr>
                <w:rStyle w:val="InstructionalTextChar"/>
                <w:rFonts w:ascii="Franklin Gothic Book" w:hAnsi="Franklin Gothic Book"/>
                <w:b w:val="0"/>
                <w:iCs/>
                <w:color w:val="auto"/>
                <w:sz w:val="22"/>
                <w:lang w:val="en-AU"/>
              </w:rPr>
              <w:t xml:space="preserve"> PET and CSF AD biomarker testing rendered the modelled comparative safety and clinical effectiveness incomplete and uncertain, with unclear impact on downstream resource use and incr</w:t>
            </w:r>
            <w:r w:rsidRPr="00FF013A">
              <w:rPr>
                <w:rStyle w:val="InstructionalTextChar"/>
                <w:rFonts w:ascii="Franklin Gothic Book" w:hAnsi="Franklin Gothic Book"/>
                <w:b w:val="0"/>
                <w:iCs/>
                <w:color w:val="000000" w:themeColor="text1"/>
                <w:sz w:val="22"/>
                <w:lang w:val="en-AU"/>
              </w:rPr>
              <w:t>ease</w:t>
            </w:r>
            <w:r w:rsidRPr="00FF013A">
              <w:rPr>
                <w:rStyle w:val="InstructionalTextChar"/>
                <w:rFonts w:ascii="Franklin Gothic Book" w:hAnsi="Franklin Gothic Book"/>
                <w:b w:val="0"/>
                <w:color w:val="000000" w:themeColor="text1"/>
                <w:sz w:val="22"/>
              </w:rPr>
              <w:t>d</w:t>
            </w:r>
            <w:r w:rsidRPr="00FF013A">
              <w:rPr>
                <w:rStyle w:val="InstructionalTextChar"/>
                <w:rFonts w:ascii="Franklin Gothic Book" w:hAnsi="Franklin Gothic Book"/>
                <w:b w:val="0"/>
                <w:iCs/>
                <w:color w:val="auto"/>
                <w:sz w:val="22"/>
                <w:lang w:val="en-AU"/>
              </w:rPr>
              <w:t xml:space="preserve"> uncertainty in the cost-effectiveness results. The ESCs noted that all patients entered the model at the point of treatment rather than at the point of testing. As such, the submission’s model did not include consideration of the impact of false positives (unnecessary donanemab treatment, incurring greater costs with no benefit but with potential harms from adverse events) and monitoring) or false negatives (missing out on donanemab treatment) in the assessment of overall cost-effectiveness. </w:t>
            </w:r>
          </w:p>
          <w:p w14:paraId="194C9192" w14:textId="77777777" w:rsidR="0022449F" w:rsidRPr="00FF013A" w:rsidRDefault="0022449F" w:rsidP="0099020A">
            <w:pPr>
              <w:rPr>
                <w:rFonts w:cstheme="minorHAnsi"/>
                <w:b w:val="0"/>
                <w:iCs/>
                <w:lang w:val="en-AU"/>
              </w:rPr>
            </w:pPr>
            <w:r w:rsidRPr="00FF013A">
              <w:rPr>
                <w:rFonts w:cstheme="minorHAnsi"/>
                <w:iCs/>
                <w:lang w:val="en-AU"/>
              </w:rPr>
              <w:t>Financial issues</w:t>
            </w:r>
          </w:p>
          <w:p w14:paraId="29794F3A" w14:textId="7E4478FC" w:rsidR="0022449F" w:rsidRPr="00FF013A" w:rsidRDefault="0022449F" w:rsidP="0099020A">
            <w:pPr>
              <w:pStyle w:val="InstructionBulletpoint"/>
              <w:jc w:val="both"/>
              <w:rPr>
                <w:rStyle w:val="InstructionalTextChar"/>
                <w:rFonts w:ascii="Franklin Gothic Book" w:hAnsi="Franklin Gothic Book"/>
                <w:b w:val="0"/>
                <w:iCs/>
                <w:color w:val="auto"/>
                <w:sz w:val="22"/>
                <w:lang w:val="en-AU"/>
              </w:rPr>
            </w:pPr>
            <w:r w:rsidRPr="00FF013A">
              <w:rPr>
                <w:rStyle w:val="InstructionalTextChar"/>
                <w:rFonts w:ascii="Franklin Gothic Book" w:hAnsi="Franklin Gothic Book"/>
                <w:b w:val="0"/>
                <w:iCs/>
                <w:color w:val="auto"/>
                <w:sz w:val="22"/>
                <w:lang w:val="en-AU"/>
              </w:rPr>
              <w:t xml:space="preserve">The ESCs noted the </w:t>
            </w:r>
            <w:r w:rsidRPr="00FF013A">
              <w:rPr>
                <w:rStyle w:val="InstructionalTextChar"/>
                <w:rFonts w:ascii="Franklin Gothic Book" w:hAnsi="Franklin Gothic Book"/>
                <w:b w:val="0"/>
                <w:iCs/>
                <w:color w:val="000000" w:themeColor="text1"/>
                <w:sz w:val="22"/>
                <w:lang w:val="en-AU"/>
              </w:rPr>
              <w:t xml:space="preserve">substantial net cost </w:t>
            </w:r>
            <w:r w:rsidRPr="00FF013A">
              <w:rPr>
                <w:rStyle w:val="InstructionalTextChar"/>
                <w:rFonts w:ascii="Franklin Gothic Book" w:hAnsi="Franklin Gothic Book"/>
                <w:b w:val="0"/>
                <w:iCs/>
                <w:color w:val="auto"/>
                <w:sz w:val="22"/>
                <w:lang w:val="en-AU"/>
              </w:rPr>
              <w:t xml:space="preserve">to the MBS with the proposed listings, totalling an </w:t>
            </w:r>
            <w:r w:rsidRPr="00FF013A">
              <w:rPr>
                <w:rStyle w:val="InstructionalTextChar"/>
                <w:rFonts w:ascii="Franklin Gothic Book" w:hAnsi="Franklin Gothic Book"/>
                <w:b w:val="0"/>
                <w:iCs/>
                <w:color w:val="000000" w:themeColor="text1"/>
                <w:sz w:val="22"/>
                <w:lang w:val="en-AU"/>
              </w:rPr>
              <w:t>e</w:t>
            </w:r>
            <w:proofErr w:type="spellStart"/>
            <w:r w:rsidRPr="00FF013A">
              <w:rPr>
                <w:rStyle w:val="InstructionalTextChar"/>
                <w:rFonts w:ascii="Franklin Gothic Book" w:hAnsi="Franklin Gothic Book"/>
                <w:b w:val="0"/>
                <w:iCs/>
                <w:color w:val="000000" w:themeColor="text1"/>
                <w:sz w:val="22"/>
              </w:rPr>
              <w:t>stimated</w:t>
            </w:r>
            <w:proofErr w:type="spellEnd"/>
            <w:r w:rsidRPr="00FF013A">
              <w:rPr>
                <w:rStyle w:val="InstructionalTextChar"/>
                <w:rFonts w:ascii="Franklin Gothic Book" w:hAnsi="Franklin Gothic Book"/>
                <w:b w:val="0"/>
                <w:iCs/>
                <w:color w:val="auto"/>
                <w:sz w:val="22"/>
                <w:lang w:val="en-AU"/>
              </w:rPr>
              <w:t xml:space="preserve"> </w:t>
            </w:r>
            <w:r w:rsidR="006A2E86">
              <w:rPr>
                <w:rStyle w:val="InstructionalTextChar"/>
                <w:rFonts w:ascii="Franklin Gothic Book" w:hAnsi="Franklin Gothic Book"/>
                <w:b w:val="0"/>
                <w:iCs/>
                <w:color w:val="auto"/>
                <w:sz w:val="22"/>
                <w:lang w:val="en-AU"/>
              </w:rPr>
              <w:t>&gt;</w:t>
            </w:r>
            <w:r w:rsidRPr="00FF013A">
              <w:rPr>
                <w:rStyle w:val="InstructionalTextChar"/>
                <w:rFonts w:ascii="Franklin Gothic Book" w:hAnsi="Franklin Gothic Book"/>
                <w:b w:val="0"/>
                <w:iCs/>
                <w:color w:val="auto"/>
                <w:sz w:val="22"/>
                <w:lang w:val="en-AU"/>
              </w:rPr>
              <w:t>$</w:t>
            </w:r>
            <w:r w:rsidR="00B50159">
              <w:rPr>
                <w:rStyle w:val="InstructionalTextChar"/>
                <w:rFonts w:ascii="Franklin Gothic Book" w:hAnsi="Franklin Gothic Book"/>
                <w:b w:val="0"/>
                <w:iCs/>
                <w:color w:val="auto"/>
                <w:sz w:val="22"/>
                <w:lang w:val="en-AU"/>
              </w:rPr>
              <w:t>1</w:t>
            </w:r>
            <w:r w:rsidRPr="00FF013A">
              <w:rPr>
                <w:rStyle w:val="InstructionalTextChar"/>
                <w:rFonts w:ascii="Franklin Gothic Book" w:hAnsi="Franklin Gothic Book"/>
                <w:b w:val="0"/>
                <w:iCs/>
                <w:color w:val="auto"/>
                <w:sz w:val="22"/>
                <w:lang w:val="en-AU"/>
              </w:rPr>
              <w:t xml:space="preserve"> billion (Table MSAC 19; </w:t>
            </w:r>
            <w:r w:rsidRPr="00DF54B8">
              <w:rPr>
                <w:rStyle w:val="InstructionalTextChar"/>
                <w:rFonts w:ascii="Franklin Gothic Book" w:hAnsi="Franklin Gothic Book"/>
                <w:b w:val="0"/>
                <w:iCs/>
                <w:color w:val="auto"/>
                <w:sz w:val="22"/>
                <w:lang w:val="en-AU"/>
              </w:rPr>
              <w:t>8</w:t>
            </w:r>
            <w:r w:rsidRPr="00FF013A">
              <w:rPr>
                <w:rStyle w:val="InstructionalTextChar"/>
                <w:rFonts w:ascii="Franklin Gothic Book" w:hAnsi="Franklin Gothic Book"/>
                <w:b w:val="0"/>
                <w:iCs/>
                <w:color w:val="auto"/>
                <w:sz w:val="22"/>
                <w:lang w:val="en-AU"/>
              </w:rPr>
              <w:t xml:space="preserve">% of the </w:t>
            </w:r>
            <w:r w:rsidR="00B50159">
              <w:rPr>
                <w:rStyle w:val="InstructionalTextChar"/>
                <w:rFonts w:ascii="Franklin Gothic Book" w:hAnsi="Franklin Gothic Book"/>
                <w:b w:val="0"/>
                <w:iCs/>
                <w:color w:val="auto"/>
                <w:sz w:val="22"/>
                <w:lang w:val="en-AU"/>
              </w:rPr>
              <w:t>&gt;</w:t>
            </w:r>
            <w:r w:rsidRPr="00FF013A">
              <w:rPr>
                <w:rStyle w:val="InstructionalTextChar"/>
                <w:rFonts w:ascii="Franklin Gothic Book" w:hAnsi="Franklin Gothic Book"/>
                <w:b w:val="0"/>
                <w:iCs/>
                <w:color w:val="auto"/>
                <w:sz w:val="22"/>
                <w:lang w:val="en-AU"/>
              </w:rPr>
              <w:t>$</w:t>
            </w:r>
            <w:r w:rsidR="00B50159">
              <w:rPr>
                <w:rStyle w:val="InstructionalTextChar"/>
                <w:rFonts w:ascii="Franklin Gothic Book" w:hAnsi="Franklin Gothic Book"/>
                <w:b w:val="0"/>
                <w:iCs/>
                <w:color w:val="auto"/>
                <w:sz w:val="22"/>
                <w:lang w:val="en-AU"/>
              </w:rPr>
              <w:t>1</w:t>
            </w:r>
            <w:r w:rsidRPr="00FF013A">
              <w:rPr>
                <w:rStyle w:val="InstructionalTextChar"/>
                <w:rFonts w:ascii="Franklin Gothic Book" w:hAnsi="Franklin Gothic Book"/>
                <w:b w:val="0"/>
                <w:iCs/>
                <w:color w:val="auto"/>
                <w:sz w:val="22"/>
                <w:lang w:val="en-AU"/>
              </w:rPr>
              <w:t xml:space="preserve"> </w:t>
            </w:r>
            <w:r w:rsidRPr="00FF013A">
              <w:rPr>
                <w:rStyle w:val="InstructionalTextChar"/>
                <w:rFonts w:ascii="Franklin Gothic Book" w:hAnsi="Franklin Gothic Book"/>
                <w:b w:val="0"/>
                <w:iCs/>
                <w:color w:val="000000" w:themeColor="text1"/>
                <w:sz w:val="22"/>
                <w:lang w:val="en-AU"/>
              </w:rPr>
              <w:t xml:space="preserve">billion net </w:t>
            </w:r>
            <w:proofErr w:type="spellStart"/>
            <w:r w:rsidRPr="00FF013A">
              <w:rPr>
                <w:rStyle w:val="InstructionalTextChar"/>
                <w:rFonts w:ascii="Franklin Gothic Book" w:hAnsi="Franklin Gothic Book"/>
                <w:b w:val="0"/>
                <w:iCs/>
                <w:color w:val="000000" w:themeColor="text1"/>
                <w:sz w:val="22"/>
                <w:lang w:val="en-AU"/>
              </w:rPr>
              <w:t>i</w:t>
            </w:r>
            <w:r w:rsidRPr="00FF013A">
              <w:rPr>
                <w:rStyle w:val="InstructionalTextChar"/>
                <w:rFonts w:ascii="Franklin Gothic Book" w:hAnsi="Franklin Gothic Book"/>
                <w:b w:val="0"/>
                <w:iCs/>
                <w:color w:val="000000" w:themeColor="text1"/>
                <w:sz w:val="22"/>
              </w:rPr>
              <w:t>ncrease</w:t>
            </w:r>
            <w:proofErr w:type="spellEnd"/>
            <w:r w:rsidRPr="00FF013A">
              <w:rPr>
                <w:rStyle w:val="InstructionalTextChar"/>
                <w:rFonts w:ascii="Franklin Gothic Book" w:hAnsi="Franklin Gothic Book"/>
                <w:b w:val="0"/>
                <w:iCs/>
                <w:color w:val="000000" w:themeColor="text1"/>
                <w:sz w:val="22"/>
              </w:rPr>
              <w:t xml:space="preserve"> in</w:t>
            </w:r>
            <w:r w:rsidRPr="00FF013A">
              <w:rPr>
                <w:rStyle w:val="InstructionalTextChar"/>
                <w:rFonts w:ascii="Franklin Gothic Book" w:hAnsi="Franklin Gothic Book"/>
                <w:iCs/>
                <w:color w:val="000000" w:themeColor="text1"/>
                <w:sz w:val="22"/>
              </w:rPr>
              <w:t xml:space="preserve"> </w:t>
            </w:r>
            <w:r w:rsidRPr="00FF013A">
              <w:rPr>
                <w:rStyle w:val="InstructionalTextChar"/>
                <w:rFonts w:ascii="Franklin Gothic Book" w:hAnsi="Franklin Gothic Book"/>
                <w:b w:val="0"/>
                <w:iCs/>
                <w:color w:val="auto"/>
                <w:sz w:val="22"/>
                <w:lang w:val="en-AU"/>
              </w:rPr>
              <w:t>health budget) in the first 6 years of listing).</w:t>
            </w:r>
            <w:r w:rsidRPr="00FF013A">
              <w:rPr>
                <w:rStyle w:val="InstructionalTextChar"/>
                <w:rFonts w:ascii="Franklin Gothic Book" w:hAnsi="Franklin Gothic Book"/>
                <w:b w:val="0"/>
                <w:bCs/>
                <w:iCs/>
                <w:color w:val="auto"/>
                <w:sz w:val="22"/>
              </w:rPr>
              <w:t xml:space="preserve"> </w:t>
            </w:r>
          </w:p>
          <w:p w14:paraId="2DE13EF6" w14:textId="77777777" w:rsidR="0022449F" w:rsidRPr="00FF013A" w:rsidRDefault="0022449F" w:rsidP="0099020A">
            <w:pPr>
              <w:pStyle w:val="InstructionBulletpoint"/>
              <w:jc w:val="both"/>
              <w:rPr>
                <w:rStyle w:val="InstructionalTextChar"/>
                <w:rFonts w:ascii="Franklin Gothic Book" w:hAnsi="Franklin Gothic Book"/>
                <w:b w:val="0"/>
                <w:iCs/>
                <w:color w:val="auto"/>
                <w:sz w:val="22"/>
              </w:rPr>
            </w:pPr>
            <w:r w:rsidRPr="00FF013A">
              <w:rPr>
                <w:rStyle w:val="InstructionalTextChar"/>
                <w:rFonts w:ascii="Franklin Gothic Book" w:hAnsi="Franklin Gothic Book"/>
                <w:b w:val="0"/>
                <w:iCs/>
                <w:color w:val="auto"/>
                <w:sz w:val="22"/>
                <w:lang w:val="en-AU"/>
              </w:rPr>
              <w:t xml:space="preserve">The ESCs considered the submission’s use of a ‘bottom-up’ approach, based on </w:t>
            </w:r>
            <w:r w:rsidRPr="00FF013A">
              <w:rPr>
                <w:rStyle w:val="InstructionalTextChar"/>
                <w:rFonts w:ascii="Franklin Gothic Book" w:hAnsi="Franklin Gothic Book"/>
                <w:b w:val="0"/>
                <w:color w:val="000000" w:themeColor="text1"/>
                <w:sz w:val="22"/>
                <w:lang w:val="en-AU"/>
              </w:rPr>
              <w:t>estimated s</w:t>
            </w:r>
            <w:proofErr w:type="spellStart"/>
            <w:r w:rsidRPr="00FF013A">
              <w:rPr>
                <w:rStyle w:val="InstructionalTextChar"/>
                <w:rFonts w:ascii="Franklin Gothic Book" w:hAnsi="Franklin Gothic Book"/>
                <w:b w:val="0"/>
                <w:color w:val="000000" w:themeColor="text1"/>
                <w:sz w:val="22"/>
              </w:rPr>
              <w:t>ystem</w:t>
            </w:r>
            <w:proofErr w:type="spellEnd"/>
            <w:r w:rsidRPr="00FF013A">
              <w:rPr>
                <w:rStyle w:val="InstructionalTextChar"/>
                <w:rFonts w:ascii="Franklin Gothic Book" w:hAnsi="Franklin Gothic Book"/>
                <w:b w:val="0"/>
                <w:color w:val="000000" w:themeColor="text1"/>
                <w:sz w:val="22"/>
              </w:rPr>
              <w:t xml:space="preserve"> </w:t>
            </w:r>
            <w:r w:rsidRPr="00FF013A">
              <w:rPr>
                <w:rStyle w:val="InstructionalTextChar"/>
                <w:rFonts w:ascii="Franklin Gothic Book" w:hAnsi="Franklin Gothic Book"/>
                <w:b w:val="0"/>
                <w:iCs/>
                <w:color w:val="auto"/>
                <w:sz w:val="22"/>
                <w:lang w:val="en-AU"/>
              </w:rPr>
              <w:t xml:space="preserve">capacity for diagnosing and assessing patients for treatment, to estimate eligible patient numbers for tests (and subsequent treatment) inappropriate. The ESCs considered </w:t>
            </w:r>
            <w:r w:rsidRPr="00FF013A">
              <w:rPr>
                <w:rStyle w:val="InstructionalTextChar"/>
                <w:rFonts w:ascii="Franklin Gothic Book" w:hAnsi="Franklin Gothic Book"/>
                <w:b w:val="0"/>
                <w:iCs/>
                <w:color w:val="000000" w:themeColor="text1"/>
                <w:sz w:val="22"/>
                <w:lang w:val="en-AU"/>
              </w:rPr>
              <w:t xml:space="preserve">that </w:t>
            </w:r>
            <w:proofErr w:type="spellStart"/>
            <w:r w:rsidRPr="00FF013A">
              <w:rPr>
                <w:rStyle w:val="InstructionalTextChar"/>
                <w:rFonts w:ascii="Franklin Gothic Book" w:hAnsi="Franklin Gothic Book"/>
                <w:b w:val="0"/>
                <w:color w:val="000000" w:themeColor="text1"/>
                <w:sz w:val="22"/>
              </w:rPr>
              <w:t>utilisation</w:t>
            </w:r>
            <w:proofErr w:type="spellEnd"/>
            <w:r w:rsidRPr="00FF013A">
              <w:rPr>
                <w:rStyle w:val="InstructionalTextChar"/>
                <w:rFonts w:ascii="Franklin Gothic Book" w:hAnsi="Franklin Gothic Book"/>
                <w:b w:val="0"/>
                <w:iCs/>
                <w:color w:val="000000" w:themeColor="text1"/>
                <w:sz w:val="22"/>
                <w:lang w:val="en-AU"/>
              </w:rPr>
              <w:t xml:space="preserve"> should </w:t>
            </w:r>
            <w:proofErr w:type="spellStart"/>
            <w:r w:rsidRPr="00FF013A">
              <w:rPr>
                <w:rStyle w:val="InstructionalTextChar"/>
                <w:rFonts w:ascii="Franklin Gothic Book" w:hAnsi="Franklin Gothic Book"/>
                <w:b w:val="0"/>
                <w:iCs/>
                <w:color w:val="000000" w:themeColor="text1"/>
                <w:sz w:val="22"/>
                <w:lang w:val="en-AU"/>
              </w:rPr>
              <w:t>esti</w:t>
            </w:r>
            <w:proofErr w:type="spellEnd"/>
            <w:r w:rsidRPr="00FF013A">
              <w:rPr>
                <w:rStyle w:val="InstructionalTextChar"/>
                <w:rFonts w:ascii="Franklin Gothic Book" w:hAnsi="Franklin Gothic Book"/>
                <w:b w:val="0"/>
                <w:color w:val="000000" w:themeColor="text1"/>
                <w:sz w:val="22"/>
              </w:rPr>
              <w:t>mate</w:t>
            </w:r>
            <w:r w:rsidRPr="00FF013A">
              <w:rPr>
                <w:rStyle w:val="InstructionalTextChar"/>
                <w:rFonts w:ascii="Franklin Gothic Book" w:hAnsi="Franklin Gothic Book"/>
                <w:b w:val="0"/>
                <w:iCs/>
                <w:color w:val="000000" w:themeColor="text1"/>
                <w:sz w:val="22"/>
                <w:lang w:val="en-AU"/>
              </w:rPr>
              <w:t xml:space="preserve"> the</w:t>
            </w:r>
            <w:r w:rsidRPr="00FF013A" w:rsidDel="00BC1F48">
              <w:rPr>
                <w:rStyle w:val="InstructionalTextChar"/>
                <w:rFonts w:ascii="Franklin Gothic Book" w:hAnsi="Franklin Gothic Book"/>
                <w:b w:val="0"/>
                <w:iCs/>
                <w:color w:val="000000" w:themeColor="text1"/>
                <w:sz w:val="22"/>
                <w:lang w:val="en-AU"/>
              </w:rPr>
              <w:t xml:space="preserve"> </w:t>
            </w:r>
            <w:r w:rsidRPr="00FF013A">
              <w:rPr>
                <w:rStyle w:val="InstructionalTextChar"/>
                <w:rFonts w:ascii="Franklin Gothic Book" w:hAnsi="Franklin Gothic Book"/>
                <w:b w:val="0"/>
                <w:iCs/>
                <w:color w:val="000000" w:themeColor="text1"/>
                <w:sz w:val="22"/>
                <w:lang w:val="en-AU"/>
              </w:rPr>
              <w:t>e</w:t>
            </w:r>
            <w:proofErr w:type="spellStart"/>
            <w:r w:rsidRPr="00FF013A">
              <w:rPr>
                <w:rStyle w:val="InstructionalTextChar"/>
                <w:rFonts w:ascii="Franklin Gothic Book" w:hAnsi="Franklin Gothic Book"/>
                <w:b w:val="0"/>
                <w:color w:val="000000" w:themeColor="text1"/>
                <w:sz w:val="22"/>
              </w:rPr>
              <w:t>ntire</w:t>
            </w:r>
            <w:proofErr w:type="spellEnd"/>
            <w:r w:rsidRPr="00FF013A">
              <w:rPr>
                <w:rStyle w:val="InstructionalTextChar"/>
                <w:rFonts w:ascii="Franklin Gothic Book" w:hAnsi="Franklin Gothic Book"/>
                <w:b w:val="0"/>
                <w:iCs/>
                <w:color w:val="000000" w:themeColor="text1"/>
                <w:sz w:val="22"/>
                <w:lang w:val="en-AU"/>
              </w:rPr>
              <w:t xml:space="preserve"> eligible population with varying uptake rates applied subsequently to account for system capacity,</w:t>
            </w:r>
            <w:r w:rsidRPr="00FF013A">
              <w:rPr>
                <w:rStyle w:val="InstructionalTextChar"/>
                <w:rFonts w:ascii="Franklin Gothic Book" w:hAnsi="Franklin Gothic Book"/>
                <w:b w:val="0"/>
                <w:color w:val="000000" w:themeColor="text1"/>
                <w:sz w:val="22"/>
              </w:rPr>
              <w:t xml:space="preserve"> </w:t>
            </w:r>
            <w:r w:rsidRPr="00FF013A">
              <w:rPr>
                <w:rStyle w:val="InstructionalTextChar"/>
                <w:rFonts w:ascii="Franklin Gothic Book" w:hAnsi="Franklin Gothic Book"/>
                <w:b w:val="0"/>
                <w:iCs/>
                <w:color w:val="000000" w:themeColor="text1"/>
                <w:sz w:val="22"/>
                <w:lang w:val="en-AU"/>
              </w:rPr>
              <w:t>to estimate the total financial impact to the heal</w:t>
            </w:r>
            <w:proofErr w:type="spellStart"/>
            <w:r w:rsidRPr="00FF013A">
              <w:rPr>
                <w:rStyle w:val="InstructionalTextChar"/>
                <w:rFonts w:ascii="Franklin Gothic Book" w:hAnsi="Franklin Gothic Book"/>
                <w:b w:val="0"/>
                <w:color w:val="000000" w:themeColor="text1"/>
                <w:sz w:val="22"/>
              </w:rPr>
              <w:t>th</w:t>
            </w:r>
            <w:proofErr w:type="spellEnd"/>
            <w:r w:rsidRPr="00FF013A" w:rsidDel="00C3330F">
              <w:rPr>
                <w:rStyle w:val="InstructionalTextChar"/>
                <w:rFonts w:ascii="Franklin Gothic Book" w:hAnsi="Franklin Gothic Book"/>
                <w:b w:val="0"/>
                <w:color w:val="000000" w:themeColor="text1"/>
                <w:sz w:val="22"/>
              </w:rPr>
              <w:t xml:space="preserve"> system</w:t>
            </w:r>
            <w:r w:rsidRPr="00FF013A">
              <w:rPr>
                <w:rStyle w:val="InstructionalTextChar"/>
                <w:rFonts w:ascii="Franklin Gothic Book" w:hAnsi="Franklin Gothic Book"/>
                <w:b w:val="0"/>
                <w:iCs/>
                <w:color w:val="000000" w:themeColor="text1"/>
                <w:sz w:val="22"/>
                <w:lang w:val="en-AU"/>
              </w:rPr>
              <w:t xml:space="preserve">. </w:t>
            </w:r>
            <w:r w:rsidRPr="00FF013A">
              <w:rPr>
                <w:rStyle w:val="InstructionalTextChar"/>
                <w:rFonts w:ascii="Franklin Gothic Book" w:hAnsi="Franklin Gothic Book"/>
                <w:b w:val="0"/>
                <w:iCs/>
                <w:color w:val="000000" w:themeColor="text1"/>
                <w:sz w:val="22"/>
              </w:rPr>
              <w:t xml:space="preserve">In addition, the ESCs considered that a full budget impact assessment should include </w:t>
            </w:r>
            <w:r w:rsidRPr="00FF013A">
              <w:rPr>
                <w:rStyle w:val="InstructionalTextChar"/>
                <w:rFonts w:ascii="Franklin Gothic Book" w:hAnsi="Franklin Gothic Book"/>
                <w:b w:val="0"/>
                <w:iCs/>
                <w:color w:val="auto"/>
                <w:sz w:val="22"/>
              </w:rPr>
              <w:t xml:space="preserve">downstream impact considerations of </w:t>
            </w:r>
            <w:r w:rsidRPr="00FF013A">
              <w:rPr>
                <w:rStyle w:val="InstructionalTextChar"/>
                <w:rFonts w:ascii="Franklin Gothic Book" w:hAnsi="Franklin Gothic Book"/>
                <w:b w:val="0"/>
                <w:iCs/>
                <w:color w:val="000000" w:themeColor="text1"/>
                <w:sz w:val="22"/>
              </w:rPr>
              <w:t>v</w:t>
            </w:r>
            <w:r w:rsidRPr="00FF013A">
              <w:rPr>
                <w:rStyle w:val="InstructionalTextChar"/>
                <w:rFonts w:ascii="Franklin Gothic Book" w:hAnsi="Franklin Gothic Book"/>
                <w:b w:val="0"/>
                <w:color w:val="000000" w:themeColor="text1"/>
                <w:sz w:val="22"/>
              </w:rPr>
              <w:t>arying the assumed split between treat-to-clear versus treat for the full 18 months (e.g., scenario considerations where 100% of eligible patients are treated to clear with full access to PET scanning, or 100% of the eligible patients are treated for a full 18 months but with no PET access)</w:t>
            </w:r>
            <w:r w:rsidRPr="00FF013A">
              <w:rPr>
                <w:rStyle w:val="InstructionalTextChar"/>
                <w:rFonts w:ascii="Franklin Gothic Book" w:hAnsi="Franklin Gothic Book"/>
                <w:b w:val="0"/>
                <w:iCs/>
                <w:color w:val="auto"/>
                <w:sz w:val="22"/>
              </w:rPr>
              <w:t>.</w:t>
            </w:r>
          </w:p>
          <w:p w14:paraId="35392382" w14:textId="77777777" w:rsidR="0022449F" w:rsidRPr="00FF013A" w:rsidRDefault="0022449F" w:rsidP="0099020A">
            <w:pPr>
              <w:pStyle w:val="InstructionBulletpoint"/>
              <w:jc w:val="both"/>
              <w:rPr>
                <w:rStyle w:val="InstructionalTextChar"/>
                <w:rFonts w:ascii="Franklin Gothic Book" w:hAnsi="Franklin Gothic Book"/>
                <w:b w:val="0"/>
                <w:iCs/>
                <w:color w:val="auto"/>
                <w:sz w:val="22"/>
                <w:lang w:val="en-AU"/>
              </w:rPr>
            </w:pPr>
            <w:r w:rsidRPr="00FF013A">
              <w:rPr>
                <w:rStyle w:val="InstructionalTextChar"/>
                <w:rFonts w:ascii="Franklin Gothic Book" w:hAnsi="Franklin Gothic Book"/>
                <w:b w:val="0"/>
                <w:iCs/>
                <w:color w:val="auto"/>
                <w:sz w:val="22"/>
                <w:lang w:val="en-AU"/>
              </w:rPr>
              <w:t xml:space="preserve">The ESCs considered that the financial estimates are subject to further uncertainties as the following parameters were not well supported: the prevalence of </w:t>
            </w:r>
            <w:r w:rsidRPr="00FF013A">
              <w:rPr>
                <w:rStyle w:val="InstructionalTextChar"/>
                <w:rFonts w:ascii="Franklin Gothic Book" w:hAnsi="Franklin Gothic Book"/>
                <w:b w:val="0"/>
                <w:i/>
                <w:color w:val="auto"/>
                <w:sz w:val="22"/>
                <w:lang w:val="en-AU"/>
              </w:rPr>
              <w:t>APOE4</w:t>
            </w:r>
            <w:r w:rsidRPr="00FF013A">
              <w:rPr>
                <w:rStyle w:val="InstructionalTextChar"/>
                <w:rFonts w:ascii="Franklin Gothic Book" w:hAnsi="Franklin Gothic Book"/>
                <w:b w:val="0"/>
                <w:iCs/>
                <w:color w:val="auto"/>
                <w:sz w:val="22"/>
                <w:lang w:val="en-AU"/>
              </w:rPr>
              <w:t xml:space="preserve"> homozygosity in Australia (which will affect the number of patients tested for A</w:t>
            </w:r>
            <w:r w:rsidRPr="00FF013A">
              <w:rPr>
                <w:rStyle w:val="InstructionalTextChar"/>
                <w:rFonts w:ascii="Franklin Gothic Book" w:hAnsi="Franklin Gothic Book" w:cs="Calibri"/>
                <w:b w:val="0"/>
                <w:iCs/>
                <w:color w:val="auto"/>
                <w:sz w:val="22"/>
                <w:lang w:val="en-AU"/>
              </w:rPr>
              <w:t>β</w:t>
            </w:r>
            <w:r w:rsidRPr="00FF013A">
              <w:rPr>
                <w:rStyle w:val="InstructionalTextChar"/>
                <w:rFonts w:ascii="Franklin Gothic Book" w:hAnsi="Franklin Gothic Book"/>
                <w:b w:val="0"/>
                <w:iCs/>
                <w:color w:val="auto"/>
                <w:sz w:val="22"/>
                <w:lang w:val="en-AU"/>
              </w:rPr>
              <w:t xml:space="preserve"> pathology), and the differential uptake rates of A</w:t>
            </w:r>
            <w:r w:rsidRPr="00FF013A">
              <w:rPr>
                <w:rStyle w:val="InstructionalTextChar"/>
                <w:rFonts w:ascii="Franklin Gothic Book" w:hAnsi="Franklin Gothic Book" w:cs="Calibri"/>
                <w:b w:val="0"/>
                <w:iCs/>
                <w:color w:val="auto"/>
                <w:sz w:val="22"/>
                <w:lang w:val="en-AU"/>
              </w:rPr>
              <w:t>β</w:t>
            </w:r>
            <w:r w:rsidRPr="00FF013A">
              <w:rPr>
                <w:rStyle w:val="InstructionalTextChar"/>
                <w:rFonts w:ascii="Franklin Gothic Book" w:hAnsi="Franklin Gothic Book"/>
                <w:b w:val="0"/>
                <w:iCs/>
                <w:color w:val="auto"/>
                <w:sz w:val="22"/>
                <w:lang w:val="en-AU"/>
              </w:rPr>
              <w:t xml:space="preserve"> PET and CSF AD biomarker testing to determine A</w:t>
            </w:r>
            <w:r w:rsidRPr="00FF013A">
              <w:rPr>
                <w:rStyle w:val="InstructionalTextChar"/>
                <w:rFonts w:ascii="Franklin Gothic Book" w:hAnsi="Franklin Gothic Book" w:cs="Calibri"/>
                <w:b w:val="0"/>
                <w:iCs/>
                <w:color w:val="auto"/>
                <w:sz w:val="22"/>
                <w:lang w:val="en-AU"/>
              </w:rPr>
              <w:t>β</w:t>
            </w:r>
            <w:r w:rsidRPr="00FF013A">
              <w:rPr>
                <w:rStyle w:val="InstructionalTextChar"/>
                <w:rFonts w:ascii="Franklin Gothic Book" w:hAnsi="Franklin Gothic Book"/>
                <w:b w:val="0"/>
                <w:iCs/>
                <w:color w:val="auto"/>
                <w:sz w:val="22"/>
                <w:lang w:val="en-AU"/>
              </w:rPr>
              <w:t xml:space="preserve"> pathology (impacting on costs as the proposed MBS fees for the two test options are different as well as use of other associated services). The ESCs noted that access to PET machines may also have an impact on the proportion of patients treated to clear or treated for the full 18 months, although clinicians are likely to minimise donanemab treatment given its adverse events profile.</w:t>
            </w:r>
          </w:p>
          <w:p w14:paraId="6C13F848" w14:textId="77777777" w:rsidR="0022449F" w:rsidRPr="00FF013A" w:rsidRDefault="0022449F" w:rsidP="0099020A">
            <w:pPr>
              <w:rPr>
                <w:rFonts w:cstheme="minorHAnsi"/>
                <w:b w:val="0"/>
                <w:iCs/>
                <w:lang w:val="en-AU"/>
              </w:rPr>
            </w:pPr>
            <w:r w:rsidRPr="00FF013A">
              <w:rPr>
                <w:rFonts w:cstheme="minorHAnsi"/>
                <w:iCs/>
                <w:lang w:val="en-AU"/>
              </w:rPr>
              <w:t>Other relevant factors</w:t>
            </w:r>
          </w:p>
          <w:p w14:paraId="5528DBFD" w14:textId="77777777" w:rsidR="0022449F" w:rsidRPr="00FF013A" w:rsidRDefault="0022449F" w:rsidP="0099020A">
            <w:pPr>
              <w:pStyle w:val="InstructionBulletpoint"/>
              <w:jc w:val="both"/>
              <w:rPr>
                <w:rFonts w:ascii="Franklin Gothic Book" w:hAnsi="Franklin Gothic Book"/>
                <w:b w:val="0"/>
                <w:iCs/>
                <w:color w:val="auto"/>
                <w:sz w:val="22"/>
                <w:lang w:val="en-AU"/>
              </w:rPr>
            </w:pPr>
            <w:r w:rsidRPr="00FF013A">
              <w:rPr>
                <w:rFonts w:ascii="Franklin Gothic Book" w:hAnsi="Franklin Gothic Book"/>
                <w:b w:val="0"/>
                <w:iCs/>
                <w:color w:val="auto"/>
                <w:sz w:val="22"/>
                <w:lang w:val="en-AU"/>
              </w:rPr>
              <w:t xml:space="preserve">There will be accessibility issues for both PET and CSF tests, as well as for </w:t>
            </w:r>
            <w:r w:rsidRPr="00FF013A">
              <w:rPr>
                <w:rFonts w:ascii="Franklin Gothic Book" w:hAnsi="Franklin Gothic Book"/>
                <w:b w:val="0"/>
                <w:i/>
                <w:color w:val="auto"/>
                <w:sz w:val="22"/>
                <w:lang w:val="en-AU"/>
              </w:rPr>
              <w:t>APOE</w:t>
            </w:r>
            <w:r w:rsidRPr="00FF013A">
              <w:rPr>
                <w:rFonts w:ascii="Franklin Gothic Book" w:hAnsi="Franklin Gothic Book"/>
                <w:b w:val="0"/>
                <w:iCs/>
                <w:color w:val="auto"/>
                <w:sz w:val="22"/>
                <w:lang w:val="en-AU"/>
              </w:rPr>
              <w:t xml:space="preserve"> genotyping. These are discussed further in the ‘Main issues for MSAC and PBAC consideration’ box. </w:t>
            </w:r>
            <w:r w:rsidRPr="00FF013A">
              <w:rPr>
                <w:rFonts w:ascii="Franklin Gothic Book" w:hAnsi="Franklin Gothic Book"/>
                <w:b w:val="0"/>
                <w:iCs/>
                <w:color w:val="auto"/>
                <w:sz w:val="22"/>
                <w:lang w:val="en-AU"/>
              </w:rPr>
              <w:lastRenderedPageBreak/>
              <w:t>Patients outside major capital cities may be more likely to have continued treatment for 18 months without PET monitoring as this testing may not be available locally.</w:t>
            </w:r>
          </w:p>
          <w:p w14:paraId="1B8C603D" w14:textId="77777777" w:rsidR="0022449F" w:rsidRPr="00FF013A" w:rsidRDefault="0022449F" w:rsidP="0099020A">
            <w:pPr>
              <w:pStyle w:val="InstructionBulletpoint"/>
              <w:jc w:val="both"/>
              <w:rPr>
                <w:rFonts w:ascii="Franklin Gothic Book" w:hAnsi="Franklin Gothic Book"/>
                <w:color w:val="auto"/>
                <w:sz w:val="22"/>
                <w:lang w:val="en-AU"/>
              </w:rPr>
            </w:pPr>
            <w:r w:rsidRPr="00FF013A">
              <w:rPr>
                <w:rFonts w:ascii="Franklin Gothic Book" w:hAnsi="Franklin Gothic Book"/>
                <w:b w:val="0"/>
                <w:iCs/>
                <w:color w:val="auto"/>
                <w:sz w:val="22"/>
                <w:lang w:val="en-AU"/>
              </w:rPr>
              <w:t xml:space="preserve">Using plasma instead of CSF to measure AD biomarkers, especially plasma p-tau217, may be feasible </w:t>
            </w:r>
            <w:proofErr w:type="gramStart"/>
            <w:r w:rsidRPr="00FF013A">
              <w:rPr>
                <w:rFonts w:ascii="Franklin Gothic Book" w:hAnsi="Franklin Gothic Book"/>
                <w:b w:val="0"/>
                <w:iCs/>
                <w:color w:val="auto"/>
                <w:sz w:val="22"/>
                <w:lang w:val="en-AU"/>
              </w:rPr>
              <w:t>in the near future</w:t>
            </w:r>
            <w:proofErr w:type="gramEnd"/>
            <w:r w:rsidRPr="00FF013A">
              <w:rPr>
                <w:rFonts w:ascii="Franklin Gothic Book" w:hAnsi="Franklin Gothic Book"/>
                <w:b w:val="0"/>
                <w:iCs/>
                <w:color w:val="auto"/>
                <w:sz w:val="22"/>
                <w:lang w:val="en-AU"/>
              </w:rPr>
              <w:t xml:space="preserve">, potentially reducing the need for either Aβ-PET or lumbar puncture for CSF AD biomarker </w:t>
            </w:r>
            <w:r w:rsidRPr="00FF013A">
              <w:rPr>
                <w:rFonts w:ascii="Franklin Gothic Book" w:hAnsi="Franklin Gothic Book"/>
                <w:b w:val="0"/>
                <w:iCs/>
                <w:color w:val="000000" w:themeColor="text1"/>
                <w:sz w:val="22"/>
                <w:lang w:val="en-AU"/>
              </w:rPr>
              <w:t xml:space="preserve">testing. </w:t>
            </w:r>
            <w:r w:rsidRPr="00FF013A">
              <w:rPr>
                <w:rFonts w:ascii="Franklin Gothic Book" w:hAnsi="Franklin Gothic Book"/>
                <w:b w:val="0"/>
                <w:color w:val="000000" w:themeColor="text1"/>
                <w:sz w:val="22"/>
              </w:rPr>
              <w:t>The ESCs, however, considered that while a blood test to determine A</w:t>
            </w:r>
            <w:r w:rsidRPr="00FF013A">
              <w:rPr>
                <w:rFonts w:ascii="Franklin Gothic Book" w:hAnsi="Franklin Gothic Book" w:cs="Calibri"/>
                <w:b w:val="0"/>
                <w:color w:val="000000" w:themeColor="text1"/>
                <w:sz w:val="22"/>
              </w:rPr>
              <w:t>β</w:t>
            </w:r>
            <w:r w:rsidRPr="00FF013A">
              <w:rPr>
                <w:rFonts w:ascii="Franklin Gothic Book" w:hAnsi="Franklin Gothic Book"/>
                <w:b w:val="0"/>
                <w:color w:val="000000" w:themeColor="text1"/>
                <w:sz w:val="22"/>
              </w:rPr>
              <w:t xml:space="preserve"> pathology may resolve some of the issues with using PET scanning or CSF testing, other health system capacity challenges remain. The department noted that the FDA (Food and Drug Administration) have approved the </w:t>
            </w:r>
            <w:proofErr w:type="gramStart"/>
            <w:r w:rsidRPr="00FF013A">
              <w:rPr>
                <w:rFonts w:ascii="Franklin Gothic Book" w:hAnsi="Franklin Gothic Book"/>
                <w:b w:val="0"/>
                <w:color w:val="000000" w:themeColor="text1"/>
                <w:sz w:val="22"/>
              </w:rPr>
              <w:t>blood based</w:t>
            </w:r>
            <w:proofErr w:type="gramEnd"/>
            <w:r w:rsidRPr="00FF013A">
              <w:rPr>
                <w:rFonts w:ascii="Franklin Gothic Book" w:hAnsi="Franklin Gothic Book"/>
                <w:b w:val="0"/>
                <w:color w:val="000000" w:themeColor="text1"/>
                <w:sz w:val="22"/>
              </w:rPr>
              <w:t xml:space="preserve"> biomarker based on its correlation with the CSF AD biomarker testing only.</w:t>
            </w:r>
          </w:p>
        </w:tc>
      </w:tr>
    </w:tbl>
    <w:p w14:paraId="06793DED" w14:textId="77777777" w:rsidR="0022449F" w:rsidRPr="00DD6F3E" w:rsidRDefault="0022449F" w:rsidP="00DD6F3E">
      <w:pPr>
        <w:pStyle w:val="Heading3"/>
        <w:ind w:left="1134" w:hanging="1134"/>
        <w:rPr>
          <w:sz w:val="22"/>
          <w:szCs w:val="22"/>
        </w:rPr>
      </w:pPr>
      <w:r w:rsidRPr="00DD6F3E">
        <w:rPr>
          <w:sz w:val="22"/>
          <w:szCs w:val="22"/>
        </w:rPr>
        <w:lastRenderedPageBreak/>
        <w:t>ESCs discussion</w:t>
      </w:r>
    </w:p>
    <w:p w14:paraId="74496BBC" w14:textId="77777777" w:rsidR="0022449F" w:rsidRPr="00FF73BD" w:rsidRDefault="0022449F" w:rsidP="0022449F">
      <w:r w:rsidRPr="00FF73BD">
        <w:t>The Joint MSAC Evaluation Subcommittee/PBAC Economics Sub Committee (hereafter referred to as the ESCs) noted that the integrated codependent application sought:</w:t>
      </w:r>
    </w:p>
    <w:p w14:paraId="3FB705CE" w14:textId="77777777" w:rsidR="0022449F" w:rsidRPr="00BC7B6F" w:rsidRDefault="0022449F" w:rsidP="00BC7B6F">
      <w:pPr>
        <w:pStyle w:val="ListParagraph"/>
        <w:numPr>
          <w:ilvl w:val="0"/>
          <w:numId w:val="41"/>
        </w:numPr>
      </w:pPr>
      <w:r w:rsidRPr="00BC7B6F">
        <w:t>Medicare Benefits Schedule (MBS) funding for (1) 2 testing options to detect amyloid-beta (Aβ) pathology, using either Aβ Positron Emission Tomography (Aβ-PET) of the brain or Cerebrospinal Fluid (CSF) AD biomarker testing; and (2) apolipoprotein E (</w:t>
      </w:r>
      <w:r w:rsidRPr="00BC7B6F">
        <w:rPr>
          <w:i/>
          <w:iCs/>
        </w:rPr>
        <w:t>APOE</w:t>
      </w:r>
      <w:r w:rsidRPr="00BC7B6F">
        <w:t>) genotyping prior to Aβ pathology testing, in patients with a clinical diagnosis of mild cognitive impairment (MCI) due to Alzheimer Disease (AD) or mild AD, to determine eligibility for PBS-subsidised treatment with donanemab.</w:t>
      </w:r>
    </w:p>
    <w:p w14:paraId="6B668913" w14:textId="77777777" w:rsidR="0022449F" w:rsidRPr="00FF73BD" w:rsidRDefault="0022449F" w:rsidP="00B03F74">
      <w:pPr>
        <w:pStyle w:val="ListParagraph"/>
        <w:numPr>
          <w:ilvl w:val="0"/>
          <w:numId w:val="25"/>
        </w:numPr>
      </w:pPr>
      <w:r w:rsidRPr="00FF73BD">
        <w:t>Pharmaceutical Benefits Scheme (PBS) Section 100 (Highly Specialised Drugs Program) Authority Required (Telephone) listing of donanemab for the treatment of patients with early symptomatic AD, defined in the submission as MCI due to AD or mild AD.</w:t>
      </w:r>
    </w:p>
    <w:p w14:paraId="57A5848E" w14:textId="7C909B25" w:rsidR="0022449F" w:rsidRPr="000D5557" w:rsidRDefault="0022449F" w:rsidP="0022449F">
      <w:r w:rsidRPr="00FF73BD">
        <w:t>The ESCs noted that A</w:t>
      </w:r>
      <w:r w:rsidRPr="00FF73BD">
        <w:rPr>
          <w:rFonts w:cstheme="minorHAnsi"/>
        </w:rPr>
        <w:t xml:space="preserve">β PET and CSF AD biomarker testing to detect Aβ pathology to access </w:t>
      </w:r>
      <w:proofErr w:type="spellStart"/>
      <w:r w:rsidRPr="00FF73BD">
        <w:rPr>
          <w:rFonts w:cstheme="minorHAnsi"/>
        </w:rPr>
        <w:t>lecanemab</w:t>
      </w:r>
      <w:proofErr w:type="spellEnd"/>
      <w:r w:rsidRPr="00FF73BD">
        <w:rPr>
          <w:rFonts w:cstheme="minorHAnsi"/>
        </w:rPr>
        <w:t xml:space="preserve"> was scheduled to be considered by ESCs in June 2024 (</w:t>
      </w:r>
      <w:r w:rsidRPr="00FF73BD">
        <w:t>MSAC application 1738</w:t>
      </w:r>
      <w:r w:rsidRPr="000D5557">
        <w:t>).</w:t>
      </w:r>
    </w:p>
    <w:p w14:paraId="03DB0FBC" w14:textId="77777777" w:rsidR="0022449F" w:rsidRPr="00DD6F3E" w:rsidRDefault="0022449F" w:rsidP="00DD6F3E">
      <w:pPr>
        <w:pStyle w:val="Heading3"/>
        <w:ind w:left="1134" w:hanging="1134"/>
        <w:rPr>
          <w:sz w:val="22"/>
          <w:szCs w:val="22"/>
        </w:rPr>
      </w:pPr>
      <w:r w:rsidRPr="00DD6F3E">
        <w:rPr>
          <w:sz w:val="22"/>
          <w:szCs w:val="22"/>
        </w:rPr>
        <w:t xml:space="preserve">Clinical </w:t>
      </w:r>
    </w:p>
    <w:p w14:paraId="05F7521A" w14:textId="77777777" w:rsidR="0022449F" w:rsidRPr="00FF73BD" w:rsidRDefault="0022449F" w:rsidP="0022449F">
      <w:r w:rsidRPr="00FF73BD">
        <w:t>The ESCs noted that the AD continuum is a progression through various stages, broadly categorised as preclinical AD (presence of Alzheimer-related brain changes but no noticeable cognitive decline or outward symptoms), MCI due to AD (noticeable decline in cognitive abilities), and dementia due to AD (categorised as mild, moderate, severe).</w:t>
      </w:r>
      <w:r w:rsidRPr="00FF73BD" w:rsidDel="00315C97">
        <w:t xml:space="preserve"> </w:t>
      </w:r>
      <w:r w:rsidRPr="00FF73BD">
        <w:t>The ESCs considered that there is considerable uncertainty in the diagnosis of patients with MCI due to AD and mild AD due to the absence of reliable diagnostic tools and subjectivity in making the clinical assessment.</w:t>
      </w:r>
    </w:p>
    <w:p w14:paraId="7C1568C3" w14:textId="77777777" w:rsidR="0022449F" w:rsidRPr="00FF73BD" w:rsidRDefault="0022449F" w:rsidP="0022449F">
      <w:pPr>
        <w:rPr>
          <w:b/>
          <w:bCs/>
        </w:rPr>
      </w:pPr>
      <w:r w:rsidRPr="00FF73BD">
        <w:rPr>
          <w:b/>
          <w:bCs/>
          <w:i/>
          <w:iCs/>
        </w:rPr>
        <w:t>APOE</w:t>
      </w:r>
      <w:r w:rsidRPr="00FF73BD">
        <w:rPr>
          <w:b/>
          <w:bCs/>
        </w:rPr>
        <w:t xml:space="preserve"> genotyping</w:t>
      </w:r>
    </w:p>
    <w:p w14:paraId="5C60FF51" w14:textId="77777777" w:rsidR="0022449F" w:rsidRPr="00FF73BD" w:rsidRDefault="0022449F" w:rsidP="0022449F">
      <w:r w:rsidRPr="00FF73BD">
        <w:t xml:space="preserve">The ESCs considered the proposed </w:t>
      </w:r>
      <w:r w:rsidRPr="00FF73BD">
        <w:rPr>
          <w:i/>
          <w:iCs/>
        </w:rPr>
        <w:t>APOE</w:t>
      </w:r>
      <w:r w:rsidRPr="00FF73BD">
        <w:t xml:space="preserve"> genotyping prior to testing for A</w:t>
      </w:r>
      <w:r w:rsidRPr="00FF73BD">
        <w:rPr>
          <w:rFonts w:cstheme="minorHAnsi"/>
        </w:rPr>
        <w:t>β</w:t>
      </w:r>
      <w:r w:rsidRPr="00FF73BD">
        <w:t xml:space="preserve"> pathology to be appropriate. The ESCs noted that </w:t>
      </w:r>
      <w:r w:rsidRPr="00FF73BD">
        <w:rPr>
          <w:i/>
          <w:iCs/>
        </w:rPr>
        <w:t>APOE4</w:t>
      </w:r>
      <w:r w:rsidRPr="00FF73BD">
        <w:t xml:space="preserve"> status is a genetic risk factor for developing AD.</w:t>
      </w:r>
    </w:p>
    <w:p w14:paraId="102FB7A5" w14:textId="77777777" w:rsidR="0022449F" w:rsidRPr="00FF73BD" w:rsidRDefault="0022449F" w:rsidP="0022449F">
      <w:r w:rsidRPr="00FF73BD">
        <w:t xml:space="preserve">The ESCs considered that </w:t>
      </w:r>
      <w:r w:rsidRPr="00FF73BD">
        <w:rPr>
          <w:i/>
          <w:iCs/>
        </w:rPr>
        <w:t>APOE4</w:t>
      </w:r>
      <w:r w:rsidRPr="00FF73BD">
        <w:t xml:space="preserve"> homozygous and heterozygous prevalence rates in Australia are unclear. The ESCs noted that the submission estimated the prevalence of </w:t>
      </w:r>
      <w:r w:rsidRPr="00FF73BD">
        <w:rPr>
          <w:i/>
          <w:iCs/>
        </w:rPr>
        <w:t>APOE4</w:t>
      </w:r>
      <w:r w:rsidRPr="00FF73BD">
        <w:t xml:space="preserve"> homozygosity in Australia to be approximately 6% but used a higher prevalence rate of 10.9% to estimate the number of patients who would be ineligible for donanemab treatment. The ESCs noted that international studies have reported </w:t>
      </w:r>
      <w:r w:rsidRPr="00FF73BD">
        <w:rPr>
          <w:i/>
          <w:iCs/>
        </w:rPr>
        <w:t>APOE4</w:t>
      </w:r>
      <w:r w:rsidRPr="00FF73BD">
        <w:t xml:space="preserve"> homozygous rates as 2% of total population and 15% in patients with AD.</w:t>
      </w:r>
      <w:r w:rsidRPr="00FF73BD">
        <w:rPr>
          <w:rStyle w:val="FootnoteReference"/>
        </w:rPr>
        <w:footnoteReference w:id="12"/>
      </w:r>
      <w:r w:rsidRPr="00FF73BD">
        <w:t xml:space="preserve">  The ESCs requested further information from the </w:t>
      </w:r>
      <w:r w:rsidRPr="00FF73BD">
        <w:lastRenderedPageBreak/>
        <w:t xml:space="preserve">applicant regarding </w:t>
      </w:r>
      <w:r w:rsidRPr="00FF73BD">
        <w:rPr>
          <w:i/>
          <w:iCs/>
        </w:rPr>
        <w:t>APOE4</w:t>
      </w:r>
      <w:r w:rsidRPr="00FF73BD">
        <w:t xml:space="preserve"> genotype frequencies (homozygous, heterozygous and non-carriers) in the Australian population. </w:t>
      </w:r>
    </w:p>
    <w:p w14:paraId="11A4FA07" w14:textId="77777777" w:rsidR="0022449F" w:rsidRPr="00FF73BD" w:rsidRDefault="0022449F" w:rsidP="0022449F">
      <w:r w:rsidRPr="00FF73BD">
        <w:t xml:space="preserve">The ESCs noted that donanemab is TGA-registered for the treatment of patients with MCI due to AD and Mild Alzheimer dementia (Early Symptomatic Alzheimer disease) who are </w:t>
      </w:r>
      <w:r w:rsidRPr="00FF73BD">
        <w:rPr>
          <w:i/>
          <w:iCs/>
        </w:rPr>
        <w:t>APOE4</w:t>
      </w:r>
      <w:r w:rsidRPr="00FF73BD">
        <w:t xml:space="preserve"> heterozygotes or non-carriers and that testing for </w:t>
      </w:r>
      <w:r w:rsidRPr="00FF73BD">
        <w:rPr>
          <w:i/>
          <w:iCs/>
        </w:rPr>
        <w:t>APOE4</w:t>
      </w:r>
      <w:r w:rsidRPr="00FF73BD">
        <w:t xml:space="preserve"> status is required prior to initiation of treatment to inform the risk of developing amyloid-related imaging abnormalities (ARIA) in the brain. Patients who are </w:t>
      </w:r>
      <w:r w:rsidRPr="00FF73BD">
        <w:rPr>
          <w:i/>
          <w:iCs/>
        </w:rPr>
        <w:t xml:space="preserve">APOE4 </w:t>
      </w:r>
      <w:r w:rsidRPr="00FF73BD">
        <w:t>homozygous are contraindicated</w:t>
      </w:r>
      <w:r w:rsidRPr="00FF73BD" w:rsidDel="00FD08DC">
        <w:t xml:space="preserve"> </w:t>
      </w:r>
      <w:r w:rsidRPr="00FF73BD">
        <w:t>to</w:t>
      </w:r>
      <w:r w:rsidRPr="00FF73BD">
        <w:rPr>
          <w:i/>
          <w:iCs/>
        </w:rPr>
        <w:t xml:space="preserve"> </w:t>
      </w:r>
      <w:r w:rsidRPr="00FF73BD">
        <w:t xml:space="preserve">treatment with donanemab due to the higher risk of </w:t>
      </w:r>
      <w:r w:rsidRPr="00FF73BD">
        <w:rPr>
          <w:rFonts w:cstheme="minorHAnsi"/>
        </w:rPr>
        <w:t>amyloid-related imaging abnormalities (</w:t>
      </w:r>
      <w:r w:rsidRPr="00FF73BD">
        <w:t xml:space="preserve">ARIAs), compared to </w:t>
      </w:r>
      <w:r w:rsidRPr="00FF73BD">
        <w:rPr>
          <w:i/>
          <w:iCs/>
        </w:rPr>
        <w:t xml:space="preserve">APOE4 </w:t>
      </w:r>
      <w:r w:rsidRPr="00FF73BD">
        <w:t>heterozygotes.</w:t>
      </w:r>
      <w:r w:rsidRPr="00FF73BD">
        <w:rPr>
          <w:i/>
          <w:iCs/>
        </w:rPr>
        <w:t xml:space="preserve"> </w:t>
      </w:r>
      <w:r w:rsidRPr="00FF73BD">
        <w:t xml:space="preserve">The ESCs considered ARIAs to be true pathologies (cerebral oedema and haemorrhage) as opposed to imaging artefacts as might be implied by their name. </w:t>
      </w:r>
    </w:p>
    <w:p w14:paraId="0118A428" w14:textId="77777777" w:rsidR="0022449F" w:rsidRPr="00FF73BD" w:rsidRDefault="0022449F" w:rsidP="0022449F">
      <w:r w:rsidRPr="00FF73BD">
        <w:t xml:space="preserve">The ESCs considered prevalence of </w:t>
      </w:r>
      <w:r w:rsidRPr="00FF73BD">
        <w:rPr>
          <w:i/>
          <w:iCs/>
        </w:rPr>
        <w:t xml:space="preserve">APOE4 </w:t>
      </w:r>
      <w:r w:rsidRPr="00FF73BD">
        <w:t xml:space="preserve">heterozygosity and homozygosity may not be applicable to the Australian population as the key trials were in predominantly people of European ancestry and </w:t>
      </w:r>
      <w:r w:rsidRPr="00FF73BD">
        <w:rPr>
          <w:i/>
          <w:iCs/>
        </w:rPr>
        <w:t xml:space="preserve">APOE4 </w:t>
      </w:r>
      <w:r w:rsidRPr="00FF73BD">
        <w:t xml:space="preserve">status is associated with ancestry. In particular, the ESCs considered rates of </w:t>
      </w:r>
      <w:r w:rsidRPr="00FF73BD">
        <w:rPr>
          <w:i/>
          <w:iCs/>
        </w:rPr>
        <w:t xml:space="preserve">APOE4 </w:t>
      </w:r>
      <w:r w:rsidRPr="00FF73BD">
        <w:t>heterozygosity may be substantially different for Aboriginal and Torres Strait Island populations.</w:t>
      </w:r>
      <w:r w:rsidRPr="00FF73BD">
        <w:rPr>
          <w:rStyle w:val="FootnoteReference"/>
        </w:rPr>
        <w:footnoteReference w:id="13"/>
      </w:r>
      <w:r w:rsidRPr="00FF73BD">
        <w:rPr>
          <w:vertAlign w:val="superscript"/>
        </w:rPr>
        <w:t>,</w:t>
      </w:r>
      <w:r w:rsidRPr="00FF73BD">
        <w:rPr>
          <w:rStyle w:val="FootnoteReference"/>
        </w:rPr>
        <w:footnoteReference w:id="14"/>
      </w:r>
      <w:r w:rsidRPr="00FF73BD">
        <w:rPr>
          <w:vertAlign w:val="superscript"/>
        </w:rPr>
        <w:t>,</w:t>
      </w:r>
      <w:r w:rsidRPr="00FF73BD">
        <w:rPr>
          <w:rStyle w:val="FootnoteReference"/>
        </w:rPr>
        <w:footnoteReference w:id="15"/>
      </w:r>
      <w:r w:rsidRPr="00FF73BD">
        <w:t xml:space="preserve"> </w:t>
      </w:r>
    </w:p>
    <w:p w14:paraId="295E3C31" w14:textId="58AE1BE5" w:rsidR="0022449F" w:rsidRPr="00FF73BD" w:rsidRDefault="0022449F" w:rsidP="0022449F">
      <w:r w:rsidRPr="00FF73BD">
        <w:t xml:space="preserve">The ESCs noted that the submission proposed that patients must undergo blood-based polymerase chain reaction (PCR) </w:t>
      </w:r>
      <w:r w:rsidRPr="00FF73BD">
        <w:rPr>
          <w:i/>
          <w:iCs/>
        </w:rPr>
        <w:t xml:space="preserve">APOE4 </w:t>
      </w:r>
      <w:r w:rsidRPr="00FF73BD">
        <w:t>genotyping to determine eligibility for A</w:t>
      </w:r>
      <w:r w:rsidR="004E601B">
        <w:rPr>
          <w:rFonts w:ascii="Calibri" w:hAnsi="Calibri" w:cs="Calibri"/>
        </w:rPr>
        <w:t>β</w:t>
      </w:r>
      <w:r w:rsidRPr="00FF73BD">
        <w:t xml:space="preserve"> pathology testing and subsequent donanemab treatment but did not specify the type of PCR-based genotyping method that would be used in Australian diagnostic laboratories.</w:t>
      </w:r>
    </w:p>
    <w:p w14:paraId="1F37FD58" w14:textId="77777777" w:rsidR="0022449F" w:rsidRPr="00FF73BD" w:rsidRDefault="0022449F" w:rsidP="0022449F">
      <w:r w:rsidRPr="00FF73BD">
        <w:t xml:space="preserve">The ESCs noted that the commentary reported that real-time-PCR-based techniques, including high resolution melt, TaqMan probe and Fluorescent Resonance Energy Transfer (FRET) methods are currently the most relevant methods for diagnostic genotyping. The ESCs noted the commentary’s rapid non-systematic literature review concluded that the various PCR-based genotyping methods are highly concordant and highly accurate, compared to Sanger sequencing (94-100%), the gold reference standard for determining the </w:t>
      </w:r>
      <w:r w:rsidRPr="00FF73BD">
        <w:rPr>
          <w:i/>
          <w:iCs/>
        </w:rPr>
        <w:t>APOE</w:t>
      </w:r>
      <w:r w:rsidRPr="00FF73BD">
        <w:t xml:space="preserve"> genotype and has a PCR component.</w:t>
      </w:r>
    </w:p>
    <w:p w14:paraId="41FEDA45" w14:textId="295639A1" w:rsidR="0022449F" w:rsidRPr="00FF73BD" w:rsidRDefault="0022449F" w:rsidP="0022449F">
      <w:r w:rsidRPr="00FF73BD">
        <w:t xml:space="preserve">The ESCs noted that there are several </w:t>
      </w:r>
      <w:r w:rsidRPr="00FF73BD">
        <w:rPr>
          <w:i/>
          <w:iCs/>
        </w:rPr>
        <w:t>APOE</w:t>
      </w:r>
      <w:r w:rsidRPr="00FF73BD">
        <w:t xml:space="preserve"> PCR-based genotyping tests available commercially, with unclear TGA-registration status. </w:t>
      </w:r>
      <w:bookmarkStart w:id="77" w:name="_Hlk200975602"/>
      <w:r w:rsidRPr="00FF73BD">
        <w:t xml:space="preserve">See paragraph </w:t>
      </w:r>
      <w:r w:rsidRPr="00FF73BD">
        <w:fldChar w:fldCharType="begin"/>
      </w:r>
      <w:r w:rsidRPr="00FF73BD">
        <w:instrText xml:space="preserve"> REF _Ref200965541 \h </w:instrText>
      </w:r>
      <w:r w:rsidR="00FF73BD" w:rsidRPr="00FF73BD">
        <w:instrText xml:space="preserve"> \* MERGEFORMAT </w:instrText>
      </w:r>
      <w:r w:rsidRPr="00FF73BD">
        <w:fldChar w:fldCharType="separate"/>
      </w:r>
      <w:r w:rsidRPr="00FF73BD">
        <w:t>Implementation</w:t>
      </w:r>
      <w:r w:rsidRPr="00FF73BD">
        <w:fldChar w:fldCharType="end"/>
      </w:r>
      <w:r w:rsidRPr="00FF73BD">
        <w:t xml:space="preserve"> below for further information.</w:t>
      </w:r>
      <w:bookmarkEnd w:id="77"/>
    </w:p>
    <w:p w14:paraId="69085B39" w14:textId="77777777" w:rsidR="0022449F" w:rsidRPr="00FF73BD" w:rsidRDefault="0022449F" w:rsidP="0022449F">
      <w:pPr>
        <w:rPr>
          <w:b/>
          <w:bCs/>
        </w:rPr>
      </w:pPr>
      <w:r w:rsidRPr="00FF73BD">
        <w:rPr>
          <w:b/>
          <w:bCs/>
        </w:rPr>
        <w:t>A</w:t>
      </w:r>
      <w:r w:rsidRPr="00FF73BD">
        <w:rPr>
          <w:rFonts w:cstheme="minorHAnsi"/>
          <w:b/>
          <w:bCs/>
        </w:rPr>
        <w:t>β</w:t>
      </w:r>
      <w:r w:rsidRPr="00FF73BD">
        <w:rPr>
          <w:b/>
          <w:bCs/>
        </w:rPr>
        <w:t xml:space="preserve"> PET brain scan</w:t>
      </w:r>
    </w:p>
    <w:p w14:paraId="00A08D40" w14:textId="77777777" w:rsidR="0022449F" w:rsidRPr="00FF73BD" w:rsidRDefault="0022449F" w:rsidP="0022449F">
      <w:r w:rsidRPr="00FF73BD">
        <w:t xml:space="preserve">The ESCs considered a key issue with Aβ PET scan of the brain is its reliability in detecting clinical AD. </w:t>
      </w:r>
    </w:p>
    <w:p w14:paraId="2A57872D" w14:textId="77777777" w:rsidR="0022449F" w:rsidRPr="00FF73BD" w:rsidRDefault="0022449F" w:rsidP="0022449F">
      <w:r w:rsidRPr="00FF73BD">
        <w:t xml:space="preserve">The ESCs noted the commentary’s review concluded that Aβ PET using </w:t>
      </w:r>
      <w:r w:rsidRPr="00FF73BD">
        <w:rPr>
          <w:vertAlign w:val="superscript"/>
        </w:rPr>
        <w:t>18</w:t>
      </w:r>
      <w:r w:rsidRPr="00FF73BD">
        <w:t xml:space="preserve">F-flutemetamol (FMM), </w:t>
      </w:r>
      <w:r w:rsidRPr="00FF73BD">
        <w:rPr>
          <w:vertAlign w:val="superscript"/>
        </w:rPr>
        <w:t>18</w:t>
      </w:r>
      <w:r w:rsidRPr="00FF73BD">
        <w:t xml:space="preserve">F-florbetaben (FBB) or </w:t>
      </w:r>
      <w:r w:rsidRPr="00FF73BD">
        <w:rPr>
          <w:vertAlign w:val="superscript"/>
        </w:rPr>
        <w:t>18</w:t>
      </w:r>
      <w:r w:rsidRPr="00FF73BD">
        <w:t>F-florbetapir (FBP) showed relatively high sensitivity and specificity (pooled estimate, 93% and 91%, respectively) and provides a reliable test for determining A</w:t>
      </w:r>
      <w:r w:rsidRPr="00FF73BD">
        <w:rPr>
          <w:rFonts w:cstheme="minorHAnsi"/>
        </w:rPr>
        <w:t>β</w:t>
      </w:r>
      <w:r w:rsidRPr="00FF73BD">
        <w:t xml:space="preserve"> pathology. </w:t>
      </w:r>
    </w:p>
    <w:p w14:paraId="7AE9824B" w14:textId="77777777" w:rsidR="0022449F" w:rsidRPr="00FF73BD" w:rsidRDefault="0022449F" w:rsidP="0022449F">
      <w:r w:rsidRPr="00FF73BD">
        <w:t>However, the ESCs considered that the correlation between Aβ pathology and AD to be unclear, noting that Aβ may also be found in the brains of individuals without symptoms of MCI or AD. Indeed, a proportion (20%-30%) of cognitively normal individuals or individuals with other (non-</w:t>
      </w:r>
      <w:r w:rsidRPr="00FF73BD">
        <w:lastRenderedPageBreak/>
        <w:t xml:space="preserve">AD) dementia test positive on amyloid PET and this proportion increases to 50% in older individuals who are </w:t>
      </w:r>
      <w:r w:rsidRPr="00FF73BD">
        <w:rPr>
          <w:i/>
          <w:iCs/>
        </w:rPr>
        <w:t>APOE4</w:t>
      </w:r>
      <w:r w:rsidRPr="00FF73BD">
        <w:t xml:space="preserve"> positive. Additionally, the ESCs noted that the positive predictive value of Aβ PET to detect AD is highest in younger patients (late 40s to early 50s) with a high pretest probability of AD, based on clinical evaluation. Both positive and negative predictive values of Aβ PET are less reliable in older patients, particularly in those who are </w:t>
      </w:r>
      <w:r w:rsidRPr="00FF73BD">
        <w:rPr>
          <w:i/>
          <w:iCs/>
        </w:rPr>
        <w:t>APOE4</w:t>
      </w:r>
      <w:r w:rsidRPr="00FF73BD">
        <w:t xml:space="preserve"> positive.</w:t>
      </w:r>
      <w:r w:rsidRPr="00FF73BD">
        <w:rPr>
          <w:rStyle w:val="FootnoteReference"/>
        </w:rPr>
        <w:footnoteReference w:id="16"/>
      </w:r>
      <w:r w:rsidRPr="00FF73BD">
        <w:t xml:space="preserve"> </w:t>
      </w:r>
    </w:p>
    <w:p w14:paraId="6B385E62" w14:textId="77777777" w:rsidR="0022449F" w:rsidRPr="00FF73BD" w:rsidRDefault="0022449F" w:rsidP="0022449F">
      <w:r w:rsidRPr="00FF73BD">
        <w:t>The ESCs noted that the proposed tests to detect A</w:t>
      </w:r>
      <w:r w:rsidRPr="00FF73BD">
        <w:rPr>
          <w:rFonts w:cstheme="minorHAnsi"/>
        </w:rPr>
        <w:t>β</w:t>
      </w:r>
      <w:r w:rsidRPr="00FF73BD">
        <w:t xml:space="preserve"> pathology were either the A</w:t>
      </w:r>
      <w:r w:rsidRPr="00FF73BD">
        <w:rPr>
          <w:rFonts w:cstheme="minorHAnsi"/>
        </w:rPr>
        <w:t>β</w:t>
      </w:r>
      <w:r w:rsidRPr="00FF73BD">
        <w:t xml:space="preserve"> PET scan of the brain or cerebrospinal fluid (CSF) AD biomarker test. The ESCs further noted that the pivotal TRAILBLAZER-ALZ 2 (TB-2) trial used the A</w:t>
      </w:r>
      <w:r w:rsidRPr="00FF73BD">
        <w:rPr>
          <w:rFonts w:cstheme="minorHAnsi"/>
        </w:rPr>
        <w:t>β</w:t>
      </w:r>
      <w:r w:rsidRPr="00FF73BD">
        <w:t xml:space="preserve"> PET scan exclusively to detect A</w:t>
      </w:r>
      <w:r w:rsidRPr="00FF73BD">
        <w:rPr>
          <w:rFonts w:cstheme="minorHAnsi"/>
        </w:rPr>
        <w:t>β</w:t>
      </w:r>
      <w:r w:rsidRPr="00FF73BD">
        <w:t xml:space="preserve"> pathology and did not include CSF AD biomarker testing. The ESCs therefore considered the implications of donanemab treatment in patients who test ‘</w:t>
      </w:r>
      <w:proofErr w:type="gramStart"/>
      <w:r w:rsidRPr="00FF73BD">
        <w:t>negative‘ on</w:t>
      </w:r>
      <w:proofErr w:type="gramEnd"/>
      <w:r w:rsidRPr="00FF73BD">
        <w:t xml:space="preserve"> A</w:t>
      </w:r>
      <w:r w:rsidRPr="00FF73BD">
        <w:rPr>
          <w:rFonts w:cstheme="minorHAnsi"/>
        </w:rPr>
        <w:t>β</w:t>
      </w:r>
      <w:r w:rsidRPr="00FF73BD">
        <w:t xml:space="preserve"> PET scans but ‘positive’ on CSF AD biomarker testing unknown, as acknowledged in the Pre-Sub-Committee Response (PSCR). The ESCs considered that it was important to incorporate considerations of false positive and false negative results of A</w:t>
      </w:r>
      <w:r w:rsidRPr="00FF73BD">
        <w:rPr>
          <w:rFonts w:cstheme="minorHAnsi"/>
        </w:rPr>
        <w:t>β PET i</w:t>
      </w:r>
      <w:r w:rsidRPr="00FF73BD">
        <w:t>n the overall assessment of the comparative safety and clinical effectiveness of test and donanemab (+ SOC) treatment versus no testing and SOC treatment.</w:t>
      </w:r>
    </w:p>
    <w:p w14:paraId="6C89C3D2" w14:textId="6BED957A" w:rsidR="0022449F" w:rsidRPr="00FF73BD" w:rsidRDefault="0022449F" w:rsidP="0022449F">
      <w:r w:rsidRPr="00FF73BD">
        <w:t>The ESCs noted several implementation issues with A</w:t>
      </w:r>
      <w:r w:rsidRPr="00FF73BD">
        <w:rPr>
          <w:rFonts w:cstheme="minorHAnsi"/>
        </w:rPr>
        <w:t>β</w:t>
      </w:r>
      <w:r w:rsidRPr="00FF73BD">
        <w:t xml:space="preserve"> PET. See </w:t>
      </w:r>
      <w:r w:rsidRPr="00FF73BD">
        <w:fldChar w:fldCharType="begin"/>
      </w:r>
      <w:r w:rsidRPr="00FF73BD">
        <w:instrText xml:space="preserve"> REF _Ref200965541 \h </w:instrText>
      </w:r>
      <w:r w:rsidR="00FF73BD" w:rsidRPr="00FF73BD">
        <w:instrText xml:space="preserve"> \* MERGEFORMAT </w:instrText>
      </w:r>
      <w:r w:rsidRPr="00FF73BD">
        <w:fldChar w:fldCharType="separate"/>
      </w:r>
      <w:r w:rsidRPr="00FF73BD">
        <w:t>Implementation</w:t>
      </w:r>
      <w:r w:rsidRPr="00FF73BD">
        <w:fldChar w:fldCharType="end"/>
      </w:r>
      <w:r w:rsidRPr="00FF73BD">
        <w:t xml:space="preserve"> paragraph below for further information.</w:t>
      </w:r>
    </w:p>
    <w:p w14:paraId="7C2A309E" w14:textId="77777777" w:rsidR="0022449F" w:rsidRPr="00FF73BD" w:rsidRDefault="0022449F" w:rsidP="0022449F">
      <w:pPr>
        <w:rPr>
          <w:b/>
          <w:bCs/>
        </w:rPr>
      </w:pPr>
      <w:r w:rsidRPr="00FF73BD">
        <w:rPr>
          <w:b/>
          <w:bCs/>
        </w:rPr>
        <w:t>CSF AD biomarker test</w:t>
      </w:r>
    </w:p>
    <w:p w14:paraId="79981BCD" w14:textId="77777777" w:rsidR="0022449F" w:rsidRPr="00FF73BD" w:rsidRDefault="0022449F" w:rsidP="0022449F">
      <w:r w:rsidRPr="00FF73BD">
        <w:t>The ESCs considered a key issue with the proposed use of the CSF AD biomarker test as an alternative to Aβ PET brain scan to detect A</w:t>
      </w:r>
      <w:r w:rsidRPr="00FF73BD">
        <w:rPr>
          <w:rFonts w:cstheme="minorHAnsi"/>
        </w:rPr>
        <w:t>β</w:t>
      </w:r>
      <w:r w:rsidRPr="00FF73BD">
        <w:t xml:space="preserve"> pathology is the discordance in the results of the two test options.</w:t>
      </w:r>
    </w:p>
    <w:p w14:paraId="5B6F71CB" w14:textId="77777777" w:rsidR="0022449F" w:rsidRPr="00FF73BD" w:rsidRDefault="0022449F" w:rsidP="0022449F">
      <w:r w:rsidRPr="00FF73BD">
        <w:t>The ESCs noted the commentary’s systematic review on the diagnostic test accuracy of CSF AD biomarker testing in AD reported a pooled sensitivity and specificity of 89.4% and 70.5%, respectively, when compared to neuropathology at autopsy. The ESCs noted that sensitivity and specificity of CSF AD biomarker testing are lower than for Aβ PET. Based on these results, the ESCs agreed with the commentary that when compared with Aβ PET brain scanning, CSF AD biomarker testing is likely to result in more patients with false negative (who would then be inappropriately omitted of donanemab treatment) and false positive (who would receive unnecessary donanemab treatment) results.</w:t>
      </w:r>
    </w:p>
    <w:p w14:paraId="5D6D6F5B" w14:textId="77777777" w:rsidR="0022449F" w:rsidRPr="00FF73BD" w:rsidRDefault="0022449F" w:rsidP="0022449F">
      <w:r w:rsidRPr="00FF73BD">
        <w:t xml:space="preserve">The ESCs noted the commentary’s review of studies that directly compared the concordance of </w:t>
      </w:r>
      <w:bookmarkStart w:id="78" w:name="_Hlk201036853"/>
      <w:r w:rsidRPr="00FF73BD">
        <w:t xml:space="preserve">CSF AD biomarker testing </w:t>
      </w:r>
      <w:bookmarkEnd w:id="78"/>
      <w:r w:rsidRPr="00FF73BD">
        <w:t xml:space="preserve">and Aβ PET (FBB or FBP): 2-19% of Aβ-PET positive tests would be CSF Aβ42 negative and 6-28% of Aβ-PET negative tests would be CSF Aβ42 positive (Table MSAC 12). The PSCR acknowledged the commentary’s concordance assessment but also stated that if consideration was limited to </w:t>
      </w:r>
      <w:proofErr w:type="spellStart"/>
      <w:r w:rsidRPr="00FF73BD">
        <w:t>pTau</w:t>
      </w:r>
      <w:proofErr w:type="spellEnd"/>
      <w:r w:rsidRPr="00FF73BD">
        <w:t xml:space="preserve">/Aβ42 and </w:t>
      </w:r>
      <w:proofErr w:type="spellStart"/>
      <w:r w:rsidRPr="00FF73BD">
        <w:t>tTau</w:t>
      </w:r>
      <w:proofErr w:type="spellEnd"/>
      <w:r w:rsidRPr="00FF73BD">
        <w:t xml:space="preserve">/Aβ42 ratios, then 7–19% of Aβ-PET positive tests would be CSF Aβ42 negative, and only 6–13% of Aβ-PET negative tests would be CSF Aβ42 positive, as per the commentary’s concordance review. The ESCs noted the PSCR reported that </w:t>
      </w:r>
      <w:proofErr w:type="spellStart"/>
      <w:r w:rsidRPr="00FF73BD">
        <w:t>pTau</w:t>
      </w:r>
      <w:proofErr w:type="spellEnd"/>
      <w:r w:rsidRPr="00FF73BD">
        <w:t xml:space="preserve">/Aβ42 and </w:t>
      </w:r>
      <w:proofErr w:type="spellStart"/>
      <w:r w:rsidRPr="00FF73BD">
        <w:t>tTau</w:t>
      </w:r>
      <w:proofErr w:type="spellEnd"/>
      <w:r w:rsidRPr="00FF73BD">
        <w:t xml:space="preserve">/Aβ42 ratios are the results provided by </w:t>
      </w:r>
      <w:proofErr w:type="spellStart"/>
      <w:r w:rsidRPr="00FF73BD">
        <w:t>Elecsys</w:t>
      </w:r>
      <w:proofErr w:type="spellEnd"/>
      <w:r w:rsidRPr="00FF73BD">
        <w:t xml:space="preserve">® AD CSF portfolio (Roche Diagnostics), the only TGA-registered CSF immunoassay currently available. Nevertheless, the ESCs considered the degree of discordance between Aβ-PET and CSF AD biomarker testing remained uncertain and would have flow-on effects to the assessment of overall treatment benefits and harms and cost-effectiveness. </w:t>
      </w:r>
    </w:p>
    <w:p w14:paraId="4A55E481" w14:textId="77777777" w:rsidR="0022449F" w:rsidRPr="00C75CFA" w:rsidRDefault="0022449F" w:rsidP="00C75CFA">
      <w:pPr>
        <w:pStyle w:val="Heading3"/>
        <w:ind w:left="1134" w:hanging="1134"/>
        <w:rPr>
          <w:sz w:val="22"/>
          <w:szCs w:val="22"/>
        </w:rPr>
      </w:pPr>
      <w:r w:rsidRPr="00C75CFA">
        <w:rPr>
          <w:sz w:val="22"/>
          <w:szCs w:val="22"/>
        </w:rPr>
        <w:lastRenderedPageBreak/>
        <w:t xml:space="preserve">Clinical claim </w:t>
      </w:r>
    </w:p>
    <w:p w14:paraId="5C2BF8A9" w14:textId="01C1FAA3" w:rsidR="0022449F" w:rsidRPr="00FF73BD" w:rsidRDefault="0022449F" w:rsidP="0022449F">
      <w:r w:rsidRPr="00FF73BD">
        <w:t>The ESCs noted the submission’s claim that in patients with early symptomatic AD, amyloid testing (A</w:t>
      </w:r>
      <w:r w:rsidR="004E601B">
        <w:rPr>
          <w:rFonts w:ascii="Calibri" w:hAnsi="Calibri" w:cs="Calibri"/>
        </w:rPr>
        <w:t>β</w:t>
      </w:r>
      <w:r w:rsidRPr="00FF73BD">
        <w:t xml:space="preserve"> PET or CSF AD protein biomarker testing) followed by treatment with donanemab + SOC in patients with evidence of A</w:t>
      </w:r>
      <w:r w:rsidR="004E601B">
        <w:rPr>
          <w:rFonts w:ascii="Calibri" w:hAnsi="Calibri" w:cs="Calibri"/>
        </w:rPr>
        <w:t>β</w:t>
      </w:r>
      <w:r w:rsidRPr="00FF73BD">
        <w:t xml:space="preserve"> pathology was superior to no amyloid testing and treatment with SOC in terms of effectiveness and has an inferior but manageable safety profile.</w:t>
      </w:r>
    </w:p>
    <w:p w14:paraId="1DEF5665" w14:textId="77777777" w:rsidR="0022449F" w:rsidRPr="00FF73BD" w:rsidRDefault="0022449F" w:rsidP="0022449F">
      <w:r w:rsidRPr="00FF73BD">
        <w:t>The ESCs noted that for the proposed testing modalities, the evidence base presented was limited to one sponsor-funded group of associated trials. The ESCs considered that while the pivotal randomised placebo-controlled trial (TB-2) was of reasonable quality, its relevance and applicability to the Australian target population was limited, as TB-2 included only patients who met A</w:t>
      </w:r>
      <w:r w:rsidRPr="00FF73BD">
        <w:rPr>
          <w:rFonts w:cstheme="minorHAnsi"/>
        </w:rPr>
        <w:t>β</w:t>
      </w:r>
      <w:r w:rsidRPr="00FF73BD">
        <w:t xml:space="preserve"> PET scan eligibility criteria and CSF AD biomarker testing was not used. The ESCs considered that while TB-2 might be adequate to assess the effect of donanemab on amyloid clearance, this is a surrogate outcome and donanemab’s effect on clinical outcomes is less certain. </w:t>
      </w:r>
    </w:p>
    <w:p w14:paraId="01D222DB" w14:textId="77777777" w:rsidR="0022449F" w:rsidRPr="00FF73BD" w:rsidRDefault="0022449F" w:rsidP="0022449F">
      <w:pPr>
        <w:spacing w:after="60"/>
      </w:pPr>
      <w:r w:rsidRPr="00FF73BD">
        <w:t xml:space="preserve">Based on the data the submission presented, the ESCs considered that the estimated clinical differences were modest. The ESCs considered that it was highly uncertain if the degree of slowing in clinical progression was clinically meaningful and if it would produce a noticeable benefit to patients and caregivers. In addition, the ESCs considered that the effect of amyloid clearance on the clinical effects and progression of AD remained uncertain. </w:t>
      </w:r>
    </w:p>
    <w:p w14:paraId="758FEDF1" w14:textId="77777777" w:rsidR="0022449F" w:rsidRPr="00FF73BD" w:rsidRDefault="0022449F" w:rsidP="0022449F">
      <w:pPr>
        <w:spacing w:after="60"/>
      </w:pPr>
      <w:r w:rsidRPr="00FF73BD">
        <w:t xml:space="preserve">The ESCs noted the role of </w:t>
      </w:r>
      <w:r w:rsidRPr="00FF73BD">
        <w:rPr>
          <w:i/>
          <w:iCs/>
        </w:rPr>
        <w:t xml:space="preserve">APOE4 </w:t>
      </w:r>
      <w:r w:rsidRPr="00FF73BD">
        <w:t xml:space="preserve">genotyping and MRI monitoring for ARIAs is to address the safety issues associated with donanemab treatment. Based on the data the submission presented, the ESCs considered the claim of inferior comparative safety supported. </w:t>
      </w:r>
    </w:p>
    <w:p w14:paraId="2DA83436" w14:textId="77777777" w:rsidR="0022449F" w:rsidRPr="00FF73BD" w:rsidRDefault="0022449F" w:rsidP="00B03F74">
      <w:pPr>
        <w:pStyle w:val="ListParagraph"/>
        <w:numPr>
          <w:ilvl w:val="0"/>
          <w:numId w:val="26"/>
        </w:numPr>
        <w:spacing w:before="0" w:after="60"/>
        <w:ind w:left="714" w:hanging="357"/>
      </w:pPr>
      <w:r w:rsidRPr="00FF73BD">
        <w:t xml:space="preserve">The ESCs noted that the rationale of testing for </w:t>
      </w:r>
      <w:r w:rsidRPr="00FF73BD">
        <w:rPr>
          <w:i/>
          <w:iCs/>
        </w:rPr>
        <w:t>APOE4</w:t>
      </w:r>
      <w:r w:rsidRPr="00FF73BD">
        <w:t xml:space="preserve"> status prior to the initiation of donanemab treatment was to identify </w:t>
      </w:r>
      <w:r w:rsidRPr="00FF73BD">
        <w:rPr>
          <w:i/>
          <w:iCs/>
        </w:rPr>
        <w:t>APOE4</w:t>
      </w:r>
      <w:r w:rsidRPr="00FF73BD">
        <w:t xml:space="preserve"> homozygous patients such that they are excluded from donanemab treatment, due to their higher risk of ARIA events. The ESCs noted that this testing rationale is different from the general case of testing to identify patients who may benefit from therapy. The ESCs noted that in the TB-2 trial, </w:t>
      </w:r>
      <w:r w:rsidRPr="00FF73BD">
        <w:rPr>
          <w:i/>
          <w:iCs/>
        </w:rPr>
        <w:t>APOE4</w:t>
      </w:r>
      <w:r w:rsidRPr="00FF73BD">
        <w:t xml:space="preserve"> homozygotes were at greater risk of ARIA, compared to </w:t>
      </w:r>
      <w:r w:rsidRPr="00FF73BD">
        <w:rPr>
          <w:i/>
          <w:iCs/>
        </w:rPr>
        <w:t>APOE4</w:t>
      </w:r>
      <w:r w:rsidRPr="00FF73BD">
        <w:t xml:space="preserve"> heterozygotes or non-carriers (serious events of ARIA 3%, 2% and 1%, respectively). The ESCs noted that ARIA events are potential serious or fatal cerebral complications</w:t>
      </w:r>
      <w:proofErr w:type="gramStart"/>
      <w:r w:rsidRPr="00FF73BD">
        <w:t>, ,</w:t>
      </w:r>
      <w:proofErr w:type="gramEnd"/>
      <w:r w:rsidRPr="00FF73BD">
        <w:t xml:space="preserve"> and are not imaging artefacts of little clinical significance.  </w:t>
      </w:r>
    </w:p>
    <w:p w14:paraId="28E7B730" w14:textId="77777777" w:rsidR="0022449F" w:rsidRPr="00FF73BD" w:rsidRDefault="0022449F" w:rsidP="00B03F74">
      <w:pPr>
        <w:pStyle w:val="ListParagraph"/>
        <w:numPr>
          <w:ilvl w:val="0"/>
          <w:numId w:val="26"/>
        </w:numPr>
        <w:spacing w:before="0" w:after="60"/>
        <w:ind w:left="714" w:hanging="357"/>
        <w:contextualSpacing/>
      </w:pPr>
      <w:r w:rsidRPr="00FF73BD">
        <w:t>The ESCs noted the adverse events from A</w:t>
      </w:r>
      <w:r w:rsidRPr="00FF73BD">
        <w:rPr>
          <w:rFonts w:cstheme="minorHAnsi"/>
        </w:rPr>
        <w:t>β</w:t>
      </w:r>
      <w:r w:rsidRPr="00FF73BD">
        <w:t xml:space="preserve"> PET scanning (e.g., headache, injection site pain, potential harms from radiation exposure). </w:t>
      </w:r>
    </w:p>
    <w:p w14:paraId="5C6B6F6C" w14:textId="77777777" w:rsidR="0022449F" w:rsidRPr="00FF73BD" w:rsidRDefault="0022449F" w:rsidP="00B03F74">
      <w:pPr>
        <w:pStyle w:val="ListParagraph"/>
        <w:numPr>
          <w:ilvl w:val="0"/>
          <w:numId w:val="26"/>
        </w:numPr>
        <w:spacing w:before="0" w:after="60"/>
        <w:ind w:left="714" w:hanging="357"/>
        <w:contextualSpacing/>
      </w:pPr>
      <w:r w:rsidRPr="00FF73BD">
        <w:t>The ESCs noted the adverse events associated with CSF AD biomarker testing, including those related to lumbar puncture, CT guidance, and anaesthesia if required. The submission considered lumbar puncture to be a safe procedure with &lt;1% of serious reported events needing specialist treatment. However, the ESCs noted that the incidence of post-dural puncture headache (PDPH), which can occur following lumbar puncture can range between 2-75%, depending on factors such as proceduralist experience and patient age</w:t>
      </w:r>
      <w:r w:rsidRPr="00FF73BD">
        <w:rPr>
          <w:rStyle w:val="FootnoteReference"/>
        </w:rPr>
        <w:footnoteReference w:id="17"/>
      </w:r>
      <w:r w:rsidRPr="00FF73BD">
        <w:t xml:space="preserve"> and that a significant proportion</w:t>
      </w:r>
      <w:r w:rsidRPr="00FF73BD" w:rsidDel="00700E71">
        <w:t xml:space="preserve"> </w:t>
      </w:r>
      <w:r w:rsidRPr="00FF73BD">
        <w:t xml:space="preserve">of patients with PDPH may require an epidural blood patch, performed in hospital by an anaesthetist. </w:t>
      </w:r>
    </w:p>
    <w:p w14:paraId="209E6AE9" w14:textId="77777777" w:rsidR="0022449F" w:rsidRPr="00FF73BD" w:rsidRDefault="0022449F" w:rsidP="0022449F">
      <w:pPr>
        <w:pStyle w:val="Heading3"/>
        <w:rPr>
          <w:sz w:val="22"/>
          <w:szCs w:val="22"/>
        </w:rPr>
      </w:pPr>
      <w:r w:rsidRPr="00FF73BD">
        <w:rPr>
          <w:sz w:val="22"/>
          <w:szCs w:val="22"/>
        </w:rPr>
        <w:t>Consultation input</w:t>
      </w:r>
    </w:p>
    <w:p w14:paraId="78783CF7" w14:textId="77777777" w:rsidR="0022449F" w:rsidRPr="00FF73BD" w:rsidRDefault="0022449F" w:rsidP="0022449F">
      <w:r w:rsidRPr="00FF73BD">
        <w:t xml:space="preserve">The ESCs noted and welcomed consultation feedback received for the testing component of the current application as of the date of the ESCs consideration. This included input from one </w:t>
      </w:r>
      <w:r w:rsidRPr="00FF73BD">
        <w:lastRenderedPageBreak/>
        <w:t xml:space="preserve">organisation (Dementia Australia) and four individuals. The ESCs noted from the input the significant and multifaceted impacts of AD on individuals and their families, and the view that donanemab, while not a cure, may slow progression of the disease and aid future planning. The input also highlighted the importance of early/timely diagnosis of the disease to allow for the appropriate and effective use of donanemab and emphasised the need for equitable access. The ESCs noted that there may be considerable costs to patients in accessing the proposed interventions (e.g. travel costs) and considered that targeted investments may be required to ensure that already existing inequalities in access to care are not further exacerbated. The ESCs considered that access to the proposed tests and the drug should be equitable, and </w:t>
      </w:r>
      <w:proofErr w:type="gramStart"/>
      <w:r w:rsidRPr="00FF73BD">
        <w:t>patient-centred</w:t>
      </w:r>
      <w:proofErr w:type="gramEnd"/>
      <w:r w:rsidRPr="00FF73BD">
        <w:t>.</w:t>
      </w:r>
    </w:p>
    <w:p w14:paraId="37C7C525" w14:textId="77777777" w:rsidR="0022449F" w:rsidRPr="00FF73BD" w:rsidRDefault="0022449F" w:rsidP="0022449F">
      <w:pPr>
        <w:pStyle w:val="Heading3"/>
        <w:rPr>
          <w:sz w:val="22"/>
          <w:szCs w:val="22"/>
        </w:rPr>
      </w:pPr>
      <w:r w:rsidRPr="00FF73BD">
        <w:rPr>
          <w:sz w:val="22"/>
          <w:szCs w:val="22"/>
        </w:rPr>
        <w:t xml:space="preserve">Economic </w:t>
      </w:r>
    </w:p>
    <w:p w14:paraId="05E2E833" w14:textId="77777777" w:rsidR="0022449F" w:rsidRPr="00FF73BD" w:rsidRDefault="0022449F" w:rsidP="0022449F">
      <w:r w:rsidRPr="00FF73BD">
        <w:t xml:space="preserve">The ESCs noted that the submission presented a modelled economic evaluation (cost-utility analysis, CUA) based on the treatment effect observed in the TB-2 trial which compared donanemab treatment to SOC in patients with early AD with a positive Aβ biomarker test and who were not </w:t>
      </w:r>
      <w:r w:rsidRPr="00FF73BD">
        <w:rPr>
          <w:i/>
          <w:iCs/>
        </w:rPr>
        <w:t>APOE4</w:t>
      </w:r>
      <w:r w:rsidRPr="00FF73BD">
        <w:t xml:space="preserve"> homozygous. </w:t>
      </w:r>
    </w:p>
    <w:p w14:paraId="6CF29224" w14:textId="77777777" w:rsidR="0022449F" w:rsidRPr="00FF73BD" w:rsidRDefault="0022449F" w:rsidP="0022449F">
      <w:r w:rsidRPr="00FF73BD">
        <w:t>The ESCs noted that all patients entered the model at the point of treatment rather than at the point of testing. The ESCs noted that the commentary considered it reasonable as the model included the testing costs for all patients considered for donanemab. The ESCs however, disagreed. The ESCs considered that the economic evaluation should consider the whole population, both tested and treated populations, especially in the context of two alternative tests for Aβ pathology which may have discordant results to determine access to a drug and the pivotal trial used only one of the tests. The ESCs noted that the tested population will be larger than the treated population, due to a proportion of patients testing negative on the test to determine the presence of Aβ pathology and therefore becoming ineligible for treatment. The ESCs considered the submission model’s exclusion of false positive/false negative test results rendered the modelled comparative safety and clinical effectiveness incomplete and uncertain, increasing the uncertainty in the cost-effectiveness results.</w:t>
      </w:r>
    </w:p>
    <w:p w14:paraId="30DD4FF6" w14:textId="3DF95FD4" w:rsidR="0022449F" w:rsidRPr="00FF73BD" w:rsidRDefault="0022449F" w:rsidP="0022449F">
      <w:r w:rsidRPr="00FF73BD">
        <w:t>The ESCs noted that the submission’s model assumed a 50/50 split of patients undergoing A</w:t>
      </w:r>
      <w:r w:rsidRPr="00FF73BD">
        <w:rPr>
          <w:rFonts w:cstheme="minorHAnsi"/>
        </w:rPr>
        <w:t>β</w:t>
      </w:r>
      <w:r w:rsidRPr="00FF73BD">
        <w:t xml:space="preserve"> PET brain scan or CSF AD biomarker testing to detect A</w:t>
      </w:r>
      <w:r w:rsidRPr="00FF73BD">
        <w:rPr>
          <w:rFonts w:cstheme="minorHAnsi"/>
        </w:rPr>
        <w:t>β</w:t>
      </w:r>
      <w:r w:rsidRPr="00FF73BD">
        <w:t xml:space="preserve"> pathology to access donanemab treatment. The ESCs considered the assumption of 50/50 split was not well supported but noted that the incremental cost-effectiveness ratio (ICER) increased only slightly (</w:t>
      </w:r>
      <w:r w:rsidR="0093424A" w:rsidRPr="0093424A">
        <w:t>REDACTED</w:t>
      </w:r>
      <w:r w:rsidR="0093424A" w:rsidRPr="0093424A" w:rsidDel="0093424A">
        <w:t xml:space="preserve"> </w:t>
      </w:r>
      <w:r w:rsidRPr="0093424A">
        <w:t>%</w:t>
      </w:r>
      <w:r w:rsidRPr="00FF73BD">
        <w:t xml:space="preserve"> increase) from $</w:t>
      </w:r>
      <w:r w:rsidR="00A64983">
        <w:t>35,000 to &lt;$45,000</w:t>
      </w:r>
      <w:r w:rsidRPr="00FF73BD">
        <w:t xml:space="preserve"> (base case) to $</w:t>
      </w:r>
      <w:r w:rsidR="00D37EA7">
        <w:t>35,000 to &lt;$45,000</w:t>
      </w:r>
      <w:r w:rsidRPr="00FF73BD">
        <w:t xml:space="preserve"> per quality-adjusted life year (QALY) gained, assuming 100% used A</w:t>
      </w:r>
      <w:r w:rsidRPr="00FF73BD">
        <w:rPr>
          <w:rFonts w:cstheme="minorHAnsi"/>
        </w:rPr>
        <w:t>β</w:t>
      </w:r>
      <w:r w:rsidRPr="00FF73BD">
        <w:t xml:space="preserve"> PET.</w:t>
      </w:r>
    </w:p>
    <w:p w14:paraId="355164F6" w14:textId="32F93E3A" w:rsidR="0022449F" w:rsidRPr="00FF73BD" w:rsidRDefault="0022449F" w:rsidP="0022449F">
      <w:r w:rsidRPr="00FF73BD">
        <w:t xml:space="preserve">The ESCs noted the submission’s economic model was sensitive to the proportions of patients undergoing donanemab treat-to-clear/treat to 18 months strategies, with the ICER increasing (by </w:t>
      </w:r>
      <w:r w:rsidR="0093424A" w:rsidRPr="0093424A">
        <w:t>REDACTED</w:t>
      </w:r>
      <w:r w:rsidR="0093424A" w:rsidRPr="0093424A" w:rsidDel="0093424A">
        <w:t xml:space="preserve"> </w:t>
      </w:r>
      <w:r w:rsidRPr="0093424A">
        <w:t>%) to</w:t>
      </w:r>
      <w:r w:rsidRPr="00FF73BD">
        <w:t xml:space="preserve"> $</w:t>
      </w:r>
      <w:r w:rsidR="00AF54B0">
        <w:t>45</w:t>
      </w:r>
      <w:r w:rsidR="00575BAB">
        <w:t>,000 to &lt;$55,000</w:t>
      </w:r>
      <w:r w:rsidRPr="00FF73BD">
        <w:t xml:space="preserve">/QALY gained when assuming 100% of donanemab patients receiving full 18 months of treatment (base case 60%). </w:t>
      </w:r>
    </w:p>
    <w:p w14:paraId="0E9B0DFB" w14:textId="77777777" w:rsidR="0022449F" w:rsidRPr="00FF73BD" w:rsidRDefault="0022449F" w:rsidP="0022449F">
      <w:r w:rsidRPr="00FF73BD">
        <w:t>Overall, the ESCs considered the submission’s economic model overly optimistic (e.g., unknown duration of treatment effect, modelled treatment effect at 15 years based on a modest 1.38-month delay in progression after 76 weeks of treatment).</w:t>
      </w:r>
    </w:p>
    <w:p w14:paraId="6D741D23" w14:textId="77777777" w:rsidR="0022449F" w:rsidRPr="00FF73BD" w:rsidRDefault="0022449F" w:rsidP="0022449F">
      <w:pPr>
        <w:pStyle w:val="Heading3"/>
        <w:rPr>
          <w:sz w:val="22"/>
          <w:szCs w:val="22"/>
        </w:rPr>
      </w:pPr>
      <w:r w:rsidRPr="00FF73BD">
        <w:rPr>
          <w:sz w:val="22"/>
          <w:szCs w:val="22"/>
        </w:rPr>
        <w:t>Financial</w:t>
      </w:r>
    </w:p>
    <w:p w14:paraId="1A8EC872" w14:textId="115DA6CD" w:rsidR="0022449F" w:rsidRPr="00FF73BD" w:rsidRDefault="0022449F" w:rsidP="0022449F">
      <w:pPr>
        <w:spacing w:after="60"/>
      </w:pPr>
      <w:r w:rsidRPr="00FF73BD">
        <w:t>The ESCs noted the substantial net cost to the MBS with the proposed listings (commentary’s revised estimates in Rejoinder): $</w:t>
      </w:r>
      <w:r w:rsidR="0087200A">
        <w:t>100</w:t>
      </w:r>
      <w:r w:rsidR="003F6F57">
        <w:t xml:space="preserve"> million to &lt;$200</w:t>
      </w:r>
      <w:r w:rsidRPr="00FF73BD">
        <w:t xml:space="preserve"> million in Year 1, rising to $</w:t>
      </w:r>
      <w:r w:rsidR="00776DFA">
        <w:t>300 million to &lt;$400</w:t>
      </w:r>
      <w:r w:rsidRPr="00FF73BD">
        <w:t xml:space="preserve"> million in Year 6, totalling </w:t>
      </w:r>
      <w:r w:rsidR="00371979">
        <w:t>&gt;</w:t>
      </w:r>
      <w:r w:rsidRPr="00FF73BD">
        <w:t>$</w:t>
      </w:r>
      <w:r w:rsidR="00371979">
        <w:t>1</w:t>
      </w:r>
      <w:r w:rsidRPr="00FF73BD">
        <w:t xml:space="preserve"> billion in the first 6 years of listing, representing </w:t>
      </w:r>
      <w:r w:rsidRPr="0093424A">
        <w:t>8</w:t>
      </w:r>
      <w:r w:rsidRPr="00FF73BD">
        <w:t xml:space="preserve">% of the total net increase in health budget (Table MSAC 19). </w:t>
      </w:r>
    </w:p>
    <w:p w14:paraId="72AC7349" w14:textId="77777777" w:rsidR="0022449F" w:rsidRPr="00FF73BD" w:rsidRDefault="0022449F" w:rsidP="0022449F">
      <w:pPr>
        <w:spacing w:after="60"/>
      </w:pPr>
      <w:r w:rsidRPr="00FF73BD">
        <w:lastRenderedPageBreak/>
        <w:t xml:space="preserve">The ESCs noted that the submission used a ‘bottom-up’ approach, based on estimated service capacity for diagnosing and assessing patients for treatment, to estimate eligible patient numbers for tests (and treatment). </w:t>
      </w:r>
    </w:p>
    <w:p w14:paraId="5CCFA85C" w14:textId="77777777" w:rsidR="0022449F" w:rsidRPr="00FF73BD" w:rsidRDefault="0022449F" w:rsidP="00B03F74">
      <w:pPr>
        <w:pStyle w:val="ListParagraph"/>
        <w:numPr>
          <w:ilvl w:val="0"/>
          <w:numId w:val="30"/>
        </w:numPr>
        <w:spacing w:before="0" w:after="60"/>
        <w:ind w:left="714" w:hanging="357"/>
      </w:pPr>
      <w:r w:rsidRPr="00FF73BD">
        <w:t xml:space="preserve">The ESCs noted that the submission reported it challenging to accurately quantify the number of patients likely to undergo tests (and therefore initiate donanemab) due to the lack of robust prevalence and incidence data for dementia and MCI in Australia. </w:t>
      </w:r>
    </w:p>
    <w:p w14:paraId="257AC08B" w14:textId="77777777" w:rsidR="0022449F" w:rsidRPr="00FF73BD" w:rsidRDefault="0022449F" w:rsidP="00B03F74">
      <w:pPr>
        <w:pStyle w:val="ListParagraph"/>
        <w:numPr>
          <w:ilvl w:val="0"/>
          <w:numId w:val="30"/>
        </w:numPr>
        <w:spacing w:before="0" w:after="60"/>
        <w:ind w:left="714" w:hanging="357"/>
      </w:pPr>
      <w:r w:rsidRPr="00FF73BD">
        <w:t xml:space="preserve">The ESCs noted that rather than using a standard epidemiological approach to estimate patient numbers for tests, the submission based its estimates on the existing number of specialist memory and cognition assessment services (estimated N=163) in Australia, assumed an annual growth rate (6.4%) consistent with the historical growth in registered neurologists and geriatricians across Australia, and applied a range of assumptions (e.g., 3.1/3.7 new patients seen per public/private clinic day, 1.45/2.90 public/private clinic days per week with arbitrary 8% constant growth p.a., 48 working weeks/year). </w:t>
      </w:r>
    </w:p>
    <w:p w14:paraId="71395648" w14:textId="77777777" w:rsidR="0022449F" w:rsidRPr="00FF73BD" w:rsidRDefault="0022449F" w:rsidP="0022449F">
      <w:pPr>
        <w:rPr>
          <w:iCs/>
        </w:rPr>
      </w:pPr>
      <w:r w:rsidRPr="00FF73BD">
        <w:rPr>
          <w:iCs/>
        </w:rPr>
        <w:t xml:space="preserve">The ESCs considered the submission’s use of a system capacity approach to estimate eligible patient numbers inappropriate. The ESCs considered that the financial assessment should capture the whole eligible population to estimate the total financial impact to the MBS assuming no system constraints, with varying uptake rates applied subsequently to account for system capacity. </w:t>
      </w:r>
    </w:p>
    <w:p w14:paraId="3FAFF46E" w14:textId="77777777" w:rsidR="0022449F" w:rsidRPr="00FF73BD" w:rsidRDefault="0022449F" w:rsidP="0022449F">
      <w:pPr>
        <w:rPr>
          <w:iCs/>
        </w:rPr>
      </w:pPr>
      <w:r w:rsidRPr="00FF73BD">
        <w:rPr>
          <w:iCs/>
        </w:rPr>
        <w:t xml:space="preserve">The ESCs noted </w:t>
      </w:r>
      <w:proofErr w:type="gramStart"/>
      <w:r w:rsidRPr="00FF73BD">
        <w:rPr>
          <w:iCs/>
        </w:rPr>
        <w:t>a number of</w:t>
      </w:r>
      <w:proofErr w:type="gramEnd"/>
      <w:r w:rsidRPr="00FF73BD">
        <w:rPr>
          <w:iCs/>
        </w:rPr>
        <w:t xml:space="preserve"> the submission’s assumptions appeared arbitrary, e.g., private assessment services offer double the number of clinic days per week than in public services, 8% growth p.a. in the number of clinic days/week, 48 working weeks/year. </w:t>
      </w:r>
    </w:p>
    <w:p w14:paraId="5C40E591" w14:textId="77777777" w:rsidR="0022449F" w:rsidRPr="00FF73BD" w:rsidRDefault="0022449F" w:rsidP="0022449F">
      <w:r w:rsidRPr="00FF73BD">
        <w:t xml:space="preserve">The ESCs noted a significant potential use of general anaesthesia with PET and MRI scans, especially in a patient population likely to be confused and/or anxious and/or difficult to communicate with. However, this had not been costed and included in the financial estimates. </w:t>
      </w:r>
    </w:p>
    <w:p w14:paraId="40B3E210" w14:textId="77777777" w:rsidR="0022449F" w:rsidRPr="00FF73BD" w:rsidRDefault="0022449F" w:rsidP="0022449F">
      <w:r w:rsidRPr="00FF73BD">
        <w:t>The ESCs noted that the commentary considered the treat-to-clear population, assumed to be 40% of eligible patients in the submission, was likely overestimated as some patients might not be able to access A</w:t>
      </w:r>
      <w:r w:rsidRPr="00FF73BD">
        <w:rPr>
          <w:rFonts w:cstheme="minorHAnsi"/>
        </w:rPr>
        <w:t>β</w:t>
      </w:r>
      <w:r w:rsidRPr="00FF73BD">
        <w:t xml:space="preserve"> PET scanning to determine amyloid clearance. However, the ESCs considered that clinicians would likely want to minimise time on treatment as donanemab is an IV therapy with a risk of ARIA events. </w:t>
      </w:r>
    </w:p>
    <w:p w14:paraId="4FF4595A" w14:textId="77777777" w:rsidR="0022449F" w:rsidRPr="00FF73BD" w:rsidRDefault="0022449F" w:rsidP="0022449F">
      <w:r w:rsidRPr="00FF73BD">
        <w:t>The ESCs agreed with the commentary that there is potential for leakage of both A</w:t>
      </w:r>
      <w:r w:rsidRPr="00FF73BD">
        <w:rPr>
          <w:rFonts w:cstheme="minorHAnsi"/>
        </w:rPr>
        <w:t xml:space="preserve">β PET scanning and CSF AD biomarker testing use beyond the intended purpose of determining access to donanemab treatment (e.g., to initiate treatment with other medications like cholinesterase inhibitors or memantine). In addition, the ESCs considered that in clinical practice, some patients might seek to receive both Aβ PET and CSF AD biomarker testing (i.e., one after the other if the first result is negative, rather than one or the other) </w:t>
      </w:r>
      <w:proofErr w:type="gramStart"/>
      <w:r w:rsidRPr="00FF73BD">
        <w:rPr>
          <w:rFonts w:cstheme="minorHAnsi"/>
        </w:rPr>
        <w:t>in order to</w:t>
      </w:r>
      <w:proofErr w:type="gramEnd"/>
      <w:r w:rsidRPr="00FF73BD">
        <w:rPr>
          <w:rFonts w:cstheme="minorHAnsi"/>
        </w:rPr>
        <w:t xml:space="preserve"> access donanemab if PBS-listed. The ESCs noted that the Department intends to monitor the items’ usage, out-of-pocket costs and co-claiming of these items, consult with stakeholders regarding service access, and seek advice from the MSAC Executive for item descriptor amendment if required. </w:t>
      </w:r>
    </w:p>
    <w:p w14:paraId="6C14ADDB" w14:textId="77777777" w:rsidR="0022449F" w:rsidRPr="00FF73BD" w:rsidRDefault="0022449F" w:rsidP="0022449F">
      <w:r w:rsidRPr="00FF73BD">
        <w:t xml:space="preserve">Overall, the ESCs reiterated that the financial assessment should capture the entire eligible population to estimate the total financial impact to the MBS assuming no system constraints, with varying uptake rates applied subsequently to account for system capacity. The ESCs considered that a full budget impact assessment should also include downstream impact considerations </w:t>
      </w:r>
      <w:r w:rsidRPr="00FF73BD" w:rsidDel="008A6F60">
        <w:t xml:space="preserve">of </w:t>
      </w:r>
      <w:r w:rsidRPr="00FF73BD">
        <w:t xml:space="preserve">varying the assumed split between treat-to-clear versus treat for the full 18 months (e.g., scenario considerations where 100% of eligible patients are treated to clear with full access to PET scanning, or 100% of the eligible patients are treated for a full 18 months but with no PET access). </w:t>
      </w:r>
    </w:p>
    <w:p w14:paraId="705E946E" w14:textId="77777777" w:rsidR="0022449F" w:rsidRPr="00FF73BD" w:rsidRDefault="0022449F" w:rsidP="0022449F">
      <w:r w:rsidRPr="00FF73BD">
        <w:lastRenderedPageBreak/>
        <w:t>The ESCs noted that the PBAC’s Drug Utilisation Sub-Committee (DUSC) considered donanemab in June 2025.</w:t>
      </w:r>
    </w:p>
    <w:p w14:paraId="7771331F" w14:textId="77777777" w:rsidR="0022449F" w:rsidRPr="00FF73BD" w:rsidRDefault="0022449F" w:rsidP="0022449F">
      <w:pPr>
        <w:pStyle w:val="Heading3"/>
        <w:rPr>
          <w:sz w:val="22"/>
          <w:szCs w:val="22"/>
        </w:rPr>
      </w:pPr>
      <w:r w:rsidRPr="00FF73BD">
        <w:rPr>
          <w:sz w:val="22"/>
          <w:szCs w:val="22"/>
        </w:rPr>
        <w:t>Proposed MBS listings</w:t>
      </w:r>
    </w:p>
    <w:p w14:paraId="4CC33382" w14:textId="77777777" w:rsidR="0022449F" w:rsidRPr="00FF73BD" w:rsidRDefault="0022449F" w:rsidP="0022449F">
      <w:r w:rsidRPr="00FF73BD">
        <w:t xml:space="preserve">The ESCs noted that the submission requested a new MBS item for each of the following new tests: </w:t>
      </w:r>
      <w:r w:rsidRPr="00FF73BD">
        <w:rPr>
          <w:i/>
          <w:iCs/>
        </w:rPr>
        <w:t>APOE</w:t>
      </w:r>
      <w:r w:rsidRPr="00FF73BD">
        <w:t xml:space="preserve"> genetic testing (Table MSAC 2), Aβ-PET scan of the brain (Table MSAC 4), CSF AD biomarker testing (Table MSAC 5) and Aβ-PET monitoring to assess amyloid clearance (Table MSAC 6). </w:t>
      </w:r>
    </w:p>
    <w:p w14:paraId="779BD6D1" w14:textId="77777777" w:rsidR="0022449F" w:rsidRPr="00FF73BD" w:rsidRDefault="0022449F" w:rsidP="0022449F">
      <w:r w:rsidRPr="00FF73BD">
        <w:t xml:space="preserve">The ESCs agreed with the department’s proposed removal of reference to a specific drug in the item descriptors, for future-proofing purpose. </w:t>
      </w:r>
    </w:p>
    <w:p w14:paraId="308D12E7" w14:textId="77777777" w:rsidR="0022449F" w:rsidRPr="00FF73BD" w:rsidRDefault="0022449F" w:rsidP="0022449F">
      <w:r w:rsidRPr="00FF73BD">
        <w:t xml:space="preserve">For the proposed service for </w:t>
      </w:r>
      <w:r w:rsidRPr="00FF73BD">
        <w:rPr>
          <w:i/>
          <w:iCs/>
        </w:rPr>
        <w:t>APOE</w:t>
      </w:r>
      <w:r w:rsidRPr="00FF73BD">
        <w:t xml:space="preserve"> genetic testing, the ESCs considered that it is important to restrict usage to once per lifetime (Table MSAC 3).</w:t>
      </w:r>
    </w:p>
    <w:p w14:paraId="2F1AEEE0" w14:textId="77777777" w:rsidR="0022449F" w:rsidRPr="00FF73BD" w:rsidRDefault="0022449F" w:rsidP="0022449F">
      <w:r w:rsidRPr="00FF73BD">
        <w:t xml:space="preserve">For the proposed service for CSF AD biomarker testing, the ESCs noted that the proposed item (Table MSAC 5) only includes pathology testing and collection requires separate costing. The ESCs considered that the number of patients who may require anaesthesia or sedation for a lumbar puncture was uncertain and that elderly patients are likely to benefit from CT guidance. </w:t>
      </w:r>
    </w:p>
    <w:p w14:paraId="374AE1BD" w14:textId="77777777" w:rsidR="0022449F" w:rsidRPr="00FF73BD" w:rsidRDefault="0022449F" w:rsidP="0022449F">
      <w:r w:rsidRPr="00FF73BD">
        <w:t>For the use of A</w:t>
      </w:r>
      <w:r w:rsidRPr="00FF73BD">
        <w:rPr>
          <w:rFonts w:cstheme="minorHAnsi"/>
        </w:rPr>
        <w:t>β</w:t>
      </w:r>
      <w:r w:rsidRPr="00FF73BD">
        <w:t xml:space="preserve"> PET to monitor amyloid clearance at 24 and 52 weeks of treatment, the ESCs considered that it is appropriate to specify that the proposed item is applicable up to a total of 2 services (Table MSAC 6). The ESCs noted that patients who do not have  access to PET scans for monitoring purposes (e.g., in remote/regional areas) may receive unnecessary donanemab treatment (i.e., treatment for the full 18 months  rather than the treat to clear strategy, which involves early cessation of treatment if A</w:t>
      </w:r>
      <w:r w:rsidRPr="00FF73BD">
        <w:rPr>
          <w:rFonts w:cstheme="minorHAnsi"/>
        </w:rPr>
        <w:t>β</w:t>
      </w:r>
      <w:r w:rsidRPr="00FF73BD">
        <w:t xml:space="preserve"> PET is indicative of amyloid clearance), raising potential issues for patient safety and costs.</w:t>
      </w:r>
    </w:p>
    <w:p w14:paraId="4EC2EBBF" w14:textId="77777777" w:rsidR="0022449F" w:rsidRPr="00FF73BD" w:rsidRDefault="0022449F" w:rsidP="0022449F">
      <w:pPr>
        <w:spacing w:after="60"/>
      </w:pPr>
      <w:r w:rsidRPr="00FF73BD">
        <w:t xml:space="preserve">The ESCs noted the submission sought advice as to whether a separate MBS item is required for MRI brain scans to monitor for ARIA events associated with donanemab treatment, rather than using existing MBS item 63004 (Table MSAC 7a). </w:t>
      </w:r>
    </w:p>
    <w:p w14:paraId="26DAE14B" w14:textId="77777777" w:rsidR="0022449F" w:rsidRPr="00FF73BD" w:rsidRDefault="0022449F" w:rsidP="00B03F74">
      <w:pPr>
        <w:pStyle w:val="ListParagraph"/>
        <w:numPr>
          <w:ilvl w:val="0"/>
          <w:numId w:val="34"/>
        </w:numPr>
        <w:spacing w:before="0" w:after="60"/>
      </w:pPr>
      <w:r w:rsidRPr="00FF73BD">
        <w:t xml:space="preserve">The ESCs noted the department’s advice that new MRI items specific to baseline scanning (Table MSAC 7b) and routine monitoring during treatment (MSAC Table 7c) are required due to current items, such as item 63004, not being suitable for detecting ARIA events. </w:t>
      </w:r>
    </w:p>
    <w:p w14:paraId="3601CB18" w14:textId="77777777" w:rsidR="0022449F" w:rsidRPr="00FF73BD" w:rsidRDefault="0022449F" w:rsidP="00B03F74">
      <w:pPr>
        <w:pStyle w:val="ListParagraph"/>
        <w:numPr>
          <w:ilvl w:val="0"/>
          <w:numId w:val="27"/>
        </w:numPr>
        <w:spacing w:before="0"/>
        <w:ind w:left="714" w:hanging="357"/>
        <w:contextualSpacing/>
      </w:pPr>
      <w:r w:rsidRPr="00FF73BD">
        <w:t xml:space="preserve">The ESCs noted that if MSAC advises that new MBS items are not required, then utilisation could be tracked by linking the PBS item for donanemab and the MBS item for MRI. </w:t>
      </w:r>
    </w:p>
    <w:p w14:paraId="7DD9312E" w14:textId="77777777" w:rsidR="0022449F" w:rsidRPr="00FF73BD" w:rsidRDefault="0022449F" w:rsidP="0022449F">
      <w:r w:rsidRPr="00FF73BD">
        <w:t>The ESCs noted that the Department’s proposed new MRI item for monitoring during treatment specifies that the service is applicable not more than 4 times in a 12-month period (Table MSAC 7c). The ESCs noted a potential issue with the frequency restriction, as more than 4 MRIs may be required in a 12-month period if a patient has a significant ARIA event or has symptoms indicative of an ARIA. It is possible that item 63064 could be used for patients who are symptomatic. The ESCs agreed with the Department’s proposed schedule fees but noted a potential for fee reduction for the new pathology items (</w:t>
      </w:r>
      <w:r w:rsidRPr="00FF73BD">
        <w:rPr>
          <w:i/>
          <w:iCs/>
        </w:rPr>
        <w:t>APOE</w:t>
      </w:r>
      <w:r w:rsidRPr="00FF73BD">
        <w:t xml:space="preserve"> genetic testing, CSF biomarker testing) due to economies of scale. </w:t>
      </w:r>
    </w:p>
    <w:p w14:paraId="1040AD45" w14:textId="77777777" w:rsidR="0022449F" w:rsidRPr="00FF73BD" w:rsidRDefault="0022449F" w:rsidP="0022449F">
      <w:r w:rsidRPr="00FF73BD">
        <w:t>The ESCs noted that the Department seeks advice whether a new MBS item is required for intravenous (IV) administration of donanemab, noting that there are limited MBS items available for IV drug administration including MBS items 13950 (for administration of antineoplastic agents) and 14245 (for administration of immunomodulating agents), which may not be directly applicable to the administration of donanemab. A separate or amended IV administration item may be required for non-admitted patients receiving the infusions.</w:t>
      </w:r>
    </w:p>
    <w:p w14:paraId="1C43F7C6" w14:textId="77777777" w:rsidR="0022449F" w:rsidRPr="00FF73BD" w:rsidRDefault="0022449F" w:rsidP="0022449F">
      <w:pPr>
        <w:pStyle w:val="Heading3"/>
        <w:rPr>
          <w:sz w:val="22"/>
          <w:szCs w:val="22"/>
        </w:rPr>
      </w:pPr>
      <w:bookmarkStart w:id="79" w:name="_Ref200965541"/>
      <w:r w:rsidRPr="00FF73BD">
        <w:rPr>
          <w:sz w:val="22"/>
          <w:szCs w:val="22"/>
        </w:rPr>
        <w:lastRenderedPageBreak/>
        <w:t>Implementation</w:t>
      </w:r>
      <w:bookmarkEnd w:id="79"/>
    </w:p>
    <w:p w14:paraId="76853A3F" w14:textId="77777777" w:rsidR="0022449F" w:rsidRPr="00FF73BD" w:rsidRDefault="0022449F" w:rsidP="0022449F">
      <w:pPr>
        <w:spacing w:after="60"/>
        <w:rPr>
          <w:b/>
          <w:bCs/>
        </w:rPr>
      </w:pPr>
      <w:r w:rsidRPr="00FF73BD">
        <w:rPr>
          <w:b/>
          <w:bCs/>
          <w:i/>
          <w:iCs/>
        </w:rPr>
        <w:t>APOE</w:t>
      </w:r>
      <w:r w:rsidRPr="00FF73BD">
        <w:rPr>
          <w:b/>
          <w:bCs/>
        </w:rPr>
        <w:t xml:space="preserve"> genotyping</w:t>
      </w:r>
    </w:p>
    <w:p w14:paraId="7018827D" w14:textId="77777777" w:rsidR="0022449F" w:rsidRPr="00FF73BD" w:rsidRDefault="0022449F" w:rsidP="0022449F">
      <w:pPr>
        <w:spacing w:after="60"/>
      </w:pPr>
      <w:r w:rsidRPr="00FF73BD">
        <w:t xml:space="preserve">The ESCs noted that there are 4 member laboratories providing privately funded </w:t>
      </w:r>
      <w:r w:rsidRPr="00FF73BD">
        <w:rPr>
          <w:i/>
          <w:iCs/>
        </w:rPr>
        <w:t>APOE</w:t>
      </w:r>
      <w:r w:rsidRPr="00FF73BD">
        <w:t xml:space="preserve"> genotyping according to the Royal College of Pathologists of Australasia, with unknown current throughput. The ESCs noted the department’s advice that additional laboratories would need to be accredited to perform </w:t>
      </w:r>
      <w:r w:rsidRPr="00FF73BD">
        <w:rPr>
          <w:i/>
          <w:iCs/>
        </w:rPr>
        <w:t>APOE</w:t>
      </w:r>
      <w:r w:rsidRPr="00FF73BD">
        <w:t xml:space="preserve"> genotype testing.</w:t>
      </w:r>
    </w:p>
    <w:p w14:paraId="7752DC22" w14:textId="77777777" w:rsidR="0022449F" w:rsidRPr="00FF73BD" w:rsidRDefault="0022449F" w:rsidP="0022449F">
      <w:pPr>
        <w:spacing w:after="60"/>
      </w:pPr>
      <w:r w:rsidRPr="00FF73BD">
        <w:t xml:space="preserve">The ESCs noted that there is a need to disclose </w:t>
      </w:r>
      <w:r w:rsidRPr="00FF73BD">
        <w:rPr>
          <w:i/>
          <w:iCs/>
        </w:rPr>
        <w:t>APOE</w:t>
      </w:r>
      <w:r w:rsidRPr="00FF73BD">
        <w:t xml:space="preserve"> status to patients. The ESCs considered that patients who are </w:t>
      </w:r>
      <w:r w:rsidRPr="00FF73BD">
        <w:rPr>
          <w:i/>
          <w:iCs/>
        </w:rPr>
        <w:t>APOE4</w:t>
      </w:r>
      <w:r w:rsidRPr="00FF73BD">
        <w:t xml:space="preserve"> heterozygotes should be informed and provided with education of the associated risks of treatment (e.g., risk of ARIA events), to facilitate shared decision-making in clinical management.  </w:t>
      </w:r>
    </w:p>
    <w:p w14:paraId="40D405C1" w14:textId="77777777" w:rsidR="0022449F" w:rsidRPr="00FF73BD" w:rsidRDefault="0022449F" w:rsidP="0022449F">
      <w:pPr>
        <w:spacing w:after="60"/>
        <w:rPr>
          <w:b/>
          <w:bCs/>
        </w:rPr>
      </w:pPr>
      <w:r w:rsidRPr="00FF73BD">
        <w:rPr>
          <w:b/>
          <w:bCs/>
        </w:rPr>
        <w:t>A</w:t>
      </w:r>
      <w:r w:rsidRPr="00FF73BD">
        <w:rPr>
          <w:rFonts w:cstheme="minorHAnsi"/>
          <w:b/>
          <w:bCs/>
        </w:rPr>
        <w:t>β</w:t>
      </w:r>
      <w:r w:rsidRPr="00FF73BD">
        <w:rPr>
          <w:b/>
          <w:bCs/>
        </w:rPr>
        <w:t xml:space="preserve"> PET scanning</w:t>
      </w:r>
    </w:p>
    <w:p w14:paraId="20ED8B44" w14:textId="77777777" w:rsidR="0022449F" w:rsidRPr="00FF73BD" w:rsidRDefault="0022449F" w:rsidP="0022449F">
      <w:pPr>
        <w:spacing w:after="60"/>
      </w:pPr>
      <w:r w:rsidRPr="00FF73BD">
        <w:t xml:space="preserve">The ESCs noted the department’s advice that access to the Aβ-PET radiotracers necessary for the proposed Aβ-PET scan will present logistical challenges: </w:t>
      </w:r>
    </w:p>
    <w:p w14:paraId="5404747D" w14:textId="77777777" w:rsidR="0022449F" w:rsidRPr="00FF73BD" w:rsidRDefault="0022449F" w:rsidP="00B03F74">
      <w:pPr>
        <w:pStyle w:val="ListParagraph"/>
        <w:numPr>
          <w:ilvl w:val="0"/>
          <w:numId w:val="29"/>
        </w:numPr>
        <w:spacing w:before="0" w:after="60"/>
        <w:ind w:left="714" w:hanging="357"/>
      </w:pPr>
      <w:r w:rsidRPr="00FF73BD">
        <w:t>As of 1 May 2025, there are 125 sites in Australia operating Medicare-eligible PET machines, the majority of which are in metropolitan or larger regional areas.</w:t>
      </w:r>
    </w:p>
    <w:p w14:paraId="49F5AF82" w14:textId="77777777" w:rsidR="0022449F" w:rsidRPr="00FF73BD" w:rsidRDefault="0022449F" w:rsidP="00B03F74">
      <w:pPr>
        <w:pStyle w:val="ListParagraph"/>
        <w:numPr>
          <w:ilvl w:val="0"/>
          <w:numId w:val="29"/>
        </w:numPr>
        <w:spacing w:before="0" w:after="60"/>
        <w:ind w:left="714" w:hanging="357"/>
      </w:pPr>
      <w:r w:rsidRPr="00FF73BD">
        <w:t xml:space="preserve">The production of amyloid radiopharmaceuticals is currently limited to </w:t>
      </w:r>
      <w:proofErr w:type="spellStart"/>
      <w:r w:rsidRPr="00FF73BD">
        <w:t>Cyclotek</w:t>
      </w:r>
      <w:proofErr w:type="spellEnd"/>
      <w:r w:rsidRPr="00FF73BD">
        <w:t xml:space="preserve"> manufacturing facilities in Melbourne, Sydney and Brisbane, and a small number of hospital nuclear medicine departments with onsite cyclotrons.</w:t>
      </w:r>
    </w:p>
    <w:p w14:paraId="715AEEBB" w14:textId="77777777" w:rsidR="0022449F" w:rsidRPr="00FF73BD" w:rsidRDefault="0022449F" w:rsidP="00B03F74">
      <w:pPr>
        <w:pStyle w:val="ListParagraph"/>
        <w:numPr>
          <w:ilvl w:val="0"/>
          <w:numId w:val="29"/>
        </w:numPr>
        <w:spacing w:before="0" w:after="60"/>
        <w:ind w:left="714" w:hanging="357"/>
      </w:pPr>
      <w:r w:rsidRPr="00FF73BD">
        <w:t xml:space="preserve">These radiopharmaceuticals have a short half-life of approximately 110 minutes, which may limit the geographic reach for timely delivery of the product across Australia. While this constraint is not unique to Aβ-PET radiotracers, it is a recognised challenge for PET services more broadly across Australia and is currently managed by the industry. The PSCR provided input from </w:t>
      </w:r>
      <w:proofErr w:type="spellStart"/>
      <w:r w:rsidRPr="00FF73BD">
        <w:t>Cyclotek</w:t>
      </w:r>
      <w:proofErr w:type="spellEnd"/>
      <w:r w:rsidRPr="00FF73BD">
        <w:t xml:space="preserve"> which stated that Aβ-PET radiotracers can be supplied for use within a 6-8-hour transport radius (either by air or road transport) and that its usage is not limited to the PET facilities that have on site radiotracer manufacturing capabilities.</w:t>
      </w:r>
    </w:p>
    <w:p w14:paraId="48857A56" w14:textId="77777777" w:rsidR="0022449F" w:rsidRPr="00FF73BD" w:rsidRDefault="0022449F" w:rsidP="0022449F">
      <w:pPr>
        <w:spacing w:after="60"/>
      </w:pPr>
      <w:r w:rsidRPr="00FF73BD">
        <w:t xml:space="preserve">The ESCs requested clarification on whether Aβ-PET radiotracers available in Australia are manufactured by extemporaneous compounding and therefore exempt from requiring regulation as claimed in the submission, or if they are manufactured by other methods which may require regulations to be in place. The ESCs requested the applicant to provide evidence that Aβ-PET radiotracers are appropriately regulated (or evidence that it is exempt from requiring regulation) in Australia that would support ongoing use as described in the submission. </w:t>
      </w:r>
    </w:p>
    <w:p w14:paraId="43B31F91" w14:textId="77777777" w:rsidR="0022449F" w:rsidRPr="00FF73BD" w:rsidRDefault="0022449F" w:rsidP="0022449F">
      <w:pPr>
        <w:spacing w:after="60"/>
      </w:pPr>
      <w:r w:rsidRPr="00FF73BD">
        <w:t>The ESCs noted potential challenges for patients with early symptomatic AD to undertake A</w:t>
      </w:r>
      <w:r w:rsidRPr="00FF73BD">
        <w:rPr>
          <w:rFonts w:cstheme="minorHAnsi"/>
        </w:rPr>
        <w:t>β</w:t>
      </w:r>
      <w:r w:rsidRPr="00FF73BD">
        <w:t xml:space="preserve"> PET. </w:t>
      </w:r>
    </w:p>
    <w:p w14:paraId="49CECDD9" w14:textId="77777777" w:rsidR="0022449F" w:rsidRPr="00FF73BD" w:rsidRDefault="0022449F" w:rsidP="0022449F">
      <w:pPr>
        <w:spacing w:after="60"/>
        <w:rPr>
          <w:b/>
          <w:bCs/>
        </w:rPr>
      </w:pPr>
      <w:r w:rsidRPr="00FF73BD">
        <w:rPr>
          <w:b/>
          <w:bCs/>
        </w:rPr>
        <w:t>CSF AD biomarker testing</w:t>
      </w:r>
    </w:p>
    <w:p w14:paraId="1DBBE54F" w14:textId="77777777" w:rsidR="0022449F" w:rsidRPr="00FF73BD" w:rsidRDefault="0022449F" w:rsidP="0022449F">
      <w:pPr>
        <w:spacing w:after="60"/>
      </w:pPr>
      <w:r w:rsidRPr="00FF73BD">
        <w:t>The ESCs noted the department’s advice that to ensure timely processing of patient samples, existing National Association of Testing Authorities (NATA)-accredited laboratories (2 Australian laboratories currently) would need to increase capacity and additional laboratories would need to be accredited to provide the service. In addition, a quality assurance program (QAP) would need to be established to ensure the reliability and reproducibility of results across laboratories.</w:t>
      </w:r>
    </w:p>
    <w:p w14:paraId="4C58DB9E" w14:textId="77777777" w:rsidR="0022449F" w:rsidRPr="00FF73BD" w:rsidRDefault="0022449F" w:rsidP="0022449F">
      <w:r w:rsidRPr="00FF73BD">
        <w:t>The ESCs considered that CSF AD biomarker testing would most likely be offered to rural and regional patients due to likely capacity constraints for A</w:t>
      </w:r>
      <w:r w:rsidRPr="00FF73BD">
        <w:rPr>
          <w:rFonts w:cstheme="minorHAnsi"/>
        </w:rPr>
        <w:t>β</w:t>
      </w:r>
      <w:r w:rsidRPr="00FF73BD">
        <w:t xml:space="preserve"> PET, which are more likely to be available in metropolitan centres. </w:t>
      </w:r>
    </w:p>
    <w:p w14:paraId="07EE2706" w14:textId="77777777" w:rsidR="0022449F" w:rsidRPr="00FF73BD" w:rsidRDefault="0022449F" w:rsidP="0022449F">
      <w:pPr>
        <w:spacing w:after="60"/>
        <w:rPr>
          <w:b/>
          <w:bCs/>
        </w:rPr>
      </w:pPr>
      <w:r w:rsidRPr="00FF73BD">
        <w:rPr>
          <w:b/>
          <w:bCs/>
        </w:rPr>
        <w:t>Brain MRI</w:t>
      </w:r>
    </w:p>
    <w:p w14:paraId="565BD6DD" w14:textId="77777777" w:rsidR="0022449F" w:rsidRPr="00FF73BD" w:rsidRDefault="0022449F" w:rsidP="0022449F">
      <w:pPr>
        <w:spacing w:after="60"/>
      </w:pPr>
      <w:r w:rsidRPr="00FF73BD">
        <w:t xml:space="preserve">The ESCs noted the department’s advice that there may be accessibility challenges to MRI machines and appointments, particularly for rural/remote patients. </w:t>
      </w:r>
    </w:p>
    <w:p w14:paraId="1C4EB348" w14:textId="77777777" w:rsidR="0022449F" w:rsidRPr="00FF73BD" w:rsidRDefault="0022449F" w:rsidP="0022449F">
      <w:pPr>
        <w:spacing w:after="60"/>
        <w:rPr>
          <w:b/>
          <w:bCs/>
        </w:rPr>
      </w:pPr>
      <w:r w:rsidRPr="00FF73BD">
        <w:rPr>
          <w:b/>
          <w:bCs/>
        </w:rPr>
        <w:lastRenderedPageBreak/>
        <w:t>Health system capacity</w:t>
      </w:r>
    </w:p>
    <w:p w14:paraId="12408037" w14:textId="77777777" w:rsidR="0022449F" w:rsidRPr="00FF73BD" w:rsidRDefault="0022449F" w:rsidP="0022449F">
      <w:pPr>
        <w:spacing w:after="60"/>
      </w:pPr>
      <w:r w:rsidRPr="00FF73BD">
        <w:t>The ESCs noted the significant new resource use associated with the proposed PBS listing of donanemab treatment:</w:t>
      </w:r>
    </w:p>
    <w:p w14:paraId="4F837427" w14:textId="77777777" w:rsidR="0022449F" w:rsidRPr="00FF73BD" w:rsidRDefault="0022449F" w:rsidP="00B03F74">
      <w:pPr>
        <w:pStyle w:val="ListParagraph"/>
        <w:numPr>
          <w:ilvl w:val="0"/>
          <w:numId w:val="28"/>
        </w:numPr>
        <w:spacing w:before="0" w:after="60"/>
        <w:ind w:left="714" w:hanging="357"/>
      </w:pPr>
      <w:r w:rsidRPr="00FF73BD">
        <w:t xml:space="preserve">The proposed MBS-funded tests required to access PBS-listed donanemab, including baseline brain MRI, </w:t>
      </w:r>
      <w:r w:rsidRPr="00FF73BD">
        <w:rPr>
          <w:i/>
          <w:iCs/>
        </w:rPr>
        <w:t>APOE</w:t>
      </w:r>
      <w:r w:rsidRPr="00FF73BD">
        <w:t xml:space="preserve"> genotyping (to rule out </w:t>
      </w:r>
      <w:r w:rsidRPr="00FF73BD">
        <w:rPr>
          <w:i/>
          <w:iCs/>
        </w:rPr>
        <w:t>APOE4</w:t>
      </w:r>
      <w:r w:rsidRPr="00FF73BD">
        <w:t xml:space="preserve"> homozygotes), A</w:t>
      </w:r>
      <w:r w:rsidRPr="00FF73BD">
        <w:rPr>
          <w:rFonts w:cstheme="minorHAnsi"/>
        </w:rPr>
        <w:t>β</w:t>
      </w:r>
      <w:r w:rsidRPr="00FF73BD">
        <w:t xml:space="preserve"> PET brain scanning and CSF AD biomarker testing (to detect A</w:t>
      </w:r>
      <w:r w:rsidRPr="00FF73BD">
        <w:rPr>
          <w:rFonts w:cstheme="minorHAnsi"/>
        </w:rPr>
        <w:t>β</w:t>
      </w:r>
      <w:r w:rsidRPr="00FF73BD">
        <w:t xml:space="preserve"> pathology), and other associated resource use if relevant (e.g., professional attendance, blood collection, CT scans, anaesthesia</w:t>
      </w:r>
      <w:proofErr w:type="gramStart"/>
      <w:r w:rsidRPr="00FF73BD">
        <w:t>);</w:t>
      </w:r>
      <w:proofErr w:type="gramEnd"/>
    </w:p>
    <w:p w14:paraId="010BE286" w14:textId="77777777" w:rsidR="0022449F" w:rsidRPr="00FF73BD" w:rsidRDefault="0022449F" w:rsidP="00B03F74">
      <w:pPr>
        <w:pStyle w:val="ListParagraph"/>
        <w:numPr>
          <w:ilvl w:val="0"/>
          <w:numId w:val="28"/>
        </w:numPr>
        <w:spacing w:before="0" w:after="60"/>
        <w:ind w:left="714" w:hanging="357"/>
      </w:pPr>
      <w:r w:rsidRPr="00FF73BD">
        <w:t>Tests required to assess amyloid clearance (A</w:t>
      </w:r>
      <w:r w:rsidRPr="00FF73BD">
        <w:rPr>
          <w:rFonts w:cstheme="minorHAnsi"/>
        </w:rPr>
        <w:t>β</w:t>
      </w:r>
      <w:r w:rsidRPr="00FF73BD">
        <w:t xml:space="preserve"> PET, at 24 and 52 weeks) and for monitoring (brain MRI) during donanemab treatment, and other associated resource use if relevant (e.g., professional attendance, CT scans, anaesthesia); and</w:t>
      </w:r>
    </w:p>
    <w:p w14:paraId="3FFDE6CD" w14:textId="77777777" w:rsidR="0022449F" w:rsidRPr="00FF73BD" w:rsidRDefault="0022449F" w:rsidP="00B03F74">
      <w:pPr>
        <w:pStyle w:val="ListParagraph"/>
        <w:numPr>
          <w:ilvl w:val="0"/>
          <w:numId w:val="28"/>
        </w:numPr>
        <w:spacing w:before="0"/>
        <w:ind w:left="714" w:hanging="357"/>
      </w:pPr>
      <w:r w:rsidRPr="00FF73BD">
        <w:t>Costs associated with the administration of donanemab and management of adverse events.</w:t>
      </w:r>
    </w:p>
    <w:p w14:paraId="0A8C2231" w14:textId="77777777" w:rsidR="0022449F" w:rsidRPr="00FF73BD" w:rsidRDefault="0022449F" w:rsidP="0022449F">
      <w:r w:rsidRPr="00FF73BD">
        <w:t>The ESCs noted the department’s concerns regarding the adequacy of the existing system capacity and the additional resources required (e.g., capital investments, memory clinics, infrastructure, health workforce with relevant expertise) to support the proposed MBS/PBS listings, as well the likely challenges for patients in rural/regional areas (e.g., inequitable access to treatment, under- or unnecessary treatment).</w:t>
      </w:r>
    </w:p>
    <w:p w14:paraId="3D0856F7" w14:textId="77777777" w:rsidR="0022449F" w:rsidRPr="00FF73BD" w:rsidRDefault="0022449F" w:rsidP="0022449F">
      <w:r w:rsidRPr="00FF73BD">
        <w:t>The ESCs considered that there is a very high risk of severe capacity constraints at several “pinch points” on the proposed new clinical management pathway, e.g., memory clinics, specialist physicians for diagnosis, brain MRI, PET scans, CSF sampling, IV infusion services, etc.</w:t>
      </w:r>
    </w:p>
    <w:p w14:paraId="03FD1F2C" w14:textId="77777777" w:rsidR="0022449F" w:rsidRPr="00FF73BD" w:rsidRDefault="0022449F" w:rsidP="0022449F">
      <w:r w:rsidRPr="00FF73BD">
        <w:t xml:space="preserve">The ESCs advised that the implementation costs of the proposed MBS/PBS listings are highly uncertain but likely considerable, with immense opportunity costs arising from service pressures and disparities of access to the proposed technologies. </w:t>
      </w:r>
    </w:p>
    <w:p w14:paraId="20A17B81" w14:textId="77777777" w:rsidR="0022449F" w:rsidRPr="00FF73BD" w:rsidRDefault="0022449F" w:rsidP="0022449F">
      <w:pPr>
        <w:pStyle w:val="Heading3"/>
        <w:rPr>
          <w:sz w:val="22"/>
          <w:szCs w:val="22"/>
        </w:rPr>
      </w:pPr>
      <w:r w:rsidRPr="00FF73BD">
        <w:rPr>
          <w:sz w:val="22"/>
          <w:szCs w:val="22"/>
        </w:rPr>
        <w:t xml:space="preserve">Other matters </w:t>
      </w:r>
    </w:p>
    <w:p w14:paraId="6E0BD742" w14:textId="77777777" w:rsidR="0022449F" w:rsidRPr="00FF73BD" w:rsidRDefault="0022449F" w:rsidP="0022449F">
      <w:r w:rsidRPr="00FF73BD">
        <w:t xml:space="preserve">The ESCs noted that the commentary reported that blood-based biomarker p-tau217 is a potential candidate for detecting Aβ pathology via a blood test, potentially reducing the need for either Aβ-PET or lumbar puncture for CSF AD biomarker testing </w:t>
      </w:r>
      <w:proofErr w:type="gramStart"/>
      <w:r w:rsidRPr="00FF73BD">
        <w:t>in the near future</w:t>
      </w:r>
      <w:proofErr w:type="gramEnd"/>
      <w:r w:rsidRPr="00FF73BD">
        <w:t xml:space="preserve">. The ESCs noted that the Australian Dementia Network is currently running a trial of the pTau-217 blood biomarker test in primary care settings in Adelaide, Newcastle and north-eastern Melbourne. </w:t>
      </w:r>
    </w:p>
    <w:p w14:paraId="574DDF2F" w14:textId="77777777" w:rsidR="0022449F" w:rsidRPr="00FF73BD" w:rsidRDefault="0022449F" w:rsidP="0022449F">
      <w:r w:rsidRPr="00FF73BD">
        <w:rPr>
          <w:bCs/>
        </w:rPr>
        <w:t xml:space="preserve">The department noted that the FDA (Food and Drug Administration) have approved a blood- based biomarker to aid in diagnosing Alzheimer Disease, which measures two proteins, pTau217 and </w:t>
      </w:r>
      <w:r w:rsidRPr="00FF73BD">
        <w:t>β-amyloid 1-42.</w:t>
      </w:r>
      <w:r w:rsidRPr="00FF73BD">
        <w:rPr>
          <w:rStyle w:val="FootnoteReference"/>
          <w:bCs/>
        </w:rPr>
        <w:footnoteReference w:id="18"/>
      </w:r>
      <w:r w:rsidRPr="00FF73BD">
        <w:t xml:space="preserve"> The department noted that the FDA approval was</w:t>
      </w:r>
      <w:r w:rsidRPr="00FF73BD">
        <w:rPr>
          <w:bCs/>
        </w:rPr>
        <w:t xml:space="preserve"> based on the test’s correlation with the CSF AD biomarker testing only.</w:t>
      </w:r>
    </w:p>
    <w:p w14:paraId="341DA234" w14:textId="77777777" w:rsidR="003B108D" w:rsidRPr="003B108D" w:rsidRDefault="003B108D" w:rsidP="00B03F74">
      <w:pPr>
        <w:pStyle w:val="Heading2"/>
        <w:numPr>
          <w:ilvl w:val="0"/>
          <w:numId w:val="35"/>
        </w:numPr>
        <w:spacing w:after="240"/>
        <w:ind w:left="720" w:hanging="720"/>
        <w:rPr>
          <w:rFonts w:ascii="Franklin Gothic Medium" w:hAnsi="Franklin Gothic Medium"/>
          <w:b w:val="0"/>
          <w:i w:val="0"/>
          <w:snapToGrid/>
          <w:sz w:val="32"/>
          <w:szCs w:val="26"/>
        </w:rPr>
      </w:pPr>
      <w:bookmarkStart w:id="80" w:name="_Hlk193984667"/>
      <w:r w:rsidRPr="003B108D">
        <w:rPr>
          <w:rFonts w:ascii="Franklin Gothic Medium" w:hAnsi="Franklin Gothic Medium"/>
          <w:b w:val="0"/>
          <w:i w:val="0"/>
          <w:snapToGrid/>
          <w:sz w:val="32"/>
          <w:szCs w:val="26"/>
        </w:rPr>
        <w:t>Applicant comments on MSAC’s Public Summary Document</w:t>
      </w:r>
    </w:p>
    <w:p w14:paraId="1F949E39" w14:textId="77777777" w:rsidR="00C90721" w:rsidRPr="00E5093F" w:rsidRDefault="00C90721" w:rsidP="00C90721">
      <w:pPr>
        <w:spacing w:before="0" w:after="0" w:line="240" w:lineRule="auto"/>
        <w:rPr>
          <w:rFonts w:eastAsia="Times New Roman" w:cs="Segoe UI"/>
          <w:color w:val="auto"/>
          <w:lang w:eastAsia="en-AU"/>
        </w:rPr>
      </w:pPr>
      <w:r w:rsidRPr="00E5093F">
        <w:rPr>
          <w:rFonts w:eastAsia="Times New Roman" w:cs="Segoe UI"/>
          <w:color w:val="auto"/>
          <w:lang w:eastAsia="en-AU"/>
        </w:rPr>
        <w:t xml:space="preserve">Lilly wishes to thank </w:t>
      </w:r>
      <w:proofErr w:type="gramStart"/>
      <w:r w:rsidRPr="00E5093F">
        <w:rPr>
          <w:rFonts w:eastAsia="Times New Roman" w:cs="Segoe UI"/>
          <w:color w:val="auto"/>
          <w:lang w:eastAsia="en-AU"/>
        </w:rPr>
        <w:t>all of</w:t>
      </w:r>
      <w:proofErr w:type="gramEnd"/>
      <w:r w:rsidRPr="00E5093F">
        <w:rPr>
          <w:rFonts w:eastAsia="Times New Roman" w:cs="Segoe UI"/>
          <w:color w:val="auto"/>
          <w:lang w:eastAsia="en-AU"/>
        </w:rPr>
        <w:t xml:space="preserve"> the healthcare professionals, professional societies, leadership bodies, patient organisations, consumers and broader industry for their support of our submission seeking reimbursement of amyloid pathology testing and </w:t>
      </w:r>
      <w:r w:rsidRPr="00F9300B">
        <w:rPr>
          <w:rFonts w:eastAsia="Times New Roman" w:cs="Segoe UI"/>
          <w:i/>
          <w:color w:val="auto"/>
          <w:lang w:eastAsia="en-AU"/>
        </w:rPr>
        <w:t>APOE</w:t>
      </w:r>
      <w:r w:rsidRPr="00E5093F">
        <w:rPr>
          <w:rFonts w:eastAsia="Times New Roman" w:cs="Segoe UI"/>
          <w:color w:val="auto"/>
          <w:lang w:eastAsia="en-AU"/>
        </w:rPr>
        <w:t xml:space="preserve"> genotyping to inform treatment with </w:t>
      </w:r>
      <w:proofErr w:type="spellStart"/>
      <w:r w:rsidRPr="00E5093F">
        <w:rPr>
          <w:rFonts w:eastAsia="Times New Roman" w:cs="Segoe UI"/>
          <w:color w:val="auto"/>
          <w:lang w:eastAsia="en-AU"/>
        </w:rPr>
        <w:t>Kisunla</w:t>
      </w:r>
      <w:proofErr w:type="spellEnd"/>
      <w:r w:rsidRPr="00E5093F">
        <w:rPr>
          <w:rFonts w:eastAsia="Times New Roman" w:cs="Segoe UI"/>
          <w:color w:val="auto"/>
          <w:lang w:eastAsia="en-AU"/>
        </w:rPr>
        <w:t xml:space="preserve"> (donanemab). We are disappointed by MSAC's decision not to support the MBS </w:t>
      </w:r>
      <w:r w:rsidRPr="00E5093F">
        <w:rPr>
          <w:rFonts w:eastAsia="Times New Roman" w:cs="Segoe UI"/>
          <w:color w:val="auto"/>
          <w:lang w:eastAsia="en-AU"/>
        </w:rPr>
        <w:lastRenderedPageBreak/>
        <w:t>listing of these important diagnostic tools. Lilly is working to fully understand the implications of this outcome and potential next steps.</w:t>
      </w:r>
    </w:p>
    <w:p w14:paraId="2AD62981" w14:textId="77777777" w:rsidR="003B108D" w:rsidRPr="003B108D" w:rsidRDefault="003B108D" w:rsidP="00B03F74">
      <w:pPr>
        <w:pStyle w:val="Heading2"/>
        <w:numPr>
          <w:ilvl w:val="0"/>
          <w:numId w:val="35"/>
        </w:numPr>
        <w:spacing w:after="240"/>
        <w:ind w:left="720" w:hanging="720"/>
        <w:rPr>
          <w:rFonts w:ascii="Franklin Gothic Medium" w:hAnsi="Franklin Gothic Medium"/>
          <w:b w:val="0"/>
          <w:i w:val="0"/>
          <w:snapToGrid/>
          <w:sz w:val="32"/>
          <w:szCs w:val="26"/>
        </w:rPr>
      </w:pPr>
      <w:r w:rsidRPr="003B108D">
        <w:rPr>
          <w:rFonts w:ascii="Franklin Gothic Medium" w:hAnsi="Franklin Gothic Medium"/>
          <w:b w:val="0"/>
          <w:i w:val="0"/>
          <w:snapToGrid/>
          <w:sz w:val="32"/>
          <w:szCs w:val="26"/>
        </w:rPr>
        <w:t>Further information on MSAC</w:t>
      </w:r>
    </w:p>
    <w:p w14:paraId="2DB4AB70" w14:textId="715278FA" w:rsidR="0008002E" w:rsidRPr="00EA57B9" w:rsidRDefault="003B108D" w:rsidP="00AD5F8B">
      <w:pPr>
        <w:pStyle w:val="BodyText"/>
        <w:rPr>
          <w:szCs w:val="20"/>
        </w:rPr>
      </w:pPr>
      <w:r w:rsidRPr="007C19BD">
        <w:rPr>
          <w:bCs/>
          <w:iCs/>
          <w:szCs w:val="20"/>
        </w:rPr>
        <w:t xml:space="preserve">MSAC Terms of Reference and other information are available on the MSAC Website: </w:t>
      </w:r>
      <w:hyperlink r:id="rId18" w:tooltip="Link to the MSAC website" w:history="1">
        <w:r w:rsidRPr="007C19BD">
          <w:rPr>
            <w:rStyle w:val="Hyperlink"/>
            <w:iCs/>
            <w:color w:val="007BB8"/>
            <w:szCs w:val="20"/>
          </w:rPr>
          <w:t>visit the MSAC website</w:t>
        </w:r>
      </w:hyperlink>
      <w:bookmarkEnd w:id="80"/>
      <w:r w:rsidRPr="007C19BD">
        <w:rPr>
          <w:szCs w:val="20"/>
        </w:rPr>
        <w:t>.</w:t>
      </w:r>
    </w:p>
    <w:sectPr w:rsidR="0008002E" w:rsidRPr="00EA57B9" w:rsidSect="003B108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41D2" w14:textId="77777777" w:rsidR="004C769E" w:rsidRDefault="004C769E" w:rsidP="00BA3306">
      <w:pPr>
        <w:spacing w:before="0" w:after="0"/>
      </w:pPr>
      <w:r>
        <w:separator/>
      </w:r>
    </w:p>
    <w:p w14:paraId="35BAB762" w14:textId="77777777" w:rsidR="004C769E" w:rsidRDefault="004C769E"/>
  </w:endnote>
  <w:endnote w:type="continuationSeparator" w:id="0">
    <w:p w14:paraId="1A20EC22" w14:textId="77777777" w:rsidR="004C769E" w:rsidRDefault="004C769E" w:rsidP="00BA3306">
      <w:pPr>
        <w:spacing w:before="0" w:after="0"/>
      </w:pPr>
      <w:r>
        <w:continuationSeparator/>
      </w:r>
    </w:p>
    <w:p w14:paraId="7C0F9862" w14:textId="77777777" w:rsidR="004C769E" w:rsidRDefault="004C769E"/>
  </w:endnote>
  <w:endnote w:type="continuationNotice" w:id="1">
    <w:p w14:paraId="6343203D" w14:textId="77777777" w:rsidR="004C769E" w:rsidRDefault="004C76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A58" w14:textId="318AD4A8" w:rsidR="00F55781" w:rsidRDefault="00FD1C72" w:rsidP="0099020A">
    <w:pPr>
      <w:pStyle w:val="Footer"/>
      <w:jc w:val="right"/>
    </w:pPr>
    <w:r>
      <w:rPr>
        <w:noProof/>
      </w:rPr>
      <mc:AlternateContent>
        <mc:Choice Requires="wps">
          <w:drawing>
            <wp:anchor distT="0" distB="0" distL="0" distR="0" simplePos="0" relativeHeight="251658244" behindDoc="0" locked="0" layoutInCell="1" allowOverlap="1" wp14:anchorId="360D027B" wp14:editId="203F7C9E">
              <wp:simplePos x="635" y="635"/>
              <wp:positionH relativeFrom="page">
                <wp:align>center</wp:align>
              </wp:positionH>
              <wp:positionV relativeFrom="page">
                <wp:align>bottom</wp:align>
              </wp:positionV>
              <wp:extent cx="551815" cy="467360"/>
              <wp:effectExtent l="0" t="0" r="635" b="0"/>
              <wp:wrapNone/>
              <wp:docPr id="135375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0D569340" w14:textId="4D5BAE6E"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D027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D0m39yEAIA&#10;ABwEAAAOAAAAAAAAAAAAAAAAAC4CAABkcnMvZTJvRG9jLnhtbFBLAQItABQABgAIAAAAIQDZVppF&#10;2wAAAAMBAAAPAAAAAAAAAAAAAAAAAGoEAABkcnMvZG93bnJldi54bWxQSwUGAAAAAAQABADzAAAA&#10;cgUAAAAA&#10;" filled="f" stroked="f">
              <v:textbox style="mso-fit-shape-to-text:t" inset="0,0,0,15pt">
                <w:txbxContent>
                  <w:p w14:paraId="0D569340" w14:textId="4D5BAE6E"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v:textbox>
              <w10:wrap anchorx="page" anchory="page"/>
            </v:shape>
          </w:pict>
        </mc:Fallback>
      </mc:AlternateContent>
    </w:r>
  </w:p>
  <w:sdt>
    <w:sdtPr>
      <w:id w:val="1925460831"/>
      <w:docPartObj>
        <w:docPartGallery w:val="Page Numbers (Bottom of Page)"/>
        <w:docPartUnique/>
      </w:docPartObj>
    </w:sdtPr>
    <w:sdtEndPr>
      <w:rPr>
        <w:noProof/>
      </w:rPr>
    </w:sdtEndPr>
    <w:sdtContent>
      <w:p w14:paraId="3B6C059C" w14:textId="79C29DAD" w:rsidR="00F55781" w:rsidRDefault="00F517A8" w:rsidP="0099020A">
        <w:pPr>
          <w:pStyle w:val="Footer"/>
          <w:jc w:val="right"/>
        </w:pPr>
        <w:r>
          <w:fldChar w:fldCharType="begin"/>
        </w:r>
        <w:r>
          <w:instrText xml:space="preserve"> PAGE   \* MERGEFORMAT </w:instrText>
        </w:r>
        <w:r>
          <w:fldChar w:fldCharType="separate"/>
        </w:r>
        <w:r>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3D34F3B7" w:rsidR="00F55781" w:rsidRDefault="00502CE0" w:rsidP="0099020A">
    <w:pPr>
      <w:pStyle w:val="Footer"/>
      <w:jc w:val="right"/>
    </w:pPr>
    <w:sdt>
      <w:sdtPr>
        <w:id w:val="-18244847"/>
        <w:docPartObj>
          <w:docPartGallery w:val="Page Numbers (Bottom of Page)"/>
          <w:docPartUnique/>
        </w:docPartObj>
      </w:sdtPr>
      <w:sdtEndPr>
        <w:rPr>
          <w:noProof/>
        </w:rPr>
      </w:sdtEndPr>
      <w:sdtContent>
        <w:r w:rsidR="00F517A8">
          <w:fldChar w:fldCharType="begin"/>
        </w:r>
        <w:r w:rsidR="00F517A8">
          <w:instrText xml:space="preserve"> PAGE   \* MERGEFORMAT </w:instrText>
        </w:r>
        <w:r w:rsidR="00F517A8">
          <w:fldChar w:fldCharType="separate"/>
        </w:r>
        <w:r w:rsidR="00F517A8">
          <w:rPr>
            <w:noProof/>
          </w:rPr>
          <w:t>21</w:t>
        </w:r>
        <w:r w:rsidR="00F517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580E" w14:textId="1D9F329E" w:rsidR="007912EF" w:rsidRDefault="00FD1C72">
    <w:pPr>
      <w:pStyle w:val="Footer"/>
    </w:pPr>
    <w:r>
      <w:rPr>
        <w:noProof/>
      </w:rPr>
      <mc:AlternateContent>
        <mc:Choice Requires="wps">
          <w:drawing>
            <wp:anchor distT="0" distB="0" distL="0" distR="0" simplePos="0" relativeHeight="251658243" behindDoc="0" locked="0" layoutInCell="1" allowOverlap="1" wp14:anchorId="7F65901E" wp14:editId="3E5D1064">
              <wp:simplePos x="635" y="635"/>
              <wp:positionH relativeFrom="page">
                <wp:align>center</wp:align>
              </wp:positionH>
              <wp:positionV relativeFrom="page">
                <wp:align>bottom</wp:align>
              </wp:positionV>
              <wp:extent cx="551815" cy="467360"/>
              <wp:effectExtent l="0" t="0" r="635" b="0"/>
              <wp:wrapNone/>
              <wp:docPr id="5793271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7876EB18" w14:textId="0525E03F"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5901E" id="_x0000_t202" coordsize="21600,21600" o:spt="202" path="m,l,21600r21600,l21600,xe">
              <v:stroke joinstyle="miter"/>
              <v:path gradientshapeok="t" o:connecttype="rect"/>
            </v:shapetype>
            <v:shape id="Text Box 4" o:spid="_x0000_s1031" type="#_x0000_t202" alt="OFFICIAL" style="position:absolute;margin-left:0;margin-top:0;width:43.45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7876EB18" w14:textId="0525E03F"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151C" w14:textId="77777777" w:rsidR="004C769E" w:rsidRDefault="004C769E" w:rsidP="00BA3306">
      <w:pPr>
        <w:spacing w:before="0" w:after="0"/>
      </w:pPr>
      <w:r>
        <w:separator/>
      </w:r>
    </w:p>
    <w:p w14:paraId="4650C630" w14:textId="77777777" w:rsidR="004C769E" w:rsidRDefault="004C769E"/>
  </w:footnote>
  <w:footnote w:type="continuationSeparator" w:id="0">
    <w:p w14:paraId="7B8F967D" w14:textId="77777777" w:rsidR="004C769E" w:rsidRDefault="004C769E" w:rsidP="00BA3306">
      <w:pPr>
        <w:spacing w:before="0" w:after="0"/>
      </w:pPr>
      <w:r>
        <w:continuationSeparator/>
      </w:r>
    </w:p>
    <w:p w14:paraId="4E8D38CA" w14:textId="77777777" w:rsidR="004C769E" w:rsidRDefault="004C769E"/>
  </w:footnote>
  <w:footnote w:type="continuationNotice" w:id="1">
    <w:p w14:paraId="165C2559" w14:textId="77777777" w:rsidR="004C769E" w:rsidRDefault="004C769E">
      <w:pPr>
        <w:spacing w:before="0" w:after="0"/>
      </w:pPr>
    </w:p>
  </w:footnote>
  <w:footnote w:id="2">
    <w:p w14:paraId="3500F841" w14:textId="57422FA5" w:rsidR="00091B7D" w:rsidRDefault="00091B7D" w:rsidP="00091B7D">
      <w:pPr>
        <w:pStyle w:val="TableFigureFooter"/>
      </w:pPr>
      <w:r>
        <w:rPr>
          <w:rStyle w:val="FootnoteReference"/>
        </w:rPr>
        <w:footnoteRef/>
      </w:r>
      <w:r>
        <w:t xml:space="preserve"> </w:t>
      </w:r>
      <w:r w:rsidRPr="00091B7D">
        <w:rPr>
          <w:i/>
          <w:iCs/>
        </w:rPr>
        <w:t>Dementia in Australia</w:t>
      </w:r>
      <w:r>
        <w:t xml:space="preserve">, Australian Institute of Health and Welfare, web report, last updated 13 September 2024 [available: </w:t>
      </w:r>
      <w:hyperlink r:id="rId1" w:history="1">
        <w:r w:rsidRPr="00284211">
          <w:rPr>
            <w:rStyle w:val="Hyperlink"/>
            <w:color w:val="007BB8"/>
          </w:rPr>
          <w:t>https://www.aihw.gov.au/reports/dementia/dementia-in-aus/contents/summary?s</w:t>
        </w:r>
      </w:hyperlink>
      <w:r>
        <w:t>].</w:t>
      </w:r>
    </w:p>
  </w:footnote>
  <w:footnote w:id="3">
    <w:p w14:paraId="39374E03" w14:textId="77777777" w:rsidR="006C5F70" w:rsidRDefault="006C5F70" w:rsidP="006C5F70">
      <w:pPr>
        <w:pStyle w:val="TableFigureFooter"/>
      </w:pPr>
      <w:r>
        <w:rPr>
          <w:rStyle w:val="FootnoteReference"/>
        </w:rPr>
        <w:footnoteRef/>
      </w:r>
      <w:r>
        <w:t xml:space="preserve"> </w:t>
      </w:r>
      <w:r w:rsidRPr="00D8777E">
        <w:t xml:space="preserve">Bergeron D, Ossenkoppele R, Jr Laforce R. Evidence-based Interpretation of Amyloid-β PET Results: A Clinician's Tool. </w:t>
      </w:r>
      <w:r w:rsidRPr="00D8777E">
        <w:rPr>
          <w:i/>
          <w:iCs/>
        </w:rPr>
        <w:t>Alzheimer Dis Assoc Disord</w:t>
      </w:r>
      <w:r w:rsidRPr="00D8777E">
        <w:t>. 2018 Jan-Mar;32(1):28-34. doi: 10.1097/WAD.0000000000000239. PMID: 29334498.</w:t>
      </w:r>
    </w:p>
  </w:footnote>
  <w:footnote w:id="4">
    <w:p w14:paraId="33D8C437" w14:textId="5922D005" w:rsidR="00074B97" w:rsidRDefault="00074B97" w:rsidP="00F9140C">
      <w:pPr>
        <w:pStyle w:val="TableFigureFooter"/>
      </w:pPr>
      <w:r>
        <w:rPr>
          <w:rStyle w:val="FootnoteReference"/>
        </w:rPr>
        <w:footnoteRef/>
      </w:r>
      <w:r>
        <w:t xml:space="preserve"> </w:t>
      </w:r>
      <w:r w:rsidR="00475559">
        <w:t xml:space="preserve">The sponsor announced its </w:t>
      </w:r>
      <w:r w:rsidR="00B626F5">
        <w:t xml:space="preserve">business decision </w:t>
      </w:r>
      <w:r w:rsidR="00475559">
        <w:t xml:space="preserve">to </w:t>
      </w:r>
      <w:r w:rsidR="00475559" w:rsidRPr="00475559">
        <w:t>discontinue the development and commerciali</w:t>
      </w:r>
      <w:r w:rsidR="00475559">
        <w:t>s</w:t>
      </w:r>
      <w:r w:rsidR="00475559" w:rsidRPr="00475559">
        <w:t>ation of ADUHELM® (aducanumab-avwa) 100 mg/mL injection</w:t>
      </w:r>
      <w:r w:rsidR="00694782">
        <w:t>,</w:t>
      </w:r>
      <w:r w:rsidR="00B626F5">
        <w:t xml:space="preserve"> </w:t>
      </w:r>
      <w:r w:rsidR="00475559" w:rsidRPr="00475559">
        <w:t>terminate the ENVISION clinical study</w:t>
      </w:r>
      <w:r w:rsidR="00694782">
        <w:t xml:space="preserve"> and to reprioritise its resources in AD</w:t>
      </w:r>
      <w:r w:rsidR="00475559" w:rsidRPr="00475559">
        <w:t>.</w:t>
      </w:r>
      <w:r w:rsidR="00CE0F7D">
        <w:t xml:space="preserve"> </w:t>
      </w:r>
      <w:r w:rsidR="00444092">
        <w:t xml:space="preserve">The sponsor stated that the decision was not related to any safety or efficacy concerns (source: </w:t>
      </w:r>
      <w:hyperlink r:id="rId2" w:history="1">
        <w:r w:rsidR="00444092" w:rsidRPr="00284211">
          <w:rPr>
            <w:rStyle w:val="Hyperlink"/>
            <w:color w:val="007BB8"/>
          </w:rPr>
          <w:t>https://investors.biogen.com/news-releases/news-release-details/biogen-realign-resources-alzheimers-disease-franchise</w:t>
        </w:r>
      </w:hyperlink>
      <w:r w:rsidR="00444092">
        <w:t xml:space="preserve">). </w:t>
      </w:r>
    </w:p>
  </w:footnote>
  <w:footnote w:id="5">
    <w:p w14:paraId="789C7B1D" w14:textId="6A0DA39D" w:rsidR="004F2B7A" w:rsidRDefault="004F2B7A" w:rsidP="00F9140C">
      <w:pPr>
        <w:pStyle w:val="TableFigureFooter"/>
      </w:pPr>
      <w:r>
        <w:rPr>
          <w:rStyle w:val="FootnoteReference"/>
        </w:rPr>
        <w:footnoteRef/>
      </w:r>
      <w:r>
        <w:t xml:space="preserve"> </w:t>
      </w:r>
      <w:r w:rsidR="00232C97">
        <w:t xml:space="preserve">The TGA </w:t>
      </w:r>
      <w:r w:rsidR="006B2BCF">
        <w:t>D</w:t>
      </w:r>
      <w:r w:rsidR="00232C97">
        <w:t xml:space="preserve">elegate </w:t>
      </w:r>
      <w:r w:rsidR="006B2BCF">
        <w:t xml:space="preserve">considered the </w:t>
      </w:r>
      <w:r w:rsidR="00232C97">
        <w:t xml:space="preserve">provided clinical study data demonstrated that patients treated with </w:t>
      </w:r>
      <w:r w:rsidR="006B2BCF">
        <w:t>lecanemab</w:t>
      </w:r>
      <w:r w:rsidR="00232C97">
        <w:t xml:space="preserve"> showed some slowing in disease progression in some populations compared to those given a placebo, but this was not demonstrated in all populations covered by the therapeutic indications proposed by </w:t>
      </w:r>
      <w:r w:rsidR="006B2BCF">
        <w:t>the sponsor</w:t>
      </w:r>
      <w:r w:rsidR="00232C97">
        <w:t>.</w:t>
      </w:r>
      <w:r w:rsidR="006B2BCF">
        <w:t xml:space="preserve"> </w:t>
      </w:r>
      <w:r w:rsidR="008B2220">
        <w:t>“</w:t>
      </w:r>
      <w:r w:rsidR="00232C97">
        <w:t xml:space="preserve">The Delegate found that both safety and efficacy are satisfactorily established for </w:t>
      </w:r>
      <w:r w:rsidR="00232C97" w:rsidRPr="00100EEF">
        <w:rPr>
          <w:i/>
          <w:iCs/>
        </w:rPr>
        <w:t>APOE4</w:t>
      </w:r>
      <w:r w:rsidR="00232C97">
        <w:t xml:space="preserve"> noncarriers. </w:t>
      </w:r>
      <w:r w:rsidR="00232C97">
        <w:t xml:space="preserve">In the course of the reconsideration of the initial decision, the Delegate proposed an alternative indication limited to </w:t>
      </w:r>
      <w:r w:rsidR="00232C97" w:rsidRPr="00100EEF">
        <w:rPr>
          <w:i/>
          <w:iCs/>
        </w:rPr>
        <w:t>APOE4</w:t>
      </w:r>
      <w:r w:rsidR="00232C97">
        <w:t xml:space="preserve"> noncarriers, however, the Applicant indicated it is not willing to agree to seek an indication restricted to this population. The Applicant proposed that </w:t>
      </w:r>
      <w:r w:rsidR="00232C97" w:rsidRPr="00100EEF">
        <w:rPr>
          <w:i/>
          <w:iCs/>
        </w:rPr>
        <w:t>APOE4</w:t>
      </w:r>
      <w:r w:rsidR="00232C97">
        <w:t xml:space="preserve">-heterozygotes should be treated in specialist centres and supervised by physicians with expertise in monitoring for ARIA. However after consideration, the Delegate was not satisfied that this wording would be specific enough to support clinicians and address the outstanding safety concerns for patients who are </w:t>
      </w:r>
      <w:r w:rsidR="00232C97" w:rsidRPr="00100EEF">
        <w:rPr>
          <w:i/>
          <w:iCs/>
        </w:rPr>
        <w:t>APOE4</w:t>
      </w:r>
      <w:r w:rsidR="00232C97">
        <w:t xml:space="preserve"> heterozygous carriers”</w:t>
      </w:r>
      <w:r w:rsidR="008B2220">
        <w:t xml:space="preserve"> (source: </w:t>
      </w:r>
      <w:hyperlink r:id="rId3" w:history="1">
        <w:r w:rsidR="00D91052" w:rsidRPr="00284211">
          <w:rPr>
            <w:rStyle w:val="Hyperlink"/>
            <w:color w:val="007BB8"/>
          </w:rPr>
          <w:t>https://www.tga.gov.au/news/news/tga-confirms-decision-not-register-lecanemab-leqembi</w:t>
        </w:r>
      </w:hyperlink>
      <w:r w:rsidR="00D91052">
        <w:t>)</w:t>
      </w:r>
      <w:r w:rsidR="008E2F14">
        <w:t>.</w:t>
      </w:r>
    </w:p>
  </w:footnote>
  <w:footnote w:id="6">
    <w:p w14:paraId="2B11BF44" w14:textId="66FCFC38" w:rsidR="002C35D8" w:rsidRDefault="002C35D8" w:rsidP="002C35D8">
      <w:pPr>
        <w:pStyle w:val="FooterTableFigure"/>
      </w:pPr>
      <w:r>
        <w:rPr>
          <w:rStyle w:val="FootnoteReference"/>
        </w:rPr>
        <w:footnoteRef/>
      </w:r>
      <w:r>
        <w:t xml:space="preserve"> </w:t>
      </w:r>
      <w:hyperlink r:id="rId4" w:history="1">
        <w:r w:rsidRPr="00284211">
          <w:rPr>
            <w:rStyle w:val="Hyperlink"/>
            <w:color w:val="007BB8"/>
          </w:rPr>
          <w:t>https://www.rcpa.edu.au/Manuals/RGTL/Genes/Gene-Details?Symbol=APOE</w:t>
        </w:r>
      </w:hyperlink>
      <w:r>
        <w:t xml:space="preserve"> </w:t>
      </w:r>
    </w:p>
  </w:footnote>
  <w:footnote w:id="7">
    <w:p w14:paraId="76DE3DC6" w14:textId="1E70C4E0" w:rsidR="009307DC" w:rsidRDefault="009307DC" w:rsidP="009307DC">
      <w:pPr>
        <w:pStyle w:val="FooterTableFigure"/>
      </w:pPr>
      <w:r>
        <w:rPr>
          <w:rStyle w:val="FootnoteReference"/>
        </w:rPr>
        <w:footnoteRef/>
      </w:r>
      <w:r>
        <w:t xml:space="preserve"> </w:t>
      </w:r>
      <w:r w:rsidRPr="009307DC">
        <w:t xml:space="preserve">Minoshima S, Drzezga AE, Barthel H, </w:t>
      </w:r>
      <w:r>
        <w:t>et al</w:t>
      </w:r>
      <w:r w:rsidRPr="009307DC">
        <w:t xml:space="preserve">. SNMMI Procedure Standard/EANM Practice Guideline for Amyloid PET Imaging of the Brain 1.0. </w:t>
      </w:r>
      <w:r w:rsidRPr="009307DC">
        <w:rPr>
          <w:i/>
          <w:iCs/>
        </w:rPr>
        <w:t>J Nucl Med</w:t>
      </w:r>
      <w:r w:rsidRPr="009307DC">
        <w:t>. 2016 Aug;57(8):1316-22. doi: 10.2967/jnumed.116.174615. PMID: 27481605.</w:t>
      </w:r>
    </w:p>
  </w:footnote>
  <w:footnote w:id="8">
    <w:p w14:paraId="05EE0AF2" w14:textId="77777777" w:rsidR="00280EE9" w:rsidRPr="00AA4486" w:rsidRDefault="00280EE9" w:rsidP="009307DC">
      <w:pPr>
        <w:pStyle w:val="FooterTableFigure"/>
        <w:rPr>
          <w:lang w:val="en-US"/>
        </w:rPr>
      </w:pPr>
      <w:r>
        <w:rPr>
          <w:rStyle w:val="FootnoteReference"/>
        </w:rPr>
        <w:footnoteRef/>
      </w:r>
      <w:r>
        <w:t xml:space="preserve"> US </w:t>
      </w:r>
      <w:r>
        <w:rPr>
          <w:lang w:val="en-US"/>
        </w:rPr>
        <w:t xml:space="preserve">Food and Drug Administration. MRI. Benefits and Risks. URL: </w:t>
      </w:r>
      <w:hyperlink r:id="rId5" w:history="1">
        <w:r w:rsidRPr="00284211">
          <w:rPr>
            <w:rStyle w:val="Hyperlink"/>
            <w:color w:val="007BB8"/>
            <w:lang w:val="en-US"/>
          </w:rPr>
          <w:t>https://www.fda.gov/radiation-emitting-products/mri-magnetic-resonance-imaging/benefits-and-risks</w:t>
        </w:r>
      </w:hyperlink>
      <w:r>
        <w:rPr>
          <w:lang w:val="en-US"/>
        </w:rPr>
        <w:t xml:space="preserve"> last updated December 2017 [accessed 10 April 2024)</w:t>
      </w:r>
    </w:p>
  </w:footnote>
  <w:footnote w:id="9">
    <w:p w14:paraId="5F72AAF3" w14:textId="602B4D1F" w:rsidR="00295AC7" w:rsidRDefault="00295AC7" w:rsidP="003F287C">
      <w:pPr>
        <w:pStyle w:val="TableFigureFooter"/>
      </w:pPr>
      <w:r>
        <w:rPr>
          <w:rStyle w:val="FootnoteReference"/>
        </w:rPr>
        <w:footnoteRef/>
      </w:r>
      <w:r>
        <w:t xml:space="preserve"> Australian Dementia Network Registry (2023), 2022 Annual Report. </w:t>
      </w:r>
      <w:hyperlink r:id="rId6" w:history="1">
        <w:r w:rsidRPr="00284211">
          <w:rPr>
            <w:rStyle w:val="Hyperlink"/>
            <w:color w:val="007BB8"/>
          </w:rPr>
          <w:t>https://australiandementianetwork.org.au/wp-content/uploads/2023/05/ADNeT22_Report_F1_Web.pdf</w:t>
        </w:r>
      </w:hyperlink>
      <w:r w:rsidR="003F287C">
        <w:t>.</w:t>
      </w:r>
    </w:p>
  </w:footnote>
  <w:footnote w:id="10">
    <w:p w14:paraId="7F1754F1" w14:textId="7398FB59" w:rsidR="00655D11" w:rsidRDefault="00655D11" w:rsidP="00940996">
      <w:pPr>
        <w:pStyle w:val="FooterTableFigure"/>
      </w:pPr>
      <w:r>
        <w:rPr>
          <w:rStyle w:val="FootnoteReference"/>
        </w:rPr>
        <w:footnoteRef/>
      </w:r>
      <w:r>
        <w:t xml:space="preserve"> </w:t>
      </w:r>
      <w:r w:rsidRPr="009D6286">
        <w:t>Zimmer, JA (2024</w:t>
      </w:r>
      <w:r w:rsidRPr="002105CC">
        <w:t>). Insights from TRAILBLAZER-ALZ 2 (Donanemab): Clinical Efficacy.</w:t>
      </w:r>
      <w:r w:rsidRPr="009D6286">
        <w:t xml:space="preserve"> Alzheimer's Association International Conference, ALZ</w:t>
      </w:r>
      <w:r>
        <w:t xml:space="preserve">. </w:t>
      </w:r>
      <w:r w:rsidRPr="002105CC">
        <w:t>Philadelphia, USA, and Online</w:t>
      </w:r>
      <w:r>
        <w:t xml:space="preserve">. </w:t>
      </w:r>
      <w:r w:rsidRPr="002105CC">
        <w:t>July 28 – Aug</w:t>
      </w:r>
      <w:r>
        <w:t>ust</w:t>
      </w:r>
      <w:r w:rsidRPr="002105CC">
        <w:t xml:space="preserve"> 1, 2024</w:t>
      </w:r>
      <w:r>
        <w:t>.</w:t>
      </w:r>
    </w:p>
  </w:footnote>
  <w:footnote w:id="11">
    <w:p w14:paraId="504FB00A" w14:textId="60C9D6F0" w:rsidR="000321CF" w:rsidRDefault="000321CF" w:rsidP="007A17AE">
      <w:pPr>
        <w:pStyle w:val="TableFigureFooter"/>
      </w:pPr>
      <w:r>
        <w:rPr>
          <w:rStyle w:val="FootnoteReference"/>
        </w:rPr>
        <w:footnoteRef/>
      </w:r>
      <w:r>
        <w:t xml:space="preserve"> </w:t>
      </w:r>
      <w:r w:rsidRPr="000321CF">
        <w:t>Auld</w:t>
      </w:r>
      <w:r>
        <w:t xml:space="preserve"> and </w:t>
      </w:r>
      <w:r w:rsidRPr="000321CF">
        <w:t>Hoffman</w:t>
      </w:r>
      <w:r>
        <w:t xml:space="preserve">. </w:t>
      </w:r>
      <w:r w:rsidRPr="000321CF">
        <w:t>2025</w:t>
      </w:r>
      <w:r>
        <w:t xml:space="preserve">. </w:t>
      </w:r>
      <w:r w:rsidRPr="000321CF">
        <w:t>Alzheimer’s blood test coming soon to Australia</w:t>
      </w:r>
      <w:r w:rsidRPr="000321CF">
        <w:rPr>
          <w:rFonts w:ascii="Arial" w:hAnsi="Arial"/>
        </w:rPr>
        <w:t> </w:t>
      </w:r>
      <w:r>
        <w:t xml:space="preserve"> URL: </w:t>
      </w:r>
      <w:hyperlink r:id="rId7" w:history="1">
        <w:r w:rsidRPr="00284211">
          <w:rPr>
            <w:rStyle w:val="Hyperlink"/>
            <w:color w:val="007BB8"/>
          </w:rPr>
          <w:t>https://www.healthed.com.au/clinical_articles/alzheimers-blood-test-coming-soon-to-australia/</w:t>
        </w:r>
      </w:hyperlink>
      <w:r>
        <w:t xml:space="preserve"> published 28 March 2025, assessed 19 May 2025</w:t>
      </w:r>
    </w:p>
  </w:footnote>
  <w:footnote w:id="12">
    <w:p w14:paraId="6177F09A" w14:textId="616CFB5A" w:rsidR="0022449F" w:rsidRDefault="0022449F" w:rsidP="0022449F">
      <w:pPr>
        <w:pStyle w:val="TableFigureFooter"/>
      </w:pPr>
      <w:r>
        <w:rPr>
          <w:rStyle w:val="FootnoteReference"/>
        </w:rPr>
        <w:footnoteRef/>
      </w:r>
      <w:r>
        <w:t xml:space="preserve"> </w:t>
      </w:r>
      <w:r w:rsidRPr="005C607B">
        <w:t>Gharbi-Meliani, A., Dugravot, A., Sabia, S., Regy, M., Fayosse, A., Schnitzler, A., Kivimäki, M., Singh-Manoux, A., &amp; Dumurgier, J. (2021). The association of APOE ε4 with cognitive function over the adult life course and incidence of dementia: 20</w:t>
      </w:r>
      <w:r w:rsidRPr="005C607B">
        <w:rPr>
          <w:rFonts w:ascii="Arial" w:hAnsi="Arial"/>
        </w:rPr>
        <w:t> </w:t>
      </w:r>
      <w:r w:rsidRPr="005C607B">
        <w:t xml:space="preserve">years follow-up of the Whitehall II study. </w:t>
      </w:r>
      <w:r w:rsidRPr="005C607B">
        <w:rPr>
          <w:i/>
        </w:rPr>
        <w:t>Alzheimer’s Research &amp; Therapy</w:t>
      </w:r>
      <w:r w:rsidRPr="005C607B">
        <w:t xml:space="preserve">, </w:t>
      </w:r>
      <w:r w:rsidRPr="005C607B">
        <w:rPr>
          <w:i/>
        </w:rPr>
        <w:t>13</w:t>
      </w:r>
      <w:r w:rsidRPr="005C607B">
        <w:t>(1), Article 5. https://doi.org/10.1186/s13195-020-00740-0</w:t>
      </w:r>
      <w:r>
        <w:t>.</w:t>
      </w:r>
    </w:p>
  </w:footnote>
  <w:footnote w:id="13">
    <w:p w14:paraId="51563EAD" w14:textId="77777777" w:rsidR="0022449F" w:rsidRDefault="0022449F" w:rsidP="0022449F">
      <w:pPr>
        <w:pStyle w:val="TableFigureFooter"/>
      </w:pPr>
      <w:r>
        <w:rPr>
          <w:rStyle w:val="FootnoteReference"/>
        </w:rPr>
        <w:footnoteRef/>
      </w:r>
      <w:r>
        <w:t xml:space="preserve"> </w:t>
      </w:r>
      <w:r w:rsidRPr="00056C98">
        <w:t>Seto M</w:t>
      </w:r>
      <w:r>
        <w:t xml:space="preserve"> </w:t>
      </w:r>
      <w:r w:rsidRPr="00056C98">
        <w:t>et al. RNASE6 is a novel modifier of APOE-ε4 effects on cognition. </w:t>
      </w:r>
      <w:r w:rsidRPr="00056C98">
        <w:rPr>
          <w:i/>
          <w:iCs/>
        </w:rPr>
        <w:t>Neurobiol Aging</w:t>
      </w:r>
      <w:r w:rsidRPr="00056C98">
        <w:t xml:space="preserve">. </w:t>
      </w:r>
      <w:r w:rsidRPr="00056C98">
        <w:t>2022;118:66-76</w:t>
      </w:r>
    </w:p>
  </w:footnote>
  <w:footnote w:id="14">
    <w:p w14:paraId="74AF60EA" w14:textId="77777777" w:rsidR="0022449F" w:rsidRDefault="0022449F" w:rsidP="0022449F">
      <w:pPr>
        <w:pStyle w:val="TableFigureFooter"/>
      </w:pPr>
      <w:r>
        <w:rPr>
          <w:rStyle w:val="FootnoteReference"/>
        </w:rPr>
        <w:footnoteRef/>
      </w:r>
      <w:r>
        <w:t xml:space="preserve"> </w:t>
      </w:r>
      <w:r w:rsidRPr="004A09C1">
        <w:t>Lavrencic LM et al. Dementia Incidence, </w:t>
      </w:r>
      <w:r w:rsidRPr="004A09C1">
        <w:rPr>
          <w:i/>
          <w:iCs/>
        </w:rPr>
        <w:t>APOE</w:t>
      </w:r>
      <w:r w:rsidRPr="004A09C1">
        <w:t> Genotype, and Risk Factors for Cognitive Decline in Aboriginal Australians: A Longitudinal Cohort Study. </w:t>
      </w:r>
      <w:r w:rsidRPr="004A09C1">
        <w:rPr>
          <w:i/>
          <w:iCs/>
        </w:rPr>
        <w:t>Neurology</w:t>
      </w:r>
      <w:r w:rsidRPr="004A09C1">
        <w:t>. 2022;98(11</w:t>
      </w:r>
      <w:r w:rsidRPr="004A09C1">
        <w:t>):e1124-e1136</w:t>
      </w:r>
    </w:p>
  </w:footnote>
  <w:footnote w:id="15">
    <w:p w14:paraId="0725EAB2" w14:textId="77777777" w:rsidR="0022449F" w:rsidRDefault="0022449F" w:rsidP="0022449F">
      <w:pPr>
        <w:pStyle w:val="TableFigureFooter"/>
      </w:pPr>
      <w:r>
        <w:rPr>
          <w:rStyle w:val="FootnoteReference"/>
        </w:rPr>
        <w:footnoteRef/>
      </w:r>
      <w:r>
        <w:t xml:space="preserve"> </w:t>
      </w:r>
      <w:r w:rsidRPr="00EF2B1D">
        <w:t>Nguyen HXT</w:t>
      </w:r>
      <w:r>
        <w:t xml:space="preserve"> et al</w:t>
      </w:r>
      <w:r w:rsidRPr="00EF2B1D">
        <w:t>. Risk, protective, and biomarkers of dementia in Indigenous peoples: A systematic review. </w:t>
      </w:r>
      <w:r w:rsidRPr="00EF2B1D">
        <w:rPr>
          <w:i/>
          <w:iCs/>
        </w:rPr>
        <w:t>Alzheimers Dement</w:t>
      </w:r>
      <w:r w:rsidRPr="00EF2B1D">
        <w:t>. 2024;20(1):563-592.</w:t>
      </w:r>
    </w:p>
  </w:footnote>
  <w:footnote w:id="16">
    <w:p w14:paraId="54A9618A" w14:textId="2A710978" w:rsidR="0022449F" w:rsidRPr="00F81C4E" w:rsidRDefault="0022449F" w:rsidP="0022449F">
      <w:pPr>
        <w:pStyle w:val="TableFigureFooter"/>
        <w:rPr>
          <w:lang w:val="de-DE"/>
        </w:rPr>
      </w:pPr>
      <w:r w:rsidRPr="00780C1B">
        <w:rPr>
          <w:rStyle w:val="FootnoteReference"/>
          <w:vertAlign w:val="baseline"/>
        </w:rPr>
        <w:footnoteRef/>
      </w:r>
      <w:r>
        <w:t xml:space="preserve"> </w:t>
      </w:r>
      <w:r w:rsidRPr="00780C1B">
        <w:rPr>
          <w:rStyle w:val="cf01"/>
          <w:rFonts w:ascii="Arial Narrow" w:hAnsi="Arial Narrow" w:cs="Arial"/>
          <w:szCs w:val="22"/>
        </w:rPr>
        <w:t>Bergeron et al. Evidence-based Interpretation of Amyloid-</w:t>
      </w:r>
      <w:r w:rsidR="004E601B">
        <w:rPr>
          <w:rStyle w:val="cf01"/>
          <w:rFonts w:ascii="Calibri" w:hAnsi="Calibri" w:cs="Calibri"/>
          <w:szCs w:val="22"/>
        </w:rPr>
        <w:t>β</w:t>
      </w:r>
      <w:r w:rsidRPr="00780C1B">
        <w:rPr>
          <w:rStyle w:val="cf01"/>
          <w:rFonts w:ascii="Arial Narrow" w:hAnsi="Arial Narrow" w:cs="Arial"/>
          <w:szCs w:val="22"/>
        </w:rPr>
        <w:t xml:space="preserve"> PET results. </w:t>
      </w:r>
      <w:r w:rsidRPr="00F81C4E">
        <w:rPr>
          <w:rStyle w:val="cf11"/>
          <w:rFonts w:ascii="Arial Narrow" w:hAnsi="Arial Narrow" w:cs="Arial"/>
          <w:szCs w:val="22"/>
          <w:lang w:val="de-DE"/>
        </w:rPr>
        <w:t>Alzheimer Dis Assoc Disord</w:t>
      </w:r>
      <w:r w:rsidRPr="00F81C4E">
        <w:rPr>
          <w:rStyle w:val="cf11"/>
          <w:rFonts w:ascii="Arial Narrow" w:hAnsi="Arial Narrow" w:cs="Arial"/>
          <w:i w:val="0"/>
          <w:szCs w:val="22"/>
          <w:lang w:val="de-DE"/>
        </w:rPr>
        <w:t xml:space="preserve"> 32(1); 2018: 28-34"</w:t>
      </w:r>
    </w:p>
  </w:footnote>
  <w:footnote w:id="17">
    <w:p w14:paraId="010FD1CA" w14:textId="77777777" w:rsidR="0022449F" w:rsidRPr="00F81C4E" w:rsidRDefault="0022449F" w:rsidP="0022449F">
      <w:pPr>
        <w:pStyle w:val="TableFigureFooter"/>
        <w:rPr>
          <w:lang w:val="de-DE"/>
        </w:rPr>
      </w:pPr>
      <w:r>
        <w:rPr>
          <w:rStyle w:val="FootnoteReference"/>
        </w:rPr>
        <w:footnoteRef/>
      </w:r>
      <w:r w:rsidRPr="00F81C4E">
        <w:rPr>
          <w:lang w:val="de-DE"/>
        </w:rPr>
        <w:t xml:space="preserve"> Hatfield MK, Handrich SJ, Willis JA, Beres RA, Zaleski GX. </w:t>
      </w:r>
      <w:r w:rsidRPr="00CE6B74">
        <w:t>Blood patch rates after lumbar puncture with Whitacre versus Quincke 22- and 20-gauge spinal needles</w:t>
      </w:r>
      <w:r w:rsidRPr="009550BD">
        <w:rPr>
          <w:i/>
          <w:iCs/>
        </w:rPr>
        <w:t xml:space="preserve">. </w:t>
      </w:r>
      <w:r w:rsidRPr="00F81C4E">
        <w:rPr>
          <w:i/>
          <w:iCs/>
          <w:lang w:val="de-DE"/>
        </w:rPr>
        <w:t>AJR Am J Roentgenol</w:t>
      </w:r>
      <w:r w:rsidRPr="00F81C4E">
        <w:rPr>
          <w:lang w:val="de-DE"/>
        </w:rPr>
        <w:t>. 2008 Jun;190(6):1686-9. doi: 10.2214/AJR.07.3351. PMID: 18492925.</w:t>
      </w:r>
    </w:p>
  </w:footnote>
  <w:footnote w:id="18">
    <w:p w14:paraId="56EFE003" w14:textId="77777777" w:rsidR="0022449F" w:rsidRPr="00F81C4E" w:rsidRDefault="0022449F" w:rsidP="0022449F">
      <w:pPr>
        <w:pStyle w:val="TableFigureFooter"/>
        <w:rPr>
          <w:lang w:val="de-DE"/>
        </w:rPr>
      </w:pPr>
      <w:r>
        <w:rPr>
          <w:rStyle w:val="FootnoteReference"/>
        </w:rPr>
        <w:footnoteRef/>
      </w:r>
      <w:r w:rsidRPr="00F81C4E">
        <w:rPr>
          <w:lang w:val="de-DE"/>
        </w:rPr>
        <w:t xml:space="preserve"> </w:t>
      </w:r>
      <w:hyperlink r:id="rId8" w:history="1">
        <w:r w:rsidRPr="00F81C4E">
          <w:rPr>
            <w:rStyle w:val="Hyperlink"/>
            <w:color w:val="007BB8"/>
            <w:lang w:val="de-DE"/>
          </w:rPr>
          <w:t>https://www.fda.gov/news-events/press-announcements/fda-clears-first-blood-test-used-diagnosing-alzheimers-disease</w:t>
        </w:r>
      </w:hyperlink>
      <w:r w:rsidRPr="00F81C4E">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3F65" w14:textId="6A1246C0" w:rsidR="007912EF" w:rsidRDefault="00FD1C72">
    <w:pPr>
      <w:pStyle w:val="Header"/>
    </w:pPr>
    <w:r>
      <w:rPr>
        <w:noProof/>
      </w:rPr>
      <mc:AlternateContent>
        <mc:Choice Requires="wps">
          <w:drawing>
            <wp:anchor distT="0" distB="0" distL="0" distR="0" simplePos="0" relativeHeight="251658241" behindDoc="0" locked="0" layoutInCell="1" allowOverlap="1" wp14:anchorId="5A3118AD" wp14:editId="2441566B">
              <wp:simplePos x="635" y="635"/>
              <wp:positionH relativeFrom="page">
                <wp:align>center</wp:align>
              </wp:positionH>
              <wp:positionV relativeFrom="page">
                <wp:align>top</wp:align>
              </wp:positionV>
              <wp:extent cx="551815" cy="467360"/>
              <wp:effectExtent l="0" t="0" r="635" b="8890"/>
              <wp:wrapNone/>
              <wp:docPr id="9221629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B53D590" w14:textId="7A34AA95"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118AD"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1B53D590" w14:textId="7A34AA95"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9771" w14:textId="5E09BD0D" w:rsidR="007912EF" w:rsidRDefault="00791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04F1" w14:textId="546088FB" w:rsidR="007912EF" w:rsidRDefault="00FD1C72">
    <w:pPr>
      <w:pStyle w:val="Header"/>
    </w:pPr>
    <w:r>
      <w:rPr>
        <w:noProof/>
      </w:rPr>
      <mc:AlternateContent>
        <mc:Choice Requires="wps">
          <w:drawing>
            <wp:anchor distT="0" distB="0" distL="0" distR="0" simplePos="0" relativeHeight="251658240" behindDoc="0" locked="0" layoutInCell="1" allowOverlap="1" wp14:anchorId="1673E997" wp14:editId="571BC9D1">
              <wp:simplePos x="635" y="635"/>
              <wp:positionH relativeFrom="page">
                <wp:align>center</wp:align>
              </wp:positionH>
              <wp:positionV relativeFrom="page">
                <wp:align>top</wp:align>
              </wp:positionV>
              <wp:extent cx="551815" cy="467360"/>
              <wp:effectExtent l="0" t="0" r="635" b="8890"/>
              <wp:wrapNone/>
              <wp:docPr id="1128265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2B8692B" w14:textId="37A77375"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3E997" id="_x0000_t202" coordsize="21600,21600" o:spt="202" path="m,l,21600r21600,l21600,xe">
              <v:stroke joinstyle="miter"/>
              <v:path gradientshapeok="t" o:connecttype="rect"/>
            </v:shapetype>
            <v:shape id="Text Box 1" o:spid="_x0000_s1030" type="#_x0000_t202" alt="OFFICIAL" style="position:absolute;margin-left:0;margin-top:0;width:43.45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42B8692B" w14:textId="37A77375" w:rsidR="00FD1C72" w:rsidRPr="00FD1C72" w:rsidRDefault="00FD1C72" w:rsidP="00FD1C72">
                    <w:pPr>
                      <w:spacing w:after="0"/>
                      <w:rPr>
                        <w:rFonts w:ascii="Calibri" w:eastAsia="Calibri" w:hAnsi="Calibri" w:cs="Calibri"/>
                        <w:noProof/>
                        <w:color w:val="FF0000"/>
                        <w:sz w:val="24"/>
                        <w:szCs w:val="24"/>
                      </w:rPr>
                    </w:pPr>
                    <w:r w:rsidRPr="00FD1C7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DCB29C"/>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18032F3"/>
    <w:multiLevelType w:val="hybridMultilevel"/>
    <w:tmpl w:val="111A8E82"/>
    <w:lvl w:ilvl="0" w:tplc="64CA1096">
      <w:start w:val="1"/>
      <w:numFmt w:val="bullet"/>
      <w:suff w:val="space"/>
      <w:lvlText w:val=""/>
      <w:lvlJc w:val="left"/>
      <w:pPr>
        <w:ind w:left="360"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 w15:restartNumberingAfterBreak="0">
    <w:nsid w:val="023E21C5"/>
    <w:multiLevelType w:val="hybridMultilevel"/>
    <w:tmpl w:val="966E8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A073C"/>
    <w:multiLevelType w:val="multilevel"/>
    <w:tmpl w:val="B156A7D0"/>
    <w:styleLink w:val="Style1"/>
    <w:lvl w:ilvl="0">
      <w:start w:val="1"/>
      <w:numFmt w:val="decimal"/>
      <w:lvlText w:val="%1"/>
      <w:lvlJc w:val="left"/>
      <w:pPr>
        <w:ind w:left="502" w:hanging="720"/>
      </w:pPr>
      <w:rPr>
        <w:rFonts w:hint="default"/>
        <w:b/>
      </w:rPr>
    </w:lvl>
    <w:lvl w:ilvl="1">
      <w:start w:val="1"/>
      <w:numFmt w:val="none"/>
      <w:suff w:val="nothing"/>
      <w:lvlText w:val=""/>
      <w:lvlJc w:val="left"/>
      <w:pPr>
        <w:ind w:left="502" w:hanging="720"/>
      </w:pPr>
      <w:rPr>
        <w:rFonts w:hint="default"/>
      </w:rPr>
    </w:lvl>
    <w:lvl w:ilvl="2">
      <w:start w:val="1"/>
      <w:numFmt w:val="none"/>
      <w:lvlRestart w:val="1"/>
      <w:suff w:val="nothing"/>
      <w:lvlText w:val=""/>
      <w:lvlJc w:val="left"/>
      <w:pPr>
        <w:ind w:left="502" w:hanging="720"/>
      </w:pPr>
      <w:rPr>
        <w:rFonts w:hint="default"/>
      </w:rPr>
    </w:lvl>
    <w:lvl w:ilvl="3">
      <w:start w:val="1"/>
      <w:numFmt w:val="none"/>
      <w:lvlRestart w:val="1"/>
      <w:suff w:val="nothing"/>
      <w:lvlText w:val=""/>
      <w:lvlJc w:val="left"/>
      <w:pPr>
        <w:ind w:left="862" w:hanging="1080"/>
      </w:pPr>
      <w:rPr>
        <w:rFonts w:hint="default"/>
      </w:rPr>
    </w:lvl>
    <w:lvl w:ilvl="4">
      <w:start w:val="1"/>
      <w:numFmt w:val="decimal"/>
      <w:lvlRestart w:val="1"/>
      <w:lvlText w:val="%1.%5"/>
      <w:lvlJc w:val="left"/>
      <w:pPr>
        <w:ind w:left="862" w:hanging="1080"/>
      </w:pPr>
      <w:rPr>
        <w:rFonts w:asciiTheme="minorHAnsi" w:hAnsiTheme="minorHAnsi" w:hint="default"/>
        <w:b w:val="0"/>
        <w:i w:val="0"/>
        <w:color w:val="auto"/>
        <w:sz w:val="24"/>
        <w:u w:val="none"/>
      </w:rPr>
    </w:lvl>
    <w:lvl w:ilvl="5">
      <w:start w:val="1"/>
      <w:numFmt w:val="decimal"/>
      <w:lvlRestart w:val="1"/>
      <w:lvlText w:val="%6"/>
      <w:lvlJc w:val="left"/>
      <w:pPr>
        <w:ind w:left="502" w:hanging="720"/>
      </w:pPr>
      <w:rPr>
        <w:rFonts w:hint="default"/>
      </w:rPr>
    </w:lvl>
    <w:lvl w:ilvl="6">
      <w:start w:val="1"/>
      <w:numFmt w:val="none"/>
      <w:suff w:val="nothing"/>
      <w:lvlText w:val=""/>
      <w:lvlJc w:val="left"/>
      <w:pPr>
        <w:ind w:left="502" w:hanging="72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4" w15:restartNumberingAfterBreak="0">
    <w:nsid w:val="04097176"/>
    <w:multiLevelType w:val="hybridMultilevel"/>
    <w:tmpl w:val="7A5229FA"/>
    <w:lvl w:ilvl="0" w:tplc="D75EB9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CF3E3D"/>
    <w:multiLevelType w:val="hybridMultilevel"/>
    <w:tmpl w:val="5A7E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466CBA"/>
    <w:multiLevelType w:val="hybridMultilevel"/>
    <w:tmpl w:val="D8EEA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2F07E4"/>
    <w:multiLevelType w:val="hybridMultilevel"/>
    <w:tmpl w:val="89200472"/>
    <w:lvl w:ilvl="0" w:tplc="C63EEEA2">
      <w:start w:val="1"/>
      <w:numFmt w:val="bullet"/>
      <w:lvlText w:val=""/>
      <w:lvlJc w:val="left"/>
      <w:pPr>
        <w:ind w:left="680" w:hanging="283"/>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D680A01"/>
    <w:multiLevelType w:val="hybridMultilevel"/>
    <w:tmpl w:val="1396C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847AEC"/>
    <w:multiLevelType w:val="hybridMultilevel"/>
    <w:tmpl w:val="E66C3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F7152B"/>
    <w:multiLevelType w:val="hybridMultilevel"/>
    <w:tmpl w:val="9E9E7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413965"/>
    <w:multiLevelType w:val="hybridMultilevel"/>
    <w:tmpl w:val="11A2D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pStyle w:val="Heading61"/>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A490F8C"/>
    <w:multiLevelType w:val="multilevel"/>
    <w:tmpl w:val="7BA26C2A"/>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lvlText w:val="%1%2.%3"/>
      <w:lvlJc w:val="left"/>
      <w:pPr>
        <w:ind w:left="2836" w:firstLine="0"/>
      </w:pPr>
      <w:rPr>
        <w:rFonts w:hint="default"/>
      </w:rPr>
    </w:lvl>
    <w:lvl w:ilvl="3">
      <w:start w:val="1"/>
      <w:numFmt w:val="decimal"/>
      <w:lvlRestart w:val="1"/>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E2B1952"/>
    <w:multiLevelType w:val="hybridMultilevel"/>
    <w:tmpl w:val="38F43648"/>
    <w:lvl w:ilvl="0" w:tplc="4568373E">
      <w:start w:val="1"/>
      <w:numFmt w:val="decimal"/>
      <w:pStyle w:val="ListParagraph"/>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D44150"/>
    <w:multiLevelType w:val="hybridMultilevel"/>
    <w:tmpl w:val="BCAA3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F06C6"/>
    <w:multiLevelType w:val="multilevel"/>
    <w:tmpl w:val="EEF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75C58"/>
    <w:multiLevelType w:val="multilevel"/>
    <w:tmpl w:val="6F9E8516"/>
    <w:lvl w:ilvl="0">
      <w:start w:val="1"/>
      <w:numFmt w:val="bullet"/>
      <w:pStyle w:val="InstructionBulletpoint"/>
      <w:lvlText w:val=""/>
      <w:lvlJc w:val="left"/>
      <w:pPr>
        <w:ind w:left="360" w:hanging="360"/>
      </w:pPr>
      <w:rPr>
        <w:rFonts w:ascii="Symbol" w:hAnsi="Symbol" w:hint="default"/>
      </w:rPr>
    </w:lvl>
    <w:lvl w:ilvl="1">
      <w:start w:val="1"/>
      <w:numFmt w:val="bullet"/>
      <w:lvlText w:val=""/>
      <w:lvlJc w:val="left"/>
      <w:pPr>
        <w:ind w:left="1080" w:hanging="476"/>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9E3856"/>
    <w:multiLevelType w:val="hybridMultilevel"/>
    <w:tmpl w:val="E1A2C74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EB7553E"/>
    <w:multiLevelType w:val="hybridMultilevel"/>
    <w:tmpl w:val="001464CA"/>
    <w:lvl w:ilvl="0" w:tplc="115C502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4E1661A"/>
    <w:multiLevelType w:val="hybridMultilevel"/>
    <w:tmpl w:val="AB58DECC"/>
    <w:lvl w:ilvl="0" w:tplc="E5DE0ADE">
      <w:start w:val="1"/>
      <w:numFmt w:val="bullet"/>
      <w:lvlText w:val=""/>
      <w:lvlJc w:val="left"/>
      <w:pPr>
        <w:ind w:left="720" w:hanging="360"/>
      </w:pPr>
      <w:rPr>
        <w:rFonts w:ascii="Symbol" w:hAnsi="Symbol" w:hint="default"/>
      </w:rPr>
    </w:lvl>
    <w:lvl w:ilvl="1" w:tplc="4D04F18C">
      <w:start w:val="1"/>
      <w:numFmt w:val="bullet"/>
      <w:lvlText w:val="o"/>
      <w:lvlJc w:val="left"/>
      <w:pPr>
        <w:ind w:left="1440" w:hanging="360"/>
      </w:pPr>
      <w:rPr>
        <w:rFonts w:ascii="Courier New" w:hAnsi="Courier New" w:hint="default"/>
      </w:rPr>
    </w:lvl>
    <w:lvl w:ilvl="2" w:tplc="0A0842F2">
      <w:start w:val="1"/>
      <w:numFmt w:val="bullet"/>
      <w:lvlText w:val=""/>
      <w:lvlJc w:val="left"/>
      <w:pPr>
        <w:ind w:left="2160" w:hanging="360"/>
      </w:pPr>
      <w:rPr>
        <w:rFonts w:ascii="Wingdings" w:hAnsi="Wingdings" w:hint="default"/>
      </w:rPr>
    </w:lvl>
    <w:lvl w:ilvl="3" w:tplc="A126C294">
      <w:start w:val="1"/>
      <w:numFmt w:val="bullet"/>
      <w:lvlText w:val=""/>
      <w:lvlJc w:val="left"/>
      <w:pPr>
        <w:ind w:left="2880" w:hanging="360"/>
      </w:pPr>
      <w:rPr>
        <w:rFonts w:ascii="Symbol" w:hAnsi="Symbol" w:hint="default"/>
      </w:rPr>
    </w:lvl>
    <w:lvl w:ilvl="4" w:tplc="1BAC1B44">
      <w:start w:val="1"/>
      <w:numFmt w:val="bullet"/>
      <w:lvlText w:val="o"/>
      <w:lvlJc w:val="left"/>
      <w:pPr>
        <w:ind w:left="3600" w:hanging="360"/>
      </w:pPr>
      <w:rPr>
        <w:rFonts w:ascii="Courier New" w:hAnsi="Courier New" w:hint="default"/>
      </w:rPr>
    </w:lvl>
    <w:lvl w:ilvl="5" w:tplc="6390E0A6">
      <w:start w:val="1"/>
      <w:numFmt w:val="bullet"/>
      <w:lvlText w:val=""/>
      <w:lvlJc w:val="left"/>
      <w:pPr>
        <w:ind w:left="4320" w:hanging="360"/>
      </w:pPr>
      <w:rPr>
        <w:rFonts w:ascii="Wingdings" w:hAnsi="Wingdings" w:hint="default"/>
      </w:rPr>
    </w:lvl>
    <w:lvl w:ilvl="6" w:tplc="F37EC046">
      <w:start w:val="1"/>
      <w:numFmt w:val="bullet"/>
      <w:lvlText w:val=""/>
      <w:lvlJc w:val="left"/>
      <w:pPr>
        <w:ind w:left="5040" w:hanging="360"/>
      </w:pPr>
      <w:rPr>
        <w:rFonts w:ascii="Symbol" w:hAnsi="Symbol" w:hint="default"/>
      </w:rPr>
    </w:lvl>
    <w:lvl w:ilvl="7" w:tplc="CAB4EB22">
      <w:start w:val="1"/>
      <w:numFmt w:val="bullet"/>
      <w:lvlText w:val="o"/>
      <w:lvlJc w:val="left"/>
      <w:pPr>
        <w:ind w:left="5760" w:hanging="360"/>
      </w:pPr>
      <w:rPr>
        <w:rFonts w:ascii="Courier New" w:hAnsi="Courier New" w:hint="default"/>
      </w:rPr>
    </w:lvl>
    <w:lvl w:ilvl="8" w:tplc="F59AC188">
      <w:start w:val="1"/>
      <w:numFmt w:val="bullet"/>
      <w:lvlText w:val=""/>
      <w:lvlJc w:val="left"/>
      <w:pPr>
        <w:ind w:left="6480" w:hanging="360"/>
      </w:pPr>
      <w:rPr>
        <w:rFonts w:ascii="Wingdings" w:hAnsi="Wingdings" w:hint="default"/>
      </w:rPr>
    </w:lvl>
  </w:abstractNum>
  <w:abstractNum w:abstractNumId="24" w15:restartNumberingAfterBreak="0">
    <w:nsid w:val="37211A87"/>
    <w:multiLevelType w:val="hybridMultilevel"/>
    <w:tmpl w:val="FAFC3A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096A79"/>
    <w:multiLevelType w:val="multilevel"/>
    <w:tmpl w:val="54C0B3FC"/>
    <w:styleLink w:val="Style1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A3274A"/>
    <w:multiLevelType w:val="hybridMultilevel"/>
    <w:tmpl w:val="00A03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713697E"/>
    <w:multiLevelType w:val="hybridMultilevel"/>
    <w:tmpl w:val="95847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9EF0EDC"/>
    <w:multiLevelType w:val="hybridMultilevel"/>
    <w:tmpl w:val="73E6D864"/>
    <w:lvl w:ilvl="0" w:tplc="DB4A5812">
      <w:numFmt w:val="bullet"/>
      <w:pStyle w:val="Tablebulletlist"/>
      <w:lvlText w:val="•"/>
      <w:lvlJc w:val="left"/>
      <w:pPr>
        <w:ind w:left="468" w:hanging="360"/>
      </w:pPr>
      <w:rPr>
        <w:rFonts w:ascii="Montserrat" w:eastAsia="Calibri" w:hAnsi="Montserrat" w:cs="Calibri"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33" w15:restartNumberingAfterBreak="0">
    <w:nsid w:val="4F4A07DE"/>
    <w:multiLevelType w:val="hybridMultilevel"/>
    <w:tmpl w:val="0E1A3C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4734F8"/>
    <w:multiLevelType w:val="hybridMultilevel"/>
    <w:tmpl w:val="A6C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591599"/>
    <w:multiLevelType w:val="hybridMultilevel"/>
    <w:tmpl w:val="ABEC2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011A9A"/>
    <w:multiLevelType w:val="hybridMultilevel"/>
    <w:tmpl w:val="4E0CB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5BCD01FF"/>
    <w:multiLevelType w:val="hybridMultilevel"/>
    <w:tmpl w:val="60E25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F0555F"/>
    <w:multiLevelType w:val="hybridMultilevel"/>
    <w:tmpl w:val="B426B556"/>
    <w:lvl w:ilvl="0" w:tplc="516E3BFE">
      <w:start w:val="1"/>
      <w:numFmt w:val="bullet"/>
      <w:lvlText w:val=""/>
      <w:lvlJc w:val="left"/>
      <w:pPr>
        <w:ind w:left="720" w:hanging="360"/>
      </w:pPr>
      <w:rPr>
        <w:rFonts w:ascii="Symbol" w:hAnsi="Symbol"/>
      </w:rPr>
    </w:lvl>
    <w:lvl w:ilvl="1" w:tplc="015C5FD0">
      <w:start w:val="1"/>
      <w:numFmt w:val="bullet"/>
      <w:lvlText w:val=""/>
      <w:lvlJc w:val="left"/>
      <w:pPr>
        <w:ind w:left="720" w:hanging="360"/>
      </w:pPr>
      <w:rPr>
        <w:rFonts w:ascii="Symbol" w:hAnsi="Symbol"/>
      </w:rPr>
    </w:lvl>
    <w:lvl w:ilvl="2" w:tplc="1542C4B6">
      <w:start w:val="1"/>
      <w:numFmt w:val="bullet"/>
      <w:lvlText w:val=""/>
      <w:lvlJc w:val="left"/>
      <w:pPr>
        <w:ind w:left="720" w:hanging="360"/>
      </w:pPr>
      <w:rPr>
        <w:rFonts w:ascii="Symbol" w:hAnsi="Symbol"/>
      </w:rPr>
    </w:lvl>
    <w:lvl w:ilvl="3" w:tplc="2CE4A73A">
      <w:start w:val="1"/>
      <w:numFmt w:val="bullet"/>
      <w:lvlText w:val=""/>
      <w:lvlJc w:val="left"/>
      <w:pPr>
        <w:ind w:left="720" w:hanging="360"/>
      </w:pPr>
      <w:rPr>
        <w:rFonts w:ascii="Symbol" w:hAnsi="Symbol"/>
      </w:rPr>
    </w:lvl>
    <w:lvl w:ilvl="4" w:tplc="EDE29D26">
      <w:start w:val="1"/>
      <w:numFmt w:val="bullet"/>
      <w:lvlText w:val=""/>
      <w:lvlJc w:val="left"/>
      <w:pPr>
        <w:ind w:left="720" w:hanging="360"/>
      </w:pPr>
      <w:rPr>
        <w:rFonts w:ascii="Symbol" w:hAnsi="Symbol"/>
      </w:rPr>
    </w:lvl>
    <w:lvl w:ilvl="5" w:tplc="34D685D0">
      <w:start w:val="1"/>
      <w:numFmt w:val="bullet"/>
      <w:lvlText w:val=""/>
      <w:lvlJc w:val="left"/>
      <w:pPr>
        <w:ind w:left="720" w:hanging="360"/>
      </w:pPr>
      <w:rPr>
        <w:rFonts w:ascii="Symbol" w:hAnsi="Symbol"/>
      </w:rPr>
    </w:lvl>
    <w:lvl w:ilvl="6" w:tplc="03F41EBA">
      <w:start w:val="1"/>
      <w:numFmt w:val="bullet"/>
      <w:lvlText w:val=""/>
      <w:lvlJc w:val="left"/>
      <w:pPr>
        <w:ind w:left="720" w:hanging="360"/>
      </w:pPr>
      <w:rPr>
        <w:rFonts w:ascii="Symbol" w:hAnsi="Symbol"/>
      </w:rPr>
    </w:lvl>
    <w:lvl w:ilvl="7" w:tplc="423A0D06">
      <w:start w:val="1"/>
      <w:numFmt w:val="bullet"/>
      <w:lvlText w:val=""/>
      <w:lvlJc w:val="left"/>
      <w:pPr>
        <w:ind w:left="720" w:hanging="360"/>
      </w:pPr>
      <w:rPr>
        <w:rFonts w:ascii="Symbol" w:hAnsi="Symbol"/>
      </w:rPr>
    </w:lvl>
    <w:lvl w:ilvl="8" w:tplc="0F024692">
      <w:start w:val="1"/>
      <w:numFmt w:val="bullet"/>
      <w:lvlText w:val=""/>
      <w:lvlJc w:val="left"/>
      <w:pPr>
        <w:ind w:left="720" w:hanging="360"/>
      </w:pPr>
      <w:rPr>
        <w:rFonts w:ascii="Symbol" w:hAnsi="Symbol"/>
      </w:rPr>
    </w:lvl>
  </w:abstractNum>
  <w:abstractNum w:abstractNumId="40"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59606C7"/>
    <w:multiLevelType w:val="hybridMultilevel"/>
    <w:tmpl w:val="84BA7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D372F9"/>
    <w:multiLevelType w:val="hybridMultilevel"/>
    <w:tmpl w:val="1C3C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C272B"/>
    <w:multiLevelType w:val="hybridMultilevel"/>
    <w:tmpl w:val="132CF644"/>
    <w:styleLink w:val="Style31"/>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93EA1"/>
    <w:multiLevelType w:val="hybridMultilevel"/>
    <w:tmpl w:val="F1468B3C"/>
    <w:lvl w:ilvl="0" w:tplc="EDD8F612">
      <w:start w:val="1"/>
      <w:numFmt w:val="bullet"/>
      <w:lvlText w:val=""/>
      <w:lvlJc w:val="left"/>
      <w:pPr>
        <w:ind w:left="720" w:hanging="360"/>
      </w:pPr>
      <w:rPr>
        <w:rFonts w:ascii="Symbol" w:hAnsi="Symbol"/>
      </w:rPr>
    </w:lvl>
    <w:lvl w:ilvl="1" w:tplc="D458CEE2">
      <w:start w:val="1"/>
      <w:numFmt w:val="bullet"/>
      <w:lvlText w:val=""/>
      <w:lvlJc w:val="left"/>
      <w:pPr>
        <w:ind w:left="720" w:hanging="360"/>
      </w:pPr>
      <w:rPr>
        <w:rFonts w:ascii="Symbol" w:hAnsi="Symbol"/>
      </w:rPr>
    </w:lvl>
    <w:lvl w:ilvl="2" w:tplc="49802142">
      <w:start w:val="1"/>
      <w:numFmt w:val="bullet"/>
      <w:lvlText w:val=""/>
      <w:lvlJc w:val="left"/>
      <w:pPr>
        <w:ind w:left="720" w:hanging="360"/>
      </w:pPr>
      <w:rPr>
        <w:rFonts w:ascii="Symbol" w:hAnsi="Symbol"/>
      </w:rPr>
    </w:lvl>
    <w:lvl w:ilvl="3" w:tplc="5410464C">
      <w:start w:val="1"/>
      <w:numFmt w:val="bullet"/>
      <w:lvlText w:val=""/>
      <w:lvlJc w:val="left"/>
      <w:pPr>
        <w:ind w:left="720" w:hanging="360"/>
      </w:pPr>
      <w:rPr>
        <w:rFonts w:ascii="Symbol" w:hAnsi="Symbol"/>
      </w:rPr>
    </w:lvl>
    <w:lvl w:ilvl="4" w:tplc="2E724896">
      <w:start w:val="1"/>
      <w:numFmt w:val="bullet"/>
      <w:lvlText w:val=""/>
      <w:lvlJc w:val="left"/>
      <w:pPr>
        <w:ind w:left="720" w:hanging="360"/>
      </w:pPr>
      <w:rPr>
        <w:rFonts w:ascii="Symbol" w:hAnsi="Symbol"/>
      </w:rPr>
    </w:lvl>
    <w:lvl w:ilvl="5" w:tplc="3124B43E">
      <w:start w:val="1"/>
      <w:numFmt w:val="bullet"/>
      <w:lvlText w:val=""/>
      <w:lvlJc w:val="left"/>
      <w:pPr>
        <w:ind w:left="720" w:hanging="360"/>
      </w:pPr>
      <w:rPr>
        <w:rFonts w:ascii="Symbol" w:hAnsi="Symbol"/>
      </w:rPr>
    </w:lvl>
    <w:lvl w:ilvl="6" w:tplc="25848AE0">
      <w:start w:val="1"/>
      <w:numFmt w:val="bullet"/>
      <w:lvlText w:val=""/>
      <w:lvlJc w:val="left"/>
      <w:pPr>
        <w:ind w:left="720" w:hanging="360"/>
      </w:pPr>
      <w:rPr>
        <w:rFonts w:ascii="Symbol" w:hAnsi="Symbol"/>
      </w:rPr>
    </w:lvl>
    <w:lvl w:ilvl="7" w:tplc="35CC4C76">
      <w:start w:val="1"/>
      <w:numFmt w:val="bullet"/>
      <w:lvlText w:val=""/>
      <w:lvlJc w:val="left"/>
      <w:pPr>
        <w:ind w:left="720" w:hanging="360"/>
      </w:pPr>
      <w:rPr>
        <w:rFonts w:ascii="Symbol" w:hAnsi="Symbol"/>
      </w:rPr>
    </w:lvl>
    <w:lvl w:ilvl="8" w:tplc="B8B8ECF6">
      <w:start w:val="1"/>
      <w:numFmt w:val="bullet"/>
      <w:lvlText w:val=""/>
      <w:lvlJc w:val="left"/>
      <w:pPr>
        <w:ind w:left="720" w:hanging="360"/>
      </w:pPr>
      <w:rPr>
        <w:rFonts w:ascii="Symbol" w:hAnsi="Symbol"/>
      </w:rPr>
    </w:lvl>
  </w:abstractNum>
  <w:abstractNum w:abstractNumId="47" w15:restartNumberingAfterBreak="0">
    <w:nsid w:val="7A393132"/>
    <w:multiLevelType w:val="multilevel"/>
    <w:tmpl w:val="12B292F8"/>
    <w:lvl w:ilvl="0">
      <w:start w:val="2"/>
      <w:numFmt w:val="decimal"/>
      <w:lvlText w:val="%1."/>
      <w:lvlJc w:val="left"/>
      <w:pPr>
        <w:ind w:left="720" w:hanging="360"/>
      </w:pPr>
      <w:rPr>
        <w:rFonts w:hint="default"/>
      </w:rPr>
    </w:lvl>
    <w:lvl w:ilvl="1">
      <w:start w:val="9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943294745">
    <w:abstractNumId w:val="20"/>
  </w:num>
  <w:num w:numId="2" w16cid:durableId="268393627">
    <w:abstractNumId w:val="15"/>
  </w:num>
  <w:num w:numId="3" w16cid:durableId="1728722686">
    <w:abstractNumId w:val="14"/>
  </w:num>
  <w:num w:numId="4" w16cid:durableId="821584777">
    <w:abstractNumId w:val="31"/>
  </w:num>
  <w:num w:numId="5" w16cid:durableId="1831209707">
    <w:abstractNumId w:val="7"/>
  </w:num>
  <w:num w:numId="6" w16cid:durableId="1213539042">
    <w:abstractNumId w:val="19"/>
  </w:num>
  <w:num w:numId="7" w16cid:durableId="1119836982">
    <w:abstractNumId w:val="36"/>
  </w:num>
  <w:num w:numId="8" w16cid:durableId="376708755">
    <w:abstractNumId w:val="3"/>
  </w:num>
  <w:num w:numId="9" w16cid:durableId="1170438738">
    <w:abstractNumId w:val="43"/>
  </w:num>
  <w:num w:numId="10" w16cid:durableId="832525810">
    <w:abstractNumId w:val="25"/>
  </w:num>
  <w:num w:numId="11" w16cid:durableId="219446458">
    <w:abstractNumId w:val="28"/>
  </w:num>
  <w:num w:numId="12" w16cid:durableId="1707633875">
    <w:abstractNumId w:val="45"/>
  </w:num>
  <w:num w:numId="13" w16cid:durableId="1716932451">
    <w:abstractNumId w:val="10"/>
  </w:num>
  <w:num w:numId="14" w16cid:durableId="210267045">
    <w:abstractNumId w:val="27"/>
  </w:num>
  <w:num w:numId="15" w16cid:durableId="1419902980">
    <w:abstractNumId w:val="1"/>
  </w:num>
  <w:num w:numId="16" w16cid:durableId="1990401976">
    <w:abstractNumId w:val="0"/>
  </w:num>
  <w:num w:numId="17" w16cid:durableId="869955403">
    <w:abstractNumId w:val="47"/>
  </w:num>
  <w:num w:numId="18" w16cid:durableId="1458333718">
    <w:abstractNumId w:val="32"/>
  </w:num>
  <w:num w:numId="19" w16cid:durableId="1899851590">
    <w:abstractNumId w:val="8"/>
  </w:num>
  <w:num w:numId="20" w16cid:durableId="740980627">
    <w:abstractNumId w:val="37"/>
  </w:num>
  <w:num w:numId="21" w16cid:durableId="157162262">
    <w:abstractNumId w:val="26"/>
  </w:num>
  <w:num w:numId="22" w16cid:durableId="1396051538">
    <w:abstractNumId w:val="6"/>
  </w:num>
  <w:num w:numId="23" w16cid:durableId="1020619200">
    <w:abstractNumId w:val="29"/>
  </w:num>
  <w:num w:numId="24" w16cid:durableId="115219668">
    <w:abstractNumId w:val="33"/>
  </w:num>
  <w:num w:numId="25" w16cid:durableId="44767784">
    <w:abstractNumId w:val="13"/>
  </w:num>
  <w:num w:numId="26" w16cid:durableId="643436102">
    <w:abstractNumId w:val="35"/>
  </w:num>
  <w:num w:numId="27" w16cid:durableId="2019036893">
    <w:abstractNumId w:val="38"/>
  </w:num>
  <w:num w:numId="28" w16cid:durableId="58405546">
    <w:abstractNumId w:val="41"/>
  </w:num>
  <w:num w:numId="29" w16cid:durableId="1637569147">
    <w:abstractNumId w:val="2"/>
  </w:num>
  <w:num w:numId="30" w16cid:durableId="1027558575">
    <w:abstractNumId w:val="17"/>
  </w:num>
  <w:num w:numId="31" w16cid:durableId="142476261">
    <w:abstractNumId w:val="9"/>
  </w:num>
  <w:num w:numId="32" w16cid:durableId="1229341510">
    <w:abstractNumId w:val="16"/>
  </w:num>
  <w:num w:numId="33" w16cid:durableId="220360847">
    <w:abstractNumId w:val="40"/>
  </w:num>
  <w:num w:numId="34" w16cid:durableId="1653682031">
    <w:abstractNumId w:val="24"/>
  </w:num>
  <w:num w:numId="35" w16cid:durableId="1530028923">
    <w:abstractNumId w:val="22"/>
  </w:num>
  <w:num w:numId="36" w16cid:durableId="785928336">
    <w:abstractNumId w:val="23"/>
  </w:num>
  <w:num w:numId="37" w16cid:durableId="998770964">
    <w:abstractNumId w:val="4"/>
  </w:num>
  <w:num w:numId="38" w16cid:durableId="184904280">
    <w:abstractNumId w:val="11"/>
  </w:num>
  <w:num w:numId="39" w16cid:durableId="908927443">
    <w:abstractNumId w:val="30"/>
  </w:num>
  <w:num w:numId="40" w16cid:durableId="231887112">
    <w:abstractNumId w:val="34"/>
  </w:num>
  <w:num w:numId="41" w16cid:durableId="993215112">
    <w:abstractNumId w:val="12"/>
  </w:num>
  <w:num w:numId="42" w16cid:durableId="814759832">
    <w:abstractNumId w:val="44"/>
  </w:num>
  <w:num w:numId="43" w16cid:durableId="493182971">
    <w:abstractNumId w:val="42"/>
  </w:num>
  <w:num w:numId="44" w16cid:durableId="44835565">
    <w:abstractNumId w:val="5"/>
  </w:num>
  <w:num w:numId="45" w16cid:durableId="162163424">
    <w:abstractNumId w:val="21"/>
  </w:num>
  <w:num w:numId="46" w16cid:durableId="182715020">
    <w:abstractNumId w:val="18"/>
  </w:num>
  <w:num w:numId="47" w16cid:durableId="1626546714">
    <w:abstractNumId w:val="39"/>
  </w:num>
  <w:num w:numId="48" w16cid:durableId="767434271">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PBA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pavvftbds0e9e09pv52eag2zrrrxvxe20t&quot;&gt;Donanemab New Library&lt;record-ids&gt;&lt;item&gt;4&lt;/item&gt;&lt;item&gt;5&lt;/item&gt;&lt;item&gt;9&lt;/item&gt;&lt;item&gt;10&lt;/item&gt;&lt;item&gt;14&lt;/item&gt;&lt;item&gt;17&lt;/item&gt;&lt;item&gt;19&lt;/item&gt;&lt;item&gt;20&lt;/item&gt;&lt;item&gt;21&lt;/item&gt;&lt;item&gt;22&lt;/item&gt;&lt;item&gt;23&lt;/item&gt;&lt;item&gt;25&lt;/item&gt;&lt;item&gt;33&lt;/item&gt;&lt;item&gt;36&lt;/item&gt;&lt;item&gt;37&lt;/item&gt;&lt;item&gt;38&lt;/item&gt;&lt;item&gt;39&lt;/item&gt;&lt;item&gt;67&lt;/item&gt;&lt;item&gt;68&lt;/item&gt;&lt;item&gt;69&lt;/item&gt;&lt;item&gt;70&lt;/item&gt;&lt;item&gt;72&lt;/item&gt;&lt;item&gt;73&lt;/item&gt;&lt;item&gt;74&lt;/item&gt;&lt;item&gt;75&lt;/item&gt;&lt;item&gt;76&lt;/item&gt;&lt;item&gt;77&lt;/item&gt;&lt;item&gt;78&lt;/item&gt;&lt;item&gt;79&lt;/item&gt;&lt;item&gt;83&lt;/item&gt;&lt;item&gt;86&lt;/item&gt;&lt;item&gt;98&lt;/item&gt;&lt;item&gt;99&lt;/item&gt;&lt;item&gt;100&lt;/item&gt;&lt;item&gt;101&lt;/item&gt;&lt;item&gt;103&lt;/item&gt;&lt;item&gt;104&lt;/item&gt;&lt;item&gt;105&lt;/item&gt;&lt;item&gt;107&lt;/item&gt;&lt;item&gt;109&lt;/item&gt;&lt;item&gt;110&lt;/item&gt;&lt;item&gt;111&lt;/item&gt;&lt;item&gt;113&lt;/item&gt;&lt;item&gt;114&lt;/item&gt;&lt;item&gt;116&lt;/item&gt;&lt;item&gt;117&lt;/item&gt;&lt;item&gt;118&lt;/item&gt;&lt;item&gt;119&lt;/item&gt;&lt;item&gt;121&lt;/item&gt;&lt;item&gt;122&lt;/item&gt;&lt;item&gt;123&lt;/item&gt;&lt;item&gt;126&lt;/item&gt;&lt;item&gt;143&lt;/item&gt;&lt;item&gt;144&lt;/item&gt;&lt;item&gt;145&lt;/item&gt;&lt;item&gt;146&lt;/item&gt;&lt;item&gt;148&lt;/item&gt;&lt;item&gt;150&lt;/item&gt;&lt;item&gt;151&lt;/item&gt;&lt;item&gt;153&lt;/item&gt;&lt;item&gt;154&lt;/item&gt;&lt;item&gt;155&lt;/item&gt;&lt;item&gt;157&lt;/item&gt;&lt;item&gt;159&lt;/item&gt;&lt;item&gt;161&lt;/item&gt;&lt;item&gt;164&lt;/item&gt;&lt;item&gt;170&lt;/item&gt;&lt;item&gt;171&lt;/item&gt;&lt;item&gt;172&lt;/item&gt;&lt;item&gt;174&lt;/item&gt;&lt;item&gt;175&lt;/item&gt;&lt;item&gt;184&lt;/item&gt;&lt;item&gt;194&lt;/item&gt;&lt;item&gt;196&lt;/item&gt;&lt;item&gt;199&lt;/item&gt;&lt;item&gt;201&lt;/item&gt;&lt;item&gt;207&lt;/item&gt;&lt;item&gt;221&lt;/item&gt;&lt;item&gt;224&lt;/item&gt;&lt;item&gt;226&lt;/item&gt;&lt;item&gt;247&lt;/item&gt;&lt;item&gt;250&lt;/item&gt;&lt;item&gt;252&lt;/item&gt;&lt;item&gt;255&lt;/item&gt;&lt;item&gt;256&lt;/item&gt;&lt;item&gt;260&lt;/item&gt;&lt;item&gt;263&lt;/item&gt;&lt;item&gt;266&lt;/item&gt;&lt;item&gt;277&lt;/item&gt;&lt;item&gt;279&lt;/item&gt;&lt;item&gt;281&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32&lt;/item&gt;&lt;item&gt;341&lt;/item&gt;&lt;item&gt;343&lt;/item&gt;&lt;item&gt;344&lt;/item&gt;&lt;item&gt;347&lt;/item&gt;&lt;item&gt;350&lt;/item&gt;&lt;item&gt;351&lt;/item&gt;&lt;item&gt;359&lt;/item&gt;&lt;item&gt;363&lt;/item&gt;&lt;item&gt;367&lt;/item&gt;&lt;item&gt;371&lt;/item&gt;&lt;item&gt;391&lt;/item&gt;&lt;item&gt;392&lt;/item&gt;&lt;item&gt;393&lt;/item&gt;&lt;item&gt;394&lt;/item&gt;&lt;item&gt;395&lt;/item&gt;&lt;item&gt;396&lt;/item&gt;&lt;item&gt;397&lt;/item&gt;&lt;item&gt;398&lt;/item&gt;&lt;item&gt;399&lt;/item&gt;&lt;item&gt;400&lt;/item&gt;&lt;item&gt;401&lt;/item&gt;&lt;item&gt;402&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3&lt;/item&gt;&lt;item&gt;425&lt;/item&gt;&lt;item&gt;426&lt;/item&gt;&lt;item&gt;427&lt;/item&gt;&lt;item&gt;428&lt;/item&gt;&lt;item&gt;429&lt;/item&gt;&lt;item&gt;430&lt;/item&gt;&lt;item&gt;431&lt;/item&gt;&lt;item&gt;432&lt;/item&gt;&lt;item&gt;433&lt;/item&gt;&lt;item&gt;434&lt;/item&gt;&lt;item&gt;435&lt;/item&gt;&lt;item&gt;437&lt;/item&gt;&lt;item&gt;440&lt;/item&gt;&lt;item&gt;442&lt;/item&gt;&lt;item&gt;443&lt;/item&gt;&lt;item&gt;452&lt;/item&gt;&lt;item&gt;522&lt;/item&gt;&lt;item&gt;524&lt;/item&gt;&lt;item&gt;528&lt;/item&gt;&lt;item&gt;562&lt;/item&gt;&lt;item&gt;567&lt;/item&gt;&lt;item&gt;582&lt;/item&gt;&lt;item&gt;592&lt;/item&gt;&lt;item&gt;604&lt;/item&gt;&lt;item&gt;605&lt;/item&gt;&lt;item&gt;607&lt;/item&gt;&lt;item&gt;623&lt;/item&gt;&lt;item&gt;625&lt;/item&gt;&lt;item&gt;626&lt;/item&gt;&lt;item&gt;627&lt;/item&gt;&lt;item&gt;628&lt;/item&gt;&lt;item&gt;629&lt;/item&gt;&lt;item&gt;630&lt;/item&gt;&lt;item&gt;631&lt;/item&gt;&lt;/record-ids&gt;&lt;/item&gt;&lt;/Libraries&gt;"/>
  </w:docVars>
  <w:rsids>
    <w:rsidRoot w:val="00BF5482"/>
    <w:rsid w:val="00000097"/>
    <w:rsid w:val="00000103"/>
    <w:rsid w:val="000002CA"/>
    <w:rsid w:val="00000378"/>
    <w:rsid w:val="0000037D"/>
    <w:rsid w:val="000004FD"/>
    <w:rsid w:val="00000AFE"/>
    <w:rsid w:val="00000BD5"/>
    <w:rsid w:val="00001269"/>
    <w:rsid w:val="000012E4"/>
    <w:rsid w:val="000012EC"/>
    <w:rsid w:val="000015F0"/>
    <w:rsid w:val="000016BF"/>
    <w:rsid w:val="000018AF"/>
    <w:rsid w:val="00001AB4"/>
    <w:rsid w:val="00001AFD"/>
    <w:rsid w:val="00001B63"/>
    <w:rsid w:val="00001DA1"/>
    <w:rsid w:val="00001E6B"/>
    <w:rsid w:val="00001F04"/>
    <w:rsid w:val="00002839"/>
    <w:rsid w:val="00002C80"/>
    <w:rsid w:val="00002FF5"/>
    <w:rsid w:val="00003250"/>
    <w:rsid w:val="00003260"/>
    <w:rsid w:val="000032E3"/>
    <w:rsid w:val="00003ED7"/>
    <w:rsid w:val="000043F2"/>
    <w:rsid w:val="000045DA"/>
    <w:rsid w:val="00004765"/>
    <w:rsid w:val="00004838"/>
    <w:rsid w:val="00004A5B"/>
    <w:rsid w:val="00005071"/>
    <w:rsid w:val="000052B3"/>
    <w:rsid w:val="000053AA"/>
    <w:rsid w:val="000056FA"/>
    <w:rsid w:val="00005C3E"/>
    <w:rsid w:val="00005F05"/>
    <w:rsid w:val="00005F0E"/>
    <w:rsid w:val="000062E0"/>
    <w:rsid w:val="00006368"/>
    <w:rsid w:val="00006725"/>
    <w:rsid w:val="00006761"/>
    <w:rsid w:val="000067C8"/>
    <w:rsid w:val="0000699A"/>
    <w:rsid w:val="00006CC0"/>
    <w:rsid w:val="00006D19"/>
    <w:rsid w:val="00006D46"/>
    <w:rsid w:val="00006E77"/>
    <w:rsid w:val="0000728D"/>
    <w:rsid w:val="0000731F"/>
    <w:rsid w:val="000075B8"/>
    <w:rsid w:val="0000784D"/>
    <w:rsid w:val="00007AFA"/>
    <w:rsid w:val="00007B18"/>
    <w:rsid w:val="00007D60"/>
    <w:rsid w:val="00007EFB"/>
    <w:rsid w:val="000103F5"/>
    <w:rsid w:val="00010427"/>
    <w:rsid w:val="0001046D"/>
    <w:rsid w:val="0001047F"/>
    <w:rsid w:val="000105A4"/>
    <w:rsid w:val="000105A6"/>
    <w:rsid w:val="0001061C"/>
    <w:rsid w:val="0001066F"/>
    <w:rsid w:val="0001081E"/>
    <w:rsid w:val="00010A9C"/>
    <w:rsid w:val="00010B2D"/>
    <w:rsid w:val="00010B97"/>
    <w:rsid w:val="00010D1B"/>
    <w:rsid w:val="00010F3A"/>
    <w:rsid w:val="000110A7"/>
    <w:rsid w:val="00011146"/>
    <w:rsid w:val="00011418"/>
    <w:rsid w:val="0001155B"/>
    <w:rsid w:val="0001171D"/>
    <w:rsid w:val="000119AF"/>
    <w:rsid w:val="00012027"/>
    <w:rsid w:val="00012209"/>
    <w:rsid w:val="0001227E"/>
    <w:rsid w:val="000124B9"/>
    <w:rsid w:val="00012785"/>
    <w:rsid w:val="0001281E"/>
    <w:rsid w:val="0001285D"/>
    <w:rsid w:val="000129C5"/>
    <w:rsid w:val="00012C97"/>
    <w:rsid w:val="00012D82"/>
    <w:rsid w:val="00012F3E"/>
    <w:rsid w:val="0001300E"/>
    <w:rsid w:val="00013065"/>
    <w:rsid w:val="000131C9"/>
    <w:rsid w:val="00013222"/>
    <w:rsid w:val="000136AB"/>
    <w:rsid w:val="00013942"/>
    <w:rsid w:val="00013C0E"/>
    <w:rsid w:val="00013E19"/>
    <w:rsid w:val="00013EE8"/>
    <w:rsid w:val="00013FB4"/>
    <w:rsid w:val="00014247"/>
    <w:rsid w:val="000142C1"/>
    <w:rsid w:val="0001445D"/>
    <w:rsid w:val="00014E6C"/>
    <w:rsid w:val="00014F9D"/>
    <w:rsid w:val="0001509C"/>
    <w:rsid w:val="00015290"/>
    <w:rsid w:val="000153B6"/>
    <w:rsid w:val="0001543A"/>
    <w:rsid w:val="0001548D"/>
    <w:rsid w:val="00015506"/>
    <w:rsid w:val="00015692"/>
    <w:rsid w:val="000156C3"/>
    <w:rsid w:val="00015798"/>
    <w:rsid w:val="00015A87"/>
    <w:rsid w:val="00015AA8"/>
    <w:rsid w:val="00016129"/>
    <w:rsid w:val="00016244"/>
    <w:rsid w:val="000162E9"/>
    <w:rsid w:val="000169C3"/>
    <w:rsid w:val="00016AC2"/>
    <w:rsid w:val="00016CD7"/>
    <w:rsid w:val="00016D7E"/>
    <w:rsid w:val="00016E45"/>
    <w:rsid w:val="000170E1"/>
    <w:rsid w:val="00017924"/>
    <w:rsid w:val="00017BC7"/>
    <w:rsid w:val="00017C53"/>
    <w:rsid w:val="00020177"/>
    <w:rsid w:val="00020427"/>
    <w:rsid w:val="00020574"/>
    <w:rsid w:val="000206BC"/>
    <w:rsid w:val="00020841"/>
    <w:rsid w:val="00020892"/>
    <w:rsid w:val="0002095B"/>
    <w:rsid w:val="00020A31"/>
    <w:rsid w:val="0002115E"/>
    <w:rsid w:val="00021688"/>
    <w:rsid w:val="000216AA"/>
    <w:rsid w:val="00021774"/>
    <w:rsid w:val="00021808"/>
    <w:rsid w:val="00021E9F"/>
    <w:rsid w:val="00021EE0"/>
    <w:rsid w:val="00022320"/>
    <w:rsid w:val="000223B9"/>
    <w:rsid w:val="000224FA"/>
    <w:rsid w:val="00022782"/>
    <w:rsid w:val="000228BA"/>
    <w:rsid w:val="00022927"/>
    <w:rsid w:val="00022A44"/>
    <w:rsid w:val="00022A4F"/>
    <w:rsid w:val="00022B50"/>
    <w:rsid w:val="00022CC6"/>
    <w:rsid w:val="00022DB7"/>
    <w:rsid w:val="00023139"/>
    <w:rsid w:val="0002386A"/>
    <w:rsid w:val="000239BE"/>
    <w:rsid w:val="00023F61"/>
    <w:rsid w:val="0002404F"/>
    <w:rsid w:val="000240A0"/>
    <w:rsid w:val="000243A2"/>
    <w:rsid w:val="00024579"/>
    <w:rsid w:val="000246B8"/>
    <w:rsid w:val="00024B14"/>
    <w:rsid w:val="00024DE4"/>
    <w:rsid w:val="00024F82"/>
    <w:rsid w:val="0002501A"/>
    <w:rsid w:val="000250C1"/>
    <w:rsid w:val="000250F2"/>
    <w:rsid w:val="00025315"/>
    <w:rsid w:val="000253EA"/>
    <w:rsid w:val="000255BA"/>
    <w:rsid w:val="00025663"/>
    <w:rsid w:val="00025B1B"/>
    <w:rsid w:val="00025C83"/>
    <w:rsid w:val="00025C95"/>
    <w:rsid w:val="00025D6B"/>
    <w:rsid w:val="00025F12"/>
    <w:rsid w:val="00025FC3"/>
    <w:rsid w:val="00026042"/>
    <w:rsid w:val="00026050"/>
    <w:rsid w:val="000261DE"/>
    <w:rsid w:val="00026333"/>
    <w:rsid w:val="0002638E"/>
    <w:rsid w:val="00026419"/>
    <w:rsid w:val="0002654D"/>
    <w:rsid w:val="00026E81"/>
    <w:rsid w:val="000271B8"/>
    <w:rsid w:val="00027249"/>
    <w:rsid w:val="000273B5"/>
    <w:rsid w:val="0002767C"/>
    <w:rsid w:val="0002776C"/>
    <w:rsid w:val="000277D7"/>
    <w:rsid w:val="0002788D"/>
    <w:rsid w:val="000278A0"/>
    <w:rsid w:val="00027AF2"/>
    <w:rsid w:val="00027E8F"/>
    <w:rsid w:val="00027FA2"/>
    <w:rsid w:val="00030047"/>
    <w:rsid w:val="0003038A"/>
    <w:rsid w:val="00030700"/>
    <w:rsid w:val="000308D4"/>
    <w:rsid w:val="0003092C"/>
    <w:rsid w:val="000309B6"/>
    <w:rsid w:val="00030D9F"/>
    <w:rsid w:val="00031162"/>
    <w:rsid w:val="0003125F"/>
    <w:rsid w:val="0003157F"/>
    <w:rsid w:val="000317D7"/>
    <w:rsid w:val="00031D28"/>
    <w:rsid w:val="00031DDF"/>
    <w:rsid w:val="000321CF"/>
    <w:rsid w:val="0003228D"/>
    <w:rsid w:val="00032527"/>
    <w:rsid w:val="00032575"/>
    <w:rsid w:val="00032793"/>
    <w:rsid w:val="0003298F"/>
    <w:rsid w:val="00032AA4"/>
    <w:rsid w:val="00032B1E"/>
    <w:rsid w:val="00032C50"/>
    <w:rsid w:val="00032F41"/>
    <w:rsid w:val="000332E8"/>
    <w:rsid w:val="000334F8"/>
    <w:rsid w:val="00033503"/>
    <w:rsid w:val="00033806"/>
    <w:rsid w:val="00033B87"/>
    <w:rsid w:val="00033CE1"/>
    <w:rsid w:val="00033D15"/>
    <w:rsid w:val="00033D5C"/>
    <w:rsid w:val="00033EEE"/>
    <w:rsid w:val="00034220"/>
    <w:rsid w:val="00034404"/>
    <w:rsid w:val="00034828"/>
    <w:rsid w:val="0003493C"/>
    <w:rsid w:val="00034949"/>
    <w:rsid w:val="0003497C"/>
    <w:rsid w:val="00034A0A"/>
    <w:rsid w:val="00034B1A"/>
    <w:rsid w:val="00034CEC"/>
    <w:rsid w:val="00034D8E"/>
    <w:rsid w:val="000352BC"/>
    <w:rsid w:val="000355D9"/>
    <w:rsid w:val="0003574D"/>
    <w:rsid w:val="000359BA"/>
    <w:rsid w:val="00035C6D"/>
    <w:rsid w:val="00035E89"/>
    <w:rsid w:val="00035EC2"/>
    <w:rsid w:val="00035FBC"/>
    <w:rsid w:val="00036359"/>
    <w:rsid w:val="000363C6"/>
    <w:rsid w:val="00036491"/>
    <w:rsid w:val="000364FA"/>
    <w:rsid w:val="0003659A"/>
    <w:rsid w:val="000365D0"/>
    <w:rsid w:val="00036695"/>
    <w:rsid w:val="00036958"/>
    <w:rsid w:val="00036A1E"/>
    <w:rsid w:val="00036A7F"/>
    <w:rsid w:val="00036BE2"/>
    <w:rsid w:val="00036E5B"/>
    <w:rsid w:val="00036EA1"/>
    <w:rsid w:val="000370E1"/>
    <w:rsid w:val="000372BC"/>
    <w:rsid w:val="000372E9"/>
    <w:rsid w:val="000374BB"/>
    <w:rsid w:val="00037569"/>
    <w:rsid w:val="000378F5"/>
    <w:rsid w:val="00037DEF"/>
    <w:rsid w:val="000400B8"/>
    <w:rsid w:val="00040203"/>
    <w:rsid w:val="000404B1"/>
    <w:rsid w:val="00040603"/>
    <w:rsid w:val="00040A41"/>
    <w:rsid w:val="00040DC8"/>
    <w:rsid w:val="00040E18"/>
    <w:rsid w:val="0004104D"/>
    <w:rsid w:val="00041118"/>
    <w:rsid w:val="00041479"/>
    <w:rsid w:val="000419B3"/>
    <w:rsid w:val="000419BE"/>
    <w:rsid w:val="00041A36"/>
    <w:rsid w:val="00041B3C"/>
    <w:rsid w:val="00041FA9"/>
    <w:rsid w:val="00042179"/>
    <w:rsid w:val="0004233D"/>
    <w:rsid w:val="00042469"/>
    <w:rsid w:val="00042911"/>
    <w:rsid w:val="000429C9"/>
    <w:rsid w:val="00042F4D"/>
    <w:rsid w:val="00042FE2"/>
    <w:rsid w:val="00043203"/>
    <w:rsid w:val="0004346E"/>
    <w:rsid w:val="000435EC"/>
    <w:rsid w:val="00043865"/>
    <w:rsid w:val="0004387F"/>
    <w:rsid w:val="000439A7"/>
    <w:rsid w:val="00043ADE"/>
    <w:rsid w:val="00043CB8"/>
    <w:rsid w:val="00043E23"/>
    <w:rsid w:val="00044106"/>
    <w:rsid w:val="0004441D"/>
    <w:rsid w:val="00044A31"/>
    <w:rsid w:val="00044E13"/>
    <w:rsid w:val="00044EE1"/>
    <w:rsid w:val="00044F44"/>
    <w:rsid w:val="000459DC"/>
    <w:rsid w:val="00045B36"/>
    <w:rsid w:val="000461CF"/>
    <w:rsid w:val="000462CF"/>
    <w:rsid w:val="000463DE"/>
    <w:rsid w:val="000465CF"/>
    <w:rsid w:val="000466CF"/>
    <w:rsid w:val="000468A2"/>
    <w:rsid w:val="00046C0A"/>
    <w:rsid w:val="00046E25"/>
    <w:rsid w:val="0004745C"/>
    <w:rsid w:val="0004758F"/>
    <w:rsid w:val="0004775A"/>
    <w:rsid w:val="00047867"/>
    <w:rsid w:val="000479A2"/>
    <w:rsid w:val="00047CEF"/>
    <w:rsid w:val="0005061B"/>
    <w:rsid w:val="00050C01"/>
    <w:rsid w:val="00051023"/>
    <w:rsid w:val="00051211"/>
    <w:rsid w:val="00051648"/>
    <w:rsid w:val="000516FF"/>
    <w:rsid w:val="00051858"/>
    <w:rsid w:val="000518BD"/>
    <w:rsid w:val="0005193B"/>
    <w:rsid w:val="000520EE"/>
    <w:rsid w:val="00052289"/>
    <w:rsid w:val="000522EE"/>
    <w:rsid w:val="00052497"/>
    <w:rsid w:val="00052BCD"/>
    <w:rsid w:val="00052C24"/>
    <w:rsid w:val="0005300A"/>
    <w:rsid w:val="00053103"/>
    <w:rsid w:val="0005324E"/>
    <w:rsid w:val="000533B0"/>
    <w:rsid w:val="00053620"/>
    <w:rsid w:val="00053961"/>
    <w:rsid w:val="000539E7"/>
    <w:rsid w:val="00053E10"/>
    <w:rsid w:val="00053EB9"/>
    <w:rsid w:val="0005413C"/>
    <w:rsid w:val="00054171"/>
    <w:rsid w:val="00054296"/>
    <w:rsid w:val="0005459B"/>
    <w:rsid w:val="000545E8"/>
    <w:rsid w:val="00054606"/>
    <w:rsid w:val="000546C7"/>
    <w:rsid w:val="00054C5C"/>
    <w:rsid w:val="00054C8C"/>
    <w:rsid w:val="00054D3E"/>
    <w:rsid w:val="000552FF"/>
    <w:rsid w:val="00055301"/>
    <w:rsid w:val="00055391"/>
    <w:rsid w:val="000559B7"/>
    <w:rsid w:val="000559E7"/>
    <w:rsid w:val="00055A99"/>
    <w:rsid w:val="00055DCD"/>
    <w:rsid w:val="00055FEE"/>
    <w:rsid w:val="00056086"/>
    <w:rsid w:val="000560AD"/>
    <w:rsid w:val="000561A5"/>
    <w:rsid w:val="00056297"/>
    <w:rsid w:val="000565EE"/>
    <w:rsid w:val="0005674E"/>
    <w:rsid w:val="00056933"/>
    <w:rsid w:val="00056983"/>
    <w:rsid w:val="000569B5"/>
    <w:rsid w:val="00056C98"/>
    <w:rsid w:val="00056D15"/>
    <w:rsid w:val="00056D33"/>
    <w:rsid w:val="0005713E"/>
    <w:rsid w:val="0005720D"/>
    <w:rsid w:val="000578D9"/>
    <w:rsid w:val="000578FB"/>
    <w:rsid w:val="00057902"/>
    <w:rsid w:val="00057B97"/>
    <w:rsid w:val="00057D49"/>
    <w:rsid w:val="00057EDF"/>
    <w:rsid w:val="00057EF5"/>
    <w:rsid w:val="00057F42"/>
    <w:rsid w:val="00057F71"/>
    <w:rsid w:val="00060066"/>
    <w:rsid w:val="00060228"/>
    <w:rsid w:val="00060438"/>
    <w:rsid w:val="000606B7"/>
    <w:rsid w:val="0006089C"/>
    <w:rsid w:val="00060BE9"/>
    <w:rsid w:val="00060D4E"/>
    <w:rsid w:val="00061082"/>
    <w:rsid w:val="000616D5"/>
    <w:rsid w:val="0006186B"/>
    <w:rsid w:val="00061903"/>
    <w:rsid w:val="00061D48"/>
    <w:rsid w:val="00062018"/>
    <w:rsid w:val="00062067"/>
    <w:rsid w:val="000622EB"/>
    <w:rsid w:val="00062528"/>
    <w:rsid w:val="00062712"/>
    <w:rsid w:val="0006287B"/>
    <w:rsid w:val="00063235"/>
    <w:rsid w:val="000633A9"/>
    <w:rsid w:val="000633C7"/>
    <w:rsid w:val="000638D7"/>
    <w:rsid w:val="00063AEF"/>
    <w:rsid w:val="00063C6E"/>
    <w:rsid w:val="00063D3C"/>
    <w:rsid w:val="00064000"/>
    <w:rsid w:val="000643FA"/>
    <w:rsid w:val="0006442F"/>
    <w:rsid w:val="00064784"/>
    <w:rsid w:val="00064AA2"/>
    <w:rsid w:val="00064B21"/>
    <w:rsid w:val="00064BCC"/>
    <w:rsid w:val="00064D04"/>
    <w:rsid w:val="000650A9"/>
    <w:rsid w:val="00065379"/>
    <w:rsid w:val="0006538A"/>
    <w:rsid w:val="00065842"/>
    <w:rsid w:val="00065BD1"/>
    <w:rsid w:val="00065BD4"/>
    <w:rsid w:val="00065C62"/>
    <w:rsid w:val="00065CDE"/>
    <w:rsid w:val="00065F4A"/>
    <w:rsid w:val="00065F5F"/>
    <w:rsid w:val="000662F0"/>
    <w:rsid w:val="00066AF5"/>
    <w:rsid w:val="00066CF2"/>
    <w:rsid w:val="00067100"/>
    <w:rsid w:val="00067389"/>
    <w:rsid w:val="00067435"/>
    <w:rsid w:val="000675A5"/>
    <w:rsid w:val="000676E5"/>
    <w:rsid w:val="000677DE"/>
    <w:rsid w:val="000678CB"/>
    <w:rsid w:val="0006797A"/>
    <w:rsid w:val="0006799B"/>
    <w:rsid w:val="00067A01"/>
    <w:rsid w:val="00070011"/>
    <w:rsid w:val="00070161"/>
    <w:rsid w:val="00070244"/>
    <w:rsid w:val="000703C1"/>
    <w:rsid w:val="0007063B"/>
    <w:rsid w:val="000708AA"/>
    <w:rsid w:val="00070D75"/>
    <w:rsid w:val="00070F2E"/>
    <w:rsid w:val="00070FB9"/>
    <w:rsid w:val="0007105C"/>
    <w:rsid w:val="00071407"/>
    <w:rsid w:val="00071421"/>
    <w:rsid w:val="000718A2"/>
    <w:rsid w:val="000719AE"/>
    <w:rsid w:val="00071AB2"/>
    <w:rsid w:val="00071ABA"/>
    <w:rsid w:val="00071B28"/>
    <w:rsid w:val="00071B59"/>
    <w:rsid w:val="00071DBE"/>
    <w:rsid w:val="00071E21"/>
    <w:rsid w:val="00071F40"/>
    <w:rsid w:val="00071F7C"/>
    <w:rsid w:val="00072047"/>
    <w:rsid w:val="000721FB"/>
    <w:rsid w:val="000722DC"/>
    <w:rsid w:val="0007232F"/>
    <w:rsid w:val="000727A1"/>
    <w:rsid w:val="0007286F"/>
    <w:rsid w:val="0007288C"/>
    <w:rsid w:val="000729B1"/>
    <w:rsid w:val="00072D6A"/>
    <w:rsid w:val="00072DBE"/>
    <w:rsid w:val="00072E17"/>
    <w:rsid w:val="00072E25"/>
    <w:rsid w:val="00072F4B"/>
    <w:rsid w:val="00072FA5"/>
    <w:rsid w:val="000731C8"/>
    <w:rsid w:val="0007345E"/>
    <w:rsid w:val="00073625"/>
    <w:rsid w:val="0007387C"/>
    <w:rsid w:val="00073AC0"/>
    <w:rsid w:val="00073CC4"/>
    <w:rsid w:val="00074045"/>
    <w:rsid w:val="0007407E"/>
    <w:rsid w:val="000740AE"/>
    <w:rsid w:val="00074165"/>
    <w:rsid w:val="00074465"/>
    <w:rsid w:val="00074880"/>
    <w:rsid w:val="000748BB"/>
    <w:rsid w:val="000749CD"/>
    <w:rsid w:val="000749F5"/>
    <w:rsid w:val="00074A38"/>
    <w:rsid w:val="00074B97"/>
    <w:rsid w:val="00074D63"/>
    <w:rsid w:val="00074E31"/>
    <w:rsid w:val="00075349"/>
    <w:rsid w:val="0007543A"/>
    <w:rsid w:val="00075477"/>
    <w:rsid w:val="000754A6"/>
    <w:rsid w:val="000756EC"/>
    <w:rsid w:val="00075808"/>
    <w:rsid w:val="000758E8"/>
    <w:rsid w:val="00075AF3"/>
    <w:rsid w:val="00076170"/>
    <w:rsid w:val="00076A9E"/>
    <w:rsid w:val="00076AE9"/>
    <w:rsid w:val="00076B75"/>
    <w:rsid w:val="00076C25"/>
    <w:rsid w:val="00076C29"/>
    <w:rsid w:val="00076D77"/>
    <w:rsid w:val="00076DAA"/>
    <w:rsid w:val="00076E6F"/>
    <w:rsid w:val="00076FB9"/>
    <w:rsid w:val="0007721D"/>
    <w:rsid w:val="000774CD"/>
    <w:rsid w:val="000777AD"/>
    <w:rsid w:val="0007786E"/>
    <w:rsid w:val="0007794D"/>
    <w:rsid w:val="00077CE7"/>
    <w:rsid w:val="00077D22"/>
    <w:rsid w:val="00077F1E"/>
    <w:rsid w:val="00077F65"/>
    <w:rsid w:val="0008002E"/>
    <w:rsid w:val="000802E3"/>
    <w:rsid w:val="0008061F"/>
    <w:rsid w:val="00080754"/>
    <w:rsid w:val="000807E7"/>
    <w:rsid w:val="00080813"/>
    <w:rsid w:val="0008093E"/>
    <w:rsid w:val="00080946"/>
    <w:rsid w:val="0008098D"/>
    <w:rsid w:val="00080BAC"/>
    <w:rsid w:val="00080DE7"/>
    <w:rsid w:val="00080E33"/>
    <w:rsid w:val="00080FF3"/>
    <w:rsid w:val="000814C4"/>
    <w:rsid w:val="000814D9"/>
    <w:rsid w:val="0008164A"/>
    <w:rsid w:val="000816DF"/>
    <w:rsid w:val="000817E1"/>
    <w:rsid w:val="000818B0"/>
    <w:rsid w:val="0008198D"/>
    <w:rsid w:val="00081A20"/>
    <w:rsid w:val="00081B8F"/>
    <w:rsid w:val="0008219C"/>
    <w:rsid w:val="0008224D"/>
    <w:rsid w:val="000822EF"/>
    <w:rsid w:val="000822F1"/>
    <w:rsid w:val="00082422"/>
    <w:rsid w:val="000825EF"/>
    <w:rsid w:val="00082868"/>
    <w:rsid w:val="000829F7"/>
    <w:rsid w:val="00082DF8"/>
    <w:rsid w:val="00082E31"/>
    <w:rsid w:val="00082F68"/>
    <w:rsid w:val="00082F9E"/>
    <w:rsid w:val="000832C5"/>
    <w:rsid w:val="00083379"/>
    <w:rsid w:val="0008353C"/>
    <w:rsid w:val="0008362B"/>
    <w:rsid w:val="0008363E"/>
    <w:rsid w:val="00083974"/>
    <w:rsid w:val="00083993"/>
    <w:rsid w:val="000839E0"/>
    <w:rsid w:val="00084328"/>
    <w:rsid w:val="000846BF"/>
    <w:rsid w:val="000847FE"/>
    <w:rsid w:val="00084A2B"/>
    <w:rsid w:val="00084B18"/>
    <w:rsid w:val="00084C89"/>
    <w:rsid w:val="00084FA2"/>
    <w:rsid w:val="000851E3"/>
    <w:rsid w:val="000852FA"/>
    <w:rsid w:val="00085489"/>
    <w:rsid w:val="000855EC"/>
    <w:rsid w:val="00085D90"/>
    <w:rsid w:val="00085EBF"/>
    <w:rsid w:val="00085ECD"/>
    <w:rsid w:val="00085FF8"/>
    <w:rsid w:val="00086133"/>
    <w:rsid w:val="0008621A"/>
    <w:rsid w:val="000862EE"/>
    <w:rsid w:val="00086307"/>
    <w:rsid w:val="00086608"/>
    <w:rsid w:val="0008675B"/>
    <w:rsid w:val="00086871"/>
    <w:rsid w:val="00086A8F"/>
    <w:rsid w:val="00086DD2"/>
    <w:rsid w:val="00086EBE"/>
    <w:rsid w:val="00086F1C"/>
    <w:rsid w:val="00087007"/>
    <w:rsid w:val="00087666"/>
    <w:rsid w:val="00087C04"/>
    <w:rsid w:val="00087E15"/>
    <w:rsid w:val="00087E1C"/>
    <w:rsid w:val="00087FB2"/>
    <w:rsid w:val="00087FCA"/>
    <w:rsid w:val="00087FE3"/>
    <w:rsid w:val="000903ED"/>
    <w:rsid w:val="00090872"/>
    <w:rsid w:val="00090A6A"/>
    <w:rsid w:val="00090CB7"/>
    <w:rsid w:val="00090F45"/>
    <w:rsid w:val="00091804"/>
    <w:rsid w:val="000918D7"/>
    <w:rsid w:val="0009199D"/>
    <w:rsid w:val="00091B7D"/>
    <w:rsid w:val="00091F66"/>
    <w:rsid w:val="00091FBF"/>
    <w:rsid w:val="00092120"/>
    <w:rsid w:val="00092727"/>
    <w:rsid w:val="00092751"/>
    <w:rsid w:val="0009286C"/>
    <w:rsid w:val="00092945"/>
    <w:rsid w:val="00092AB1"/>
    <w:rsid w:val="00092C49"/>
    <w:rsid w:val="00092D65"/>
    <w:rsid w:val="00092DD7"/>
    <w:rsid w:val="00092E62"/>
    <w:rsid w:val="00093127"/>
    <w:rsid w:val="00093221"/>
    <w:rsid w:val="00093281"/>
    <w:rsid w:val="00093453"/>
    <w:rsid w:val="000934DD"/>
    <w:rsid w:val="000934F6"/>
    <w:rsid w:val="0009368D"/>
    <w:rsid w:val="000939E4"/>
    <w:rsid w:val="00093B14"/>
    <w:rsid w:val="00093DB7"/>
    <w:rsid w:val="00093F56"/>
    <w:rsid w:val="00093F81"/>
    <w:rsid w:val="00094074"/>
    <w:rsid w:val="00094231"/>
    <w:rsid w:val="00094280"/>
    <w:rsid w:val="000944F1"/>
    <w:rsid w:val="000945B3"/>
    <w:rsid w:val="0009476D"/>
    <w:rsid w:val="000947A6"/>
    <w:rsid w:val="00094A13"/>
    <w:rsid w:val="00094CDE"/>
    <w:rsid w:val="00095405"/>
    <w:rsid w:val="000957D7"/>
    <w:rsid w:val="00095A69"/>
    <w:rsid w:val="00095CCC"/>
    <w:rsid w:val="00095F6B"/>
    <w:rsid w:val="00095F71"/>
    <w:rsid w:val="00095FD4"/>
    <w:rsid w:val="00096191"/>
    <w:rsid w:val="000964F1"/>
    <w:rsid w:val="0009688E"/>
    <w:rsid w:val="00096938"/>
    <w:rsid w:val="00096B26"/>
    <w:rsid w:val="00096B72"/>
    <w:rsid w:val="00096B89"/>
    <w:rsid w:val="00096BCD"/>
    <w:rsid w:val="00096E0C"/>
    <w:rsid w:val="00097143"/>
    <w:rsid w:val="0009756D"/>
    <w:rsid w:val="00097989"/>
    <w:rsid w:val="00097A38"/>
    <w:rsid w:val="00097ABA"/>
    <w:rsid w:val="00097B9A"/>
    <w:rsid w:val="00097D1E"/>
    <w:rsid w:val="00097D44"/>
    <w:rsid w:val="00097D52"/>
    <w:rsid w:val="00097DB7"/>
    <w:rsid w:val="00097ECA"/>
    <w:rsid w:val="000A00E8"/>
    <w:rsid w:val="000A010F"/>
    <w:rsid w:val="000A0229"/>
    <w:rsid w:val="000A027E"/>
    <w:rsid w:val="000A02A6"/>
    <w:rsid w:val="000A040B"/>
    <w:rsid w:val="000A05D9"/>
    <w:rsid w:val="000A0989"/>
    <w:rsid w:val="000A0BF4"/>
    <w:rsid w:val="000A0D2D"/>
    <w:rsid w:val="000A0E47"/>
    <w:rsid w:val="000A0ED3"/>
    <w:rsid w:val="000A1211"/>
    <w:rsid w:val="000A1635"/>
    <w:rsid w:val="000A181D"/>
    <w:rsid w:val="000A19DB"/>
    <w:rsid w:val="000A1F7B"/>
    <w:rsid w:val="000A1FE7"/>
    <w:rsid w:val="000A2099"/>
    <w:rsid w:val="000A23B9"/>
    <w:rsid w:val="000A2694"/>
    <w:rsid w:val="000A27BF"/>
    <w:rsid w:val="000A28DF"/>
    <w:rsid w:val="000A2BC1"/>
    <w:rsid w:val="000A2EF1"/>
    <w:rsid w:val="000A3122"/>
    <w:rsid w:val="000A3150"/>
    <w:rsid w:val="000A3274"/>
    <w:rsid w:val="000A346A"/>
    <w:rsid w:val="000A3810"/>
    <w:rsid w:val="000A3976"/>
    <w:rsid w:val="000A3B23"/>
    <w:rsid w:val="000A3BB8"/>
    <w:rsid w:val="000A3D99"/>
    <w:rsid w:val="000A3E44"/>
    <w:rsid w:val="000A3EC9"/>
    <w:rsid w:val="000A3F4C"/>
    <w:rsid w:val="000A436C"/>
    <w:rsid w:val="000A4979"/>
    <w:rsid w:val="000A4A2E"/>
    <w:rsid w:val="000A4CCC"/>
    <w:rsid w:val="000A526A"/>
    <w:rsid w:val="000A52D9"/>
    <w:rsid w:val="000A537D"/>
    <w:rsid w:val="000A5642"/>
    <w:rsid w:val="000A583F"/>
    <w:rsid w:val="000A5BEC"/>
    <w:rsid w:val="000A5D44"/>
    <w:rsid w:val="000A5E06"/>
    <w:rsid w:val="000A6005"/>
    <w:rsid w:val="000A6078"/>
    <w:rsid w:val="000A6315"/>
    <w:rsid w:val="000A63CA"/>
    <w:rsid w:val="000A646D"/>
    <w:rsid w:val="000A64B0"/>
    <w:rsid w:val="000A67F0"/>
    <w:rsid w:val="000A68B2"/>
    <w:rsid w:val="000A6B06"/>
    <w:rsid w:val="000A6E61"/>
    <w:rsid w:val="000A6F6D"/>
    <w:rsid w:val="000A6FBD"/>
    <w:rsid w:val="000A713A"/>
    <w:rsid w:val="000A71B9"/>
    <w:rsid w:val="000A7333"/>
    <w:rsid w:val="000A73B9"/>
    <w:rsid w:val="000A745A"/>
    <w:rsid w:val="000A762B"/>
    <w:rsid w:val="000A7713"/>
    <w:rsid w:val="000A777A"/>
    <w:rsid w:val="000A798E"/>
    <w:rsid w:val="000A7D0B"/>
    <w:rsid w:val="000A7EA5"/>
    <w:rsid w:val="000B00A6"/>
    <w:rsid w:val="000B0370"/>
    <w:rsid w:val="000B047A"/>
    <w:rsid w:val="000B0A84"/>
    <w:rsid w:val="000B0D70"/>
    <w:rsid w:val="000B0FD3"/>
    <w:rsid w:val="000B0FE1"/>
    <w:rsid w:val="000B111E"/>
    <w:rsid w:val="000B14B0"/>
    <w:rsid w:val="000B190B"/>
    <w:rsid w:val="000B19E5"/>
    <w:rsid w:val="000B1ADA"/>
    <w:rsid w:val="000B1FBF"/>
    <w:rsid w:val="000B2200"/>
    <w:rsid w:val="000B2225"/>
    <w:rsid w:val="000B2252"/>
    <w:rsid w:val="000B2278"/>
    <w:rsid w:val="000B22D5"/>
    <w:rsid w:val="000B241E"/>
    <w:rsid w:val="000B2420"/>
    <w:rsid w:val="000B2654"/>
    <w:rsid w:val="000B2677"/>
    <w:rsid w:val="000B26C7"/>
    <w:rsid w:val="000B2AC9"/>
    <w:rsid w:val="000B2BE3"/>
    <w:rsid w:val="000B2CA6"/>
    <w:rsid w:val="000B2CCF"/>
    <w:rsid w:val="000B2DE7"/>
    <w:rsid w:val="000B2E06"/>
    <w:rsid w:val="000B30A8"/>
    <w:rsid w:val="000B35B5"/>
    <w:rsid w:val="000B35EA"/>
    <w:rsid w:val="000B38CF"/>
    <w:rsid w:val="000B3929"/>
    <w:rsid w:val="000B3B81"/>
    <w:rsid w:val="000B3BB2"/>
    <w:rsid w:val="000B3CEB"/>
    <w:rsid w:val="000B3D51"/>
    <w:rsid w:val="000B427A"/>
    <w:rsid w:val="000B4284"/>
    <w:rsid w:val="000B46C7"/>
    <w:rsid w:val="000B4ED4"/>
    <w:rsid w:val="000B5063"/>
    <w:rsid w:val="000B5138"/>
    <w:rsid w:val="000B5476"/>
    <w:rsid w:val="000B56CD"/>
    <w:rsid w:val="000B5AB4"/>
    <w:rsid w:val="000B5B36"/>
    <w:rsid w:val="000B62CE"/>
    <w:rsid w:val="000B6307"/>
    <w:rsid w:val="000B645F"/>
    <w:rsid w:val="000B6717"/>
    <w:rsid w:val="000B69D3"/>
    <w:rsid w:val="000B6AE1"/>
    <w:rsid w:val="000B6B69"/>
    <w:rsid w:val="000B6E68"/>
    <w:rsid w:val="000B6EAA"/>
    <w:rsid w:val="000B6FFF"/>
    <w:rsid w:val="000B705B"/>
    <w:rsid w:val="000B725C"/>
    <w:rsid w:val="000B739F"/>
    <w:rsid w:val="000B74AA"/>
    <w:rsid w:val="000B763F"/>
    <w:rsid w:val="000B77AE"/>
    <w:rsid w:val="000B7837"/>
    <w:rsid w:val="000B7894"/>
    <w:rsid w:val="000B7AED"/>
    <w:rsid w:val="000C0101"/>
    <w:rsid w:val="000C0142"/>
    <w:rsid w:val="000C02D5"/>
    <w:rsid w:val="000C0809"/>
    <w:rsid w:val="000C0A65"/>
    <w:rsid w:val="000C0ACD"/>
    <w:rsid w:val="000C0BDC"/>
    <w:rsid w:val="000C0CC3"/>
    <w:rsid w:val="000C0D11"/>
    <w:rsid w:val="000C0E16"/>
    <w:rsid w:val="000C0E9E"/>
    <w:rsid w:val="000C1035"/>
    <w:rsid w:val="000C11CC"/>
    <w:rsid w:val="000C1328"/>
    <w:rsid w:val="000C181D"/>
    <w:rsid w:val="000C1821"/>
    <w:rsid w:val="000C198B"/>
    <w:rsid w:val="000C2016"/>
    <w:rsid w:val="000C249D"/>
    <w:rsid w:val="000C2702"/>
    <w:rsid w:val="000C27F1"/>
    <w:rsid w:val="000C27F3"/>
    <w:rsid w:val="000C2F69"/>
    <w:rsid w:val="000C3048"/>
    <w:rsid w:val="000C30A5"/>
    <w:rsid w:val="000C31B2"/>
    <w:rsid w:val="000C3542"/>
    <w:rsid w:val="000C3694"/>
    <w:rsid w:val="000C396E"/>
    <w:rsid w:val="000C4861"/>
    <w:rsid w:val="000C4DFD"/>
    <w:rsid w:val="000C4E3D"/>
    <w:rsid w:val="000C4E64"/>
    <w:rsid w:val="000C513E"/>
    <w:rsid w:val="000C5257"/>
    <w:rsid w:val="000C5276"/>
    <w:rsid w:val="000C5552"/>
    <w:rsid w:val="000C58AE"/>
    <w:rsid w:val="000C58CE"/>
    <w:rsid w:val="000C593C"/>
    <w:rsid w:val="000C597C"/>
    <w:rsid w:val="000C5CB8"/>
    <w:rsid w:val="000C5D33"/>
    <w:rsid w:val="000C5EE4"/>
    <w:rsid w:val="000C61A5"/>
    <w:rsid w:val="000C61E5"/>
    <w:rsid w:val="000C630E"/>
    <w:rsid w:val="000C6350"/>
    <w:rsid w:val="000C6654"/>
    <w:rsid w:val="000C668E"/>
    <w:rsid w:val="000C67B8"/>
    <w:rsid w:val="000C683B"/>
    <w:rsid w:val="000C696F"/>
    <w:rsid w:val="000C69B5"/>
    <w:rsid w:val="000C6A40"/>
    <w:rsid w:val="000C6C22"/>
    <w:rsid w:val="000C6F66"/>
    <w:rsid w:val="000C727D"/>
    <w:rsid w:val="000C72D3"/>
    <w:rsid w:val="000C74FC"/>
    <w:rsid w:val="000C7612"/>
    <w:rsid w:val="000C7749"/>
    <w:rsid w:val="000C779F"/>
    <w:rsid w:val="000C7883"/>
    <w:rsid w:val="000C7938"/>
    <w:rsid w:val="000C793A"/>
    <w:rsid w:val="000C7B1E"/>
    <w:rsid w:val="000C7C5D"/>
    <w:rsid w:val="000D0023"/>
    <w:rsid w:val="000D0208"/>
    <w:rsid w:val="000D0929"/>
    <w:rsid w:val="000D0A81"/>
    <w:rsid w:val="000D0D68"/>
    <w:rsid w:val="000D10C9"/>
    <w:rsid w:val="000D117F"/>
    <w:rsid w:val="000D169F"/>
    <w:rsid w:val="000D16AA"/>
    <w:rsid w:val="000D1A9E"/>
    <w:rsid w:val="000D1AB4"/>
    <w:rsid w:val="000D1EAC"/>
    <w:rsid w:val="000D1EDD"/>
    <w:rsid w:val="000D21B1"/>
    <w:rsid w:val="000D241F"/>
    <w:rsid w:val="000D24D3"/>
    <w:rsid w:val="000D2533"/>
    <w:rsid w:val="000D2A92"/>
    <w:rsid w:val="000D2ED6"/>
    <w:rsid w:val="000D32C9"/>
    <w:rsid w:val="000D3762"/>
    <w:rsid w:val="000D37C3"/>
    <w:rsid w:val="000D39EF"/>
    <w:rsid w:val="000D3A95"/>
    <w:rsid w:val="000D4051"/>
    <w:rsid w:val="000D4793"/>
    <w:rsid w:val="000D47E9"/>
    <w:rsid w:val="000D4A01"/>
    <w:rsid w:val="000D4A43"/>
    <w:rsid w:val="000D4BC4"/>
    <w:rsid w:val="000D4F46"/>
    <w:rsid w:val="000D4FB4"/>
    <w:rsid w:val="000D504A"/>
    <w:rsid w:val="000D5367"/>
    <w:rsid w:val="000D5375"/>
    <w:rsid w:val="000D5418"/>
    <w:rsid w:val="000D5557"/>
    <w:rsid w:val="000D55CC"/>
    <w:rsid w:val="000D5744"/>
    <w:rsid w:val="000D591F"/>
    <w:rsid w:val="000D5927"/>
    <w:rsid w:val="000D5A63"/>
    <w:rsid w:val="000D5B69"/>
    <w:rsid w:val="000D6018"/>
    <w:rsid w:val="000D6437"/>
    <w:rsid w:val="000D6699"/>
    <w:rsid w:val="000D685E"/>
    <w:rsid w:val="000D6959"/>
    <w:rsid w:val="000D6AEB"/>
    <w:rsid w:val="000D6CAA"/>
    <w:rsid w:val="000D6FEC"/>
    <w:rsid w:val="000D72D3"/>
    <w:rsid w:val="000D76F8"/>
    <w:rsid w:val="000D77E4"/>
    <w:rsid w:val="000D79CB"/>
    <w:rsid w:val="000D7A9C"/>
    <w:rsid w:val="000D7E97"/>
    <w:rsid w:val="000E0135"/>
    <w:rsid w:val="000E02A5"/>
    <w:rsid w:val="000E07CD"/>
    <w:rsid w:val="000E0CF4"/>
    <w:rsid w:val="000E0E12"/>
    <w:rsid w:val="000E0E6C"/>
    <w:rsid w:val="000E1070"/>
    <w:rsid w:val="000E122D"/>
    <w:rsid w:val="000E1238"/>
    <w:rsid w:val="000E1614"/>
    <w:rsid w:val="000E1B32"/>
    <w:rsid w:val="000E1C68"/>
    <w:rsid w:val="000E218B"/>
    <w:rsid w:val="000E223A"/>
    <w:rsid w:val="000E246D"/>
    <w:rsid w:val="000E27D5"/>
    <w:rsid w:val="000E283E"/>
    <w:rsid w:val="000E29A0"/>
    <w:rsid w:val="000E2B7C"/>
    <w:rsid w:val="000E2B93"/>
    <w:rsid w:val="000E2C8F"/>
    <w:rsid w:val="000E2E82"/>
    <w:rsid w:val="000E3104"/>
    <w:rsid w:val="000E31EC"/>
    <w:rsid w:val="000E32DC"/>
    <w:rsid w:val="000E3706"/>
    <w:rsid w:val="000E3805"/>
    <w:rsid w:val="000E386F"/>
    <w:rsid w:val="000E3879"/>
    <w:rsid w:val="000E39AB"/>
    <w:rsid w:val="000E3A1B"/>
    <w:rsid w:val="000E3B02"/>
    <w:rsid w:val="000E3D7F"/>
    <w:rsid w:val="000E3F11"/>
    <w:rsid w:val="000E4621"/>
    <w:rsid w:val="000E4790"/>
    <w:rsid w:val="000E490F"/>
    <w:rsid w:val="000E4BE1"/>
    <w:rsid w:val="000E4FDE"/>
    <w:rsid w:val="000E51BD"/>
    <w:rsid w:val="000E55C3"/>
    <w:rsid w:val="000E5679"/>
    <w:rsid w:val="000E58A5"/>
    <w:rsid w:val="000E5B5E"/>
    <w:rsid w:val="000E5B96"/>
    <w:rsid w:val="000E5C6D"/>
    <w:rsid w:val="000E5EC0"/>
    <w:rsid w:val="000E5F4B"/>
    <w:rsid w:val="000E5F66"/>
    <w:rsid w:val="000E664A"/>
    <w:rsid w:val="000E6B1D"/>
    <w:rsid w:val="000E6B59"/>
    <w:rsid w:val="000E6CCE"/>
    <w:rsid w:val="000E6E46"/>
    <w:rsid w:val="000E6EF5"/>
    <w:rsid w:val="000E6F98"/>
    <w:rsid w:val="000E7019"/>
    <w:rsid w:val="000E7206"/>
    <w:rsid w:val="000E734E"/>
    <w:rsid w:val="000E7852"/>
    <w:rsid w:val="000E78F0"/>
    <w:rsid w:val="000F0208"/>
    <w:rsid w:val="000F0426"/>
    <w:rsid w:val="000F07B8"/>
    <w:rsid w:val="000F07F6"/>
    <w:rsid w:val="000F08AD"/>
    <w:rsid w:val="000F0C13"/>
    <w:rsid w:val="000F0CC6"/>
    <w:rsid w:val="000F0D46"/>
    <w:rsid w:val="000F0E99"/>
    <w:rsid w:val="000F0F0F"/>
    <w:rsid w:val="000F106C"/>
    <w:rsid w:val="000F11BE"/>
    <w:rsid w:val="000F11FA"/>
    <w:rsid w:val="000F1592"/>
    <w:rsid w:val="000F18A9"/>
    <w:rsid w:val="000F193F"/>
    <w:rsid w:val="000F19A6"/>
    <w:rsid w:val="000F1C8F"/>
    <w:rsid w:val="000F221D"/>
    <w:rsid w:val="000F22BE"/>
    <w:rsid w:val="000F2427"/>
    <w:rsid w:val="000F243A"/>
    <w:rsid w:val="000F24CC"/>
    <w:rsid w:val="000F2534"/>
    <w:rsid w:val="000F27B2"/>
    <w:rsid w:val="000F2823"/>
    <w:rsid w:val="000F2A46"/>
    <w:rsid w:val="000F2D59"/>
    <w:rsid w:val="000F2FB6"/>
    <w:rsid w:val="000F300C"/>
    <w:rsid w:val="000F313A"/>
    <w:rsid w:val="000F33EC"/>
    <w:rsid w:val="000F350C"/>
    <w:rsid w:val="000F3556"/>
    <w:rsid w:val="000F3596"/>
    <w:rsid w:val="000F3652"/>
    <w:rsid w:val="000F3857"/>
    <w:rsid w:val="000F3987"/>
    <w:rsid w:val="000F39C4"/>
    <w:rsid w:val="000F3E83"/>
    <w:rsid w:val="000F3FD1"/>
    <w:rsid w:val="000F4109"/>
    <w:rsid w:val="000F4274"/>
    <w:rsid w:val="000F4720"/>
    <w:rsid w:val="000F4A13"/>
    <w:rsid w:val="000F4A1A"/>
    <w:rsid w:val="000F4BE8"/>
    <w:rsid w:val="000F4DBB"/>
    <w:rsid w:val="000F504E"/>
    <w:rsid w:val="000F52E7"/>
    <w:rsid w:val="000F56CA"/>
    <w:rsid w:val="000F5771"/>
    <w:rsid w:val="000F57BC"/>
    <w:rsid w:val="000F5E1C"/>
    <w:rsid w:val="000F603E"/>
    <w:rsid w:val="000F6323"/>
    <w:rsid w:val="000F63E0"/>
    <w:rsid w:val="000F6580"/>
    <w:rsid w:val="000F6998"/>
    <w:rsid w:val="000F6C6F"/>
    <w:rsid w:val="000F6D79"/>
    <w:rsid w:val="000F6E16"/>
    <w:rsid w:val="000F7214"/>
    <w:rsid w:val="000F7545"/>
    <w:rsid w:val="000F7B24"/>
    <w:rsid w:val="000F7C72"/>
    <w:rsid w:val="000F7C9A"/>
    <w:rsid w:val="000F7CEE"/>
    <w:rsid w:val="000F7D5B"/>
    <w:rsid w:val="0010002A"/>
    <w:rsid w:val="00100299"/>
    <w:rsid w:val="00100463"/>
    <w:rsid w:val="00100626"/>
    <w:rsid w:val="0010086D"/>
    <w:rsid w:val="00100EEF"/>
    <w:rsid w:val="001014D4"/>
    <w:rsid w:val="001018A8"/>
    <w:rsid w:val="00101B7F"/>
    <w:rsid w:val="00101D81"/>
    <w:rsid w:val="00101E39"/>
    <w:rsid w:val="00101ED5"/>
    <w:rsid w:val="00102B15"/>
    <w:rsid w:val="00102B80"/>
    <w:rsid w:val="00103149"/>
    <w:rsid w:val="00103427"/>
    <w:rsid w:val="00103554"/>
    <w:rsid w:val="00103594"/>
    <w:rsid w:val="0010361F"/>
    <w:rsid w:val="0010395E"/>
    <w:rsid w:val="00103A09"/>
    <w:rsid w:val="00103D8A"/>
    <w:rsid w:val="001042AD"/>
    <w:rsid w:val="00104768"/>
    <w:rsid w:val="001048DB"/>
    <w:rsid w:val="00104A1D"/>
    <w:rsid w:val="00104B5B"/>
    <w:rsid w:val="00104D37"/>
    <w:rsid w:val="001051F4"/>
    <w:rsid w:val="0010538B"/>
    <w:rsid w:val="0010540B"/>
    <w:rsid w:val="001054F7"/>
    <w:rsid w:val="0010565D"/>
    <w:rsid w:val="001059D6"/>
    <w:rsid w:val="00105B83"/>
    <w:rsid w:val="00105E6A"/>
    <w:rsid w:val="001067A5"/>
    <w:rsid w:val="00106932"/>
    <w:rsid w:val="001069A7"/>
    <w:rsid w:val="00106C0A"/>
    <w:rsid w:val="00106D51"/>
    <w:rsid w:val="00106F7E"/>
    <w:rsid w:val="0010709D"/>
    <w:rsid w:val="001076B7"/>
    <w:rsid w:val="0010799F"/>
    <w:rsid w:val="001079AD"/>
    <w:rsid w:val="00107DC1"/>
    <w:rsid w:val="001100FE"/>
    <w:rsid w:val="00110467"/>
    <w:rsid w:val="00110633"/>
    <w:rsid w:val="001106FC"/>
    <w:rsid w:val="001109AC"/>
    <w:rsid w:val="00110A8D"/>
    <w:rsid w:val="0011115E"/>
    <w:rsid w:val="001111DA"/>
    <w:rsid w:val="0011137D"/>
    <w:rsid w:val="0011147A"/>
    <w:rsid w:val="00111667"/>
    <w:rsid w:val="00111904"/>
    <w:rsid w:val="00111951"/>
    <w:rsid w:val="00111C11"/>
    <w:rsid w:val="00111D4C"/>
    <w:rsid w:val="00111E6B"/>
    <w:rsid w:val="00111F29"/>
    <w:rsid w:val="00111FDE"/>
    <w:rsid w:val="00112146"/>
    <w:rsid w:val="001121B6"/>
    <w:rsid w:val="00112334"/>
    <w:rsid w:val="0011246D"/>
    <w:rsid w:val="00112A55"/>
    <w:rsid w:val="00112B6A"/>
    <w:rsid w:val="00112C06"/>
    <w:rsid w:val="00112F1A"/>
    <w:rsid w:val="00113190"/>
    <w:rsid w:val="00113456"/>
    <w:rsid w:val="001134D9"/>
    <w:rsid w:val="001136A7"/>
    <w:rsid w:val="00113BD4"/>
    <w:rsid w:val="00113BE4"/>
    <w:rsid w:val="00113C27"/>
    <w:rsid w:val="00113E77"/>
    <w:rsid w:val="001141EE"/>
    <w:rsid w:val="00114685"/>
    <w:rsid w:val="001148D3"/>
    <w:rsid w:val="00114BDF"/>
    <w:rsid w:val="00114CE8"/>
    <w:rsid w:val="0011520E"/>
    <w:rsid w:val="00115380"/>
    <w:rsid w:val="00115457"/>
    <w:rsid w:val="00115678"/>
    <w:rsid w:val="0011587E"/>
    <w:rsid w:val="0011594F"/>
    <w:rsid w:val="00115B12"/>
    <w:rsid w:val="00115BAA"/>
    <w:rsid w:val="00115C74"/>
    <w:rsid w:val="00115D20"/>
    <w:rsid w:val="00115F68"/>
    <w:rsid w:val="0011633F"/>
    <w:rsid w:val="00116401"/>
    <w:rsid w:val="0011698B"/>
    <w:rsid w:val="001169F1"/>
    <w:rsid w:val="00116AB9"/>
    <w:rsid w:val="00116CF9"/>
    <w:rsid w:val="00116D48"/>
    <w:rsid w:val="00116FEE"/>
    <w:rsid w:val="001172AF"/>
    <w:rsid w:val="00117754"/>
    <w:rsid w:val="00117828"/>
    <w:rsid w:val="00117A02"/>
    <w:rsid w:val="00117BE9"/>
    <w:rsid w:val="00117DB9"/>
    <w:rsid w:val="00117DDD"/>
    <w:rsid w:val="0012035D"/>
    <w:rsid w:val="0012081F"/>
    <w:rsid w:val="00120957"/>
    <w:rsid w:val="001213D6"/>
    <w:rsid w:val="001213EF"/>
    <w:rsid w:val="001213F4"/>
    <w:rsid w:val="001217E5"/>
    <w:rsid w:val="00121CB9"/>
    <w:rsid w:val="0012216D"/>
    <w:rsid w:val="001221C9"/>
    <w:rsid w:val="001221E3"/>
    <w:rsid w:val="0012271C"/>
    <w:rsid w:val="001227E3"/>
    <w:rsid w:val="0012297A"/>
    <w:rsid w:val="00122A67"/>
    <w:rsid w:val="00122C04"/>
    <w:rsid w:val="00122C67"/>
    <w:rsid w:val="00122C75"/>
    <w:rsid w:val="00122CE7"/>
    <w:rsid w:val="00122E09"/>
    <w:rsid w:val="00122F30"/>
    <w:rsid w:val="00122F7E"/>
    <w:rsid w:val="0012340E"/>
    <w:rsid w:val="0012344A"/>
    <w:rsid w:val="00123599"/>
    <w:rsid w:val="00123737"/>
    <w:rsid w:val="001237D5"/>
    <w:rsid w:val="00123897"/>
    <w:rsid w:val="00123B5E"/>
    <w:rsid w:val="00123CCC"/>
    <w:rsid w:val="00123D5B"/>
    <w:rsid w:val="00123D6A"/>
    <w:rsid w:val="00123E81"/>
    <w:rsid w:val="00123EB9"/>
    <w:rsid w:val="00123F7F"/>
    <w:rsid w:val="00124ABC"/>
    <w:rsid w:val="00124CD1"/>
    <w:rsid w:val="00124E65"/>
    <w:rsid w:val="00125031"/>
    <w:rsid w:val="00125034"/>
    <w:rsid w:val="0012508B"/>
    <w:rsid w:val="001251CF"/>
    <w:rsid w:val="0012523C"/>
    <w:rsid w:val="001253FF"/>
    <w:rsid w:val="00125630"/>
    <w:rsid w:val="00125673"/>
    <w:rsid w:val="001259F7"/>
    <w:rsid w:val="00125D40"/>
    <w:rsid w:val="00125D6A"/>
    <w:rsid w:val="00125FD0"/>
    <w:rsid w:val="0012606E"/>
    <w:rsid w:val="001261FC"/>
    <w:rsid w:val="0012625F"/>
    <w:rsid w:val="00126361"/>
    <w:rsid w:val="0012641C"/>
    <w:rsid w:val="001265C7"/>
    <w:rsid w:val="0012662D"/>
    <w:rsid w:val="00126675"/>
    <w:rsid w:val="001267E7"/>
    <w:rsid w:val="00126D74"/>
    <w:rsid w:val="00126FD0"/>
    <w:rsid w:val="00126FFA"/>
    <w:rsid w:val="0012701F"/>
    <w:rsid w:val="0012714E"/>
    <w:rsid w:val="00127311"/>
    <w:rsid w:val="00127768"/>
    <w:rsid w:val="001279AE"/>
    <w:rsid w:val="001279F6"/>
    <w:rsid w:val="00127DA8"/>
    <w:rsid w:val="00127E8F"/>
    <w:rsid w:val="001317E3"/>
    <w:rsid w:val="001317F0"/>
    <w:rsid w:val="00131985"/>
    <w:rsid w:val="00131C43"/>
    <w:rsid w:val="00131F12"/>
    <w:rsid w:val="00132211"/>
    <w:rsid w:val="001323D6"/>
    <w:rsid w:val="00132402"/>
    <w:rsid w:val="001325B9"/>
    <w:rsid w:val="001325CA"/>
    <w:rsid w:val="00132677"/>
    <w:rsid w:val="001326A9"/>
    <w:rsid w:val="00132A5B"/>
    <w:rsid w:val="00132AD9"/>
    <w:rsid w:val="00132B85"/>
    <w:rsid w:val="00132C7E"/>
    <w:rsid w:val="00132FB5"/>
    <w:rsid w:val="00133062"/>
    <w:rsid w:val="00133108"/>
    <w:rsid w:val="001335B5"/>
    <w:rsid w:val="00133670"/>
    <w:rsid w:val="00133908"/>
    <w:rsid w:val="001339DF"/>
    <w:rsid w:val="00133A5D"/>
    <w:rsid w:val="00133A6F"/>
    <w:rsid w:val="00133B1C"/>
    <w:rsid w:val="00133D7C"/>
    <w:rsid w:val="00134049"/>
    <w:rsid w:val="0013443A"/>
    <w:rsid w:val="00134493"/>
    <w:rsid w:val="001344D5"/>
    <w:rsid w:val="00134796"/>
    <w:rsid w:val="00134C5C"/>
    <w:rsid w:val="00134CAE"/>
    <w:rsid w:val="00134DEF"/>
    <w:rsid w:val="00134F05"/>
    <w:rsid w:val="00135050"/>
    <w:rsid w:val="001351F5"/>
    <w:rsid w:val="001354CF"/>
    <w:rsid w:val="00135557"/>
    <w:rsid w:val="0013595F"/>
    <w:rsid w:val="00135BFA"/>
    <w:rsid w:val="00135CF8"/>
    <w:rsid w:val="00135E71"/>
    <w:rsid w:val="00135E74"/>
    <w:rsid w:val="00135E8C"/>
    <w:rsid w:val="00135FFC"/>
    <w:rsid w:val="001361CD"/>
    <w:rsid w:val="00136399"/>
    <w:rsid w:val="001364F6"/>
    <w:rsid w:val="001366D6"/>
    <w:rsid w:val="0013670D"/>
    <w:rsid w:val="00136845"/>
    <w:rsid w:val="001368C3"/>
    <w:rsid w:val="00136AF5"/>
    <w:rsid w:val="00136E76"/>
    <w:rsid w:val="00136EED"/>
    <w:rsid w:val="00136F0F"/>
    <w:rsid w:val="001375F9"/>
    <w:rsid w:val="00137614"/>
    <w:rsid w:val="00137A37"/>
    <w:rsid w:val="00137F27"/>
    <w:rsid w:val="001402BE"/>
    <w:rsid w:val="0014034E"/>
    <w:rsid w:val="001405A2"/>
    <w:rsid w:val="001405DA"/>
    <w:rsid w:val="00140635"/>
    <w:rsid w:val="0014079E"/>
    <w:rsid w:val="001407F0"/>
    <w:rsid w:val="001408CF"/>
    <w:rsid w:val="00140A20"/>
    <w:rsid w:val="00140C54"/>
    <w:rsid w:val="00140E31"/>
    <w:rsid w:val="00140E8B"/>
    <w:rsid w:val="00140E98"/>
    <w:rsid w:val="00140ED8"/>
    <w:rsid w:val="00141403"/>
    <w:rsid w:val="00141819"/>
    <w:rsid w:val="00141957"/>
    <w:rsid w:val="00141B8C"/>
    <w:rsid w:val="00141BDD"/>
    <w:rsid w:val="00141C24"/>
    <w:rsid w:val="00141C9E"/>
    <w:rsid w:val="00141DD6"/>
    <w:rsid w:val="00141E12"/>
    <w:rsid w:val="00141ECE"/>
    <w:rsid w:val="00141EFB"/>
    <w:rsid w:val="0014229A"/>
    <w:rsid w:val="0014255F"/>
    <w:rsid w:val="00142666"/>
    <w:rsid w:val="0014266D"/>
    <w:rsid w:val="00142A4C"/>
    <w:rsid w:val="00142A50"/>
    <w:rsid w:val="00142E92"/>
    <w:rsid w:val="00142F50"/>
    <w:rsid w:val="00143179"/>
    <w:rsid w:val="00143523"/>
    <w:rsid w:val="001435AC"/>
    <w:rsid w:val="001435E4"/>
    <w:rsid w:val="00143685"/>
    <w:rsid w:val="00143708"/>
    <w:rsid w:val="00143749"/>
    <w:rsid w:val="001439BF"/>
    <w:rsid w:val="001439E0"/>
    <w:rsid w:val="00143A72"/>
    <w:rsid w:val="00143AAB"/>
    <w:rsid w:val="00143B75"/>
    <w:rsid w:val="00143BBC"/>
    <w:rsid w:val="00143D38"/>
    <w:rsid w:val="00143EBF"/>
    <w:rsid w:val="0014434E"/>
    <w:rsid w:val="001448B7"/>
    <w:rsid w:val="00144BE5"/>
    <w:rsid w:val="00144C83"/>
    <w:rsid w:val="00144D00"/>
    <w:rsid w:val="00144F1F"/>
    <w:rsid w:val="00145254"/>
    <w:rsid w:val="00145350"/>
    <w:rsid w:val="001454F5"/>
    <w:rsid w:val="0014570E"/>
    <w:rsid w:val="00145783"/>
    <w:rsid w:val="00145945"/>
    <w:rsid w:val="00145ACD"/>
    <w:rsid w:val="00145EC3"/>
    <w:rsid w:val="00145FB5"/>
    <w:rsid w:val="00146100"/>
    <w:rsid w:val="0014631E"/>
    <w:rsid w:val="0014662A"/>
    <w:rsid w:val="001467C0"/>
    <w:rsid w:val="001468C6"/>
    <w:rsid w:val="00146921"/>
    <w:rsid w:val="0014699C"/>
    <w:rsid w:val="00146C47"/>
    <w:rsid w:val="00146C48"/>
    <w:rsid w:val="00146C95"/>
    <w:rsid w:val="0014703E"/>
    <w:rsid w:val="0014756B"/>
    <w:rsid w:val="001476C6"/>
    <w:rsid w:val="001477BE"/>
    <w:rsid w:val="00147872"/>
    <w:rsid w:val="00147EBC"/>
    <w:rsid w:val="00147FE9"/>
    <w:rsid w:val="0015007C"/>
    <w:rsid w:val="001505C2"/>
    <w:rsid w:val="0015091B"/>
    <w:rsid w:val="00150C31"/>
    <w:rsid w:val="00150FBF"/>
    <w:rsid w:val="0015150F"/>
    <w:rsid w:val="0015156D"/>
    <w:rsid w:val="001515D3"/>
    <w:rsid w:val="00151603"/>
    <w:rsid w:val="00151978"/>
    <w:rsid w:val="00151B65"/>
    <w:rsid w:val="00151B94"/>
    <w:rsid w:val="00151F75"/>
    <w:rsid w:val="001520FF"/>
    <w:rsid w:val="0015247C"/>
    <w:rsid w:val="00152635"/>
    <w:rsid w:val="001527B6"/>
    <w:rsid w:val="001527BE"/>
    <w:rsid w:val="00152B4C"/>
    <w:rsid w:val="00152C9C"/>
    <w:rsid w:val="00152D19"/>
    <w:rsid w:val="00153155"/>
    <w:rsid w:val="00153242"/>
    <w:rsid w:val="001533FD"/>
    <w:rsid w:val="001535F8"/>
    <w:rsid w:val="0015395D"/>
    <w:rsid w:val="00153A28"/>
    <w:rsid w:val="00153A3C"/>
    <w:rsid w:val="00153E0E"/>
    <w:rsid w:val="0015443E"/>
    <w:rsid w:val="00154735"/>
    <w:rsid w:val="00154A3F"/>
    <w:rsid w:val="00154F11"/>
    <w:rsid w:val="0015510F"/>
    <w:rsid w:val="00155322"/>
    <w:rsid w:val="001558D6"/>
    <w:rsid w:val="0015595E"/>
    <w:rsid w:val="00155A47"/>
    <w:rsid w:val="00155C4B"/>
    <w:rsid w:val="00155ECB"/>
    <w:rsid w:val="00155F12"/>
    <w:rsid w:val="00155F36"/>
    <w:rsid w:val="00156309"/>
    <w:rsid w:val="00156396"/>
    <w:rsid w:val="001563C1"/>
    <w:rsid w:val="001566B1"/>
    <w:rsid w:val="001568CE"/>
    <w:rsid w:val="00156A35"/>
    <w:rsid w:val="00156C1D"/>
    <w:rsid w:val="00157073"/>
    <w:rsid w:val="0015715E"/>
    <w:rsid w:val="00157220"/>
    <w:rsid w:val="001575CB"/>
    <w:rsid w:val="00157649"/>
    <w:rsid w:val="0015789D"/>
    <w:rsid w:val="001579CA"/>
    <w:rsid w:val="00157D2A"/>
    <w:rsid w:val="0016034B"/>
    <w:rsid w:val="001606CB"/>
    <w:rsid w:val="001608EA"/>
    <w:rsid w:val="00160933"/>
    <w:rsid w:val="00160953"/>
    <w:rsid w:val="001609A4"/>
    <w:rsid w:val="001609BC"/>
    <w:rsid w:val="00161140"/>
    <w:rsid w:val="0016114A"/>
    <w:rsid w:val="001611E5"/>
    <w:rsid w:val="0016132D"/>
    <w:rsid w:val="001613EF"/>
    <w:rsid w:val="001615F5"/>
    <w:rsid w:val="00161B3B"/>
    <w:rsid w:val="00161C41"/>
    <w:rsid w:val="00161CBB"/>
    <w:rsid w:val="00161CDB"/>
    <w:rsid w:val="00161E50"/>
    <w:rsid w:val="001621AB"/>
    <w:rsid w:val="00162298"/>
    <w:rsid w:val="001624B5"/>
    <w:rsid w:val="001624C8"/>
    <w:rsid w:val="00162612"/>
    <w:rsid w:val="00162A34"/>
    <w:rsid w:val="00162ACC"/>
    <w:rsid w:val="00162B34"/>
    <w:rsid w:val="00162C39"/>
    <w:rsid w:val="00163282"/>
    <w:rsid w:val="00163287"/>
    <w:rsid w:val="0016335A"/>
    <w:rsid w:val="00163598"/>
    <w:rsid w:val="001635A3"/>
    <w:rsid w:val="001635D5"/>
    <w:rsid w:val="00163622"/>
    <w:rsid w:val="00163640"/>
    <w:rsid w:val="00163762"/>
    <w:rsid w:val="0016388C"/>
    <w:rsid w:val="00163A74"/>
    <w:rsid w:val="00163DAE"/>
    <w:rsid w:val="00163DCC"/>
    <w:rsid w:val="00163E6C"/>
    <w:rsid w:val="0016449F"/>
    <w:rsid w:val="00164562"/>
    <w:rsid w:val="00164673"/>
    <w:rsid w:val="0016467B"/>
    <w:rsid w:val="001649DB"/>
    <w:rsid w:val="00164AF9"/>
    <w:rsid w:val="00164BC8"/>
    <w:rsid w:val="00164BC9"/>
    <w:rsid w:val="0016520D"/>
    <w:rsid w:val="001654A2"/>
    <w:rsid w:val="00165572"/>
    <w:rsid w:val="001655D7"/>
    <w:rsid w:val="00165681"/>
    <w:rsid w:val="0016569B"/>
    <w:rsid w:val="00165719"/>
    <w:rsid w:val="00165887"/>
    <w:rsid w:val="001659D0"/>
    <w:rsid w:val="00165A49"/>
    <w:rsid w:val="00165A8D"/>
    <w:rsid w:val="00165ADE"/>
    <w:rsid w:val="00165B9D"/>
    <w:rsid w:val="00165F5D"/>
    <w:rsid w:val="00165FE5"/>
    <w:rsid w:val="00165FFB"/>
    <w:rsid w:val="001660C4"/>
    <w:rsid w:val="001667A9"/>
    <w:rsid w:val="00166889"/>
    <w:rsid w:val="00166989"/>
    <w:rsid w:val="00166C1E"/>
    <w:rsid w:val="00166FE4"/>
    <w:rsid w:val="001671C7"/>
    <w:rsid w:val="0016731F"/>
    <w:rsid w:val="001674E8"/>
    <w:rsid w:val="0016766A"/>
    <w:rsid w:val="001676BB"/>
    <w:rsid w:val="001677B6"/>
    <w:rsid w:val="00167F33"/>
    <w:rsid w:val="00167FC6"/>
    <w:rsid w:val="0017031F"/>
    <w:rsid w:val="00170409"/>
    <w:rsid w:val="001705D8"/>
    <w:rsid w:val="00170625"/>
    <w:rsid w:val="001709D4"/>
    <w:rsid w:val="00170A3B"/>
    <w:rsid w:val="00170D36"/>
    <w:rsid w:val="00170D73"/>
    <w:rsid w:val="001717C8"/>
    <w:rsid w:val="00171996"/>
    <w:rsid w:val="00171B01"/>
    <w:rsid w:val="00171C77"/>
    <w:rsid w:val="00171E23"/>
    <w:rsid w:val="00171E28"/>
    <w:rsid w:val="001724FA"/>
    <w:rsid w:val="00172512"/>
    <w:rsid w:val="001725DD"/>
    <w:rsid w:val="00172697"/>
    <w:rsid w:val="00172B02"/>
    <w:rsid w:val="00172C11"/>
    <w:rsid w:val="00172D9D"/>
    <w:rsid w:val="00172E8B"/>
    <w:rsid w:val="001731DF"/>
    <w:rsid w:val="00173372"/>
    <w:rsid w:val="00173577"/>
    <w:rsid w:val="0017359C"/>
    <w:rsid w:val="001735B2"/>
    <w:rsid w:val="00173E55"/>
    <w:rsid w:val="00173E69"/>
    <w:rsid w:val="00173F4E"/>
    <w:rsid w:val="00173F82"/>
    <w:rsid w:val="00174058"/>
    <w:rsid w:val="001743EC"/>
    <w:rsid w:val="00174424"/>
    <w:rsid w:val="00174563"/>
    <w:rsid w:val="001745CB"/>
    <w:rsid w:val="001746AC"/>
    <w:rsid w:val="001749A1"/>
    <w:rsid w:val="00174E13"/>
    <w:rsid w:val="00175004"/>
    <w:rsid w:val="00175024"/>
    <w:rsid w:val="001751FE"/>
    <w:rsid w:val="0017530C"/>
    <w:rsid w:val="0017538D"/>
    <w:rsid w:val="001754A4"/>
    <w:rsid w:val="0017564E"/>
    <w:rsid w:val="00175F04"/>
    <w:rsid w:val="00176143"/>
    <w:rsid w:val="001762A1"/>
    <w:rsid w:val="00176323"/>
    <w:rsid w:val="001765E1"/>
    <w:rsid w:val="001765E2"/>
    <w:rsid w:val="00176658"/>
    <w:rsid w:val="0017688F"/>
    <w:rsid w:val="001769F6"/>
    <w:rsid w:val="00176AA5"/>
    <w:rsid w:val="00176BB1"/>
    <w:rsid w:val="00176D35"/>
    <w:rsid w:val="00176D7F"/>
    <w:rsid w:val="00176E9E"/>
    <w:rsid w:val="00176FBC"/>
    <w:rsid w:val="00176FD5"/>
    <w:rsid w:val="001770A7"/>
    <w:rsid w:val="001770E4"/>
    <w:rsid w:val="00177164"/>
    <w:rsid w:val="0017720E"/>
    <w:rsid w:val="001772CC"/>
    <w:rsid w:val="001776CF"/>
    <w:rsid w:val="00177893"/>
    <w:rsid w:val="00177D3C"/>
    <w:rsid w:val="00177F44"/>
    <w:rsid w:val="001801F0"/>
    <w:rsid w:val="00180217"/>
    <w:rsid w:val="001807D7"/>
    <w:rsid w:val="00180F0A"/>
    <w:rsid w:val="00180FB9"/>
    <w:rsid w:val="00181052"/>
    <w:rsid w:val="00181093"/>
    <w:rsid w:val="001811EF"/>
    <w:rsid w:val="001813DD"/>
    <w:rsid w:val="001813EF"/>
    <w:rsid w:val="0018141A"/>
    <w:rsid w:val="00181BD5"/>
    <w:rsid w:val="00181DDC"/>
    <w:rsid w:val="00181E16"/>
    <w:rsid w:val="00181F0D"/>
    <w:rsid w:val="00182701"/>
    <w:rsid w:val="001829A4"/>
    <w:rsid w:val="00182CA2"/>
    <w:rsid w:val="001830BE"/>
    <w:rsid w:val="0018322C"/>
    <w:rsid w:val="001832D6"/>
    <w:rsid w:val="0018333E"/>
    <w:rsid w:val="0018339B"/>
    <w:rsid w:val="001834C1"/>
    <w:rsid w:val="00183660"/>
    <w:rsid w:val="0018373E"/>
    <w:rsid w:val="001837C8"/>
    <w:rsid w:val="00183997"/>
    <w:rsid w:val="001839C0"/>
    <w:rsid w:val="00183A87"/>
    <w:rsid w:val="00184221"/>
    <w:rsid w:val="0018443E"/>
    <w:rsid w:val="001848D5"/>
    <w:rsid w:val="00184E8C"/>
    <w:rsid w:val="001851EF"/>
    <w:rsid w:val="0018539F"/>
    <w:rsid w:val="001856D7"/>
    <w:rsid w:val="001857D7"/>
    <w:rsid w:val="0018594D"/>
    <w:rsid w:val="00185A01"/>
    <w:rsid w:val="00185C35"/>
    <w:rsid w:val="00185DF4"/>
    <w:rsid w:val="00185E7B"/>
    <w:rsid w:val="00185EAF"/>
    <w:rsid w:val="0018603B"/>
    <w:rsid w:val="0018613E"/>
    <w:rsid w:val="0018629B"/>
    <w:rsid w:val="001862C4"/>
    <w:rsid w:val="00186307"/>
    <w:rsid w:val="001863A0"/>
    <w:rsid w:val="001863C0"/>
    <w:rsid w:val="001863F7"/>
    <w:rsid w:val="001865EC"/>
    <w:rsid w:val="001866C3"/>
    <w:rsid w:val="00186926"/>
    <w:rsid w:val="0018697B"/>
    <w:rsid w:val="00186A7A"/>
    <w:rsid w:val="00186B2C"/>
    <w:rsid w:val="00186B4D"/>
    <w:rsid w:val="00186C65"/>
    <w:rsid w:val="00186D67"/>
    <w:rsid w:val="00186EBC"/>
    <w:rsid w:val="00186F3F"/>
    <w:rsid w:val="00186FA2"/>
    <w:rsid w:val="00187010"/>
    <w:rsid w:val="0018702C"/>
    <w:rsid w:val="00187063"/>
    <w:rsid w:val="001875CB"/>
    <w:rsid w:val="0018785E"/>
    <w:rsid w:val="00187861"/>
    <w:rsid w:val="00187FB5"/>
    <w:rsid w:val="0019010E"/>
    <w:rsid w:val="0019061F"/>
    <w:rsid w:val="00190652"/>
    <w:rsid w:val="00190996"/>
    <w:rsid w:val="00190A91"/>
    <w:rsid w:val="00190FA9"/>
    <w:rsid w:val="001911BE"/>
    <w:rsid w:val="00191391"/>
    <w:rsid w:val="001916C0"/>
    <w:rsid w:val="001918CF"/>
    <w:rsid w:val="00191967"/>
    <w:rsid w:val="00191B1A"/>
    <w:rsid w:val="00191B1E"/>
    <w:rsid w:val="00191F43"/>
    <w:rsid w:val="00191FE1"/>
    <w:rsid w:val="001920D1"/>
    <w:rsid w:val="00192185"/>
    <w:rsid w:val="001925B6"/>
    <w:rsid w:val="00192704"/>
    <w:rsid w:val="00192713"/>
    <w:rsid w:val="00192D26"/>
    <w:rsid w:val="00192D95"/>
    <w:rsid w:val="00192E69"/>
    <w:rsid w:val="00192FA5"/>
    <w:rsid w:val="0019329B"/>
    <w:rsid w:val="00193480"/>
    <w:rsid w:val="00193554"/>
    <w:rsid w:val="001935C3"/>
    <w:rsid w:val="00193762"/>
    <w:rsid w:val="0019377C"/>
    <w:rsid w:val="001938E6"/>
    <w:rsid w:val="00193BA5"/>
    <w:rsid w:val="00193D73"/>
    <w:rsid w:val="00193DC3"/>
    <w:rsid w:val="00193E31"/>
    <w:rsid w:val="001941A2"/>
    <w:rsid w:val="001945D8"/>
    <w:rsid w:val="001946E6"/>
    <w:rsid w:val="00194748"/>
    <w:rsid w:val="001947DA"/>
    <w:rsid w:val="00194B2A"/>
    <w:rsid w:val="00194BA8"/>
    <w:rsid w:val="00194FB9"/>
    <w:rsid w:val="00195241"/>
    <w:rsid w:val="00195283"/>
    <w:rsid w:val="001952BB"/>
    <w:rsid w:val="00195DA4"/>
    <w:rsid w:val="0019608B"/>
    <w:rsid w:val="00196148"/>
    <w:rsid w:val="001962F6"/>
    <w:rsid w:val="00196A22"/>
    <w:rsid w:val="00196B8A"/>
    <w:rsid w:val="00196BC2"/>
    <w:rsid w:val="001970DF"/>
    <w:rsid w:val="001970FE"/>
    <w:rsid w:val="001971FF"/>
    <w:rsid w:val="0019742C"/>
    <w:rsid w:val="00197544"/>
    <w:rsid w:val="00197756"/>
    <w:rsid w:val="001977DC"/>
    <w:rsid w:val="001977DE"/>
    <w:rsid w:val="00197A11"/>
    <w:rsid w:val="00197A16"/>
    <w:rsid w:val="00197D31"/>
    <w:rsid w:val="001A003F"/>
    <w:rsid w:val="001A0142"/>
    <w:rsid w:val="001A043C"/>
    <w:rsid w:val="001A05CF"/>
    <w:rsid w:val="001A05DD"/>
    <w:rsid w:val="001A06A2"/>
    <w:rsid w:val="001A0B38"/>
    <w:rsid w:val="001A0C3F"/>
    <w:rsid w:val="001A0E59"/>
    <w:rsid w:val="001A0E7D"/>
    <w:rsid w:val="001A0ED4"/>
    <w:rsid w:val="001A125A"/>
    <w:rsid w:val="001A1355"/>
    <w:rsid w:val="001A183A"/>
    <w:rsid w:val="001A1938"/>
    <w:rsid w:val="001A1C28"/>
    <w:rsid w:val="001A1EFA"/>
    <w:rsid w:val="001A1F1C"/>
    <w:rsid w:val="001A20DC"/>
    <w:rsid w:val="001A21EC"/>
    <w:rsid w:val="001A21F5"/>
    <w:rsid w:val="001A2651"/>
    <w:rsid w:val="001A31DB"/>
    <w:rsid w:val="001A327F"/>
    <w:rsid w:val="001A331B"/>
    <w:rsid w:val="001A3375"/>
    <w:rsid w:val="001A3AC7"/>
    <w:rsid w:val="001A3C22"/>
    <w:rsid w:val="001A3CED"/>
    <w:rsid w:val="001A3D1A"/>
    <w:rsid w:val="001A3DC9"/>
    <w:rsid w:val="001A3EF7"/>
    <w:rsid w:val="001A3F84"/>
    <w:rsid w:val="001A4071"/>
    <w:rsid w:val="001A424C"/>
    <w:rsid w:val="001A46A5"/>
    <w:rsid w:val="001A48E3"/>
    <w:rsid w:val="001A49FB"/>
    <w:rsid w:val="001A4BA0"/>
    <w:rsid w:val="001A5168"/>
    <w:rsid w:val="001A527A"/>
    <w:rsid w:val="001A52A1"/>
    <w:rsid w:val="001A5302"/>
    <w:rsid w:val="001A549D"/>
    <w:rsid w:val="001A5670"/>
    <w:rsid w:val="001A5777"/>
    <w:rsid w:val="001A57A8"/>
    <w:rsid w:val="001A5ADB"/>
    <w:rsid w:val="001A5B41"/>
    <w:rsid w:val="001A5BCF"/>
    <w:rsid w:val="001A5CC4"/>
    <w:rsid w:val="001A5F11"/>
    <w:rsid w:val="001A5F54"/>
    <w:rsid w:val="001A64E7"/>
    <w:rsid w:val="001A6649"/>
    <w:rsid w:val="001A6A12"/>
    <w:rsid w:val="001A6ADD"/>
    <w:rsid w:val="001A6B3E"/>
    <w:rsid w:val="001A6D23"/>
    <w:rsid w:val="001A6F82"/>
    <w:rsid w:val="001A6FF5"/>
    <w:rsid w:val="001A707A"/>
    <w:rsid w:val="001A70D0"/>
    <w:rsid w:val="001A7597"/>
    <w:rsid w:val="001A7D06"/>
    <w:rsid w:val="001B00CE"/>
    <w:rsid w:val="001B02B9"/>
    <w:rsid w:val="001B0798"/>
    <w:rsid w:val="001B08F8"/>
    <w:rsid w:val="001B0BC0"/>
    <w:rsid w:val="001B0BD4"/>
    <w:rsid w:val="001B0C68"/>
    <w:rsid w:val="001B0D0F"/>
    <w:rsid w:val="001B0F2D"/>
    <w:rsid w:val="001B10C5"/>
    <w:rsid w:val="001B113E"/>
    <w:rsid w:val="001B114D"/>
    <w:rsid w:val="001B1263"/>
    <w:rsid w:val="001B12A9"/>
    <w:rsid w:val="001B1381"/>
    <w:rsid w:val="001B1468"/>
    <w:rsid w:val="001B14D7"/>
    <w:rsid w:val="001B174B"/>
    <w:rsid w:val="001B18CD"/>
    <w:rsid w:val="001B1A72"/>
    <w:rsid w:val="001B1BB3"/>
    <w:rsid w:val="001B1C10"/>
    <w:rsid w:val="001B1D36"/>
    <w:rsid w:val="001B22E6"/>
    <w:rsid w:val="001B2429"/>
    <w:rsid w:val="001B262C"/>
    <w:rsid w:val="001B271F"/>
    <w:rsid w:val="001B2994"/>
    <w:rsid w:val="001B29FE"/>
    <w:rsid w:val="001B2C56"/>
    <w:rsid w:val="001B2F43"/>
    <w:rsid w:val="001B3256"/>
    <w:rsid w:val="001B3704"/>
    <w:rsid w:val="001B39BF"/>
    <w:rsid w:val="001B3AB6"/>
    <w:rsid w:val="001B3B68"/>
    <w:rsid w:val="001B3BB0"/>
    <w:rsid w:val="001B400F"/>
    <w:rsid w:val="001B40F5"/>
    <w:rsid w:val="001B43CB"/>
    <w:rsid w:val="001B4510"/>
    <w:rsid w:val="001B456D"/>
    <w:rsid w:val="001B4745"/>
    <w:rsid w:val="001B49DC"/>
    <w:rsid w:val="001B4D11"/>
    <w:rsid w:val="001B4DB8"/>
    <w:rsid w:val="001B4FB0"/>
    <w:rsid w:val="001B50A0"/>
    <w:rsid w:val="001B5387"/>
    <w:rsid w:val="001B54DD"/>
    <w:rsid w:val="001B5AF8"/>
    <w:rsid w:val="001B5B5E"/>
    <w:rsid w:val="001B5B6B"/>
    <w:rsid w:val="001B5BD0"/>
    <w:rsid w:val="001B5D05"/>
    <w:rsid w:val="001B5F17"/>
    <w:rsid w:val="001B5FD2"/>
    <w:rsid w:val="001B6389"/>
    <w:rsid w:val="001B6537"/>
    <w:rsid w:val="001B66D6"/>
    <w:rsid w:val="001B6940"/>
    <w:rsid w:val="001B69DA"/>
    <w:rsid w:val="001B70E4"/>
    <w:rsid w:val="001B7320"/>
    <w:rsid w:val="001B76C0"/>
    <w:rsid w:val="001B7B76"/>
    <w:rsid w:val="001B7DD2"/>
    <w:rsid w:val="001C04CC"/>
    <w:rsid w:val="001C051E"/>
    <w:rsid w:val="001C0597"/>
    <w:rsid w:val="001C06AA"/>
    <w:rsid w:val="001C09DD"/>
    <w:rsid w:val="001C0B27"/>
    <w:rsid w:val="001C0B4B"/>
    <w:rsid w:val="001C0FA0"/>
    <w:rsid w:val="001C1541"/>
    <w:rsid w:val="001C19F5"/>
    <w:rsid w:val="001C1B56"/>
    <w:rsid w:val="001C1FEC"/>
    <w:rsid w:val="001C21C8"/>
    <w:rsid w:val="001C25A1"/>
    <w:rsid w:val="001C26E0"/>
    <w:rsid w:val="001C30A7"/>
    <w:rsid w:val="001C31E2"/>
    <w:rsid w:val="001C327F"/>
    <w:rsid w:val="001C34B1"/>
    <w:rsid w:val="001C3695"/>
    <w:rsid w:val="001C37C2"/>
    <w:rsid w:val="001C380F"/>
    <w:rsid w:val="001C3939"/>
    <w:rsid w:val="001C3ACF"/>
    <w:rsid w:val="001C3AD4"/>
    <w:rsid w:val="001C3C8F"/>
    <w:rsid w:val="001C40A1"/>
    <w:rsid w:val="001C41CB"/>
    <w:rsid w:val="001C4534"/>
    <w:rsid w:val="001C45CE"/>
    <w:rsid w:val="001C46E4"/>
    <w:rsid w:val="001C4C19"/>
    <w:rsid w:val="001C51D0"/>
    <w:rsid w:val="001C53F9"/>
    <w:rsid w:val="001C54B5"/>
    <w:rsid w:val="001C55F2"/>
    <w:rsid w:val="001C56F2"/>
    <w:rsid w:val="001C5756"/>
    <w:rsid w:val="001C5B99"/>
    <w:rsid w:val="001C5E39"/>
    <w:rsid w:val="001C6115"/>
    <w:rsid w:val="001C61C7"/>
    <w:rsid w:val="001C62E0"/>
    <w:rsid w:val="001C63A9"/>
    <w:rsid w:val="001C6509"/>
    <w:rsid w:val="001C69D7"/>
    <w:rsid w:val="001C6BC8"/>
    <w:rsid w:val="001C6E55"/>
    <w:rsid w:val="001C73C1"/>
    <w:rsid w:val="001C7497"/>
    <w:rsid w:val="001C74B9"/>
    <w:rsid w:val="001C7752"/>
    <w:rsid w:val="001C790E"/>
    <w:rsid w:val="001C796E"/>
    <w:rsid w:val="001C7D17"/>
    <w:rsid w:val="001C7D1B"/>
    <w:rsid w:val="001D0410"/>
    <w:rsid w:val="001D0991"/>
    <w:rsid w:val="001D0D7A"/>
    <w:rsid w:val="001D0E8D"/>
    <w:rsid w:val="001D0EA8"/>
    <w:rsid w:val="001D1340"/>
    <w:rsid w:val="001D136E"/>
    <w:rsid w:val="001D1506"/>
    <w:rsid w:val="001D1566"/>
    <w:rsid w:val="001D15E5"/>
    <w:rsid w:val="001D18F3"/>
    <w:rsid w:val="001D1CD3"/>
    <w:rsid w:val="001D1D22"/>
    <w:rsid w:val="001D1DE0"/>
    <w:rsid w:val="001D1E3C"/>
    <w:rsid w:val="001D259F"/>
    <w:rsid w:val="001D2A02"/>
    <w:rsid w:val="001D2A96"/>
    <w:rsid w:val="001D2AB4"/>
    <w:rsid w:val="001D2B9D"/>
    <w:rsid w:val="001D2FB4"/>
    <w:rsid w:val="001D30F2"/>
    <w:rsid w:val="001D362F"/>
    <w:rsid w:val="001D388F"/>
    <w:rsid w:val="001D3CA7"/>
    <w:rsid w:val="001D3EC6"/>
    <w:rsid w:val="001D4507"/>
    <w:rsid w:val="001D457C"/>
    <w:rsid w:val="001D484F"/>
    <w:rsid w:val="001D4E4B"/>
    <w:rsid w:val="001D4F9D"/>
    <w:rsid w:val="001D512B"/>
    <w:rsid w:val="001D5219"/>
    <w:rsid w:val="001D566A"/>
    <w:rsid w:val="001D5673"/>
    <w:rsid w:val="001D5692"/>
    <w:rsid w:val="001D5791"/>
    <w:rsid w:val="001D5874"/>
    <w:rsid w:val="001D5954"/>
    <w:rsid w:val="001D59B3"/>
    <w:rsid w:val="001D5A9A"/>
    <w:rsid w:val="001D5D47"/>
    <w:rsid w:val="001D5DE3"/>
    <w:rsid w:val="001D600F"/>
    <w:rsid w:val="001D6103"/>
    <w:rsid w:val="001D64B6"/>
    <w:rsid w:val="001D6779"/>
    <w:rsid w:val="001D67A7"/>
    <w:rsid w:val="001D6916"/>
    <w:rsid w:val="001D6BAC"/>
    <w:rsid w:val="001D6CFA"/>
    <w:rsid w:val="001D6CFB"/>
    <w:rsid w:val="001D6DB4"/>
    <w:rsid w:val="001D6F1D"/>
    <w:rsid w:val="001D702A"/>
    <w:rsid w:val="001D74A3"/>
    <w:rsid w:val="001D7562"/>
    <w:rsid w:val="001D7606"/>
    <w:rsid w:val="001D7A15"/>
    <w:rsid w:val="001D7A3B"/>
    <w:rsid w:val="001D7AE1"/>
    <w:rsid w:val="001D7C7C"/>
    <w:rsid w:val="001D7CF1"/>
    <w:rsid w:val="001D7F0D"/>
    <w:rsid w:val="001E01A7"/>
    <w:rsid w:val="001E021B"/>
    <w:rsid w:val="001E0315"/>
    <w:rsid w:val="001E039E"/>
    <w:rsid w:val="001E03D1"/>
    <w:rsid w:val="001E06BD"/>
    <w:rsid w:val="001E079A"/>
    <w:rsid w:val="001E07CA"/>
    <w:rsid w:val="001E0994"/>
    <w:rsid w:val="001E09E1"/>
    <w:rsid w:val="001E0B0D"/>
    <w:rsid w:val="001E0C9F"/>
    <w:rsid w:val="001E1007"/>
    <w:rsid w:val="001E11CA"/>
    <w:rsid w:val="001E1488"/>
    <w:rsid w:val="001E1517"/>
    <w:rsid w:val="001E1822"/>
    <w:rsid w:val="001E1827"/>
    <w:rsid w:val="001E1B96"/>
    <w:rsid w:val="001E1C5D"/>
    <w:rsid w:val="001E24B3"/>
    <w:rsid w:val="001E258B"/>
    <w:rsid w:val="001E25EC"/>
    <w:rsid w:val="001E293E"/>
    <w:rsid w:val="001E29C4"/>
    <w:rsid w:val="001E2BF6"/>
    <w:rsid w:val="001E2ED8"/>
    <w:rsid w:val="001E321B"/>
    <w:rsid w:val="001E326B"/>
    <w:rsid w:val="001E3587"/>
    <w:rsid w:val="001E3674"/>
    <w:rsid w:val="001E36B7"/>
    <w:rsid w:val="001E37EE"/>
    <w:rsid w:val="001E3909"/>
    <w:rsid w:val="001E3ACF"/>
    <w:rsid w:val="001E3DCC"/>
    <w:rsid w:val="001E4141"/>
    <w:rsid w:val="001E4280"/>
    <w:rsid w:val="001E4608"/>
    <w:rsid w:val="001E48FE"/>
    <w:rsid w:val="001E49A6"/>
    <w:rsid w:val="001E4AEC"/>
    <w:rsid w:val="001E4B10"/>
    <w:rsid w:val="001E4E98"/>
    <w:rsid w:val="001E4F59"/>
    <w:rsid w:val="001E5228"/>
    <w:rsid w:val="001E556D"/>
    <w:rsid w:val="001E5896"/>
    <w:rsid w:val="001E5918"/>
    <w:rsid w:val="001E5BA9"/>
    <w:rsid w:val="001E60BA"/>
    <w:rsid w:val="001E6501"/>
    <w:rsid w:val="001E665E"/>
    <w:rsid w:val="001E6BBF"/>
    <w:rsid w:val="001E6E0D"/>
    <w:rsid w:val="001E701E"/>
    <w:rsid w:val="001E7050"/>
    <w:rsid w:val="001E709A"/>
    <w:rsid w:val="001E7287"/>
    <w:rsid w:val="001E7311"/>
    <w:rsid w:val="001E76C0"/>
    <w:rsid w:val="001E78CC"/>
    <w:rsid w:val="001E799D"/>
    <w:rsid w:val="001E7C6F"/>
    <w:rsid w:val="001F072E"/>
    <w:rsid w:val="001F073C"/>
    <w:rsid w:val="001F0798"/>
    <w:rsid w:val="001F0820"/>
    <w:rsid w:val="001F088D"/>
    <w:rsid w:val="001F08BB"/>
    <w:rsid w:val="001F0CA8"/>
    <w:rsid w:val="001F0D0A"/>
    <w:rsid w:val="001F117C"/>
    <w:rsid w:val="001F126A"/>
    <w:rsid w:val="001F12FE"/>
    <w:rsid w:val="001F1430"/>
    <w:rsid w:val="001F146B"/>
    <w:rsid w:val="001F154B"/>
    <w:rsid w:val="001F175B"/>
    <w:rsid w:val="001F17DD"/>
    <w:rsid w:val="001F17DF"/>
    <w:rsid w:val="001F1B57"/>
    <w:rsid w:val="001F1CB5"/>
    <w:rsid w:val="001F1D48"/>
    <w:rsid w:val="001F1D70"/>
    <w:rsid w:val="001F1F14"/>
    <w:rsid w:val="001F1FC9"/>
    <w:rsid w:val="001F20A6"/>
    <w:rsid w:val="001F2399"/>
    <w:rsid w:val="001F247B"/>
    <w:rsid w:val="001F26C8"/>
    <w:rsid w:val="001F2797"/>
    <w:rsid w:val="001F27E0"/>
    <w:rsid w:val="001F2912"/>
    <w:rsid w:val="001F2BD0"/>
    <w:rsid w:val="001F2DA0"/>
    <w:rsid w:val="001F2DDA"/>
    <w:rsid w:val="001F2F47"/>
    <w:rsid w:val="001F2FB0"/>
    <w:rsid w:val="001F3627"/>
    <w:rsid w:val="001F37E5"/>
    <w:rsid w:val="001F39D3"/>
    <w:rsid w:val="001F3BEF"/>
    <w:rsid w:val="001F3E8E"/>
    <w:rsid w:val="001F43C3"/>
    <w:rsid w:val="001F4696"/>
    <w:rsid w:val="001F469A"/>
    <w:rsid w:val="001F46D7"/>
    <w:rsid w:val="001F4790"/>
    <w:rsid w:val="001F4A72"/>
    <w:rsid w:val="001F5016"/>
    <w:rsid w:val="001F51BB"/>
    <w:rsid w:val="001F5245"/>
    <w:rsid w:val="001F5285"/>
    <w:rsid w:val="001F54B7"/>
    <w:rsid w:val="001F54D3"/>
    <w:rsid w:val="001F5533"/>
    <w:rsid w:val="001F5670"/>
    <w:rsid w:val="001F5B3E"/>
    <w:rsid w:val="001F5F6E"/>
    <w:rsid w:val="001F6813"/>
    <w:rsid w:val="001F6896"/>
    <w:rsid w:val="001F68D2"/>
    <w:rsid w:val="001F6AF5"/>
    <w:rsid w:val="001F6AF9"/>
    <w:rsid w:val="001F6CFB"/>
    <w:rsid w:val="001F7100"/>
    <w:rsid w:val="001F73F7"/>
    <w:rsid w:val="001F7495"/>
    <w:rsid w:val="001F7951"/>
    <w:rsid w:val="001F7CC2"/>
    <w:rsid w:val="001F7F05"/>
    <w:rsid w:val="00200296"/>
    <w:rsid w:val="00200330"/>
    <w:rsid w:val="00200366"/>
    <w:rsid w:val="00200531"/>
    <w:rsid w:val="00200930"/>
    <w:rsid w:val="002009EA"/>
    <w:rsid w:val="00200D53"/>
    <w:rsid w:val="00200D7C"/>
    <w:rsid w:val="00201927"/>
    <w:rsid w:val="00201ADB"/>
    <w:rsid w:val="00201DE9"/>
    <w:rsid w:val="00202377"/>
    <w:rsid w:val="002024D3"/>
    <w:rsid w:val="00202529"/>
    <w:rsid w:val="002025C9"/>
    <w:rsid w:val="00202772"/>
    <w:rsid w:val="002027FD"/>
    <w:rsid w:val="002029C4"/>
    <w:rsid w:val="00202AF3"/>
    <w:rsid w:val="00202B2B"/>
    <w:rsid w:val="00202D4F"/>
    <w:rsid w:val="00202F13"/>
    <w:rsid w:val="00203242"/>
    <w:rsid w:val="0020355D"/>
    <w:rsid w:val="00203987"/>
    <w:rsid w:val="00203B25"/>
    <w:rsid w:val="00203D8B"/>
    <w:rsid w:val="00204A5E"/>
    <w:rsid w:val="00204B6C"/>
    <w:rsid w:val="00204D5B"/>
    <w:rsid w:val="002051C5"/>
    <w:rsid w:val="002053D5"/>
    <w:rsid w:val="00205497"/>
    <w:rsid w:val="002055C2"/>
    <w:rsid w:val="002057A6"/>
    <w:rsid w:val="002058E5"/>
    <w:rsid w:val="00205F54"/>
    <w:rsid w:val="00206442"/>
    <w:rsid w:val="00206455"/>
    <w:rsid w:val="002064F3"/>
    <w:rsid w:val="0020686E"/>
    <w:rsid w:val="00206928"/>
    <w:rsid w:val="00206DE4"/>
    <w:rsid w:val="00206F8E"/>
    <w:rsid w:val="0020708D"/>
    <w:rsid w:val="002071AF"/>
    <w:rsid w:val="002071DC"/>
    <w:rsid w:val="002075BB"/>
    <w:rsid w:val="00207875"/>
    <w:rsid w:val="00207D07"/>
    <w:rsid w:val="00207E35"/>
    <w:rsid w:val="00207E74"/>
    <w:rsid w:val="00207EE5"/>
    <w:rsid w:val="00210040"/>
    <w:rsid w:val="00210094"/>
    <w:rsid w:val="002100BA"/>
    <w:rsid w:val="002102EB"/>
    <w:rsid w:val="00210620"/>
    <w:rsid w:val="002108DB"/>
    <w:rsid w:val="00210A35"/>
    <w:rsid w:val="00210B30"/>
    <w:rsid w:val="00210B6A"/>
    <w:rsid w:val="00210DD4"/>
    <w:rsid w:val="00210F43"/>
    <w:rsid w:val="00210FAA"/>
    <w:rsid w:val="0021112F"/>
    <w:rsid w:val="00211192"/>
    <w:rsid w:val="00211340"/>
    <w:rsid w:val="002113EE"/>
    <w:rsid w:val="0021166F"/>
    <w:rsid w:val="00211A16"/>
    <w:rsid w:val="00211C9C"/>
    <w:rsid w:val="00211D58"/>
    <w:rsid w:val="00211F51"/>
    <w:rsid w:val="00212180"/>
    <w:rsid w:val="0021220E"/>
    <w:rsid w:val="002122EE"/>
    <w:rsid w:val="00212556"/>
    <w:rsid w:val="0021285C"/>
    <w:rsid w:val="00212C8D"/>
    <w:rsid w:val="0021339B"/>
    <w:rsid w:val="0021373E"/>
    <w:rsid w:val="00213C5B"/>
    <w:rsid w:val="00214017"/>
    <w:rsid w:val="0021401F"/>
    <w:rsid w:val="0021436C"/>
    <w:rsid w:val="00214438"/>
    <w:rsid w:val="0021454A"/>
    <w:rsid w:val="00214CF4"/>
    <w:rsid w:val="00214CFF"/>
    <w:rsid w:val="00215787"/>
    <w:rsid w:val="002157C7"/>
    <w:rsid w:val="002158E7"/>
    <w:rsid w:val="00215B33"/>
    <w:rsid w:val="00215B76"/>
    <w:rsid w:val="00215C68"/>
    <w:rsid w:val="00215E48"/>
    <w:rsid w:val="00215EC6"/>
    <w:rsid w:val="00216190"/>
    <w:rsid w:val="002164A0"/>
    <w:rsid w:val="0021668D"/>
    <w:rsid w:val="0021670F"/>
    <w:rsid w:val="00216723"/>
    <w:rsid w:val="00216816"/>
    <w:rsid w:val="00216948"/>
    <w:rsid w:val="002169C4"/>
    <w:rsid w:val="00216ACE"/>
    <w:rsid w:val="00216CF2"/>
    <w:rsid w:val="00216E94"/>
    <w:rsid w:val="00217078"/>
    <w:rsid w:val="00217582"/>
    <w:rsid w:val="002179D1"/>
    <w:rsid w:val="00217B71"/>
    <w:rsid w:val="00217F37"/>
    <w:rsid w:val="00217FE0"/>
    <w:rsid w:val="0022004F"/>
    <w:rsid w:val="00220282"/>
    <w:rsid w:val="002202C9"/>
    <w:rsid w:val="002205EB"/>
    <w:rsid w:val="00220A66"/>
    <w:rsid w:val="00220C65"/>
    <w:rsid w:val="00220D2B"/>
    <w:rsid w:val="00220DD3"/>
    <w:rsid w:val="00220F4D"/>
    <w:rsid w:val="00220FE5"/>
    <w:rsid w:val="0022112C"/>
    <w:rsid w:val="002211FA"/>
    <w:rsid w:val="00221272"/>
    <w:rsid w:val="0022166E"/>
    <w:rsid w:val="002216F1"/>
    <w:rsid w:val="002218BE"/>
    <w:rsid w:val="00221C69"/>
    <w:rsid w:val="00221D05"/>
    <w:rsid w:val="00221D4C"/>
    <w:rsid w:val="00221EAE"/>
    <w:rsid w:val="00221FC5"/>
    <w:rsid w:val="0022222A"/>
    <w:rsid w:val="0022254D"/>
    <w:rsid w:val="00222635"/>
    <w:rsid w:val="00222C06"/>
    <w:rsid w:val="00222CD5"/>
    <w:rsid w:val="00222CE3"/>
    <w:rsid w:val="00222CEF"/>
    <w:rsid w:val="0022322C"/>
    <w:rsid w:val="00223326"/>
    <w:rsid w:val="0022336E"/>
    <w:rsid w:val="002234A6"/>
    <w:rsid w:val="0022361E"/>
    <w:rsid w:val="002238DE"/>
    <w:rsid w:val="00223A8B"/>
    <w:rsid w:val="0022449F"/>
    <w:rsid w:val="00224503"/>
    <w:rsid w:val="00224617"/>
    <w:rsid w:val="002246AB"/>
    <w:rsid w:val="00224782"/>
    <w:rsid w:val="00224E8F"/>
    <w:rsid w:val="002250C2"/>
    <w:rsid w:val="002250C9"/>
    <w:rsid w:val="00225349"/>
    <w:rsid w:val="00225546"/>
    <w:rsid w:val="002255D0"/>
    <w:rsid w:val="002256F8"/>
    <w:rsid w:val="00225705"/>
    <w:rsid w:val="00225A87"/>
    <w:rsid w:val="00225E60"/>
    <w:rsid w:val="00225F92"/>
    <w:rsid w:val="00225FCB"/>
    <w:rsid w:val="00226063"/>
    <w:rsid w:val="0022607C"/>
    <w:rsid w:val="0022617E"/>
    <w:rsid w:val="002261ED"/>
    <w:rsid w:val="002263D3"/>
    <w:rsid w:val="002264B3"/>
    <w:rsid w:val="002264FE"/>
    <w:rsid w:val="0022651B"/>
    <w:rsid w:val="002266CB"/>
    <w:rsid w:val="002267D6"/>
    <w:rsid w:val="00226B08"/>
    <w:rsid w:val="00226D5A"/>
    <w:rsid w:val="00226E7F"/>
    <w:rsid w:val="0022718D"/>
    <w:rsid w:val="0022744B"/>
    <w:rsid w:val="00227661"/>
    <w:rsid w:val="00227866"/>
    <w:rsid w:val="00227A4F"/>
    <w:rsid w:val="00227D10"/>
    <w:rsid w:val="00227EDE"/>
    <w:rsid w:val="00227F82"/>
    <w:rsid w:val="00227FE4"/>
    <w:rsid w:val="002304E3"/>
    <w:rsid w:val="00230533"/>
    <w:rsid w:val="0023088B"/>
    <w:rsid w:val="002308B8"/>
    <w:rsid w:val="002308C7"/>
    <w:rsid w:val="002309D0"/>
    <w:rsid w:val="0023101D"/>
    <w:rsid w:val="002311B4"/>
    <w:rsid w:val="002311C5"/>
    <w:rsid w:val="002311E7"/>
    <w:rsid w:val="0023135E"/>
    <w:rsid w:val="0023137E"/>
    <w:rsid w:val="0023138A"/>
    <w:rsid w:val="002313AF"/>
    <w:rsid w:val="002314BB"/>
    <w:rsid w:val="002315CA"/>
    <w:rsid w:val="00231641"/>
    <w:rsid w:val="0023175C"/>
    <w:rsid w:val="00231896"/>
    <w:rsid w:val="00231B73"/>
    <w:rsid w:val="00231BAA"/>
    <w:rsid w:val="00231D69"/>
    <w:rsid w:val="00231F8F"/>
    <w:rsid w:val="00231FC0"/>
    <w:rsid w:val="00232078"/>
    <w:rsid w:val="00232098"/>
    <w:rsid w:val="00232487"/>
    <w:rsid w:val="00232588"/>
    <w:rsid w:val="002328D5"/>
    <w:rsid w:val="00232B5C"/>
    <w:rsid w:val="00232C97"/>
    <w:rsid w:val="00232EF8"/>
    <w:rsid w:val="0023328A"/>
    <w:rsid w:val="00233296"/>
    <w:rsid w:val="002333F3"/>
    <w:rsid w:val="00233714"/>
    <w:rsid w:val="00233814"/>
    <w:rsid w:val="00233A55"/>
    <w:rsid w:val="00233B8E"/>
    <w:rsid w:val="00233DDE"/>
    <w:rsid w:val="00233F16"/>
    <w:rsid w:val="00234259"/>
    <w:rsid w:val="0023477F"/>
    <w:rsid w:val="00234A44"/>
    <w:rsid w:val="00234B7F"/>
    <w:rsid w:val="00234DCA"/>
    <w:rsid w:val="00234E54"/>
    <w:rsid w:val="00234E6E"/>
    <w:rsid w:val="002350F9"/>
    <w:rsid w:val="00235986"/>
    <w:rsid w:val="00235B89"/>
    <w:rsid w:val="00235EAE"/>
    <w:rsid w:val="00236156"/>
    <w:rsid w:val="002361F5"/>
    <w:rsid w:val="00236492"/>
    <w:rsid w:val="0023679A"/>
    <w:rsid w:val="002367B7"/>
    <w:rsid w:val="002369E3"/>
    <w:rsid w:val="00236A1F"/>
    <w:rsid w:val="00236A61"/>
    <w:rsid w:val="00236AD7"/>
    <w:rsid w:val="00236AF6"/>
    <w:rsid w:val="00236BAE"/>
    <w:rsid w:val="00236BCC"/>
    <w:rsid w:val="00236DAC"/>
    <w:rsid w:val="00236F45"/>
    <w:rsid w:val="0023735F"/>
    <w:rsid w:val="002373CB"/>
    <w:rsid w:val="002374E2"/>
    <w:rsid w:val="0023754E"/>
    <w:rsid w:val="00237DED"/>
    <w:rsid w:val="00240796"/>
    <w:rsid w:val="002407C7"/>
    <w:rsid w:val="002409FA"/>
    <w:rsid w:val="00240A7A"/>
    <w:rsid w:val="00240A87"/>
    <w:rsid w:val="00240D28"/>
    <w:rsid w:val="00240FB8"/>
    <w:rsid w:val="0024111A"/>
    <w:rsid w:val="00241132"/>
    <w:rsid w:val="002412A6"/>
    <w:rsid w:val="0024146D"/>
    <w:rsid w:val="002414AA"/>
    <w:rsid w:val="00241812"/>
    <w:rsid w:val="00241884"/>
    <w:rsid w:val="00241AEB"/>
    <w:rsid w:val="00242136"/>
    <w:rsid w:val="00242193"/>
    <w:rsid w:val="00242333"/>
    <w:rsid w:val="0024238C"/>
    <w:rsid w:val="002425EA"/>
    <w:rsid w:val="00242AB7"/>
    <w:rsid w:val="00242B4B"/>
    <w:rsid w:val="00242D19"/>
    <w:rsid w:val="00242EA0"/>
    <w:rsid w:val="00242F46"/>
    <w:rsid w:val="00243040"/>
    <w:rsid w:val="002435B0"/>
    <w:rsid w:val="00243685"/>
    <w:rsid w:val="0024379B"/>
    <w:rsid w:val="00243AEA"/>
    <w:rsid w:val="00243B31"/>
    <w:rsid w:val="00243E2D"/>
    <w:rsid w:val="00243F24"/>
    <w:rsid w:val="00243F96"/>
    <w:rsid w:val="00244352"/>
    <w:rsid w:val="0024440F"/>
    <w:rsid w:val="0024459C"/>
    <w:rsid w:val="002446CE"/>
    <w:rsid w:val="002447A5"/>
    <w:rsid w:val="0024491A"/>
    <w:rsid w:val="00244F4C"/>
    <w:rsid w:val="002452DD"/>
    <w:rsid w:val="0024554F"/>
    <w:rsid w:val="002455E3"/>
    <w:rsid w:val="002456A1"/>
    <w:rsid w:val="00245795"/>
    <w:rsid w:val="00245AD1"/>
    <w:rsid w:val="00245AD9"/>
    <w:rsid w:val="00245AF3"/>
    <w:rsid w:val="00245D0A"/>
    <w:rsid w:val="00245F70"/>
    <w:rsid w:val="002463DB"/>
    <w:rsid w:val="00246965"/>
    <w:rsid w:val="00246B2B"/>
    <w:rsid w:val="00246BDF"/>
    <w:rsid w:val="002470BB"/>
    <w:rsid w:val="00247128"/>
    <w:rsid w:val="00247680"/>
    <w:rsid w:val="0024790C"/>
    <w:rsid w:val="002479B7"/>
    <w:rsid w:val="00247ED7"/>
    <w:rsid w:val="00250047"/>
    <w:rsid w:val="00250711"/>
    <w:rsid w:val="00250DB4"/>
    <w:rsid w:val="00250E4E"/>
    <w:rsid w:val="00250EB1"/>
    <w:rsid w:val="00250FBF"/>
    <w:rsid w:val="00251021"/>
    <w:rsid w:val="00251236"/>
    <w:rsid w:val="002514C6"/>
    <w:rsid w:val="00251A32"/>
    <w:rsid w:val="00251E59"/>
    <w:rsid w:val="00251F3B"/>
    <w:rsid w:val="002520D1"/>
    <w:rsid w:val="0025237B"/>
    <w:rsid w:val="002527C8"/>
    <w:rsid w:val="00252AFD"/>
    <w:rsid w:val="00252D2A"/>
    <w:rsid w:val="00252D61"/>
    <w:rsid w:val="00252FE7"/>
    <w:rsid w:val="002530E7"/>
    <w:rsid w:val="0025325B"/>
    <w:rsid w:val="002532AC"/>
    <w:rsid w:val="002532B4"/>
    <w:rsid w:val="0025345C"/>
    <w:rsid w:val="00253879"/>
    <w:rsid w:val="002539BA"/>
    <w:rsid w:val="002539EC"/>
    <w:rsid w:val="00253AFF"/>
    <w:rsid w:val="00253C98"/>
    <w:rsid w:val="00253EF7"/>
    <w:rsid w:val="002541C1"/>
    <w:rsid w:val="002541F8"/>
    <w:rsid w:val="00254637"/>
    <w:rsid w:val="002546B4"/>
    <w:rsid w:val="0025487C"/>
    <w:rsid w:val="002548D3"/>
    <w:rsid w:val="00254AE2"/>
    <w:rsid w:val="00254B38"/>
    <w:rsid w:val="00254BF6"/>
    <w:rsid w:val="00254D31"/>
    <w:rsid w:val="00254D63"/>
    <w:rsid w:val="00254DAD"/>
    <w:rsid w:val="00254EEB"/>
    <w:rsid w:val="002552AC"/>
    <w:rsid w:val="0025577F"/>
    <w:rsid w:val="00255900"/>
    <w:rsid w:val="00255A57"/>
    <w:rsid w:val="00255BB3"/>
    <w:rsid w:val="00255C59"/>
    <w:rsid w:val="00255FEF"/>
    <w:rsid w:val="002560AA"/>
    <w:rsid w:val="002560FF"/>
    <w:rsid w:val="0025613F"/>
    <w:rsid w:val="00256296"/>
    <w:rsid w:val="0025669B"/>
    <w:rsid w:val="00256BA1"/>
    <w:rsid w:val="00256E0C"/>
    <w:rsid w:val="00257309"/>
    <w:rsid w:val="002576A3"/>
    <w:rsid w:val="00257880"/>
    <w:rsid w:val="00257C43"/>
    <w:rsid w:val="00257CCF"/>
    <w:rsid w:val="00257D68"/>
    <w:rsid w:val="00257F91"/>
    <w:rsid w:val="00257F92"/>
    <w:rsid w:val="00260080"/>
    <w:rsid w:val="0026008F"/>
    <w:rsid w:val="002601E8"/>
    <w:rsid w:val="00260484"/>
    <w:rsid w:val="0026079E"/>
    <w:rsid w:val="00260AB7"/>
    <w:rsid w:val="00260C07"/>
    <w:rsid w:val="00260F66"/>
    <w:rsid w:val="00261032"/>
    <w:rsid w:val="00261679"/>
    <w:rsid w:val="00261A3B"/>
    <w:rsid w:val="00261C03"/>
    <w:rsid w:val="00261DC6"/>
    <w:rsid w:val="00261E77"/>
    <w:rsid w:val="00262021"/>
    <w:rsid w:val="00262112"/>
    <w:rsid w:val="0026214B"/>
    <w:rsid w:val="00262363"/>
    <w:rsid w:val="00262B92"/>
    <w:rsid w:val="00262C13"/>
    <w:rsid w:val="0026323F"/>
    <w:rsid w:val="002634B3"/>
    <w:rsid w:val="00263505"/>
    <w:rsid w:val="0026380F"/>
    <w:rsid w:val="00263A45"/>
    <w:rsid w:val="002641E0"/>
    <w:rsid w:val="002644E7"/>
    <w:rsid w:val="00264623"/>
    <w:rsid w:val="0026466C"/>
    <w:rsid w:val="00264773"/>
    <w:rsid w:val="00264A46"/>
    <w:rsid w:val="00264E52"/>
    <w:rsid w:val="002654B8"/>
    <w:rsid w:val="002654F8"/>
    <w:rsid w:val="00265967"/>
    <w:rsid w:val="00265B0A"/>
    <w:rsid w:val="00265B6C"/>
    <w:rsid w:val="00265B6F"/>
    <w:rsid w:val="00265DC1"/>
    <w:rsid w:val="00265DC7"/>
    <w:rsid w:val="00265E5C"/>
    <w:rsid w:val="00265E82"/>
    <w:rsid w:val="0026654D"/>
    <w:rsid w:val="00266671"/>
    <w:rsid w:val="00266893"/>
    <w:rsid w:val="00266CDE"/>
    <w:rsid w:val="00266D57"/>
    <w:rsid w:val="00266DD6"/>
    <w:rsid w:val="0026717D"/>
    <w:rsid w:val="00267359"/>
    <w:rsid w:val="00267524"/>
    <w:rsid w:val="00267875"/>
    <w:rsid w:val="00267C67"/>
    <w:rsid w:val="00267CC5"/>
    <w:rsid w:val="00267FA2"/>
    <w:rsid w:val="00270663"/>
    <w:rsid w:val="0027070B"/>
    <w:rsid w:val="00270721"/>
    <w:rsid w:val="00270758"/>
    <w:rsid w:val="00270ABC"/>
    <w:rsid w:val="00270BBC"/>
    <w:rsid w:val="00270D99"/>
    <w:rsid w:val="00270EF3"/>
    <w:rsid w:val="00271760"/>
    <w:rsid w:val="00271B2C"/>
    <w:rsid w:val="00271B52"/>
    <w:rsid w:val="00271C69"/>
    <w:rsid w:val="00271E8B"/>
    <w:rsid w:val="00271FBB"/>
    <w:rsid w:val="00272171"/>
    <w:rsid w:val="00272488"/>
    <w:rsid w:val="002724FC"/>
    <w:rsid w:val="002726FA"/>
    <w:rsid w:val="00272BF8"/>
    <w:rsid w:val="00272C6B"/>
    <w:rsid w:val="00272D88"/>
    <w:rsid w:val="00272F68"/>
    <w:rsid w:val="0027331C"/>
    <w:rsid w:val="0027347B"/>
    <w:rsid w:val="002736B8"/>
    <w:rsid w:val="00273FFA"/>
    <w:rsid w:val="0027410B"/>
    <w:rsid w:val="00274225"/>
    <w:rsid w:val="00274344"/>
    <w:rsid w:val="00274753"/>
    <w:rsid w:val="00274823"/>
    <w:rsid w:val="0027509D"/>
    <w:rsid w:val="002751F1"/>
    <w:rsid w:val="002751F7"/>
    <w:rsid w:val="002751FB"/>
    <w:rsid w:val="002755A2"/>
    <w:rsid w:val="002755C0"/>
    <w:rsid w:val="0027575E"/>
    <w:rsid w:val="00275C28"/>
    <w:rsid w:val="00275CDB"/>
    <w:rsid w:val="00276422"/>
    <w:rsid w:val="00276486"/>
    <w:rsid w:val="0027661C"/>
    <w:rsid w:val="0027670C"/>
    <w:rsid w:val="00276C8A"/>
    <w:rsid w:val="00276C8F"/>
    <w:rsid w:val="00276EC9"/>
    <w:rsid w:val="002770CE"/>
    <w:rsid w:val="00277A5E"/>
    <w:rsid w:val="00277AFB"/>
    <w:rsid w:val="00277B09"/>
    <w:rsid w:val="00277D40"/>
    <w:rsid w:val="00277F8C"/>
    <w:rsid w:val="00277FC5"/>
    <w:rsid w:val="00280073"/>
    <w:rsid w:val="002801F4"/>
    <w:rsid w:val="00280340"/>
    <w:rsid w:val="00280382"/>
    <w:rsid w:val="002803E7"/>
    <w:rsid w:val="0028056B"/>
    <w:rsid w:val="00280B5B"/>
    <w:rsid w:val="00280BB7"/>
    <w:rsid w:val="00280BF0"/>
    <w:rsid w:val="00280D8D"/>
    <w:rsid w:val="00280EE9"/>
    <w:rsid w:val="00281293"/>
    <w:rsid w:val="00281416"/>
    <w:rsid w:val="0028148E"/>
    <w:rsid w:val="00281708"/>
    <w:rsid w:val="00281DCF"/>
    <w:rsid w:val="00281EEF"/>
    <w:rsid w:val="00281FF3"/>
    <w:rsid w:val="0028202A"/>
    <w:rsid w:val="0028223C"/>
    <w:rsid w:val="002822E9"/>
    <w:rsid w:val="0028286C"/>
    <w:rsid w:val="00282C35"/>
    <w:rsid w:val="00282E66"/>
    <w:rsid w:val="002833A8"/>
    <w:rsid w:val="002833B3"/>
    <w:rsid w:val="002833C9"/>
    <w:rsid w:val="0028350F"/>
    <w:rsid w:val="00283595"/>
    <w:rsid w:val="002836DF"/>
    <w:rsid w:val="002837C5"/>
    <w:rsid w:val="00283B72"/>
    <w:rsid w:val="0028401E"/>
    <w:rsid w:val="00284211"/>
    <w:rsid w:val="0028425A"/>
    <w:rsid w:val="00284CFB"/>
    <w:rsid w:val="00284D10"/>
    <w:rsid w:val="00285293"/>
    <w:rsid w:val="002853A2"/>
    <w:rsid w:val="002854DE"/>
    <w:rsid w:val="002855CD"/>
    <w:rsid w:val="002855D1"/>
    <w:rsid w:val="00285ACB"/>
    <w:rsid w:val="00285F13"/>
    <w:rsid w:val="0028609F"/>
    <w:rsid w:val="002861AB"/>
    <w:rsid w:val="00286637"/>
    <w:rsid w:val="002866F0"/>
    <w:rsid w:val="00286942"/>
    <w:rsid w:val="00286B34"/>
    <w:rsid w:val="00286D14"/>
    <w:rsid w:val="00287242"/>
    <w:rsid w:val="002872C2"/>
    <w:rsid w:val="00287441"/>
    <w:rsid w:val="002874A2"/>
    <w:rsid w:val="00287596"/>
    <w:rsid w:val="002875C0"/>
    <w:rsid w:val="0028777E"/>
    <w:rsid w:val="00287937"/>
    <w:rsid w:val="00287955"/>
    <w:rsid w:val="00287A5C"/>
    <w:rsid w:val="00287B5A"/>
    <w:rsid w:val="00287BD4"/>
    <w:rsid w:val="00287C4E"/>
    <w:rsid w:val="00287C71"/>
    <w:rsid w:val="00287C72"/>
    <w:rsid w:val="00287D5B"/>
    <w:rsid w:val="00287D77"/>
    <w:rsid w:val="00287E1E"/>
    <w:rsid w:val="00287E77"/>
    <w:rsid w:val="00290056"/>
    <w:rsid w:val="00290261"/>
    <w:rsid w:val="00290315"/>
    <w:rsid w:val="0029043E"/>
    <w:rsid w:val="002906CC"/>
    <w:rsid w:val="0029086A"/>
    <w:rsid w:val="00290C35"/>
    <w:rsid w:val="00290CD3"/>
    <w:rsid w:val="002910B2"/>
    <w:rsid w:val="002910EA"/>
    <w:rsid w:val="002911CF"/>
    <w:rsid w:val="002915D5"/>
    <w:rsid w:val="002916BB"/>
    <w:rsid w:val="00291928"/>
    <w:rsid w:val="00291936"/>
    <w:rsid w:val="00291A12"/>
    <w:rsid w:val="00291D11"/>
    <w:rsid w:val="002923DF"/>
    <w:rsid w:val="0029257E"/>
    <w:rsid w:val="0029289C"/>
    <w:rsid w:val="002928F4"/>
    <w:rsid w:val="00292AC7"/>
    <w:rsid w:val="00293101"/>
    <w:rsid w:val="00293635"/>
    <w:rsid w:val="00293A1D"/>
    <w:rsid w:val="00293C19"/>
    <w:rsid w:val="00293CC2"/>
    <w:rsid w:val="00293E72"/>
    <w:rsid w:val="0029402E"/>
    <w:rsid w:val="0029439B"/>
    <w:rsid w:val="00294430"/>
    <w:rsid w:val="002944B6"/>
    <w:rsid w:val="002945CA"/>
    <w:rsid w:val="00294C5A"/>
    <w:rsid w:val="00294D9B"/>
    <w:rsid w:val="00295166"/>
    <w:rsid w:val="00295430"/>
    <w:rsid w:val="00295AC7"/>
    <w:rsid w:val="00295AD4"/>
    <w:rsid w:val="00295EFA"/>
    <w:rsid w:val="0029625A"/>
    <w:rsid w:val="0029643E"/>
    <w:rsid w:val="0029657E"/>
    <w:rsid w:val="00296683"/>
    <w:rsid w:val="00296C40"/>
    <w:rsid w:val="00296C6B"/>
    <w:rsid w:val="002972D5"/>
    <w:rsid w:val="002972F5"/>
    <w:rsid w:val="00297600"/>
    <w:rsid w:val="002976E0"/>
    <w:rsid w:val="0029782C"/>
    <w:rsid w:val="00297A8E"/>
    <w:rsid w:val="00297B14"/>
    <w:rsid w:val="00297D25"/>
    <w:rsid w:val="00297E69"/>
    <w:rsid w:val="002A003D"/>
    <w:rsid w:val="002A03BC"/>
    <w:rsid w:val="002A042A"/>
    <w:rsid w:val="002A05A8"/>
    <w:rsid w:val="002A0B68"/>
    <w:rsid w:val="002A0DFB"/>
    <w:rsid w:val="002A0DFE"/>
    <w:rsid w:val="002A0E13"/>
    <w:rsid w:val="002A103B"/>
    <w:rsid w:val="002A11BF"/>
    <w:rsid w:val="002A11DB"/>
    <w:rsid w:val="002A15F6"/>
    <w:rsid w:val="002A1BFC"/>
    <w:rsid w:val="002A1C77"/>
    <w:rsid w:val="002A1E1A"/>
    <w:rsid w:val="002A22AD"/>
    <w:rsid w:val="002A232A"/>
    <w:rsid w:val="002A24AA"/>
    <w:rsid w:val="002A2606"/>
    <w:rsid w:val="002A2B0A"/>
    <w:rsid w:val="002A2C50"/>
    <w:rsid w:val="002A2CC6"/>
    <w:rsid w:val="002A2D0E"/>
    <w:rsid w:val="002A3337"/>
    <w:rsid w:val="002A3416"/>
    <w:rsid w:val="002A355D"/>
    <w:rsid w:val="002A37FD"/>
    <w:rsid w:val="002A391F"/>
    <w:rsid w:val="002A3A85"/>
    <w:rsid w:val="002A3AE2"/>
    <w:rsid w:val="002A3F02"/>
    <w:rsid w:val="002A3F3C"/>
    <w:rsid w:val="002A41AD"/>
    <w:rsid w:val="002A44A6"/>
    <w:rsid w:val="002A4501"/>
    <w:rsid w:val="002A4503"/>
    <w:rsid w:val="002A4934"/>
    <w:rsid w:val="002A4ACF"/>
    <w:rsid w:val="002A4B16"/>
    <w:rsid w:val="002A4B35"/>
    <w:rsid w:val="002A4BB8"/>
    <w:rsid w:val="002A4EE2"/>
    <w:rsid w:val="002A4F23"/>
    <w:rsid w:val="002A5259"/>
    <w:rsid w:val="002A5283"/>
    <w:rsid w:val="002A5286"/>
    <w:rsid w:val="002A537F"/>
    <w:rsid w:val="002A54F4"/>
    <w:rsid w:val="002A5A12"/>
    <w:rsid w:val="002A5C75"/>
    <w:rsid w:val="002A5CDB"/>
    <w:rsid w:val="002A6017"/>
    <w:rsid w:val="002A6032"/>
    <w:rsid w:val="002A60BC"/>
    <w:rsid w:val="002A60E9"/>
    <w:rsid w:val="002A6651"/>
    <w:rsid w:val="002A6670"/>
    <w:rsid w:val="002A67F1"/>
    <w:rsid w:val="002A6BEE"/>
    <w:rsid w:val="002A6CFC"/>
    <w:rsid w:val="002A6E6D"/>
    <w:rsid w:val="002A7186"/>
    <w:rsid w:val="002A7224"/>
    <w:rsid w:val="002A7229"/>
    <w:rsid w:val="002A74EF"/>
    <w:rsid w:val="002A75B5"/>
    <w:rsid w:val="002A7897"/>
    <w:rsid w:val="002A78B9"/>
    <w:rsid w:val="002A7963"/>
    <w:rsid w:val="002A7BD1"/>
    <w:rsid w:val="002A7E2E"/>
    <w:rsid w:val="002B032F"/>
    <w:rsid w:val="002B0554"/>
    <w:rsid w:val="002B05B4"/>
    <w:rsid w:val="002B05B8"/>
    <w:rsid w:val="002B0839"/>
    <w:rsid w:val="002B091B"/>
    <w:rsid w:val="002B092D"/>
    <w:rsid w:val="002B0C6B"/>
    <w:rsid w:val="002B0DC3"/>
    <w:rsid w:val="002B0DD3"/>
    <w:rsid w:val="002B1041"/>
    <w:rsid w:val="002B1186"/>
    <w:rsid w:val="002B144F"/>
    <w:rsid w:val="002B14C6"/>
    <w:rsid w:val="002B1BBF"/>
    <w:rsid w:val="002B1DD4"/>
    <w:rsid w:val="002B1EDE"/>
    <w:rsid w:val="002B2003"/>
    <w:rsid w:val="002B206B"/>
    <w:rsid w:val="002B2490"/>
    <w:rsid w:val="002B24BD"/>
    <w:rsid w:val="002B2680"/>
    <w:rsid w:val="002B28F4"/>
    <w:rsid w:val="002B2B11"/>
    <w:rsid w:val="002B2C5D"/>
    <w:rsid w:val="002B2D85"/>
    <w:rsid w:val="002B2EA1"/>
    <w:rsid w:val="002B306B"/>
    <w:rsid w:val="002B3082"/>
    <w:rsid w:val="002B3160"/>
    <w:rsid w:val="002B3656"/>
    <w:rsid w:val="002B3A6C"/>
    <w:rsid w:val="002B3CED"/>
    <w:rsid w:val="002B3D44"/>
    <w:rsid w:val="002B3DAA"/>
    <w:rsid w:val="002B3EAB"/>
    <w:rsid w:val="002B45CE"/>
    <w:rsid w:val="002B4941"/>
    <w:rsid w:val="002B4E13"/>
    <w:rsid w:val="002B510B"/>
    <w:rsid w:val="002B534F"/>
    <w:rsid w:val="002B5435"/>
    <w:rsid w:val="002B57A7"/>
    <w:rsid w:val="002B59DF"/>
    <w:rsid w:val="002B5D74"/>
    <w:rsid w:val="002B5DCA"/>
    <w:rsid w:val="002B5E4D"/>
    <w:rsid w:val="002B6483"/>
    <w:rsid w:val="002B66FF"/>
    <w:rsid w:val="002B67A4"/>
    <w:rsid w:val="002B67CA"/>
    <w:rsid w:val="002B6817"/>
    <w:rsid w:val="002B6A48"/>
    <w:rsid w:val="002B6B67"/>
    <w:rsid w:val="002B6C00"/>
    <w:rsid w:val="002B70D3"/>
    <w:rsid w:val="002B7310"/>
    <w:rsid w:val="002B798F"/>
    <w:rsid w:val="002B7A10"/>
    <w:rsid w:val="002B7ADB"/>
    <w:rsid w:val="002B7B64"/>
    <w:rsid w:val="002B7C3C"/>
    <w:rsid w:val="002B7CD9"/>
    <w:rsid w:val="002B7E8B"/>
    <w:rsid w:val="002B7EDD"/>
    <w:rsid w:val="002B7F6A"/>
    <w:rsid w:val="002B7F8C"/>
    <w:rsid w:val="002B7F8E"/>
    <w:rsid w:val="002B7FC9"/>
    <w:rsid w:val="002C00F5"/>
    <w:rsid w:val="002C02BF"/>
    <w:rsid w:val="002C0318"/>
    <w:rsid w:val="002C04C2"/>
    <w:rsid w:val="002C078A"/>
    <w:rsid w:val="002C0937"/>
    <w:rsid w:val="002C0A80"/>
    <w:rsid w:val="002C0E10"/>
    <w:rsid w:val="002C0F32"/>
    <w:rsid w:val="002C1084"/>
    <w:rsid w:val="002C1434"/>
    <w:rsid w:val="002C144E"/>
    <w:rsid w:val="002C146D"/>
    <w:rsid w:val="002C1543"/>
    <w:rsid w:val="002C15CB"/>
    <w:rsid w:val="002C17C7"/>
    <w:rsid w:val="002C18AB"/>
    <w:rsid w:val="002C191B"/>
    <w:rsid w:val="002C1D12"/>
    <w:rsid w:val="002C1D2F"/>
    <w:rsid w:val="002C1DDA"/>
    <w:rsid w:val="002C1E29"/>
    <w:rsid w:val="002C1F0B"/>
    <w:rsid w:val="002C1F4A"/>
    <w:rsid w:val="002C2016"/>
    <w:rsid w:val="002C2250"/>
    <w:rsid w:val="002C22E9"/>
    <w:rsid w:val="002C2479"/>
    <w:rsid w:val="002C24BF"/>
    <w:rsid w:val="002C294E"/>
    <w:rsid w:val="002C29AA"/>
    <w:rsid w:val="002C2B48"/>
    <w:rsid w:val="002C2BCF"/>
    <w:rsid w:val="002C2D54"/>
    <w:rsid w:val="002C2DFB"/>
    <w:rsid w:val="002C2E9A"/>
    <w:rsid w:val="002C349E"/>
    <w:rsid w:val="002C358E"/>
    <w:rsid w:val="002C35D8"/>
    <w:rsid w:val="002C366E"/>
    <w:rsid w:val="002C3683"/>
    <w:rsid w:val="002C398E"/>
    <w:rsid w:val="002C3EE1"/>
    <w:rsid w:val="002C3FCB"/>
    <w:rsid w:val="002C416F"/>
    <w:rsid w:val="002C478E"/>
    <w:rsid w:val="002C4938"/>
    <w:rsid w:val="002C531E"/>
    <w:rsid w:val="002C562C"/>
    <w:rsid w:val="002C566D"/>
    <w:rsid w:val="002C5B7E"/>
    <w:rsid w:val="002C5C36"/>
    <w:rsid w:val="002C5F90"/>
    <w:rsid w:val="002C5F98"/>
    <w:rsid w:val="002C5FE2"/>
    <w:rsid w:val="002C6026"/>
    <w:rsid w:val="002C6027"/>
    <w:rsid w:val="002C60E6"/>
    <w:rsid w:val="002C6380"/>
    <w:rsid w:val="002C63D0"/>
    <w:rsid w:val="002C6609"/>
    <w:rsid w:val="002C6619"/>
    <w:rsid w:val="002C6686"/>
    <w:rsid w:val="002C6C13"/>
    <w:rsid w:val="002C6DB6"/>
    <w:rsid w:val="002C6DCC"/>
    <w:rsid w:val="002C719E"/>
    <w:rsid w:val="002C7C13"/>
    <w:rsid w:val="002C7CAB"/>
    <w:rsid w:val="002C7D02"/>
    <w:rsid w:val="002C7E05"/>
    <w:rsid w:val="002D019E"/>
    <w:rsid w:val="002D0344"/>
    <w:rsid w:val="002D0514"/>
    <w:rsid w:val="002D07C5"/>
    <w:rsid w:val="002D090E"/>
    <w:rsid w:val="002D0980"/>
    <w:rsid w:val="002D0B97"/>
    <w:rsid w:val="002D0CDF"/>
    <w:rsid w:val="002D0D15"/>
    <w:rsid w:val="002D0EF2"/>
    <w:rsid w:val="002D0F0B"/>
    <w:rsid w:val="002D0F15"/>
    <w:rsid w:val="002D1043"/>
    <w:rsid w:val="002D1242"/>
    <w:rsid w:val="002D1322"/>
    <w:rsid w:val="002D174C"/>
    <w:rsid w:val="002D1836"/>
    <w:rsid w:val="002D19D9"/>
    <w:rsid w:val="002D1C48"/>
    <w:rsid w:val="002D2242"/>
    <w:rsid w:val="002D231D"/>
    <w:rsid w:val="002D23E6"/>
    <w:rsid w:val="002D24AC"/>
    <w:rsid w:val="002D270F"/>
    <w:rsid w:val="002D2835"/>
    <w:rsid w:val="002D2BBD"/>
    <w:rsid w:val="002D2E67"/>
    <w:rsid w:val="002D2F1F"/>
    <w:rsid w:val="002D2FCA"/>
    <w:rsid w:val="002D304D"/>
    <w:rsid w:val="002D305B"/>
    <w:rsid w:val="002D3166"/>
    <w:rsid w:val="002D31F7"/>
    <w:rsid w:val="002D331A"/>
    <w:rsid w:val="002D3374"/>
    <w:rsid w:val="002D3445"/>
    <w:rsid w:val="002D347D"/>
    <w:rsid w:val="002D35D3"/>
    <w:rsid w:val="002D365A"/>
    <w:rsid w:val="002D3793"/>
    <w:rsid w:val="002D37C7"/>
    <w:rsid w:val="002D37CF"/>
    <w:rsid w:val="002D37F0"/>
    <w:rsid w:val="002D3A9C"/>
    <w:rsid w:val="002D3B4A"/>
    <w:rsid w:val="002D3F2E"/>
    <w:rsid w:val="002D3F3A"/>
    <w:rsid w:val="002D45D7"/>
    <w:rsid w:val="002D4757"/>
    <w:rsid w:val="002D48AC"/>
    <w:rsid w:val="002D48C4"/>
    <w:rsid w:val="002D496D"/>
    <w:rsid w:val="002D49E1"/>
    <w:rsid w:val="002D4D61"/>
    <w:rsid w:val="002D4E40"/>
    <w:rsid w:val="002D4E97"/>
    <w:rsid w:val="002D5215"/>
    <w:rsid w:val="002D57A4"/>
    <w:rsid w:val="002D582F"/>
    <w:rsid w:val="002D5CAF"/>
    <w:rsid w:val="002D5DD8"/>
    <w:rsid w:val="002D6010"/>
    <w:rsid w:val="002D6C60"/>
    <w:rsid w:val="002D6C75"/>
    <w:rsid w:val="002D6D4E"/>
    <w:rsid w:val="002D6DA0"/>
    <w:rsid w:val="002D72A6"/>
    <w:rsid w:val="002D730C"/>
    <w:rsid w:val="002D7625"/>
    <w:rsid w:val="002D7823"/>
    <w:rsid w:val="002D7922"/>
    <w:rsid w:val="002D7961"/>
    <w:rsid w:val="002D7B83"/>
    <w:rsid w:val="002D7C76"/>
    <w:rsid w:val="002D7E66"/>
    <w:rsid w:val="002E00E5"/>
    <w:rsid w:val="002E0195"/>
    <w:rsid w:val="002E026D"/>
    <w:rsid w:val="002E061A"/>
    <w:rsid w:val="002E06D3"/>
    <w:rsid w:val="002E0886"/>
    <w:rsid w:val="002E0906"/>
    <w:rsid w:val="002E124F"/>
    <w:rsid w:val="002E15E4"/>
    <w:rsid w:val="002E1A4A"/>
    <w:rsid w:val="002E1BDB"/>
    <w:rsid w:val="002E1F45"/>
    <w:rsid w:val="002E283A"/>
    <w:rsid w:val="002E298D"/>
    <w:rsid w:val="002E29C5"/>
    <w:rsid w:val="002E2D5E"/>
    <w:rsid w:val="002E2DA9"/>
    <w:rsid w:val="002E3172"/>
    <w:rsid w:val="002E34D8"/>
    <w:rsid w:val="002E3631"/>
    <w:rsid w:val="002E389F"/>
    <w:rsid w:val="002E3963"/>
    <w:rsid w:val="002E3E7F"/>
    <w:rsid w:val="002E3F6B"/>
    <w:rsid w:val="002E3F9A"/>
    <w:rsid w:val="002E4293"/>
    <w:rsid w:val="002E48D0"/>
    <w:rsid w:val="002E4AC8"/>
    <w:rsid w:val="002E4C2D"/>
    <w:rsid w:val="002E4DAA"/>
    <w:rsid w:val="002E4DFD"/>
    <w:rsid w:val="002E4FE2"/>
    <w:rsid w:val="002E51D5"/>
    <w:rsid w:val="002E522E"/>
    <w:rsid w:val="002E5285"/>
    <w:rsid w:val="002E55DB"/>
    <w:rsid w:val="002E578A"/>
    <w:rsid w:val="002E5996"/>
    <w:rsid w:val="002E59D5"/>
    <w:rsid w:val="002E5A1C"/>
    <w:rsid w:val="002E5DEA"/>
    <w:rsid w:val="002E60E0"/>
    <w:rsid w:val="002E6562"/>
    <w:rsid w:val="002E668A"/>
    <w:rsid w:val="002E66D8"/>
    <w:rsid w:val="002E6AD7"/>
    <w:rsid w:val="002E6AF1"/>
    <w:rsid w:val="002E6C44"/>
    <w:rsid w:val="002E70E3"/>
    <w:rsid w:val="002E7147"/>
    <w:rsid w:val="002E724A"/>
    <w:rsid w:val="002E72DA"/>
    <w:rsid w:val="002E758D"/>
    <w:rsid w:val="002E7652"/>
    <w:rsid w:val="002E76E3"/>
    <w:rsid w:val="002E7D02"/>
    <w:rsid w:val="002E7D51"/>
    <w:rsid w:val="002E7FCD"/>
    <w:rsid w:val="002E7FE1"/>
    <w:rsid w:val="002F03DD"/>
    <w:rsid w:val="002F04A2"/>
    <w:rsid w:val="002F0505"/>
    <w:rsid w:val="002F078A"/>
    <w:rsid w:val="002F0ADF"/>
    <w:rsid w:val="002F0B38"/>
    <w:rsid w:val="002F0BE3"/>
    <w:rsid w:val="002F165E"/>
    <w:rsid w:val="002F1688"/>
    <w:rsid w:val="002F16CB"/>
    <w:rsid w:val="002F1C0C"/>
    <w:rsid w:val="002F1DF5"/>
    <w:rsid w:val="002F1F76"/>
    <w:rsid w:val="002F1FD5"/>
    <w:rsid w:val="002F2360"/>
    <w:rsid w:val="002F2614"/>
    <w:rsid w:val="002F26E6"/>
    <w:rsid w:val="002F27AF"/>
    <w:rsid w:val="002F282A"/>
    <w:rsid w:val="002F28CA"/>
    <w:rsid w:val="002F2929"/>
    <w:rsid w:val="002F2BE5"/>
    <w:rsid w:val="002F2C33"/>
    <w:rsid w:val="002F2D04"/>
    <w:rsid w:val="002F2FF7"/>
    <w:rsid w:val="002F305C"/>
    <w:rsid w:val="002F311E"/>
    <w:rsid w:val="002F313A"/>
    <w:rsid w:val="002F345B"/>
    <w:rsid w:val="002F380E"/>
    <w:rsid w:val="002F3AD2"/>
    <w:rsid w:val="002F3B5A"/>
    <w:rsid w:val="002F3BE9"/>
    <w:rsid w:val="002F410A"/>
    <w:rsid w:val="002F43C1"/>
    <w:rsid w:val="002F4515"/>
    <w:rsid w:val="002F455D"/>
    <w:rsid w:val="002F480A"/>
    <w:rsid w:val="002F4B12"/>
    <w:rsid w:val="002F4F75"/>
    <w:rsid w:val="002F5188"/>
    <w:rsid w:val="002F51BB"/>
    <w:rsid w:val="002F55AB"/>
    <w:rsid w:val="002F5B76"/>
    <w:rsid w:val="002F5FEC"/>
    <w:rsid w:val="002F61D3"/>
    <w:rsid w:val="002F61D6"/>
    <w:rsid w:val="002F6606"/>
    <w:rsid w:val="002F6E66"/>
    <w:rsid w:val="002F7194"/>
    <w:rsid w:val="002F71B8"/>
    <w:rsid w:val="002F71F4"/>
    <w:rsid w:val="002F72EE"/>
    <w:rsid w:val="002F73DF"/>
    <w:rsid w:val="002F760E"/>
    <w:rsid w:val="002F789E"/>
    <w:rsid w:val="002F7987"/>
    <w:rsid w:val="002F7A50"/>
    <w:rsid w:val="00300148"/>
    <w:rsid w:val="00300668"/>
    <w:rsid w:val="00300718"/>
    <w:rsid w:val="003008FC"/>
    <w:rsid w:val="00300920"/>
    <w:rsid w:val="00300CED"/>
    <w:rsid w:val="00301059"/>
    <w:rsid w:val="0030170D"/>
    <w:rsid w:val="00301A51"/>
    <w:rsid w:val="00301AAA"/>
    <w:rsid w:val="00301C88"/>
    <w:rsid w:val="00301EA1"/>
    <w:rsid w:val="00301F26"/>
    <w:rsid w:val="0030215A"/>
    <w:rsid w:val="003021C2"/>
    <w:rsid w:val="0030272A"/>
    <w:rsid w:val="00302AA6"/>
    <w:rsid w:val="00302CC1"/>
    <w:rsid w:val="00302F4E"/>
    <w:rsid w:val="00302FCC"/>
    <w:rsid w:val="00302FF8"/>
    <w:rsid w:val="003038A5"/>
    <w:rsid w:val="00303974"/>
    <w:rsid w:val="00303AFB"/>
    <w:rsid w:val="00303B6C"/>
    <w:rsid w:val="00303E88"/>
    <w:rsid w:val="00303E91"/>
    <w:rsid w:val="003046E4"/>
    <w:rsid w:val="00304708"/>
    <w:rsid w:val="00304872"/>
    <w:rsid w:val="00304A54"/>
    <w:rsid w:val="00304AE5"/>
    <w:rsid w:val="00304C2D"/>
    <w:rsid w:val="00304E0C"/>
    <w:rsid w:val="00305100"/>
    <w:rsid w:val="00305369"/>
    <w:rsid w:val="003054F8"/>
    <w:rsid w:val="00305862"/>
    <w:rsid w:val="00305879"/>
    <w:rsid w:val="0030589B"/>
    <w:rsid w:val="00305B85"/>
    <w:rsid w:val="003062A3"/>
    <w:rsid w:val="003062AE"/>
    <w:rsid w:val="0030648A"/>
    <w:rsid w:val="00306918"/>
    <w:rsid w:val="003069C5"/>
    <w:rsid w:val="00306A05"/>
    <w:rsid w:val="00306A9A"/>
    <w:rsid w:val="00306DBD"/>
    <w:rsid w:val="00306FBC"/>
    <w:rsid w:val="003070D5"/>
    <w:rsid w:val="003072C5"/>
    <w:rsid w:val="00307674"/>
    <w:rsid w:val="003077D4"/>
    <w:rsid w:val="00307A61"/>
    <w:rsid w:val="00307BB1"/>
    <w:rsid w:val="00307C6B"/>
    <w:rsid w:val="00307ED4"/>
    <w:rsid w:val="00307FBC"/>
    <w:rsid w:val="0031005A"/>
    <w:rsid w:val="0031013A"/>
    <w:rsid w:val="0031033B"/>
    <w:rsid w:val="00310418"/>
    <w:rsid w:val="00310687"/>
    <w:rsid w:val="00310894"/>
    <w:rsid w:val="00310E37"/>
    <w:rsid w:val="00310F6D"/>
    <w:rsid w:val="00310F70"/>
    <w:rsid w:val="003114D2"/>
    <w:rsid w:val="00311642"/>
    <w:rsid w:val="003116E1"/>
    <w:rsid w:val="0031182B"/>
    <w:rsid w:val="00311B82"/>
    <w:rsid w:val="00311BBC"/>
    <w:rsid w:val="00311DAE"/>
    <w:rsid w:val="00311FD6"/>
    <w:rsid w:val="0031200F"/>
    <w:rsid w:val="0031205A"/>
    <w:rsid w:val="003125AC"/>
    <w:rsid w:val="00312825"/>
    <w:rsid w:val="003128BF"/>
    <w:rsid w:val="0031296D"/>
    <w:rsid w:val="00312A82"/>
    <w:rsid w:val="00312D0B"/>
    <w:rsid w:val="00313321"/>
    <w:rsid w:val="0031364C"/>
    <w:rsid w:val="003137DF"/>
    <w:rsid w:val="00313C41"/>
    <w:rsid w:val="00313DC3"/>
    <w:rsid w:val="00313F0A"/>
    <w:rsid w:val="00313F57"/>
    <w:rsid w:val="00314238"/>
    <w:rsid w:val="00314660"/>
    <w:rsid w:val="0031480D"/>
    <w:rsid w:val="003148A2"/>
    <w:rsid w:val="00314BFC"/>
    <w:rsid w:val="00314D4B"/>
    <w:rsid w:val="00314EED"/>
    <w:rsid w:val="00315072"/>
    <w:rsid w:val="00315080"/>
    <w:rsid w:val="003150B4"/>
    <w:rsid w:val="00315514"/>
    <w:rsid w:val="00315654"/>
    <w:rsid w:val="00315667"/>
    <w:rsid w:val="003158E2"/>
    <w:rsid w:val="00315C97"/>
    <w:rsid w:val="00315D4F"/>
    <w:rsid w:val="00315E48"/>
    <w:rsid w:val="003160C3"/>
    <w:rsid w:val="003162EB"/>
    <w:rsid w:val="00316446"/>
    <w:rsid w:val="003164B8"/>
    <w:rsid w:val="003166F8"/>
    <w:rsid w:val="00316872"/>
    <w:rsid w:val="00316A2F"/>
    <w:rsid w:val="00316B72"/>
    <w:rsid w:val="00316BCE"/>
    <w:rsid w:val="00317163"/>
    <w:rsid w:val="0031725C"/>
    <w:rsid w:val="0031777B"/>
    <w:rsid w:val="00317940"/>
    <w:rsid w:val="00317A1B"/>
    <w:rsid w:val="00317D24"/>
    <w:rsid w:val="00317E18"/>
    <w:rsid w:val="0032013D"/>
    <w:rsid w:val="0032015A"/>
    <w:rsid w:val="00320175"/>
    <w:rsid w:val="003201D0"/>
    <w:rsid w:val="00320225"/>
    <w:rsid w:val="00320265"/>
    <w:rsid w:val="003207B6"/>
    <w:rsid w:val="003208AE"/>
    <w:rsid w:val="00320D28"/>
    <w:rsid w:val="00321256"/>
    <w:rsid w:val="00321479"/>
    <w:rsid w:val="00321631"/>
    <w:rsid w:val="00321667"/>
    <w:rsid w:val="00321967"/>
    <w:rsid w:val="00321AB0"/>
    <w:rsid w:val="00321D68"/>
    <w:rsid w:val="00321F7C"/>
    <w:rsid w:val="00322013"/>
    <w:rsid w:val="0032227C"/>
    <w:rsid w:val="003224B4"/>
    <w:rsid w:val="00322694"/>
    <w:rsid w:val="003226CC"/>
    <w:rsid w:val="00322A3E"/>
    <w:rsid w:val="00322FDF"/>
    <w:rsid w:val="00323295"/>
    <w:rsid w:val="00323344"/>
    <w:rsid w:val="0032335D"/>
    <w:rsid w:val="00323463"/>
    <w:rsid w:val="003234C6"/>
    <w:rsid w:val="00323645"/>
    <w:rsid w:val="003236CF"/>
    <w:rsid w:val="0032373E"/>
    <w:rsid w:val="00323CDD"/>
    <w:rsid w:val="00323DBA"/>
    <w:rsid w:val="00323E05"/>
    <w:rsid w:val="00323E28"/>
    <w:rsid w:val="00323E63"/>
    <w:rsid w:val="00323EB0"/>
    <w:rsid w:val="00323FDE"/>
    <w:rsid w:val="00324102"/>
    <w:rsid w:val="00324141"/>
    <w:rsid w:val="003242B0"/>
    <w:rsid w:val="003243F3"/>
    <w:rsid w:val="003244DD"/>
    <w:rsid w:val="00324631"/>
    <w:rsid w:val="003246E0"/>
    <w:rsid w:val="0032476D"/>
    <w:rsid w:val="00324898"/>
    <w:rsid w:val="003249D2"/>
    <w:rsid w:val="00324B79"/>
    <w:rsid w:val="00324EE1"/>
    <w:rsid w:val="00324F06"/>
    <w:rsid w:val="0032514C"/>
    <w:rsid w:val="003251EA"/>
    <w:rsid w:val="00325323"/>
    <w:rsid w:val="003256AF"/>
    <w:rsid w:val="00325B3F"/>
    <w:rsid w:val="00325CD1"/>
    <w:rsid w:val="00325EEC"/>
    <w:rsid w:val="0032610F"/>
    <w:rsid w:val="003262E9"/>
    <w:rsid w:val="003265F9"/>
    <w:rsid w:val="00326868"/>
    <w:rsid w:val="0032706C"/>
    <w:rsid w:val="0032739B"/>
    <w:rsid w:val="003273BC"/>
    <w:rsid w:val="00327499"/>
    <w:rsid w:val="00327557"/>
    <w:rsid w:val="003275AC"/>
    <w:rsid w:val="00327AAA"/>
    <w:rsid w:val="00327B73"/>
    <w:rsid w:val="00327F01"/>
    <w:rsid w:val="0033059C"/>
    <w:rsid w:val="00330601"/>
    <w:rsid w:val="00330753"/>
    <w:rsid w:val="003308AD"/>
    <w:rsid w:val="00330A46"/>
    <w:rsid w:val="00330AB7"/>
    <w:rsid w:val="00330F47"/>
    <w:rsid w:val="003310F2"/>
    <w:rsid w:val="00331522"/>
    <w:rsid w:val="00331A16"/>
    <w:rsid w:val="00331AB8"/>
    <w:rsid w:val="00331F5A"/>
    <w:rsid w:val="00331FD0"/>
    <w:rsid w:val="003325D6"/>
    <w:rsid w:val="00332719"/>
    <w:rsid w:val="00332C79"/>
    <w:rsid w:val="00332DFF"/>
    <w:rsid w:val="0033326D"/>
    <w:rsid w:val="003337CE"/>
    <w:rsid w:val="00333A60"/>
    <w:rsid w:val="00333B3A"/>
    <w:rsid w:val="00333C84"/>
    <w:rsid w:val="00333F75"/>
    <w:rsid w:val="00333F91"/>
    <w:rsid w:val="00333FE2"/>
    <w:rsid w:val="00334365"/>
    <w:rsid w:val="00334734"/>
    <w:rsid w:val="00334776"/>
    <w:rsid w:val="0033491A"/>
    <w:rsid w:val="0033496A"/>
    <w:rsid w:val="00334994"/>
    <w:rsid w:val="00334ACF"/>
    <w:rsid w:val="00334D7C"/>
    <w:rsid w:val="00334D8A"/>
    <w:rsid w:val="003350EF"/>
    <w:rsid w:val="00335BF5"/>
    <w:rsid w:val="00335D85"/>
    <w:rsid w:val="00335E6E"/>
    <w:rsid w:val="003361A1"/>
    <w:rsid w:val="003363D3"/>
    <w:rsid w:val="0033659A"/>
    <w:rsid w:val="00336BD4"/>
    <w:rsid w:val="00336E0A"/>
    <w:rsid w:val="00336E9E"/>
    <w:rsid w:val="003371AE"/>
    <w:rsid w:val="00337211"/>
    <w:rsid w:val="00337290"/>
    <w:rsid w:val="003374DB"/>
    <w:rsid w:val="003374DF"/>
    <w:rsid w:val="00337A71"/>
    <w:rsid w:val="00337B66"/>
    <w:rsid w:val="00337E90"/>
    <w:rsid w:val="00340A70"/>
    <w:rsid w:val="00340F72"/>
    <w:rsid w:val="00340F9A"/>
    <w:rsid w:val="00340FC8"/>
    <w:rsid w:val="0034102C"/>
    <w:rsid w:val="00341075"/>
    <w:rsid w:val="003411B3"/>
    <w:rsid w:val="0034133A"/>
    <w:rsid w:val="00341578"/>
    <w:rsid w:val="0034185F"/>
    <w:rsid w:val="00341876"/>
    <w:rsid w:val="003418AA"/>
    <w:rsid w:val="00341A14"/>
    <w:rsid w:val="00341B8B"/>
    <w:rsid w:val="00341CCA"/>
    <w:rsid w:val="00341FB0"/>
    <w:rsid w:val="00342003"/>
    <w:rsid w:val="003422E1"/>
    <w:rsid w:val="0034251D"/>
    <w:rsid w:val="0034274C"/>
    <w:rsid w:val="0034284A"/>
    <w:rsid w:val="00342912"/>
    <w:rsid w:val="003429D1"/>
    <w:rsid w:val="00342E4B"/>
    <w:rsid w:val="00342E88"/>
    <w:rsid w:val="003430CC"/>
    <w:rsid w:val="00343178"/>
    <w:rsid w:val="003433EA"/>
    <w:rsid w:val="00343580"/>
    <w:rsid w:val="003435CA"/>
    <w:rsid w:val="00343720"/>
    <w:rsid w:val="00343893"/>
    <w:rsid w:val="00343AAC"/>
    <w:rsid w:val="00343C85"/>
    <w:rsid w:val="00343E47"/>
    <w:rsid w:val="00343EAE"/>
    <w:rsid w:val="00343EDE"/>
    <w:rsid w:val="00344018"/>
    <w:rsid w:val="0034429A"/>
    <w:rsid w:val="0034435B"/>
    <w:rsid w:val="00344432"/>
    <w:rsid w:val="00344500"/>
    <w:rsid w:val="00344A4F"/>
    <w:rsid w:val="00344AEB"/>
    <w:rsid w:val="00344B68"/>
    <w:rsid w:val="003451CF"/>
    <w:rsid w:val="003453C0"/>
    <w:rsid w:val="003454C6"/>
    <w:rsid w:val="003458B5"/>
    <w:rsid w:val="00345A47"/>
    <w:rsid w:val="00345B1D"/>
    <w:rsid w:val="00345B81"/>
    <w:rsid w:val="00345D2A"/>
    <w:rsid w:val="00345E01"/>
    <w:rsid w:val="00346081"/>
    <w:rsid w:val="003460C4"/>
    <w:rsid w:val="00346247"/>
    <w:rsid w:val="00346488"/>
    <w:rsid w:val="00347229"/>
    <w:rsid w:val="003476C9"/>
    <w:rsid w:val="00347AE7"/>
    <w:rsid w:val="00347CCB"/>
    <w:rsid w:val="00347D60"/>
    <w:rsid w:val="00347E67"/>
    <w:rsid w:val="0035045D"/>
    <w:rsid w:val="00350552"/>
    <w:rsid w:val="003506B1"/>
    <w:rsid w:val="00350884"/>
    <w:rsid w:val="003508BA"/>
    <w:rsid w:val="00350939"/>
    <w:rsid w:val="00350962"/>
    <w:rsid w:val="00350977"/>
    <w:rsid w:val="00350ACB"/>
    <w:rsid w:val="00350AEF"/>
    <w:rsid w:val="0035104B"/>
    <w:rsid w:val="0035128D"/>
    <w:rsid w:val="00351381"/>
    <w:rsid w:val="003514F8"/>
    <w:rsid w:val="003515A4"/>
    <w:rsid w:val="00351618"/>
    <w:rsid w:val="0035171F"/>
    <w:rsid w:val="00351844"/>
    <w:rsid w:val="003526B6"/>
    <w:rsid w:val="003526C4"/>
    <w:rsid w:val="00352C5D"/>
    <w:rsid w:val="00352D69"/>
    <w:rsid w:val="00352EC0"/>
    <w:rsid w:val="003530A6"/>
    <w:rsid w:val="003532CD"/>
    <w:rsid w:val="00353310"/>
    <w:rsid w:val="0035343D"/>
    <w:rsid w:val="003535B4"/>
    <w:rsid w:val="00353627"/>
    <w:rsid w:val="00353731"/>
    <w:rsid w:val="003537BD"/>
    <w:rsid w:val="003539A5"/>
    <w:rsid w:val="00353B9F"/>
    <w:rsid w:val="00353CF6"/>
    <w:rsid w:val="00353F15"/>
    <w:rsid w:val="00353F81"/>
    <w:rsid w:val="0035453F"/>
    <w:rsid w:val="0035482E"/>
    <w:rsid w:val="00354A62"/>
    <w:rsid w:val="00354DC1"/>
    <w:rsid w:val="00354E0B"/>
    <w:rsid w:val="00354F24"/>
    <w:rsid w:val="00355384"/>
    <w:rsid w:val="00355591"/>
    <w:rsid w:val="00355773"/>
    <w:rsid w:val="0035599E"/>
    <w:rsid w:val="003559B9"/>
    <w:rsid w:val="003559CC"/>
    <w:rsid w:val="00355A4E"/>
    <w:rsid w:val="00355B54"/>
    <w:rsid w:val="00355CAD"/>
    <w:rsid w:val="00355CC8"/>
    <w:rsid w:val="00355D47"/>
    <w:rsid w:val="00355F72"/>
    <w:rsid w:val="00356124"/>
    <w:rsid w:val="00356250"/>
    <w:rsid w:val="003565EE"/>
    <w:rsid w:val="00356718"/>
    <w:rsid w:val="003567AE"/>
    <w:rsid w:val="003569E6"/>
    <w:rsid w:val="00356DD3"/>
    <w:rsid w:val="00356E97"/>
    <w:rsid w:val="0035720F"/>
    <w:rsid w:val="00357310"/>
    <w:rsid w:val="0035734F"/>
    <w:rsid w:val="0035736A"/>
    <w:rsid w:val="0035750E"/>
    <w:rsid w:val="00357657"/>
    <w:rsid w:val="00357705"/>
    <w:rsid w:val="00357797"/>
    <w:rsid w:val="00357833"/>
    <w:rsid w:val="003578A5"/>
    <w:rsid w:val="0035794D"/>
    <w:rsid w:val="00357A44"/>
    <w:rsid w:val="00357C8E"/>
    <w:rsid w:val="00357E32"/>
    <w:rsid w:val="00360380"/>
    <w:rsid w:val="0036046C"/>
    <w:rsid w:val="003604D4"/>
    <w:rsid w:val="00360A46"/>
    <w:rsid w:val="00360D3B"/>
    <w:rsid w:val="00360F28"/>
    <w:rsid w:val="00360FAC"/>
    <w:rsid w:val="00361427"/>
    <w:rsid w:val="003615CC"/>
    <w:rsid w:val="003616BC"/>
    <w:rsid w:val="00361BFB"/>
    <w:rsid w:val="003623A8"/>
    <w:rsid w:val="0036240B"/>
    <w:rsid w:val="00362424"/>
    <w:rsid w:val="003625BA"/>
    <w:rsid w:val="00362898"/>
    <w:rsid w:val="003629AF"/>
    <w:rsid w:val="0036300D"/>
    <w:rsid w:val="00363120"/>
    <w:rsid w:val="00363407"/>
    <w:rsid w:val="00363487"/>
    <w:rsid w:val="00363611"/>
    <w:rsid w:val="00363644"/>
    <w:rsid w:val="003639A6"/>
    <w:rsid w:val="00363BEA"/>
    <w:rsid w:val="00363CA7"/>
    <w:rsid w:val="00363F03"/>
    <w:rsid w:val="00363F9F"/>
    <w:rsid w:val="003645D5"/>
    <w:rsid w:val="003647D3"/>
    <w:rsid w:val="00364CEE"/>
    <w:rsid w:val="00364EB3"/>
    <w:rsid w:val="0036548A"/>
    <w:rsid w:val="003654DD"/>
    <w:rsid w:val="00365502"/>
    <w:rsid w:val="0036571C"/>
    <w:rsid w:val="003659B3"/>
    <w:rsid w:val="003659CD"/>
    <w:rsid w:val="00365A06"/>
    <w:rsid w:val="00365A55"/>
    <w:rsid w:val="00365C8D"/>
    <w:rsid w:val="0036614C"/>
    <w:rsid w:val="00366328"/>
    <w:rsid w:val="00366471"/>
    <w:rsid w:val="00366755"/>
    <w:rsid w:val="00366A5A"/>
    <w:rsid w:val="00366E17"/>
    <w:rsid w:val="00366FC8"/>
    <w:rsid w:val="00367192"/>
    <w:rsid w:val="00367337"/>
    <w:rsid w:val="003675B2"/>
    <w:rsid w:val="00367691"/>
    <w:rsid w:val="003679AE"/>
    <w:rsid w:val="00367B62"/>
    <w:rsid w:val="00367B69"/>
    <w:rsid w:val="00370126"/>
    <w:rsid w:val="0037022B"/>
    <w:rsid w:val="003702A2"/>
    <w:rsid w:val="0037054C"/>
    <w:rsid w:val="00370688"/>
    <w:rsid w:val="00370752"/>
    <w:rsid w:val="003707D6"/>
    <w:rsid w:val="00370810"/>
    <w:rsid w:val="00370C7E"/>
    <w:rsid w:val="00370D87"/>
    <w:rsid w:val="003710E5"/>
    <w:rsid w:val="003714BA"/>
    <w:rsid w:val="0037174E"/>
    <w:rsid w:val="0037192C"/>
    <w:rsid w:val="00371979"/>
    <w:rsid w:val="003719B2"/>
    <w:rsid w:val="00371C6F"/>
    <w:rsid w:val="00371D11"/>
    <w:rsid w:val="00371D53"/>
    <w:rsid w:val="00371D7A"/>
    <w:rsid w:val="00371E75"/>
    <w:rsid w:val="00372569"/>
    <w:rsid w:val="003725EF"/>
    <w:rsid w:val="003725F8"/>
    <w:rsid w:val="003727BB"/>
    <w:rsid w:val="0037298F"/>
    <w:rsid w:val="00372B04"/>
    <w:rsid w:val="00372C7D"/>
    <w:rsid w:val="00373A07"/>
    <w:rsid w:val="00373A71"/>
    <w:rsid w:val="00373AC9"/>
    <w:rsid w:val="00373E87"/>
    <w:rsid w:val="0037425F"/>
    <w:rsid w:val="00374502"/>
    <w:rsid w:val="003745DA"/>
    <w:rsid w:val="00374768"/>
    <w:rsid w:val="003747ED"/>
    <w:rsid w:val="00374AD8"/>
    <w:rsid w:val="00374BC8"/>
    <w:rsid w:val="00374C4C"/>
    <w:rsid w:val="00374D40"/>
    <w:rsid w:val="00374E56"/>
    <w:rsid w:val="0037513D"/>
    <w:rsid w:val="00375147"/>
    <w:rsid w:val="003751A3"/>
    <w:rsid w:val="00375298"/>
    <w:rsid w:val="003753F3"/>
    <w:rsid w:val="0037564C"/>
    <w:rsid w:val="00375699"/>
    <w:rsid w:val="003757AC"/>
    <w:rsid w:val="00375989"/>
    <w:rsid w:val="003759A8"/>
    <w:rsid w:val="00375B5C"/>
    <w:rsid w:val="00375C1F"/>
    <w:rsid w:val="00375D61"/>
    <w:rsid w:val="003762B4"/>
    <w:rsid w:val="00376372"/>
    <w:rsid w:val="003765BD"/>
    <w:rsid w:val="003767BD"/>
    <w:rsid w:val="0037683F"/>
    <w:rsid w:val="00376F1E"/>
    <w:rsid w:val="00376FB0"/>
    <w:rsid w:val="00377002"/>
    <w:rsid w:val="003770C9"/>
    <w:rsid w:val="00377368"/>
    <w:rsid w:val="00377494"/>
    <w:rsid w:val="0037755C"/>
    <w:rsid w:val="003778AD"/>
    <w:rsid w:val="0037797A"/>
    <w:rsid w:val="00377B40"/>
    <w:rsid w:val="0038021F"/>
    <w:rsid w:val="003802AE"/>
    <w:rsid w:val="003808C3"/>
    <w:rsid w:val="00380CC5"/>
    <w:rsid w:val="00380F34"/>
    <w:rsid w:val="00380F57"/>
    <w:rsid w:val="0038130E"/>
    <w:rsid w:val="00381392"/>
    <w:rsid w:val="00381422"/>
    <w:rsid w:val="0038182C"/>
    <w:rsid w:val="0038189D"/>
    <w:rsid w:val="00381904"/>
    <w:rsid w:val="00381EF0"/>
    <w:rsid w:val="00381F0B"/>
    <w:rsid w:val="00382053"/>
    <w:rsid w:val="00382111"/>
    <w:rsid w:val="0038236B"/>
    <w:rsid w:val="00382531"/>
    <w:rsid w:val="00382590"/>
    <w:rsid w:val="00382694"/>
    <w:rsid w:val="0038281C"/>
    <w:rsid w:val="00382D69"/>
    <w:rsid w:val="00382F6E"/>
    <w:rsid w:val="003830E1"/>
    <w:rsid w:val="003831FB"/>
    <w:rsid w:val="0038328D"/>
    <w:rsid w:val="00383589"/>
    <w:rsid w:val="00383874"/>
    <w:rsid w:val="00383880"/>
    <w:rsid w:val="003839B9"/>
    <w:rsid w:val="00383A82"/>
    <w:rsid w:val="00383C1E"/>
    <w:rsid w:val="0038457B"/>
    <w:rsid w:val="003849B9"/>
    <w:rsid w:val="00384A38"/>
    <w:rsid w:val="00384C13"/>
    <w:rsid w:val="00384D34"/>
    <w:rsid w:val="00384DF7"/>
    <w:rsid w:val="003850DC"/>
    <w:rsid w:val="0038516B"/>
    <w:rsid w:val="003852D3"/>
    <w:rsid w:val="003853AC"/>
    <w:rsid w:val="0038543D"/>
    <w:rsid w:val="003857B9"/>
    <w:rsid w:val="00385A64"/>
    <w:rsid w:val="00385B18"/>
    <w:rsid w:val="00385BC6"/>
    <w:rsid w:val="00385CA7"/>
    <w:rsid w:val="00385D20"/>
    <w:rsid w:val="00385E7C"/>
    <w:rsid w:val="00385EE1"/>
    <w:rsid w:val="0038614D"/>
    <w:rsid w:val="003862B9"/>
    <w:rsid w:val="003868CF"/>
    <w:rsid w:val="00386D1A"/>
    <w:rsid w:val="0038717A"/>
    <w:rsid w:val="00387409"/>
    <w:rsid w:val="0038760B"/>
    <w:rsid w:val="00387711"/>
    <w:rsid w:val="003878D1"/>
    <w:rsid w:val="00387E96"/>
    <w:rsid w:val="003901BE"/>
    <w:rsid w:val="0039035F"/>
    <w:rsid w:val="0039045D"/>
    <w:rsid w:val="00390A7C"/>
    <w:rsid w:val="00390C16"/>
    <w:rsid w:val="00391479"/>
    <w:rsid w:val="0039182E"/>
    <w:rsid w:val="00391913"/>
    <w:rsid w:val="003919E5"/>
    <w:rsid w:val="003919E9"/>
    <w:rsid w:val="00391BE4"/>
    <w:rsid w:val="00391C4B"/>
    <w:rsid w:val="00391DD1"/>
    <w:rsid w:val="00391E4E"/>
    <w:rsid w:val="00391F8E"/>
    <w:rsid w:val="003924BE"/>
    <w:rsid w:val="00392544"/>
    <w:rsid w:val="00392767"/>
    <w:rsid w:val="00392AE5"/>
    <w:rsid w:val="00392B11"/>
    <w:rsid w:val="00392D13"/>
    <w:rsid w:val="00392EBF"/>
    <w:rsid w:val="00392F69"/>
    <w:rsid w:val="00392F9E"/>
    <w:rsid w:val="00393264"/>
    <w:rsid w:val="003933EC"/>
    <w:rsid w:val="0039342B"/>
    <w:rsid w:val="00393839"/>
    <w:rsid w:val="00393B35"/>
    <w:rsid w:val="00393C99"/>
    <w:rsid w:val="00393E84"/>
    <w:rsid w:val="00393F1A"/>
    <w:rsid w:val="00393F90"/>
    <w:rsid w:val="003941E2"/>
    <w:rsid w:val="00394233"/>
    <w:rsid w:val="003942FB"/>
    <w:rsid w:val="003947D8"/>
    <w:rsid w:val="0039483E"/>
    <w:rsid w:val="00394961"/>
    <w:rsid w:val="00394C83"/>
    <w:rsid w:val="00394E6D"/>
    <w:rsid w:val="00394EBF"/>
    <w:rsid w:val="00395081"/>
    <w:rsid w:val="0039520D"/>
    <w:rsid w:val="00395D10"/>
    <w:rsid w:val="00396294"/>
    <w:rsid w:val="003962D3"/>
    <w:rsid w:val="00396339"/>
    <w:rsid w:val="0039673E"/>
    <w:rsid w:val="0039681B"/>
    <w:rsid w:val="00396A9D"/>
    <w:rsid w:val="00396C41"/>
    <w:rsid w:val="00396E88"/>
    <w:rsid w:val="00396E94"/>
    <w:rsid w:val="00396EB1"/>
    <w:rsid w:val="00396EBF"/>
    <w:rsid w:val="0039715F"/>
    <w:rsid w:val="00397163"/>
    <w:rsid w:val="00397170"/>
    <w:rsid w:val="0039754E"/>
    <w:rsid w:val="0039761E"/>
    <w:rsid w:val="003977D0"/>
    <w:rsid w:val="003979C8"/>
    <w:rsid w:val="00397B00"/>
    <w:rsid w:val="003A0050"/>
    <w:rsid w:val="003A0202"/>
    <w:rsid w:val="003A0249"/>
    <w:rsid w:val="003A03CA"/>
    <w:rsid w:val="003A04B8"/>
    <w:rsid w:val="003A0680"/>
    <w:rsid w:val="003A096A"/>
    <w:rsid w:val="003A097A"/>
    <w:rsid w:val="003A09CE"/>
    <w:rsid w:val="003A0D25"/>
    <w:rsid w:val="003A0DDF"/>
    <w:rsid w:val="003A0E80"/>
    <w:rsid w:val="003A0F46"/>
    <w:rsid w:val="003A0FB9"/>
    <w:rsid w:val="003A119A"/>
    <w:rsid w:val="003A12AC"/>
    <w:rsid w:val="003A16CB"/>
    <w:rsid w:val="003A1845"/>
    <w:rsid w:val="003A1953"/>
    <w:rsid w:val="003A1C85"/>
    <w:rsid w:val="003A1ED8"/>
    <w:rsid w:val="003A234C"/>
    <w:rsid w:val="003A251B"/>
    <w:rsid w:val="003A2AEC"/>
    <w:rsid w:val="003A2EE8"/>
    <w:rsid w:val="003A2FEF"/>
    <w:rsid w:val="003A30A8"/>
    <w:rsid w:val="003A3433"/>
    <w:rsid w:val="003A36E2"/>
    <w:rsid w:val="003A3707"/>
    <w:rsid w:val="003A3D42"/>
    <w:rsid w:val="003A3DF7"/>
    <w:rsid w:val="003A41BA"/>
    <w:rsid w:val="003A44B4"/>
    <w:rsid w:val="003A45ED"/>
    <w:rsid w:val="003A4620"/>
    <w:rsid w:val="003A4927"/>
    <w:rsid w:val="003A4B64"/>
    <w:rsid w:val="003A4C32"/>
    <w:rsid w:val="003A4ED9"/>
    <w:rsid w:val="003A4F51"/>
    <w:rsid w:val="003A51C9"/>
    <w:rsid w:val="003A51F5"/>
    <w:rsid w:val="003A537E"/>
    <w:rsid w:val="003A55AC"/>
    <w:rsid w:val="003A5610"/>
    <w:rsid w:val="003A5EDC"/>
    <w:rsid w:val="003A5EEE"/>
    <w:rsid w:val="003A6480"/>
    <w:rsid w:val="003A660F"/>
    <w:rsid w:val="003A693E"/>
    <w:rsid w:val="003A6B70"/>
    <w:rsid w:val="003A6C8B"/>
    <w:rsid w:val="003A6D74"/>
    <w:rsid w:val="003A70D8"/>
    <w:rsid w:val="003A7595"/>
    <w:rsid w:val="003A7908"/>
    <w:rsid w:val="003A79A4"/>
    <w:rsid w:val="003A7B4F"/>
    <w:rsid w:val="003A7E76"/>
    <w:rsid w:val="003B0047"/>
    <w:rsid w:val="003B021C"/>
    <w:rsid w:val="003B023E"/>
    <w:rsid w:val="003B095E"/>
    <w:rsid w:val="003B0A95"/>
    <w:rsid w:val="003B0C49"/>
    <w:rsid w:val="003B0FFF"/>
    <w:rsid w:val="003B108D"/>
    <w:rsid w:val="003B113B"/>
    <w:rsid w:val="003B121E"/>
    <w:rsid w:val="003B1541"/>
    <w:rsid w:val="003B1767"/>
    <w:rsid w:val="003B181F"/>
    <w:rsid w:val="003B19DA"/>
    <w:rsid w:val="003B1A65"/>
    <w:rsid w:val="003B1AD1"/>
    <w:rsid w:val="003B1B77"/>
    <w:rsid w:val="003B1C68"/>
    <w:rsid w:val="003B1CFB"/>
    <w:rsid w:val="003B1D88"/>
    <w:rsid w:val="003B1E6B"/>
    <w:rsid w:val="003B2237"/>
    <w:rsid w:val="003B25F1"/>
    <w:rsid w:val="003B2652"/>
    <w:rsid w:val="003B26E4"/>
    <w:rsid w:val="003B27A3"/>
    <w:rsid w:val="003B27AD"/>
    <w:rsid w:val="003B2813"/>
    <w:rsid w:val="003B2AAB"/>
    <w:rsid w:val="003B2D4A"/>
    <w:rsid w:val="003B2F30"/>
    <w:rsid w:val="003B3157"/>
    <w:rsid w:val="003B31F5"/>
    <w:rsid w:val="003B327F"/>
    <w:rsid w:val="003B3379"/>
    <w:rsid w:val="003B366F"/>
    <w:rsid w:val="003B3A0C"/>
    <w:rsid w:val="003B3C35"/>
    <w:rsid w:val="003B3D3B"/>
    <w:rsid w:val="003B3D93"/>
    <w:rsid w:val="003B3DDC"/>
    <w:rsid w:val="003B3F63"/>
    <w:rsid w:val="003B4075"/>
    <w:rsid w:val="003B42AA"/>
    <w:rsid w:val="003B478E"/>
    <w:rsid w:val="003B47A7"/>
    <w:rsid w:val="003B489C"/>
    <w:rsid w:val="003B4B7C"/>
    <w:rsid w:val="003B4B7F"/>
    <w:rsid w:val="003B4DE3"/>
    <w:rsid w:val="003B50E3"/>
    <w:rsid w:val="003B5907"/>
    <w:rsid w:val="003B5D8B"/>
    <w:rsid w:val="003B616C"/>
    <w:rsid w:val="003B670C"/>
    <w:rsid w:val="003B676A"/>
    <w:rsid w:val="003B6906"/>
    <w:rsid w:val="003B6919"/>
    <w:rsid w:val="003B6A01"/>
    <w:rsid w:val="003B6CED"/>
    <w:rsid w:val="003B6E28"/>
    <w:rsid w:val="003B6E69"/>
    <w:rsid w:val="003B6EA5"/>
    <w:rsid w:val="003B6EBF"/>
    <w:rsid w:val="003B7108"/>
    <w:rsid w:val="003B7303"/>
    <w:rsid w:val="003B75F1"/>
    <w:rsid w:val="003B7656"/>
    <w:rsid w:val="003B76AF"/>
    <w:rsid w:val="003B772F"/>
    <w:rsid w:val="003B77A9"/>
    <w:rsid w:val="003B7DAD"/>
    <w:rsid w:val="003B7EC2"/>
    <w:rsid w:val="003C0127"/>
    <w:rsid w:val="003C055D"/>
    <w:rsid w:val="003C0715"/>
    <w:rsid w:val="003C091E"/>
    <w:rsid w:val="003C0938"/>
    <w:rsid w:val="003C0AFE"/>
    <w:rsid w:val="003C0BD6"/>
    <w:rsid w:val="003C0EAF"/>
    <w:rsid w:val="003C10AA"/>
    <w:rsid w:val="003C1305"/>
    <w:rsid w:val="003C1555"/>
    <w:rsid w:val="003C1582"/>
    <w:rsid w:val="003C162C"/>
    <w:rsid w:val="003C1862"/>
    <w:rsid w:val="003C1A9F"/>
    <w:rsid w:val="003C1AF0"/>
    <w:rsid w:val="003C1C53"/>
    <w:rsid w:val="003C24CC"/>
    <w:rsid w:val="003C2565"/>
    <w:rsid w:val="003C2902"/>
    <w:rsid w:val="003C2A0B"/>
    <w:rsid w:val="003C2DC8"/>
    <w:rsid w:val="003C347F"/>
    <w:rsid w:val="003C3523"/>
    <w:rsid w:val="003C36F5"/>
    <w:rsid w:val="003C3BFE"/>
    <w:rsid w:val="003C3C70"/>
    <w:rsid w:val="003C3EED"/>
    <w:rsid w:val="003C407B"/>
    <w:rsid w:val="003C44FF"/>
    <w:rsid w:val="003C46AE"/>
    <w:rsid w:val="003C47BE"/>
    <w:rsid w:val="003C4829"/>
    <w:rsid w:val="003C4EAA"/>
    <w:rsid w:val="003C4F37"/>
    <w:rsid w:val="003C50F4"/>
    <w:rsid w:val="003C549A"/>
    <w:rsid w:val="003C54D2"/>
    <w:rsid w:val="003C552E"/>
    <w:rsid w:val="003C55F0"/>
    <w:rsid w:val="003C568B"/>
    <w:rsid w:val="003C56C9"/>
    <w:rsid w:val="003C5C90"/>
    <w:rsid w:val="003C5CDA"/>
    <w:rsid w:val="003C5E43"/>
    <w:rsid w:val="003C5E7B"/>
    <w:rsid w:val="003C6141"/>
    <w:rsid w:val="003C64AE"/>
    <w:rsid w:val="003C6648"/>
    <w:rsid w:val="003C665F"/>
    <w:rsid w:val="003C6686"/>
    <w:rsid w:val="003C66F6"/>
    <w:rsid w:val="003C677D"/>
    <w:rsid w:val="003C67DC"/>
    <w:rsid w:val="003C6819"/>
    <w:rsid w:val="003C682D"/>
    <w:rsid w:val="003C6984"/>
    <w:rsid w:val="003C6A73"/>
    <w:rsid w:val="003C6E58"/>
    <w:rsid w:val="003C6EFF"/>
    <w:rsid w:val="003C6FA9"/>
    <w:rsid w:val="003C6FAD"/>
    <w:rsid w:val="003C7320"/>
    <w:rsid w:val="003C73BA"/>
    <w:rsid w:val="003C751B"/>
    <w:rsid w:val="003C76ED"/>
    <w:rsid w:val="003C777E"/>
    <w:rsid w:val="003C77FC"/>
    <w:rsid w:val="003C790E"/>
    <w:rsid w:val="003D04A3"/>
    <w:rsid w:val="003D0700"/>
    <w:rsid w:val="003D096F"/>
    <w:rsid w:val="003D0CB1"/>
    <w:rsid w:val="003D0D50"/>
    <w:rsid w:val="003D0EF3"/>
    <w:rsid w:val="003D105C"/>
    <w:rsid w:val="003D1087"/>
    <w:rsid w:val="003D115D"/>
    <w:rsid w:val="003D1182"/>
    <w:rsid w:val="003D11A9"/>
    <w:rsid w:val="003D1325"/>
    <w:rsid w:val="003D1393"/>
    <w:rsid w:val="003D1451"/>
    <w:rsid w:val="003D15D0"/>
    <w:rsid w:val="003D180F"/>
    <w:rsid w:val="003D19DD"/>
    <w:rsid w:val="003D1A69"/>
    <w:rsid w:val="003D1A97"/>
    <w:rsid w:val="003D1B07"/>
    <w:rsid w:val="003D1BA0"/>
    <w:rsid w:val="003D1E70"/>
    <w:rsid w:val="003D1EC0"/>
    <w:rsid w:val="003D1F97"/>
    <w:rsid w:val="003D1FB3"/>
    <w:rsid w:val="003D2062"/>
    <w:rsid w:val="003D2143"/>
    <w:rsid w:val="003D2480"/>
    <w:rsid w:val="003D2657"/>
    <w:rsid w:val="003D2990"/>
    <w:rsid w:val="003D2A17"/>
    <w:rsid w:val="003D2A37"/>
    <w:rsid w:val="003D2C7F"/>
    <w:rsid w:val="003D2CB1"/>
    <w:rsid w:val="003D2D17"/>
    <w:rsid w:val="003D2D37"/>
    <w:rsid w:val="003D2E3D"/>
    <w:rsid w:val="003D2E43"/>
    <w:rsid w:val="003D2E67"/>
    <w:rsid w:val="003D3060"/>
    <w:rsid w:val="003D3358"/>
    <w:rsid w:val="003D339F"/>
    <w:rsid w:val="003D37C3"/>
    <w:rsid w:val="003D38AA"/>
    <w:rsid w:val="003D3E6A"/>
    <w:rsid w:val="003D3EFE"/>
    <w:rsid w:val="003D3F42"/>
    <w:rsid w:val="003D413F"/>
    <w:rsid w:val="003D418A"/>
    <w:rsid w:val="003D43D9"/>
    <w:rsid w:val="003D43F5"/>
    <w:rsid w:val="003D4433"/>
    <w:rsid w:val="003D4A51"/>
    <w:rsid w:val="003D4F17"/>
    <w:rsid w:val="003D5241"/>
    <w:rsid w:val="003D550A"/>
    <w:rsid w:val="003D55F1"/>
    <w:rsid w:val="003D5658"/>
    <w:rsid w:val="003D5848"/>
    <w:rsid w:val="003D5871"/>
    <w:rsid w:val="003D588E"/>
    <w:rsid w:val="003D591B"/>
    <w:rsid w:val="003D5CBC"/>
    <w:rsid w:val="003D5DBF"/>
    <w:rsid w:val="003D5F33"/>
    <w:rsid w:val="003D610B"/>
    <w:rsid w:val="003D6738"/>
    <w:rsid w:val="003D69EF"/>
    <w:rsid w:val="003D6A40"/>
    <w:rsid w:val="003D6D1D"/>
    <w:rsid w:val="003D7257"/>
    <w:rsid w:val="003D759C"/>
    <w:rsid w:val="003D7877"/>
    <w:rsid w:val="003D7A55"/>
    <w:rsid w:val="003D7A6C"/>
    <w:rsid w:val="003D7B08"/>
    <w:rsid w:val="003D7CA3"/>
    <w:rsid w:val="003D7CA6"/>
    <w:rsid w:val="003D7E4F"/>
    <w:rsid w:val="003D7F97"/>
    <w:rsid w:val="003D7FA8"/>
    <w:rsid w:val="003E03B1"/>
    <w:rsid w:val="003E03E3"/>
    <w:rsid w:val="003E052A"/>
    <w:rsid w:val="003E070C"/>
    <w:rsid w:val="003E072E"/>
    <w:rsid w:val="003E0777"/>
    <w:rsid w:val="003E0AA0"/>
    <w:rsid w:val="003E0AE6"/>
    <w:rsid w:val="003E0D17"/>
    <w:rsid w:val="003E0EDB"/>
    <w:rsid w:val="003E1116"/>
    <w:rsid w:val="003E12C1"/>
    <w:rsid w:val="003E158F"/>
    <w:rsid w:val="003E19D8"/>
    <w:rsid w:val="003E1D52"/>
    <w:rsid w:val="003E20D8"/>
    <w:rsid w:val="003E2142"/>
    <w:rsid w:val="003E239B"/>
    <w:rsid w:val="003E23D3"/>
    <w:rsid w:val="003E2693"/>
    <w:rsid w:val="003E27F4"/>
    <w:rsid w:val="003E29A1"/>
    <w:rsid w:val="003E2C34"/>
    <w:rsid w:val="003E2C86"/>
    <w:rsid w:val="003E2EEF"/>
    <w:rsid w:val="003E30B7"/>
    <w:rsid w:val="003E3493"/>
    <w:rsid w:val="003E3C66"/>
    <w:rsid w:val="003E3FCC"/>
    <w:rsid w:val="003E41C7"/>
    <w:rsid w:val="003E42FB"/>
    <w:rsid w:val="003E451D"/>
    <w:rsid w:val="003E4AAB"/>
    <w:rsid w:val="003E5057"/>
    <w:rsid w:val="003E525A"/>
    <w:rsid w:val="003E552C"/>
    <w:rsid w:val="003E561B"/>
    <w:rsid w:val="003E5C65"/>
    <w:rsid w:val="003E5F50"/>
    <w:rsid w:val="003E5FEA"/>
    <w:rsid w:val="003E6196"/>
    <w:rsid w:val="003E61D3"/>
    <w:rsid w:val="003E6224"/>
    <w:rsid w:val="003E6227"/>
    <w:rsid w:val="003E6475"/>
    <w:rsid w:val="003E67DF"/>
    <w:rsid w:val="003E6848"/>
    <w:rsid w:val="003E686F"/>
    <w:rsid w:val="003E6B40"/>
    <w:rsid w:val="003E6D38"/>
    <w:rsid w:val="003E6F77"/>
    <w:rsid w:val="003E71E2"/>
    <w:rsid w:val="003E7329"/>
    <w:rsid w:val="003E749D"/>
    <w:rsid w:val="003E74DC"/>
    <w:rsid w:val="003E75C4"/>
    <w:rsid w:val="003E791B"/>
    <w:rsid w:val="003E7A35"/>
    <w:rsid w:val="003E7CAA"/>
    <w:rsid w:val="003E7CD0"/>
    <w:rsid w:val="003E7FCA"/>
    <w:rsid w:val="003E7FD2"/>
    <w:rsid w:val="003F01A4"/>
    <w:rsid w:val="003F05C6"/>
    <w:rsid w:val="003F0887"/>
    <w:rsid w:val="003F094F"/>
    <w:rsid w:val="003F0ABD"/>
    <w:rsid w:val="003F0B16"/>
    <w:rsid w:val="003F0BFD"/>
    <w:rsid w:val="003F0C3B"/>
    <w:rsid w:val="003F105A"/>
    <w:rsid w:val="003F10E1"/>
    <w:rsid w:val="003F120C"/>
    <w:rsid w:val="003F15D0"/>
    <w:rsid w:val="003F1806"/>
    <w:rsid w:val="003F187F"/>
    <w:rsid w:val="003F1CA3"/>
    <w:rsid w:val="003F1DD1"/>
    <w:rsid w:val="003F1EC5"/>
    <w:rsid w:val="003F1F74"/>
    <w:rsid w:val="003F2359"/>
    <w:rsid w:val="003F237D"/>
    <w:rsid w:val="003F261B"/>
    <w:rsid w:val="003F26FB"/>
    <w:rsid w:val="003F27D3"/>
    <w:rsid w:val="003F287C"/>
    <w:rsid w:val="003F2948"/>
    <w:rsid w:val="003F29D1"/>
    <w:rsid w:val="003F2B25"/>
    <w:rsid w:val="003F2CC6"/>
    <w:rsid w:val="003F2E1C"/>
    <w:rsid w:val="003F2F58"/>
    <w:rsid w:val="003F2F6D"/>
    <w:rsid w:val="003F3159"/>
    <w:rsid w:val="003F3501"/>
    <w:rsid w:val="003F39C6"/>
    <w:rsid w:val="003F3D44"/>
    <w:rsid w:val="003F3D7A"/>
    <w:rsid w:val="003F3DAC"/>
    <w:rsid w:val="003F4000"/>
    <w:rsid w:val="003F4519"/>
    <w:rsid w:val="003F4672"/>
    <w:rsid w:val="003F4968"/>
    <w:rsid w:val="003F4B7F"/>
    <w:rsid w:val="003F4E3B"/>
    <w:rsid w:val="003F4E3C"/>
    <w:rsid w:val="003F4EF0"/>
    <w:rsid w:val="003F5125"/>
    <w:rsid w:val="003F517E"/>
    <w:rsid w:val="003F553F"/>
    <w:rsid w:val="003F57E2"/>
    <w:rsid w:val="003F57E6"/>
    <w:rsid w:val="003F59CC"/>
    <w:rsid w:val="003F5ADB"/>
    <w:rsid w:val="003F6163"/>
    <w:rsid w:val="003F6199"/>
    <w:rsid w:val="003F61AA"/>
    <w:rsid w:val="003F6248"/>
    <w:rsid w:val="003F62A5"/>
    <w:rsid w:val="003F6F57"/>
    <w:rsid w:val="003F7146"/>
    <w:rsid w:val="003F74BE"/>
    <w:rsid w:val="003F76FA"/>
    <w:rsid w:val="003F77CC"/>
    <w:rsid w:val="003F7920"/>
    <w:rsid w:val="003F7B12"/>
    <w:rsid w:val="003F7BBA"/>
    <w:rsid w:val="003F7C4D"/>
    <w:rsid w:val="003F7C92"/>
    <w:rsid w:val="003F7CBA"/>
    <w:rsid w:val="00400145"/>
    <w:rsid w:val="004003F9"/>
    <w:rsid w:val="004010F6"/>
    <w:rsid w:val="004012DF"/>
    <w:rsid w:val="00401384"/>
    <w:rsid w:val="00401450"/>
    <w:rsid w:val="00401482"/>
    <w:rsid w:val="004014E3"/>
    <w:rsid w:val="004015DE"/>
    <w:rsid w:val="0040162A"/>
    <w:rsid w:val="00401769"/>
    <w:rsid w:val="00401A26"/>
    <w:rsid w:val="00401A61"/>
    <w:rsid w:val="00401A72"/>
    <w:rsid w:val="00401E62"/>
    <w:rsid w:val="00401E77"/>
    <w:rsid w:val="00401F14"/>
    <w:rsid w:val="00402471"/>
    <w:rsid w:val="00402556"/>
    <w:rsid w:val="0040278B"/>
    <w:rsid w:val="00402CD7"/>
    <w:rsid w:val="00402F30"/>
    <w:rsid w:val="004030FB"/>
    <w:rsid w:val="004033BF"/>
    <w:rsid w:val="004035A0"/>
    <w:rsid w:val="004036EA"/>
    <w:rsid w:val="00403718"/>
    <w:rsid w:val="0040397A"/>
    <w:rsid w:val="00403A91"/>
    <w:rsid w:val="00403C05"/>
    <w:rsid w:val="00403C99"/>
    <w:rsid w:val="00403D23"/>
    <w:rsid w:val="00403D7E"/>
    <w:rsid w:val="00403E2E"/>
    <w:rsid w:val="004042C3"/>
    <w:rsid w:val="0040437A"/>
    <w:rsid w:val="004044F2"/>
    <w:rsid w:val="004046B3"/>
    <w:rsid w:val="00404AF9"/>
    <w:rsid w:val="00404B7C"/>
    <w:rsid w:val="00404BEA"/>
    <w:rsid w:val="00404C3E"/>
    <w:rsid w:val="00404D00"/>
    <w:rsid w:val="00404EED"/>
    <w:rsid w:val="00405051"/>
    <w:rsid w:val="00405140"/>
    <w:rsid w:val="00405358"/>
    <w:rsid w:val="00405700"/>
    <w:rsid w:val="00405836"/>
    <w:rsid w:val="00405903"/>
    <w:rsid w:val="00405ABF"/>
    <w:rsid w:val="00405D44"/>
    <w:rsid w:val="0040607B"/>
    <w:rsid w:val="004062E2"/>
    <w:rsid w:val="0040651C"/>
    <w:rsid w:val="004067E0"/>
    <w:rsid w:val="00406984"/>
    <w:rsid w:val="00406A60"/>
    <w:rsid w:val="00406AAD"/>
    <w:rsid w:val="00406B6C"/>
    <w:rsid w:val="00406BD3"/>
    <w:rsid w:val="00406BE5"/>
    <w:rsid w:val="00406C55"/>
    <w:rsid w:val="00406D0B"/>
    <w:rsid w:val="00407222"/>
    <w:rsid w:val="004073DC"/>
    <w:rsid w:val="0040756A"/>
    <w:rsid w:val="00407836"/>
    <w:rsid w:val="004078C3"/>
    <w:rsid w:val="004078DE"/>
    <w:rsid w:val="00407B4F"/>
    <w:rsid w:val="00407FEE"/>
    <w:rsid w:val="0041008B"/>
    <w:rsid w:val="004102A5"/>
    <w:rsid w:val="00410541"/>
    <w:rsid w:val="004105D1"/>
    <w:rsid w:val="004108CF"/>
    <w:rsid w:val="00410A4E"/>
    <w:rsid w:val="00410C82"/>
    <w:rsid w:val="004112C2"/>
    <w:rsid w:val="0041193A"/>
    <w:rsid w:val="00411B05"/>
    <w:rsid w:val="00411C8F"/>
    <w:rsid w:val="00411D0E"/>
    <w:rsid w:val="00411E3E"/>
    <w:rsid w:val="00411F2D"/>
    <w:rsid w:val="004121D6"/>
    <w:rsid w:val="00412251"/>
    <w:rsid w:val="00412364"/>
    <w:rsid w:val="0041244A"/>
    <w:rsid w:val="00412547"/>
    <w:rsid w:val="0041271B"/>
    <w:rsid w:val="00412994"/>
    <w:rsid w:val="00412B2F"/>
    <w:rsid w:val="00412C38"/>
    <w:rsid w:val="00412C9C"/>
    <w:rsid w:val="0041312D"/>
    <w:rsid w:val="004131A0"/>
    <w:rsid w:val="004136D2"/>
    <w:rsid w:val="00413BC5"/>
    <w:rsid w:val="00413FE6"/>
    <w:rsid w:val="0041421F"/>
    <w:rsid w:val="00414257"/>
    <w:rsid w:val="004143C5"/>
    <w:rsid w:val="00414755"/>
    <w:rsid w:val="004147FD"/>
    <w:rsid w:val="00414877"/>
    <w:rsid w:val="0041498A"/>
    <w:rsid w:val="00414AC1"/>
    <w:rsid w:val="00414FDC"/>
    <w:rsid w:val="004152F7"/>
    <w:rsid w:val="0041535F"/>
    <w:rsid w:val="00415377"/>
    <w:rsid w:val="0041557C"/>
    <w:rsid w:val="00415743"/>
    <w:rsid w:val="00415936"/>
    <w:rsid w:val="00415E6C"/>
    <w:rsid w:val="00416171"/>
    <w:rsid w:val="004161A1"/>
    <w:rsid w:val="004161FA"/>
    <w:rsid w:val="00416479"/>
    <w:rsid w:val="004164DD"/>
    <w:rsid w:val="00416646"/>
    <w:rsid w:val="00416782"/>
    <w:rsid w:val="0041685C"/>
    <w:rsid w:val="00416C31"/>
    <w:rsid w:val="00416CDB"/>
    <w:rsid w:val="00416EC9"/>
    <w:rsid w:val="00416EF0"/>
    <w:rsid w:val="00417264"/>
    <w:rsid w:val="00417381"/>
    <w:rsid w:val="00417927"/>
    <w:rsid w:val="00417A34"/>
    <w:rsid w:val="00417B34"/>
    <w:rsid w:val="00417C95"/>
    <w:rsid w:val="00417D53"/>
    <w:rsid w:val="00417E7D"/>
    <w:rsid w:val="0042041D"/>
    <w:rsid w:val="00420540"/>
    <w:rsid w:val="004205A5"/>
    <w:rsid w:val="0042061A"/>
    <w:rsid w:val="00420AB1"/>
    <w:rsid w:val="00420BEA"/>
    <w:rsid w:val="00421003"/>
    <w:rsid w:val="0042142E"/>
    <w:rsid w:val="00421450"/>
    <w:rsid w:val="00421532"/>
    <w:rsid w:val="00421B07"/>
    <w:rsid w:val="00421B1E"/>
    <w:rsid w:val="00421B77"/>
    <w:rsid w:val="00421DD9"/>
    <w:rsid w:val="004226AD"/>
    <w:rsid w:val="004227B0"/>
    <w:rsid w:val="004227BF"/>
    <w:rsid w:val="00422811"/>
    <w:rsid w:val="004228CB"/>
    <w:rsid w:val="004229A2"/>
    <w:rsid w:val="004229D9"/>
    <w:rsid w:val="00422AA2"/>
    <w:rsid w:val="00422B67"/>
    <w:rsid w:val="00422BD9"/>
    <w:rsid w:val="00422F23"/>
    <w:rsid w:val="00422F50"/>
    <w:rsid w:val="004230DC"/>
    <w:rsid w:val="00423262"/>
    <w:rsid w:val="004235CC"/>
    <w:rsid w:val="00423747"/>
    <w:rsid w:val="004237FD"/>
    <w:rsid w:val="00423A65"/>
    <w:rsid w:val="00423BF8"/>
    <w:rsid w:val="00423F3A"/>
    <w:rsid w:val="004243D3"/>
    <w:rsid w:val="0042443B"/>
    <w:rsid w:val="00424667"/>
    <w:rsid w:val="00424D75"/>
    <w:rsid w:val="00425029"/>
    <w:rsid w:val="00425519"/>
    <w:rsid w:val="004255BA"/>
    <w:rsid w:val="00425627"/>
    <w:rsid w:val="00425B0D"/>
    <w:rsid w:val="00425D0A"/>
    <w:rsid w:val="00425FF7"/>
    <w:rsid w:val="00426090"/>
    <w:rsid w:val="0042616B"/>
    <w:rsid w:val="00426620"/>
    <w:rsid w:val="004266BF"/>
    <w:rsid w:val="00426C29"/>
    <w:rsid w:val="00426CD0"/>
    <w:rsid w:val="00426CF2"/>
    <w:rsid w:val="00426CF5"/>
    <w:rsid w:val="00426DB6"/>
    <w:rsid w:val="00426ECB"/>
    <w:rsid w:val="004270C3"/>
    <w:rsid w:val="00427392"/>
    <w:rsid w:val="004273AD"/>
    <w:rsid w:val="0042778E"/>
    <w:rsid w:val="00427E55"/>
    <w:rsid w:val="00430226"/>
    <w:rsid w:val="00430417"/>
    <w:rsid w:val="00430587"/>
    <w:rsid w:val="004309BA"/>
    <w:rsid w:val="00430EAF"/>
    <w:rsid w:val="00430EB0"/>
    <w:rsid w:val="00431093"/>
    <w:rsid w:val="00431186"/>
    <w:rsid w:val="004312AE"/>
    <w:rsid w:val="004314E4"/>
    <w:rsid w:val="00431510"/>
    <w:rsid w:val="00431549"/>
    <w:rsid w:val="0043172E"/>
    <w:rsid w:val="00431875"/>
    <w:rsid w:val="00431AB8"/>
    <w:rsid w:val="00431E33"/>
    <w:rsid w:val="004325E2"/>
    <w:rsid w:val="00432749"/>
    <w:rsid w:val="00432CD2"/>
    <w:rsid w:val="00432D7D"/>
    <w:rsid w:val="00432F7D"/>
    <w:rsid w:val="00433653"/>
    <w:rsid w:val="00433689"/>
    <w:rsid w:val="00433804"/>
    <w:rsid w:val="00434676"/>
    <w:rsid w:val="00434DE8"/>
    <w:rsid w:val="00434E5D"/>
    <w:rsid w:val="004351A7"/>
    <w:rsid w:val="004354AD"/>
    <w:rsid w:val="00435532"/>
    <w:rsid w:val="00435896"/>
    <w:rsid w:val="00435A32"/>
    <w:rsid w:val="00435A41"/>
    <w:rsid w:val="00435C06"/>
    <w:rsid w:val="00435E93"/>
    <w:rsid w:val="00435EFE"/>
    <w:rsid w:val="00435FB7"/>
    <w:rsid w:val="00436192"/>
    <w:rsid w:val="004362D8"/>
    <w:rsid w:val="00436456"/>
    <w:rsid w:val="0043699C"/>
    <w:rsid w:val="00436A01"/>
    <w:rsid w:val="00436BE0"/>
    <w:rsid w:val="00436C31"/>
    <w:rsid w:val="0043710F"/>
    <w:rsid w:val="00437435"/>
    <w:rsid w:val="00437A8E"/>
    <w:rsid w:val="00437ADC"/>
    <w:rsid w:val="00437BB5"/>
    <w:rsid w:val="00437BF7"/>
    <w:rsid w:val="00437DA7"/>
    <w:rsid w:val="00437FD4"/>
    <w:rsid w:val="004405FA"/>
    <w:rsid w:val="004406ED"/>
    <w:rsid w:val="00440846"/>
    <w:rsid w:val="0044088E"/>
    <w:rsid w:val="00440B89"/>
    <w:rsid w:val="0044111E"/>
    <w:rsid w:val="0044115E"/>
    <w:rsid w:val="00441252"/>
    <w:rsid w:val="0044167B"/>
    <w:rsid w:val="004416CD"/>
    <w:rsid w:val="00441962"/>
    <w:rsid w:val="004419C4"/>
    <w:rsid w:val="00441A09"/>
    <w:rsid w:val="00441F04"/>
    <w:rsid w:val="004421FA"/>
    <w:rsid w:val="00442745"/>
    <w:rsid w:val="0044280A"/>
    <w:rsid w:val="00442A7E"/>
    <w:rsid w:val="00442AB0"/>
    <w:rsid w:val="00442E92"/>
    <w:rsid w:val="00442EFB"/>
    <w:rsid w:val="00442F37"/>
    <w:rsid w:val="00443116"/>
    <w:rsid w:val="0044350B"/>
    <w:rsid w:val="00443831"/>
    <w:rsid w:val="00443896"/>
    <w:rsid w:val="00443CA8"/>
    <w:rsid w:val="00443EA6"/>
    <w:rsid w:val="00444092"/>
    <w:rsid w:val="00444124"/>
    <w:rsid w:val="00444159"/>
    <w:rsid w:val="004447EC"/>
    <w:rsid w:val="0044492A"/>
    <w:rsid w:val="004449EA"/>
    <w:rsid w:val="00444A05"/>
    <w:rsid w:val="00444B7E"/>
    <w:rsid w:val="00444BF7"/>
    <w:rsid w:val="00444CBA"/>
    <w:rsid w:val="00444D28"/>
    <w:rsid w:val="00444EDC"/>
    <w:rsid w:val="00445111"/>
    <w:rsid w:val="0044511D"/>
    <w:rsid w:val="00445219"/>
    <w:rsid w:val="00445368"/>
    <w:rsid w:val="00445782"/>
    <w:rsid w:val="004457EA"/>
    <w:rsid w:val="00445B20"/>
    <w:rsid w:val="00445C56"/>
    <w:rsid w:val="00445C71"/>
    <w:rsid w:val="00446053"/>
    <w:rsid w:val="0044609E"/>
    <w:rsid w:val="004460E4"/>
    <w:rsid w:val="00446317"/>
    <w:rsid w:val="00446551"/>
    <w:rsid w:val="004465BA"/>
    <w:rsid w:val="00446823"/>
    <w:rsid w:val="004468BA"/>
    <w:rsid w:val="00446E27"/>
    <w:rsid w:val="00446E3A"/>
    <w:rsid w:val="00446E62"/>
    <w:rsid w:val="00447347"/>
    <w:rsid w:val="004474BF"/>
    <w:rsid w:val="00447AF8"/>
    <w:rsid w:val="00447BE6"/>
    <w:rsid w:val="00447F2E"/>
    <w:rsid w:val="00450201"/>
    <w:rsid w:val="00450388"/>
    <w:rsid w:val="0045039D"/>
    <w:rsid w:val="004504BA"/>
    <w:rsid w:val="004509E4"/>
    <w:rsid w:val="00450C43"/>
    <w:rsid w:val="004510B2"/>
    <w:rsid w:val="004511A7"/>
    <w:rsid w:val="004511B4"/>
    <w:rsid w:val="004513AA"/>
    <w:rsid w:val="00451613"/>
    <w:rsid w:val="00451844"/>
    <w:rsid w:val="00452047"/>
    <w:rsid w:val="00452319"/>
    <w:rsid w:val="00452402"/>
    <w:rsid w:val="004525B1"/>
    <w:rsid w:val="0045263A"/>
    <w:rsid w:val="00452AAF"/>
    <w:rsid w:val="00452C26"/>
    <w:rsid w:val="00452E8F"/>
    <w:rsid w:val="0045313B"/>
    <w:rsid w:val="004535F4"/>
    <w:rsid w:val="00453670"/>
    <w:rsid w:val="00453710"/>
    <w:rsid w:val="0045389C"/>
    <w:rsid w:val="00453BAE"/>
    <w:rsid w:val="00453D59"/>
    <w:rsid w:val="00454036"/>
    <w:rsid w:val="004540F3"/>
    <w:rsid w:val="004541AB"/>
    <w:rsid w:val="004542E3"/>
    <w:rsid w:val="004546DA"/>
    <w:rsid w:val="004548E9"/>
    <w:rsid w:val="00454945"/>
    <w:rsid w:val="00454A64"/>
    <w:rsid w:val="00454B83"/>
    <w:rsid w:val="00454C42"/>
    <w:rsid w:val="00455031"/>
    <w:rsid w:val="0045534B"/>
    <w:rsid w:val="00455377"/>
    <w:rsid w:val="004553FA"/>
    <w:rsid w:val="0045564D"/>
    <w:rsid w:val="004556A5"/>
    <w:rsid w:val="00455EBB"/>
    <w:rsid w:val="00456062"/>
    <w:rsid w:val="004561F9"/>
    <w:rsid w:val="0045621F"/>
    <w:rsid w:val="00456242"/>
    <w:rsid w:val="004567C1"/>
    <w:rsid w:val="00456B2C"/>
    <w:rsid w:val="00456BBE"/>
    <w:rsid w:val="00456BD3"/>
    <w:rsid w:val="00456C55"/>
    <w:rsid w:val="00456EE1"/>
    <w:rsid w:val="00456F4B"/>
    <w:rsid w:val="00456F9D"/>
    <w:rsid w:val="00457246"/>
    <w:rsid w:val="0045732C"/>
    <w:rsid w:val="0045752E"/>
    <w:rsid w:val="0045754A"/>
    <w:rsid w:val="00457732"/>
    <w:rsid w:val="00457772"/>
    <w:rsid w:val="00457871"/>
    <w:rsid w:val="00457F12"/>
    <w:rsid w:val="00460119"/>
    <w:rsid w:val="004601DF"/>
    <w:rsid w:val="004602CC"/>
    <w:rsid w:val="00460312"/>
    <w:rsid w:val="00460494"/>
    <w:rsid w:val="0046053A"/>
    <w:rsid w:val="0046089D"/>
    <w:rsid w:val="00460B6A"/>
    <w:rsid w:val="00460BCD"/>
    <w:rsid w:val="00460DDB"/>
    <w:rsid w:val="004612DC"/>
    <w:rsid w:val="004613ED"/>
    <w:rsid w:val="00461450"/>
    <w:rsid w:val="00461663"/>
    <w:rsid w:val="00461873"/>
    <w:rsid w:val="004619BB"/>
    <w:rsid w:val="00461C0E"/>
    <w:rsid w:val="00461D6D"/>
    <w:rsid w:val="00461F8F"/>
    <w:rsid w:val="0046256E"/>
    <w:rsid w:val="0046263B"/>
    <w:rsid w:val="004626E2"/>
    <w:rsid w:val="00462C15"/>
    <w:rsid w:val="00462F91"/>
    <w:rsid w:val="004631B9"/>
    <w:rsid w:val="004634B8"/>
    <w:rsid w:val="00463A9B"/>
    <w:rsid w:val="00463CA5"/>
    <w:rsid w:val="00463D4D"/>
    <w:rsid w:val="0046411E"/>
    <w:rsid w:val="004641B4"/>
    <w:rsid w:val="004643CB"/>
    <w:rsid w:val="00464AC1"/>
    <w:rsid w:val="00464FBA"/>
    <w:rsid w:val="00465228"/>
    <w:rsid w:val="0046522E"/>
    <w:rsid w:val="0046527B"/>
    <w:rsid w:val="004652FB"/>
    <w:rsid w:val="0046537B"/>
    <w:rsid w:val="004654AB"/>
    <w:rsid w:val="00465601"/>
    <w:rsid w:val="0046566F"/>
    <w:rsid w:val="004656E5"/>
    <w:rsid w:val="00465781"/>
    <w:rsid w:val="00465879"/>
    <w:rsid w:val="004659B7"/>
    <w:rsid w:val="004659E9"/>
    <w:rsid w:val="00465A65"/>
    <w:rsid w:val="00465A7A"/>
    <w:rsid w:val="00465AF8"/>
    <w:rsid w:val="00465D3F"/>
    <w:rsid w:val="00465E61"/>
    <w:rsid w:val="00465EE1"/>
    <w:rsid w:val="00465F3B"/>
    <w:rsid w:val="00465FF1"/>
    <w:rsid w:val="0046600B"/>
    <w:rsid w:val="0046619E"/>
    <w:rsid w:val="0046621E"/>
    <w:rsid w:val="004666D3"/>
    <w:rsid w:val="00466AC6"/>
    <w:rsid w:val="00466B67"/>
    <w:rsid w:val="00466DD1"/>
    <w:rsid w:val="00466E90"/>
    <w:rsid w:val="00466F46"/>
    <w:rsid w:val="004670B0"/>
    <w:rsid w:val="00467133"/>
    <w:rsid w:val="004673CA"/>
    <w:rsid w:val="004679C0"/>
    <w:rsid w:val="004679CA"/>
    <w:rsid w:val="00467F2D"/>
    <w:rsid w:val="00470080"/>
    <w:rsid w:val="0047035A"/>
    <w:rsid w:val="004708F8"/>
    <w:rsid w:val="00470B33"/>
    <w:rsid w:val="00470D94"/>
    <w:rsid w:val="00471125"/>
    <w:rsid w:val="00471197"/>
    <w:rsid w:val="00471693"/>
    <w:rsid w:val="0047186C"/>
    <w:rsid w:val="00471A7D"/>
    <w:rsid w:val="00471CDD"/>
    <w:rsid w:val="00471D75"/>
    <w:rsid w:val="00471E8F"/>
    <w:rsid w:val="00471F4E"/>
    <w:rsid w:val="00471FAB"/>
    <w:rsid w:val="00472074"/>
    <w:rsid w:val="004720DE"/>
    <w:rsid w:val="00472378"/>
    <w:rsid w:val="00472550"/>
    <w:rsid w:val="0047257B"/>
    <w:rsid w:val="00472884"/>
    <w:rsid w:val="004728FA"/>
    <w:rsid w:val="00472902"/>
    <w:rsid w:val="00472D4D"/>
    <w:rsid w:val="00472E0B"/>
    <w:rsid w:val="00472FC4"/>
    <w:rsid w:val="0047311E"/>
    <w:rsid w:val="00473128"/>
    <w:rsid w:val="004732DE"/>
    <w:rsid w:val="00473676"/>
    <w:rsid w:val="00473746"/>
    <w:rsid w:val="00473839"/>
    <w:rsid w:val="004739EA"/>
    <w:rsid w:val="004739EF"/>
    <w:rsid w:val="00473B6F"/>
    <w:rsid w:val="00473F48"/>
    <w:rsid w:val="0047409B"/>
    <w:rsid w:val="004745DB"/>
    <w:rsid w:val="004747E0"/>
    <w:rsid w:val="00474C91"/>
    <w:rsid w:val="00474D7F"/>
    <w:rsid w:val="00474D92"/>
    <w:rsid w:val="00474FA6"/>
    <w:rsid w:val="0047539D"/>
    <w:rsid w:val="00475559"/>
    <w:rsid w:val="004755FA"/>
    <w:rsid w:val="00475B12"/>
    <w:rsid w:val="00475BBF"/>
    <w:rsid w:val="00475BF6"/>
    <w:rsid w:val="00475E80"/>
    <w:rsid w:val="00475EAE"/>
    <w:rsid w:val="00475FA1"/>
    <w:rsid w:val="0047639C"/>
    <w:rsid w:val="004765DA"/>
    <w:rsid w:val="00476639"/>
    <w:rsid w:val="0047682E"/>
    <w:rsid w:val="00476993"/>
    <w:rsid w:val="00476A52"/>
    <w:rsid w:val="00476B3B"/>
    <w:rsid w:val="00476CBB"/>
    <w:rsid w:val="00476DD5"/>
    <w:rsid w:val="00476E0A"/>
    <w:rsid w:val="00476EA9"/>
    <w:rsid w:val="0047700B"/>
    <w:rsid w:val="00477127"/>
    <w:rsid w:val="0047719E"/>
    <w:rsid w:val="004775E7"/>
    <w:rsid w:val="00477874"/>
    <w:rsid w:val="004800B3"/>
    <w:rsid w:val="004803F1"/>
    <w:rsid w:val="00480604"/>
    <w:rsid w:val="0048065C"/>
    <w:rsid w:val="00480662"/>
    <w:rsid w:val="004806DB"/>
    <w:rsid w:val="0048077B"/>
    <w:rsid w:val="00480896"/>
    <w:rsid w:val="00480FAD"/>
    <w:rsid w:val="004810D7"/>
    <w:rsid w:val="00481155"/>
    <w:rsid w:val="00481170"/>
    <w:rsid w:val="00481321"/>
    <w:rsid w:val="00481549"/>
    <w:rsid w:val="00481797"/>
    <w:rsid w:val="004818E2"/>
    <w:rsid w:val="00481BE8"/>
    <w:rsid w:val="00481C34"/>
    <w:rsid w:val="00481E38"/>
    <w:rsid w:val="00481F30"/>
    <w:rsid w:val="00481FF7"/>
    <w:rsid w:val="0048221A"/>
    <w:rsid w:val="004823B4"/>
    <w:rsid w:val="00482533"/>
    <w:rsid w:val="00482634"/>
    <w:rsid w:val="004826E6"/>
    <w:rsid w:val="004827EB"/>
    <w:rsid w:val="00482E25"/>
    <w:rsid w:val="004830A2"/>
    <w:rsid w:val="004832C6"/>
    <w:rsid w:val="00483409"/>
    <w:rsid w:val="0048386B"/>
    <w:rsid w:val="00483AF4"/>
    <w:rsid w:val="0048406B"/>
    <w:rsid w:val="0048407B"/>
    <w:rsid w:val="0048421F"/>
    <w:rsid w:val="004843CF"/>
    <w:rsid w:val="004846E1"/>
    <w:rsid w:val="00484709"/>
    <w:rsid w:val="0048478C"/>
    <w:rsid w:val="00484814"/>
    <w:rsid w:val="00484BCA"/>
    <w:rsid w:val="00484D3D"/>
    <w:rsid w:val="00484F43"/>
    <w:rsid w:val="0048505F"/>
    <w:rsid w:val="00485270"/>
    <w:rsid w:val="00485671"/>
    <w:rsid w:val="00485957"/>
    <w:rsid w:val="00485B11"/>
    <w:rsid w:val="00485D05"/>
    <w:rsid w:val="0048631F"/>
    <w:rsid w:val="004863D6"/>
    <w:rsid w:val="0048676F"/>
    <w:rsid w:val="00486D2B"/>
    <w:rsid w:val="00486F4B"/>
    <w:rsid w:val="00487308"/>
    <w:rsid w:val="0048761C"/>
    <w:rsid w:val="00487723"/>
    <w:rsid w:val="004878A2"/>
    <w:rsid w:val="00487A39"/>
    <w:rsid w:val="00487A3C"/>
    <w:rsid w:val="00487B8C"/>
    <w:rsid w:val="00487C47"/>
    <w:rsid w:val="00487FEB"/>
    <w:rsid w:val="00490175"/>
    <w:rsid w:val="00490467"/>
    <w:rsid w:val="004908B7"/>
    <w:rsid w:val="00490A71"/>
    <w:rsid w:val="00490B0C"/>
    <w:rsid w:val="0049110F"/>
    <w:rsid w:val="00491180"/>
    <w:rsid w:val="004911AE"/>
    <w:rsid w:val="004911BA"/>
    <w:rsid w:val="00491250"/>
    <w:rsid w:val="0049127F"/>
    <w:rsid w:val="0049147B"/>
    <w:rsid w:val="0049162A"/>
    <w:rsid w:val="00491663"/>
    <w:rsid w:val="00491836"/>
    <w:rsid w:val="004918CF"/>
    <w:rsid w:val="004919DD"/>
    <w:rsid w:val="00491B57"/>
    <w:rsid w:val="00491C61"/>
    <w:rsid w:val="00491F6F"/>
    <w:rsid w:val="00492225"/>
    <w:rsid w:val="0049223C"/>
    <w:rsid w:val="0049242C"/>
    <w:rsid w:val="00492827"/>
    <w:rsid w:val="0049285D"/>
    <w:rsid w:val="00492DE0"/>
    <w:rsid w:val="00493156"/>
    <w:rsid w:val="00493191"/>
    <w:rsid w:val="0049320F"/>
    <w:rsid w:val="004935EF"/>
    <w:rsid w:val="00493691"/>
    <w:rsid w:val="00493BB7"/>
    <w:rsid w:val="00493E2D"/>
    <w:rsid w:val="004943A5"/>
    <w:rsid w:val="004948D6"/>
    <w:rsid w:val="00494B1A"/>
    <w:rsid w:val="00494C3D"/>
    <w:rsid w:val="00494F7C"/>
    <w:rsid w:val="00495248"/>
    <w:rsid w:val="0049552A"/>
    <w:rsid w:val="004955C4"/>
    <w:rsid w:val="00495906"/>
    <w:rsid w:val="004959C7"/>
    <w:rsid w:val="00495DCC"/>
    <w:rsid w:val="004960C4"/>
    <w:rsid w:val="004960C9"/>
    <w:rsid w:val="004964FF"/>
    <w:rsid w:val="004968DF"/>
    <w:rsid w:val="00496C45"/>
    <w:rsid w:val="0049728A"/>
    <w:rsid w:val="00497BF8"/>
    <w:rsid w:val="00497EC5"/>
    <w:rsid w:val="004A00B7"/>
    <w:rsid w:val="004A04F8"/>
    <w:rsid w:val="004A0953"/>
    <w:rsid w:val="004A09BB"/>
    <w:rsid w:val="004A09C1"/>
    <w:rsid w:val="004A0C6D"/>
    <w:rsid w:val="004A0C83"/>
    <w:rsid w:val="004A0E14"/>
    <w:rsid w:val="004A1A5F"/>
    <w:rsid w:val="004A1AB5"/>
    <w:rsid w:val="004A20CC"/>
    <w:rsid w:val="004A2189"/>
    <w:rsid w:val="004A21AB"/>
    <w:rsid w:val="004A24DC"/>
    <w:rsid w:val="004A24F7"/>
    <w:rsid w:val="004A294A"/>
    <w:rsid w:val="004A2DAA"/>
    <w:rsid w:val="004A2DF5"/>
    <w:rsid w:val="004A2DFA"/>
    <w:rsid w:val="004A3824"/>
    <w:rsid w:val="004A3912"/>
    <w:rsid w:val="004A3F4F"/>
    <w:rsid w:val="004A436A"/>
    <w:rsid w:val="004A4725"/>
    <w:rsid w:val="004A47C4"/>
    <w:rsid w:val="004A4988"/>
    <w:rsid w:val="004A49BB"/>
    <w:rsid w:val="004A4AC5"/>
    <w:rsid w:val="004A4BB5"/>
    <w:rsid w:val="004A4E5A"/>
    <w:rsid w:val="004A4EF3"/>
    <w:rsid w:val="004A4F32"/>
    <w:rsid w:val="004A56AB"/>
    <w:rsid w:val="004A5746"/>
    <w:rsid w:val="004A5823"/>
    <w:rsid w:val="004A5ADF"/>
    <w:rsid w:val="004A5E60"/>
    <w:rsid w:val="004A5EF6"/>
    <w:rsid w:val="004A60BE"/>
    <w:rsid w:val="004A61A4"/>
    <w:rsid w:val="004A637C"/>
    <w:rsid w:val="004A64AA"/>
    <w:rsid w:val="004A6524"/>
    <w:rsid w:val="004A652E"/>
    <w:rsid w:val="004A657A"/>
    <w:rsid w:val="004A67AC"/>
    <w:rsid w:val="004A68E1"/>
    <w:rsid w:val="004A6A73"/>
    <w:rsid w:val="004A6B1C"/>
    <w:rsid w:val="004A6C4D"/>
    <w:rsid w:val="004A6D27"/>
    <w:rsid w:val="004A6F36"/>
    <w:rsid w:val="004A706D"/>
    <w:rsid w:val="004A751A"/>
    <w:rsid w:val="004A76B1"/>
    <w:rsid w:val="004A7C61"/>
    <w:rsid w:val="004A7CA8"/>
    <w:rsid w:val="004A7CB5"/>
    <w:rsid w:val="004A7E37"/>
    <w:rsid w:val="004A7E3F"/>
    <w:rsid w:val="004B010F"/>
    <w:rsid w:val="004B078F"/>
    <w:rsid w:val="004B0FD3"/>
    <w:rsid w:val="004B115C"/>
    <w:rsid w:val="004B11D4"/>
    <w:rsid w:val="004B162F"/>
    <w:rsid w:val="004B1787"/>
    <w:rsid w:val="004B19F8"/>
    <w:rsid w:val="004B2097"/>
    <w:rsid w:val="004B256A"/>
    <w:rsid w:val="004B2681"/>
    <w:rsid w:val="004B27E1"/>
    <w:rsid w:val="004B2A14"/>
    <w:rsid w:val="004B2AB0"/>
    <w:rsid w:val="004B2BB4"/>
    <w:rsid w:val="004B2CA8"/>
    <w:rsid w:val="004B2D11"/>
    <w:rsid w:val="004B30A5"/>
    <w:rsid w:val="004B3375"/>
    <w:rsid w:val="004B35B2"/>
    <w:rsid w:val="004B397C"/>
    <w:rsid w:val="004B39CA"/>
    <w:rsid w:val="004B3B7D"/>
    <w:rsid w:val="004B3B9D"/>
    <w:rsid w:val="004B3C00"/>
    <w:rsid w:val="004B3C0D"/>
    <w:rsid w:val="004B3F13"/>
    <w:rsid w:val="004B3F61"/>
    <w:rsid w:val="004B3FFE"/>
    <w:rsid w:val="004B4469"/>
    <w:rsid w:val="004B448A"/>
    <w:rsid w:val="004B4532"/>
    <w:rsid w:val="004B49F9"/>
    <w:rsid w:val="004B4F40"/>
    <w:rsid w:val="004B4F43"/>
    <w:rsid w:val="004B50F1"/>
    <w:rsid w:val="004B53B3"/>
    <w:rsid w:val="004B5BA7"/>
    <w:rsid w:val="004B5EF5"/>
    <w:rsid w:val="004B5FE9"/>
    <w:rsid w:val="004B61E5"/>
    <w:rsid w:val="004B63E7"/>
    <w:rsid w:val="004B66A6"/>
    <w:rsid w:val="004B69F4"/>
    <w:rsid w:val="004B6AA3"/>
    <w:rsid w:val="004B6E4F"/>
    <w:rsid w:val="004B7423"/>
    <w:rsid w:val="004B74D5"/>
    <w:rsid w:val="004B75DE"/>
    <w:rsid w:val="004B76FB"/>
    <w:rsid w:val="004B7714"/>
    <w:rsid w:val="004B788A"/>
    <w:rsid w:val="004B7964"/>
    <w:rsid w:val="004B7B5B"/>
    <w:rsid w:val="004B7B88"/>
    <w:rsid w:val="004B7C48"/>
    <w:rsid w:val="004B7CC0"/>
    <w:rsid w:val="004B7D80"/>
    <w:rsid w:val="004B7FFE"/>
    <w:rsid w:val="004C000E"/>
    <w:rsid w:val="004C01EB"/>
    <w:rsid w:val="004C0241"/>
    <w:rsid w:val="004C0243"/>
    <w:rsid w:val="004C0249"/>
    <w:rsid w:val="004C0339"/>
    <w:rsid w:val="004C063A"/>
    <w:rsid w:val="004C0777"/>
    <w:rsid w:val="004C09D8"/>
    <w:rsid w:val="004C0BE8"/>
    <w:rsid w:val="004C0D66"/>
    <w:rsid w:val="004C0DF5"/>
    <w:rsid w:val="004C0F35"/>
    <w:rsid w:val="004C10A9"/>
    <w:rsid w:val="004C1491"/>
    <w:rsid w:val="004C1591"/>
    <w:rsid w:val="004C15B9"/>
    <w:rsid w:val="004C16CF"/>
    <w:rsid w:val="004C171D"/>
    <w:rsid w:val="004C1B45"/>
    <w:rsid w:val="004C1D0C"/>
    <w:rsid w:val="004C23EA"/>
    <w:rsid w:val="004C2595"/>
    <w:rsid w:val="004C283B"/>
    <w:rsid w:val="004C2A1F"/>
    <w:rsid w:val="004C2B20"/>
    <w:rsid w:val="004C2B71"/>
    <w:rsid w:val="004C2BF4"/>
    <w:rsid w:val="004C2EA0"/>
    <w:rsid w:val="004C2F10"/>
    <w:rsid w:val="004C2F85"/>
    <w:rsid w:val="004C2FF3"/>
    <w:rsid w:val="004C3204"/>
    <w:rsid w:val="004C32CC"/>
    <w:rsid w:val="004C3413"/>
    <w:rsid w:val="004C37A2"/>
    <w:rsid w:val="004C37B3"/>
    <w:rsid w:val="004C3B63"/>
    <w:rsid w:val="004C3D45"/>
    <w:rsid w:val="004C4185"/>
    <w:rsid w:val="004C421B"/>
    <w:rsid w:val="004C42A0"/>
    <w:rsid w:val="004C445C"/>
    <w:rsid w:val="004C466B"/>
    <w:rsid w:val="004C478A"/>
    <w:rsid w:val="004C4A7D"/>
    <w:rsid w:val="004C4B38"/>
    <w:rsid w:val="004C4B47"/>
    <w:rsid w:val="004C4D5F"/>
    <w:rsid w:val="004C4EDC"/>
    <w:rsid w:val="004C505D"/>
    <w:rsid w:val="004C542A"/>
    <w:rsid w:val="004C559B"/>
    <w:rsid w:val="004C5991"/>
    <w:rsid w:val="004C5D13"/>
    <w:rsid w:val="004C5DE3"/>
    <w:rsid w:val="004C5F62"/>
    <w:rsid w:val="004C6693"/>
    <w:rsid w:val="004C6990"/>
    <w:rsid w:val="004C6BE8"/>
    <w:rsid w:val="004C6CC6"/>
    <w:rsid w:val="004C70E3"/>
    <w:rsid w:val="004C71E0"/>
    <w:rsid w:val="004C7557"/>
    <w:rsid w:val="004C769E"/>
    <w:rsid w:val="004C7920"/>
    <w:rsid w:val="004C7978"/>
    <w:rsid w:val="004C7A6F"/>
    <w:rsid w:val="004C7BDC"/>
    <w:rsid w:val="004C7D75"/>
    <w:rsid w:val="004C7E76"/>
    <w:rsid w:val="004C7FB5"/>
    <w:rsid w:val="004D0264"/>
    <w:rsid w:val="004D0484"/>
    <w:rsid w:val="004D087A"/>
    <w:rsid w:val="004D0888"/>
    <w:rsid w:val="004D08F0"/>
    <w:rsid w:val="004D0AE3"/>
    <w:rsid w:val="004D0D70"/>
    <w:rsid w:val="004D0DCC"/>
    <w:rsid w:val="004D0FBF"/>
    <w:rsid w:val="004D1006"/>
    <w:rsid w:val="004D1228"/>
    <w:rsid w:val="004D12C1"/>
    <w:rsid w:val="004D13EF"/>
    <w:rsid w:val="004D173A"/>
    <w:rsid w:val="004D177A"/>
    <w:rsid w:val="004D180A"/>
    <w:rsid w:val="004D1867"/>
    <w:rsid w:val="004D1901"/>
    <w:rsid w:val="004D1B15"/>
    <w:rsid w:val="004D20F7"/>
    <w:rsid w:val="004D212D"/>
    <w:rsid w:val="004D2146"/>
    <w:rsid w:val="004D21DB"/>
    <w:rsid w:val="004D223E"/>
    <w:rsid w:val="004D241D"/>
    <w:rsid w:val="004D2594"/>
    <w:rsid w:val="004D2641"/>
    <w:rsid w:val="004D2774"/>
    <w:rsid w:val="004D2893"/>
    <w:rsid w:val="004D2A50"/>
    <w:rsid w:val="004D2E3E"/>
    <w:rsid w:val="004D33EE"/>
    <w:rsid w:val="004D36F6"/>
    <w:rsid w:val="004D3890"/>
    <w:rsid w:val="004D395F"/>
    <w:rsid w:val="004D39D5"/>
    <w:rsid w:val="004D3ED8"/>
    <w:rsid w:val="004D4027"/>
    <w:rsid w:val="004D42CB"/>
    <w:rsid w:val="004D4367"/>
    <w:rsid w:val="004D4487"/>
    <w:rsid w:val="004D45DF"/>
    <w:rsid w:val="004D480F"/>
    <w:rsid w:val="004D4D36"/>
    <w:rsid w:val="004D4DD2"/>
    <w:rsid w:val="004D4E0F"/>
    <w:rsid w:val="004D5085"/>
    <w:rsid w:val="004D50D1"/>
    <w:rsid w:val="004D52BF"/>
    <w:rsid w:val="004D543A"/>
    <w:rsid w:val="004D5466"/>
    <w:rsid w:val="004D5479"/>
    <w:rsid w:val="004D55D8"/>
    <w:rsid w:val="004D57EF"/>
    <w:rsid w:val="004D59C1"/>
    <w:rsid w:val="004D5FD0"/>
    <w:rsid w:val="004D6052"/>
    <w:rsid w:val="004D6061"/>
    <w:rsid w:val="004D60CB"/>
    <w:rsid w:val="004D6166"/>
    <w:rsid w:val="004D6172"/>
    <w:rsid w:val="004D6201"/>
    <w:rsid w:val="004D6533"/>
    <w:rsid w:val="004D6593"/>
    <w:rsid w:val="004D68FA"/>
    <w:rsid w:val="004D6BB8"/>
    <w:rsid w:val="004D6BD1"/>
    <w:rsid w:val="004D709D"/>
    <w:rsid w:val="004D711F"/>
    <w:rsid w:val="004D7593"/>
    <w:rsid w:val="004D790A"/>
    <w:rsid w:val="004D7B3C"/>
    <w:rsid w:val="004D7C4F"/>
    <w:rsid w:val="004D7E2B"/>
    <w:rsid w:val="004D7F30"/>
    <w:rsid w:val="004D7F99"/>
    <w:rsid w:val="004E030A"/>
    <w:rsid w:val="004E050F"/>
    <w:rsid w:val="004E0684"/>
    <w:rsid w:val="004E0731"/>
    <w:rsid w:val="004E0C0B"/>
    <w:rsid w:val="004E0D1D"/>
    <w:rsid w:val="004E0DAD"/>
    <w:rsid w:val="004E0EB0"/>
    <w:rsid w:val="004E1272"/>
    <w:rsid w:val="004E1287"/>
    <w:rsid w:val="004E12DF"/>
    <w:rsid w:val="004E1493"/>
    <w:rsid w:val="004E17A3"/>
    <w:rsid w:val="004E1ACF"/>
    <w:rsid w:val="004E1BA0"/>
    <w:rsid w:val="004E1C08"/>
    <w:rsid w:val="004E1C13"/>
    <w:rsid w:val="004E20D2"/>
    <w:rsid w:val="004E2125"/>
    <w:rsid w:val="004E2604"/>
    <w:rsid w:val="004E2689"/>
    <w:rsid w:val="004E2766"/>
    <w:rsid w:val="004E282F"/>
    <w:rsid w:val="004E29E5"/>
    <w:rsid w:val="004E2BBB"/>
    <w:rsid w:val="004E2E3F"/>
    <w:rsid w:val="004E3020"/>
    <w:rsid w:val="004E30DC"/>
    <w:rsid w:val="004E3325"/>
    <w:rsid w:val="004E346E"/>
    <w:rsid w:val="004E3734"/>
    <w:rsid w:val="004E3B6A"/>
    <w:rsid w:val="004E3C4D"/>
    <w:rsid w:val="004E3DF2"/>
    <w:rsid w:val="004E4031"/>
    <w:rsid w:val="004E4197"/>
    <w:rsid w:val="004E4411"/>
    <w:rsid w:val="004E44A7"/>
    <w:rsid w:val="004E4685"/>
    <w:rsid w:val="004E4897"/>
    <w:rsid w:val="004E49ED"/>
    <w:rsid w:val="004E4A64"/>
    <w:rsid w:val="004E4B35"/>
    <w:rsid w:val="004E4CA5"/>
    <w:rsid w:val="004E4DC3"/>
    <w:rsid w:val="004E554D"/>
    <w:rsid w:val="004E5B3D"/>
    <w:rsid w:val="004E5BB8"/>
    <w:rsid w:val="004E5DAC"/>
    <w:rsid w:val="004E5F8F"/>
    <w:rsid w:val="004E601B"/>
    <w:rsid w:val="004E6222"/>
    <w:rsid w:val="004E63AE"/>
    <w:rsid w:val="004E658D"/>
    <w:rsid w:val="004E6602"/>
    <w:rsid w:val="004E6632"/>
    <w:rsid w:val="004E678D"/>
    <w:rsid w:val="004E6A9F"/>
    <w:rsid w:val="004E6CFF"/>
    <w:rsid w:val="004E6D75"/>
    <w:rsid w:val="004E714C"/>
    <w:rsid w:val="004E73A2"/>
    <w:rsid w:val="004E7589"/>
    <w:rsid w:val="004E7876"/>
    <w:rsid w:val="004E79BC"/>
    <w:rsid w:val="004E7AD4"/>
    <w:rsid w:val="004E7AEF"/>
    <w:rsid w:val="004E7BD0"/>
    <w:rsid w:val="004E7D23"/>
    <w:rsid w:val="004E7D9A"/>
    <w:rsid w:val="004F027B"/>
    <w:rsid w:val="004F0646"/>
    <w:rsid w:val="004F0685"/>
    <w:rsid w:val="004F0BA7"/>
    <w:rsid w:val="004F0DAA"/>
    <w:rsid w:val="004F0E15"/>
    <w:rsid w:val="004F0FA7"/>
    <w:rsid w:val="004F0FD4"/>
    <w:rsid w:val="004F148C"/>
    <w:rsid w:val="004F1712"/>
    <w:rsid w:val="004F1802"/>
    <w:rsid w:val="004F1AB3"/>
    <w:rsid w:val="004F1C7D"/>
    <w:rsid w:val="004F1CC7"/>
    <w:rsid w:val="004F2097"/>
    <w:rsid w:val="004F20DC"/>
    <w:rsid w:val="004F2126"/>
    <w:rsid w:val="004F2248"/>
    <w:rsid w:val="004F23E9"/>
    <w:rsid w:val="004F24D8"/>
    <w:rsid w:val="004F2608"/>
    <w:rsid w:val="004F264C"/>
    <w:rsid w:val="004F2954"/>
    <w:rsid w:val="004F2A9F"/>
    <w:rsid w:val="004F2B7A"/>
    <w:rsid w:val="004F3688"/>
    <w:rsid w:val="004F3961"/>
    <w:rsid w:val="004F3AAE"/>
    <w:rsid w:val="004F3B61"/>
    <w:rsid w:val="004F3CD3"/>
    <w:rsid w:val="004F3D51"/>
    <w:rsid w:val="004F4093"/>
    <w:rsid w:val="004F40C7"/>
    <w:rsid w:val="004F40CA"/>
    <w:rsid w:val="004F4253"/>
    <w:rsid w:val="004F484D"/>
    <w:rsid w:val="004F4ABF"/>
    <w:rsid w:val="004F4BAD"/>
    <w:rsid w:val="004F4BDE"/>
    <w:rsid w:val="004F5103"/>
    <w:rsid w:val="004F526B"/>
    <w:rsid w:val="004F526F"/>
    <w:rsid w:val="004F53A1"/>
    <w:rsid w:val="004F56CB"/>
    <w:rsid w:val="004F5917"/>
    <w:rsid w:val="004F5972"/>
    <w:rsid w:val="004F5AE3"/>
    <w:rsid w:val="004F5B0C"/>
    <w:rsid w:val="004F5BC4"/>
    <w:rsid w:val="004F5CE5"/>
    <w:rsid w:val="004F614E"/>
    <w:rsid w:val="004F61E1"/>
    <w:rsid w:val="004F6373"/>
    <w:rsid w:val="004F653B"/>
    <w:rsid w:val="004F660B"/>
    <w:rsid w:val="004F67B1"/>
    <w:rsid w:val="004F690B"/>
    <w:rsid w:val="004F699E"/>
    <w:rsid w:val="004F6A57"/>
    <w:rsid w:val="004F6E10"/>
    <w:rsid w:val="004F6F3D"/>
    <w:rsid w:val="004F7019"/>
    <w:rsid w:val="004F71E0"/>
    <w:rsid w:val="004F71FF"/>
    <w:rsid w:val="004F77E2"/>
    <w:rsid w:val="004F7AF2"/>
    <w:rsid w:val="004F7CAC"/>
    <w:rsid w:val="004F7CF1"/>
    <w:rsid w:val="004F7DDC"/>
    <w:rsid w:val="004F7E2E"/>
    <w:rsid w:val="00500042"/>
    <w:rsid w:val="0050033F"/>
    <w:rsid w:val="0050085E"/>
    <w:rsid w:val="00500978"/>
    <w:rsid w:val="005009B4"/>
    <w:rsid w:val="00500DFF"/>
    <w:rsid w:val="00500E11"/>
    <w:rsid w:val="00500E14"/>
    <w:rsid w:val="005010D1"/>
    <w:rsid w:val="005011E4"/>
    <w:rsid w:val="0050175A"/>
    <w:rsid w:val="00501B2C"/>
    <w:rsid w:val="00501CF1"/>
    <w:rsid w:val="00501ED1"/>
    <w:rsid w:val="00502229"/>
    <w:rsid w:val="00502403"/>
    <w:rsid w:val="005028A5"/>
    <w:rsid w:val="005028C2"/>
    <w:rsid w:val="00502CE0"/>
    <w:rsid w:val="00502DBF"/>
    <w:rsid w:val="00502E39"/>
    <w:rsid w:val="00502F94"/>
    <w:rsid w:val="005034D7"/>
    <w:rsid w:val="00503B1A"/>
    <w:rsid w:val="00503BDE"/>
    <w:rsid w:val="00503E77"/>
    <w:rsid w:val="00504014"/>
    <w:rsid w:val="00504016"/>
    <w:rsid w:val="00504255"/>
    <w:rsid w:val="00504259"/>
    <w:rsid w:val="005044C3"/>
    <w:rsid w:val="00504707"/>
    <w:rsid w:val="00504D63"/>
    <w:rsid w:val="00504DA3"/>
    <w:rsid w:val="00504E6E"/>
    <w:rsid w:val="005050AB"/>
    <w:rsid w:val="005051F2"/>
    <w:rsid w:val="0050527A"/>
    <w:rsid w:val="005052B1"/>
    <w:rsid w:val="005057FE"/>
    <w:rsid w:val="00505821"/>
    <w:rsid w:val="00505925"/>
    <w:rsid w:val="00505BA2"/>
    <w:rsid w:val="00505EEA"/>
    <w:rsid w:val="00506096"/>
    <w:rsid w:val="0050623A"/>
    <w:rsid w:val="005064D4"/>
    <w:rsid w:val="005068EB"/>
    <w:rsid w:val="00506DBA"/>
    <w:rsid w:val="00506DEB"/>
    <w:rsid w:val="0050717F"/>
    <w:rsid w:val="005074CF"/>
    <w:rsid w:val="0050764E"/>
    <w:rsid w:val="005077BC"/>
    <w:rsid w:val="0050783F"/>
    <w:rsid w:val="00507E3F"/>
    <w:rsid w:val="00507E97"/>
    <w:rsid w:val="005100D9"/>
    <w:rsid w:val="005102AB"/>
    <w:rsid w:val="00510354"/>
    <w:rsid w:val="005106AF"/>
    <w:rsid w:val="00510E65"/>
    <w:rsid w:val="00510EB1"/>
    <w:rsid w:val="00510FFE"/>
    <w:rsid w:val="00511320"/>
    <w:rsid w:val="005113DC"/>
    <w:rsid w:val="00511607"/>
    <w:rsid w:val="005119B4"/>
    <w:rsid w:val="005119C9"/>
    <w:rsid w:val="00512160"/>
    <w:rsid w:val="00512163"/>
    <w:rsid w:val="005122A1"/>
    <w:rsid w:val="00512367"/>
    <w:rsid w:val="00512418"/>
    <w:rsid w:val="00512680"/>
    <w:rsid w:val="00512760"/>
    <w:rsid w:val="00512872"/>
    <w:rsid w:val="005128F6"/>
    <w:rsid w:val="0051295B"/>
    <w:rsid w:val="00512DD7"/>
    <w:rsid w:val="00512E61"/>
    <w:rsid w:val="00513076"/>
    <w:rsid w:val="0051347B"/>
    <w:rsid w:val="00513692"/>
    <w:rsid w:val="005136B5"/>
    <w:rsid w:val="00513A7D"/>
    <w:rsid w:val="00513F5B"/>
    <w:rsid w:val="0051402C"/>
    <w:rsid w:val="005142EF"/>
    <w:rsid w:val="00514334"/>
    <w:rsid w:val="005143F9"/>
    <w:rsid w:val="0051454C"/>
    <w:rsid w:val="005146F0"/>
    <w:rsid w:val="005147DB"/>
    <w:rsid w:val="005148B0"/>
    <w:rsid w:val="00514E56"/>
    <w:rsid w:val="0051525B"/>
    <w:rsid w:val="005152CE"/>
    <w:rsid w:val="005156A0"/>
    <w:rsid w:val="0051574A"/>
    <w:rsid w:val="005158BE"/>
    <w:rsid w:val="005158C5"/>
    <w:rsid w:val="00515ADF"/>
    <w:rsid w:val="00515BC4"/>
    <w:rsid w:val="00515D4B"/>
    <w:rsid w:val="00515DEA"/>
    <w:rsid w:val="00515F3C"/>
    <w:rsid w:val="00516331"/>
    <w:rsid w:val="005164FD"/>
    <w:rsid w:val="00516566"/>
    <w:rsid w:val="00516649"/>
    <w:rsid w:val="005168EE"/>
    <w:rsid w:val="00516960"/>
    <w:rsid w:val="00516B37"/>
    <w:rsid w:val="00516D0F"/>
    <w:rsid w:val="00516D75"/>
    <w:rsid w:val="00516E0B"/>
    <w:rsid w:val="00516EB3"/>
    <w:rsid w:val="00516EBD"/>
    <w:rsid w:val="00516F68"/>
    <w:rsid w:val="00517364"/>
    <w:rsid w:val="00517B35"/>
    <w:rsid w:val="00520018"/>
    <w:rsid w:val="0052047C"/>
    <w:rsid w:val="00520CF1"/>
    <w:rsid w:val="00520DA5"/>
    <w:rsid w:val="00520FCC"/>
    <w:rsid w:val="005211C3"/>
    <w:rsid w:val="005214B7"/>
    <w:rsid w:val="00521660"/>
    <w:rsid w:val="005216BD"/>
    <w:rsid w:val="0052175B"/>
    <w:rsid w:val="005218C3"/>
    <w:rsid w:val="00521A32"/>
    <w:rsid w:val="00521A46"/>
    <w:rsid w:val="00521E90"/>
    <w:rsid w:val="005220BE"/>
    <w:rsid w:val="005222B3"/>
    <w:rsid w:val="005223B6"/>
    <w:rsid w:val="0052254C"/>
    <w:rsid w:val="00522796"/>
    <w:rsid w:val="0052292C"/>
    <w:rsid w:val="005229F7"/>
    <w:rsid w:val="00522CBF"/>
    <w:rsid w:val="00522D1E"/>
    <w:rsid w:val="00522D3F"/>
    <w:rsid w:val="00522EFF"/>
    <w:rsid w:val="0052316B"/>
    <w:rsid w:val="00523352"/>
    <w:rsid w:val="00523498"/>
    <w:rsid w:val="005236A3"/>
    <w:rsid w:val="005236FD"/>
    <w:rsid w:val="0052372C"/>
    <w:rsid w:val="00523B0A"/>
    <w:rsid w:val="005240D6"/>
    <w:rsid w:val="00524189"/>
    <w:rsid w:val="00524333"/>
    <w:rsid w:val="00524646"/>
    <w:rsid w:val="0052480F"/>
    <w:rsid w:val="005248AF"/>
    <w:rsid w:val="00524912"/>
    <w:rsid w:val="00524955"/>
    <w:rsid w:val="00524B9D"/>
    <w:rsid w:val="00524F0A"/>
    <w:rsid w:val="00525013"/>
    <w:rsid w:val="0052525E"/>
    <w:rsid w:val="00525357"/>
    <w:rsid w:val="00525598"/>
    <w:rsid w:val="005258A9"/>
    <w:rsid w:val="005259E2"/>
    <w:rsid w:val="00525BE6"/>
    <w:rsid w:val="00525D54"/>
    <w:rsid w:val="00525E79"/>
    <w:rsid w:val="00525F53"/>
    <w:rsid w:val="00526059"/>
    <w:rsid w:val="005261E7"/>
    <w:rsid w:val="00526207"/>
    <w:rsid w:val="00526538"/>
    <w:rsid w:val="005267FE"/>
    <w:rsid w:val="00526860"/>
    <w:rsid w:val="0052698D"/>
    <w:rsid w:val="00526B24"/>
    <w:rsid w:val="00526D86"/>
    <w:rsid w:val="00526F7C"/>
    <w:rsid w:val="00527171"/>
    <w:rsid w:val="005272C7"/>
    <w:rsid w:val="00527542"/>
    <w:rsid w:val="0052758B"/>
    <w:rsid w:val="00527948"/>
    <w:rsid w:val="00527971"/>
    <w:rsid w:val="005279FF"/>
    <w:rsid w:val="00527AF3"/>
    <w:rsid w:val="00527D30"/>
    <w:rsid w:val="00527E96"/>
    <w:rsid w:val="00530290"/>
    <w:rsid w:val="00530927"/>
    <w:rsid w:val="00530A9F"/>
    <w:rsid w:val="00530DAC"/>
    <w:rsid w:val="00530FC4"/>
    <w:rsid w:val="005314FB"/>
    <w:rsid w:val="005315B5"/>
    <w:rsid w:val="005316F5"/>
    <w:rsid w:val="0053193D"/>
    <w:rsid w:val="00531B21"/>
    <w:rsid w:val="00531C11"/>
    <w:rsid w:val="0053211C"/>
    <w:rsid w:val="00532121"/>
    <w:rsid w:val="00532128"/>
    <w:rsid w:val="005325A9"/>
    <w:rsid w:val="005325E5"/>
    <w:rsid w:val="00532739"/>
    <w:rsid w:val="00532914"/>
    <w:rsid w:val="005329BE"/>
    <w:rsid w:val="00532A51"/>
    <w:rsid w:val="00532A71"/>
    <w:rsid w:val="00532AA6"/>
    <w:rsid w:val="00532BF6"/>
    <w:rsid w:val="00532DDD"/>
    <w:rsid w:val="0053314C"/>
    <w:rsid w:val="0053323A"/>
    <w:rsid w:val="00533291"/>
    <w:rsid w:val="00533329"/>
    <w:rsid w:val="00533419"/>
    <w:rsid w:val="0053350B"/>
    <w:rsid w:val="00533A70"/>
    <w:rsid w:val="00533AE8"/>
    <w:rsid w:val="00533C58"/>
    <w:rsid w:val="00533EEE"/>
    <w:rsid w:val="00533F44"/>
    <w:rsid w:val="00534309"/>
    <w:rsid w:val="0053470B"/>
    <w:rsid w:val="00534816"/>
    <w:rsid w:val="00534921"/>
    <w:rsid w:val="00534A47"/>
    <w:rsid w:val="00534AB2"/>
    <w:rsid w:val="00534ED3"/>
    <w:rsid w:val="00534FA4"/>
    <w:rsid w:val="00535531"/>
    <w:rsid w:val="005358E6"/>
    <w:rsid w:val="00535A1B"/>
    <w:rsid w:val="00535AB3"/>
    <w:rsid w:val="00535B51"/>
    <w:rsid w:val="00535C74"/>
    <w:rsid w:val="00535C84"/>
    <w:rsid w:val="00535D2B"/>
    <w:rsid w:val="00535DDA"/>
    <w:rsid w:val="00536092"/>
    <w:rsid w:val="005361AB"/>
    <w:rsid w:val="005364A3"/>
    <w:rsid w:val="00536521"/>
    <w:rsid w:val="00536ADA"/>
    <w:rsid w:val="00536B63"/>
    <w:rsid w:val="00536CE9"/>
    <w:rsid w:val="00536F13"/>
    <w:rsid w:val="00537171"/>
    <w:rsid w:val="005371EA"/>
    <w:rsid w:val="0053742C"/>
    <w:rsid w:val="005374FC"/>
    <w:rsid w:val="00537548"/>
    <w:rsid w:val="005375E6"/>
    <w:rsid w:val="00537639"/>
    <w:rsid w:val="005377E0"/>
    <w:rsid w:val="005377FC"/>
    <w:rsid w:val="00537898"/>
    <w:rsid w:val="005379CB"/>
    <w:rsid w:val="00537B51"/>
    <w:rsid w:val="00537B67"/>
    <w:rsid w:val="005405AA"/>
    <w:rsid w:val="005405CC"/>
    <w:rsid w:val="00540638"/>
    <w:rsid w:val="005409BC"/>
    <w:rsid w:val="00540B8E"/>
    <w:rsid w:val="00541124"/>
    <w:rsid w:val="00541127"/>
    <w:rsid w:val="005412CE"/>
    <w:rsid w:val="005416CF"/>
    <w:rsid w:val="0054173C"/>
    <w:rsid w:val="00541A4A"/>
    <w:rsid w:val="00541AC0"/>
    <w:rsid w:val="00541D43"/>
    <w:rsid w:val="00541E31"/>
    <w:rsid w:val="00542068"/>
    <w:rsid w:val="00542246"/>
    <w:rsid w:val="00542292"/>
    <w:rsid w:val="005422DD"/>
    <w:rsid w:val="005422FE"/>
    <w:rsid w:val="00542343"/>
    <w:rsid w:val="005423AF"/>
    <w:rsid w:val="005429A3"/>
    <w:rsid w:val="00542AF7"/>
    <w:rsid w:val="00542D24"/>
    <w:rsid w:val="00542D2E"/>
    <w:rsid w:val="00542F6D"/>
    <w:rsid w:val="0054378F"/>
    <w:rsid w:val="005439E5"/>
    <w:rsid w:val="00543AF3"/>
    <w:rsid w:val="00543AF9"/>
    <w:rsid w:val="00543BDB"/>
    <w:rsid w:val="00543C85"/>
    <w:rsid w:val="00543D81"/>
    <w:rsid w:val="00544049"/>
    <w:rsid w:val="005440F2"/>
    <w:rsid w:val="005443A6"/>
    <w:rsid w:val="00544AE7"/>
    <w:rsid w:val="00544BC7"/>
    <w:rsid w:val="00544C74"/>
    <w:rsid w:val="00544DE1"/>
    <w:rsid w:val="00545194"/>
    <w:rsid w:val="0054527C"/>
    <w:rsid w:val="0054530E"/>
    <w:rsid w:val="005453B8"/>
    <w:rsid w:val="0054553B"/>
    <w:rsid w:val="00545833"/>
    <w:rsid w:val="00545978"/>
    <w:rsid w:val="00545BDD"/>
    <w:rsid w:val="00545C8A"/>
    <w:rsid w:val="00546168"/>
    <w:rsid w:val="005464F6"/>
    <w:rsid w:val="00546701"/>
    <w:rsid w:val="00546849"/>
    <w:rsid w:val="00546B57"/>
    <w:rsid w:val="00546BC4"/>
    <w:rsid w:val="00546BE5"/>
    <w:rsid w:val="00546CF6"/>
    <w:rsid w:val="00546D18"/>
    <w:rsid w:val="00546D44"/>
    <w:rsid w:val="00547080"/>
    <w:rsid w:val="0054709B"/>
    <w:rsid w:val="005472A3"/>
    <w:rsid w:val="0054764B"/>
    <w:rsid w:val="0054776F"/>
    <w:rsid w:val="005479D9"/>
    <w:rsid w:val="00547AF3"/>
    <w:rsid w:val="00547B92"/>
    <w:rsid w:val="00547CD2"/>
    <w:rsid w:val="00547CEC"/>
    <w:rsid w:val="00547FC0"/>
    <w:rsid w:val="0055072B"/>
    <w:rsid w:val="00550808"/>
    <w:rsid w:val="00550CEE"/>
    <w:rsid w:val="00550E12"/>
    <w:rsid w:val="0055119B"/>
    <w:rsid w:val="0055119F"/>
    <w:rsid w:val="005512F6"/>
    <w:rsid w:val="00551442"/>
    <w:rsid w:val="0055177E"/>
    <w:rsid w:val="00551B53"/>
    <w:rsid w:val="00551DCF"/>
    <w:rsid w:val="00552033"/>
    <w:rsid w:val="00552159"/>
    <w:rsid w:val="00552213"/>
    <w:rsid w:val="00552336"/>
    <w:rsid w:val="005527E2"/>
    <w:rsid w:val="00552B83"/>
    <w:rsid w:val="00552E02"/>
    <w:rsid w:val="00552EBD"/>
    <w:rsid w:val="0055304C"/>
    <w:rsid w:val="0055323C"/>
    <w:rsid w:val="005532FE"/>
    <w:rsid w:val="005535A0"/>
    <w:rsid w:val="00553652"/>
    <w:rsid w:val="005539FA"/>
    <w:rsid w:val="00553B4C"/>
    <w:rsid w:val="00554543"/>
    <w:rsid w:val="00554766"/>
    <w:rsid w:val="00554C0D"/>
    <w:rsid w:val="00554C35"/>
    <w:rsid w:val="00554E50"/>
    <w:rsid w:val="005551A3"/>
    <w:rsid w:val="0055532F"/>
    <w:rsid w:val="005555FC"/>
    <w:rsid w:val="005556F2"/>
    <w:rsid w:val="005557B6"/>
    <w:rsid w:val="005557EB"/>
    <w:rsid w:val="005558A9"/>
    <w:rsid w:val="00555A11"/>
    <w:rsid w:val="005560BB"/>
    <w:rsid w:val="00556146"/>
    <w:rsid w:val="005561E2"/>
    <w:rsid w:val="0055635A"/>
    <w:rsid w:val="005565F3"/>
    <w:rsid w:val="0055699D"/>
    <w:rsid w:val="00557628"/>
    <w:rsid w:val="005576CE"/>
    <w:rsid w:val="00557718"/>
    <w:rsid w:val="0055780A"/>
    <w:rsid w:val="0055785B"/>
    <w:rsid w:val="00557993"/>
    <w:rsid w:val="00557A7A"/>
    <w:rsid w:val="00557E20"/>
    <w:rsid w:val="00560033"/>
    <w:rsid w:val="005601D3"/>
    <w:rsid w:val="005602EE"/>
    <w:rsid w:val="00560552"/>
    <w:rsid w:val="00560864"/>
    <w:rsid w:val="00560983"/>
    <w:rsid w:val="00560B4A"/>
    <w:rsid w:val="00560BC3"/>
    <w:rsid w:val="00560D33"/>
    <w:rsid w:val="00560D73"/>
    <w:rsid w:val="00560F99"/>
    <w:rsid w:val="00560FBB"/>
    <w:rsid w:val="00561158"/>
    <w:rsid w:val="00561729"/>
    <w:rsid w:val="005617A9"/>
    <w:rsid w:val="005617DF"/>
    <w:rsid w:val="005618DE"/>
    <w:rsid w:val="0056196C"/>
    <w:rsid w:val="00561AE0"/>
    <w:rsid w:val="00561D24"/>
    <w:rsid w:val="00561DDA"/>
    <w:rsid w:val="00561DFC"/>
    <w:rsid w:val="00561E9B"/>
    <w:rsid w:val="00562172"/>
    <w:rsid w:val="00562367"/>
    <w:rsid w:val="0056266A"/>
    <w:rsid w:val="00562BB4"/>
    <w:rsid w:val="0056332B"/>
    <w:rsid w:val="0056347A"/>
    <w:rsid w:val="00563633"/>
    <w:rsid w:val="0056366B"/>
    <w:rsid w:val="00563A26"/>
    <w:rsid w:val="00563D92"/>
    <w:rsid w:val="00563FFD"/>
    <w:rsid w:val="0056411D"/>
    <w:rsid w:val="0056429D"/>
    <w:rsid w:val="0056431F"/>
    <w:rsid w:val="00564718"/>
    <w:rsid w:val="00564830"/>
    <w:rsid w:val="005649B0"/>
    <w:rsid w:val="0056509D"/>
    <w:rsid w:val="0056550F"/>
    <w:rsid w:val="0056555D"/>
    <w:rsid w:val="005658CF"/>
    <w:rsid w:val="005658FB"/>
    <w:rsid w:val="0056595A"/>
    <w:rsid w:val="00565A06"/>
    <w:rsid w:val="00565B62"/>
    <w:rsid w:val="00565E70"/>
    <w:rsid w:val="00565F2F"/>
    <w:rsid w:val="00566926"/>
    <w:rsid w:val="00566BB4"/>
    <w:rsid w:val="00566C02"/>
    <w:rsid w:val="00566CDC"/>
    <w:rsid w:val="00567250"/>
    <w:rsid w:val="00567466"/>
    <w:rsid w:val="005676B0"/>
    <w:rsid w:val="005677AE"/>
    <w:rsid w:val="005679CD"/>
    <w:rsid w:val="005679E8"/>
    <w:rsid w:val="00567AC6"/>
    <w:rsid w:val="00567C87"/>
    <w:rsid w:val="0057002B"/>
    <w:rsid w:val="005704B7"/>
    <w:rsid w:val="0057075F"/>
    <w:rsid w:val="00570897"/>
    <w:rsid w:val="00570944"/>
    <w:rsid w:val="0057098F"/>
    <w:rsid w:val="00570A4E"/>
    <w:rsid w:val="00570BB6"/>
    <w:rsid w:val="00570CD4"/>
    <w:rsid w:val="00570D69"/>
    <w:rsid w:val="00570EBF"/>
    <w:rsid w:val="00570EC2"/>
    <w:rsid w:val="00571013"/>
    <w:rsid w:val="00571242"/>
    <w:rsid w:val="0057126B"/>
    <w:rsid w:val="00571628"/>
    <w:rsid w:val="005718D4"/>
    <w:rsid w:val="00571C09"/>
    <w:rsid w:val="00571D72"/>
    <w:rsid w:val="00572583"/>
    <w:rsid w:val="005725A1"/>
    <w:rsid w:val="005725F0"/>
    <w:rsid w:val="0057269D"/>
    <w:rsid w:val="00572851"/>
    <w:rsid w:val="00572856"/>
    <w:rsid w:val="0057286F"/>
    <w:rsid w:val="00572D38"/>
    <w:rsid w:val="00572D5A"/>
    <w:rsid w:val="00572DD9"/>
    <w:rsid w:val="00572F7E"/>
    <w:rsid w:val="00573159"/>
    <w:rsid w:val="00573209"/>
    <w:rsid w:val="0057324A"/>
    <w:rsid w:val="00573453"/>
    <w:rsid w:val="005738A6"/>
    <w:rsid w:val="00573977"/>
    <w:rsid w:val="00573B16"/>
    <w:rsid w:val="00573BD4"/>
    <w:rsid w:val="00573DA0"/>
    <w:rsid w:val="00573DAD"/>
    <w:rsid w:val="00573E3B"/>
    <w:rsid w:val="00574390"/>
    <w:rsid w:val="00574784"/>
    <w:rsid w:val="005747A6"/>
    <w:rsid w:val="005748B9"/>
    <w:rsid w:val="00574A1E"/>
    <w:rsid w:val="00574C48"/>
    <w:rsid w:val="00574CA8"/>
    <w:rsid w:val="00574ECD"/>
    <w:rsid w:val="0057500B"/>
    <w:rsid w:val="00575014"/>
    <w:rsid w:val="005750FB"/>
    <w:rsid w:val="0057529F"/>
    <w:rsid w:val="00575405"/>
    <w:rsid w:val="00575488"/>
    <w:rsid w:val="005757C0"/>
    <w:rsid w:val="00575904"/>
    <w:rsid w:val="00575BAB"/>
    <w:rsid w:val="0057678C"/>
    <w:rsid w:val="005767DE"/>
    <w:rsid w:val="00576A54"/>
    <w:rsid w:val="00576ADE"/>
    <w:rsid w:val="005770BA"/>
    <w:rsid w:val="0057727C"/>
    <w:rsid w:val="00577490"/>
    <w:rsid w:val="005774D7"/>
    <w:rsid w:val="005775AD"/>
    <w:rsid w:val="00577726"/>
    <w:rsid w:val="00577946"/>
    <w:rsid w:val="00577969"/>
    <w:rsid w:val="005779BF"/>
    <w:rsid w:val="00577CF5"/>
    <w:rsid w:val="00577CFD"/>
    <w:rsid w:val="00577DEF"/>
    <w:rsid w:val="0058027D"/>
    <w:rsid w:val="005802B2"/>
    <w:rsid w:val="00580639"/>
    <w:rsid w:val="00580653"/>
    <w:rsid w:val="00580B93"/>
    <w:rsid w:val="00580E7C"/>
    <w:rsid w:val="00580F19"/>
    <w:rsid w:val="005810F7"/>
    <w:rsid w:val="00581158"/>
    <w:rsid w:val="00581664"/>
    <w:rsid w:val="00581690"/>
    <w:rsid w:val="005816FD"/>
    <w:rsid w:val="0058187D"/>
    <w:rsid w:val="00581DCC"/>
    <w:rsid w:val="005820D5"/>
    <w:rsid w:val="005823D6"/>
    <w:rsid w:val="0058297D"/>
    <w:rsid w:val="00582A74"/>
    <w:rsid w:val="00582CAA"/>
    <w:rsid w:val="00582FE1"/>
    <w:rsid w:val="00582FEB"/>
    <w:rsid w:val="005830D2"/>
    <w:rsid w:val="0058314A"/>
    <w:rsid w:val="00583308"/>
    <w:rsid w:val="0058345B"/>
    <w:rsid w:val="00583523"/>
    <w:rsid w:val="0058379C"/>
    <w:rsid w:val="005837B3"/>
    <w:rsid w:val="00583893"/>
    <w:rsid w:val="005838AF"/>
    <w:rsid w:val="00583C42"/>
    <w:rsid w:val="00583D37"/>
    <w:rsid w:val="00583E44"/>
    <w:rsid w:val="00583E7E"/>
    <w:rsid w:val="00583EA2"/>
    <w:rsid w:val="00584456"/>
    <w:rsid w:val="005848B6"/>
    <w:rsid w:val="00584BD3"/>
    <w:rsid w:val="00584D02"/>
    <w:rsid w:val="00584FC3"/>
    <w:rsid w:val="00585290"/>
    <w:rsid w:val="0058545C"/>
    <w:rsid w:val="0058577A"/>
    <w:rsid w:val="005859D3"/>
    <w:rsid w:val="00585A21"/>
    <w:rsid w:val="00585BEB"/>
    <w:rsid w:val="00585E16"/>
    <w:rsid w:val="005861E0"/>
    <w:rsid w:val="005861E2"/>
    <w:rsid w:val="00586253"/>
    <w:rsid w:val="0058634B"/>
    <w:rsid w:val="005863AD"/>
    <w:rsid w:val="0058642B"/>
    <w:rsid w:val="00586722"/>
    <w:rsid w:val="00586AF5"/>
    <w:rsid w:val="00586BF2"/>
    <w:rsid w:val="00586E7B"/>
    <w:rsid w:val="00586F8A"/>
    <w:rsid w:val="00586FA5"/>
    <w:rsid w:val="00587019"/>
    <w:rsid w:val="00587597"/>
    <w:rsid w:val="005876CF"/>
    <w:rsid w:val="005876E8"/>
    <w:rsid w:val="0058789B"/>
    <w:rsid w:val="00587920"/>
    <w:rsid w:val="00587B02"/>
    <w:rsid w:val="00587B63"/>
    <w:rsid w:val="00587E92"/>
    <w:rsid w:val="00587F89"/>
    <w:rsid w:val="005902EA"/>
    <w:rsid w:val="00590375"/>
    <w:rsid w:val="005904BF"/>
    <w:rsid w:val="005904E0"/>
    <w:rsid w:val="00590704"/>
    <w:rsid w:val="0059096B"/>
    <w:rsid w:val="00590971"/>
    <w:rsid w:val="00590AB7"/>
    <w:rsid w:val="00590F0E"/>
    <w:rsid w:val="00590F69"/>
    <w:rsid w:val="00590F6B"/>
    <w:rsid w:val="00591034"/>
    <w:rsid w:val="005910E5"/>
    <w:rsid w:val="0059113B"/>
    <w:rsid w:val="005912EC"/>
    <w:rsid w:val="005919B0"/>
    <w:rsid w:val="00591AF0"/>
    <w:rsid w:val="00591BC0"/>
    <w:rsid w:val="00591C6F"/>
    <w:rsid w:val="00591DE9"/>
    <w:rsid w:val="00591EA9"/>
    <w:rsid w:val="00591FF6"/>
    <w:rsid w:val="005920A2"/>
    <w:rsid w:val="005924AD"/>
    <w:rsid w:val="00592539"/>
    <w:rsid w:val="005926D6"/>
    <w:rsid w:val="0059280C"/>
    <w:rsid w:val="00592876"/>
    <w:rsid w:val="0059294D"/>
    <w:rsid w:val="00592BE6"/>
    <w:rsid w:val="00592C68"/>
    <w:rsid w:val="00592D70"/>
    <w:rsid w:val="00592FC3"/>
    <w:rsid w:val="005930BD"/>
    <w:rsid w:val="00593139"/>
    <w:rsid w:val="0059369B"/>
    <w:rsid w:val="00593911"/>
    <w:rsid w:val="00593E4E"/>
    <w:rsid w:val="00593EFE"/>
    <w:rsid w:val="005942B5"/>
    <w:rsid w:val="0059448B"/>
    <w:rsid w:val="005944FF"/>
    <w:rsid w:val="0059455B"/>
    <w:rsid w:val="005947F1"/>
    <w:rsid w:val="005948F0"/>
    <w:rsid w:val="005948F8"/>
    <w:rsid w:val="00594BFD"/>
    <w:rsid w:val="00595091"/>
    <w:rsid w:val="0059545D"/>
    <w:rsid w:val="00595707"/>
    <w:rsid w:val="00595861"/>
    <w:rsid w:val="005958AE"/>
    <w:rsid w:val="00595A6D"/>
    <w:rsid w:val="00595CE7"/>
    <w:rsid w:val="00595D19"/>
    <w:rsid w:val="00595D24"/>
    <w:rsid w:val="00595FA6"/>
    <w:rsid w:val="005962FD"/>
    <w:rsid w:val="00596698"/>
    <w:rsid w:val="00596B18"/>
    <w:rsid w:val="00596BB4"/>
    <w:rsid w:val="00596E97"/>
    <w:rsid w:val="00597021"/>
    <w:rsid w:val="0059735D"/>
    <w:rsid w:val="00597627"/>
    <w:rsid w:val="00597972"/>
    <w:rsid w:val="00597B11"/>
    <w:rsid w:val="00597BFC"/>
    <w:rsid w:val="00597D97"/>
    <w:rsid w:val="00597F2E"/>
    <w:rsid w:val="00597FAB"/>
    <w:rsid w:val="00597FB9"/>
    <w:rsid w:val="005A0326"/>
    <w:rsid w:val="005A047D"/>
    <w:rsid w:val="005A0541"/>
    <w:rsid w:val="005A0639"/>
    <w:rsid w:val="005A06E9"/>
    <w:rsid w:val="005A071F"/>
    <w:rsid w:val="005A0ED0"/>
    <w:rsid w:val="005A1732"/>
    <w:rsid w:val="005A178F"/>
    <w:rsid w:val="005A1D09"/>
    <w:rsid w:val="005A2068"/>
    <w:rsid w:val="005A2147"/>
    <w:rsid w:val="005A23CF"/>
    <w:rsid w:val="005A2476"/>
    <w:rsid w:val="005A2485"/>
    <w:rsid w:val="005A284A"/>
    <w:rsid w:val="005A2D6D"/>
    <w:rsid w:val="005A3281"/>
    <w:rsid w:val="005A32A9"/>
    <w:rsid w:val="005A3325"/>
    <w:rsid w:val="005A34D5"/>
    <w:rsid w:val="005A3E1E"/>
    <w:rsid w:val="005A3E89"/>
    <w:rsid w:val="005A3FF9"/>
    <w:rsid w:val="005A4261"/>
    <w:rsid w:val="005A456E"/>
    <w:rsid w:val="005A4935"/>
    <w:rsid w:val="005A4C43"/>
    <w:rsid w:val="005A4F3B"/>
    <w:rsid w:val="005A4FCF"/>
    <w:rsid w:val="005A5071"/>
    <w:rsid w:val="005A5841"/>
    <w:rsid w:val="005A58DE"/>
    <w:rsid w:val="005A5A54"/>
    <w:rsid w:val="005A5AE8"/>
    <w:rsid w:val="005A5D0F"/>
    <w:rsid w:val="005A5DFE"/>
    <w:rsid w:val="005A5E23"/>
    <w:rsid w:val="005A60D9"/>
    <w:rsid w:val="005A6619"/>
    <w:rsid w:val="005A6664"/>
    <w:rsid w:val="005A675D"/>
    <w:rsid w:val="005A675F"/>
    <w:rsid w:val="005A6CBB"/>
    <w:rsid w:val="005A6F4B"/>
    <w:rsid w:val="005A6F53"/>
    <w:rsid w:val="005A7039"/>
    <w:rsid w:val="005A7142"/>
    <w:rsid w:val="005A7273"/>
    <w:rsid w:val="005A758F"/>
    <w:rsid w:val="005A75DA"/>
    <w:rsid w:val="005A79D5"/>
    <w:rsid w:val="005A79E9"/>
    <w:rsid w:val="005A7DB8"/>
    <w:rsid w:val="005A7DF4"/>
    <w:rsid w:val="005A7E7A"/>
    <w:rsid w:val="005A7F28"/>
    <w:rsid w:val="005B004A"/>
    <w:rsid w:val="005B0379"/>
    <w:rsid w:val="005B0383"/>
    <w:rsid w:val="005B03DF"/>
    <w:rsid w:val="005B0548"/>
    <w:rsid w:val="005B07B7"/>
    <w:rsid w:val="005B0A80"/>
    <w:rsid w:val="005B0BBE"/>
    <w:rsid w:val="005B104C"/>
    <w:rsid w:val="005B145F"/>
    <w:rsid w:val="005B16E3"/>
    <w:rsid w:val="005B1892"/>
    <w:rsid w:val="005B1931"/>
    <w:rsid w:val="005B1B41"/>
    <w:rsid w:val="005B1BBA"/>
    <w:rsid w:val="005B1C3A"/>
    <w:rsid w:val="005B1E47"/>
    <w:rsid w:val="005B227E"/>
    <w:rsid w:val="005B272F"/>
    <w:rsid w:val="005B2A31"/>
    <w:rsid w:val="005B2D59"/>
    <w:rsid w:val="005B30B0"/>
    <w:rsid w:val="005B31CB"/>
    <w:rsid w:val="005B3326"/>
    <w:rsid w:val="005B38F0"/>
    <w:rsid w:val="005B3B92"/>
    <w:rsid w:val="005B3F71"/>
    <w:rsid w:val="005B4195"/>
    <w:rsid w:val="005B4212"/>
    <w:rsid w:val="005B4824"/>
    <w:rsid w:val="005B49B0"/>
    <w:rsid w:val="005B4C82"/>
    <w:rsid w:val="005B4EB1"/>
    <w:rsid w:val="005B4F68"/>
    <w:rsid w:val="005B4FAE"/>
    <w:rsid w:val="005B5134"/>
    <w:rsid w:val="005B5192"/>
    <w:rsid w:val="005B5499"/>
    <w:rsid w:val="005B54EA"/>
    <w:rsid w:val="005B588F"/>
    <w:rsid w:val="005B5A79"/>
    <w:rsid w:val="005B5DED"/>
    <w:rsid w:val="005B5F54"/>
    <w:rsid w:val="005B5FE7"/>
    <w:rsid w:val="005B61EA"/>
    <w:rsid w:val="005B6318"/>
    <w:rsid w:val="005B636D"/>
    <w:rsid w:val="005B6493"/>
    <w:rsid w:val="005B6B45"/>
    <w:rsid w:val="005B6CA8"/>
    <w:rsid w:val="005B6EFF"/>
    <w:rsid w:val="005B7150"/>
    <w:rsid w:val="005B7705"/>
    <w:rsid w:val="005B7805"/>
    <w:rsid w:val="005B7AD1"/>
    <w:rsid w:val="005B7B59"/>
    <w:rsid w:val="005B7E0D"/>
    <w:rsid w:val="005B7E49"/>
    <w:rsid w:val="005B7EF8"/>
    <w:rsid w:val="005B7F92"/>
    <w:rsid w:val="005B7F9F"/>
    <w:rsid w:val="005C020B"/>
    <w:rsid w:val="005C0849"/>
    <w:rsid w:val="005C08BD"/>
    <w:rsid w:val="005C0D1E"/>
    <w:rsid w:val="005C11BE"/>
    <w:rsid w:val="005C1297"/>
    <w:rsid w:val="005C1309"/>
    <w:rsid w:val="005C1679"/>
    <w:rsid w:val="005C171B"/>
    <w:rsid w:val="005C1D54"/>
    <w:rsid w:val="005C2085"/>
    <w:rsid w:val="005C237D"/>
    <w:rsid w:val="005C259C"/>
    <w:rsid w:val="005C2773"/>
    <w:rsid w:val="005C2890"/>
    <w:rsid w:val="005C2902"/>
    <w:rsid w:val="005C2ABB"/>
    <w:rsid w:val="005C2D20"/>
    <w:rsid w:val="005C31DE"/>
    <w:rsid w:val="005C3441"/>
    <w:rsid w:val="005C3646"/>
    <w:rsid w:val="005C3801"/>
    <w:rsid w:val="005C3A10"/>
    <w:rsid w:val="005C3A56"/>
    <w:rsid w:val="005C3CFF"/>
    <w:rsid w:val="005C3D6A"/>
    <w:rsid w:val="005C407E"/>
    <w:rsid w:val="005C40CF"/>
    <w:rsid w:val="005C41D2"/>
    <w:rsid w:val="005C4817"/>
    <w:rsid w:val="005C4ADD"/>
    <w:rsid w:val="005C4B96"/>
    <w:rsid w:val="005C4BCC"/>
    <w:rsid w:val="005C4FD6"/>
    <w:rsid w:val="005C50EE"/>
    <w:rsid w:val="005C51D9"/>
    <w:rsid w:val="005C5493"/>
    <w:rsid w:val="005C5692"/>
    <w:rsid w:val="005C573E"/>
    <w:rsid w:val="005C59D4"/>
    <w:rsid w:val="005C5B8A"/>
    <w:rsid w:val="005C5BAB"/>
    <w:rsid w:val="005C5DC2"/>
    <w:rsid w:val="005C5F98"/>
    <w:rsid w:val="005C5FF1"/>
    <w:rsid w:val="005C607B"/>
    <w:rsid w:val="005C6111"/>
    <w:rsid w:val="005C6195"/>
    <w:rsid w:val="005C6227"/>
    <w:rsid w:val="005C67FE"/>
    <w:rsid w:val="005C69D8"/>
    <w:rsid w:val="005C6A42"/>
    <w:rsid w:val="005C6A66"/>
    <w:rsid w:val="005C6B32"/>
    <w:rsid w:val="005C6B37"/>
    <w:rsid w:val="005C6C3A"/>
    <w:rsid w:val="005C771C"/>
    <w:rsid w:val="005C7887"/>
    <w:rsid w:val="005C788B"/>
    <w:rsid w:val="005C793C"/>
    <w:rsid w:val="005C7F05"/>
    <w:rsid w:val="005C7F0A"/>
    <w:rsid w:val="005C7FA5"/>
    <w:rsid w:val="005D010C"/>
    <w:rsid w:val="005D02CD"/>
    <w:rsid w:val="005D0898"/>
    <w:rsid w:val="005D0BC0"/>
    <w:rsid w:val="005D0F26"/>
    <w:rsid w:val="005D11CE"/>
    <w:rsid w:val="005D12F2"/>
    <w:rsid w:val="005D16DF"/>
    <w:rsid w:val="005D19B8"/>
    <w:rsid w:val="005D1B2A"/>
    <w:rsid w:val="005D1B74"/>
    <w:rsid w:val="005D20D9"/>
    <w:rsid w:val="005D22B2"/>
    <w:rsid w:val="005D24D3"/>
    <w:rsid w:val="005D255A"/>
    <w:rsid w:val="005D2613"/>
    <w:rsid w:val="005D2639"/>
    <w:rsid w:val="005D2795"/>
    <w:rsid w:val="005D27DB"/>
    <w:rsid w:val="005D2CA3"/>
    <w:rsid w:val="005D2DE1"/>
    <w:rsid w:val="005D33CD"/>
    <w:rsid w:val="005D3529"/>
    <w:rsid w:val="005D37C3"/>
    <w:rsid w:val="005D385E"/>
    <w:rsid w:val="005D398D"/>
    <w:rsid w:val="005D3DBD"/>
    <w:rsid w:val="005D3ED0"/>
    <w:rsid w:val="005D40F4"/>
    <w:rsid w:val="005D4538"/>
    <w:rsid w:val="005D46BE"/>
    <w:rsid w:val="005D4B41"/>
    <w:rsid w:val="005D518E"/>
    <w:rsid w:val="005D52C8"/>
    <w:rsid w:val="005D5397"/>
    <w:rsid w:val="005D55EC"/>
    <w:rsid w:val="005D566F"/>
    <w:rsid w:val="005D5775"/>
    <w:rsid w:val="005D57B2"/>
    <w:rsid w:val="005D5902"/>
    <w:rsid w:val="005D594B"/>
    <w:rsid w:val="005D5AFB"/>
    <w:rsid w:val="005D5BA1"/>
    <w:rsid w:val="005D5FDA"/>
    <w:rsid w:val="005D60D2"/>
    <w:rsid w:val="005D6286"/>
    <w:rsid w:val="005D643F"/>
    <w:rsid w:val="005D65CD"/>
    <w:rsid w:val="005D66BF"/>
    <w:rsid w:val="005D6828"/>
    <w:rsid w:val="005D697E"/>
    <w:rsid w:val="005D69CF"/>
    <w:rsid w:val="005D6DA2"/>
    <w:rsid w:val="005D7006"/>
    <w:rsid w:val="005D7157"/>
    <w:rsid w:val="005D718F"/>
    <w:rsid w:val="005D7260"/>
    <w:rsid w:val="005D74B6"/>
    <w:rsid w:val="005D7603"/>
    <w:rsid w:val="005D76A6"/>
    <w:rsid w:val="005D77F9"/>
    <w:rsid w:val="005D7881"/>
    <w:rsid w:val="005D7A33"/>
    <w:rsid w:val="005D7D01"/>
    <w:rsid w:val="005D7EC9"/>
    <w:rsid w:val="005D7FE4"/>
    <w:rsid w:val="005E0838"/>
    <w:rsid w:val="005E09EE"/>
    <w:rsid w:val="005E09FB"/>
    <w:rsid w:val="005E0F97"/>
    <w:rsid w:val="005E12BE"/>
    <w:rsid w:val="005E12E8"/>
    <w:rsid w:val="005E1401"/>
    <w:rsid w:val="005E1528"/>
    <w:rsid w:val="005E1587"/>
    <w:rsid w:val="005E167E"/>
    <w:rsid w:val="005E18B2"/>
    <w:rsid w:val="005E18C1"/>
    <w:rsid w:val="005E19DD"/>
    <w:rsid w:val="005E1B0C"/>
    <w:rsid w:val="005E2775"/>
    <w:rsid w:val="005E299E"/>
    <w:rsid w:val="005E2B15"/>
    <w:rsid w:val="005E2CB0"/>
    <w:rsid w:val="005E3BD7"/>
    <w:rsid w:val="005E3D37"/>
    <w:rsid w:val="005E3FB3"/>
    <w:rsid w:val="005E400B"/>
    <w:rsid w:val="005E42B9"/>
    <w:rsid w:val="005E466F"/>
    <w:rsid w:val="005E469A"/>
    <w:rsid w:val="005E4742"/>
    <w:rsid w:val="005E4745"/>
    <w:rsid w:val="005E49B2"/>
    <w:rsid w:val="005E4AE8"/>
    <w:rsid w:val="005E4BFA"/>
    <w:rsid w:val="005E4E0D"/>
    <w:rsid w:val="005E4E54"/>
    <w:rsid w:val="005E515D"/>
    <w:rsid w:val="005E53C4"/>
    <w:rsid w:val="005E546A"/>
    <w:rsid w:val="005E5629"/>
    <w:rsid w:val="005E5695"/>
    <w:rsid w:val="005E56AC"/>
    <w:rsid w:val="005E5743"/>
    <w:rsid w:val="005E5A81"/>
    <w:rsid w:val="005E5DE7"/>
    <w:rsid w:val="005E6358"/>
    <w:rsid w:val="005E6604"/>
    <w:rsid w:val="005E673C"/>
    <w:rsid w:val="005E6884"/>
    <w:rsid w:val="005E6956"/>
    <w:rsid w:val="005E6A29"/>
    <w:rsid w:val="005E7468"/>
    <w:rsid w:val="005E75D8"/>
    <w:rsid w:val="005E76A6"/>
    <w:rsid w:val="005E77AA"/>
    <w:rsid w:val="005E7833"/>
    <w:rsid w:val="005E7C3F"/>
    <w:rsid w:val="005F07A1"/>
    <w:rsid w:val="005F0920"/>
    <w:rsid w:val="005F09E1"/>
    <w:rsid w:val="005F0AE8"/>
    <w:rsid w:val="005F0C26"/>
    <w:rsid w:val="005F0EA7"/>
    <w:rsid w:val="005F10FC"/>
    <w:rsid w:val="005F1304"/>
    <w:rsid w:val="005F154A"/>
    <w:rsid w:val="005F1603"/>
    <w:rsid w:val="005F1CCC"/>
    <w:rsid w:val="005F1F5A"/>
    <w:rsid w:val="005F1FD6"/>
    <w:rsid w:val="005F20A9"/>
    <w:rsid w:val="005F2515"/>
    <w:rsid w:val="005F2580"/>
    <w:rsid w:val="005F278F"/>
    <w:rsid w:val="005F2793"/>
    <w:rsid w:val="005F281A"/>
    <w:rsid w:val="005F2A6B"/>
    <w:rsid w:val="005F2CBD"/>
    <w:rsid w:val="005F2F97"/>
    <w:rsid w:val="005F2FB1"/>
    <w:rsid w:val="005F3163"/>
    <w:rsid w:val="005F3205"/>
    <w:rsid w:val="005F3366"/>
    <w:rsid w:val="005F3432"/>
    <w:rsid w:val="005F348C"/>
    <w:rsid w:val="005F34AA"/>
    <w:rsid w:val="005F34B9"/>
    <w:rsid w:val="005F3941"/>
    <w:rsid w:val="005F3992"/>
    <w:rsid w:val="005F3B65"/>
    <w:rsid w:val="005F408B"/>
    <w:rsid w:val="005F40C1"/>
    <w:rsid w:val="005F40E1"/>
    <w:rsid w:val="005F417E"/>
    <w:rsid w:val="005F43F1"/>
    <w:rsid w:val="005F4415"/>
    <w:rsid w:val="005F4586"/>
    <w:rsid w:val="005F4796"/>
    <w:rsid w:val="005F4837"/>
    <w:rsid w:val="005F49F2"/>
    <w:rsid w:val="005F4BFC"/>
    <w:rsid w:val="005F4D87"/>
    <w:rsid w:val="005F4EF6"/>
    <w:rsid w:val="005F5702"/>
    <w:rsid w:val="005F59B5"/>
    <w:rsid w:val="005F5F09"/>
    <w:rsid w:val="005F6121"/>
    <w:rsid w:val="005F6498"/>
    <w:rsid w:val="005F69DF"/>
    <w:rsid w:val="005F6DD2"/>
    <w:rsid w:val="005F6E0D"/>
    <w:rsid w:val="005F6E9F"/>
    <w:rsid w:val="005F6F22"/>
    <w:rsid w:val="005F70CA"/>
    <w:rsid w:val="005F70CB"/>
    <w:rsid w:val="005F7199"/>
    <w:rsid w:val="005F71B6"/>
    <w:rsid w:val="005F7240"/>
    <w:rsid w:val="005F7490"/>
    <w:rsid w:val="005F75C2"/>
    <w:rsid w:val="005F76B6"/>
    <w:rsid w:val="005F7704"/>
    <w:rsid w:val="005F778A"/>
    <w:rsid w:val="005F7A10"/>
    <w:rsid w:val="005F7D73"/>
    <w:rsid w:val="005F7D85"/>
    <w:rsid w:val="005F7EC6"/>
    <w:rsid w:val="005FCD9C"/>
    <w:rsid w:val="0060003B"/>
    <w:rsid w:val="00600276"/>
    <w:rsid w:val="006004BC"/>
    <w:rsid w:val="006008E0"/>
    <w:rsid w:val="00600A39"/>
    <w:rsid w:val="00600A8E"/>
    <w:rsid w:val="00600ACA"/>
    <w:rsid w:val="006010E8"/>
    <w:rsid w:val="00601459"/>
    <w:rsid w:val="006016BE"/>
    <w:rsid w:val="006017D9"/>
    <w:rsid w:val="00601A86"/>
    <w:rsid w:val="00601D65"/>
    <w:rsid w:val="00601E49"/>
    <w:rsid w:val="00601F51"/>
    <w:rsid w:val="00601FFE"/>
    <w:rsid w:val="006021D0"/>
    <w:rsid w:val="00602358"/>
    <w:rsid w:val="006024D3"/>
    <w:rsid w:val="006026DC"/>
    <w:rsid w:val="00602879"/>
    <w:rsid w:val="00602C2A"/>
    <w:rsid w:val="00602D81"/>
    <w:rsid w:val="00603190"/>
    <w:rsid w:val="006031CF"/>
    <w:rsid w:val="00603402"/>
    <w:rsid w:val="006034A5"/>
    <w:rsid w:val="00603657"/>
    <w:rsid w:val="00603705"/>
    <w:rsid w:val="00603760"/>
    <w:rsid w:val="00603B6F"/>
    <w:rsid w:val="00603BDC"/>
    <w:rsid w:val="00603D6C"/>
    <w:rsid w:val="006040A6"/>
    <w:rsid w:val="0060422A"/>
    <w:rsid w:val="0060423D"/>
    <w:rsid w:val="00604350"/>
    <w:rsid w:val="00604372"/>
    <w:rsid w:val="00604432"/>
    <w:rsid w:val="00604666"/>
    <w:rsid w:val="006046C4"/>
    <w:rsid w:val="0060486E"/>
    <w:rsid w:val="00604A75"/>
    <w:rsid w:val="00604ABA"/>
    <w:rsid w:val="00604B13"/>
    <w:rsid w:val="00605155"/>
    <w:rsid w:val="00605382"/>
    <w:rsid w:val="006055FB"/>
    <w:rsid w:val="00605642"/>
    <w:rsid w:val="00605667"/>
    <w:rsid w:val="006059CD"/>
    <w:rsid w:val="006059E8"/>
    <w:rsid w:val="00605A1E"/>
    <w:rsid w:val="00606075"/>
    <w:rsid w:val="00606148"/>
    <w:rsid w:val="00606329"/>
    <w:rsid w:val="006065DB"/>
    <w:rsid w:val="006067C2"/>
    <w:rsid w:val="00606A38"/>
    <w:rsid w:val="00606A74"/>
    <w:rsid w:val="00606BBD"/>
    <w:rsid w:val="00606C01"/>
    <w:rsid w:val="00606DD1"/>
    <w:rsid w:val="00606EF9"/>
    <w:rsid w:val="0060706A"/>
    <w:rsid w:val="00607758"/>
    <w:rsid w:val="00607A01"/>
    <w:rsid w:val="00607C81"/>
    <w:rsid w:val="00607D3B"/>
    <w:rsid w:val="00610122"/>
    <w:rsid w:val="006101EE"/>
    <w:rsid w:val="00610324"/>
    <w:rsid w:val="006103C3"/>
    <w:rsid w:val="00610504"/>
    <w:rsid w:val="00610582"/>
    <w:rsid w:val="00610674"/>
    <w:rsid w:val="0061081F"/>
    <w:rsid w:val="006108B2"/>
    <w:rsid w:val="0061090D"/>
    <w:rsid w:val="00610969"/>
    <w:rsid w:val="00610987"/>
    <w:rsid w:val="00610A45"/>
    <w:rsid w:val="00610D5E"/>
    <w:rsid w:val="006110E8"/>
    <w:rsid w:val="006112E3"/>
    <w:rsid w:val="0061134F"/>
    <w:rsid w:val="00611460"/>
    <w:rsid w:val="00611928"/>
    <w:rsid w:val="006119F5"/>
    <w:rsid w:val="00611B21"/>
    <w:rsid w:val="00611C59"/>
    <w:rsid w:val="00612087"/>
    <w:rsid w:val="00612602"/>
    <w:rsid w:val="00612A3D"/>
    <w:rsid w:val="00612CE6"/>
    <w:rsid w:val="00612F93"/>
    <w:rsid w:val="00612FF5"/>
    <w:rsid w:val="006133AC"/>
    <w:rsid w:val="00613444"/>
    <w:rsid w:val="00613467"/>
    <w:rsid w:val="00613512"/>
    <w:rsid w:val="00613AE9"/>
    <w:rsid w:val="00613CB9"/>
    <w:rsid w:val="00613D2A"/>
    <w:rsid w:val="00613EA3"/>
    <w:rsid w:val="006140B2"/>
    <w:rsid w:val="00614319"/>
    <w:rsid w:val="0061463B"/>
    <w:rsid w:val="00614A09"/>
    <w:rsid w:val="00614BAE"/>
    <w:rsid w:val="00615005"/>
    <w:rsid w:val="00615020"/>
    <w:rsid w:val="006150D5"/>
    <w:rsid w:val="006152A1"/>
    <w:rsid w:val="006153C1"/>
    <w:rsid w:val="00615552"/>
    <w:rsid w:val="0061579B"/>
    <w:rsid w:val="0061580D"/>
    <w:rsid w:val="00616087"/>
    <w:rsid w:val="006163BE"/>
    <w:rsid w:val="006163C4"/>
    <w:rsid w:val="006164A9"/>
    <w:rsid w:val="006164B4"/>
    <w:rsid w:val="006164D5"/>
    <w:rsid w:val="00616BE2"/>
    <w:rsid w:val="00616C56"/>
    <w:rsid w:val="00616D05"/>
    <w:rsid w:val="00616E32"/>
    <w:rsid w:val="006170AB"/>
    <w:rsid w:val="00617335"/>
    <w:rsid w:val="00617416"/>
    <w:rsid w:val="006175ED"/>
    <w:rsid w:val="006177F5"/>
    <w:rsid w:val="00617882"/>
    <w:rsid w:val="006178D8"/>
    <w:rsid w:val="00617989"/>
    <w:rsid w:val="00617B6C"/>
    <w:rsid w:val="00617BD0"/>
    <w:rsid w:val="00617E21"/>
    <w:rsid w:val="00617EE9"/>
    <w:rsid w:val="006200AA"/>
    <w:rsid w:val="0062027A"/>
    <w:rsid w:val="006206B6"/>
    <w:rsid w:val="0062095E"/>
    <w:rsid w:val="006209B7"/>
    <w:rsid w:val="0062110D"/>
    <w:rsid w:val="006216CE"/>
    <w:rsid w:val="00621B0D"/>
    <w:rsid w:val="00621B5C"/>
    <w:rsid w:val="00621B60"/>
    <w:rsid w:val="00621D0B"/>
    <w:rsid w:val="00621DA6"/>
    <w:rsid w:val="0062206B"/>
    <w:rsid w:val="006221C4"/>
    <w:rsid w:val="0062221A"/>
    <w:rsid w:val="00622301"/>
    <w:rsid w:val="0062239D"/>
    <w:rsid w:val="00622611"/>
    <w:rsid w:val="006226A2"/>
    <w:rsid w:val="006228C2"/>
    <w:rsid w:val="006229C6"/>
    <w:rsid w:val="00622AB4"/>
    <w:rsid w:val="00622FB7"/>
    <w:rsid w:val="00623092"/>
    <w:rsid w:val="006231CC"/>
    <w:rsid w:val="006233DD"/>
    <w:rsid w:val="00623454"/>
    <w:rsid w:val="0062398E"/>
    <w:rsid w:val="00623A9E"/>
    <w:rsid w:val="00623C9F"/>
    <w:rsid w:val="00624061"/>
    <w:rsid w:val="00624315"/>
    <w:rsid w:val="0062446D"/>
    <w:rsid w:val="006245AB"/>
    <w:rsid w:val="00624601"/>
    <w:rsid w:val="00624778"/>
    <w:rsid w:val="0062493C"/>
    <w:rsid w:val="00624B32"/>
    <w:rsid w:val="00624C41"/>
    <w:rsid w:val="00624D4A"/>
    <w:rsid w:val="00624FCF"/>
    <w:rsid w:val="006250F5"/>
    <w:rsid w:val="00625126"/>
    <w:rsid w:val="00625334"/>
    <w:rsid w:val="0062545B"/>
    <w:rsid w:val="0062552A"/>
    <w:rsid w:val="00625A21"/>
    <w:rsid w:val="00625B12"/>
    <w:rsid w:val="00625BC8"/>
    <w:rsid w:val="00625BDC"/>
    <w:rsid w:val="00625E7D"/>
    <w:rsid w:val="00625F83"/>
    <w:rsid w:val="00626023"/>
    <w:rsid w:val="00626122"/>
    <w:rsid w:val="006263CD"/>
    <w:rsid w:val="0062676F"/>
    <w:rsid w:val="006267CA"/>
    <w:rsid w:val="00626814"/>
    <w:rsid w:val="00626943"/>
    <w:rsid w:val="00626E7F"/>
    <w:rsid w:val="00626F33"/>
    <w:rsid w:val="00626FE1"/>
    <w:rsid w:val="0062726F"/>
    <w:rsid w:val="006273B3"/>
    <w:rsid w:val="00627588"/>
    <w:rsid w:val="0062762E"/>
    <w:rsid w:val="00627CBD"/>
    <w:rsid w:val="00627CEA"/>
    <w:rsid w:val="00627D40"/>
    <w:rsid w:val="00627E60"/>
    <w:rsid w:val="00627F3B"/>
    <w:rsid w:val="00627FB6"/>
    <w:rsid w:val="006301CB"/>
    <w:rsid w:val="00630496"/>
    <w:rsid w:val="00630509"/>
    <w:rsid w:val="00630736"/>
    <w:rsid w:val="006308C0"/>
    <w:rsid w:val="00630A25"/>
    <w:rsid w:val="00630A71"/>
    <w:rsid w:val="00630C8C"/>
    <w:rsid w:val="00630FC4"/>
    <w:rsid w:val="00631491"/>
    <w:rsid w:val="0063168F"/>
    <w:rsid w:val="00631BE6"/>
    <w:rsid w:val="00631D4D"/>
    <w:rsid w:val="00632709"/>
    <w:rsid w:val="00632C5D"/>
    <w:rsid w:val="00632DD2"/>
    <w:rsid w:val="00632E0E"/>
    <w:rsid w:val="00633068"/>
    <w:rsid w:val="006332BE"/>
    <w:rsid w:val="006333C5"/>
    <w:rsid w:val="006333CE"/>
    <w:rsid w:val="006336C7"/>
    <w:rsid w:val="00633738"/>
    <w:rsid w:val="00634018"/>
    <w:rsid w:val="0063401F"/>
    <w:rsid w:val="00634142"/>
    <w:rsid w:val="006347D5"/>
    <w:rsid w:val="00634A37"/>
    <w:rsid w:val="00634AC5"/>
    <w:rsid w:val="00634BF9"/>
    <w:rsid w:val="00634DE3"/>
    <w:rsid w:val="00634E44"/>
    <w:rsid w:val="00635245"/>
    <w:rsid w:val="006352ED"/>
    <w:rsid w:val="006352F5"/>
    <w:rsid w:val="0063554C"/>
    <w:rsid w:val="00635627"/>
    <w:rsid w:val="0063584B"/>
    <w:rsid w:val="0063672F"/>
    <w:rsid w:val="00636AF6"/>
    <w:rsid w:val="00636C80"/>
    <w:rsid w:val="00636D93"/>
    <w:rsid w:val="00636E52"/>
    <w:rsid w:val="00636E9E"/>
    <w:rsid w:val="00636F36"/>
    <w:rsid w:val="006372EF"/>
    <w:rsid w:val="006374CD"/>
    <w:rsid w:val="006378B6"/>
    <w:rsid w:val="00637A51"/>
    <w:rsid w:val="00637A93"/>
    <w:rsid w:val="00637B5F"/>
    <w:rsid w:val="00637C5B"/>
    <w:rsid w:val="00637E6A"/>
    <w:rsid w:val="00637F86"/>
    <w:rsid w:val="00637FD5"/>
    <w:rsid w:val="00640694"/>
    <w:rsid w:val="006408C3"/>
    <w:rsid w:val="006409E1"/>
    <w:rsid w:val="00640B9C"/>
    <w:rsid w:val="00640C81"/>
    <w:rsid w:val="00640D57"/>
    <w:rsid w:val="00640E65"/>
    <w:rsid w:val="006412CA"/>
    <w:rsid w:val="006412DC"/>
    <w:rsid w:val="0064154C"/>
    <w:rsid w:val="006415DB"/>
    <w:rsid w:val="00641672"/>
    <w:rsid w:val="006417EF"/>
    <w:rsid w:val="00641E07"/>
    <w:rsid w:val="00641F9D"/>
    <w:rsid w:val="006422AA"/>
    <w:rsid w:val="006422C5"/>
    <w:rsid w:val="00642309"/>
    <w:rsid w:val="00642317"/>
    <w:rsid w:val="00642640"/>
    <w:rsid w:val="006427EF"/>
    <w:rsid w:val="006428AF"/>
    <w:rsid w:val="0064290C"/>
    <w:rsid w:val="006429C1"/>
    <w:rsid w:val="00642A61"/>
    <w:rsid w:val="00642CFE"/>
    <w:rsid w:val="00642DA3"/>
    <w:rsid w:val="0064344A"/>
    <w:rsid w:val="00643456"/>
    <w:rsid w:val="0064352F"/>
    <w:rsid w:val="006436B7"/>
    <w:rsid w:val="0064398C"/>
    <w:rsid w:val="00643ACE"/>
    <w:rsid w:val="00643AFE"/>
    <w:rsid w:val="00643D89"/>
    <w:rsid w:val="006441C1"/>
    <w:rsid w:val="0064422B"/>
    <w:rsid w:val="006448C0"/>
    <w:rsid w:val="006449DC"/>
    <w:rsid w:val="00644AB3"/>
    <w:rsid w:val="00644B1E"/>
    <w:rsid w:val="00645369"/>
    <w:rsid w:val="006454BB"/>
    <w:rsid w:val="006454DE"/>
    <w:rsid w:val="006455E9"/>
    <w:rsid w:val="006457B9"/>
    <w:rsid w:val="0064587B"/>
    <w:rsid w:val="00645AB3"/>
    <w:rsid w:val="00645AF1"/>
    <w:rsid w:val="00645C0B"/>
    <w:rsid w:val="00645E70"/>
    <w:rsid w:val="00645E7F"/>
    <w:rsid w:val="0064605D"/>
    <w:rsid w:val="00646205"/>
    <w:rsid w:val="0064620D"/>
    <w:rsid w:val="00646A7E"/>
    <w:rsid w:val="00646C27"/>
    <w:rsid w:val="00646C9B"/>
    <w:rsid w:val="00646CE9"/>
    <w:rsid w:val="0064719A"/>
    <w:rsid w:val="006473B6"/>
    <w:rsid w:val="00647441"/>
    <w:rsid w:val="006475C0"/>
    <w:rsid w:val="006478EA"/>
    <w:rsid w:val="00647AA3"/>
    <w:rsid w:val="00647C14"/>
    <w:rsid w:val="00647C62"/>
    <w:rsid w:val="00647D19"/>
    <w:rsid w:val="00647E44"/>
    <w:rsid w:val="00650323"/>
    <w:rsid w:val="0065039B"/>
    <w:rsid w:val="006504B3"/>
    <w:rsid w:val="00650719"/>
    <w:rsid w:val="0065073F"/>
    <w:rsid w:val="00650994"/>
    <w:rsid w:val="00650B18"/>
    <w:rsid w:val="00650B7C"/>
    <w:rsid w:val="00650CCE"/>
    <w:rsid w:val="00650D18"/>
    <w:rsid w:val="0065131D"/>
    <w:rsid w:val="0065137B"/>
    <w:rsid w:val="006513C0"/>
    <w:rsid w:val="00651718"/>
    <w:rsid w:val="0065195E"/>
    <w:rsid w:val="006519DF"/>
    <w:rsid w:val="00651DE0"/>
    <w:rsid w:val="00651F0F"/>
    <w:rsid w:val="00652244"/>
    <w:rsid w:val="0065226B"/>
    <w:rsid w:val="006524AD"/>
    <w:rsid w:val="0065260E"/>
    <w:rsid w:val="006527CC"/>
    <w:rsid w:val="006527D1"/>
    <w:rsid w:val="006528C3"/>
    <w:rsid w:val="00652B24"/>
    <w:rsid w:val="00652C0B"/>
    <w:rsid w:val="00652D3E"/>
    <w:rsid w:val="00652FCA"/>
    <w:rsid w:val="006530C4"/>
    <w:rsid w:val="006531FB"/>
    <w:rsid w:val="00653419"/>
    <w:rsid w:val="006535CA"/>
    <w:rsid w:val="00653912"/>
    <w:rsid w:val="00653983"/>
    <w:rsid w:val="00653CB2"/>
    <w:rsid w:val="00653CD5"/>
    <w:rsid w:val="00653EE4"/>
    <w:rsid w:val="00654186"/>
    <w:rsid w:val="00654258"/>
    <w:rsid w:val="0065438F"/>
    <w:rsid w:val="0065451A"/>
    <w:rsid w:val="006545E3"/>
    <w:rsid w:val="006545E6"/>
    <w:rsid w:val="00654809"/>
    <w:rsid w:val="00654897"/>
    <w:rsid w:val="00654B2A"/>
    <w:rsid w:val="00655140"/>
    <w:rsid w:val="00655158"/>
    <w:rsid w:val="0065535C"/>
    <w:rsid w:val="006553F3"/>
    <w:rsid w:val="006554C2"/>
    <w:rsid w:val="0065577C"/>
    <w:rsid w:val="006557AA"/>
    <w:rsid w:val="00655A4B"/>
    <w:rsid w:val="00655D11"/>
    <w:rsid w:val="00656021"/>
    <w:rsid w:val="006560C0"/>
    <w:rsid w:val="006560F7"/>
    <w:rsid w:val="00656320"/>
    <w:rsid w:val="0065635C"/>
    <w:rsid w:val="00656515"/>
    <w:rsid w:val="006565E6"/>
    <w:rsid w:val="00656751"/>
    <w:rsid w:val="006568AF"/>
    <w:rsid w:val="00656976"/>
    <w:rsid w:val="00656A27"/>
    <w:rsid w:val="00656A94"/>
    <w:rsid w:val="00656E69"/>
    <w:rsid w:val="00656F2A"/>
    <w:rsid w:val="006572FE"/>
    <w:rsid w:val="00657323"/>
    <w:rsid w:val="00657649"/>
    <w:rsid w:val="006576AF"/>
    <w:rsid w:val="00657754"/>
    <w:rsid w:val="00657D34"/>
    <w:rsid w:val="00657F30"/>
    <w:rsid w:val="006601A9"/>
    <w:rsid w:val="006603A1"/>
    <w:rsid w:val="006603FA"/>
    <w:rsid w:val="00660604"/>
    <w:rsid w:val="00660AFF"/>
    <w:rsid w:val="00660C38"/>
    <w:rsid w:val="00660CB8"/>
    <w:rsid w:val="00660DD1"/>
    <w:rsid w:val="006611C3"/>
    <w:rsid w:val="00661307"/>
    <w:rsid w:val="0066156A"/>
    <w:rsid w:val="00661686"/>
    <w:rsid w:val="006616CC"/>
    <w:rsid w:val="006618AA"/>
    <w:rsid w:val="00661B00"/>
    <w:rsid w:val="00661F39"/>
    <w:rsid w:val="00662242"/>
    <w:rsid w:val="00662412"/>
    <w:rsid w:val="006625FD"/>
    <w:rsid w:val="006626E9"/>
    <w:rsid w:val="00662CCD"/>
    <w:rsid w:val="00662DFF"/>
    <w:rsid w:val="00662EAA"/>
    <w:rsid w:val="00662F73"/>
    <w:rsid w:val="0066308A"/>
    <w:rsid w:val="00663544"/>
    <w:rsid w:val="00663B82"/>
    <w:rsid w:val="00663FF4"/>
    <w:rsid w:val="006641DC"/>
    <w:rsid w:val="00664356"/>
    <w:rsid w:val="006643F6"/>
    <w:rsid w:val="00664AA5"/>
    <w:rsid w:val="00664CEC"/>
    <w:rsid w:val="00664D0D"/>
    <w:rsid w:val="00664DDC"/>
    <w:rsid w:val="00664E57"/>
    <w:rsid w:val="006651EE"/>
    <w:rsid w:val="00665266"/>
    <w:rsid w:val="0066563D"/>
    <w:rsid w:val="00665703"/>
    <w:rsid w:val="006658E1"/>
    <w:rsid w:val="00665939"/>
    <w:rsid w:val="00665B8F"/>
    <w:rsid w:val="00665CB0"/>
    <w:rsid w:val="00665CF6"/>
    <w:rsid w:val="00665FC6"/>
    <w:rsid w:val="00666476"/>
    <w:rsid w:val="00666CD3"/>
    <w:rsid w:val="0066709D"/>
    <w:rsid w:val="00667104"/>
    <w:rsid w:val="0066726C"/>
    <w:rsid w:val="0066763F"/>
    <w:rsid w:val="0066797B"/>
    <w:rsid w:val="00667A80"/>
    <w:rsid w:val="00667B00"/>
    <w:rsid w:val="00667B26"/>
    <w:rsid w:val="00667CBF"/>
    <w:rsid w:val="00667ED0"/>
    <w:rsid w:val="00667F6C"/>
    <w:rsid w:val="00667F9E"/>
    <w:rsid w:val="00667FB2"/>
    <w:rsid w:val="00670116"/>
    <w:rsid w:val="006703F8"/>
    <w:rsid w:val="0067062B"/>
    <w:rsid w:val="0067070D"/>
    <w:rsid w:val="00670C01"/>
    <w:rsid w:val="00670F21"/>
    <w:rsid w:val="00670F81"/>
    <w:rsid w:val="00671309"/>
    <w:rsid w:val="006718A3"/>
    <w:rsid w:val="006718DE"/>
    <w:rsid w:val="0067194F"/>
    <w:rsid w:val="00671D1B"/>
    <w:rsid w:val="00671E7B"/>
    <w:rsid w:val="0067202A"/>
    <w:rsid w:val="00672120"/>
    <w:rsid w:val="0067214A"/>
    <w:rsid w:val="00672285"/>
    <w:rsid w:val="00672632"/>
    <w:rsid w:val="00672A4E"/>
    <w:rsid w:val="00672C47"/>
    <w:rsid w:val="006730C4"/>
    <w:rsid w:val="006730FB"/>
    <w:rsid w:val="0067327D"/>
    <w:rsid w:val="00673352"/>
    <w:rsid w:val="00673374"/>
    <w:rsid w:val="0067353E"/>
    <w:rsid w:val="006736F3"/>
    <w:rsid w:val="00673843"/>
    <w:rsid w:val="006738B7"/>
    <w:rsid w:val="006738F7"/>
    <w:rsid w:val="00673E0B"/>
    <w:rsid w:val="00673F05"/>
    <w:rsid w:val="00674063"/>
    <w:rsid w:val="00674877"/>
    <w:rsid w:val="00674881"/>
    <w:rsid w:val="006749FA"/>
    <w:rsid w:val="00674BF5"/>
    <w:rsid w:val="00674CF6"/>
    <w:rsid w:val="00675011"/>
    <w:rsid w:val="006756B1"/>
    <w:rsid w:val="006756E6"/>
    <w:rsid w:val="00675872"/>
    <w:rsid w:val="006758CE"/>
    <w:rsid w:val="00675920"/>
    <w:rsid w:val="00675CC0"/>
    <w:rsid w:val="0067646D"/>
    <w:rsid w:val="0067665C"/>
    <w:rsid w:val="00676C3B"/>
    <w:rsid w:val="00676D28"/>
    <w:rsid w:val="00676D74"/>
    <w:rsid w:val="00676DDC"/>
    <w:rsid w:val="00676E15"/>
    <w:rsid w:val="00677016"/>
    <w:rsid w:val="0067707C"/>
    <w:rsid w:val="006770D5"/>
    <w:rsid w:val="006771E6"/>
    <w:rsid w:val="006774FA"/>
    <w:rsid w:val="0067767F"/>
    <w:rsid w:val="006776FB"/>
    <w:rsid w:val="00677749"/>
    <w:rsid w:val="0067791F"/>
    <w:rsid w:val="00677948"/>
    <w:rsid w:val="0067796F"/>
    <w:rsid w:val="00677BC1"/>
    <w:rsid w:val="00677DE1"/>
    <w:rsid w:val="006806C9"/>
    <w:rsid w:val="0068086C"/>
    <w:rsid w:val="00680874"/>
    <w:rsid w:val="0068096D"/>
    <w:rsid w:val="00680AFF"/>
    <w:rsid w:val="00680BC4"/>
    <w:rsid w:val="00680FE2"/>
    <w:rsid w:val="00680FFF"/>
    <w:rsid w:val="00681083"/>
    <w:rsid w:val="006811F9"/>
    <w:rsid w:val="0068141D"/>
    <w:rsid w:val="00681491"/>
    <w:rsid w:val="0068157B"/>
    <w:rsid w:val="006816C0"/>
    <w:rsid w:val="00681977"/>
    <w:rsid w:val="00681B9C"/>
    <w:rsid w:val="00681C5B"/>
    <w:rsid w:val="00681D8F"/>
    <w:rsid w:val="00682149"/>
    <w:rsid w:val="00682214"/>
    <w:rsid w:val="006825C7"/>
    <w:rsid w:val="006826F6"/>
    <w:rsid w:val="00682731"/>
    <w:rsid w:val="006827D7"/>
    <w:rsid w:val="00682AC7"/>
    <w:rsid w:val="00682ADB"/>
    <w:rsid w:val="00682B9E"/>
    <w:rsid w:val="00682E8E"/>
    <w:rsid w:val="00682FAE"/>
    <w:rsid w:val="00683048"/>
    <w:rsid w:val="006830D0"/>
    <w:rsid w:val="00683677"/>
    <w:rsid w:val="0068368C"/>
    <w:rsid w:val="006837D4"/>
    <w:rsid w:val="00683910"/>
    <w:rsid w:val="00683A0E"/>
    <w:rsid w:val="00683C95"/>
    <w:rsid w:val="00683D70"/>
    <w:rsid w:val="00683F83"/>
    <w:rsid w:val="0068446B"/>
    <w:rsid w:val="006847DE"/>
    <w:rsid w:val="00684C87"/>
    <w:rsid w:val="006851B1"/>
    <w:rsid w:val="006858E7"/>
    <w:rsid w:val="00685F93"/>
    <w:rsid w:val="0068650C"/>
    <w:rsid w:val="00686A71"/>
    <w:rsid w:val="00686CA2"/>
    <w:rsid w:val="00686DD9"/>
    <w:rsid w:val="00686E88"/>
    <w:rsid w:val="006870E5"/>
    <w:rsid w:val="006871A1"/>
    <w:rsid w:val="006872A4"/>
    <w:rsid w:val="006872AE"/>
    <w:rsid w:val="006873E5"/>
    <w:rsid w:val="006875C2"/>
    <w:rsid w:val="006877DD"/>
    <w:rsid w:val="0068781F"/>
    <w:rsid w:val="00687AEE"/>
    <w:rsid w:val="00687B26"/>
    <w:rsid w:val="00687D33"/>
    <w:rsid w:val="00690238"/>
    <w:rsid w:val="00690716"/>
    <w:rsid w:val="0069073A"/>
    <w:rsid w:val="00690EA6"/>
    <w:rsid w:val="00691081"/>
    <w:rsid w:val="006910F0"/>
    <w:rsid w:val="006911E4"/>
    <w:rsid w:val="0069123E"/>
    <w:rsid w:val="00691262"/>
    <w:rsid w:val="006916BE"/>
    <w:rsid w:val="00691913"/>
    <w:rsid w:val="00691A39"/>
    <w:rsid w:val="00691E0B"/>
    <w:rsid w:val="00691E88"/>
    <w:rsid w:val="00691F3D"/>
    <w:rsid w:val="006921AF"/>
    <w:rsid w:val="006922B1"/>
    <w:rsid w:val="006924F4"/>
    <w:rsid w:val="00692510"/>
    <w:rsid w:val="00692617"/>
    <w:rsid w:val="00692673"/>
    <w:rsid w:val="00692C10"/>
    <w:rsid w:val="00692D17"/>
    <w:rsid w:val="006930A7"/>
    <w:rsid w:val="00693399"/>
    <w:rsid w:val="006933B5"/>
    <w:rsid w:val="006934D1"/>
    <w:rsid w:val="00693584"/>
    <w:rsid w:val="0069358D"/>
    <w:rsid w:val="0069388E"/>
    <w:rsid w:val="006939C6"/>
    <w:rsid w:val="00693BA4"/>
    <w:rsid w:val="00693C63"/>
    <w:rsid w:val="00694218"/>
    <w:rsid w:val="00694434"/>
    <w:rsid w:val="00694585"/>
    <w:rsid w:val="0069459C"/>
    <w:rsid w:val="006946A4"/>
    <w:rsid w:val="00694782"/>
    <w:rsid w:val="006947EA"/>
    <w:rsid w:val="00694976"/>
    <w:rsid w:val="006950A9"/>
    <w:rsid w:val="00695198"/>
    <w:rsid w:val="0069524B"/>
    <w:rsid w:val="006953FD"/>
    <w:rsid w:val="00695409"/>
    <w:rsid w:val="00695505"/>
    <w:rsid w:val="00695518"/>
    <w:rsid w:val="006958F5"/>
    <w:rsid w:val="006959CC"/>
    <w:rsid w:val="00695B33"/>
    <w:rsid w:val="00695C51"/>
    <w:rsid w:val="00695C95"/>
    <w:rsid w:val="00696044"/>
    <w:rsid w:val="006964D1"/>
    <w:rsid w:val="0069695A"/>
    <w:rsid w:val="00696A15"/>
    <w:rsid w:val="00696D79"/>
    <w:rsid w:val="00696DBF"/>
    <w:rsid w:val="00696E1E"/>
    <w:rsid w:val="00696F20"/>
    <w:rsid w:val="00696F95"/>
    <w:rsid w:val="006972D2"/>
    <w:rsid w:val="0069737E"/>
    <w:rsid w:val="00697390"/>
    <w:rsid w:val="0069754B"/>
    <w:rsid w:val="0069756D"/>
    <w:rsid w:val="00697574"/>
    <w:rsid w:val="006979EA"/>
    <w:rsid w:val="00697AF8"/>
    <w:rsid w:val="00697C52"/>
    <w:rsid w:val="00697D5E"/>
    <w:rsid w:val="00697DC4"/>
    <w:rsid w:val="00697EBF"/>
    <w:rsid w:val="006A0ADF"/>
    <w:rsid w:val="006A0CDE"/>
    <w:rsid w:val="006A0DD1"/>
    <w:rsid w:val="006A0F31"/>
    <w:rsid w:val="006A0F9B"/>
    <w:rsid w:val="006A0FA2"/>
    <w:rsid w:val="006A11DA"/>
    <w:rsid w:val="006A1341"/>
    <w:rsid w:val="006A138B"/>
    <w:rsid w:val="006A151D"/>
    <w:rsid w:val="006A1569"/>
    <w:rsid w:val="006A15B9"/>
    <w:rsid w:val="006A1F35"/>
    <w:rsid w:val="006A1FF2"/>
    <w:rsid w:val="006A212A"/>
    <w:rsid w:val="006A2168"/>
    <w:rsid w:val="006A2170"/>
    <w:rsid w:val="006A2245"/>
    <w:rsid w:val="006A239A"/>
    <w:rsid w:val="006A23E5"/>
    <w:rsid w:val="006A2671"/>
    <w:rsid w:val="006A2A51"/>
    <w:rsid w:val="006A2A81"/>
    <w:rsid w:val="006A2BF1"/>
    <w:rsid w:val="006A2E86"/>
    <w:rsid w:val="006A2FC0"/>
    <w:rsid w:val="006A3187"/>
    <w:rsid w:val="006A3264"/>
    <w:rsid w:val="006A351E"/>
    <w:rsid w:val="006A3953"/>
    <w:rsid w:val="006A3BDA"/>
    <w:rsid w:val="006A3E8C"/>
    <w:rsid w:val="006A404D"/>
    <w:rsid w:val="006A45B5"/>
    <w:rsid w:val="006A4974"/>
    <w:rsid w:val="006A4B5B"/>
    <w:rsid w:val="006A4C1F"/>
    <w:rsid w:val="006A50AF"/>
    <w:rsid w:val="006A5416"/>
    <w:rsid w:val="006A561C"/>
    <w:rsid w:val="006A5630"/>
    <w:rsid w:val="006A56D5"/>
    <w:rsid w:val="006A59BE"/>
    <w:rsid w:val="006A5ADD"/>
    <w:rsid w:val="006A5D62"/>
    <w:rsid w:val="006A6270"/>
    <w:rsid w:val="006A6350"/>
    <w:rsid w:val="006A6458"/>
    <w:rsid w:val="006A64DB"/>
    <w:rsid w:val="006A68FC"/>
    <w:rsid w:val="006A6B63"/>
    <w:rsid w:val="006A6D91"/>
    <w:rsid w:val="006A7211"/>
    <w:rsid w:val="006A7511"/>
    <w:rsid w:val="006A7556"/>
    <w:rsid w:val="006A77EC"/>
    <w:rsid w:val="006A79D4"/>
    <w:rsid w:val="006A7A51"/>
    <w:rsid w:val="006A7FD9"/>
    <w:rsid w:val="006B0107"/>
    <w:rsid w:val="006B021C"/>
    <w:rsid w:val="006B02CB"/>
    <w:rsid w:val="006B03EA"/>
    <w:rsid w:val="006B0480"/>
    <w:rsid w:val="006B06BC"/>
    <w:rsid w:val="006B06E6"/>
    <w:rsid w:val="006B07AC"/>
    <w:rsid w:val="006B0BD2"/>
    <w:rsid w:val="006B0CA8"/>
    <w:rsid w:val="006B1121"/>
    <w:rsid w:val="006B11B1"/>
    <w:rsid w:val="006B140A"/>
    <w:rsid w:val="006B143F"/>
    <w:rsid w:val="006B1771"/>
    <w:rsid w:val="006B17F9"/>
    <w:rsid w:val="006B1A05"/>
    <w:rsid w:val="006B1BA3"/>
    <w:rsid w:val="006B1E2D"/>
    <w:rsid w:val="006B1E95"/>
    <w:rsid w:val="006B1F81"/>
    <w:rsid w:val="006B2392"/>
    <w:rsid w:val="006B241D"/>
    <w:rsid w:val="006B25DD"/>
    <w:rsid w:val="006B27BB"/>
    <w:rsid w:val="006B2A28"/>
    <w:rsid w:val="006B2BCF"/>
    <w:rsid w:val="006B2CFC"/>
    <w:rsid w:val="006B3002"/>
    <w:rsid w:val="006B308F"/>
    <w:rsid w:val="006B32AD"/>
    <w:rsid w:val="006B3326"/>
    <w:rsid w:val="006B3503"/>
    <w:rsid w:val="006B357C"/>
    <w:rsid w:val="006B38B2"/>
    <w:rsid w:val="006B3960"/>
    <w:rsid w:val="006B39A7"/>
    <w:rsid w:val="006B3BE5"/>
    <w:rsid w:val="006B3DF2"/>
    <w:rsid w:val="006B410B"/>
    <w:rsid w:val="006B494F"/>
    <w:rsid w:val="006B4BEF"/>
    <w:rsid w:val="006B4C3C"/>
    <w:rsid w:val="006B53A7"/>
    <w:rsid w:val="006B55A7"/>
    <w:rsid w:val="006B5978"/>
    <w:rsid w:val="006B5D29"/>
    <w:rsid w:val="006B5D7D"/>
    <w:rsid w:val="006B5FAC"/>
    <w:rsid w:val="006B6044"/>
    <w:rsid w:val="006B60FF"/>
    <w:rsid w:val="006B626D"/>
    <w:rsid w:val="006B678C"/>
    <w:rsid w:val="006B68F8"/>
    <w:rsid w:val="006B699A"/>
    <w:rsid w:val="006B6B7A"/>
    <w:rsid w:val="006B6D85"/>
    <w:rsid w:val="006B6DE4"/>
    <w:rsid w:val="006B70DD"/>
    <w:rsid w:val="006B7164"/>
    <w:rsid w:val="006B71EA"/>
    <w:rsid w:val="006B7352"/>
    <w:rsid w:val="006B73AE"/>
    <w:rsid w:val="006B73DC"/>
    <w:rsid w:val="006B77A0"/>
    <w:rsid w:val="006B77D0"/>
    <w:rsid w:val="006B7B17"/>
    <w:rsid w:val="006B7F27"/>
    <w:rsid w:val="006B7FCF"/>
    <w:rsid w:val="006C014A"/>
    <w:rsid w:val="006C0974"/>
    <w:rsid w:val="006C0B51"/>
    <w:rsid w:val="006C1055"/>
    <w:rsid w:val="006C144D"/>
    <w:rsid w:val="006C18FC"/>
    <w:rsid w:val="006C193B"/>
    <w:rsid w:val="006C2171"/>
    <w:rsid w:val="006C2F02"/>
    <w:rsid w:val="006C33EF"/>
    <w:rsid w:val="006C34C1"/>
    <w:rsid w:val="006C3A59"/>
    <w:rsid w:val="006C3ADB"/>
    <w:rsid w:val="006C3E79"/>
    <w:rsid w:val="006C3F15"/>
    <w:rsid w:val="006C4485"/>
    <w:rsid w:val="006C457C"/>
    <w:rsid w:val="006C4753"/>
    <w:rsid w:val="006C478F"/>
    <w:rsid w:val="006C488B"/>
    <w:rsid w:val="006C4906"/>
    <w:rsid w:val="006C4B8A"/>
    <w:rsid w:val="006C4E6F"/>
    <w:rsid w:val="006C504B"/>
    <w:rsid w:val="006C5296"/>
    <w:rsid w:val="006C52AE"/>
    <w:rsid w:val="006C5734"/>
    <w:rsid w:val="006C5935"/>
    <w:rsid w:val="006C5B02"/>
    <w:rsid w:val="006C5ED0"/>
    <w:rsid w:val="006C5F70"/>
    <w:rsid w:val="006C6044"/>
    <w:rsid w:val="006C6371"/>
    <w:rsid w:val="006C6767"/>
    <w:rsid w:val="006C688D"/>
    <w:rsid w:val="006C6AA6"/>
    <w:rsid w:val="006C6E57"/>
    <w:rsid w:val="006C6E88"/>
    <w:rsid w:val="006C7014"/>
    <w:rsid w:val="006C71B9"/>
    <w:rsid w:val="006C7241"/>
    <w:rsid w:val="006C72CA"/>
    <w:rsid w:val="006C7C32"/>
    <w:rsid w:val="006C7F0F"/>
    <w:rsid w:val="006D02DA"/>
    <w:rsid w:val="006D0579"/>
    <w:rsid w:val="006D0679"/>
    <w:rsid w:val="006D07E3"/>
    <w:rsid w:val="006D0B41"/>
    <w:rsid w:val="006D0C21"/>
    <w:rsid w:val="006D0D54"/>
    <w:rsid w:val="006D0E47"/>
    <w:rsid w:val="006D1234"/>
    <w:rsid w:val="006D1506"/>
    <w:rsid w:val="006D16E7"/>
    <w:rsid w:val="006D1A51"/>
    <w:rsid w:val="006D1B76"/>
    <w:rsid w:val="006D1CB6"/>
    <w:rsid w:val="006D1D35"/>
    <w:rsid w:val="006D238E"/>
    <w:rsid w:val="006D24DB"/>
    <w:rsid w:val="006D24E0"/>
    <w:rsid w:val="006D274E"/>
    <w:rsid w:val="006D2926"/>
    <w:rsid w:val="006D2AC5"/>
    <w:rsid w:val="006D2C9B"/>
    <w:rsid w:val="006D2F7B"/>
    <w:rsid w:val="006D2F92"/>
    <w:rsid w:val="006D303E"/>
    <w:rsid w:val="006D3271"/>
    <w:rsid w:val="006D330D"/>
    <w:rsid w:val="006D33C5"/>
    <w:rsid w:val="006D3480"/>
    <w:rsid w:val="006D3678"/>
    <w:rsid w:val="006D36D9"/>
    <w:rsid w:val="006D3774"/>
    <w:rsid w:val="006D381B"/>
    <w:rsid w:val="006D3AE2"/>
    <w:rsid w:val="006D3EA7"/>
    <w:rsid w:val="006D421B"/>
    <w:rsid w:val="006D44D7"/>
    <w:rsid w:val="006D4819"/>
    <w:rsid w:val="006D4CA9"/>
    <w:rsid w:val="006D4E1F"/>
    <w:rsid w:val="006D4ED5"/>
    <w:rsid w:val="006D52BD"/>
    <w:rsid w:val="006D5584"/>
    <w:rsid w:val="006D55A2"/>
    <w:rsid w:val="006D5D03"/>
    <w:rsid w:val="006D5EF7"/>
    <w:rsid w:val="006D5F43"/>
    <w:rsid w:val="006D648F"/>
    <w:rsid w:val="006D68C4"/>
    <w:rsid w:val="006D6987"/>
    <w:rsid w:val="006D6A62"/>
    <w:rsid w:val="006D6C3F"/>
    <w:rsid w:val="006D6C46"/>
    <w:rsid w:val="006D6D21"/>
    <w:rsid w:val="006D6FE6"/>
    <w:rsid w:val="006D703B"/>
    <w:rsid w:val="006D72D4"/>
    <w:rsid w:val="006D7554"/>
    <w:rsid w:val="006D764F"/>
    <w:rsid w:val="006D769D"/>
    <w:rsid w:val="006D7809"/>
    <w:rsid w:val="006D7ADC"/>
    <w:rsid w:val="006D7D25"/>
    <w:rsid w:val="006D7DD0"/>
    <w:rsid w:val="006E0395"/>
    <w:rsid w:val="006E0969"/>
    <w:rsid w:val="006E0BBC"/>
    <w:rsid w:val="006E0D07"/>
    <w:rsid w:val="006E1021"/>
    <w:rsid w:val="006E110E"/>
    <w:rsid w:val="006E111C"/>
    <w:rsid w:val="006E152E"/>
    <w:rsid w:val="006E1691"/>
    <w:rsid w:val="006E1790"/>
    <w:rsid w:val="006E17D6"/>
    <w:rsid w:val="006E19F8"/>
    <w:rsid w:val="006E1E6E"/>
    <w:rsid w:val="006E1EFA"/>
    <w:rsid w:val="006E1F03"/>
    <w:rsid w:val="006E1FB8"/>
    <w:rsid w:val="006E1FE0"/>
    <w:rsid w:val="006E25B5"/>
    <w:rsid w:val="006E25F6"/>
    <w:rsid w:val="006E281C"/>
    <w:rsid w:val="006E2AAF"/>
    <w:rsid w:val="006E2CFA"/>
    <w:rsid w:val="006E3132"/>
    <w:rsid w:val="006E3212"/>
    <w:rsid w:val="006E32A0"/>
    <w:rsid w:val="006E35E2"/>
    <w:rsid w:val="006E3688"/>
    <w:rsid w:val="006E378B"/>
    <w:rsid w:val="006E37E6"/>
    <w:rsid w:val="006E383D"/>
    <w:rsid w:val="006E3A6E"/>
    <w:rsid w:val="006E3CBF"/>
    <w:rsid w:val="006E3D18"/>
    <w:rsid w:val="006E3F03"/>
    <w:rsid w:val="006E40ED"/>
    <w:rsid w:val="006E4336"/>
    <w:rsid w:val="006E4409"/>
    <w:rsid w:val="006E499C"/>
    <w:rsid w:val="006E4C5B"/>
    <w:rsid w:val="006E4D19"/>
    <w:rsid w:val="006E4ED7"/>
    <w:rsid w:val="006E4F07"/>
    <w:rsid w:val="006E5702"/>
    <w:rsid w:val="006E5872"/>
    <w:rsid w:val="006E5975"/>
    <w:rsid w:val="006E597A"/>
    <w:rsid w:val="006E5BF5"/>
    <w:rsid w:val="006E60E9"/>
    <w:rsid w:val="006E63AC"/>
    <w:rsid w:val="006E6FC8"/>
    <w:rsid w:val="006E729D"/>
    <w:rsid w:val="006E7302"/>
    <w:rsid w:val="006E78DA"/>
    <w:rsid w:val="006E7BBA"/>
    <w:rsid w:val="006E7CB9"/>
    <w:rsid w:val="006E7FD8"/>
    <w:rsid w:val="006F0128"/>
    <w:rsid w:val="006F046E"/>
    <w:rsid w:val="006F067D"/>
    <w:rsid w:val="006F0AFA"/>
    <w:rsid w:val="006F0B0F"/>
    <w:rsid w:val="006F0B4E"/>
    <w:rsid w:val="006F0B91"/>
    <w:rsid w:val="006F0E94"/>
    <w:rsid w:val="006F0E9C"/>
    <w:rsid w:val="006F0F22"/>
    <w:rsid w:val="006F101A"/>
    <w:rsid w:val="006F10A1"/>
    <w:rsid w:val="006F11F9"/>
    <w:rsid w:val="006F13FC"/>
    <w:rsid w:val="006F143B"/>
    <w:rsid w:val="006F1467"/>
    <w:rsid w:val="006F1516"/>
    <w:rsid w:val="006F161E"/>
    <w:rsid w:val="006F162D"/>
    <w:rsid w:val="006F17CC"/>
    <w:rsid w:val="006F1B1B"/>
    <w:rsid w:val="006F1BB3"/>
    <w:rsid w:val="006F1D79"/>
    <w:rsid w:val="006F1FBA"/>
    <w:rsid w:val="006F21CC"/>
    <w:rsid w:val="006F2267"/>
    <w:rsid w:val="006F25F3"/>
    <w:rsid w:val="006F27D1"/>
    <w:rsid w:val="006F3054"/>
    <w:rsid w:val="006F3190"/>
    <w:rsid w:val="006F326E"/>
    <w:rsid w:val="006F32CD"/>
    <w:rsid w:val="006F33A8"/>
    <w:rsid w:val="006F33C6"/>
    <w:rsid w:val="006F350A"/>
    <w:rsid w:val="006F3657"/>
    <w:rsid w:val="006F3BA1"/>
    <w:rsid w:val="006F3E5D"/>
    <w:rsid w:val="006F3FA6"/>
    <w:rsid w:val="006F435C"/>
    <w:rsid w:val="006F4451"/>
    <w:rsid w:val="006F4721"/>
    <w:rsid w:val="006F48F5"/>
    <w:rsid w:val="006F4B6B"/>
    <w:rsid w:val="006F51AE"/>
    <w:rsid w:val="006F538D"/>
    <w:rsid w:val="006F5727"/>
    <w:rsid w:val="006F5F85"/>
    <w:rsid w:val="006F6126"/>
    <w:rsid w:val="006F64F3"/>
    <w:rsid w:val="006F679D"/>
    <w:rsid w:val="006F68F0"/>
    <w:rsid w:val="006F6BE8"/>
    <w:rsid w:val="006F6CBD"/>
    <w:rsid w:val="006F6DDD"/>
    <w:rsid w:val="006F7028"/>
    <w:rsid w:val="006F709C"/>
    <w:rsid w:val="006F7268"/>
    <w:rsid w:val="006F7528"/>
    <w:rsid w:val="006F761E"/>
    <w:rsid w:val="006F7A53"/>
    <w:rsid w:val="006F7BA9"/>
    <w:rsid w:val="006F7D25"/>
    <w:rsid w:val="006F7F84"/>
    <w:rsid w:val="006F7F91"/>
    <w:rsid w:val="007005F8"/>
    <w:rsid w:val="00700E71"/>
    <w:rsid w:val="00700F55"/>
    <w:rsid w:val="00700FE7"/>
    <w:rsid w:val="00701063"/>
    <w:rsid w:val="007012F3"/>
    <w:rsid w:val="007013F4"/>
    <w:rsid w:val="00701422"/>
    <w:rsid w:val="007015CD"/>
    <w:rsid w:val="007016E0"/>
    <w:rsid w:val="0070172C"/>
    <w:rsid w:val="007017F8"/>
    <w:rsid w:val="00701B14"/>
    <w:rsid w:val="00701BA2"/>
    <w:rsid w:val="00701C1A"/>
    <w:rsid w:val="00701C2D"/>
    <w:rsid w:val="00701C69"/>
    <w:rsid w:val="00701D07"/>
    <w:rsid w:val="00701E78"/>
    <w:rsid w:val="00702217"/>
    <w:rsid w:val="007022EB"/>
    <w:rsid w:val="0070261A"/>
    <w:rsid w:val="007026B5"/>
    <w:rsid w:val="0070272E"/>
    <w:rsid w:val="00702954"/>
    <w:rsid w:val="00702998"/>
    <w:rsid w:val="00702BB5"/>
    <w:rsid w:val="00702EEE"/>
    <w:rsid w:val="0070340A"/>
    <w:rsid w:val="00703418"/>
    <w:rsid w:val="0070343C"/>
    <w:rsid w:val="007038A9"/>
    <w:rsid w:val="00703C98"/>
    <w:rsid w:val="007040C5"/>
    <w:rsid w:val="00704465"/>
    <w:rsid w:val="0070459F"/>
    <w:rsid w:val="00704825"/>
    <w:rsid w:val="007048E6"/>
    <w:rsid w:val="00704CC5"/>
    <w:rsid w:val="00704E91"/>
    <w:rsid w:val="00704F17"/>
    <w:rsid w:val="0070521F"/>
    <w:rsid w:val="00705582"/>
    <w:rsid w:val="00705881"/>
    <w:rsid w:val="00705A03"/>
    <w:rsid w:val="00705B89"/>
    <w:rsid w:val="00705D04"/>
    <w:rsid w:val="00705EDE"/>
    <w:rsid w:val="00705FEE"/>
    <w:rsid w:val="007061AA"/>
    <w:rsid w:val="0070630B"/>
    <w:rsid w:val="007063D3"/>
    <w:rsid w:val="00706649"/>
    <w:rsid w:val="007067F8"/>
    <w:rsid w:val="00706B77"/>
    <w:rsid w:val="007075B8"/>
    <w:rsid w:val="007078E3"/>
    <w:rsid w:val="00707A3E"/>
    <w:rsid w:val="00707A97"/>
    <w:rsid w:val="00707C44"/>
    <w:rsid w:val="00707CA9"/>
    <w:rsid w:val="00707CBC"/>
    <w:rsid w:val="00707EA9"/>
    <w:rsid w:val="007100E6"/>
    <w:rsid w:val="00710485"/>
    <w:rsid w:val="00710545"/>
    <w:rsid w:val="0071058C"/>
    <w:rsid w:val="007105B6"/>
    <w:rsid w:val="007108F4"/>
    <w:rsid w:val="0071095D"/>
    <w:rsid w:val="007109D8"/>
    <w:rsid w:val="00710AC3"/>
    <w:rsid w:val="00710BD4"/>
    <w:rsid w:val="00710BD8"/>
    <w:rsid w:val="00710C05"/>
    <w:rsid w:val="00710D19"/>
    <w:rsid w:val="0071132B"/>
    <w:rsid w:val="00711512"/>
    <w:rsid w:val="00711540"/>
    <w:rsid w:val="00711544"/>
    <w:rsid w:val="007115E8"/>
    <w:rsid w:val="00711677"/>
    <w:rsid w:val="00711832"/>
    <w:rsid w:val="007118E7"/>
    <w:rsid w:val="00711A86"/>
    <w:rsid w:val="00711ED9"/>
    <w:rsid w:val="00712054"/>
    <w:rsid w:val="0071208A"/>
    <w:rsid w:val="007120F9"/>
    <w:rsid w:val="007122A9"/>
    <w:rsid w:val="007124BF"/>
    <w:rsid w:val="00712851"/>
    <w:rsid w:val="00712A70"/>
    <w:rsid w:val="00712C73"/>
    <w:rsid w:val="00713463"/>
    <w:rsid w:val="0071362E"/>
    <w:rsid w:val="007138E9"/>
    <w:rsid w:val="00713A30"/>
    <w:rsid w:val="00713A50"/>
    <w:rsid w:val="00713AE9"/>
    <w:rsid w:val="00713F12"/>
    <w:rsid w:val="00714113"/>
    <w:rsid w:val="00714308"/>
    <w:rsid w:val="007149D7"/>
    <w:rsid w:val="00714C2D"/>
    <w:rsid w:val="00714E0D"/>
    <w:rsid w:val="00714F39"/>
    <w:rsid w:val="00714F61"/>
    <w:rsid w:val="00714FAE"/>
    <w:rsid w:val="00715033"/>
    <w:rsid w:val="0071511C"/>
    <w:rsid w:val="007159C7"/>
    <w:rsid w:val="00715C93"/>
    <w:rsid w:val="00715E26"/>
    <w:rsid w:val="007161C2"/>
    <w:rsid w:val="00716262"/>
    <w:rsid w:val="0071646D"/>
    <w:rsid w:val="007167EF"/>
    <w:rsid w:val="007168E4"/>
    <w:rsid w:val="00716B42"/>
    <w:rsid w:val="00716B98"/>
    <w:rsid w:val="00716C02"/>
    <w:rsid w:val="00716C39"/>
    <w:rsid w:val="00716E72"/>
    <w:rsid w:val="007172CA"/>
    <w:rsid w:val="007173AC"/>
    <w:rsid w:val="007173D8"/>
    <w:rsid w:val="007175D5"/>
    <w:rsid w:val="00717809"/>
    <w:rsid w:val="00717923"/>
    <w:rsid w:val="00717B17"/>
    <w:rsid w:val="00717B9D"/>
    <w:rsid w:val="00717C8E"/>
    <w:rsid w:val="00717E0F"/>
    <w:rsid w:val="00717E8D"/>
    <w:rsid w:val="0072013C"/>
    <w:rsid w:val="0072038D"/>
    <w:rsid w:val="0072069C"/>
    <w:rsid w:val="007208B9"/>
    <w:rsid w:val="00720941"/>
    <w:rsid w:val="00720B26"/>
    <w:rsid w:val="00720D7D"/>
    <w:rsid w:val="00720E59"/>
    <w:rsid w:val="00720F5E"/>
    <w:rsid w:val="00721150"/>
    <w:rsid w:val="007211A1"/>
    <w:rsid w:val="00721266"/>
    <w:rsid w:val="00721551"/>
    <w:rsid w:val="007215DB"/>
    <w:rsid w:val="007215FB"/>
    <w:rsid w:val="007217AE"/>
    <w:rsid w:val="00721867"/>
    <w:rsid w:val="007218CA"/>
    <w:rsid w:val="0072190B"/>
    <w:rsid w:val="007219D9"/>
    <w:rsid w:val="00721B35"/>
    <w:rsid w:val="00722028"/>
    <w:rsid w:val="007220C7"/>
    <w:rsid w:val="00722107"/>
    <w:rsid w:val="00722446"/>
    <w:rsid w:val="00722A14"/>
    <w:rsid w:val="00722C2D"/>
    <w:rsid w:val="00722C4C"/>
    <w:rsid w:val="00723027"/>
    <w:rsid w:val="00723096"/>
    <w:rsid w:val="00723167"/>
    <w:rsid w:val="007231AA"/>
    <w:rsid w:val="007231D7"/>
    <w:rsid w:val="0072346C"/>
    <w:rsid w:val="007235F8"/>
    <w:rsid w:val="00723798"/>
    <w:rsid w:val="00723880"/>
    <w:rsid w:val="00723B00"/>
    <w:rsid w:val="00723C75"/>
    <w:rsid w:val="00723D1A"/>
    <w:rsid w:val="00723D41"/>
    <w:rsid w:val="00723E1E"/>
    <w:rsid w:val="00723ED5"/>
    <w:rsid w:val="00724391"/>
    <w:rsid w:val="007243D9"/>
    <w:rsid w:val="00724502"/>
    <w:rsid w:val="0072476D"/>
    <w:rsid w:val="007249EE"/>
    <w:rsid w:val="00724C22"/>
    <w:rsid w:val="00724F02"/>
    <w:rsid w:val="00724F15"/>
    <w:rsid w:val="007250AF"/>
    <w:rsid w:val="007251B6"/>
    <w:rsid w:val="007253EA"/>
    <w:rsid w:val="00725419"/>
    <w:rsid w:val="007256E1"/>
    <w:rsid w:val="00725B22"/>
    <w:rsid w:val="00725B65"/>
    <w:rsid w:val="00725F7D"/>
    <w:rsid w:val="0072602F"/>
    <w:rsid w:val="007260D5"/>
    <w:rsid w:val="00726252"/>
    <w:rsid w:val="0072626C"/>
    <w:rsid w:val="00726344"/>
    <w:rsid w:val="007264C9"/>
    <w:rsid w:val="0072685C"/>
    <w:rsid w:val="00726DE4"/>
    <w:rsid w:val="00726EE1"/>
    <w:rsid w:val="007273F1"/>
    <w:rsid w:val="00727705"/>
    <w:rsid w:val="0072776F"/>
    <w:rsid w:val="0072792E"/>
    <w:rsid w:val="00727A18"/>
    <w:rsid w:val="00727B24"/>
    <w:rsid w:val="00727D6B"/>
    <w:rsid w:val="00727E2B"/>
    <w:rsid w:val="00727F80"/>
    <w:rsid w:val="00727FB1"/>
    <w:rsid w:val="007302AB"/>
    <w:rsid w:val="00730443"/>
    <w:rsid w:val="00730A04"/>
    <w:rsid w:val="00730C46"/>
    <w:rsid w:val="00730D43"/>
    <w:rsid w:val="00730D7F"/>
    <w:rsid w:val="007311F4"/>
    <w:rsid w:val="007313B5"/>
    <w:rsid w:val="00731506"/>
    <w:rsid w:val="00731BC0"/>
    <w:rsid w:val="00731D53"/>
    <w:rsid w:val="00731E40"/>
    <w:rsid w:val="00731FFF"/>
    <w:rsid w:val="00732178"/>
    <w:rsid w:val="00732500"/>
    <w:rsid w:val="0073257B"/>
    <w:rsid w:val="0073262B"/>
    <w:rsid w:val="007326B9"/>
    <w:rsid w:val="00732724"/>
    <w:rsid w:val="00732C91"/>
    <w:rsid w:val="00732E05"/>
    <w:rsid w:val="00732E80"/>
    <w:rsid w:val="00732F28"/>
    <w:rsid w:val="0073302B"/>
    <w:rsid w:val="007332F7"/>
    <w:rsid w:val="007333C1"/>
    <w:rsid w:val="00733682"/>
    <w:rsid w:val="007336D8"/>
    <w:rsid w:val="00733724"/>
    <w:rsid w:val="00733775"/>
    <w:rsid w:val="007337F3"/>
    <w:rsid w:val="00733A89"/>
    <w:rsid w:val="00733DEA"/>
    <w:rsid w:val="00733F01"/>
    <w:rsid w:val="00734651"/>
    <w:rsid w:val="00734BFC"/>
    <w:rsid w:val="00734D4A"/>
    <w:rsid w:val="00734FB4"/>
    <w:rsid w:val="00735454"/>
    <w:rsid w:val="007354B5"/>
    <w:rsid w:val="0073553A"/>
    <w:rsid w:val="00735846"/>
    <w:rsid w:val="00735A53"/>
    <w:rsid w:val="00735AF8"/>
    <w:rsid w:val="00735CAF"/>
    <w:rsid w:val="00735E01"/>
    <w:rsid w:val="00735FE1"/>
    <w:rsid w:val="007361E7"/>
    <w:rsid w:val="00736255"/>
    <w:rsid w:val="0073627E"/>
    <w:rsid w:val="00736395"/>
    <w:rsid w:val="007363E3"/>
    <w:rsid w:val="00736446"/>
    <w:rsid w:val="00736475"/>
    <w:rsid w:val="00736718"/>
    <w:rsid w:val="007367E0"/>
    <w:rsid w:val="007369E9"/>
    <w:rsid w:val="00736D86"/>
    <w:rsid w:val="00736E46"/>
    <w:rsid w:val="007370FF"/>
    <w:rsid w:val="0073724E"/>
    <w:rsid w:val="00737302"/>
    <w:rsid w:val="00737381"/>
    <w:rsid w:val="00737763"/>
    <w:rsid w:val="00737D75"/>
    <w:rsid w:val="00737F81"/>
    <w:rsid w:val="00740278"/>
    <w:rsid w:val="0074029C"/>
    <w:rsid w:val="00740691"/>
    <w:rsid w:val="007408EF"/>
    <w:rsid w:val="007408F2"/>
    <w:rsid w:val="00740BA2"/>
    <w:rsid w:val="00740C0D"/>
    <w:rsid w:val="00740F68"/>
    <w:rsid w:val="00740F72"/>
    <w:rsid w:val="007410EC"/>
    <w:rsid w:val="00741156"/>
    <w:rsid w:val="0074166F"/>
    <w:rsid w:val="0074173C"/>
    <w:rsid w:val="00741CA9"/>
    <w:rsid w:val="007421D4"/>
    <w:rsid w:val="00742318"/>
    <w:rsid w:val="00742360"/>
    <w:rsid w:val="00742512"/>
    <w:rsid w:val="007426A8"/>
    <w:rsid w:val="0074295B"/>
    <w:rsid w:val="00742A37"/>
    <w:rsid w:val="00742CA9"/>
    <w:rsid w:val="00742ED4"/>
    <w:rsid w:val="007431E2"/>
    <w:rsid w:val="007431E5"/>
    <w:rsid w:val="0074322B"/>
    <w:rsid w:val="007432E0"/>
    <w:rsid w:val="0074349D"/>
    <w:rsid w:val="007434F4"/>
    <w:rsid w:val="00743A1C"/>
    <w:rsid w:val="00743B80"/>
    <w:rsid w:val="00743DBF"/>
    <w:rsid w:val="007441EC"/>
    <w:rsid w:val="00744201"/>
    <w:rsid w:val="00744331"/>
    <w:rsid w:val="007446E7"/>
    <w:rsid w:val="0074473C"/>
    <w:rsid w:val="00744745"/>
    <w:rsid w:val="007448E9"/>
    <w:rsid w:val="00744D8B"/>
    <w:rsid w:val="00745548"/>
    <w:rsid w:val="007457D3"/>
    <w:rsid w:val="007457E1"/>
    <w:rsid w:val="007457ED"/>
    <w:rsid w:val="00745811"/>
    <w:rsid w:val="0074597E"/>
    <w:rsid w:val="00745BE2"/>
    <w:rsid w:val="00746637"/>
    <w:rsid w:val="00746BDC"/>
    <w:rsid w:val="00746F07"/>
    <w:rsid w:val="00747109"/>
    <w:rsid w:val="00747177"/>
    <w:rsid w:val="007471ED"/>
    <w:rsid w:val="00747218"/>
    <w:rsid w:val="00747380"/>
    <w:rsid w:val="007473E7"/>
    <w:rsid w:val="00747C80"/>
    <w:rsid w:val="00747CDF"/>
    <w:rsid w:val="00747DBE"/>
    <w:rsid w:val="00747DE1"/>
    <w:rsid w:val="00747DE3"/>
    <w:rsid w:val="007501FB"/>
    <w:rsid w:val="007503C5"/>
    <w:rsid w:val="007503F0"/>
    <w:rsid w:val="00750420"/>
    <w:rsid w:val="007504D4"/>
    <w:rsid w:val="00750692"/>
    <w:rsid w:val="00750704"/>
    <w:rsid w:val="007507D6"/>
    <w:rsid w:val="0075082C"/>
    <w:rsid w:val="007509A6"/>
    <w:rsid w:val="00750B5A"/>
    <w:rsid w:val="00750B65"/>
    <w:rsid w:val="00750BF9"/>
    <w:rsid w:val="00750D4D"/>
    <w:rsid w:val="00750EA8"/>
    <w:rsid w:val="00750F2C"/>
    <w:rsid w:val="00751120"/>
    <w:rsid w:val="007513A5"/>
    <w:rsid w:val="007514E3"/>
    <w:rsid w:val="00751564"/>
    <w:rsid w:val="00751670"/>
    <w:rsid w:val="007516D7"/>
    <w:rsid w:val="0075184E"/>
    <w:rsid w:val="00751BC2"/>
    <w:rsid w:val="00751C6B"/>
    <w:rsid w:val="00751EC0"/>
    <w:rsid w:val="00751F15"/>
    <w:rsid w:val="0075238C"/>
    <w:rsid w:val="0075257B"/>
    <w:rsid w:val="0075269F"/>
    <w:rsid w:val="00752857"/>
    <w:rsid w:val="007528AF"/>
    <w:rsid w:val="0075294C"/>
    <w:rsid w:val="007529DB"/>
    <w:rsid w:val="00752C09"/>
    <w:rsid w:val="00753170"/>
    <w:rsid w:val="00753351"/>
    <w:rsid w:val="007534C5"/>
    <w:rsid w:val="007534F1"/>
    <w:rsid w:val="00753D2C"/>
    <w:rsid w:val="00753D4F"/>
    <w:rsid w:val="00753FE5"/>
    <w:rsid w:val="00754096"/>
    <w:rsid w:val="0075473F"/>
    <w:rsid w:val="00754828"/>
    <w:rsid w:val="00754B0A"/>
    <w:rsid w:val="00754BDA"/>
    <w:rsid w:val="00754C10"/>
    <w:rsid w:val="00754E42"/>
    <w:rsid w:val="00754E85"/>
    <w:rsid w:val="00755029"/>
    <w:rsid w:val="007551D4"/>
    <w:rsid w:val="0075552D"/>
    <w:rsid w:val="007558FA"/>
    <w:rsid w:val="00755DD4"/>
    <w:rsid w:val="00756054"/>
    <w:rsid w:val="007560BF"/>
    <w:rsid w:val="00756178"/>
    <w:rsid w:val="007568E1"/>
    <w:rsid w:val="00756A47"/>
    <w:rsid w:val="00756AD4"/>
    <w:rsid w:val="00756B38"/>
    <w:rsid w:val="00756CF8"/>
    <w:rsid w:val="00756EAD"/>
    <w:rsid w:val="0075703F"/>
    <w:rsid w:val="007571CA"/>
    <w:rsid w:val="00757209"/>
    <w:rsid w:val="00757290"/>
    <w:rsid w:val="0075742D"/>
    <w:rsid w:val="00757578"/>
    <w:rsid w:val="00757588"/>
    <w:rsid w:val="007576B2"/>
    <w:rsid w:val="00757787"/>
    <w:rsid w:val="00757808"/>
    <w:rsid w:val="00757AD4"/>
    <w:rsid w:val="00757B97"/>
    <w:rsid w:val="00757B99"/>
    <w:rsid w:val="00757C96"/>
    <w:rsid w:val="00760236"/>
    <w:rsid w:val="00760247"/>
    <w:rsid w:val="007603B7"/>
    <w:rsid w:val="00760494"/>
    <w:rsid w:val="0076066A"/>
    <w:rsid w:val="007606C5"/>
    <w:rsid w:val="00760842"/>
    <w:rsid w:val="00760AAD"/>
    <w:rsid w:val="00760DA6"/>
    <w:rsid w:val="00760E02"/>
    <w:rsid w:val="00761489"/>
    <w:rsid w:val="007614C1"/>
    <w:rsid w:val="0076171B"/>
    <w:rsid w:val="0076177F"/>
    <w:rsid w:val="007617A9"/>
    <w:rsid w:val="0076187E"/>
    <w:rsid w:val="007618F3"/>
    <w:rsid w:val="00762124"/>
    <w:rsid w:val="007621DD"/>
    <w:rsid w:val="00762373"/>
    <w:rsid w:val="007625C8"/>
    <w:rsid w:val="00762683"/>
    <w:rsid w:val="007628DF"/>
    <w:rsid w:val="00762A43"/>
    <w:rsid w:val="00762B2C"/>
    <w:rsid w:val="00762B97"/>
    <w:rsid w:val="00762BAA"/>
    <w:rsid w:val="00762D5F"/>
    <w:rsid w:val="00763458"/>
    <w:rsid w:val="0076387E"/>
    <w:rsid w:val="00763C00"/>
    <w:rsid w:val="00763EC8"/>
    <w:rsid w:val="00763F48"/>
    <w:rsid w:val="00763FE9"/>
    <w:rsid w:val="007641AB"/>
    <w:rsid w:val="0076446C"/>
    <w:rsid w:val="007644F0"/>
    <w:rsid w:val="00764538"/>
    <w:rsid w:val="0076493B"/>
    <w:rsid w:val="007649AD"/>
    <w:rsid w:val="007649B5"/>
    <w:rsid w:val="00765049"/>
    <w:rsid w:val="00765304"/>
    <w:rsid w:val="007654A3"/>
    <w:rsid w:val="00765681"/>
    <w:rsid w:val="007656C8"/>
    <w:rsid w:val="0076596D"/>
    <w:rsid w:val="00765A1A"/>
    <w:rsid w:val="00765D19"/>
    <w:rsid w:val="00765DC7"/>
    <w:rsid w:val="00765EF4"/>
    <w:rsid w:val="0076631A"/>
    <w:rsid w:val="0076648E"/>
    <w:rsid w:val="0076652E"/>
    <w:rsid w:val="00766580"/>
    <w:rsid w:val="007666C1"/>
    <w:rsid w:val="007667BD"/>
    <w:rsid w:val="0076688F"/>
    <w:rsid w:val="00766AC8"/>
    <w:rsid w:val="00766BE9"/>
    <w:rsid w:val="00766F6D"/>
    <w:rsid w:val="007671DA"/>
    <w:rsid w:val="00767744"/>
    <w:rsid w:val="00767E73"/>
    <w:rsid w:val="00767F8D"/>
    <w:rsid w:val="00770157"/>
    <w:rsid w:val="007704F5"/>
    <w:rsid w:val="007705DC"/>
    <w:rsid w:val="00770966"/>
    <w:rsid w:val="00770989"/>
    <w:rsid w:val="00770F2F"/>
    <w:rsid w:val="00770F5E"/>
    <w:rsid w:val="00770F6E"/>
    <w:rsid w:val="00771258"/>
    <w:rsid w:val="00771323"/>
    <w:rsid w:val="007716B7"/>
    <w:rsid w:val="00771718"/>
    <w:rsid w:val="00771CD5"/>
    <w:rsid w:val="00771E09"/>
    <w:rsid w:val="007722D3"/>
    <w:rsid w:val="00772429"/>
    <w:rsid w:val="00772577"/>
    <w:rsid w:val="0077267E"/>
    <w:rsid w:val="00772686"/>
    <w:rsid w:val="007728AD"/>
    <w:rsid w:val="00772B84"/>
    <w:rsid w:val="00772B98"/>
    <w:rsid w:val="00772C70"/>
    <w:rsid w:val="00772C7C"/>
    <w:rsid w:val="00772D45"/>
    <w:rsid w:val="00772F67"/>
    <w:rsid w:val="00772FA0"/>
    <w:rsid w:val="00773296"/>
    <w:rsid w:val="007734F6"/>
    <w:rsid w:val="00773726"/>
    <w:rsid w:val="007738F9"/>
    <w:rsid w:val="00773C44"/>
    <w:rsid w:val="007740AA"/>
    <w:rsid w:val="00774383"/>
    <w:rsid w:val="0077441A"/>
    <w:rsid w:val="007745AC"/>
    <w:rsid w:val="007747E9"/>
    <w:rsid w:val="0077491C"/>
    <w:rsid w:val="00774960"/>
    <w:rsid w:val="00775485"/>
    <w:rsid w:val="0077548D"/>
    <w:rsid w:val="007759DE"/>
    <w:rsid w:val="00775A00"/>
    <w:rsid w:val="00775A0F"/>
    <w:rsid w:val="00775A4F"/>
    <w:rsid w:val="00775E86"/>
    <w:rsid w:val="00776081"/>
    <w:rsid w:val="007760CD"/>
    <w:rsid w:val="0077635B"/>
    <w:rsid w:val="00776696"/>
    <w:rsid w:val="0077676F"/>
    <w:rsid w:val="0077689E"/>
    <w:rsid w:val="00776902"/>
    <w:rsid w:val="00776D44"/>
    <w:rsid w:val="00776DC2"/>
    <w:rsid w:val="00776DFA"/>
    <w:rsid w:val="00776EA3"/>
    <w:rsid w:val="00776EAA"/>
    <w:rsid w:val="00776EF4"/>
    <w:rsid w:val="00777082"/>
    <w:rsid w:val="0077759C"/>
    <w:rsid w:val="007777F0"/>
    <w:rsid w:val="00777808"/>
    <w:rsid w:val="00777FDE"/>
    <w:rsid w:val="00780317"/>
    <w:rsid w:val="007806C5"/>
    <w:rsid w:val="00780A2B"/>
    <w:rsid w:val="00780B21"/>
    <w:rsid w:val="00780C1B"/>
    <w:rsid w:val="0078129F"/>
    <w:rsid w:val="007815D5"/>
    <w:rsid w:val="00781777"/>
    <w:rsid w:val="007817C2"/>
    <w:rsid w:val="007817EF"/>
    <w:rsid w:val="00781C8E"/>
    <w:rsid w:val="00781D18"/>
    <w:rsid w:val="00781EC7"/>
    <w:rsid w:val="00781ED0"/>
    <w:rsid w:val="00781EF2"/>
    <w:rsid w:val="00781F4B"/>
    <w:rsid w:val="00781FF9"/>
    <w:rsid w:val="00782043"/>
    <w:rsid w:val="0078218C"/>
    <w:rsid w:val="007821B5"/>
    <w:rsid w:val="007821E7"/>
    <w:rsid w:val="00782688"/>
    <w:rsid w:val="0078283F"/>
    <w:rsid w:val="007828D1"/>
    <w:rsid w:val="00782993"/>
    <w:rsid w:val="0078299E"/>
    <w:rsid w:val="00782F9B"/>
    <w:rsid w:val="0078334F"/>
    <w:rsid w:val="00783918"/>
    <w:rsid w:val="00783A00"/>
    <w:rsid w:val="00783A33"/>
    <w:rsid w:val="00783BA2"/>
    <w:rsid w:val="00783C57"/>
    <w:rsid w:val="00783D95"/>
    <w:rsid w:val="00783E67"/>
    <w:rsid w:val="00783FCC"/>
    <w:rsid w:val="00784266"/>
    <w:rsid w:val="0078436D"/>
    <w:rsid w:val="007847D6"/>
    <w:rsid w:val="007847FA"/>
    <w:rsid w:val="007847FC"/>
    <w:rsid w:val="00784944"/>
    <w:rsid w:val="00784B6E"/>
    <w:rsid w:val="007852D6"/>
    <w:rsid w:val="00785549"/>
    <w:rsid w:val="0078580A"/>
    <w:rsid w:val="0078580E"/>
    <w:rsid w:val="00785883"/>
    <w:rsid w:val="00785992"/>
    <w:rsid w:val="00785C13"/>
    <w:rsid w:val="00785E7F"/>
    <w:rsid w:val="00785FE0"/>
    <w:rsid w:val="00786243"/>
    <w:rsid w:val="007863E8"/>
    <w:rsid w:val="00786702"/>
    <w:rsid w:val="00786837"/>
    <w:rsid w:val="00786E65"/>
    <w:rsid w:val="00787085"/>
    <w:rsid w:val="00787332"/>
    <w:rsid w:val="007875D0"/>
    <w:rsid w:val="007878BA"/>
    <w:rsid w:val="00787A52"/>
    <w:rsid w:val="00787C78"/>
    <w:rsid w:val="00787FF9"/>
    <w:rsid w:val="00790019"/>
    <w:rsid w:val="0079028F"/>
    <w:rsid w:val="0079039F"/>
    <w:rsid w:val="00790910"/>
    <w:rsid w:val="00790912"/>
    <w:rsid w:val="00790964"/>
    <w:rsid w:val="007909A5"/>
    <w:rsid w:val="00790C20"/>
    <w:rsid w:val="00790DEC"/>
    <w:rsid w:val="00791123"/>
    <w:rsid w:val="00791126"/>
    <w:rsid w:val="007912EF"/>
    <w:rsid w:val="00791398"/>
    <w:rsid w:val="0079145B"/>
    <w:rsid w:val="007917FC"/>
    <w:rsid w:val="00791DE1"/>
    <w:rsid w:val="00791EE5"/>
    <w:rsid w:val="0079212D"/>
    <w:rsid w:val="007924D8"/>
    <w:rsid w:val="00792757"/>
    <w:rsid w:val="00792A29"/>
    <w:rsid w:val="00792A77"/>
    <w:rsid w:val="00792A7B"/>
    <w:rsid w:val="00792B9B"/>
    <w:rsid w:val="00792D63"/>
    <w:rsid w:val="007934A1"/>
    <w:rsid w:val="007934EC"/>
    <w:rsid w:val="007934FE"/>
    <w:rsid w:val="00793742"/>
    <w:rsid w:val="0079375E"/>
    <w:rsid w:val="007939CE"/>
    <w:rsid w:val="00793A59"/>
    <w:rsid w:val="00793BB6"/>
    <w:rsid w:val="00793CEE"/>
    <w:rsid w:val="00793D53"/>
    <w:rsid w:val="00793FF0"/>
    <w:rsid w:val="00794150"/>
    <w:rsid w:val="007942DB"/>
    <w:rsid w:val="0079441F"/>
    <w:rsid w:val="007944B9"/>
    <w:rsid w:val="007945F4"/>
    <w:rsid w:val="00794639"/>
    <w:rsid w:val="00794863"/>
    <w:rsid w:val="007948A7"/>
    <w:rsid w:val="00794936"/>
    <w:rsid w:val="00794ABC"/>
    <w:rsid w:val="00794BF1"/>
    <w:rsid w:val="00794D10"/>
    <w:rsid w:val="00794D28"/>
    <w:rsid w:val="00794F45"/>
    <w:rsid w:val="00795037"/>
    <w:rsid w:val="007950C2"/>
    <w:rsid w:val="0079515E"/>
    <w:rsid w:val="007952AF"/>
    <w:rsid w:val="007955A5"/>
    <w:rsid w:val="007956B2"/>
    <w:rsid w:val="00795AFF"/>
    <w:rsid w:val="00795BC0"/>
    <w:rsid w:val="00795C13"/>
    <w:rsid w:val="00795C53"/>
    <w:rsid w:val="00795E90"/>
    <w:rsid w:val="007961E7"/>
    <w:rsid w:val="007963C4"/>
    <w:rsid w:val="007965C3"/>
    <w:rsid w:val="00796602"/>
    <w:rsid w:val="00796730"/>
    <w:rsid w:val="00796919"/>
    <w:rsid w:val="00796AF4"/>
    <w:rsid w:val="00796BCD"/>
    <w:rsid w:val="007973C4"/>
    <w:rsid w:val="00797487"/>
    <w:rsid w:val="00797619"/>
    <w:rsid w:val="00797692"/>
    <w:rsid w:val="00797BB2"/>
    <w:rsid w:val="00797D36"/>
    <w:rsid w:val="007A01E3"/>
    <w:rsid w:val="007A056C"/>
    <w:rsid w:val="007A0667"/>
    <w:rsid w:val="007A08F9"/>
    <w:rsid w:val="007A0C94"/>
    <w:rsid w:val="007A0CDE"/>
    <w:rsid w:val="007A0D0E"/>
    <w:rsid w:val="007A11E7"/>
    <w:rsid w:val="007A12EB"/>
    <w:rsid w:val="007A144D"/>
    <w:rsid w:val="007A14EA"/>
    <w:rsid w:val="007A15AF"/>
    <w:rsid w:val="007A15B8"/>
    <w:rsid w:val="007A17AE"/>
    <w:rsid w:val="007A1983"/>
    <w:rsid w:val="007A1AEB"/>
    <w:rsid w:val="007A1BBF"/>
    <w:rsid w:val="007A1E78"/>
    <w:rsid w:val="007A2078"/>
    <w:rsid w:val="007A21DA"/>
    <w:rsid w:val="007A235B"/>
    <w:rsid w:val="007A25E3"/>
    <w:rsid w:val="007A26BA"/>
    <w:rsid w:val="007A2961"/>
    <w:rsid w:val="007A2D3D"/>
    <w:rsid w:val="007A2D80"/>
    <w:rsid w:val="007A2E45"/>
    <w:rsid w:val="007A2E63"/>
    <w:rsid w:val="007A2F91"/>
    <w:rsid w:val="007A321D"/>
    <w:rsid w:val="007A327A"/>
    <w:rsid w:val="007A33D4"/>
    <w:rsid w:val="007A33DA"/>
    <w:rsid w:val="007A3568"/>
    <w:rsid w:val="007A3745"/>
    <w:rsid w:val="007A37EA"/>
    <w:rsid w:val="007A394C"/>
    <w:rsid w:val="007A3A8C"/>
    <w:rsid w:val="007A3B95"/>
    <w:rsid w:val="007A3FA9"/>
    <w:rsid w:val="007A405C"/>
    <w:rsid w:val="007A41D7"/>
    <w:rsid w:val="007A4500"/>
    <w:rsid w:val="007A47AA"/>
    <w:rsid w:val="007A47D4"/>
    <w:rsid w:val="007A4A6D"/>
    <w:rsid w:val="007A4A96"/>
    <w:rsid w:val="007A4E0E"/>
    <w:rsid w:val="007A4EC3"/>
    <w:rsid w:val="007A5186"/>
    <w:rsid w:val="007A5576"/>
    <w:rsid w:val="007A59A1"/>
    <w:rsid w:val="007A5AC4"/>
    <w:rsid w:val="007A5C8E"/>
    <w:rsid w:val="007A5FB6"/>
    <w:rsid w:val="007A60C9"/>
    <w:rsid w:val="007A6254"/>
    <w:rsid w:val="007A62DA"/>
    <w:rsid w:val="007A635C"/>
    <w:rsid w:val="007A6937"/>
    <w:rsid w:val="007A6BBF"/>
    <w:rsid w:val="007A6E40"/>
    <w:rsid w:val="007A6F8D"/>
    <w:rsid w:val="007A70C8"/>
    <w:rsid w:val="007A7289"/>
    <w:rsid w:val="007A7454"/>
    <w:rsid w:val="007A77AB"/>
    <w:rsid w:val="007A78C9"/>
    <w:rsid w:val="007A7A78"/>
    <w:rsid w:val="007A7B89"/>
    <w:rsid w:val="007A7BE0"/>
    <w:rsid w:val="007A7CE3"/>
    <w:rsid w:val="007A7E5E"/>
    <w:rsid w:val="007A7ED1"/>
    <w:rsid w:val="007A7ED7"/>
    <w:rsid w:val="007B012B"/>
    <w:rsid w:val="007B02AF"/>
    <w:rsid w:val="007B0653"/>
    <w:rsid w:val="007B07A9"/>
    <w:rsid w:val="007B0DC2"/>
    <w:rsid w:val="007B0E0C"/>
    <w:rsid w:val="007B0FC9"/>
    <w:rsid w:val="007B104F"/>
    <w:rsid w:val="007B10C7"/>
    <w:rsid w:val="007B1118"/>
    <w:rsid w:val="007B11A7"/>
    <w:rsid w:val="007B133A"/>
    <w:rsid w:val="007B146E"/>
    <w:rsid w:val="007B16D9"/>
    <w:rsid w:val="007B1720"/>
    <w:rsid w:val="007B1CD5"/>
    <w:rsid w:val="007B1F02"/>
    <w:rsid w:val="007B2065"/>
    <w:rsid w:val="007B20D7"/>
    <w:rsid w:val="007B20EB"/>
    <w:rsid w:val="007B2141"/>
    <w:rsid w:val="007B21CB"/>
    <w:rsid w:val="007B2349"/>
    <w:rsid w:val="007B23AF"/>
    <w:rsid w:val="007B23EF"/>
    <w:rsid w:val="007B2581"/>
    <w:rsid w:val="007B26FA"/>
    <w:rsid w:val="007B2887"/>
    <w:rsid w:val="007B2AF8"/>
    <w:rsid w:val="007B2F80"/>
    <w:rsid w:val="007B2F87"/>
    <w:rsid w:val="007B33BF"/>
    <w:rsid w:val="007B37EE"/>
    <w:rsid w:val="007B3A99"/>
    <w:rsid w:val="007B3C1D"/>
    <w:rsid w:val="007B3C79"/>
    <w:rsid w:val="007B3EA5"/>
    <w:rsid w:val="007B3F70"/>
    <w:rsid w:val="007B41C9"/>
    <w:rsid w:val="007B41ED"/>
    <w:rsid w:val="007B43A3"/>
    <w:rsid w:val="007B449F"/>
    <w:rsid w:val="007B45C7"/>
    <w:rsid w:val="007B4667"/>
    <w:rsid w:val="007B482A"/>
    <w:rsid w:val="007B4AA4"/>
    <w:rsid w:val="007B4B66"/>
    <w:rsid w:val="007B4E9C"/>
    <w:rsid w:val="007B5120"/>
    <w:rsid w:val="007B5131"/>
    <w:rsid w:val="007B5544"/>
    <w:rsid w:val="007B558D"/>
    <w:rsid w:val="007B5647"/>
    <w:rsid w:val="007B5741"/>
    <w:rsid w:val="007B598D"/>
    <w:rsid w:val="007B59D4"/>
    <w:rsid w:val="007B5D05"/>
    <w:rsid w:val="007B5F23"/>
    <w:rsid w:val="007B5FD5"/>
    <w:rsid w:val="007B632C"/>
    <w:rsid w:val="007B6582"/>
    <w:rsid w:val="007B66B7"/>
    <w:rsid w:val="007B68C7"/>
    <w:rsid w:val="007B68DE"/>
    <w:rsid w:val="007B68F5"/>
    <w:rsid w:val="007B6982"/>
    <w:rsid w:val="007B6BDC"/>
    <w:rsid w:val="007B72E5"/>
    <w:rsid w:val="007B7351"/>
    <w:rsid w:val="007B73AA"/>
    <w:rsid w:val="007B7420"/>
    <w:rsid w:val="007B762D"/>
    <w:rsid w:val="007B76D0"/>
    <w:rsid w:val="007B7714"/>
    <w:rsid w:val="007B771D"/>
    <w:rsid w:val="007B7762"/>
    <w:rsid w:val="007B7B92"/>
    <w:rsid w:val="007B7BA1"/>
    <w:rsid w:val="007B7C10"/>
    <w:rsid w:val="007B7CF4"/>
    <w:rsid w:val="007C00B1"/>
    <w:rsid w:val="007C00F5"/>
    <w:rsid w:val="007C0134"/>
    <w:rsid w:val="007C0288"/>
    <w:rsid w:val="007C05AA"/>
    <w:rsid w:val="007C066F"/>
    <w:rsid w:val="007C0950"/>
    <w:rsid w:val="007C0BEE"/>
    <w:rsid w:val="007C0BFA"/>
    <w:rsid w:val="007C0D0E"/>
    <w:rsid w:val="007C0EB5"/>
    <w:rsid w:val="007C10E7"/>
    <w:rsid w:val="007C116C"/>
    <w:rsid w:val="007C1664"/>
    <w:rsid w:val="007C1721"/>
    <w:rsid w:val="007C19BD"/>
    <w:rsid w:val="007C1B23"/>
    <w:rsid w:val="007C1D68"/>
    <w:rsid w:val="007C1E1E"/>
    <w:rsid w:val="007C2015"/>
    <w:rsid w:val="007C26E5"/>
    <w:rsid w:val="007C27E0"/>
    <w:rsid w:val="007C2CC7"/>
    <w:rsid w:val="007C2DDC"/>
    <w:rsid w:val="007C3282"/>
    <w:rsid w:val="007C3353"/>
    <w:rsid w:val="007C3AF4"/>
    <w:rsid w:val="007C3DE1"/>
    <w:rsid w:val="007C412A"/>
    <w:rsid w:val="007C44CE"/>
    <w:rsid w:val="007C45C3"/>
    <w:rsid w:val="007C495F"/>
    <w:rsid w:val="007C497A"/>
    <w:rsid w:val="007C4A35"/>
    <w:rsid w:val="007C4A6A"/>
    <w:rsid w:val="007C4C3A"/>
    <w:rsid w:val="007C50FC"/>
    <w:rsid w:val="007C5313"/>
    <w:rsid w:val="007C5314"/>
    <w:rsid w:val="007C585E"/>
    <w:rsid w:val="007C5922"/>
    <w:rsid w:val="007C5BBB"/>
    <w:rsid w:val="007C5BEA"/>
    <w:rsid w:val="007C5BFA"/>
    <w:rsid w:val="007C5C10"/>
    <w:rsid w:val="007C5CA7"/>
    <w:rsid w:val="007C5F5D"/>
    <w:rsid w:val="007C60FE"/>
    <w:rsid w:val="007C6306"/>
    <w:rsid w:val="007C63F0"/>
    <w:rsid w:val="007C6A7E"/>
    <w:rsid w:val="007C6A86"/>
    <w:rsid w:val="007C6B1D"/>
    <w:rsid w:val="007C6F6A"/>
    <w:rsid w:val="007C720A"/>
    <w:rsid w:val="007C7254"/>
    <w:rsid w:val="007C72F2"/>
    <w:rsid w:val="007C7499"/>
    <w:rsid w:val="007C758D"/>
    <w:rsid w:val="007C790D"/>
    <w:rsid w:val="007C7A31"/>
    <w:rsid w:val="007C7B2B"/>
    <w:rsid w:val="007C7C47"/>
    <w:rsid w:val="007C7C97"/>
    <w:rsid w:val="007C7CB8"/>
    <w:rsid w:val="007C7F7E"/>
    <w:rsid w:val="007D0045"/>
    <w:rsid w:val="007D0320"/>
    <w:rsid w:val="007D0348"/>
    <w:rsid w:val="007D0515"/>
    <w:rsid w:val="007D059F"/>
    <w:rsid w:val="007D0668"/>
    <w:rsid w:val="007D0708"/>
    <w:rsid w:val="007D0AB1"/>
    <w:rsid w:val="007D0D85"/>
    <w:rsid w:val="007D0ECE"/>
    <w:rsid w:val="007D0EF3"/>
    <w:rsid w:val="007D1092"/>
    <w:rsid w:val="007D118C"/>
    <w:rsid w:val="007D162E"/>
    <w:rsid w:val="007D1785"/>
    <w:rsid w:val="007D18C1"/>
    <w:rsid w:val="007D1924"/>
    <w:rsid w:val="007D1D41"/>
    <w:rsid w:val="007D1DAF"/>
    <w:rsid w:val="007D2621"/>
    <w:rsid w:val="007D2E12"/>
    <w:rsid w:val="007D2E20"/>
    <w:rsid w:val="007D3009"/>
    <w:rsid w:val="007D33A5"/>
    <w:rsid w:val="007D3683"/>
    <w:rsid w:val="007D3BFB"/>
    <w:rsid w:val="007D3F68"/>
    <w:rsid w:val="007D4112"/>
    <w:rsid w:val="007D41CB"/>
    <w:rsid w:val="007D4200"/>
    <w:rsid w:val="007D45C3"/>
    <w:rsid w:val="007D45E6"/>
    <w:rsid w:val="007D4880"/>
    <w:rsid w:val="007D4966"/>
    <w:rsid w:val="007D49D5"/>
    <w:rsid w:val="007D4B77"/>
    <w:rsid w:val="007D4E62"/>
    <w:rsid w:val="007D5061"/>
    <w:rsid w:val="007D5698"/>
    <w:rsid w:val="007D5858"/>
    <w:rsid w:val="007D5CA8"/>
    <w:rsid w:val="007D6204"/>
    <w:rsid w:val="007D6437"/>
    <w:rsid w:val="007D6681"/>
    <w:rsid w:val="007D6A41"/>
    <w:rsid w:val="007D6B9E"/>
    <w:rsid w:val="007D6CB6"/>
    <w:rsid w:val="007D6E23"/>
    <w:rsid w:val="007D7123"/>
    <w:rsid w:val="007D723B"/>
    <w:rsid w:val="007D75A2"/>
    <w:rsid w:val="007D75AB"/>
    <w:rsid w:val="007D792C"/>
    <w:rsid w:val="007D796D"/>
    <w:rsid w:val="007D7A0B"/>
    <w:rsid w:val="007D7C02"/>
    <w:rsid w:val="007D7E68"/>
    <w:rsid w:val="007D7F72"/>
    <w:rsid w:val="007E005C"/>
    <w:rsid w:val="007E01DA"/>
    <w:rsid w:val="007E0326"/>
    <w:rsid w:val="007E08EA"/>
    <w:rsid w:val="007E0B42"/>
    <w:rsid w:val="007E0B94"/>
    <w:rsid w:val="007E0CAF"/>
    <w:rsid w:val="007E10FD"/>
    <w:rsid w:val="007E1154"/>
    <w:rsid w:val="007E1799"/>
    <w:rsid w:val="007E17FA"/>
    <w:rsid w:val="007E1839"/>
    <w:rsid w:val="007E183F"/>
    <w:rsid w:val="007E18C9"/>
    <w:rsid w:val="007E1C42"/>
    <w:rsid w:val="007E1EB9"/>
    <w:rsid w:val="007E1F1E"/>
    <w:rsid w:val="007E208E"/>
    <w:rsid w:val="007E28CA"/>
    <w:rsid w:val="007E2B9A"/>
    <w:rsid w:val="007E2E54"/>
    <w:rsid w:val="007E2EC7"/>
    <w:rsid w:val="007E2F09"/>
    <w:rsid w:val="007E3139"/>
    <w:rsid w:val="007E31D4"/>
    <w:rsid w:val="007E325B"/>
    <w:rsid w:val="007E34F8"/>
    <w:rsid w:val="007E374C"/>
    <w:rsid w:val="007E3975"/>
    <w:rsid w:val="007E3A3E"/>
    <w:rsid w:val="007E3C2C"/>
    <w:rsid w:val="007E3D0E"/>
    <w:rsid w:val="007E4012"/>
    <w:rsid w:val="007E40A0"/>
    <w:rsid w:val="007E43F9"/>
    <w:rsid w:val="007E4639"/>
    <w:rsid w:val="007E46F7"/>
    <w:rsid w:val="007E4F4A"/>
    <w:rsid w:val="007E5316"/>
    <w:rsid w:val="007E56FF"/>
    <w:rsid w:val="007E5739"/>
    <w:rsid w:val="007E58EB"/>
    <w:rsid w:val="007E58F2"/>
    <w:rsid w:val="007E59AA"/>
    <w:rsid w:val="007E5BCB"/>
    <w:rsid w:val="007E5C95"/>
    <w:rsid w:val="007E6189"/>
    <w:rsid w:val="007E61D5"/>
    <w:rsid w:val="007E62F7"/>
    <w:rsid w:val="007E66BB"/>
    <w:rsid w:val="007E68CB"/>
    <w:rsid w:val="007E695E"/>
    <w:rsid w:val="007E6B1D"/>
    <w:rsid w:val="007E6DF5"/>
    <w:rsid w:val="007E733D"/>
    <w:rsid w:val="007E73E5"/>
    <w:rsid w:val="007E7490"/>
    <w:rsid w:val="007E7562"/>
    <w:rsid w:val="007E77FF"/>
    <w:rsid w:val="007E79D2"/>
    <w:rsid w:val="007E7FE3"/>
    <w:rsid w:val="007F01EA"/>
    <w:rsid w:val="007F0252"/>
    <w:rsid w:val="007F0546"/>
    <w:rsid w:val="007F0649"/>
    <w:rsid w:val="007F0758"/>
    <w:rsid w:val="007F075A"/>
    <w:rsid w:val="007F08CA"/>
    <w:rsid w:val="007F09C3"/>
    <w:rsid w:val="007F0A1E"/>
    <w:rsid w:val="007F0C39"/>
    <w:rsid w:val="007F0CE5"/>
    <w:rsid w:val="007F0F46"/>
    <w:rsid w:val="007F11D4"/>
    <w:rsid w:val="007F1680"/>
    <w:rsid w:val="007F1CD5"/>
    <w:rsid w:val="007F1D61"/>
    <w:rsid w:val="007F1DD8"/>
    <w:rsid w:val="007F220C"/>
    <w:rsid w:val="007F248C"/>
    <w:rsid w:val="007F25BD"/>
    <w:rsid w:val="007F25F6"/>
    <w:rsid w:val="007F2674"/>
    <w:rsid w:val="007F26B3"/>
    <w:rsid w:val="007F2820"/>
    <w:rsid w:val="007F2929"/>
    <w:rsid w:val="007F2A5A"/>
    <w:rsid w:val="007F2AE8"/>
    <w:rsid w:val="007F2BA1"/>
    <w:rsid w:val="007F2C4C"/>
    <w:rsid w:val="007F2C83"/>
    <w:rsid w:val="007F2D2B"/>
    <w:rsid w:val="007F2DC5"/>
    <w:rsid w:val="007F32BB"/>
    <w:rsid w:val="007F32C0"/>
    <w:rsid w:val="007F3300"/>
    <w:rsid w:val="007F37F6"/>
    <w:rsid w:val="007F38F4"/>
    <w:rsid w:val="007F3B6E"/>
    <w:rsid w:val="007F3DC2"/>
    <w:rsid w:val="007F3F58"/>
    <w:rsid w:val="007F462D"/>
    <w:rsid w:val="007F4767"/>
    <w:rsid w:val="007F4B03"/>
    <w:rsid w:val="007F4D68"/>
    <w:rsid w:val="007F4D7D"/>
    <w:rsid w:val="007F4F46"/>
    <w:rsid w:val="007F52DE"/>
    <w:rsid w:val="007F530F"/>
    <w:rsid w:val="007F5440"/>
    <w:rsid w:val="007F544A"/>
    <w:rsid w:val="007F5F47"/>
    <w:rsid w:val="007F5FF9"/>
    <w:rsid w:val="007F60D5"/>
    <w:rsid w:val="007F6212"/>
    <w:rsid w:val="007F6716"/>
    <w:rsid w:val="007F6986"/>
    <w:rsid w:val="007F69E7"/>
    <w:rsid w:val="007F6CF1"/>
    <w:rsid w:val="007F6DAA"/>
    <w:rsid w:val="007F7158"/>
    <w:rsid w:val="007F7222"/>
    <w:rsid w:val="007F7304"/>
    <w:rsid w:val="007F7467"/>
    <w:rsid w:val="007F74BC"/>
    <w:rsid w:val="007F7565"/>
    <w:rsid w:val="007F7610"/>
    <w:rsid w:val="007F76F4"/>
    <w:rsid w:val="007F7AC2"/>
    <w:rsid w:val="008008E9"/>
    <w:rsid w:val="00800B6B"/>
    <w:rsid w:val="00800E17"/>
    <w:rsid w:val="00800E41"/>
    <w:rsid w:val="00801019"/>
    <w:rsid w:val="00801546"/>
    <w:rsid w:val="00801776"/>
    <w:rsid w:val="00801B5E"/>
    <w:rsid w:val="00801D6B"/>
    <w:rsid w:val="00801DC8"/>
    <w:rsid w:val="00801EB5"/>
    <w:rsid w:val="00801EE5"/>
    <w:rsid w:val="00801F30"/>
    <w:rsid w:val="00802152"/>
    <w:rsid w:val="00802338"/>
    <w:rsid w:val="008023F2"/>
    <w:rsid w:val="0080270F"/>
    <w:rsid w:val="00802A44"/>
    <w:rsid w:val="00802B63"/>
    <w:rsid w:val="00803011"/>
    <w:rsid w:val="008031ED"/>
    <w:rsid w:val="0080332E"/>
    <w:rsid w:val="0080370F"/>
    <w:rsid w:val="00803B6F"/>
    <w:rsid w:val="00803B70"/>
    <w:rsid w:val="00803D77"/>
    <w:rsid w:val="00803DB1"/>
    <w:rsid w:val="00804179"/>
    <w:rsid w:val="008043D5"/>
    <w:rsid w:val="008047B0"/>
    <w:rsid w:val="00804CCC"/>
    <w:rsid w:val="00805001"/>
    <w:rsid w:val="0080511C"/>
    <w:rsid w:val="00805170"/>
    <w:rsid w:val="00805386"/>
    <w:rsid w:val="008053FF"/>
    <w:rsid w:val="008055FF"/>
    <w:rsid w:val="008058D0"/>
    <w:rsid w:val="00805AE2"/>
    <w:rsid w:val="00805C31"/>
    <w:rsid w:val="00805E69"/>
    <w:rsid w:val="00805FD2"/>
    <w:rsid w:val="00806222"/>
    <w:rsid w:val="008062E0"/>
    <w:rsid w:val="00806434"/>
    <w:rsid w:val="00806747"/>
    <w:rsid w:val="008072B5"/>
    <w:rsid w:val="008072CA"/>
    <w:rsid w:val="00807559"/>
    <w:rsid w:val="008079C2"/>
    <w:rsid w:val="00807A82"/>
    <w:rsid w:val="00807A99"/>
    <w:rsid w:val="00807ACB"/>
    <w:rsid w:val="00807AE5"/>
    <w:rsid w:val="00810104"/>
    <w:rsid w:val="008101F7"/>
    <w:rsid w:val="008103AB"/>
    <w:rsid w:val="00810479"/>
    <w:rsid w:val="00810E25"/>
    <w:rsid w:val="0081122B"/>
    <w:rsid w:val="008115C2"/>
    <w:rsid w:val="008115C9"/>
    <w:rsid w:val="00811627"/>
    <w:rsid w:val="008117BF"/>
    <w:rsid w:val="00811817"/>
    <w:rsid w:val="00811850"/>
    <w:rsid w:val="00812020"/>
    <w:rsid w:val="008127AA"/>
    <w:rsid w:val="00812B86"/>
    <w:rsid w:val="00812BB5"/>
    <w:rsid w:val="00812C34"/>
    <w:rsid w:val="00812EA0"/>
    <w:rsid w:val="00812F7B"/>
    <w:rsid w:val="00813280"/>
    <w:rsid w:val="00813288"/>
    <w:rsid w:val="00813788"/>
    <w:rsid w:val="008137F5"/>
    <w:rsid w:val="00813CDC"/>
    <w:rsid w:val="008145A1"/>
    <w:rsid w:val="0081477B"/>
    <w:rsid w:val="008148FC"/>
    <w:rsid w:val="00814D62"/>
    <w:rsid w:val="00814FAF"/>
    <w:rsid w:val="0081568D"/>
    <w:rsid w:val="00815870"/>
    <w:rsid w:val="00815890"/>
    <w:rsid w:val="00815C2D"/>
    <w:rsid w:val="00815CDF"/>
    <w:rsid w:val="00815DFA"/>
    <w:rsid w:val="00816238"/>
    <w:rsid w:val="00816A39"/>
    <w:rsid w:val="00816CCB"/>
    <w:rsid w:val="00816CF3"/>
    <w:rsid w:val="00816DC3"/>
    <w:rsid w:val="00816F94"/>
    <w:rsid w:val="0081710B"/>
    <w:rsid w:val="0081718F"/>
    <w:rsid w:val="00817288"/>
    <w:rsid w:val="00817345"/>
    <w:rsid w:val="00817447"/>
    <w:rsid w:val="00817599"/>
    <w:rsid w:val="008176AD"/>
    <w:rsid w:val="00817801"/>
    <w:rsid w:val="00817A5A"/>
    <w:rsid w:val="00817AEB"/>
    <w:rsid w:val="00820087"/>
    <w:rsid w:val="00820282"/>
    <w:rsid w:val="00820460"/>
    <w:rsid w:val="0082048A"/>
    <w:rsid w:val="00820AB8"/>
    <w:rsid w:val="00820B7B"/>
    <w:rsid w:val="00820BE8"/>
    <w:rsid w:val="0082100E"/>
    <w:rsid w:val="008211FE"/>
    <w:rsid w:val="008212A0"/>
    <w:rsid w:val="00821302"/>
    <w:rsid w:val="008218CA"/>
    <w:rsid w:val="00821A29"/>
    <w:rsid w:val="00821E74"/>
    <w:rsid w:val="008220E2"/>
    <w:rsid w:val="00822182"/>
    <w:rsid w:val="00822199"/>
    <w:rsid w:val="0082252C"/>
    <w:rsid w:val="008226B1"/>
    <w:rsid w:val="00822843"/>
    <w:rsid w:val="00822AE8"/>
    <w:rsid w:val="00822C75"/>
    <w:rsid w:val="00822EAC"/>
    <w:rsid w:val="00822F03"/>
    <w:rsid w:val="00822FA8"/>
    <w:rsid w:val="00823007"/>
    <w:rsid w:val="0082304B"/>
    <w:rsid w:val="0082307B"/>
    <w:rsid w:val="00823233"/>
    <w:rsid w:val="00823448"/>
    <w:rsid w:val="00823570"/>
    <w:rsid w:val="008239D9"/>
    <w:rsid w:val="008241D8"/>
    <w:rsid w:val="00824368"/>
    <w:rsid w:val="00824426"/>
    <w:rsid w:val="00824733"/>
    <w:rsid w:val="008247EB"/>
    <w:rsid w:val="0082492D"/>
    <w:rsid w:val="00824A58"/>
    <w:rsid w:val="00824B0E"/>
    <w:rsid w:val="00824B21"/>
    <w:rsid w:val="00824C9D"/>
    <w:rsid w:val="00824E49"/>
    <w:rsid w:val="0082507A"/>
    <w:rsid w:val="0082509E"/>
    <w:rsid w:val="008253FE"/>
    <w:rsid w:val="00825565"/>
    <w:rsid w:val="00825618"/>
    <w:rsid w:val="008256FF"/>
    <w:rsid w:val="008258C5"/>
    <w:rsid w:val="00825B9E"/>
    <w:rsid w:val="00825C66"/>
    <w:rsid w:val="0082604D"/>
    <w:rsid w:val="008260B8"/>
    <w:rsid w:val="00826113"/>
    <w:rsid w:val="00826173"/>
    <w:rsid w:val="008262EA"/>
    <w:rsid w:val="008268A3"/>
    <w:rsid w:val="008269C4"/>
    <w:rsid w:val="00826A7A"/>
    <w:rsid w:val="00826CDF"/>
    <w:rsid w:val="00826D49"/>
    <w:rsid w:val="00827013"/>
    <w:rsid w:val="00827126"/>
    <w:rsid w:val="00827548"/>
    <w:rsid w:val="00827894"/>
    <w:rsid w:val="008279EB"/>
    <w:rsid w:val="00827BDC"/>
    <w:rsid w:val="00827D25"/>
    <w:rsid w:val="00827E3B"/>
    <w:rsid w:val="0083050A"/>
    <w:rsid w:val="00830597"/>
    <w:rsid w:val="008306B9"/>
    <w:rsid w:val="00830B13"/>
    <w:rsid w:val="00830E52"/>
    <w:rsid w:val="00830E72"/>
    <w:rsid w:val="0083114C"/>
    <w:rsid w:val="0083123A"/>
    <w:rsid w:val="00831296"/>
    <w:rsid w:val="00831341"/>
    <w:rsid w:val="008313BD"/>
    <w:rsid w:val="0083146B"/>
    <w:rsid w:val="00831499"/>
    <w:rsid w:val="0083188A"/>
    <w:rsid w:val="00831CF1"/>
    <w:rsid w:val="00831FCC"/>
    <w:rsid w:val="008322C6"/>
    <w:rsid w:val="0083233F"/>
    <w:rsid w:val="008324E3"/>
    <w:rsid w:val="00832541"/>
    <w:rsid w:val="00832763"/>
    <w:rsid w:val="00832768"/>
    <w:rsid w:val="00832784"/>
    <w:rsid w:val="00832C36"/>
    <w:rsid w:val="00833A1E"/>
    <w:rsid w:val="00833B9F"/>
    <w:rsid w:val="00833BCB"/>
    <w:rsid w:val="00833E59"/>
    <w:rsid w:val="00834067"/>
    <w:rsid w:val="008341EF"/>
    <w:rsid w:val="0083427B"/>
    <w:rsid w:val="00834F2D"/>
    <w:rsid w:val="00834F94"/>
    <w:rsid w:val="0083514E"/>
    <w:rsid w:val="008352AB"/>
    <w:rsid w:val="0083536A"/>
    <w:rsid w:val="008353BD"/>
    <w:rsid w:val="00835541"/>
    <w:rsid w:val="00835564"/>
    <w:rsid w:val="008356DA"/>
    <w:rsid w:val="0083570E"/>
    <w:rsid w:val="00835718"/>
    <w:rsid w:val="00835788"/>
    <w:rsid w:val="00835B84"/>
    <w:rsid w:val="00835E11"/>
    <w:rsid w:val="00835EDD"/>
    <w:rsid w:val="00835F39"/>
    <w:rsid w:val="00836495"/>
    <w:rsid w:val="0083662F"/>
    <w:rsid w:val="00836701"/>
    <w:rsid w:val="00836842"/>
    <w:rsid w:val="00836A20"/>
    <w:rsid w:val="00836C26"/>
    <w:rsid w:val="00836E8D"/>
    <w:rsid w:val="00836F3A"/>
    <w:rsid w:val="00836F8D"/>
    <w:rsid w:val="008371C7"/>
    <w:rsid w:val="00837675"/>
    <w:rsid w:val="008378F0"/>
    <w:rsid w:val="00837947"/>
    <w:rsid w:val="00837C05"/>
    <w:rsid w:val="00837CD1"/>
    <w:rsid w:val="00837D49"/>
    <w:rsid w:val="00837DE0"/>
    <w:rsid w:val="00837EFB"/>
    <w:rsid w:val="00840264"/>
    <w:rsid w:val="00840777"/>
    <w:rsid w:val="00840808"/>
    <w:rsid w:val="008408FC"/>
    <w:rsid w:val="00840AA7"/>
    <w:rsid w:val="008410C0"/>
    <w:rsid w:val="00841330"/>
    <w:rsid w:val="00841526"/>
    <w:rsid w:val="00841989"/>
    <w:rsid w:val="00841B23"/>
    <w:rsid w:val="00841BFC"/>
    <w:rsid w:val="00841EC7"/>
    <w:rsid w:val="0084208A"/>
    <w:rsid w:val="0084265B"/>
    <w:rsid w:val="0084275E"/>
    <w:rsid w:val="008428DC"/>
    <w:rsid w:val="0084295E"/>
    <w:rsid w:val="00842AC2"/>
    <w:rsid w:val="00842B83"/>
    <w:rsid w:val="00842E76"/>
    <w:rsid w:val="0084303E"/>
    <w:rsid w:val="0084315E"/>
    <w:rsid w:val="00843550"/>
    <w:rsid w:val="008435B7"/>
    <w:rsid w:val="00843647"/>
    <w:rsid w:val="008436DD"/>
    <w:rsid w:val="00843AAD"/>
    <w:rsid w:val="00843EB7"/>
    <w:rsid w:val="00844076"/>
    <w:rsid w:val="00844347"/>
    <w:rsid w:val="0084437F"/>
    <w:rsid w:val="0084451E"/>
    <w:rsid w:val="00844526"/>
    <w:rsid w:val="008447D1"/>
    <w:rsid w:val="00844A03"/>
    <w:rsid w:val="00844B89"/>
    <w:rsid w:val="00844B8B"/>
    <w:rsid w:val="00844BA7"/>
    <w:rsid w:val="00844C8A"/>
    <w:rsid w:val="00844ECC"/>
    <w:rsid w:val="00844FB1"/>
    <w:rsid w:val="008450F3"/>
    <w:rsid w:val="0084511C"/>
    <w:rsid w:val="00845159"/>
    <w:rsid w:val="00845946"/>
    <w:rsid w:val="00845AB7"/>
    <w:rsid w:val="00845AE0"/>
    <w:rsid w:val="00845D21"/>
    <w:rsid w:val="00846256"/>
    <w:rsid w:val="008463F9"/>
    <w:rsid w:val="0084644F"/>
    <w:rsid w:val="00846500"/>
    <w:rsid w:val="00846646"/>
    <w:rsid w:val="008468CC"/>
    <w:rsid w:val="00846AB1"/>
    <w:rsid w:val="00846BBF"/>
    <w:rsid w:val="00846DC2"/>
    <w:rsid w:val="008476A0"/>
    <w:rsid w:val="0084791E"/>
    <w:rsid w:val="00847A5A"/>
    <w:rsid w:val="00847F04"/>
    <w:rsid w:val="008500B5"/>
    <w:rsid w:val="0085011D"/>
    <w:rsid w:val="00850138"/>
    <w:rsid w:val="008501C0"/>
    <w:rsid w:val="008502C6"/>
    <w:rsid w:val="0085031A"/>
    <w:rsid w:val="0085041B"/>
    <w:rsid w:val="00850423"/>
    <w:rsid w:val="0085062D"/>
    <w:rsid w:val="0085082F"/>
    <w:rsid w:val="008509E0"/>
    <w:rsid w:val="00850AAE"/>
    <w:rsid w:val="00850E73"/>
    <w:rsid w:val="00850F71"/>
    <w:rsid w:val="00850F80"/>
    <w:rsid w:val="00851053"/>
    <w:rsid w:val="00851097"/>
    <w:rsid w:val="008511D5"/>
    <w:rsid w:val="008512D6"/>
    <w:rsid w:val="00851502"/>
    <w:rsid w:val="008517FC"/>
    <w:rsid w:val="0085194C"/>
    <w:rsid w:val="00851C5E"/>
    <w:rsid w:val="00851DC3"/>
    <w:rsid w:val="00851E46"/>
    <w:rsid w:val="00852277"/>
    <w:rsid w:val="008526C6"/>
    <w:rsid w:val="00852712"/>
    <w:rsid w:val="0085293B"/>
    <w:rsid w:val="00852A9A"/>
    <w:rsid w:val="00852BCD"/>
    <w:rsid w:val="00852CEE"/>
    <w:rsid w:val="00852E03"/>
    <w:rsid w:val="00852F38"/>
    <w:rsid w:val="00853033"/>
    <w:rsid w:val="00853124"/>
    <w:rsid w:val="0085379D"/>
    <w:rsid w:val="008537EB"/>
    <w:rsid w:val="00853ADF"/>
    <w:rsid w:val="00853B39"/>
    <w:rsid w:val="00853E47"/>
    <w:rsid w:val="00854365"/>
    <w:rsid w:val="008543B1"/>
    <w:rsid w:val="008544EC"/>
    <w:rsid w:val="00854567"/>
    <w:rsid w:val="00854597"/>
    <w:rsid w:val="008545CF"/>
    <w:rsid w:val="00854690"/>
    <w:rsid w:val="0085493D"/>
    <w:rsid w:val="00854EF0"/>
    <w:rsid w:val="00854FBC"/>
    <w:rsid w:val="0085517C"/>
    <w:rsid w:val="008553E1"/>
    <w:rsid w:val="008556D7"/>
    <w:rsid w:val="00855A6D"/>
    <w:rsid w:val="00855C7A"/>
    <w:rsid w:val="00855FB5"/>
    <w:rsid w:val="00856013"/>
    <w:rsid w:val="00856666"/>
    <w:rsid w:val="00856805"/>
    <w:rsid w:val="00856846"/>
    <w:rsid w:val="00856C34"/>
    <w:rsid w:val="00857EE2"/>
    <w:rsid w:val="00860174"/>
    <w:rsid w:val="008607BD"/>
    <w:rsid w:val="00860EFA"/>
    <w:rsid w:val="0086103B"/>
    <w:rsid w:val="008614EA"/>
    <w:rsid w:val="00861C3E"/>
    <w:rsid w:val="00861E01"/>
    <w:rsid w:val="00861EAE"/>
    <w:rsid w:val="00862169"/>
    <w:rsid w:val="00862185"/>
    <w:rsid w:val="008621C6"/>
    <w:rsid w:val="00862A2E"/>
    <w:rsid w:val="00862B69"/>
    <w:rsid w:val="00862C64"/>
    <w:rsid w:val="00863005"/>
    <w:rsid w:val="008631B5"/>
    <w:rsid w:val="00863675"/>
    <w:rsid w:val="00863E95"/>
    <w:rsid w:val="0086410B"/>
    <w:rsid w:val="008641DF"/>
    <w:rsid w:val="0086422E"/>
    <w:rsid w:val="008642B0"/>
    <w:rsid w:val="008643FC"/>
    <w:rsid w:val="00864956"/>
    <w:rsid w:val="00864962"/>
    <w:rsid w:val="00864BB1"/>
    <w:rsid w:val="00864C48"/>
    <w:rsid w:val="00864D82"/>
    <w:rsid w:val="0086506D"/>
    <w:rsid w:val="0086509C"/>
    <w:rsid w:val="00865249"/>
    <w:rsid w:val="008654A3"/>
    <w:rsid w:val="00865546"/>
    <w:rsid w:val="0086559F"/>
    <w:rsid w:val="0086570D"/>
    <w:rsid w:val="00865749"/>
    <w:rsid w:val="008658B9"/>
    <w:rsid w:val="00865B48"/>
    <w:rsid w:val="00865B4D"/>
    <w:rsid w:val="00865BD4"/>
    <w:rsid w:val="00865DC1"/>
    <w:rsid w:val="0086601C"/>
    <w:rsid w:val="008661DF"/>
    <w:rsid w:val="008663E0"/>
    <w:rsid w:val="008663FA"/>
    <w:rsid w:val="00866788"/>
    <w:rsid w:val="0086685D"/>
    <w:rsid w:val="00866C71"/>
    <w:rsid w:val="00867264"/>
    <w:rsid w:val="008674C2"/>
    <w:rsid w:val="008675A3"/>
    <w:rsid w:val="008676C3"/>
    <w:rsid w:val="00867718"/>
    <w:rsid w:val="008678F3"/>
    <w:rsid w:val="00867BB8"/>
    <w:rsid w:val="00867E67"/>
    <w:rsid w:val="00870112"/>
    <w:rsid w:val="00870179"/>
    <w:rsid w:val="008709F6"/>
    <w:rsid w:val="00870A90"/>
    <w:rsid w:val="00870C8E"/>
    <w:rsid w:val="00870E61"/>
    <w:rsid w:val="00870F35"/>
    <w:rsid w:val="00870F4B"/>
    <w:rsid w:val="008713D0"/>
    <w:rsid w:val="008718F6"/>
    <w:rsid w:val="00871C35"/>
    <w:rsid w:val="00871CA5"/>
    <w:rsid w:val="00871E2D"/>
    <w:rsid w:val="00871F75"/>
    <w:rsid w:val="0087200A"/>
    <w:rsid w:val="00872614"/>
    <w:rsid w:val="00872813"/>
    <w:rsid w:val="00872909"/>
    <w:rsid w:val="00872DDE"/>
    <w:rsid w:val="00872E43"/>
    <w:rsid w:val="00873086"/>
    <w:rsid w:val="008730D8"/>
    <w:rsid w:val="00873258"/>
    <w:rsid w:val="00873392"/>
    <w:rsid w:val="008734CD"/>
    <w:rsid w:val="0087365A"/>
    <w:rsid w:val="008736ED"/>
    <w:rsid w:val="008738AA"/>
    <w:rsid w:val="00873CD5"/>
    <w:rsid w:val="00873E19"/>
    <w:rsid w:val="00873E41"/>
    <w:rsid w:val="00873F9D"/>
    <w:rsid w:val="0087415A"/>
    <w:rsid w:val="008743C7"/>
    <w:rsid w:val="008743E4"/>
    <w:rsid w:val="0087447D"/>
    <w:rsid w:val="0087471A"/>
    <w:rsid w:val="008750F9"/>
    <w:rsid w:val="008751CE"/>
    <w:rsid w:val="008751D4"/>
    <w:rsid w:val="008751E9"/>
    <w:rsid w:val="00875341"/>
    <w:rsid w:val="0087536F"/>
    <w:rsid w:val="0087537C"/>
    <w:rsid w:val="0087542A"/>
    <w:rsid w:val="008754AF"/>
    <w:rsid w:val="008756A6"/>
    <w:rsid w:val="008756F0"/>
    <w:rsid w:val="008759CA"/>
    <w:rsid w:val="008759DB"/>
    <w:rsid w:val="00875B03"/>
    <w:rsid w:val="00875C21"/>
    <w:rsid w:val="00875E1B"/>
    <w:rsid w:val="00875EC5"/>
    <w:rsid w:val="00876010"/>
    <w:rsid w:val="008761DF"/>
    <w:rsid w:val="008764BB"/>
    <w:rsid w:val="0087652D"/>
    <w:rsid w:val="00876880"/>
    <w:rsid w:val="00877172"/>
    <w:rsid w:val="00877230"/>
    <w:rsid w:val="0087728F"/>
    <w:rsid w:val="008773CC"/>
    <w:rsid w:val="00877556"/>
    <w:rsid w:val="00877869"/>
    <w:rsid w:val="00877A8E"/>
    <w:rsid w:val="00877F9E"/>
    <w:rsid w:val="00880048"/>
    <w:rsid w:val="0088046E"/>
    <w:rsid w:val="008805F9"/>
    <w:rsid w:val="0088064C"/>
    <w:rsid w:val="008807BE"/>
    <w:rsid w:val="008808E0"/>
    <w:rsid w:val="00880A40"/>
    <w:rsid w:val="00880B74"/>
    <w:rsid w:val="0088106A"/>
    <w:rsid w:val="008810B2"/>
    <w:rsid w:val="008810DB"/>
    <w:rsid w:val="008814B0"/>
    <w:rsid w:val="0088179C"/>
    <w:rsid w:val="0088186A"/>
    <w:rsid w:val="00881A0A"/>
    <w:rsid w:val="00881C81"/>
    <w:rsid w:val="00881CEE"/>
    <w:rsid w:val="00881E78"/>
    <w:rsid w:val="00881F63"/>
    <w:rsid w:val="00882278"/>
    <w:rsid w:val="00882C06"/>
    <w:rsid w:val="00882C47"/>
    <w:rsid w:val="00882CAB"/>
    <w:rsid w:val="00882CC7"/>
    <w:rsid w:val="00882DC3"/>
    <w:rsid w:val="008833D0"/>
    <w:rsid w:val="00883C9E"/>
    <w:rsid w:val="00883CC3"/>
    <w:rsid w:val="00883F8C"/>
    <w:rsid w:val="008840F3"/>
    <w:rsid w:val="0088447B"/>
    <w:rsid w:val="008844B9"/>
    <w:rsid w:val="008845B3"/>
    <w:rsid w:val="008845C5"/>
    <w:rsid w:val="0088475D"/>
    <w:rsid w:val="008847BB"/>
    <w:rsid w:val="00884A15"/>
    <w:rsid w:val="00884E19"/>
    <w:rsid w:val="00884EB0"/>
    <w:rsid w:val="00885054"/>
    <w:rsid w:val="0088513C"/>
    <w:rsid w:val="00885142"/>
    <w:rsid w:val="00885358"/>
    <w:rsid w:val="0088567C"/>
    <w:rsid w:val="00885830"/>
    <w:rsid w:val="00885E1D"/>
    <w:rsid w:val="00885F75"/>
    <w:rsid w:val="00885FD0"/>
    <w:rsid w:val="00886240"/>
    <w:rsid w:val="00886480"/>
    <w:rsid w:val="008864D0"/>
    <w:rsid w:val="008865C0"/>
    <w:rsid w:val="008867F4"/>
    <w:rsid w:val="008869F4"/>
    <w:rsid w:val="00886C66"/>
    <w:rsid w:val="00886EC4"/>
    <w:rsid w:val="008872DA"/>
    <w:rsid w:val="0088737C"/>
    <w:rsid w:val="008876F0"/>
    <w:rsid w:val="008877A8"/>
    <w:rsid w:val="008878FB"/>
    <w:rsid w:val="00887BF0"/>
    <w:rsid w:val="00887E82"/>
    <w:rsid w:val="008901AF"/>
    <w:rsid w:val="00890222"/>
    <w:rsid w:val="008903A2"/>
    <w:rsid w:val="00890886"/>
    <w:rsid w:val="008908C6"/>
    <w:rsid w:val="008909C2"/>
    <w:rsid w:val="008909E6"/>
    <w:rsid w:val="00890B2F"/>
    <w:rsid w:val="00890CE6"/>
    <w:rsid w:val="00890E9F"/>
    <w:rsid w:val="008911CB"/>
    <w:rsid w:val="0089128E"/>
    <w:rsid w:val="0089144A"/>
    <w:rsid w:val="00891473"/>
    <w:rsid w:val="0089259C"/>
    <w:rsid w:val="0089263E"/>
    <w:rsid w:val="00892778"/>
    <w:rsid w:val="00892A25"/>
    <w:rsid w:val="00892A94"/>
    <w:rsid w:val="00892E06"/>
    <w:rsid w:val="00892E0F"/>
    <w:rsid w:val="0089306E"/>
    <w:rsid w:val="008931A5"/>
    <w:rsid w:val="00893347"/>
    <w:rsid w:val="008934ED"/>
    <w:rsid w:val="00893EBD"/>
    <w:rsid w:val="00893EEF"/>
    <w:rsid w:val="00893F7F"/>
    <w:rsid w:val="00893FD7"/>
    <w:rsid w:val="008944F0"/>
    <w:rsid w:val="00894547"/>
    <w:rsid w:val="00894729"/>
    <w:rsid w:val="008948F7"/>
    <w:rsid w:val="008949ED"/>
    <w:rsid w:val="00894D8E"/>
    <w:rsid w:val="00894F92"/>
    <w:rsid w:val="00895156"/>
    <w:rsid w:val="008951DD"/>
    <w:rsid w:val="0089524B"/>
    <w:rsid w:val="0089551E"/>
    <w:rsid w:val="008956B5"/>
    <w:rsid w:val="00895A9B"/>
    <w:rsid w:val="00895E6B"/>
    <w:rsid w:val="00895F86"/>
    <w:rsid w:val="00896245"/>
    <w:rsid w:val="00896360"/>
    <w:rsid w:val="008963C5"/>
    <w:rsid w:val="00896575"/>
    <w:rsid w:val="00896936"/>
    <w:rsid w:val="008969D9"/>
    <w:rsid w:val="00896A16"/>
    <w:rsid w:val="00896A42"/>
    <w:rsid w:val="00896AFF"/>
    <w:rsid w:val="008972B8"/>
    <w:rsid w:val="008972DF"/>
    <w:rsid w:val="00897510"/>
    <w:rsid w:val="008975A2"/>
    <w:rsid w:val="00897672"/>
    <w:rsid w:val="00897B51"/>
    <w:rsid w:val="008A001B"/>
    <w:rsid w:val="008A061E"/>
    <w:rsid w:val="008A0638"/>
    <w:rsid w:val="008A080A"/>
    <w:rsid w:val="008A0BE1"/>
    <w:rsid w:val="008A12B3"/>
    <w:rsid w:val="008A142B"/>
    <w:rsid w:val="008A14CB"/>
    <w:rsid w:val="008A184F"/>
    <w:rsid w:val="008A195C"/>
    <w:rsid w:val="008A1BBB"/>
    <w:rsid w:val="008A1E32"/>
    <w:rsid w:val="008A1FA3"/>
    <w:rsid w:val="008A21E6"/>
    <w:rsid w:val="008A23AB"/>
    <w:rsid w:val="008A24DF"/>
    <w:rsid w:val="008A254D"/>
    <w:rsid w:val="008A25D0"/>
    <w:rsid w:val="008A2B54"/>
    <w:rsid w:val="008A2C72"/>
    <w:rsid w:val="008A32B2"/>
    <w:rsid w:val="008A33E7"/>
    <w:rsid w:val="008A3425"/>
    <w:rsid w:val="008A359D"/>
    <w:rsid w:val="008A39BA"/>
    <w:rsid w:val="008A3ADD"/>
    <w:rsid w:val="008A40BC"/>
    <w:rsid w:val="008A40DD"/>
    <w:rsid w:val="008A41CD"/>
    <w:rsid w:val="008A4345"/>
    <w:rsid w:val="008A44F1"/>
    <w:rsid w:val="008A454C"/>
    <w:rsid w:val="008A4749"/>
    <w:rsid w:val="008A4880"/>
    <w:rsid w:val="008A4914"/>
    <w:rsid w:val="008A4A5E"/>
    <w:rsid w:val="008A4AE6"/>
    <w:rsid w:val="008A4C24"/>
    <w:rsid w:val="008A4C72"/>
    <w:rsid w:val="008A4D34"/>
    <w:rsid w:val="008A4DC0"/>
    <w:rsid w:val="008A502E"/>
    <w:rsid w:val="008A50B0"/>
    <w:rsid w:val="008A50C4"/>
    <w:rsid w:val="008A5176"/>
    <w:rsid w:val="008A52B1"/>
    <w:rsid w:val="008A5447"/>
    <w:rsid w:val="008A5754"/>
    <w:rsid w:val="008A5895"/>
    <w:rsid w:val="008A5D4B"/>
    <w:rsid w:val="008A5DF6"/>
    <w:rsid w:val="008A5E0E"/>
    <w:rsid w:val="008A5F9E"/>
    <w:rsid w:val="008A5FE1"/>
    <w:rsid w:val="008A602B"/>
    <w:rsid w:val="008A6335"/>
    <w:rsid w:val="008A638A"/>
    <w:rsid w:val="008A6479"/>
    <w:rsid w:val="008A6482"/>
    <w:rsid w:val="008A6498"/>
    <w:rsid w:val="008A69A8"/>
    <w:rsid w:val="008A6A67"/>
    <w:rsid w:val="008A6BB5"/>
    <w:rsid w:val="008A6F60"/>
    <w:rsid w:val="008A70E7"/>
    <w:rsid w:val="008A7237"/>
    <w:rsid w:val="008A7795"/>
    <w:rsid w:val="008B00A0"/>
    <w:rsid w:val="008B0535"/>
    <w:rsid w:val="008B0C53"/>
    <w:rsid w:val="008B0C66"/>
    <w:rsid w:val="008B0CAA"/>
    <w:rsid w:val="008B123D"/>
    <w:rsid w:val="008B13EF"/>
    <w:rsid w:val="008B15EA"/>
    <w:rsid w:val="008B176A"/>
    <w:rsid w:val="008B18C2"/>
    <w:rsid w:val="008B18F7"/>
    <w:rsid w:val="008B1AFB"/>
    <w:rsid w:val="008B1C8A"/>
    <w:rsid w:val="008B1E7B"/>
    <w:rsid w:val="008B1F01"/>
    <w:rsid w:val="008B1FFD"/>
    <w:rsid w:val="008B20F0"/>
    <w:rsid w:val="008B2220"/>
    <w:rsid w:val="008B223E"/>
    <w:rsid w:val="008B2287"/>
    <w:rsid w:val="008B27AF"/>
    <w:rsid w:val="008B2805"/>
    <w:rsid w:val="008B2B70"/>
    <w:rsid w:val="008B2C31"/>
    <w:rsid w:val="008B2E11"/>
    <w:rsid w:val="008B2E71"/>
    <w:rsid w:val="008B300A"/>
    <w:rsid w:val="008B314A"/>
    <w:rsid w:val="008B3402"/>
    <w:rsid w:val="008B3DA6"/>
    <w:rsid w:val="008B440D"/>
    <w:rsid w:val="008B454C"/>
    <w:rsid w:val="008B4B92"/>
    <w:rsid w:val="008B4EA4"/>
    <w:rsid w:val="008B5101"/>
    <w:rsid w:val="008B52C4"/>
    <w:rsid w:val="008B5727"/>
    <w:rsid w:val="008B5854"/>
    <w:rsid w:val="008B593B"/>
    <w:rsid w:val="008B5B32"/>
    <w:rsid w:val="008B5BFD"/>
    <w:rsid w:val="008B5E51"/>
    <w:rsid w:val="008B6482"/>
    <w:rsid w:val="008B64FC"/>
    <w:rsid w:val="008B6643"/>
    <w:rsid w:val="008B6A17"/>
    <w:rsid w:val="008B6AA7"/>
    <w:rsid w:val="008B6C3B"/>
    <w:rsid w:val="008B6D3F"/>
    <w:rsid w:val="008B6E13"/>
    <w:rsid w:val="008B6FCC"/>
    <w:rsid w:val="008B71B4"/>
    <w:rsid w:val="008B72E9"/>
    <w:rsid w:val="008B738F"/>
    <w:rsid w:val="008B73EC"/>
    <w:rsid w:val="008B7880"/>
    <w:rsid w:val="008B78E8"/>
    <w:rsid w:val="008B7CBC"/>
    <w:rsid w:val="008B7CD9"/>
    <w:rsid w:val="008C00FF"/>
    <w:rsid w:val="008C0307"/>
    <w:rsid w:val="008C056F"/>
    <w:rsid w:val="008C0926"/>
    <w:rsid w:val="008C097E"/>
    <w:rsid w:val="008C0B90"/>
    <w:rsid w:val="008C0BA7"/>
    <w:rsid w:val="008C0BBB"/>
    <w:rsid w:val="008C0F94"/>
    <w:rsid w:val="008C1534"/>
    <w:rsid w:val="008C18DC"/>
    <w:rsid w:val="008C1ABC"/>
    <w:rsid w:val="008C2159"/>
    <w:rsid w:val="008C220C"/>
    <w:rsid w:val="008C2712"/>
    <w:rsid w:val="008C2989"/>
    <w:rsid w:val="008C32F5"/>
    <w:rsid w:val="008C3447"/>
    <w:rsid w:val="008C34E0"/>
    <w:rsid w:val="008C3501"/>
    <w:rsid w:val="008C3552"/>
    <w:rsid w:val="008C3703"/>
    <w:rsid w:val="008C3789"/>
    <w:rsid w:val="008C3862"/>
    <w:rsid w:val="008C3D0F"/>
    <w:rsid w:val="008C3D80"/>
    <w:rsid w:val="008C3E69"/>
    <w:rsid w:val="008C460D"/>
    <w:rsid w:val="008C4753"/>
    <w:rsid w:val="008C483C"/>
    <w:rsid w:val="008C4C67"/>
    <w:rsid w:val="008C4EF7"/>
    <w:rsid w:val="008C5039"/>
    <w:rsid w:val="008C5120"/>
    <w:rsid w:val="008C535E"/>
    <w:rsid w:val="008C539A"/>
    <w:rsid w:val="008C5544"/>
    <w:rsid w:val="008C55C0"/>
    <w:rsid w:val="008C572E"/>
    <w:rsid w:val="008C5A18"/>
    <w:rsid w:val="008C5A1C"/>
    <w:rsid w:val="008C5A41"/>
    <w:rsid w:val="008C5B91"/>
    <w:rsid w:val="008C5E20"/>
    <w:rsid w:val="008C5F8D"/>
    <w:rsid w:val="008C608E"/>
    <w:rsid w:val="008C6108"/>
    <w:rsid w:val="008C6339"/>
    <w:rsid w:val="008C6660"/>
    <w:rsid w:val="008C67E8"/>
    <w:rsid w:val="008C6951"/>
    <w:rsid w:val="008C6986"/>
    <w:rsid w:val="008C69C5"/>
    <w:rsid w:val="008C6B37"/>
    <w:rsid w:val="008C6E71"/>
    <w:rsid w:val="008C70CA"/>
    <w:rsid w:val="008C723B"/>
    <w:rsid w:val="008C73F2"/>
    <w:rsid w:val="008C76D5"/>
    <w:rsid w:val="008C7801"/>
    <w:rsid w:val="008C7BD2"/>
    <w:rsid w:val="008D0147"/>
    <w:rsid w:val="008D0159"/>
    <w:rsid w:val="008D0273"/>
    <w:rsid w:val="008D06B5"/>
    <w:rsid w:val="008D07EC"/>
    <w:rsid w:val="008D098D"/>
    <w:rsid w:val="008D09DD"/>
    <w:rsid w:val="008D0D2B"/>
    <w:rsid w:val="008D0DD7"/>
    <w:rsid w:val="008D0E09"/>
    <w:rsid w:val="008D1330"/>
    <w:rsid w:val="008D153A"/>
    <w:rsid w:val="008D1784"/>
    <w:rsid w:val="008D1833"/>
    <w:rsid w:val="008D1D6A"/>
    <w:rsid w:val="008D1F68"/>
    <w:rsid w:val="008D2269"/>
    <w:rsid w:val="008D2307"/>
    <w:rsid w:val="008D269A"/>
    <w:rsid w:val="008D2854"/>
    <w:rsid w:val="008D2BF3"/>
    <w:rsid w:val="008D2CEF"/>
    <w:rsid w:val="008D2E87"/>
    <w:rsid w:val="008D3168"/>
    <w:rsid w:val="008D31E7"/>
    <w:rsid w:val="008D32E3"/>
    <w:rsid w:val="008D3395"/>
    <w:rsid w:val="008D3716"/>
    <w:rsid w:val="008D3A0B"/>
    <w:rsid w:val="008D3DDD"/>
    <w:rsid w:val="008D40A6"/>
    <w:rsid w:val="008D4194"/>
    <w:rsid w:val="008D4255"/>
    <w:rsid w:val="008D4328"/>
    <w:rsid w:val="008D4584"/>
    <w:rsid w:val="008D4688"/>
    <w:rsid w:val="008D475B"/>
    <w:rsid w:val="008D4B5E"/>
    <w:rsid w:val="008D4BA2"/>
    <w:rsid w:val="008D4C09"/>
    <w:rsid w:val="008D4C21"/>
    <w:rsid w:val="008D4D16"/>
    <w:rsid w:val="008D5265"/>
    <w:rsid w:val="008D534F"/>
    <w:rsid w:val="008D5480"/>
    <w:rsid w:val="008D5510"/>
    <w:rsid w:val="008D5AD5"/>
    <w:rsid w:val="008D5BE4"/>
    <w:rsid w:val="008D5F7E"/>
    <w:rsid w:val="008D62AB"/>
    <w:rsid w:val="008D6308"/>
    <w:rsid w:val="008D6357"/>
    <w:rsid w:val="008D63B9"/>
    <w:rsid w:val="008D64D4"/>
    <w:rsid w:val="008D676E"/>
    <w:rsid w:val="008D69A3"/>
    <w:rsid w:val="008D6EDC"/>
    <w:rsid w:val="008D721F"/>
    <w:rsid w:val="008D737A"/>
    <w:rsid w:val="008D7490"/>
    <w:rsid w:val="008D7861"/>
    <w:rsid w:val="008D78FF"/>
    <w:rsid w:val="008D796D"/>
    <w:rsid w:val="008D7BF5"/>
    <w:rsid w:val="008D7C2B"/>
    <w:rsid w:val="008D7CF1"/>
    <w:rsid w:val="008E04D7"/>
    <w:rsid w:val="008E0501"/>
    <w:rsid w:val="008E0674"/>
    <w:rsid w:val="008E09B7"/>
    <w:rsid w:val="008E09FB"/>
    <w:rsid w:val="008E0A3C"/>
    <w:rsid w:val="008E0A6D"/>
    <w:rsid w:val="008E0A8C"/>
    <w:rsid w:val="008E0A9D"/>
    <w:rsid w:val="008E0E2F"/>
    <w:rsid w:val="008E1560"/>
    <w:rsid w:val="008E186E"/>
    <w:rsid w:val="008E1890"/>
    <w:rsid w:val="008E1A72"/>
    <w:rsid w:val="008E22F5"/>
    <w:rsid w:val="008E23DA"/>
    <w:rsid w:val="008E2512"/>
    <w:rsid w:val="008E2574"/>
    <w:rsid w:val="008E2895"/>
    <w:rsid w:val="008E2A37"/>
    <w:rsid w:val="008E2A72"/>
    <w:rsid w:val="008E2B43"/>
    <w:rsid w:val="008E2F14"/>
    <w:rsid w:val="008E2F34"/>
    <w:rsid w:val="008E30D5"/>
    <w:rsid w:val="008E3268"/>
    <w:rsid w:val="008E32C6"/>
    <w:rsid w:val="008E3422"/>
    <w:rsid w:val="008E3537"/>
    <w:rsid w:val="008E35CC"/>
    <w:rsid w:val="008E38CE"/>
    <w:rsid w:val="008E3A90"/>
    <w:rsid w:val="008E45CF"/>
    <w:rsid w:val="008E49C7"/>
    <w:rsid w:val="008E4B23"/>
    <w:rsid w:val="008E55E8"/>
    <w:rsid w:val="008E57F8"/>
    <w:rsid w:val="008E5B6C"/>
    <w:rsid w:val="008E60E8"/>
    <w:rsid w:val="008E6125"/>
    <w:rsid w:val="008E6685"/>
    <w:rsid w:val="008E67F3"/>
    <w:rsid w:val="008E6B21"/>
    <w:rsid w:val="008E6BBF"/>
    <w:rsid w:val="008E6C9D"/>
    <w:rsid w:val="008E6E74"/>
    <w:rsid w:val="008E70A4"/>
    <w:rsid w:val="008E7169"/>
    <w:rsid w:val="008E73E9"/>
    <w:rsid w:val="008E74D7"/>
    <w:rsid w:val="008E7763"/>
    <w:rsid w:val="008E798D"/>
    <w:rsid w:val="008E79DF"/>
    <w:rsid w:val="008E79FB"/>
    <w:rsid w:val="008E7AE2"/>
    <w:rsid w:val="008E7E7D"/>
    <w:rsid w:val="008E7EF1"/>
    <w:rsid w:val="008E7F3F"/>
    <w:rsid w:val="008E7F6D"/>
    <w:rsid w:val="008F002E"/>
    <w:rsid w:val="008F008E"/>
    <w:rsid w:val="008F0463"/>
    <w:rsid w:val="008F04DA"/>
    <w:rsid w:val="008F04DE"/>
    <w:rsid w:val="008F05A2"/>
    <w:rsid w:val="008F07FC"/>
    <w:rsid w:val="008F089F"/>
    <w:rsid w:val="008F0C1E"/>
    <w:rsid w:val="008F0E80"/>
    <w:rsid w:val="008F0EE4"/>
    <w:rsid w:val="008F13A0"/>
    <w:rsid w:val="008F14C9"/>
    <w:rsid w:val="008F17A0"/>
    <w:rsid w:val="008F1ADC"/>
    <w:rsid w:val="008F1EBE"/>
    <w:rsid w:val="008F2075"/>
    <w:rsid w:val="008F221C"/>
    <w:rsid w:val="008F2224"/>
    <w:rsid w:val="008F24A0"/>
    <w:rsid w:val="008F2552"/>
    <w:rsid w:val="008F25E2"/>
    <w:rsid w:val="008F2688"/>
    <w:rsid w:val="008F29F8"/>
    <w:rsid w:val="008F2A2F"/>
    <w:rsid w:val="008F2C62"/>
    <w:rsid w:val="008F2D95"/>
    <w:rsid w:val="008F2E66"/>
    <w:rsid w:val="008F2FB2"/>
    <w:rsid w:val="008F319A"/>
    <w:rsid w:val="008F3306"/>
    <w:rsid w:val="008F3330"/>
    <w:rsid w:val="008F3519"/>
    <w:rsid w:val="008F37D4"/>
    <w:rsid w:val="008F39F8"/>
    <w:rsid w:val="008F3A18"/>
    <w:rsid w:val="008F3E20"/>
    <w:rsid w:val="008F4189"/>
    <w:rsid w:val="008F41E4"/>
    <w:rsid w:val="008F44D9"/>
    <w:rsid w:val="008F45AB"/>
    <w:rsid w:val="008F4A7E"/>
    <w:rsid w:val="008F4F87"/>
    <w:rsid w:val="008F5299"/>
    <w:rsid w:val="008F529D"/>
    <w:rsid w:val="008F52AC"/>
    <w:rsid w:val="008F542D"/>
    <w:rsid w:val="008F58EC"/>
    <w:rsid w:val="008F599C"/>
    <w:rsid w:val="008F5B11"/>
    <w:rsid w:val="008F5E79"/>
    <w:rsid w:val="008F5EC6"/>
    <w:rsid w:val="008F5F24"/>
    <w:rsid w:val="008F5F52"/>
    <w:rsid w:val="008F624A"/>
    <w:rsid w:val="008F644A"/>
    <w:rsid w:val="008F6783"/>
    <w:rsid w:val="008F68B5"/>
    <w:rsid w:val="008F6AC2"/>
    <w:rsid w:val="008F6B9E"/>
    <w:rsid w:val="008F6D93"/>
    <w:rsid w:val="008F6FE1"/>
    <w:rsid w:val="008F6FE3"/>
    <w:rsid w:val="008F703E"/>
    <w:rsid w:val="008F7109"/>
    <w:rsid w:val="008F73E2"/>
    <w:rsid w:val="008F7503"/>
    <w:rsid w:val="008F7808"/>
    <w:rsid w:val="008F7DC4"/>
    <w:rsid w:val="008F7FF6"/>
    <w:rsid w:val="00900168"/>
    <w:rsid w:val="00900174"/>
    <w:rsid w:val="0090030C"/>
    <w:rsid w:val="0090039F"/>
    <w:rsid w:val="009003BE"/>
    <w:rsid w:val="009005ED"/>
    <w:rsid w:val="009008FD"/>
    <w:rsid w:val="00900981"/>
    <w:rsid w:val="00900AD6"/>
    <w:rsid w:val="00900EEA"/>
    <w:rsid w:val="00901424"/>
    <w:rsid w:val="009015B5"/>
    <w:rsid w:val="00901896"/>
    <w:rsid w:val="00901924"/>
    <w:rsid w:val="00901A7C"/>
    <w:rsid w:val="00901BC2"/>
    <w:rsid w:val="00901BDB"/>
    <w:rsid w:val="00901BE3"/>
    <w:rsid w:val="00901C0E"/>
    <w:rsid w:val="00901C26"/>
    <w:rsid w:val="0090233F"/>
    <w:rsid w:val="009023B3"/>
    <w:rsid w:val="009023C0"/>
    <w:rsid w:val="0090271E"/>
    <w:rsid w:val="009028DE"/>
    <w:rsid w:val="00902A81"/>
    <w:rsid w:val="00902B32"/>
    <w:rsid w:val="00902B8E"/>
    <w:rsid w:val="00902F20"/>
    <w:rsid w:val="00902F3C"/>
    <w:rsid w:val="0090304E"/>
    <w:rsid w:val="009031C2"/>
    <w:rsid w:val="009034FD"/>
    <w:rsid w:val="0090371F"/>
    <w:rsid w:val="00903BFD"/>
    <w:rsid w:val="00903E81"/>
    <w:rsid w:val="00903ED8"/>
    <w:rsid w:val="00903F33"/>
    <w:rsid w:val="00904031"/>
    <w:rsid w:val="0090464D"/>
    <w:rsid w:val="009046F2"/>
    <w:rsid w:val="009047C7"/>
    <w:rsid w:val="00904912"/>
    <w:rsid w:val="009049F0"/>
    <w:rsid w:val="00904C81"/>
    <w:rsid w:val="00904CCC"/>
    <w:rsid w:val="00904E26"/>
    <w:rsid w:val="00904E7B"/>
    <w:rsid w:val="00904E8B"/>
    <w:rsid w:val="0090536B"/>
    <w:rsid w:val="00905521"/>
    <w:rsid w:val="0090555A"/>
    <w:rsid w:val="0090567C"/>
    <w:rsid w:val="00905890"/>
    <w:rsid w:val="00905905"/>
    <w:rsid w:val="00905BA5"/>
    <w:rsid w:val="00906915"/>
    <w:rsid w:val="00906B50"/>
    <w:rsid w:val="00906C2F"/>
    <w:rsid w:val="00906CBC"/>
    <w:rsid w:val="00906D1F"/>
    <w:rsid w:val="009070D4"/>
    <w:rsid w:val="0090732D"/>
    <w:rsid w:val="0090734D"/>
    <w:rsid w:val="00907552"/>
    <w:rsid w:val="0090759C"/>
    <w:rsid w:val="00907612"/>
    <w:rsid w:val="00907666"/>
    <w:rsid w:val="0090787E"/>
    <w:rsid w:val="00907899"/>
    <w:rsid w:val="00907B50"/>
    <w:rsid w:val="00907B79"/>
    <w:rsid w:val="00907BDB"/>
    <w:rsid w:val="00907D95"/>
    <w:rsid w:val="00910015"/>
    <w:rsid w:val="00910442"/>
    <w:rsid w:val="0091051E"/>
    <w:rsid w:val="0091089F"/>
    <w:rsid w:val="00910BC2"/>
    <w:rsid w:val="009112AB"/>
    <w:rsid w:val="0091137A"/>
    <w:rsid w:val="009117AF"/>
    <w:rsid w:val="00911962"/>
    <w:rsid w:val="00911C8A"/>
    <w:rsid w:val="00911D20"/>
    <w:rsid w:val="00911E50"/>
    <w:rsid w:val="00911F2F"/>
    <w:rsid w:val="00912142"/>
    <w:rsid w:val="0091235C"/>
    <w:rsid w:val="0091238F"/>
    <w:rsid w:val="00912454"/>
    <w:rsid w:val="009124ED"/>
    <w:rsid w:val="009125F7"/>
    <w:rsid w:val="00912668"/>
    <w:rsid w:val="00912797"/>
    <w:rsid w:val="009127B7"/>
    <w:rsid w:val="00912A66"/>
    <w:rsid w:val="00912A67"/>
    <w:rsid w:val="00912BE6"/>
    <w:rsid w:val="00912C44"/>
    <w:rsid w:val="00912E20"/>
    <w:rsid w:val="00912E66"/>
    <w:rsid w:val="00912EFE"/>
    <w:rsid w:val="00912F9A"/>
    <w:rsid w:val="0091325E"/>
    <w:rsid w:val="0091340C"/>
    <w:rsid w:val="009136D4"/>
    <w:rsid w:val="00913806"/>
    <w:rsid w:val="00913976"/>
    <w:rsid w:val="009146CE"/>
    <w:rsid w:val="009148D0"/>
    <w:rsid w:val="00914D16"/>
    <w:rsid w:val="00914DA7"/>
    <w:rsid w:val="00914DDE"/>
    <w:rsid w:val="00914E18"/>
    <w:rsid w:val="00914EF1"/>
    <w:rsid w:val="0091541D"/>
    <w:rsid w:val="00915450"/>
    <w:rsid w:val="009155F3"/>
    <w:rsid w:val="009158EF"/>
    <w:rsid w:val="00915BFD"/>
    <w:rsid w:val="00915C59"/>
    <w:rsid w:val="00915F63"/>
    <w:rsid w:val="00916121"/>
    <w:rsid w:val="0091634D"/>
    <w:rsid w:val="00916670"/>
    <w:rsid w:val="009168A7"/>
    <w:rsid w:val="00916AFA"/>
    <w:rsid w:val="00916C58"/>
    <w:rsid w:val="00916C84"/>
    <w:rsid w:val="00916E8A"/>
    <w:rsid w:val="0091779A"/>
    <w:rsid w:val="009177E9"/>
    <w:rsid w:val="00917F48"/>
    <w:rsid w:val="009200E6"/>
    <w:rsid w:val="0092032C"/>
    <w:rsid w:val="0092062B"/>
    <w:rsid w:val="00920C2A"/>
    <w:rsid w:val="00920FDD"/>
    <w:rsid w:val="00921362"/>
    <w:rsid w:val="009213B3"/>
    <w:rsid w:val="00921547"/>
    <w:rsid w:val="00921A81"/>
    <w:rsid w:val="00921C55"/>
    <w:rsid w:val="00922164"/>
    <w:rsid w:val="009221AD"/>
    <w:rsid w:val="009221F9"/>
    <w:rsid w:val="00922612"/>
    <w:rsid w:val="00922943"/>
    <w:rsid w:val="00922C9D"/>
    <w:rsid w:val="00922E95"/>
    <w:rsid w:val="00922F12"/>
    <w:rsid w:val="00922FAF"/>
    <w:rsid w:val="00923366"/>
    <w:rsid w:val="00923D0C"/>
    <w:rsid w:val="00923D1D"/>
    <w:rsid w:val="00923FDD"/>
    <w:rsid w:val="009240B7"/>
    <w:rsid w:val="009240E0"/>
    <w:rsid w:val="00924633"/>
    <w:rsid w:val="009246A0"/>
    <w:rsid w:val="009246DE"/>
    <w:rsid w:val="009247A7"/>
    <w:rsid w:val="009248D9"/>
    <w:rsid w:val="00924A20"/>
    <w:rsid w:val="00924A74"/>
    <w:rsid w:val="00924ABC"/>
    <w:rsid w:val="00924CF7"/>
    <w:rsid w:val="00924DE4"/>
    <w:rsid w:val="00925120"/>
    <w:rsid w:val="00925145"/>
    <w:rsid w:val="0092577A"/>
    <w:rsid w:val="00925998"/>
    <w:rsid w:val="00925BB3"/>
    <w:rsid w:val="00925E38"/>
    <w:rsid w:val="0092600B"/>
    <w:rsid w:val="009260B6"/>
    <w:rsid w:val="009260BD"/>
    <w:rsid w:val="00926145"/>
    <w:rsid w:val="0092658E"/>
    <w:rsid w:val="009265C7"/>
    <w:rsid w:val="00926F67"/>
    <w:rsid w:val="009270AC"/>
    <w:rsid w:val="0092712A"/>
    <w:rsid w:val="009272B9"/>
    <w:rsid w:val="0092731A"/>
    <w:rsid w:val="009273DB"/>
    <w:rsid w:val="0092763D"/>
    <w:rsid w:val="00930059"/>
    <w:rsid w:val="00930165"/>
    <w:rsid w:val="00930319"/>
    <w:rsid w:val="00930349"/>
    <w:rsid w:val="0093050B"/>
    <w:rsid w:val="009307DC"/>
    <w:rsid w:val="009308E1"/>
    <w:rsid w:val="00930AFC"/>
    <w:rsid w:val="00930B74"/>
    <w:rsid w:val="00930BA3"/>
    <w:rsid w:val="00930C31"/>
    <w:rsid w:val="00930C49"/>
    <w:rsid w:val="00930CFF"/>
    <w:rsid w:val="00930D09"/>
    <w:rsid w:val="00930E33"/>
    <w:rsid w:val="00931082"/>
    <w:rsid w:val="00931134"/>
    <w:rsid w:val="009311D8"/>
    <w:rsid w:val="009313C4"/>
    <w:rsid w:val="0093156C"/>
    <w:rsid w:val="009315C5"/>
    <w:rsid w:val="00931AB6"/>
    <w:rsid w:val="00931B87"/>
    <w:rsid w:val="00931DB9"/>
    <w:rsid w:val="00932088"/>
    <w:rsid w:val="009322A8"/>
    <w:rsid w:val="0093241E"/>
    <w:rsid w:val="009325DE"/>
    <w:rsid w:val="00932847"/>
    <w:rsid w:val="009328C9"/>
    <w:rsid w:val="009329C0"/>
    <w:rsid w:val="00932B2C"/>
    <w:rsid w:val="00932CB5"/>
    <w:rsid w:val="0093316A"/>
    <w:rsid w:val="009331CF"/>
    <w:rsid w:val="0093332D"/>
    <w:rsid w:val="00933376"/>
    <w:rsid w:val="009334AC"/>
    <w:rsid w:val="00933F2D"/>
    <w:rsid w:val="00934060"/>
    <w:rsid w:val="0093424A"/>
    <w:rsid w:val="00934564"/>
    <w:rsid w:val="00934934"/>
    <w:rsid w:val="00934E38"/>
    <w:rsid w:val="00934ED7"/>
    <w:rsid w:val="00935131"/>
    <w:rsid w:val="009351E1"/>
    <w:rsid w:val="009351ED"/>
    <w:rsid w:val="00935274"/>
    <w:rsid w:val="00935345"/>
    <w:rsid w:val="0093577D"/>
    <w:rsid w:val="00935C59"/>
    <w:rsid w:val="00935E03"/>
    <w:rsid w:val="00935EDC"/>
    <w:rsid w:val="00935FB3"/>
    <w:rsid w:val="00936229"/>
    <w:rsid w:val="00936239"/>
    <w:rsid w:val="009362FD"/>
    <w:rsid w:val="0093673D"/>
    <w:rsid w:val="00936923"/>
    <w:rsid w:val="00936C84"/>
    <w:rsid w:val="00936CA6"/>
    <w:rsid w:val="00936CDE"/>
    <w:rsid w:val="00936E62"/>
    <w:rsid w:val="009373EB"/>
    <w:rsid w:val="009375CC"/>
    <w:rsid w:val="0093779B"/>
    <w:rsid w:val="00937A83"/>
    <w:rsid w:val="00937BAE"/>
    <w:rsid w:val="00937CB3"/>
    <w:rsid w:val="00937E53"/>
    <w:rsid w:val="00940508"/>
    <w:rsid w:val="009406D1"/>
    <w:rsid w:val="0094078C"/>
    <w:rsid w:val="00940996"/>
    <w:rsid w:val="00940BF3"/>
    <w:rsid w:val="00940D4A"/>
    <w:rsid w:val="00940E3E"/>
    <w:rsid w:val="00940F7A"/>
    <w:rsid w:val="00940FC0"/>
    <w:rsid w:val="009411E6"/>
    <w:rsid w:val="0094146D"/>
    <w:rsid w:val="0094183E"/>
    <w:rsid w:val="009419A3"/>
    <w:rsid w:val="009419BB"/>
    <w:rsid w:val="00941A22"/>
    <w:rsid w:val="00941A25"/>
    <w:rsid w:val="00941A5E"/>
    <w:rsid w:val="00941BF7"/>
    <w:rsid w:val="00941C02"/>
    <w:rsid w:val="00941E1D"/>
    <w:rsid w:val="00941ED9"/>
    <w:rsid w:val="00942010"/>
    <w:rsid w:val="0094217D"/>
    <w:rsid w:val="009421C1"/>
    <w:rsid w:val="00942437"/>
    <w:rsid w:val="00942700"/>
    <w:rsid w:val="00942829"/>
    <w:rsid w:val="009428B4"/>
    <w:rsid w:val="00942922"/>
    <w:rsid w:val="00942986"/>
    <w:rsid w:val="00942D22"/>
    <w:rsid w:val="00942D53"/>
    <w:rsid w:val="00942E35"/>
    <w:rsid w:val="009430DE"/>
    <w:rsid w:val="0094316D"/>
    <w:rsid w:val="0094320A"/>
    <w:rsid w:val="00943253"/>
    <w:rsid w:val="00943364"/>
    <w:rsid w:val="00943503"/>
    <w:rsid w:val="0094380B"/>
    <w:rsid w:val="00943917"/>
    <w:rsid w:val="00943983"/>
    <w:rsid w:val="00943A2E"/>
    <w:rsid w:val="00943CA7"/>
    <w:rsid w:val="00943D40"/>
    <w:rsid w:val="00943FBD"/>
    <w:rsid w:val="009443FA"/>
    <w:rsid w:val="009448FE"/>
    <w:rsid w:val="00944932"/>
    <w:rsid w:val="00944BE2"/>
    <w:rsid w:val="00944D6A"/>
    <w:rsid w:val="00944D8A"/>
    <w:rsid w:val="009450FA"/>
    <w:rsid w:val="00945133"/>
    <w:rsid w:val="0094515D"/>
    <w:rsid w:val="0094528F"/>
    <w:rsid w:val="009453AD"/>
    <w:rsid w:val="0094543D"/>
    <w:rsid w:val="0094552D"/>
    <w:rsid w:val="0094560C"/>
    <w:rsid w:val="00945A89"/>
    <w:rsid w:val="00945CDF"/>
    <w:rsid w:val="00945CE3"/>
    <w:rsid w:val="009460ED"/>
    <w:rsid w:val="00946423"/>
    <w:rsid w:val="00946480"/>
    <w:rsid w:val="0094662F"/>
    <w:rsid w:val="009466AE"/>
    <w:rsid w:val="00946B08"/>
    <w:rsid w:val="00946B4B"/>
    <w:rsid w:val="00946CD8"/>
    <w:rsid w:val="00946F0E"/>
    <w:rsid w:val="00946FD6"/>
    <w:rsid w:val="00947054"/>
    <w:rsid w:val="00947180"/>
    <w:rsid w:val="0094776D"/>
    <w:rsid w:val="00947BEB"/>
    <w:rsid w:val="00947CEC"/>
    <w:rsid w:val="009505B1"/>
    <w:rsid w:val="0095086F"/>
    <w:rsid w:val="00950A59"/>
    <w:rsid w:val="00950BC3"/>
    <w:rsid w:val="009516B6"/>
    <w:rsid w:val="0095170D"/>
    <w:rsid w:val="0095197F"/>
    <w:rsid w:val="00951A4F"/>
    <w:rsid w:val="00951BE6"/>
    <w:rsid w:val="00951C13"/>
    <w:rsid w:val="00951C5C"/>
    <w:rsid w:val="00951D58"/>
    <w:rsid w:val="00951EB9"/>
    <w:rsid w:val="00952031"/>
    <w:rsid w:val="009521CF"/>
    <w:rsid w:val="009525F9"/>
    <w:rsid w:val="00952632"/>
    <w:rsid w:val="00952775"/>
    <w:rsid w:val="009528CD"/>
    <w:rsid w:val="00952B39"/>
    <w:rsid w:val="00952E9E"/>
    <w:rsid w:val="00952EDF"/>
    <w:rsid w:val="00952F91"/>
    <w:rsid w:val="0095307F"/>
    <w:rsid w:val="00953277"/>
    <w:rsid w:val="0095340F"/>
    <w:rsid w:val="009535CE"/>
    <w:rsid w:val="0095370C"/>
    <w:rsid w:val="00953A03"/>
    <w:rsid w:val="00953ACD"/>
    <w:rsid w:val="00953B86"/>
    <w:rsid w:val="00953C0C"/>
    <w:rsid w:val="00953C24"/>
    <w:rsid w:val="00953C85"/>
    <w:rsid w:val="00953C88"/>
    <w:rsid w:val="00953EC2"/>
    <w:rsid w:val="00953F03"/>
    <w:rsid w:val="009542CC"/>
    <w:rsid w:val="0095433E"/>
    <w:rsid w:val="0095438C"/>
    <w:rsid w:val="00954479"/>
    <w:rsid w:val="009544A4"/>
    <w:rsid w:val="009548FF"/>
    <w:rsid w:val="00954A6D"/>
    <w:rsid w:val="00954F62"/>
    <w:rsid w:val="009550BD"/>
    <w:rsid w:val="00955480"/>
    <w:rsid w:val="00955526"/>
    <w:rsid w:val="009556EE"/>
    <w:rsid w:val="00955768"/>
    <w:rsid w:val="009557C4"/>
    <w:rsid w:val="00955F48"/>
    <w:rsid w:val="009560CD"/>
    <w:rsid w:val="00956509"/>
    <w:rsid w:val="009565B0"/>
    <w:rsid w:val="009565BA"/>
    <w:rsid w:val="00956892"/>
    <w:rsid w:val="009569A7"/>
    <w:rsid w:val="00956DA2"/>
    <w:rsid w:val="00957608"/>
    <w:rsid w:val="00957AE6"/>
    <w:rsid w:val="00957CE6"/>
    <w:rsid w:val="00957DA8"/>
    <w:rsid w:val="00957EF3"/>
    <w:rsid w:val="00957FD5"/>
    <w:rsid w:val="00960106"/>
    <w:rsid w:val="00960431"/>
    <w:rsid w:val="0096078C"/>
    <w:rsid w:val="00960A18"/>
    <w:rsid w:val="00960BCF"/>
    <w:rsid w:val="00960CC4"/>
    <w:rsid w:val="00960E87"/>
    <w:rsid w:val="00961447"/>
    <w:rsid w:val="009614EE"/>
    <w:rsid w:val="0096161A"/>
    <w:rsid w:val="00961A44"/>
    <w:rsid w:val="00961A61"/>
    <w:rsid w:val="00961B82"/>
    <w:rsid w:val="00961E80"/>
    <w:rsid w:val="00961F5B"/>
    <w:rsid w:val="009621C5"/>
    <w:rsid w:val="009623D2"/>
    <w:rsid w:val="0096242D"/>
    <w:rsid w:val="009624F6"/>
    <w:rsid w:val="00962538"/>
    <w:rsid w:val="00962549"/>
    <w:rsid w:val="00962575"/>
    <w:rsid w:val="009627A3"/>
    <w:rsid w:val="00962B16"/>
    <w:rsid w:val="00962CCE"/>
    <w:rsid w:val="00962CD3"/>
    <w:rsid w:val="00962EBE"/>
    <w:rsid w:val="009632A0"/>
    <w:rsid w:val="00963511"/>
    <w:rsid w:val="00963B70"/>
    <w:rsid w:val="00963CE1"/>
    <w:rsid w:val="00963DAC"/>
    <w:rsid w:val="0096408E"/>
    <w:rsid w:val="0096416A"/>
    <w:rsid w:val="00964AEB"/>
    <w:rsid w:val="00964BC4"/>
    <w:rsid w:val="00964D3E"/>
    <w:rsid w:val="009650EC"/>
    <w:rsid w:val="00965269"/>
    <w:rsid w:val="00965311"/>
    <w:rsid w:val="00965572"/>
    <w:rsid w:val="009655DC"/>
    <w:rsid w:val="009656F5"/>
    <w:rsid w:val="00965797"/>
    <w:rsid w:val="00965982"/>
    <w:rsid w:val="009659D5"/>
    <w:rsid w:val="00965BCB"/>
    <w:rsid w:val="009660FC"/>
    <w:rsid w:val="00966587"/>
    <w:rsid w:val="00966ADC"/>
    <w:rsid w:val="00966C09"/>
    <w:rsid w:val="009673E4"/>
    <w:rsid w:val="009674A3"/>
    <w:rsid w:val="00967AA8"/>
    <w:rsid w:val="00967BD6"/>
    <w:rsid w:val="00967C01"/>
    <w:rsid w:val="00967C08"/>
    <w:rsid w:val="00967CE3"/>
    <w:rsid w:val="00967FC5"/>
    <w:rsid w:val="0097005D"/>
    <w:rsid w:val="00970266"/>
    <w:rsid w:val="00970339"/>
    <w:rsid w:val="009709BA"/>
    <w:rsid w:val="00970AAA"/>
    <w:rsid w:val="00970AC5"/>
    <w:rsid w:val="00970CEF"/>
    <w:rsid w:val="00970D2E"/>
    <w:rsid w:val="00970F38"/>
    <w:rsid w:val="00970FD6"/>
    <w:rsid w:val="0097123E"/>
    <w:rsid w:val="0097127A"/>
    <w:rsid w:val="0097146B"/>
    <w:rsid w:val="0097168E"/>
    <w:rsid w:val="00971C02"/>
    <w:rsid w:val="00971D3A"/>
    <w:rsid w:val="00971FDB"/>
    <w:rsid w:val="00972030"/>
    <w:rsid w:val="009721EB"/>
    <w:rsid w:val="00972316"/>
    <w:rsid w:val="0097240C"/>
    <w:rsid w:val="0097291D"/>
    <w:rsid w:val="00972A95"/>
    <w:rsid w:val="00972B3A"/>
    <w:rsid w:val="00972C23"/>
    <w:rsid w:val="00972E85"/>
    <w:rsid w:val="00972EC6"/>
    <w:rsid w:val="00972FC1"/>
    <w:rsid w:val="009730DB"/>
    <w:rsid w:val="00973178"/>
    <w:rsid w:val="009732E6"/>
    <w:rsid w:val="00973320"/>
    <w:rsid w:val="00973600"/>
    <w:rsid w:val="009738AF"/>
    <w:rsid w:val="009739CA"/>
    <w:rsid w:val="00973D72"/>
    <w:rsid w:val="00973E9B"/>
    <w:rsid w:val="00974104"/>
    <w:rsid w:val="00974178"/>
    <w:rsid w:val="0097453B"/>
    <w:rsid w:val="00974587"/>
    <w:rsid w:val="009745C8"/>
    <w:rsid w:val="00974CD8"/>
    <w:rsid w:val="00974D2B"/>
    <w:rsid w:val="009751FA"/>
    <w:rsid w:val="00975331"/>
    <w:rsid w:val="0097544F"/>
    <w:rsid w:val="00975473"/>
    <w:rsid w:val="0097551E"/>
    <w:rsid w:val="00975528"/>
    <w:rsid w:val="0097568A"/>
    <w:rsid w:val="009757FC"/>
    <w:rsid w:val="00975956"/>
    <w:rsid w:val="00975A73"/>
    <w:rsid w:val="00975B28"/>
    <w:rsid w:val="00975D90"/>
    <w:rsid w:val="00975E63"/>
    <w:rsid w:val="0097616A"/>
    <w:rsid w:val="0097670E"/>
    <w:rsid w:val="009767D5"/>
    <w:rsid w:val="00976953"/>
    <w:rsid w:val="009769F5"/>
    <w:rsid w:val="00976D41"/>
    <w:rsid w:val="00977121"/>
    <w:rsid w:val="0097713A"/>
    <w:rsid w:val="00977442"/>
    <w:rsid w:val="00977CB4"/>
    <w:rsid w:val="00977E1A"/>
    <w:rsid w:val="00977F5C"/>
    <w:rsid w:val="009802DE"/>
    <w:rsid w:val="009803D4"/>
    <w:rsid w:val="009805BB"/>
    <w:rsid w:val="0098069F"/>
    <w:rsid w:val="00980A66"/>
    <w:rsid w:val="00980AAC"/>
    <w:rsid w:val="00980D3E"/>
    <w:rsid w:val="00980DFE"/>
    <w:rsid w:val="00980EE3"/>
    <w:rsid w:val="00980F78"/>
    <w:rsid w:val="00980F87"/>
    <w:rsid w:val="009810BB"/>
    <w:rsid w:val="00981349"/>
    <w:rsid w:val="00981427"/>
    <w:rsid w:val="00981467"/>
    <w:rsid w:val="009814A1"/>
    <w:rsid w:val="0098168B"/>
    <w:rsid w:val="009817F8"/>
    <w:rsid w:val="009818BA"/>
    <w:rsid w:val="00981D9A"/>
    <w:rsid w:val="00981E09"/>
    <w:rsid w:val="00981E18"/>
    <w:rsid w:val="00982433"/>
    <w:rsid w:val="009828BC"/>
    <w:rsid w:val="00982CD3"/>
    <w:rsid w:val="00982D73"/>
    <w:rsid w:val="00982DB5"/>
    <w:rsid w:val="00982FF1"/>
    <w:rsid w:val="0098305C"/>
    <w:rsid w:val="009830E8"/>
    <w:rsid w:val="00983148"/>
    <w:rsid w:val="009834B8"/>
    <w:rsid w:val="00983502"/>
    <w:rsid w:val="0098359F"/>
    <w:rsid w:val="009835B8"/>
    <w:rsid w:val="00983616"/>
    <w:rsid w:val="009837AE"/>
    <w:rsid w:val="00983870"/>
    <w:rsid w:val="0098387D"/>
    <w:rsid w:val="0098398F"/>
    <w:rsid w:val="00983E05"/>
    <w:rsid w:val="00983EAA"/>
    <w:rsid w:val="00984023"/>
    <w:rsid w:val="00984070"/>
    <w:rsid w:val="00984087"/>
    <w:rsid w:val="009840B8"/>
    <w:rsid w:val="00984441"/>
    <w:rsid w:val="009844CF"/>
    <w:rsid w:val="0098475E"/>
    <w:rsid w:val="0098485F"/>
    <w:rsid w:val="00984DD8"/>
    <w:rsid w:val="009850A1"/>
    <w:rsid w:val="009850FE"/>
    <w:rsid w:val="00985113"/>
    <w:rsid w:val="009853C1"/>
    <w:rsid w:val="009857BE"/>
    <w:rsid w:val="0098593D"/>
    <w:rsid w:val="00985981"/>
    <w:rsid w:val="00985D5D"/>
    <w:rsid w:val="00985E9B"/>
    <w:rsid w:val="009860F6"/>
    <w:rsid w:val="00986178"/>
    <w:rsid w:val="00986836"/>
    <w:rsid w:val="0098697D"/>
    <w:rsid w:val="0098698A"/>
    <w:rsid w:val="00986C06"/>
    <w:rsid w:val="00986F9B"/>
    <w:rsid w:val="00987364"/>
    <w:rsid w:val="0098743E"/>
    <w:rsid w:val="00987844"/>
    <w:rsid w:val="00987B7A"/>
    <w:rsid w:val="00987CA4"/>
    <w:rsid w:val="00990175"/>
    <w:rsid w:val="0099020A"/>
    <w:rsid w:val="00990441"/>
    <w:rsid w:val="009905C9"/>
    <w:rsid w:val="00990770"/>
    <w:rsid w:val="0099085F"/>
    <w:rsid w:val="00990865"/>
    <w:rsid w:val="00990A77"/>
    <w:rsid w:val="00990C39"/>
    <w:rsid w:val="00990E3B"/>
    <w:rsid w:val="00990E68"/>
    <w:rsid w:val="00990F5B"/>
    <w:rsid w:val="00991040"/>
    <w:rsid w:val="00991818"/>
    <w:rsid w:val="00991947"/>
    <w:rsid w:val="00992056"/>
    <w:rsid w:val="009925DB"/>
    <w:rsid w:val="009928FF"/>
    <w:rsid w:val="00992DFC"/>
    <w:rsid w:val="00993114"/>
    <w:rsid w:val="0099317D"/>
    <w:rsid w:val="009933ED"/>
    <w:rsid w:val="00993B72"/>
    <w:rsid w:val="00993CC9"/>
    <w:rsid w:val="00993E57"/>
    <w:rsid w:val="009940A4"/>
    <w:rsid w:val="00994140"/>
    <w:rsid w:val="00994272"/>
    <w:rsid w:val="009943D3"/>
    <w:rsid w:val="009949C5"/>
    <w:rsid w:val="00994A2B"/>
    <w:rsid w:val="00994C9C"/>
    <w:rsid w:val="00994E34"/>
    <w:rsid w:val="00994FDF"/>
    <w:rsid w:val="00995034"/>
    <w:rsid w:val="00995155"/>
    <w:rsid w:val="009951C2"/>
    <w:rsid w:val="0099531F"/>
    <w:rsid w:val="00995626"/>
    <w:rsid w:val="0099588A"/>
    <w:rsid w:val="00995913"/>
    <w:rsid w:val="00995AD7"/>
    <w:rsid w:val="00995E03"/>
    <w:rsid w:val="0099609C"/>
    <w:rsid w:val="009961B2"/>
    <w:rsid w:val="009961FA"/>
    <w:rsid w:val="009965B8"/>
    <w:rsid w:val="00996631"/>
    <w:rsid w:val="0099663D"/>
    <w:rsid w:val="00996D64"/>
    <w:rsid w:val="00996FBA"/>
    <w:rsid w:val="00997307"/>
    <w:rsid w:val="009975AE"/>
    <w:rsid w:val="00997796"/>
    <w:rsid w:val="00997958"/>
    <w:rsid w:val="00997AC5"/>
    <w:rsid w:val="00997CA6"/>
    <w:rsid w:val="00997DAF"/>
    <w:rsid w:val="00997DF6"/>
    <w:rsid w:val="009A02A3"/>
    <w:rsid w:val="009A02B8"/>
    <w:rsid w:val="009A0669"/>
    <w:rsid w:val="009A0693"/>
    <w:rsid w:val="009A089B"/>
    <w:rsid w:val="009A09F1"/>
    <w:rsid w:val="009A0A3A"/>
    <w:rsid w:val="009A0A67"/>
    <w:rsid w:val="009A0AA3"/>
    <w:rsid w:val="009A0B9B"/>
    <w:rsid w:val="009A0CB9"/>
    <w:rsid w:val="009A0D27"/>
    <w:rsid w:val="009A0D6A"/>
    <w:rsid w:val="009A0F1E"/>
    <w:rsid w:val="009A1075"/>
    <w:rsid w:val="009A1166"/>
    <w:rsid w:val="009A11D9"/>
    <w:rsid w:val="009A12DF"/>
    <w:rsid w:val="009A1491"/>
    <w:rsid w:val="009A1582"/>
    <w:rsid w:val="009A1740"/>
    <w:rsid w:val="009A19BD"/>
    <w:rsid w:val="009A19CD"/>
    <w:rsid w:val="009A2132"/>
    <w:rsid w:val="009A229C"/>
    <w:rsid w:val="009A23EE"/>
    <w:rsid w:val="009A26B0"/>
    <w:rsid w:val="009A2928"/>
    <w:rsid w:val="009A2E52"/>
    <w:rsid w:val="009A2F53"/>
    <w:rsid w:val="009A3162"/>
    <w:rsid w:val="009A3335"/>
    <w:rsid w:val="009A33E6"/>
    <w:rsid w:val="009A3BCB"/>
    <w:rsid w:val="009A3CEF"/>
    <w:rsid w:val="009A3E7C"/>
    <w:rsid w:val="009A4069"/>
    <w:rsid w:val="009A4305"/>
    <w:rsid w:val="009A4499"/>
    <w:rsid w:val="009A462C"/>
    <w:rsid w:val="009A4649"/>
    <w:rsid w:val="009A4919"/>
    <w:rsid w:val="009A4CFC"/>
    <w:rsid w:val="009A5526"/>
    <w:rsid w:val="009A5787"/>
    <w:rsid w:val="009A580E"/>
    <w:rsid w:val="009A5846"/>
    <w:rsid w:val="009A58EB"/>
    <w:rsid w:val="009A5979"/>
    <w:rsid w:val="009A5ED3"/>
    <w:rsid w:val="009A6030"/>
    <w:rsid w:val="009A615B"/>
    <w:rsid w:val="009A64AB"/>
    <w:rsid w:val="009A6602"/>
    <w:rsid w:val="009A68D5"/>
    <w:rsid w:val="009A6A4D"/>
    <w:rsid w:val="009A6AC5"/>
    <w:rsid w:val="009A6F74"/>
    <w:rsid w:val="009A75D6"/>
    <w:rsid w:val="009A7834"/>
    <w:rsid w:val="009A795B"/>
    <w:rsid w:val="009A7C6F"/>
    <w:rsid w:val="009A7C79"/>
    <w:rsid w:val="009B0301"/>
    <w:rsid w:val="009B03B8"/>
    <w:rsid w:val="009B0768"/>
    <w:rsid w:val="009B08D8"/>
    <w:rsid w:val="009B0B1C"/>
    <w:rsid w:val="009B0C94"/>
    <w:rsid w:val="009B0DD1"/>
    <w:rsid w:val="009B0F3E"/>
    <w:rsid w:val="009B1029"/>
    <w:rsid w:val="009B11E2"/>
    <w:rsid w:val="009B140B"/>
    <w:rsid w:val="009B1678"/>
    <w:rsid w:val="009B1754"/>
    <w:rsid w:val="009B18DF"/>
    <w:rsid w:val="009B1BD8"/>
    <w:rsid w:val="009B1CB0"/>
    <w:rsid w:val="009B1F94"/>
    <w:rsid w:val="009B2138"/>
    <w:rsid w:val="009B22CA"/>
    <w:rsid w:val="009B26D6"/>
    <w:rsid w:val="009B2AC8"/>
    <w:rsid w:val="009B2BBE"/>
    <w:rsid w:val="009B2D25"/>
    <w:rsid w:val="009B2DDA"/>
    <w:rsid w:val="009B3090"/>
    <w:rsid w:val="009B30E1"/>
    <w:rsid w:val="009B3283"/>
    <w:rsid w:val="009B32FB"/>
    <w:rsid w:val="009B3920"/>
    <w:rsid w:val="009B3BBF"/>
    <w:rsid w:val="009B475B"/>
    <w:rsid w:val="009B4A1C"/>
    <w:rsid w:val="009B4B36"/>
    <w:rsid w:val="009B4BC4"/>
    <w:rsid w:val="009B4BFE"/>
    <w:rsid w:val="009B4D1B"/>
    <w:rsid w:val="009B4FEC"/>
    <w:rsid w:val="009B5591"/>
    <w:rsid w:val="009B55B5"/>
    <w:rsid w:val="009B56F6"/>
    <w:rsid w:val="009B5AC4"/>
    <w:rsid w:val="009B5B07"/>
    <w:rsid w:val="009B5B53"/>
    <w:rsid w:val="009B5FB3"/>
    <w:rsid w:val="009B60E9"/>
    <w:rsid w:val="009B6141"/>
    <w:rsid w:val="009B62CD"/>
    <w:rsid w:val="009B62F0"/>
    <w:rsid w:val="009B6359"/>
    <w:rsid w:val="009B6370"/>
    <w:rsid w:val="009B66CC"/>
    <w:rsid w:val="009B6944"/>
    <w:rsid w:val="009B6C6C"/>
    <w:rsid w:val="009B6C9E"/>
    <w:rsid w:val="009B6CD0"/>
    <w:rsid w:val="009B6FB9"/>
    <w:rsid w:val="009B6FC8"/>
    <w:rsid w:val="009B70C2"/>
    <w:rsid w:val="009B71B6"/>
    <w:rsid w:val="009B71C9"/>
    <w:rsid w:val="009B7263"/>
    <w:rsid w:val="009B7562"/>
    <w:rsid w:val="009B757C"/>
    <w:rsid w:val="009B75AD"/>
    <w:rsid w:val="009B75BE"/>
    <w:rsid w:val="009B7734"/>
    <w:rsid w:val="009B77AB"/>
    <w:rsid w:val="009B79DE"/>
    <w:rsid w:val="009B7AB3"/>
    <w:rsid w:val="009C0197"/>
    <w:rsid w:val="009C0389"/>
    <w:rsid w:val="009C03BD"/>
    <w:rsid w:val="009C03DA"/>
    <w:rsid w:val="009C05D5"/>
    <w:rsid w:val="009C06A8"/>
    <w:rsid w:val="009C083C"/>
    <w:rsid w:val="009C0CC4"/>
    <w:rsid w:val="009C0F03"/>
    <w:rsid w:val="009C11CE"/>
    <w:rsid w:val="009C1403"/>
    <w:rsid w:val="009C1600"/>
    <w:rsid w:val="009C1640"/>
    <w:rsid w:val="009C171B"/>
    <w:rsid w:val="009C2075"/>
    <w:rsid w:val="009C22DC"/>
    <w:rsid w:val="009C23A4"/>
    <w:rsid w:val="009C28A8"/>
    <w:rsid w:val="009C293A"/>
    <w:rsid w:val="009C2EA0"/>
    <w:rsid w:val="009C2EF8"/>
    <w:rsid w:val="009C3365"/>
    <w:rsid w:val="009C3585"/>
    <w:rsid w:val="009C360A"/>
    <w:rsid w:val="009C36EC"/>
    <w:rsid w:val="009C398A"/>
    <w:rsid w:val="009C3BB1"/>
    <w:rsid w:val="009C3E3A"/>
    <w:rsid w:val="009C40D9"/>
    <w:rsid w:val="009C42E3"/>
    <w:rsid w:val="009C4399"/>
    <w:rsid w:val="009C45B3"/>
    <w:rsid w:val="009C45F1"/>
    <w:rsid w:val="009C487D"/>
    <w:rsid w:val="009C49CA"/>
    <w:rsid w:val="009C4D08"/>
    <w:rsid w:val="009C4D56"/>
    <w:rsid w:val="009C4D97"/>
    <w:rsid w:val="009C4DEE"/>
    <w:rsid w:val="009C4F22"/>
    <w:rsid w:val="009C4FFA"/>
    <w:rsid w:val="009C5270"/>
    <w:rsid w:val="009C53FE"/>
    <w:rsid w:val="009C54F5"/>
    <w:rsid w:val="009C5EDE"/>
    <w:rsid w:val="009C63D8"/>
    <w:rsid w:val="009C647A"/>
    <w:rsid w:val="009C6653"/>
    <w:rsid w:val="009C69C7"/>
    <w:rsid w:val="009C6BA3"/>
    <w:rsid w:val="009C6BDD"/>
    <w:rsid w:val="009C6BFD"/>
    <w:rsid w:val="009C6C53"/>
    <w:rsid w:val="009C722E"/>
    <w:rsid w:val="009C74C7"/>
    <w:rsid w:val="009C75C0"/>
    <w:rsid w:val="009C7732"/>
    <w:rsid w:val="009C7B7C"/>
    <w:rsid w:val="009C7BA2"/>
    <w:rsid w:val="009C7BBB"/>
    <w:rsid w:val="009C7C34"/>
    <w:rsid w:val="009C7CF6"/>
    <w:rsid w:val="009C7F69"/>
    <w:rsid w:val="009D05B9"/>
    <w:rsid w:val="009D0782"/>
    <w:rsid w:val="009D0933"/>
    <w:rsid w:val="009D0A54"/>
    <w:rsid w:val="009D0BD2"/>
    <w:rsid w:val="009D0BE3"/>
    <w:rsid w:val="009D1023"/>
    <w:rsid w:val="009D132F"/>
    <w:rsid w:val="009D166F"/>
    <w:rsid w:val="009D1674"/>
    <w:rsid w:val="009D17B7"/>
    <w:rsid w:val="009D17E1"/>
    <w:rsid w:val="009D1B75"/>
    <w:rsid w:val="009D1BB8"/>
    <w:rsid w:val="009D1C9A"/>
    <w:rsid w:val="009D1FEF"/>
    <w:rsid w:val="009D2099"/>
    <w:rsid w:val="009D21F3"/>
    <w:rsid w:val="009D26B7"/>
    <w:rsid w:val="009D2770"/>
    <w:rsid w:val="009D2986"/>
    <w:rsid w:val="009D2D82"/>
    <w:rsid w:val="009D2ED6"/>
    <w:rsid w:val="009D3237"/>
    <w:rsid w:val="009D3458"/>
    <w:rsid w:val="009D360C"/>
    <w:rsid w:val="009D3628"/>
    <w:rsid w:val="009D3826"/>
    <w:rsid w:val="009D39E8"/>
    <w:rsid w:val="009D3D7F"/>
    <w:rsid w:val="009D3DA6"/>
    <w:rsid w:val="009D3EE6"/>
    <w:rsid w:val="009D4294"/>
    <w:rsid w:val="009D4448"/>
    <w:rsid w:val="009D49F4"/>
    <w:rsid w:val="009D4B0A"/>
    <w:rsid w:val="009D4C2A"/>
    <w:rsid w:val="009D4E46"/>
    <w:rsid w:val="009D5018"/>
    <w:rsid w:val="009D5302"/>
    <w:rsid w:val="009D5457"/>
    <w:rsid w:val="009D552C"/>
    <w:rsid w:val="009D554C"/>
    <w:rsid w:val="009D5595"/>
    <w:rsid w:val="009D55CC"/>
    <w:rsid w:val="009D5762"/>
    <w:rsid w:val="009D583B"/>
    <w:rsid w:val="009D586F"/>
    <w:rsid w:val="009D5A95"/>
    <w:rsid w:val="009D5BEE"/>
    <w:rsid w:val="009D5C96"/>
    <w:rsid w:val="009D5E1C"/>
    <w:rsid w:val="009D6299"/>
    <w:rsid w:val="009D6914"/>
    <w:rsid w:val="009D691C"/>
    <w:rsid w:val="009D6AC0"/>
    <w:rsid w:val="009D6BED"/>
    <w:rsid w:val="009D6BFF"/>
    <w:rsid w:val="009D6F51"/>
    <w:rsid w:val="009D74DC"/>
    <w:rsid w:val="009D79B8"/>
    <w:rsid w:val="009D7A69"/>
    <w:rsid w:val="009D7AB4"/>
    <w:rsid w:val="009D7F0A"/>
    <w:rsid w:val="009E0606"/>
    <w:rsid w:val="009E08F4"/>
    <w:rsid w:val="009E0A9F"/>
    <w:rsid w:val="009E0D49"/>
    <w:rsid w:val="009E0DF7"/>
    <w:rsid w:val="009E0F78"/>
    <w:rsid w:val="009E12C5"/>
    <w:rsid w:val="009E135D"/>
    <w:rsid w:val="009E1804"/>
    <w:rsid w:val="009E189C"/>
    <w:rsid w:val="009E1A3C"/>
    <w:rsid w:val="009E1A6D"/>
    <w:rsid w:val="009E1C22"/>
    <w:rsid w:val="009E1E36"/>
    <w:rsid w:val="009E1EBA"/>
    <w:rsid w:val="009E2481"/>
    <w:rsid w:val="009E2636"/>
    <w:rsid w:val="009E295A"/>
    <w:rsid w:val="009E2D6D"/>
    <w:rsid w:val="009E2EC7"/>
    <w:rsid w:val="009E3209"/>
    <w:rsid w:val="009E3439"/>
    <w:rsid w:val="009E37E4"/>
    <w:rsid w:val="009E3C7E"/>
    <w:rsid w:val="009E3D23"/>
    <w:rsid w:val="009E3D92"/>
    <w:rsid w:val="009E3EC3"/>
    <w:rsid w:val="009E3F2F"/>
    <w:rsid w:val="009E420A"/>
    <w:rsid w:val="009E4279"/>
    <w:rsid w:val="009E43E8"/>
    <w:rsid w:val="009E4431"/>
    <w:rsid w:val="009E4456"/>
    <w:rsid w:val="009E44C5"/>
    <w:rsid w:val="009E46E5"/>
    <w:rsid w:val="009E478F"/>
    <w:rsid w:val="009E4BB4"/>
    <w:rsid w:val="009E4BF7"/>
    <w:rsid w:val="009E4C70"/>
    <w:rsid w:val="009E4F53"/>
    <w:rsid w:val="009E4F97"/>
    <w:rsid w:val="009E4FC3"/>
    <w:rsid w:val="009E53F8"/>
    <w:rsid w:val="009E544E"/>
    <w:rsid w:val="009E5850"/>
    <w:rsid w:val="009E5A4A"/>
    <w:rsid w:val="009E5B6B"/>
    <w:rsid w:val="009E62FF"/>
    <w:rsid w:val="009E6322"/>
    <w:rsid w:val="009E64C2"/>
    <w:rsid w:val="009E684B"/>
    <w:rsid w:val="009E6B38"/>
    <w:rsid w:val="009E6BD5"/>
    <w:rsid w:val="009E6E04"/>
    <w:rsid w:val="009E71D6"/>
    <w:rsid w:val="009E7203"/>
    <w:rsid w:val="009E7696"/>
    <w:rsid w:val="009E76BD"/>
    <w:rsid w:val="009E79C7"/>
    <w:rsid w:val="009E7A04"/>
    <w:rsid w:val="009E7CE2"/>
    <w:rsid w:val="009E7F40"/>
    <w:rsid w:val="009E7F65"/>
    <w:rsid w:val="009F0027"/>
    <w:rsid w:val="009F0272"/>
    <w:rsid w:val="009F0381"/>
    <w:rsid w:val="009F0772"/>
    <w:rsid w:val="009F0848"/>
    <w:rsid w:val="009F0B3B"/>
    <w:rsid w:val="009F0FB5"/>
    <w:rsid w:val="009F0FD3"/>
    <w:rsid w:val="009F160F"/>
    <w:rsid w:val="009F1705"/>
    <w:rsid w:val="009F1763"/>
    <w:rsid w:val="009F193A"/>
    <w:rsid w:val="009F1B5A"/>
    <w:rsid w:val="009F228D"/>
    <w:rsid w:val="009F2306"/>
    <w:rsid w:val="009F2659"/>
    <w:rsid w:val="009F26D7"/>
    <w:rsid w:val="009F288A"/>
    <w:rsid w:val="009F2A39"/>
    <w:rsid w:val="009F2B4F"/>
    <w:rsid w:val="009F302B"/>
    <w:rsid w:val="009F311C"/>
    <w:rsid w:val="009F3318"/>
    <w:rsid w:val="009F3525"/>
    <w:rsid w:val="009F3543"/>
    <w:rsid w:val="009F3631"/>
    <w:rsid w:val="009F363C"/>
    <w:rsid w:val="009F3790"/>
    <w:rsid w:val="009F391A"/>
    <w:rsid w:val="009F3A07"/>
    <w:rsid w:val="009F3CB3"/>
    <w:rsid w:val="009F3D56"/>
    <w:rsid w:val="009F40A1"/>
    <w:rsid w:val="009F40E7"/>
    <w:rsid w:val="009F4110"/>
    <w:rsid w:val="009F43E9"/>
    <w:rsid w:val="009F476C"/>
    <w:rsid w:val="009F48C7"/>
    <w:rsid w:val="009F4C37"/>
    <w:rsid w:val="009F4D06"/>
    <w:rsid w:val="009F4EBA"/>
    <w:rsid w:val="009F4F52"/>
    <w:rsid w:val="009F5358"/>
    <w:rsid w:val="009F5678"/>
    <w:rsid w:val="009F5797"/>
    <w:rsid w:val="009F57FD"/>
    <w:rsid w:val="009F586C"/>
    <w:rsid w:val="009F58C8"/>
    <w:rsid w:val="009F5ACB"/>
    <w:rsid w:val="009F5D20"/>
    <w:rsid w:val="009F5D30"/>
    <w:rsid w:val="009F5DB2"/>
    <w:rsid w:val="009F5F8E"/>
    <w:rsid w:val="009F6963"/>
    <w:rsid w:val="009F698D"/>
    <w:rsid w:val="009F69D3"/>
    <w:rsid w:val="009F6A2A"/>
    <w:rsid w:val="009F6AA3"/>
    <w:rsid w:val="009F6D7D"/>
    <w:rsid w:val="009F7194"/>
    <w:rsid w:val="009F722F"/>
    <w:rsid w:val="009F7235"/>
    <w:rsid w:val="009F7316"/>
    <w:rsid w:val="009F7851"/>
    <w:rsid w:val="009F7A90"/>
    <w:rsid w:val="009F7B6E"/>
    <w:rsid w:val="009F7CEB"/>
    <w:rsid w:val="00A0044C"/>
    <w:rsid w:val="00A004C0"/>
    <w:rsid w:val="00A00A14"/>
    <w:rsid w:val="00A00A3F"/>
    <w:rsid w:val="00A00AF0"/>
    <w:rsid w:val="00A012AC"/>
    <w:rsid w:val="00A01511"/>
    <w:rsid w:val="00A015F3"/>
    <w:rsid w:val="00A01667"/>
    <w:rsid w:val="00A0228C"/>
    <w:rsid w:val="00A022FF"/>
    <w:rsid w:val="00A02382"/>
    <w:rsid w:val="00A0239A"/>
    <w:rsid w:val="00A025B7"/>
    <w:rsid w:val="00A02878"/>
    <w:rsid w:val="00A0292A"/>
    <w:rsid w:val="00A02AC1"/>
    <w:rsid w:val="00A02D62"/>
    <w:rsid w:val="00A02E28"/>
    <w:rsid w:val="00A02FA3"/>
    <w:rsid w:val="00A02FB3"/>
    <w:rsid w:val="00A03256"/>
    <w:rsid w:val="00A03258"/>
    <w:rsid w:val="00A03C05"/>
    <w:rsid w:val="00A03E9E"/>
    <w:rsid w:val="00A03FC9"/>
    <w:rsid w:val="00A040FD"/>
    <w:rsid w:val="00A0415D"/>
    <w:rsid w:val="00A0426A"/>
    <w:rsid w:val="00A043E8"/>
    <w:rsid w:val="00A048AA"/>
    <w:rsid w:val="00A048E4"/>
    <w:rsid w:val="00A049D4"/>
    <w:rsid w:val="00A04A2B"/>
    <w:rsid w:val="00A04B5C"/>
    <w:rsid w:val="00A04C0D"/>
    <w:rsid w:val="00A04C24"/>
    <w:rsid w:val="00A04E11"/>
    <w:rsid w:val="00A04E73"/>
    <w:rsid w:val="00A05394"/>
    <w:rsid w:val="00A053BE"/>
    <w:rsid w:val="00A0572E"/>
    <w:rsid w:val="00A058F5"/>
    <w:rsid w:val="00A0599A"/>
    <w:rsid w:val="00A05B09"/>
    <w:rsid w:val="00A05F07"/>
    <w:rsid w:val="00A060D9"/>
    <w:rsid w:val="00A0628A"/>
    <w:rsid w:val="00A0636F"/>
    <w:rsid w:val="00A06864"/>
    <w:rsid w:val="00A0694E"/>
    <w:rsid w:val="00A06B40"/>
    <w:rsid w:val="00A06FA5"/>
    <w:rsid w:val="00A0727E"/>
    <w:rsid w:val="00A07327"/>
    <w:rsid w:val="00A0744D"/>
    <w:rsid w:val="00A0762A"/>
    <w:rsid w:val="00A07660"/>
    <w:rsid w:val="00A07679"/>
    <w:rsid w:val="00A076E8"/>
    <w:rsid w:val="00A0777E"/>
    <w:rsid w:val="00A07876"/>
    <w:rsid w:val="00A0797B"/>
    <w:rsid w:val="00A07BFD"/>
    <w:rsid w:val="00A07ED1"/>
    <w:rsid w:val="00A07F62"/>
    <w:rsid w:val="00A10035"/>
    <w:rsid w:val="00A100E9"/>
    <w:rsid w:val="00A1010E"/>
    <w:rsid w:val="00A10173"/>
    <w:rsid w:val="00A10206"/>
    <w:rsid w:val="00A10475"/>
    <w:rsid w:val="00A1069D"/>
    <w:rsid w:val="00A106F7"/>
    <w:rsid w:val="00A10868"/>
    <w:rsid w:val="00A10A18"/>
    <w:rsid w:val="00A10C1D"/>
    <w:rsid w:val="00A10C99"/>
    <w:rsid w:val="00A10C9A"/>
    <w:rsid w:val="00A10E0C"/>
    <w:rsid w:val="00A10F18"/>
    <w:rsid w:val="00A10FBF"/>
    <w:rsid w:val="00A110D9"/>
    <w:rsid w:val="00A11149"/>
    <w:rsid w:val="00A112DC"/>
    <w:rsid w:val="00A116F3"/>
    <w:rsid w:val="00A1173A"/>
    <w:rsid w:val="00A11ACE"/>
    <w:rsid w:val="00A11F9F"/>
    <w:rsid w:val="00A121D2"/>
    <w:rsid w:val="00A122D3"/>
    <w:rsid w:val="00A1256E"/>
    <w:rsid w:val="00A12A11"/>
    <w:rsid w:val="00A12A44"/>
    <w:rsid w:val="00A12BD5"/>
    <w:rsid w:val="00A12D36"/>
    <w:rsid w:val="00A12D5E"/>
    <w:rsid w:val="00A12EBA"/>
    <w:rsid w:val="00A13198"/>
    <w:rsid w:val="00A134F6"/>
    <w:rsid w:val="00A13699"/>
    <w:rsid w:val="00A1379B"/>
    <w:rsid w:val="00A13853"/>
    <w:rsid w:val="00A139D5"/>
    <w:rsid w:val="00A13A2D"/>
    <w:rsid w:val="00A13A7D"/>
    <w:rsid w:val="00A13B3B"/>
    <w:rsid w:val="00A13D62"/>
    <w:rsid w:val="00A13E1F"/>
    <w:rsid w:val="00A13E82"/>
    <w:rsid w:val="00A140CC"/>
    <w:rsid w:val="00A1423B"/>
    <w:rsid w:val="00A143B3"/>
    <w:rsid w:val="00A147CE"/>
    <w:rsid w:val="00A147D6"/>
    <w:rsid w:val="00A14A18"/>
    <w:rsid w:val="00A14A1D"/>
    <w:rsid w:val="00A14C22"/>
    <w:rsid w:val="00A14F60"/>
    <w:rsid w:val="00A14F78"/>
    <w:rsid w:val="00A15062"/>
    <w:rsid w:val="00A150BC"/>
    <w:rsid w:val="00A1545A"/>
    <w:rsid w:val="00A155CC"/>
    <w:rsid w:val="00A15634"/>
    <w:rsid w:val="00A1616B"/>
    <w:rsid w:val="00A162A3"/>
    <w:rsid w:val="00A16638"/>
    <w:rsid w:val="00A1699D"/>
    <w:rsid w:val="00A16C6E"/>
    <w:rsid w:val="00A16D96"/>
    <w:rsid w:val="00A16DCD"/>
    <w:rsid w:val="00A16E2C"/>
    <w:rsid w:val="00A17025"/>
    <w:rsid w:val="00A170A0"/>
    <w:rsid w:val="00A1726B"/>
    <w:rsid w:val="00A17346"/>
    <w:rsid w:val="00A17355"/>
    <w:rsid w:val="00A17490"/>
    <w:rsid w:val="00A179C8"/>
    <w:rsid w:val="00A17AFE"/>
    <w:rsid w:val="00A17CD2"/>
    <w:rsid w:val="00A17EB5"/>
    <w:rsid w:val="00A17EF0"/>
    <w:rsid w:val="00A2004D"/>
    <w:rsid w:val="00A20264"/>
    <w:rsid w:val="00A2056A"/>
    <w:rsid w:val="00A2067F"/>
    <w:rsid w:val="00A20B1A"/>
    <w:rsid w:val="00A20C1E"/>
    <w:rsid w:val="00A20E48"/>
    <w:rsid w:val="00A21071"/>
    <w:rsid w:val="00A211ED"/>
    <w:rsid w:val="00A216F9"/>
    <w:rsid w:val="00A22200"/>
    <w:rsid w:val="00A224A1"/>
    <w:rsid w:val="00A22529"/>
    <w:rsid w:val="00A226E2"/>
    <w:rsid w:val="00A22A39"/>
    <w:rsid w:val="00A22D3F"/>
    <w:rsid w:val="00A22FB1"/>
    <w:rsid w:val="00A2315A"/>
    <w:rsid w:val="00A23201"/>
    <w:rsid w:val="00A23270"/>
    <w:rsid w:val="00A2340C"/>
    <w:rsid w:val="00A23455"/>
    <w:rsid w:val="00A234B3"/>
    <w:rsid w:val="00A235BA"/>
    <w:rsid w:val="00A235D7"/>
    <w:rsid w:val="00A23AFD"/>
    <w:rsid w:val="00A23B61"/>
    <w:rsid w:val="00A23E45"/>
    <w:rsid w:val="00A23EAA"/>
    <w:rsid w:val="00A23F0D"/>
    <w:rsid w:val="00A23F4C"/>
    <w:rsid w:val="00A24267"/>
    <w:rsid w:val="00A242EC"/>
    <w:rsid w:val="00A24368"/>
    <w:rsid w:val="00A24683"/>
    <w:rsid w:val="00A24684"/>
    <w:rsid w:val="00A247E3"/>
    <w:rsid w:val="00A2499F"/>
    <w:rsid w:val="00A24BC0"/>
    <w:rsid w:val="00A25101"/>
    <w:rsid w:val="00A252B2"/>
    <w:rsid w:val="00A259FC"/>
    <w:rsid w:val="00A25A92"/>
    <w:rsid w:val="00A25B10"/>
    <w:rsid w:val="00A25C28"/>
    <w:rsid w:val="00A25DC8"/>
    <w:rsid w:val="00A25F51"/>
    <w:rsid w:val="00A25FF6"/>
    <w:rsid w:val="00A261FA"/>
    <w:rsid w:val="00A262DC"/>
    <w:rsid w:val="00A26495"/>
    <w:rsid w:val="00A26694"/>
    <w:rsid w:val="00A2672F"/>
    <w:rsid w:val="00A268C4"/>
    <w:rsid w:val="00A26A02"/>
    <w:rsid w:val="00A26A0D"/>
    <w:rsid w:val="00A26B81"/>
    <w:rsid w:val="00A26CF6"/>
    <w:rsid w:val="00A26E47"/>
    <w:rsid w:val="00A26E4A"/>
    <w:rsid w:val="00A26F19"/>
    <w:rsid w:val="00A26F33"/>
    <w:rsid w:val="00A273A1"/>
    <w:rsid w:val="00A273F6"/>
    <w:rsid w:val="00A27A50"/>
    <w:rsid w:val="00A27A52"/>
    <w:rsid w:val="00A27C1F"/>
    <w:rsid w:val="00A27F73"/>
    <w:rsid w:val="00A3002B"/>
    <w:rsid w:val="00A3039F"/>
    <w:rsid w:val="00A310D5"/>
    <w:rsid w:val="00A314D7"/>
    <w:rsid w:val="00A319A7"/>
    <w:rsid w:val="00A324A5"/>
    <w:rsid w:val="00A32A24"/>
    <w:rsid w:val="00A32C1C"/>
    <w:rsid w:val="00A32CBB"/>
    <w:rsid w:val="00A330DA"/>
    <w:rsid w:val="00A331B7"/>
    <w:rsid w:val="00A333FD"/>
    <w:rsid w:val="00A334E6"/>
    <w:rsid w:val="00A33A65"/>
    <w:rsid w:val="00A33B23"/>
    <w:rsid w:val="00A33F30"/>
    <w:rsid w:val="00A33F72"/>
    <w:rsid w:val="00A34043"/>
    <w:rsid w:val="00A340B4"/>
    <w:rsid w:val="00A34222"/>
    <w:rsid w:val="00A34434"/>
    <w:rsid w:val="00A34436"/>
    <w:rsid w:val="00A3450F"/>
    <w:rsid w:val="00A34957"/>
    <w:rsid w:val="00A34997"/>
    <w:rsid w:val="00A34A8B"/>
    <w:rsid w:val="00A34C80"/>
    <w:rsid w:val="00A3521F"/>
    <w:rsid w:val="00A3533D"/>
    <w:rsid w:val="00A35649"/>
    <w:rsid w:val="00A3597C"/>
    <w:rsid w:val="00A35A2B"/>
    <w:rsid w:val="00A35A6B"/>
    <w:rsid w:val="00A35C0A"/>
    <w:rsid w:val="00A3617A"/>
    <w:rsid w:val="00A361BC"/>
    <w:rsid w:val="00A3621B"/>
    <w:rsid w:val="00A3643E"/>
    <w:rsid w:val="00A36F07"/>
    <w:rsid w:val="00A36F6E"/>
    <w:rsid w:val="00A370F3"/>
    <w:rsid w:val="00A3727C"/>
    <w:rsid w:val="00A37414"/>
    <w:rsid w:val="00A37423"/>
    <w:rsid w:val="00A37677"/>
    <w:rsid w:val="00A37810"/>
    <w:rsid w:val="00A37E97"/>
    <w:rsid w:val="00A37F66"/>
    <w:rsid w:val="00A40169"/>
    <w:rsid w:val="00A40599"/>
    <w:rsid w:val="00A408BA"/>
    <w:rsid w:val="00A40B2F"/>
    <w:rsid w:val="00A40BE0"/>
    <w:rsid w:val="00A40CED"/>
    <w:rsid w:val="00A4100A"/>
    <w:rsid w:val="00A413BB"/>
    <w:rsid w:val="00A413C0"/>
    <w:rsid w:val="00A41558"/>
    <w:rsid w:val="00A41746"/>
    <w:rsid w:val="00A41E4C"/>
    <w:rsid w:val="00A41E5D"/>
    <w:rsid w:val="00A41E76"/>
    <w:rsid w:val="00A41E93"/>
    <w:rsid w:val="00A42076"/>
    <w:rsid w:val="00A42424"/>
    <w:rsid w:val="00A424A7"/>
    <w:rsid w:val="00A42689"/>
    <w:rsid w:val="00A427DB"/>
    <w:rsid w:val="00A428A1"/>
    <w:rsid w:val="00A4293F"/>
    <w:rsid w:val="00A42ABC"/>
    <w:rsid w:val="00A42C16"/>
    <w:rsid w:val="00A4303F"/>
    <w:rsid w:val="00A432A0"/>
    <w:rsid w:val="00A439AA"/>
    <w:rsid w:val="00A43BC3"/>
    <w:rsid w:val="00A43C8A"/>
    <w:rsid w:val="00A43DE7"/>
    <w:rsid w:val="00A43F94"/>
    <w:rsid w:val="00A44162"/>
    <w:rsid w:val="00A44177"/>
    <w:rsid w:val="00A441F3"/>
    <w:rsid w:val="00A4436B"/>
    <w:rsid w:val="00A4440F"/>
    <w:rsid w:val="00A44416"/>
    <w:rsid w:val="00A44432"/>
    <w:rsid w:val="00A44627"/>
    <w:rsid w:val="00A446F3"/>
    <w:rsid w:val="00A44A7A"/>
    <w:rsid w:val="00A44B8A"/>
    <w:rsid w:val="00A4502B"/>
    <w:rsid w:val="00A45200"/>
    <w:rsid w:val="00A45378"/>
    <w:rsid w:val="00A454BC"/>
    <w:rsid w:val="00A4581D"/>
    <w:rsid w:val="00A45938"/>
    <w:rsid w:val="00A459CC"/>
    <w:rsid w:val="00A45ACF"/>
    <w:rsid w:val="00A45C13"/>
    <w:rsid w:val="00A45D1F"/>
    <w:rsid w:val="00A45E46"/>
    <w:rsid w:val="00A45ECE"/>
    <w:rsid w:val="00A4633A"/>
    <w:rsid w:val="00A4635A"/>
    <w:rsid w:val="00A4645D"/>
    <w:rsid w:val="00A46AC1"/>
    <w:rsid w:val="00A46B23"/>
    <w:rsid w:val="00A46D15"/>
    <w:rsid w:val="00A46DFD"/>
    <w:rsid w:val="00A46E12"/>
    <w:rsid w:val="00A46F0F"/>
    <w:rsid w:val="00A47468"/>
    <w:rsid w:val="00A4768D"/>
    <w:rsid w:val="00A47763"/>
    <w:rsid w:val="00A479E6"/>
    <w:rsid w:val="00A47B2C"/>
    <w:rsid w:val="00A500E7"/>
    <w:rsid w:val="00A5014B"/>
    <w:rsid w:val="00A50282"/>
    <w:rsid w:val="00A5043A"/>
    <w:rsid w:val="00A5048A"/>
    <w:rsid w:val="00A511A7"/>
    <w:rsid w:val="00A51225"/>
    <w:rsid w:val="00A512FB"/>
    <w:rsid w:val="00A51430"/>
    <w:rsid w:val="00A514D4"/>
    <w:rsid w:val="00A5191A"/>
    <w:rsid w:val="00A51CB0"/>
    <w:rsid w:val="00A51DD5"/>
    <w:rsid w:val="00A51E36"/>
    <w:rsid w:val="00A51F79"/>
    <w:rsid w:val="00A520C3"/>
    <w:rsid w:val="00A52AF2"/>
    <w:rsid w:val="00A52C47"/>
    <w:rsid w:val="00A52C72"/>
    <w:rsid w:val="00A52F61"/>
    <w:rsid w:val="00A52F96"/>
    <w:rsid w:val="00A53165"/>
    <w:rsid w:val="00A5322F"/>
    <w:rsid w:val="00A535FB"/>
    <w:rsid w:val="00A53C3B"/>
    <w:rsid w:val="00A53C4D"/>
    <w:rsid w:val="00A53EFE"/>
    <w:rsid w:val="00A53FA8"/>
    <w:rsid w:val="00A5453C"/>
    <w:rsid w:val="00A54C7A"/>
    <w:rsid w:val="00A54F4F"/>
    <w:rsid w:val="00A550AE"/>
    <w:rsid w:val="00A55EC8"/>
    <w:rsid w:val="00A565E0"/>
    <w:rsid w:val="00A56634"/>
    <w:rsid w:val="00A56850"/>
    <w:rsid w:val="00A568FA"/>
    <w:rsid w:val="00A569DF"/>
    <w:rsid w:val="00A56B76"/>
    <w:rsid w:val="00A5718F"/>
    <w:rsid w:val="00A574F4"/>
    <w:rsid w:val="00A57958"/>
    <w:rsid w:val="00A57AD5"/>
    <w:rsid w:val="00A57CE6"/>
    <w:rsid w:val="00A60174"/>
    <w:rsid w:val="00A60784"/>
    <w:rsid w:val="00A60A26"/>
    <w:rsid w:val="00A60C95"/>
    <w:rsid w:val="00A60D9F"/>
    <w:rsid w:val="00A60E89"/>
    <w:rsid w:val="00A610F2"/>
    <w:rsid w:val="00A612DD"/>
    <w:rsid w:val="00A614CB"/>
    <w:rsid w:val="00A615D1"/>
    <w:rsid w:val="00A615E7"/>
    <w:rsid w:val="00A61B06"/>
    <w:rsid w:val="00A61C83"/>
    <w:rsid w:val="00A62078"/>
    <w:rsid w:val="00A62096"/>
    <w:rsid w:val="00A6209E"/>
    <w:rsid w:val="00A6213B"/>
    <w:rsid w:val="00A6239B"/>
    <w:rsid w:val="00A62596"/>
    <w:rsid w:val="00A62942"/>
    <w:rsid w:val="00A6294A"/>
    <w:rsid w:val="00A62C83"/>
    <w:rsid w:val="00A62E60"/>
    <w:rsid w:val="00A63092"/>
    <w:rsid w:val="00A63630"/>
    <w:rsid w:val="00A6374D"/>
    <w:rsid w:val="00A63ACD"/>
    <w:rsid w:val="00A63CAC"/>
    <w:rsid w:val="00A63D17"/>
    <w:rsid w:val="00A63F2D"/>
    <w:rsid w:val="00A6416B"/>
    <w:rsid w:val="00A6447C"/>
    <w:rsid w:val="00A64773"/>
    <w:rsid w:val="00A64983"/>
    <w:rsid w:val="00A649FF"/>
    <w:rsid w:val="00A64B8B"/>
    <w:rsid w:val="00A6517D"/>
    <w:rsid w:val="00A65211"/>
    <w:rsid w:val="00A652F2"/>
    <w:rsid w:val="00A6530E"/>
    <w:rsid w:val="00A65538"/>
    <w:rsid w:val="00A657E6"/>
    <w:rsid w:val="00A6599C"/>
    <w:rsid w:val="00A65C1F"/>
    <w:rsid w:val="00A66266"/>
    <w:rsid w:val="00A666B4"/>
    <w:rsid w:val="00A66BC8"/>
    <w:rsid w:val="00A66C8E"/>
    <w:rsid w:val="00A66D1C"/>
    <w:rsid w:val="00A66E63"/>
    <w:rsid w:val="00A66F62"/>
    <w:rsid w:val="00A66FAB"/>
    <w:rsid w:val="00A67349"/>
    <w:rsid w:val="00A674E2"/>
    <w:rsid w:val="00A6755A"/>
    <w:rsid w:val="00A6782A"/>
    <w:rsid w:val="00A67B34"/>
    <w:rsid w:val="00A67FC9"/>
    <w:rsid w:val="00A70465"/>
    <w:rsid w:val="00A706CF"/>
    <w:rsid w:val="00A707C0"/>
    <w:rsid w:val="00A70ABE"/>
    <w:rsid w:val="00A70E43"/>
    <w:rsid w:val="00A70FD7"/>
    <w:rsid w:val="00A70FFF"/>
    <w:rsid w:val="00A7100C"/>
    <w:rsid w:val="00A711B2"/>
    <w:rsid w:val="00A71208"/>
    <w:rsid w:val="00A71215"/>
    <w:rsid w:val="00A713ED"/>
    <w:rsid w:val="00A71404"/>
    <w:rsid w:val="00A715D4"/>
    <w:rsid w:val="00A71AED"/>
    <w:rsid w:val="00A71CA4"/>
    <w:rsid w:val="00A720FF"/>
    <w:rsid w:val="00A72259"/>
    <w:rsid w:val="00A722B9"/>
    <w:rsid w:val="00A72339"/>
    <w:rsid w:val="00A723EB"/>
    <w:rsid w:val="00A72422"/>
    <w:rsid w:val="00A724C3"/>
    <w:rsid w:val="00A726AD"/>
    <w:rsid w:val="00A72B21"/>
    <w:rsid w:val="00A72D38"/>
    <w:rsid w:val="00A73103"/>
    <w:rsid w:val="00A73561"/>
    <w:rsid w:val="00A739DC"/>
    <w:rsid w:val="00A739E2"/>
    <w:rsid w:val="00A73A23"/>
    <w:rsid w:val="00A73A9C"/>
    <w:rsid w:val="00A73AE1"/>
    <w:rsid w:val="00A73F1B"/>
    <w:rsid w:val="00A73FC6"/>
    <w:rsid w:val="00A74415"/>
    <w:rsid w:val="00A74A0F"/>
    <w:rsid w:val="00A74A8A"/>
    <w:rsid w:val="00A74DDE"/>
    <w:rsid w:val="00A74E6D"/>
    <w:rsid w:val="00A74E94"/>
    <w:rsid w:val="00A74F72"/>
    <w:rsid w:val="00A74FAF"/>
    <w:rsid w:val="00A75109"/>
    <w:rsid w:val="00A75112"/>
    <w:rsid w:val="00A7534D"/>
    <w:rsid w:val="00A754FA"/>
    <w:rsid w:val="00A75D69"/>
    <w:rsid w:val="00A75DA1"/>
    <w:rsid w:val="00A75DD6"/>
    <w:rsid w:val="00A76037"/>
    <w:rsid w:val="00A76552"/>
    <w:rsid w:val="00A768FA"/>
    <w:rsid w:val="00A76E33"/>
    <w:rsid w:val="00A76EA4"/>
    <w:rsid w:val="00A77541"/>
    <w:rsid w:val="00A77942"/>
    <w:rsid w:val="00A779FF"/>
    <w:rsid w:val="00A77A84"/>
    <w:rsid w:val="00A77BDE"/>
    <w:rsid w:val="00A77CBB"/>
    <w:rsid w:val="00A77DC5"/>
    <w:rsid w:val="00A77E8C"/>
    <w:rsid w:val="00A77F64"/>
    <w:rsid w:val="00A801DF"/>
    <w:rsid w:val="00A80397"/>
    <w:rsid w:val="00A809BB"/>
    <w:rsid w:val="00A80B22"/>
    <w:rsid w:val="00A80C77"/>
    <w:rsid w:val="00A811CB"/>
    <w:rsid w:val="00A81383"/>
    <w:rsid w:val="00A818EC"/>
    <w:rsid w:val="00A81982"/>
    <w:rsid w:val="00A81E7D"/>
    <w:rsid w:val="00A81F21"/>
    <w:rsid w:val="00A81F82"/>
    <w:rsid w:val="00A821F6"/>
    <w:rsid w:val="00A82200"/>
    <w:rsid w:val="00A823C1"/>
    <w:rsid w:val="00A82437"/>
    <w:rsid w:val="00A82934"/>
    <w:rsid w:val="00A829E0"/>
    <w:rsid w:val="00A829E6"/>
    <w:rsid w:val="00A82C7F"/>
    <w:rsid w:val="00A82E92"/>
    <w:rsid w:val="00A83312"/>
    <w:rsid w:val="00A835D0"/>
    <w:rsid w:val="00A83803"/>
    <w:rsid w:val="00A83C72"/>
    <w:rsid w:val="00A83E57"/>
    <w:rsid w:val="00A83F60"/>
    <w:rsid w:val="00A841B0"/>
    <w:rsid w:val="00A841B5"/>
    <w:rsid w:val="00A84255"/>
    <w:rsid w:val="00A845DE"/>
    <w:rsid w:val="00A84769"/>
    <w:rsid w:val="00A84A62"/>
    <w:rsid w:val="00A84B01"/>
    <w:rsid w:val="00A84B41"/>
    <w:rsid w:val="00A84C6B"/>
    <w:rsid w:val="00A84C99"/>
    <w:rsid w:val="00A84EAA"/>
    <w:rsid w:val="00A84EB2"/>
    <w:rsid w:val="00A85397"/>
    <w:rsid w:val="00A85479"/>
    <w:rsid w:val="00A85510"/>
    <w:rsid w:val="00A8568E"/>
    <w:rsid w:val="00A856DB"/>
    <w:rsid w:val="00A857DD"/>
    <w:rsid w:val="00A85A2B"/>
    <w:rsid w:val="00A85AB3"/>
    <w:rsid w:val="00A85B1B"/>
    <w:rsid w:val="00A8605C"/>
    <w:rsid w:val="00A860BC"/>
    <w:rsid w:val="00A8612D"/>
    <w:rsid w:val="00A86148"/>
    <w:rsid w:val="00A861BE"/>
    <w:rsid w:val="00A862A1"/>
    <w:rsid w:val="00A86BF1"/>
    <w:rsid w:val="00A86D60"/>
    <w:rsid w:val="00A86E17"/>
    <w:rsid w:val="00A86E91"/>
    <w:rsid w:val="00A8703C"/>
    <w:rsid w:val="00A87081"/>
    <w:rsid w:val="00A8718C"/>
    <w:rsid w:val="00A871E6"/>
    <w:rsid w:val="00A87F3E"/>
    <w:rsid w:val="00A87F55"/>
    <w:rsid w:val="00A9035B"/>
    <w:rsid w:val="00A903AB"/>
    <w:rsid w:val="00A903E9"/>
    <w:rsid w:val="00A90518"/>
    <w:rsid w:val="00A90934"/>
    <w:rsid w:val="00A90DB2"/>
    <w:rsid w:val="00A91115"/>
    <w:rsid w:val="00A91142"/>
    <w:rsid w:val="00A91329"/>
    <w:rsid w:val="00A9134A"/>
    <w:rsid w:val="00A91558"/>
    <w:rsid w:val="00A915CA"/>
    <w:rsid w:val="00A9162E"/>
    <w:rsid w:val="00A916AF"/>
    <w:rsid w:val="00A916E4"/>
    <w:rsid w:val="00A91930"/>
    <w:rsid w:val="00A91D52"/>
    <w:rsid w:val="00A91DCD"/>
    <w:rsid w:val="00A91EF2"/>
    <w:rsid w:val="00A9226A"/>
    <w:rsid w:val="00A92454"/>
    <w:rsid w:val="00A92705"/>
    <w:rsid w:val="00A92A4C"/>
    <w:rsid w:val="00A92CA2"/>
    <w:rsid w:val="00A92CE2"/>
    <w:rsid w:val="00A92F94"/>
    <w:rsid w:val="00A9318E"/>
    <w:rsid w:val="00A931FE"/>
    <w:rsid w:val="00A9331D"/>
    <w:rsid w:val="00A934DE"/>
    <w:rsid w:val="00A93543"/>
    <w:rsid w:val="00A93630"/>
    <w:rsid w:val="00A93710"/>
    <w:rsid w:val="00A93A19"/>
    <w:rsid w:val="00A93BDB"/>
    <w:rsid w:val="00A93D46"/>
    <w:rsid w:val="00A93F16"/>
    <w:rsid w:val="00A93F6B"/>
    <w:rsid w:val="00A93F83"/>
    <w:rsid w:val="00A940F1"/>
    <w:rsid w:val="00A941DD"/>
    <w:rsid w:val="00A94249"/>
    <w:rsid w:val="00A9436F"/>
    <w:rsid w:val="00A944AE"/>
    <w:rsid w:val="00A94672"/>
    <w:rsid w:val="00A9472A"/>
    <w:rsid w:val="00A948A6"/>
    <w:rsid w:val="00A94900"/>
    <w:rsid w:val="00A94909"/>
    <w:rsid w:val="00A94A13"/>
    <w:rsid w:val="00A94EC9"/>
    <w:rsid w:val="00A94EFC"/>
    <w:rsid w:val="00A95571"/>
    <w:rsid w:val="00A9564D"/>
    <w:rsid w:val="00A95709"/>
    <w:rsid w:val="00A95877"/>
    <w:rsid w:val="00A95AC6"/>
    <w:rsid w:val="00A95CC8"/>
    <w:rsid w:val="00A95E6B"/>
    <w:rsid w:val="00A95EA7"/>
    <w:rsid w:val="00A96147"/>
    <w:rsid w:val="00A963DD"/>
    <w:rsid w:val="00A9644D"/>
    <w:rsid w:val="00A966F4"/>
    <w:rsid w:val="00A9678D"/>
    <w:rsid w:val="00A969D1"/>
    <w:rsid w:val="00A96B6E"/>
    <w:rsid w:val="00A96C49"/>
    <w:rsid w:val="00A96D1F"/>
    <w:rsid w:val="00A9701B"/>
    <w:rsid w:val="00A97119"/>
    <w:rsid w:val="00A97200"/>
    <w:rsid w:val="00A97274"/>
    <w:rsid w:val="00A9754A"/>
    <w:rsid w:val="00A97556"/>
    <w:rsid w:val="00A97864"/>
    <w:rsid w:val="00A9795D"/>
    <w:rsid w:val="00A97AE0"/>
    <w:rsid w:val="00A97F1D"/>
    <w:rsid w:val="00A97F3B"/>
    <w:rsid w:val="00AA0299"/>
    <w:rsid w:val="00AA063F"/>
    <w:rsid w:val="00AA07C1"/>
    <w:rsid w:val="00AA0B09"/>
    <w:rsid w:val="00AA0D18"/>
    <w:rsid w:val="00AA0D58"/>
    <w:rsid w:val="00AA1044"/>
    <w:rsid w:val="00AA1322"/>
    <w:rsid w:val="00AA15A7"/>
    <w:rsid w:val="00AA1681"/>
    <w:rsid w:val="00AA1C0C"/>
    <w:rsid w:val="00AA1CEE"/>
    <w:rsid w:val="00AA1E9F"/>
    <w:rsid w:val="00AA1FA7"/>
    <w:rsid w:val="00AA2209"/>
    <w:rsid w:val="00AA2544"/>
    <w:rsid w:val="00AA26EE"/>
    <w:rsid w:val="00AA2FA1"/>
    <w:rsid w:val="00AA3082"/>
    <w:rsid w:val="00AA34A2"/>
    <w:rsid w:val="00AA3693"/>
    <w:rsid w:val="00AA37BC"/>
    <w:rsid w:val="00AA37C5"/>
    <w:rsid w:val="00AA38FC"/>
    <w:rsid w:val="00AA3980"/>
    <w:rsid w:val="00AA3D0F"/>
    <w:rsid w:val="00AA3EA0"/>
    <w:rsid w:val="00AA4007"/>
    <w:rsid w:val="00AA4023"/>
    <w:rsid w:val="00AA4291"/>
    <w:rsid w:val="00AA43FC"/>
    <w:rsid w:val="00AA449E"/>
    <w:rsid w:val="00AA4620"/>
    <w:rsid w:val="00AA4A85"/>
    <w:rsid w:val="00AA500E"/>
    <w:rsid w:val="00AA5162"/>
    <w:rsid w:val="00AA51C1"/>
    <w:rsid w:val="00AA56CB"/>
    <w:rsid w:val="00AA5927"/>
    <w:rsid w:val="00AA5960"/>
    <w:rsid w:val="00AA5A4E"/>
    <w:rsid w:val="00AA5AA6"/>
    <w:rsid w:val="00AA5DAD"/>
    <w:rsid w:val="00AA5F74"/>
    <w:rsid w:val="00AA6156"/>
    <w:rsid w:val="00AA63A4"/>
    <w:rsid w:val="00AA6496"/>
    <w:rsid w:val="00AA671B"/>
    <w:rsid w:val="00AA69A6"/>
    <w:rsid w:val="00AA6A6F"/>
    <w:rsid w:val="00AA6B25"/>
    <w:rsid w:val="00AA6CDC"/>
    <w:rsid w:val="00AA6CEF"/>
    <w:rsid w:val="00AA73AC"/>
    <w:rsid w:val="00AA73D5"/>
    <w:rsid w:val="00AA7B29"/>
    <w:rsid w:val="00AA7B77"/>
    <w:rsid w:val="00AB04AE"/>
    <w:rsid w:val="00AB06B0"/>
    <w:rsid w:val="00AB074C"/>
    <w:rsid w:val="00AB081A"/>
    <w:rsid w:val="00AB087D"/>
    <w:rsid w:val="00AB0AA0"/>
    <w:rsid w:val="00AB0BEA"/>
    <w:rsid w:val="00AB0C10"/>
    <w:rsid w:val="00AB0D9B"/>
    <w:rsid w:val="00AB1117"/>
    <w:rsid w:val="00AB1682"/>
    <w:rsid w:val="00AB17CA"/>
    <w:rsid w:val="00AB1837"/>
    <w:rsid w:val="00AB187A"/>
    <w:rsid w:val="00AB1881"/>
    <w:rsid w:val="00AB19A9"/>
    <w:rsid w:val="00AB1A1A"/>
    <w:rsid w:val="00AB1DF8"/>
    <w:rsid w:val="00AB1F80"/>
    <w:rsid w:val="00AB20AC"/>
    <w:rsid w:val="00AB22BC"/>
    <w:rsid w:val="00AB2B91"/>
    <w:rsid w:val="00AB2CDD"/>
    <w:rsid w:val="00AB2E1F"/>
    <w:rsid w:val="00AB39E8"/>
    <w:rsid w:val="00AB3ADB"/>
    <w:rsid w:val="00AB3B3E"/>
    <w:rsid w:val="00AB3CE7"/>
    <w:rsid w:val="00AB3D4B"/>
    <w:rsid w:val="00AB3DFB"/>
    <w:rsid w:val="00AB4040"/>
    <w:rsid w:val="00AB40F3"/>
    <w:rsid w:val="00AB43DB"/>
    <w:rsid w:val="00AB43E3"/>
    <w:rsid w:val="00AB4961"/>
    <w:rsid w:val="00AB4BCA"/>
    <w:rsid w:val="00AB4F94"/>
    <w:rsid w:val="00AB5119"/>
    <w:rsid w:val="00AB514A"/>
    <w:rsid w:val="00AB5470"/>
    <w:rsid w:val="00AB56C9"/>
    <w:rsid w:val="00AB5BBA"/>
    <w:rsid w:val="00AB5D83"/>
    <w:rsid w:val="00AB5DB2"/>
    <w:rsid w:val="00AB616A"/>
    <w:rsid w:val="00AB67E8"/>
    <w:rsid w:val="00AB6B4E"/>
    <w:rsid w:val="00AB6DEB"/>
    <w:rsid w:val="00AB6EEF"/>
    <w:rsid w:val="00AB7068"/>
    <w:rsid w:val="00AB7278"/>
    <w:rsid w:val="00AB73CE"/>
    <w:rsid w:val="00AB7A18"/>
    <w:rsid w:val="00AB7C24"/>
    <w:rsid w:val="00AB7DF9"/>
    <w:rsid w:val="00AB8AAC"/>
    <w:rsid w:val="00AC004E"/>
    <w:rsid w:val="00AC017F"/>
    <w:rsid w:val="00AC043E"/>
    <w:rsid w:val="00AC0548"/>
    <w:rsid w:val="00AC0670"/>
    <w:rsid w:val="00AC06B6"/>
    <w:rsid w:val="00AC0748"/>
    <w:rsid w:val="00AC087E"/>
    <w:rsid w:val="00AC0BFF"/>
    <w:rsid w:val="00AC0C1D"/>
    <w:rsid w:val="00AC0ED2"/>
    <w:rsid w:val="00AC0EF9"/>
    <w:rsid w:val="00AC1076"/>
    <w:rsid w:val="00AC11F8"/>
    <w:rsid w:val="00AC149F"/>
    <w:rsid w:val="00AC184A"/>
    <w:rsid w:val="00AC18BB"/>
    <w:rsid w:val="00AC1ACC"/>
    <w:rsid w:val="00AC1BBC"/>
    <w:rsid w:val="00AC1CB3"/>
    <w:rsid w:val="00AC1E12"/>
    <w:rsid w:val="00AC1EA7"/>
    <w:rsid w:val="00AC216C"/>
    <w:rsid w:val="00AC2420"/>
    <w:rsid w:val="00AC2422"/>
    <w:rsid w:val="00AC2596"/>
    <w:rsid w:val="00AC2623"/>
    <w:rsid w:val="00AC2909"/>
    <w:rsid w:val="00AC2ADE"/>
    <w:rsid w:val="00AC2CDD"/>
    <w:rsid w:val="00AC2D2E"/>
    <w:rsid w:val="00AC2F73"/>
    <w:rsid w:val="00AC2FE1"/>
    <w:rsid w:val="00AC31D7"/>
    <w:rsid w:val="00AC323A"/>
    <w:rsid w:val="00AC36AD"/>
    <w:rsid w:val="00AC3A11"/>
    <w:rsid w:val="00AC3BCD"/>
    <w:rsid w:val="00AC4374"/>
    <w:rsid w:val="00AC438F"/>
    <w:rsid w:val="00AC4671"/>
    <w:rsid w:val="00AC471A"/>
    <w:rsid w:val="00AC48D2"/>
    <w:rsid w:val="00AC4B40"/>
    <w:rsid w:val="00AC4BFD"/>
    <w:rsid w:val="00AC4E3D"/>
    <w:rsid w:val="00AC4F12"/>
    <w:rsid w:val="00AC50E3"/>
    <w:rsid w:val="00AC512D"/>
    <w:rsid w:val="00AC59CF"/>
    <w:rsid w:val="00AC5B4A"/>
    <w:rsid w:val="00AC5C35"/>
    <w:rsid w:val="00AC5CCD"/>
    <w:rsid w:val="00AC5D33"/>
    <w:rsid w:val="00AC5DB0"/>
    <w:rsid w:val="00AC5E26"/>
    <w:rsid w:val="00AC60F5"/>
    <w:rsid w:val="00AC610F"/>
    <w:rsid w:val="00AC679E"/>
    <w:rsid w:val="00AC68EC"/>
    <w:rsid w:val="00AC69EE"/>
    <w:rsid w:val="00AC6A01"/>
    <w:rsid w:val="00AC6CA5"/>
    <w:rsid w:val="00AC6D8C"/>
    <w:rsid w:val="00AC6DF2"/>
    <w:rsid w:val="00AC6E3B"/>
    <w:rsid w:val="00AC7165"/>
    <w:rsid w:val="00AC731E"/>
    <w:rsid w:val="00AC747A"/>
    <w:rsid w:val="00AC749E"/>
    <w:rsid w:val="00AC761C"/>
    <w:rsid w:val="00AC76B2"/>
    <w:rsid w:val="00AD00A4"/>
    <w:rsid w:val="00AD0116"/>
    <w:rsid w:val="00AD01AD"/>
    <w:rsid w:val="00AD01D0"/>
    <w:rsid w:val="00AD0275"/>
    <w:rsid w:val="00AD048D"/>
    <w:rsid w:val="00AD071C"/>
    <w:rsid w:val="00AD0A75"/>
    <w:rsid w:val="00AD0AE8"/>
    <w:rsid w:val="00AD0BB3"/>
    <w:rsid w:val="00AD10B4"/>
    <w:rsid w:val="00AD1802"/>
    <w:rsid w:val="00AD182F"/>
    <w:rsid w:val="00AD183C"/>
    <w:rsid w:val="00AD1964"/>
    <w:rsid w:val="00AD1F9D"/>
    <w:rsid w:val="00AD204B"/>
    <w:rsid w:val="00AD213D"/>
    <w:rsid w:val="00AD25E1"/>
    <w:rsid w:val="00AD26D1"/>
    <w:rsid w:val="00AD290F"/>
    <w:rsid w:val="00AD2927"/>
    <w:rsid w:val="00AD2A04"/>
    <w:rsid w:val="00AD2DBF"/>
    <w:rsid w:val="00AD2E38"/>
    <w:rsid w:val="00AD30D9"/>
    <w:rsid w:val="00AD30E2"/>
    <w:rsid w:val="00AD3362"/>
    <w:rsid w:val="00AD33A4"/>
    <w:rsid w:val="00AD3528"/>
    <w:rsid w:val="00AD35BC"/>
    <w:rsid w:val="00AD3738"/>
    <w:rsid w:val="00AD3A70"/>
    <w:rsid w:val="00AD3FE3"/>
    <w:rsid w:val="00AD4197"/>
    <w:rsid w:val="00AD42CC"/>
    <w:rsid w:val="00AD45EC"/>
    <w:rsid w:val="00AD4613"/>
    <w:rsid w:val="00AD46DB"/>
    <w:rsid w:val="00AD4F32"/>
    <w:rsid w:val="00AD51C9"/>
    <w:rsid w:val="00AD53D8"/>
    <w:rsid w:val="00AD542F"/>
    <w:rsid w:val="00AD5598"/>
    <w:rsid w:val="00AD55DD"/>
    <w:rsid w:val="00AD56E5"/>
    <w:rsid w:val="00AD5B04"/>
    <w:rsid w:val="00AD5C91"/>
    <w:rsid w:val="00AD5D04"/>
    <w:rsid w:val="00AD5D4B"/>
    <w:rsid w:val="00AD5E42"/>
    <w:rsid w:val="00AD5E81"/>
    <w:rsid w:val="00AD5F8B"/>
    <w:rsid w:val="00AD6055"/>
    <w:rsid w:val="00AD6111"/>
    <w:rsid w:val="00AD6419"/>
    <w:rsid w:val="00AD64CD"/>
    <w:rsid w:val="00AD6599"/>
    <w:rsid w:val="00AD6896"/>
    <w:rsid w:val="00AD723D"/>
    <w:rsid w:val="00AD7331"/>
    <w:rsid w:val="00AD73FD"/>
    <w:rsid w:val="00AD754B"/>
    <w:rsid w:val="00AD772C"/>
    <w:rsid w:val="00AD7756"/>
    <w:rsid w:val="00AD7997"/>
    <w:rsid w:val="00AD7E8B"/>
    <w:rsid w:val="00AD7EB4"/>
    <w:rsid w:val="00AD7F4E"/>
    <w:rsid w:val="00AD7FFD"/>
    <w:rsid w:val="00AE00AE"/>
    <w:rsid w:val="00AE00E2"/>
    <w:rsid w:val="00AE0290"/>
    <w:rsid w:val="00AE02CE"/>
    <w:rsid w:val="00AE0444"/>
    <w:rsid w:val="00AE054A"/>
    <w:rsid w:val="00AE0693"/>
    <w:rsid w:val="00AE0B9F"/>
    <w:rsid w:val="00AE0C73"/>
    <w:rsid w:val="00AE0CEE"/>
    <w:rsid w:val="00AE1152"/>
    <w:rsid w:val="00AE147C"/>
    <w:rsid w:val="00AE14A9"/>
    <w:rsid w:val="00AE14FD"/>
    <w:rsid w:val="00AE160A"/>
    <w:rsid w:val="00AE19C5"/>
    <w:rsid w:val="00AE1C81"/>
    <w:rsid w:val="00AE1F22"/>
    <w:rsid w:val="00AE22AF"/>
    <w:rsid w:val="00AE22E9"/>
    <w:rsid w:val="00AE25BB"/>
    <w:rsid w:val="00AE25F7"/>
    <w:rsid w:val="00AE280B"/>
    <w:rsid w:val="00AE2A68"/>
    <w:rsid w:val="00AE2AAB"/>
    <w:rsid w:val="00AE2B12"/>
    <w:rsid w:val="00AE2BEF"/>
    <w:rsid w:val="00AE314F"/>
    <w:rsid w:val="00AE36AC"/>
    <w:rsid w:val="00AE38F3"/>
    <w:rsid w:val="00AE3A5A"/>
    <w:rsid w:val="00AE3BDF"/>
    <w:rsid w:val="00AE3CE5"/>
    <w:rsid w:val="00AE3FAA"/>
    <w:rsid w:val="00AE3FBF"/>
    <w:rsid w:val="00AE41CF"/>
    <w:rsid w:val="00AE41EA"/>
    <w:rsid w:val="00AE4500"/>
    <w:rsid w:val="00AE4539"/>
    <w:rsid w:val="00AE489D"/>
    <w:rsid w:val="00AE4991"/>
    <w:rsid w:val="00AE4A13"/>
    <w:rsid w:val="00AE4C37"/>
    <w:rsid w:val="00AE4E68"/>
    <w:rsid w:val="00AE4E74"/>
    <w:rsid w:val="00AE520A"/>
    <w:rsid w:val="00AE5274"/>
    <w:rsid w:val="00AE56D4"/>
    <w:rsid w:val="00AE571C"/>
    <w:rsid w:val="00AE576A"/>
    <w:rsid w:val="00AE5785"/>
    <w:rsid w:val="00AE5A6D"/>
    <w:rsid w:val="00AE65B6"/>
    <w:rsid w:val="00AE69C9"/>
    <w:rsid w:val="00AE6BCE"/>
    <w:rsid w:val="00AE6ED1"/>
    <w:rsid w:val="00AE70AF"/>
    <w:rsid w:val="00AE772D"/>
    <w:rsid w:val="00AE792B"/>
    <w:rsid w:val="00AE7C90"/>
    <w:rsid w:val="00AE7F10"/>
    <w:rsid w:val="00AF0172"/>
    <w:rsid w:val="00AF0217"/>
    <w:rsid w:val="00AF02C7"/>
    <w:rsid w:val="00AF04E2"/>
    <w:rsid w:val="00AF076D"/>
    <w:rsid w:val="00AF0D3B"/>
    <w:rsid w:val="00AF0DD5"/>
    <w:rsid w:val="00AF0DF9"/>
    <w:rsid w:val="00AF0E17"/>
    <w:rsid w:val="00AF11F8"/>
    <w:rsid w:val="00AF1455"/>
    <w:rsid w:val="00AF1965"/>
    <w:rsid w:val="00AF1A88"/>
    <w:rsid w:val="00AF1F67"/>
    <w:rsid w:val="00AF1F79"/>
    <w:rsid w:val="00AF27F1"/>
    <w:rsid w:val="00AF2B83"/>
    <w:rsid w:val="00AF2BB4"/>
    <w:rsid w:val="00AF2C8B"/>
    <w:rsid w:val="00AF2D05"/>
    <w:rsid w:val="00AF2E58"/>
    <w:rsid w:val="00AF2EA7"/>
    <w:rsid w:val="00AF3323"/>
    <w:rsid w:val="00AF3586"/>
    <w:rsid w:val="00AF3AF8"/>
    <w:rsid w:val="00AF3E59"/>
    <w:rsid w:val="00AF3FF7"/>
    <w:rsid w:val="00AF4001"/>
    <w:rsid w:val="00AF40A9"/>
    <w:rsid w:val="00AF41F4"/>
    <w:rsid w:val="00AF4677"/>
    <w:rsid w:val="00AF488A"/>
    <w:rsid w:val="00AF4957"/>
    <w:rsid w:val="00AF4BE4"/>
    <w:rsid w:val="00AF4C16"/>
    <w:rsid w:val="00AF4DD9"/>
    <w:rsid w:val="00AF4DF0"/>
    <w:rsid w:val="00AF4E59"/>
    <w:rsid w:val="00AF4E80"/>
    <w:rsid w:val="00AF4FB1"/>
    <w:rsid w:val="00AF52CB"/>
    <w:rsid w:val="00AF53E0"/>
    <w:rsid w:val="00AF54B0"/>
    <w:rsid w:val="00AF5B52"/>
    <w:rsid w:val="00AF5FA8"/>
    <w:rsid w:val="00AF6033"/>
    <w:rsid w:val="00AF647B"/>
    <w:rsid w:val="00AF6526"/>
    <w:rsid w:val="00AF6A53"/>
    <w:rsid w:val="00AF6A6D"/>
    <w:rsid w:val="00AF7091"/>
    <w:rsid w:val="00AF7178"/>
    <w:rsid w:val="00AF7329"/>
    <w:rsid w:val="00AF74DF"/>
    <w:rsid w:val="00AF76D3"/>
    <w:rsid w:val="00AF78F2"/>
    <w:rsid w:val="00AF7A2E"/>
    <w:rsid w:val="00AF7CCB"/>
    <w:rsid w:val="00AF7D44"/>
    <w:rsid w:val="00B00017"/>
    <w:rsid w:val="00B000B6"/>
    <w:rsid w:val="00B001B0"/>
    <w:rsid w:val="00B00266"/>
    <w:rsid w:val="00B002F5"/>
    <w:rsid w:val="00B0038C"/>
    <w:rsid w:val="00B00887"/>
    <w:rsid w:val="00B00DC9"/>
    <w:rsid w:val="00B00F19"/>
    <w:rsid w:val="00B00F86"/>
    <w:rsid w:val="00B01114"/>
    <w:rsid w:val="00B01364"/>
    <w:rsid w:val="00B01396"/>
    <w:rsid w:val="00B015E9"/>
    <w:rsid w:val="00B0169D"/>
    <w:rsid w:val="00B0192F"/>
    <w:rsid w:val="00B01E0F"/>
    <w:rsid w:val="00B01FED"/>
    <w:rsid w:val="00B0227F"/>
    <w:rsid w:val="00B0230D"/>
    <w:rsid w:val="00B02342"/>
    <w:rsid w:val="00B0256D"/>
    <w:rsid w:val="00B02672"/>
    <w:rsid w:val="00B028FE"/>
    <w:rsid w:val="00B02CE9"/>
    <w:rsid w:val="00B02F3B"/>
    <w:rsid w:val="00B033D0"/>
    <w:rsid w:val="00B035F1"/>
    <w:rsid w:val="00B0366C"/>
    <w:rsid w:val="00B037F2"/>
    <w:rsid w:val="00B03D71"/>
    <w:rsid w:val="00B03E23"/>
    <w:rsid w:val="00B03F74"/>
    <w:rsid w:val="00B04943"/>
    <w:rsid w:val="00B049B1"/>
    <w:rsid w:val="00B04D09"/>
    <w:rsid w:val="00B0529B"/>
    <w:rsid w:val="00B054F4"/>
    <w:rsid w:val="00B05922"/>
    <w:rsid w:val="00B05925"/>
    <w:rsid w:val="00B0593F"/>
    <w:rsid w:val="00B05A6C"/>
    <w:rsid w:val="00B05C8F"/>
    <w:rsid w:val="00B05CD6"/>
    <w:rsid w:val="00B05E21"/>
    <w:rsid w:val="00B05FD4"/>
    <w:rsid w:val="00B060E2"/>
    <w:rsid w:val="00B06212"/>
    <w:rsid w:val="00B062B4"/>
    <w:rsid w:val="00B06522"/>
    <w:rsid w:val="00B06813"/>
    <w:rsid w:val="00B068C3"/>
    <w:rsid w:val="00B06E8A"/>
    <w:rsid w:val="00B06FF8"/>
    <w:rsid w:val="00B0711A"/>
    <w:rsid w:val="00B0716F"/>
    <w:rsid w:val="00B072C1"/>
    <w:rsid w:val="00B07553"/>
    <w:rsid w:val="00B078B6"/>
    <w:rsid w:val="00B07BB8"/>
    <w:rsid w:val="00B07C37"/>
    <w:rsid w:val="00B07DC4"/>
    <w:rsid w:val="00B07EB9"/>
    <w:rsid w:val="00B10316"/>
    <w:rsid w:val="00B1076B"/>
    <w:rsid w:val="00B1096A"/>
    <w:rsid w:val="00B10D90"/>
    <w:rsid w:val="00B10F34"/>
    <w:rsid w:val="00B110B4"/>
    <w:rsid w:val="00B11240"/>
    <w:rsid w:val="00B1129A"/>
    <w:rsid w:val="00B112DA"/>
    <w:rsid w:val="00B11A05"/>
    <w:rsid w:val="00B11C15"/>
    <w:rsid w:val="00B11EA0"/>
    <w:rsid w:val="00B11EA5"/>
    <w:rsid w:val="00B1227D"/>
    <w:rsid w:val="00B12408"/>
    <w:rsid w:val="00B124EF"/>
    <w:rsid w:val="00B129F9"/>
    <w:rsid w:val="00B12B40"/>
    <w:rsid w:val="00B12B73"/>
    <w:rsid w:val="00B12CDA"/>
    <w:rsid w:val="00B12E4C"/>
    <w:rsid w:val="00B13338"/>
    <w:rsid w:val="00B13531"/>
    <w:rsid w:val="00B13689"/>
    <w:rsid w:val="00B13744"/>
    <w:rsid w:val="00B13AC2"/>
    <w:rsid w:val="00B13C12"/>
    <w:rsid w:val="00B13E50"/>
    <w:rsid w:val="00B13FC1"/>
    <w:rsid w:val="00B14179"/>
    <w:rsid w:val="00B1494B"/>
    <w:rsid w:val="00B14A87"/>
    <w:rsid w:val="00B14C94"/>
    <w:rsid w:val="00B15321"/>
    <w:rsid w:val="00B15406"/>
    <w:rsid w:val="00B1542E"/>
    <w:rsid w:val="00B1550F"/>
    <w:rsid w:val="00B15537"/>
    <w:rsid w:val="00B155B2"/>
    <w:rsid w:val="00B1570A"/>
    <w:rsid w:val="00B157EE"/>
    <w:rsid w:val="00B1580E"/>
    <w:rsid w:val="00B158CB"/>
    <w:rsid w:val="00B15DCB"/>
    <w:rsid w:val="00B16031"/>
    <w:rsid w:val="00B16158"/>
    <w:rsid w:val="00B163AD"/>
    <w:rsid w:val="00B16555"/>
    <w:rsid w:val="00B16ED1"/>
    <w:rsid w:val="00B17453"/>
    <w:rsid w:val="00B174BA"/>
    <w:rsid w:val="00B1764B"/>
    <w:rsid w:val="00B17807"/>
    <w:rsid w:val="00B17C2F"/>
    <w:rsid w:val="00B17CCB"/>
    <w:rsid w:val="00B17E44"/>
    <w:rsid w:val="00B17E97"/>
    <w:rsid w:val="00B17FDB"/>
    <w:rsid w:val="00B200B9"/>
    <w:rsid w:val="00B204A6"/>
    <w:rsid w:val="00B20703"/>
    <w:rsid w:val="00B20903"/>
    <w:rsid w:val="00B20FA2"/>
    <w:rsid w:val="00B2138A"/>
    <w:rsid w:val="00B2181F"/>
    <w:rsid w:val="00B21A33"/>
    <w:rsid w:val="00B21B29"/>
    <w:rsid w:val="00B21BB1"/>
    <w:rsid w:val="00B21F7D"/>
    <w:rsid w:val="00B220D9"/>
    <w:rsid w:val="00B2213F"/>
    <w:rsid w:val="00B22190"/>
    <w:rsid w:val="00B225D0"/>
    <w:rsid w:val="00B226C0"/>
    <w:rsid w:val="00B226D7"/>
    <w:rsid w:val="00B2280E"/>
    <w:rsid w:val="00B229BC"/>
    <w:rsid w:val="00B22A37"/>
    <w:rsid w:val="00B22B52"/>
    <w:rsid w:val="00B2302E"/>
    <w:rsid w:val="00B233C9"/>
    <w:rsid w:val="00B23587"/>
    <w:rsid w:val="00B2358A"/>
    <w:rsid w:val="00B235C9"/>
    <w:rsid w:val="00B23966"/>
    <w:rsid w:val="00B23AF6"/>
    <w:rsid w:val="00B23B57"/>
    <w:rsid w:val="00B23FB0"/>
    <w:rsid w:val="00B24041"/>
    <w:rsid w:val="00B244D6"/>
    <w:rsid w:val="00B24544"/>
    <w:rsid w:val="00B248EA"/>
    <w:rsid w:val="00B24EAA"/>
    <w:rsid w:val="00B24F93"/>
    <w:rsid w:val="00B25105"/>
    <w:rsid w:val="00B2514D"/>
    <w:rsid w:val="00B2561E"/>
    <w:rsid w:val="00B25675"/>
    <w:rsid w:val="00B2589B"/>
    <w:rsid w:val="00B259AA"/>
    <w:rsid w:val="00B259DF"/>
    <w:rsid w:val="00B25A0C"/>
    <w:rsid w:val="00B25A9A"/>
    <w:rsid w:val="00B25AE3"/>
    <w:rsid w:val="00B25C48"/>
    <w:rsid w:val="00B25D68"/>
    <w:rsid w:val="00B26589"/>
    <w:rsid w:val="00B267D8"/>
    <w:rsid w:val="00B26968"/>
    <w:rsid w:val="00B26E2E"/>
    <w:rsid w:val="00B270A9"/>
    <w:rsid w:val="00B27118"/>
    <w:rsid w:val="00B27185"/>
    <w:rsid w:val="00B2732D"/>
    <w:rsid w:val="00B2772E"/>
    <w:rsid w:val="00B2777B"/>
    <w:rsid w:val="00B27959"/>
    <w:rsid w:val="00B27999"/>
    <w:rsid w:val="00B27A2C"/>
    <w:rsid w:val="00B30120"/>
    <w:rsid w:val="00B30197"/>
    <w:rsid w:val="00B3042E"/>
    <w:rsid w:val="00B3052E"/>
    <w:rsid w:val="00B30639"/>
    <w:rsid w:val="00B309B8"/>
    <w:rsid w:val="00B30A5D"/>
    <w:rsid w:val="00B30BA3"/>
    <w:rsid w:val="00B30D73"/>
    <w:rsid w:val="00B30D82"/>
    <w:rsid w:val="00B30E45"/>
    <w:rsid w:val="00B3155B"/>
    <w:rsid w:val="00B315D9"/>
    <w:rsid w:val="00B317D8"/>
    <w:rsid w:val="00B3186E"/>
    <w:rsid w:val="00B31C48"/>
    <w:rsid w:val="00B32371"/>
    <w:rsid w:val="00B32A23"/>
    <w:rsid w:val="00B32B6C"/>
    <w:rsid w:val="00B32C3A"/>
    <w:rsid w:val="00B32D59"/>
    <w:rsid w:val="00B32F53"/>
    <w:rsid w:val="00B3305E"/>
    <w:rsid w:val="00B3380A"/>
    <w:rsid w:val="00B33914"/>
    <w:rsid w:val="00B33B74"/>
    <w:rsid w:val="00B33FB0"/>
    <w:rsid w:val="00B34684"/>
    <w:rsid w:val="00B34689"/>
    <w:rsid w:val="00B346A6"/>
    <w:rsid w:val="00B346B6"/>
    <w:rsid w:val="00B34976"/>
    <w:rsid w:val="00B349EF"/>
    <w:rsid w:val="00B34D71"/>
    <w:rsid w:val="00B34E3F"/>
    <w:rsid w:val="00B34E57"/>
    <w:rsid w:val="00B35115"/>
    <w:rsid w:val="00B35136"/>
    <w:rsid w:val="00B35276"/>
    <w:rsid w:val="00B352FB"/>
    <w:rsid w:val="00B353E9"/>
    <w:rsid w:val="00B35497"/>
    <w:rsid w:val="00B35519"/>
    <w:rsid w:val="00B35C0E"/>
    <w:rsid w:val="00B35CE9"/>
    <w:rsid w:val="00B35D0F"/>
    <w:rsid w:val="00B35EB9"/>
    <w:rsid w:val="00B35F30"/>
    <w:rsid w:val="00B3608C"/>
    <w:rsid w:val="00B360B4"/>
    <w:rsid w:val="00B3610C"/>
    <w:rsid w:val="00B3649B"/>
    <w:rsid w:val="00B366D7"/>
    <w:rsid w:val="00B367D1"/>
    <w:rsid w:val="00B367E2"/>
    <w:rsid w:val="00B3689E"/>
    <w:rsid w:val="00B36B13"/>
    <w:rsid w:val="00B37093"/>
    <w:rsid w:val="00B37184"/>
    <w:rsid w:val="00B372E4"/>
    <w:rsid w:val="00B3739D"/>
    <w:rsid w:val="00B3755E"/>
    <w:rsid w:val="00B37594"/>
    <w:rsid w:val="00B375FB"/>
    <w:rsid w:val="00B37654"/>
    <w:rsid w:val="00B3783C"/>
    <w:rsid w:val="00B37CA4"/>
    <w:rsid w:val="00B37F9B"/>
    <w:rsid w:val="00B402C8"/>
    <w:rsid w:val="00B403A9"/>
    <w:rsid w:val="00B40538"/>
    <w:rsid w:val="00B40A76"/>
    <w:rsid w:val="00B40EB0"/>
    <w:rsid w:val="00B41128"/>
    <w:rsid w:val="00B4113A"/>
    <w:rsid w:val="00B41F67"/>
    <w:rsid w:val="00B41F79"/>
    <w:rsid w:val="00B4220C"/>
    <w:rsid w:val="00B4220E"/>
    <w:rsid w:val="00B42396"/>
    <w:rsid w:val="00B423A8"/>
    <w:rsid w:val="00B42629"/>
    <w:rsid w:val="00B4266B"/>
    <w:rsid w:val="00B4269F"/>
    <w:rsid w:val="00B4274B"/>
    <w:rsid w:val="00B428F5"/>
    <w:rsid w:val="00B42CE4"/>
    <w:rsid w:val="00B43152"/>
    <w:rsid w:val="00B43165"/>
    <w:rsid w:val="00B433BF"/>
    <w:rsid w:val="00B4342E"/>
    <w:rsid w:val="00B43528"/>
    <w:rsid w:val="00B43650"/>
    <w:rsid w:val="00B4392C"/>
    <w:rsid w:val="00B439DE"/>
    <w:rsid w:val="00B43A28"/>
    <w:rsid w:val="00B441E6"/>
    <w:rsid w:val="00B442BA"/>
    <w:rsid w:val="00B446C2"/>
    <w:rsid w:val="00B44ABA"/>
    <w:rsid w:val="00B44F26"/>
    <w:rsid w:val="00B44FAB"/>
    <w:rsid w:val="00B45110"/>
    <w:rsid w:val="00B453FB"/>
    <w:rsid w:val="00B454EA"/>
    <w:rsid w:val="00B45521"/>
    <w:rsid w:val="00B45799"/>
    <w:rsid w:val="00B4589D"/>
    <w:rsid w:val="00B458EF"/>
    <w:rsid w:val="00B45B1D"/>
    <w:rsid w:val="00B45F6F"/>
    <w:rsid w:val="00B46212"/>
    <w:rsid w:val="00B463C8"/>
    <w:rsid w:val="00B46477"/>
    <w:rsid w:val="00B4651E"/>
    <w:rsid w:val="00B4656A"/>
    <w:rsid w:val="00B466FF"/>
    <w:rsid w:val="00B46824"/>
    <w:rsid w:val="00B4695D"/>
    <w:rsid w:val="00B46A7A"/>
    <w:rsid w:val="00B46F04"/>
    <w:rsid w:val="00B46FC8"/>
    <w:rsid w:val="00B47068"/>
    <w:rsid w:val="00B470ED"/>
    <w:rsid w:val="00B47354"/>
    <w:rsid w:val="00B47620"/>
    <w:rsid w:val="00B4771E"/>
    <w:rsid w:val="00B47ED1"/>
    <w:rsid w:val="00B47F9D"/>
    <w:rsid w:val="00B5005E"/>
    <w:rsid w:val="00B50159"/>
    <w:rsid w:val="00B504CE"/>
    <w:rsid w:val="00B50592"/>
    <w:rsid w:val="00B5081C"/>
    <w:rsid w:val="00B50A74"/>
    <w:rsid w:val="00B50D5F"/>
    <w:rsid w:val="00B50E48"/>
    <w:rsid w:val="00B50E8C"/>
    <w:rsid w:val="00B50F10"/>
    <w:rsid w:val="00B50FF8"/>
    <w:rsid w:val="00B51168"/>
    <w:rsid w:val="00B518CC"/>
    <w:rsid w:val="00B51ACA"/>
    <w:rsid w:val="00B51B35"/>
    <w:rsid w:val="00B51C7C"/>
    <w:rsid w:val="00B51D23"/>
    <w:rsid w:val="00B5211A"/>
    <w:rsid w:val="00B5263F"/>
    <w:rsid w:val="00B52862"/>
    <w:rsid w:val="00B529DB"/>
    <w:rsid w:val="00B52CF7"/>
    <w:rsid w:val="00B52D97"/>
    <w:rsid w:val="00B52F6D"/>
    <w:rsid w:val="00B53109"/>
    <w:rsid w:val="00B537EA"/>
    <w:rsid w:val="00B53969"/>
    <w:rsid w:val="00B53A5B"/>
    <w:rsid w:val="00B53D3E"/>
    <w:rsid w:val="00B5425E"/>
    <w:rsid w:val="00B54562"/>
    <w:rsid w:val="00B54864"/>
    <w:rsid w:val="00B54913"/>
    <w:rsid w:val="00B5495B"/>
    <w:rsid w:val="00B54BF0"/>
    <w:rsid w:val="00B54D28"/>
    <w:rsid w:val="00B5507E"/>
    <w:rsid w:val="00B55852"/>
    <w:rsid w:val="00B55CAC"/>
    <w:rsid w:val="00B56195"/>
    <w:rsid w:val="00B56697"/>
    <w:rsid w:val="00B5679A"/>
    <w:rsid w:val="00B568A7"/>
    <w:rsid w:val="00B568F4"/>
    <w:rsid w:val="00B568FD"/>
    <w:rsid w:val="00B56B78"/>
    <w:rsid w:val="00B56C38"/>
    <w:rsid w:val="00B56D6A"/>
    <w:rsid w:val="00B56E19"/>
    <w:rsid w:val="00B56E3E"/>
    <w:rsid w:val="00B56E4A"/>
    <w:rsid w:val="00B56EF1"/>
    <w:rsid w:val="00B56F19"/>
    <w:rsid w:val="00B57001"/>
    <w:rsid w:val="00B5737B"/>
    <w:rsid w:val="00B576A9"/>
    <w:rsid w:val="00B57892"/>
    <w:rsid w:val="00B57AE4"/>
    <w:rsid w:val="00B57E9F"/>
    <w:rsid w:val="00B601FD"/>
    <w:rsid w:val="00B60451"/>
    <w:rsid w:val="00B605B7"/>
    <w:rsid w:val="00B6061C"/>
    <w:rsid w:val="00B60D93"/>
    <w:rsid w:val="00B60EB4"/>
    <w:rsid w:val="00B60FA2"/>
    <w:rsid w:val="00B611DB"/>
    <w:rsid w:val="00B6125A"/>
    <w:rsid w:val="00B61304"/>
    <w:rsid w:val="00B61415"/>
    <w:rsid w:val="00B61645"/>
    <w:rsid w:val="00B61D1E"/>
    <w:rsid w:val="00B6240F"/>
    <w:rsid w:val="00B626F5"/>
    <w:rsid w:val="00B62841"/>
    <w:rsid w:val="00B62BCA"/>
    <w:rsid w:val="00B62C3A"/>
    <w:rsid w:val="00B62C3C"/>
    <w:rsid w:val="00B62CDD"/>
    <w:rsid w:val="00B631C9"/>
    <w:rsid w:val="00B63352"/>
    <w:rsid w:val="00B63460"/>
    <w:rsid w:val="00B63527"/>
    <w:rsid w:val="00B6374E"/>
    <w:rsid w:val="00B63B53"/>
    <w:rsid w:val="00B63DBE"/>
    <w:rsid w:val="00B63E36"/>
    <w:rsid w:val="00B63E54"/>
    <w:rsid w:val="00B63E94"/>
    <w:rsid w:val="00B6449C"/>
    <w:rsid w:val="00B64845"/>
    <w:rsid w:val="00B6494D"/>
    <w:rsid w:val="00B6497C"/>
    <w:rsid w:val="00B64DAD"/>
    <w:rsid w:val="00B6507A"/>
    <w:rsid w:val="00B6522A"/>
    <w:rsid w:val="00B652FA"/>
    <w:rsid w:val="00B659CD"/>
    <w:rsid w:val="00B65DFF"/>
    <w:rsid w:val="00B66119"/>
    <w:rsid w:val="00B661FB"/>
    <w:rsid w:val="00B666EC"/>
    <w:rsid w:val="00B666F0"/>
    <w:rsid w:val="00B6675C"/>
    <w:rsid w:val="00B6691D"/>
    <w:rsid w:val="00B66B08"/>
    <w:rsid w:val="00B66B77"/>
    <w:rsid w:val="00B66C04"/>
    <w:rsid w:val="00B66C37"/>
    <w:rsid w:val="00B66C4F"/>
    <w:rsid w:val="00B66DA0"/>
    <w:rsid w:val="00B66E99"/>
    <w:rsid w:val="00B66EC7"/>
    <w:rsid w:val="00B67069"/>
    <w:rsid w:val="00B67119"/>
    <w:rsid w:val="00B67727"/>
    <w:rsid w:val="00B67833"/>
    <w:rsid w:val="00B6795E"/>
    <w:rsid w:val="00B679E4"/>
    <w:rsid w:val="00B67A5E"/>
    <w:rsid w:val="00B67AB4"/>
    <w:rsid w:val="00B67B86"/>
    <w:rsid w:val="00B67BE5"/>
    <w:rsid w:val="00B67D50"/>
    <w:rsid w:val="00B67D92"/>
    <w:rsid w:val="00B67DE4"/>
    <w:rsid w:val="00B70011"/>
    <w:rsid w:val="00B7001D"/>
    <w:rsid w:val="00B7002C"/>
    <w:rsid w:val="00B704D9"/>
    <w:rsid w:val="00B70522"/>
    <w:rsid w:val="00B707A9"/>
    <w:rsid w:val="00B7089D"/>
    <w:rsid w:val="00B7091A"/>
    <w:rsid w:val="00B7099E"/>
    <w:rsid w:val="00B709FC"/>
    <w:rsid w:val="00B70A34"/>
    <w:rsid w:val="00B70B08"/>
    <w:rsid w:val="00B70B88"/>
    <w:rsid w:val="00B70F1B"/>
    <w:rsid w:val="00B70FC1"/>
    <w:rsid w:val="00B7100A"/>
    <w:rsid w:val="00B710F4"/>
    <w:rsid w:val="00B715AA"/>
    <w:rsid w:val="00B71658"/>
    <w:rsid w:val="00B71675"/>
    <w:rsid w:val="00B716DF"/>
    <w:rsid w:val="00B7184A"/>
    <w:rsid w:val="00B71AC2"/>
    <w:rsid w:val="00B71B62"/>
    <w:rsid w:val="00B71DA5"/>
    <w:rsid w:val="00B721CA"/>
    <w:rsid w:val="00B725BE"/>
    <w:rsid w:val="00B72645"/>
    <w:rsid w:val="00B7265B"/>
    <w:rsid w:val="00B7286C"/>
    <w:rsid w:val="00B72AD4"/>
    <w:rsid w:val="00B72C2F"/>
    <w:rsid w:val="00B72DE1"/>
    <w:rsid w:val="00B72E62"/>
    <w:rsid w:val="00B72E91"/>
    <w:rsid w:val="00B73627"/>
    <w:rsid w:val="00B738CF"/>
    <w:rsid w:val="00B73A69"/>
    <w:rsid w:val="00B73CB0"/>
    <w:rsid w:val="00B73DCD"/>
    <w:rsid w:val="00B73E44"/>
    <w:rsid w:val="00B740CB"/>
    <w:rsid w:val="00B740DE"/>
    <w:rsid w:val="00B7449F"/>
    <w:rsid w:val="00B745E3"/>
    <w:rsid w:val="00B746C9"/>
    <w:rsid w:val="00B74860"/>
    <w:rsid w:val="00B74E29"/>
    <w:rsid w:val="00B74E6D"/>
    <w:rsid w:val="00B74ECD"/>
    <w:rsid w:val="00B74EE9"/>
    <w:rsid w:val="00B74F75"/>
    <w:rsid w:val="00B753FC"/>
    <w:rsid w:val="00B75796"/>
    <w:rsid w:val="00B75814"/>
    <w:rsid w:val="00B758C9"/>
    <w:rsid w:val="00B75BC0"/>
    <w:rsid w:val="00B75E8B"/>
    <w:rsid w:val="00B75FFE"/>
    <w:rsid w:val="00B7636B"/>
    <w:rsid w:val="00B76492"/>
    <w:rsid w:val="00B76498"/>
    <w:rsid w:val="00B76643"/>
    <w:rsid w:val="00B769A2"/>
    <w:rsid w:val="00B76A00"/>
    <w:rsid w:val="00B76AF3"/>
    <w:rsid w:val="00B76C9D"/>
    <w:rsid w:val="00B76D63"/>
    <w:rsid w:val="00B77346"/>
    <w:rsid w:val="00B7768F"/>
    <w:rsid w:val="00B77809"/>
    <w:rsid w:val="00B7796D"/>
    <w:rsid w:val="00B77AA0"/>
    <w:rsid w:val="00B77AA1"/>
    <w:rsid w:val="00B77BAC"/>
    <w:rsid w:val="00B77DBA"/>
    <w:rsid w:val="00B77FFA"/>
    <w:rsid w:val="00B8002C"/>
    <w:rsid w:val="00B8033E"/>
    <w:rsid w:val="00B8041D"/>
    <w:rsid w:val="00B8044E"/>
    <w:rsid w:val="00B805A5"/>
    <w:rsid w:val="00B80948"/>
    <w:rsid w:val="00B80B83"/>
    <w:rsid w:val="00B80F9C"/>
    <w:rsid w:val="00B81187"/>
    <w:rsid w:val="00B8149B"/>
    <w:rsid w:val="00B81731"/>
    <w:rsid w:val="00B81AB3"/>
    <w:rsid w:val="00B81DA4"/>
    <w:rsid w:val="00B82171"/>
    <w:rsid w:val="00B8218B"/>
    <w:rsid w:val="00B82198"/>
    <w:rsid w:val="00B8252D"/>
    <w:rsid w:val="00B8254D"/>
    <w:rsid w:val="00B8283B"/>
    <w:rsid w:val="00B82B10"/>
    <w:rsid w:val="00B82D50"/>
    <w:rsid w:val="00B830CF"/>
    <w:rsid w:val="00B83176"/>
    <w:rsid w:val="00B831CE"/>
    <w:rsid w:val="00B83300"/>
    <w:rsid w:val="00B83478"/>
    <w:rsid w:val="00B83E62"/>
    <w:rsid w:val="00B8422E"/>
    <w:rsid w:val="00B8436D"/>
    <w:rsid w:val="00B84634"/>
    <w:rsid w:val="00B846B6"/>
    <w:rsid w:val="00B84B35"/>
    <w:rsid w:val="00B84C0B"/>
    <w:rsid w:val="00B84F57"/>
    <w:rsid w:val="00B851EA"/>
    <w:rsid w:val="00B85229"/>
    <w:rsid w:val="00B855DD"/>
    <w:rsid w:val="00B8560C"/>
    <w:rsid w:val="00B8586B"/>
    <w:rsid w:val="00B858E1"/>
    <w:rsid w:val="00B85A87"/>
    <w:rsid w:val="00B85AE6"/>
    <w:rsid w:val="00B85DA9"/>
    <w:rsid w:val="00B85FFA"/>
    <w:rsid w:val="00B86040"/>
    <w:rsid w:val="00B86087"/>
    <w:rsid w:val="00B86159"/>
    <w:rsid w:val="00B863A0"/>
    <w:rsid w:val="00B8661F"/>
    <w:rsid w:val="00B86951"/>
    <w:rsid w:val="00B86FF3"/>
    <w:rsid w:val="00B87433"/>
    <w:rsid w:val="00B87655"/>
    <w:rsid w:val="00B87714"/>
    <w:rsid w:val="00B87732"/>
    <w:rsid w:val="00B87D35"/>
    <w:rsid w:val="00B9052B"/>
    <w:rsid w:val="00B9067E"/>
    <w:rsid w:val="00B90E56"/>
    <w:rsid w:val="00B912A5"/>
    <w:rsid w:val="00B9140C"/>
    <w:rsid w:val="00B915F4"/>
    <w:rsid w:val="00B9160E"/>
    <w:rsid w:val="00B91AC5"/>
    <w:rsid w:val="00B91FE6"/>
    <w:rsid w:val="00B92020"/>
    <w:rsid w:val="00B920CC"/>
    <w:rsid w:val="00B924D6"/>
    <w:rsid w:val="00B9288B"/>
    <w:rsid w:val="00B92A05"/>
    <w:rsid w:val="00B92AA3"/>
    <w:rsid w:val="00B92CEB"/>
    <w:rsid w:val="00B92D39"/>
    <w:rsid w:val="00B92DF6"/>
    <w:rsid w:val="00B92E54"/>
    <w:rsid w:val="00B9306F"/>
    <w:rsid w:val="00B9320C"/>
    <w:rsid w:val="00B93286"/>
    <w:rsid w:val="00B93511"/>
    <w:rsid w:val="00B93646"/>
    <w:rsid w:val="00B93685"/>
    <w:rsid w:val="00B936CC"/>
    <w:rsid w:val="00B93AF1"/>
    <w:rsid w:val="00B93CB9"/>
    <w:rsid w:val="00B93CCD"/>
    <w:rsid w:val="00B93F3D"/>
    <w:rsid w:val="00B93F40"/>
    <w:rsid w:val="00B93F71"/>
    <w:rsid w:val="00B94063"/>
    <w:rsid w:val="00B944EB"/>
    <w:rsid w:val="00B944FE"/>
    <w:rsid w:val="00B94509"/>
    <w:rsid w:val="00B945D4"/>
    <w:rsid w:val="00B94A80"/>
    <w:rsid w:val="00B94D85"/>
    <w:rsid w:val="00B94FBA"/>
    <w:rsid w:val="00B95151"/>
    <w:rsid w:val="00B9547B"/>
    <w:rsid w:val="00B95A92"/>
    <w:rsid w:val="00B95AA0"/>
    <w:rsid w:val="00B95E70"/>
    <w:rsid w:val="00B961E8"/>
    <w:rsid w:val="00B96644"/>
    <w:rsid w:val="00B96898"/>
    <w:rsid w:val="00B96F8A"/>
    <w:rsid w:val="00B971AF"/>
    <w:rsid w:val="00B97516"/>
    <w:rsid w:val="00B975EF"/>
    <w:rsid w:val="00B97662"/>
    <w:rsid w:val="00B976B7"/>
    <w:rsid w:val="00B97872"/>
    <w:rsid w:val="00B97A67"/>
    <w:rsid w:val="00BA01AB"/>
    <w:rsid w:val="00BA05CA"/>
    <w:rsid w:val="00BA0CEA"/>
    <w:rsid w:val="00BA0D45"/>
    <w:rsid w:val="00BA0E7B"/>
    <w:rsid w:val="00BA1195"/>
    <w:rsid w:val="00BA11B1"/>
    <w:rsid w:val="00BA13B0"/>
    <w:rsid w:val="00BA1455"/>
    <w:rsid w:val="00BA15A6"/>
    <w:rsid w:val="00BA1665"/>
    <w:rsid w:val="00BA17E1"/>
    <w:rsid w:val="00BA1C27"/>
    <w:rsid w:val="00BA1C68"/>
    <w:rsid w:val="00BA26A3"/>
    <w:rsid w:val="00BA2945"/>
    <w:rsid w:val="00BA2CB0"/>
    <w:rsid w:val="00BA2FC7"/>
    <w:rsid w:val="00BA30B4"/>
    <w:rsid w:val="00BA31C3"/>
    <w:rsid w:val="00BA3306"/>
    <w:rsid w:val="00BA3562"/>
    <w:rsid w:val="00BA393D"/>
    <w:rsid w:val="00BA3D70"/>
    <w:rsid w:val="00BA4370"/>
    <w:rsid w:val="00BA43C5"/>
    <w:rsid w:val="00BA44BA"/>
    <w:rsid w:val="00BA44F4"/>
    <w:rsid w:val="00BA462A"/>
    <w:rsid w:val="00BA481E"/>
    <w:rsid w:val="00BA489C"/>
    <w:rsid w:val="00BA4959"/>
    <w:rsid w:val="00BA4B36"/>
    <w:rsid w:val="00BA4CA8"/>
    <w:rsid w:val="00BA4EFF"/>
    <w:rsid w:val="00BA5394"/>
    <w:rsid w:val="00BA54DB"/>
    <w:rsid w:val="00BA5724"/>
    <w:rsid w:val="00BA595E"/>
    <w:rsid w:val="00BA5985"/>
    <w:rsid w:val="00BA5B4F"/>
    <w:rsid w:val="00BA631C"/>
    <w:rsid w:val="00BA6689"/>
    <w:rsid w:val="00BA68FB"/>
    <w:rsid w:val="00BA6A6B"/>
    <w:rsid w:val="00BA6AA1"/>
    <w:rsid w:val="00BA6BBC"/>
    <w:rsid w:val="00BA6E0B"/>
    <w:rsid w:val="00BA7269"/>
    <w:rsid w:val="00BA727F"/>
    <w:rsid w:val="00BA73EE"/>
    <w:rsid w:val="00BA787A"/>
    <w:rsid w:val="00BA7A42"/>
    <w:rsid w:val="00BA7DD9"/>
    <w:rsid w:val="00BB015D"/>
    <w:rsid w:val="00BB02C5"/>
    <w:rsid w:val="00BB0407"/>
    <w:rsid w:val="00BB079A"/>
    <w:rsid w:val="00BB08FE"/>
    <w:rsid w:val="00BB0C5A"/>
    <w:rsid w:val="00BB0CA8"/>
    <w:rsid w:val="00BB0E59"/>
    <w:rsid w:val="00BB0E85"/>
    <w:rsid w:val="00BB0F89"/>
    <w:rsid w:val="00BB0FD1"/>
    <w:rsid w:val="00BB1036"/>
    <w:rsid w:val="00BB1062"/>
    <w:rsid w:val="00BB131C"/>
    <w:rsid w:val="00BB14CF"/>
    <w:rsid w:val="00BB163F"/>
    <w:rsid w:val="00BB170A"/>
    <w:rsid w:val="00BB179F"/>
    <w:rsid w:val="00BB17E9"/>
    <w:rsid w:val="00BB1834"/>
    <w:rsid w:val="00BB192D"/>
    <w:rsid w:val="00BB19CA"/>
    <w:rsid w:val="00BB1C59"/>
    <w:rsid w:val="00BB1E66"/>
    <w:rsid w:val="00BB1E6F"/>
    <w:rsid w:val="00BB2078"/>
    <w:rsid w:val="00BB22C3"/>
    <w:rsid w:val="00BB2329"/>
    <w:rsid w:val="00BB23CE"/>
    <w:rsid w:val="00BB23F9"/>
    <w:rsid w:val="00BB24CE"/>
    <w:rsid w:val="00BB25EE"/>
    <w:rsid w:val="00BB2827"/>
    <w:rsid w:val="00BB29F0"/>
    <w:rsid w:val="00BB2AA0"/>
    <w:rsid w:val="00BB2AA4"/>
    <w:rsid w:val="00BB2AA9"/>
    <w:rsid w:val="00BB2B38"/>
    <w:rsid w:val="00BB2B52"/>
    <w:rsid w:val="00BB2D95"/>
    <w:rsid w:val="00BB3110"/>
    <w:rsid w:val="00BB3612"/>
    <w:rsid w:val="00BB3621"/>
    <w:rsid w:val="00BB3805"/>
    <w:rsid w:val="00BB3887"/>
    <w:rsid w:val="00BB39DD"/>
    <w:rsid w:val="00BB3AC8"/>
    <w:rsid w:val="00BB3BA5"/>
    <w:rsid w:val="00BB3D71"/>
    <w:rsid w:val="00BB3EDB"/>
    <w:rsid w:val="00BB40A2"/>
    <w:rsid w:val="00BB40F1"/>
    <w:rsid w:val="00BB4297"/>
    <w:rsid w:val="00BB4602"/>
    <w:rsid w:val="00BB47EC"/>
    <w:rsid w:val="00BB4BC4"/>
    <w:rsid w:val="00BB4C2B"/>
    <w:rsid w:val="00BB4CD7"/>
    <w:rsid w:val="00BB4D56"/>
    <w:rsid w:val="00BB4FF5"/>
    <w:rsid w:val="00BB5042"/>
    <w:rsid w:val="00BB516F"/>
    <w:rsid w:val="00BB52DD"/>
    <w:rsid w:val="00BB5473"/>
    <w:rsid w:val="00BB54A6"/>
    <w:rsid w:val="00BB554A"/>
    <w:rsid w:val="00BB5612"/>
    <w:rsid w:val="00BB561A"/>
    <w:rsid w:val="00BB59A0"/>
    <w:rsid w:val="00BB5B44"/>
    <w:rsid w:val="00BB5BEE"/>
    <w:rsid w:val="00BB5CCB"/>
    <w:rsid w:val="00BB5EB2"/>
    <w:rsid w:val="00BB5F1C"/>
    <w:rsid w:val="00BB5F49"/>
    <w:rsid w:val="00BB5FF9"/>
    <w:rsid w:val="00BB643B"/>
    <w:rsid w:val="00BB6474"/>
    <w:rsid w:val="00BB6550"/>
    <w:rsid w:val="00BB6670"/>
    <w:rsid w:val="00BB672B"/>
    <w:rsid w:val="00BB6875"/>
    <w:rsid w:val="00BB6976"/>
    <w:rsid w:val="00BB69EE"/>
    <w:rsid w:val="00BB6B98"/>
    <w:rsid w:val="00BB715B"/>
    <w:rsid w:val="00BB73A9"/>
    <w:rsid w:val="00BB73C4"/>
    <w:rsid w:val="00BB7479"/>
    <w:rsid w:val="00BB771D"/>
    <w:rsid w:val="00BB783E"/>
    <w:rsid w:val="00BB7A36"/>
    <w:rsid w:val="00BB7A5A"/>
    <w:rsid w:val="00BB7AAF"/>
    <w:rsid w:val="00BB7FE8"/>
    <w:rsid w:val="00BC04B0"/>
    <w:rsid w:val="00BC0662"/>
    <w:rsid w:val="00BC0733"/>
    <w:rsid w:val="00BC0839"/>
    <w:rsid w:val="00BC08F1"/>
    <w:rsid w:val="00BC0FCB"/>
    <w:rsid w:val="00BC119E"/>
    <w:rsid w:val="00BC15A3"/>
    <w:rsid w:val="00BC19B1"/>
    <w:rsid w:val="00BC19FA"/>
    <w:rsid w:val="00BC1BE8"/>
    <w:rsid w:val="00BC1CAF"/>
    <w:rsid w:val="00BC1CD7"/>
    <w:rsid w:val="00BC1ECD"/>
    <w:rsid w:val="00BC1F48"/>
    <w:rsid w:val="00BC2218"/>
    <w:rsid w:val="00BC2267"/>
    <w:rsid w:val="00BC2370"/>
    <w:rsid w:val="00BC24EE"/>
    <w:rsid w:val="00BC259E"/>
    <w:rsid w:val="00BC2946"/>
    <w:rsid w:val="00BC2A39"/>
    <w:rsid w:val="00BC2AC1"/>
    <w:rsid w:val="00BC3049"/>
    <w:rsid w:val="00BC3233"/>
    <w:rsid w:val="00BC34A1"/>
    <w:rsid w:val="00BC377F"/>
    <w:rsid w:val="00BC3791"/>
    <w:rsid w:val="00BC379F"/>
    <w:rsid w:val="00BC37D8"/>
    <w:rsid w:val="00BC394F"/>
    <w:rsid w:val="00BC3A33"/>
    <w:rsid w:val="00BC3CDA"/>
    <w:rsid w:val="00BC3DAD"/>
    <w:rsid w:val="00BC4066"/>
    <w:rsid w:val="00BC4343"/>
    <w:rsid w:val="00BC484D"/>
    <w:rsid w:val="00BC4C71"/>
    <w:rsid w:val="00BC4C81"/>
    <w:rsid w:val="00BC4D45"/>
    <w:rsid w:val="00BC4E0F"/>
    <w:rsid w:val="00BC4F29"/>
    <w:rsid w:val="00BC4FD3"/>
    <w:rsid w:val="00BC533D"/>
    <w:rsid w:val="00BC5497"/>
    <w:rsid w:val="00BC5667"/>
    <w:rsid w:val="00BC5688"/>
    <w:rsid w:val="00BC5965"/>
    <w:rsid w:val="00BC5D6C"/>
    <w:rsid w:val="00BC5DAD"/>
    <w:rsid w:val="00BC5DFF"/>
    <w:rsid w:val="00BC5E50"/>
    <w:rsid w:val="00BC5EAC"/>
    <w:rsid w:val="00BC608B"/>
    <w:rsid w:val="00BC619A"/>
    <w:rsid w:val="00BC64A7"/>
    <w:rsid w:val="00BC67A0"/>
    <w:rsid w:val="00BC67E8"/>
    <w:rsid w:val="00BC6837"/>
    <w:rsid w:val="00BC68F1"/>
    <w:rsid w:val="00BC6C0C"/>
    <w:rsid w:val="00BC6C3F"/>
    <w:rsid w:val="00BC711E"/>
    <w:rsid w:val="00BC724B"/>
    <w:rsid w:val="00BC76DB"/>
    <w:rsid w:val="00BC79BA"/>
    <w:rsid w:val="00BC7AB2"/>
    <w:rsid w:val="00BC7B6F"/>
    <w:rsid w:val="00BC7C36"/>
    <w:rsid w:val="00BD03EC"/>
    <w:rsid w:val="00BD0A7E"/>
    <w:rsid w:val="00BD0AC7"/>
    <w:rsid w:val="00BD0BA2"/>
    <w:rsid w:val="00BD0D24"/>
    <w:rsid w:val="00BD0DA1"/>
    <w:rsid w:val="00BD0F85"/>
    <w:rsid w:val="00BD138A"/>
    <w:rsid w:val="00BD1540"/>
    <w:rsid w:val="00BD160A"/>
    <w:rsid w:val="00BD1687"/>
    <w:rsid w:val="00BD186D"/>
    <w:rsid w:val="00BD1AE6"/>
    <w:rsid w:val="00BD1E12"/>
    <w:rsid w:val="00BD1F43"/>
    <w:rsid w:val="00BD20D3"/>
    <w:rsid w:val="00BD275C"/>
    <w:rsid w:val="00BD2787"/>
    <w:rsid w:val="00BD29C3"/>
    <w:rsid w:val="00BD2ABB"/>
    <w:rsid w:val="00BD3176"/>
    <w:rsid w:val="00BD3210"/>
    <w:rsid w:val="00BD3437"/>
    <w:rsid w:val="00BD3584"/>
    <w:rsid w:val="00BD3696"/>
    <w:rsid w:val="00BD39C1"/>
    <w:rsid w:val="00BD39CB"/>
    <w:rsid w:val="00BD3A61"/>
    <w:rsid w:val="00BD3CE1"/>
    <w:rsid w:val="00BD3F9D"/>
    <w:rsid w:val="00BD3FB3"/>
    <w:rsid w:val="00BD4106"/>
    <w:rsid w:val="00BD41EE"/>
    <w:rsid w:val="00BD4272"/>
    <w:rsid w:val="00BD42E2"/>
    <w:rsid w:val="00BD4485"/>
    <w:rsid w:val="00BD4594"/>
    <w:rsid w:val="00BD4687"/>
    <w:rsid w:val="00BD4763"/>
    <w:rsid w:val="00BD48A1"/>
    <w:rsid w:val="00BD4D8C"/>
    <w:rsid w:val="00BD4E18"/>
    <w:rsid w:val="00BD502A"/>
    <w:rsid w:val="00BD532D"/>
    <w:rsid w:val="00BD53CE"/>
    <w:rsid w:val="00BD53E9"/>
    <w:rsid w:val="00BD5426"/>
    <w:rsid w:val="00BD547C"/>
    <w:rsid w:val="00BD5684"/>
    <w:rsid w:val="00BD56D5"/>
    <w:rsid w:val="00BD590A"/>
    <w:rsid w:val="00BD5BF2"/>
    <w:rsid w:val="00BD5CBE"/>
    <w:rsid w:val="00BD5D8E"/>
    <w:rsid w:val="00BD5FC1"/>
    <w:rsid w:val="00BD6402"/>
    <w:rsid w:val="00BD65BC"/>
    <w:rsid w:val="00BD66C5"/>
    <w:rsid w:val="00BD67B7"/>
    <w:rsid w:val="00BD686D"/>
    <w:rsid w:val="00BD692A"/>
    <w:rsid w:val="00BD7060"/>
    <w:rsid w:val="00BD7189"/>
    <w:rsid w:val="00BD71F9"/>
    <w:rsid w:val="00BD72EF"/>
    <w:rsid w:val="00BD7325"/>
    <w:rsid w:val="00BD76DF"/>
    <w:rsid w:val="00BD7895"/>
    <w:rsid w:val="00BD79AD"/>
    <w:rsid w:val="00BD7B24"/>
    <w:rsid w:val="00BD7D0E"/>
    <w:rsid w:val="00BE0161"/>
    <w:rsid w:val="00BE03BA"/>
    <w:rsid w:val="00BE046D"/>
    <w:rsid w:val="00BE07C5"/>
    <w:rsid w:val="00BE07EF"/>
    <w:rsid w:val="00BE0AC8"/>
    <w:rsid w:val="00BE0B5A"/>
    <w:rsid w:val="00BE0D85"/>
    <w:rsid w:val="00BE0D9E"/>
    <w:rsid w:val="00BE0E80"/>
    <w:rsid w:val="00BE107A"/>
    <w:rsid w:val="00BE1563"/>
    <w:rsid w:val="00BE1A3C"/>
    <w:rsid w:val="00BE1A97"/>
    <w:rsid w:val="00BE2292"/>
    <w:rsid w:val="00BE25BD"/>
    <w:rsid w:val="00BE25F1"/>
    <w:rsid w:val="00BE2621"/>
    <w:rsid w:val="00BE2E9A"/>
    <w:rsid w:val="00BE2FFB"/>
    <w:rsid w:val="00BE3384"/>
    <w:rsid w:val="00BE35E9"/>
    <w:rsid w:val="00BE3607"/>
    <w:rsid w:val="00BE373C"/>
    <w:rsid w:val="00BE37E9"/>
    <w:rsid w:val="00BE3AE5"/>
    <w:rsid w:val="00BE3C83"/>
    <w:rsid w:val="00BE3CAA"/>
    <w:rsid w:val="00BE3D49"/>
    <w:rsid w:val="00BE3E34"/>
    <w:rsid w:val="00BE3E5F"/>
    <w:rsid w:val="00BE3ED7"/>
    <w:rsid w:val="00BE3F3B"/>
    <w:rsid w:val="00BE4056"/>
    <w:rsid w:val="00BE410C"/>
    <w:rsid w:val="00BE44B5"/>
    <w:rsid w:val="00BE46D8"/>
    <w:rsid w:val="00BE4BA6"/>
    <w:rsid w:val="00BE4D82"/>
    <w:rsid w:val="00BE5464"/>
    <w:rsid w:val="00BE5490"/>
    <w:rsid w:val="00BE5564"/>
    <w:rsid w:val="00BE55EA"/>
    <w:rsid w:val="00BE583A"/>
    <w:rsid w:val="00BE588E"/>
    <w:rsid w:val="00BE5A1B"/>
    <w:rsid w:val="00BE5C2C"/>
    <w:rsid w:val="00BE659B"/>
    <w:rsid w:val="00BE6685"/>
    <w:rsid w:val="00BE69D3"/>
    <w:rsid w:val="00BE6B6C"/>
    <w:rsid w:val="00BE6C91"/>
    <w:rsid w:val="00BE6CAF"/>
    <w:rsid w:val="00BE6E94"/>
    <w:rsid w:val="00BE7171"/>
    <w:rsid w:val="00BE7445"/>
    <w:rsid w:val="00BE759B"/>
    <w:rsid w:val="00BE7858"/>
    <w:rsid w:val="00BE7AD6"/>
    <w:rsid w:val="00BE7C77"/>
    <w:rsid w:val="00BE7D51"/>
    <w:rsid w:val="00BE7F2D"/>
    <w:rsid w:val="00BF0504"/>
    <w:rsid w:val="00BF05C2"/>
    <w:rsid w:val="00BF08E0"/>
    <w:rsid w:val="00BF0E1B"/>
    <w:rsid w:val="00BF0FA2"/>
    <w:rsid w:val="00BF1007"/>
    <w:rsid w:val="00BF10F5"/>
    <w:rsid w:val="00BF11BC"/>
    <w:rsid w:val="00BF12D5"/>
    <w:rsid w:val="00BF195B"/>
    <w:rsid w:val="00BF1A48"/>
    <w:rsid w:val="00BF1ACB"/>
    <w:rsid w:val="00BF1ADB"/>
    <w:rsid w:val="00BF2176"/>
    <w:rsid w:val="00BF2293"/>
    <w:rsid w:val="00BF2529"/>
    <w:rsid w:val="00BF2828"/>
    <w:rsid w:val="00BF285A"/>
    <w:rsid w:val="00BF2AF3"/>
    <w:rsid w:val="00BF2CF5"/>
    <w:rsid w:val="00BF2D48"/>
    <w:rsid w:val="00BF2DBC"/>
    <w:rsid w:val="00BF2FF5"/>
    <w:rsid w:val="00BF32E1"/>
    <w:rsid w:val="00BF338F"/>
    <w:rsid w:val="00BF33CC"/>
    <w:rsid w:val="00BF37FA"/>
    <w:rsid w:val="00BF383E"/>
    <w:rsid w:val="00BF395F"/>
    <w:rsid w:val="00BF3C31"/>
    <w:rsid w:val="00BF3F31"/>
    <w:rsid w:val="00BF433A"/>
    <w:rsid w:val="00BF43A2"/>
    <w:rsid w:val="00BF47EA"/>
    <w:rsid w:val="00BF4859"/>
    <w:rsid w:val="00BF4BAB"/>
    <w:rsid w:val="00BF4C6C"/>
    <w:rsid w:val="00BF4ED4"/>
    <w:rsid w:val="00BF50BD"/>
    <w:rsid w:val="00BF5205"/>
    <w:rsid w:val="00BF52C7"/>
    <w:rsid w:val="00BF5351"/>
    <w:rsid w:val="00BF5367"/>
    <w:rsid w:val="00BF53ED"/>
    <w:rsid w:val="00BF5482"/>
    <w:rsid w:val="00BF56C6"/>
    <w:rsid w:val="00BF5BCC"/>
    <w:rsid w:val="00BF616A"/>
    <w:rsid w:val="00BF6736"/>
    <w:rsid w:val="00BF6957"/>
    <w:rsid w:val="00BF6DDA"/>
    <w:rsid w:val="00BF7339"/>
    <w:rsid w:val="00BF749B"/>
    <w:rsid w:val="00BF75E6"/>
    <w:rsid w:val="00BF763A"/>
    <w:rsid w:val="00BF7868"/>
    <w:rsid w:val="00BF7961"/>
    <w:rsid w:val="00BF7A17"/>
    <w:rsid w:val="00BF7B5A"/>
    <w:rsid w:val="00BF7E30"/>
    <w:rsid w:val="00C006CF"/>
    <w:rsid w:val="00C00914"/>
    <w:rsid w:val="00C00D32"/>
    <w:rsid w:val="00C00D46"/>
    <w:rsid w:val="00C00E1F"/>
    <w:rsid w:val="00C01214"/>
    <w:rsid w:val="00C01300"/>
    <w:rsid w:val="00C0143D"/>
    <w:rsid w:val="00C01462"/>
    <w:rsid w:val="00C0159F"/>
    <w:rsid w:val="00C016C6"/>
    <w:rsid w:val="00C016D0"/>
    <w:rsid w:val="00C017FB"/>
    <w:rsid w:val="00C01FF1"/>
    <w:rsid w:val="00C0212E"/>
    <w:rsid w:val="00C02282"/>
    <w:rsid w:val="00C025B2"/>
    <w:rsid w:val="00C0274D"/>
    <w:rsid w:val="00C029A9"/>
    <w:rsid w:val="00C02A02"/>
    <w:rsid w:val="00C02E05"/>
    <w:rsid w:val="00C03068"/>
    <w:rsid w:val="00C031FA"/>
    <w:rsid w:val="00C03281"/>
    <w:rsid w:val="00C035E6"/>
    <w:rsid w:val="00C0360D"/>
    <w:rsid w:val="00C03638"/>
    <w:rsid w:val="00C038FE"/>
    <w:rsid w:val="00C03C93"/>
    <w:rsid w:val="00C03C9E"/>
    <w:rsid w:val="00C03DED"/>
    <w:rsid w:val="00C0408D"/>
    <w:rsid w:val="00C043E8"/>
    <w:rsid w:val="00C044FC"/>
    <w:rsid w:val="00C046AA"/>
    <w:rsid w:val="00C04BB7"/>
    <w:rsid w:val="00C05281"/>
    <w:rsid w:val="00C0537B"/>
    <w:rsid w:val="00C053BC"/>
    <w:rsid w:val="00C05912"/>
    <w:rsid w:val="00C05A63"/>
    <w:rsid w:val="00C05B99"/>
    <w:rsid w:val="00C05DD1"/>
    <w:rsid w:val="00C05EB4"/>
    <w:rsid w:val="00C0602A"/>
    <w:rsid w:val="00C062AE"/>
    <w:rsid w:val="00C06349"/>
    <w:rsid w:val="00C06459"/>
    <w:rsid w:val="00C06464"/>
    <w:rsid w:val="00C06630"/>
    <w:rsid w:val="00C06A62"/>
    <w:rsid w:val="00C06BF0"/>
    <w:rsid w:val="00C06BFA"/>
    <w:rsid w:val="00C06DD6"/>
    <w:rsid w:val="00C071AD"/>
    <w:rsid w:val="00C07417"/>
    <w:rsid w:val="00C074E9"/>
    <w:rsid w:val="00C07BBA"/>
    <w:rsid w:val="00C07CFD"/>
    <w:rsid w:val="00C07DEB"/>
    <w:rsid w:val="00C07E21"/>
    <w:rsid w:val="00C07EE4"/>
    <w:rsid w:val="00C10407"/>
    <w:rsid w:val="00C104DD"/>
    <w:rsid w:val="00C10B20"/>
    <w:rsid w:val="00C10B79"/>
    <w:rsid w:val="00C10ECE"/>
    <w:rsid w:val="00C10FA8"/>
    <w:rsid w:val="00C110E0"/>
    <w:rsid w:val="00C115F0"/>
    <w:rsid w:val="00C1197A"/>
    <w:rsid w:val="00C11A01"/>
    <w:rsid w:val="00C11B5F"/>
    <w:rsid w:val="00C11D37"/>
    <w:rsid w:val="00C11FA3"/>
    <w:rsid w:val="00C12210"/>
    <w:rsid w:val="00C12383"/>
    <w:rsid w:val="00C123C4"/>
    <w:rsid w:val="00C123F7"/>
    <w:rsid w:val="00C124DB"/>
    <w:rsid w:val="00C12586"/>
    <w:rsid w:val="00C127E2"/>
    <w:rsid w:val="00C1317D"/>
    <w:rsid w:val="00C13749"/>
    <w:rsid w:val="00C13996"/>
    <w:rsid w:val="00C13C8B"/>
    <w:rsid w:val="00C140A7"/>
    <w:rsid w:val="00C1436D"/>
    <w:rsid w:val="00C14515"/>
    <w:rsid w:val="00C14982"/>
    <w:rsid w:val="00C14A4B"/>
    <w:rsid w:val="00C14EC5"/>
    <w:rsid w:val="00C14F1D"/>
    <w:rsid w:val="00C14F28"/>
    <w:rsid w:val="00C14F59"/>
    <w:rsid w:val="00C15126"/>
    <w:rsid w:val="00C155D3"/>
    <w:rsid w:val="00C15697"/>
    <w:rsid w:val="00C15769"/>
    <w:rsid w:val="00C15953"/>
    <w:rsid w:val="00C159E6"/>
    <w:rsid w:val="00C15B4A"/>
    <w:rsid w:val="00C15EDC"/>
    <w:rsid w:val="00C15F56"/>
    <w:rsid w:val="00C16297"/>
    <w:rsid w:val="00C164A4"/>
    <w:rsid w:val="00C16827"/>
    <w:rsid w:val="00C168E8"/>
    <w:rsid w:val="00C169C6"/>
    <w:rsid w:val="00C16ACC"/>
    <w:rsid w:val="00C16B00"/>
    <w:rsid w:val="00C16B66"/>
    <w:rsid w:val="00C16CA6"/>
    <w:rsid w:val="00C16E0C"/>
    <w:rsid w:val="00C17105"/>
    <w:rsid w:val="00C172F7"/>
    <w:rsid w:val="00C177F8"/>
    <w:rsid w:val="00C17968"/>
    <w:rsid w:val="00C17D86"/>
    <w:rsid w:val="00C20391"/>
    <w:rsid w:val="00C203C3"/>
    <w:rsid w:val="00C205E7"/>
    <w:rsid w:val="00C20737"/>
    <w:rsid w:val="00C207AC"/>
    <w:rsid w:val="00C20982"/>
    <w:rsid w:val="00C209B8"/>
    <w:rsid w:val="00C20CD6"/>
    <w:rsid w:val="00C20DCB"/>
    <w:rsid w:val="00C2135C"/>
    <w:rsid w:val="00C214C9"/>
    <w:rsid w:val="00C2162A"/>
    <w:rsid w:val="00C216F7"/>
    <w:rsid w:val="00C2180F"/>
    <w:rsid w:val="00C21EA8"/>
    <w:rsid w:val="00C221BF"/>
    <w:rsid w:val="00C223A5"/>
    <w:rsid w:val="00C22425"/>
    <w:rsid w:val="00C2266E"/>
    <w:rsid w:val="00C22C3B"/>
    <w:rsid w:val="00C231E3"/>
    <w:rsid w:val="00C2328C"/>
    <w:rsid w:val="00C23315"/>
    <w:rsid w:val="00C236E8"/>
    <w:rsid w:val="00C23C55"/>
    <w:rsid w:val="00C23CE5"/>
    <w:rsid w:val="00C23D13"/>
    <w:rsid w:val="00C23E15"/>
    <w:rsid w:val="00C23FEA"/>
    <w:rsid w:val="00C241DF"/>
    <w:rsid w:val="00C24444"/>
    <w:rsid w:val="00C2456B"/>
    <w:rsid w:val="00C24826"/>
    <w:rsid w:val="00C249BD"/>
    <w:rsid w:val="00C24A12"/>
    <w:rsid w:val="00C24A55"/>
    <w:rsid w:val="00C258D2"/>
    <w:rsid w:val="00C25E00"/>
    <w:rsid w:val="00C25E05"/>
    <w:rsid w:val="00C25F99"/>
    <w:rsid w:val="00C26095"/>
    <w:rsid w:val="00C262DC"/>
    <w:rsid w:val="00C2656E"/>
    <w:rsid w:val="00C26615"/>
    <w:rsid w:val="00C26663"/>
    <w:rsid w:val="00C268CF"/>
    <w:rsid w:val="00C26DC4"/>
    <w:rsid w:val="00C26EAA"/>
    <w:rsid w:val="00C26FB8"/>
    <w:rsid w:val="00C2709E"/>
    <w:rsid w:val="00C2717C"/>
    <w:rsid w:val="00C27228"/>
    <w:rsid w:val="00C2756F"/>
    <w:rsid w:val="00C27597"/>
    <w:rsid w:val="00C27670"/>
    <w:rsid w:val="00C27860"/>
    <w:rsid w:val="00C27D11"/>
    <w:rsid w:val="00C300A0"/>
    <w:rsid w:val="00C3014A"/>
    <w:rsid w:val="00C305F7"/>
    <w:rsid w:val="00C306D9"/>
    <w:rsid w:val="00C308C1"/>
    <w:rsid w:val="00C30CAC"/>
    <w:rsid w:val="00C30D55"/>
    <w:rsid w:val="00C30EC7"/>
    <w:rsid w:val="00C30F2D"/>
    <w:rsid w:val="00C3139D"/>
    <w:rsid w:val="00C31486"/>
    <w:rsid w:val="00C31696"/>
    <w:rsid w:val="00C316C2"/>
    <w:rsid w:val="00C316D4"/>
    <w:rsid w:val="00C317B3"/>
    <w:rsid w:val="00C317F3"/>
    <w:rsid w:val="00C31CB1"/>
    <w:rsid w:val="00C31F23"/>
    <w:rsid w:val="00C32157"/>
    <w:rsid w:val="00C323E5"/>
    <w:rsid w:val="00C32414"/>
    <w:rsid w:val="00C32668"/>
    <w:rsid w:val="00C326A9"/>
    <w:rsid w:val="00C327E5"/>
    <w:rsid w:val="00C3330F"/>
    <w:rsid w:val="00C335E6"/>
    <w:rsid w:val="00C336C1"/>
    <w:rsid w:val="00C33927"/>
    <w:rsid w:val="00C339CC"/>
    <w:rsid w:val="00C33B2E"/>
    <w:rsid w:val="00C33C1F"/>
    <w:rsid w:val="00C33E52"/>
    <w:rsid w:val="00C33EA5"/>
    <w:rsid w:val="00C33F31"/>
    <w:rsid w:val="00C33FA7"/>
    <w:rsid w:val="00C3415E"/>
    <w:rsid w:val="00C341E1"/>
    <w:rsid w:val="00C3458A"/>
    <w:rsid w:val="00C349C2"/>
    <w:rsid w:val="00C34CEF"/>
    <w:rsid w:val="00C34DBE"/>
    <w:rsid w:val="00C34F0E"/>
    <w:rsid w:val="00C34F72"/>
    <w:rsid w:val="00C351BA"/>
    <w:rsid w:val="00C35200"/>
    <w:rsid w:val="00C353FA"/>
    <w:rsid w:val="00C3554E"/>
    <w:rsid w:val="00C35ACA"/>
    <w:rsid w:val="00C35BAB"/>
    <w:rsid w:val="00C35D4F"/>
    <w:rsid w:val="00C35E15"/>
    <w:rsid w:val="00C35E1C"/>
    <w:rsid w:val="00C361F4"/>
    <w:rsid w:val="00C362FE"/>
    <w:rsid w:val="00C363CA"/>
    <w:rsid w:val="00C3669B"/>
    <w:rsid w:val="00C367FE"/>
    <w:rsid w:val="00C3691C"/>
    <w:rsid w:val="00C369F5"/>
    <w:rsid w:val="00C36B88"/>
    <w:rsid w:val="00C36CA8"/>
    <w:rsid w:val="00C36DDB"/>
    <w:rsid w:val="00C36ED8"/>
    <w:rsid w:val="00C375EA"/>
    <w:rsid w:val="00C3771D"/>
    <w:rsid w:val="00C37AFE"/>
    <w:rsid w:val="00C37CB5"/>
    <w:rsid w:val="00C37D46"/>
    <w:rsid w:val="00C40000"/>
    <w:rsid w:val="00C4052E"/>
    <w:rsid w:val="00C408C8"/>
    <w:rsid w:val="00C40B92"/>
    <w:rsid w:val="00C40E25"/>
    <w:rsid w:val="00C40E6F"/>
    <w:rsid w:val="00C40EF5"/>
    <w:rsid w:val="00C41086"/>
    <w:rsid w:val="00C411BF"/>
    <w:rsid w:val="00C411C4"/>
    <w:rsid w:val="00C41385"/>
    <w:rsid w:val="00C41749"/>
    <w:rsid w:val="00C4180A"/>
    <w:rsid w:val="00C41927"/>
    <w:rsid w:val="00C41B3C"/>
    <w:rsid w:val="00C41E9D"/>
    <w:rsid w:val="00C41EA4"/>
    <w:rsid w:val="00C41EC4"/>
    <w:rsid w:val="00C41EC7"/>
    <w:rsid w:val="00C420C9"/>
    <w:rsid w:val="00C422FE"/>
    <w:rsid w:val="00C42422"/>
    <w:rsid w:val="00C42456"/>
    <w:rsid w:val="00C4248A"/>
    <w:rsid w:val="00C42618"/>
    <w:rsid w:val="00C4265A"/>
    <w:rsid w:val="00C42724"/>
    <w:rsid w:val="00C42AA6"/>
    <w:rsid w:val="00C42DCC"/>
    <w:rsid w:val="00C42E81"/>
    <w:rsid w:val="00C42F4F"/>
    <w:rsid w:val="00C4322E"/>
    <w:rsid w:val="00C43287"/>
    <w:rsid w:val="00C43512"/>
    <w:rsid w:val="00C438BD"/>
    <w:rsid w:val="00C43969"/>
    <w:rsid w:val="00C43CA7"/>
    <w:rsid w:val="00C43D01"/>
    <w:rsid w:val="00C44829"/>
    <w:rsid w:val="00C44C37"/>
    <w:rsid w:val="00C44E9B"/>
    <w:rsid w:val="00C45986"/>
    <w:rsid w:val="00C4601B"/>
    <w:rsid w:val="00C4617F"/>
    <w:rsid w:val="00C46258"/>
    <w:rsid w:val="00C46472"/>
    <w:rsid w:val="00C464FE"/>
    <w:rsid w:val="00C46842"/>
    <w:rsid w:val="00C46AE5"/>
    <w:rsid w:val="00C46E3F"/>
    <w:rsid w:val="00C46F92"/>
    <w:rsid w:val="00C47475"/>
    <w:rsid w:val="00C474BE"/>
    <w:rsid w:val="00C47654"/>
    <w:rsid w:val="00C476D0"/>
    <w:rsid w:val="00C47E3C"/>
    <w:rsid w:val="00C47E70"/>
    <w:rsid w:val="00C47EFE"/>
    <w:rsid w:val="00C500D4"/>
    <w:rsid w:val="00C502F5"/>
    <w:rsid w:val="00C50449"/>
    <w:rsid w:val="00C50625"/>
    <w:rsid w:val="00C5095E"/>
    <w:rsid w:val="00C50B76"/>
    <w:rsid w:val="00C50C1E"/>
    <w:rsid w:val="00C50E3C"/>
    <w:rsid w:val="00C50EAF"/>
    <w:rsid w:val="00C51256"/>
    <w:rsid w:val="00C51569"/>
    <w:rsid w:val="00C51881"/>
    <w:rsid w:val="00C518BE"/>
    <w:rsid w:val="00C51943"/>
    <w:rsid w:val="00C5196D"/>
    <w:rsid w:val="00C51A8E"/>
    <w:rsid w:val="00C51EB3"/>
    <w:rsid w:val="00C52449"/>
    <w:rsid w:val="00C52531"/>
    <w:rsid w:val="00C526B9"/>
    <w:rsid w:val="00C526BE"/>
    <w:rsid w:val="00C52A69"/>
    <w:rsid w:val="00C52BC1"/>
    <w:rsid w:val="00C52BE0"/>
    <w:rsid w:val="00C52C29"/>
    <w:rsid w:val="00C52D68"/>
    <w:rsid w:val="00C530BD"/>
    <w:rsid w:val="00C5333C"/>
    <w:rsid w:val="00C53375"/>
    <w:rsid w:val="00C53426"/>
    <w:rsid w:val="00C53450"/>
    <w:rsid w:val="00C535D9"/>
    <w:rsid w:val="00C5362E"/>
    <w:rsid w:val="00C53958"/>
    <w:rsid w:val="00C53980"/>
    <w:rsid w:val="00C53C69"/>
    <w:rsid w:val="00C53CEF"/>
    <w:rsid w:val="00C53F61"/>
    <w:rsid w:val="00C53F69"/>
    <w:rsid w:val="00C54420"/>
    <w:rsid w:val="00C544FA"/>
    <w:rsid w:val="00C5451A"/>
    <w:rsid w:val="00C5454B"/>
    <w:rsid w:val="00C545FC"/>
    <w:rsid w:val="00C54690"/>
    <w:rsid w:val="00C546A6"/>
    <w:rsid w:val="00C54787"/>
    <w:rsid w:val="00C54811"/>
    <w:rsid w:val="00C548FC"/>
    <w:rsid w:val="00C54EF1"/>
    <w:rsid w:val="00C55342"/>
    <w:rsid w:val="00C55A99"/>
    <w:rsid w:val="00C56093"/>
    <w:rsid w:val="00C561C0"/>
    <w:rsid w:val="00C56219"/>
    <w:rsid w:val="00C5637C"/>
    <w:rsid w:val="00C565B9"/>
    <w:rsid w:val="00C56680"/>
    <w:rsid w:val="00C5686A"/>
    <w:rsid w:val="00C56A2D"/>
    <w:rsid w:val="00C56B59"/>
    <w:rsid w:val="00C56E7C"/>
    <w:rsid w:val="00C56E93"/>
    <w:rsid w:val="00C570E7"/>
    <w:rsid w:val="00C57211"/>
    <w:rsid w:val="00C5749E"/>
    <w:rsid w:val="00C57575"/>
    <w:rsid w:val="00C57597"/>
    <w:rsid w:val="00C57E29"/>
    <w:rsid w:val="00C57E4D"/>
    <w:rsid w:val="00C6025F"/>
    <w:rsid w:val="00C606BA"/>
    <w:rsid w:val="00C608CC"/>
    <w:rsid w:val="00C6094E"/>
    <w:rsid w:val="00C609BC"/>
    <w:rsid w:val="00C60ADB"/>
    <w:rsid w:val="00C60AE9"/>
    <w:rsid w:val="00C60D47"/>
    <w:rsid w:val="00C60DAB"/>
    <w:rsid w:val="00C60E76"/>
    <w:rsid w:val="00C60EA4"/>
    <w:rsid w:val="00C610F7"/>
    <w:rsid w:val="00C6113E"/>
    <w:rsid w:val="00C6120D"/>
    <w:rsid w:val="00C61467"/>
    <w:rsid w:val="00C61AFE"/>
    <w:rsid w:val="00C61D04"/>
    <w:rsid w:val="00C61DC6"/>
    <w:rsid w:val="00C61EF3"/>
    <w:rsid w:val="00C6214D"/>
    <w:rsid w:val="00C622A3"/>
    <w:rsid w:val="00C6242F"/>
    <w:rsid w:val="00C625F9"/>
    <w:rsid w:val="00C62645"/>
    <w:rsid w:val="00C62680"/>
    <w:rsid w:val="00C626E2"/>
    <w:rsid w:val="00C628C8"/>
    <w:rsid w:val="00C62C40"/>
    <w:rsid w:val="00C62D08"/>
    <w:rsid w:val="00C63637"/>
    <w:rsid w:val="00C6372F"/>
    <w:rsid w:val="00C63837"/>
    <w:rsid w:val="00C638A9"/>
    <w:rsid w:val="00C63943"/>
    <w:rsid w:val="00C63A0A"/>
    <w:rsid w:val="00C63B55"/>
    <w:rsid w:val="00C643B6"/>
    <w:rsid w:val="00C6442B"/>
    <w:rsid w:val="00C648FF"/>
    <w:rsid w:val="00C64981"/>
    <w:rsid w:val="00C6499E"/>
    <w:rsid w:val="00C64B04"/>
    <w:rsid w:val="00C64B40"/>
    <w:rsid w:val="00C64D0E"/>
    <w:rsid w:val="00C6534D"/>
    <w:rsid w:val="00C65A4C"/>
    <w:rsid w:val="00C65BB6"/>
    <w:rsid w:val="00C65F18"/>
    <w:rsid w:val="00C66011"/>
    <w:rsid w:val="00C6609F"/>
    <w:rsid w:val="00C661BE"/>
    <w:rsid w:val="00C661D9"/>
    <w:rsid w:val="00C664EF"/>
    <w:rsid w:val="00C668AB"/>
    <w:rsid w:val="00C6692E"/>
    <w:rsid w:val="00C66AFA"/>
    <w:rsid w:val="00C66B29"/>
    <w:rsid w:val="00C66CB4"/>
    <w:rsid w:val="00C673F8"/>
    <w:rsid w:val="00C67536"/>
    <w:rsid w:val="00C67620"/>
    <w:rsid w:val="00C676C7"/>
    <w:rsid w:val="00C67B30"/>
    <w:rsid w:val="00C67D48"/>
    <w:rsid w:val="00C7005E"/>
    <w:rsid w:val="00C70271"/>
    <w:rsid w:val="00C7035A"/>
    <w:rsid w:val="00C7069A"/>
    <w:rsid w:val="00C70952"/>
    <w:rsid w:val="00C709D6"/>
    <w:rsid w:val="00C70A21"/>
    <w:rsid w:val="00C70C9A"/>
    <w:rsid w:val="00C70D51"/>
    <w:rsid w:val="00C70E4B"/>
    <w:rsid w:val="00C70E94"/>
    <w:rsid w:val="00C70F8C"/>
    <w:rsid w:val="00C7126E"/>
    <w:rsid w:val="00C71291"/>
    <w:rsid w:val="00C714C3"/>
    <w:rsid w:val="00C717BA"/>
    <w:rsid w:val="00C71809"/>
    <w:rsid w:val="00C7194F"/>
    <w:rsid w:val="00C71A5D"/>
    <w:rsid w:val="00C71EBE"/>
    <w:rsid w:val="00C71F64"/>
    <w:rsid w:val="00C72046"/>
    <w:rsid w:val="00C721CC"/>
    <w:rsid w:val="00C72227"/>
    <w:rsid w:val="00C722D6"/>
    <w:rsid w:val="00C7241C"/>
    <w:rsid w:val="00C72761"/>
    <w:rsid w:val="00C727EE"/>
    <w:rsid w:val="00C729E0"/>
    <w:rsid w:val="00C72A3E"/>
    <w:rsid w:val="00C7303C"/>
    <w:rsid w:val="00C73054"/>
    <w:rsid w:val="00C730D9"/>
    <w:rsid w:val="00C73340"/>
    <w:rsid w:val="00C73388"/>
    <w:rsid w:val="00C736E7"/>
    <w:rsid w:val="00C73BB6"/>
    <w:rsid w:val="00C748BE"/>
    <w:rsid w:val="00C74A98"/>
    <w:rsid w:val="00C74BB4"/>
    <w:rsid w:val="00C74C13"/>
    <w:rsid w:val="00C7518E"/>
    <w:rsid w:val="00C7519E"/>
    <w:rsid w:val="00C75478"/>
    <w:rsid w:val="00C7547A"/>
    <w:rsid w:val="00C7557B"/>
    <w:rsid w:val="00C75888"/>
    <w:rsid w:val="00C75CFA"/>
    <w:rsid w:val="00C75D35"/>
    <w:rsid w:val="00C75DDE"/>
    <w:rsid w:val="00C75E2D"/>
    <w:rsid w:val="00C75FF9"/>
    <w:rsid w:val="00C76148"/>
    <w:rsid w:val="00C76348"/>
    <w:rsid w:val="00C7647B"/>
    <w:rsid w:val="00C76511"/>
    <w:rsid w:val="00C767C8"/>
    <w:rsid w:val="00C76A35"/>
    <w:rsid w:val="00C76B6A"/>
    <w:rsid w:val="00C76C16"/>
    <w:rsid w:val="00C76E53"/>
    <w:rsid w:val="00C76EDF"/>
    <w:rsid w:val="00C76F59"/>
    <w:rsid w:val="00C77067"/>
    <w:rsid w:val="00C771AF"/>
    <w:rsid w:val="00C772B5"/>
    <w:rsid w:val="00C7739F"/>
    <w:rsid w:val="00C777FE"/>
    <w:rsid w:val="00C77896"/>
    <w:rsid w:val="00C77962"/>
    <w:rsid w:val="00C77B0E"/>
    <w:rsid w:val="00C77BF4"/>
    <w:rsid w:val="00C77D0F"/>
    <w:rsid w:val="00C802E4"/>
    <w:rsid w:val="00C80450"/>
    <w:rsid w:val="00C805CE"/>
    <w:rsid w:val="00C80728"/>
    <w:rsid w:val="00C80918"/>
    <w:rsid w:val="00C80B24"/>
    <w:rsid w:val="00C80C0C"/>
    <w:rsid w:val="00C80EAF"/>
    <w:rsid w:val="00C80F4A"/>
    <w:rsid w:val="00C81283"/>
    <w:rsid w:val="00C8135A"/>
    <w:rsid w:val="00C814DD"/>
    <w:rsid w:val="00C815DE"/>
    <w:rsid w:val="00C81825"/>
    <w:rsid w:val="00C819F6"/>
    <w:rsid w:val="00C81A12"/>
    <w:rsid w:val="00C81EF3"/>
    <w:rsid w:val="00C81FD1"/>
    <w:rsid w:val="00C82261"/>
    <w:rsid w:val="00C82332"/>
    <w:rsid w:val="00C824E4"/>
    <w:rsid w:val="00C82759"/>
    <w:rsid w:val="00C827F2"/>
    <w:rsid w:val="00C82900"/>
    <w:rsid w:val="00C8296F"/>
    <w:rsid w:val="00C82B48"/>
    <w:rsid w:val="00C82B4B"/>
    <w:rsid w:val="00C82BCA"/>
    <w:rsid w:val="00C82C38"/>
    <w:rsid w:val="00C82D30"/>
    <w:rsid w:val="00C82EE9"/>
    <w:rsid w:val="00C82FE4"/>
    <w:rsid w:val="00C83319"/>
    <w:rsid w:val="00C83346"/>
    <w:rsid w:val="00C833C3"/>
    <w:rsid w:val="00C83589"/>
    <w:rsid w:val="00C835AF"/>
    <w:rsid w:val="00C8369D"/>
    <w:rsid w:val="00C83906"/>
    <w:rsid w:val="00C83A6E"/>
    <w:rsid w:val="00C83D05"/>
    <w:rsid w:val="00C83F97"/>
    <w:rsid w:val="00C8401D"/>
    <w:rsid w:val="00C844AB"/>
    <w:rsid w:val="00C84533"/>
    <w:rsid w:val="00C846BE"/>
    <w:rsid w:val="00C848CC"/>
    <w:rsid w:val="00C84A17"/>
    <w:rsid w:val="00C84C02"/>
    <w:rsid w:val="00C84D28"/>
    <w:rsid w:val="00C84DE4"/>
    <w:rsid w:val="00C84F5A"/>
    <w:rsid w:val="00C84FA6"/>
    <w:rsid w:val="00C850EB"/>
    <w:rsid w:val="00C85252"/>
    <w:rsid w:val="00C8561E"/>
    <w:rsid w:val="00C856D3"/>
    <w:rsid w:val="00C859A8"/>
    <w:rsid w:val="00C85B08"/>
    <w:rsid w:val="00C85D25"/>
    <w:rsid w:val="00C85FD0"/>
    <w:rsid w:val="00C86003"/>
    <w:rsid w:val="00C860B4"/>
    <w:rsid w:val="00C860FE"/>
    <w:rsid w:val="00C861C4"/>
    <w:rsid w:val="00C86397"/>
    <w:rsid w:val="00C86446"/>
    <w:rsid w:val="00C86458"/>
    <w:rsid w:val="00C86653"/>
    <w:rsid w:val="00C8685D"/>
    <w:rsid w:val="00C869A7"/>
    <w:rsid w:val="00C86C2F"/>
    <w:rsid w:val="00C86E24"/>
    <w:rsid w:val="00C86F3A"/>
    <w:rsid w:val="00C86F5D"/>
    <w:rsid w:val="00C870B7"/>
    <w:rsid w:val="00C87120"/>
    <w:rsid w:val="00C8732C"/>
    <w:rsid w:val="00C8764F"/>
    <w:rsid w:val="00C876F7"/>
    <w:rsid w:val="00C87801"/>
    <w:rsid w:val="00C87BA3"/>
    <w:rsid w:val="00C87F5E"/>
    <w:rsid w:val="00C9013E"/>
    <w:rsid w:val="00C90234"/>
    <w:rsid w:val="00C9038B"/>
    <w:rsid w:val="00C90571"/>
    <w:rsid w:val="00C90627"/>
    <w:rsid w:val="00C90721"/>
    <w:rsid w:val="00C907CD"/>
    <w:rsid w:val="00C90CDA"/>
    <w:rsid w:val="00C90E52"/>
    <w:rsid w:val="00C910B3"/>
    <w:rsid w:val="00C9118A"/>
    <w:rsid w:val="00C91516"/>
    <w:rsid w:val="00C91549"/>
    <w:rsid w:val="00C9161F"/>
    <w:rsid w:val="00C916FB"/>
    <w:rsid w:val="00C917D9"/>
    <w:rsid w:val="00C918A6"/>
    <w:rsid w:val="00C918B6"/>
    <w:rsid w:val="00C919D0"/>
    <w:rsid w:val="00C91B61"/>
    <w:rsid w:val="00C91BB9"/>
    <w:rsid w:val="00C920A1"/>
    <w:rsid w:val="00C920E7"/>
    <w:rsid w:val="00C92124"/>
    <w:rsid w:val="00C92184"/>
    <w:rsid w:val="00C9249B"/>
    <w:rsid w:val="00C924DF"/>
    <w:rsid w:val="00C9292E"/>
    <w:rsid w:val="00C929EE"/>
    <w:rsid w:val="00C92A81"/>
    <w:rsid w:val="00C92D1D"/>
    <w:rsid w:val="00C92D84"/>
    <w:rsid w:val="00C92D87"/>
    <w:rsid w:val="00C92F2B"/>
    <w:rsid w:val="00C9307C"/>
    <w:rsid w:val="00C9309E"/>
    <w:rsid w:val="00C931DE"/>
    <w:rsid w:val="00C931F2"/>
    <w:rsid w:val="00C933B8"/>
    <w:rsid w:val="00C934DC"/>
    <w:rsid w:val="00C9355E"/>
    <w:rsid w:val="00C93787"/>
    <w:rsid w:val="00C93E61"/>
    <w:rsid w:val="00C93FEB"/>
    <w:rsid w:val="00C941EC"/>
    <w:rsid w:val="00C943D3"/>
    <w:rsid w:val="00C94458"/>
    <w:rsid w:val="00C9503F"/>
    <w:rsid w:val="00C9510A"/>
    <w:rsid w:val="00C95117"/>
    <w:rsid w:val="00C952A3"/>
    <w:rsid w:val="00C9547E"/>
    <w:rsid w:val="00C954D7"/>
    <w:rsid w:val="00C95580"/>
    <w:rsid w:val="00C9593A"/>
    <w:rsid w:val="00C95B40"/>
    <w:rsid w:val="00C95C05"/>
    <w:rsid w:val="00C963A9"/>
    <w:rsid w:val="00C963DE"/>
    <w:rsid w:val="00C967FA"/>
    <w:rsid w:val="00C96B21"/>
    <w:rsid w:val="00C96BDF"/>
    <w:rsid w:val="00C972D0"/>
    <w:rsid w:val="00C97578"/>
    <w:rsid w:val="00C97856"/>
    <w:rsid w:val="00C9796C"/>
    <w:rsid w:val="00C979CF"/>
    <w:rsid w:val="00C97A58"/>
    <w:rsid w:val="00C97CC2"/>
    <w:rsid w:val="00C97DE5"/>
    <w:rsid w:val="00C97F00"/>
    <w:rsid w:val="00CA0220"/>
    <w:rsid w:val="00CA0365"/>
    <w:rsid w:val="00CA06E7"/>
    <w:rsid w:val="00CA0871"/>
    <w:rsid w:val="00CA0A15"/>
    <w:rsid w:val="00CA0AD2"/>
    <w:rsid w:val="00CA0C26"/>
    <w:rsid w:val="00CA0C8A"/>
    <w:rsid w:val="00CA136B"/>
    <w:rsid w:val="00CA152B"/>
    <w:rsid w:val="00CA1613"/>
    <w:rsid w:val="00CA174B"/>
    <w:rsid w:val="00CA1AC1"/>
    <w:rsid w:val="00CA1AF7"/>
    <w:rsid w:val="00CA1BFA"/>
    <w:rsid w:val="00CA1CA4"/>
    <w:rsid w:val="00CA1CF4"/>
    <w:rsid w:val="00CA2180"/>
    <w:rsid w:val="00CA2679"/>
    <w:rsid w:val="00CA2BE1"/>
    <w:rsid w:val="00CA2CFF"/>
    <w:rsid w:val="00CA30EE"/>
    <w:rsid w:val="00CA3230"/>
    <w:rsid w:val="00CA3310"/>
    <w:rsid w:val="00CA36A9"/>
    <w:rsid w:val="00CA3888"/>
    <w:rsid w:val="00CA3BE2"/>
    <w:rsid w:val="00CA3D19"/>
    <w:rsid w:val="00CA3EAF"/>
    <w:rsid w:val="00CA3F5D"/>
    <w:rsid w:val="00CA4807"/>
    <w:rsid w:val="00CA4848"/>
    <w:rsid w:val="00CA4966"/>
    <w:rsid w:val="00CA4970"/>
    <w:rsid w:val="00CA4AEF"/>
    <w:rsid w:val="00CA4F25"/>
    <w:rsid w:val="00CA50A8"/>
    <w:rsid w:val="00CA5278"/>
    <w:rsid w:val="00CA5314"/>
    <w:rsid w:val="00CA5328"/>
    <w:rsid w:val="00CA5345"/>
    <w:rsid w:val="00CA5A34"/>
    <w:rsid w:val="00CA61F3"/>
    <w:rsid w:val="00CA625A"/>
    <w:rsid w:val="00CA63CB"/>
    <w:rsid w:val="00CA64F5"/>
    <w:rsid w:val="00CA6630"/>
    <w:rsid w:val="00CA69AC"/>
    <w:rsid w:val="00CA6AE4"/>
    <w:rsid w:val="00CA6B54"/>
    <w:rsid w:val="00CA6D19"/>
    <w:rsid w:val="00CA705B"/>
    <w:rsid w:val="00CA7166"/>
    <w:rsid w:val="00CA7339"/>
    <w:rsid w:val="00CA75B3"/>
    <w:rsid w:val="00CA7884"/>
    <w:rsid w:val="00CA78E1"/>
    <w:rsid w:val="00CA7A36"/>
    <w:rsid w:val="00CA7C49"/>
    <w:rsid w:val="00CA7CA7"/>
    <w:rsid w:val="00CB00F2"/>
    <w:rsid w:val="00CB07A8"/>
    <w:rsid w:val="00CB07B4"/>
    <w:rsid w:val="00CB0A80"/>
    <w:rsid w:val="00CB0A99"/>
    <w:rsid w:val="00CB0B6E"/>
    <w:rsid w:val="00CB0BB4"/>
    <w:rsid w:val="00CB0BBC"/>
    <w:rsid w:val="00CB0FF0"/>
    <w:rsid w:val="00CB1118"/>
    <w:rsid w:val="00CB17FC"/>
    <w:rsid w:val="00CB1AB7"/>
    <w:rsid w:val="00CB1B8D"/>
    <w:rsid w:val="00CB1F81"/>
    <w:rsid w:val="00CB2072"/>
    <w:rsid w:val="00CB23E5"/>
    <w:rsid w:val="00CB26AF"/>
    <w:rsid w:val="00CB2BAB"/>
    <w:rsid w:val="00CB2C58"/>
    <w:rsid w:val="00CB2DCA"/>
    <w:rsid w:val="00CB31AF"/>
    <w:rsid w:val="00CB35FA"/>
    <w:rsid w:val="00CB3613"/>
    <w:rsid w:val="00CB3903"/>
    <w:rsid w:val="00CB3926"/>
    <w:rsid w:val="00CB3C16"/>
    <w:rsid w:val="00CB3CC8"/>
    <w:rsid w:val="00CB3F99"/>
    <w:rsid w:val="00CB40BA"/>
    <w:rsid w:val="00CB45C2"/>
    <w:rsid w:val="00CB4673"/>
    <w:rsid w:val="00CB474D"/>
    <w:rsid w:val="00CB47C9"/>
    <w:rsid w:val="00CB4BEE"/>
    <w:rsid w:val="00CB4DA3"/>
    <w:rsid w:val="00CB4FF7"/>
    <w:rsid w:val="00CB521C"/>
    <w:rsid w:val="00CB52A7"/>
    <w:rsid w:val="00CB52F8"/>
    <w:rsid w:val="00CB5389"/>
    <w:rsid w:val="00CB5431"/>
    <w:rsid w:val="00CB5622"/>
    <w:rsid w:val="00CB563C"/>
    <w:rsid w:val="00CB5719"/>
    <w:rsid w:val="00CB57C5"/>
    <w:rsid w:val="00CB57E5"/>
    <w:rsid w:val="00CB5858"/>
    <w:rsid w:val="00CB592D"/>
    <w:rsid w:val="00CB5954"/>
    <w:rsid w:val="00CB5A9D"/>
    <w:rsid w:val="00CB5C01"/>
    <w:rsid w:val="00CB5EB2"/>
    <w:rsid w:val="00CB5F5B"/>
    <w:rsid w:val="00CB5F98"/>
    <w:rsid w:val="00CB5FCF"/>
    <w:rsid w:val="00CB606B"/>
    <w:rsid w:val="00CB65A9"/>
    <w:rsid w:val="00CB67E0"/>
    <w:rsid w:val="00CB7154"/>
    <w:rsid w:val="00CB7161"/>
    <w:rsid w:val="00CB716E"/>
    <w:rsid w:val="00CB71EF"/>
    <w:rsid w:val="00CB7217"/>
    <w:rsid w:val="00CB746D"/>
    <w:rsid w:val="00CB774C"/>
    <w:rsid w:val="00CB78D6"/>
    <w:rsid w:val="00CB7B3E"/>
    <w:rsid w:val="00CB7D42"/>
    <w:rsid w:val="00CB7DF8"/>
    <w:rsid w:val="00CC004E"/>
    <w:rsid w:val="00CC0293"/>
    <w:rsid w:val="00CC02AE"/>
    <w:rsid w:val="00CC033E"/>
    <w:rsid w:val="00CC047E"/>
    <w:rsid w:val="00CC0A6C"/>
    <w:rsid w:val="00CC0AA6"/>
    <w:rsid w:val="00CC0B09"/>
    <w:rsid w:val="00CC0B3B"/>
    <w:rsid w:val="00CC0B47"/>
    <w:rsid w:val="00CC0F77"/>
    <w:rsid w:val="00CC0FA9"/>
    <w:rsid w:val="00CC10E1"/>
    <w:rsid w:val="00CC13CE"/>
    <w:rsid w:val="00CC17E4"/>
    <w:rsid w:val="00CC20F4"/>
    <w:rsid w:val="00CC22E3"/>
    <w:rsid w:val="00CC2699"/>
    <w:rsid w:val="00CC2711"/>
    <w:rsid w:val="00CC271C"/>
    <w:rsid w:val="00CC2788"/>
    <w:rsid w:val="00CC2964"/>
    <w:rsid w:val="00CC29B9"/>
    <w:rsid w:val="00CC2A82"/>
    <w:rsid w:val="00CC2BD3"/>
    <w:rsid w:val="00CC2BF6"/>
    <w:rsid w:val="00CC2D91"/>
    <w:rsid w:val="00CC2DA6"/>
    <w:rsid w:val="00CC2F21"/>
    <w:rsid w:val="00CC2FFA"/>
    <w:rsid w:val="00CC31CA"/>
    <w:rsid w:val="00CC332B"/>
    <w:rsid w:val="00CC3384"/>
    <w:rsid w:val="00CC3543"/>
    <w:rsid w:val="00CC3C7A"/>
    <w:rsid w:val="00CC3CD9"/>
    <w:rsid w:val="00CC3E81"/>
    <w:rsid w:val="00CC461E"/>
    <w:rsid w:val="00CC46FC"/>
    <w:rsid w:val="00CC4ECE"/>
    <w:rsid w:val="00CC4FC2"/>
    <w:rsid w:val="00CC556B"/>
    <w:rsid w:val="00CC55BD"/>
    <w:rsid w:val="00CC5611"/>
    <w:rsid w:val="00CC5EF9"/>
    <w:rsid w:val="00CC5F81"/>
    <w:rsid w:val="00CC628D"/>
    <w:rsid w:val="00CC62C9"/>
    <w:rsid w:val="00CC656F"/>
    <w:rsid w:val="00CC66A9"/>
    <w:rsid w:val="00CC66BF"/>
    <w:rsid w:val="00CC6743"/>
    <w:rsid w:val="00CC67BA"/>
    <w:rsid w:val="00CC68A3"/>
    <w:rsid w:val="00CC69DD"/>
    <w:rsid w:val="00CC6A88"/>
    <w:rsid w:val="00CC6DF8"/>
    <w:rsid w:val="00CC6E31"/>
    <w:rsid w:val="00CC6FE2"/>
    <w:rsid w:val="00CC7011"/>
    <w:rsid w:val="00CC7403"/>
    <w:rsid w:val="00CC74F3"/>
    <w:rsid w:val="00CC79A7"/>
    <w:rsid w:val="00CC79D3"/>
    <w:rsid w:val="00CC7AB0"/>
    <w:rsid w:val="00CC7DAD"/>
    <w:rsid w:val="00CC7FD7"/>
    <w:rsid w:val="00CD0018"/>
    <w:rsid w:val="00CD0028"/>
    <w:rsid w:val="00CD0312"/>
    <w:rsid w:val="00CD0329"/>
    <w:rsid w:val="00CD0420"/>
    <w:rsid w:val="00CD0B73"/>
    <w:rsid w:val="00CD1044"/>
    <w:rsid w:val="00CD1093"/>
    <w:rsid w:val="00CD10F2"/>
    <w:rsid w:val="00CD1107"/>
    <w:rsid w:val="00CD12E3"/>
    <w:rsid w:val="00CD15F0"/>
    <w:rsid w:val="00CD16CA"/>
    <w:rsid w:val="00CD17D2"/>
    <w:rsid w:val="00CD1A8D"/>
    <w:rsid w:val="00CD22F3"/>
    <w:rsid w:val="00CD2325"/>
    <w:rsid w:val="00CD2335"/>
    <w:rsid w:val="00CD23F9"/>
    <w:rsid w:val="00CD29D8"/>
    <w:rsid w:val="00CD2DEF"/>
    <w:rsid w:val="00CD307B"/>
    <w:rsid w:val="00CD32D5"/>
    <w:rsid w:val="00CD3511"/>
    <w:rsid w:val="00CD361C"/>
    <w:rsid w:val="00CD3934"/>
    <w:rsid w:val="00CD394B"/>
    <w:rsid w:val="00CD3A79"/>
    <w:rsid w:val="00CD3BA4"/>
    <w:rsid w:val="00CD3CE6"/>
    <w:rsid w:val="00CD3E6A"/>
    <w:rsid w:val="00CD41C3"/>
    <w:rsid w:val="00CD4508"/>
    <w:rsid w:val="00CD481B"/>
    <w:rsid w:val="00CD4A1D"/>
    <w:rsid w:val="00CD4A51"/>
    <w:rsid w:val="00CD4F3A"/>
    <w:rsid w:val="00CD51F4"/>
    <w:rsid w:val="00CD546D"/>
    <w:rsid w:val="00CD57CA"/>
    <w:rsid w:val="00CD5A84"/>
    <w:rsid w:val="00CD5BEE"/>
    <w:rsid w:val="00CD5C80"/>
    <w:rsid w:val="00CD5D54"/>
    <w:rsid w:val="00CD61EC"/>
    <w:rsid w:val="00CD6233"/>
    <w:rsid w:val="00CD626C"/>
    <w:rsid w:val="00CD6327"/>
    <w:rsid w:val="00CD6C68"/>
    <w:rsid w:val="00CD6F1A"/>
    <w:rsid w:val="00CD7445"/>
    <w:rsid w:val="00CD75F5"/>
    <w:rsid w:val="00CD7842"/>
    <w:rsid w:val="00CD78EA"/>
    <w:rsid w:val="00CD7A48"/>
    <w:rsid w:val="00CD7CE1"/>
    <w:rsid w:val="00CD7D67"/>
    <w:rsid w:val="00CD7F11"/>
    <w:rsid w:val="00CD7F81"/>
    <w:rsid w:val="00CE00C6"/>
    <w:rsid w:val="00CE0156"/>
    <w:rsid w:val="00CE03B6"/>
    <w:rsid w:val="00CE03B7"/>
    <w:rsid w:val="00CE0407"/>
    <w:rsid w:val="00CE0578"/>
    <w:rsid w:val="00CE0BBF"/>
    <w:rsid w:val="00CE0F4B"/>
    <w:rsid w:val="00CE0F6C"/>
    <w:rsid w:val="00CE0F7D"/>
    <w:rsid w:val="00CE0FA9"/>
    <w:rsid w:val="00CE10C1"/>
    <w:rsid w:val="00CE119E"/>
    <w:rsid w:val="00CE120B"/>
    <w:rsid w:val="00CE120D"/>
    <w:rsid w:val="00CE1367"/>
    <w:rsid w:val="00CE152F"/>
    <w:rsid w:val="00CE15C5"/>
    <w:rsid w:val="00CE161B"/>
    <w:rsid w:val="00CE1962"/>
    <w:rsid w:val="00CE1A69"/>
    <w:rsid w:val="00CE1AC9"/>
    <w:rsid w:val="00CE1B54"/>
    <w:rsid w:val="00CE1CB7"/>
    <w:rsid w:val="00CE1E81"/>
    <w:rsid w:val="00CE2649"/>
    <w:rsid w:val="00CE283A"/>
    <w:rsid w:val="00CE29A0"/>
    <w:rsid w:val="00CE2B71"/>
    <w:rsid w:val="00CE2B78"/>
    <w:rsid w:val="00CE2DED"/>
    <w:rsid w:val="00CE2E93"/>
    <w:rsid w:val="00CE2F13"/>
    <w:rsid w:val="00CE328F"/>
    <w:rsid w:val="00CE32FB"/>
    <w:rsid w:val="00CE33D7"/>
    <w:rsid w:val="00CE34DF"/>
    <w:rsid w:val="00CE353B"/>
    <w:rsid w:val="00CE35E5"/>
    <w:rsid w:val="00CE373B"/>
    <w:rsid w:val="00CE39A0"/>
    <w:rsid w:val="00CE3B08"/>
    <w:rsid w:val="00CE4028"/>
    <w:rsid w:val="00CE418C"/>
    <w:rsid w:val="00CE42FD"/>
    <w:rsid w:val="00CE4358"/>
    <w:rsid w:val="00CE46C6"/>
    <w:rsid w:val="00CE47CD"/>
    <w:rsid w:val="00CE483B"/>
    <w:rsid w:val="00CE4842"/>
    <w:rsid w:val="00CE4885"/>
    <w:rsid w:val="00CE4953"/>
    <w:rsid w:val="00CE4982"/>
    <w:rsid w:val="00CE49B7"/>
    <w:rsid w:val="00CE49FE"/>
    <w:rsid w:val="00CE4E65"/>
    <w:rsid w:val="00CE4ED2"/>
    <w:rsid w:val="00CE50B6"/>
    <w:rsid w:val="00CE531E"/>
    <w:rsid w:val="00CE54E9"/>
    <w:rsid w:val="00CE54EB"/>
    <w:rsid w:val="00CE550F"/>
    <w:rsid w:val="00CE57E9"/>
    <w:rsid w:val="00CE5814"/>
    <w:rsid w:val="00CE5848"/>
    <w:rsid w:val="00CE58BD"/>
    <w:rsid w:val="00CE5AD9"/>
    <w:rsid w:val="00CE5C9A"/>
    <w:rsid w:val="00CE5DCD"/>
    <w:rsid w:val="00CE5E58"/>
    <w:rsid w:val="00CE5FA4"/>
    <w:rsid w:val="00CE6188"/>
    <w:rsid w:val="00CE67F6"/>
    <w:rsid w:val="00CE6B74"/>
    <w:rsid w:val="00CE6D02"/>
    <w:rsid w:val="00CE6DA6"/>
    <w:rsid w:val="00CE6ED4"/>
    <w:rsid w:val="00CE702F"/>
    <w:rsid w:val="00CE72F8"/>
    <w:rsid w:val="00CE74A3"/>
    <w:rsid w:val="00CE7A3F"/>
    <w:rsid w:val="00CE7CDA"/>
    <w:rsid w:val="00CE7DB9"/>
    <w:rsid w:val="00CF03D9"/>
    <w:rsid w:val="00CF0525"/>
    <w:rsid w:val="00CF05C8"/>
    <w:rsid w:val="00CF05D1"/>
    <w:rsid w:val="00CF075D"/>
    <w:rsid w:val="00CF08EB"/>
    <w:rsid w:val="00CF095E"/>
    <w:rsid w:val="00CF1306"/>
    <w:rsid w:val="00CF1410"/>
    <w:rsid w:val="00CF17A2"/>
    <w:rsid w:val="00CF189D"/>
    <w:rsid w:val="00CF1C61"/>
    <w:rsid w:val="00CF1DDD"/>
    <w:rsid w:val="00CF1E71"/>
    <w:rsid w:val="00CF2077"/>
    <w:rsid w:val="00CF222C"/>
    <w:rsid w:val="00CF2531"/>
    <w:rsid w:val="00CF2627"/>
    <w:rsid w:val="00CF268B"/>
    <w:rsid w:val="00CF26AD"/>
    <w:rsid w:val="00CF2804"/>
    <w:rsid w:val="00CF29CA"/>
    <w:rsid w:val="00CF29CC"/>
    <w:rsid w:val="00CF2B76"/>
    <w:rsid w:val="00CF2DD4"/>
    <w:rsid w:val="00CF2E44"/>
    <w:rsid w:val="00CF3B0E"/>
    <w:rsid w:val="00CF3CF9"/>
    <w:rsid w:val="00CF3E75"/>
    <w:rsid w:val="00CF3F9C"/>
    <w:rsid w:val="00CF409B"/>
    <w:rsid w:val="00CF4240"/>
    <w:rsid w:val="00CF429C"/>
    <w:rsid w:val="00CF437B"/>
    <w:rsid w:val="00CF48C1"/>
    <w:rsid w:val="00CF494C"/>
    <w:rsid w:val="00CF499A"/>
    <w:rsid w:val="00CF4AC4"/>
    <w:rsid w:val="00CF4B3D"/>
    <w:rsid w:val="00CF4F0D"/>
    <w:rsid w:val="00CF528D"/>
    <w:rsid w:val="00CF5635"/>
    <w:rsid w:val="00CF5640"/>
    <w:rsid w:val="00CF567B"/>
    <w:rsid w:val="00CF56DC"/>
    <w:rsid w:val="00CF59E7"/>
    <w:rsid w:val="00CF5A24"/>
    <w:rsid w:val="00CF5B31"/>
    <w:rsid w:val="00CF5FD3"/>
    <w:rsid w:val="00CF5FDD"/>
    <w:rsid w:val="00CF636D"/>
    <w:rsid w:val="00CF653A"/>
    <w:rsid w:val="00CF6545"/>
    <w:rsid w:val="00CF66F7"/>
    <w:rsid w:val="00CF6F23"/>
    <w:rsid w:val="00CF7024"/>
    <w:rsid w:val="00CF7194"/>
    <w:rsid w:val="00CF72D2"/>
    <w:rsid w:val="00CF72D7"/>
    <w:rsid w:val="00CF73A0"/>
    <w:rsid w:val="00CF744C"/>
    <w:rsid w:val="00CF74BD"/>
    <w:rsid w:val="00CF7587"/>
    <w:rsid w:val="00CF7622"/>
    <w:rsid w:val="00CF768D"/>
    <w:rsid w:val="00CF76A4"/>
    <w:rsid w:val="00CF7A9A"/>
    <w:rsid w:val="00CF7BDA"/>
    <w:rsid w:val="00CF7EE6"/>
    <w:rsid w:val="00CF7F41"/>
    <w:rsid w:val="00D000CC"/>
    <w:rsid w:val="00D000D9"/>
    <w:rsid w:val="00D0011D"/>
    <w:rsid w:val="00D0082F"/>
    <w:rsid w:val="00D00CE5"/>
    <w:rsid w:val="00D011F3"/>
    <w:rsid w:val="00D016CB"/>
    <w:rsid w:val="00D01C36"/>
    <w:rsid w:val="00D01C8B"/>
    <w:rsid w:val="00D01DA9"/>
    <w:rsid w:val="00D01DEF"/>
    <w:rsid w:val="00D0202E"/>
    <w:rsid w:val="00D020D9"/>
    <w:rsid w:val="00D02192"/>
    <w:rsid w:val="00D0228F"/>
    <w:rsid w:val="00D024C3"/>
    <w:rsid w:val="00D024F3"/>
    <w:rsid w:val="00D02613"/>
    <w:rsid w:val="00D026F7"/>
    <w:rsid w:val="00D02777"/>
    <w:rsid w:val="00D0277C"/>
    <w:rsid w:val="00D028A6"/>
    <w:rsid w:val="00D02F9E"/>
    <w:rsid w:val="00D03052"/>
    <w:rsid w:val="00D03219"/>
    <w:rsid w:val="00D034B9"/>
    <w:rsid w:val="00D034DD"/>
    <w:rsid w:val="00D03604"/>
    <w:rsid w:val="00D0388A"/>
    <w:rsid w:val="00D039B6"/>
    <w:rsid w:val="00D03B4D"/>
    <w:rsid w:val="00D0417A"/>
    <w:rsid w:val="00D0454B"/>
    <w:rsid w:val="00D04602"/>
    <w:rsid w:val="00D0469E"/>
    <w:rsid w:val="00D046A4"/>
    <w:rsid w:val="00D04952"/>
    <w:rsid w:val="00D04997"/>
    <w:rsid w:val="00D04CCD"/>
    <w:rsid w:val="00D050EE"/>
    <w:rsid w:val="00D05507"/>
    <w:rsid w:val="00D057AA"/>
    <w:rsid w:val="00D0597A"/>
    <w:rsid w:val="00D05B3C"/>
    <w:rsid w:val="00D05BB9"/>
    <w:rsid w:val="00D05DBC"/>
    <w:rsid w:val="00D05F15"/>
    <w:rsid w:val="00D05F8E"/>
    <w:rsid w:val="00D05FCC"/>
    <w:rsid w:val="00D06093"/>
    <w:rsid w:val="00D06971"/>
    <w:rsid w:val="00D06A01"/>
    <w:rsid w:val="00D06A16"/>
    <w:rsid w:val="00D06B16"/>
    <w:rsid w:val="00D06F0A"/>
    <w:rsid w:val="00D07097"/>
    <w:rsid w:val="00D07303"/>
    <w:rsid w:val="00D074C5"/>
    <w:rsid w:val="00D07641"/>
    <w:rsid w:val="00D07673"/>
    <w:rsid w:val="00D07706"/>
    <w:rsid w:val="00D077E0"/>
    <w:rsid w:val="00D07C49"/>
    <w:rsid w:val="00D07D35"/>
    <w:rsid w:val="00D07D68"/>
    <w:rsid w:val="00D07D74"/>
    <w:rsid w:val="00D07F2F"/>
    <w:rsid w:val="00D10280"/>
    <w:rsid w:val="00D105DE"/>
    <w:rsid w:val="00D106D3"/>
    <w:rsid w:val="00D10731"/>
    <w:rsid w:val="00D1078F"/>
    <w:rsid w:val="00D10B46"/>
    <w:rsid w:val="00D10C88"/>
    <w:rsid w:val="00D10E60"/>
    <w:rsid w:val="00D10F45"/>
    <w:rsid w:val="00D1117A"/>
    <w:rsid w:val="00D111A4"/>
    <w:rsid w:val="00D11A1F"/>
    <w:rsid w:val="00D11A4F"/>
    <w:rsid w:val="00D11FAC"/>
    <w:rsid w:val="00D1200A"/>
    <w:rsid w:val="00D12027"/>
    <w:rsid w:val="00D120CD"/>
    <w:rsid w:val="00D12241"/>
    <w:rsid w:val="00D124A0"/>
    <w:rsid w:val="00D12550"/>
    <w:rsid w:val="00D12572"/>
    <w:rsid w:val="00D125CA"/>
    <w:rsid w:val="00D126B6"/>
    <w:rsid w:val="00D12B83"/>
    <w:rsid w:val="00D12BBE"/>
    <w:rsid w:val="00D12CD2"/>
    <w:rsid w:val="00D12FB7"/>
    <w:rsid w:val="00D13038"/>
    <w:rsid w:val="00D13058"/>
    <w:rsid w:val="00D1323C"/>
    <w:rsid w:val="00D132DC"/>
    <w:rsid w:val="00D135F1"/>
    <w:rsid w:val="00D136A4"/>
    <w:rsid w:val="00D13D0D"/>
    <w:rsid w:val="00D13EB3"/>
    <w:rsid w:val="00D13FB8"/>
    <w:rsid w:val="00D1403F"/>
    <w:rsid w:val="00D1416E"/>
    <w:rsid w:val="00D142A7"/>
    <w:rsid w:val="00D14577"/>
    <w:rsid w:val="00D146FC"/>
    <w:rsid w:val="00D1473C"/>
    <w:rsid w:val="00D14AC8"/>
    <w:rsid w:val="00D14D23"/>
    <w:rsid w:val="00D14D75"/>
    <w:rsid w:val="00D15073"/>
    <w:rsid w:val="00D15755"/>
    <w:rsid w:val="00D157B4"/>
    <w:rsid w:val="00D1584C"/>
    <w:rsid w:val="00D1592D"/>
    <w:rsid w:val="00D15D8B"/>
    <w:rsid w:val="00D15F9A"/>
    <w:rsid w:val="00D16151"/>
    <w:rsid w:val="00D16244"/>
    <w:rsid w:val="00D163B1"/>
    <w:rsid w:val="00D16474"/>
    <w:rsid w:val="00D16698"/>
    <w:rsid w:val="00D166EC"/>
    <w:rsid w:val="00D16788"/>
    <w:rsid w:val="00D169E1"/>
    <w:rsid w:val="00D16CA1"/>
    <w:rsid w:val="00D16F4C"/>
    <w:rsid w:val="00D1751D"/>
    <w:rsid w:val="00D17897"/>
    <w:rsid w:val="00D17984"/>
    <w:rsid w:val="00D179AD"/>
    <w:rsid w:val="00D17AB9"/>
    <w:rsid w:val="00D17C9C"/>
    <w:rsid w:val="00D20207"/>
    <w:rsid w:val="00D205E0"/>
    <w:rsid w:val="00D205FB"/>
    <w:rsid w:val="00D20951"/>
    <w:rsid w:val="00D20AB5"/>
    <w:rsid w:val="00D20B36"/>
    <w:rsid w:val="00D21491"/>
    <w:rsid w:val="00D2155D"/>
    <w:rsid w:val="00D215FC"/>
    <w:rsid w:val="00D2190B"/>
    <w:rsid w:val="00D21A13"/>
    <w:rsid w:val="00D21A36"/>
    <w:rsid w:val="00D21ABD"/>
    <w:rsid w:val="00D21ACD"/>
    <w:rsid w:val="00D21BE7"/>
    <w:rsid w:val="00D21D6E"/>
    <w:rsid w:val="00D221A9"/>
    <w:rsid w:val="00D222C1"/>
    <w:rsid w:val="00D22491"/>
    <w:rsid w:val="00D22700"/>
    <w:rsid w:val="00D2272E"/>
    <w:rsid w:val="00D22CB7"/>
    <w:rsid w:val="00D22DED"/>
    <w:rsid w:val="00D22F94"/>
    <w:rsid w:val="00D22FC8"/>
    <w:rsid w:val="00D23207"/>
    <w:rsid w:val="00D236FF"/>
    <w:rsid w:val="00D237B9"/>
    <w:rsid w:val="00D23906"/>
    <w:rsid w:val="00D23ADA"/>
    <w:rsid w:val="00D24086"/>
    <w:rsid w:val="00D242F1"/>
    <w:rsid w:val="00D244C2"/>
    <w:rsid w:val="00D246A2"/>
    <w:rsid w:val="00D24734"/>
    <w:rsid w:val="00D248CC"/>
    <w:rsid w:val="00D24C06"/>
    <w:rsid w:val="00D24D4A"/>
    <w:rsid w:val="00D24D4B"/>
    <w:rsid w:val="00D24DAD"/>
    <w:rsid w:val="00D24EF5"/>
    <w:rsid w:val="00D25107"/>
    <w:rsid w:val="00D25185"/>
    <w:rsid w:val="00D251A5"/>
    <w:rsid w:val="00D25282"/>
    <w:rsid w:val="00D255C7"/>
    <w:rsid w:val="00D25788"/>
    <w:rsid w:val="00D258A8"/>
    <w:rsid w:val="00D25916"/>
    <w:rsid w:val="00D25CD2"/>
    <w:rsid w:val="00D25ED9"/>
    <w:rsid w:val="00D25F14"/>
    <w:rsid w:val="00D25F35"/>
    <w:rsid w:val="00D25FCE"/>
    <w:rsid w:val="00D25FF8"/>
    <w:rsid w:val="00D26369"/>
    <w:rsid w:val="00D26392"/>
    <w:rsid w:val="00D263C0"/>
    <w:rsid w:val="00D26601"/>
    <w:rsid w:val="00D26A9F"/>
    <w:rsid w:val="00D26C76"/>
    <w:rsid w:val="00D26D12"/>
    <w:rsid w:val="00D26D97"/>
    <w:rsid w:val="00D26DF2"/>
    <w:rsid w:val="00D26E20"/>
    <w:rsid w:val="00D26F61"/>
    <w:rsid w:val="00D26FD4"/>
    <w:rsid w:val="00D270B9"/>
    <w:rsid w:val="00D2720F"/>
    <w:rsid w:val="00D272EF"/>
    <w:rsid w:val="00D276B9"/>
    <w:rsid w:val="00D2784B"/>
    <w:rsid w:val="00D279B1"/>
    <w:rsid w:val="00D27CC4"/>
    <w:rsid w:val="00D27D0E"/>
    <w:rsid w:val="00D27EEF"/>
    <w:rsid w:val="00D27FC4"/>
    <w:rsid w:val="00D27FD7"/>
    <w:rsid w:val="00D30078"/>
    <w:rsid w:val="00D303A4"/>
    <w:rsid w:val="00D304F8"/>
    <w:rsid w:val="00D30526"/>
    <w:rsid w:val="00D30568"/>
    <w:rsid w:val="00D3080B"/>
    <w:rsid w:val="00D309BD"/>
    <w:rsid w:val="00D30AA5"/>
    <w:rsid w:val="00D30B35"/>
    <w:rsid w:val="00D30CC3"/>
    <w:rsid w:val="00D30CD5"/>
    <w:rsid w:val="00D30CEB"/>
    <w:rsid w:val="00D30DA6"/>
    <w:rsid w:val="00D31012"/>
    <w:rsid w:val="00D31014"/>
    <w:rsid w:val="00D310AB"/>
    <w:rsid w:val="00D3114B"/>
    <w:rsid w:val="00D3167B"/>
    <w:rsid w:val="00D31946"/>
    <w:rsid w:val="00D31A60"/>
    <w:rsid w:val="00D31A96"/>
    <w:rsid w:val="00D31AFF"/>
    <w:rsid w:val="00D32184"/>
    <w:rsid w:val="00D321FC"/>
    <w:rsid w:val="00D323A6"/>
    <w:rsid w:val="00D3256C"/>
    <w:rsid w:val="00D32910"/>
    <w:rsid w:val="00D32930"/>
    <w:rsid w:val="00D329AE"/>
    <w:rsid w:val="00D329E6"/>
    <w:rsid w:val="00D32A64"/>
    <w:rsid w:val="00D32BCA"/>
    <w:rsid w:val="00D32BF2"/>
    <w:rsid w:val="00D32D1E"/>
    <w:rsid w:val="00D336A5"/>
    <w:rsid w:val="00D338D0"/>
    <w:rsid w:val="00D33B12"/>
    <w:rsid w:val="00D33EF7"/>
    <w:rsid w:val="00D33F1F"/>
    <w:rsid w:val="00D33F3A"/>
    <w:rsid w:val="00D340C0"/>
    <w:rsid w:val="00D3426D"/>
    <w:rsid w:val="00D349AE"/>
    <w:rsid w:val="00D34C21"/>
    <w:rsid w:val="00D34CC6"/>
    <w:rsid w:val="00D35104"/>
    <w:rsid w:val="00D35285"/>
    <w:rsid w:val="00D355F7"/>
    <w:rsid w:val="00D3570D"/>
    <w:rsid w:val="00D35744"/>
    <w:rsid w:val="00D35A95"/>
    <w:rsid w:val="00D35BAD"/>
    <w:rsid w:val="00D35D13"/>
    <w:rsid w:val="00D35F85"/>
    <w:rsid w:val="00D36012"/>
    <w:rsid w:val="00D360B3"/>
    <w:rsid w:val="00D360C1"/>
    <w:rsid w:val="00D360D4"/>
    <w:rsid w:val="00D3626C"/>
    <w:rsid w:val="00D363C5"/>
    <w:rsid w:val="00D36929"/>
    <w:rsid w:val="00D3696A"/>
    <w:rsid w:val="00D36BFD"/>
    <w:rsid w:val="00D37159"/>
    <w:rsid w:val="00D37586"/>
    <w:rsid w:val="00D37972"/>
    <w:rsid w:val="00D37ADC"/>
    <w:rsid w:val="00D37BCD"/>
    <w:rsid w:val="00D37C52"/>
    <w:rsid w:val="00D37CB8"/>
    <w:rsid w:val="00D37DCF"/>
    <w:rsid w:val="00D37EA7"/>
    <w:rsid w:val="00D37FAF"/>
    <w:rsid w:val="00D4037E"/>
    <w:rsid w:val="00D40896"/>
    <w:rsid w:val="00D409AA"/>
    <w:rsid w:val="00D40D70"/>
    <w:rsid w:val="00D40F8F"/>
    <w:rsid w:val="00D4116C"/>
    <w:rsid w:val="00D4150C"/>
    <w:rsid w:val="00D41534"/>
    <w:rsid w:val="00D4155F"/>
    <w:rsid w:val="00D41596"/>
    <w:rsid w:val="00D4177A"/>
    <w:rsid w:val="00D41ABC"/>
    <w:rsid w:val="00D41AC6"/>
    <w:rsid w:val="00D41AD3"/>
    <w:rsid w:val="00D41E24"/>
    <w:rsid w:val="00D422CA"/>
    <w:rsid w:val="00D426C8"/>
    <w:rsid w:val="00D4286F"/>
    <w:rsid w:val="00D42955"/>
    <w:rsid w:val="00D429A3"/>
    <w:rsid w:val="00D429F5"/>
    <w:rsid w:val="00D42B5C"/>
    <w:rsid w:val="00D42CE3"/>
    <w:rsid w:val="00D42D45"/>
    <w:rsid w:val="00D42DAB"/>
    <w:rsid w:val="00D42DD6"/>
    <w:rsid w:val="00D42DE9"/>
    <w:rsid w:val="00D42DEC"/>
    <w:rsid w:val="00D431D8"/>
    <w:rsid w:val="00D433C1"/>
    <w:rsid w:val="00D433EE"/>
    <w:rsid w:val="00D434DD"/>
    <w:rsid w:val="00D4393C"/>
    <w:rsid w:val="00D43D4B"/>
    <w:rsid w:val="00D44147"/>
    <w:rsid w:val="00D44545"/>
    <w:rsid w:val="00D44652"/>
    <w:rsid w:val="00D447F4"/>
    <w:rsid w:val="00D448FE"/>
    <w:rsid w:val="00D44CD1"/>
    <w:rsid w:val="00D44F9D"/>
    <w:rsid w:val="00D4509E"/>
    <w:rsid w:val="00D451A0"/>
    <w:rsid w:val="00D451FC"/>
    <w:rsid w:val="00D459A5"/>
    <w:rsid w:val="00D45B1D"/>
    <w:rsid w:val="00D45BF2"/>
    <w:rsid w:val="00D45C44"/>
    <w:rsid w:val="00D45E55"/>
    <w:rsid w:val="00D46268"/>
    <w:rsid w:val="00D4648A"/>
    <w:rsid w:val="00D465CF"/>
    <w:rsid w:val="00D46846"/>
    <w:rsid w:val="00D46930"/>
    <w:rsid w:val="00D46C11"/>
    <w:rsid w:val="00D46E69"/>
    <w:rsid w:val="00D470AD"/>
    <w:rsid w:val="00D47111"/>
    <w:rsid w:val="00D472DF"/>
    <w:rsid w:val="00D472FC"/>
    <w:rsid w:val="00D47BE9"/>
    <w:rsid w:val="00D47DDE"/>
    <w:rsid w:val="00D50102"/>
    <w:rsid w:val="00D50235"/>
    <w:rsid w:val="00D50496"/>
    <w:rsid w:val="00D50509"/>
    <w:rsid w:val="00D50538"/>
    <w:rsid w:val="00D50542"/>
    <w:rsid w:val="00D5092D"/>
    <w:rsid w:val="00D50F47"/>
    <w:rsid w:val="00D51169"/>
    <w:rsid w:val="00D5131C"/>
    <w:rsid w:val="00D51418"/>
    <w:rsid w:val="00D515E6"/>
    <w:rsid w:val="00D517EB"/>
    <w:rsid w:val="00D51801"/>
    <w:rsid w:val="00D518D6"/>
    <w:rsid w:val="00D520E6"/>
    <w:rsid w:val="00D5238F"/>
    <w:rsid w:val="00D5250C"/>
    <w:rsid w:val="00D532AB"/>
    <w:rsid w:val="00D534BA"/>
    <w:rsid w:val="00D534E9"/>
    <w:rsid w:val="00D535C7"/>
    <w:rsid w:val="00D53649"/>
    <w:rsid w:val="00D53B44"/>
    <w:rsid w:val="00D53C95"/>
    <w:rsid w:val="00D53D4C"/>
    <w:rsid w:val="00D53E12"/>
    <w:rsid w:val="00D53F48"/>
    <w:rsid w:val="00D53F67"/>
    <w:rsid w:val="00D53F99"/>
    <w:rsid w:val="00D5416C"/>
    <w:rsid w:val="00D541C9"/>
    <w:rsid w:val="00D543C9"/>
    <w:rsid w:val="00D546F6"/>
    <w:rsid w:val="00D54839"/>
    <w:rsid w:val="00D54B63"/>
    <w:rsid w:val="00D54B90"/>
    <w:rsid w:val="00D54CC7"/>
    <w:rsid w:val="00D54D89"/>
    <w:rsid w:val="00D54DFB"/>
    <w:rsid w:val="00D54F26"/>
    <w:rsid w:val="00D554FA"/>
    <w:rsid w:val="00D55E0F"/>
    <w:rsid w:val="00D55EDD"/>
    <w:rsid w:val="00D55F16"/>
    <w:rsid w:val="00D55F39"/>
    <w:rsid w:val="00D55FD5"/>
    <w:rsid w:val="00D562C6"/>
    <w:rsid w:val="00D56548"/>
    <w:rsid w:val="00D5683F"/>
    <w:rsid w:val="00D56982"/>
    <w:rsid w:val="00D56A12"/>
    <w:rsid w:val="00D56D8E"/>
    <w:rsid w:val="00D56FDF"/>
    <w:rsid w:val="00D57029"/>
    <w:rsid w:val="00D571ED"/>
    <w:rsid w:val="00D57571"/>
    <w:rsid w:val="00D5763D"/>
    <w:rsid w:val="00D579D4"/>
    <w:rsid w:val="00D579FE"/>
    <w:rsid w:val="00D57BDD"/>
    <w:rsid w:val="00D57C2D"/>
    <w:rsid w:val="00D6016B"/>
    <w:rsid w:val="00D60191"/>
    <w:rsid w:val="00D60300"/>
    <w:rsid w:val="00D6060D"/>
    <w:rsid w:val="00D60D0C"/>
    <w:rsid w:val="00D60E10"/>
    <w:rsid w:val="00D60E33"/>
    <w:rsid w:val="00D60EDB"/>
    <w:rsid w:val="00D60F08"/>
    <w:rsid w:val="00D61222"/>
    <w:rsid w:val="00D61260"/>
    <w:rsid w:val="00D612C5"/>
    <w:rsid w:val="00D6193B"/>
    <w:rsid w:val="00D61F15"/>
    <w:rsid w:val="00D62335"/>
    <w:rsid w:val="00D62542"/>
    <w:rsid w:val="00D62A82"/>
    <w:rsid w:val="00D62D36"/>
    <w:rsid w:val="00D62F50"/>
    <w:rsid w:val="00D6340C"/>
    <w:rsid w:val="00D635BC"/>
    <w:rsid w:val="00D6367C"/>
    <w:rsid w:val="00D636F4"/>
    <w:rsid w:val="00D637A9"/>
    <w:rsid w:val="00D63A06"/>
    <w:rsid w:val="00D63C46"/>
    <w:rsid w:val="00D63C48"/>
    <w:rsid w:val="00D63CD5"/>
    <w:rsid w:val="00D63E08"/>
    <w:rsid w:val="00D640B0"/>
    <w:rsid w:val="00D64133"/>
    <w:rsid w:val="00D641C9"/>
    <w:rsid w:val="00D6426B"/>
    <w:rsid w:val="00D64289"/>
    <w:rsid w:val="00D6434E"/>
    <w:rsid w:val="00D64397"/>
    <w:rsid w:val="00D644CC"/>
    <w:rsid w:val="00D64551"/>
    <w:rsid w:val="00D645B8"/>
    <w:rsid w:val="00D6464B"/>
    <w:rsid w:val="00D64977"/>
    <w:rsid w:val="00D64A1E"/>
    <w:rsid w:val="00D64A5D"/>
    <w:rsid w:val="00D64B86"/>
    <w:rsid w:val="00D64F42"/>
    <w:rsid w:val="00D65178"/>
    <w:rsid w:val="00D652ED"/>
    <w:rsid w:val="00D6552F"/>
    <w:rsid w:val="00D656E3"/>
    <w:rsid w:val="00D65763"/>
    <w:rsid w:val="00D6584B"/>
    <w:rsid w:val="00D65927"/>
    <w:rsid w:val="00D65A1C"/>
    <w:rsid w:val="00D6600A"/>
    <w:rsid w:val="00D66087"/>
    <w:rsid w:val="00D661E4"/>
    <w:rsid w:val="00D66302"/>
    <w:rsid w:val="00D66410"/>
    <w:rsid w:val="00D6667B"/>
    <w:rsid w:val="00D66687"/>
    <w:rsid w:val="00D666CA"/>
    <w:rsid w:val="00D66917"/>
    <w:rsid w:val="00D66F4C"/>
    <w:rsid w:val="00D6719F"/>
    <w:rsid w:val="00D67592"/>
    <w:rsid w:val="00D675BA"/>
    <w:rsid w:val="00D6796A"/>
    <w:rsid w:val="00D67AAF"/>
    <w:rsid w:val="00D67AFF"/>
    <w:rsid w:val="00D67C33"/>
    <w:rsid w:val="00D67DA2"/>
    <w:rsid w:val="00D70044"/>
    <w:rsid w:val="00D7035A"/>
    <w:rsid w:val="00D70497"/>
    <w:rsid w:val="00D70503"/>
    <w:rsid w:val="00D70508"/>
    <w:rsid w:val="00D70537"/>
    <w:rsid w:val="00D7089C"/>
    <w:rsid w:val="00D708E7"/>
    <w:rsid w:val="00D70B11"/>
    <w:rsid w:val="00D70C9F"/>
    <w:rsid w:val="00D70CAD"/>
    <w:rsid w:val="00D70DD2"/>
    <w:rsid w:val="00D70DE4"/>
    <w:rsid w:val="00D70E98"/>
    <w:rsid w:val="00D70F75"/>
    <w:rsid w:val="00D71194"/>
    <w:rsid w:val="00D71400"/>
    <w:rsid w:val="00D714E0"/>
    <w:rsid w:val="00D715C7"/>
    <w:rsid w:val="00D715CD"/>
    <w:rsid w:val="00D715E2"/>
    <w:rsid w:val="00D7174E"/>
    <w:rsid w:val="00D71BED"/>
    <w:rsid w:val="00D71CCE"/>
    <w:rsid w:val="00D71CD2"/>
    <w:rsid w:val="00D72005"/>
    <w:rsid w:val="00D72072"/>
    <w:rsid w:val="00D724B8"/>
    <w:rsid w:val="00D72521"/>
    <w:rsid w:val="00D727B8"/>
    <w:rsid w:val="00D7280D"/>
    <w:rsid w:val="00D72964"/>
    <w:rsid w:val="00D7296B"/>
    <w:rsid w:val="00D72B07"/>
    <w:rsid w:val="00D72B5E"/>
    <w:rsid w:val="00D72DF1"/>
    <w:rsid w:val="00D72E38"/>
    <w:rsid w:val="00D72E74"/>
    <w:rsid w:val="00D735A4"/>
    <w:rsid w:val="00D73749"/>
    <w:rsid w:val="00D737F1"/>
    <w:rsid w:val="00D73B7D"/>
    <w:rsid w:val="00D73D09"/>
    <w:rsid w:val="00D73D16"/>
    <w:rsid w:val="00D73FAC"/>
    <w:rsid w:val="00D73FF9"/>
    <w:rsid w:val="00D74580"/>
    <w:rsid w:val="00D74A49"/>
    <w:rsid w:val="00D74B2C"/>
    <w:rsid w:val="00D75089"/>
    <w:rsid w:val="00D75318"/>
    <w:rsid w:val="00D7577E"/>
    <w:rsid w:val="00D75D19"/>
    <w:rsid w:val="00D75D2F"/>
    <w:rsid w:val="00D76000"/>
    <w:rsid w:val="00D76296"/>
    <w:rsid w:val="00D76344"/>
    <w:rsid w:val="00D765C7"/>
    <w:rsid w:val="00D766C1"/>
    <w:rsid w:val="00D7690A"/>
    <w:rsid w:val="00D76D6A"/>
    <w:rsid w:val="00D7723A"/>
    <w:rsid w:val="00D77356"/>
    <w:rsid w:val="00D77358"/>
    <w:rsid w:val="00D776C6"/>
    <w:rsid w:val="00D7779C"/>
    <w:rsid w:val="00D77B52"/>
    <w:rsid w:val="00D77D2B"/>
    <w:rsid w:val="00D801DA"/>
    <w:rsid w:val="00D8045C"/>
    <w:rsid w:val="00D80460"/>
    <w:rsid w:val="00D805EC"/>
    <w:rsid w:val="00D809C3"/>
    <w:rsid w:val="00D80CDA"/>
    <w:rsid w:val="00D81043"/>
    <w:rsid w:val="00D8123A"/>
    <w:rsid w:val="00D81568"/>
    <w:rsid w:val="00D81748"/>
    <w:rsid w:val="00D8175A"/>
    <w:rsid w:val="00D818F3"/>
    <w:rsid w:val="00D81B2B"/>
    <w:rsid w:val="00D81C2A"/>
    <w:rsid w:val="00D81D03"/>
    <w:rsid w:val="00D81E1E"/>
    <w:rsid w:val="00D8204B"/>
    <w:rsid w:val="00D820AB"/>
    <w:rsid w:val="00D822D6"/>
    <w:rsid w:val="00D8266F"/>
    <w:rsid w:val="00D826EE"/>
    <w:rsid w:val="00D82838"/>
    <w:rsid w:val="00D82860"/>
    <w:rsid w:val="00D8293E"/>
    <w:rsid w:val="00D82C36"/>
    <w:rsid w:val="00D82D12"/>
    <w:rsid w:val="00D82DA0"/>
    <w:rsid w:val="00D835B3"/>
    <w:rsid w:val="00D83633"/>
    <w:rsid w:val="00D8366C"/>
    <w:rsid w:val="00D836FA"/>
    <w:rsid w:val="00D83714"/>
    <w:rsid w:val="00D837C8"/>
    <w:rsid w:val="00D83CE3"/>
    <w:rsid w:val="00D84111"/>
    <w:rsid w:val="00D8441F"/>
    <w:rsid w:val="00D8474A"/>
    <w:rsid w:val="00D84767"/>
    <w:rsid w:val="00D849FE"/>
    <w:rsid w:val="00D84B6C"/>
    <w:rsid w:val="00D84BB3"/>
    <w:rsid w:val="00D84C87"/>
    <w:rsid w:val="00D84C92"/>
    <w:rsid w:val="00D84E54"/>
    <w:rsid w:val="00D84F7F"/>
    <w:rsid w:val="00D859E2"/>
    <w:rsid w:val="00D859F3"/>
    <w:rsid w:val="00D85A44"/>
    <w:rsid w:val="00D85B93"/>
    <w:rsid w:val="00D85BE2"/>
    <w:rsid w:val="00D85C66"/>
    <w:rsid w:val="00D85F31"/>
    <w:rsid w:val="00D85F82"/>
    <w:rsid w:val="00D86157"/>
    <w:rsid w:val="00D86402"/>
    <w:rsid w:val="00D86416"/>
    <w:rsid w:val="00D864E3"/>
    <w:rsid w:val="00D867FC"/>
    <w:rsid w:val="00D86A61"/>
    <w:rsid w:val="00D86ECD"/>
    <w:rsid w:val="00D86FD2"/>
    <w:rsid w:val="00D8711F"/>
    <w:rsid w:val="00D87173"/>
    <w:rsid w:val="00D8728A"/>
    <w:rsid w:val="00D873C9"/>
    <w:rsid w:val="00D87441"/>
    <w:rsid w:val="00D8777E"/>
    <w:rsid w:val="00D877CC"/>
    <w:rsid w:val="00D87833"/>
    <w:rsid w:val="00D87874"/>
    <w:rsid w:val="00D8793A"/>
    <w:rsid w:val="00D87C5E"/>
    <w:rsid w:val="00D87E65"/>
    <w:rsid w:val="00D900D3"/>
    <w:rsid w:val="00D90100"/>
    <w:rsid w:val="00D90144"/>
    <w:rsid w:val="00D9035D"/>
    <w:rsid w:val="00D903B0"/>
    <w:rsid w:val="00D903E8"/>
    <w:rsid w:val="00D9077A"/>
    <w:rsid w:val="00D90CD3"/>
    <w:rsid w:val="00D90D1F"/>
    <w:rsid w:val="00D91052"/>
    <w:rsid w:val="00D9107C"/>
    <w:rsid w:val="00D91240"/>
    <w:rsid w:val="00D912C3"/>
    <w:rsid w:val="00D9149F"/>
    <w:rsid w:val="00D914E6"/>
    <w:rsid w:val="00D91535"/>
    <w:rsid w:val="00D915BF"/>
    <w:rsid w:val="00D91848"/>
    <w:rsid w:val="00D918CF"/>
    <w:rsid w:val="00D91C77"/>
    <w:rsid w:val="00D91CDF"/>
    <w:rsid w:val="00D92123"/>
    <w:rsid w:val="00D921AB"/>
    <w:rsid w:val="00D922B3"/>
    <w:rsid w:val="00D92335"/>
    <w:rsid w:val="00D929DD"/>
    <w:rsid w:val="00D92A80"/>
    <w:rsid w:val="00D92A97"/>
    <w:rsid w:val="00D92BD5"/>
    <w:rsid w:val="00D92C12"/>
    <w:rsid w:val="00D93488"/>
    <w:rsid w:val="00D93511"/>
    <w:rsid w:val="00D9370D"/>
    <w:rsid w:val="00D93937"/>
    <w:rsid w:val="00D93A1A"/>
    <w:rsid w:val="00D93AFA"/>
    <w:rsid w:val="00D93D75"/>
    <w:rsid w:val="00D93E5C"/>
    <w:rsid w:val="00D93F04"/>
    <w:rsid w:val="00D9438F"/>
    <w:rsid w:val="00D945AC"/>
    <w:rsid w:val="00D949B1"/>
    <w:rsid w:val="00D94E41"/>
    <w:rsid w:val="00D94EE7"/>
    <w:rsid w:val="00D94F1A"/>
    <w:rsid w:val="00D9513B"/>
    <w:rsid w:val="00D95394"/>
    <w:rsid w:val="00D95512"/>
    <w:rsid w:val="00D95638"/>
    <w:rsid w:val="00D95661"/>
    <w:rsid w:val="00D95892"/>
    <w:rsid w:val="00D95D26"/>
    <w:rsid w:val="00D95E9E"/>
    <w:rsid w:val="00D96017"/>
    <w:rsid w:val="00D96035"/>
    <w:rsid w:val="00D960BE"/>
    <w:rsid w:val="00D9615C"/>
    <w:rsid w:val="00D961D9"/>
    <w:rsid w:val="00D9627C"/>
    <w:rsid w:val="00D963FB"/>
    <w:rsid w:val="00D9641C"/>
    <w:rsid w:val="00D96716"/>
    <w:rsid w:val="00D96D01"/>
    <w:rsid w:val="00D96D3F"/>
    <w:rsid w:val="00D96E64"/>
    <w:rsid w:val="00D96F4D"/>
    <w:rsid w:val="00D970E7"/>
    <w:rsid w:val="00D970E8"/>
    <w:rsid w:val="00D972B3"/>
    <w:rsid w:val="00D977D4"/>
    <w:rsid w:val="00D97803"/>
    <w:rsid w:val="00D97908"/>
    <w:rsid w:val="00DA012C"/>
    <w:rsid w:val="00DA01E5"/>
    <w:rsid w:val="00DA032B"/>
    <w:rsid w:val="00DA0456"/>
    <w:rsid w:val="00DA05A4"/>
    <w:rsid w:val="00DA0653"/>
    <w:rsid w:val="00DA06C4"/>
    <w:rsid w:val="00DA07FC"/>
    <w:rsid w:val="00DA0A11"/>
    <w:rsid w:val="00DA0C3C"/>
    <w:rsid w:val="00DA0C90"/>
    <w:rsid w:val="00DA12FD"/>
    <w:rsid w:val="00DA1398"/>
    <w:rsid w:val="00DA1734"/>
    <w:rsid w:val="00DA17E3"/>
    <w:rsid w:val="00DA1DE8"/>
    <w:rsid w:val="00DA1E29"/>
    <w:rsid w:val="00DA1F52"/>
    <w:rsid w:val="00DA25CB"/>
    <w:rsid w:val="00DA27F4"/>
    <w:rsid w:val="00DA2B69"/>
    <w:rsid w:val="00DA2BDA"/>
    <w:rsid w:val="00DA3058"/>
    <w:rsid w:val="00DA33B7"/>
    <w:rsid w:val="00DA352B"/>
    <w:rsid w:val="00DA3BF8"/>
    <w:rsid w:val="00DA3C65"/>
    <w:rsid w:val="00DA3E60"/>
    <w:rsid w:val="00DA403A"/>
    <w:rsid w:val="00DA459E"/>
    <w:rsid w:val="00DA48B4"/>
    <w:rsid w:val="00DA4BF4"/>
    <w:rsid w:val="00DA4DF8"/>
    <w:rsid w:val="00DA523B"/>
    <w:rsid w:val="00DA52C9"/>
    <w:rsid w:val="00DA5595"/>
    <w:rsid w:val="00DA55BB"/>
    <w:rsid w:val="00DA5737"/>
    <w:rsid w:val="00DA59C2"/>
    <w:rsid w:val="00DA59E8"/>
    <w:rsid w:val="00DA5E65"/>
    <w:rsid w:val="00DA5EBC"/>
    <w:rsid w:val="00DA5F1F"/>
    <w:rsid w:val="00DA6138"/>
    <w:rsid w:val="00DA61DD"/>
    <w:rsid w:val="00DA627F"/>
    <w:rsid w:val="00DA62AF"/>
    <w:rsid w:val="00DA6318"/>
    <w:rsid w:val="00DA649D"/>
    <w:rsid w:val="00DA69ED"/>
    <w:rsid w:val="00DA6BC4"/>
    <w:rsid w:val="00DA6D66"/>
    <w:rsid w:val="00DA73EE"/>
    <w:rsid w:val="00DA76CF"/>
    <w:rsid w:val="00DA771C"/>
    <w:rsid w:val="00DA7889"/>
    <w:rsid w:val="00DA7962"/>
    <w:rsid w:val="00DA7BFC"/>
    <w:rsid w:val="00DA7F31"/>
    <w:rsid w:val="00DB0091"/>
    <w:rsid w:val="00DB01A4"/>
    <w:rsid w:val="00DB0683"/>
    <w:rsid w:val="00DB07B8"/>
    <w:rsid w:val="00DB0D4F"/>
    <w:rsid w:val="00DB0D97"/>
    <w:rsid w:val="00DB0DAB"/>
    <w:rsid w:val="00DB0E69"/>
    <w:rsid w:val="00DB100A"/>
    <w:rsid w:val="00DB1065"/>
    <w:rsid w:val="00DB128D"/>
    <w:rsid w:val="00DB16F2"/>
    <w:rsid w:val="00DB17EB"/>
    <w:rsid w:val="00DB1838"/>
    <w:rsid w:val="00DB199D"/>
    <w:rsid w:val="00DB1BAD"/>
    <w:rsid w:val="00DB2188"/>
    <w:rsid w:val="00DB2640"/>
    <w:rsid w:val="00DB2846"/>
    <w:rsid w:val="00DB2B6C"/>
    <w:rsid w:val="00DB2C2B"/>
    <w:rsid w:val="00DB36EA"/>
    <w:rsid w:val="00DB3790"/>
    <w:rsid w:val="00DB37F3"/>
    <w:rsid w:val="00DB3A7E"/>
    <w:rsid w:val="00DB3CA0"/>
    <w:rsid w:val="00DB3E52"/>
    <w:rsid w:val="00DB4100"/>
    <w:rsid w:val="00DB4104"/>
    <w:rsid w:val="00DB41B1"/>
    <w:rsid w:val="00DB42ED"/>
    <w:rsid w:val="00DB443A"/>
    <w:rsid w:val="00DB4BB0"/>
    <w:rsid w:val="00DB505C"/>
    <w:rsid w:val="00DB519B"/>
    <w:rsid w:val="00DB54B5"/>
    <w:rsid w:val="00DB5F97"/>
    <w:rsid w:val="00DB634D"/>
    <w:rsid w:val="00DB64BA"/>
    <w:rsid w:val="00DB65EF"/>
    <w:rsid w:val="00DB69BA"/>
    <w:rsid w:val="00DB6B0A"/>
    <w:rsid w:val="00DB6BBF"/>
    <w:rsid w:val="00DB6C00"/>
    <w:rsid w:val="00DB7064"/>
    <w:rsid w:val="00DB72A5"/>
    <w:rsid w:val="00DB73A6"/>
    <w:rsid w:val="00DB780C"/>
    <w:rsid w:val="00DB789D"/>
    <w:rsid w:val="00DB7977"/>
    <w:rsid w:val="00DB7A9D"/>
    <w:rsid w:val="00DB7B6D"/>
    <w:rsid w:val="00DB7D19"/>
    <w:rsid w:val="00DB7E02"/>
    <w:rsid w:val="00DB7F14"/>
    <w:rsid w:val="00DB7F65"/>
    <w:rsid w:val="00DC0142"/>
    <w:rsid w:val="00DC09B2"/>
    <w:rsid w:val="00DC09BB"/>
    <w:rsid w:val="00DC09E0"/>
    <w:rsid w:val="00DC0A3C"/>
    <w:rsid w:val="00DC0D77"/>
    <w:rsid w:val="00DC0DA9"/>
    <w:rsid w:val="00DC0E62"/>
    <w:rsid w:val="00DC0FA1"/>
    <w:rsid w:val="00DC12BD"/>
    <w:rsid w:val="00DC1302"/>
    <w:rsid w:val="00DC1743"/>
    <w:rsid w:val="00DC183C"/>
    <w:rsid w:val="00DC1929"/>
    <w:rsid w:val="00DC1EA5"/>
    <w:rsid w:val="00DC1F16"/>
    <w:rsid w:val="00DC22A2"/>
    <w:rsid w:val="00DC2376"/>
    <w:rsid w:val="00DC23A6"/>
    <w:rsid w:val="00DC24A7"/>
    <w:rsid w:val="00DC255F"/>
    <w:rsid w:val="00DC265A"/>
    <w:rsid w:val="00DC2710"/>
    <w:rsid w:val="00DC273B"/>
    <w:rsid w:val="00DC28EA"/>
    <w:rsid w:val="00DC2C3A"/>
    <w:rsid w:val="00DC2D0E"/>
    <w:rsid w:val="00DC2E00"/>
    <w:rsid w:val="00DC2E6E"/>
    <w:rsid w:val="00DC2F35"/>
    <w:rsid w:val="00DC31EF"/>
    <w:rsid w:val="00DC3338"/>
    <w:rsid w:val="00DC3370"/>
    <w:rsid w:val="00DC33D5"/>
    <w:rsid w:val="00DC362B"/>
    <w:rsid w:val="00DC398F"/>
    <w:rsid w:val="00DC3EC0"/>
    <w:rsid w:val="00DC3F30"/>
    <w:rsid w:val="00DC4468"/>
    <w:rsid w:val="00DC4773"/>
    <w:rsid w:val="00DC4AD7"/>
    <w:rsid w:val="00DC4CC9"/>
    <w:rsid w:val="00DC4DBE"/>
    <w:rsid w:val="00DC5159"/>
    <w:rsid w:val="00DC51E7"/>
    <w:rsid w:val="00DC52B9"/>
    <w:rsid w:val="00DC5385"/>
    <w:rsid w:val="00DC5403"/>
    <w:rsid w:val="00DC59C3"/>
    <w:rsid w:val="00DC6008"/>
    <w:rsid w:val="00DC6280"/>
    <w:rsid w:val="00DC6337"/>
    <w:rsid w:val="00DC6569"/>
    <w:rsid w:val="00DC664C"/>
    <w:rsid w:val="00DC66C1"/>
    <w:rsid w:val="00DC6B39"/>
    <w:rsid w:val="00DC6BA1"/>
    <w:rsid w:val="00DC6C19"/>
    <w:rsid w:val="00DC6CD4"/>
    <w:rsid w:val="00DC6DB3"/>
    <w:rsid w:val="00DC6DB8"/>
    <w:rsid w:val="00DC6F32"/>
    <w:rsid w:val="00DC73E7"/>
    <w:rsid w:val="00DC7662"/>
    <w:rsid w:val="00DC7746"/>
    <w:rsid w:val="00DC7823"/>
    <w:rsid w:val="00DD06B4"/>
    <w:rsid w:val="00DD0C37"/>
    <w:rsid w:val="00DD14C0"/>
    <w:rsid w:val="00DD1622"/>
    <w:rsid w:val="00DD1851"/>
    <w:rsid w:val="00DD1AA1"/>
    <w:rsid w:val="00DD1DA5"/>
    <w:rsid w:val="00DD1EED"/>
    <w:rsid w:val="00DD2365"/>
    <w:rsid w:val="00DD2409"/>
    <w:rsid w:val="00DD2A3B"/>
    <w:rsid w:val="00DD2B86"/>
    <w:rsid w:val="00DD3049"/>
    <w:rsid w:val="00DD304A"/>
    <w:rsid w:val="00DD30CC"/>
    <w:rsid w:val="00DD30D5"/>
    <w:rsid w:val="00DD323A"/>
    <w:rsid w:val="00DD32E1"/>
    <w:rsid w:val="00DD3548"/>
    <w:rsid w:val="00DD373C"/>
    <w:rsid w:val="00DD4109"/>
    <w:rsid w:val="00DD411C"/>
    <w:rsid w:val="00DD46B3"/>
    <w:rsid w:val="00DD46CD"/>
    <w:rsid w:val="00DD470C"/>
    <w:rsid w:val="00DD47C0"/>
    <w:rsid w:val="00DD4AB8"/>
    <w:rsid w:val="00DD4B48"/>
    <w:rsid w:val="00DD4DDA"/>
    <w:rsid w:val="00DD4E6F"/>
    <w:rsid w:val="00DD4F15"/>
    <w:rsid w:val="00DD544A"/>
    <w:rsid w:val="00DD5624"/>
    <w:rsid w:val="00DD570E"/>
    <w:rsid w:val="00DD5714"/>
    <w:rsid w:val="00DD5723"/>
    <w:rsid w:val="00DD57E3"/>
    <w:rsid w:val="00DD5A43"/>
    <w:rsid w:val="00DD5B55"/>
    <w:rsid w:val="00DD5D0C"/>
    <w:rsid w:val="00DD5DD0"/>
    <w:rsid w:val="00DD5EFC"/>
    <w:rsid w:val="00DD609C"/>
    <w:rsid w:val="00DD624A"/>
    <w:rsid w:val="00DD679B"/>
    <w:rsid w:val="00DD6A6A"/>
    <w:rsid w:val="00DD6A83"/>
    <w:rsid w:val="00DD6CD5"/>
    <w:rsid w:val="00DD6F3E"/>
    <w:rsid w:val="00DD758D"/>
    <w:rsid w:val="00DD7736"/>
    <w:rsid w:val="00DD7812"/>
    <w:rsid w:val="00DD7BA9"/>
    <w:rsid w:val="00DD7D62"/>
    <w:rsid w:val="00DD7F53"/>
    <w:rsid w:val="00DD87AD"/>
    <w:rsid w:val="00DE009A"/>
    <w:rsid w:val="00DE0135"/>
    <w:rsid w:val="00DE01E3"/>
    <w:rsid w:val="00DE024F"/>
    <w:rsid w:val="00DE06B8"/>
    <w:rsid w:val="00DE06BF"/>
    <w:rsid w:val="00DE0857"/>
    <w:rsid w:val="00DE08C9"/>
    <w:rsid w:val="00DE0A43"/>
    <w:rsid w:val="00DE0CA7"/>
    <w:rsid w:val="00DE0D27"/>
    <w:rsid w:val="00DE0F6A"/>
    <w:rsid w:val="00DE1073"/>
    <w:rsid w:val="00DE10D5"/>
    <w:rsid w:val="00DE1666"/>
    <w:rsid w:val="00DE16F4"/>
    <w:rsid w:val="00DE188B"/>
    <w:rsid w:val="00DE1B53"/>
    <w:rsid w:val="00DE1F52"/>
    <w:rsid w:val="00DE2370"/>
    <w:rsid w:val="00DE253C"/>
    <w:rsid w:val="00DE2735"/>
    <w:rsid w:val="00DE28EA"/>
    <w:rsid w:val="00DE2A59"/>
    <w:rsid w:val="00DE2D84"/>
    <w:rsid w:val="00DE30E2"/>
    <w:rsid w:val="00DE3112"/>
    <w:rsid w:val="00DE3156"/>
    <w:rsid w:val="00DE3158"/>
    <w:rsid w:val="00DE34F1"/>
    <w:rsid w:val="00DE3642"/>
    <w:rsid w:val="00DE3930"/>
    <w:rsid w:val="00DE3A9A"/>
    <w:rsid w:val="00DE3B40"/>
    <w:rsid w:val="00DE3B57"/>
    <w:rsid w:val="00DE3DC4"/>
    <w:rsid w:val="00DE3E29"/>
    <w:rsid w:val="00DE3EDE"/>
    <w:rsid w:val="00DE40FF"/>
    <w:rsid w:val="00DE4113"/>
    <w:rsid w:val="00DE4393"/>
    <w:rsid w:val="00DE445C"/>
    <w:rsid w:val="00DE447A"/>
    <w:rsid w:val="00DE4C95"/>
    <w:rsid w:val="00DE501A"/>
    <w:rsid w:val="00DE5368"/>
    <w:rsid w:val="00DE5455"/>
    <w:rsid w:val="00DE553A"/>
    <w:rsid w:val="00DE561A"/>
    <w:rsid w:val="00DE56BA"/>
    <w:rsid w:val="00DE5771"/>
    <w:rsid w:val="00DE5DB0"/>
    <w:rsid w:val="00DE5E00"/>
    <w:rsid w:val="00DE6098"/>
    <w:rsid w:val="00DE634A"/>
    <w:rsid w:val="00DE6421"/>
    <w:rsid w:val="00DE64E8"/>
    <w:rsid w:val="00DE64FF"/>
    <w:rsid w:val="00DE65FC"/>
    <w:rsid w:val="00DE6CD0"/>
    <w:rsid w:val="00DE6D98"/>
    <w:rsid w:val="00DE6F28"/>
    <w:rsid w:val="00DE706B"/>
    <w:rsid w:val="00DE7155"/>
    <w:rsid w:val="00DE723E"/>
    <w:rsid w:val="00DE73D5"/>
    <w:rsid w:val="00DE73FE"/>
    <w:rsid w:val="00DE7435"/>
    <w:rsid w:val="00DE74A7"/>
    <w:rsid w:val="00DE752B"/>
    <w:rsid w:val="00DE7DFD"/>
    <w:rsid w:val="00DE7EAE"/>
    <w:rsid w:val="00DF0156"/>
    <w:rsid w:val="00DF0683"/>
    <w:rsid w:val="00DF0689"/>
    <w:rsid w:val="00DF07A2"/>
    <w:rsid w:val="00DF09E6"/>
    <w:rsid w:val="00DF0C46"/>
    <w:rsid w:val="00DF0D52"/>
    <w:rsid w:val="00DF0DD2"/>
    <w:rsid w:val="00DF0E37"/>
    <w:rsid w:val="00DF0EF8"/>
    <w:rsid w:val="00DF0F10"/>
    <w:rsid w:val="00DF0F93"/>
    <w:rsid w:val="00DF1238"/>
    <w:rsid w:val="00DF1638"/>
    <w:rsid w:val="00DF16C0"/>
    <w:rsid w:val="00DF1831"/>
    <w:rsid w:val="00DF1A90"/>
    <w:rsid w:val="00DF1B56"/>
    <w:rsid w:val="00DF1BF1"/>
    <w:rsid w:val="00DF1C6B"/>
    <w:rsid w:val="00DF1E66"/>
    <w:rsid w:val="00DF1EBF"/>
    <w:rsid w:val="00DF1F68"/>
    <w:rsid w:val="00DF21CC"/>
    <w:rsid w:val="00DF2319"/>
    <w:rsid w:val="00DF245F"/>
    <w:rsid w:val="00DF249D"/>
    <w:rsid w:val="00DF24FE"/>
    <w:rsid w:val="00DF2801"/>
    <w:rsid w:val="00DF28A4"/>
    <w:rsid w:val="00DF2A2F"/>
    <w:rsid w:val="00DF2D1A"/>
    <w:rsid w:val="00DF2D46"/>
    <w:rsid w:val="00DF2E1C"/>
    <w:rsid w:val="00DF2F0F"/>
    <w:rsid w:val="00DF32F4"/>
    <w:rsid w:val="00DF3359"/>
    <w:rsid w:val="00DF35D9"/>
    <w:rsid w:val="00DF3A42"/>
    <w:rsid w:val="00DF3B71"/>
    <w:rsid w:val="00DF3C26"/>
    <w:rsid w:val="00DF3DF9"/>
    <w:rsid w:val="00DF3F6A"/>
    <w:rsid w:val="00DF3F86"/>
    <w:rsid w:val="00DF4508"/>
    <w:rsid w:val="00DF4A07"/>
    <w:rsid w:val="00DF4B49"/>
    <w:rsid w:val="00DF5018"/>
    <w:rsid w:val="00DF5294"/>
    <w:rsid w:val="00DF52C0"/>
    <w:rsid w:val="00DF548B"/>
    <w:rsid w:val="00DF54B8"/>
    <w:rsid w:val="00DF54CD"/>
    <w:rsid w:val="00DF56B8"/>
    <w:rsid w:val="00DF5831"/>
    <w:rsid w:val="00DF585F"/>
    <w:rsid w:val="00DF5A54"/>
    <w:rsid w:val="00DF5B1C"/>
    <w:rsid w:val="00DF5C36"/>
    <w:rsid w:val="00DF5D50"/>
    <w:rsid w:val="00DF5F97"/>
    <w:rsid w:val="00DF5FD4"/>
    <w:rsid w:val="00DF62A6"/>
    <w:rsid w:val="00DF6438"/>
    <w:rsid w:val="00DF70B6"/>
    <w:rsid w:val="00DF70CC"/>
    <w:rsid w:val="00DF7610"/>
    <w:rsid w:val="00DF7641"/>
    <w:rsid w:val="00DF766A"/>
    <w:rsid w:val="00DF7797"/>
    <w:rsid w:val="00DF77A9"/>
    <w:rsid w:val="00DF786E"/>
    <w:rsid w:val="00DF7A76"/>
    <w:rsid w:val="00DF7A83"/>
    <w:rsid w:val="00DF7EF9"/>
    <w:rsid w:val="00DF7F4B"/>
    <w:rsid w:val="00E001B6"/>
    <w:rsid w:val="00E006C0"/>
    <w:rsid w:val="00E00DDD"/>
    <w:rsid w:val="00E00F01"/>
    <w:rsid w:val="00E01222"/>
    <w:rsid w:val="00E01294"/>
    <w:rsid w:val="00E013CB"/>
    <w:rsid w:val="00E01465"/>
    <w:rsid w:val="00E018E4"/>
    <w:rsid w:val="00E0192A"/>
    <w:rsid w:val="00E01D22"/>
    <w:rsid w:val="00E01EB2"/>
    <w:rsid w:val="00E0220C"/>
    <w:rsid w:val="00E02476"/>
    <w:rsid w:val="00E02681"/>
    <w:rsid w:val="00E02A2C"/>
    <w:rsid w:val="00E02E38"/>
    <w:rsid w:val="00E03251"/>
    <w:rsid w:val="00E03280"/>
    <w:rsid w:val="00E035E7"/>
    <w:rsid w:val="00E036D9"/>
    <w:rsid w:val="00E03CE1"/>
    <w:rsid w:val="00E03EBE"/>
    <w:rsid w:val="00E04061"/>
    <w:rsid w:val="00E0416F"/>
    <w:rsid w:val="00E041E4"/>
    <w:rsid w:val="00E04246"/>
    <w:rsid w:val="00E04329"/>
    <w:rsid w:val="00E04D02"/>
    <w:rsid w:val="00E04E6B"/>
    <w:rsid w:val="00E04EE1"/>
    <w:rsid w:val="00E05029"/>
    <w:rsid w:val="00E05321"/>
    <w:rsid w:val="00E056E9"/>
    <w:rsid w:val="00E05A99"/>
    <w:rsid w:val="00E05AA8"/>
    <w:rsid w:val="00E05B09"/>
    <w:rsid w:val="00E05D21"/>
    <w:rsid w:val="00E05FBC"/>
    <w:rsid w:val="00E067DC"/>
    <w:rsid w:val="00E069A2"/>
    <w:rsid w:val="00E06E03"/>
    <w:rsid w:val="00E06F30"/>
    <w:rsid w:val="00E07338"/>
    <w:rsid w:val="00E0740B"/>
    <w:rsid w:val="00E078CB"/>
    <w:rsid w:val="00E0797D"/>
    <w:rsid w:val="00E07C7F"/>
    <w:rsid w:val="00E07F55"/>
    <w:rsid w:val="00E1016D"/>
    <w:rsid w:val="00E10340"/>
    <w:rsid w:val="00E104F1"/>
    <w:rsid w:val="00E10534"/>
    <w:rsid w:val="00E10814"/>
    <w:rsid w:val="00E10947"/>
    <w:rsid w:val="00E1094E"/>
    <w:rsid w:val="00E10AF2"/>
    <w:rsid w:val="00E10B7D"/>
    <w:rsid w:val="00E10C24"/>
    <w:rsid w:val="00E1108B"/>
    <w:rsid w:val="00E11143"/>
    <w:rsid w:val="00E1131C"/>
    <w:rsid w:val="00E1154B"/>
    <w:rsid w:val="00E1172D"/>
    <w:rsid w:val="00E119B2"/>
    <w:rsid w:val="00E11B39"/>
    <w:rsid w:val="00E11D00"/>
    <w:rsid w:val="00E12015"/>
    <w:rsid w:val="00E1225E"/>
    <w:rsid w:val="00E12630"/>
    <w:rsid w:val="00E1298A"/>
    <w:rsid w:val="00E12E49"/>
    <w:rsid w:val="00E13043"/>
    <w:rsid w:val="00E131F2"/>
    <w:rsid w:val="00E13A1A"/>
    <w:rsid w:val="00E13AF5"/>
    <w:rsid w:val="00E13D16"/>
    <w:rsid w:val="00E13E95"/>
    <w:rsid w:val="00E13F2B"/>
    <w:rsid w:val="00E13F5A"/>
    <w:rsid w:val="00E13FB6"/>
    <w:rsid w:val="00E14547"/>
    <w:rsid w:val="00E145CB"/>
    <w:rsid w:val="00E14648"/>
    <w:rsid w:val="00E147EC"/>
    <w:rsid w:val="00E14B22"/>
    <w:rsid w:val="00E14B6B"/>
    <w:rsid w:val="00E155B2"/>
    <w:rsid w:val="00E15648"/>
    <w:rsid w:val="00E15896"/>
    <w:rsid w:val="00E1589E"/>
    <w:rsid w:val="00E15A65"/>
    <w:rsid w:val="00E16002"/>
    <w:rsid w:val="00E161F8"/>
    <w:rsid w:val="00E164A6"/>
    <w:rsid w:val="00E16770"/>
    <w:rsid w:val="00E16C7E"/>
    <w:rsid w:val="00E16E44"/>
    <w:rsid w:val="00E16FBA"/>
    <w:rsid w:val="00E17053"/>
    <w:rsid w:val="00E17207"/>
    <w:rsid w:val="00E1723D"/>
    <w:rsid w:val="00E172A9"/>
    <w:rsid w:val="00E173DA"/>
    <w:rsid w:val="00E175EF"/>
    <w:rsid w:val="00E17865"/>
    <w:rsid w:val="00E1790F"/>
    <w:rsid w:val="00E17C11"/>
    <w:rsid w:val="00E20200"/>
    <w:rsid w:val="00E20648"/>
    <w:rsid w:val="00E20686"/>
    <w:rsid w:val="00E20705"/>
    <w:rsid w:val="00E20723"/>
    <w:rsid w:val="00E20958"/>
    <w:rsid w:val="00E20DAA"/>
    <w:rsid w:val="00E21006"/>
    <w:rsid w:val="00E211C0"/>
    <w:rsid w:val="00E212BD"/>
    <w:rsid w:val="00E219F4"/>
    <w:rsid w:val="00E21A78"/>
    <w:rsid w:val="00E222AF"/>
    <w:rsid w:val="00E22317"/>
    <w:rsid w:val="00E2240C"/>
    <w:rsid w:val="00E2267B"/>
    <w:rsid w:val="00E227EA"/>
    <w:rsid w:val="00E228D6"/>
    <w:rsid w:val="00E22A9B"/>
    <w:rsid w:val="00E22B6F"/>
    <w:rsid w:val="00E23426"/>
    <w:rsid w:val="00E23660"/>
    <w:rsid w:val="00E236E3"/>
    <w:rsid w:val="00E2379E"/>
    <w:rsid w:val="00E23AD0"/>
    <w:rsid w:val="00E23E1A"/>
    <w:rsid w:val="00E23E49"/>
    <w:rsid w:val="00E23F8C"/>
    <w:rsid w:val="00E2404E"/>
    <w:rsid w:val="00E240C2"/>
    <w:rsid w:val="00E240EC"/>
    <w:rsid w:val="00E242C6"/>
    <w:rsid w:val="00E24389"/>
    <w:rsid w:val="00E244D5"/>
    <w:rsid w:val="00E246BA"/>
    <w:rsid w:val="00E249AB"/>
    <w:rsid w:val="00E24B56"/>
    <w:rsid w:val="00E24F76"/>
    <w:rsid w:val="00E24FE5"/>
    <w:rsid w:val="00E252B0"/>
    <w:rsid w:val="00E2590A"/>
    <w:rsid w:val="00E25B72"/>
    <w:rsid w:val="00E2617D"/>
    <w:rsid w:val="00E26199"/>
    <w:rsid w:val="00E264A6"/>
    <w:rsid w:val="00E266F1"/>
    <w:rsid w:val="00E26CB6"/>
    <w:rsid w:val="00E2741F"/>
    <w:rsid w:val="00E2761D"/>
    <w:rsid w:val="00E27664"/>
    <w:rsid w:val="00E2789F"/>
    <w:rsid w:val="00E27C0E"/>
    <w:rsid w:val="00E27C0F"/>
    <w:rsid w:val="00E27F0D"/>
    <w:rsid w:val="00E300F5"/>
    <w:rsid w:val="00E302A4"/>
    <w:rsid w:val="00E302E6"/>
    <w:rsid w:val="00E30586"/>
    <w:rsid w:val="00E30F67"/>
    <w:rsid w:val="00E31326"/>
    <w:rsid w:val="00E31517"/>
    <w:rsid w:val="00E3163E"/>
    <w:rsid w:val="00E31677"/>
    <w:rsid w:val="00E31A1E"/>
    <w:rsid w:val="00E31B9C"/>
    <w:rsid w:val="00E31BDE"/>
    <w:rsid w:val="00E31E24"/>
    <w:rsid w:val="00E3206B"/>
    <w:rsid w:val="00E322C3"/>
    <w:rsid w:val="00E32406"/>
    <w:rsid w:val="00E32454"/>
    <w:rsid w:val="00E32783"/>
    <w:rsid w:val="00E327A8"/>
    <w:rsid w:val="00E32870"/>
    <w:rsid w:val="00E32A11"/>
    <w:rsid w:val="00E32B08"/>
    <w:rsid w:val="00E32C18"/>
    <w:rsid w:val="00E32DB7"/>
    <w:rsid w:val="00E3310E"/>
    <w:rsid w:val="00E33231"/>
    <w:rsid w:val="00E33693"/>
    <w:rsid w:val="00E3375C"/>
    <w:rsid w:val="00E337D0"/>
    <w:rsid w:val="00E3396B"/>
    <w:rsid w:val="00E33BFD"/>
    <w:rsid w:val="00E34139"/>
    <w:rsid w:val="00E34465"/>
    <w:rsid w:val="00E34484"/>
    <w:rsid w:val="00E3456F"/>
    <w:rsid w:val="00E3468F"/>
    <w:rsid w:val="00E347C2"/>
    <w:rsid w:val="00E34815"/>
    <w:rsid w:val="00E348D0"/>
    <w:rsid w:val="00E34AE4"/>
    <w:rsid w:val="00E34C7A"/>
    <w:rsid w:val="00E34EDF"/>
    <w:rsid w:val="00E34F53"/>
    <w:rsid w:val="00E3503C"/>
    <w:rsid w:val="00E35260"/>
    <w:rsid w:val="00E35458"/>
    <w:rsid w:val="00E358BE"/>
    <w:rsid w:val="00E35E69"/>
    <w:rsid w:val="00E36373"/>
    <w:rsid w:val="00E36402"/>
    <w:rsid w:val="00E365B4"/>
    <w:rsid w:val="00E36655"/>
    <w:rsid w:val="00E36782"/>
    <w:rsid w:val="00E3678E"/>
    <w:rsid w:val="00E36796"/>
    <w:rsid w:val="00E3683E"/>
    <w:rsid w:val="00E36A5D"/>
    <w:rsid w:val="00E36B8A"/>
    <w:rsid w:val="00E36C82"/>
    <w:rsid w:val="00E36D41"/>
    <w:rsid w:val="00E370E7"/>
    <w:rsid w:val="00E372B7"/>
    <w:rsid w:val="00E37424"/>
    <w:rsid w:val="00E37454"/>
    <w:rsid w:val="00E374C1"/>
    <w:rsid w:val="00E37A65"/>
    <w:rsid w:val="00E37AA6"/>
    <w:rsid w:val="00E37C25"/>
    <w:rsid w:val="00E37C53"/>
    <w:rsid w:val="00E37CC1"/>
    <w:rsid w:val="00E37D09"/>
    <w:rsid w:val="00E37DD8"/>
    <w:rsid w:val="00E37DDD"/>
    <w:rsid w:val="00E40139"/>
    <w:rsid w:val="00E4026C"/>
    <w:rsid w:val="00E40370"/>
    <w:rsid w:val="00E403FF"/>
    <w:rsid w:val="00E4045E"/>
    <w:rsid w:val="00E40541"/>
    <w:rsid w:val="00E40632"/>
    <w:rsid w:val="00E40791"/>
    <w:rsid w:val="00E407B1"/>
    <w:rsid w:val="00E40892"/>
    <w:rsid w:val="00E40C8D"/>
    <w:rsid w:val="00E40E3E"/>
    <w:rsid w:val="00E40F28"/>
    <w:rsid w:val="00E4157F"/>
    <w:rsid w:val="00E4169E"/>
    <w:rsid w:val="00E41B16"/>
    <w:rsid w:val="00E42186"/>
    <w:rsid w:val="00E4226F"/>
    <w:rsid w:val="00E4257E"/>
    <w:rsid w:val="00E426E4"/>
    <w:rsid w:val="00E4279F"/>
    <w:rsid w:val="00E42940"/>
    <w:rsid w:val="00E42B3F"/>
    <w:rsid w:val="00E42BC3"/>
    <w:rsid w:val="00E42D19"/>
    <w:rsid w:val="00E42EFF"/>
    <w:rsid w:val="00E42F35"/>
    <w:rsid w:val="00E43869"/>
    <w:rsid w:val="00E43A55"/>
    <w:rsid w:val="00E43E78"/>
    <w:rsid w:val="00E43E7F"/>
    <w:rsid w:val="00E43F33"/>
    <w:rsid w:val="00E440AF"/>
    <w:rsid w:val="00E4435E"/>
    <w:rsid w:val="00E443DE"/>
    <w:rsid w:val="00E44433"/>
    <w:rsid w:val="00E44435"/>
    <w:rsid w:val="00E44532"/>
    <w:rsid w:val="00E445A5"/>
    <w:rsid w:val="00E44868"/>
    <w:rsid w:val="00E44C0B"/>
    <w:rsid w:val="00E45031"/>
    <w:rsid w:val="00E450BD"/>
    <w:rsid w:val="00E45180"/>
    <w:rsid w:val="00E45305"/>
    <w:rsid w:val="00E4541D"/>
    <w:rsid w:val="00E455AE"/>
    <w:rsid w:val="00E456FC"/>
    <w:rsid w:val="00E4584E"/>
    <w:rsid w:val="00E458EF"/>
    <w:rsid w:val="00E459C7"/>
    <w:rsid w:val="00E45AC7"/>
    <w:rsid w:val="00E45B44"/>
    <w:rsid w:val="00E45B9D"/>
    <w:rsid w:val="00E45E7E"/>
    <w:rsid w:val="00E46210"/>
    <w:rsid w:val="00E4658C"/>
    <w:rsid w:val="00E46851"/>
    <w:rsid w:val="00E46A12"/>
    <w:rsid w:val="00E46AC9"/>
    <w:rsid w:val="00E46B70"/>
    <w:rsid w:val="00E46BF0"/>
    <w:rsid w:val="00E46E2A"/>
    <w:rsid w:val="00E473A7"/>
    <w:rsid w:val="00E47426"/>
    <w:rsid w:val="00E474A0"/>
    <w:rsid w:val="00E4757A"/>
    <w:rsid w:val="00E475D6"/>
    <w:rsid w:val="00E47796"/>
    <w:rsid w:val="00E47A04"/>
    <w:rsid w:val="00E47B33"/>
    <w:rsid w:val="00E47B6D"/>
    <w:rsid w:val="00E502A6"/>
    <w:rsid w:val="00E503EB"/>
    <w:rsid w:val="00E508AC"/>
    <w:rsid w:val="00E5093F"/>
    <w:rsid w:val="00E50A23"/>
    <w:rsid w:val="00E50BAC"/>
    <w:rsid w:val="00E50C72"/>
    <w:rsid w:val="00E50E87"/>
    <w:rsid w:val="00E5110D"/>
    <w:rsid w:val="00E5135E"/>
    <w:rsid w:val="00E51612"/>
    <w:rsid w:val="00E5177B"/>
    <w:rsid w:val="00E51C89"/>
    <w:rsid w:val="00E51DC4"/>
    <w:rsid w:val="00E51EED"/>
    <w:rsid w:val="00E52022"/>
    <w:rsid w:val="00E52458"/>
    <w:rsid w:val="00E52863"/>
    <w:rsid w:val="00E52AB2"/>
    <w:rsid w:val="00E52CBA"/>
    <w:rsid w:val="00E52ED7"/>
    <w:rsid w:val="00E52F32"/>
    <w:rsid w:val="00E530F8"/>
    <w:rsid w:val="00E531CC"/>
    <w:rsid w:val="00E5329A"/>
    <w:rsid w:val="00E53407"/>
    <w:rsid w:val="00E5359E"/>
    <w:rsid w:val="00E535A3"/>
    <w:rsid w:val="00E53DB6"/>
    <w:rsid w:val="00E53E47"/>
    <w:rsid w:val="00E53E7D"/>
    <w:rsid w:val="00E53F2E"/>
    <w:rsid w:val="00E53FC5"/>
    <w:rsid w:val="00E5408E"/>
    <w:rsid w:val="00E541E7"/>
    <w:rsid w:val="00E5421A"/>
    <w:rsid w:val="00E5441C"/>
    <w:rsid w:val="00E54908"/>
    <w:rsid w:val="00E54A80"/>
    <w:rsid w:val="00E54ACA"/>
    <w:rsid w:val="00E54AD6"/>
    <w:rsid w:val="00E54BE0"/>
    <w:rsid w:val="00E54C20"/>
    <w:rsid w:val="00E54DEA"/>
    <w:rsid w:val="00E54FB3"/>
    <w:rsid w:val="00E55239"/>
    <w:rsid w:val="00E552E3"/>
    <w:rsid w:val="00E55557"/>
    <w:rsid w:val="00E555A4"/>
    <w:rsid w:val="00E55684"/>
    <w:rsid w:val="00E556F2"/>
    <w:rsid w:val="00E557AA"/>
    <w:rsid w:val="00E557E8"/>
    <w:rsid w:val="00E55904"/>
    <w:rsid w:val="00E55E72"/>
    <w:rsid w:val="00E55E91"/>
    <w:rsid w:val="00E56398"/>
    <w:rsid w:val="00E5642B"/>
    <w:rsid w:val="00E56506"/>
    <w:rsid w:val="00E5665E"/>
    <w:rsid w:val="00E569A8"/>
    <w:rsid w:val="00E569BD"/>
    <w:rsid w:val="00E56EF0"/>
    <w:rsid w:val="00E56F0A"/>
    <w:rsid w:val="00E56FC0"/>
    <w:rsid w:val="00E570B2"/>
    <w:rsid w:val="00E570D7"/>
    <w:rsid w:val="00E570DB"/>
    <w:rsid w:val="00E57416"/>
    <w:rsid w:val="00E5745B"/>
    <w:rsid w:val="00E574B9"/>
    <w:rsid w:val="00E57504"/>
    <w:rsid w:val="00E57521"/>
    <w:rsid w:val="00E5767A"/>
    <w:rsid w:val="00E5786A"/>
    <w:rsid w:val="00E57924"/>
    <w:rsid w:val="00E57CBE"/>
    <w:rsid w:val="00E57EBA"/>
    <w:rsid w:val="00E60005"/>
    <w:rsid w:val="00E6014D"/>
    <w:rsid w:val="00E602B5"/>
    <w:rsid w:val="00E6034E"/>
    <w:rsid w:val="00E60616"/>
    <w:rsid w:val="00E609D1"/>
    <w:rsid w:val="00E60B27"/>
    <w:rsid w:val="00E60EA2"/>
    <w:rsid w:val="00E61129"/>
    <w:rsid w:val="00E61511"/>
    <w:rsid w:val="00E6157A"/>
    <w:rsid w:val="00E615AA"/>
    <w:rsid w:val="00E61F33"/>
    <w:rsid w:val="00E62124"/>
    <w:rsid w:val="00E621BB"/>
    <w:rsid w:val="00E6238A"/>
    <w:rsid w:val="00E6247B"/>
    <w:rsid w:val="00E625A7"/>
    <w:rsid w:val="00E6264E"/>
    <w:rsid w:val="00E62765"/>
    <w:rsid w:val="00E628DC"/>
    <w:rsid w:val="00E629E9"/>
    <w:rsid w:val="00E62CB6"/>
    <w:rsid w:val="00E631B0"/>
    <w:rsid w:val="00E63446"/>
    <w:rsid w:val="00E6346D"/>
    <w:rsid w:val="00E634E2"/>
    <w:rsid w:val="00E637F7"/>
    <w:rsid w:val="00E6389D"/>
    <w:rsid w:val="00E63BB9"/>
    <w:rsid w:val="00E63FD9"/>
    <w:rsid w:val="00E64002"/>
    <w:rsid w:val="00E64122"/>
    <w:rsid w:val="00E6430C"/>
    <w:rsid w:val="00E6449F"/>
    <w:rsid w:val="00E64539"/>
    <w:rsid w:val="00E645C1"/>
    <w:rsid w:val="00E64C5D"/>
    <w:rsid w:val="00E652AB"/>
    <w:rsid w:val="00E652BA"/>
    <w:rsid w:val="00E653A8"/>
    <w:rsid w:val="00E654A8"/>
    <w:rsid w:val="00E65946"/>
    <w:rsid w:val="00E65970"/>
    <w:rsid w:val="00E65B7D"/>
    <w:rsid w:val="00E66131"/>
    <w:rsid w:val="00E6619C"/>
    <w:rsid w:val="00E66227"/>
    <w:rsid w:val="00E6626B"/>
    <w:rsid w:val="00E6640B"/>
    <w:rsid w:val="00E66568"/>
    <w:rsid w:val="00E6657F"/>
    <w:rsid w:val="00E665DA"/>
    <w:rsid w:val="00E66614"/>
    <w:rsid w:val="00E666F7"/>
    <w:rsid w:val="00E66924"/>
    <w:rsid w:val="00E669EE"/>
    <w:rsid w:val="00E66A9C"/>
    <w:rsid w:val="00E66B12"/>
    <w:rsid w:val="00E67272"/>
    <w:rsid w:val="00E67330"/>
    <w:rsid w:val="00E67533"/>
    <w:rsid w:val="00E675D5"/>
    <w:rsid w:val="00E678DA"/>
    <w:rsid w:val="00E67974"/>
    <w:rsid w:val="00E67A76"/>
    <w:rsid w:val="00E67C5A"/>
    <w:rsid w:val="00E67C7E"/>
    <w:rsid w:val="00E70069"/>
    <w:rsid w:val="00E70084"/>
    <w:rsid w:val="00E700DA"/>
    <w:rsid w:val="00E7040E"/>
    <w:rsid w:val="00E7063A"/>
    <w:rsid w:val="00E70677"/>
    <w:rsid w:val="00E7091A"/>
    <w:rsid w:val="00E70AA0"/>
    <w:rsid w:val="00E70DD5"/>
    <w:rsid w:val="00E70ECF"/>
    <w:rsid w:val="00E70EE9"/>
    <w:rsid w:val="00E70FD3"/>
    <w:rsid w:val="00E71223"/>
    <w:rsid w:val="00E71330"/>
    <w:rsid w:val="00E7136D"/>
    <w:rsid w:val="00E715B1"/>
    <w:rsid w:val="00E716A2"/>
    <w:rsid w:val="00E7176C"/>
    <w:rsid w:val="00E719A8"/>
    <w:rsid w:val="00E719FC"/>
    <w:rsid w:val="00E71CEB"/>
    <w:rsid w:val="00E71EE2"/>
    <w:rsid w:val="00E722DC"/>
    <w:rsid w:val="00E724FD"/>
    <w:rsid w:val="00E7263F"/>
    <w:rsid w:val="00E72756"/>
    <w:rsid w:val="00E7278A"/>
    <w:rsid w:val="00E72A87"/>
    <w:rsid w:val="00E72B7B"/>
    <w:rsid w:val="00E730C5"/>
    <w:rsid w:val="00E733A3"/>
    <w:rsid w:val="00E7355D"/>
    <w:rsid w:val="00E7370C"/>
    <w:rsid w:val="00E7398B"/>
    <w:rsid w:val="00E73A56"/>
    <w:rsid w:val="00E73A65"/>
    <w:rsid w:val="00E73AD2"/>
    <w:rsid w:val="00E73D52"/>
    <w:rsid w:val="00E74154"/>
    <w:rsid w:val="00E744A3"/>
    <w:rsid w:val="00E7472E"/>
    <w:rsid w:val="00E74B72"/>
    <w:rsid w:val="00E751C7"/>
    <w:rsid w:val="00E75229"/>
    <w:rsid w:val="00E75476"/>
    <w:rsid w:val="00E75565"/>
    <w:rsid w:val="00E755FF"/>
    <w:rsid w:val="00E75788"/>
    <w:rsid w:val="00E75A89"/>
    <w:rsid w:val="00E75C8E"/>
    <w:rsid w:val="00E75DB7"/>
    <w:rsid w:val="00E760DB"/>
    <w:rsid w:val="00E76201"/>
    <w:rsid w:val="00E76270"/>
    <w:rsid w:val="00E762F9"/>
    <w:rsid w:val="00E763BC"/>
    <w:rsid w:val="00E764E0"/>
    <w:rsid w:val="00E765E6"/>
    <w:rsid w:val="00E7675A"/>
    <w:rsid w:val="00E768E6"/>
    <w:rsid w:val="00E76923"/>
    <w:rsid w:val="00E76A74"/>
    <w:rsid w:val="00E76C1B"/>
    <w:rsid w:val="00E77514"/>
    <w:rsid w:val="00E7761B"/>
    <w:rsid w:val="00E7779C"/>
    <w:rsid w:val="00E77A92"/>
    <w:rsid w:val="00E77BB1"/>
    <w:rsid w:val="00E80035"/>
    <w:rsid w:val="00E800F2"/>
    <w:rsid w:val="00E801C3"/>
    <w:rsid w:val="00E80727"/>
    <w:rsid w:val="00E80768"/>
    <w:rsid w:val="00E809E1"/>
    <w:rsid w:val="00E80A38"/>
    <w:rsid w:val="00E80E93"/>
    <w:rsid w:val="00E80F80"/>
    <w:rsid w:val="00E81053"/>
    <w:rsid w:val="00E81284"/>
    <w:rsid w:val="00E8134B"/>
    <w:rsid w:val="00E813F8"/>
    <w:rsid w:val="00E81465"/>
    <w:rsid w:val="00E815EC"/>
    <w:rsid w:val="00E816DC"/>
    <w:rsid w:val="00E8198B"/>
    <w:rsid w:val="00E81C9D"/>
    <w:rsid w:val="00E81DEC"/>
    <w:rsid w:val="00E81E5C"/>
    <w:rsid w:val="00E8209C"/>
    <w:rsid w:val="00E82134"/>
    <w:rsid w:val="00E82260"/>
    <w:rsid w:val="00E822F7"/>
    <w:rsid w:val="00E8238E"/>
    <w:rsid w:val="00E8245A"/>
    <w:rsid w:val="00E8269B"/>
    <w:rsid w:val="00E826C2"/>
    <w:rsid w:val="00E82A2B"/>
    <w:rsid w:val="00E82AC2"/>
    <w:rsid w:val="00E82C85"/>
    <w:rsid w:val="00E82EFC"/>
    <w:rsid w:val="00E83325"/>
    <w:rsid w:val="00E833BB"/>
    <w:rsid w:val="00E833C9"/>
    <w:rsid w:val="00E83631"/>
    <w:rsid w:val="00E83A46"/>
    <w:rsid w:val="00E83AF0"/>
    <w:rsid w:val="00E84106"/>
    <w:rsid w:val="00E842C2"/>
    <w:rsid w:val="00E842E9"/>
    <w:rsid w:val="00E84368"/>
    <w:rsid w:val="00E8455F"/>
    <w:rsid w:val="00E84590"/>
    <w:rsid w:val="00E847E4"/>
    <w:rsid w:val="00E84BA0"/>
    <w:rsid w:val="00E84BB0"/>
    <w:rsid w:val="00E84EE5"/>
    <w:rsid w:val="00E85159"/>
    <w:rsid w:val="00E85170"/>
    <w:rsid w:val="00E851EF"/>
    <w:rsid w:val="00E854C9"/>
    <w:rsid w:val="00E857A1"/>
    <w:rsid w:val="00E85860"/>
    <w:rsid w:val="00E859C2"/>
    <w:rsid w:val="00E862D9"/>
    <w:rsid w:val="00E86479"/>
    <w:rsid w:val="00E8661F"/>
    <w:rsid w:val="00E86629"/>
    <w:rsid w:val="00E866CF"/>
    <w:rsid w:val="00E867E6"/>
    <w:rsid w:val="00E867EF"/>
    <w:rsid w:val="00E86953"/>
    <w:rsid w:val="00E86A05"/>
    <w:rsid w:val="00E86A49"/>
    <w:rsid w:val="00E86E74"/>
    <w:rsid w:val="00E86FE7"/>
    <w:rsid w:val="00E8728C"/>
    <w:rsid w:val="00E872DB"/>
    <w:rsid w:val="00E87551"/>
    <w:rsid w:val="00E875AA"/>
    <w:rsid w:val="00E875EE"/>
    <w:rsid w:val="00E879F4"/>
    <w:rsid w:val="00E87BE8"/>
    <w:rsid w:val="00E87EF8"/>
    <w:rsid w:val="00E87FBE"/>
    <w:rsid w:val="00E87FE2"/>
    <w:rsid w:val="00E90117"/>
    <w:rsid w:val="00E90194"/>
    <w:rsid w:val="00E90258"/>
    <w:rsid w:val="00E90343"/>
    <w:rsid w:val="00E90476"/>
    <w:rsid w:val="00E9049B"/>
    <w:rsid w:val="00E904CF"/>
    <w:rsid w:val="00E90C46"/>
    <w:rsid w:val="00E91053"/>
    <w:rsid w:val="00E91398"/>
    <w:rsid w:val="00E9139F"/>
    <w:rsid w:val="00E915CD"/>
    <w:rsid w:val="00E91844"/>
    <w:rsid w:val="00E91A32"/>
    <w:rsid w:val="00E91D35"/>
    <w:rsid w:val="00E91E10"/>
    <w:rsid w:val="00E91E7E"/>
    <w:rsid w:val="00E92285"/>
    <w:rsid w:val="00E924D4"/>
    <w:rsid w:val="00E92625"/>
    <w:rsid w:val="00E92ABA"/>
    <w:rsid w:val="00E92B30"/>
    <w:rsid w:val="00E92B39"/>
    <w:rsid w:val="00E92BFC"/>
    <w:rsid w:val="00E92D12"/>
    <w:rsid w:val="00E92E2D"/>
    <w:rsid w:val="00E92F0A"/>
    <w:rsid w:val="00E92FA7"/>
    <w:rsid w:val="00E93083"/>
    <w:rsid w:val="00E930FA"/>
    <w:rsid w:val="00E93202"/>
    <w:rsid w:val="00E9325D"/>
    <w:rsid w:val="00E9341E"/>
    <w:rsid w:val="00E9373C"/>
    <w:rsid w:val="00E93994"/>
    <w:rsid w:val="00E939AE"/>
    <w:rsid w:val="00E93B0E"/>
    <w:rsid w:val="00E93E46"/>
    <w:rsid w:val="00E9440D"/>
    <w:rsid w:val="00E94592"/>
    <w:rsid w:val="00E9482C"/>
    <w:rsid w:val="00E94A9A"/>
    <w:rsid w:val="00E94C8E"/>
    <w:rsid w:val="00E94D09"/>
    <w:rsid w:val="00E94D19"/>
    <w:rsid w:val="00E94D9C"/>
    <w:rsid w:val="00E95334"/>
    <w:rsid w:val="00E95411"/>
    <w:rsid w:val="00E954DE"/>
    <w:rsid w:val="00E956D2"/>
    <w:rsid w:val="00E959A2"/>
    <w:rsid w:val="00E95B79"/>
    <w:rsid w:val="00E95C67"/>
    <w:rsid w:val="00E9655C"/>
    <w:rsid w:val="00E96866"/>
    <w:rsid w:val="00E96942"/>
    <w:rsid w:val="00E96B71"/>
    <w:rsid w:val="00E9709A"/>
    <w:rsid w:val="00E970B6"/>
    <w:rsid w:val="00E97349"/>
    <w:rsid w:val="00E97439"/>
    <w:rsid w:val="00E9746C"/>
    <w:rsid w:val="00E976DF"/>
    <w:rsid w:val="00E978A4"/>
    <w:rsid w:val="00E97E7B"/>
    <w:rsid w:val="00EA06CF"/>
    <w:rsid w:val="00EA0728"/>
    <w:rsid w:val="00EA099D"/>
    <w:rsid w:val="00EA0B00"/>
    <w:rsid w:val="00EA0C14"/>
    <w:rsid w:val="00EA0D94"/>
    <w:rsid w:val="00EA1147"/>
    <w:rsid w:val="00EA1350"/>
    <w:rsid w:val="00EA138D"/>
    <w:rsid w:val="00EA13CB"/>
    <w:rsid w:val="00EA1417"/>
    <w:rsid w:val="00EA1595"/>
    <w:rsid w:val="00EA17E4"/>
    <w:rsid w:val="00EA17F8"/>
    <w:rsid w:val="00EA1B1F"/>
    <w:rsid w:val="00EA1B29"/>
    <w:rsid w:val="00EA1EE3"/>
    <w:rsid w:val="00EA2796"/>
    <w:rsid w:val="00EA291C"/>
    <w:rsid w:val="00EA295E"/>
    <w:rsid w:val="00EA2B07"/>
    <w:rsid w:val="00EA2D16"/>
    <w:rsid w:val="00EA339E"/>
    <w:rsid w:val="00EA344A"/>
    <w:rsid w:val="00EA34D8"/>
    <w:rsid w:val="00EA36CD"/>
    <w:rsid w:val="00EA36D0"/>
    <w:rsid w:val="00EA3F5D"/>
    <w:rsid w:val="00EA44F6"/>
    <w:rsid w:val="00EA48D0"/>
    <w:rsid w:val="00EA4A97"/>
    <w:rsid w:val="00EA4CAB"/>
    <w:rsid w:val="00EA4D9D"/>
    <w:rsid w:val="00EA4F79"/>
    <w:rsid w:val="00EA52FD"/>
    <w:rsid w:val="00EA5461"/>
    <w:rsid w:val="00EA5552"/>
    <w:rsid w:val="00EA57B9"/>
    <w:rsid w:val="00EA57CA"/>
    <w:rsid w:val="00EA5815"/>
    <w:rsid w:val="00EA5875"/>
    <w:rsid w:val="00EA5997"/>
    <w:rsid w:val="00EA6277"/>
    <w:rsid w:val="00EA655D"/>
    <w:rsid w:val="00EA665C"/>
    <w:rsid w:val="00EA66E6"/>
    <w:rsid w:val="00EA69CA"/>
    <w:rsid w:val="00EA6A80"/>
    <w:rsid w:val="00EA6B4F"/>
    <w:rsid w:val="00EA6B73"/>
    <w:rsid w:val="00EA6DFC"/>
    <w:rsid w:val="00EA701D"/>
    <w:rsid w:val="00EA706B"/>
    <w:rsid w:val="00EA7447"/>
    <w:rsid w:val="00EA76FA"/>
    <w:rsid w:val="00EB0425"/>
    <w:rsid w:val="00EB057D"/>
    <w:rsid w:val="00EB083F"/>
    <w:rsid w:val="00EB09B8"/>
    <w:rsid w:val="00EB0CC6"/>
    <w:rsid w:val="00EB10E0"/>
    <w:rsid w:val="00EB1130"/>
    <w:rsid w:val="00EB133F"/>
    <w:rsid w:val="00EB18EA"/>
    <w:rsid w:val="00EB1A0D"/>
    <w:rsid w:val="00EB1C7B"/>
    <w:rsid w:val="00EB1C8B"/>
    <w:rsid w:val="00EB1C9A"/>
    <w:rsid w:val="00EB1D38"/>
    <w:rsid w:val="00EB20A2"/>
    <w:rsid w:val="00EB21D8"/>
    <w:rsid w:val="00EB22A4"/>
    <w:rsid w:val="00EB28AB"/>
    <w:rsid w:val="00EB295A"/>
    <w:rsid w:val="00EB2ED1"/>
    <w:rsid w:val="00EB2F31"/>
    <w:rsid w:val="00EB2FD1"/>
    <w:rsid w:val="00EB30BB"/>
    <w:rsid w:val="00EB3591"/>
    <w:rsid w:val="00EB360C"/>
    <w:rsid w:val="00EB3C8F"/>
    <w:rsid w:val="00EB3CA1"/>
    <w:rsid w:val="00EB3E72"/>
    <w:rsid w:val="00EB4118"/>
    <w:rsid w:val="00EB426B"/>
    <w:rsid w:val="00EB468E"/>
    <w:rsid w:val="00EB46AD"/>
    <w:rsid w:val="00EB46F3"/>
    <w:rsid w:val="00EB47B0"/>
    <w:rsid w:val="00EB4915"/>
    <w:rsid w:val="00EB4A0D"/>
    <w:rsid w:val="00EB4C43"/>
    <w:rsid w:val="00EB4E02"/>
    <w:rsid w:val="00EB4F9F"/>
    <w:rsid w:val="00EB5012"/>
    <w:rsid w:val="00EB522F"/>
    <w:rsid w:val="00EB5242"/>
    <w:rsid w:val="00EB5887"/>
    <w:rsid w:val="00EB5A55"/>
    <w:rsid w:val="00EB5AB0"/>
    <w:rsid w:val="00EB5CBA"/>
    <w:rsid w:val="00EB5D5D"/>
    <w:rsid w:val="00EB5E6D"/>
    <w:rsid w:val="00EB5FC3"/>
    <w:rsid w:val="00EB652D"/>
    <w:rsid w:val="00EB6579"/>
    <w:rsid w:val="00EB66BD"/>
    <w:rsid w:val="00EB6B4B"/>
    <w:rsid w:val="00EB71C6"/>
    <w:rsid w:val="00EB72D1"/>
    <w:rsid w:val="00EB7416"/>
    <w:rsid w:val="00EB741E"/>
    <w:rsid w:val="00EB743C"/>
    <w:rsid w:val="00EB764D"/>
    <w:rsid w:val="00EB799A"/>
    <w:rsid w:val="00EB7A9D"/>
    <w:rsid w:val="00EB7B63"/>
    <w:rsid w:val="00EB7D23"/>
    <w:rsid w:val="00EB7E0D"/>
    <w:rsid w:val="00EC019F"/>
    <w:rsid w:val="00EC0381"/>
    <w:rsid w:val="00EC04DA"/>
    <w:rsid w:val="00EC06D0"/>
    <w:rsid w:val="00EC0704"/>
    <w:rsid w:val="00EC097B"/>
    <w:rsid w:val="00EC0BDA"/>
    <w:rsid w:val="00EC0C74"/>
    <w:rsid w:val="00EC0DA1"/>
    <w:rsid w:val="00EC0E89"/>
    <w:rsid w:val="00EC1036"/>
    <w:rsid w:val="00EC13ED"/>
    <w:rsid w:val="00EC148F"/>
    <w:rsid w:val="00EC15AB"/>
    <w:rsid w:val="00EC19FD"/>
    <w:rsid w:val="00EC1D50"/>
    <w:rsid w:val="00EC1FBB"/>
    <w:rsid w:val="00EC268F"/>
    <w:rsid w:val="00EC2780"/>
    <w:rsid w:val="00EC2ABD"/>
    <w:rsid w:val="00EC2CB7"/>
    <w:rsid w:val="00EC2CF1"/>
    <w:rsid w:val="00EC2D9F"/>
    <w:rsid w:val="00EC300D"/>
    <w:rsid w:val="00EC3037"/>
    <w:rsid w:val="00EC30AF"/>
    <w:rsid w:val="00EC324E"/>
    <w:rsid w:val="00EC32A5"/>
    <w:rsid w:val="00EC3470"/>
    <w:rsid w:val="00EC377C"/>
    <w:rsid w:val="00EC3D4B"/>
    <w:rsid w:val="00EC3F24"/>
    <w:rsid w:val="00EC4278"/>
    <w:rsid w:val="00EC430C"/>
    <w:rsid w:val="00EC4390"/>
    <w:rsid w:val="00EC4491"/>
    <w:rsid w:val="00EC449C"/>
    <w:rsid w:val="00EC4758"/>
    <w:rsid w:val="00EC4CAE"/>
    <w:rsid w:val="00EC502D"/>
    <w:rsid w:val="00EC5373"/>
    <w:rsid w:val="00EC557D"/>
    <w:rsid w:val="00EC57D3"/>
    <w:rsid w:val="00EC585E"/>
    <w:rsid w:val="00EC5C6D"/>
    <w:rsid w:val="00EC5EB6"/>
    <w:rsid w:val="00EC5F17"/>
    <w:rsid w:val="00EC5FA7"/>
    <w:rsid w:val="00EC61D8"/>
    <w:rsid w:val="00EC6275"/>
    <w:rsid w:val="00EC64B1"/>
    <w:rsid w:val="00EC64C3"/>
    <w:rsid w:val="00EC668D"/>
    <w:rsid w:val="00EC6741"/>
    <w:rsid w:val="00EC6810"/>
    <w:rsid w:val="00EC698B"/>
    <w:rsid w:val="00EC6B3B"/>
    <w:rsid w:val="00EC6D16"/>
    <w:rsid w:val="00EC6DDD"/>
    <w:rsid w:val="00EC6E20"/>
    <w:rsid w:val="00EC7036"/>
    <w:rsid w:val="00EC7218"/>
    <w:rsid w:val="00EC7252"/>
    <w:rsid w:val="00EC757D"/>
    <w:rsid w:val="00EC76A0"/>
    <w:rsid w:val="00EC7AF1"/>
    <w:rsid w:val="00EC7CC7"/>
    <w:rsid w:val="00EC7E7E"/>
    <w:rsid w:val="00ED02BE"/>
    <w:rsid w:val="00ED047A"/>
    <w:rsid w:val="00ED0781"/>
    <w:rsid w:val="00ED07B4"/>
    <w:rsid w:val="00ED0A35"/>
    <w:rsid w:val="00ED0E2C"/>
    <w:rsid w:val="00ED0EF9"/>
    <w:rsid w:val="00ED1261"/>
    <w:rsid w:val="00ED13F4"/>
    <w:rsid w:val="00ED1746"/>
    <w:rsid w:val="00ED1765"/>
    <w:rsid w:val="00ED17E7"/>
    <w:rsid w:val="00ED180F"/>
    <w:rsid w:val="00ED1811"/>
    <w:rsid w:val="00ED1A16"/>
    <w:rsid w:val="00ED1C19"/>
    <w:rsid w:val="00ED1CD7"/>
    <w:rsid w:val="00ED1CF9"/>
    <w:rsid w:val="00ED1D92"/>
    <w:rsid w:val="00ED22A9"/>
    <w:rsid w:val="00ED22AA"/>
    <w:rsid w:val="00ED238C"/>
    <w:rsid w:val="00ED2504"/>
    <w:rsid w:val="00ED288F"/>
    <w:rsid w:val="00ED2991"/>
    <w:rsid w:val="00ED29A2"/>
    <w:rsid w:val="00ED309F"/>
    <w:rsid w:val="00ED3111"/>
    <w:rsid w:val="00ED3145"/>
    <w:rsid w:val="00ED31AE"/>
    <w:rsid w:val="00ED353D"/>
    <w:rsid w:val="00ED3698"/>
    <w:rsid w:val="00ED374C"/>
    <w:rsid w:val="00ED3989"/>
    <w:rsid w:val="00ED3CB5"/>
    <w:rsid w:val="00ED3E61"/>
    <w:rsid w:val="00ED4641"/>
    <w:rsid w:val="00ED4942"/>
    <w:rsid w:val="00ED497E"/>
    <w:rsid w:val="00ED4A6A"/>
    <w:rsid w:val="00ED4D64"/>
    <w:rsid w:val="00ED4FBE"/>
    <w:rsid w:val="00ED5042"/>
    <w:rsid w:val="00ED50A2"/>
    <w:rsid w:val="00ED50F3"/>
    <w:rsid w:val="00ED51EE"/>
    <w:rsid w:val="00ED53E0"/>
    <w:rsid w:val="00ED584C"/>
    <w:rsid w:val="00ED5BB3"/>
    <w:rsid w:val="00ED5BE1"/>
    <w:rsid w:val="00ED5F60"/>
    <w:rsid w:val="00ED6256"/>
    <w:rsid w:val="00ED62E3"/>
    <w:rsid w:val="00ED630B"/>
    <w:rsid w:val="00ED64AC"/>
    <w:rsid w:val="00ED66D2"/>
    <w:rsid w:val="00ED6902"/>
    <w:rsid w:val="00ED70FC"/>
    <w:rsid w:val="00ED7166"/>
    <w:rsid w:val="00ED72C4"/>
    <w:rsid w:val="00ED736B"/>
    <w:rsid w:val="00ED7391"/>
    <w:rsid w:val="00ED7509"/>
    <w:rsid w:val="00ED7997"/>
    <w:rsid w:val="00ED7CB5"/>
    <w:rsid w:val="00ED7D19"/>
    <w:rsid w:val="00ED7D51"/>
    <w:rsid w:val="00ED7DC7"/>
    <w:rsid w:val="00ED7E6D"/>
    <w:rsid w:val="00ED7EFD"/>
    <w:rsid w:val="00ED7F24"/>
    <w:rsid w:val="00ED7FE9"/>
    <w:rsid w:val="00EE0285"/>
    <w:rsid w:val="00EE07EF"/>
    <w:rsid w:val="00EE08F1"/>
    <w:rsid w:val="00EE0C4D"/>
    <w:rsid w:val="00EE0EEB"/>
    <w:rsid w:val="00EE134F"/>
    <w:rsid w:val="00EE162D"/>
    <w:rsid w:val="00EE1BEE"/>
    <w:rsid w:val="00EE1FC1"/>
    <w:rsid w:val="00EE206B"/>
    <w:rsid w:val="00EE214A"/>
    <w:rsid w:val="00EE2177"/>
    <w:rsid w:val="00EE22FF"/>
    <w:rsid w:val="00EE2852"/>
    <w:rsid w:val="00EE2981"/>
    <w:rsid w:val="00EE2AB2"/>
    <w:rsid w:val="00EE2B02"/>
    <w:rsid w:val="00EE2BAB"/>
    <w:rsid w:val="00EE36D5"/>
    <w:rsid w:val="00EE3852"/>
    <w:rsid w:val="00EE3A93"/>
    <w:rsid w:val="00EE3C81"/>
    <w:rsid w:val="00EE3E06"/>
    <w:rsid w:val="00EE3E5A"/>
    <w:rsid w:val="00EE40F5"/>
    <w:rsid w:val="00EE4230"/>
    <w:rsid w:val="00EE4741"/>
    <w:rsid w:val="00EE498D"/>
    <w:rsid w:val="00EE4A20"/>
    <w:rsid w:val="00EE4B97"/>
    <w:rsid w:val="00EE4BF0"/>
    <w:rsid w:val="00EE4BF3"/>
    <w:rsid w:val="00EE5014"/>
    <w:rsid w:val="00EE506D"/>
    <w:rsid w:val="00EE5248"/>
    <w:rsid w:val="00EE569B"/>
    <w:rsid w:val="00EE5903"/>
    <w:rsid w:val="00EE590F"/>
    <w:rsid w:val="00EE5AC9"/>
    <w:rsid w:val="00EE5BDE"/>
    <w:rsid w:val="00EE627A"/>
    <w:rsid w:val="00EE63C5"/>
    <w:rsid w:val="00EE6495"/>
    <w:rsid w:val="00EE65F2"/>
    <w:rsid w:val="00EE691A"/>
    <w:rsid w:val="00EE6E48"/>
    <w:rsid w:val="00EE6E8C"/>
    <w:rsid w:val="00EE6FDA"/>
    <w:rsid w:val="00EE7208"/>
    <w:rsid w:val="00EE74F3"/>
    <w:rsid w:val="00EE763A"/>
    <w:rsid w:val="00EE7721"/>
    <w:rsid w:val="00EE779C"/>
    <w:rsid w:val="00EE7965"/>
    <w:rsid w:val="00EE7A44"/>
    <w:rsid w:val="00EE7A6B"/>
    <w:rsid w:val="00EF0145"/>
    <w:rsid w:val="00EF034B"/>
    <w:rsid w:val="00EF03C8"/>
    <w:rsid w:val="00EF0B78"/>
    <w:rsid w:val="00EF0B80"/>
    <w:rsid w:val="00EF0D52"/>
    <w:rsid w:val="00EF0E7F"/>
    <w:rsid w:val="00EF0EBA"/>
    <w:rsid w:val="00EF0ECA"/>
    <w:rsid w:val="00EF1311"/>
    <w:rsid w:val="00EF1473"/>
    <w:rsid w:val="00EF1618"/>
    <w:rsid w:val="00EF2110"/>
    <w:rsid w:val="00EF22E4"/>
    <w:rsid w:val="00EF239C"/>
    <w:rsid w:val="00EF23ED"/>
    <w:rsid w:val="00EF24EF"/>
    <w:rsid w:val="00EF2AF9"/>
    <w:rsid w:val="00EF2B1D"/>
    <w:rsid w:val="00EF2C7E"/>
    <w:rsid w:val="00EF2E51"/>
    <w:rsid w:val="00EF3240"/>
    <w:rsid w:val="00EF3278"/>
    <w:rsid w:val="00EF3612"/>
    <w:rsid w:val="00EF36B5"/>
    <w:rsid w:val="00EF3B21"/>
    <w:rsid w:val="00EF3C8D"/>
    <w:rsid w:val="00EF3E8B"/>
    <w:rsid w:val="00EF4178"/>
    <w:rsid w:val="00EF4569"/>
    <w:rsid w:val="00EF4636"/>
    <w:rsid w:val="00EF4703"/>
    <w:rsid w:val="00EF47DE"/>
    <w:rsid w:val="00EF49E4"/>
    <w:rsid w:val="00EF4B56"/>
    <w:rsid w:val="00EF4B9F"/>
    <w:rsid w:val="00EF4FFA"/>
    <w:rsid w:val="00EF5234"/>
    <w:rsid w:val="00EF52DD"/>
    <w:rsid w:val="00EF531D"/>
    <w:rsid w:val="00EF54CA"/>
    <w:rsid w:val="00EF552C"/>
    <w:rsid w:val="00EF6136"/>
    <w:rsid w:val="00EF6192"/>
    <w:rsid w:val="00EF660B"/>
    <w:rsid w:val="00EF666F"/>
    <w:rsid w:val="00EF6736"/>
    <w:rsid w:val="00EF689B"/>
    <w:rsid w:val="00EF69D2"/>
    <w:rsid w:val="00EF6A2D"/>
    <w:rsid w:val="00EF6AC6"/>
    <w:rsid w:val="00EF6B01"/>
    <w:rsid w:val="00EF6D8D"/>
    <w:rsid w:val="00EF6F47"/>
    <w:rsid w:val="00EF70B7"/>
    <w:rsid w:val="00EF720A"/>
    <w:rsid w:val="00EF7446"/>
    <w:rsid w:val="00EF7BB3"/>
    <w:rsid w:val="00F00307"/>
    <w:rsid w:val="00F00412"/>
    <w:rsid w:val="00F0054F"/>
    <w:rsid w:val="00F00678"/>
    <w:rsid w:val="00F00699"/>
    <w:rsid w:val="00F00904"/>
    <w:rsid w:val="00F00F0E"/>
    <w:rsid w:val="00F0101F"/>
    <w:rsid w:val="00F0152D"/>
    <w:rsid w:val="00F015C7"/>
    <w:rsid w:val="00F0171F"/>
    <w:rsid w:val="00F01723"/>
    <w:rsid w:val="00F01848"/>
    <w:rsid w:val="00F0197A"/>
    <w:rsid w:val="00F01AC1"/>
    <w:rsid w:val="00F01EB0"/>
    <w:rsid w:val="00F01FA8"/>
    <w:rsid w:val="00F0269E"/>
    <w:rsid w:val="00F02B2A"/>
    <w:rsid w:val="00F030D5"/>
    <w:rsid w:val="00F0337E"/>
    <w:rsid w:val="00F03890"/>
    <w:rsid w:val="00F03E3E"/>
    <w:rsid w:val="00F03FF5"/>
    <w:rsid w:val="00F04121"/>
    <w:rsid w:val="00F042A6"/>
    <w:rsid w:val="00F042E1"/>
    <w:rsid w:val="00F04495"/>
    <w:rsid w:val="00F04819"/>
    <w:rsid w:val="00F0491D"/>
    <w:rsid w:val="00F049EC"/>
    <w:rsid w:val="00F04DEC"/>
    <w:rsid w:val="00F04EAE"/>
    <w:rsid w:val="00F04F1F"/>
    <w:rsid w:val="00F052DF"/>
    <w:rsid w:val="00F0542E"/>
    <w:rsid w:val="00F055F2"/>
    <w:rsid w:val="00F0568E"/>
    <w:rsid w:val="00F05EEF"/>
    <w:rsid w:val="00F05FA1"/>
    <w:rsid w:val="00F062A1"/>
    <w:rsid w:val="00F0645B"/>
    <w:rsid w:val="00F0647F"/>
    <w:rsid w:val="00F0662B"/>
    <w:rsid w:val="00F0687D"/>
    <w:rsid w:val="00F06B1D"/>
    <w:rsid w:val="00F06CCF"/>
    <w:rsid w:val="00F07560"/>
    <w:rsid w:val="00F076BF"/>
    <w:rsid w:val="00F07829"/>
    <w:rsid w:val="00F07962"/>
    <w:rsid w:val="00F07AE8"/>
    <w:rsid w:val="00F07C16"/>
    <w:rsid w:val="00F07C1C"/>
    <w:rsid w:val="00F07D62"/>
    <w:rsid w:val="00F07DA9"/>
    <w:rsid w:val="00F07EE1"/>
    <w:rsid w:val="00F1002E"/>
    <w:rsid w:val="00F100ED"/>
    <w:rsid w:val="00F1036B"/>
    <w:rsid w:val="00F10511"/>
    <w:rsid w:val="00F10A9A"/>
    <w:rsid w:val="00F10AE1"/>
    <w:rsid w:val="00F10BBD"/>
    <w:rsid w:val="00F10EAA"/>
    <w:rsid w:val="00F1120D"/>
    <w:rsid w:val="00F1131A"/>
    <w:rsid w:val="00F1159C"/>
    <w:rsid w:val="00F11CE9"/>
    <w:rsid w:val="00F11E33"/>
    <w:rsid w:val="00F121EC"/>
    <w:rsid w:val="00F1229F"/>
    <w:rsid w:val="00F12330"/>
    <w:rsid w:val="00F12502"/>
    <w:rsid w:val="00F12683"/>
    <w:rsid w:val="00F12782"/>
    <w:rsid w:val="00F12857"/>
    <w:rsid w:val="00F129D5"/>
    <w:rsid w:val="00F129DB"/>
    <w:rsid w:val="00F12ED0"/>
    <w:rsid w:val="00F13228"/>
    <w:rsid w:val="00F13657"/>
    <w:rsid w:val="00F13813"/>
    <w:rsid w:val="00F13898"/>
    <w:rsid w:val="00F13CFE"/>
    <w:rsid w:val="00F13D4F"/>
    <w:rsid w:val="00F13D60"/>
    <w:rsid w:val="00F14240"/>
    <w:rsid w:val="00F1448B"/>
    <w:rsid w:val="00F14510"/>
    <w:rsid w:val="00F145A6"/>
    <w:rsid w:val="00F14661"/>
    <w:rsid w:val="00F14F1E"/>
    <w:rsid w:val="00F151D0"/>
    <w:rsid w:val="00F15243"/>
    <w:rsid w:val="00F152B4"/>
    <w:rsid w:val="00F1546C"/>
    <w:rsid w:val="00F15514"/>
    <w:rsid w:val="00F155AF"/>
    <w:rsid w:val="00F155D0"/>
    <w:rsid w:val="00F1560C"/>
    <w:rsid w:val="00F15A50"/>
    <w:rsid w:val="00F15A89"/>
    <w:rsid w:val="00F15EF5"/>
    <w:rsid w:val="00F1650D"/>
    <w:rsid w:val="00F16824"/>
    <w:rsid w:val="00F16853"/>
    <w:rsid w:val="00F16921"/>
    <w:rsid w:val="00F16A9E"/>
    <w:rsid w:val="00F16C18"/>
    <w:rsid w:val="00F16C48"/>
    <w:rsid w:val="00F16D1A"/>
    <w:rsid w:val="00F16D78"/>
    <w:rsid w:val="00F17056"/>
    <w:rsid w:val="00F172A5"/>
    <w:rsid w:val="00F1733B"/>
    <w:rsid w:val="00F174D9"/>
    <w:rsid w:val="00F1751D"/>
    <w:rsid w:val="00F1759B"/>
    <w:rsid w:val="00F17A3F"/>
    <w:rsid w:val="00F17BC9"/>
    <w:rsid w:val="00F17D20"/>
    <w:rsid w:val="00F17F98"/>
    <w:rsid w:val="00F20362"/>
    <w:rsid w:val="00F207E0"/>
    <w:rsid w:val="00F207E5"/>
    <w:rsid w:val="00F20B64"/>
    <w:rsid w:val="00F20D42"/>
    <w:rsid w:val="00F20DF7"/>
    <w:rsid w:val="00F20EFB"/>
    <w:rsid w:val="00F21126"/>
    <w:rsid w:val="00F2135C"/>
    <w:rsid w:val="00F21CAB"/>
    <w:rsid w:val="00F21D91"/>
    <w:rsid w:val="00F21E45"/>
    <w:rsid w:val="00F21EE7"/>
    <w:rsid w:val="00F2206A"/>
    <w:rsid w:val="00F22249"/>
    <w:rsid w:val="00F22251"/>
    <w:rsid w:val="00F22313"/>
    <w:rsid w:val="00F2233A"/>
    <w:rsid w:val="00F2236D"/>
    <w:rsid w:val="00F22518"/>
    <w:rsid w:val="00F226A1"/>
    <w:rsid w:val="00F226D1"/>
    <w:rsid w:val="00F22702"/>
    <w:rsid w:val="00F22931"/>
    <w:rsid w:val="00F22C87"/>
    <w:rsid w:val="00F22CC2"/>
    <w:rsid w:val="00F22CC7"/>
    <w:rsid w:val="00F22CF3"/>
    <w:rsid w:val="00F22D39"/>
    <w:rsid w:val="00F234CC"/>
    <w:rsid w:val="00F2355C"/>
    <w:rsid w:val="00F237F6"/>
    <w:rsid w:val="00F23961"/>
    <w:rsid w:val="00F243B9"/>
    <w:rsid w:val="00F24412"/>
    <w:rsid w:val="00F24456"/>
    <w:rsid w:val="00F24A3C"/>
    <w:rsid w:val="00F24C57"/>
    <w:rsid w:val="00F24D39"/>
    <w:rsid w:val="00F24E21"/>
    <w:rsid w:val="00F24EB2"/>
    <w:rsid w:val="00F2503F"/>
    <w:rsid w:val="00F253BC"/>
    <w:rsid w:val="00F25B94"/>
    <w:rsid w:val="00F25DB6"/>
    <w:rsid w:val="00F26024"/>
    <w:rsid w:val="00F26151"/>
    <w:rsid w:val="00F26308"/>
    <w:rsid w:val="00F2687B"/>
    <w:rsid w:val="00F26A0E"/>
    <w:rsid w:val="00F26AB9"/>
    <w:rsid w:val="00F26B4B"/>
    <w:rsid w:val="00F26C91"/>
    <w:rsid w:val="00F26DFE"/>
    <w:rsid w:val="00F2706C"/>
    <w:rsid w:val="00F27251"/>
    <w:rsid w:val="00F274B0"/>
    <w:rsid w:val="00F2750A"/>
    <w:rsid w:val="00F2756D"/>
    <w:rsid w:val="00F27682"/>
    <w:rsid w:val="00F27945"/>
    <w:rsid w:val="00F27C5A"/>
    <w:rsid w:val="00F30020"/>
    <w:rsid w:val="00F30117"/>
    <w:rsid w:val="00F30372"/>
    <w:rsid w:val="00F3094A"/>
    <w:rsid w:val="00F30B54"/>
    <w:rsid w:val="00F316F0"/>
    <w:rsid w:val="00F31A22"/>
    <w:rsid w:val="00F31B9C"/>
    <w:rsid w:val="00F31F3F"/>
    <w:rsid w:val="00F31FEB"/>
    <w:rsid w:val="00F3209B"/>
    <w:rsid w:val="00F32203"/>
    <w:rsid w:val="00F322C7"/>
    <w:rsid w:val="00F324CB"/>
    <w:rsid w:val="00F3250D"/>
    <w:rsid w:val="00F326D3"/>
    <w:rsid w:val="00F32789"/>
    <w:rsid w:val="00F32888"/>
    <w:rsid w:val="00F328B3"/>
    <w:rsid w:val="00F32A3C"/>
    <w:rsid w:val="00F32AE8"/>
    <w:rsid w:val="00F32ED6"/>
    <w:rsid w:val="00F32F02"/>
    <w:rsid w:val="00F3313A"/>
    <w:rsid w:val="00F33805"/>
    <w:rsid w:val="00F338B2"/>
    <w:rsid w:val="00F339BA"/>
    <w:rsid w:val="00F33A3D"/>
    <w:rsid w:val="00F33C03"/>
    <w:rsid w:val="00F33E27"/>
    <w:rsid w:val="00F34311"/>
    <w:rsid w:val="00F34565"/>
    <w:rsid w:val="00F349E8"/>
    <w:rsid w:val="00F34B31"/>
    <w:rsid w:val="00F34DB5"/>
    <w:rsid w:val="00F34DF3"/>
    <w:rsid w:val="00F34E6B"/>
    <w:rsid w:val="00F34E87"/>
    <w:rsid w:val="00F353F0"/>
    <w:rsid w:val="00F3580E"/>
    <w:rsid w:val="00F35C61"/>
    <w:rsid w:val="00F35D14"/>
    <w:rsid w:val="00F35F90"/>
    <w:rsid w:val="00F36143"/>
    <w:rsid w:val="00F36331"/>
    <w:rsid w:val="00F36646"/>
    <w:rsid w:val="00F3676A"/>
    <w:rsid w:val="00F37055"/>
    <w:rsid w:val="00F370F1"/>
    <w:rsid w:val="00F3720C"/>
    <w:rsid w:val="00F37434"/>
    <w:rsid w:val="00F37448"/>
    <w:rsid w:val="00F376F5"/>
    <w:rsid w:val="00F377EC"/>
    <w:rsid w:val="00F37864"/>
    <w:rsid w:val="00F37884"/>
    <w:rsid w:val="00F37935"/>
    <w:rsid w:val="00F37A01"/>
    <w:rsid w:val="00F37D4C"/>
    <w:rsid w:val="00F37E41"/>
    <w:rsid w:val="00F37FAF"/>
    <w:rsid w:val="00F40074"/>
    <w:rsid w:val="00F400C6"/>
    <w:rsid w:val="00F40187"/>
    <w:rsid w:val="00F404DE"/>
    <w:rsid w:val="00F405A4"/>
    <w:rsid w:val="00F406E5"/>
    <w:rsid w:val="00F408D6"/>
    <w:rsid w:val="00F40BCA"/>
    <w:rsid w:val="00F40C2D"/>
    <w:rsid w:val="00F40E63"/>
    <w:rsid w:val="00F40FFE"/>
    <w:rsid w:val="00F41168"/>
    <w:rsid w:val="00F413AE"/>
    <w:rsid w:val="00F41693"/>
    <w:rsid w:val="00F41C8A"/>
    <w:rsid w:val="00F41E0F"/>
    <w:rsid w:val="00F41EA2"/>
    <w:rsid w:val="00F42055"/>
    <w:rsid w:val="00F42095"/>
    <w:rsid w:val="00F421DD"/>
    <w:rsid w:val="00F42483"/>
    <w:rsid w:val="00F4270E"/>
    <w:rsid w:val="00F42A17"/>
    <w:rsid w:val="00F42A71"/>
    <w:rsid w:val="00F42C28"/>
    <w:rsid w:val="00F430CA"/>
    <w:rsid w:val="00F431E8"/>
    <w:rsid w:val="00F4324A"/>
    <w:rsid w:val="00F432FC"/>
    <w:rsid w:val="00F43523"/>
    <w:rsid w:val="00F43F1C"/>
    <w:rsid w:val="00F44129"/>
    <w:rsid w:val="00F44247"/>
    <w:rsid w:val="00F44290"/>
    <w:rsid w:val="00F4445A"/>
    <w:rsid w:val="00F4445B"/>
    <w:rsid w:val="00F444FE"/>
    <w:rsid w:val="00F44BDF"/>
    <w:rsid w:val="00F44D6F"/>
    <w:rsid w:val="00F44DA3"/>
    <w:rsid w:val="00F44E49"/>
    <w:rsid w:val="00F45043"/>
    <w:rsid w:val="00F4521A"/>
    <w:rsid w:val="00F45825"/>
    <w:rsid w:val="00F45900"/>
    <w:rsid w:val="00F45B98"/>
    <w:rsid w:val="00F45C9A"/>
    <w:rsid w:val="00F45E82"/>
    <w:rsid w:val="00F45FC1"/>
    <w:rsid w:val="00F46127"/>
    <w:rsid w:val="00F46416"/>
    <w:rsid w:val="00F467A9"/>
    <w:rsid w:val="00F4691D"/>
    <w:rsid w:val="00F4699F"/>
    <w:rsid w:val="00F46A11"/>
    <w:rsid w:val="00F46A2D"/>
    <w:rsid w:val="00F46FCD"/>
    <w:rsid w:val="00F4730D"/>
    <w:rsid w:val="00F474DA"/>
    <w:rsid w:val="00F474F9"/>
    <w:rsid w:val="00F47528"/>
    <w:rsid w:val="00F4753B"/>
    <w:rsid w:val="00F4765B"/>
    <w:rsid w:val="00F477B7"/>
    <w:rsid w:val="00F479F8"/>
    <w:rsid w:val="00F47A5E"/>
    <w:rsid w:val="00F47CAC"/>
    <w:rsid w:val="00F47D46"/>
    <w:rsid w:val="00F47D63"/>
    <w:rsid w:val="00F47E75"/>
    <w:rsid w:val="00F50127"/>
    <w:rsid w:val="00F506DB"/>
    <w:rsid w:val="00F50C76"/>
    <w:rsid w:val="00F50CCF"/>
    <w:rsid w:val="00F511CC"/>
    <w:rsid w:val="00F512F7"/>
    <w:rsid w:val="00F51447"/>
    <w:rsid w:val="00F514B4"/>
    <w:rsid w:val="00F517A8"/>
    <w:rsid w:val="00F517E4"/>
    <w:rsid w:val="00F51A29"/>
    <w:rsid w:val="00F51AD3"/>
    <w:rsid w:val="00F51C65"/>
    <w:rsid w:val="00F51D32"/>
    <w:rsid w:val="00F51E3A"/>
    <w:rsid w:val="00F51E9A"/>
    <w:rsid w:val="00F51EE0"/>
    <w:rsid w:val="00F51EEA"/>
    <w:rsid w:val="00F5219E"/>
    <w:rsid w:val="00F522A0"/>
    <w:rsid w:val="00F522FD"/>
    <w:rsid w:val="00F52376"/>
    <w:rsid w:val="00F523F7"/>
    <w:rsid w:val="00F52545"/>
    <w:rsid w:val="00F52AA9"/>
    <w:rsid w:val="00F52C1F"/>
    <w:rsid w:val="00F52C4A"/>
    <w:rsid w:val="00F52C53"/>
    <w:rsid w:val="00F52C6D"/>
    <w:rsid w:val="00F52E46"/>
    <w:rsid w:val="00F52FAD"/>
    <w:rsid w:val="00F53186"/>
    <w:rsid w:val="00F53293"/>
    <w:rsid w:val="00F533B9"/>
    <w:rsid w:val="00F534E8"/>
    <w:rsid w:val="00F5351E"/>
    <w:rsid w:val="00F53788"/>
    <w:rsid w:val="00F53819"/>
    <w:rsid w:val="00F53B80"/>
    <w:rsid w:val="00F53BD4"/>
    <w:rsid w:val="00F53C24"/>
    <w:rsid w:val="00F53F66"/>
    <w:rsid w:val="00F54098"/>
    <w:rsid w:val="00F54207"/>
    <w:rsid w:val="00F5485C"/>
    <w:rsid w:val="00F54A32"/>
    <w:rsid w:val="00F54AC8"/>
    <w:rsid w:val="00F5519B"/>
    <w:rsid w:val="00F551C6"/>
    <w:rsid w:val="00F552E4"/>
    <w:rsid w:val="00F5549F"/>
    <w:rsid w:val="00F5568B"/>
    <w:rsid w:val="00F556BB"/>
    <w:rsid w:val="00F5576D"/>
    <w:rsid w:val="00F55781"/>
    <w:rsid w:val="00F55C2E"/>
    <w:rsid w:val="00F55F89"/>
    <w:rsid w:val="00F55FD8"/>
    <w:rsid w:val="00F56314"/>
    <w:rsid w:val="00F5642B"/>
    <w:rsid w:val="00F56432"/>
    <w:rsid w:val="00F5644B"/>
    <w:rsid w:val="00F5669F"/>
    <w:rsid w:val="00F566E0"/>
    <w:rsid w:val="00F56757"/>
    <w:rsid w:val="00F5685E"/>
    <w:rsid w:val="00F56D6F"/>
    <w:rsid w:val="00F5714B"/>
    <w:rsid w:val="00F57271"/>
    <w:rsid w:val="00F572A6"/>
    <w:rsid w:val="00F573E3"/>
    <w:rsid w:val="00F57596"/>
    <w:rsid w:val="00F575A2"/>
    <w:rsid w:val="00F57675"/>
    <w:rsid w:val="00F57DFC"/>
    <w:rsid w:val="00F57F2E"/>
    <w:rsid w:val="00F57F4A"/>
    <w:rsid w:val="00F6008C"/>
    <w:rsid w:val="00F609A7"/>
    <w:rsid w:val="00F60D44"/>
    <w:rsid w:val="00F60F82"/>
    <w:rsid w:val="00F61137"/>
    <w:rsid w:val="00F61560"/>
    <w:rsid w:val="00F6165C"/>
    <w:rsid w:val="00F6177B"/>
    <w:rsid w:val="00F61785"/>
    <w:rsid w:val="00F618FD"/>
    <w:rsid w:val="00F61BEB"/>
    <w:rsid w:val="00F61E38"/>
    <w:rsid w:val="00F621DB"/>
    <w:rsid w:val="00F62318"/>
    <w:rsid w:val="00F625F2"/>
    <w:rsid w:val="00F625F5"/>
    <w:rsid w:val="00F6271A"/>
    <w:rsid w:val="00F6290B"/>
    <w:rsid w:val="00F6299A"/>
    <w:rsid w:val="00F62D1D"/>
    <w:rsid w:val="00F630C9"/>
    <w:rsid w:val="00F630EB"/>
    <w:rsid w:val="00F63845"/>
    <w:rsid w:val="00F638F6"/>
    <w:rsid w:val="00F63C07"/>
    <w:rsid w:val="00F63F33"/>
    <w:rsid w:val="00F63FC2"/>
    <w:rsid w:val="00F6415F"/>
    <w:rsid w:val="00F64259"/>
    <w:rsid w:val="00F642D0"/>
    <w:rsid w:val="00F6451E"/>
    <w:rsid w:val="00F6477E"/>
    <w:rsid w:val="00F6492D"/>
    <w:rsid w:val="00F649A9"/>
    <w:rsid w:val="00F64A61"/>
    <w:rsid w:val="00F64BD6"/>
    <w:rsid w:val="00F64E4D"/>
    <w:rsid w:val="00F650A0"/>
    <w:rsid w:val="00F650CF"/>
    <w:rsid w:val="00F6548F"/>
    <w:rsid w:val="00F654DD"/>
    <w:rsid w:val="00F65DC3"/>
    <w:rsid w:val="00F66220"/>
    <w:rsid w:val="00F663CF"/>
    <w:rsid w:val="00F663F9"/>
    <w:rsid w:val="00F666D5"/>
    <w:rsid w:val="00F668F0"/>
    <w:rsid w:val="00F66929"/>
    <w:rsid w:val="00F66995"/>
    <w:rsid w:val="00F66D15"/>
    <w:rsid w:val="00F66F97"/>
    <w:rsid w:val="00F66FD7"/>
    <w:rsid w:val="00F6706D"/>
    <w:rsid w:val="00F671F2"/>
    <w:rsid w:val="00F67371"/>
    <w:rsid w:val="00F67527"/>
    <w:rsid w:val="00F67941"/>
    <w:rsid w:val="00F67990"/>
    <w:rsid w:val="00F67D19"/>
    <w:rsid w:val="00F67E22"/>
    <w:rsid w:val="00F67FA1"/>
    <w:rsid w:val="00F67FD6"/>
    <w:rsid w:val="00F70087"/>
    <w:rsid w:val="00F700C9"/>
    <w:rsid w:val="00F703D1"/>
    <w:rsid w:val="00F704F3"/>
    <w:rsid w:val="00F706E6"/>
    <w:rsid w:val="00F70817"/>
    <w:rsid w:val="00F70A2A"/>
    <w:rsid w:val="00F70EF3"/>
    <w:rsid w:val="00F71129"/>
    <w:rsid w:val="00F711F1"/>
    <w:rsid w:val="00F7136B"/>
    <w:rsid w:val="00F7158F"/>
    <w:rsid w:val="00F71729"/>
    <w:rsid w:val="00F71AE4"/>
    <w:rsid w:val="00F71C72"/>
    <w:rsid w:val="00F72808"/>
    <w:rsid w:val="00F72AA2"/>
    <w:rsid w:val="00F72AEE"/>
    <w:rsid w:val="00F72B42"/>
    <w:rsid w:val="00F72BB2"/>
    <w:rsid w:val="00F72BF2"/>
    <w:rsid w:val="00F72E41"/>
    <w:rsid w:val="00F730C9"/>
    <w:rsid w:val="00F733BA"/>
    <w:rsid w:val="00F733F3"/>
    <w:rsid w:val="00F7357F"/>
    <w:rsid w:val="00F7363B"/>
    <w:rsid w:val="00F73752"/>
    <w:rsid w:val="00F73A39"/>
    <w:rsid w:val="00F73A48"/>
    <w:rsid w:val="00F73C34"/>
    <w:rsid w:val="00F73E47"/>
    <w:rsid w:val="00F7411C"/>
    <w:rsid w:val="00F7414F"/>
    <w:rsid w:val="00F74189"/>
    <w:rsid w:val="00F744B8"/>
    <w:rsid w:val="00F74B42"/>
    <w:rsid w:val="00F74ECC"/>
    <w:rsid w:val="00F750FF"/>
    <w:rsid w:val="00F75170"/>
    <w:rsid w:val="00F7525B"/>
    <w:rsid w:val="00F753B9"/>
    <w:rsid w:val="00F753E6"/>
    <w:rsid w:val="00F7571B"/>
    <w:rsid w:val="00F758FF"/>
    <w:rsid w:val="00F75CD4"/>
    <w:rsid w:val="00F75D3A"/>
    <w:rsid w:val="00F76044"/>
    <w:rsid w:val="00F76576"/>
    <w:rsid w:val="00F766C3"/>
    <w:rsid w:val="00F7682A"/>
    <w:rsid w:val="00F769EB"/>
    <w:rsid w:val="00F76A95"/>
    <w:rsid w:val="00F76D51"/>
    <w:rsid w:val="00F77614"/>
    <w:rsid w:val="00F77D99"/>
    <w:rsid w:val="00F77FB7"/>
    <w:rsid w:val="00F80139"/>
    <w:rsid w:val="00F808BB"/>
    <w:rsid w:val="00F80901"/>
    <w:rsid w:val="00F8097F"/>
    <w:rsid w:val="00F80A48"/>
    <w:rsid w:val="00F80F05"/>
    <w:rsid w:val="00F811F7"/>
    <w:rsid w:val="00F81378"/>
    <w:rsid w:val="00F816B1"/>
    <w:rsid w:val="00F8195A"/>
    <w:rsid w:val="00F81AA5"/>
    <w:rsid w:val="00F81AC7"/>
    <w:rsid w:val="00F81C4E"/>
    <w:rsid w:val="00F81CB7"/>
    <w:rsid w:val="00F81D17"/>
    <w:rsid w:val="00F821C7"/>
    <w:rsid w:val="00F823FA"/>
    <w:rsid w:val="00F825B5"/>
    <w:rsid w:val="00F828A7"/>
    <w:rsid w:val="00F828FF"/>
    <w:rsid w:val="00F82941"/>
    <w:rsid w:val="00F82AA8"/>
    <w:rsid w:val="00F82D81"/>
    <w:rsid w:val="00F82EA5"/>
    <w:rsid w:val="00F832FC"/>
    <w:rsid w:val="00F833C3"/>
    <w:rsid w:val="00F835F2"/>
    <w:rsid w:val="00F83712"/>
    <w:rsid w:val="00F83753"/>
    <w:rsid w:val="00F83789"/>
    <w:rsid w:val="00F838CA"/>
    <w:rsid w:val="00F839C4"/>
    <w:rsid w:val="00F83A56"/>
    <w:rsid w:val="00F83BEF"/>
    <w:rsid w:val="00F841CA"/>
    <w:rsid w:val="00F842E4"/>
    <w:rsid w:val="00F8454E"/>
    <w:rsid w:val="00F8492E"/>
    <w:rsid w:val="00F84C04"/>
    <w:rsid w:val="00F8535E"/>
    <w:rsid w:val="00F854A0"/>
    <w:rsid w:val="00F85805"/>
    <w:rsid w:val="00F85930"/>
    <w:rsid w:val="00F859E8"/>
    <w:rsid w:val="00F85C08"/>
    <w:rsid w:val="00F85CA9"/>
    <w:rsid w:val="00F862A3"/>
    <w:rsid w:val="00F86621"/>
    <w:rsid w:val="00F869D4"/>
    <w:rsid w:val="00F86C2D"/>
    <w:rsid w:val="00F86E36"/>
    <w:rsid w:val="00F86F6C"/>
    <w:rsid w:val="00F8734F"/>
    <w:rsid w:val="00F875FA"/>
    <w:rsid w:val="00F87642"/>
    <w:rsid w:val="00F87823"/>
    <w:rsid w:val="00F87C31"/>
    <w:rsid w:val="00F87C85"/>
    <w:rsid w:val="00F902B7"/>
    <w:rsid w:val="00F9043E"/>
    <w:rsid w:val="00F9064A"/>
    <w:rsid w:val="00F90959"/>
    <w:rsid w:val="00F90CB5"/>
    <w:rsid w:val="00F90CD9"/>
    <w:rsid w:val="00F9140C"/>
    <w:rsid w:val="00F914AD"/>
    <w:rsid w:val="00F9162C"/>
    <w:rsid w:val="00F9173D"/>
    <w:rsid w:val="00F91B5C"/>
    <w:rsid w:val="00F91D77"/>
    <w:rsid w:val="00F91DDD"/>
    <w:rsid w:val="00F91EAE"/>
    <w:rsid w:val="00F920D1"/>
    <w:rsid w:val="00F9212E"/>
    <w:rsid w:val="00F92260"/>
    <w:rsid w:val="00F9300B"/>
    <w:rsid w:val="00F9306E"/>
    <w:rsid w:val="00F93285"/>
    <w:rsid w:val="00F933CD"/>
    <w:rsid w:val="00F934A4"/>
    <w:rsid w:val="00F934EC"/>
    <w:rsid w:val="00F935BB"/>
    <w:rsid w:val="00F93C02"/>
    <w:rsid w:val="00F93C99"/>
    <w:rsid w:val="00F93FBB"/>
    <w:rsid w:val="00F940E8"/>
    <w:rsid w:val="00F9445F"/>
    <w:rsid w:val="00F9447F"/>
    <w:rsid w:val="00F944E6"/>
    <w:rsid w:val="00F949F4"/>
    <w:rsid w:val="00F94F3C"/>
    <w:rsid w:val="00F95102"/>
    <w:rsid w:val="00F95123"/>
    <w:rsid w:val="00F95134"/>
    <w:rsid w:val="00F95188"/>
    <w:rsid w:val="00F95197"/>
    <w:rsid w:val="00F9524C"/>
    <w:rsid w:val="00F95338"/>
    <w:rsid w:val="00F95464"/>
    <w:rsid w:val="00F95A54"/>
    <w:rsid w:val="00F95AA3"/>
    <w:rsid w:val="00F95AE5"/>
    <w:rsid w:val="00F95B7D"/>
    <w:rsid w:val="00F95D1C"/>
    <w:rsid w:val="00F95EF9"/>
    <w:rsid w:val="00F95F0A"/>
    <w:rsid w:val="00F96285"/>
    <w:rsid w:val="00F962F0"/>
    <w:rsid w:val="00F96467"/>
    <w:rsid w:val="00F96638"/>
    <w:rsid w:val="00F9676E"/>
    <w:rsid w:val="00F96A98"/>
    <w:rsid w:val="00F96E21"/>
    <w:rsid w:val="00F96F2A"/>
    <w:rsid w:val="00F96FA5"/>
    <w:rsid w:val="00F96FDF"/>
    <w:rsid w:val="00F97219"/>
    <w:rsid w:val="00F972B1"/>
    <w:rsid w:val="00F97300"/>
    <w:rsid w:val="00F9735E"/>
    <w:rsid w:val="00F97598"/>
    <w:rsid w:val="00F976C6"/>
    <w:rsid w:val="00F9786F"/>
    <w:rsid w:val="00F97A21"/>
    <w:rsid w:val="00F97D2F"/>
    <w:rsid w:val="00F97D53"/>
    <w:rsid w:val="00FA021A"/>
    <w:rsid w:val="00FA0237"/>
    <w:rsid w:val="00FA02EB"/>
    <w:rsid w:val="00FA0329"/>
    <w:rsid w:val="00FA0993"/>
    <w:rsid w:val="00FA0A2B"/>
    <w:rsid w:val="00FA0C6D"/>
    <w:rsid w:val="00FA12A8"/>
    <w:rsid w:val="00FA14A7"/>
    <w:rsid w:val="00FA17E4"/>
    <w:rsid w:val="00FA1835"/>
    <w:rsid w:val="00FA18FC"/>
    <w:rsid w:val="00FA198B"/>
    <w:rsid w:val="00FA19E7"/>
    <w:rsid w:val="00FA1A0A"/>
    <w:rsid w:val="00FA1A77"/>
    <w:rsid w:val="00FA1BB5"/>
    <w:rsid w:val="00FA1C01"/>
    <w:rsid w:val="00FA1C2A"/>
    <w:rsid w:val="00FA2367"/>
    <w:rsid w:val="00FA23B7"/>
    <w:rsid w:val="00FA2455"/>
    <w:rsid w:val="00FA24E7"/>
    <w:rsid w:val="00FA2832"/>
    <w:rsid w:val="00FA29AD"/>
    <w:rsid w:val="00FA29B5"/>
    <w:rsid w:val="00FA29BA"/>
    <w:rsid w:val="00FA2A19"/>
    <w:rsid w:val="00FA2F05"/>
    <w:rsid w:val="00FA2F94"/>
    <w:rsid w:val="00FA2FDB"/>
    <w:rsid w:val="00FA344C"/>
    <w:rsid w:val="00FA34FA"/>
    <w:rsid w:val="00FA357F"/>
    <w:rsid w:val="00FA3599"/>
    <w:rsid w:val="00FA36D0"/>
    <w:rsid w:val="00FA3738"/>
    <w:rsid w:val="00FA3835"/>
    <w:rsid w:val="00FA3863"/>
    <w:rsid w:val="00FA39F2"/>
    <w:rsid w:val="00FA3AC1"/>
    <w:rsid w:val="00FA3B4A"/>
    <w:rsid w:val="00FA3F65"/>
    <w:rsid w:val="00FA41C2"/>
    <w:rsid w:val="00FA434E"/>
    <w:rsid w:val="00FA456F"/>
    <w:rsid w:val="00FA45D3"/>
    <w:rsid w:val="00FA45E3"/>
    <w:rsid w:val="00FA4880"/>
    <w:rsid w:val="00FA49F3"/>
    <w:rsid w:val="00FA4BED"/>
    <w:rsid w:val="00FA4D44"/>
    <w:rsid w:val="00FA4DD0"/>
    <w:rsid w:val="00FA4ED2"/>
    <w:rsid w:val="00FA4F68"/>
    <w:rsid w:val="00FA5171"/>
    <w:rsid w:val="00FA5402"/>
    <w:rsid w:val="00FA5435"/>
    <w:rsid w:val="00FA5504"/>
    <w:rsid w:val="00FA57D9"/>
    <w:rsid w:val="00FA582D"/>
    <w:rsid w:val="00FA5FF7"/>
    <w:rsid w:val="00FA60D6"/>
    <w:rsid w:val="00FA62DC"/>
    <w:rsid w:val="00FA6589"/>
    <w:rsid w:val="00FA6798"/>
    <w:rsid w:val="00FA69A3"/>
    <w:rsid w:val="00FA6B7E"/>
    <w:rsid w:val="00FA6D05"/>
    <w:rsid w:val="00FA6F1E"/>
    <w:rsid w:val="00FA6F7F"/>
    <w:rsid w:val="00FA6FD4"/>
    <w:rsid w:val="00FA7253"/>
    <w:rsid w:val="00FA72E7"/>
    <w:rsid w:val="00FA747E"/>
    <w:rsid w:val="00FA7560"/>
    <w:rsid w:val="00FA7613"/>
    <w:rsid w:val="00FA7C57"/>
    <w:rsid w:val="00FA7DB2"/>
    <w:rsid w:val="00FB00D5"/>
    <w:rsid w:val="00FB06FB"/>
    <w:rsid w:val="00FB0F1F"/>
    <w:rsid w:val="00FB103E"/>
    <w:rsid w:val="00FB1354"/>
    <w:rsid w:val="00FB13A4"/>
    <w:rsid w:val="00FB1425"/>
    <w:rsid w:val="00FB14B5"/>
    <w:rsid w:val="00FB158D"/>
    <w:rsid w:val="00FB196B"/>
    <w:rsid w:val="00FB1B32"/>
    <w:rsid w:val="00FB1B45"/>
    <w:rsid w:val="00FB1E39"/>
    <w:rsid w:val="00FB1FCB"/>
    <w:rsid w:val="00FB222B"/>
    <w:rsid w:val="00FB2329"/>
    <w:rsid w:val="00FB24DB"/>
    <w:rsid w:val="00FB2948"/>
    <w:rsid w:val="00FB2A71"/>
    <w:rsid w:val="00FB2ABE"/>
    <w:rsid w:val="00FB2BEA"/>
    <w:rsid w:val="00FB2E62"/>
    <w:rsid w:val="00FB310C"/>
    <w:rsid w:val="00FB32D2"/>
    <w:rsid w:val="00FB360F"/>
    <w:rsid w:val="00FB3734"/>
    <w:rsid w:val="00FB39E2"/>
    <w:rsid w:val="00FB3B54"/>
    <w:rsid w:val="00FB3C8B"/>
    <w:rsid w:val="00FB3FDB"/>
    <w:rsid w:val="00FB4450"/>
    <w:rsid w:val="00FB446C"/>
    <w:rsid w:val="00FB495B"/>
    <w:rsid w:val="00FB4991"/>
    <w:rsid w:val="00FB4B76"/>
    <w:rsid w:val="00FB4F80"/>
    <w:rsid w:val="00FB5021"/>
    <w:rsid w:val="00FB5343"/>
    <w:rsid w:val="00FB5346"/>
    <w:rsid w:val="00FB54A4"/>
    <w:rsid w:val="00FB56FA"/>
    <w:rsid w:val="00FB57DB"/>
    <w:rsid w:val="00FB5824"/>
    <w:rsid w:val="00FB5B47"/>
    <w:rsid w:val="00FB5B88"/>
    <w:rsid w:val="00FB5F04"/>
    <w:rsid w:val="00FB5FFA"/>
    <w:rsid w:val="00FB6008"/>
    <w:rsid w:val="00FB6099"/>
    <w:rsid w:val="00FB60FF"/>
    <w:rsid w:val="00FB627C"/>
    <w:rsid w:val="00FB65B2"/>
    <w:rsid w:val="00FB65BB"/>
    <w:rsid w:val="00FB65CE"/>
    <w:rsid w:val="00FB6621"/>
    <w:rsid w:val="00FB6669"/>
    <w:rsid w:val="00FB6DD9"/>
    <w:rsid w:val="00FB6DF5"/>
    <w:rsid w:val="00FB7032"/>
    <w:rsid w:val="00FB728C"/>
    <w:rsid w:val="00FB738B"/>
    <w:rsid w:val="00FB750F"/>
    <w:rsid w:val="00FB7864"/>
    <w:rsid w:val="00FB7D53"/>
    <w:rsid w:val="00FB7E9C"/>
    <w:rsid w:val="00FB7EC0"/>
    <w:rsid w:val="00FB7FDC"/>
    <w:rsid w:val="00FC00CA"/>
    <w:rsid w:val="00FC0406"/>
    <w:rsid w:val="00FC0590"/>
    <w:rsid w:val="00FC0675"/>
    <w:rsid w:val="00FC06E3"/>
    <w:rsid w:val="00FC07C3"/>
    <w:rsid w:val="00FC0BE9"/>
    <w:rsid w:val="00FC0CAC"/>
    <w:rsid w:val="00FC0DC9"/>
    <w:rsid w:val="00FC0EF0"/>
    <w:rsid w:val="00FC0F6D"/>
    <w:rsid w:val="00FC106F"/>
    <w:rsid w:val="00FC113D"/>
    <w:rsid w:val="00FC11B8"/>
    <w:rsid w:val="00FC1362"/>
    <w:rsid w:val="00FC1500"/>
    <w:rsid w:val="00FC1BE9"/>
    <w:rsid w:val="00FC1D8E"/>
    <w:rsid w:val="00FC22AB"/>
    <w:rsid w:val="00FC23B8"/>
    <w:rsid w:val="00FC25B1"/>
    <w:rsid w:val="00FC272E"/>
    <w:rsid w:val="00FC2827"/>
    <w:rsid w:val="00FC294A"/>
    <w:rsid w:val="00FC2DBF"/>
    <w:rsid w:val="00FC2E80"/>
    <w:rsid w:val="00FC30F3"/>
    <w:rsid w:val="00FC3282"/>
    <w:rsid w:val="00FC329C"/>
    <w:rsid w:val="00FC335C"/>
    <w:rsid w:val="00FC33AC"/>
    <w:rsid w:val="00FC33C8"/>
    <w:rsid w:val="00FC3881"/>
    <w:rsid w:val="00FC3BD4"/>
    <w:rsid w:val="00FC3ED0"/>
    <w:rsid w:val="00FC44A4"/>
    <w:rsid w:val="00FC4656"/>
    <w:rsid w:val="00FC47EE"/>
    <w:rsid w:val="00FC49E4"/>
    <w:rsid w:val="00FC4A3A"/>
    <w:rsid w:val="00FC4DBD"/>
    <w:rsid w:val="00FC4E44"/>
    <w:rsid w:val="00FC51ED"/>
    <w:rsid w:val="00FC594B"/>
    <w:rsid w:val="00FC6067"/>
    <w:rsid w:val="00FC6204"/>
    <w:rsid w:val="00FC680E"/>
    <w:rsid w:val="00FC6AED"/>
    <w:rsid w:val="00FC6E5C"/>
    <w:rsid w:val="00FC6FDC"/>
    <w:rsid w:val="00FC70DB"/>
    <w:rsid w:val="00FC7720"/>
    <w:rsid w:val="00FC77D2"/>
    <w:rsid w:val="00FC784F"/>
    <w:rsid w:val="00FC7A5E"/>
    <w:rsid w:val="00FC7C8A"/>
    <w:rsid w:val="00FC7C99"/>
    <w:rsid w:val="00FC7DDB"/>
    <w:rsid w:val="00FC7EF4"/>
    <w:rsid w:val="00FD0064"/>
    <w:rsid w:val="00FD040D"/>
    <w:rsid w:val="00FD05B4"/>
    <w:rsid w:val="00FD07C6"/>
    <w:rsid w:val="00FD08DC"/>
    <w:rsid w:val="00FD0AD6"/>
    <w:rsid w:val="00FD0DA5"/>
    <w:rsid w:val="00FD0E57"/>
    <w:rsid w:val="00FD0F67"/>
    <w:rsid w:val="00FD1088"/>
    <w:rsid w:val="00FD1180"/>
    <w:rsid w:val="00FD1192"/>
    <w:rsid w:val="00FD130B"/>
    <w:rsid w:val="00FD1728"/>
    <w:rsid w:val="00FD17C9"/>
    <w:rsid w:val="00FD189E"/>
    <w:rsid w:val="00FD1C72"/>
    <w:rsid w:val="00FD1DE5"/>
    <w:rsid w:val="00FD1E4C"/>
    <w:rsid w:val="00FD1FEE"/>
    <w:rsid w:val="00FD1FF5"/>
    <w:rsid w:val="00FD226D"/>
    <w:rsid w:val="00FD2394"/>
    <w:rsid w:val="00FD257E"/>
    <w:rsid w:val="00FD2A9A"/>
    <w:rsid w:val="00FD2E62"/>
    <w:rsid w:val="00FD2FE7"/>
    <w:rsid w:val="00FD33D5"/>
    <w:rsid w:val="00FD34DC"/>
    <w:rsid w:val="00FD3589"/>
    <w:rsid w:val="00FD39FC"/>
    <w:rsid w:val="00FD3B2E"/>
    <w:rsid w:val="00FD3D78"/>
    <w:rsid w:val="00FD3F7C"/>
    <w:rsid w:val="00FD4211"/>
    <w:rsid w:val="00FD428F"/>
    <w:rsid w:val="00FD45B3"/>
    <w:rsid w:val="00FD467F"/>
    <w:rsid w:val="00FD4AD4"/>
    <w:rsid w:val="00FD5535"/>
    <w:rsid w:val="00FD5726"/>
    <w:rsid w:val="00FD58DE"/>
    <w:rsid w:val="00FD5935"/>
    <w:rsid w:val="00FD5F5F"/>
    <w:rsid w:val="00FD5FAA"/>
    <w:rsid w:val="00FD6028"/>
    <w:rsid w:val="00FD642E"/>
    <w:rsid w:val="00FD646D"/>
    <w:rsid w:val="00FD698F"/>
    <w:rsid w:val="00FD6F51"/>
    <w:rsid w:val="00FD715D"/>
    <w:rsid w:val="00FD7216"/>
    <w:rsid w:val="00FD7221"/>
    <w:rsid w:val="00FD76D7"/>
    <w:rsid w:val="00FD7841"/>
    <w:rsid w:val="00FD7A8D"/>
    <w:rsid w:val="00FD7BC6"/>
    <w:rsid w:val="00FD7BC7"/>
    <w:rsid w:val="00FD7D4D"/>
    <w:rsid w:val="00FD7DBA"/>
    <w:rsid w:val="00FD7E1C"/>
    <w:rsid w:val="00FD7E5A"/>
    <w:rsid w:val="00FD7E9F"/>
    <w:rsid w:val="00FE069F"/>
    <w:rsid w:val="00FE0D91"/>
    <w:rsid w:val="00FE104B"/>
    <w:rsid w:val="00FE112F"/>
    <w:rsid w:val="00FE11E9"/>
    <w:rsid w:val="00FE15F1"/>
    <w:rsid w:val="00FE16EC"/>
    <w:rsid w:val="00FE17D8"/>
    <w:rsid w:val="00FE18F7"/>
    <w:rsid w:val="00FE1B08"/>
    <w:rsid w:val="00FE1CBD"/>
    <w:rsid w:val="00FE1D09"/>
    <w:rsid w:val="00FE1D65"/>
    <w:rsid w:val="00FE1E36"/>
    <w:rsid w:val="00FE23D5"/>
    <w:rsid w:val="00FE2431"/>
    <w:rsid w:val="00FE2461"/>
    <w:rsid w:val="00FE27BA"/>
    <w:rsid w:val="00FE27C5"/>
    <w:rsid w:val="00FE2E58"/>
    <w:rsid w:val="00FE31AC"/>
    <w:rsid w:val="00FE35F8"/>
    <w:rsid w:val="00FE38B5"/>
    <w:rsid w:val="00FE3A24"/>
    <w:rsid w:val="00FE3A48"/>
    <w:rsid w:val="00FE3C98"/>
    <w:rsid w:val="00FE3E03"/>
    <w:rsid w:val="00FE40D4"/>
    <w:rsid w:val="00FE47AC"/>
    <w:rsid w:val="00FE4A34"/>
    <w:rsid w:val="00FE4B68"/>
    <w:rsid w:val="00FE4C58"/>
    <w:rsid w:val="00FE4FC1"/>
    <w:rsid w:val="00FE5022"/>
    <w:rsid w:val="00FE5195"/>
    <w:rsid w:val="00FE52FB"/>
    <w:rsid w:val="00FE533A"/>
    <w:rsid w:val="00FE54DE"/>
    <w:rsid w:val="00FE5754"/>
    <w:rsid w:val="00FE578F"/>
    <w:rsid w:val="00FE5B2F"/>
    <w:rsid w:val="00FE5D69"/>
    <w:rsid w:val="00FE5DD5"/>
    <w:rsid w:val="00FE61CA"/>
    <w:rsid w:val="00FE6746"/>
    <w:rsid w:val="00FE67FB"/>
    <w:rsid w:val="00FE68C4"/>
    <w:rsid w:val="00FE6C18"/>
    <w:rsid w:val="00FE6D9F"/>
    <w:rsid w:val="00FE6FB6"/>
    <w:rsid w:val="00FE702D"/>
    <w:rsid w:val="00FE7230"/>
    <w:rsid w:val="00FE7273"/>
    <w:rsid w:val="00FE740F"/>
    <w:rsid w:val="00FE77C0"/>
    <w:rsid w:val="00FE79F7"/>
    <w:rsid w:val="00FE7AC3"/>
    <w:rsid w:val="00FE7CAE"/>
    <w:rsid w:val="00FE7E92"/>
    <w:rsid w:val="00FE7EE9"/>
    <w:rsid w:val="00FF013A"/>
    <w:rsid w:val="00FF02A3"/>
    <w:rsid w:val="00FF08A6"/>
    <w:rsid w:val="00FF08EB"/>
    <w:rsid w:val="00FF0B31"/>
    <w:rsid w:val="00FF0B3A"/>
    <w:rsid w:val="00FF0FC8"/>
    <w:rsid w:val="00FF1042"/>
    <w:rsid w:val="00FF1290"/>
    <w:rsid w:val="00FF1532"/>
    <w:rsid w:val="00FF1821"/>
    <w:rsid w:val="00FF1974"/>
    <w:rsid w:val="00FF1CCB"/>
    <w:rsid w:val="00FF1D47"/>
    <w:rsid w:val="00FF1D8F"/>
    <w:rsid w:val="00FF2035"/>
    <w:rsid w:val="00FF2047"/>
    <w:rsid w:val="00FF2293"/>
    <w:rsid w:val="00FF22C3"/>
    <w:rsid w:val="00FF2550"/>
    <w:rsid w:val="00FF2CED"/>
    <w:rsid w:val="00FF2D71"/>
    <w:rsid w:val="00FF2F04"/>
    <w:rsid w:val="00FF3021"/>
    <w:rsid w:val="00FF31CA"/>
    <w:rsid w:val="00FF321A"/>
    <w:rsid w:val="00FF327D"/>
    <w:rsid w:val="00FF34C7"/>
    <w:rsid w:val="00FF3521"/>
    <w:rsid w:val="00FF3592"/>
    <w:rsid w:val="00FF3CCE"/>
    <w:rsid w:val="00FF3D49"/>
    <w:rsid w:val="00FF3DFC"/>
    <w:rsid w:val="00FF3F9C"/>
    <w:rsid w:val="00FF419F"/>
    <w:rsid w:val="00FF4351"/>
    <w:rsid w:val="00FF43C2"/>
    <w:rsid w:val="00FF4A93"/>
    <w:rsid w:val="00FF4C5E"/>
    <w:rsid w:val="00FF5299"/>
    <w:rsid w:val="00FF5325"/>
    <w:rsid w:val="00FF541C"/>
    <w:rsid w:val="00FF5589"/>
    <w:rsid w:val="00FF58D9"/>
    <w:rsid w:val="00FF5B64"/>
    <w:rsid w:val="00FF5C61"/>
    <w:rsid w:val="00FF5C8E"/>
    <w:rsid w:val="00FF5CAB"/>
    <w:rsid w:val="00FF5DCB"/>
    <w:rsid w:val="00FF610D"/>
    <w:rsid w:val="00FF64AB"/>
    <w:rsid w:val="00FF6614"/>
    <w:rsid w:val="00FF672E"/>
    <w:rsid w:val="00FF6F66"/>
    <w:rsid w:val="00FF6F8B"/>
    <w:rsid w:val="00FF700E"/>
    <w:rsid w:val="00FF7288"/>
    <w:rsid w:val="00FF73BD"/>
    <w:rsid w:val="00FF77C8"/>
    <w:rsid w:val="00FF78AC"/>
    <w:rsid w:val="00FF78C3"/>
    <w:rsid w:val="00FF7D13"/>
    <w:rsid w:val="00FF7ED3"/>
    <w:rsid w:val="010B273A"/>
    <w:rsid w:val="0116F463"/>
    <w:rsid w:val="012FC952"/>
    <w:rsid w:val="015FD303"/>
    <w:rsid w:val="019B71B7"/>
    <w:rsid w:val="01A7BDEC"/>
    <w:rsid w:val="01AB0587"/>
    <w:rsid w:val="0209ADA9"/>
    <w:rsid w:val="0213AE18"/>
    <w:rsid w:val="02227683"/>
    <w:rsid w:val="024820FA"/>
    <w:rsid w:val="027C38F2"/>
    <w:rsid w:val="02E3EB0F"/>
    <w:rsid w:val="02F49E7C"/>
    <w:rsid w:val="032E7E0C"/>
    <w:rsid w:val="034C661B"/>
    <w:rsid w:val="035681E0"/>
    <w:rsid w:val="0373E54D"/>
    <w:rsid w:val="03B5F4F3"/>
    <w:rsid w:val="03CB1C85"/>
    <w:rsid w:val="03DA2E3C"/>
    <w:rsid w:val="03DB2C33"/>
    <w:rsid w:val="03E93D14"/>
    <w:rsid w:val="04631261"/>
    <w:rsid w:val="04640FE5"/>
    <w:rsid w:val="0471FB50"/>
    <w:rsid w:val="047902EA"/>
    <w:rsid w:val="049DA58D"/>
    <w:rsid w:val="04D53098"/>
    <w:rsid w:val="04E28268"/>
    <w:rsid w:val="0509B736"/>
    <w:rsid w:val="05A9D0FC"/>
    <w:rsid w:val="060B216D"/>
    <w:rsid w:val="06355FFD"/>
    <w:rsid w:val="065D501F"/>
    <w:rsid w:val="069EB338"/>
    <w:rsid w:val="06CC0B28"/>
    <w:rsid w:val="06CC9E1C"/>
    <w:rsid w:val="06FE4B69"/>
    <w:rsid w:val="0705D322"/>
    <w:rsid w:val="072397C2"/>
    <w:rsid w:val="0728482B"/>
    <w:rsid w:val="07A244C1"/>
    <w:rsid w:val="07ACFF0C"/>
    <w:rsid w:val="07B825B3"/>
    <w:rsid w:val="07E7712D"/>
    <w:rsid w:val="08035A26"/>
    <w:rsid w:val="08705826"/>
    <w:rsid w:val="088BDC0F"/>
    <w:rsid w:val="08A8AF78"/>
    <w:rsid w:val="08CE9C25"/>
    <w:rsid w:val="08D6EA7B"/>
    <w:rsid w:val="08DECD66"/>
    <w:rsid w:val="08E22DA8"/>
    <w:rsid w:val="09232E87"/>
    <w:rsid w:val="0936A947"/>
    <w:rsid w:val="0960760C"/>
    <w:rsid w:val="098127B2"/>
    <w:rsid w:val="09B8CA60"/>
    <w:rsid w:val="09B8F1C1"/>
    <w:rsid w:val="09CBF65F"/>
    <w:rsid w:val="09D6FA63"/>
    <w:rsid w:val="09EC28F4"/>
    <w:rsid w:val="0A015A63"/>
    <w:rsid w:val="0A4F3621"/>
    <w:rsid w:val="0AF0F448"/>
    <w:rsid w:val="0B1345FA"/>
    <w:rsid w:val="0BB349E5"/>
    <w:rsid w:val="0C02032C"/>
    <w:rsid w:val="0C8F65E1"/>
    <w:rsid w:val="0CC4DE4E"/>
    <w:rsid w:val="0D2138B9"/>
    <w:rsid w:val="0D532AB7"/>
    <w:rsid w:val="0D707A27"/>
    <w:rsid w:val="0DBF4DCF"/>
    <w:rsid w:val="0E44B7DE"/>
    <w:rsid w:val="0E544CFC"/>
    <w:rsid w:val="0E6CBDA4"/>
    <w:rsid w:val="0E902E75"/>
    <w:rsid w:val="0E9694AE"/>
    <w:rsid w:val="0ED669F4"/>
    <w:rsid w:val="0EDFA778"/>
    <w:rsid w:val="0F371306"/>
    <w:rsid w:val="0F5B8612"/>
    <w:rsid w:val="0FB70CE1"/>
    <w:rsid w:val="0FBEB369"/>
    <w:rsid w:val="10617A93"/>
    <w:rsid w:val="10896069"/>
    <w:rsid w:val="109593ED"/>
    <w:rsid w:val="109BD972"/>
    <w:rsid w:val="10EFB13F"/>
    <w:rsid w:val="1108AD1A"/>
    <w:rsid w:val="110E2EFB"/>
    <w:rsid w:val="11523DE3"/>
    <w:rsid w:val="11548E01"/>
    <w:rsid w:val="1168CCA5"/>
    <w:rsid w:val="1179841A"/>
    <w:rsid w:val="12058896"/>
    <w:rsid w:val="1206E371"/>
    <w:rsid w:val="1214A9D2"/>
    <w:rsid w:val="123A34AC"/>
    <w:rsid w:val="12452978"/>
    <w:rsid w:val="12530156"/>
    <w:rsid w:val="1309EE8D"/>
    <w:rsid w:val="136FC323"/>
    <w:rsid w:val="13B48F93"/>
    <w:rsid w:val="13B69465"/>
    <w:rsid w:val="13D35EA3"/>
    <w:rsid w:val="13DAFE3E"/>
    <w:rsid w:val="14111897"/>
    <w:rsid w:val="14560C8E"/>
    <w:rsid w:val="14564172"/>
    <w:rsid w:val="147BE3D1"/>
    <w:rsid w:val="147C31C3"/>
    <w:rsid w:val="14B7A93C"/>
    <w:rsid w:val="14C2689C"/>
    <w:rsid w:val="14FF5AB7"/>
    <w:rsid w:val="1575CAD7"/>
    <w:rsid w:val="15905FAA"/>
    <w:rsid w:val="1592EC0E"/>
    <w:rsid w:val="15958F4D"/>
    <w:rsid w:val="15B662B3"/>
    <w:rsid w:val="15CA4B4A"/>
    <w:rsid w:val="1655AF52"/>
    <w:rsid w:val="1701C198"/>
    <w:rsid w:val="170B671D"/>
    <w:rsid w:val="1736A4ED"/>
    <w:rsid w:val="17807210"/>
    <w:rsid w:val="17C8BC47"/>
    <w:rsid w:val="17D0559D"/>
    <w:rsid w:val="17EEAC0A"/>
    <w:rsid w:val="18059ADA"/>
    <w:rsid w:val="18397FF4"/>
    <w:rsid w:val="1848A737"/>
    <w:rsid w:val="186B4AC6"/>
    <w:rsid w:val="18C23725"/>
    <w:rsid w:val="18C2DB34"/>
    <w:rsid w:val="18C8DF72"/>
    <w:rsid w:val="18E2FB17"/>
    <w:rsid w:val="18E5BA72"/>
    <w:rsid w:val="18F23B32"/>
    <w:rsid w:val="190B5A9B"/>
    <w:rsid w:val="191CA8D1"/>
    <w:rsid w:val="192C10DD"/>
    <w:rsid w:val="192C3A41"/>
    <w:rsid w:val="194D5692"/>
    <w:rsid w:val="1950F199"/>
    <w:rsid w:val="1951B3EE"/>
    <w:rsid w:val="1951C93A"/>
    <w:rsid w:val="196FEC27"/>
    <w:rsid w:val="19A39685"/>
    <w:rsid w:val="19BF40BD"/>
    <w:rsid w:val="19CCAA70"/>
    <w:rsid w:val="19E2E8E8"/>
    <w:rsid w:val="19EDD740"/>
    <w:rsid w:val="1A2A77FC"/>
    <w:rsid w:val="1A53792D"/>
    <w:rsid w:val="1A683154"/>
    <w:rsid w:val="1A7DC45C"/>
    <w:rsid w:val="1AC54D02"/>
    <w:rsid w:val="1AE4ACE0"/>
    <w:rsid w:val="1AE8123E"/>
    <w:rsid w:val="1B07812A"/>
    <w:rsid w:val="1B08817D"/>
    <w:rsid w:val="1B4AE57D"/>
    <w:rsid w:val="1B54A62B"/>
    <w:rsid w:val="1BF13602"/>
    <w:rsid w:val="1C24854C"/>
    <w:rsid w:val="1C46E909"/>
    <w:rsid w:val="1C9D235B"/>
    <w:rsid w:val="1CD1C5B2"/>
    <w:rsid w:val="1D0B1C61"/>
    <w:rsid w:val="1D29B48D"/>
    <w:rsid w:val="1D4CCD26"/>
    <w:rsid w:val="1D6C13BE"/>
    <w:rsid w:val="1D798814"/>
    <w:rsid w:val="1DB03ED3"/>
    <w:rsid w:val="1DB41D1D"/>
    <w:rsid w:val="1E0D7659"/>
    <w:rsid w:val="1E5949C9"/>
    <w:rsid w:val="1E6FDBC7"/>
    <w:rsid w:val="1EAA2782"/>
    <w:rsid w:val="1EAB4C1C"/>
    <w:rsid w:val="1EBB3732"/>
    <w:rsid w:val="1ECFEF62"/>
    <w:rsid w:val="1EF2CC3A"/>
    <w:rsid w:val="1EF43893"/>
    <w:rsid w:val="1F062CB2"/>
    <w:rsid w:val="1F145433"/>
    <w:rsid w:val="1F89853E"/>
    <w:rsid w:val="1F932D0B"/>
    <w:rsid w:val="200998DE"/>
    <w:rsid w:val="2014186C"/>
    <w:rsid w:val="202323D9"/>
    <w:rsid w:val="205D3402"/>
    <w:rsid w:val="207EA71A"/>
    <w:rsid w:val="209B9714"/>
    <w:rsid w:val="20B37F67"/>
    <w:rsid w:val="20D86CD9"/>
    <w:rsid w:val="21138B61"/>
    <w:rsid w:val="215C6FC2"/>
    <w:rsid w:val="218BE100"/>
    <w:rsid w:val="21B60658"/>
    <w:rsid w:val="21CC6F4F"/>
    <w:rsid w:val="220A68B6"/>
    <w:rsid w:val="22102787"/>
    <w:rsid w:val="221C2161"/>
    <w:rsid w:val="2260F7A7"/>
    <w:rsid w:val="2273F3BE"/>
    <w:rsid w:val="22C8FA75"/>
    <w:rsid w:val="2305AD68"/>
    <w:rsid w:val="23497B6B"/>
    <w:rsid w:val="2379F422"/>
    <w:rsid w:val="2387151B"/>
    <w:rsid w:val="23D59CFE"/>
    <w:rsid w:val="23D8DE51"/>
    <w:rsid w:val="2411B344"/>
    <w:rsid w:val="241848E1"/>
    <w:rsid w:val="24711226"/>
    <w:rsid w:val="247BDB0E"/>
    <w:rsid w:val="24B8C937"/>
    <w:rsid w:val="24C92AEE"/>
    <w:rsid w:val="24CC85C9"/>
    <w:rsid w:val="24D91FE4"/>
    <w:rsid w:val="25117DEA"/>
    <w:rsid w:val="251EA32F"/>
    <w:rsid w:val="252C4AD4"/>
    <w:rsid w:val="2542C55F"/>
    <w:rsid w:val="25569CB0"/>
    <w:rsid w:val="2562075E"/>
    <w:rsid w:val="25C23BEB"/>
    <w:rsid w:val="25C804EC"/>
    <w:rsid w:val="25DFC079"/>
    <w:rsid w:val="26308941"/>
    <w:rsid w:val="263A082C"/>
    <w:rsid w:val="26CA001A"/>
    <w:rsid w:val="2706C596"/>
    <w:rsid w:val="2729DAF7"/>
    <w:rsid w:val="2790DFD7"/>
    <w:rsid w:val="27C410E3"/>
    <w:rsid w:val="284A49FA"/>
    <w:rsid w:val="285F08C4"/>
    <w:rsid w:val="28631EE4"/>
    <w:rsid w:val="2873581E"/>
    <w:rsid w:val="28810594"/>
    <w:rsid w:val="28A293A8"/>
    <w:rsid w:val="28CF731C"/>
    <w:rsid w:val="2922A35B"/>
    <w:rsid w:val="292A553E"/>
    <w:rsid w:val="299A7C74"/>
    <w:rsid w:val="29AF5073"/>
    <w:rsid w:val="29CF6B57"/>
    <w:rsid w:val="29E5E0CA"/>
    <w:rsid w:val="29E65CE7"/>
    <w:rsid w:val="29FBFE6D"/>
    <w:rsid w:val="29FCD037"/>
    <w:rsid w:val="2A00242E"/>
    <w:rsid w:val="2A08687D"/>
    <w:rsid w:val="2A4B287F"/>
    <w:rsid w:val="2A78F700"/>
    <w:rsid w:val="2A7ACF3F"/>
    <w:rsid w:val="2A99C6AA"/>
    <w:rsid w:val="2AB45A2D"/>
    <w:rsid w:val="2AB6466F"/>
    <w:rsid w:val="2ADAF910"/>
    <w:rsid w:val="2B078AE4"/>
    <w:rsid w:val="2B3D1470"/>
    <w:rsid w:val="2B59A377"/>
    <w:rsid w:val="2B5C0E42"/>
    <w:rsid w:val="2B727B0E"/>
    <w:rsid w:val="2B9AA193"/>
    <w:rsid w:val="2BA1B7CA"/>
    <w:rsid w:val="2BE5EB43"/>
    <w:rsid w:val="2C1C00B7"/>
    <w:rsid w:val="2C2C800F"/>
    <w:rsid w:val="2C7773F9"/>
    <w:rsid w:val="2C95B8CB"/>
    <w:rsid w:val="2CE56CA7"/>
    <w:rsid w:val="2D021713"/>
    <w:rsid w:val="2D1254D5"/>
    <w:rsid w:val="2D4BA4BC"/>
    <w:rsid w:val="2D897080"/>
    <w:rsid w:val="2DA4BCD8"/>
    <w:rsid w:val="2DBC53FC"/>
    <w:rsid w:val="2DC42973"/>
    <w:rsid w:val="2DF8572E"/>
    <w:rsid w:val="2E00FE56"/>
    <w:rsid w:val="2E02B25E"/>
    <w:rsid w:val="2E06892F"/>
    <w:rsid w:val="2E2DACEC"/>
    <w:rsid w:val="2E424A57"/>
    <w:rsid w:val="2E784176"/>
    <w:rsid w:val="2E9D3EE8"/>
    <w:rsid w:val="2EB2B6FE"/>
    <w:rsid w:val="2EBCF126"/>
    <w:rsid w:val="2EC82C60"/>
    <w:rsid w:val="2ED43997"/>
    <w:rsid w:val="2EF0DC03"/>
    <w:rsid w:val="2F4F483F"/>
    <w:rsid w:val="2F540855"/>
    <w:rsid w:val="2F641955"/>
    <w:rsid w:val="2F8BBF49"/>
    <w:rsid w:val="2FAA304B"/>
    <w:rsid w:val="301B8592"/>
    <w:rsid w:val="301E3E21"/>
    <w:rsid w:val="302594CE"/>
    <w:rsid w:val="3032BEB0"/>
    <w:rsid w:val="303F0C06"/>
    <w:rsid w:val="305B1F75"/>
    <w:rsid w:val="30647492"/>
    <w:rsid w:val="3098BCF8"/>
    <w:rsid w:val="30A11763"/>
    <w:rsid w:val="30CB089F"/>
    <w:rsid w:val="30DCDA7E"/>
    <w:rsid w:val="3126A9E7"/>
    <w:rsid w:val="317C69EA"/>
    <w:rsid w:val="31B64739"/>
    <w:rsid w:val="31BD9F88"/>
    <w:rsid w:val="31D31E5A"/>
    <w:rsid w:val="31D4E61C"/>
    <w:rsid w:val="3211F722"/>
    <w:rsid w:val="32440587"/>
    <w:rsid w:val="32499788"/>
    <w:rsid w:val="32573892"/>
    <w:rsid w:val="325C101F"/>
    <w:rsid w:val="32615A86"/>
    <w:rsid w:val="3262463E"/>
    <w:rsid w:val="326CC69A"/>
    <w:rsid w:val="331AC98E"/>
    <w:rsid w:val="332A6D5C"/>
    <w:rsid w:val="332F49DA"/>
    <w:rsid w:val="337737E4"/>
    <w:rsid w:val="33C4B756"/>
    <w:rsid w:val="33D0522D"/>
    <w:rsid w:val="3400C6F7"/>
    <w:rsid w:val="342CFD9C"/>
    <w:rsid w:val="345D2FAB"/>
    <w:rsid w:val="34640F2A"/>
    <w:rsid w:val="34AB229C"/>
    <w:rsid w:val="34E91DE3"/>
    <w:rsid w:val="35080E44"/>
    <w:rsid w:val="354100E6"/>
    <w:rsid w:val="354E4411"/>
    <w:rsid w:val="356CE399"/>
    <w:rsid w:val="3571A392"/>
    <w:rsid w:val="357F44DD"/>
    <w:rsid w:val="358A6D52"/>
    <w:rsid w:val="35C8F968"/>
    <w:rsid w:val="35CA97B1"/>
    <w:rsid w:val="35E0B9C4"/>
    <w:rsid w:val="35EF6E56"/>
    <w:rsid w:val="360227D5"/>
    <w:rsid w:val="36054CF5"/>
    <w:rsid w:val="360740D7"/>
    <w:rsid w:val="360D00E5"/>
    <w:rsid w:val="36B27C8B"/>
    <w:rsid w:val="36C5C89C"/>
    <w:rsid w:val="36D9530F"/>
    <w:rsid w:val="3713FC27"/>
    <w:rsid w:val="37190848"/>
    <w:rsid w:val="3769E146"/>
    <w:rsid w:val="37865B41"/>
    <w:rsid w:val="38761C08"/>
    <w:rsid w:val="3877A10C"/>
    <w:rsid w:val="388B94EA"/>
    <w:rsid w:val="38911BF7"/>
    <w:rsid w:val="38BAB0E8"/>
    <w:rsid w:val="38CF223F"/>
    <w:rsid w:val="38E1A4E5"/>
    <w:rsid w:val="3907F669"/>
    <w:rsid w:val="393C70EA"/>
    <w:rsid w:val="393F7AD6"/>
    <w:rsid w:val="39D4F5B5"/>
    <w:rsid w:val="39EFD37C"/>
    <w:rsid w:val="3AA2E484"/>
    <w:rsid w:val="3AAF7DAE"/>
    <w:rsid w:val="3AD88BA7"/>
    <w:rsid w:val="3B22E445"/>
    <w:rsid w:val="3B332771"/>
    <w:rsid w:val="3B76747C"/>
    <w:rsid w:val="3B9911B0"/>
    <w:rsid w:val="3BAC670A"/>
    <w:rsid w:val="3BE02C79"/>
    <w:rsid w:val="3BEC9B18"/>
    <w:rsid w:val="3C1EB10B"/>
    <w:rsid w:val="3C4167EA"/>
    <w:rsid w:val="3C424447"/>
    <w:rsid w:val="3C6DCE7C"/>
    <w:rsid w:val="3C997E96"/>
    <w:rsid w:val="3CA54462"/>
    <w:rsid w:val="3CE763E8"/>
    <w:rsid w:val="3D0EE0E1"/>
    <w:rsid w:val="3D12F37C"/>
    <w:rsid w:val="3D367C0C"/>
    <w:rsid w:val="3D3F0CDA"/>
    <w:rsid w:val="3D68C0F9"/>
    <w:rsid w:val="3D992F02"/>
    <w:rsid w:val="3DA8C2A2"/>
    <w:rsid w:val="3DAEFDD9"/>
    <w:rsid w:val="3DD5FEC9"/>
    <w:rsid w:val="3DD77AA2"/>
    <w:rsid w:val="3DE7B62F"/>
    <w:rsid w:val="3DFEF10A"/>
    <w:rsid w:val="3E10926B"/>
    <w:rsid w:val="3E156E81"/>
    <w:rsid w:val="3E1FCD2B"/>
    <w:rsid w:val="3E6EF0B3"/>
    <w:rsid w:val="3E705632"/>
    <w:rsid w:val="3E7A852D"/>
    <w:rsid w:val="3E836EDF"/>
    <w:rsid w:val="3EBE72E0"/>
    <w:rsid w:val="3EC0E0EA"/>
    <w:rsid w:val="3ED41F5B"/>
    <w:rsid w:val="3F15322C"/>
    <w:rsid w:val="3F35EF14"/>
    <w:rsid w:val="3F416C90"/>
    <w:rsid w:val="3F46B13E"/>
    <w:rsid w:val="3F75135E"/>
    <w:rsid w:val="3FEB72CC"/>
    <w:rsid w:val="4008B45A"/>
    <w:rsid w:val="401BB15E"/>
    <w:rsid w:val="40208191"/>
    <w:rsid w:val="403E2BB2"/>
    <w:rsid w:val="409580B8"/>
    <w:rsid w:val="40A64774"/>
    <w:rsid w:val="40C7D423"/>
    <w:rsid w:val="40C8D8E0"/>
    <w:rsid w:val="40DBEC70"/>
    <w:rsid w:val="41146694"/>
    <w:rsid w:val="41727662"/>
    <w:rsid w:val="418380B3"/>
    <w:rsid w:val="419B0CCF"/>
    <w:rsid w:val="41F01421"/>
    <w:rsid w:val="420C45A4"/>
    <w:rsid w:val="423EE586"/>
    <w:rsid w:val="4278F933"/>
    <w:rsid w:val="42DE5BF3"/>
    <w:rsid w:val="431B37D8"/>
    <w:rsid w:val="43295179"/>
    <w:rsid w:val="434B4AF0"/>
    <w:rsid w:val="434DAD52"/>
    <w:rsid w:val="4357F6D2"/>
    <w:rsid w:val="4368209B"/>
    <w:rsid w:val="438D873D"/>
    <w:rsid w:val="43A5CEB5"/>
    <w:rsid w:val="43BF209F"/>
    <w:rsid w:val="43F427BF"/>
    <w:rsid w:val="44428E75"/>
    <w:rsid w:val="446FE8FA"/>
    <w:rsid w:val="44E6D859"/>
    <w:rsid w:val="45040244"/>
    <w:rsid w:val="4520234D"/>
    <w:rsid w:val="45340F97"/>
    <w:rsid w:val="453440B8"/>
    <w:rsid w:val="45710D4E"/>
    <w:rsid w:val="4574B4B5"/>
    <w:rsid w:val="45B87619"/>
    <w:rsid w:val="45D60F73"/>
    <w:rsid w:val="461775CF"/>
    <w:rsid w:val="4626001C"/>
    <w:rsid w:val="463254B4"/>
    <w:rsid w:val="4687B62D"/>
    <w:rsid w:val="46D010FB"/>
    <w:rsid w:val="46E369E1"/>
    <w:rsid w:val="46E504A5"/>
    <w:rsid w:val="46EAF368"/>
    <w:rsid w:val="47021473"/>
    <w:rsid w:val="4702CAAF"/>
    <w:rsid w:val="470C4196"/>
    <w:rsid w:val="4713C249"/>
    <w:rsid w:val="472B346E"/>
    <w:rsid w:val="472F1AEF"/>
    <w:rsid w:val="4735D104"/>
    <w:rsid w:val="4749BA80"/>
    <w:rsid w:val="475949F8"/>
    <w:rsid w:val="4767103B"/>
    <w:rsid w:val="4769ADB8"/>
    <w:rsid w:val="47AB1D3C"/>
    <w:rsid w:val="47ACA5A2"/>
    <w:rsid w:val="47E4EBF4"/>
    <w:rsid w:val="47F6091D"/>
    <w:rsid w:val="47F80545"/>
    <w:rsid w:val="483056C5"/>
    <w:rsid w:val="486F97E1"/>
    <w:rsid w:val="4874180B"/>
    <w:rsid w:val="48931F4F"/>
    <w:rsid w:val="48B00757"/>
    <w:rsid w:val="48D91CB2"/>
    <w:rsid w:val="4937F413"/>
    <w:rsid w:val="495CF880"/>
    <w:rsid w:val="4970B5CA"/>
    <w:rsid w:val="4976B6BA"/>
    <w:rsid w:val="49BDCAE3"/>
    <w:rsid w:val="49CE26D5"/>
    <w:rsid w:val="49CF5200"/>
    <w:rsid w:val="49F77D5C"/>
    <w:rsid w:val="4A06F9D7"/>
    <w:rsid w:val="4A4B7E3A"/>
    <w:rsid w:val="4A9D99C8"/>
    <w:rsid w:val="4AA60F3D"/>
    <w:rsid w:val="4ADE2A65"/>
    <w:rsid w:val="4B111C2E"/>
    <w:rsid w:val="4B841CCB"/>
    <w:rsid w:val="4B9CEEEA"/>
    <w:rsid w:val="4B9CF60E"/>
    <w:rsid w:val="4BEEF5F9"/>
    <w:rsid w:val="4BFDB79E"/>
    <w:rsid w:val="4C0BD5B1"/>
    <w:rsid w:val="4C391913"/>
    <w:rsid w:val="4C6BF46E"/>
    <w:rsid w:val="4C79C6DC"/>
    <w:rsid w:val="4D2A96BF"/>
    <w:rsid w:val="4D2E18C3"/>
    <w:rsid w:val="4D461667"/>
    <w:rsid w:val="4D4C2139"/>
    <w:rsid w:val="4D8BB054"/>
    <w:rsid w:val="4D9B9412"/>
    <w:rsid w:val="4DA5B0F8"/>
    <w:rsid w:val="4DB1AC3D"/>
    <w:rsid w:val="4DF6232B"/>
    <w:rsid w:val="4E21D7E3"/>
    <w:rsid w:val="4E30AC6B"/>
    <w:rsid w:val="4E771A12"/>
    <w:rsid w:val="4E858A9C"/>
    <w:rsid w:val="4EAD8502"/>
    <w:rsid w:val="4ECB9E67"/>
    <w:rsid w:val="4EDAC15A"/>
    <w:rsid w:val="4F1AED19"/>
    <w:rsid w:val="4F4F40A7"/>
    <w:rsid w:val="4F5C353A"/>
    <w:rsid w:val="4F6C1B7A"/>
    <w:rsid w:val="4F71B212"/>
    <w:rsid w:val="4F7DB5E0"/>
    <w:rsid w:val="4FF15489"/>
    <w:rsid w:val="4FFCD3E9"/>
    <w:rsid w:val="50248A2B"/>
    <w:rsid w:val="50287CA7"/>
    <w:rsid w:val="509288EA"/>
    <w:rsid w:val="50B07134"/>
    <w:rsid w:val="50DBB954"/>
    <w:rsid w:val="50DE9B1E"/>
    <w:rsid w:val="51222F54"/>
    <w:rsid w:val="5156E011"/>
    <w:rsid w:val="51806DC7"/>
    <w:rsid w:val="51AFEF77"/>
    <w:rsid w:val="51C4D095"/>
    <w:rsid w:val="51D9C45B"/>
    <w:rsid w:val="51DCC8DF"/>
    <w:rsid w:val="51F937E5"/>
    <w:rsid w:val="52345CF1"/>
    <w:rsid w:val="52417040"/>
    <w:rsid w:val="5243B293"/>
    <w:rsid w:val="52682A76"/>
    <w:rsid w:val="5304971F"/>
    <w:rsid w:val="5342D413"/>
    <w:rsid w:val="539AD120"/>
    <w:rsid w:val="53A2D2E4"/>
    <w:rsid w:val="543F8FB4"/>
    <w:rsid w:val="54565227"/>
    <w:rsid w:val="545C7900"/>
    <w:rsid w:val="5477BB06"/>
    <w:rsid w:val="547FD3D7"/>
    <w:rsid w:val="5486922D"/>
    <w:rsid w:val="548CA942"/>
    <w:rsid w:val="5495D10F"/>
    <w:rsid w:val="54DDBFAB"/>
    <w:rsid w:val="54DFADAB"/>
    <w:rsid w:val="54E17BD8"/>
    <w:rsid w:val="5505A4DA"/>
    <w:rsid w:val="5520FA3B"/>
    <w:rsid w:val="556FB5DE"/>
    <w:rsid w:val="558D5685"/>
    <w:rsid w:val="55BE459D"/>
    <w:rsid w:val="55E15536"/>
    <w:rsid w:val="56532097"/>
    <w:rsid w:val="565AE349"/>
    <w:rsid w:val="5681097C"/>
    <w:rsid w:val="56BDCC6B"/>
    <w:rsid w:val="56BF2ECB"/>
    <w:rsid w:val="56C5A0F2"/>
    <w:rsid w:val="5735A692"/>
    <w:rsid w:val="573BDECC"/>
    <w:rsid w:val="575E7FF1"/>
    <w:rsid w:val="57A0A24B"/>
    <w:rsid w:val="580A5679"/>
    <w:rsid w:val="58161AEA"/>
    <w:rsid w:val="58257CA2"/>
    <w:rsid w:val="58281EE6"/>
    <w:rsid w:val="5852F78C"/>
    <w:rsid w:val="5884CF57"/>
    <w:rsid w:val="588C16A6"/>
    <w:rsid w:val="588D7CCD"/>
    <w:rsid w:val="589DE2A5"/>
    <w:rsid w:val="58ABB78B"/>
    <w:rsid w:val="58C326E1"/>
    <w:rsid w:val="58FE0596"/>
    <w:rsid w:val="5900ACDE"/>
    <w:rsid w:val="5928B8B7"/>
    <w:rsid w:val="594C90AA"/>
    <w:rsid w:val="5967FF21"/>
    <w:rsid w:val="5987B325"/>
    <w:rsid w:val="59880BC5"/>
    <w:rsid w:val="599EEB93"/>
    <w:rsid w:val="59D2068E"/>
    <w:rsid w:val="59F1E0F3"/>
    <w:rsid w:val="59F4FB70"/>
    <w:rsid w:val="59F63A27"/>
    <w:rsid w:val="5A07D365"/>
    <w:rsid w:val="5A25AA26"/>
    <w:rsid w:val="5A760E2E"/>
    <w:rsid w:val="5A7C0AC5"/>
    <w:rsid w:val="5AD61AB0"/>
    <w:rsid w:val="5B217E09"/>
    <w:rsid w:val="5B476B20"/>
    <w:rsid w:val="5B4C509B"/>
    <w:rsid w:val="5B5BA525"/>
    <w:rsid w:val="5B6F6246"/>
    <w:rsid w:val="5B89BFF0"/>
    <w:rsid w:val="5B9F9112"/>
    <w:rsid w:val="5BA9E06D"/>
    <w:rsid w:val="5BAC509E"/>
    <w:rsid w:val="5BC43B26"/>
    <w:rsid w:val="5BE00C58"/>
    <w:rsid w:val="5C9A47DF"/>
    <w:rsid w:val="5CA614CD"/>
    <w:rsid w:val="5CC53009"/>
    <w:rsid w:val="5CCCA343"/>
    <w:rsid w:val="5D1A3DAC"/>
    <w:rsid w:val="5D70534F"/>
    <w:rsid w:val="5DA51E87"/>
    <w:rsid w:val="5DA8181E"/>
    <w:rsid w:val="5DB6405C"/>
    <w:rsid w:val="5E246F71"/>
    <w:rsid w:val="5E25FF69"/>
    <w:rsid w:val="5EBD05FF"/>
    <w:rsid w:val="5EEE9212"/>
    <w:rsid w:val="5F3A5274"/>
    <w:rsid w:val="5F54CDB9"/>
    <w:rsid w:val="5F56D13F"/>
    <w:rsid w:val="5F5F1D8B"/>
    <w:rsid w:val="5F689D44"/>
    <w:rsid w:val="5F6DF86B"/>
    <w:rsid w:val="5FF58F9A"/>
    <w:rsid w:val="6030A81A"/>
    <w:rsid w:val="6037C4C7"/>
    <w:rsid w:val="603F859A"/>
    <w:rsid w:val="60496F28"/>
    <w:rsid w:val="6098F9AC"/>
    <w:rsid w:val="60E9BD29"/>
    <w:rsid w:val="60FB33EE"/>
    <w:rsid w:val="60FCDEC9"/>
    <w:rsid w:val="613BF50B"/>
    <w:rsid w:val="61539A7D"/>
    <w:rsid w:val="615F49A9"/>
    <w:rsid w:val="61696BA6"/>
    <w:rsid w:val="61DBB0AE"/>
    <w:rsid w:val="61DCC3AE"/>
    <w:rsid w:val="61DF51B4"/>
    <w:rsid w:val="61F40F54"/>
    <w:rsid w:val="61FEED78"/>
    <w:rsid w:val="622C5616"/>
    <w:rsid w:val="624FB9D2"/>
    <w:rsid w:val="6260A85D"/>
    <w:rsid w:val="62640996"/>
    <w:rsid w:val="6267E07D"/>
    <w:rsid w:val="62840346"/>
    <w:rsid w:val="628DC6AC"/>
    <w:rsid w:val="628F094A"/>
    <w:rsid w:val="630A5F62"/>
    <w:rsid w:val="6329644A"/>
    <w:rsid w:val="633A7552"/>
    <w:rsid w:val="634D8B8F"/>
    <w:rsid w:val="6384AE18"/>
    <w:rsid w:val="63BA4C99"/>
    <w:rsid w:val="63C5885E"/>
    <w:rsid w:val="63FCD8A3"/>
    <w:rsid w:val="63FFAF1D"/>
    <w:rsid w:val="642AADFA"/>
    <w:rsid w:val="64364391"/>
    <w:rsid w:val="6436642C"/>
    <w:rsid w:val="644543AE"/>
    <w:rsid w:val="646BE4B5"/>
    <w:rsid w:val="64BE987F"/>
    <w:rsid w:val="64E1635B"/>
    <w:rsid w:val="6506BAF5"/>
    <w:rsid w:val="651A2FFD"/>
    <w:rsid w:val="6546124A"/>
    <w:rsid w:val="65692976"/>
    <w:rsid w:val="656E41A5"/>
    <w:rsid w:val="65895E59"/>
    <w:rsid w:val="658DC83E"/>
    <w:rsid w:val="65B34245"/>
    <w:rsid w:val="65B9FE02"/>
    <w:rsid w:val="65E016DA"/>
    <w:rsid w:val="65E9540A"/>
    <w:rsid w:val="65F95C73"/>
    <w:rsid w:val="660785A5"/>
    <w:rsid w:val="668D5BD6"/>
    <w:rsid w:val="66928B4F"/>
    <w:rsid w:val="66A93A98"/>
    <w:rsid w:val="670868B0"/>
    <w:rsid w:val="671E4A6C"/>
    <w:rsid w:val="67220452"/>
    <w:rsid w:val="67480CD5"/>
    <w:rsid w:val="6783F472"/>
    <w:rsid w:val="67888C7D"/>
    <w:rsid w:val="67A1182B"/>
    <w:rsid w:val="67BE6EA9"/>
    <w:rsid w:val="67CF10F5"/>
    <w:rsid w:val="680EC18F"/>
    <w:rsid w:val="68107945"/>
    <w:rsid w:val="683A6EE6"/>
    <w:rsid w:val="685B75F1"/>
    <w:rsid w:val="6863E913"/>
    <w:rsid w:val="690AF214"/>
    <w:rsid w:val="691939C7"/>
    <w:rsid w:val="6929AECC"/>
    <w:rsid w:val="6964E34C"/>
    <w:rsid w:val="69AC0C1E"/>
    <w:rsid w:val="69D13436"/>
    <w:rsid w:val="69F2DC2E"/>
    <w:rsid w:val="6A3C7BE1"/>
    <w:rsid w:val="6A5805BE"/>
    <w:rsid w:val="6A807434"/>
    <w:rsid w:val="6A915111"/>
    <w:rsid w:val="6AB2BDAC"/>
    <w:rsid w:val="6ADC9FFF"/>
    <w:rsid w:val="6AFC74D0"/>
    <w:rsid w:val="6B0BBD0B"/>
    <w:rsid w:val="6B1BD6E6"/>
    <w:rsid w:val="6B728A62"/>
    <w:rsid w:val="6B7C3456"/>
    <w:rsid w:val="6B9D6259"/>
    <w:rsid w:val="6BDE5B57"/>
    <w:rsid w:val="6C43F44D"/>
    <w:rsid w:val="6C63B885"/>
    <w:rsid w:val="6C7941AA"/>
    <w:rsid w:val="6C80B116"/>
    <w:rsid w:val="6D0C8CA1"/>
    <w:rsid w:val="6D30DA33"/>
    <w:rsid w:val="6D34C80B"/>
    <w:rsid w:val="6D56D775"/>
    <w:rsid w:val="6D768A9B"/>
    <w:rsid w:val="6D8F60B0"/>
    <w:rsid w:val="6DD0D31A"/>
    <w:rsid w:val="6DF0A003"/>
    <w:rsid w:val="6DFA1A2C"/>
    <w:rsid w:val="6E1E5491"/>
    <w:rsid w:val="6E345B41"/>
    <w:rsid w:val="6E620073"/>
    <w:rsid w:val="6E832BD8"/>
    <w:rsid w:val="6E915480"/>
    <w:rsid w:val="6EBDB7EA"/>
    <w:rsid w:val="6EEB7AFD"/>
    <w:rsid w:val="6F0830AF"/>
    <w:rsid w:val="6F0D71F0"/>
    <w:rsid w:val="6F18E908"/>
    <w:rsid w:val="6F733D8D"/>
    <w:rsid w:val="6F979FF7"/>
    <w:rsid w:val="6FA635EE"/>
    <w:rsid w:val="6FBF7955"/>
    <w:rsid w:val="6FC1B5B8"/>
    <w:rsid w:val="6FE420A1"/>
    <w:rsid w:val="6FEBFD57"/>
    <w:rsid w:val="6FF6EAA4"/>
    <w:rsid w:val="702BAF39"/>
    <w:rsid w:val="7048BEF7"/>
    <w:rsid w:val="70844138"/>
    <w:rsid w:val="70AF98C2"/>
    <w:rsid w:val="70C52D1B"/>
    <w:rsid w:val="70D5BC4D"/>
    <w:rsid w:val="70E56D13"/>
    <w:rsid w:val="7106BA7E"/>
    <w:rsid w:val="710C6695"/>
    <w:rsid w:val="714F5627"/>
    <w:rsid w:val="717187C8"/>
    <w:rsid w:val="71DDE9CE"/>
    <w:rsid w:val="71F02725"/>
    <w:rsid w:val="7209B629"/>
    <w:rsid w:val="72307410"/>
    <w:rsid w:val="72466560"/>
    <w:rsid w:val="724C6F90"/>
    <w:rsid w:val="7285D60C"/>
    <w:rsid w:val="72ABA9B4"/>
    <w:rsid w:val="72B013A7"/>
    <w:rsid w:val="72CC14B1"/>
    <w:rsid w:val="72D8DE87"/>
    <w:rsid w:val="7307ABE6"/>
    <w:rsid w:val="737DE472"/>
    <w:rsid w:val="7386AC38"/>
    <w:rsid w:val="738D226F"/>
    <w:rsid w:val="738E231F"/>
    <w:rsid w:val="73DC2FF2"/>
    <w:rsid w:val="73FB1DAD"/>
    <w:rsid w:val="74281675"/>
    <w:rsid w:val="747E76E4"/>
    <w:rsid w:val="749EBFB1"/>
    <w:rsid w:val="751055A3"/>
    <w:rsid w:val="7537DEA3"/>
    <w:rsid w:val="7551E960"/>
    <w:rsid w:val="755AFE21"/>
    <w:rsid w:val="756A14C2"/>
    <w:rsid w:val="757092B1"/>
    <w:rsid w:val="7588365D"/>
    <w:rsid w:val="759E61B8"/>
    <w:rsid w:val="7615C441"/>
    <w:rsid w:val="76439E54"/>
    <w:rsid w:val="7656E6A9"/>
    <w:rsid w:val="768DABC9"/>
    <w:rsid w:val="76B563C9"/>
    <w:rsid w:val="76B98FC3"/>
    <w:rsid w:val="76C7A262"/>
    <w:rsid w:val="76EC6F5C"/>
    <w:rsid w:val="773D9EA4"/>
    <w:rsid w:val="776E0EB2"/>
    <w:rsid w:val="7777CE9C"/>
    <w:rsid w:val="77E72363"/>
    <w:rsid w:val="77F990AC"/>
    <w:rsid w:val="7831E905"/>
    <w:rsid w:val="78480BB4"/>
    <w:rsid w:val="786498FF"/>
    <w:rsid w:val="7879C291"/>
    <w:rsid w:val="788CA573"/>
    <w:rsid w:val="78AA0EBF"/>
    <w:rsid w:val="78C8BD8D"/>
    <w:rsid w:val="78FC74B8"/>
    <w:rsid w:val="7901A260"/>
    <w:rsid w:val="790DAC59"/>
    <w:rsid w:val="79AD6439"/>
    <w:rsid w:val="79AE4810"/>
    <w:rsid w:val="79EA0642"/>
    <w:rsid w:val="7A2C1306"/>
    <w:rsid w:val="7A33B939"/>
    <w:rsid w:val="7A4F7AFF"/>
    <w:rsid w:val="7A6E03D8"/>
    <w:rsid w:val="7A7C1C08"/>
    <w:rsid w:val="7A8B1A24"/>
    <w:rsid w:val="7A9275BD"/>
    <w:rsid w:val="7A9F8D8D"/>
    <w:rsid w:val="7AEE62AD"/>
    <w:rsid w:val="7AF0453D"/>
    <w:rsid w:val="7B128CD7"/>
    <w:rsid w:val="7B53DE7A"/>
    <w:rsid w:val="7B762758"/>
    <w:rsid w:val="7BB998C6"/>
    <w:rsid w:val="7BD67786"/>
    <w:rsid w:val="7C0A35A6"/>
    <w:rsid w:val="7C0DD01F"/>
    <w:rsid w:val="7C56BB4F"/>
    <w:rsid w:val="7C5F54DB"/>
    <w:rsid w:val="7C67478B"/>
    <w:rsid w:val="7C690110"/>
    <w:rsid w:val="7C69202B"/>
    <w:rsid w:val="7C831FB7"/>
    <w:rsid w:val="7C8DE814"/>
    <w:rsid w:val="7CD7184B"/>
    <w:rsid w:val="7CF09F99"/>
    <w:rsid w:val="7CFFDB25"/>
    <w:rsid w:val="7D0E1B4E"/>
    <w:rsid w:val="7D0E7FEA"/>
    <w:rsid w:val="7D1A9EE4"/>
    <w:rsid w:val="7D57198C"/>
    <w:rsid w:val="7D970426"/>
    <w:rsid w:val="7DDEEBEE"/>
    <w:rsid w:val="7DDF10A3"/>
    <w:rsid w:val="7DE61942"/>
    <w:rsid w:val="7E569BB6"/>
    <w:rsid w:val="7E5C888B"/>
    <w:rsid w:val="7E9A4DB1"/>
    <w:rsid w:val="7EC7F7C3"/>
    <w:rsid w:val="7EDFBCCA"/>
    <w:rsid w:val="7EF8D212"/>
    <w:rsid w:val="7F3850C6"/>
    <w:rsid w:val="7F52E214"/>
    <w:rsid w:val="7F708EE6"/>
    <w:rsid w:val="7F8011E8"/>
    <w:rsid w:val="7FA96EA3"/>
    <w:rsid w:val="7FF57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unhideWhenUsed="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1" w:qFormat="1"/>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21"/>
    <w:pPr>
      <w:spacing w:before="120"/>
    </w:pPr>
    <w:rPr>
      <w:rFonts w:ascii="Franklin Gothic Book" w:hAnsi="Franklin Gothic Book"/>
      <w:color w:val="000000" w:themeColor="text1"/>
    </w:rPr>
  </w:style>
  <w:style w:type="paragraph" w:styleId="Heading1">
    <w:name w:val="heading 1"/>
    <w:next w:val="MSACESParagraph"/>
    <w:link w:val="Heading1Char"/>
    <w:uiPriority w:val="9"/>
    <w:qFormat/>
    <w:rsid w:val="005C2085"/>
    <w:pPr>
      <w:keepNext/>
      <w:keepLines/>
      <w:numPr>
        <w:numId w:val="2"/>
      </w:numPr>
      <w:spacing w:before="400" w:after="120"/>
      <w:outlineLvl w:val="0"/>
    </w:pPr>
    <w:rPr>
      <w:rFonts w:eastAsiaTheme="majorEastAsia" w:cstheme="majorBidi"/>
      <w:b/>
      <w:sz w:val="32"/>
      <w:szCs w:val="28"/>
    </w:rPr>
  </w:style>
  <w:style w:type="paragraph" w:styleId="Heading2">
    <w:name w:val="heading 2"/>
    <w:aliases w:val="Subsection Headings"/>
    <w:basedOn w:val="Normal"/>
    <w:next w:val="Normal"/>
    <w:link w:val="Heading2Char"/>
    <w:uiPriority w:val="9"/>
    <w:qFormat/>
    <w:rsid w:val="004A5746"/>
    <w:pPr>
      <w:keepNext/>
      <w:keepLines/>
      <w:spacing w:before="360" w:after="120"/>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34102C"/>
    <w:pPr>
      <w:keepNext/>
      <w:keepLines/>
      <w:numPr>
        <w:ilvl w:val="5"/>
        <w:numId w:val="2"/>
      </w:numPr>
      <w:tabs>
        <w:tab w:val="left" w:pos="1134"/>
      </w:tabs>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7C72F2"/>
    <w:pPr>
      <w:numPr>
        <w:numId w:val="0"/>
      </w:numPr>
      <w:spacing w:before="240" w:after="0"/>
      <w:outlineLvl w:val="3"/>
    </w:pPr>
    <w:rPr>
      <w:color w:val="000000" w:themeColor="text1"/>
      <w:sz w:val="24"/>
    </w:rPr>
  </w:style>
  <w:style w:type="paragraph" w:styleId="Heading5">
    <w:name w:val="heading 5"/>
    <w:basedOn w:val="Heading2"/>
    <w:next w:val="Normal"/>
    <w:link w:val="Heading5Char"/>
    <w:uiPriority w:val="10"/>
    <w:rsid w:val="003B095E"/>
    <w:pPr>
      <w:outlineLvl w:val="4"/>
    </w:pPr>
  </w:style>
  <w:style w:type="paragraph" w:styleId="Heading6">
    <w:name w:val="heading 6"/>
    <w:aliases w:val="Heading 3 - Body"/>
    <w:basedOn w:val="Heading3"/>
    <w:next w:val="Normal"/>
    <w:link w:val="Heading6Char"/>
    <w:uiPriority w:val="12"/>
    <w:rsid w:val="00624315"/>
    <w:pPr>
      <w:outlineLvl w:val="5"/>
    </w:pPr>
    <w:rPr>
      <w:sz w:val="24"/>
    </w:rPr>
  </w:style>
  <w:style w:type="paragraph" w:styleId="Heading7">
    <w:name w:val="heading 7"/>
    <w:basedOn w:val="Heading1"/>
    <w:next w:val="Normal"/>
    <w:link w:val="Heading7Char"/>
    <w:uiPriority w:val="12"/>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qFormat/>
    <w:rsid w:val="002B5D74"/>
    <w:pPr>
      <w:keepNext/>
      <w:keepLines/>
      <w:numPr>
        <w:ilvl w:val="7"/>
        <w:numId w:val="2"/>
      </w:numPr>
      <w:spacing w:before="40" w:after="0"/>
      <w:ind w:left="1800" w:hanging="180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rsid w:val="002A4503"/>
    <w:pPr>
      <w:numPr>
        <w:ilvl w:val="8"/>
      </w:numPr>
      <w:ind w:left="1800" w:hanging="180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aliases w:val="Subsection Headings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34102C"/>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Figure_name,Numbered Indented Text,Bullet- First level,List NUmber,Listenabsatz1,lp"/>
    <w:basedOn w:val="Normal"/>
    <w:link w:val="ListParagraphChar"/>
    <w:uiPriority w:val="34"/>
    <w:qFormat/>
    <w:rsid w:val="004908B7"/>
    <w:pPr>
      <w:numPr>
        <w:numId w:val="32"/>
      </w:numPr>
    </w:p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9"/>
    <w:rsid w:val="007C72F2"/>
    <w:rPr>
      <w:rFonts w:eastAsiaTheme="majorEastAsia" w:cstheme="majorBidi"/>
      <w:b/>
      <w:color w:val="000000" w:themeColor="text1"/>
      <w:sz w:val="24"/>
      <w:szCs w:val="28"/>
    </w:rPr>
  </w:style>
  <w:style w:type="character" w:customStyle="1" w:styleId="Heading5Char">
    <w:name w:val="Heading 5 Char"/>
    <w:basedOn w:val="DefaultParagraphFont"/>
    <w:link w:val="Heading5"/>
    <w:uiPriority w:val="10"/>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rsid w:val="00481549"/>
    <w:rPr>
      <w:rFonts w:eastAsiaTheme="majorEastAsia" w:cstheme="majorBidi"/>
      <w:b/>
      <w:sz w:val="24"/>
      <w:szCs w:val="28"/>
    </w:rPr>
  </w:style>
  <w:style w:type="character" w:customStyle="1" w:styleId="Heading7Char">
    <w:name w:val="Heading 7 Char"/>
    <w:basedOn w:val="DefaultParagraphFont"/>
    <w:link w:val="Heading7"/>
    <w:uiPriority w:val="12"/>
    <w:rsid w:val="00481549"/>
    <w:rPr>
      <w:rFonts w:eastAsiaTheme="majorEastAsia" w:cstheme="majorBidi"/>
      <w:b/>
      <w:i/>
      <w:sz w:val="24"/>
      <w:szCs w:val="24"/>
    </w:rPr>
  </w:style>
  <w:style w:type="character" w:customStyle="1" w:styleId="Heading8Char">
    <w:name w:val="Heading 8 Char"/>
    <w:basedOn w:val="DefaultParagraphFont"/>
    <w:link w:val="Heading8"/>
    <w:uiPriority w:val="7"/>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HealthConsult,Source table_,NICE instructions,Header Table,Dossier table,Section 3- footnotes,Tabellengitternetz 9pt,Table Grid nm,Lash Style Tabl"/>
    <w:basedOn w:val="TableNormal"/>
    <w:uiPriority w:val="39"/>
    <w:rsid w:val="004033BF"/>
    <w:pPr>
      <w:spacing w:after="0" w:line="240" w:lineRule="auto"/>
    </w:pPr>
    <w:rPr>
      <w:lang w:val="en-US"/>
    </w:rPr>
    <w:tblPr/>
    <w:tblStylePr w:type="firstRow">
      <w:rPr>
        <w:b/>
      </w:r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APTION"/>
    <w:next w:val="Normal"/>
    <w:link w:val="CaptionChar"/>
    <w:autoRedefine/>
    <w:qFormat/>
    <w:rsid w:val="00565B62"/>
    <w:pPr>
      <w:keepNext/>
      <w:tabs>
        <w:tab w:val="left" w:pos="1276"/>
      </w:tabs>
      <w:spacing w:before="120" w:after="0"/>
    </w:pPr>
    <w:rPr>
      <w:rFonts w:ascii="Arial Narrow" w:hAnsi="Arial Narrow"/>
      <w:b/>
      <w:iCs/>
      <w:color w:val="000000" w:themeColor="text1"/>
      <w:sz w:val="20"/>
      <w:szCs w:val="18"/>
      <w:lang w:val="en-GB" w:eastAsia="en-AU"/>
    </w:rPr>
  </w:style>
  <w:style w:type="paragraph" w:customStyle="1" w:styleId="TableText">
    <w:name w:val="Table Text"/>
    <w:basedOn w:val="Normal"/>
    <w:link w:val="TableTextChar"/>
    <w:qFormat/>
    <w:rsid w:val="007D3BFB"/>
    <w:pPr>
      <w:widowControl w:val="0"/>
      <w:spacing w:before="0" w:after="0"/>
    </w:pPr>
    <w:rPr>
      <w:rFonts w:ascii="Arial Narrow" w:hAnsi="Arial Narrow"/>
      <w:sz w:val="20"/>
    </w:rPr>
  </w:style>
  <w:style w:type="character" w:styleId="Hyperlink">
    <w:name w:val="Hyperlink"/>
    <w:basedOn w:val="DefaultParagraphFont"/>
    <w:uiPriority w:val="99"/>
    <w:rsid w:val="00BA3306"/>
    <w:rPr>
      <w:color w:val="00B0F0"/>
      <w:u w:val="single"/>
    </w:rPr>
  </w:style>
  <w:style w:type="paragraph" w:styleId="FootnoteText">
    <w:name w:val="footnote text"/>
    <w:aliases w:val="Char"/>
    <w:basedOn w:val="Normal"/>
    <w:link w:val="FootnoteTextChar"/>
    <w:uiPriority w:val="99"/>
    <w:rsid w:val="00BA3306"/>
    <w:pPr>
      <w:spacing w:before="0" w:after="0"/>
    </w:pPr>
    <w:rPr>
      <w:sz w:val="18"/>
      <w:szCs w:val="20"/>
    </w:rPr>
  </w:style>
  <w:style w:type="character" w:customStyle="1" w:styleId="FootnoteTextChar">
    <w:name w:val="Footnote Text Char"/>
    <w:aliases w:val="Char Char"/>
    <w:basedOn w:val="DefaultParagraphFont"/>
    <w:link w:val="FootnoteText"/>
    <w:uiPriority w:val="99"/>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Annotationmark,CommentReference"/>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rsid w:val="004E6CFF"/>
    <w:rPr>
      <w:b/>
      <w:bCs/>
      <w:sz w:val="20"/>
      <w:szCs w:val="20"/>
    </w:rPr>
  </w:style>
  <w:style w:type="character" w:customStyle="1" w:styleId="CommentSubjectChar">
    <w:name w:val="Comment Subject Char"/>
    <w:basedOn w:val="DefaultParagraphFont"/>
    <w:link w:val="CommentSubject"/>
    <w:uiPriority w:val="99"/>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rsid w:val="00565B62"/>
    <w:rPr>
      <w:rFonts w:ascii="Arial Narrow" w:hAnsi="Arial Narrow"/>
      <w:b/>
      <w:iCs/>
      <w:color w:val="000000" w:themeColor="text1"/>
      <w:sz w:val="20"/>
      <w:szCs w:val="18"/>
      <w:lang w:val="en-GB" w:eastAsia="en-AU"/>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qFormat/>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Figure_name Char,lp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0"/>
      </w:numPr>
      <w:tabs>
        <w:tab w:val="left" w:pos="1077"/>
      </w:tabs>
      <w:spacing w:before="240" w:line="240" w:lineRule="auto"/>
      <w:ind w:left="432" w:hanging="432"/>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405140"/>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405140"/>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cPr>
      <w:tcBorders>
        <w:top w:val="single" w:sz="4" w:space="0" w:color="auto"/>
        <w:left w:val="single" w:sz="4" w:space="0" w:color="auto"/>
        <w:bottom w:val="single" w:sz="4" w:space="0" w:color="auto"/>
        <w:right w:val="single" w:sz="4" w:space="0" w:color="auto"/>
      </w:tcBorders>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Montserrat" w:hAnsi="Montserra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Montserrat" w:hAnsi="Montserra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Montserrat" w:hAnsi="Montserrat"/>
        <w:i/>
        <w:iCs/>
        <w:sz w:val="20"/>
      </w:rPr>
    </w:tblStylePr>
  </w:style>
  <w:style w:type="table" w:styleId="ListTable1Light">
    <w:name w:val="List Table 1 Light"/>
    <w:basedOn w:val="TableNormal"/>
    <w:uiPriority w:val="46"/>
    <w:rsid w:val="00062018"/>
    <w:pPr>
      <w:spacing w:after="0" w:line="240" w:lineRule="auto"/>
    </w:pPr>
    <w:tblPr>
      <w:tblStyleRowBandSize w:val="1"/>
      <w:tblStyleColBandSize w:val="1"/>
    </w:tblPr>
    <w:tcPr>
      <w:shd w:val="clear" w:color="auto" w:fill="CCCCCC" w:themeFill="text1" w:themeFillTint="33"/>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7Colou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cPr>
      <w:tcBorders>
        <w:right w:val="single" w:sz="4" w:space="0" w:color="70AD47" w:themeColor="accent6"/>
      </w:tcBorders>
      <w:shd w:val="clear" w:color="auto" w:fill="E2EFD9" w:themeFill="accent6" w:themeFillTint="33"/>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6"/>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rPr>
      <w:i w:val="0"/>
      <w:smallCaps/>
      <w:sz w:val="32"/>
    </w:rPr>
  </w:style>
  <w:style w:type="paragraph" w:customStyle="1" w:styleId="PBACESHeading3">
    <w:name w:val="PBAC ES Heading 3"/>
    <w:basedOn w:val="PBACESHeading2"/>
    <w:link w:val="PBACESHeading3Char"/>
    <w:uiPriority w:val="1"/>
    <w:qFormat/>
    <w:rsid w:val="00396339"/>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numId w:val="7"/>
      </w:numPr>
      <w:spacing w:after="120"/>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StylePr w:type="lastRow">
      <w:rPr>
        <w:i/>
        <w:iCs/>
      </w:rPr>
    </w:tblStylePr>
    <w:tblStylePr w:type="lastCol">
      <w:rPr>
        <w:i/>
        <w:iCs/>
      </w:r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ind w:left="720" w:hanging="720"/>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numPr>
        <w:numId w:val="0"/>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3"/>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4"/>
      </w:numPr>
    </w:pPr>
  </w:style>
  <w:style w:type="paragraph" w:customStyle="1" w:styleId="MainBodyBulletPoint">
    <w:name w:val="MainBody Bullet Point"/>
    <w:basedOn w:val="InstructionBulletpoint"/>
    <w:link w:val="MainBodyBulletPointChar"/>
    <w:uiPriority w:val="1"/>
    <w:qFormat/>
    <w:rsid w:val="002532B4"/>
    <w:pPr>
      <w:numPr>
        <w:numId w:val="5"/>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8"/>
      </w:numPr>
    </w:pPr>
  </w:style>
  <w:style w:type="numbering" w:customStyle="1" w:styleId="Style2">
    <w:name w:val="Style2"/>
    <w:uiPriority w:val="99"/>
    <w:rsid w:val="002A391F"/>
    <w:pPr>
      <w:numPr>
        <w:numId w:val="9"/>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cPr>
      <w:shd w:val="clear" w:color="auto" w:fill="CCCCCC" w:themeFill="text1" w:themeFillTint="33"/>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cPr>
      <w:shd w:val="clear" w:color="auto" w:fill="E2EFD9" w:themeFill="accent6" w:themeFillTint="33"/>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 Car17, Car17 Car, Char Char Char, Char Char1,Annotationtext,Cha,Char Char Char,Char Char1,Comment Text Char Char,Comment Text Char Char Char,Comment Text Char Char1 Char,Comment Text Char1 Char,Car17,Car17 Car,- H19"/>
    <w:basedOn w:val="Normal"/>
    <w:link w:val="CommentTextChar"/>
    <w:uiPriority w:val="99"/>
    <w:unhideWhenUsed/>
    <w:qFormat/>
    <w:rsid w:val="001952BB"/>
    <w:rPr>
      <w:sz w:val="20"/>
      <w:szCs w:val="20"/>
    </w:rPr>
  </w:style>
  <w:style w:type="character" w:customStyle="1" w:styleId="CommentTextChar">
    <w:name w:val="Comment Text Char"/>
    <w:aliases w:val=" Car17 Char, Car17 Car Char, Char Char Char Char, Char Char1 Char,Annotationtext Char,Cha Char,Char Char Char Char,Char Char1 Char,Comment Text Char Char Char1,Comment Text Char Char Char Char,Comment Text Char Char1 Char Char"/>
    <w:basedOn w:val="DefaultParagraphFont"/>
    <w:link w:val="CommentText"/>
    <w:uiPriority w:val="99"/>
    <w:qFormat/>
    <w:rsid w:val="001952BB"/>
    <w:rPr>
      <w:sz w:val="20"/>
      <w:szCs w:val="20"/>
    </w:rPr>
  </w:style>
  <w:style w:type="paragraph" w:customStyle="1" w:styleId="Guidelinescross-ref">
    <w:name w:val="Guidelines cross-ref"/>
    <w:basedOn w:val="Normal"/>
    <w:rsid w:val="001952BB"/>
    <w:pPr>
      <w:spacing w:before="240" w:after="240"/>
    </w:pPr>
    <w:rPr>
      <w:b/>
      <w:color w:val="0070C0"/>
    </w:rPr>
  </w:style>
  <w:style w:type="paragraph" w:customStyle="1" w:styleId="Instructionaltext0">
    <w:name w:val="Instructional text"/>
    <w:basedOn w:val="Normal"/>
    <w:link w:val="InstructionaltextChar0"/>
    <w:rsid w:val="001952BB"/>
    <w:rPr>
      <w:color w:val="258221"/>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11"/>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3"/>
      </w:numPr>
      <w:spacing w:after="120"/>
    </w:pPr>
  </w:style>
  <w:style w:type="paragraph" w:customStyle="1" w:styleId="Summaryboxheading">
    <w:name w:val="Summary box heading"/>
    <w:basedOn w:val="Normal"/>
    <w:rsid w:val="00276C8F"/>
    <w:pPr>
      <w:spacing w:after="100" w:afterAutospacing="1"/>
    </w:pPr>
    <w:rPr>
      <w:rFonts w:ascii="Arial Narrow" w:eastAsia="Times New Roman" w:hAnsi="Arial Narrow" w:cs="Tahoma"/>
      <w:b/>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qFormat/>
    <w:rsid w:val="00F4445A"/>
    <w:pPr>
      <w:spacing w:before="0" w:after="0"/>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EF6F47"/>
    <w:pPr>
      <w:keepNext/>
      <w:spacing w:after="0" w:line="240" w:lineRule="auto"/>
      <w:ind w:left="993" w:hanging="993"/>
    </w:pPr>
    <w:rPr>
      <w:rFonts w:ascii="Arial Narrow" w:eastAsiaTheme="majorEastAsia" w:hAnsi="Arial Narrow" w:cstheme="majorBidi"/>
      <w:b/>
      <w:bCs/>
      <w:sz w:val="20"/>
      <w:szCs w:val="24"/>
      <w:lang w:val="en-GB" w:eastAsia="en-AU"/>
    </w:rPr>
  </w:style>
  <w:style w:type="character" w:customStyle="1" w:styleId="TableFigureHeadingChar">
    <w:name w:val="Table/Figure Heading Char"/>
    <w:basedOn w:val="DefaultParagraphFont"/>
    <w:link w:val="TableFigureHeading"/>
    <w:rsid w:val="00EF6F47"/>
    <w:rPr>
      <w:rFonts w:ascii="Arial Narrow" w:eastAsiaTheme="majorEastAsia" w:hAnsi="Arial Narrow" w:cstheme="majorBidi"/>
      <w:b/>
      <w:bCs/>
      <w:sz w:val="20"/>
      <w:szCs w:val="24"/>
      <w:lang w:val="en-GB"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style>
  <w:style w:type="paragraph" w:customStyle="1" w:styleId="Bulletpoints">
    <w:name w:val="Bullet points"/>
    <w:basedOn w:val="ListParagraph"/>
    <w:rsid w:val="00636D93"/>
    <w:pPr>
      <w:numPr>
        <w:numId w:val="14"/>
      </w:numPr>
      <w:spacing w:before="0" w:after="12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spacing w:before="0" w:after="1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99"/>
    <w:unhideWhenUsed/>
    <w:qFormat/>
    <w:rsid w:val="009E2636"/>
    <w:pPr>
      <w:spacing w:after="120"/>
    </w:pPr>
  </w:style>
  <w:style w:type="character" w:customStyle="1" w:styleId="BodyTextChar">
    <w:name w:val="Body Text Char"/>
    <w:basedOn w:val="DefaultParagraphFont"/>
    <w:link w:val="BodyText"/>
    <w:uiPriority w:val="99"/>
    <w:rsid w:val="009E2636"/>
    <w:rPr>
      <w:sz w:val="24"/>
    </w:rPr>
  </w:style>
  <w:style w:type="paragraph" w:customStyle="1" w:styleId="4-SubsectionHeading">
    <w:name w:val="4-Subsection Heading"/>
    <w:basedOn w:val="Heading2"/>
    <w:next w:val="3-BodyText"/>
    <w:link w:val="4-SubsectionHeadingChar"/>
    <w:qFormat/>
    <w:rsid w:val="00C15EDC"/>
    <w:pPr>
      <w:keepLines w:val="0"/>
      <w:spacing w:before="12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EndNoteBibliographyTitle">
    <w:name w:val="EndNote Bibliography Title"/>
    <w:basedOn w:val="Normal"/>
    <w:link w:val="EndNoteBibliographyTitleChar"/>
    <w:rsid w:val="00F828A7"/>
    <w:pPr>
      <w:spacing w:after="0"/>
      <w:jc w:val="center"/>
    </w:pPr>
    <w:rPr>
      <w:rFonts w:ascii="Calibri" w:hAnsi="Calibri" w:cs="Calibri"/>
      <w:noProof/>
      <w:lang w:val="en-US"/>
    </w:rPr>
  </w:style>
  <w:style w:type="character" w:customStyle="1" w:styleId="EndNoteBibliographyTitleChar">
    <w:name w:val="EndNote Bibliography Title Char"/>
    <w:basedOn w:val="InstructionBulletpointChar"/>
    <w:link w:val="EndNoteBibliographyTitle"/>
    <w:rsid w:val="00F828A7"/>
    <w:rPr>
      <w:rFonts w:ascii="Calibri" w:hAnsi="Calibri" w:cs="Calibri"/>
      <w:noProof/>
      <w:color w:val="3366FF"/>
      <w:sz w:val="24"/>
      <w:lang w:val="en-US"/>
    </w:rPr>
  </w:style>
  <w:style w:type="paragraph" w:customStyle="1" w:styleId="EndNoteBibliography">
    <w:name w:val="EndNote Bibliography"/>
    <w:basedOn w:val="Normal"/>
    <w:link w:val="EndNoteBibliographyChar"/>
    <w:rsid w:val="00F828A7"/>
    <w:rPr>
      <w:rFonts w:ascii="Calibri" w:hAnsi="Calibri" w:cs="Calibri"/>
      <w:noProof/>
      <w:lang w:val="en-US"/>
    </w:rPr>
  </w:style>
  <w:style w:type="character" w:customStyle="1" w:styleId="EndNoteBibliographyChar">
    <w:name w:val="EndNote Bibliography Char"/>
    <w:basedOn w:val="InstructionBulletpointChar"/>
    <w:link w:val="EndNoteBibliography"/>
    <w:rsid w:val="00F828A7"/>
    <w:rPr>
      <w:rFonts w:ascii="Calibri" w:hAnsi="Calibri" w:cs="Calibri"/>
      <w:noProof/>
      <w:color w:val="3366FF"/>
      <w:sz w:val="24"/>
      <w:lang w:val="en-US"/>
    </w:rPr>
  </w:style>
  <w:style w:type="character" w:customStyle="1" w:styleId="SmallItalics">
    <w:name w:val="Small Italics"/>
    <w:basedOn w:val="DefaultParagraphFont"/>
    <w:uiPriority w:val="4"/>
    <w:qFormat/>
    <w:rsid w:val="00B32B6C"/>
    <w:rPr>
      <w:rFonts w:ascii="Calibri" w:hAnsi="Calibri"/>
      <w:i/>
      <w:sz w:val="20"/>
    </w:rPr>
  </w:style>
  <w:style w:type="character" w:styleId="SubtleReference">
    <w:name w:val="Subtle Reference"/>
    <w:basedOn w:val="DefaultParagraphFont"/>
    <w:uiPriority w:val="31"/>
    <w:qFormat/>
    <w:rsid w:val="00B32B6C"/>
    <w:rPr>
      <w:smallCaps/>
    </w:rPr>
  </w:style>
  <w:style w:type="table" w:customStyle="1" w:styleId="Submissionstandard">
    <w:name w:val="Submission standard"/>
    <w:basedOn w:val="TableNormal"/>
    <w:uiPriority w:val="99"/>
    <w:qFormat/>
    <w:rsid w:val="00B32B6C"/>
    <w:pPr>
      <w:spacing w:after="0" w:line="240" w:lineRule="auto"/>
    </w:pPr>
    <w:rPr>
      <w:rFonts w:ascii="Arial Narrow" w:eastAsiaTheme="majorEastAsia" w:hAnsi="Arial Narrow" w:cstheme="majorBidi"/>
      <w:sz w:val="20"/>
      <w:lang w:val="en-US" w:bidi="en-US"/>
    </w:rPr>
    <w:tblPr/>
    <w:tblStylePr w:type="firstRow">
      <w:rPr>
        <w:rFonts w:ascii="Marlett" w:hAnsi="Marlett"/>
        <w:b/>
        <w:sz w:val="20"/>
      </w:rPr>
    </w:tblStylePr>
  </w:style>
  <w:style w:type="paragraph" w:customStyle="1" w:styleId="TableFootnotesAbbreviations">
    <w:name w:val="Table Footnotes/Abbreviations"/>
    <w:basedOn w:val="BodyText"/>
    <w:link w:val="TableFootnotesAbbreviationsChar"/>
    <w:qFormat/>
    <w:rsid w:val="00B32B6C"/>
    <w:pPr>
      <w:spacing w:before="60" w:after="0"/>
    </w:pPr>
    <w:rPr>
      <w:rFonts w:ascii="Calibri Light" w:eastAsia="Times New Roman" w:hAnsi="Calibri Light" w:cs="Times New Roman"/>
      <w:sz w:val="18"/>
      <w:szCs w:val="20"/>
      <w:lang w:val="en-US"/>
    </w:rPr>
  </w:style>
  <w:style w:type="character" w:customStyle="1" w:styleId="TableFootnotesAbbreviationsChar">
    <w:name w:val="Table Footnotes/Abbreviations Char"/>
    <w:basedOn w:val="BodyTextChar"/>
    <w:link w:val="TableFootnotesAbbreviations"/>
    <w:rsid w:val="00B32B6C"/>
    <w:rPr>
      <w:rFonts w:ascii="Calibri Light" w:eastAsia="Times New Roman" w:hAnsi="Calibri Light" w:cs="Times New Roman"/>
      <w:sz w:val="18"/>
      <w:szCs w:val="20"/>
      <w:lang w:val="en-US"/>
    </w:rPr>
  </w:style>
  <w:style w:type="paragraph" w:customStyle="1" w:styleId="TableLeft">
    <w:name w:val="Table Left"/>
    <w:basedOn w:val="Normal"/>
    <w:link w:val="TableLeftChar"/>
    <w:uiPriority w:val="99"/>
    <w:qFormat/>
    <w:rsid w:val="00B32B6C"/>
    <w:pPr>
      <w:spacing w:before="0" w:after="0"/>
    </w:pPr>
    <w:rPr>
      <w:rFonts w:ascii="Calibri" w:eastAsiaTheme="majorEastAsia" w:hAnsi="Calibri" w:cstheme="majorBidi"/>
      <w:sz w:val="18"/>
      <w:lang w:bidi="en-US"/>
    </w:rPr>
  </w:style>
  <w:style w:type="character" w:customStyle="1" w:styleId="TableLeftChar">
    <w:name w:val="Table Left Char"/>
    <w:basedOn w:val="DefaultParagraphFont"/>
    <w:link w:val="TableLeft"/>
    <w:uiPriority w:val="99"/>
    <w:locked/>
    <w:rsid w:val="00B32B6C"/>
    <w:rPr>
      <w:rFonts w:ascii="Calibri" w:eastAsiaTheme="majorEastAsia" w:hAnsi="Calibri" w:cstheme="majorBidi"/>
      <w:sz w:val="18"/>
      <w:lang w:bidi="en-US"/>
    </w:rPr>
  </w:style>
  <w:style w:type="table" w:customStyle="1" w:styleId="TableGrid10">
    <w:name w:val="Table Grid1"/>
    <w:basedOn w:val="TableNormal"/>
    <w:next w:val="TableGrid"/>
    <w:uiPriority w:val="59"/>
    <w:rsid w:val="00B32B6C"/>
    <w:pPr>
      <w:spacing w:after="0" w:line="240" w:lineRule="auto"/>
    </w:pPr>
    <w:rPr>
      <w:rFonts w:ascii="Times New Roman" w:eastAsia="Batang" w:hAnsi="Times New Roman" w:cs="Times New Roman"/>
      <w:sz w:val="20"/>
      <w:szCs w:val="20"/>
      <w:lang w:val="en-US"/>
    </w:rPr>
    <w:tblPr/>
  </w:style>
  <w:style w:type="table" w:customStyle="1" w:styleId="Submissionstandard1">
    <w:name w:val="Submission standard1"/>
    <w:basedOn w:val="TableNormal"/>
    <w:uiPriority w:val="99"/>
    <w:qFormat/>
    <w:rsid w:val="00B32B6C"/>
    <w:pPr>
      <w:spacing w:after="0" w:line="240" w:lineRule="auto"/>
    </w:pPr>
    <w:rPr>
      <w:rFonts w:ascii="Arial Narrow" w:eastAsia="MS Gothic" w:hAnsi="Arial Narrow" w:cs="Times New Roman"/>
      <w:sz w:val="20"/>
      <w:lang w:val="en-US" w:bidi="en-US"/>
    </w:rPr>
    <w:tblPr/>
    <w:tblStylePr w:type="firstRow">
      <w:rPr>
        <w:rFonts w:ascii="Marlett" w:hAnsi="Marlett"/>
        <w:b/>
        <w:sz w:val="20"/>
      </w:rPr>
    </w:tblStylePr>
  </w:style>
  <w:style w:type="table" w:customStyle="1" w:styleId="Submissionstandard2">
    <w:name w:val="Submission standard2"/>
    <w:basedOn w:val="TableNormal"/>
    <w:uiPriority w:val="99"/>
    <w:qFormat/>
    <w:rsid w:val="00B32B6C"/>
    <w:pPr>
      <w:spacing w:after="0" w:line="240" w:lineRule="auto"/>
    </w:pPr>
    <w:rPr>
      <w:rFonts w:ascii="Arial Narrow" w:eastAsia="MS Gothic" w:hAnsi="Arial Narrow" w:cs="Times New Roman"/>
      <w:sz w:val="20"/>
      <w:lang w:val="en-US" w:bidi="en-US"/>
    </w:rPr>
    <w:tblPr/>
    <w:tblStylePr w:type="firstRow">
      <w:rPr>
        <w:rFonts w:ascii="Marlett" w:hAnsi="Marlett"/>
        <w:b/>
        <w:sz w:val="20"/>
      </w:rPr>
    </w:tblStylePr>
  </w:style>
  <w:style w:type="table" w:customStyle="1" w:styleId="Submissionstandard3">
    <w:name w:val="Submission standard3"/>
    <w:basedOn w:val="TableNormal"/>
    <w:uiPriority w:val="99"/>
    <w:qFormat/>
    <w:rsid w:val="00B32B6C"/>
    <w:pPr>
      <w:spacing w:after="0" w:line="240" w:lineRule="auto"/>
    </w:pPr>
    <w:rPr>
      <w:rFonts w:ascii="Arial Narrow" w:eastAsia="MS Gothic" w:hAnsi="Arial Narrow" w:cs="Times New Roman"/>
      <w:sz w:val="20"/>
      <w:lang w:val="en-US" w:bidi="en-US"/>
    </w:rPr>
    <w:tblPr/>
    <w:tblStylePr w:type="firstRow">
      <w:rPr>
        <w:rFonts w:ascii="Marlett" w:hAnsi="Marlett"/>
        <w:b/>
        <w:sz w:val="20"/>
      </w:rPr>
    </w:tblStylePr>
  </w:style>
  <w:style w:type="table" w:customStyle="1" w:styleId="Submissionstandard4">
    <w:name w:val="Submission standard4"/>
    <w:basedOn w:val="TableNormal"/>
    <w:uiPriority w:val="99"/>
    <w:qFormat/>
    <w:rsid w:val="00B32B6C"/>
    <w:pPr>
      <w:spacing w:after="0" w:line="240" w:lineRule="auto"/>
    </w:pPr>
    <w:rPr>
      <w:rFonts w:ascii="Arial Narrow" w:eastAsia="MS Gothic" w:hAnsi="Arial Narrow" w:cs="Times New Roman"/>
      <w:sz w:val="20"/>
      <w:lang w:val="en-US" w:bidi="en-US"/>
    </w:rPr>
    <w:tblPr/>
    <w:tblStylePr w:type="firstRow">
      <w:rPr>
        <w:rFonts w:ascii="Marlett" w:hAnsi="Marlett"/>
        <w:b/>
        <w:sz w:val="20"/>
      </w:rPr>
    </w:tblStylePr>
  </w:style>
  <w:style w:type="table" w:customStyle="1" w:styleId="Submissionstandard5">
    <w:name w:val="Submission standard5"/>
    <w:basedOn w:val="TableNormal"/>
    <w:uiPriority w:val="99"/>
    <w:qFormat/>
    <w:rsid w:val="00B32B6C"/>
    <w:pPr>
      <w:spacing w:after="0" w:line="240" w:lineRule="auto"/>
    </w:pPr>
    <w:rPr>
      <w:rFonts w:ascii="Arial Narrow" w:eastAsia="MS Gothic" w:hAnsi="Arial Narrow" w:cs="Times New Roman"/>
      <w:sz w:val="20"/>
      <w:lang w:val="en-US" w:bidi="en-US"/>
    </w:rPr>
    <w:tblPr/>
    <w:tblStylePr w:type="firstRow">
      <w:rPr>
        <w:rFonts w:ascii="Marlett" w:hAnsi="Marlett"/>
        <w:b/>
        <w:sz w:val="20"/>
      </w:rPr>
    </w:tblStylePr>
  </w:style>
  <w:style w:type="paragraph" w:customStyle="1" w:styleId="aubodycopy-nospaceafter">
    <w:name w:val="aubodycopy-nospaceafter"/>
    <w:basedOn w:val="Normal"/>
    <w:rsid w:val="00B32B6C"/>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32B6C"/>
  </w:style>
  <w:style w:type="paragraph" w:styleId="ListBullet">
    <w:name w:val="List Bullet"/>
    <w:basedOn w:val="Normal"/>
    <w:link w:val="ListBulletChar"/>
    <w:unhideWhenUsed/>
    <w:rsid w:val="00B32B6C"/>
    <w:pPr>
      <w:numPr>
        <w:numId w:val="16"/>
      </w:numPr>
      <w:spacing w:before="0" w:after="0"/>
      <w:contextualSpacing/>
    </w:pPr>
    <w:rPr>
      <w:rFonts w:ascii="Calibri" w:eastAsia="Times New Roman" w:hAnsi="Calibri" w:cs="Arial"/>
      <w:szCs w:val="24"/>
      <w:lang w:eastAsia="en-AU"/>
    </w:rPr>
  </w:style>
  <w:style w:type="character" w:customStyle="1" w:styleId="ListBulletChar">
    <w:name w:val="List Bullet Char"/>
    <w:basedOn w:val="DefaultParagraphFont"/>
    <w:link w:val="ListBullet"/>
    <w:rsid w:val="00B32B6C"/>
    <w:rPr>
      <w:rFonts w:ascii="Calibri" w:eastAsia="Times New Roman" w:hAnsi="Calibri" w:cs="Arial"/>
      <w:sz w:val="24"/>
      <w:szCs w:val="24"/>
      <w:lang w:eastAsia="en-AU"/>
    </w:rPr>
  </w:style>
  <w:style w:type="paragraph" w:customStyle="1" w:styleId="NICEnormal">
    <w:name w:val="NICE normal"/>
    <w:basedOn w:val="Normal"/>
    <w:link w:val="NICEnormalChar"/>
    <w:rsid w:val="00B32B6C"/>
    <w:pPr>
      <w:spacing w:after="120" w:line="360" w:lineRule="auto"/>
    </w:pPr>
    <w:rPr>
      <w:rFonts w:ascii="Arial" w:hAnsi="Arial"/>
      <w:lang w:val="en-GB"/>
    </w:rPr>
  </w:style>
  <w:style w:type="character" w:customStyle="1" w:styleId="NICEnormalChar">
    <w:name w:val="NICE normal Char"/>
    <w:basedOn w:val="DefaultParagraphFont"/>
    <w:link w:val="NICEnormal"/>
    <w:rsid w:val="00B32B6C"/>
    <w:rPr>
      <w:rFonts w:ascii="Arial" w:hAnsi="Arial"/>
      <w:sz w:val="24"/>
      <w:lang w:val="en-GB"/>
    </w:rPr>
  </w:style>
  <w:style w:type="table" w:styleId="TableGridLight">
    <w:name w:val="Grid Table Light"/>
    <w:basedOn w:val="TableNormal"/>
    <w:uiPriority w:val="40"/>
    <w:rsid w:val="00B32B6C"/>
    <w:pPr>
      <w:spacing w:after="0" w:line="240" w:lineRule="auto"/>
    </w:pPr>
    <w:rPr>
      <w:rFonts w:ascii="Times New Roman" w:eastAsia="Times New Roman" w:hAnsi="Times New Roman" w:cs="Times New Roman"/>
      <w:sz w:val="20"/>
      <w:szCs w:val="20"/>
      <w:lang w:val="en-GB" w:eastAsia="en-GB"/>
    </w:rPr>
    <w:tblPr/>
    <w:tblStylePr w:type="firstRow">
      <w:rPr>
        <w:b/>
      </w:rPr>
    </w:tblStylePr>
  </w:style>
  <w:style w:type="paragraph" w:customStyle="1" w:styleId="pf0">
    <w:name w:val="pf0"/>
    <w:basedOn w:val="Normal"/>
    <w:rsid w:val="00B32B6C"/>
    <w:pPr>
      <w:spacing w:before="100" w:beforeAutospacing="1" w:after="100" w:afterAutospacing="1"/>
    </w:pPr>
    <w:rPr>
      <w:rFonts w:ascii="Times New Roman" w:eastAsia="Times New Roman" w:hAnsi="Times New Roman" w:cs="Times New Roman"/>
      <w:szCs w:val="24"/>
      <w:lang w:eastAsia="en-AU"/>
    </w:rPr>
  </w:style>
  <w:style w:type="character" w:customStyle="1" w:styleId="cf01">
    <w:name w:val="cf01"/>
    <w:basedOn w:val="DefaultParagraphFont"/>
    <w:rsid w:val="00B32B6C"/>
    <w:rPr>
      <w:rFonts w:ascii="Segoe UI" w:hAnsi="Segoe UI" w:cs="Segoe UI" w:hint="default"/>
      <w:sz w:val="18"/>
      <w:szCs w:val="18"/>
    </w:rPr>
  </w:style>
  <w:style w:type="character" w:customStyle="1" w:styleId="FooterTableFigureChar">
    <w:name w:val="Footer Table/Figure Char"/>
    <w:link w:val="FooterTableFigure"/>
    <w:locked/>
    <w:rsid w:val="00B32B6C"/>
    <w:rPr>
      <w:rFonts w:ascii="Arial Narrow" w:hAnsi="Arial Narrow" w:cs="Arial"/>
      <w:sz w:val="18"/>
    </w:rPr>
  </w:style>
  <w:style w:type="paragraph" w:customStyle="1" w:styleId="FooterTableFigure">
    <w:name w:val="Footer Table/Figure"/>
    <w:basedOn w:val="Normal"/>
    <w:link w:val="FooterTableFigureChar"/>
    <w:qFormat/>
    <w:rsid w:val="00B32B6C"/>
    <w:pPr>
      <w:snapToGrid w:val="0"/>
      <w:spacing w:before="0" w:after="120"/>
      <w:contextualSpacing/>
    </w:pPr>
    <w:rPr>
      <w:rFonts w:ascii="Arial Narrow" w:hAnsi="Arial Narrow" w:cs="Arial"/>
      <w:sz w:val="18"/>
    </w:rPr>
  </w:style>
  <w:style w:type="character" w:styleId="Mention">
    <w:name w:val="Mention"/>
    <w:basedOn w:val="DefaultParagraphFont"/>
    <w:uiPriority w:val="99"/>
    <w:unhideWhenUsed/>
    <w:rsid w:val="00B32B6C"/>
    <w:rPr>
      <w:color w:val="2B579A"/>
      <w:shd w:val="clear" w:color="auto" w:fill="E1DFDD"/>
    </w:rPr>
  </w:style>
  <w:style w:type="paragraph" w:customStyle="1" w:styleId="COMH1numbered">
    <w:name w:val="COM H1 numbered"/>
    <w:next w:val="Normal"/>
    <w:link w:val="COMH1numberedChar"/>
    <w:qFormat/>
    <w:rsid w:val="00B32B6C"/>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COMexecsumnumberedpara">
    <w:name w:val="COM exec sum numbered para"/>
    <w:basedOn w:val="ListParagraph"/>
    <w:qFormat/>
    <w:rsid w:val="00B32B6C"/>
    <w:pPr>
      <w:numPr>
        <w:numId w:val="0"/>
      </w:numPr>
      <w:spacing w:before="0" w:after="120"/>
      <w:ind w:left="720" w:hanging="720"/>
    </w:pPr>
    <w:rPr>
      <w:rFonts w:eastAsia="Times New Roman" w:cs="Arial"/>
      <w:snapToGrid w:val="0"/>
      <w:color w:val="auto"/>
      <w:szCs w:val="24"/>
      <w:lang w:eastAsia="en-AU"/>
    </w:rPr>
  </w:style>
  <w:style w:type="character" w:customStyle="1" w:styleId="COMH1numberedChar">
    <w:name w:val="COM H1 numbered Char"/>
    <w:basedOn w:val="DefaultParagraphFont"/>
    <w:link w:val="COMH1numbered"/>
    <w:rsid w:val="00B32B6C"/>
    <w:rPr>
      <w:rFonts w:eastAsia="Times New Roman" w:cs="Arial"/>
      <w:b/>
      <w:snapToGrid w:val="0"/>
      <w:sz w:val="32"/>
      <w:szCs w:val="32"/>
      <w:lang w:eastAsia="en-AU"/>
    </w:rPr>
  </w:style>
  <w:style w:type="paragraph" w:customStyle="1" w:styleId="Tablefootnote">
    <w:name w:val="Table footnote"/>
    <w:basedOn w:val="Normal"/>
    <w:next w:val="NICEnormal"/>
    <w:link w:val="TablefootnoteChar"/>
    <w:qFormat/>
    <w:rsid w:val="00B32B6C"/>
    <w:pPr>
      <w:spacing w:before="0" w:after="120"/>
    </w:pPr>
    <w:rPr>
      <w:sz w:val="18"/>
      <w:szCs w:val="20"/>
      <w:lang w:val="en-GB"/>
    </w:rPr>
  </w:style>
  <w:style w:type="character" w:customStyle="1" w:styleId="TablefootnoteChar">
    <w:name w:val="Table footnote Char"/>
    <w:link w:val="Tablefootnote"/>
    <w:rsid w:val="00B32B6C"/>
    <w:rPr>
      <w:sz w:val="18"/>
      <w:szCs w:val="20"/>
      <w:lang w:val="en-GB"/>
    </w:rPr>
  </w:style>
  <w:style w:type="paragraph" w:customStyle="1" w:styleId="Pic">
    <w:name w:val="Pic"/>
    <w:next w:val="ListParagraph"/>
    <w:uiPriority w:val="9"/>
    <w:qFormat/>
    <w:rsid w:val="00B32B6C"/>
    <w:pPr>
      <w:keepNext/>
      <w:spacing w:after="0" w:line="240" w:lineRule="auto"/>
    </w:pPr>
    <w:rPr>
      <w:rFonts w:ascii="Calibri" w:eastAsia="Calibri" w:hAnsi="Calibri" w:cs="Calibri"/>
      <w:sz w:val="20"/>
      <w:szCs w:val="20"/>
    </w:rPr>
  </w:style>
  <w:style w:type="paragraph" w:customStyle="1" w:styleId="TableFigNotes18">
    <w:name w:val="TableFigNotes+18"/>
    <w:basedOn w:val="ListParagraph"/>
    <w:next w:val="BodyText"/>
    <w:link w:val="TableFigNotes18Char"/>
    <w:uiPriority w:val="4"/>
    <w:qFormat/>
    <w:rsid w:val="00B32B6C"/>
    <w:pPr>
      <w:numPr>
        <w:numId w:val="0"/>
      </w:numPr>
      <w:spacing w:before="60" w:after="360"/>
      <w:contextualSpacing/>
    </w:pPr>
    <w:rPr>
      <w:rFonts w:ascii="Montserrat" w:eastAsia="Calibri" w:hAnsi="Montserrat" w:cs="Calibri"/>
      <w:color w:val="auto"/>
      <w:sz w:val="14"/>
      <w:szCs w:val="20"/>
    </w:rPr>
  </w:style>
  <w:style w:type="character" w:customStyle="1" w:styleId="TableFigNotes18Char">
    <w:name w:val="TableFigNotes+18 Char"/>
    <w:basedOn w:val="DefaultParagraphFont"/>
    <w:link w:val="TableFigNotes18"/>
    <w:uiPriority w:val="4"/>
    <w:locked/>
    <w:rsid w:val="00B32B6C"/>
    <w:rPr>
      <w:rFonts w:ascii="Montserrat" w:eastAsia="Calibri" w:hAnsi="Montserrat" w:cs="Calibri"/>
      <w:sz w:val="14"/>
      <w:szCs w:val="20"/>
    </w:rPr>
  </w:style>
  <w:style w:type="paragraph" w:customStyle="1" w:styleId="Tabletext8pt">
    <w:name w:val="Table text 8pt"/>
    <w:basedOn w:val="Tabletext0"/>
    <w:qFormat/>
    <w:rsid w:val="00B32B6C"/>
    <w:pPr>
      <w:keepNext/>
      <w:keepLines/>
      <w:spacing w:before="20" w:after="20"/>
    </w:pPr>
    <w:rPr>
      <w:rFonts w:ascii="Montserrat" w:eastAsia="Calibri" w:hAnsi="Montserrat" w:cs="Calibri"/>
      <w:snapToGrid/>
      <w:sz w:val="16"/>
      <w:szCs w:val="16"/>
      <w:lang w:eastAsia="en-US"/>
    </w:rPr>
  </w:style>
  <w:style w:type="table" w:customStyle="1" w:styleId="HTATableshaded">
    <w:name w:val="HTA Table shaded"/>
    <w:basedOn w:val="TableNormal"/>
    <w:rsid w:val="00B32B6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28pt">
    <w:name w:val="Table H2 8pt"/>
    <w:basedOn w:val="Normal"/>
    <w:qFormat/>
    <w:rsid w:val="00B32B6C"/>
    <w:pPr>
      <w:keepNext/>
      <w:keepLines/>
      <w:spacing w:before="20" w:after="20"/>
      <w:contextualSpacing/>
    </w:pPr>
    <w:rPr>
      <w:rFonts w:ascii="Montserrat" w:eastAsia="Calibri" w:hAnsi="Montserrat" w:cs="Calibri"/>
      <w:b/>
      <w:sz w:val="16"/>
      <w:szCs w:val="20"/>
    </w:rPr>
  </w:style>
  <w:style w:type="paragraph" w:customStyle="1" w:styleId="Tablebulletlist">
    <w:name w:val="Table bullet list"/>
    <w:basedOn w:val="Normal"/>
    <w:qFormat/>
    <w:rsid w:val="00B32B6C"/>
    <w:pPr>
      <w:widowControl w:val="0"/>
      <w:numPr>
        <w:numId w:val="18"/>
      </w:numPr>
      <w:tabs>
        <w:tab w:val="left" w:pos="464"/>
      </w:tabs>
      <w:spacing w:before="34" w:after="0"/>
    </w:pPr>
    <w:rPr>
      <w:rFonts w:ascii="Montserrat" w:eastAsia="Calibri" w:hAnsi="Montserrat" w:cs="Times New Roman"/>
      <w:sz w:val="16"/>
      <w:szCs w:val="18"/>
      <w:lang w:val="en-US" w:eastAsia="en-AU"/>
    </w:rPr>
  </w:style>
  <w:style w:type="paragraph" w:customStyle="1" w:styleId="TableH28ptCentered">
    <w:name w:val="Table H2 8pt + Centered"/>
    <w:basedOn w:val="Normal"/>
    <w:qFormat/>
    <w:rsid w:val="00B32B6C"/>
    <w:pPr>
      <w:keepNext/>
      <w:keepLines/>
      <w:spacing w:before="20" w:after="20"/>
      <w:contextualSpacing/>
      <w:jc w:val="center"/>
    </w:pPr>
    <w:rPr>
      <w:rFonts w:ascii="Montserrat" w:eastAsia="Calibri" w:hAnsi="Montserrat" w:cs="Calibri"/>
      <w:b/>
      <w:sz w:val="16"/>
      <w:szCs w:val="20"/>
    </w:rPr>
  </w:style>
  <w:style w:type="paragraph" w:customStyle="1" w:styleId="Tabletext8ptCentered">
    <w:name w:val="Table text 8pt + Centered"/>
    <w:basedOn w:val="Tabletext8pt"/>
    <w:qFormat/>
    <w:rsid w:val="00B32B6C"/>
  </w:style>
  <w:style w:type="paragraph" w:customStyle="1" w:styleId="Tabletextleft">
    <w:name w:val="Table text left"/>
    <w:basedOn w:val="Normal"/>
    <w:link w:val="TabletextleftChar"/>
    <w:qFormat/>
    <w:rsid w:val="00B32B6C"/>
    <w:pPr>
      <w:spacing w:before="0" w:after="20"/>
    </w:pPr>
    <w:rPr>
      <w:rFonts w:eastAsia="Times New Roman" w:cs="Times New Roman"/>
      <w:sz w:val="18"/>
      <w:szCs w:val="20"/>
      <w:lang w:eastAsia="en-AU"/>
    </w:rPr>
  </w:style>
  <w:style w:type="character" w:customStyle="1" w:styleId="TabletextleftChar">
    <w:name w:val="Table text left Char"/>
    <w:basedOn w:val="DefaultParagraphFont"/>
    <w:link w:val="Tabletextleft"/>
    <w:rsid w:val="00B32B6C"/>
    <w:rPr>
      <w:rFonts w:eastAsia="Times New Roman" w:cs="Times New Roman"/>
      <w:sz w:val="18"/>
      <w:szCs w:val="20"/>
      <w:lang w:eastAsia="en-AU"/>
    </w:rPr>
  </w:style>
  <w:style w:type="table" w:customStyle="1" w:styleId="TableGrid28">
    <w:name w:val="Table Grid28"/>
    <w:basedOn w:val="TableNormal"/>
    <w:next w:val="TableGrid"/>
    <w:uiPriority w:val="59"/>
    <w:rsid w:val="00B32B6C"/>
    <w:pPr>
      <w:spacing w:after="0" w:line="240" w:lineRule="auto"/>
    </w:pPr>
    <w:tblPr/>
  </w:style>
  <w:style w:type="paragraph" w:customStyle="1" w:styleId="TableH1">
    <w:name w:val="Table H1"/>
    <w:basedOn w:val="BodyText"/>
    <w:uiPriority w:val="4"/>
    <w:qFormat/>
    <w:rsid w:val="00B32B6C"/>
    <w:pPr>
      <w:keepNext/>
      <w:keepLines/>
      <w:spacing w:before="20" w:after="20"/>
    </w:pPr>
    <w:rPr>
      <w:rFonts w:ascii="Montserrat" w:eastAsia="Calibri" w:hAnsi="Montserrat" w:cs="Calibri"/>
      <w:b/>
      <w:sz w:val="16"/>
      <w:szCs w:val="16"/>
      <w:lang w:val="en-US"/>
    </w:rPr>
  </w:style>
  <w:style w:type="paragraph" w:customStyle="1" w:styleId="TableFigNotes187">
    <w:name w:val="TableFigNotes+18 7"/>
    <w:basedOn w:val="TableFigNotes18"/>
    <w:qFormat/>
    <w:rsid w:val="00B32B6C"/>
    <w:pPr>
      <w:spacing w:before="20" w:after="160"/>
    </w:pPr>
  </w:style>
  <w:style w:type="paragraph" w:customStyle="1" w:styleId="LLYBlueHeading">
    <w:name w:val="LLY Blue Heading"/>
    <w:basedOn w:val="Normal"/>
    <w:qFormat/>
    <w:rsid w:val="00B32B6C"/>
    <w:pPr>
      <w:keepNext/>
      <w:spacing w:after="120"/>
    </w:pPr>
    <w:rPr>
      <w:rFonts w:ascii="Montserrat" w:eastAsia="Times New Roman" w:hAnsi="Montserrat" w:cs="Times New Roman"/>
      <w:b/>
      <w:color w:val="1F497D"/>
      <w:sz w:val="20"/>
      <w:szCs w:val="24"/>
      <w:lang w:val="en-GB"/>
    </w:rPr>
  </w:style>
  <w:style w:type="paragraph" w:customStyle="1" w:styleId="Summary">
    <w:name w:val="Summary"/>
    <w:basedOn w:val="BodyText"/>
    <w:qFormat/>
    <w:rsid w:val="00B32B6C"/>
    <w:pPr>
      <w:keepLines/>
      <w:pBdr>
        <w:top w:val="single" w:sz="4" w:space="1" w:color="auto"/>
        <w:left w:val="single" w:sz="4" w:space="4" w:color="auto"/>
        <w:bottom w:val="single" w:sz="4" w:space="1" w:color="auto"/>
        <w:right w:val="single" w:sz="4" w:space="4" w:color="auto"/>
      </w:pBdr>
      <w:spacing w:before="0" w:line="288" w:lineRule="auto"/>
    </w:pPr>
    <w:rPr>
      <w:rFonts w:ascii="Montserrat" w:eastAsia="Calibri" w:hAnsi="Montserrat" w:cs="Calibri"/>
      <w:sz w:val="18"/>
      <w:szCs w:val="20"/>
    </w:rPr>
  </w:style>
  <w:style w:type="paragraph" w:customStyle="1" w:styleId="Default">
    <w:name w:val="Default"/>
    <w:rsid w:val="00B32B6C"/>
    <w:pPr>
      <w:autoSpaceDE w:val="0"/>
      <w:autoSpaceDN w:val="0"/>
      <w:adjustRightInd w:val="0"/>
      <w:spacing w:after="0" w:line="240" w:lineRule="auto"/>
    </w:pPr>
    <w:rPr>
      <w:rFonts w:ascii="Cambria" w:hAnsi="Cambria" w:cs="Cambria"/>
      <w:color w:val="000000"/>
      <w:sz w:val="24"/>
      <w:szCs w:val="24"/>
    </w:rPr>
  </w:style>
  <w:style w:type="paragraph" w:customStyle="1" w:styleId="TableHeadingleft">
    <w:name w:val="Table Heading left"/>
    <w:basedOn w:val="Normal"/>
    <w:next w:val="Tabletextleft"/>
    <w:qFormat/>
    <w:rsid w:val="00B32B6C"/>
    <w:pPr>
      <w:spacing w:before="40" w:after="40"/>
    </w:pPr>
    <w:rPr>
      <w:rFonts w:cs="Tahoma"/>
      <w:b/>
      <w:sz w:val="18"/>
      <w:szCs w:val="18"/>
      <w:lang w:val="de-DE"/>
    </w:rPr>
  </w:style>
  <w:style w:type="character" w:styleId="PlaceholderText">
    <w:name w:val="Placeholder Text"/>
    <w:basedOn w:val="DefaultParagraphFont"/>
    <w:uiPriority w:val="99"/>
    <w:semiHidden/>
    <w:rsid w:val="00B32B6C"/>
    <w:rPr>
      <w:color w:val="666666"/>
    </w:rPr>
  </w:style>
  <w:style w:type="table" w:customStyle="1" w:styleId="HeaderTable1">
    <w:name w:val="Header Table1"/>
    <w:basedOn w:val="TableNormal"/>
    <w:next w:val="TableGrid"/>
    <w:uiPriority w:val="39"/>
    <w:rsid w:val="00280EE9"/>
    <w:pPr>
      <w:spacing w:after="0" w:line="240" w:lineRule="auto"/>
    </w:pPr>
    <w:rPr>
      <w:rFonts w:eastAsia="Calibri"/>
      <w:lang w:val="de-DE"/>
    </w:rPr>
    <w:tblPr/>
  </w:style>
  <w:style w:type="paragraph" w:customStyle="1" w:styleId="Heading2-Body">
    <w:name w:val="Heading 2 - Body"/>
    <w:basedOn w:val="Heading5"/>
    <w:qFormat/>
    <w:rsid w:val="006C3E79"/>
  </w:style>
  <w:style w:type="numbering" w:customStyle="1" w:styleId="Style11">
    <w:name w:val="Style11"/>
    <w:uiPriority w:val="99"/>
    <w:rsid w:val="0038328D"/>
  </w:style>
  <w:style w:type="paragraph" w:customStyle="1" w:styleId="Heading61">
    <w:name w:val="Heading 61"/>
    <w:basedOn w:val="Heading6"/>
    <w:link w:val="heading6Char0"/>
    <w:qFormat/>
    <w:rsid w:val="0038328D"/>
    <w:pPr>
      <w:numPr>
        <w:numId w:val="3"/>
      </w:numPr>
      <w:tabs>
        <w:tab w:val="clear" w:pos="1134"/>
        <w:tab w:val="left" w:pos="1418"/>
      </w:tabs>
      <w:ind w:left="1134" w:hanging="1134"/>
    </w:pPr>
  </w:style>
  <w:style w:type="character" w:customStyle="1" w:styleId="heading6Char0">
    <w:name w:val="heading 6 Char"/>
    <w:basedOn w:val="Heading6Char"/>
    <w:link w:val="Heading61"/>
    <w:rsid w:val="0038328D"/>
    <w:rPr>
      <w:rFonts w:eastAsiaTheme="majorEastAsia" w:cstheme="majorBidi"/>
      <w:b/>
      <w:sz w:val="24"/>
      <w:szCs w:val="28"/>
    </w:rPr>
  </w:style>
  <w:style w:type="table" w:customStyle="1" w:styleId="HeaderTable2">
    <w:name w:val="Header Table2"/>
    <w:basedOn w:val="TableNormal"/>
    <w:next w:val="TableGrid"/>
    <w:uiPriority w:val="39"/>
    <w:rsid w:val="0038328D"/>
    <w:pPr>
      <w:spacing w:after="0" w:line="240" w:lineRule="auto"/>
    </w:pPr>
    <w:rPr>
      <w:rFonts w:eastAsia="Calibri"/>
      <w:lang w:val="de-DE"/>
    </w:rPr>
    <w:tblPr/>
  </w:style>
  <w:style w:type="numbering" w:customStyle="1" w:styleId="Style12">
    <w:name w:val="Style12"/>
    <w:uiPriority w:val="99"/>
    <w:rsid w:val="00696F20"/>
  </w:style>
  <w:style w:type="numbering" w:customStyle="1" w:styleId="Style13">
    <w:name w:val="Style13"/>
    <w:uiPriority w:val="99"/>
    <w:rsid w:val="00931B87"/>
    <w:pPr>
      <w:numPr>
        <w:numId w:val="10"/>
      </w:numPr>
    </w:pPr>
  </w:style>
  <w:style w:type="numbering" w:customStyle="1" w:styleId="Style31">
    <w:name w:val="Style31"/>
    <w:uiPriority w:val="99"/>
    <w:rsid w:val="00931B87"/>
    <w:pPr>
      <w:numPr>
        <w:numId w:val="12"/>
      </w:numPr>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B69EE"/>
    <w:pPr>
      <w:spacing w:before="0" w:line="240" w:lineRule="exact"/>
    </w:pPr>
    <w:rPr>
      <w:rFonts w:ascii="Verdana" w:eastAsia="MS Mincho" w:hAnsi="Verdana" w:cs="Verdana"/>
      <w:sz w:val="20"/>
      <w:szCs w:val="20"/>
      <w:lang w:val="en-US"/>
    </w:rPr>
  </w:style>
  <w:style w:type="character" w:customStyle="1" w:styleId="text-widget">
    <w:name w:val="text-widget"/>
    <w:basedOn w:val="DefaultParagraphFont"/>
    <w:rsid w:val="00BB69EE"/>
  </w:style>
  <w:style w:type="table" w:customStyle="1" w:styleId="TableGrid2">
    <w:name w:val="Table Grid2"/>
    <w:basedOn w:val="TableNormal"/>
    <w:next w:val="TableGrid"/>
    <w:uiPriority w:val="39"/>
    <w:rsid w:val="00BB69EE"/>
    <w:pPr>
      <w:spacing w:after="0" w:line="240" w:lineRule="auto"/>
    </w:pPr>
    <w:rPr>
      <w:rFonts w:ascii="Times New Roman" w:hAnsi="Times New Roman" w:cs="Times New Roman"/>
      <w:sz w:val="24"/>
      <w:szCs w:val="24"/>
    </w:rPr>
    <w:tblPr/>
  </w:style>
  <w:style w:type="paragraph" w:customStyle="1" w:styleId="paragraph">
    <w:name w:val="paragraph"/>
    <w:basedOn w:val="Normal"/>
    <w:rsid w:val="00BB69EE"/>
    <w:pPr>
      <w:spacing w:before="100" w:beforeAutospacing="1" w:after="100" w:afterAutospacing="1"/>
    </w:pPr>
    <w:rPr>
      <w:rFonts w:ascii="Times New Roman" w:eastAsia="Times New Roman" w:hAnsi="Times New Roman" w:cs="Times New Roman"/>
      <w:szCs w:val="24"/>
      <w:lang w:eastAsia="en-AU"/>
    </w:rPr>
  </w:style>
  <w:style w:type="paragraph" w:customStyle="1" w:styleId="PBACHeading1">
    <w:name w:val="PBAC Heading 1"/>
    <w:qFormat/>
    <w:rsid w:val="00B428F5"/>
    <w:pPr>
      <w:spacing w:after="0" w:line="240" w:lineRule="auto"/>
      <w:ind w:left="720" w:hanging="720"/>
      <w:outlineLvl w:val="0"/>
    </w:pPr>
    <w:rPr>
      <w:rFonts w:ascii="Calibri" w:eastAsia="Times New Roman" w:hAnsi="Calibri" w:cs="Calibri"/>
      <w:b/>
      <w:snapToGrid w:val="0"/>
      <w:sz w:val="32"/>
      <w:szCs w:val="32"/>
    </w:rPr>
  </w:style>
  <w:style w:type="character" w:customStyle="1" w:styleId="cf11">
    <w:name w:val="cf11"/>
    <w:basedOn w:val="DefaultParagraphFont"/>
    <w:rsid w:val="00FD76D7"/>
    <w:rPr>
      <w:rFonts w:ascii="Segoe UI" w:hAnsi="Segoe UI" w:cs="Segoe UI" w:hint="default"/>
      <w:i/>
      <w:iCs/>
      <w:sz w:val="18"/>
      <w:szCs w:val="18"/>
    </w:rPr>
  </w:style>
  <w:style w:type="paragraph" w:customStyle="1" w:styleId="TableHeader">
    <w:name w:val="Table Header"/>
    <w:basedOn w:val="Normal"/>
    <w:uiPriority w:val="3"/>
    <w:rsid w:val="00AE1F22"/>
    <w:pPr>
      <w:spacing w:before="0" w:after="0"/>
    </w:pPr>
    <w:rPr>
      <w:rFonts w:ascii="Calibri" w:eastAsia="Times New Roman" w:hAnsi="Calibri" w:cs="Arial"/>
      <w:b/>
      <w:sz w:val="20"/>
      <w:szCs w:val="24"/>
      <w:lang w:eastAsia="en-AU"/>
    </w:rPr>
  </w:style>
  <w:style w:type="paragraph" w:styleId="Title">
    <w:name w:val="Title"/>
    <w:basedOn w:val="Normal"/>
    <w:next w:val="Normal"/>
    <w:link w:val="TitleChar"/>
    <w:rsid w:val="00AE1F22"/>
    <w:pPr>
      <w:spacing w:before="240" w:after="60"/>
      <w:jc w:val="center"/>
      <w:outlineLvl w:val="0"/>
    </w:pPr>
    <w:rPr>
      <w:rFonts w:ascii="Cambria" w:eastAsia="Times New Roman" w:hAnsi="Cambria" w:cs="Arial"/>
      <w:b/>
      <w:bCs/>
      <w:kern w:val="28"/>
      <w:sz w:val="32"/>
      <w:szCs w:val="32"/>
      <w:lang w:eastAsia="en-AU"/>
    </w:rPr>
  </w:style>
  <w:style w:type="character" w:customStyle="1" w:styleId="TitleChar">
    <w:name w:val="Title Char"/>
    <w:basedOn w:val="DefaultParagraphFont"/>
    <w:link w:val="Title"/>
    <w:rsid w:val="00AE1F22"/>
    <w:rPr>
      <w:rFonts w:ascii="Cambria" w:eastAsia="Times New Roman" w:hAnsi="Cambria" w:cs="Arial"/>
      <w:b/>
      <w:bCs/>
      <w:kern w:val="28"/>
      <w:sz w:val="32"/>
      <w:szCs w:val="32"/>
      <w:lang w:eastAsia="en-AU"/>
    </w:rPr>
  </w:style>
  <w:style w:type="paragraph" w:customStyle="1" w:styleId="Corpsdetextemarge">
    <w:name w:val="Corps de texte marge"/>
    <w:basedOn w:val="BodyText"/>
    <w:uiPriority w:val="99"/>
    <w:rsid w:val="00AE1F22"/>
    <w:pPr>
      <w:spacing w:before="0" w:after="0"/>
    </w:pPr>
    <w:rPr>
      <w:rFonts w:ascii="Times" w:eastAsia="Times New Roman" w:hAnsi="Times" w:cs="Times New Roman"/>
      <w:snapToGrid w:val="0"/>
      <w:szCs w:val="24"/>
      <w:lang w:val="en-US" w:eastAsia="en-AU"/>
    </w:rPr>
  </w:style>
  <w:style w:type="paragraph" w:customStyle="1" w:styleId="TableName">
    <w:name w:val="TableName"/>
    <w:basedOn w:val="Normal"/>
    <w:rsid w:val="00AE1F22"/>
    <w:pPr>
      <w:keepNext/>
      <w:spacing w:after="120"/>
      <w:ind w:left="1800" w:hanging="1080"/>
    </w:pPr>
    <w:rPr>
      <w:rFonts w:ascii="Arial Narrow" w:eastAsia="Times New Roman" w:hAnsi="Arial Narrow" w:cs="Arial Narrow"/>
      <w:b/>
      <w:bCs/>
      <w:snapToGrid w:val="0"/>
      <w:szCs w:val="24"/>
      <w:lang w:eastAsia="en-AU"/>
    </w:rPr>
  </w:style>
  <w:style w:type="paragraph" w:customStyle="1" w:styleId="TableNotes18">
    <w:name w:val="TableNotes+18"/>
    <w:basedOn w:val="Normal"/>
    <w:rsid w:val="00AE1F22"/>
    <w:pPr>
      <w:keepLines/>
      <w:spacing w:before="0" w:after="360"/>
      <w:ind w:left="720"/>
    </w:pPr>
    <w:rPr>
      <w:rFonts w:ascii="Arial Narrow" w:eastAsia="Times New Roman" w:hAnsi="Arial Narrow" w:cs="Arial Narrow"/>
      <w:snapToGrid w:val="0"/>
      <w:sz w:val="18"/>
      <w:szCs w:val="18"/>
      <w:lang w:eastAsia="en-AU"/>
    </w:rPr>
  </w:style>
  <w:style w:type="paragraph" w:customStyle="1" w:styleId="TableNotes0">
    <w:name w:val="TableNotes+0"/>
    <w:basedOn w:val="TableNotes18"/>
    <w:rsid w:val="00AE1F22"/>
    <w:pPr>
      <w:keepNext/>
      <w:spacing w:after="0"/>
    </w:pPr>
  </w:style>
  <w:style w:type="paragraph" w:styleId="BodyTextIndent">
    <w:name w:val="Body Text Indent"/>
    <w:basedOn w:val="Normal"/>
    <w:link w:val="BodyTextIndentChar"/>
    <w:rsid w:val="00AE1F22"/>
    <w:pPr>
      <w:spacing w:before="0" w:after="120"/>
      <w:ind w:left="283"/>
    </w:pPr>
    <w:rPr>
      <w:rFonts w:ascii="Calibri" w:eastAsia="Times New Roman" w:hAnsi="Calibri" w:cs="Arial"/>
      <w:szCs w:val="24"/>
      <w:lang w:eastAsia="en-AU"/>
    </w:rPr>
  </w:style>
  <w:style w:type="character" w:customStyle="1" w:styleId="BodyTextIndentChar">
    <w:name w:val="Body Text Indent Char"/>
    <w:basedOn w:val="DefaultParagraphFont"/>
    <w:link w:val="BodyTextIndent"/>
    <w:rsid w:val="00AE1F22"/>
    <w:rPr>
      <w:rFonts w:ascii="Calibri" w:eastAsia="Times New Roman" w:hAnsi="Calibri" w:cs="Arial"/>
      <w:sz w:val="24"/>
      <w:szCs w:val="24"/>
      <w:lang w:eastAsia="en-AU"/>
    </w:rPr>
  </w:style>
  <w:style w:type="paragraph" w:customStyle="1" w:styleId="Char1CharCharChar">
    <w:name w:val="Char1 Char Char Char"/>
    <w:basedOn w:val="Normal"/>
    <w:rsid w:val="00AE1F22"/>
    <w:pPr>
      <w:spacing w:before="0" w:line="240" w:lineRule="exact"/>
    </w:pPr>
    <w:rPr>
      <w:rFonts w:ascii="Verdana" w:eastAsia="MS Mincho" w:hAnsi="Verdana" w:cs="Verdana"/>
      <w:snapToGrid w:val="0"/>
      <w:sz w:val="20"/>
      <w:szCs w:val="24"/>
      <w:lang w:val="en-US" w:eastAsia="en-AU"/>
    </w:rPr>
  </w:style>
  <w:style w:type="character" w:customStyle="1" w:styleId="SubtitleChar">
    <w:name w:val="Subtitle Char"/>
    <w:link w:val="Subtitle"/>
    <w:rsid w:val="00AE1F22"/>
  </w:style>
  <w:style w:type="paragraph" w:styleId="Subtitle">
    <w:name w:val="Subtitle"/>
    <w:basedOn w:val="Normal"/>
    <w:link w:val="SubtitleChar"/>
    <w:rsid w:val="00AE1F22"/>
    <w:pPr>
      <w:spacing w:before="0" w:after="0"/>
    </w:pPr>
  </w:style>
  <w:style w:type="character" w:customStyle="1" w:styleId="SubtitleChar1">
    <w:name w:val="Subtitle Char1"/>
    <w:basedOn w:val="DefaultParagraphFont"/>
    <w:rsid w:val="00AE1F22"/>
    <w:rPr>
      <w:rFonts w:eastAsiaTheme="minorEastAsia"/>
      <w:color w:val="5A5A5A" w:themeColor="text1" w:themeTint="A5"/>
      <w:spacing w:val="15"/>
    </w:rPr>
  </w:style>
  <w:style w:type="table" w:customStyle="1" w:styleId="PlainTable21">
    <w:name w:val="Plain Table 21"/>
    <w:basedOn w:val="TableNormal"/>
    <w:uiPriority w:val="42"/>
    <w:rsid w:val="00AE1F22"/>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semiHidden/>
    <w:unhideWhenUsed/>
    <w:rsid w:val="00AE1F22"/>
  </w:style>
  <w:style w:type="paragraph" w:customStyle="1" w:styleId="V50Tablename">
    <w:name w:val="V5.0 Table name"/>
    <w:basedOn w:val="Normal"/>
    <w:link w:val="V50TablenameChar"/>
    <w:rsid w:val="00AE1F22"/>
    <w:pPr>
      <w:keepNext/>
      <w:spacing w:before="0" w:after="0"/>
    </w:pPr>
    <w:rPr>
      <w:b/>
      <w:snapToGrid w:val="0"/>
      <w:sz w:val="20"/>
      <w:szCs w:val="24"/>
      <w:lang w:val="en-US" w:eastAsia="en-AU"/>
    </w:rPr>
  </w:style>
  <w:style w:type="character" w:customStyle="1" w:styleId="V50TablenameChar">
    <w:name w:val="V5.0 Table name Char"/>
    <w:basedOn w:val="DefaultParagraphFont"/>
    <w:link w:val="V50Tablename"/>
    <w:rsid w:val="00AE1F22"/>
    <w:rPr>
      <w:b/>
      <w:snapToGrid w:val="0"/>
      <w:sz w:val="20"/>
      <w:szCs w:val="24"/>
      <w:lang w:val="en-US" w:eastAsia="en-AU"/>
    </w:rPr>
  </w:style>
  <w:style w:type="paragraph" w:customStyle="1" w:styleId="GeneralHeading">
    <w:name w:val="General Heading"/>
    <w:qFormat/>
    <w:rsid w:val="00AE1F22"/>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1-MainHeading">
    <w:name w:val="1-Main Heading"/>
    <w:next w:val="2-SectionHeading"/>
    <w:link w:val="1-MainHeadingChar"/>
    <w:qFormat/>
    <w:rsid w:val="00AE1F22"/>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AE1F22"/>
    <w:rPr>
      <w:rFonts w:eastAsiaTheme="majorEastAsia" w:cstheme="majorBidi"/>
      <w:b/>
      <w:spacing w:val="5"/>
      <w:kern w:val="28"/>
      <w:sz w:val="36"/>
      <w:szCs w:val="36"/>
      <w:lang w:eastAsia="en-AU"/>
    </w:rPr>
  </w:style>
  <w:style w:type="paragraph" w:customStyle="1" w:styleId="PageFooter">
    <w:name w:val="Page Footer"/>
    <w:basedOn w:val="Normal"/>
    <w:link w:val="PageFooterChar"/>
    <w:qFormat/>
    <w:rsid w:val="00AE1F22"/>
    <w:pPr>
      <w:keepNext/>
      <w:tabs>
        <w:tab w:val="center" w:pos="4153"/>
        <w:tab w:val="center" w:pos="4513"/>
        <w:tab w:val="right" w:pos="8306"/>
        <w:tab w:val="right" w:pos="9026"/>
      </w:tabs>
      <w:spacing w:before="0" w:after="0"/>
      <w:jc w:val="center"/>
    </w:pPr>
    <w:rPr>
      <w:rFonts w:ascii="Calibri" w:eastAsia="Times New Roman" w:hAnsi="Calibri" w:cs="Arial"/>
      <w:b/>
      <w:szCs w:val="24"/>
      <w:lang w:eastAsia="en-AU"/>
    </w:rPr>
  </w:style>
  <w:style w:type="character" w:customStyle="1" w:styleId="PageFooterChar">
    <w:name w:val="Page Footer Char"/>
    <w:basedOn w:val="DefaultParagraphFont"/>
    <w:link w:val="PageFooter"/>
    <w:rsid w:val="00AE1F22"/>
    <w:rPr>
      <w:rFonts w:ascii="Calibri" w:eastAsia="Times New Roman" w:hAnsi="Calibri" w:cs="Arial"/>
      <w:b/>
      <w:sz w:val="24"/>
      <w:szCs w:val="24"/>
      <w:lang w:eastAsia="en-AU"/>
    </w:rPr>
  </w:style>
  <w:style w:type="paragraph" w:customStyle="1" w:styleId="5-SubsectionSubheading">
    <w:name w:val="5-Subsection Subheading"/>
    <w:basedOn w:val="Heading3"/>
    <w:next w:val="3-BodyText"/>
    <w:link w:val="5-SubsectionSubheadingChar"/>
    <w:qFormat/>
    <w:rsid w:val="00AE1F22"/>
    <w:pPr>
      <w:numPr>
        <w:ilvl w:val="0"/>
        <w:numId w:val="0"/>
      </w:numPr>
      <w:tabs>
        <w:tab w:val="clear" w:pos="1134"/>
      </w:tabs>
      <w:spacing w:before="40" w:after="0"/>
    </w:pPr>
    <w:rPr>
      <w:sz w:val="24"/>
      <w:szCs w:val="24"/>
      <w:lang w:eastAsia="en-AU"/>
    </w:rPr>
  </w:style>
  <w:style w:type="character" w:customStyle="1" w:styleId="5-SubsectionSubheadingChar">
    <w:name w:val="5-Subsection Subheading Char"/>
    <w:basedOn w:val="DefaultParagraphFont"/>
    <w:link w:val="5-SubsectionSubheading"/>
    <w:rsid w:val="00AE1F22"/>
    <w:rPr>
      <w:rFonts w:eastAsiaTheme="majorEastAsia" w:cstheme="majorBidi"/>
      <w:b/>
      <w:color w:val="000000" w:themeColor="text1"/>
      <w:sz w:val="24"/>
      <w:szCs w:val="24"/>
      <w:lang w:eastAsia="en-AU"/>
    </w:rPr>
  </w:style>
  <w:style w:type="paragraph" w:customStyle="1" w:styleId="bullet0">
    <w:name w:val="bullet"/>
    <w:basedOn w:val="ListParagraph"/>
    <w:link w:val="bulletChar"/>
    <w:rsid w:val="00AE1F22"/>
    <w:pPr>
      <w:numPr>
        <w:numId w:val="33"/>
      </w:numPr>
      <w:spacing w:before="0" w:after="120"/>
    </w:pPr>
    <w:rPr>
      <w:rFonts w:ascii="Calibri" w:eastAsia="Times New Roman" w:hAnsi="Calibri"/>
      <w:i/>
      <w:color w:val="auto"/>
    </w:rPr>
  </w:style>
  <w:style w:type="character" w:customStyle="1" w:styleId="bulletChar">
    <w:name w:val="bullet Char"/>
    <w:basedOn w:val="DefaultParagraphFont"/>
    <w:link w:val="bullet0"/>
    <w:rsid w:val="00AE1F22"/>
    <w:rPr>
      <w:rFonts w:ascii="Calibri" w:eastAsia="Times New Roman" w:hAnsi="Calibri"/>
      <w:i/>
    </w:rPr>
  </w:style>
  <w:style w:type="paragraph" w:customStyle="1" w:styleId="PBACTabletext">
    <w:name w:val="PBAC Table text"/>
    <w:link w:val="PBACTabletextChar"/>
    <w:qFormat/>
    <w:rsid w:val="00AE1F22"/>
    <w:pPr>
      <w:keepNext/>
      <w:keepLines/>
      <w:suppressLineNumbers/>
      <w:spacing w:before="20" w:after="20" w:line="240" w:lineRule="auto"/>
      <w:ind w:right="57"/>
      <w:textboxTightWrap w:val="allLines"/>
    </w:pPr>
    <w:rPr>
      <w:rFonts w:ascii="Arial Narrow" w:eastAsia="Times New Roman" w:hAnsi="Arial Narrow" w:cstheme="minorHAnsi"/>
      <w:sz w:val="20"/>
      <w:szCs w:val="20"/>
      <w:lang w:eastAsia="en-GB"/>
    </w:rPr>
  </w:style>
  <w:style w:type="character" w:customStyle="1" w:styleId="PBACTabletextChar">
    <w:name w:val="PBAC Table text Char"/>
    <w:basedOn w:val="DefaultParagraphFont"/>
    <w:link w:val="PBACTabletext"/>
    <w:rsid w:val="00AE1F22"/>
    <w:rPr>
      <w:rFonts w:ascii="Arial Narrow" w:eastAsia="Times New Roman" w:hAnsi="Arial Narrow" w:cstheme="minorHAnsi"/>
      <w:sz w:val="20"/>
      <w:szCs w:val="20"/>
      <w:lang w:eastAsia="en-GB"/>
    </w:rPr>
  </w:style>
  <w:style w:type="paragraph" w:customStyle="1" w:styleId="PBACTblFignote">
    <w:name w:val="PBAC Tbl/Fig note"/>
    <w:qFormat/>
    <w:rsid w:val="00AE1F22"/>
    <w:pPr>
      <w:keepNext/>
      <w:keepLines/>
      <w:spacing w:before="40" w:after="0" w:line="240" w:lineRule="auto"/>
      <w:textboxTightWrap w:val="allLines"/>
    </w:pPr>
    <w:rPr>
      <w:rFonts w:ascii="Arial Narrow" w:eastAsia="Times New Roman" w:hAnsi="Arial Narrow" w:cs="Arial"/>
      <w:sz w:val="18"/>
      <w:szCs w:val="24"/>
      <w:lang w:eastAsia="en-GB"/>
    </w:rPr>
  </w:style>
  <w:style w:type="paragraph" w:customStyle="1" w:styleId="PBACTableText0">
    <w:name w:val="PBAC Table Text"/>
    <w:basedOn w:val="Normal"/>
    <w:link w:val="PBACTableTextChar0"/>
    <w:qFormat/>
    <w:rsid w:val="00AE1F22"/>
    <w:pPr>
      <w:spacing w:before="40" w:after="40"/>
    </w:pPr>
    <w:rPr>
      <w:rFonts w:ascii="Arial Narrow" w:eastAsia="Times New Roman" w:hAnsi="Arial Narrow" w:cstheme="minorHAnsi"/>
      <w:sz w:val="20"/>
      <w:szCs w:val="20"/>
    </w:rPr>
  </w:style>
  <w:style w:type="character" w:customStyle="1" w:styleId="PBACTableTextChar0">
    <w:name w:val="PBAC Table Text Char"/>
    <w:basedOn w:val="DefaultParagraphFont"/>
    <w:link w:val="PBACTableText0"/>
    <w:rsid w:val="00AE1F22"/>
    <w:rPr>
      <w:rFonts w:ascii="Arial Narrow" w:eastAsia="Times New Roman" w:hAnsi="Arial Narrow" w:cstheme="minorHAnsi"/>
      <w:sz w:val="20"/>
      <w:szCs w:val="20"/>
    </w:rPr>
  </w:style>
  <w:style w:type="paragraph" w:customStyle="1" w:styleId="TableText1">
    <w:name w:val="Table Text 1"/>
    <w:basedOn w:val="Normal"/>
    <w:qFormat/>
    <w:rsid w:val="00AE1F22"/>
    <w:pPr>
      <w:spacing w:before="0" w:after="240"/>
    </w:pPr>
    <w:rPr>
      <w:rFonts w:ascii="Arial Narrow" w:hAnsi="Arial Narrow"/>
      <w:sz w:val="20"/>
      <w:szCs w:val="20"/>
    </w:rPr>
  </w:style>
  <w:style w:type="table" w:customStyle="1" w:styleId="LashStyleTabl1">
    <w:name w:val="Lash Style Tabl1"/>
    <w:basedOn w:val="TableNormal"/>
    <w:uiPriority w:val="39"/>
    <w:rsid w:val="00417D53"/>
    <w:pPr>
      <w:spacing w:after="0" w:line="240" w:lineRule="auto"/>
    </w:pPr>
    <w:rPr>
      <w:rFonts w:ascii="Calibri" w:hAnsi="Calibri"/>
      <w:color w:val="000000" w:themeColor="text1"/>
      <w:lang w:val="en-US"/>
    </w:rPr>
    <w:tblPr>
      <w:tblInd w:w="0" w:type="nil"/>
    </w:tblPr>
    <w:tblStylePr w:type="firstRow">
      <w:rPr>
        <w:b/>
      </w:rPr>
      <w:tblPr/>
      <w:tcPr>
        <w:shd w:val="clear" w:color="auto" w:fill="F2F2F2"/>
      </w:tcPr>
    </w:tblStylePr>
  </w:style>
  <w:style w:type="table" w:customStyle="1" w:styleId="Section3-footnot1">
    <w:name w:val="Section 3- footnot1"/>
    <w:basedOn w:val="TableNormal"/>
    <w:next w:val="TableGrid"/>
    <w:uiPriority w:val="59"/>
    <w:rsid w:val="00AE280B"/>
    <w:pPr>
      <w:spacing w:after="0" w:line="240" w:lineRule="auto"/>
    </w:pPr>
    <w:tblPr/>
  </w:style>
  <w:style w:type="character" w:styleId="Strong">
    <w:name w:val="Strong"/>
    <w:basedOn w:val="DefaultParagraphFont"/>
    <w:uiPriority w:val="22"/>
    <w:qFormat/>
    <w:rsid w:val="00FF73BD"/>
    <w:rPr>
      <w:b/>
      <w:bCs/>
    </w:rPr>
  </w:style>
  <w:style w:type="paragraph" w:customStyle="1" w:styleId="BulletBeforeDash">
    <w:name w:val="BulletBeforeDash"/>
    <w:basedOn w:val="Normal"/>
    <w:rsid w:val="006F7BA9"/>
    <w:pPr>
      <w:numPr>
        <w:numId w:val="42"/>
      </w:numPr>
      <w:spacing w:before="0" w:after="0"/>
    </w:pPr>
    <w:rPr>
      <w:rFonts w:ascii="Times New Roman" w:eastAsia="Times New Roman" w:hAnsi="Times New Roman"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94393846">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5874192">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06590726">
      <w:bodyDiv w:val="1"/>
      <w:marLeft w:val="0"/>
      <w:marRight w:val="0"/>
      <w:marTop w:val="0"/>
      <w:marBottom w:val="0"/>
      <w:divBdr>
        <w:top w:val="none" w:sz="0" w:space="0" w:color="auto"/>
        <w:left w:val="none" w:sz="0" w:space="0" w:color="auto"/>
        <w:bottom w:val="none" w:sz="0" w:space="0" w:color="auto"/>
        <w:right w:val="none" w:sz="0" w:space="0" w:color="auto"/>
      </w:divBdr>
    </w:div>
    <w:div w:id="395665081">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510677947">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6161">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23353101">
      <w:bodyDiv w:val="1"/>
      <w:marLeft w:val="0"/>
      <w:marRight w:val="0"/>
      <w:marTop w:val="0"/>
      <w:marBottom w:val="0"/>
      <w:divBdr>
        <w:top w:val="none" w:sz="0" w:space="0" w:color="auto"/>
        <w:left w:val="none" w:sz="0" w:space="0" w:color="auto"/>
        <w:bottom w:val="none" w:sz="0" w:space="0" w:color="auto"/>
        <w:right w:val="none" w:sz="0" w:space="0" w:color="auto"/>
      </w:divBdr>
    </w:div>
    <w:div w:id="832914753">
      <w:bodyDiv w:val="1"/>
      <w:marLeft w:val="0"/>
      <w:marRight w:val="0"/>
      <w:marTop w:val="0"/>
      <w:marBottom w:val="0"/>
      <w:divBdr>
        <w:top w:val="none" w:sz="0" w:space="0" w:color="auto"/>
        <w:left w:val="none" w:sz="0" w:space="0" w:color="auto"/>
        <w:bottom w:val="none" w:sz="0" w:space="0" w:color="auto"/>
        <w:right w:val="none" w:sz="0" w:space="0" w:color="auto"/>
      </w:divBdr>
    </w:div>
    <w:div w:id="841168395">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02835364">
      <w:bodyDiv w:val="1"/>
      <w:marLeft w:val="0"/>
      <w:marRight w:val="0"/>
      <w:marTop w:val="0"/>
      <w:marBottom w:val="0"/>
      <w:divBdr>
        <w:top w:val="none" w:sz="0" w:space="0" w:color="auto"/>
        <w:left w:val="none" w:sz="0" w:space="0" w:color="auto"/>
        <w:bottom w:val="none" w:sz="0" w:space="0" w:color="auto"/>
        <w:right w:val="none" w:sz="0" w:space="0" w:color="auto"/>
      </w:divBdr>
    </w:div>
    <w:div w:id="907692615">
      <w:bodyDiv w:val="1"/>
      <w:marLeft w:val="0"/>
      <w:marRight w:val="0"/>
      <w:marTop w:val="0"/>
      <w:marBottom w:val="0"/>
      <w:divBdr>
        <w:top w:val="none" w:sz="0" w:space="0" w:color="auto"/>
        <w:left w:val="none" w:sz="0" w:space="0" w:color="auto"/>
        <w:bottom w:val="none" w:sz="0" w:space="0" w:color="auto"/>
        <w:right w:val="none" w:sz="0" w:space="0" w:color="auto"/>
      </w:divBdr>
      <w:divsChild>
        <w:div w:id="128326275">
          <w:marLeft w:val="0"/>
          <w:marRight w:val="0"/>
          <w:marTop w:val="0"/>
          <w:marBottom w:val="0"/>
          <w:divBdr>
            <w:top w:val="none" w:sz="0" w:space="0" w:color="auto"/>
            <w:left w:val="none" w:sz="0" w:space="0" w:color="auto"/>
            <w:bottom w:val="none" w:sz="0" w:space="0" w:color="auto"/>
            <w:right w:val="none" w:sz="0" w:space="0" w:color="auto"/>
          </w:divBdr>
          <w:divsChild>
            <w:div w:id="4993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88485335">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1160593">
      <w:bodyDiv w:val="1"/>
      <w:marLeft w:val="0"/>
      <w:marRight w:val="0"/>
      <w:marTop w:val="0"/>
      <w:marBottom w:val="0"/>
      <w:divBdr>
        <w:top w:val="none" w:sz="0" w:space="0" w:color="auto"/>
        <w:left w:val="none" w:sz="0" w:space="0" w:color="auto"/>
        <w:bottom w:val="none" w:sz="0" w:space="0" w:color="auto"/>
        <w:right w:val="none" w:sz="0" w:space="0" w:color="auto"/>
      </w:divBdr>
    </w:div>
    <w:div w:id="1001860418">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2632">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20828084">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15375868">
      <w:bodyDiv w:val="1"/>
      <w:marLeft w:val="0"/>
      <w:marRight w:val="0"/>
      <w:marTop w:val="0"/>
      <w:marBottom w:val="0"/>
      <w:divBdr>
        <w:top w:val="none" w:sz="0" w:space="0" w:color="auto"/>
        <w:left w:val="none" w:sz="0" w:space="0" w:color="auto"/>
        <w:bottom w:val="none" w:sz="0" w:space="0" w:color="auto"/>
        <w:right w:val="none" w:sz="0" w:space="0" w:color="auto"/>
      </w:divBdr>
    </w:div>
    <w:div w:id="1361738168">
      <w:bodyDiv w:val="1"/>
      <w:marLeft w:val="0"/>
      <w:marRight w:val="0"/>
      <w:marTop w:val="0"/>
      <w:marBottom w:val="0"/>
      <w:divBdr>
        <w:top w:val="none" w:sz="0" w:space="0" w:color="auto"/>
        <w:left w:val="none" w:sz="0" w:space="0" w:color="auto"/>
        <w:bottom w:val="none" w:sz="0" w:space="0" w:color="auto"/>
        <w:right w:val="none" w:sz="0" w:space="0" w:color="auto"/>
      </w:divBdr>
    </w:div>
    <w:div w:id="136579190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49426585">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496800800">
      <w:bodyDiv w:val="1"/>
      <w:marLeft w:val="0"/>
      <w:marRight w:val="0"/>
      <w:marTop w:val="0"/>
      <w:marBottom w:val="0"/>
      <w:divBdr>
        <w:top w:val="none" w:sz="0" w:space="0" w:color="auto"/>
        <w:left w:val="none" w:sz="0" w:space="0" w:color="auto"/>
        <w:bottom w:val="none" w:sz="0" w:space="0" w:color="auto"/>
        <w:right w:val="none" w:sz="0" w:space="0" w:color="auto"/>
      </w:divBdr>
    </w:div>
    <w:div w:id="1499030722">
      <w:bodyDiv w:val="1"/>
      <w:marLeft w:val="0"/>
      <w:marRight w:val="0"/>
      <w:marTop w:val="0"/>
      <w:marBottom w:val="0"/>
      <w:divBdr>
        <w:top w:val="none" w:sz="0" w:space="0" w:color="auto"/>
        <w:left w:val="none" w:sz="0" w:space="0" w:color="auto"/>
        <w:bottom w:val="none" w:sz="0" w:space="0" w:color="auto"/>
        <w:right w:val="none" w:sz="0" w:space="0" w:color="auto"/>
      </w:divBdr>
    </w:div>
    <w:div w:id="1536191950">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8672">
      <w:bodyDiv w:val="1"/>
      <w:marLeft w:val="0"/>
      <w:marRight w:val="0"/>
      <w:marTop w:val="0"/>
      <w:marBottom w:val="0"/>
      <w:divBdr>
        <w:top w:val="none" w:sz="0" w:space="0" w:color="auto"/>
        <w:left w:val="none" w:sz="0" w:space="0" w:color="auto"/>
        <w:bottom w:val="none" w:sz="0" w:space="0" w:color="auto"/>
        <w:right w:val="none" w:sz="0" w:space="0" w:color="auto"/>
      </w:divBdr>
    </w:div>
    <w:div w:id="1576403308">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5914645">
      <w:bodyDiv w:val="1"/>
      <w:marLeft w:val="0"/>
      <w:marRight w:val="0"/>
      <w:marTop w:val="0"/>
      <w:marBottom w:val="0"/>
      <w:divBdr>
        <w:top w:val="none" w:sz="0" w:space="0" w:color="auto"/>
        <w:left w:val="none" w:sz="0" w:space="0" w:color="auto"/>
        <w:bottom w:val="none" w:sz="0" w:space="0" w:color="auto"/>
        <w:right w:val="none" w:sz="0" w:space="0" w:color="auto"/>
      </w:divBdr>
      <w:divsChild>
        <w:div w:id="1490441922">
          <w:marLeft w:val="0"/>
          <w:marRight w:val="0"/>
          <w:marTop w:val="0"/>
          <w:marBottom w:val="0"/>
          <w:divBdr>
            <w:top w:val="none" w:sz="0" w:space="0" w:color="auto"/>
            <w:left w:val="none" w:sz="0" w:space="0" w:color="auto"/>
            <w:bottom w:val="none" w:sz="0" w:space="0" w:color="auto"/>
            <w:right w:val="none" w:sz="0" w:space="0" w:color="auto"/>
          </w:divBdr>
        </w:div>
      </w:divsChild>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6694938">
      <w:bodyDiv w:val="1"/>
      <w:marLeft w:val="0"/>
      <w:marRight w:val="0"/>
      <w:marTop w:val="0"/>
      <w:marBottom w:val="0"/>
      <w:divBdr>
        <w:top w:val="none" w:sz="0" w:space="0" w:color="auto"/>
        <w:left w:val="none" w:sz="0" w:space="0" w:color="auto"/>
        <w:bottom w:val="none" w:sz="0" w:space="0" w:color="auto"/>
        <w:right w:val="none" w:sz="0" w:space="0" w:color="auto"/>
      </w:divBdr>
      <w:divsChild>
        <w:div w:id="727190988">
          <w:marLeft w:val="0"/>
          <w:marRight w:val="0"/>
          <w:marTop w:val="0"/>
          <w:marBottom w:val="0"/>
          <w:divBdr>
            <w:top w:val="none" w:sz="0" w:space="0" w:color="auto"/>
            <w:left w:val="none" w:sz="0" w:space="0" w:color="auto"/>
            <w:bottom w:val="none" w:sz="0" w:space="0" w:color="auto"/>
            <w:right w:val="none" w:sz="0" w:space="0" w:color="auto"/>
          </w:divBdr>
        </w:div>
      </w:divsChild>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33751017">
      <w:bodyDiv w:val="1"/>
      <w:marLeft w:val="0"/>
      <w:marRight w:val="0"/>
      <w:marTop w:val="0"/>
      <w:marBottom w:val="0"/>
      <w:divBdr>
        <w:top w:val="none" w:sz="0" w:space="0" w:color="auto"/>
        <w:left w:val="none" w:sz="0" w:space="0" w:color="auto"/>
        <w:bottom w:val="none" w:sz="0" w:space="0" w:color="auto"/>
        <w:right w:val="none" w:sz="0" w:space="0" w:color="auto"/>
      </w:divBdr>
    </w:div>
    <w:div w:id="1640648381">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3940779">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369">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65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643" TargetMode="External"/><Relationship Id="rId18" Type="http://schemas.openxmlformats.org/officeDocument/2006/relationships/hyperlink" Target="http://msac.gov.au/internet/msac/publishing.nsf/Content/Home-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sac.gov.au/applications/1643"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ja.com.au/sites/default/files/NHMRC.levels.of.evidence.2008-09.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ac.gov.au/applications/173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news-events/press-announcements/fda-clears-first-blood-test-used-diagnosing-alzheimers-disease" TargetMode="External"/><Relationship Id="rId3" Type="http://schemas.openxmlformats.org/officeDocument/2006/relationships/hyperlink" Target="https://www.tga.gov.au/news/news/tga-confirms-decision-not-register-lecanemab-leqembi" TargetMode="External"/><Relationship Id="rId7" Type="http://schemas.openxmlformats.org/officeDocument/2006/relationships/hyperlink" Target="https://www.healthed.com.au/clinical_articles/alzheimers-blood-test-coming-soon-to-australia/" TargetMode="External"/><Relationship Id="rId2" Type="http://schemas.openxmlformats.org/officeDocument/2006/relationships/hyperlink" Target="https://investors.biogen.com/news-releases/news-release-details/biogen-realign-resources-alzheimers-disease-franchise" TargetMode="External"/><Relationship Id="rId1" Type="http://schemas.openxmlformats.org/officeDocument/2006/relationships/hyperlink" Target="https://www.aihw.gov.au/reports/dementia/dementia-in-aus/contents/summary?s" TargetMode="External"/><Relationship Id="rId6" Type="http://schemas.openxmlformats.org/officeDocument/2006/relationships/hyperlink" Target="https://australiandementianetwork.org.au/wp-content/uploads/2023/05/ADNeT22_Report_F1_Web.pdf" TargetMode="External"/><Relationship Id="rId5" Type="http://schemas.openxmlformats.org/officeDocument/2006/relationships/hyperlink" Target="https://www.fda.gov/radiation-emitting-products/mri-magnetic-resonance-imaging/benefits-and-risks" TargetMode="External"/><Relationship Id="rId4" Type="http://schemas.openxmlformats.org/officeDocument/2006/relationships/hyperlink" Target="https://www.rcpa.edu.au/Manuals/RGTL/Genes/Gene-Details?Symbol=AP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327dcde2df62536727717cc8d6317f6f">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60b73f69b1de7beb2094acf8eaa190c0"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customXml/itemProps2.xml><?xml version="1.0" encoding="utf-8"?>
<ds:datastoreItem xmlns:ds="http://schemas.openxmlformats.org/officeDocument/2006/customXml" ds:itemID="{4C1C704E-5CF2-4F79-ACB4-5CECCD733B94}">
  <ds:schemaRefs>
    <ds:schemaRef ds:uri="http://www.w3.org/XML/1998/namespace"/>
    <ds:schemaRef ds:uri="http://purl.org/dc/terms/"/>
    <ds:schemaRef ds:uri="http://purl.org/dc/dcmitype/"/>
    <ds:schemaRef ds:uri="7513b557-581c-46d3-8cc7-77c65017dc6f"/>
    <ds:schemaRef ds:uri="http://schemas.microsoft.com/office/2006/metadata/properties"/>
    <ds:schemaRef ds:uri="http://schemas.microsoft.com/office/2006/documentManagement/types"/>
    <ds:schemaRef ds:uri="e7d54a9e-4aca-451b-99db-b94fe438e987"/>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220CFE6-6148-4A6E-BDAA-E75DFDC1591E}">
  <ds:schemaRefs>
    <ds:schemaRef ds:uri="http://schemas.microsoft.com/sharepoint/v3/contenttype/forms"/>
  </ds:schemaRefs>
</ds:datastoreItem>
</file>

<file path=customXml/itemProps4.xml><?xml version="1.0" encoding="utf-8"?>
<ds:datastoreItem xmlns:ds="http://schemas.openxmlformats.org/officeDocument/2006/customXml" ds:itemID="{4C8A7FCC-65AC-4C4D-8158-AF303F98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28722</Words>
  <Characters>154768</Characters>
  <Application>Microsoft Office Word</Application>
  <DocSecurity>0</DocSecurity>
  <Lines>3751</Lines>
  <Paragraphs>1993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181840</CharactersWithSpaces>
  <SharedDoc>false</SharedDoc>
  <HLinks>
    <vt:vector size="84" baseType="variant">
      <vt:variant>
        <vt:i4>6684716</vt:i4>
      </vt:variant>
      <vt:variant>
        <vt:i4>198</vt:i4>
      </vt:variant>
      <vt:variant>
        <vt:i4>0</vt:i4>
      </vt:variant>
      <vt:variant>
        <vt:i4>5</vt:i4>
      </vt:variant>
      <vt:variant>
        <vt:lpwstr>http://msac.gov.au/internet/msac/publishing.nsf/Content/Home-1</vt:lpwstr>
      </vt:variant>
      <vt:variant>
        <vt:lpwstr/>
      </vt:variant>
      <vt:variant>
        <vt:i4>4063282</vt:i4>
      </vt:variant>
      <vt:variant>
        <vt:i4>66</vt:i4>
      </vt:variant>
      <vt:variant>
        <vt:i4>0</vt:i4>
      </vt:variant>
      <vt:variant>
        <vt:i4>5</vt:i4>
      </vt:variant>
      <vt:variant>
        <vt:lpwstr>https://www.mja.com.au/sites/default/files/NHMRC.levels.of.evidence.2008-09.pdf</vt:lpwstr>
      </vt:variant>
      <vt:variant>
        <vt:lpwstr/>
      </vt:variant>
      <vt:variant>
        <vt:i4>1179728</vt:i4>
      </vt:variant>
      <vt:variant>
        <vt:i4>9</vt:i4>
      </vt:variant>
      <vt:variant>
        <vt:i4>0</vt:i4>
      </vt:variant>
      <vt:variant>
        <vt:i4>5</vt:i4>
      </vt:variant>
      <vt:variant>
        <vt:lpwstr>https://www.msac.gov.au/applications/1738</vt:lpwstr>
      </vt:variant>
      <vt:variant>
        <vt:lpwstr/>
      </vt:variant>
      <vt:variant>
        <vt:i4>1376337</vt:i4>
      </vt:variant>
      <vt:variant>
        <vt:i4>5</vt:i4>
      </vt:variant>
      <vt:variant>
        <vt:i4>0</vt:i4>
      </vt:variant>
      <vt:variant>
        <vt:i4>5</vt:i4>
      </vt:variant>
      <vt:variant>
        <vt:lpwstr>https://www.msac.gov.au/applications/1643</vt:lpwstr>
      </vt:variant>
      <vt:variant>
        <vt:lpwstr/>
      </vt:variant>
      <vt:variant>
        <vt:i4>1376337</vt:i4>
      </vt:variant>
      <vt:variant>
        <vt:i4>3</vt:i4>
      </vt:variant>
      <vt:variant>
        <vt:i4>0</vt:i4>
      </vt:variant>
      <vt:variant>
        <vt:i4>5</vt:i4>
      </vt:variant>
      <vt:variant>
        <vt:lpwstr>https://www.msac.gov.au/applications/1643</vt:lpwstr>
      </vt:variant>
      <vt:variant>
        <vt:lpwstr/>
      </vt:variant>
      <vt:variant>
        <vt:i4>3997744</vt:i4>
      </vt:variant>
      <vt:variant>
        <vt:i4>0</vt:i4>
      </vt:variant>
      <vt:variant>
        <vt:i4>0</vt:i4>
      </vt:variant>
      <vt:variant>
        <vt:i4>5</vt:i4>
      </vt:variant>
      <vt:variant>
        <vt:lpwstr>http://www.msac.gov.au/</vt:lpwstr>
      </vt:variant>
      <vt:variant>
        <vt:lpwstr/>
      </vt:variant>
      <vt:variant>
        <vt:i4>2555953</vt:i4>
      </vt:variant>
      <vt:variant>
        <vt:i4>21</vt:i4>
      </vt:variant>
      <vt:variant>
        <vt:i4>0</vt:i4>
      </vt:variant>
      <vt:variant>
        <vt:i4>5</vt:i4>
      </vt:variant>
      <vt:variant>
        <vt:lpwstr>https://www.fda.gov/news-events/press-announcements/fda-clears-first-blood-test-used-diagnosing-alzheimers-disease</vt:lpwstr>
      </vt:variant>
      <vt:variant>
        <vt:lpwstr/>
      </vt:variant>
      <vt:variant>
        <vt:i4>5636212</vt:i4>
      </vt:variant>
      <vt:variant>
        <vt:i4>18</vt:i4>
      </vt:variant>
      <vt:variant>
        <vt:i4>0</vt:i4>
      </vt:variant>
      <vt:variant>
        <vt:i4>5</vt:i4>
      </vt:variant>
      <vt:variant>
        <vt:lpwstr>https://www.healthed.com.au/clinical_articles/alzheimers-blood-test-coming-soon-to-australia/</vt:lpwstr>
      </vt:variant>
      <vt:variant>
        <vt:lpwstr/>
      </vt:variant>
      <vt:variant>
        <vt:i4>4718644</vt:i4>
      </vt:variant>
      <vt:variant>
        <vt:i4>15</vt:i4>
      </vt:variant>
      <vt:variant>
        <vt:i4>0</vt:i4>
      </vt:variant>
      <vt:variant>
        <vt:i4>5</vt:i4>
      </vt:variant>
      <vt:variant>
        <vt:lpwstr>https://australiandementianetwork.org.au/wp-content/uploads/2023/05/ADNeT22_Report_F1_Web.pdf</vt:lpwstr>
      </vt:variant>
      <vt:variant>
        <vt:lpwstr/>
      </vt:variant>
      <vt:variant>
        <vt:i4>852036</vt:i4>
      </vt:variant>
      <vt:variant>
        <vt:i4>12</vt:i4>
      </vt:variant>
      <vt:variant>
        <vt:i4>0</vt:i4>
      </vt:variant>
      <vt:variant>
        <vt:i4>5</vt:i4>
      </vt:variant>
      <vt:variant>
        <vt:lpwstr>https://www.fda.gov/radiation-emitting-products/mri-magnetic-resonance-imaging/benefits-and-risks</vt:lpwstr>
      </vt:variant>
      <vt:variant>
        <vt:lpwstr/>
      </vt:variant>
      <vt:variant>
        <vt:i4>3670130</vt:i4>
      </vt:variant>
      <vt:variant>
        <vt:i4>9</vt:i4>
      </vt:variant>
      <vt:variant>
        <vt:i4>0</vt:i4>
      </vt:variant>
      <vt:variant>
        <vt:i4>5</vt:i4>
      </vt:variant>
      <vt:variant>
        <vt:lpwstr>https://www.rcpa.edu.au/Manuals/RGTL/Genes/Gene-Details?Symbol=APOE</vt:lpwstr>
      </vt:variant>
      <vt:variant>
        <vt:lpwstr/>
      </vt:variant>
      <vt:variant>
        <vt:i4>5505032</vt:i4>
      </vt:variant>
      <vt:variant>
        <vt:i4>6</vt:i4>
      </vt:variant>
      <vt:variant>
        <vt:i4>0</vt:i4>
      </vt:variant>
      <vt:variant>
        <vt:i4>5</vt:i4>
      </vt:variant>
      <vt:variant>
        <vt:lpwstr>https://www.tga.gov.au/news/news/tga-confirms-decision-not-register-lecanemab-leqembi</vt:lpwstr>
      </vt:variant>
      <vt:variant>
        <vt:lpwstr/>
      </vt:variant>
      <vt:variant>
        <vt:i4>4980800</vt:i4>
      </vt:variant>
      <vt:variant>
        <vt:i4>3</vt:i4>
      </vt:variant>
      <vt:variant>
        <vt:i4>0</vt:i4>
      </vt:variant>
      <vt:variant>
        <vt:i4>5</vt:i4>
      </vt:variant>
      <vt:variant>
        <vt:lpwstr>https://investors.biogen.com/news-releases/news-release-details/biogen-realign-resources-alzheimers-disease-franchise</vt:lpwstr>
      </vt:variant>
      <vt:variant>
        <vt:lpwstr/>
      </vt:variant>
      <vt:variant>
        <vt:i4>7602298</vt:i4>
      </vt:variant>
      <vt:variant>
        <vt:i4>0</vt:i4>
      </vt:variant>
      <vt:variant>
        <vt:i4>0</vt:i4>
      </vt:variant>
      <vt:variant>
        <vt:i4>5</vt:i4>
      </vt:variant>
      <vt:variant>
        <vt:lpwstr>https://www.aihw.gov.au/reports/dementia/dementia-in-aus/contents/summary?s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2025-11-13T01:07:00Z</dcterms:created>
  <dcterms:modified xsi:type="dcterms:W3CDTF">2025-11-13T02:22:00Z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433ff8a5,36f716eb,1d62e0d4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2287d485,ce9135,6fbc7d47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2025-11-11T05:35:42Z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f6411d33-56a2-437d-b10c-8d1ad3842618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51648600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0x0101005E4A37BE997BE34FBB7D5057D341D123</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