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4F8A" w14:textId="77777777" w:rsidR="00BC53F5" w:rsidRPr="000A7BB0" w:rsidRDefault="00BC53F5" w:rsidP="00BC53F5">
      <w:pPr>
        <w:keepNext/>
        <w:keepLines/>
        <w:spacing w:before="0" w:after="360"/>
        <w:ind w:left="788"/>
        <w:jc w:val="center"/>
        <w:outlineLvl w:val="0"/>
        <w:rPr>
          <w:rFonts w:ascii="Arial" w:hAnsi="Arial" w:cs="Arial"/>
          <w:bCs/>
          <w:color w:val="000080"/>
          <w:sz w:val="36"/>
          <w:szCs w:val="36"/>
        </w:rPr>
      </w:pPr>
      <w:bookmarkStart w:id="0" w:name="_Toc198721982"/>
      <w:r w:rsidRPr="000A7BB0">
        <w:rPr>
          <w:rFonts w:ascii="Arial" w:eastAsiaTheme="majorEastAsia" w:hAnsi="Arial" w:cs="Arial"/>
          <w:b/>
          <w:bCs/>
          <w:color w:val="000080"/>
          <w:sz w:val="36"/>
          <w:szCs w:val="36"/>
        </w:rPr>
        <w:t>Medical Services Advisory Committee (MSAC)</w:t>
      </w:r>
      <w:r w:rsidRPr="000A7BB0">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28C4CDAF" w14:textId="006F0CA0" w:rsidR="00970D2E" w:rsidRDefault="00544DE1" w:rsidP="00E1086A">
      <w:pPr>
        <w:jc w:val="center"/>
        <w:rPr>
          <w:rFonts w:ascii="Arial" w:eastAsia="Arial" w:hAnsi="Arial" w:cs="Arial"/>
          <w:b/>
          <w:bCs/>
          <w:i/>
          <w:iCs/>
          <w:color w:val="000080"/>
          <w:sz w:val="28"/>
          <w:szCs w:val="28"/>
        </w:rPr>
      </w:pPr>
      <w:r w:rsidRPr="00E1086A">
        <w:rPr>
          <w:rFonts w:ascii="Arial" w:eastAsia="Arial" w:hAnsi="Arial" w:cs="Arial"/>
          <w:b/>
          <w:bCs/>
          <w:i/>
          <w:iCs/>
          <w:color w:val="000080"/>
          <w:sz w:val="28"/>
          <w:szCs w:val="28"/>
        </w:rPr>
        <w:t xml:space="preserve">Application No. </w:t>
      </w:r>
      <w:r w:rsidR="00242EB4" w:rsidRPr="00E1086A">
        <w:rPr>
          <w:rFonts w:ascii="Arial" w:eastAsia="Arial" w:hAnsi="Arial" w:cs="Arial"/>
          <w:b/>
          <w:bCs/>
          <w:i/>
          <w:iCs/>
          <w:color w:val="000080"/>
          <w:sz w:val="28"/>
          <w:szCs w:val="28"/>
        </w:rPr>
        <w:t xml:space="preserve">1787 </w:t>
      </w:r>
      <w:r w:rsidR="00BA6357" w:rsidRPr="00BA6357">
        <w:rPr>
          <w:rFonts w:ascii="Arial" w:eastAsia="Arial" w:hAnsi="Arial" w:cs="Arial"/>
          <w:b/>
          <w:bCs/>
          <w:i/>
          <w:iCs/>
          <w:color w:val="000080"/>
          <w:sz w:val="28"/>
          <w:szCs w:val="28"/>
        </w:rPr>
        <w:t>–</w:t>
      </w:r>
      <w:r w:rsidR="00BA6357">
        <w:rPr>
          <w:rFonts w:ascii="Arial" w:eastAsia="Arial" w:hAnsi="Arial" w:cs="Arial"/>
          <w:b/>
          <w:bCs/>
          <w:i/>
          <w:iCs/>
          <w:color w:val="000080"/>
          <w:sz w:val="28"/>
          <w:szCs w:val="28"/>
        </w:rPr>
        <w:t xml:space="preserve"> </w:t>
      </w:r>
      <w:r w:rsidR="00FC25FA" w:rsidRPr="00FC25FA">
        <w:rPr>
          <w:rFonts w:ascii="Arial" w:eastAsia="Arial" w:hAnsi="Arial" w:cs="Arial"/>
          <w:b/>
          <w:bCs/>
          <w:i/>
          <w:iCs/>
          <w:color w:val="000080"/>
          <w:sz w:val="28"/>
          <w:szCs w:val="28"/>
        </w:rPr>
        <w:t>Immunohistochemistry testing of solid tumour tissue to determine folate receptor alpha (FRα) expression status in adults with platinum resistant ovarian cancer to determine eligibility for Pharmaceutical Benefit</w:t>
      </w:r>
      <w:r w:rsidR="00A5519B">
        <w:rPr>
          <w:rFonts w:ascii="Arial" w:eastAsia="Arial" w:hAnsi="Arial" w:cs="Arial"/>
          <w:b/>
          <w:bCs/>
          <w:i/>
          <w:iCs/>
          <w:color w:val="000080"/>
          <w:sz w:val="28"/>
          <w:szCs w:val="28"/>
        </w:rPr>
        <w:t>s</w:t>
      </w:r>
      <w:r w:rsidR="00FC25FA" w:rsidRPr="00FC25FA">
        <w:rPr>
          <w:rFonts w:ascii="Arial" w:eastAsia="Arial" w:hAnsi="Arial" w:cs="Arial"/>
          <w:b/>
          <w:bCs/>
          <w:i/>
          <w:iCs/>
          <w:color w:val="000080"/>
          <w:sz w:val="28"/>
          <w:szCs w:val="28"/>
        </w:rPr>
        <w:t xml:space="preserve"> </w:t>
      </w:r>
      <w:r w:rsidR="00A5519B" w:rsidRPr="00FC25FA">
        <w:rPr>
          <w:rFonts w:ascii="Arial" w:eastAsia="Arial" w:hAnsi="Arial" w:cs="Arial"/>
          <w:b/>
          <w:bCs/>
          <w:i/>
          <w:iCs/>
          <w:color w:val="000080"/>
          <w:sz w:val="28"/>
          <w:szCs w:val="28"/>
        </w:rPr>
        <w:t>Sche</w:t>
      </w:r>
      <w:r w:rsidR="00A5519B">
        <w:rPr>
          <w:rFonts w:ascii="Arial" w:eastAsia="Arial" w:hAnsi="Arial" w:cs="Arial"/>
          <w:b/>
          <w:bCs/>
          <w:i/>
          <w:iCs/>
          <w:color w:val="000080"/>
          <w:sz w:val="28"/>
          <w:szCs w:val="28"/>
        </w:rPr>
        <w:t>m</w:t>
      </w:r>
      <w:r w:rsidR="00A5519B" w:rsidRPr="00FC25FA">
        <w:rPr>
          <w:rFonts w:ascii="Arial" w:eastAsia="Arial" w:hAnsi="Arial" w:cs="Arial"/>
          <w:b/>
          <w:bCs/>
          <w:i/>
          <w:iCs/>
          <w:color w:val="000080"/>
          <w:sz w:val="28"/>
          <w:szCs w:val="28"/>
        </w:rPr>
        <w:t xml:space="preserve">e </w:t>
      </w:r>
      <w:r w:rsidR="00FC25FA" w:rsidRPr="00FC25FA">
        <w:rPr>
          <w:rFonts w:ascii="Arial" w:eastAsia="Arial" w:hAnsi="Arial" w:cs="Arial"/>
          <w:b/>
          <w:bCs/>
          <w:i/>
          <w:iCs/>
          <w:color w:val="000080"/>
          <w:sz w:val="28"/>
          <w:szCs w:val="28"/>
        </w:rPr>
        <w:t xml:space="preserve">(PBS)-subsidised mirvetuximab soravtansine </w:t>
      </w:r>
      <w:bookmarkEnd w:id="0"/>
      <w:r w:rsidR="00FC25FA" w:rsidRPr="00FC25FA">
        <w:rPr>
          <w:rFonts w:ascii="Arial" w:eastAsia="Arial" w:hAnsi="Arial" w:cs="Arial"/>
          <w:b/>
          <w:bCs/>
          <w:i/>
          <w:iCs/>
          <w:color w:val="000080"/>
          <w:sz w:val="28"/>
          <w:szCs w:val="28"/>
        </w:rPr>
        <w:t>treatment</w:t>
      </w:r>
    </w:p>
    <w:p w14:paraId="15E0044A" w14:textId="608D7B67" w:rsidR="000C72B3" w:rsidRPr="000A1844" w:rsidRDefault="000C72B3" w:rsidP="005A0E21">
      <w:pPr>
        <w:tabs>
          <w:tab w:val="left" w:pos="3686"/>
        </w:tabs>
        <w:rPr>
          <w:rFonts w:ascii="Arial" w:eastAsia="Arial" w:hAnsi="Arial" w:cs="Arial"/>
          <w:color w:val="000000" w:themeColor="text1"/>
          <w:sz w:val="22"/>
          <w:lang w:val="en-GB"/>
        </w:rPr>
      </w:pPr>
      <w:r w:rsidRPr="000A1844">
        <w:rPr>
          <w:rFonts w:ascii="Arial" w:eastAsia="Arial" w:hAnsi="Arial" w:cs="Arial"/>
          <w:b/>
          <w:bCs/>
          <w:color w:val="000000" w:themeColor="text1"/>
          <w:sz w:val="22"/>
        </w:rPr>
        <w:t>Applicant:</w:t>
      </w:r>
      <w:r w:rsidRPr="000A1844">
        <w:rPr>
          <w:sz w:val="22"/>
          <w:szCs w:val="20"/>
        </w:rPr>
        <w:tab/>
      </w:r>
      <w:r w:rsidR="0064547E" w:rsidRPr="000A1844">
        <w:rPr>
          <w:rFonts w:ascii="Arial" w:eastAsia="Arial" w:hAnsi="Arial" w:cs="Arial"/>
          <w:b/>
          <w:bCs/>
          <w:color w:val="000000" w:themeColor="text1"/>
          <w:sz w:val="22"/>
        </w:rPr>
        <w:t>Abbvie Pty Ltd</w:t>
      </w:r>
    </w:p>
    <w:p w14:paraId="4E1156A3" w14:textId="5E8641A7" w:rsidR="000C72B3" w:rsidRPr="00FE5D4E" w:rsidRDefault="000C72B3" w:rsidP="00FE5D4E">
      <w:pPr>
        <w:rPr>
          <w:rFonts w:ascii="Arial" w:hAnsi="Arial" w:cs="Arial"/>
          <w:b/>
          <w:sz w:val="22"/>
          <w:szCs w:val="20"/>
        </w:rPr>
      </w:pPr>
      <w:r w:rsidRPr="00FE5D4E">
        <w:rPr>
          <w:rFonts w:ascii="Arial" w:hAnsi="Arial" w:cs="Arial"/>
          <w:b/>
          <w:sz w:val="22"/>
          <w:szCs w:val="20"/>
        </w:rPr>
        <w:t xml:space="preserve">Date of </w:t>
      </w:r>
      <w:r w:rsidR="00CA6794" w:rsidRPr="00FE5D4E">
        <w:rPr>
          <w:rFonts w:ascii="Arial" w:hAnsi="Arial" w:cs="Arial"/>
          <w:b/>
          <w:sz w:val="22"/>
          <w:szCs w:val="20"/>
        </w:rPr>
        <w:t xml:space="preserve">MSAC </w:t>
      </w:r>
      <w:r w:rsidRPr="00FE5D4E">
        <w:rPr>
          <w:rFonts w:ascii="Arial" w:hAnsi="Arial" w:cs="Arial"/>
          <w:b/>
          <w:sz w:val="22"/>
          <w:szCs w:val="20"/>
        </w:rPr>
        <w:t>consideration:</w:t>
      </w:r>
      <w:r w:rsidRPr="00FE5D4E">
        <w:rPr>
          <w:rFonts w:ascii="Arial" w:hAnsi="Arial" w:cs="Arial"/>
          <w:b/>
          <w:szCs w:val="24"/>
        </w:rPr>
        <w:tab/>
      </w:r>
      <w:r w:rsidR="00CA6794" w:rsidRPr="00FE5D4E">
        <w:rPr>
          <w:rFonts w:ascii="Arial" w:hAnsi="Arial" w:cs="Arial"/>
          <w:b/>
          <w:sz w:val="22"/>
          <w:szCs w:val="20"/>
        </w:rPr>
        <w:t>31 July</w:t>
      </w:r>
      <w:r w:rsidRPr="00FE5D4E">
        <w:rPr>
          <w:rFonts w:ascii="Arial" w:hAnsi="Arial" w:cs="Arial"/>
          <w:b/>
          <w:sz w:val="22"/>
          <w:szCs w:val="20"/>
        </w:rPr>
        <w:t xml:space="preserve"> 2025</w:t>
      </w:r>
    </w:p>
    <w:p w14:paraId="0A357732" w14:textId="63205CF4" w:rsidR="000C72B3" w:rsidRPr="003D62A7" w:rsidRDefault="00261ED5" w:rsidP="003D62A7">
      <w:pPr>
        <w:spacing w:before="240"/>
        <w:rPr>
          <w:rFonts w:ascii="Franklin Gothic Book" w:hAnsi="Franklin Gothic Book"/>
          <w:color w:val="0000FF"/>
          <w:sz w:val="22"/>
          <w:u w:val="single"/>
        </w:rPr>
      </w:pPr>
      <w:r w:rsidRPr="00333EDF">
        <w:rPr>
          <w:rFonts w:ascii="Franklin Gothic Book" w:hAnsi="Franklin Gothic Book"/>
          <w:sz w:val="22"/>
        </w:rPr>
        <w:t xml:space="preserve">Context for decision: MSAC makes its advice in accordance with its Terms of Reference, </w:t>
      </w:r>
      <w:hyperlink r:id="rId8" w:tooltip="Link to Medical Services Advisory Committee website" w:history="1">
        <w:r w:rsidRPr="000D2098">
          <w:rPr>
            <w:rStyle w:val="Hyperlink"/>
            <w:rFonts w:ascii="Franklin Gothic Book" w:hAnsi="Franklin Gothic Book"/>
            <w:color w:val="007BB8"/>
            <w:sz w:val="22"/>
          </w:rPr>
          <w:t>visit the MSAC website</w:t>
        </w:r>
      </w:hyperlink>
    </w:p>
    <w:p w14:paraId="21138958" w14:textId="77777777" w:rsidR="00870112" w:rsidRPr="000265CD" w:rsidRDefault="00870112"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1" w:name="_Toc198721983"/>
      <w:bookmarkStart w:id="2" w:name="_Ref199228897"/>
      <w:r w:rsidRPr="000265CD">
        <w:rPr>
          <w:rFonts w:ascii="Franklin Gothic Medium" w:hAnsi="Franklin Gothic Medium"/>
          <w:b w:val="0"/>
          <w:snapToGrid/>
          <w:color w:val="000000" w:themeColor="text1"/>
          <w:sz w:val="32"/>
          <w:szCs w:val="26"/>
        </w:rPr>
        <w:t xml:space="preserve">Purpose of the </w:t>
      </w:r>
      <w:r w:rsidR="000A027E" w:rsidRPr="000265CD">
        <w:rPr>
          <w:rFonts w:ascii="Franklin Gothic Medium" w:hAnsi="Franklin Gothic Medium"/>
          <w:b w:val="0"/>
          <w:snapToGrid/>
          <w:color w:val="000000" w:themeColor="text1"/>
          <w:sz w:val="32"/>
          <w:szCs w:val="26"/>
        </w:rPr>
        <w:t>application</w:t>
      </w:r>
      <w:bookmarkEnd w:id="1"/>
      <w:bookmarkEnd w:id="2"/>
      <w:r w:rsidR="00DF0689" w:rsidRPr="000265CD">
        <w:rPr>
          <w:rFonts w:ascii="Franklin Gothic Medium" w:hAnsi="Franklin Gothic Medium"/>
          <w:b w:val="0"/>
          <w:snapToGrid/>
          <w:color w:val="000000" w:themeColor="text1"/>
          <w:sz w:val="32"/>
          <w:szCs w:val="26"/>
        </w:rPr>
        <w:t xml:space="preserve"> </w:t>
      </w:r>
    </w:p>
    <w:p w14:paraId="0588B57C" w14:textId="77777777" w:rsidR="000A027E" w:rsidRPr="00E321B4" w:rsidRDefault="000359BA" w:rsidP="00565A06">
      <w:pPr>
        <w:pStyle w:val="MSACESParagraph"/>
        <w:rPr>
          <w:rFonts w:ascii="Franklin Gothic Book" w:hAnsi="Franklin Gothic Book" w:cstheme="minorHAnsi"/>
          <w:color w:val="000000" w:themeColor="text1"/>
          <w:sz w:val="22"/>
        </w:rPr>
      </w:pPr>
      <w:r w:rsidRPr="00E321B4">
        <w:rPr>
          <w:rFonts w:ascii="Franklin Gothic Book" w:hAnsi="Franklin Gothic Book" w:cstheme="minorHAnsi"/>
          <w:color w:val="000000" w:themeColor="text1"/>
          <w:sz w:val="22"/>
        </w:rPr>
        <w:t xml:space="preserve">The integrated codependent </w:t>
      </w:r>
      <w:r w:rsidR="000A027E" w:rsidRPr="00E321B4">
        <w:rPr>
          <w:rFonts w:ascii="Franklin Gothic Book" w:hAnsi="Franklin Gothic Book" w:cstheme="minorHAnsi"/>
          <w:color w:val="000000" w:themeColor="text1"/>
          <w:sz w:val="22"/>
        </w:rPr>
        <w:t xml:space="preserve">application requested: </w:t>
      </w:r>
    </w:p>
    <w:p w14:paraId="60659A1A" w14:textId="1306173E" w:rsidR="00242EB4" w:rsidRPr="00E321B4" w:rsidRDefault="00242EB4" w:rsidP="00DE18CE">
      <w:pPr>
        <w:pStyle w:val="MSACESBulletPoint"/>
        <w:jc w:val="both"/>
        <w:rPr>
          <w:rFonts w:ascii="Franklin Gothic Book" w:hAnsi="Franklin Gothic Book"/>
          <w:color w:val="000000" w:themeColor="text1"/>
          <w:sz w:val="22"/>
          <w:szCs w:val="20"/>
        </w:rPr>
      </w:pPr>
      <w:r w:rsidRPr="00E321B4">
        <w:rPr>
          <w:rFonts w:ascii="Franklin Gothic Book" w:hAnsi="Franklin Gothic Book"/>
          <w:color w:val="000000" w:themeColor="text1"/>
          <w:sz w:val="22"/>
          <w:szCs w:val="20"/>
        </w:rPr>
        <w:t>Medicare Benefits Schedule (MBS) listing of an immunohistochemistry (IHC) test of folate receptor alpha (FRα) expression in patients with high-grade epithelial ovarian, fallopian tube or primary peritoneal cancer (EOC), to determine eligibility for treatment with mirvetuximab soravtansine (MIRV); and</w:t>
      </w:r>
    </w:p>
    <w:p w14:paraId="0E840FF7" w14:textId="61A2F03C" w:rsidR="00903F40" w:rsidRDefault="00242EB4" w:rsidP="00903F40">
      <w:pPr>
        <w:pStyle w:val="MSACESBulletPoint"/>
        <w:jc w:val="both"/>
        <w:rPr>
          <w:rFonts w:ascii="Franklin Gothic Book" w:hAnsi="Franklin Gothic Book" w:cstheme="minorHAnsi"/>
          <w:color w:val="000000" w:themeColor="text1"/>
          <w:sz w:val="22"/>
        </w:rPr>
      </w:pPr>
      <w:r w:rsidRPr="00E321B4">
        <w:rPr>
          <w:rFonts w:ascii="Franklin Gothic Book" w:hAnsi="Franklin Gothic Book" w:cstheme="minorHAnsi"/>
          <w:color w:val="000000" w:themeColor="text1"/>
          <w:sz w:val="22"/>
        </w:rPr>
        <w:t>Pharmaceutical Benefits Scheme (PBS) Authority Required (Streamlined) listing of MIRV for the treatment of patients with platinum-resistant high-grade epithelial ovarian, fallopian tube, or primary peritoneal cancer (PROC), who have received at least one prior systemic treatment regimen, and who have high FRα tumour cell expression (defined as ≥75% of viable tumour cells with moderate (2+) or strong (3+) membrane staining [≥75%, PS2+]) as determined by a validated test.</w:t>
      </w:r>
    </w:p>
    <w:p w14:paraId="4AE1F9DF" w14:textId="77777777" w:rsidR="00CA6794" w:rsidRPr="00CA6794" w:rsidRDefault="00CA679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3" w:name="_Hlk193982496"/>
      <w:bookmarkStart w:id="4" w:name="_Hlk194308564"/>
      <w:bookmarkStart w:id="5" w:name="_Toc198721984"/>
      <w:r w:rsidRPr="00CA6794">
        <w:rPr>
          <w:rFonts w:ascii="Franklin Gothic Medium" w:hAnsi="Franklin Gothic Medium"/>
          <w:b w:val="0"/>
          <w:snapToGrid/>
          <w:color w:val="000000" w:themeColor="text1"/>
          <w:sz w:val="32"/>
          <w:szCs w:val="26"/>
        </w:rPr>
        <w:t>MSAC’s advice to the Minister</w:t>
      </w:r>
    </w:p>
    <w:p w14:paraId="68FAF693" w14:textId="002A58DF" w:rsidR="00B7276C" w:rsidRPr="00B7276C" w:rsidRDefault="00CA6794" w:rsidP="00C77641">
      <w:pPr>
        <w:pStyle w:val="TableFooter"/>
        <w:keepNext/>
        <w:keepLines/>
        <w:spacing w:after="240"/>
        <w:contextualSpacing w:val="0"/>
        <w:rPr>
          <w:rFonts w:ascii="Franklin Gothic Book" w:eastAsia="Franklin Gothic Book" w:hAnsi="Franklin Gothic Book"/>
          <w:sz w:val="22"/>
        </w:rPr>
      </w:pPr>
      <w:r w:rsidRPr="00333EDF">
        <w:rPr>
          <w:rFonts w:ascii="Franklin Gothic Book" w:hAnsi="Franklin Gothic Book"/>
          <w:sz w:val="22"/>
          <w:szCs w:val="22"/>
        </w:rPr>
        <w:t xml:space="preserve">After considering the strength of the available evidence in relation to comparative safety, clinical effectiveness, cost-effectiveness and total cost, </w:t>
      </w:r>
      <w:r w:rsidRPr="00333EDF">
        <w:rPr>
          <w:rFonts w:ascii="Franklin Gothic Book" w:eastAsia="Franklin Gothic Book" w:hAnsi="Franklin Gothic Book"/>
          <w:sz w:val="22"/>
          <w:szCs w:val="22"/>
        </w:rPr>
        <w:t>MSAC</w:t>
      </w:r>
      <w:r w:rsidR="003D62A7">
        <w:rPr>
          <w:rFonts w:ascii="Franklin Gothic Book" w:eastAsia="Franklin Gothic Book" w:hAnsi="Franklin Gothic Book"/>
          <w:sz w:val="22"/>
          <w:szCs w:val="22"/>
        </w:rPr>
        <w:t xml:space="preserve"> </w:t>
      </w:r>
      <w:r w:rsidR="00B7276C" w:rsidRPr="00B7276C">
        <w:rPr>
          <w:rFonts w:ascii="Franklin Gothic Book" w:eastAsia="Franklin Gothic Book" w:hAnsi="Franklin Gothic Book"/>
          <w:sz w:val="22"/>
        </w:rPr>
        <w:t>deferred its advice on the public funding of immunohistochemistry (IHC) testing of solid tumour tissue to determine folate receptor alpha (FRα) expression status in adults with platinum-resistant ovarian cancer, to determine eligibility for Pharmaceutical Benefits Scheme (PBS) subsidised mirvetuximab soravtansine (MIRV, marketed as Elahere®). MSAC noted that the Pharmaceutical Benefits Advisory Committee (PBAC) at its July 2025 meeting deferred its consideration of MIRV noting the TGA delegate’s overview is expected by September 2025. Additionally, MSAC noted that the PBAC was of a mind to recommend MIRV pending updates. </w:t>
      </w:r>
    </w:p>
    <w:p w14:paraId="7ED24AB4" w14:textId="6EC23CC2" w:rsidR="00B7276C" w:rsidRPr="00B7276C" w:rsidRDefault="55414ABA" w:rsidP="15BC264F">
      <w:pPr>
        <w:pStyle w:val="TableFooter"/>
        <w:keepNext/>
        <w:keepLines/>
        <w:spacing w:before="240"/>
        <w:rPr>
          <w:rFonts w:ascii="Franklin Gothic Book" w:eastAsia="Franklin Gothic Book" w:hAnsi="Franklin Gothic Book"/>
          <w:sz w:val="22"/>
          <w:szCs w:val="22"/>
        </w:rPr>
      </w:pPr>
      <w:r w:rsidRPr="15BC264F">
        <w:rPr>
          <w:rFonts w:ascii="Franklin Gothic Book" w:eastAsia="Franklin Gothic Book" w:hAnsi="Franklin Gothic Book"/>
          <w:sz w:val="22"/>
          <w:szCs w:val="22"/>
        </w:rPr>
        <w:t>MSAC acknowledged there was a high clinical need for treatments for this condition. MSAC considered FRα testing would identify patients expected to benefit from MIRV and testing would have no additional safety concerns. MSAC was inclined to support the test if the PBAC recommended MIRV and the TGA approves the companion diagnostic test for FRα testing. MSAC considered the financial impact of testing to the MBS would be relatively low. MSAC considered the proposed fee of $125 for the test was high and advised a fee of $112 was appropriate. </w:t>
      </w:r>
    </w:p>
    <w:p w14:paraId="2B64BD77" w14:textId="77777777" w:rsidR="00B31C72" w:rsidRDefault="00B31C72" w:rsidP="00CA6794">
      <w:pPr>
        <w:pStyle w:val="TableFooter"/>
        <w:rPr>
          <w:rFonts w:ascii="Franklin Gothic Book" w:hAnsi="Franklin Gothic Book"/>
          <w:sz w:val="22"/>
          <w:szCs w:val="22"/>
        </w:rPr>
      </w:pPr>
    </w:p>
    <w:tbl>
      <w:tblPr>
        <w:tblStyle w:val="Section3-footnot1"/>
        <w:tblW w:w="0" w:type="auto"/>
        <w:tblLook w:val="04A0" w:firstRow="1" w:lastRow="0" w:firstColumn="1" w:lastColumn="0" w:noHBand="0" w:noVBand="1"/>
        <w:tblDescription w:val="Consumer summary of MSAC consideration"/>
      </w:tblPr>
      <w:tblGrid>
        <w:gridCol w:w="9016"/>
      </w:tblGrid>
      <w:tr w:rsidR="00CA6794" w:rsidRPr="00F91D6E" w14:paraId="4DAAD7C0" w14:textId="77777777">
        <w:trPr>
          <w:tblHeader/>
        </w:trPr>
        <w:tc>
          <w:tcPr>
            <w:tcW w:w="9016" w:type="dxa"/>
          </w:tcPr>
          <w:p w14:paraId="5E3FB90C" w14:textId="77777777" w:rsidR="00CA6794" w:rsidRPr="003D62A7" w:rsidRDefault="00CA6794" w:rsidP="003D62A7">
            <w:pPr>
              <w:keepNext/>
              <w:keepLines/>
              <w:spacing w:after="120" w:line="259" w:lineRule="auto"/>
              <w:rPr>
                <w:rFonts w:ascii="Franklin Gothic Book" w:eastAsia="Calibri" w:hAnsi="Franklin Gothic Book"/>
                <w:b/>
                <w:bCs/>
                <w:szCs w:val="24"/>
              </w:rPr>
            </w:pPr>
            <w:r w:rsidRPr="003D62A7">
              <w:rPr>
                <w:rFonts w:ascii="Franklin Gothic Book" w:hAnsi="Franklin Gothic Book"/>
                <w:b/>
                <w:bCs/>
                <w:szCs w:val="24"/>
              </w:rPr>
              <w:lastRenderedPageBreak/>
              <w:t>Consumer summary</w:t>
            </w:r>
          </w:p>
        </w:tc>
      </w:tr>
      <w:tr w:rsidR="006D1917" w:rsidRPr="00F91D6E" w14:paraId="5DFC155C" w14:textId="77777777">
        <w:tc>
          <w:tcPr>
            <w:tcW w:w="9016" w:type="dxa"/>
          </w:tcPr>
          <w:p w14:paraId="59CB797F" w14:textId="3E564406" w:rsidR="006D1917" w:rsidRPr="006D1917" w:rsidRDefault="006D1917" w:rsidP="006D1917">
            <w:pPr>
              <w:rPr>
                <w:rFonts w:ascii="Franklin Gothic Book" w:hAnsi="Franklin Gothic Book"/>
                <w:sz w:val="22"/>
              </w:rPr>
            </w:pPr>
            <w:r w:rsidRPr="006D1917">
              <w:rPr>
                <w:rFonts w:ascii="Franklin Gothic Book" w:hAnsi="Franklin Gothic Book"/>
                <w:sz w:val="22"/>
              </w:rPr>
              <w:t xml:space="preserve">This application from AbbVie Pty Ltd </w:t>
            </w:r>
            <w:r w:rsidR="00D465A7" w:rsidRPr="006D1917">
              <w:rPr>
                <w:rFonts w:ascii="Franklin Gothic Book" w:hAnsi="Franklin Gothic Book"/>
                <w:sz w:val="22"/>
              </w:rPr>
              <w:t>request</w:t>
            </w:r>
            <w:r w:rsidR="00D465A7">
              <w:rPr>
                <w:rFonts w:ascii="Franklin Gothic Book" w:hAnsi="Franklin Gothic Book"/>
                <w:sz w:val="22"/>
              </w:rPr>
              <w:t>ed</w:t>
            </w:r>
            <w:r w:rsidR="00D465A7" w:rsidRPr="006D1917">
              <w:rPr>
                <w:rFonts w:ascii="Franklin Gothic Book" w:hAnsi="Franklin Gothic Book"/>
                <w:sz w:val="22"/>
              </w:rPr>
              <w:t xml:space="preserve"> </w:t>
            </w:r>
            <w:r w:rsidRPr="006D1917">
              <w:rPr>
                <w:rFonts w:ascii="Franklin Gothic Book" w:hAnsi="Franklin Gothic Book"/>
                <w:sz w:val="22"/>
              </w:rPr>
              <w:t>Medicare Benefits Schedule (MBS) listing of a test to detect a protein called folate receptor alpha (</w:t>
            </w:r>
            <w:r w:rsidRPr="006D1917">
              <w:rPr>
                <w:rFonts w:ascii="Franklin Gothic Book" w:hAnsi="Franklin Gothic Book"/>
                <w:sz w:val="22"/>
                <w:lang w:val="en-US"/>
              </w:rPr>
              <w:t>FRα)</w:t>
            </w:r>
            <w:r w:rsidRPr="006D1917">
              <w:rPr>
                <w:rFonts w:ascii="Franklin Gothic Book" w:hAnsi="Franklin Gothic Book"/>
                <w:sz w:val="22"/>
              </w:rPr>
              <w:t xml:space="preserve"> </w:t>
            </w:r>
            <w:r w:rsidR="00D25FCE">
              <w:rPr>
                <w:rFonts w:ascii="Franklin Gothic Book" w:hAnsi="Franklin Gothic Book"/>
                <w:sz w:val="22"/>
              </w:rPr>
              <w:t xml:space="preserve">that is present </w:t>
            </w:r>
            <w:r w:rsidRPr="006D1917">
              <w:rPr>
                <w:rFonts w:ascii="Franklin Gothic Book" w:hAnsi="Franklin Gothic Book"/>
                <w:sz w:val="22"/>
              </w:rPr>
              <w:t xml:space="preserve">in ovarian cancer </w:t>
            </w:r>
            <w:r w:rsidR="00D25FCE">
              <w:rPr>
                <w:rFonts w:ascii="Franklin Gothic Book" w:hAnsi="Franklin Gothic Book"/>
                <w:sz w:val="22"/>
              </w:rPr>
              <w:t xml:space="preserve">cells </w:t>
            </w:r>
            <w:r w:rsidRPr="006D1917">
              <w:rPr>
                <w:rFonts w:ascii="Franklin Gothic Book" w:hAnsi="Franklin Gothic Book"/>
                <w:sz w:val="22"/>
              </w:rPr>
              <w:t xml:space="preserve">that </w:t>
            </w:r>
            <w:r w:rsidR="00D25FCE">
              <w:rPr>
                <w:rFonts w:ascii="Franklin Gothic Book" w:hAnsi="Franklin Gothic Book"/>
                <w:sz w:val="22"/>
              </w:rPr>
              <w:t>are</w:t>
            </w:r>
            <w:r w:rsidR="00D25FCE" w:rsidRPr="006D1917">
              <w:rPr>
                <w:rFonts w:ascii="Franklin Gothic Book" w:hAnsi="Franklin Gothic Book"/>
                <w:sz w:val="22"/>
              </w:rPr>
              <w:t xml:space="preserve"> </w:t>
            </w:r>
            <w:r w:rsidRPr="006D1917">
              <w:rPr>
                <w:rFonts w:ascii="Franklin Gothic Book" w:hAnsi="Franklin Gothic Book"/>
                <w:sz w:val="22"/>
              </w:rPr>
              <w:t>resistant</w:t>
            </w:r>
            <w:r w:rsidR="009777D1">
              <w:rPr>
                <w:rFonts w:ascii="Franklin Gothic Book" w:hAnsi="Franklin Gothic Book"/>
                <w:sz w:val="22"/>
              </w:rPr>
              <w:t xml:space="preserve"> (</w:t>
            </w:r>
            <w:r w:rsidR="001710D7">
              <w:rPr>
                <w:rFonts w:ascii="Franklin Gothic Book" w:hAnsi="Franklin Gothic Book"/>
                <w:sz w:val="22"/>
              </w:rPr>
              <w:t>stops responding</w:t>
            </w:r>
            <w:r w:rsidR="009777D1">
              <w:rPr>
                <w:rFonts w:ascii="Franklin Gothic Book" w:hAnsi="Franklin Gothic Book"/>
                <w:sz w:val="22"/>
              </w:rPr>
              <w:t>)</w:t>
            </w:r>
            <w:r w:rsidRPr="006D1917">
              <w:rPr>
                <w:rFonts w:ascii="Franklin Gothic Book" w:hAnsi="Franklin Gothic Book"/>
                <w:sz w:val="22"/>
              </w:rPr>
              <w:t xml:space="preserve"> to chemotherapy</w:t>
            </w:r>
            <w:r w:rsidR="00451969">
              <w:rPr>
                <w:rFonts w:ascii="Franklin Gothic Book" w:hAnsi="Franklin Gothic Book"/>
                <w:sz w:val="22"/>
              </w:rPr>
              <w:t xml:space="preserve"> treatment with drugs containing</w:t>
            </w:r>
            <w:r w:rsidR="00451969" w:rsidRPr="006D1917">
              <w:rPr>
                <w:rFonts w:ascii="Franklin Gothic Book" w:hAnsi="Franklin Gothic Book"/>
                <w:sz w:val="22"/>
              </w:rPr>
              <w:t xml:space="preserve"> platinum</w:t>
            </w:r>
            <w:r w:rsidRPr="006D1917">
              <w:rPr>
                <w:rFonts w:ascii="Franklin Gothic Book" w:hAnsi="Franklin Gothic Book"/>
                <w:sz w:val="22"/>
              </w:rPr>
              <w:t xml:space="preserve">. People who </w:t>
            </w:r>
            <w:r w:rsidR="001C299D">
              <w:rPr>
                <w:rFonts w:ascii="Franklin Gothic Book" w:hAnsi="Franklin Gothic Book"/>
                <w:sz w:val="22"/>
                <w:lang w:val="en-US"/>
              </w:rPr>
              <w:t xml:space="preserve">have </w:t>
            </w:r>
            <w:r w:rsidR="00E058B3">
              <w:rPr>
                <w:rFonts w:ascii="Franklin Gothic Book" w:hAnsi="Franklin Gothic Book"/>
                <w:sz w:val="22"/>
                <w:lang w:val="en-US"/>
              </w:rPr>
              <w:t>level</w:t>
            </w:r>
            <w:r w:rsidR="001C299D">
              <w:rPr>
                <w:rFonts w:ascii="Franklin Gothic Book" w:hAnsi="Franklin Gothic Book"/>
                <w:sz w:val="22"/>
                <w:lang w:val="en-US"/>
              </w:rPr>
              <w:t>s</w:t>
            </w:r>
            <w:r w:rsidR="00E058B3">
              <w:rPr>
                <w:rFonts w:ascii="Franklin Gothic Book" w:hAnsi="Franklin Gothic Book"/>
                <w:sz w:val="22"/>
                <w:lang w:val="en-US"/>
              </w:rPr>
              <w:t xml:space="preserve"> </w:t>
            </w:r>
            <w:r w:rsidR="001C299D">
              <w:rPr>
                <w:rFonts w:ascii="Franklin Gothic Book" w:hAnsi="Franklin Gothic Book"/>
                <w:sz w:val="22"/>
                <w:lang w:val="en-US"/>
              </w:rPr>
              <w:t>of FR</w:t>
            </w:r>
            <w:r w:rsidR="001C299D" w:rsidRPr="006D1917">
              <w:rPr>
                <w:rFonts w:ascii="Franklin Gothic Book" w:hAnsi="Franklin Gothic Book"/>
                <w:sz w:val="22"/>
                <w:lang w:val="en-US"/>
              </w:rPr>
              <w:t>α</w:t>
            </w:r>
            <w:r w:rsidR="001C299D">
              <w:rPr>
                <w:rFonts w:ascii="Franklin Gothic Book" w:hAnsi="Franklin Gothic Book"/>
                <w:sz w:val="22"/>
                <w:lang w:val="en-US"/>
              </w:rPr>
              <w:t xml:space="preserve"> </w:t>
            </w:r>
            <w:r w:rsidR="00E058B3">
              <w:rPr>
                <w:rFonts w:ascii="Franklin Gothic Book" w:hAnsi="Franklin Gothic Book"/>
                <w:sz w:val="22"/>
                <w:lang w:val="en-US"/>
              </w:rPr>
              <w:t>above a certain threshold</w:t>
            </w:r>
            <w:r w:rsidRPr="006D1917">
              <w:rPr>
                <w:rFonts w:ascii="Franklin Gothic Book" w:hAnsi="Franklin Gothic Book"/>
                <w:sz w:val="22"/>
                <w:lang w:val="en-US"/>
              </w:rPr>
              <w:t xml:space="preserve"> would be eligible</w:t>
            </w:r>
            <w:r w:rsidRPr="006D1917">
              <w:rPr>
                <w:rFonts w:ascii="Franklin Gothic Book" w:hAnsi="Franklin Gothic Book"/>
                <w:sz w:val="22"/>
              </w:rPr>
              <w:t xml:space="preserve"> to access a medicine called mirvetuximab soravtansine (</w:t>
            </w:r>
            <w:r w:rsidR="003A46F2">
              <w:rPr>
                <w:rFonts w:ascii="Franklin Gothic Book" w:hAnsi="Franklin Gothic Book"/>
                <w:sz w:val="22"/>
              </w:rPr>
              <w:t>MIRV</w:t>
            </w:r>
            <w:r w:rsidRPr="006D1917">
              <w:rPr>
                <w:rFonts w:ascii="Franklin Gothic Book" w:hAnsi="Franklin Gothic Book"/>
                <w:sz w:val="22"/>
              </w:rPr>
              <w:t xml:space="preserve">) under the Pharmaceutical Benefits Scheme (PBS). At the time this application was made, </w:t>
            </w:r>
            <w:r w:rsidR="002B27DC">
              <w:rPr>
                <w:rFonts w:ascii="Franklin Gothic Book" w:hAnsi="Franklin Gothic Book"/>
                <w:sz w:val="22"/>
              </w:rPr>
              <w:t xml:space="preserve">MIRV </w:t>
            </w:r>
            <w:r w:rsidRPr="006D1917">
              <w:rPr>
                <w:rFonts w:ascii="Franklin Gothic Book" w:hAnsi="Franklin Gothic Book"/>
                <w:sz w:val="22"/>
              </w:rPr>
              <w:t xml:space="preserve">was not listed on the PBS, so a codependent application that proposed public funding for </w:t>
            </w:r>
            <w:r w:rsidR="001E737D">
              <w:rPr>
                <w:rFonts w:ascii="Franklin Gothic Book" w:hAnsi="Franklin Gothic Book"/>
                <w:sz w:val="22"/>
              </w:rPr>
              <w:t>MIRV</w:t>
            </w:r>
            <w:r w:rsidR="002A62AD">
              <w:rPr>
                <w:rFonts w:ascii="Franklin Gothic Book" w:hAnsi="Franklin Gothic Book"/>
                <w:sz w:val="22"/>
              </w:rPr>
              <w:t xml:space="preserve"> </w:t>
            </w:r>
            <w:r w:rsidR="00D25FCE">
              <w:rPr>
                <w:rFonts w:ascii="Franklin Gothic Book" w:hAnsi="Franklin Gothic Book"/>
                <w:sz w:val="22"/>
              </w:rPr>
              <w:t xml:space="preserve">and the </w:t>
            </w:r>
            <w:r w:rsidR="00D25FCE" w:rsidRPr="006D1917">
              <w:rPr>
                <w:rFonts w:ascii="Franklin Gothic Book" w:hAnsi="Franklin Gothic Book"/>
                <w:sz w:val="22"/>
                <w:lang w:val="en-US"/>
              </w:rPr>
              <w:t>FRα</w:t>
            </w:r>
            <w:r w:rsidR="00D25FCE" w:rsidRPr="006D1917">
              <w:rPr>
                <w:rFonts w:ascii="Franklin Gothic Book" w:hAnsi="Franklin Gothic Book"/>
                <w:sz w:val="22"/>
              </w:rPr>
              <w:t xml:space="preserve"> </w:t>
            </w:r>
            <w:r w:rsidR="00D25FCE">
              <w:rPr>
                <w:rFonts w:ascii="Franklin Gothic Book" w:hAnsi="Franklin Gothic Book"/>
                <w:sz w:val="22"/>
              </w:rPr>
              <w:t xml:space="preserve">test </w:t>
            </w:r>
            <w:r w:rsidRPr="006D1917">
              <w:rPr>
                <w:rFonts w:ascii="Franklin Gothic Book" w:hAnsi="Franklin Gothic Book"/>
                <w:sz w:val="22"/>
              </w:rPr>
              <w:t xml:space="preserve">was submitted to the Pharmaceutical Benefits Advisory Committee (PBAC) </w:t>
            </w:r>
            <w:r w:rsidR="00D25FCE">
              <w:rPr>
                <w:rFonts w:ascii="Franklin Gothic Book" w:hAnsi="Franklin Gothic Book"/>
                <w:sz w:val="22"/>
              </w:rPr>
              <w:t xml:space="preserve">and MSAC </w:t>
            </w:r>
            <w:r w:rsidRPr="006D1917">
              <w:rPr>
                <w:rFonts w:ascii="Franklin Gothic Book" w:hAnsi="Franklin Gothic Book"/>
                <w:sz w:val="22"/>
              </w:rPr>
              <w:t>at the same time.</w:t>
            </w:r>
          </w:p>
          <w:p w14:paraId="6E00F073" w14:textId="18B24CF0" w:rsidR="006D1917" w:rsidRPr="006D1917" w:rsidRDefault="0000276A" w:rsidP="006D1917">
            <w:pPr>
              <w:rPr>
                <w:rFonts w:ascii="Franklin Gothic Book" w:hAnsi="Franklin Gothic Book"/>
                <w:sz w:val="22"/>
              </w:rPr>
            </w:pPr>
            <w:r>
              <w:rPr>
                <w:rFonts w:ascii="Franklin Gothic Book" w:hAnsi="Franklin Gothic Book"/>
                <w:sz w:val="22"/>
              </w:rPr>
              <w:t>In Australia, o</w:t>
            </w:r>
            <w:r w:rsidR="006D1917" w:rsidRPr="006D1917">
              <w:rPr>
                <w:rFonts w:ascii="Franklin Gothic Book" w:hAnsi="Franklin Gothic Book"/>
                <w:sz w:val="22"/>
              </w:rPr>
              <w:t>varian cancer is the 6th highest cause of death</w:t>
            </w:r>
            <w:r w:rsidR="004D7910">
              <w:rPr>
                <w:rFonts w:ascii="Franklin Gothic Book" w:hAnsi="Franklin Gothic Book"/>
                <w:sz w:val="22"/>
              </w:rPr>
              <w:t xml:space="preserve"> from cancer</w:t>
            </w:r>
            <w:r w:rsidR="006D1917" w:rsidRPr="006D1917">
              <w:rPr>
                <w:rFonts w:ascii="Franklin Gothic Book" w:hAnsi="Franklin Gothic Book"/>
                <w:sz w:val="22"/>
              </w:rPr>
              <w:t xml:space="preserve"> in women</w:t>
            </w:r>
            <w:r w:rsidR="006557DD">
              <w:rPr>
                <w:rFonts w:ascii="Franklin Gothic Book" w:hAnsi="Franklin Gothic Book"/>
                <w:sz w:val="22"/>
              </w:rPr>
              <w:t xml:space="preserve">. </w:t>
            </w:r>
            <w:r w:rsidR="00CA3C9F">
              <w:rPr>
                <w:rFonts w:ascii="Franklin Gothic Book" w:hAnsi="Franklin Gothic Book"/>
                <w:sz w:val="22"/>
              </w:rPr>
              <w:t>O</w:t>
            </w:r>
            <w:r w:rsidR="006D1917" w:rsidRPr="006D1917">
              <w:rPr>
                <w:rFonts w:ascii="Franklin Gothic Book" w:hAnsi="Franklin Gothic Book"/>
                <w:sz w:val="22"/>
              </w:rPr>
              <w:t xml:space="preserve">varian cancer is </w:t>
            </w:r>
            <w:r w:rsidR="006D1917" w:rsidRPr="006D1917" w:rsidDel="004E73D2">
              <w:rPr>
                <w:rFonts w:ascii="Franklin Gothic Book" w:hAnsi="Franklin Gothic Book"/>
                <w:sz w:val="22"/>
              </w:rPr>
              <w:t xml:space="preserve">often </w:t>
            </w:r>
            <w:r w:rsidR="00111D40">
              <w:rPr>
                <w:rFonts w:ascii="Franklin Gothic Book" w:hAnsi="Franklin Gothic Book"/>
                <w:sz w:val="22"/>
              </w:rPr>
              <w:t>diagnosed</w:t>
            </w:r>
            <w:r w:rsidR="00CA3C9F">
              <w:rPr>
                <w:rFonts w:ascii="Franklin Gothic Book" w:hAnsi="Franklin Gothic Book"/>
                <w:sz w:val="22"/>
              </w:rPr>
              <w:t xml:space="preserve"> </w:t>
            </w:r>
            <w:r w:rsidR="00D25FCE">
              <w:rPr>
                <w:rFonts w:ascii="Franklin Gothic Book" w:hAnsi="Franklin Gothic Book"/>
                <w:sz w:val="22"/>
              </w:rPr>
              <w:t xml:space="preserve">late in </w:t>
            </w:r>
            <w:r w:rsidR="002B3A10">
              <w:rPr>
                <w:rFonts w:ascii="Franklin Gothic Book" w:hAnsi="Franklin Gothic Book"/>
                <w:sz w:val="22"/>
              </w:rPr>
              <w:t xml:space="preserve">the disease. </w:t>
            </w:r>
            <w:r w:rsidR="0003336F">
              <w:rPr>
                <w:rFonts w:ascii="Franklin Gothic Book" w:hAnsi="Franklin Gothic Book"/>
                <w:sz w:val="22"/>
              </w:rPr>
              <w:t>T</w:t>
            </w:r>
            <w:r w:rsidR="003A30AE">
              <w:rPr>
                <w:rFonts w:ascii="Franklin Gothic Book" w:hAnsi="Franklin Gothic Book"/>
                <w:sz w:val="22"/>
              </w:rPr>
              <w:t xml:space="preserve">he </w:t>
            </w:r>
            <w:r w:rsidR="006D1917" w:rsidRPr="006D1917">
              <w:rPr>
                <w:rFonts w:ascii="Franklin Gothic Book" w:hAnsi="Franklin Gothic Book"/>
                <w:sz w:val="22"/>
              </w:rPr>
              <w:t xml:space="preserve">5-year survival rate of </w:t>
            </w:r>
            <w:r w:rsidR="00112A94">
              <w:rPr>
                <w:rFonts w:ascii="Franklin Gothic Book" w:hAnsi="Franklin Gothic Book"/>
                <w:sz w:val="22"/>
              </w:rPr>
              <w:t xml:space="preserve">ovarian cancer is </w:t>
            </w:r>
            <w:r w:rsidR="006D1917" w:rsidRPr="006D1917" w:rsidDel="007D2864">
              <w:rPr>
                <w:rFonts w:ascii="Franklin Gothic Book" w:hAnsi="Franklin Gothic Book"/>
                <w:sz w:val="22"/>
              </w:rPr>
              <w:t>less than 50</w:t>
            </w:r>
            <w:r w:rsidR="00EB6609">
              <w:rPr>
                <w:rFonts w:ascii="Franklin Gothic Book" w:hAnsi="Franklin Gothic Book"/>
                <w:sz w:val="22"/>
              </w:rPr>
              <w:t>%</w:t>
            </w:r>
            <w:r w:rsidR="00091131">
              <w:rPr>
                <w:rFonts w:ascii="Franklin Gothic Book" w:hAnsi="Franklin Gothic Book"/>
                <w:sz w:val="22"/>
              </w:rPr>
              <w:t xml:space="preserve"> --</w:t>
            </w:r>
            <w:r w:rsidR="00A434FD">
              <w:rPr>
                <w:rFonts w:ascii="Franklin Gothic Book" w:hAnsi="Franklin Gothic Book"/>
                <w:sz w:val="22"/>
              </w:rPr>
              <w:t xml:space="preserve"> </w:t>
            </w:r>
            <w:r w:rsidR="009A3E7E" w:rsidRPr="009A3E7E">
              <w:rPr>
                <w:rFonts w:ascii="Franklin Gothic Book" w:hAnsi="Franklin Gothic Book"/>
                <w:sz w:val="22"/>
              </w:rPr>
              <w:t>meaning fewer than half of women</w:t>
            </w:r>
            <w:r w:rsidR="009E4D45">
              <w:rPr>
                <w:rFonts w:ascii="Franklin Gothic Book" w:hAnsi="Franklin Gothic Book"/>
                <w:sz w:val="22"/>
              </w:rPr>
              <w:t xml:space="preserve"> </w:t>
            </w:r>
            <w:r w:rsidR="00D25FCE">
              <w:rPr>
                <w:rFonts w:ascii="Franklin Gothic Book" w:hAnsi="Franklin Gothic Book"/>
                <w:sz w:val="22"/>
              </w:rPr>
              <w:t xml:space="preserve">who have </w:t>
            </w:r>
            <w:r w:rsidR="009E4D45">
              <w:rPr>
                <w:rFonts w:ascii="Franklin Gothic Book" w:hAnsi="Franklin Gothic Book"/>
                <w:sz w:val="22"/>
              </w:rPr>
              <w:t>ovarian can</w:t>
            </w:r>
            <w:r w:rsidR="004B078E">
              <w:rPr>
                <w:rFonts w:ascii="Franklin Gothic Book" w:hAnsi="Franklin Gothic Book"/>
                <w:sz w:val="22"/>
              </w:rPr>
              <w:t>c</w:t>
            </w:r>
            <w:r w:rsidR="009E4D45">
              <w:rPr>
                <w:rFonts w:ascii="Franklin Gothic Book" w:hAnsi="Franklin Gothic Book"/>
                <w:sz w:val="22"/>
              </w:rPr>
              <w:t>er</w:t>
            </w:r>
            <w:r w:rsidR="009A3E7E" w:rsidRPr="009A3E7E">
              <w:rPr>
                <w:rFonts w:ascii="Franklin Gothic Book" w:hAnsi="Franklin Gothic Book"/>
                <w:sz w:val="22"/>
              </w:rPr>
              <w:t xml:space="preserve"> survive more than five years</w:t>
            </w:r>
            <w:r w:rsidR="009E4D45">
              <w:rPr>
                <w:rFonts w:ascii="Franklin Gothic Book" w:hAnsi="Franklin Gothic Book"/>
                <w:sz w:val="22"/>
              </w:rPr>
              <w:t xml:space="preserve"> after the treatment</w:t>
            </w:r>
            <w:r w:rsidR="006D1917" w:rsidRPr="006D1917">
              <w:rPr>
                <w:rFonts w:ascii="Franklin Gothic Book" w:hAnsi="Franklin Gothic Book"/>
                <w:sz w:val="22"/>
              </w:rPr>
              <w:t>.</w:t>
            </w:r>
            <w:r w:rsidR="009A3E7E">
              <w:rPr>
                <w:rFonts w:ascii="Franklin Gothic Book" w:hAnsi="Franklin Gothic Book"/>
                <w:sz w:val="22"/>
              </w:rPr>
              <w:t xml:space="preserve"> </w:t>
            </w:r>
            <w:r w:rsidR="0003336F">
              <w:rPr>
                <w:rFonts w:ascii="Franklin Gothic Book" w:hAnsi="Franklin Gothic Book"/>
                <w:sz w:val="22"/>
              </w:rPr>
              <w:t>MSAC noted</w:t>
            </w:r>
            <w:r w:rsidR="006D1917" w:rsidRPr="006D1917">
              <w:rPr>
                <w:rFonts w:ascii="Franklin Gothic Book" w:hAnsi="Franklin Gothic Book"/>
                <w:sz w:val="22"/>
              </w:rPr>
              <w:t xml:space="preserve"> </w:t>
            </w:r>
            <w:r w:rsidR="0003336F">
              <w:rPr>
                <w:rFonts w:ascii="Franklin Gothic Book" w:hAnsi="Franklin Gothic Book"/>
                <w:sz w:val="22"/>
              </w:rPr>
              <w:t>that</w:t>
            </w:r>
            <w:r w:rsidR="006D1917" w:rsidRPr="006D1917">
              <w:rPr>
                <w:rFonts w:ascii="Franklin Gothic Book" w:hAnsi="Franklin Gothic Book"/>
                <w:sz w:val="22"/>
              </w:rPr>
              <w:t xml:space="preserve"> ovarian cancer </w:t>
            </w:r>
            <w:r w:rsidR="00696CAF">
              <w:rPr>
                <w:rFonts w:ascii="Franklin Gothic Book" w:hAnsi="Franklin Gothic Book"/>
                <w:sz w:val="22"/>
              </w:rPr>
              <w:t xml:space="preserve">usually </w:t>
            </w:r>
            <w:r w:rsidR="0003336F" w:rsidRPr="006D1917">
              <w:rPr>
                <w:rFonts w:ascii="Franklin Gothic Book" w:hAnsi="Franklin Gothic Book"/>
                <w:sz w:val="22"/>
              </w:rPr>
              <w:t>ha</w:t>
            </w:r>
            <w:r w:rsidR="0003336F">
              <w:rPr>
                <w:rFonts w:ascii="Franklin Gothic Book" w:hAnsi="Franklin Gothic Book"/>
                <w:sz w:val="22"/>
              </w:rPr>
              <w:t>s</w:t>
            </w:r>
            <w:r w:rsidR="0003336F" w:rsidRPr="006D1917">
              <w:rPr>
                <w:rFonts w:ascii="Franklin Gothic Book" w:hAnsi="Franklin Gothic Book"/>
                <w:sz w:val="22"/>
              </w:rPr>
              <w:t xml:space="preserve"> </w:t>
            </w:r>
            <w:r w:rsidR="006D1917" w:rsidRPr="006D1917">
              <w:rPr>
                <w:rFonts w:ascii="Franklin Gothic Book" w:hAnsi="Franklin Gothic Book"/>
                <w:sz w:val="22"/>
              </w:rPr>
              <w:t xml:space="preserve">a good response to </w:t>
            </w:r>
            <w:r w:rsidR="009D7907">
              <w:rPr>
                <w:rFonts w:ascii="Franklin Gothic Book" w:hAnsi="Franklin Gothic Book"/>
                <w:sz w:val="22"/>
              </w:rPr>
              <w:t xml:space="preserve">initial </w:t>
            </w:r>
            <w:r w:rsidR="006A2543" w:rsidRPr="006A2543">
              <w:rPr>
                <w:rFonts w:ascii="Franklin Gothic Book" w:hAnsi="Franklin Gothic Book"/>
                <w:sz w:val="22"/>
              </w:rPr>
              <w:t>chemotherapy treatment with drugs containing platinum</w:t>
            </w:r>
            <w:r w:rsidR="006D1917" w:rsidRPr="006D1917">
              <w:rPr>
                <w:rFonts w:ascii="Franklin Gothic Book" w:hAnsi="Franklin Gothic Book"/>
                <w:sz w:val="22"/>
              </w:rPr>
              <w:t xml:space="preserve">, but </w:t>
            </w:r>
            <w:r w:rsidR="005D79B9">
              <w:rPr>
                <w:rFonts w:ascii="Franklin Gothic Book" w:hAnsi="Franklin Gothic Book"/>
                <w:sz w:val="22"/>
              </w:rPr>
              <w:t>if</w:t>
            </w:r>
            <w:r w:rsidR="00BF49B6" w:rsidRPr="006D1917">
              <w:rPr>
                <w:rFonts w:ascii="Franklin Gothic Book" w:hAnsi="Franklin Gothic Book"/>
                <w:sz w:val="22"/>
              </w:rPr>
              <w:t xml:space="preserve"> </w:t>
            </w:r>
            <w:r w:rsidR="00867AC0">
              <w:rPr>
                <w:rFonts w:ascii="Franklin Gothic Book" w:hAnsi="Franklin Gothic Book"/>
                <w:sz w:val="22"/>
              </w:rPr>
              <w:t>th</w:t>
            </w:r>
            <w:r w:rsidR="00BF49B6">
              <w:rPr>
                <w:rFonts w:ascii="Franklin Gothic Book" w:hAnsi="Franklin Gothic Book"/>
                <w:sz w:val="22"/>
              </w:rPr>
              <w:t>is</w:t>
            </w:r>
            <w:r w:rsidR="00DA69A8">
              <w:rPr>
                <w:rFonts w:ascii="Franklin Gothic Book" w:hAnsi="Franklin Gothic Book"/>
                <w:sz w:val="22"/>
              </w:rPr>
              <w:t xml:space="preserve"> </w:t>
            </w:r>
            <w:r w:rsidR="00CD10D9">
              <w:rPr>
                <w:rFonts w:ascii="Franklin Gothic Book" w:hAnsi="Franklin Gothic Book"/>
                <w:sz w:val="22"/>
              </w:rPr>
              <w:t xml:space="preserve">treatment </w:t>
            </w:r>
            <w:r w:rsidR="00BF49B6">
              <w:rPr>
                <w:rFonts w:ascii="Franklin Gothic Book" w:hAnsi="Franklin Gothic Book"/>
                <w:sz w:val="22"/>
              </w:rPr>
              <w:t>becomes ineffective</w:t>
            </w:r>
            <w:r w:rsidR="006D1917" w:rsidRPr="006D1917">
              <w:rPr>
                <w:rFonts w:ascii="Franklin Gothic Book" w:hAnsi="Franklin Gothic Book"/>
                <w:sz w:val="22"/>
              </w:rPr>
              <w:t xml:space="preserve">, there are </w:t>
            </w:r>
            <w:r w:rsidR="00172CB4">
              <w:rPr>
                <w:rFonts w:ascii="Franklin Gothic Book" w:hAnsi="Franklin Gothic Book"/>
                <w:sz w:val="22"/>
              </w:rPr>
              <w:t>not many</w:t>
            </w:r>
            <w:r w:rsidR="00172CB4" w:rsidRPr="006D1917">
              <w:rPr>
                <w:rFonts w:ascii="Franklin Gothic Book" w:hAnsi="Franklin Gothic Book"/>
                <w:sz w:val="22"/>
              </w:rPr>
              <w:t xml:space="preserve"> </w:t>
            </w:r>
            <w:r w:rsidR="00BF49B6">
              <w:rPr>
                <w:rFonts w:ascii="Franklin Gothic Book" w:hAnsi="Franklin Gothic Book"/>
                <w:sz w:val="22"/>
              </w:rPr>
              <w:t>other</w:t>
            </w:r>
            <w:r w:rsidR="006D1917" w:rsidRPr="006D1917">
              <w:rPr>
                <w:rFonts w:ascii="Franklin Gothic Book" w:hAnsi="Franklin Gothic Book"/>
                <w:sz w:val="22"/>
              </w:rPr>
              <w:t xml:space="preserve"> options available.</w:t>
            </w:r>
            <w:r w:rsidR="006807C9">
              <w:rPr>
                <w:rFonts w:ascii="Franklin Gothic Book" w:hAnsi="Franklin Gothic Book"/>
                <w:sz w:val="22"/>
              </w:rPr>
              <w:t xml:space="preserve"> </w:t>
            </w:r>
            <w:r w:rsidR="007B3198">
              <w:rPr>
                <w:rFonts w:ascii="Franklin Gothic Book" w:hAnsi="Franklin Gothic Book"/>
                <w:sz w:val="22"/>
              </w:rPr>
              <w:t>Ovarian cancer</w:t>
            </w:r>
            <w:r w:rsidR="00444E57">
              <w:rPr>
                <w:rFonts w:ascii="Franklin Gothic Book" w:hAnsi="Franklin Gothic Book"/>
                <w:sz w:val="22"/>
              </w:rPr>
              <w:t xml:space="preserve"> treatments</w:t>
            </w:r>
            <w:r w:rsidR="00E75D40">
              <w:rPr>
                <w:rFonts w:ascii="Franklin Gothic Book" w:hAnsi="Franklin Gothic Book"/>
                <w:sz w:val="22"/>
              </w:rPr>
              <w:t xml:space="preserve"> have not</w:t>
            </w:r>
            <w:r w:rsidR="006807C9">
              <w:rPr>
                <w:rFonts w:ascii="Franklin Gothic Book" w:hAnsi="Franklin Gothic Book"/>
                <w:sz w:val="22"/>
              </w:rPr>
              <w:t xml:space="preserve"> improve</w:t>
            </w:r>
            <w:r w:rsidR="00E75D40">
              <w:rPr>
                <w:rFonts w:ascii="Franklin Gothic Book" w:hAnsi="Franklin Gothic Book"/>
                <w:sz w:val="22"/>
              </w:rPr>
              <w:t>d much</w:t>
            </w:r>
            <w:r w:rsidR="006807C9">
              <w:rPr>
                <w:rFonts w:ascii="Franklin Gothic Book" w:hAnsi="Franklin Gothic Book"/>
                <w:sz w:val="22"/>
              </w:rPr>
              <w:t xml:space="preserve"> </w:t>
            </w:r>
            <w:r w:rsidR="007D6087">
              <w:rPr>
                <w:rFonts w:ascii="Franklin Gothic Book" w:hAnsi="Franklin Gothic Book"/>
                <w:sz w:val="22"/>
              </w:rPr>
              <w:t>in</w:t>
            </w:r>
            <w:r w:rsidR="00E1541F">
              <w:rPr>
                <w:rFonts w:ascii="Franklin Gothic Book" w:hAnsi="Franklin Gothic Book"/>
                <w:sz w:val="22"/>
              </w:rPr>
              <w:t xml:space="preserve"> over 20 years and therefore </w:t>
            </w:r>
            <w:r w:rsidR="006807C9" w:rsidRPr="006807C9">
              <w:rPr>
                <w:rFonts w:ascii="Franklin Gothic Book" w:hAnsi="Franklin Gothic Book"/>
                <w:sz w:val="22"/>
              </w:rPr>
              <w:t xml:space="preserve">new treatment options </w:t>
            </w:r>
            <w:r w:rsidR="00E1541F">
              <w:rPr>
                <w:rFonts w:ascii="Franklin Gothic Book" w:hAnsi="Franklin Gothic Book"/>
                <w:sz w:val="22"/>
              </w:rPr>
              <w:t xml:space="preserve">are </w:t>
            </w:r>
            <w:r w:rsidR="006807C9" w:rsidRPr="006807C9">
              <w:rPr>
                <w:rFonts w:ascii="Franklin Gothic Book" w:hAnsi="Franklin Gothic Book"/>
                <w:sz w:val="22"/>
              </w:rPr>
              <w:t>required</w:t>
            </w:r>
            <w:r w:rsidR="00E1541F">
              <w:rPr>
                <w:rFonts w:ascii="Franklin Gothic Book" w:hAnsi="Franklin Gothic Book"/>
                <w:sz w:val="22"/>
              </w:rPr>
              <w:t>.</w:t>
            </w:r>
          </w:p>
          <w:p w14:paraId="35155A86" w14:textId="674D077D" w:rsidR="006D1917" w:rsidRPr="006D1917" w:rsidRDefault="006D1917" w:rsidP="006D1917">
            <w:pPr>
              <w:rPr>
                <w:rFonts w:ascii="Franklin Gothic Book" w:hAnsi="Franklin Gothic Book"/>
                <w:sz w:val="22"/>
                <w:lang w:val="en-US"/>
              </w:rPr>
            </w:pPr>
            <w:r w:rsidRPr="006D1917">
              <w:rPr>
                <w:rFonts w:ascii="Franklin Gothic Book" w:hAnsi="Franklin Gothic Book"/>
                <w:sz w:val="22"/>
                <w:lang w:val="en-US"/>
              </w:rPr>
              <w:t>FRα is a protein that is found on the surface of many ovarian cancer cells</w:t>
            </w:r>
            <w:r w:rsidR="004B3D4A">
              <w:rPr>
                <w:rFonts w:ascii="Franklin Gothic Book" w:hAnsi="Franklin Gothic Book"/>
                <w:sz w:val="22"/>
                <w:lang w:val="en-US"/>
              </w:rPr>
              <w:t xml:space="preserve"> and its</w:t>
            </w:r>
            <w:r w:rsidR="004B3D4A">
              <w:rPr>
                <w:rFonts w:ascii="Franklin Gothic Book" w:hAnsi="Franklin Gothic Book"/>
                <w:sz w:val="22"/>
              </w:rPr>
              <w:t xml:space="preserve"> levels can be tested. A test result is considered positive when the level of </w:t>
            </w:r>
            <w:r w:rsidR="004B3D4A" w:rsidRPr="006D1917">
              <w:rPr>
                <w:rFonts w:ascii="Franklin Gothic Book" w:hAnsi="Franklin Gothic Book"/>
                <w:sz w:val="22"/>
                <w:lang w:val="en-US"/>
              </w:rPr>
              <w:t>FRα</w:t>
            </w:r>
            <w:r w:rsidR="004B3D4A">
              <w:rPr>
                <w:rFonts w:ascii="Franklin Gothic Book" w:hAnsi="Franklin Gothic Book"/>
                <w:sz w:val="22"/>
              </w:rPr>
              <w:t xml:space="preserve"> (expression) is above a certain level (threshold). </w:t>
            </w:r>
            <w:r w:rsidR="00F0028F">
              <w:rPr>
                <w:rFonts w:ascii="Franklin Gothic Book" w:hAnsi="Franklin Gothic Book"/>
                <w:sz w:val="22"/>
              </w:rPr>
              <w:t xml:space="preserve">The medicine </w:t>
            </w:r>
            <w:r w:rsidR="00AF6429">
              <w:rPr>
                <w:rFonts w:ascii="Franklin Gothic Book" w:hAnsi="Franklin Gothic Book"/>
                <w:sz w:val="22"/>
              </w:rPr>
              <w:t xml:space="preserve">has two parts </w:t>
            </w:r>
            <w:r w:rsidR="00F0028F">
              <w:rPr>
                <w:rFonts w:ascii="Franklin Gothic Book" w:hAnsi="Franklin Gothic Book"/>
                <w:sz w:val="22"/>
              </w:rPr>
              <w:t xml:space="preserve">called </w:t>
            </w:r>
            <w:r w:rsidR="00C77641">
              <w:rPr>
                <w:rFonts w:ascii="Franklin Gothic Book" w:hAnsi="Franklin Gothic Book"/>
                <w:sz w:val="22"/>
                <w:lang w:val="en-US"/>
              </w:rPr>
              <w:t>mirvetuximab</w:t>
            </w:r>
            <w:r w:rsidR="009D3EA4">
              <w:rPr>
                <w:rFonts w:ascii="Franklin Gothic Book" w:hAnsi="Franklin Gothic Book"/>
                <w:sz w:val="22"/>
                <w:lang w:val="en-US"/>
              </w:rPr>
              <w:t>,</w:t>
            </w:r>
            <w:r w:rsidR="004B3D4A">
              <w:rPr>
                <w:rFonts w:ascii="Franklin Gothic Book" w:hAnsi="Franklin Gothic Book"/>
                <w:sz w:val="22"/>
                <w:lang w:val="en-US"/>
              </w:rPr>
              <w:t xml:space="preserve"> </w:t>
            </w:r>
            <w:r w:rsidR="008D61B9">
              <w:rPr>
                <w:rFonts w:ascii="Franklin Gothic Book" w:hAnsi="Franklin Gothic Book"/>
                <w:sz w:val="22"/>
                <w:lang w:val="en-US"/>
              </w:rPr>
              <w:t xml:space="preserve">which </w:t>
            </w:r>
            <w:r w:rsidRPr="006D1917">
              <w:rPr>
                <w:rFonts w:ascii="Franklin Gothic Book" w:hAnsi="Franklin Gothic Book"/>
                <w:sz w:val="22"/>
                <w:lang w:val="en-US"/>
              </w:rPr>
              <w:t>is an antibody</w:t>
            </w:r>
            <w:r w:rsidR="001A51E3">
              <w:rPr>
                <w:rFonts w:ascii="Franklin Gothic Book" w:hAnsi="Franklin Gothic Book"/>
                <w:sz w:val="22"/>
                <w:lang w:val="en-US"/>
              </w:rPr>
              <w:t xml:space="preserve"> that</w:t>
            </w:r>
            <w:r w:rsidRPr="006D1917">
              <w:rPr>
                <w:rFonts w:ascii="Franklin Gothic Book" w:hAnsi="Franklin Gothic Book"/>
                <w:sz w:val="22"/>
                <w:lang w:val="en-US"/>
              </w:rPr>
              <w:t xml:space="preserve"> attaches to the FRα protein</w:t>
            </w:r>
            <w:r w:rsidR="009D3EA4">
              <w:rPr>
                <w:rFonts w:ascii="Franklin Gothic Book" w:hAnsi="Franklin Gothic Book"/>
                <w:sz w:val="22"/>
                <w:lang w:val="en-US"/>
              </w:rPr>
              <w:t>,</w:t>
            </w:r>
            <w:r w:rsidR="00E50254">
              <w:rPr>
                <w:rFonts w:ascii="Franklin Gothic Book" w:hAnsi="Franklin Gothic Book"/>
                <w:sz w:val="22"/>
                <w:lang w:val="en-US"/>
              </w:rPr>
              <w:t xml:space="preserve"> </w:t>
            </w:r>
            <w:r w:rsidR="006657E6">
              <w:rPr>
                <w:rFonts w:ascii="Franklin Gothic Book" w:hAnsi="Franklin Gothic Book"/>
                <w:sz w:val="22"/>
                <w:lang w:val="en-US"/>
              </w:rPr>
              <w:t>that</w:t>
            </w:r>
            <w:r w:rsidR="00D7283A">
              <w:rPr>
                <w:rFonts w:ascii="Franklin Gothic Book" w:hAnsi="Franklin Gothic Book"/>
                <w:sz w:val="22"/>
                <w:lang w:val="en-US"/>
              </w:rPr>
              <w:t xml:space="preserve"> is linked to</w:t>
            </w:r>
            <w:r w:rsidR="00E50254">
              <w:rPr>
                <w:rFonts w:ascii="Franklin Gothic Book" w:hAnsi="Franklin Gothic Book"/>
                <w:sz w:val="22"/>
                <w:lang w:val="en-US"/>
              </w:rPr>
              <w:t xml:space="preserve"> an anti-cancer component</w:t>
            </w:r>
            <w:r w:rsidR="00A66DE1">
              <w:rPr>
                <w:rFonts w:ascii="Franklin Gothic Book" w:hAnsi="Franklin Gothic Book"/>
                <w:sz w:val="22"/>
                <w:lang w:val="en-US"/>
              </w:rPr>
              <w:t xml:space="preserve"> </w:t>
            </w:r>
            <w:r w:rsidR="001C7B26">
              <w:rPr>
                <w:rFonts w:ascii="Franklin Gothic Book" w:hAnsi="Franklin Gothic Book"/>
                <w:sz w:val="22"/>
                <w:lang w:val="en-US"/>
              </w:rPr>
              <w:t>called</w:t>
            </w:r>
            <w:r w:rsidR="00A66DE1">
              <w:rPr>
                <w:rFonts w:ascii="Franklin Gothic Book" w:hAnsi="Franklin Gothic Book"/>
                <w:sz w:val="22"/>
                <w:lang w:val="en-US"/>
              </w:rPr>
              <w:t xml:space="preserve"> </w:t>
            </w:r>
            <w:r w:rsidR="008D61B9">
              <w:rPr>
                <w:rFonts w:ascii="Franklin Gothic Book" w:hAnsi="Franklin Gothic Book"/>
                <w:sz w:val="22"/>
                <w:lang w:val="en-US"/>
              </w:rPr>
              <w:t>soravtansine</w:t>
            </w:r>
            <w:r w:rsidR="001A51E3">
              <w:rPr>
                <w:rFonts w:ascii="Franklin Gothic Book" w:hAnsi="Franklin Gothic Book"/>
                <w:sz w:val="22"/>
                <w:lang w:val="en-US"/>
              </w:rPr>
              <w:t xml:space="preserve">. Once attached to the </w:t>
            </w:r>
            <w:r w:rsidR="008E4361">
              <w:rPr>
                <w:rFonts w:ascii="Franklin Gothic Book" w:hAnsi="Franklin Gothic Book"/>
                <w:sz w:val="22"/>
                <w:lang w:val="en-US"/>
              </w:rPr>
              <w:t>c</w:t>
            </w:r>
            <w:r w:rsidR="0068138F">
              <w:rPr>
                <w:rFonts w:ascii="Franklin Gothic Book" w:hAnsi="Franklin Gothic Book"/>
                <w:sz w:val="22"/>
                <w:lang w:val="en-US"/>
              </w:rPr>
              <w:t xml:space="preserve">ancer </w:t>
            </w:r>
            <w:r w:rsidR="008E4361">
              <w:rPr>
                <w:rFonts w:ascii="Franklin Gothic Book" w:hAnsi="Franklin Gothic Book"/>
                <w:sz w:val="22"/>
                <w:lang w:val="en-US"/>
              </w:rPr>
              <w:t>cells with</w:t>
            </w:r>
            <w:r w:rsidR="001A51E3">
              <w:rPr>
                <w:rFonts w:ascii="Franklin Gothic Book" w:hAnsi="Franklin Gothic Book"/>
                <w:sz w:val="22"/>
                <w:lang w:val="en-US"/>
              </w:rPr>
              <w:t xml:space="preserve"> </w:t>
            </w:r>
            <w:r w:rsidR="001A51E3" w:rsidRPr="006D1917">
              <w:rPr>
                <w:rFonts w:ascii="Franklin Gothic Book" w:hAnsi="Franklin Gothic Book"/>
                <w:sz w:val="22"/>
                <w:lang w:val="en-US"/>
              </w:rPr>
              <w:t>FRα</w:t>
            </w:r>
            <w:r w:rsidR="001A51E3">
              <w:rPr>
                <w:rFonts w:ascii="Franklin Gothic Book" w:hAnsi="Franklin Gothic Book"/>
                <w:sz w:val="22"/>
                <w:lang w:val="en-US"/>
              </w:rPr>
              <w:t xml:space="preserve"> protein, mirvetuximab </w:t>
            </w:r>
            <w:r w:rsidR="00000141" w:rsidRPr="00DD37EB">
              <w:rPr>
                <w:rFonts w:ascii="Franklin Gothic Book" w:hAnsi="Franklin Gothic Book"/>
                <w:sz w:val="22"/>
                <w:lang w:val="en-US"/>
              </w:rPr>
              <w:t xml:space="preserve">delivers the </w:t>
            </w:r>
            <w:r w:rsidR="008E4361">
              <w:rPr>
                <w:rFonts w:ascii="Franklin Gothic Book" w:hAnsi="Franklin Gothic Book"/>
                <w:sz w:val="22"/>
                <w:lang w:val="en-US"/>
              </w:rPr>
              <w:t xml:space="preserve">anti-cancer </w:t>
            </w:r>
            <w:r w:rsidR="00000141" w:rsidRPr="00DD37EB">
              <w:rPr>
                <w:rFonts w:ascii="Franklin Gothic Book" w:hAnsi="Franklin Gothic Book"/>
                <w:sz w:val="22"/>
                <w:lang w:val="en-US"/>
              </w:rPr>
              <w:t xml:space="preserve">drug component </w:t>
            </w:r>
            <w:r w:rsidR="00D25FCE">
              <w:rPr>
                <w:rFonts w:ascii="Franklin Gothic Book" w:hAnsi="Franklin Gothic Book"/>
                <w:sz w:val="22"/>
                <w:lang w:val="en-US"/>
              </w:rPr>
              <w:t xml:space="preserve">to </w:t>
            </w:r>
            <w:r w:rsidR="0087684E">
              <w:rPr>
                <w:rFonts w:ascii="Franklin Gothic Book" w:hAnsi="Franklin Gothic Book"/>
                <w:sz w:val="22"/>
                <w:lang w:val="en-US"/>
              </w:rPr>
              <w:t xml:space="preserve">the </w:t>
            </w:r>
            <w:r w:rsidR="00D25FCE">
              <w:rPr>
                <w:rFonts w:ascii="Franklin Gothic Book" w:hAnsi="Franklin Gothic Book"/>
                <w:sz w:val="22"/>
                <w:lang w:val="en-US"/>
              </w:rPr>
              <w:t xml:space="preserve">cancer </w:t>
            </w:r>
            <w:r w:rsidR="0087684E">
              <w:rPr>
                <w:rFonts w:ascii="Franklin Gothic Book" w:hAnsi="Franklin Gothic Book"/>
                <w:sz w:val="22"/>
                <w:lang w:val="en-US"/>
              </w:rPr>
              <w:t>cell</w:t>
            </w:r>
            <w:r w:rsidR="00000141" w:rsidRPr="00DD37EB">
              <w:rPr>
                <w:rFonts w:ascii="Franklin Gothic Book" w:hAnsi="Franklin Gothic Book"/>
                <w:sz w:val="22"/>
                <w:lang w:val="en-US"/>
              </w:rPr>
              <w:t xml:space="preserve">. Soravtansine </w:t>
            </w:r>
            <w:r w:rsidR="00461550">
              <w:rPr>
                <w:rFonts w:ascii="Franklin Gothic Book" w:hAnsi="Franklin Gothic Book"/>
                <w:sz w:val="22"/>
                <w:lang w:val="en-US"/>
              </w:rPr>
              <w:t xml:space="preserve">then </w:t>
            </w:r>
            <w:r w:rsidR="00BD1859">
              <w:rPr>
                <w:rFonts w:ascii="Franklin Gothic Book" w:hAnsi="Franklin Gothic Book"/>
                <w:sz w:val="22"/>
                <w:lang w:val="en-US"/>
              </w:rPr>
              <w:t>interrupts</w:t>
            </w:r>
            <w:r w:rsidR="009A1A0E" w:rsidRPr="009A1A0E">
              <w:rPr>
                <w:rFonts w:ascii="Franklin Gothic Book" w:hAnsi="Franklin Gothic Book"/>
                <w:sz w:val="22"/>
                <w:lang w:val="en-US"/>
              </w:rPr>
              <w:t xml:space="preserve"> the cell’s internal structure, causing the</w:t>
            </w:r>
            <w:r w:rsidR="009A1A0E">
              <w:rPr>
                <w:rFonts w:ascii="Franklin Gothic Book" w:hAnsi="Franklin Gothic Book"/>
                <w:sz w:val="22"/>
                <w:lang w:val="en-US"/>
              </w:rPr>
              <w:t xml:space="preserve"> cancer</w:t>
            </w:r>
            <w:r w:rsidR="009A1A0E" w:rsidRPr="009A1A0E">
              <w:rPr>
                <w:rFonts w:ascii="Franklin Gothic Book" w:hAnsi="Franklin Gothic Book"/>
                <w:sz w:val="22"/>
                <w:lang w:val="en-US"/>
              </w:rPr>
              <w:t xml:space="preserve"> cell to stop growing and die</w:t>
            </w:r>
            <w:r w:rsidR="009A1A0E">
              <w:rPr>
                <w:rFonts w:ascii="Franklin Gothic Book" w:hAnsi="Franklin Gothic Book"/>
                <w:sz w:val="22"/>
                <w:lang w:val="en-US"/>
              </w:rPr>
              <w:t>.</w:t>
            </w:r>
          </w:p>
          <w:p w14:paraId="0F3E8C24" w14:textId="0EAB4358" w:rsidR="006D1917" w:rsidRDefault="006D1917" w:rsidP="006D1917">
            <w:pPr>
              <w:rPr>
                <w:rFonts w:ascii="Franklin Gothic Book" w:hAnsi="Franklin Gothic Book"/>
                <w:sz w:val="22"/>
                <w:lang w:val="en-US"/>
              </w:rPr>
            </w:pPr>
            <w:r w:rsidRPr="006D1917">
              <w:rPr>
                <w:rFonts w:ascii="Franklin Gothic Book" w:hAnsi="Franklin Gothic Book"/>
                <w:sz w:val="22"/>
              </w:rPr>
              <w:t xml:space="preserve">MSAC considered that </w:t>
            </w:r>
            <w:r w:rsidRPr="006D1917">
              <w:rPr>
                <w:rFonts w:ascii="Franklin Gothic Book" w:hAnsi="Franklin Gothic Book"/>
                <w:sz w:val="22"/>
                <w:lang w:val="en-US"/>
              </w:rPr>
              <w:t>FRα testing was safe, effective and would accurately identify people who may benefit from MIRV.</w:t>
            </w:r>
          </w:p>
          <w:p w14:paraId="1FEBFBCE" w14:textId="661446B5" w:rsidR="0088642D" w:rsidRDefault="0098681D" w:rsidP="006D1917">
            <w:pPr>
              <w:rPr>
                <w:rFonts w:ascii="Franklin Gothic Book" w:hAnsi="Franklin Gothic Book"/>
                <w:sz w:val="22"/>
                <w:lang w:val="en-US"/>
              </w:rPr>
            </w:pPr>
            <w:r>
              <w:rPr>
                <w:rFonts w:ascii="Franklin Gothic Book" w:hAnsi="Franklin Gothic Book"/>
                <w:sz w:val="22"/>
              </w:rPr>
              <w:t xml:space="preserve">MSAC </w:t>
            </w:r>
            <w:r w:rsidR="0097257D">
              <w:rPr>
                <w:rFonts w:ascii="Franklin Gothic Book" w:hAnsi="Franklin Gothic Book"/>
                <w:sz w:val="22"/>
              </w:rPr>
              <w:t>considered an appropriate fee for the test was $112.</w:t>
            </w:r>
            <w:r>
              <w:rPr>
                <w:rFonts w:ascii="Franklin Gothic Book" w:hAnsi="Franklin Gothic Book"/>
                <w:sz w:val="22"/>
              </w:rPr>
              <w:t xml:space="preserve"> </w:t>
            </w:r>
            <w:r w:rsidR="0088642D" w:rsidRPr="0088642D">
              <w:rPr>
                <w:rFonts w:ascii="Franklin Gothic Book" w:hAnsi="Franklin Gothic Book"/>
                <w:sz w:val="22"/>
              </w:rPr>
              <w:t xml:space="preserve">MSAC considered </w:t>
            </w:r>
            <w:r w:rsidR="0088642D">
              <w:rPr>
                <w:rFonts w:ascii="Franklin Gothic Book" w:hAnsi="Franklin Gothic Book"/>
                <w:sz w:val="22"/>
              </w:rPr>
              <w:t>FR</w:t>
            </w:r>
            <w:r w:rsidR="0088642D" w:rsidRPr="006D1917">
              <w:rPr>
                <w:rFonts w:ascii="Franklin Gothic Book" w:hAnsi="Franklin Gothic Book"/>
                <w:sz w:val="22"/>
                <w:lang w:val="en-US"/>
              </w:rPr>
              <w:t>α</w:t>
            </w:r>
            <w:r w:rsidR="0088642D" w:rsidRPr="0088642D">
              <w:rPr>
                <w:rFonts w:ascii="Franklin Gothic Book" w:hAnsi="Franklin Gothic Book"/>
                <w:sz w:val="22"/>
              </w:rPr>
              <w:t xml:space="preserve"> testing had acceptable value for money and would have a low financial impact</w:t>
            </w:r>
            <w:r w:rsidR="00F80C0D">
              <w:rPr>
                <w:rFonts w:ascii="Franklin Gothic Book" w:hAnsi="Franklin Gothic Book"/>
                <w:sz w:val="22"/>
              </w:rPr>
              <w:t xml:space="preserve"> on the MBS</w:t>
            </w:r>
            <w:r w:rsidR="0088642D">
              <w:rPr>
                <w:rFonts w:ascii="Franklin Gothic Book" w:hAnsi="Franklin Gothic Book"/>
                <w:sz w:val="22"/>
              </w:rPr>
              <w:t>.</w:t>
            </w:r>
          </w:p>
          <w:p w14:paraId="4305EAA5" w14:textId="664ECD09" w:rsidR="00D24FBD" w:rsidRPr="006D1917" w:rsidRDefault="00D24FBD" w:rsidP="006D1917">
            <w:pPr>
              <w:rPr>
                <w:rFonts w:ascii="Franklin Gothic Book" w:hAnsi="Franklin Gothic Book"/>
                <w:sz w:val="22"/>
              </w:rPr>
            </w:pPr>
            <w:r w:rsidRPr="00D24FBD">
              <w:rPr>
                <w:rFonts w:ascii="Franklin Gothic Book" w:hAnsi="Franklin Gothic Book"/>
                <w:sz w:val="22"/>
              </w:rPr>
              <w:t xml:space="preserve">MSAC noted that the Pharmaceutical Benefits Advisory Committee (PBAC) at its </w:t>
            </w:r>
            <w:r>
              <w:rPr>
                <w:rFonts w:ascii="Franklin Gothic Book" w:hAnsi="Franklin Gothic Book"/>
                <w:sz w:val="22"/>
              </w:rPr>
              <w:t>July</w:t>
            </w:r>
            <w:r w:rsidRPr="00D24FBD">
              <w:rPr>
                <w:rFonts w:ascii="Franklin Gothic Book" w:hAnsi="Franklin Gothic Book"/>
                <w:sz w:val="22"/>
              </w:rPr>
              <w:t xml:space="preserve"> 2025 meeting </w:t>
            </w:r>
            <w:r w:rsidR="0057216A">
              <w:rPr>
                <w:rFonts w:ascii="Franklin Gothic Book" w:hAnsi="Franklin Gothic Book"/>
                <w:sz w:val="22"/>
              </w:rPr>
              <w:t>deferred i</w:t>
            </w:r>
            <w:r w:rsidR="00A96AF1">
              <w:rPr>
                <w:rFonts w:ascii="Franklin Gothic Book" w:hAnsi="Franklin Gothic Book"/>
                <w:sz w:val="22"/>
              </w:rPr>
              <w:t xml:space="preserve">ts advice </w:t>
            </w:r>
            <w:r w:rsidR="00D03E6B">
              <w:rPr>
                <w:rFonts w:ascii="Franklin Gothic Book" w:hAnsi="Franklin Gothic Book"/>
                <w:sz w:val="22"/>
              </w:rPr>
              <w:t xml:space="preserve">for listing of </w:t>
            </w:r>
            <w:r w:rsidR="0074602A">
              <w:rPr>
                <w:rFonts w:ascii="Franklin Gothic Book" w:hAnsi="Franklin Gothic Book"/>
                <w:sz w:val="22"/>
              </w:rPr>
              <w:t xml:space="preserve">MIRV </w:t>
            </w:r>
            <w:r w:rsidR="00DE762B">
              <w:rPr>
                <w:rFonts w:ascii="Franklin Gothic Book" w:hAnsi="Franklin Gothic Book"/>
                <w:sz w:val="22"/>
              </w:rPr>
              <w:t xml:space="preserve">on the PBS as </w:t>
            </w:r>
            <w:r w:rsidR="00984A3C">
              <w:rPr>
                <w:rFonts w:ascii="Franklin Gothic Book" w:hAnsi="Franklin Gothic Book"/>
                <w:sz w:val="22"/>
              </w:rPr>
              <w:t>MIRV</w:t>
            </w:r>
            <w:r w:rsidR="00DE762B">
              <w:rPr>
                <w:rFonts w:ascii="Franklin Gothic Book" w:hAnsi="Franklin Gothic Book"/>
                <w:sz w:val="22"/>
              </w:rPr>
              <w:t xml:space="preserve"> </w:t>
            </w:r>
            <w:r w:rsidR="004673CD">
              <w:rPr>
                <w:rFonts w:ascii="Franklin Gothic Book" w:hAnsi="Franklin Gothic Book"/>
                <w:sz w:val="22"/>
              </w:rPr>
              <w:t>ha</w:t>
            </w:r>
            <w:r w:rsidR="004C7C6B">
              <w:rPr>
                <w:rFonts w:ascii="Franklin Gothic Book" w:hAnsi="Franklin Gothic Book"/>
                <w:sz w:val="22"/>
              </w:rPr>
              <w:t>d</w:t>
            </w:r>
            <w:r w:rsidR="004673CD">
              <w:rPr>
                <w:rFonts w:ascii="Franklin Gothic Book" w:hAnsi="Franklin Gothic Book"/>
                <w:sz w:val="22"/>
              </w:rPr>
              <w:t xml:space="preserve"> </w:t>
            </w:r>
            <w:r w:rsidR="00DE762B">
              <w:rPr>
                <w:rFonts w:ascii="Franklin Gothic Book" w:hAnsi="Franklin Gothic Book"/>
                <w:sz w:val="22"/>
              </w:rPr>
              <w:t xml:space="preserve">not </w:t>
            </w:r>
            <w:r w:rsidR="004673CD">
              <w:rPr>
                <w:rFonts w:ascii="Franklin Gothic Book" w:hAnsi="Franklin Gothic Book"/>
                <w:sz w:val="22"/>
              </w:rPr>
              <w:t xml:space="preserve">been approved </w:t>
            </w:r>
            <w:r w:rsidR="00DC4D5B">
              <w:rPr>
                <w:rFonts w:ascii="Franklin Gothic Book" w:hAnsi="Franklin Gothic Book"/>
                <w:sz w:val="22"/>
              </w:rPr>
              <w:t xml:space="preserve">yet </w:t>
            </w:r>
            <w:r w:rsidR="004673CD">
              <w:rPr>
                <w:rFonts w:ascii="Franklin Gothic Book" w:hAnsi="Franklin Gothic Book"/>
                <w:sz w:val="22"/>
              </w:rPr>
              <w:t>by</w:t>
            </w:r>
            <w:r w:rsidR="00DE762B">
              <w:rPr>
                <w:rFonts w:ascii="Franklin Gothic Book" w:hAnsi="Franklin Gothic Book"/>
                <w:sz w:val="22"/>
              </w:rPr>
              <w:t xml:space="preserve"> </w:t>
            </w:r>
            <w:r w:rsidR="004673CD">
              <w:rPr>
                <w:rFonts w:ascii="Franklin Gothic Book" w:hAnsi="Franklin Gothic Book"/>
                <w:sz w:val="22"/>
              </w:rPr>
              <w:t>t</w:t>
            </w:r>
            <w:r w:rsidR="004673CD" w:rsidRPr="004673CD">
              <w:rPr>
                <w:rFonts w:ascii="Franklin Gothic Book" w:hAnsi="Franklin Gothic Book"/>
                <w:sz w:val="22"/>
              </w:rPr>
              <w:t>he Therapeutic Goods Administration </w:t>
            </w:r>
            <w:r w:rsidR="004673CD">
              <w:rPr>
                <w:rFonts w:ascii="Franklin Gothic Book" w:hAnsi="Franklin Gothic Book"/>
                <w:sz w:val="22"/>
              </w:rPr>
              <w:t>(TGA)</w:t>
            </w:r>
            <w:r w:rsidR="00151367">
              <w:rPr>
                <w:rFonts w:ascii="Franklin Gothic Book" w:hAnsi="Franklin Gothic Book"/>
                <w:sz w:val="22"/>
              </w:rPr>
              <w:t xml:space="preserve">. </w:t>
            </w:r>
            <w:r w:rsidR="009D4904">
              <w:rPr>
                <w:rFonts w:ascii="Franklin Gothic Book" w:hAnsi="Franklin Gothic Book"/>
                <w:sz w:val="22"/>
              </w:rPr>
              <w:t>Further</w:t>
            </w:r>
            <w:r w:rsidR="00FC2510">
              <w:rPr>
                <w:rFonts w:ascii="Franklin Gothic Book" w:hAnsi="Franklin Gothic Book"/>
                <w:sz w:val="22"/>
              </w:rPr>
              <w:t>more</w:t>
            </w:r>
            <w:r w:rsidR="009D4904">
              <w:rPr>
                <w:rFonts w:ascii="Franklin Gothic Book" w:hAnsi="Franklin Gothic Book"/>
                <w:sz w:val="22"/>
              </w:rPr>
              <w:t xml:space="preserve">, </w:t>
            </w:r>
            <w:r w:rsidR="00151367">
              <w:rPr>
                <w:rFonts w:ascii="Franklin Gothic Book" w:hAnsi="Franklin Gothic Book"/>
                <w:sz w:val="22"/>
              </w:rPr>
              <w:t>PBAC</w:t>
            </w:r>
            <w:r w:rsidR="004E522B">
              <w:rPr>
                <w:rFonts w:ascii="Franklin Gothic Book" w:hAnsi="Franklin Gothic Book"/>
                <w:sz w:val="22"/>
              </w:rPr>
              <w:t xml:space="preserve"> </w:t>
            </w:r>
            <w:r w:rsidRPr="00D24FBD">
              <w:rPr>
                <w:rFonts w:ascii="Franklin Gothic Book" w:hAnsi="Franklin Gothic Book"/>
                <w:sz w:val="22"/>
              </w:rPr>
              <w:t xml:space="preserve">was of a mind to recommend </w:t>
            </w:r>
            <w:r w:rsidR="00151367">
              <w:rPr>
                <w:rFonts w:ascii="Franklin Gothic Book" w:hAnsi="Franklin Gothic Book"/>
                <w:sz w:val="22"/>
              </w:rPr>
              <w:t>the drug</w:t>
            </w:r>
            <w:r w:rsidRPr="00D24FBD">
              <w:rPr>
                <w:rFonts w:ascii="Franklin Gothic Book" w:hAnsi="Franklin Gothic Book"/>
                <w:sz w:val="22"/>
              </w:rPr>
              <w:t xml:space="preserve"> to be listed on the PBS provided </w:t>
            </w:r>
            <w:r w:rsidR="007A19F2">
              <w:rPr>
                <w:rFonts w:ascii="Franklin Gothic Book" w:hAnsi="Franklin Gothic Book"/>
                <w:sz w:val="22"/>
              </w:rPr>
              <w:t>some updates were made.</w:t>
            </w:r>
            <w:r w:rsidR="005E600F">
              <w:rPr>
                <w:rFonts w:ascii="Franklin Gothic Book" w:hAnsi="Franklin Gothic Book"/>
                <w:sz w:val="22"/>
              </w:rPr>
              <w:t xml:space="preserve"> </w:t>
            </w:r>
            <w:r w:rsidR="00B90A96">
              <w:rPr>
                <w:rFonts w:ascii="Franklin Gothic Book" w:hAnsi="Franklin Gothic Book"/>
                <w:sz w:val="22"/>
              </w:rPr>
              <w:t xml:space="preserve">Therefore, MSAC </w:t>
            </w:r>
            <w:r w:rsidR="00DC4D5B">
              <w:rPr>
                <w:rFonts w:ascii="Franklin Gothic Book" w:hAnsi="Franklin Gothic Book"/>
                <w:sz w:val="22"/>
              </w:rPr>
              <w:t xml:space="preserve">deferred its advice but </w:t>
            </w:r>
            <w:r w:rsidR="00B90A96">
              <w:rPr>
                <w:rFonts w:ascii="Franklin Gothic Book" w:hAnsi="Franklin Gothic Book"/>
                <w:sz w:val="22"/>
              </w:rPr>
              <w:t xml:space="preserve">was inclined to support the </w:t>
            </w:r>
            <w:r w:rsidR="00B90A96" w:rsidRPr="006D1917">
              <w:rPr>
                <w:rFonts w:ascii="Franklin Gothic Book" w:hAnsi="Franklin Gothic Book"/>
                <w:sz w:val="22"/>
                <w:lang w:val="en-US"/>
              </w:rPr>
              <w:t>FRα</w:t>
            </w:r>
            <w:r w:rsidR="00B90A96" w:rsidRPr="00B90A96">
              <w:rPr>
                <w:rFonts w:ascii="Franklin Gothic Book" w:hAnsi="Franklin Gothic Book"/>
                <w:sz w:val="22"/>
              </w:rPr>
              <w:t xml:space="preserve"> tes</w:t>
            </w:r>
            <w:r w:rsidR="007D1C74">
              <w:rPr>
                <w:rFonts w:ascii="Franklin Gothic Book" w:hAnsi="Franklin Gothic Book"/>
                <w:sz w:val="22"/>
              </w:rPr>
              <w:t>t</w:t>
            </w:r>
            <w:r w:rsidR="00DC4D5B">
              <w:rPr>
                <w:rFonts w:ascii="Franklin Gothic Book" w:hAnsi="Franklin Gothic Book"/>
                <w:sz w:val="22"/>
              </w:rPr>
              <w:t xml:space="preserve"> if MIRV</w:t>
            </w:r>
            <w:r w:rsidR="00DC4D5B" w:rsidRPr="00B90A96">
              <w:rPr>
                <w:rFonts w:ascii="Franklin Gothic Book" w:hAnsi="Franklin Gothic Book"/>
                <w:sz w:val="22"/>
              </w:rPr>
              <w:t xml:space="preserve"> i</w:t>
            </w:r>
            <w:r w:rsidR="00DC4D5B">
              <w:rPr>
                <w:rFonts w:ascii="Franklin Gothic Book" w:hAnsi="Franklin Gothic Book"/>
                <w:sz w:val="22"/>
              </w:rPr>
              <w:t>s</w:t>
            </w:r>
            <w:r w:rsidR="00DC4D5B" w:rsidRPr="00B90A96">
              <w:rPr>
                <w:rFonts w:ascii="Franklin Gothic Book" w:hAnsi="Franklin Gothic Book"/>
                <w:sz w:val="22"/>
              </w:rPr>
              <w:t xml:space="preserve"> listed on the PBS</w:t>
            </w:r>
            <w:r w:rsidR="00187C73">
              <w:rPr>
                <w:rFonts w:ascii="Franklin Gothic Book" w:hAnsi="Franklin Gothic Book"/>
                <w:sz w:val="22"/>
              </w:rPr>
              <w:t xml:space="preserve"> </w:t>
            </w:r>
            <w:r w:rsidR="00DC4D5B">
              <w:rPr>
                <w:rFonts w:ascii="Franklin Gothic Book" w:hAnsi="Franklin Gothic Book"/>
                <w:sz w:val="22"/>
              </w:rPr>
              <w:t>and the test is approved by the TGA.</w:t>
            </w:r>
          </w:p>
          <w:p w14:paraId="6D93032A" w14:textId="77777777" w:rsidR="006D1917" w:rsidRPr="006D1917" w:rsidRDefault="006D1917" w:rsidP="006D1917">
            <w:pPr>
              <w:pStyle w:val="Heading3"/>
              <w:spacing w:before="240"/>
              <w:ind w:left="23" w:firstLine="0"/>
              <w:rPr>
                <w:rFonts w:ascii="Franklin Gothic Book" w:hAnsi="Franklin Gothic Book"/>
                <w:sz w:val="22"/>
                <w:szCs w:val="22"/>
              </w:rPr>
            </w:pPr>
            <w:r w:rsidRPr="006D1917">
              <w:rPr>
                <w:rFonts w:ascii="Franklin Gothic Book" w:hAnsi="Franklin Gothic Book"/>
                <w:sz w:val="22"/>
                <w:szCs w:val="22"/>
              </w:rPr>
              <w:t>MSAC’s advice to the Commonwealth Minister for Health, Disability and Ageing</w:t>
            </w:r>
          </w:p>
          <w:p w14:paraId="4D15F245" w14:textId="2DEA470C" w:rsidR="006D1917" w:rsidRPr="006D1917" w:rsidRDefault="008E63AA" w:rsidP="006D1917">
            <w:pPr>
              <w:spacing w:after="120" w:line="259" w:lineRule="auto"/>
              <w:rPr>
                <w:rFonts w:ascii="Franklin Gothic Book" w:hAnsi="Franklin Gothic Book"/>
                <w:sz w:val="22"/>
              </w:rPr>
            </w:pPr>
            <w:r w:rsidRPr="00EE0C3C">
              <w:rPr>
                <w:rFonts w:ascii="Franklin Gothic Book" w:eastAsia="Franklin Gothic Book" w:hAnsi="Franklin Gothic Book" w:cstheme="minorHAnsi"/>
                <w:color w:val="000000" w:themeColor="text1"/>
                <w:sz w:val="22"/>
              </w:rPr>
              <w:t>MSAC</w:t>
            </w:r>
            <w:r w:rsidRPr="006958A3" w:rsidDel="00C7669D">
              <w:rPr>
                <w:rFonts w:ascii="Franklin Gothic Book" w:eastAsia="Franklin Gothic Book" w:hAnsi="Franklin Gothic Book" w:cstheme="minorHAnsi"/>
                <w:color w:val="000000" w:themeColor="text1"/>
                <w:sz w:val="22"/>
              </w:rPr>
              <w:t xml:space="preserve"> </w:t>
            </w:r>
            <w:r w:rsidR="00DC4D5B">
              <w:rPr>
                <w:rFonts w:ascii="Franklin Gothic Book" w:eastAsia="Franklin Gothic Book" w:hAnsi="Franklin Gothic Book" w:cstheme="minorHAnsi"/>
                <w:color w:val="000000" w:themeColor="text1"/>
                <w:sz w:val="22"/>
              </w:rPr>
              <w:t xml:space="preserve">deferred </w:t>
            </w:r>
            <w:r w:rsidR="28275374" w:rsidRPr="15DD5A08">
              <w:rPr>
                <w:rFonts w:ascii="Franklin Gothic Book" w:eastAsia="Franklin Gothic Book" w:hAnsi="Franklin Gothic Book"/>
                <w:color w:val="000000" w:themeColor="text1"/>
                <w:sz w:val="22"/>
              </w:rPr>
              <w:t xml:space="preserve">its </w:t>
            </w:r>
            <w:r w:rsidR="00DC4D5B">
              <w:rPr>
                <w:rFonts w:ascii="Franklin Gothic Book" w:eastAsia="Franklin Gothic Book" w:hAnsi="Franklin Gothic Book" w:cstheme="minorHAnsi"/>
                <w:color w:val="000000" w:themeColor="text1"/>
                <w:sz w:val="22"/>
              </w:rPr>
              <w:t xml:space="preserve">advice but </w:t>
            </w:r>
            <w:r w:rsidRPr="006958A3" w:rsidDel="00C7669D">
              <w:rPr>
                <w:rFonts w:ascii="Franklin Gothic Book" w:eastAsia="Franklin Gothic Book" w:hAnsi="Franklin Gothic Book" w:cstheme="minorHAnsi"/>
                <w:color w:val="000000" w:themeColor="text1"/>
                <w:sz w:val="22"/>
              </w:rPr>
              <w:t xml:space="preserve">was </w:t>
            </w:r>
            <w:r>
              <w:rPr>
                <w:rFonts w:ascii="Franklin Gothic Book" w:eastAsia="Franklin Gothic Book" w:hAnsi="Franklin Gothic Book" w:cstheme="minorHAnsi"/>
                <w:color w:val="000000" w:themeColor="text1"/>
                <w:sz w:val="22"/>
              </w:rPr>
              <w:t>inclined to support</w:t>
            </w:r>
            <w:r w:rsidR="0005210D" w:rsidRPr="006D1917">
              <w:rPr>
                <w:rFonts w:ascii="Franklin Gothic Book" w:hAnsi="Franklin Gothic Book"/>
                <w:sz w:val="22"/>
              </w:rPr>
              <w:t xml:space="preserve"> </w:t>
            </w:r>
            <w:r w:rsidR="3065FBB9" w:rsidRPr="15DD5A08">
              <w:rPr>
                <w:rFonts w:ascii="Franklin Gothic Book" w:hAnsi="Franklin Gothic Book"/>
                <w:sz w:val="22"/>
              </w:rPr>
              <w:t xml:space="preserve">the public funding </w:t>
            </w:r>
            <w:r w:rsidR="00DC4D5B">
              <w:rPr>
                <w:rFonts w:ascii="Franklin Gothic Book" w:hAnsi="Franklin Gothic Book"/>
                <w:sz w:val="22"/>
              </w:rPr>
              <w:t>of</w:t>
            </w:r>
            <w:r w:rsidR="0005210D" w:rsidRPr="006D1917">
              <w:rPr>
                <w:rFonts w:ascii="Franklin Gothic Book" w:hAnsi="Franklin Gothic Book"/>
                <w:sz w:val="22"/>
              </w:rPr>
              <w:t xml:space="preserve"> </w:t>
            </w:r>
            <w:r w:rsidR="09BFCDD1" w:rsidRPr="15DD5A08">
              <w:rPr>
                <w:rFonts w:ascii="Franklin Gothic Book" w:eastAsia="Franklin Gothic Book" w:hAnsi="Franklin Gothic Book" w:cs="Franklin Gothic Book"/>
                <w:sz w:val="22"/>
              </w:rPr>
              <w:t xml:space="preserve">IHC testing of solid tumour tissue to determine </w:t>
            </w:r>
            <w:r w:rsidR="0005210D" w:rsidRPr="006D1917">
              <w:rPr>
                <w:rFonts w:ascii="Franklin Gothic Book" w:hAnsi="Franklin Gothic Book"/>
                <w:sz w:val="22"/>
                <w:lang w:val="en-US"/>
              </w:rPr>
              <w:t xml:space="preserve">FRα </w:t>
            </w:r>
            <w:r w:rsidR="3665B94D" w:rsidRPr="15DD5A08">
              <w:rPr>
                <w:rFonts w:ascii="Franklin Gothic Book" w:eastAsia="Franklin Gothic Book" w:hAnsi="Franklin Gothic Book" w:cs="Franklin Gothic Book"/>
                <w:sz w:val="22"/>
                <w:lang w:val="en-US"/>
              </w:rPr>
              <w:t xml:space="preserve">expression status </w:t>
            </w:r>
            <w:r w:rsidR="0005210D" w:rsidRPr="006D1917">
              <w:rPr>
                <w:rFonts w:ascii="Franklin Gothic Book" w:hAnsi="Franklin Gothic Book"/>
                <w:sz w:val="22"/>
                <w:lang w:val="en-US"/>
              </w:rPr>
              <w:t xml:space="preserve">on the MBS for </w:t>
            </w:r>
            <w:r w:rsidR="0005210D" w:rsidRPr="15DD5A08">
              <w:rPr>
                <w:rFonts w:ascii="Franklin Gothic Book" w:hAnsi="Franklin Gothic Book"/>
                <w:sz w:val="22"/>
                <w:lang w:val="en-US"/>
              </w:rPr>
              <w:t>p</w:t>
            </w:r>
            <w:r w:rsidR="16A70707" w:rsidRPr="15DD5A08">
              <w:rPr>
                <w:rFonts w:ascii="Franklin Gothic Book" w:hAnsi="Franklin Gothic Book"/>
                <w:sz w:val="22"/>
                <w:lang w:val="en-US"/>
              </w:rPr>
              <w:t>atients</w:t>
            </w:r>
            <w:r w:rsidR="0005210D" w:rsidRPr="006D1917">
              <w:rPr>
                <w:rFonts w:ascii="Franklin Gothic Book" w:hAnsi="Franklin Gothic Book"/>
                <w:sz w:val="22"/>
                <w:lang w:val="en-US"/>
              </w:rPr>
              <w:t xml:space="preserve"> with ovarian </w:t>
            </w:r>
            <w:r w:rsidR="00C83AAE" w:rsidRPr="006D1917">
              <w:rPr>
                <w:rFonts w:ascii="Franklin Gothic Book" w:hAnsi="Franklin Gothic Book"/>
                <w:sz w:val="22"/>
                <w:lang w:val="en-US"/>
              </w:rPr>
              <w:t>cancer</w:t>
            </w:r>
            <w:r w:rsidR="00C83AAE" w:rsidRPr="15DD5A08">
              <w:rPr>
                <w:rFonts w:ascii="Franklin Gothic Book" w:hAnsi="Franklin Gothic Book"/>
                <w:sz w:val="22"/>
                <w:lang w:val="en-US"/>
              </w:rPr>
              <w:t>,</w:t>
            </w:r>
            <w:r w:rsidR="00C83AAE" w:rsidRPr="15DD5A08">
              <w:rPr>
                <w:rFonts w:ascii="Franklin Gothic Book" w:eastAsia="Franklin Gothic Book" w:hAnsi="Franklin Gothic Book" w:cs="Franklin Gothic Book"/>
                <w:sz w:val="22"/>
                <w:lang w:val="en-US"/>
              </w:rPr>
              <w:t xml:space="preserve"> to</w:t>
            </w:r>
            <w:r w:rsidR="060014C0" w:rsidRPr="15DD5A08">
              <w:rPr>
                <w:rFonts w:ascii="Franklin Gothic Book" w:eastAsia="Franklin Gothic Book" w:hAnsi="Franklin Gothic Book" w:cs="Franklin Gothic Book"/>
                <w:sz w:val="22"/>
                <w:lang w:val="en-US"/>
              </w:rPr>
              <w:t xml:space="preserve"> determine eligibility for PBS subsidised mirvetuximab soravtansine,</w:t>
            </w:r>
            <w:r w:rsidRPr="007A66C8">
              <w:rPr>
                <w:rFonts w:ascii="Franklin Gothic Book" w:hAnsi="Franklin Gothic Book"/>
                <w:sz w:val="22"/>
              </w:rPr>
              <w:t xml:space="preserve"> </w:t>
            </w:r>
            <w:r w:rsidRPr="00EE0C3C">
              <w:rPr>
                <w:rFonts w:ascii="Franklin Gothic Book" w:eastAsia="Franklin Gothic Book" w:hAnsi="Franklin Gothic Book" w:cstheme="minorHAnsi"/>
                <w:color w:val="000000" w:themeColor="text1"/>
                <w:sz w:val="22"/>
              </w:rPr>
              <w:t>if the PBAC recommend</w:t>
            </w:r>
            <w:r w:rsidR="006D055F">
              <w:rPr>
                <w:rFonts w:ascii="Franklin Gothic Book" w:eastAsia="Franklin Gothic Book" w:hAnsi="Franklin Gothic Book" w:cstheme="minorHAnsi"/>
                <w:color w:val="000000" w:themeColor="text1"/>
                <w:sz w:val="22"/>
              </w:rPr>
              <w:t>s</w:t>
            </w:r>
            <w:r w:rsidRPr="00EE0C3C">
              <w:rPr>
                <w:rFonts w:ascii="Franklin Gothic Book" w:eastAsia="Franklin Gothic Book" w:hAnsi="Franklin Gothic Book" w:cstheme="minorHAnsi"/>
                <w:color w:val="000000" w:themeColor="text1"/>
                <w:sz w:val="22"/>
              </w:rPr>
              <w:t xml:space="preserve"> </w:t>
            </w:r>
            <w:r w:rsidR="006D055F">
              <w:rPr>
                <w:rFonts w:ascii="Franklin Gothic Book" w:eastAsia="Franklin Gothic Book" w:hAnsi="Franklin Gothic Book" w:cstheme="minorHAnsi"/>
                <w:color w:val="000000" w:themeColor="text1"/>
                <w:sz w:val="22"/>
              </w:rPr>
              <w:t>the drug</w:t>
            </w:r>
            <w:r w:rsidRPr="00EE0C3C">
              <w:rPr>
                <w:rFonts w:ascii="Franklin Gothic Book" w:eastAsia="Franklin Gothic Book" w:hAnsi="Franklin Gothic Book" w:cstheme="minorHAnsi"/>
                <w:color w:val="000000" w:themeColor="text1"/>
                <w:sz w:val="22"/>
              </w:rPr>
              <w:t xml:space="preserve"> </w:t>
            </w:r>
            <w:r>
              <w:rPr>
                <w:rFonts w:ascii="Franklin Gothic Book" w:eastAsia="Franklin Gothic Book" w:hAnsi="Franklin Gothic Book" w:cstheme="minorHAnsi"/>
                <w:color w:val="000000" w:themeColor="text1"/>
                <w:sz w:val="22"/>
              </w:rPr>
              <w:t>mirvetuximab</w:t>
            </w:r>
            <w:r w:rsidRPr="00EE0C3C" w:rsidDel="00A73792">
              <w:rPr>
                <w:rFonts w:ascii="Franklin Gothic Book" w:eastAsia="Franklin Gothic Book" w:hAnsi="Franklin Gothic Book" w:cstheme="minorHAnsi"/>
                <w:color w:val="000000" w:themeColor="text1"/>
                <w:sz w:val="22"/>
              </w:rPr>
              <w:t xml:space="preserve"> </w:t>
            </w:r>
            <w:r w:rsidR="00245BB1" w:rsidRPr="006D1917">
              <w:rPr>
                <w:rFonts w:ascii="Franklin Gothic Book" w:hAnsi="Franklin Gothic Book"/>
                <w:sz w:val="22"/>
              </w:rPr>
              <w:t>soravtansine</w:t>
            </w:r>
            <w:r w:rsidR="00245BB1">
              <w:rPr>
                <w:rFonts w:ascii="Franklin Gothic Book" w:eastAsia="Franklin Gothic Book" w:hAnsi="Franklin Gothic Book" w:cstheme="minorHAnsi"/>
                <w:color w:val="000000" w:themeColor="text1"/>
                <w:sz w:val="22"/>
              </w:rPr>
              <w:t xml:space="preserve"> </w:t>
            </w:r>
            <w:r>
              <w:rPr>
                <w:rFonts w:ascii="Franklin Gothic Book" w:eastAsia="Franklin Gothic Book" w:hAnsi="Franklin Gothic Book" w:cstheme="minorHAnsi"/>
                <w:color w:val="000000" w:themeColor="text1"/>
                <w:sz w:val="22"/>
              </w:rPr>
              <w:t xml:space="preserve">and the </w:t>
            </w:r>
            <w:r w:rsidR="0005210D">
              <w:rPr>
                <w:rFonts w:ascii="Franklin Gothic Book" w:eastAsia="Franklin Gothic Book" w:hAnsi="Franklin Gothic Book" w:cstheme="minorHAnsi"/>
                <w:color w:val="000000" w:themeColor="text1"/>
                <w:sz w:val="22"/>
              </w:rPr>
              <w:t>TGA</w:t>
            </w:r>
            <w:r>
              <w:rPr>
                <w:rFonts w:ascii="Franklin Gothic Book" w:eastAsia="Franklin Gothic Book" w:hAnsi="Franklin Gothic Book" w:cstheme="minorHAnsi"/>
                <w:color w:val="000000" w:themeColor="text1"/>
                <w:sz w:val="22"/>
              </w:rPr>
              <w:t xml:space="preserve"> approves the test </w:t>
            </w:r>
            <w:r w:rsidRPr="00EE0C3C" w:rsidDel="00A73792">
              <w:rPr>
                <w:rFonts w:ascii="Franklin Gothic Book" w:eastAsia="Franklin Gothic Book" w:hAnsi="Franklin Gothic Book" w:cstheme="minorHAnsi"/>
                <w:color w:val="000000" w:themeColor="text1"/>
                <w:sz w:val="22"/>
              </w:rPr>
              <w:t xml:space="preserve">for FRα </w:t>
            </w:r>
            <w:r w:rsidRPr="006958A3">
              <w:rPr>
                <w:rFonts w:ascii="Franklin Gothic Book" w:eastAsia="Franklin Gothic Book" w:hAnsi="Franklin Gothic Book" w:cstheme="minorHAnsi"/>
                <w:color w:val="000000" w:themeColor="text1"/>
                <w:sz w:val="22"/>
              </w:rPr>
              <w:t>testing</w:t>
            </w:r>
            <w:r w:rsidRPr="00EE0C3C">
              <w:rPr>
                <w:rFonts w:ascii="Franklin Gothic Book" w:eastAsia="Franklin Gothic Book" w:hAnsi="Franklin Gothic Book" w:cstheme="minorHAnsi"/>
                <w:color w:val="000000" w:themeColor="text1"/>
                <w:sz w:val="22"/>
              </w:rPr>
              <w:t>.</w:t>
            </w:r>
            <w:r w:rsidRPr="00613668">
              <w:t xml:space="preserve"> </w:t>
            </w:r>
            <w:r w:rsidR="00613668" w:rsidRPr="00EA20CC">
              <w:rPr>
                <w:rFonts w:ascii="Franklin Gothic Book" w:hAnsi="Franklin Gothic Book"/>
                <w:sz w:val="22"/>
                <w:szCs w:val="20"/>
              </w:rPr>
              <w:t>MSAC</w:t>
            </w:r>
            <w:r w:rsidR="00613668">
              <w:rPr>
                <w:rFonts w:ascii="Franklin Gothic Book" w:hAnsi="Franklin Gothic Book"/>
              </w:rPr>
              <w:t xml:space="preserve"> </w:t>
            </w:r>
            <w:r w:rsidR="00613668" w:rsidRPr="00EA20CC">
              <w:rPr>
                <w:rFonts w:ascii="Franklin Gothic Book" w:hAnsi="Franklin Gothic Book"/>
                <w:sz w:val="22"/>
              </w:rPr>
              <w:t>considered t</w:t>
            </w:r>
            <w:r w:rsidR="00613668" w:rsidRPr="00613668">
              <w:rPr>
                <w:rFonts w:ascii="Franklin Gothic Book" w:eastAsia="Franklin Gothic Book" w:hAnsi="Franklin Gothic Book" w:cstheme="minorHAnsi"/>
                <w:color w:val="000000" w:themeColor="text1"/>
                <w:sz w:val="22"/>
              </w:rPr>
              <w:t xml:space="preserve">he test </w:t>
            </w:r>
            <w:r w:rsidR="002D4941">
              <w:rPr>
                <w:rFonts w:ascii="Franklin Gothic Book" w:eastAsia="Franklin Gothic Book" w:hAnsi="Franklin Gothic Book" w:cstheme="minorHAnsi"/>
                <w:color w:val="000000" w:themeColor="text1"/>
                <w:sz w:val="22"/>
              </w:rPr>
              <w:t>wa</w:t>
            </w:r>
            <w:r w:rsidR="00613668" w:rsidRPr="00613668">
              <w:rPr>
                <w:rFonts w:ascii="Franklin Gothic Book" w:eastAsia="Franklin Gothic Book" w:hAnsi="Franklin Gothic Book" w:cstheme="minorHAnsi"/>
                <w:color w:val="000000" w:themeColor="text1"/>
                <w:sz w:val="22"/>
              </w:rPr>
              <w:t>s safe and it would have an acceptable financial cost to the MBS.</w:t>
            </w:r>
            <w:r>
              <w:rPr>
                <w:rFonts w:ascii="Franklin Gothic Book" w:eastAsia="Franklin Gothic Book" w:hAnsi="Franklin Gothic Book" w:cstheme="minorHAnsi"/>
                <w:color w:val="000000" w:themeColor="text1"/>
                <w:sz w:val="22"/>
              </w:rPr>
              <w:t xml:space="preserve"> </w:t>
            </w:r>
          </w:p>
        </w:tc>
      </w:tr>
    </w:tbl>
    <w:p w14:paraId="2ACC5186" w14:textId="77777777" w:rsidR="00CA6794" w:rsidRPr="00CA6794" w:rsidRDefault="00CA679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r w:rsidRPr="00CA6794">
        <w:rPr>
          <w:rFonts w:ascii="Franklin Gothic Medium" w:hAnsi="Franklin Gothic Medium"/>
          <w:b w:val="0"/>
          <w:snapToGrid/>
          <w:color w:val="000000" w:themeColor="text1"/>
          <w:sz w:val="32"/>
          <w:szCs w:val="26"/>
        </w:rPr>
        <w:t>Summary of consideration and rationale for MSAC’s advice</w:t>
      </w:r>
    </w:p>
    <w:bookmarkEnd w:id="3"/>
    <w:bookmarkEnd w:id="4"/>
    <w:p w14:paraId="7CC9F5E5" w14:textId="43D1FC4F" w:rsidR="00084788" w:rsidRDefault="00F54A53" w:rsidP="00084788">
      <w:pPr>
        <w:rPr>
          <w:rFonts w:ascii="Franklin Gothic Book" w:eastAsia="Franklin Gothic Book" w:hAnsi="Franklin Gothic Book" w:cstheme="minorHAnsi"/>
          <w:color w:val="000000" w:themeColor="text1"/>
          <w:sz w:val="22"/>
        </w:rPr>
      </w:pPr>
      <w:r w:rsidRPr="00F54A53">
        <w:rPr>
          <w:rFonts w:ascii="Franklin Gothic Book" w:hAnsi="Franklin Gothic Book"/>
          <w:sz w:val="22"/>
        </w:rPr>
        <w:t xml:space="preserve">MSAC noted this integrated codependent application from AbbVie Pty Ltd sought Medicare Benefits Schedule (MBS) listing of an immunohistochemistry (IHC) test for folate receptor alpha (FRα) </w:t>
      </w:r>
      <w:r w:rsidR="005D79C3">
        <w:rPr>
          <w:rFonts w:ascii="Franklin Gothic Book" w:hAnsi="Franklin Gothic Book"/>
          <w:sz w:val="22"/>
        </w:rPr>
        <w:t>expression</w:t>
      </w:r>
      <w:r w:rsidRPr="00F54A53">
        <w:rPr>
          <w:rFonts w:ascii="Franklin Gothic Book" w:hAnsi="Franklin Gothic Book"/>
          <w:sz w:val="22"/>
        </w:rPr>
        <w:t xml:space="preserve"> in patients with platinum-resistant ovarian cancer (PROC) to determine eligibility for treatment with Pharmaceutical Benefits Scheme (PBS)-subsidised mirvetuximab soravtansine (MIRV)</w:t>
      </w:r>
      <w:r w:rsidR="001147FF">
        <w:rPr>
          <w:rFonts w:ascii="Franklin Gothic Book" w:hAnsi="Franklin Gothic Book"/>
          <w:sz w:val="22"/>
        </w:rPr>
        <w:t xml:space="preserve"> </w:t>
      </w:r>
      <w:r w:rsidR="001147FF" w:rsidRPr="001147FF">
        <w:rPr>
          <w:rFonts w:ascii="Franklin Gothic Book" w:hAnsi="Franklin Gothic Book"/>
          <w:sz w:val="22"/>
        </w:rPr>
        <w:t xml:space="preserve">of those patients </w:t>
      </w:r>
      <w:r w:rsidR="00C50EFC" w:rsidRPr="00C50EFC">
        <w:rPr>
          <w:rFonts w:ascii="Franklin Gothic Book" w:hAnsi="Franklin Gothic Book"/>
          <w:sz w:val="22"/>
        </w:rPr>
        <w:t>who have high</w:t>
      </w:r>
      <w:r w:rsidR="001147FF">
        <w:rPr>
          <w:rFonts w:ascii="Franklin Gothic Book" w:hAnsi="Franklin Gothic Book"/>
          <w:sz w:val="22"/>
        </w:rPr>
        <w:t xml:space="preserve"> FR</w:t>
      </w:r>
      <w:r w:rsidR="001147FF" w:rsidRPr="00F54A53">
        <w:rPr>
          <w:rFonts w:ascii="Franklin Gothic Book" w:hAnsi="Franklin Gothic Book"/>
          <w:sz w:val="22"/>
        </w:rPr>
        <w:t>α</w:t>
      </w:r>
      <w:r w:rsidR="001147FF">
        <w:rPr>
          <w:rFonts w:ascii="Franklin Gothic Book" w:hAnsi="Franklin Gothic Book"/>
          <w:sz w:val="22"/>
        </w:rPr>
        <w:t xml:space="preserve"> </w:t>
      </w:r>
      <w:r w:rsidR="00C50EFC" w:rsidRPr="00C50EFC">
        <w:rPr>
          <w:rFonts w:ascii="Franklin Gothic Book" w:hAnsi="Franklin Gothic Book"/>
          <w:sz w:val="22"/>
        </w:rPr>
        <w:t>tumour cell expression (defined as ≥75% of viable tumour cells with moderate (2+) or strong (3+) membrane staining [≥75%, PS2+])</w:t>
      </w:r>
      <w:r w:rsidRPr="00F54A53">
        <w:rPr>
          <w:rFonts w:ascii="Franklin Gothic Book" w:hAnsi="Franklin Gothic Book"/>
          <w:sz w:val="22"/>
        </w:rPr>
        <w:t xml:space="preserve">. </w:t>
      </w:r>
    </w:p>
    <w:p w14:paraId="6BEDB3F1" w14:textId="1CA02D44" w:rsidR="00A2200F" w:rsidRDefault="00A2200F" w:rsidP="00A2200F">
      <w:pPr>
        <w:rPr>
          <w:rFonts w:ascii="Franklin Gothic Book" w:hAnsi="Franklin Gothic Book"/>
          <w:sz w:val="22"/>
          <w:szCs w:val="20"/>
        </w:rPr>
      </w:pPr>
      <w:r>
        <w:rPr>
          <w:rFonts w:ascii="Franklin Gothic Book" w:hAnsi="Franklin Gothic Book"/>
          <w:sz w:val="22"/>
        </w:rPr>
        <w:lastRenderedPageBreak/>
        <w:t xml:space="preserve">MSAC noted </w:t>
      </w:r>
      <w:r w:rsidRPr="00F54A53">
        <w:rPr>
          <w:rFonts w:ascii="Franklin Gothic Book" w:hAnsi="Franklin Gothic Book"/>
          <w:sz w:val="22"/>
        </w:rPr>
        <w:t>the proposed test</w:t>
      </w:r>
      <w:r w:rsidR="006F608D">
        <w:rPr>
          <w:rFonts w:ascii="Franklin Gothic Book" w:hAnsi="Franklin Gothic Book"/>
          <w:sz w:val="22"/>
        </w:rPr>
        <w:t xml:space="preserve">, </w:t>
      </w:r>
      <w:r w:rsidR="006F608D" w:rsidRPr="00C61C2C">
        <w:rPr>
          <w:rFonts w:ascii="Franklin Gothic Book" w:hAnsi="Franklin Gothic Book"/>
          <w:sz w:val="22"/>
          <w:szCs w:val="20"/>
        </w:rPr>
        <w:t>VENTANA</w:t>
      </w:r>
      <w:r w:rsidR="00552CAB">
        <w:rPr>
          <w:rFonts w:ascii="Franklin Gothic Book" w:hAnsi="Franklin Gothic Book"/>
          <w:sz w:val="22"/>
          <w:szCs w:val="20"/>
        </w:rPr>
        <w:t xml:space="preserve"> </w:t>
      </w:r>
      <w:r w:rsidR="006F608D" w:rsidRPr="00C61C2C">
        <w:rPr>
          <w:rFonts w:ascii="Franklin Gothic Book" w:hAnsi="Franklin Gothic Book"/>
          <w:sz w:val="22"/>
          <w:szCs w:val="20"/>
        </w:rPr>
        <w:t>FOLR1 (FOLR1-2.1) RxDx Assay</w:t>
      </w:r>
      <w:r w:rsidR="006F608D">
        <w:rPr>
          <w:rFonts w:ascii="Franklin Gothic Book" w:hAnsi="Franklin Gothic Book"/>
          <w:sz w:val="22"/>
          <w:szCs w:val="20"/>
        </w:rPr>
        <w:t xml:space="preserve"> </w:t>
      </w:r>
      <w:r w:rsidR="00E67147" w:rsidRPr="00C61C2C">
        <w:rPr>
          <w:rFonts w:ascii="Franklin Gothic Book" w:hAnsi="Franklin Gothic Book"/>
          <w:sz w:val="22"/>
          <w:szCs w:val="20"/>
        </w:rPr>
        <w:t xml:space="preserve">(the FOLR1 test) </w:t>
      </w:r>
      <w:r w:rsidR="0098283E">
        <w:rPr>
          <w:rFonts w:ascii="Franklin Gothic Book" w:hAnsi="Franklin Gothic Book"/>
          <w:sz w:val="22"/>
          <w:szCs w:val="20"/>
        </w:rPr>
        <w:t xml:space="preserve">– the </w:t>
      </w:r>
      <w:r w:rsidR="006F608D" w:rsidRPr="00C61C2C">
        <w:rPr>
          <w:rFonts w:ascii="Franklin Gothic Book" w:hAnsi="Franklin Gothic Book"/>
          <w:sz w:val="22"/>
          <w:szCs w:val="20"/>
        </w:rPr>
        <w:t xml:space="preserve">companion diagnostic assay and the </w:t>
      </w:r>
      <w:r w:rsidR="00E67147">
        <w:rPr>
          <w:rFonts w:ascii="Franklin Gothic Book" w:hAnsi="Franklin Gothic Book"/>
          <w:sz w:val="22"/>
          <w:szCs w:val="20"/>
        </w:rPr>
        <w:t>codependent</w:t>
      </w:r>
      <w:r w:rsidR="006F608D" w:rsidRPr="00C61C2C">
        <w:rPr>
          <w:rFonts w:ascii="Franklin Gothic Book" w:hAnsi="Franklin Gothic Book"/>
          <w:sz w:val="22"/>
          <w:szCs w:val="20"/>
        </w:rPr>
        <w:t xml:space="preserve"> </w:t>
      </w:r>
      <w:r w:rsidR="00753871">
        <w:rPr>
          <w:rFonts w:ascii="Franklin Gothic Book" w:hAnsi="Franklin Gothic Book"/>
          <w:sz w:val="22"/>
          <w:szCs w:val="20"/>
        </w:rPr>
        <w:t>drug</w:t>
      </w:r>
      <w:r w:rsidR="006F608D" w:rsidRPr="00C61C2C">
        <w:rPr>
          <w:rFonts w:ascii="Franklin Gothic Book" w:hAnsi="Franklin Gothic Book"/>
          <w:sz w:val="22"/>
          <w:szCs w:val="20"/>
        </w:rPr>
        <w:t xml:space="preserve">, MIRV, </w:t>
      </w:r>
      <w:r w:rsidR="00927DEB">
        <w:rPr>
          <w:rFonts w:ascii="Franklin Gothic Book" w:hAnsi="Franklin Gothic Book"/>
          <w:sz w:val="22"/>
        </w:rPr>
        <w:t>ha</w:t>
      </w:r>
      <w:r w:rsidR="00C91EB6">
        <w:rPr>
          <w:rFonts w:ascii="Franklin Gothic Book" w:hAnsi="Franklin Gothic Book"/>
          <w:sz w:val="22"/>
        </w:rPr>
        <w:t>d</w:t>
      </w:r>
      <w:r w:rsidRPr="00F54A53">
        <w:rPr>
          <w:rFonts w:ascii="Franklin Gothic Book" w:hAnsi="Franklin Gothic Book"/>
          <w:sz w:val="22"/>
        </w:rPr>
        <w:t xml:space="preserve"> not </w:t>
      </w:r>
      <w:r w:rsidR="00DF61AA">
        <w:rPr>
          <w:rFonts w:ascii="Franklin Gothic Book" w:hAnsi="Franklin Gothic Book"/>
          <w:sz w:val="22"/>
        </w:rPr>
        <w:t xml:space="preserve">yet </w:t>
      </w:r>
      <w:r w:rsidR="00927DEB">
        <w:rPr>
          <w:rFonts w:ascii="Franklin Gothic Book" w:hAnsi="Franklin Gothic Book"/>
          <w:sz w:val="22"/>
        </w:rPr>
        <w:t xml:space="preserve">been </w:t>
      </w:r>
      <w:r w:rsidR="000048CF">
        <w:rPr>
          <w:rFonts w:ascii="Franklin Gothic Book" w:hAnsi="Franklin Gothic Book"/>
          <w:sz w:val="22"/>
        </w:rPr>
        <w:t>approved by the</w:t>
      </w:r>
      <w:r w:rsidR="00D04771">
        <w:rPr>
          <w:rFonts w:ascii="Franklin Gothic Book" w:hAnsi="Franklin Gothic Book"/>
          <w:sz w:val="22"/>
        </w:rPr>
        <w:t xml:space="preserve"> Therapeutic Goods Administration</w:t>
      </w:r>
      <w:r w:rsidR="000048CF">
        <w:rPr>
          <w:rFonts w:ascii="Franklin Gothic Book" w:hAnsi="Franklin Gothic Book"/>
          <w:sz w:val="22"/>
        </w:rPr>
        <w:t xml:space="preserve"> </w:t>
      </w:r>
      <w:r w:rsidR="00D04771">
        <w:rPr>
          <w:rFonts w:ascii="Franklin Gothic Book" w:hAnsi="Franklin Gothic Book"/>
          <w:sz w:val="22"/>
        </w:rPr>
        <w:t>(</w:t>
      </w:r>
      <w:r w:rsidR="000048CF">
        <w:rPr>
          <w:rFonts w:ascii="Franklin Gothic Book" w:hAnsi="Franklin Gothic Book"/>
          <w:sz w:val="22"/>
        </w:rPr>
        <w:t>TGA</w:t>
      </w:r>
      <w:r w:rsidR="00D04771">
        <w:rPr>
          <w:rFonts w:ascii="Franklin Gothic Book" w:hAnsi="Franklin Gothic Book"/>
          <w:sz w:val="22"/>
        </w:rPr>
        <w:t>)</w:t>
      </w:r>
      <w:r w:rsidR="0020327F">
        <w:rPr>
          <w:rFonts w:ascii="Franklin Gothic Book" w:hAnsi="Franklin Gothic Book"/>
          <w:sz w:val="22"/>
        </w:rPr>
        <w:t>. MSAC also noted</w:t>
      </w:r>
      <w:r w:rsidRPr="00F54A53">
        <w:rPr>
          <w:rFonts w:ascii="Franklin Gothic Book" w:hAnsi="Franklin Gothic Book"/>
          <w:sz w:val="22"/>
        </w:rPr>
        <w:t xml:space="preserve"> a quality assurance program </w:t>
      </w:r>
      <w:r w:rsidR="00771F52">
        <w:rPr>
          <w:rFonts w:ascii="Franklin Gothic Book" w:hAnsi="Franklin Gothic Book"/>
          <w:sz w:val="22"/>
        </w:rPr>
        <w:t xml:space="preserve">(QAP) </w:t>
      </w:r>
      <w:r w:rsidR="64044D50" w:rsidRPr="58971CEA">
        <w:rPr>
          <w:rFonts w:ascii="Franklin Gothic Book" w:hAnsi="Franklin Gothic Book"/>
          <w:sz w:val="22"/>
        </w:rPr>
        <w:t xml:space="preserve">is required to </w:t>
      </w:r>
      <w:r w:rsidR="00F513EE">
        <w:rPr>
          <w:rFonts w:ascii="Franklin Gothic Book" w:hAnsi="Franklin Gothic Book"/>
          <w:sz w:val="22"/>
        </w:rPr>
        <w:t xml:space="preserve">be implemented if the test is listed on </w:t>
      </w:r>
      <w:r w:rsidR="00383D90">
        <w:rPr>
          <w:rFonts w:ascii="Franklin Gothic Book" w:hAnsi="Franklin Gothic Book"/>
          <w:sz w:val="22"/>
        </w:rPr>
        <w:t xml:space="preserve">the </w:t>
      </w:r>
      <w:r w:rsidR="00F513EE">
        <w:rPr>
          <w:rFonts w:ascii="Franklin Gothic Book" w:hAnsi="Franklin Gothic Book"/>
          <w:sz w:val="22"/>
        </w:rPr>
        <w:t>MBS</w:t>
      </w:r>
      <w:r w:rsidR="00753871">
        <w:rPr>
          <w:rFonts w:ascii="Franklin Gothic Book" w:hAnsi="Franklin Gothic Book"/>
          <w:sz w:val="22"/>
        </w:rPr>
        <w:t xml:space="preserve"> and </w:t>
      </w:r>
      <w:r w:rsidR="00F15F71">
        <w:rPr>
          <w:rFonts w:ascii="Franklin Gothic Book" w:hAnsi="Franklin Gothic Book"/>
          <w:sz w:val="22"/>
        </w:rPr>
        <w:t xml:space="preserve">that </w:t>
      </w:r>
      <w:r w:rsidR="00753871">
        <w:rPr>
          <w:rFonts w:ascii="Franklin Gothic Book" w:hAnsi="Franklin Gothic Book"/>
          <w:sz w:val="22"/>
        </w:rPr>
        <w:t>the applicant</w:t>
      </w:r>
      <w:r w:rsidR="005A047D">
        <w:rPr>
          <w:rFonts w:ascii="Franklin Gothic Book" w:hAnsi="Franklin Gothic Book"/>
          <w:sz w:val="22"/>
        </w:rPr>
        <w:t xml:space="preserve"> </w:t>
      </w:r>
      <w:r w:rsidR="004F0C82" w:rsidRPr="004F0C82">
        <w:rPr>
          <w:rFonts w:ascii="Franklin Gothic Book" w:hAnsi="Franklin Gothic Book"/>
          <w:sz w:val="22"/>
        </w:rPr>
        <w:t xml:space="preserve">has contacted </w:t>
      </w:r>
      <w:r w:rsidR="004D134F">
        <w:rPr>
          <w:rFonts w:ascii="Franklin Gothic Book" w:hAnsi="Franklin Gothic Book"/>
          <w:sz w:val="22"/>
        </w:rPr>
        <w:t xml:space="preserve">the </w:t>
      </w:r>
      <w:r w:rsidR="000F7116">
        <w:rPr>
          <w:rFonts w:ascii="Franklin Gothic Book" w:hAnsi="Franklin Gothic Book"/>
          <w:sz w:val="22"/>
        </w:rPr>
        <w:t>Royal</w:t>
      </w:r>
      <w:r w:rsidR="004D134F">
        <w:rPr>
          <w:rFonts w:ascii="Franklin Gothic Book" w:hAnsi="Franklin Gothic Book"/>
          <w:sz w:val="22"/>
        </w:rPr>
        <w:t xml:space="preserve"> College of Pathologists of Austral</w:t>
      </w:r>
      <w:r w:rsidR="00092509">
        <w:rPr>
          <w:rFonts w:ascii="Franklin Gothic Book" w:hAnsi="Franklin Gothic Book"/>
          <w:sz w:val="22"/>
        </w:rPr>
        <w:t>asi</w:t>
      </w:r>
      <w:r w:rsidR="004D134F">
        <w:rPr>
          <w:rFonts w:ascii="Franklin Gothic Book" w:hAnsi="Franklin Gothic Book"/>
          <w:sz w:val="22"/>
        </w:rPr>
        <w:t>a</w:t>
      </w:r>
      <w:r w:rsidR="004F103F">
        <w:rPr>
          <w:rFonts w:ascii="Franklin Gothic Book" w:hAnsi="Franklin Gothic Book"/>
          <w:sz w:val="22"/>
        </w:rPr>
        <w:t xml:space="preserve"> </w:t>
      </w:r>
      <w:r w:rsidR="004F103F">
        <w:rPr>
          <w:rFonts w:ascii="Franklin Gothic Book" w:hAnsi="Franklin Gothic Book"/>
          <w:sz w:val="22"/>
          <w:szCs w:val="20"/>
        </w:rPr>
        <w:t>Quality Assurance Program</w:t>
      </w:r>
      <w:r w:rsidR="004D134F">
        <w:rPr>
          <w:rFonts w:ascii="Franklin Gothic Book" w:hAnsi="Franklin Gothic Book"/>
          <w:sz w:val="22"/>
        </w:rPr>
        <w:t xml:space="preserve"> (</w:t>
      </w:r>
      <w:r w:rsidR="004F0C82" w:rsidRPr="004F0C82">
        <w:rPr>
          <w:rFonts w:ascii="Franklin Gothic Book" w:hAnsi="Franklin Gothic Book"/>
          <w:sz w:val="22"/>
        </w:rPr>
        <w:t>RCPAQAP</w:t>
      </w:r>
      <w:r w:rsidR="004F103F">
        <w:rPr>
          <w:rFonts w:ascii="Franklin Gothic Book" w:hAnsi="Franklin Gothic Book"/>
          <w:sz w:val="22"/>
        </w:rPr>
        <w:t>)</w:t>
      </w:r>
      <w:r w:rsidR="004F0C82" w:rsidRPr="004F0C82">
        <w:rPr>
          <w:rFonts w:ascii="Franklin Gothic Book" w:hAnsi="Franklin Gothic Book"/>
          <w:sz w:val="22"/>
        </w:rPr>
        <w:t xml:space="preserve"> requesting a QAP</w:t>
      </w:r>
      <w:r w:rsidR="00D25FCE">
        <w:rPr>
          <w:rFonts w:ascii="Franklin Gothic Book" w:hAnsi="Franklin Gothic Book"/>
          <w:sz w:val="22"/>
        </w:rPr>
        <w:t xml:space="preserve"> be developed</w:t>
      </w:r>
      <w:r w:rsidR="00BB4074">
        <w:rPr>
          <w:rFonts w:ascii="Franklin Gothic Book" w:hAnsi="Franklin Gothic Book"/>
          <w:sz w:val="22"/>
        </w:rPr>
        <w:t>.</w:t>
      </w:r>
      <w:r w:rsidRPr="00F54A53">
        <w:rPr>
          <w:rFonts w:ascii="Franklin Gothic Book" w:hAnsi="Franklin Gothic Book"/>
          <w:sz w:val="22"/>
        </w:rPr>
        <w:t xml:space="preserve"> </w:t>
      </w:r>
      <w:r w:rsidR="00BB4074">
        <w:rPr>
          <w:rFonts w:ascii="Franklin Gothic Book" w:hAnsi="Franklin Gothic Book"/>
          <w:sz w:val="22"/>
        </w:rPr>
        <w:t>Additionally</w:t>
      </w:r>
      <w:r w:rsidR="00CB1ABA">
        <w:rPr>
          <w:rFonts w:ascii="Franklin Gothic Book" w:hAnsi="Franklin Gothic Book"/>
          <w:sz w:val="22"/>
        </w:rPr>
        <w:t xml:space="preserve">, MSAC noted that the test </w:t>
      </w:r>
      <w:r w:rsidR="00EB6E56">
        <w:rPr>
          <w:rFonts w:ascii="Franklin Gothic Book" w:hAnsi="Franklin Gothic Book"/>
          <w:sz w:val="22"/>
        </w:rPr>
        <w:t xml:space="preserve">could be offered </w:t>
      </w:r>
      <w:r w:rsidR="00150798">
        <w:rPr>
          <w:rFonts w:ascii="Franklin Gothic Book" w:hAnsi="Franklin Gothic Book"/>
          <w:sz w:val="22"/>
        </w:rPr>
        <w:t xml:space="preserve">by the laboratories in Australia </w:t>
      </w:r>
      <w:r w:rsidR="00EB6E56">
        <w:rPr>
          <w:rFonts w:ascii="Franklin Gothic Book" w:hAnsi="Franklin Gothic Book"/>
          <w:sz w:val="22"/>
        </w:rPr>
        <w:t xml:space="preserve">as an in-house </w:t>
      </w:r>
      <w:r w:rsidR="00BB4074" w:rsidRPr="00C61C2C">
        <w:rPr>
          <w:rFonts w:ascii="Franklin Gothic Book" w:hAnsi="Franklin Gothic Book"/>
          <w:sz w:val="22"/>
          <w:szCs w:val="20"/>
        </w:rPr>
        <w:t>in vitro diagnostic</w:t>
      </w:r>
      <w:r w:rsidR="00BB4074">
        <w:rPr>
          <w:rFonts w:ascii="Franklin Gothic Book" w:hAnsi="Franklin Gothic Book"/>
          <w:sz w:val="22"/>
        </w:rPr>
        <w:t xml:space="preserve"> (</w:t>
      </w:r>
      <w:r w:rsidR="00EB6E56">
        <w:rPr>
          <w:rFonts w:ascii="Franklin Gothic Book" w:hAnsi="Franklin Gothic Book"/>
          <w:sz w:val="22"/>
        </w:rPr>
        <w:t>IVD</w:t>
      </w:r>
      <w:r w:rsidR="00BB4074">
        <w:rPr>
          <w:rFonts w:ascii="Franklin Gothic Book" w:hAnsi="Franklin Gothic Book"/>
          <w:sz w:val="22"/>
        </w:rPr>
        <w:t>)</w:t>
      </w:r>
      <w:r w:rsidR="00D25FCE">
        <w:rPr>
          <w:rFonts w:ascii="Franklin Gothic Book" w:hAnsi="Franklin Gothic Book"/>
          <w:sz w:val="22"/>
        </w:rPr>
        <w:t>,</w:t>
      </w:r>
      <w:r w:rsidR="00EB6E56">
        <w:rPr>
          <w:rFonts w:ascii="Franklin Gothic Book" w:hAnsi="Franklin Gothic Book"/>
          <w:sz w:val="22"/>
        </w:rPr>
        <w:t xml:space="preserve"> </w:t>
      </w:r>
      <w:r w:rsidR="00383D90" w:rsidRPr="00C61C2C">
        <w:rPr>
          <w:rFonts w:ascii="Franklin Gothic Book" w:hAnsi="Franklin Gothic Book"/>
          <w:sz w:val="22"/>
          <w:szCs w:val="20"/>
        </w:rPr>
        <w:t xml:space="preserve">provided </w:t>
      </w:r>
      <w:r w:rsidR="00121C9C">
        <w:rPr>
          <w:rFonts w:ascii="Franklin Gothic Book" w:hAnsi="Franklin Gothic Book"/>
          <w:sz w:val="22"/>
          <w:szCs w:val="20"/>
        </w:rPr>
        <w:t>it complies with</w:t>
      </w:r>
      <w:r w:rsidR="00383D90" w:rsidRPr="00C61C2C">
        <w:rPr>
          <w:rFonts w:ascii="Franklin Gothic Book" w:hAnsi="Franklin Gothic Book"/>
          <w:sz w:val="22"/>
          <w:szCs w:val="20"/>
        </w:rPr>
        <w:t xml:space="preserve"> accreditation standards (National Pathology Accreditation Advisory Council [NPAAC] and National Association of Testing Authorities [NATA])</w:t>
      </w:r>
      <w:r w:rsidR="001E481D">
        <w:rPr>
          <w:rFonts w:ascii="Franklin Gothic Book" w:hAnsi="Franklin Gothic Book"/>
          <w:sz w:val="22"/>
          <w:szCs w:val="20"/>
        </w:rPr>
        <w:t>.</w:t>
      </w:r>
    </w:p>
    <w:p w14:paraId="2065D3E7" w14:textId="566A85CD" w:rsidR="00206A6F" w:rsidRPr="00F54A53" w:rsidRDefault="00206A6F" w:rsidP="00206A6F">
      <w:pPr>
        <w:spacing w:before="0" w:after="0"/>
        <w:rPr>
          <w:rFonts w:ascii="Franklin Gothic Book" w:hAnsi="Franklin Gothic Book"/>
          <w:sz w:val="22"/>
        </w:rPr>
      </w:pPr>
      <w:r w:rsidRPr="003570DA">
        <w:rPr>
          <w:rFonts w:ascii="Franklin Gothic Book" w:hAnsi="Franklin Gothic Book"/>
          <w:sz w:val="22"/>
        </w:rPr>
        <w:t>MSAC noted that all consultation feedback received was supportive of the application.</w:t>
      </w:r>
    </w:p>
    <w:p w14:paraId="21C78A40" w14:textId="35D6A113" w:rsidR="00C74CA0" w:rsidRDefault="00F54A53" w:rsidP="00DF7768">
      <w:pPr>
        <w:rPr>
          <w:rFonts w:ascii="Franklin Gothic Book" w:hAnsi="Franklin Gothic Book"/>
          <w:sz w:val="22"/>
        </w:rPr>
      </w:pPr>
      <w:r w:rsidRPr="00F54A53">
        <w:rPr>
          <w:rFonts w:ascii="Franklin Gothic Book" w:hAnsi="Franklin Gothic Book"/>
          <w:sz w:val="22"/>
        </w:rPr>
        <w:t xml:space="preserve">MSAC </w:t>
      </w:r>
      <w:r w:rsidR="00F67D66">
        <w:rPr>
          <w:rFonts w:ascii="Franklin Gothic Book" w:hAnsi="Franklin Gothic Book"/>
          <w:sz w:val="22"/>
        </w:rPr>
        <w:t>acknowledged</w:t>
      </w:r>
      <w:r w:rsidR="00F67D66" w:rsidRPr="00F54A53">
        <w:rPr>
          <w:rFonts w:ascii="Franklin Gothic Book" w:hAnsi="Franklin Gothic Book"/>
          <w:sz w:val="22"/>
        </w:rPr>
        <w:t xml:space="preserve"> </w:t>
      </w:r>
      <w:r w:rsidRPr="00F54A53">
        <w:rPr>
          <w:rFonts w:ascii="Franklin Gothic Book" w:hAnsi="Franklin Gothic Book"/>
          <w:sz w:val="22"/>
        </w:rPr>
        <w:t>the high unmet clinical need for</w:t>
      </w:r>
      <w:r w:rsidR="00106F69">
        <w:rPr>
          <w:rFonts w:ascii="Franklin Gothic Book" w:hAnsi="Franklin Gothic Book"/>
          <w:sz w:val="22"/>
        </w:rPr>
        <w:t xml:space="preserve"> effective</w:t>
      </w:r>
      <w:r w:rsidRPr="00F54A53">
        <w:rPr>
          <w:rFonts w:ascii="Franklin Gothic Book" w:hAnsi="Franklin Gothic Book"/>
          <w:sz w:val="22"/>
        </w:rPr>
        <w:t xml:space="preserve"> </w:t>
      </w:r>
      <w:r w:rsidR="00106F69">
        <w:rPr>
          <w:rFonts w:ascii="Franklin Gothic Book" w:hAnsi="Franklin Gothic Book"/>
          <w:sz w:val="22"/>
        </w:rPr>
        <w:t xml:space="preserve">treatment options for </w:t>
      </w:r>
      <w:r w:rsidRPr="00F54A53">
        <w:rPr>
          <w:rFonts w:ascii="Franklin Gothic Book" w:hAnsi="Franklin Gothic Book"/>
          <w:sz w:val="22"/>
        </w:rPr>
        <w:t>patients with ovarian cancer</w:t>
      </w:r>
      <w:r w:rsidR="00F67D66">
        <w:rPr>
          <w:rFonts w:ascii="Franklin Gothic Book" w:hAnsi="Franklin Gothic Book"/>
          <w:sz w:val="22"/>
        </w:rPr>
        <w:t>.</w:t>
      </w:r>
      <w:r w:rsidR="00F25809">
        <w:rPr>
          <w:rFonts w:ascii="Franklin Gothic Book" w:hAnsi="Franklin Gothic Book"/>
          <w:sz w:val="22"/>
        </w:rPr>
        <w:t xml:space="preserve"> </w:t>
      </w:r>
      <w:r w:rsidR="00C74CA0">
        <w:rPr>
          <w:rFonts w:ascii="Franklin Gothic Book" w:hAnsi="Franklin Gothic Book"/>
          <w:sz w:val="22"/>
        </w:rPr>
        <w:t xml:space="preserve">MSAC </w:t>
      </w:r>
      <w:r w:rsidR="000330E9">
        <w:rPr>
          <w:rFonts w:ascii="Franklin Gothic Book" w:hAnsi="Franklin Gothic Book"/>
          <w:sz w:val="22"/>
        </w:rPr>
        <w:t>noted</w:t>
      </w:r>
      <w:r w:rsidR="00C74CA0">
        <w:rPr>
          <w:rFonts w:ascii="Franklin Gothic Book" w:hAnsi="Franklin Gothic Book"/>
          <w:sz w:val="22"/>
        </w:rPr>
        <w:t xml:space="preserve"> </w:t>
      </w:r>
      <w:r w:rsidR="000330E9">
        <w:rPr>
          <w:rFonts w:ascii="Franklin Gothic Book" w:hAnsi="Franklin Gothic Book"/>
          <w:sz w:val="22"/>
        </w:rPr>
        <w:t xml:space="preserve">in Australia, </w:t>
      </w:r>
      <w:r w:rsidR="00C528AC">
        <w:rPr>
          <w:rFonts w:ascii="Franklin Gothic Book" w:hAnsi="Franklin Gothic Book"/>
          <w:sz w:val="22"/>
        </w:rPr>
        <w:t>o</w:t>
      </w:r>
      <w:r w:rsidR="00C528AC" w:rsidRPr="00C528AC">
        <w:rPr>
          <w:rFonts w:ascii="Franklin Gothic Book" w:hAnsi="Franklin Gothic Book"/>
          <w:sz w:val="22"/>
        </w:rPr>
        <w:t>varian carcinoma is the sixth leading cause of cancer-related death</w:t>
      </w:r>
      <w:r w:rsidR="004348B5">
        <w:rPr>
          <w:rFonts w:ascii="Franklin Gothic Book" w:hAnsi="Franklin Gothic Book"/>
          <w:sz w:val="22"/>
        </w:rPr>
        <w:t>s</w:t>
      </w:r>
      <w:r w:rsidR="00C528AC" w:rsidRPr="00C528AC">
        <w:rPr>
          <w:rFonts w:ascii="Franklin Gothic Book" w:hAnsi="Franklin Gothic Book"/>
          <w:sz w:val="22"/>
        </w:rPr>
        <w:t xml:space="preserve"> in women</w:t>
      </w:r>
      <w:r w:rsidR="00874CE8">
        <w:rPr>
          <w:rStyle w:val="FootnoteReference"/>
          <w:rFonts w:ascii="Franklin Gothic Book" w:hAnsi="Franklin Gothic Book"/>
          <w:sz w:val="22"/>
        </w:rPr>
        <w:footnoteReference w:id="2"/>
      </w:r>
      <w:r w:rsidR="00C528AC" w:rsidRPr="00C528AC">
        <w:rPr>
          <w:rFonts w:ascii="Franklin Gothic Book" w:hAnsi="Franklin Gothic Book"/>
          <w:sz w:val="22"/>
        </w:rPr>
        <w:t xml:space="preserve">, largely due to its tendency to be diagnosed at a late stage, when treatment </w:t>
      </w:r>
      <w:r w:rsidR="00C2264E">
        <w:rPr>
          <w:rFonts w:ascii="Franklin Gothic Book" w:hAnsi="Franklin Gothic Book"/>
          <w:sz w:val="22"/>
        </w:rPr>
        <w:t>becomes</w:t>
      </w:r>
      <w:r w:rsidR="00C528AC" w:rsidRPr="00C528AC">
        <w:rPr>
          <w:rFonts w:ascii="Franklin Gothic Book" w:hAnsi="Franklin Gothic Book"/>
          <w:sz w:val="22"/>
        </w:rPr>
        <w:t xml:space="preserve"> less effective. This late presentation contributes to a high mortality rate, with a </w:t>
      </w:r>
      <w:r w:rsidR="00C2264E">
        <w:rPr>
          <w:rFonts w:ascii="Franklin Gothic Book" w:hAnsi="Franklin Gothic Book"/>
          <w:sz w:val="22"/>
        </w:rPr>
        <w:t>5</w:t>
      </w:r>
      <w:r w:rsidR="00C528AC" w:rsidRPr="00C528AC">
        <w:rPr>
          <w:rFonts w:ascii="Franklin Gothic Book" w:hAnsi="Franklin Gothic Book"/>
          <w:sz w:val="22"/>
        </w:rPr>
        <w:t>-year survival rate of less than 50%</w:t>
      </w:r>
      <w:r w:rsidR="00392592">
        <w:rPr>
          <w:rFonts w:ascii="Franklin Gothic Book" w:hAnsi="Franklin Gothic Book"/>
          <w:sz w:val="22"/>
        </w:rPr>
        <w:t xml:space="preserve"> </w:t>
      </w:r>
      <w:r w:rsidR="00467AF8">
        <w:rPr>
          <w:rFonts w:ascii="Franklin Gothic Book" w:hAnsi="Franklin Gothic Book"/>
          <w:sz w:val="22"/>
        </w:rPr>
        <w:t>(Cancer Australia</w:t>
      </w:r>
      <w:r w:rsidR="00DF4376">
        <w:rPr>
          <w:rFonts w:ascii="Franklin Gothic Book" w:hAnsi="Franklin Gothic Book"/>
          <w:sz w:val="22"/>
        </w:rPr>
        <w:t>, 2019</w:t>
      </w:r>
      <w:r w:rsidR="0038115B">
        <w:rPr>
          <w:rFonts w:ascii="Franklin Gothic Book" w:hAnsi="Franklin Gothic Book"/>
          <w:sz w:val="22"/>
        </w:rPr>
        <w:t>)</w:t>
      </w:r>
      <w:r w:rsidR="00C528AC" w:rsidRPr="00C528AC">
        <w:rPr>
          <w:rFonts w:ascii="Franklin Gothic Book" w:hAnsi="Franklin Gothic Book"/>
          <w:sz w:val="22"/>
        </w:rPr>
        <w:t>. While initial treatment with platinum-based chemotherapy often shows a good response, many patients experience platinum-resistant ovarian cancer (PROC</w:t>
      </w:r>
      <w:r w:rsidR="006C52BE">
        <w:rPr>
          <w:rFonts w:ascii="Franklin Gothic Book" w:hAnsi="Franklin Gothic Book"/>
          <w:sz w:val="22"/>
        </w:rPr>
        <w:t>)</w:t>
      </w:r>
      <w:r w:rsidR="00C528AC" w:rsidRPr="00C528AC">
        <w:rPr>
          <w:rFonts w:ascii="Franklin Gothic Book" w:hAnsi="Franklin Gothic Book"/>
          <w:sz w:val="22"/>
        </w:rPr>
        <w:t xml:space="preserve">. </w:t>
      </w:r>
      <w:r w:rsidR="0017121F">
        <w:rPr>
          <w:rFonts w:ascii="Franklin Gothic Book" w:hAnsi="Franklin Gothic Book"/>
          <w:sz w:val="22"/>
        </w:rPr>
        <w:t>T</w:t>
      </w:r>
      <w:r w:rsidR="00C528AC" w:rsidRPr="00C528AC">
        <w:rPr>
          <w:rFonts w:ascii="Franklin Gothic Book" w:hAnsi="Franklin Gothic Book"/>
          <w:sz w:val="22"/>
        </w:rPr>
        <w:t>here has been little improvement in outcomes over the past 20 years, highlighting a significant unmet clinical need</w:t>
      </w:r>
      <w:r w:rsidR="00931DE3">
        <w:rPr>
          <w:rFonts w:ascii="Franklin Gothic Book" w:hAnsi="Franklin Gothic Book"/>
          <w:sz w:val="22"/>
        </w:rPr>
        <w:t xml:space="preserve"> and </w:t>
      </w:r>
      <w:r w:rsidR="00C528AC" w:rsidRPr="00C528AC">
        <w:rPr>
          <w:rFonts w:ascii="Franklin Gothic Book" w:hAnsi="Franklin Gothic Book"/>
          <w:sz w:val="22"/>
        </w:rPr>
        <w:t>new effective treatment options are urgently required.</w:t>
      </w:r>
    </w:p>
    <w:p w14:paraId="701B4C68" w14:textId="7149B686" w:rsidR="00B343C2" w:rsidRDefault="006E67F5" w:rsidP="00F54A53">
      <w:pPr>
        <w:rPr>
          <w:rFonts w:ascii="Franklin Gothic Book" w:hAnsi="Franklin Gothic Book"/>
          <w:sz w:val="22"/>
        </w:rPr>
      </w:pPr>
      <w:r w:rsidRPr="002E133F">
        <w:rPr>
          <w:rFonts w:ascii="Franklin Gothic Book" w:hAnsi="Franklin Gothic Book"/>
          <w:sz w:val="22"/>
        </w:rPr>
        <w:t>MSAC noted that</w:t>
      </w:r>
      <w:r>
        <w:rPr>
          <w:rFonts w:ascii="Franklin Gothic Book" w:hAnsi="Franklin Gothic Book"/>
          <w:sz w:val="22"/>
        </w:rPr>
        <w:t xml:space="preserve"> </w:t>
      </w:r>
      <w:r w:rsidRPr="002E133F">
        <w:rPr>
          <w:rFonts w:ascii="Franklin Gothic Book" w:hAnsi="Franklin Gothic Book"/>
          <w:sz w:val="22"/>
        </w:rPr>
        <w:t xml:space="preserve">the </w:t>
      </w:r>
      <w:r>
        <w:rPr>
          <w:rFonts w:ascii="Franklin Gothic Book" w:hAnsi="Franklin Gothic Book"/>
          <w:sz w:val="22"/>
        </w:rPr>
        <w:t xml:space="preserve">proposed </w:t>
      </w:r>
      <w:r w:rsidRPr="002E133F">
        <w:rPr>
          <w:rFonts w:ascii="Franklin Gothic Book" w:hAnsi="Franklin Gothic Book"/>
          <w:sz w:val="22"/>
        </w:rPr>
        <w:t xml:space="preserve">intervention was IHC testing for </w:t>
      </w:r>
      <w:r w:rsidRPr="00EF0D0A">
        <w:rPr>
          <w:rFonts w:ascii="Franklin Gothic Book" w:hAnsi="Franklin Gothic Book"/>
          <w:sz w:val="22"/>
        </w:rPr>
        <w:t>FRα</w:t>
      </w:r>
      <w:r w:rsidRPr="002E133F">
        <w:rPr>
          <w:rFonts w:ascii="Franklin Gothic Book" w:hAnsi="Franklin Gothic Book"/>
          <w:sz w:val="22"/>
        </w:rPr>
        <w:t xml:space="preserve"> expression </w:t>
      </w:r>
      <w:r w:rsidR="4EF408A2" w:rsidRPr="15DD5A08">
        <w:rPr>
          <w:rFonts w:ascii="Franklin Gothic Book" w:hAnsi="Franklin Gothic Book"/>
          <w:sz w:val="22"/>
        </w:rPr>
        <w:t xml:space="preserve">status </w:t>
      </w:r>
      <w:r w:rsidRPr="002E133F">
        <w:rPr>
          <w:rFonts w:ascii="Franklin Gothic Book" w:hAnsi="Franklin Gothic Book"/>
          <w:sz w:val="22"/>
        </w:rPr>
        <w:t xml:space="preserve">using </w:t>
      </w:r>
      <w:r w:rsidR="00D210B5" w:rsidRPr="00C61C2C">
        <w:rPr>
          <w:rFonts w:ascii="Franklin Gothic Book" w:hAnsi="Franklin Gothic Book"/>
          <w:sz w:val="22"/>
        </w:rPr>
        <w:t xml:space="preserve">VENTANA FOLR1 (FOLR1-2.1) </w:t>
      </w:r>
      <w:r w:rsidR="003136A8">
        <w:rPr>
          <w:rFonts w:ascii="Franklin Gothic Book" w:hAnsi="Franklin Gothic Book"/>
          <w:sz w:val="22"/>
        </w:rPr>
        <w:t>test</w:t>
      </w:r>
      <w:r w:rsidRPr="002E133F">
        <w:rPr>
          <w:rFonts w:ascii="Franklin Gothic Book" w:hAnsi="Franklin Gothic Book"/>
          <w:sz w:val="22"/>
        </w:rPr>
        <w:t xml:space="preserve">, which is the clinical utility standard and was used in the </w:t>
      </w:r>
      <w:r>
        <w:rPr>
          <w:rFonts w:ascii="Franklin Gothic Book" w:hAnsi="Franklin Gothic Book"/>
          <w:sz w:val="22"/>
        </w:rPr>
        <w:t xml:space="preserve">key </w:t>
      </w:r>
      <w:r w:rsidR="00AF06AF" w:rsidRPr="00013B55">
        <w:rPr>
          <w:rFonts w:ascii="Franklin Gothic Book" w:hAnsi="Franklin Gothic Book"/>
          <w:sz w:val="22"/>
        </w:rPr>
        <w:t>MIRASOL and FORWARD-I</w:t>
      </w:r>
      <w:r w:rsidR="00AF06AF">
        <w:rPr>
          <w:rFonts w:ascii="Franklin Gothic Book" w:hAnsi="Franklin Gothic Book"/>
          <w:sz w:val="22"/>
        </w:rPr>
        <w:t xml:space="preserve"> trials</w:t>
      </w:r>
      <w:r w:rsidRPr="002E133F">
        <w:rPr>
          <w:rFonts w:ascii="Franklin Gothic Book" w:hAnsi="Franklin Gothic Book"/>
          <w:sz w:val="22"/>
        </w:rPr>
        <w:t xml:space="preserve">. </w:t>
      </w:r>
      <w:r w:rsidR="00B343C2">
        <w:rPr>
          <w:rFonts w:ascii="Franklin Gothic Book" w:hAnsi="Franklin Gothic Book"/>
          <w:sz w:val="22"/>
        </w:rPr>
        <w:t>MSAC noted that</w:t>
      </w:r>
      <w:r w:rsidR="00615167">
        <w:rPr>
          <w:rFonts w:ascii="Franklin Gothic Book" w:hAnsi="Franklin Gothic Book"/>
          <w:sz w:val="22"/>
        </w:rPr>
        <w:t xml:space="preserve"> </w:t>
      </w:r>
      <w:r w:rsidR="0048044C" w:rsidRPr="00EF0D0A">
        <w:rPr>
          <w:rFonts w:ascii="Franklin Gothic Book" w:hAnsi="Franklin Gothic Book"/>
          <w:sz w:val="22"/>
        </w:rPr>
        <w:t>FRα</w:t>
      </w:r>
      <w:r w:rsidR="00CF15D1" w:rsidRPr="00615167">
        <w:rPr>
          <w:rFonts w:ascii="Franklin Gothic Book" w:hAnsi="Franklin Gothic Book"/>
          <w:sz w:val="22"/>
        </w:rPr>
        <w:t>, a transmembrane protein involved in transporting folate into cells</w:t>
      </w:r>
      <w:r w:rsidR="00CF15D1">
        <w:rPr>
          <w:rFonts w:ascii="Franklin Gothic Book" w:hAnsi="Franklin Gothic Book"/>
          <w:sz w:val="22"/>
        </w:rPr>
        <w:t>,</w:t>
      </w:r>
      <w:r w:rsidR="0048044C" w:rsidRPr="00EF0D0A">
        <w:rPr>
          <w:rFonts w:ascii="Franklin Gothic Book" w:hAnsi="Franklin Gothic Book"/>
          <w:sz w:val="22"/>
        </w:rPr>
        <w:t xml:space="preserve"> is highly expressed in more than 35% of PROC</w:t>
      </w:r>
      <w:r w:rsidR="00D25FCE">
        <w:rPr>
          <w:rFonts w:ascii="Franklin Gothic Book" w:hAnsi="Franklin Gothic Book"/>
          <w:sz w:val="22"/>
        </w:rPr>
        <w:t xml:space="preserve"> cells</w:t>
      </w:r>
      <w:r w:rsidR="00AC5EAC">
        <w:rPr>
          <w:rStyle w:val="FootnoteReference"/>
          <w:rFonts w:ascii="Franklin Gothic Book" w:hAnsi="Franklin Gothic Book"/>
          <w:sz w:val="22"/>
        </w:rPr>
        <w:footnoteReference w:id="3"/>
      </w:r>
      <w:r w:rsidR="0048044C" w:rsidRPr="00EF0D0A">
        <w:rPr>
          <w:rFonts w:ascii="Franklin Gothic Book" w:hAnsi="Franklin Gothic Book"/>
          <w:sz w:val="22"/>
        </w:rPr>
        <w:t xml:space="preserve">, while being minimally </w:t>
      </w:r>
      <w:r w:rsidR="004F6287">
        <w:rPr>
          <w:rFonts w:ascii="Franklin Gothic Book" w:hAnsi="Franklin Gothic Book"/>
          <w:sz w:val="22"/>
        </w:rPr>
        <w:t>expressed</w:t>
      </w:r>
      <w:r w:rsidR="0048044C" w:rsidRPr="00EF0D0A">
        <w:rPr>
          <w:rFonts w:ascii="Franklin Gothic Book" w:hAnsi="Franklin Gothic Book"/>
          <w:sz w:val="22"/>
        </w:rPr>
        <w:t xml:space="preserve"> </w:t>
      </w:r>
      <w:r w:rsidR="004F6287">
        <w:rPr>
          <w:rFonts w:ascii="Franklin Gothic Book" w:hAnsi="Franklin Gothic Book"/>
          <w:sz w:val="22"/>
        </w:rPr>
        <w:t>o</w:t>
      </w:r>
      <w:r w:rsidR="0048044C" w:rsidRPr="00EF0D0A">
        <w:rPr>
          <w:rFonts w:ascii="Franklin Gothic Book" w:hAnsi="Franklin Gothic Book"/>
          <w:sz w:val="22"/>
        </w:rPr>
        <w:t>n normal tissue</w:t>
      </w:r>
      <w:r w:rsidR="0048044C">
        <w:rPr>
          <w:rFonts w:ascii="Franklin Gothic Book" w:hAnsi="Franklin Gothic Book"/>
          <w:sz w:val="22"/>
        </w:rPr>
        <w:t xml:space="preserve">. MSAC also noted that </w:t>
      </w:r>
      <w:r w:rsidR="00615167">
        <w:rPr>
          <w:rFonts w:ascii="Franklin Gothic Book" w:hAnsi="Franklin Gothic Book"/>
          <w:sz w:val="22"/>
        </w:rPr>
        <w:t>t</w:t>
      </w:r>
      <w:r w:rsidR="00615167" w:rsidRPr="00615167">
        <w:rPr>
          <w:rFonts w:ascii="Franklin Gothic Book" w:hAnsi="Franklin Gothic Book"/>
          <w:sz w:val="22"/>
        </w:rPr>
        <w:t xml:space="preserve">he MIRASOL trial investigated </w:t>
      </w:r>
      <w:r w:rsidR="006E04E6">
        <w:rPr>
          <w:rFonts w:ascii="Franklin Gothic Book" w:hAnsi="Franklin Gothic Book"/>
          <w:sz w:val="22"/>
        </w:rPr>
        <w:t>the drug</w:t>
      </w:r>
      <w:r w:rsidR="00A31807">
        <w:rPr>
          <w:rFonts w:ascii="Franklin Gothic Book" w:hAnsi="Franklin Gothic Book"/>
          <w:sz w:val="22"/>
        </w:rPr>
        <w:t xml:space="preserve"> (</w:t>
      </w:r>
      <w:r w:rsidR="00615167" w:rsidRPr="00615167">
        <w:rPr>
          <w:rFonts w:ascii="Franklin Gothic Book" w:hAnsi="Franklin Gothic Book"/>
          <w:sz w:val="22"/>
        </w:rPr>
        <w:t>MIRV</w:t>
      </w:r>
      <w:r w:rsidR="008B0926">
        <w:rPr>
          <w:rFonts w:ascii="Franklin Gothic Book" w:hAnsi="Franklin Gothic Book"/>
          <w:sz w:val="22"/>
        </w:rPr>
        <w:t>)</w:t>
      </w:r>
      <w:r w:rsidR="00CE1F1C">
        <w:rPr>
          <w:rFonts w:ascii="Franklin Gothic Book" w:hAnsi="Franklin Gothic Book"/>
          <w:sz w:val="22"/>
        </w:rPr>
        <w:t xml:space="preserve"> which </w:t>
      </w:r>
      <w:r w:rsidR="006E04E6">
        <w:rPr>
          <w:rFonts w:ascii="Franklin Gothic Book" w:hAnsi="Franklin Gothic Book"/>
          <w:sz w:val="22"/>
        </w:rPr>
        <w:t xml:space="preserve">is </w:t>
      </w:r>
      <w:r w:rsidR="00615167" w:rsidRPr="00615167">
        <w:rPr>
          <w:rFonts w:ascii="Franklin Gothic Book" w:hAnsi="Franklin Gothic Book"/>
          <w:sz w:val="22"/>
        </w:rPr>
        <w:t>a first-in-class antibody-drug conjugate (ADC)</w:t>
      </w:r>
      <w:r w:rsidR="00E7437B">
        <w:rPr>
          <w:rFonts w:ascii="Franklin Gothic Book" w:hAnsi="Franklin Gothic Book"/>
          <w:sz w:val="22"/>
        </w:rPr>
        <w:t xml:space="preserve"> </w:t>
      </w:r>
      <w:r w:rsidR="00487FF1">
        <w:rPr>
          <w:rFonts w:ascii="Franklin Gothic Book" w:hAnsi="Franklin Gothic Book"/>
          <w:sz w:val="22"/>
        </w:rPr>
        <w:t xml:space="preserve">that combines </w:t>
      </w:r>
      <w:r w:rsidR="00E548D5">
        <w:rPr>
          <w:rFonts w:ascii="Franklin Gothic Book" w:hAnsi="Franklin Gothic Book"/>
          <w:sz w:val="22"/>
        </w:rPr>
        <w:t xml:space="preserve">an </w:t>
      </w:r>
      <w:r w:rsidR="00E548D5" w:rsidRPr="00E548D5">
        <w:rPr>
          <w:rFonts w:ascii="Franklin Gothic Book" w:hAnsi="Franklin Gothic Book"/>
          <w:sz w:val="22"/>
        </w:rPr>
        <w:t>FR</w:t>
      </w:r>
      <w:r w:rsidR="00E548D5" w:rsidRPr="00E548D5">
        <w:rPr>
          <w:rFonts w:ascii="Franklin Gothic Book" w:hAnsi="Franklin Gothic Book"/>
          <w:sz w:val="22"/>
          <w:lang w:val="el-GR"/>
        </w:rPr>
        <w:t>α-</w:t>
      </w:r>
      <w:r w:rsidR="00E548D5" w:rsidRPr="00E548D5">
        <w:rPr>
          <w:rFonts w:ascii="Franklin Gothic Book" w:hAnsi="Franklin Gothic Book"/>
          <w:sz w:val="22"/>
        </w:rPr>
        <w:t xml:space="preserve">binding </w:t>
      </w:r>
      <w:r w:rsidR="00E548D5">
        <w:rPr>
          <w:rFonts w:ascii="Franklin Gothic Book" w:hAnsi="Franklin Gothic Book"/>
          <w:sz w:val="22"/>
        </w:rPr>
        <w:t>antibody</w:t>
      </w:r>
      <w:r w:rsidR="00724AAB">
        <w:rPr>
          <w:rFonts w:ascii="Franklin Gothic Book" w:hAnsi="Franklin Gothic Book"/>
          <w:sz w:val="22"/>
        </w:rPr>
        <w:t xml:space="preserve"> with</w:t>
      </w:r>
      <w:r w:rsidR="00E548D5">
        <w:rPr>
          <w:rFonts w:ascii="Franklin Gothic Book" w:hAnsi="Franklin Gothic Book"/>
          <w:sz w:val="22"/>
        </w:rPr>
        <w:t xml:space="preserve"> a</w:t>
      </w:r>
      <w:r w:rsidR="0046194B" w:rsidRPr="0046194B">
        <w:rPr>
          <w:rFonts w:ascii="Franklin Gothic Book" w:hAnsi="Franklin Gothic Book"/>
          <w:sz w:val="22"/>
        </w:rPr>
        <w:t xml:space="preserve"> cleavable linker, and the </w:t>
      </w:r>
      <w:r w:rsidR="0036585B" w:rsidRPr="0046194B">
        <w:rPr>
          <w:rFonts w:ascii="Franklin Gothic Book" w:hAnsi="Franklin Gothic Book"/>
          <w:sz w:val="22"/>
        </w:rPr>
        <w:t xml:space="preserve">tubulin-targeting </w:t>
      </w:r>
      <w:r w:rsidR="00514ED6">
        <w:rPr>
          <w:rFonts w:ascii="Franklin Gothic Book" w:hAnsi="Franklin Gothic Book"/>
          <w:sz w:val="22"/>
        </w:rPr>
        <w:t xml:space="preserve">chemotherapy </w:t>
      </w:r>
      <w:r w:rsidR="0036585B" w:rsidRPr="0046194B">
        <w:rPr>
          <w:rFonts w:ascii="Franklin Gothic Book" w:hAnsi="Franklin Gothic Book"/>
          <w:sz w:val="22"/>
        </w:rPr>
        <w:t xml:space="preserve">agent </w:t>
      </w:r>
      <w:r w:rsidR="0046194B" w:rsidRPr="0046194B">
        <w:rPr>
          <w:rFonts w:ascii="Franklin Gothic Book" w:hAnsi="Franklin Gothic Book"/>
          <w:sz w:val="22"/>
        </w:rPr>
        <w:t>maytansinoid DM4</w:t>
      </w:r>
      <w:r w:rsidR="00615167" w:rsidRPr="00615167">
        <w:rPr>
          <w:rFonts w:ascii="Franklin Gothic Book" w:hAnsi="Franklin Gothic Book"/>
          <w:sz w:val="22"/>
        </w:rPr>
        <w:t xml:space="preserve">. </w:t>
      </w:r>
      <w:r w:rsidR="00CF15D1">
        <w:rPr>
          <w:rFonts w:ascii="Franklin Gothic Book" w:hAnsi="Franklin Gothic Book"/>
          <w:sz w:val="22"/>
        </w:rPr>
        <w:t xml:space="preserve"> </w:t>
      </w:r>
    </w:p>
    <w:p w14:paraId="2871D08F" w14:textId="6E670C96" w:rsidR="0057555D" w:rsidRDefault="007047B3" w:rsidP="007047B3">
      <w:pPr>
        <w:rPr>
          <w:rFonts w:ascii="Franklin Gothic Book" w:hAnsi="Franklin Gothic Book"/>
          <w:sz w:val="22"/>
        </w:rPr>
      </w:pPr>
      <w:r w:rsidRPr="00F54A53">
        <w:rPr>
          <w:rFonts w:ascii="Franklin Gothic Book" w:hAnsi="Franklin Gothic Book"/>
          <w:sz w:val="22"/>
        </w:rPr>
        <w:t>MSAC noted that FRα is an expression-based biomarker</w:t>
      </w:r>
      <w:r w:rsidR="00EC789F" w:rsidRPr="00EC789F">
        <w:rPr>
          <w:rFonts w:ascii="Franklin Gothic Book" w:hAnsi="Franklin Gothic Book"/>
          <w:sz w:val="22"/>
        </w:rPr>
        <w:t xml:space="preserve"> based on an endogenous gene rather than an oncogene or a variant-based biomarker</w:t>
      </w:r>
      <w:r w:rsidRPr="00F54A53">
        <w:rPr>
          <w:rFonts w:ascii="Franklin Gothic Book" w:hAnsi="Franklin Gothic Book"/>
          <w:sz w:val="22"/>
        </w:rPr>
        <w:t>, so there is a potentially weak</w:t>
      </w:r>
      <w:r w:rsidR="003E0C92">
        <w:rPr>
          <w:rFonts w:ascii="Franklin Gothic Book" w:hAnsi="Franklin Gothic Book"/>
          <w:sz w:val="22"/>
        </w:rPr>
        <w:t>er</w:t>
      </w:r>
      <w:r w:rsidRPr="00F54A53">
        <w:rPr>
          <w:rFonts w:ascii="Franklin Gothic Book" w:hAnsi="Franklin Gothic Book"/>
          <w:sz w:val="22"/>
        </w:rPr>
        <w:t xml:space="preserve"> relationship between biomarker presence and treatment response. </w:t>
      </w:r>
      <w:r w:rsidR="00B46C8C">
        <w:rPr>
          <w:rFonts w:ascii="Franklin Gothic Book" w:hAnsi="Franklin Gothic Book"/>
          <w:sz w:val="22"/>
        </w:rPr>
        <w:t xml:space="preserve">However, MSAC also noted </w:t>
      </w:r>
      <w:r w:rsidR="00BF4C98" w:rsidRPr="003F7DF7">
        <w:rPr>
          <w:rFonts w:ascii="Franklin Gothic Book" w:hAnsi="Franklin Gothic Book"/>
          <w:sz w:val="22"/>
        </w:rPr>
        <w:t xml:space="preserve">the data appeared to support the predictive validity of FRα expression as a biomarker, as long as the expression level is high using </w:t>
      </w:r>
      <w:r w:rsidR="00BF4C98" w:rsidRPr="00C50EFC">
        <w:rPr>
          <w:rFonts w:ascii="Franklin Gothic Book" w:hAnsi="Franklin Gothic Book"/>
          <w:sz w:val="22"/>
        </w:rPr>
        <w:t xml:space="preserve">≥75%, </w:t>
      </w:r>
      <w:r w:rsidR="00BF4C98" w:rsidRPr="003F7DF7">
        <w:rPr>
          <w:rFonts w:ascii="Franklin Gothic Book" w:hAnsi="Franklin Gothic Book"/>
          <w:sz w:val="22"/>
        </w:rPr>
        <w:t xml:space="preserve">PS2+ scoring </w:t>
      </w:r>
      <w:r w:rsidR="009E618F" w:rsidRPr="003F7DF7">
        <w:rPr>
          <w:rFonts w:ascii="Franklin Gothic Book" w:hAnsi="Franklin Gothic Book"/>
          <w:sz w:val="22"/>
        </w:rPr>
        <w:t>criteria</w:t>
      </w:r>
      <w:r w:rsidR="009E618F">
        <w:rPr>
          <w:rFonts w:ascii="Franklin Gothic Book" w:hAnsi="Franklin Gothic Book"/>
          <w:sz w:val="22"/>
        </w:rPr>
        <w:t>.</w:t>
      </w:r>
      <w:r w:rsidR="00B46C8C">
        <w:rPr>
          <w:rFonts w:ascii="Franklin Gothic Book" w:hAnsi="Franklin Gothic Book"/>
          <w:sz w:val="22"/>
        </w:rPr>
        <w:t xml:space="preserve"> </w:t>
      </w:r>
      <w:r>
        <w:rPr>
          <w:rFonts w:ascii="Franklin Gothic Book" w:hAnsi="Franklin Gothic Book"/>
          <w:sz w:val="22"/>
        </w:rPr>
        <w:t xml:space="preserve">MSAC noted that </w:t>
      </w:r>
      <w:r w:rsidRPr="00EF0D0A">
        <w:rPr>
          <w:rFonts w:ascii="Franklin Gothic Book" w:hAnsi="Franklin Gothic Book"/>
          <w:sz w:val="22"/>
        </w:rPr>
        <w:t>FRα</w:t>
      </w:r>
      <w:r>
        <w:rPr>
          <w:rFonts w:ascii="Franklin Gothic Book" w:hAnsi="Franklin Gothic Book"/>
          <w:sz w:val="22"/>
        </w:rPr>
        <w:t xml:space="preserve"> testing is an </w:t>
      </w:r>
      <w:r w:rsidDel="00D25FCE">
        <w:rPr>
          <w:rFonts w:ascii="Franklin Gothic Book" w:hAnsi="Franklin Gothic Book"/>
          <w:sz w:val="22"/>
        </w:rPr>
        <w:t xml:space="preserve">IHC </w:t>
      </w:r>
      <w:r>
        <w:rPr>
          <w:rFonts w:ascii="Franklin Gothic Book" w:hAnsi="Franklin Gothic Book"/>
          <w:sz w:val="22"/>
        </w:rPr>
        <w:t xml:space="preserve">test </w:t>
      </w:r>
      <w:r w:rsidR="00D25FCE">
        <w:rPr>
          <w:rFonts w:ascii="Franklin Gothic Book" w:hAnsi="Franklin Gothic Book"/>
          <w:sz w:val="22"/>
        </w:rPr>
        <w:t>with</w:t>
      </w:r>
      <w:r>
        <w:rPr>
          <w:rFonts w:ascii="Franklin Gothic Book" w:hAnsi="Franklin Gothic Book"/>
          <w:sz w:val="22"/>
        </w:rPr>
        <w:t xml:space="preserve"> inherent interpretation </w:t>
      </w:r>
      <w:r w:rsidR="0044226C">
        <w:rPr>
          <w:rFonts w:ascii="Franklin Gothic Book" w:hAnsi="Franklin Gothic Book"/>
          <w:sz w:val="22"/>
        </w:rPr>
        <w:t>challenges</w:t>
      </w:r>
      <w:r w:rsidR="00902EB7">
        <w:rPr>
          <w:rFonts w:ascii="Franklin Gothic Book" w:hAnsi="Franklin Gothic Book"/>
          <w:sz w:val="22"/>
        </w:rPr>
        <w:t xml:space="preserve"> </w:t>
      </w:r>
      <w:r w:rsidR="00D25FCE">
        <w:rPr>
          <w:rFonts w:ascii="Franklin Gothic Book" w:hAnsi="Franklin Gothic Book"/>
          <w:sz w:val="22"/>
        </w:rPr>
        <w:t xml:space="preserve">well understood </w:t>
      </w:r>
      <w:r w:rsidR="008E1929">
        <w:rPr>
          <w:rFonts w:ascii="Franklin Gothic Book" w:hAnsi="Franklin Gothic Book"/>
          <w:sz w:val="22"/>
        </w:rPr>
        <w:t xml:space="preserve">by pathologists </w:t>
      </w:r>
      <w:r w:rsidR="00902EB7">
        <w:rPr>
          <w:rFonts w:ascii="Franklin Gothic Book" w:hAnsi="Franklin Gothic Book"/>
          <w:sz w:val="22"/>
        </w:rPr>
        <w:t xml:space="preserve">due to </w:t>
      </w:r>
      <w:r w:rsidR="002A0BBC">
        <w:rPr>
          <w:rFonts w:ascii="Franklin Gothic Book" w:hAnsi="Franklin Gothic Book"/>
          <w:sz w:val="22"/>
        </w:rPr>
        <w:t xml:space="preserve">the </w:t>
      </w:r>
      <w:r w:rsidR="005D6F78" w:rsidRPr="005D6F78">
        <w:rPr>
          <w:rFonts w:ascii="Franklin Gothic Book" w:hAnsi="Franklin Gothic Book"/>
          <w:sz w:val="22"/>
        </w:rPr>
        <w:t>subjectiv</w:t>
      </w:r>
      <w:r w:rsidR="009A0EFC">
        <w:rPr>
          <w:rFonts w:ascii="Franklin Gothic Book" w:hAnsi="Franklin Gothic Book"/>
          <w:sz w:val="22"/>
        </w:rPr>
        <w:t>e</w:t>
      </w:r>
      <w:r w:rsidR="00D67C78">
        <w:rPr>
          <w:rFonts w:ascii="Franklin Gothic Book" w:hAnsi="Franklin Gothic Book"/>
          <w:sz w:val="22"/>
        </w:rPr>
        <w:t xml:space="preserve"> nature</w:t>
      </w:r>
      <w:r w:rsidR="005D6F78" w:rsidRPr="005D6F78">
        <w:rPr>
          <w:rFonts w:ascii="Franklin Gothic Book" w:hAnsi="Franklin Gothic Book"/>
          <w:sz w:val="22"/>
        </w:rPr>
        <w:t xml:space="preserve"> </w:t>
      </w:r>
      <w:r w:rsidR="002E4129">
        <w:rPr>
          <w:rFonts w:ascii="Franklin Gothic Book" w:hAnsi="Franklin Gothic Book"/>
          <w:sz w:val="22"/>
        </w:rPr>
        <w:t xml:space="preserve">of </w:t>
      </w:r>
      <w:r w:rsidR="009F6E3F">
        <w:rPr>
          <w:rFonts w:ascii="Franklin Gothic Book" w:hAnsi="Franklin Gothic Book"/>
          <w:sz w:val="22"/>
        </w:rPr>
        <w:t>assessing</w:t>
      </w:r>
      <w:r w:rsidR="005D6F78" w:rsidRPr="005D6F78">
        <w:rPr>
          <w:rFonts w:ascii="Franklin Gothic Book" w:hAnsi="Franklin Gothic Book"/>
          <w:sz w:val="22"/>
        </w:rPr>
        <w:t xml:space="preserve"> </w:t>
      </w:r>
      <w:r w:rsidR="00EA4170">
        <w:rPr>
          <w:rFonts w:ascii="Franklin Gothic Book" w:hAnsi="Franklin Gothic Book"/>
          <w:sz w:val="22"/>
        </w:rPr>
        <w:t xml:space="preserve">cell </w:t>
      </w:r>
      <w:r w:rsidR="002E4129">
        <w:rPr>
          <w:rFonts w:ascii="Franklin Gothic Book" w:hAnsi="Franklin Gothic Book"/>
          <w:sz w:val="22"/>
        </w:rPr>
        <w:t>staining</w:t>
      </w:r>
      <w:r w:rsidR="00CF5253">
        <w:rPr>
          <w:rFonts w:ascii="Franklin Gothic Book" w:hAnsi="Franklin Gothic Book"/>
          <w:sz w:val="22"/>
        </w:rPr>
        <w:t>.</w:t>
      </w:r>
      <w:r>
        <w:rPr>
          <w:rFonts w:ascii="Franklin Gothic Book" w:hAnsi="Franklin Gothic Book"/>
          <w:sz w:val="22"/>
        </w:rPr>
        <w:t xml:space="preserve"> </w:t>
      </w:r>
      <w:r w:rsidR="0057555D">
        <w:rPr>
          <w:rFonts w:ascii="Franklin Gothic Book" w:hAnsi="Franklin Gothic Book"/>
          <w:sz w:val="22"/>
        </w:rPr>
        <w:t xml:space="preserve">MSAC </w:t>
      </w:r>
      <w:r w:rsidR="00683D4D">
        <w:rPr>
          <w:rFonts w:ascii="Franklin Gothic Book" w:hAnsi="Franklin Gothic Book"/>
          <w:sz w:val="22"/>
        </w:rPr>
        <w:t>also</w:t>
      </w:r>
      <w:r w:rsidR="0057555D">
        <w:rPr>
          <w:rFonts w:ascii="Franklin Gothic Book" w:hAnsi="Franklin Gothic Book"/>
          <w:sz w:val="22"/>
        </w:rPr>
        <w:t xml:space="preserve"> noted the applicant</w:t>
      </w:r>
      <w:r w:rsidR="00E26B60">
        <w:rPr>
          <w:rFonts w:ascii="Franklin Gothic Book" w:hAnsi="Franklin Gothic Book"/>
          <w:sz w:val="22"/>
        </w:rPr>
        <w:t xml:space="preserve">’s pre-MSAC response emphasised that </w:t>
      </w:r>
      <w:r w:rsidR="00E02D91" w:rsidRPr="00E02D91">
        <w:rPr>
          <w:rFonts w:ascii="Franklin Gothic Book" w:hAnsi="Franklin Gothic Book"/>
          <w:sz w:val="22"/>
        </w:rPr>
        <w:t>IHC testing procedures are well established in Australian pathology laboratories</w:t>
      </w:r>
      <w:r w:rsidR="00FC1412">
        <w:rPr>
          <w:rFonts w:ascii="Franklin Gothic Book" w:hAnsi="Franklin Gothic Book"/>
          <w:sz w:val="22"/>
        </w:rPr>
        <w:t xml:space="preserve"> and </w:t>
      </w:r>
      <w:r w:rsidR="00FC1412" w:rsidRPr="00FC1412">
        <w:rPr>
          <w:rFonts w:ascii="Franklin Gothic Book" w:hAnsi="Franklin Gothic Book"/>
          <w:sz w:val="22"/>
          <w:lang w:val="en-NZ"/>
        </w:rPr>
        <w:t xml:space="preserve">the performance of FRα expression testing using the FOLR1 assay </w:t>
      </w:r>
      <w:r w:rsidR="00FC1412">
        <w:rPr>
          <w:rFonts w:ascii="Franklin Gothic Book" w:hAnsi="Franklin Gothic Book"/>
          <w:sz w:val="22"/>
          <w:lang w:val="en-NZ"/>
        </w:rPr>
        <w:t xml:space="preserve">was unlikely to </w:t>
      </w:r>
      <w:r w:rsidR="00FC1412" w:rsidRPr="00FC1412">
        <w:rPr>
          <w:rFonts w:ascii="Franklin Gothic Book" w:hAnsi="Franklin Gothic Book"/>
          <w:sz w:val="22"/>
          <w:lang w:val="en-NZ"/>
        </w:rPr>
        <w:t>differ materially in Australia compared to other countries with similar laboratory accreditation standards</w:t>
      </w:r>
      <w:r w:rsidR="00E02D91" w:rsidRPr="00E02D91">
        <w:rPr>
          <w:rFonts w:ascii="Franklin Gothic Book" w:hAnsi="Franklin Gothic Book"/>
          <w:sz w:val="22"/>
        </w:rPr>
        <w:t>.</w:t>
      </w:r>
      <w:r w:rsidR="006C08DF" w:rsidRPr="006C08DF">
        <w:rPr>
          <w:rFonts w:ascii="Franklin Gothic Book" w:hAnsi="Franklin Gothic Book"/>
          <w:sz w:val="22"/>
        </w:rPr>
        <w:t xml:space="preserve"> </w:t>
      </w:r>
      <w:r w:rsidR="006C08DF">
        <w:rPr>
          <w:rFonts w:ascii="Franklin Gothic Book" w:hAnsi="Franklin Gothic Book"/>
          <w:sz w:val="22"/>
        </w:rPr>
        <w:t xml:space="preserve">MSAC </w:t>
      </w:r>
      <w:r w:rsidR="002B07F3">
        <w:rPr>
          <w:rFonts w:ascii="Franklin Gothic Book" w:hAnsi="Franklin Gothic Book"/>
          <w:sz w:val="22"/>
        </w:rPr>
        <w:t xml:space="preserve">considered </w:t>
      </w:r>
      <w:r w:rsidR="002B07F3" w:rsidRPr="00EF0D0A">
        <w:rPr>
          <w:rFonts w:ascii="Franklin Gothic Book" w:hAnsi="Franklin Gothic Book"/>
          <w:sz w:val="22"/>
        </w:rPr>
        <w:t>FRα</w:t>
      </w:r>
      <w:r w:rsidR="002B07F3">
        <w:rPr>
          <w:rFonts w:ascii="Franklin Gothic Book" w:hAnsi="Franklin Gothic Book"/>
          <w:sz w:val="22"/>
        </w:rPr>
        <w:t xml:space="preserve"> testing is likely easy to interpret and advised that any discordance</w:t>
      </w:r>
      <w:r w:rsidR="006C08DF">
        <w:rPr>
          <w:rFonts w:ascii="Franklin Gothic Book" w:hAnsi="Franklin Gothic Book"/>
          <w:sz w:val="22"/>
        </w:rPr>
        <w:t xml:space="preserve"> due to lack of reference standard</w:t>
      </w:r>
      <w:r w:rsidR="00C20ECE">
        <w:rPr>
          <w:rFonts w:ascii="Franklin Gothic Book" w:hAnsi="Franklin Gothic Book"/>
          <w:sz w:val="22"/>
        </w:rPr>
        <w:t xml:space="preserve"> and</w:t>
      </w:r>
      <w:r w:rsidR="006C08DF">
        <w:rPr>
          <w:rFonts w:ascii="Franklin Gothic Book" w:hAnsi="Franklin Gothic Book"/>
          <w:sz w:val="22"/>
        </w:rPr>
        <w:t xml:space="preserve"> borderline results </w:t>
      </w:r>
      <w:r w:rsidR="004B1D3A">
        <w:rPr>
          <w:rFonts w:ascii="Franklin Gothic Book" w:hAnsi="Franklin Gothic Book"/>
          <w:sz w:val="22"/>
        </w:rPr>
        <w:t xml:space="preserve">could </w:t>
      </w:r>
      <w:r w:rsidR="006C08DF">
        <w:rPr>
          <w:rFonts w:ascii="Franklin Gothic Book" w:hAnsi="Franklin Gothic Book"/>
          <w:sz w:val="22"/>
        </w:rPr>
        <w:t xml:space="preserve">be confirmed by a second pathologist.  </w:t>
      </w:r>
    </w:p>
    <w:p w14:paraId="352C216E" w14:textId="6C28B2DB" w:rsidR="00B42BAF" w:rsidRPr="00F54A53" w:rsidRDefault="007846D3" w:rsidP="00B42BAF">
      <w:pPr>
        <w:rPr>
          <w:rFonts w:ascii="Franklin Gothic Book" w:hAnsi="Franklin Gothic Book"/>
          <w:sz w:val="22"/>
        </w:rPr>
      </w:pPr>
      <w:r>
        <w:rPr>
          <w:rFonts w:ascii="Franklin Gothic Book" w:hAnsi="Franklin Gothic Book"/>
          <w:sz w:val="22"/>
        </w:rPr>
        <w:t xml:space="preserve">MSAC noted evidence for predictive value of </w:t>
      </w:r>
      <w:r w:rsidR="00013B55" w:rsidRPr="00013B55">
        <w:rPr>
          <w:rFonts w:ascii="Franklin Gothic Book" w:hAnsi="Franklin Gothic Book"/>
          <w:sz w:val="22"/>
        </w:rPr>
        <w:t>the FRα biomarker for MIRV treatment effect</w:t>
      </w:r>
      <w:r w:rsidR="00013B55">
        <w:rPr>
          <w:rFonts w:ascii="Franklin Gothic Book" w:hAnsi="Franklin Gothic Book"/>
          <w:sz w:val="22"/>
        </w:rPr>
        <w:t xml:space="preserve"> from data in</w:t>
      </w:r>
      <w:r w:rsidR="00013B55" w:rsidRPr="00013B55">
        <w:rPr>
          <w:rFonts w:ascii="Franklin Gothic Book" w:hAnsi="Franklin Gothic Book"/>
          <w:sz w:val="22"/>
        </w:rPr>
        <w:t xml:space="preserve"> MIRASOL and FORWARD-I</w:t>
      </w:r>
      <w:r w:rsidR="00013B55">
        <w:rPr>
          <w:rFonts w:ascii="Franklin Gothic Book" w:hAnsi="Franklin Gothic Book"/>
          <w:sz w:val="22"/>
        </w:rPr>
        <w:t xml:space="preserve"> trials</w:t>
      </w:r>
      <w:r w:rsidR="009F567E">
        <w:rPr>
          <w:rFonts w:ascii="Franklin Gothic Book" w:hAnsi="Franklin Gothic Book"/>
          <w:sz w:val="22"/>
        </w:rPr>
        <w:t xml:space="preserve"> </w:t>
      </w:r>
      <w:r w:rsidR="008C5AE5" w:rsidRPr="008C5AE5">
        <w:rPr>
          <w:rFonts w:ascii="Franklin Gothic Book" w:hAnsi="Franklin Gothic Book"/>
          <w:sz w:val="22"/>
        </w:rPr>
        <w:t>which indicate</w:t>
      </w:r>
      <w:r w:rsidR="009F567E">
        <w:rPr>
          <w:rFonts w:ascii="Franklin Gothic Book" w:hAnsi="Franklin Gothic Book"/>
          <w:sz w:val="22"/>
        </w:rPr>
        <w:t>d</w:t>
      </w:r>
      <w:r w:rsidR="008C5AE5" w:rsidRPr="008C5AE5">
        <w:rPr>
          <w:rFonts w:ascii="Franklin Gothic Book" w:hAnsi="Franklin Gothic Book"/>
          <w:sz w:val="22"/>
        </w:rPr>
        <w:t xml:space="preserve"> high positive percent agreement, negative percent agreement, positive predictive value and negative predictive value</w:t>
      </w:r>
      <w:r w:rsidR="008147B6">
        <w:rPr>
          <w:rFonts w:ascii="Franklin Gothic Book" w:hAnsi="Franklin Gothic Book"/>
          <w:sz w:val="22"/>
        </w:rPr>
        <w:t>.</w:t>
      </w:r>
      <w:r w:rsidR="008C5AE5" w:rsidRPr="008C5AE5">
        <w:rPr>
          <w:rFonts w:ascii="Franklin Gothic Book" w:hAnsi="Franklin Gothic Book"/>
          <w:sz w:val="22"/>
        </w:rPr>
        <w:t xml:space="preserve"> </w:t>
      </w:r>
      <w:r w:rsidR="00013B55">
        <w:rPr>
          <w:rFonts w:ascii="Franklin Gothic Book" w:hAnsi="Franklin Gothic Book"/>
          <w:sz w:val="22"/>
        </w:rPr>
        <w:t xml:space="preserve">However, </w:t>
      </w:r>
      <w:r w:rsidR="00D96B68">
        <w:rPr>
          <w:rFonts w:ascii="Franklin Gothic Book" w:hAnsi="Franklin Gothic Book"/>
          <w:sz w:val="22"/>
        </w:rPr>
        <w:t xml:space="preserve">MSAC also </w:t>
      </w:r>
      <w:r w:rsidR="00902549">
        <w:rPr>
          <w:rFonts w:ascii="Franklin Gothic Book" w:hAnsi="Franklin Gothic Book"/>
          <w:sz w:val="22"/>
        </w:rPr>
        <w:t>noted</w:t>
      </w:r>
      <w:r w:rsidR="00E548D5">
        <w:rPr>
          <w:rFonts w:ascii="Franklin Gothic Book" w:hAnsi="Franklin Gothic Book"/>
          <w:sz w:val="22"/>
        </w:rPr>
        <w:t xml:space="preserve"> </w:t>
      </w:r>
      <w:r w:rsidR="004A761C">
        <w:rPr>
          <w:rFonts w:ascii="Franklin Gothic Book" w:hAnsi="Franklin Gothic Book"/>
          <w:sz w:val="22"/>
        </w:rPr>
        <w:t xml:space="preserve">there was a high </w:t>
      </w:r>
      <w:r w:rsidR="00E548D5">
        <w:rPr>
          <w:rFonts w:ascii="Franklin Gothic Book" w:hAnsi="Franklin Gothic Book"/>
          <w:sz w:val="22"/>
        </w:rPr>
        <w:t xml:space="preserve">risk of bias in </w:t>
      </w:r>
      <w:r w:rsidR="003144A1">
        <w:rPr>
          <w:rFonts w:ascii="Franklin Gothic Book" w:hAnsi="Franklin Gothic Book"/>
          <w:sz w:val="22"/>
        </w:rPr>
        <w:t>the</w:t>
      </w:r>
      <w:r w:rsidR="00E548D5" w:rsidRPr="00F54A53">
        <w:rPr>
          <w:rFonts w:ascii="Franklin Gothic Book" w:hAnsi="Franklin Gothic Book"/>
          <w:sz w:val="22"/>
        </w:rPr>
        <w:t xml:space="preserve"> linked evidence approach</w:t>
      </w:r>
      <w:r w:rsidR="00E548D5">
        <w:rPr>
          <w:rFonts w:ascii="Franklin Gothic Book" w:hAnsi="Franklin Gothic Book"/>
          <w:sz w:val="22"/>
        </w:rPr>
        <w:t xml:space="preserve"> </w:t>
      </w:r>
      <w:r w:rsidR="00C72C7A">
        <w:rPr>
          <w:rFonts w:ascii="Franklin Gothic Book" w:hAnsi="Franklin Gothic Book"/>
          <w:sz w:val="22"/>
        </w:rPr>
        <w:t>due to the</w:t>
      </w:r>
      <w:r w:rsidR="003144A1">
        <w:rPr>
          <w:rFonts w:ascii="Franklin Gothic Book" w:hAnsi="Franklin Gothic Book"/>
          <w:sz w:val="22"/>
        </w:rPr>
        <w:t xml:space="preserve"> </w:t>
      </w:r>
      <w:r w:rsidR="005572AD">
        <w:rPr>
          <w:rFonts w:ascii="Franklin Gothic Book" w:hAnsi="Franklin Gothic Book"/>
          <w:sz w:val="22"/>
        </w:rPr>
        <w:t>inclu</w:t>
      </w:r>
      <w:r w:rsidR="00C72C7A">
        <w:rPr>
          <w:rFonts w:ascii="Franklin Gothic Book" w:hAnsi="Franklin Gothic Book"/>
          <w:sz w:val="22"/>
        </w:rPr>
        <w:t>sion of</w:t>
      </w:r>
      <w:r w:rsidR="003144A1">
        <w:rPr>
          <w:rFonts w:ascii="Franklin Gothic Book" w:hAnsi="Franklin Gothic Book"/>
          <w:sz w:val="22"/>
        </w:rPr>
        <w:t xml:space="preserve"> </w:t>
      </w:r>
      <w:r w:rsidR="003144A1" w:rsidRPr="00F54A53">
        <w:rPr>
          <w:rFonts w:ascii="Franklin Gothic Book" w:hAnsi="Franklin Gothic Book"/>
          <w:sz w:val="22"/>
        </w:rPr>
        <w:t xml:space="preserve">retrospective studies </w:t>
      </w:r>
      <w:r w:rsidR="00E548D5">
        <w:rPr>
          <w:rFonts w:ascii="Franklin Gothic Book" w:hAnsi="Franklin Gothic Book"/>
          <w:sz w:val="22"/>
        </w:rPr>
        <w:t xml:space="preserve">in the </w:t>
      </w:r>
      <w:r w:rsidR="003144A1">
        <w:rPr>
          <w:rFonts w:ascii="Franklin Gothic Book" w:hAnsi="Franklin Gothic Book"/>
          <w:sz w:val="22"/>
        </w:rPr>
        <w:t>applicant developed assessment report (ADAR)</w:t>
      </w:r>
      <w:r w:rsidR="00902549">
        <w:rPr>
          <w:rFonts w:ascii="Franklin Gothic Book" w:hAnsi="Franklin Gothic Book"/>
          <w:sz w:val="22"/>
        </w:rPr>
        <w:t xml:space="preserve">. Furthermore, </w:t>
      </w:r>
      <w:r w:rsidR="00902549" w:rsidRPr="00F54A53">
        <w:rPr>
          <w:rFonts w:ascii="Franklin Gothic Book" w:hAnsi="Franklin Gothic Book"/>
          <w:sz w:val="22"/>
        </w:rPr>
        <w:t xml:space="preserve">MSAC noted that the submission did not adequately consider </w:t>
      </w:r>
      <w:r w:rsidR="00447621">
        <w:rPr>
          <w:rFonts w:ascii="Franklin Gothic Book" w:hAnsi="Franklin Gothic Book"/>
          <w:sz w:val="22"/>
        </w:rPr>
        <w:t xml:space="preserve">the </w:t>
      </w:r>
      <w:r w:rsidR="00902549" w:rsidRPr="00F54A53">
        <w:rPr>
          <w:rFonts w:ascii="Franklin Gothic Book" w:hAnsi="Franklin Gothic Book"/>
          <w:sz w:val="22"/>
        </w:rPr>
        <w:t xml:space="preserve">test performance, particularly </w:t>
      </w:r>
      <w:r w:rsidR="00447621">
        <w:rPr>
          <w:rFonts w:ascii="Franklin Gothic Book" w:hAnsi="Franklin Gothic Book"/>
          <w:sz w:val="22"/>
        </w:rPr>
        <w:t>for</w:t>
      </w:r>
      <w:r w:rsidR="00902549" w:rsidRPr="00F54A53">
        <w:rPr>
          <w:rFonts w:ascii="Franklin Gothic Book" w:hAnsi="Franklin Gothic Book"/>
          <w:sz w:val="22"/>
        </w:rPr>
        <w:t xml:space="preserve"> false </w:t>
      </w:r>
      <w:r w:rsidR="00902549" w:rsidRPr="00F54A53">
        <w:rPr>
          <w:rFonts w:ascii="Franklin Gothic Book" w:hAnsi="Franklin Gothic Book"/>
          <w:sz w:val="22"/>
        </w:rPr>
        <w:lastRenderedPageBreak/>
        <w:t xml:space="preserve">positives (FPs) and false negatives (FNs). </w:t>
      </w:r>
      <w:r w:rsidR="00B42BAF" w:rsidRPr="00933E5F">
        <w:rPr>
          <w:rFonts w:ascii="Franklin Gothic Book" w:hAnsi="Franklin Gothic Book"/>
          <w:sz w:val="22"/>
        </w:rPr>
        <w:t>However, MSAC</w:t>
      </w:r>
      <w:r w:rsidR="00B42BAF" w:rsidRPr="00933E5F" w:rsidDel="00031944">
        <w:rPr>
          <w:rFonts w:ascii="Franklin Gothic Book" w:hAnsi="Franklin Gothic Book"/>
          <w:sz w:val="22"/>
        </w:rPr>
        <w:t xml:space="preserve"> </w:t>
      </w:r>
      <w:r w:rsidR="00B42BAF" w:rsidRPr="00933E5F">
        <w:rPr>
          <w:rFonts w:ascii="Franklin Gothic Book" w:hAnsi="Franklin Gothic Book"/>
          <w:sz w:val="22"/>
        </w:rPr>
        <w:t>considered that the FRα test would be straightforward to interpret, so the risk of FPs and FNs would be low.</w:t>
      </w:r>
    </w:p>
    <w:p w14:paraId="2378125B" w14:textId="0B13721C" w:rsidR="00510819" w:rsidRPr="00F54A53" w:rsidRDefault="00510819" w:rsidP="00510819">
      <w:pPr>
        <w:rPr>
          <w:rFonts w:ascii="Franklin Gothic Book" w:hAnsi="Franklin Gothic Book"/>
          <w:sz w:val="22"/>
        </w:rPr>
      </w:pPr>
      <w:r w:rsidRPr="00F54A53">
        <w:rPr>
          <w:rFonts w:ascii="Franklin Gothic Book" w:hAnsi="Franklin Gothic Book"/>
          <w:sz w:val="22"/>
        </w:rPr>
        <w:t xml:space="preserve">MSAC noted the need for ocular health management in patients receiving MIRV </w:t>
      </w:r>
      <w:r w:rsidR="001F53D1">
        <w:rPr>
          <w:rFonts w:ascii="Franklin Gothic Book" w:hAnsi="Franklin Gothic Book"/>
          <w:sz w:val="22"/>
        </w:rPr>
        <w:t xml:space="preserve">as there is a risk for </w:t>
      </w:r>
      <w:r w:rsidR="00CD5A93">
        <w:rPr>
          <w:rFonts w:ascii="Franklin Gothic Book" w:hAnsi="Franklin Gothic Book"/>
          <w:sz w:val="22"/>
        </w:rPr>
        <w:t xml:space="preserve">treatment-related </w:t>
      </w:r>
      <w:r w:rsidR="009B65A4">
        <w:rPr>
          <w:rFonts w:ascii="Franklin Gothic Book" w:hAnsi="Franklin Gothic Book"/>
          <w:sz w:val="22"/>
        </w:rPr>
        <w:t xml:space="preserve">keratitis, </w:t>
      </w:r>
      <w:r w:rsidRPr="00F54A53">
        <w:rPr>
          <w:rFonts w:ascii="Franklin Gothic Book" w:hAnsi="Franklin Gothic Book"/>
          <w:sz w:val="22"/>
        </w:rPr>
        <w:t xml:space="preserve">and </w:t>
      </w:r>
      <w:r w:rsidR="007D1711">
        <w:rPr>
          <w:rFonts w:ascii="Franklin Gothic Book" w:hAnsi="Franklin Gothic Book"/>
          <w:sz w:val="22"/>
        </w:rPr>
        <w:t xml:space="preserve">that </w:t>
      </w:r>
      <w:r w:rsidR="00924591">
        <w:rPr>
          <w:rFonts w:ascii="Franklin Gothic Book" w:hAnsi="Franklin Gothic Book"/>
          <w:sz w:val="22"/>
        </w:rPr>
        <w:t xml:space="preserve">patient </w:t>
      </w:r>
      <w:r w:rsidR="00D21151">
        <w:rPr>
          <w:rFonts w:ascii="Franklin Gothic Book" w:hAnsi="Franklin Gothic Book"/>
          <w:sz w:val="22"/>
        </w:rPr>
        <w:t>e</w:t>
      </w:r>
      <w:r w:rsidR="00D66573" w:rsidRPr="00D66573">
        <w:rPr>
          <w:rFonts w:ascii="Franklin Gothic Book" w:hAnsi="Franklin Gothic Book"/>
          <w:sz w:val="22"/>
        </w:rPr>
        <w:t xml:space="preserve">ducation on </w:t>
      </w:r>
      <w:r w:rsidR="00F6681C">
        <w:rPr>
          <w:rFonts w:ascii="Franklin Gothic Book" w:hAnsi="Franklin Gothic Book"/>
          <w:sz w:val="22"/>
        </w:rPr>
        <w:t xml:space="preserve">the </w:t>
      </w:r>
      <w:r w:rsidR="00D66573" w:rsidRPr="00D66573">
        <w:rPr>
          <w:rFonts w:ascii="Franklin Gothic Book" w:hAnsi="Franklin Gothic Book"/>
          <w:sz w:val="22"/>
        </w:rPr>
        <w:t xml:space="preserve">requirement for eye checks and </w:t>
      </w:r>
      <w:r w:rsidR="00FE2D95">
        <w:rPr>
          <w:rFonts w:ascii="Franklin Gothic Book" w:hAnsi="Franklin Gothic Book"/>
          <w:sz w:val="22"/>
        </w:rPr>
        <w:t>available treatments</w:t>
      </w:r>
      <w:r w:rsidR="00D21151">
        <w:rPr>
          <w:rFonts w:ascii="Franklin Gothic Book" w:hAnsi="Franklin Gothic Book"/>
          <w:sz w:val="22"/>
        </w:rPr>
        <w:t xml:space="preserve"> was </w:t>
      </w:r>
      <w:r w:rsidR="00F91B14">
        <w:rPr>
          <w:rFonts w:ascii="Franklin Gothic Book" w:hAnsi="Franklin Gothic Book"/>
          <w:sz w:val="22"/>
        </w:rPr>
        <w:t>essential</w:t>
      </w:r>
      <w:r w:rsidRPr="00F54A53">
        <w:rPr>
          <w:rFonts w:ascii="Franklin Gothic Book" w:hAnsi="Franklin Gothic Book"/>
          <w:sz w:val="22"/>
        </w:rPr>
        <w:t>.</w:t>
      </w:r>
    </w:p>
    <w:p w14:paraId="00B4C330" w14:textId="58FF89EC" w:rsidR="00794900" w:rsidRDefault="00F54A53" w:rsidP="00794900">
      <w:pPr>
        <w:spacing w:before="240"/>
      </w:pPr>
      <w:r w:rsidRPr="00F54A53">
        <w:rPr>
          <w:rFonts w:ascii="Franklin Gothic Book" w:hAnsi="Franklin Gothic Book"/>
          <w:sz w:val="22"/>
        </w:rPr>
        <w:t xml:space="preserve">MSAC </w:t>
      </w:r>
      <w:r w:rsidR="002B3F22">
        <w:rPr>
          <w:rFonts w:ascii="Franklin Gothic Book" w:hAnsi="Franklin Gothic Book"/>
          <w:sz w:val="22"/>
        </w:rPr>
        <w:t xml:space="preserve">was inclined to </w:t>
      </w:r>
      <w:r w:rsidR="002402CA">
        <w:rPr>
          <w:rFonts w:ascii="Franklin Gothic Book" w:hAnsi="Franklin Gothic Book"/>
          <w:sz w:val="22"/>
        </w:rPr>
        <w:t>support</w:t>
      </w:r>
      <w:r w:rsidR="002402CA" w:rsidRPr="00F54A53">
        <w:rPr>
          <w:rFonts w:ascii="Franklin Gothic Book" w:hAnsi="Franklin Gothic Book"/>
          <w:sz w:val="22"/>
        </w:rPr>
        <w:t xml:space="preserve"> </w:t>
      </w:r>
      <w:r w:rsidRPr="00F54A53">
        <w:rPr>
          <w:rFonts w:ascii="Franklin Gothic Book" w:hAnsi="Franklin Gothic Book"/>
          <w:sz w:val="22"/>
        </w:rPr>
        <w:t>the following MBS item descriptor</w:t>
      </w:r>
      <w:r w:rsidR="000057AB">
        <w:rPr>
          <w:rFonts w:ascii="Franklin Gothic Book" w:hAnsi="Franklin Gothic Book"/>
          <w:sz w:val="22"/>
        </w:rPr>
        <w:t xml:space="preserve"> (</w:t>
      </w:r>
      <w:r w:rsidR="000057AB" w:rsidRPr="00F56A2F">
        <w:rPr>
          <w:rFonts w:ascii="Franklin Gothic Book" w:hAnsi="Franklin Gothic Book"/>
          <w:sz w:val="22"/>
        </w:rPr>
        <w:fldChar w:fldCharType="begin"/>
      </w:r>
      <w:r w:rsidR="000057AB" w:rsidRPr="00F56A2F">
        <w:rPr>
          <w:rFonts w:ascii="Franklin Gothic Book" w:hAnsi="Franklin Gothic Book"/>
          <w:sz w:val="22"/>
        </w:rPr>
        <w:instrText xml:space="preserve"> REF _Ref205560448 \h </w:instrText>
      </w:r>
      <w:r w:rsidR="00F56A2F" w:rsidRPr="00F56A2F">
        <w:rPr>
          <w:rFonts w:ascii="Franklin Gothic Book" w:hAnsi="Franklin Gothic Book"/>
          <w:sz w:val="22"/>
        </w:rPr>
        <w:instrText xml:space="preserve"> \* MERGEFORMAT </w:instrText>
      </w:r>
      <w:r w:rsidR="000057AB" w:rsidRPr="00F56A2F">
        <w:rPr>
          <w:rFonts w:ascii="Franklin Gothic Book" w:hAnsi="Franklin Gothic Book"/>
          <w:sz w:val="22"/>
        </w:rPr>
      </w:r>
      <w:r w:rsidR="000057AB" w:rsidRPr="00F56A2F">
        <w:rPr>
          <w:rFonts w:ascii="Franklin Gothic Book" w:hAnsi="Franklin Gothic Book"/>
          <w:sz w:val="22"/>
        </w:rPr>
        <w:fldChar w:fldCharType="separate"/>
      </w:r>
      <w:r w:rsidR="000057AB" w:rsidRPr="00F56A2F">
        <w:rPr>
          <w:rFonts w:ascii="Franklin Gothic Book" w:hAnsi="Franklin Gothic Book"/>
          <w:sz w:val="22"/>
        </w:rPr>
        <w:fldChar w:fldCharType="end"/>
      </w:r>
      <w:r w:rsidR="005E37CF" w:rsidRPr="009833B3">
        <w:rPr>
          <w:rFonts w:ascii="Franklin Gothic Book" w:hAnsi="Franklin Gothic Book"/>
          <w:sz w:val="22"/>
        </w:rPr>
        <w:fldChar w:fldCharType="begin"/>
      </w:r>
      <w:r w:rsidR="005E37CF" w:rsidRPr="009833B3">
        <w:rPr>
          <w:rFonts w:ascii="Franklin Gothic Book" w:hAnsi="Franklin Gothic Book"/>
          <w:sz w:val="22"/>
        </w:rPr>
        <w:instrText xml:space="preserve"> REF _Ref205822219 \h </w:instrText>
      </w:r>
      <w:r w:rsidR="009833B3" w:rsidRPr="009833B3">
        <w:rPr>
          <w:rFonts w:ascii="Franklin Gothic Book" w:hAnsi="Franklin Gothic Book"/>
          <w:sz w:val="22"/>
        </w:rPr>
        <w:instrText xml:space="preserve"> \* MERGEFORMAT </w:instrText>
      </w:r>
      <w:r w:rsidR="005E37CF" w:rsidRPr="009833B3">
        <w:rPr>
          <w:rFonts w:ascii="Franklin Gothic Book" w:hAnsi="Franklin Gothic Book"/>
          <w:sz w:val="22"/>
        </w:rPr>
      </w:r>
      <w:r w:rsidR="005E37CF" w:rsidRPr="009833B3">
        <w:rPr>
          <w:rFonts w:ascii="Franklin Gothic Book" w:hAnsi="Franklin Gothic Book"/>
          <w:sz w:val="22"/>
        </w:rPr>
        <w:fldChar w:fldCharType="separate"/>
      </w:r>
      <w:r w:rsidR="005E37CF" w:rsidRPr="009833B3">
        <w:rPr>
          <w:rFonts w:ascii="Franklin Gothic Book" w:hAnsi="Franklin Gothic Book"/>
          <w:sz w:val="22"/>
        </w:rPr>
        <w:t xml:space="preserve">Table </w:t>
      </w:r>
      <w:r w:rsidR="005E37CF" w:rsidRPr="009833B3">
        <w:rPr>
          <w:rFonts w:ascii="Franklin Gothic Book" w:hAnsi="Franklin Gothic Book"/>
          <w:noProof/>
          <w:sz w:val="22"/>
        </w:rPr>
        <w:t>1</w:t>
      </w:r>
      <w:r w:rsidR="005E37CF" w:rsidRPr="009833B3">
        <w:rPr>
          <w:rFonts w:ascii="Franklin Gothic Book" w:hAnsi="Franklin Gothic Book"/>
          <w:sz w:val="22"/>
        </w:rPr>
        <w:fldChar w:fldCharType="end"/>
      </w:r>
      <w:r w:rsidR="00F56A2F">
        <w:rPr>
          <w:rFonts w:ascii="Franklin Gothic Book" w:hAnsi="Franklin Gothic Book"/>
          <w:sz w:val="22"/>
        </w:rPr>
        <w:t>)</w:t>
      </w:r>
      <w:r w:rsidR="007119E6">
        <w:rPr>
          <w:rFonts w:ascii="Franklin Gothic Book" w:hAnsi="Franklin Gothic Book"/>
          <w:sz w:val="22"/>
        </w:rPr>
        <w:t xml:space="preserve"> and</w:t>
      </w:r>
      <w:r w:rsidRPr="00F54A53">
        <w:rPr>
          <w:rFonts w:ascii="Franklin Gothic Book" w:hAnsi="Franklin Gothic Book"/>
          <w:sz w:val="22"/>
        </w:rPr>
        <w:t xml:space="preserve"> agreed with the revised fee of $112 (to align with </w:t>
      </w:r>
      <w:r w:rsidR="0006643B" w:rsidRPr="0006643B">
        <w:rPr>
          <w:rFonts w:ascii="Franklin Gothic Book" w:hAnsi="Franklin Gothic Book"/>
          <w:sz w:val="22"/>
        </w:rPr>
        <w:t>Claudin 18 IHC testing</w:t>
      </w:r>
      <w:r w:rsidR="0006643B">
        <w:t xml:space="preserve"> </w:t>
      </w:r>
      <w:r w:rsidR="29FE695B">
        <w:t xml:space="preserve">resulting </w:t>
      </w:r>
      <w:r w:rsidR="0006643B" w:rsidRPr="0006643B">
        <w:rPr>
          <w:rFonts w:ascii="Franklin Gothic Book" w:hAnsi="Franklin Gothic Book"/>
          <w:sz w:val="22"/>
        </w:rPr>
        <w:t>from</w:t>
      </w:r>
      <w:r w:rsidR="0006643B" w:rsidRPr="15DD5A08">
        <w:rPr>
          <w:rFonts w:ascii="Franklin Gothic Book" w:hAnsi="Franklin Gothic Book"/>
          <w:sz w:val="22"/>
        </w:rPr>
        <w:t xml:space="preserve"> </w:t>
      </w:r>
      <w:r w:rsidR="50F2A5D6" w:rsidRPr="15DD5A08">
        <w:rPr>
          <w:rFonts w:ascii="Franklin Gothic Book" w:hAnsi="Franklin Gothic Book"/>
          <w:sz w:val="22"/>
        </w:rPr>
        <w:t>consideration of</w:t>
      </w:r>
      <w:r w:rsidR="0006643B" w:rsidRPr="0006643B">
        <w:rPr>
          <w:rFonts w:ascii="Franklin Gothic Book" w:hAnsi="Franklin Gothic Book"/>
          <w:sz w:val="22"/>
        </w:rPr>
        <w:t xml:space="preserve"> MSAC application 1767</w:t>
      </w:r>
      <w:r w:rsidR="002A4881">
        <w:rPr>
          <w:rStyle w:val="FootnoteReference"/>
          <w:rFonts w:ascii="Franklin Gothic Book" w:hAnsi="Franklin Gothic Book"/>
          <w:sz w:val="22"/>
        </w:rPr>
        <w:footnoteReference w:id="4"/>
      </w:r>
      <w:r w:rsidRPr="0006643B">
        <w:rPr>
          <w:rFonts w:ascii="Franklin Gothic Book" w:hAnsi="Franklin Gothic Book"/>
          <w:sz w:val="22"/>
        </w:rPr>
        <w:t>)</w:t>
      </w:r>
      <w:r w:rsidRPr="00F54A53">
        <w:rPr>
          <w:rFonts w:ascii="Franklin Gothic Book" w:hAnsi="Franklin Gothic Book"/>
          <w:sz w:val="22"/>
        </w:rPr>
        <w:t xml:space="preserve"> and </w:t>
      </w:r>
      <w:r w:rsidR="2F405B59" w:rsidRPr="15DD5A08">
        <w:rPr>
          <w:rFonts w:ascii="Franklin Gothic Book" w:hAnsi="Franklin Gothic Book"/>
          <w:sz w:val="22"/>
        </w:rPr>
        <w:t xml:space="preserve">recommended </w:t>
      </w:r>
      <w:r w:rsidRPr="00F54A53">
        <w:rPr>
          <w:rFonts w:ascii="Franklin Gothic Book" w:hAnsi="Franklin Gothic Book"/>
          <w:sz w:val="22"/>
        </w:rPr>
        <w:t>that the item should be pathologist determinable</w:t>
      </w:r>
      <w:r w:rsidR="000057AB">
        <w:rPr>
          <w:rFonts w:ascii="Franklin Gothic Book" w:hAnsi="Franklin Gothic Book"/>
          <w:sz w:val="22"/>
        </w:rPr>
        <w:t>.</w:t>
      </w:r>
      <w:r w:rsidR="00794900">
        <w:rPr>
          <w:rFonts w:ascii="Franklin Gothic Book" w:hAnsi="Franklin Gothic Book"/>
          <w:sz w:val="22"/>
        </w:rPr>
        <w:t xml:space="preserve"> Therefore,</w:t>
      </w:r>
      <w:r w:rsidR="00794900" w:rsidRPr="15DD5A08">
        <w:rPr>
          <w:rFonts w:ascii="Franklin Gothic Book" w:eastAsia="Franklin Gothic Book" w:hAnsi="Franklin Gothic Book" w:cs="Franklin Gothic Book"/>
          <w:sz w:val="22"/>
        </w:rPr>
        <w:t xml:space="preserve"> a practice note (i.e</w:t>
      </w:r>
      <w:r w:rsidR="00C7386D">
        <w:rPr>
          <w:rFonts w:ascii="Franklin Gothic Book" w:eastAsia="Franklin Gothic Book" w:hAnsi="Franklin Gothic Book" w:cs="Franklin Gothic Book"/>
          <w:sz w:val="22"/>
        </w:rPr>
        <w:t>.</w:t>
      </w:r>
      <w:r w:rsidR="00794900" w:rsidRPr="15DD5A08">
        <w:rPr>
          <w:rFonts w:ascii="Franklin Gothic Book" w:eastAsia="Franklin Gothic Book" w:hAnsi="Franklin Gothic Book" w:cs="Franklin Gothic Book"/>
          <w:sz w:val="22"/>
        </w:rPr>
        <w:t xml:space="preserve"> PN.1.2) would be appropriate to include in the item descriptor to support the proposed MBS item descriptor.</w:t>
      </w:r>
    </w:p>
    <w:p w14:paraId="662B0606" w14:textId="2061AFFC" w:rsidR="002402CA" w:rsidRPr="002A4881" w:rsidRDefault="005E37CF" w:rsidP="005E37CF">
      <w:pPr>
        <w:pStyle w:val="Caption"/>
        <w:rPr>
          <w:color w:val="auto"/>
          <w:szCs w:val="20"/>
        </w:rPr>
      </w:pPr>
      <w:bookmarkStart w:id="6" w:name="_Ref205822219"/>
      <w:bookmarkStart w:id="7" w:name="_Ref205560448"/>
      <w:r>
        <w:t xml:space="preserve">Table </w:t>
      </w:r>
      <w:r>
        <w:fldChar w:fldCharType="begin"/>
      </w:r>
      <w:r>
        <w:instrText xml:space="preserve"> SEQ Table \* ARABIC </w:instrText>
      </w:r>
      <w:r>
        <w:fldChar w:fldCharType="separate"/>
      </w:r>
      <w:r>
        <w:rPr>
          <w:noProof/>
        </w:rPr>
        <w:t>1</w:t>
      </w:r>
      <w:r>
        <w:rPr>
          <w:noProof/>
        </w:rPr>
        <w:fldChar w:fldCharType="end"/>
      </w:r>
      <w:bookmarkEnd w:id="6"/>
      <w:r>
        <w:t xml:space="preserve">  </w:t>
      </w:r>
      <w:bookmarkEnd w:id="7"/>
      <w:r w:rsidR="002A4881">
        <w:t xml:space="preserve">MBS </w:t>
      </w:r>
      <w:r w:rsidR="000057AB">
        <w:t>item descriptor</w:t>
      </w:r>
      <w:r w:rsidR="00B5698D">
        <w:t xml:space="preserve"> (MSAC inclined to support)</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6"/>
      </w:tblGrid>
      <w:tr w:rsidR="002402CA" w:rsidRPr="00B31C72" w14:paraId="70E70EC9" w14:textId="77777777" w:rsidTr="66D63FD7">
        <w:trPr>
          <w:trHeight w:val="390"/>
        </w:trPr>
        <w:tc>
          <w:tcPr>
            <w:tcW w:w="13035" w:type="dxa"/>
            <w:tcBorders>
              <w:top w:val="single" w:sz="4" w:space="0" w:color="auto"/>
              <w:left w:val="single" w:sz="4" w:space="0" w:color="auto"/>
              <w:bottom w:val="single" w:sz="4" w:space="0" w:color="auto"/>
              <w:right w:val="single" w:sz="4" w:space="0" w:color="auto"/>
            </w:tcBorders>
            <w:hideMark/>
          </w:tcPr>
          <w:p w14:paraId="1B92FC55" w14:textId="77777777" w:rsidR="002402CA" w:rsidRPr="00B31C72" w:rsidRDefault="002402CA">
            <w:pPr>
              <w:spacing w:before="40" w:after="40"/>
              <w:rPr>
                <w:rFonts w:ascii="Arial Narrow" w:hAnsi="Arial Narrow"/>
                <w:sz w:val="20"/>
                <w:szCs w:val="20"/>
              </w:rPr>
            </w:pPr>
            <w:r w:rsidRPr="00B31C72">
              <w:rPr>
                <w:rFonts w:ascii="Arial Narrow" w:hAnsi="Arial Narrow"/>
                <w:sz w:val="20"/>
                <w:szCs w:val="20"/>
              </w:rPr>
              <w:t>Category 6 – Pathology Services</w:t>
            </w:r>
          </w:p>
        </w:tc>
      </w:tr>
      <w:tr w:rsidR="002402CA" w:rsidRPr="00B31C72" w14:paraId="47F55313" w14:textId="77777777" w:rsidTr="66D63FD7">
        <w:trPr>
          <w:trHeight w:val="2527"/>
        </w:trPr>
        <w:tc>
          <w:tcPr>
            <w:tcW w:w="13035" w:type="dxa"/>
            <w:tcBorders>
              <w:top w:val="single" w:sz="4" w:space="0" w:color="auto"/>
              <w:left w:val="single" w:sz="4" w:space="0" w:color="auto"/>
              <w:bottom w:val="single" w:sz="4" w:space="0" w:color="auto"/>
              <w:right w:val="single" w:sz="4" w:space="0" w:color="auto"/>
            </w:tcBorders>
            <w:hideMark/>
          </w:tcPr>
          <w:p w14:paraId="6B2F20EA" w14:textId="77777777" w:rsidR="002402CA" w:rsidRPr="00B31C72" w:rsidRDefault="002402CA">
            <w:pPr>
              <w:rPr>
                <w:rFonts w:ascii="Arial Narrow" w:hAnsi="Arial Narrow"/>
                <w:sz w:val="20"/>
                <w:szCs w:val="20"/>
                <w:lang w:val="en-US"/>
              </w:rPr>
            </w:pPr>
            <w:r w:rsidRPr="00B31C72">
              <w:rPr>
                <w:rFonts w:ascii="Arial Narrow" w:hAnsi="Arial Narrow"/>
                <w:sz w:val="20"/>
                <w:szCs w:val="20"/>
              </w:rPr>
              <w:t>MBS item XXXX</w:t>
            </w:r>
          </w:p>
          <w:p w14:paraId="0A0EA06E" w14:textId="77777777" w:rsidR="002402CA" w:rsidRPr="00B31C72" w:rsidRDefault="002402CA">
            <w:pPr>
              <w:rPr>
                <w:rFonts w:ascii="Arial Narrow" w:hAnsi="Arial Narrow"/>
                <w:sz w:val="20"/>
                <w:szCs w:val="20"/>
                <w:lang w:val="en-US"/>
              </w:rPr>
            </w:pPr>
            <w:r w:rsidRPr="66D63FD7">
              <w:rPr>
                <w:rFonts w:ascii="Arial Narrow" w:hAnsi="Arial Narrow"/>
                <w:sz w:val="20"/>
                <w:szCs w:val="20"/>
                <w:lang w:val="en-US"/>
              </w:rPr>
              <w:t>A test of tumour tissue using immunohistochemistry for the detection of membrane folate receptor alpha (FRα) tumour expression status, requested by a specialist or consultant physician, if the test is:</w:t>
            </w:r>
          </w:p>
          <w:p w14:paraId="6E2D5355" w14:textId="77777777" w:rsidR="002402CA" w:rsidRPr="00B31C72" w:rsidRDefault="002402CA" w:rsidP="00AE70BD">
            <w:pPr>
              <w:numPr>
                <w:ilvl w:val="0"/>
                <w:numId w:val="19"/>
              </w:numPr>
              <w:spacing w:line="259" w:lineRule="auto"/>
              <w:jc w:val="left"/>
              <w:rPr>
                <w:rFonts w:ascii="Arial Narrow" w:hAnsi="Arial Narrow"/>
                <w:sz w:val="20"/>
                <w:szCs w:val="20"/>
                <w:lang w:val="en-US"/>
              </w:rPr>
            </w:pPr>
            <w:r w:rsidRPr="00B31C72">
              <w:rPr>
                <w:rFonts w:ascii="Arial Narrow" w:hAnsi="Arial Narrow"/>
                <w:sz w:val="20"/>
                <w:szCs w:val="20"/>
                <w:lang w:val="en-US"/>
              </w:rPr>
              <w:t>in a patient with high-grade serous epithelial ovarian, fallopian tube or primary peritoneal, high-grade endometrioid, or undifferentiated epithelial ovarian cancer; and</w:t>
            </w:r>
            <w:r w:rsidRPr="00B31C72">
              <w:rPr>
                <w:rFonts w:ascii="Arial Narrow" w:hAnsi="Arial Narrow"/>
                <w:sz w:val="20"/>
                <w:szCs w:val="20"/>
              </w:rPr>
              <w:t> </w:t>
            </w:r>
            <w:r w:rsidRPr="00B31C72">
              <w:rPr>
                <w:rFonts w:ascii="Arial" w:hAnsi="Arial" w:cs="Arial"/>
                <w:sz w:val="20"/>
                <w:szCs w:val="20"/>
                <w:lang w:val="en-US"/>
              </w:rPr>
              <w:t>​</w:t>
            </w:r>
          </w:p>
          <w:p w14:paraId="5BE2C6A2" w14:textId="77777777" w:rsidR="002402CA" w:rsidRPr="00B31C72" w:rsidRDefault="002402CA" w:rsidP="00AE70BD">
            <w:pPr>
              <w:numPr>
                <w:ilvl w:val="0"/>
                <w:numId w:val="19"/>
              </w:numPr>
              <w:spacing w:line="259" w:lineRule="auto"/>
              <w:jc w:val="left"/>
              <w:rPr>
                <w:rFonts w:ascii="Arial Narrow" w:hAnsi="Arial Narrow"/>
                <w:sz w:val="20"/>
                <w:szCs w:val="20"/>
                <w:lang w:val="en-US"/>
              </w:rPr>
            </w:pPr>
            <w:r w:rsidRPr="00B31C72">
              <w:rPr>
                <w:rFonts w:ascii="Arial Narrow" w:hAnsi="Arial Narrow"/>
                <w:sz w:val="20"/>
                <w:szCs w:val="20"/>
                <w:lang w:val="en-US"/>
              </w:rPr>
              <w:t>to determine eligibility for a relevant treatment under the Pharmaceutical Benefits Scheme.</w:t>
            </w:r>
          </w:p>
          <w:p w14:paraId="25EB1E47" w14:textId="77777777" w:rsidR="002402CA" w:rsidRPr="00B31C72" w:rsidRDefault="002402CA">
            <w:pPr>
              <w:rPr>
                <w:rFonts w:ascii="Arial Narrow" w:hAnsi="Arial Narrow"/>
                <w:sz w:val="20"/>
                <w:szCs w:val="20"/>
                <w:lang w:val="en-US"/>
              </w:rPr>
            </w:pPr>
            <w:r w:rsidRPr="00B31C72">
              <w:rPr>
                <w:rFonts w:ascii="Arial Narrow" w:hAnsi="Arial Narrow"/>
                <w:sz w:val="20"/>
                <w:szCs w:val="20"/>
                <w:lang w:val="en-US"/>
              </w:rPr>
              <w:t>(See PN.1.2 of explanatory notes to this Category)</w:t>
            </w:r>
          </w:p>
        </w:tc>
      </w:tr>
      <w:tr w:rsidR="002402CA" w:rsidRPr="00B31C72" w14:paraId="4D22F73B" w14:textId="77777777" w:rsidTr="66D63FD7">
        <w:trPr>
          <w:trHeight w:val="390"/>
        </w:trPr>
        <w:tc>
          <w:tcPr>
            <w:tcW w:w="13035" w:type="dxa"/>
            <w:tcBorders>
              <w:top w:val="single" w:sz="4" w:space="0" w:color="auto"/>
              <w:left w:val="single" w:sz="4" w:space="0" w:color="auto"/>
              <w:bottom w:val="single" w:sz="4" w:space="0" w:color="auto"/>
              <w:right w:val="single" w:sz="4" w:space="0" w:color="auto"/>
            </w:tcBorders>
            <w:hideMark/>
          </w:tcPr>
          <w:p w14:paraId="2980CC1B" w14:textId="77777777" w:rsidR="002402CA" w:rsidRPr="00B31C72" w:rsidRDefault="002402CA">
            <w:pPr>
              <w:spacing w:before="40" w:after="40"/>
              <w:rPr>
                <w:rFonts w:ascii="Arial Narrow" w:hAnsi="Arial Narrow"/>
                <w:sz w:val="20"/>
                <w:szCs w:val="20"/>
              </w:rPr>
            </w:pPr>
            <w:r w:rsidRPr="00B31C72">
              <w:rPr>
                <w:rFonts w:ascii="Arial Narrow" w:hAnsi="Arial Narrow"/>
                <w:sz w:val="20"/>
                <w:szCs w:val="20"/>
              </w:rPr>
              <w:t>Fee: $112.00 Benefit: 75% = $84.00; 85% = $95.20</w:t>
            </w:r>
          </w:p>
        </w:tc>
      </w:tr>
    </w:tbl>
    <w:p w14:paraId="7BE88738" w14:textId="56E20EAA" w:rsidR="00EF3138" w:rsidRPr="00F54A53" w:rsidRDefault="00EF3138" w:rsidP="00EF3138">
      <w:pPr>
        <w:rPr>
          <w:rFonts w:ascii="Franklin Gothic Book" w:hAnsi="Franklin Gothic Book"/>
          <w:sz w:val="22"/>
        </w:rPr>
      </w:pPr>
      <w:r w:rsidRPr="00F54A53">
        <w:rPr>
          <w:rFonts w:ascii="Franklin Gothic Book" w:hAnsi="Franklin Gothic Book"/>
          <w:sz w:val="22"/>
        </w:rPr>
        <w:t xml:space="preserve">MSAC noted the comparator was no </w:t>
      </w:r>
      <w:r w:rsidR="00F91B14" w:rsidRPr="00F91B14">
        <w:rPr>
          <w:rFonts w:ascii="Franklin Gothic Book" w:hAnsi="Franklin Gothic Book"/>
          <w:sz w:val="22"/>
        </w:rPr>
        <w:t xml:space="preserve">FRα biomarker </w:t>
      </w:r>
      <w:r w:rsidRPr="00F54A53">
        <w:rPr>
          <w:rFonts w:ascii="Franklin Gothic Book" w:hAnsi="Franklin Gothic Book"/>
          <w:sz w:val="22"/>
        </w:rPr>
        <w:t>testing, which was considered appropriate.</w:t>
      </w:r>
      <w:r w:rsidRPr="00DE2B35">
        <w:rPr>
          <w:rFonts w:ascii="Franklin Gothic Book" w:hAnsi="Franklin Gothic Book"/>
          <w:sz w:val="22"/>
        </w:rPr>
        <w:t xml:space="preserve"> </w:t>
      </w:r>
    </w:p>
    <w:p w14:paraId="709B3099" w14:textId="0D36E25B" w:rsidR="00F15387" w:rsidRDefault="00F54A53" w:rsidP="00F54A53">
      <w:pPr>
        <w:spacing w:before="240"/>
        <w:rPr>
          <w:rFonts w:ascii="Franklin Gothic Book" w:hAnsi="Franklin Gothic Book"/>
          <w:sz w:val="22"/>
        </w:rPr>
      </w:pPr>
      <w:r w:rsidRPr="00F54A53">
        <w:rPr>
          <w:rFonts w:ascii="Franklin Gothic Book" w:hAnsi="Franklin Gothic Book"/>
          <w:sz w:val="22"/>
        </w:rPr>
        <w:t>MSAC noted the proposed clinical management algorithm, in which the IHC test can be performed either at primary diagnosis of ovarian cancer or at confirmation of PROC</w:t>
      </w:r>
      <w:r w:rsidR="00F56A2F">
        <w:rPr>
          <w:rFonts w:ascii="Franklin Gothic Book" w:hAnsi="Franklin Gothic Book"/>
          <w:sz w:val="22"/>
        </w:rPr>
        <w:t>.</w:t>
      </w:r>
      <w:r w:rsidRPr="00F54A53">
        <w:rPr>
          <w:rFonts w:ascii="Franklin Gothic Book" w:hAnsi="Franklin Gothic Book"/>
          <w:sz w:val="22"/>
        </w:rPr>
        <w:t xml:space="preserve"> </w:t>
      </w:r>
    </w:p>
    <w:p w14:paraId="25ABC2FB" w14:textId="65617082" w:rsidR="00F54A53" w:rsidRPr="00F54A53" w:rsidRDefault="00F15387" w:rsidP="00F54A53">
      <w:pPr>
        <w:spacing w:before="240"/>
        <w:rPr>
          <w:rFonts w:ascii="Franklin Gothic Book" w:hAnsi="Franklin Gothic Book"/>
          <w:sz w:val="22"/>
        </w:rPr>
      </w:pPr>
      <w:r>
        <w:rPr>
          <w:rFonts w:ascii="Franklin Gothic Book" w:hAnsi="Franklin Gothic Book"/>
          <w:sz w:val="22"/>
        </w:rPr>
        <w:t>Regarding safety,</w:t>
      </w:r>
      <w:r w:rsidR="002E4474">
        <w:rPr>
          <w:rFonts w:ascii="Franklin Gothic Book" w:hAnsi="Franklin Gothic Book"/>
          <w:sz w:val="22"/>
        </w:rPr>
        <w:t xml:space="preserve"> </w:t>
      </w:r>
      <w:r w:rsidR="00F54A53" w:rsidRPr="00F54A53">
        <w:rPr>
          <w:rFonts w:ascii="Franklin Gothic Book" w:hAnsi="Franklin Gothic Book"/>
          <w:sz w:val="22"/>
        </w:rPr>
        <w:t xml:space="preserve">MSAC </w:t>
      </w:r>
      <w:r w:rsidR="00C10FBC">
        <w:rPr>
          <w:rFonts w:ascii="Franklin Gothic Book" w:hAnsi="Franklin Gothic Book"/>
          <w:sz w:val="22"/>
        </w:rPr>
        <w:t xml:space="preserve">noted that the </w:t>
      </w:r>
      <w:r w:rsidR="00551902">
        <w:rPr>
          <w:rFonts w:ascii="Franklin Gothic Book" w:hAnsi="Franklin Gothic Book"/>
          <w:sz w:val="22"/>
        </w:rPr>
        <w:t>applica</w:t>
      </w:r>
      <w:r w:rsidR="00145CC0">
        <w:rPr>
          <w:rFonts w:ascii="Franklin Gothic Book" w:hAnsi="Franklin Gothic Book"/>
          <w:sz w:val="22"/>
        </w:rPr>
        <w:t>nt</w:t>
      </w:r>
      <w:r w:rsidR="00C10FBC">
        <w:rPr>
          <w:rFonts w:ascii="Franklin Gothic Book" w:hAnsi="Franklin Gothic Book"/>
          <w:sz w:val="22"/>
        </w:rPr>
        <w:t xml:space="preserve"> </w:t>
      </w:r>
      <w:r w:rsidR="00551902">
        <w:rPr>
          <w:rFonts w:ascii="Franklin Gothic Book" w:hAnsi="Franklin Gothic Book"/>
          <w:sz w:val="22"/>
        </w:rPr>
        <w:t>stated</w:t>
      </w:r>
      <w:r w:rsidR="004268C3" w:rsidRPr="00F54A53">
        <w:rPr>
          <w:rFonts w:ascii="Franklin Gothic Book" w:hAnsi="Franklin Gothic Book"/>
          <w:sz w:val="22"/>
        </w:rPr>
        <w:t xml:space="preserve"> </w:t>
      </w:r>
      <w:r w:rsidR="00F54A53" w:rsidRPr="00F54A53">
        <w:rPr>
          <w:rFonts w:ascii="Franklin Gothic Book" w:hAnsi="Franklin Gothic Book"/>
          <w:sz w:val="22"/>
        </w:rPr>
        <w:t xml:space="preserve">that </w:t>
      </w:r>
      <w:r w:rsidR="00874857">
        <w:rPr>
          <w:rFonts w:ascii="Franklin Gothic Book" w:hAnsi="Franklin Gothic Book"/>
          <w:sz w:val="22"/>
        </w:rPr>
        <w:t xml:space="preserve">patients </w:t>
      </w:r>
      <w:r w:rsidR="00551902">
        <w:rPr>
          <w:rFonts w:ascii="Franklin Gothic Book" w:hAnsi="Franklin Gothic Book"/>
          <w:sz w:val="22"/>
        </w:rPr>
        <w:t>undergoing</w:t>
      </w:r>
      <w:r w:rsidR="00874857">
        <w:rPr>
          <w:rFonts w:ascii="Franklin Gothic Book" w:hAnsi="Franklin Gothic Book"/>
          <w:sz w:val="22"/>
        </w:rPr>
        <w:t xml:space="preserve"> biopsy </w:t>
      </w:r>
      <w:r w:rsidR="00F54A53" w:rsidRPr="00F54A53">
        <w:rPr>
          <w:rFonts w:ascii="Franklin Gothic Book" w:hAnsi="Franklin Gothic Book"/>
          <w:sz w:val="22"/>
        </w:rPr>
        <w:t xml:space="preserve">at primary </w:t>
      </w:r>
      <w:r w:rsidR="00F37068" w:rsidRPr="00F54A53">
        <w:rPr>
          <w:rFonts w:ascii="Franklin Gothic Book" w:hAnsi="Franklin Gothic Book"/>
          <w:sz w:val="22"/>
        </w:rPr>
        <w:t xml:space="preserve">diagnosis </w:t>
      </w:r>
      <w:r w:rsidR="00F37068">
        <w:rPr>
          <w:rFonts w:ascii="Franklin Gothic Book" w:hAnsi="Franklin Gothic Book"/>
          <w:sz w:val="22"/>
        </w:rPr>
        <w:t>would</w:t>
      </w:r>
      <w:r w:rsidR="004268C3">
        <w:rPr>
          <w:rFonts w:ascii="Franklin Gothic Book" w:hAnsi="Franklin Gothic Book"/>
          <w:sz w:val="22"/>
        </w:rPr>
        <w:t xml:space="preserve"> not experience complications </w:t>
      </w:r>
      <w:r w:rsidR="008A32E0">
        <w:rPr>
          <w:rFonts w:ascii="Franklin Gothic Book" w:hAnsi="Franklin Gothic Book"/>
          <w:sz w:val="22"/>
        </w:rPr>
        <w:t xml:space="preserve">of </w:t>
      </w:r>
      <w:r w:rsidR="00F26060">
        <w:rPr>
          <w:rFonts w:ascii="Franklin Gothic Book" w:hAnsi="Franklin Gothic Book"/>
          <w:sz w:val="22"/>
        </w:rPr>
        <w:t>re</w:t>
      </w:r>
      <w:r w:rsidR="008A32E0">
        <w:rPr>
          <w:rFonts w:ascii="Franklin Gothic Book" w:hAnsi="Franklin Gothic Book"/>
          <w:sz w:val="22"/>
        </w:rPr>
        <w:t>biopsy</w:t>
      </w:r>
      <w:r w:rsidR="004268C3">
        <w:rPr>
          <w:rFonts w:ascii="Franklin Gothic Book" w:hAnsi="Franklin Gothic Book"/>
          <w:sz w:val="22"/>
        </w:rPr>
        <w:t xml:space="preserve">. </w:t>
      </w:r>
      <w:r w:rsidR="002A41EB">
        <w:rPr>
          <w:rFonts w:ascii="Franklin Gothic Book" w:hAnsi="Franklin Gothic Book"/>
          <w:sz w:val="22"/>
        </w:rPr>
        <w:t>MSAC</w:t>
      </w:r>
      <w:r w:rsidR="00092465">
        <w:rPr>
          <w:rFonts w:ascii="Franklin Gothic Book" w:hAnsi="Franklin Gothic Book"/>
          <w:sz w:val="22"/>
        </w:rPr>
        <w:t xml:space="preserve"> noted that</w:t>
      </w:r>
      <w:r w:rsidR="00935370">
        <w:rPr>
          <w:rFonts w:ascii="Franklin Gothic Book" w:hAnsi="Franklin Gothic Book"/>
          <w:sz w:val="22"/>
        </w:rPr>
        <w:t xml:space="preserve"> the submission did not </w:t>
      </w:r>
      <w:r w:rsidR="00133B4E">
        <w:rPr>
          <w:rFonts w:ascii="Franklin Gothic Book" w:hAnsi="Franklin Gothic Book"/>
          <w:sz w:val="22"/>
        </w:rPr>
        <w:t>take into account</w:t>
      </w:r>
      <w:r w:rsidR="00935370">
        <w:rPr>
          <w:rFonts w:ascii="Franklin Gothic Book" w:hAnsi="Franklin Gothic Book"/>
          <w:sz w:val="22"/>
        </w:rPr>
        <w:t xml:space="preserve"> </w:t>
      </w:r>
      <w:r w:rsidR="00AA3E49">
        <w:rPr>
          <w:rFonts w:ascii="Franklin Gothic Book" w:hAnsi="Franklin Gothic Book"/>
          <w:sz w:val="22"/>
        </w:rPr>
        <w:t>the issue</w:t>
      </w:r>
      <w:r w:rsidR="00C77954">
        <w:rPr>
          <w:rFonts w:ascii="Franklin Gothic Book" w:hAnsi="Franklin Gothic Book"/>
          <w:sz w:val="22"/>
        </w:rPr>
        <w:t xml:space="preserve"> of </w:t>
      </w:r>
      <w:r w:rsidR="00C77954" w:rsidRPr="00F54A53">
        <w:rPr>
          <w:rFonts w:ascii="Franklin Gothic Book" w:hAnsi="Franklin Gothic Book"/>
          <w:sz w:val="22"/>
        </w:rPr>
        <w:t xml:space="preserve">insufficient archival tissue for testing </w:t>
      </w:r>
      <w:r w:rsidR="00E73FDE">
        <w:rPr>
          <w:rFonts w:ascii="Franklin Gothic Book" w:hAnsi="Franklin Gothic Book"/>
          <w:sz w:val="22"/>
        </w:rPr>
        <w:t xml:space="preserve">that may </w:t>
      </w:r>
      <w:r w:rsidR="00C77954">
        <w:rPr>
          <w:rFonts w:ascii="Franklin Gothic Book" w:hAnsi="Franklin Gothic Book"/>
          <w:sz w:val="22"/>
        </w:rPr>
        <w:t>lead</w:t>
      </w:r>
      <w:r w:rsidR="7E611538" w:rsidRPr="7B717AF3">
        <w:rPr>
          <w:rFonts w:ascii="Franklin Gothic Book" w:hAnsi="Franklin Gothic Book"/>
          <w:sz w:val="22"/>
        </w:rPr>
        <w:t xml:space="preserve"> </w:t>
      </w:r>
      <w:r w:rsidR="001C7016">
        <w:rPr>
          <w:rFonts w:ascii="Franklin Gothic Book" w:hAnsi="Franklin Gothic Book"/>
          <w:sz w:val="22"/>
        </w:rPr>
        <w:t>to</w:t>
      </w:r>
      <w:r w:rsidR="00C77954">
        <w:rPr>
          <w:rFonts w:ascii="Franklin Gothic Book" w:hAnsi="Franklin Gothic Book"/>
          <w:sz w:val="22"/>
        </w:rPr>
        <w:t xml:space="preserve"> </w:t>
      </w:r>
      <w:r w:rsidR="003A0F0F">
        <w:rPr>
          <w:rFonts w:ascii="Franklin Gothic Book" w:hAnsi="Franklin Gothic Book"/>
          <w:sz w:val="22"/>
        </w:rPr>
        <w:t>delay</w:t>
      </w:r>
      <w:r w:rsidR="00F5672D">
        <w:rPr>
          <w:rFonts w:ascii="Franklin Gothic Book" w:hAnsi="Franklin Gothic Book"/>
          <w:sz w:val="22"/>
        </w:rPr>
        <w:t>s</w:t>
      </w:r>
      <w:r w:rsidR="003A0F0F">
        <w:rPr>
          <w:rFonts w:ascii="Franklin Gothic Book" w:hAnsi="Franklin Gothic Book"/>
          <w:sz w:val="22"/>
        </w:rPr>
        <w:t xml:space="preserve"> in treatment</w:t>
      </w:r>
      <w:r w:rsidR="00F5672D">
        <w:rPr>
          <w:rFonts w:ascii="Franklin Gothic Book" w:hAnsi="Franklin Gothic Book"/>
          <w:sz w:val="22"/>
        </w:rPr>
        <w:t>s</w:t>
      </w:r>
      <w:r w:rsidR="002E4474">
        <w:rPr>
          <w:rFonts w:ascii="Franklin Gothic Book" w:hAnsi="Franklin Gothic Book"/>
          <w:sz w:val="22"/>
        </w:rPr>
        <w:t>. MSAC noted</w:t>
      </w:r>
      <w:r w:rsidR="001536C5">
        <w:rPr>
          <w:rFonts w:ascii="Franklin Gothic Book" w:hAnsi="Franklin Gothic Book"/>
          <w:sz w:val="22"/>
        </w:rPr>
        <w:t xml:space="preserve"> </w:t>
      </w:r>
      <w:r w:rsidR="006A6295">
        <w:rPr>
          <w:rFonts w:ascii="Franklin Gothic Book" w:hAnsi="Franklin Gothic Book"/>
          <w:sz w:val="22"/>
        </w:rPr>
        <w:t xml:space="preserve">data </w:t>
      </w:r>
      <w:r w:rsidR="00E40AC7">
        <w:rPr>
          <w:rFonts w:ascii="Franklin Gothic Book" w:hAnsi="Franklin Gothic Book"/>
          <w:sz w:val="22"/>
        </w:rPr>
        <w:t>from the Cancer Screening Program (CaSP) registry</w:t>
      </w:r>
      <w:r w:rsidR="00BF50C6">
        <w:rPr>
          <w:rStyle w:val="FootnoteReference"/>
          <w:rFonts w:ascii="Franklin Gothic Book" w:hAnsi="Franklin Gothic Book"/>
          <w:sz w:val="22"/>
        </w:rPr>
        <w:footnoteReference w:id="5"/>
      </w:r>
      <w:r w:rsidR="00E40AC7">
        <w:rPr>
          <w:rFonts w:ascii="Franklin Gothic Book" w:hAnsi="Franklin Gothic Book"/>
          <w:sz w:val="22"/>
        </w:rPr>
        <w:t xml:space="preserve"> </w:t>
      </w:r>
      <w:r w:rsidR="006A6295">
        <w:rPr>
          <w:rFonts w:ascii="Franklin Gothic Book" w:hAnsi="Franklin Gothic Book"/>
          <w:sz w:val="22"/>
        </w:rPr>
        <w:t xml:space="preserve">suggested </w:t>
      </w:r>
      <w:r w:rsidR="001536C5">
        <w:rPr>
          <w:rFonts w:ascii="Franklin Gothic Book" w:hAnsi="Franklin Gothic Book"/>
          <w:sz w:val="22"/>
        </w:rPr>
        <w:t>the</w:t>
      </w:r>
      <w:r w:rsidR="003A0F0F">
        <w:rPr>
          <w:rFonts w:ascii="Franklin Gothic Book" w:hAnsi="Franklin Gothic Book"/>
          <w:sz w:val="22"/>
        </w:rPr>
        <w:t xml:space="preserve"> </w:t>
      </w:r>
      <w:r w:rsidR="00F54A53" w:rsidRPr="00F54A53">
        <w:rPr>
          <w:rFonts w:ascii="Franklin Gothic Book" w:hAnsi="Franklin Gothic Book"/>
          <w:sz w:val="22"/>
        </w:rPr>
        <w:t xml:space="preserve">current rates of biopsy at confirmation of PROC </w:t>
      </w:r>
      <w:r w:rsidR="005F4079">
        <w:rPr>
          <w:rFonts w:ascii="Franklin Gothic Book" w:hAnsi="Franklin Gothic Book"/>
          <w:sz w:val="22"/>
        </w:rPr>
        <w:t>are</w:t>
      </w:r>
      <w:r w:rsidR="005F4079" w:rsidRPr="00F54A53">
        <w:rPr>
          <w:rFonts w:ascii="Franklin Gothic Book" w:hAnsi="Franklin Gothic Book"/>
          <w:sz w:val="22"/>
        </w:rPr>
        <w:t xml:space="preserve"> </w:t>
      </w:r>
      <w:r w:rsidR="00F54A53" w:rsidRPr="00F54A53">
        <w:rPr>
          <w:rFonts w:ascii="Franklin Gothic Book" w:hAnsi="Franklin Gothic Book"/>
          <w:sz w:val="22"/>
        </w:rPr>
        <w:t>11% for 2</w:t>
      </w:r>
      <w:r w:rsidR="00F54A53" w:rsidRPr="00FB6295">
        <w:rPr>
          <w:rFonts w:ascii="Franklin Gothic Book" w:hAnsi="Franklin Gothic Book"/>
          <w:sz w:val="22"/>
          <w:vertAlign w:val="superscript"/>
        </w:rPr>
        <w:t>nd</w:t>
      </w:r>
      <w:r w:rsidR="00F54A53" w:rsidRPr="00F54A53">
        <w:rPr>
          <w:rFonts w:ascii="Franklin Gothic Book" w:hAnsi="Franklin Gothic Book"/>
          <w:sz w:val="22"/>
        </w:rPr>
        <w:t xml:space="preserve"> line </w:t>
      </w:r>
      <w:r w:rsidR="00D65F52">
        <w:rPr>
          <w:rFonts w:ascii="Franklin Gothic Book" w:hAnsi="Franklin Gothic Book"/>
          <w:sz w:val="22"/>
        </w:rPr>
        <w:t>treatment</w:t>
      </w:r>
      <w:r w:rsidR="00D65F52" w:rsidRPr="00F54A53">
        <w:rPr>
          <w:rFonts w:ascii="Franklin Gothic Book" w:hAnsi="Franklin Gothic Book"/>
          <w:sz w:val="22"/>
        </w:rPr>
        <w:t xml:space="preserve"> </w:t>
      </w:r>
      <w:r w:rsidR="00F54A53" w:rsidRPr="00F54A53">
        <w:rPr>
          <w:rFonts w:ascii="Franklin Gothic Book" w:hAnsi="Franklin Gothic Book"/>
          <w:sz w:val="22"/>
        </w:rPr>
        <w:t xml:space="preserve">and </w:t>
      </w:r>
      <w:r w:rsidR="00D0432A">
        <w:rPr>
          <w:rFonts w:ascii="Franklin Gothic Book" w:hAnsi="Franklin Gothic Book"/>
          <w:sz w:val="22"/>
        </w:rPr>
        <w:t>1</w:t>
      </w:r>
      <w:r w:rsidR="00F54A53" w:rsidRPr="00F54A53">
        <w:rPr>
          <w:rFonts w:ascii="Franklin Gothic Book" w:hAnsi="Franklin Gothic Book"/>
          <w:sz w:val="22"/>
        </w:rPr>
        <w:t>4% for 3</w:t>
      </w:r>
      <w:r w:rsidR="00F54A53" w:rsidRPr="00FB6295">
        <w:rPr>
          <w:rFonts w:ascii="Franklin Gothic Book" w:hAnsi="Franklin Gothic Book"/>
          <w:sz w:val="22"/>
          <w:vertAlign w:val="superscript"/>
        </w:rPr>
        <w:t>rd</w:t>
      </w:r>
      <w:r w:rsidR="00F54A53" w:rsidRPr="00F54A53">
        <w:rPr>
          <w:rFonts w:ascii="Franklin Gothic Book" w:hAnsi="Franklin Gothic Book"/>
          <w:sz w:val="22"/>
        </w:rPr>
        <w:t xml:space="preserve"> line</w:t>
      </w:r>
      <w:r w:rsidR="001166BF">
        <w:rPr>
          <w:rFonts w:ascii="Franklin Gothic Book" w:hAnsi="Franklin Gothic Book"/>
          <w:sz w:val="22"/>
        </w:rPr>
        <w:t xml:space="preserve"> </w:t>
      </w:r>
      <w:r w:rsidR="00D65F52">
        <w:rPr>
          <w:rFonts w:ascii="Franklin Gothic Book" w:hAnsi="Franklin Gothic Book"/>
          <w:sz w:val="22"/>
        </w:rPr>
        <w:t xml:space="preserve">of treatment </w:t>
      </w:r>
      <w:r w:rsidR="00C6693C">
        <w:rPr>
          <w:rFonts w:ascii="Franklin Gothic Book" w:hAnsi="Franklin Gothic Book"/>
          <w:sz w:val="22"/>
        </w:rPr>
        <w:t xml:space="preserve">possibly </w:t>
      </w:r>
      <w:r w:rsidR="00324810" w:rsidRPr="00324810">
        <w:rPr>
          <w:rFonts w:ascii="Franklin Gothic Book" w:hAnsi="Franklin Gothic Book"/>
          <w:sz w:val="22"/>
        </w:rPr>
        <w:t>due to insufficient archival tissue</w:t>
      </w:r>
      <w:r w:rsidR="00987354">
        <w:rPr>
          <w:rFonts w:ascii="Franklin Gothic Book" w:hAnsi="Franklin Gothic Book"/>
          <w:sz w:val="22"/>
        </w:rPr>
        <w:t xml:space="preserve"> for testing</w:t>
      </w:r>
      <w:r w:rsidR="00F54A53" w:rsidRPr="00F54A53">
        <w:rPr>
          <w:rFonts w:ascii="Franklin Gothic Book" w:hAnsi="Franklin Gothic Book"/>
          <w:sz w:val="22"/>
        </w:rPr>
        <w:t xml:space="preserve">. </w:t>
      </w:r>
      <w:r w:rsidR="00000DA7">
        <w:rPr>
          <w:rFonts w:ascii="Franklin Gothic Book" w:hAnsi="Franklin Gothic Book"/>
          <w:sz w:val="22"/>
        </w:rPr>
        <w:t xml:space="preserve">MSAC </w:t>
      </w:r>
      <w:r w:rsidR="003706E5">
        <w:rPr>
          <w:rFonts w:ascii="Franklin Gothic Book" w:hAnsi="Franklin Gothic Book"/>
          <w:sz w:val="22"/>
        </w:rPr>
        <w:t xml:space="preserve">noted </w:t>
      </w:r>
      <w:r w:rsidR="007C0E5B">
        <w:rPr>
          <w:rFonts w:ascii="Franklin Gothic Book" w:hAnsi="Franklin Gothic Book"/>
          <w:sz w:val="22"/>
        </w:rPr>
        <w:t xml:space="preserve">the pre-MSAC response </w:t>
      </w:r>
      <w:r w:rsidR="00F662BF">
        <w:rPr>
          <w:rFonts w:ascii="Franklin Gothic Book" w:hAnsi="Franklin Gothic Book"/>
          <w:sz w:val="22"/>
        </w:rPr>
        <w:t xml:space="preserve">from applicant </w:t>
      </w:r>
      <w:r w:rsidR="007C0E5B">
        <w:rPr>
          <w:rFonts w:ascii="Franklin Gothic Book" w:hAnsi="Franklin Gothic Book"/>
          <w:sz w:val="22"/>
        </w:rPr>
        <w:t>indicated a</w:t>
      </w:r>
      <w:r w:rsidR="003706E5">
        <w:rPr>
          <w:rFonts w:ascii="Franklin Gothic Book" w:hAnsi="Franklin Gothic Book"/>
          <w:sz w:val="22"/>
        </w:rPr>
        <w:t xml:space="preserve"> strong preference from oncologists and pathologists for testing</w:t>
      </w:r>
      <w:r w:rsidR="00000DA7">
        <w:rPr>
          <w:rFonts w:ascii="Franklin Gothic Book" w:hAnsi="Franklin Gothic Book"/>
          <w:sz w:val="22"/>
        </w:rPr>
        <w:t xml:space="preserve"> </w:t>
      </w:r>
      <w:r w:rsidR="00F54A53" w:rsidRPr="00F54A53">
        <w:rPr>
          <w:rFonts w:ascii="Franklin Gothic Book" w:hAnsi="Franklin Gothic Book"/>
          <w:sz w:val="22"/>
        </w:rPr>
        <w:t>at primary diagnosis</w:t>
      </w:r>
      <w:r w:rsidR="00D25FCE">
        <w:rPr>
          <w:rFonts w:ascii="Franklin Gothic Book" w:hAnsi="Franklin Gothic Book"/>
          <w:sz w:val="22"/>
        </w:rPr>
        <w:t>,</w:t>
      </w:r>
      <w:r w:rsidR="00F54A53" w:rsidRPr="00F54A53">
        <w:rPr>
          <w:rFonts w:ascii="Franklin Gothic Book" w:hAnsi="Franklin Gothic Book"/>
          <w:sz w:val="22"/>
        </w:rPr>
        <w:t xml:space="preserve"> </w:t>
      </w:r>
      <w:r w:rsidR="00E272AF" w:rsidRPr="00F54A53">
        <w:rPr>
          <w:rFonts w:ascii="Franklin Gothic Book" w:hAnsi="Franklin Gothic Book"/>
          <w:sz w:val="22"/>
        </w:rPr>
        <w:t>alongside other IHC tests</w:t>
      </w:r>
      <w:r w:rsidR="00D25FCE">
        <w:rPr>
          <w:rFonts w:ascii="Franklin Gothic Book" w:hAnsi="Franklin Gothic Book"/>
          <w:sz w:val="22"/>
        </w:rPr>
        <w:t>,</w:t>
      </w:r>
      <w:r w:rsidR="00F54A53" w:rsidRPr="00F54A53">
        <w:rPr>
          <w:rFonts w:ascii="Franklin Gothic Book" w:hAnsi="Franklin Gothic Book"/>
          <w:sz w:val="22"/>
        </w:rPr>
        <w:t xml:space="preserve"> </w:t>
      </w:r>
      <w:r w:rsidR="003706E5">
        <w:rPr>
          <w:rFonts w:ascii="Franklin Gothic Book" w:hAnsi="Franklin Gothic Book"/>
          <w:sz w:val="22"/>
        </w:rPr>
        <w:t>as it</w:t>
      </w:r>
      <w:r w:rsidR="00F54A53" w:rsidRPr="00F54A53">
        <w:rPr>
          <w:rFonts w:ascii="Franklin Gothic Book" w:hAnsi="Franklin Gothic Book"/>
          <w:sz w:val="22"/>
        </w:rPr>
        <w:t xml:space="preserve"> would allow batch testing</w:t>
      </w:r>
      <w:r w:rsidR="00D25FCE">
        <w:rPr>
          <w:rFonts w:ascii="Franklin Gothic Book" w:hAnsi="Franklin Gothic Book"/>
          <w:sz w:val="22"/>
        </w:rPr>
        <w:t>,</w:t>
      </w:r>
      <w:r w:rsidR="00F54A53" w:rsidRPr="00F54A53">
        <w:rPr>
          <w:rFonts w:ascii="Franklin Gothic Book" w:hAnsi="Franklin Gothic Book"/>
          <w:sz w:val="22"/>
        </w:rPr>
        <w:t xml:space="preserve"> </w:t>
      </w:r>
      <w:r w:rsidR="00D040A7">
        <w:rPr>
          <w:rFonts w:ascii="Franklin Gothic Book" w:hAnsi="Franklin Gothic Book"/>
          <w:sz w:val="22"/>
        </w:rPr>
        <w:t>there</w:t>
      </w:r>
      <w:r w:rsidR="00E272AF">
        <w:rPr>
          <w:rFonts w:ascii="Franklin Gothic Book" w:hAnsi="Franklin Gothic Book"/>
          <w:sz w:val="22"/>
        </w:rPr>
        <w:t>by</w:t>
      </w:r>
      <w:r w:rsidR="00D040A7" w:rsidRPr="00F54A53">
        <w:rPr>
          <w:rFonts w:ascii="Franklin Gothic Book" w:hAnsi="Franklin Gothic Book"/>
          <w:sz w:val="22"/>
        </w:rPr>
        <w:t xml:space="preserve"> </w:t>
      </w:r>
      <w:r w:rsidR="00F54A53" w:rsidRPr="00F54A53">
        <w:rPr>
          <w:rFonts w:ascii="Franklin Gothic Book" w:hAnsi="Franklin Gothic Book"/>
          <w:sz w:val="22"/>
        </w:rPr>
        <w:t>reduc</w:t>
      </w:r>
      <w:r w:rsidR="00D040A7">
        <w:rPr>
          <w:rFonts w:ascii="Franklin Gothic Book" w:hAnsi="Franklin Gothic Book"/>
          <w:sz w:val="22"/>
        </w:rPr>
        <w:t>ing</w:t>
      </w:r>
      <w:r w:rsidR="00F54A53" w:rsidRPr="00F54A53">
        <w:rPr>
          <w:rFonts w:ascii="Franklin Gothic Book" w:hAnsi="Franklin Gothic Book"/>
          <w:sz w:val="22"/>
        </w:rPr>
        <w:t xml:space="preserve"> the likelihood of testing errors and </w:t>
      </w:r>
      <w:r w:rsidR="006636F7">
        <w:rPr>
          <w:rFonts w:ascii="Franklin Gothic Book" w:hAnsi="Franklin Gothic Book"/>
          <w:sz w:val="22"/>
        </w:rPr>
        <w:t>avoid</w:t>
      </w:r>
      <w:r w:rsidR="00BE522A">
        <w:rPr>
          <w:rFonts w:ascii="Franklin Gothic Book" w:hAnsi="Franklin Gothic Book"/>
          <w:sz w:val="22"/>
        </w:rPr>
        <w:t>ing</w:t>
      </w:r>
      <w:r w:rsidR="006636F7">
        <w:rPr>
          <w:rFonts w:ascii="Franklin Gothic Book" w:hAnsi="Franklin Gothic Book"/>
          <w:sz w:val="22"/>
        </w:rPr>
        <w:t xml:space="preserve"> delay in treatment </w:t>
      </w:r>
      <w:r w:rsidR="00F54A53" w:rsidRPr="00F54A53">
        <w:rPr>
          <w:rFonts w:ascii="Franklin Gothic Book" w:hAnsi="Franklin Gothic Book"/>
          <w:sz w:val="22"/>
        </w:rPr>
        <w:t xml:space="preserve">once platinum resistance is determined. </w:t>
      </w:r>
      <w:r w:rsidR="00EF3138">
        <w:rPr>
          <w:rFonts w:ascii="Franklin Gothic Book" w:hAnsi="Franklin Gothic Book"/>
          <w:sz w:val="22"/>
        </w:rPr>
        <w:t>O</w:t>
      </w:r>
      <w:r w:rsidR="00603AFE">
        <w:rPr>
          <w:rFonts w:ascii="Franklin Gothic Book" w:hAnsi="Franklin Gothic Book"/>
          <w:sz w:val="22"/>
        </w:rPr>
        <w:t>n balance</w:t>
      </w:r>
      <w:r w:rsidR="00A6631D">
        <w:rPr>
          <w:rFonts w:ascii="Franklin Gothic Book" w:hAnsi="Franklin Gothic Book"/>
          <w:sz w:val="22"/>
        </w:rPr>
        <w:t xml:space="preserve">, MSAC </w:t>
      </w:r>
      <w:r w:rsidR="00080AE2">
        <w:rPr>
          <w:rFonts w:ascii="Franklin Gothic Book" w:hAnsi="Franklin Gothic Book"/>
          <w:sz w:val="22"/>
        </w:rPr>
        <w:t>considered</w:t>
      </w:r>
      <w:r w:rsidR="00A6631D">
        <w:rPr>
          <w:rFonts w:ascii="Franklin Gothic Book" w:hAnsi="Franklin Gothic Book"/>
          <w:sz w:val="22"/>
        </w:rPr>
        <w:t xml:space="preserve"> that testing was safe </w:t>
      </w:r>
      <w:r w:rsidR="00997FEB">
        <w:rPr>
          <w:rFonts w:ascii="Franklin Gothic Book" w:hAnsi="Franklin Gothic Book"/>
          <w:sz w:val="22"/>
        </w:rPr>
        <w:t>and there w</w:t>
      </w:r>
      <w:r w:rsidR="00227DFD">
        <w:rPr>
          <w:rFonts w:ascii="Franklin Gothic Book" w:hAnsi="Franklin Gothic Book"/>
          <w:sz w:val="22"/>
        </w:rPr>
        <w:t>ould be</w:t>
      </w:r>
      <w:r w:rsidR="0002473A" w:rsidRPr="006958A3">
        <w:rPr>
          <w:rFonts w:ascii="Franklin Gothic Book" w:eastAsia="Franklin Gothic Book" w:hAnsi="Franklin Gothic Book" w:cstheme="minorHAnsi"/>
          <w:color w:val="000000" w:themeColor="text1"/>
          <w:sz w:val="22"/>
        </w:rPr>
        <w:t xml:space="preserve"> no additional safety concerns</w:t>
      </w:r>
      <w:r w:rsidR="00A6631D">
        <w:rPr>
          <w:rFonts w:ascii="Franklin Gothic Book" w:hAnsi="Franklin Gothic Book"/>
          <w:sz w:val="22"/>
        </w:rPr>
        <w:t>.</w:t>
      </w:r>
      <w:r w:rsidR="00F54A53" w:rsidRPr="005111E9">
        <w:rPr>
          <w:rFonts w:ascii="Franklin Gothic Book" w:hAnsi="Franklin Gothic Book"/>
          <w:sz w:val="22"/>
        </w:rPr>
        <w:t xml:space="preserve"> </w:t>
      </w:r>
    </w:p>
    <w:p w14:paraId="25E0359F" w14:textId="5D586DED" w:rsidR="00656D87" w:rsidRDefault="00F54A53" w:rsidP="00F54A53">
      <w:pPr>
        <w:rPr>
          <w:rFonts w:ascii="Franklin Gothic Book" w:hAnsi="Franklin Gothic Book"/>
          <w:sz w:val="22"/>
        </w:rPr>
      </w:pPr>
      <w:r w:rsidRPr="00F54A53">
        <w:rPr>
          <w:rFonts w:ascii="Franklin Gothic Book" w:hAnsi="Franklin Gothic Book"/>
          <w:sz w:val="22"/>
        </w:rPr>
        <w:t>MSAC noted the economic model, which was a partition survival model with 3 health states (pre-progression, post-progression and death)</w:t>
      </w:r>
      <w:r w:rsidR="00D8430B">
        <w:rPr>
          <w:rFonts w:ascii="Franklin Gothic Book" w:hAnsi="Franklin Gothic Book"/>
          <w:sz w:val="22"/>
        </w:rPr>
        <w:t xml:space="preserve">. </w:t>
      </w:r>
      <w:r w:rsidR="00420230">
        <w:rPr>
          <w:rFonts w:ascii="Franklin Gothic Book" w:hAnsi="Franklin Gothic Book"/>
          <w:sz w:val="22"/>
        </w:rPr>
        <w:t xml:space="preserve">MSAC noted that </w:t>
      </w:r>
      <w:r w:rsidR="00001D58">
        <w:rPr>
          <w:rFonts w:ascii="Franklin Gothic Book" w:hAnsi="Franklin Gothic Book"/>
          <w:sz w:val="22"/>
        </w:rPr>
        <w:t>aside from</w:t>
      </w:r>
      <w:r w:rsidR="00001D58" w:rsidRPr="00F54A53">
        <w:rPr>
          <w:rFonts w:ascii="Franklin Gothic Book" w:hAnsi="Franklin Gothic Book"/>
          <w:sz w:val="22"/>
        </w:rPr>
        <w:t xml:space="preserve"> the number of tests required to identify one patient with high FRα expression and </w:t>
      </w:r>
      <w:r w:rsidR="00001D58">
        <w:rPr>
          <w:rFonts w:ascii="Franklin Gothic Book" w:hAnsi="Franklin Gothic Book"/>
          <w:sz w:val="22"/>
        </w:rPr>
        <w:t xml:space="preserve">subsequent </w:t>
      </w:r>
      <w:r w:rsidR="00001D58" w:rsidRPr="00F54A53">
        <w:rPr>
          <w:rFonts w:ascii="Franklin Gothic Book" w:hAnsi="Franklin Gothic Book"/>
          <w:sz w:val="22"/>
        </w:rPr>
        <w:t xml:space="preserve">treatment with MIRV </w:t>
      </w:r>
      <w:r w:rsidR="001A004C" w:rsidRPr="00F54A53">
        <w:rPr>
          <w:rFonts w:ascii="Franklin Gothic Book" w:hAnsi="Franklin Gothic Book"/>
          <w:sz w:val="22"/>
        </w:rPr>
        <w:t xml:space="preserve">the model did not incorporate </w:t>
      </w:r>
      <w:r w:rsidR="00001D58">
        <w:rPr>
          <w:rFonts w:ascii="Franklin Gothic Book" w:hAnsi="Franklin Gothic Book"/>
          <w:sz w:val="22"/>
        </w:rPr>
        <w:t>other</w:t>
      </w:r>
      <w:r w:rsidR="001A004C" w:rsidRPr="00F54A53">
        <w:rPr>
          <w:rFonts w:ascii="Franklin Gothic Book" w:hAnsi="Franklin Gothic Book"/>
          <w:sz w:val="22"/>
        </w:rPr>
        <w:t xml:space="preserve"> FRα testing variables</w:t>
      </w:r>
      <w:r w:rsidR="003074BB">
        <w:rPr>
          <w:rFonts w:ascii="Franklin Gothic Book" w:hAnsi="Franklin Gothic Book"/>
          <w:sz w:val="22"/>
        </w:rPr>
        <w:t>. As a result,</w:t>
      </w:r>
      <w:r w:rsidR="001A004C">
        <w:rPr>
          <w:rFonts w:ascii="Franklin Gothic Book" w:hAnsi="Franklin Gothic Book"/>
          <w:sz w:val="22"/>
        </w:rPr>
        <w:t xml:space="preserve"> t</w:t>
      </w:r>
      <w:r w:rsidRPr="00F54A53">
        <w:rPr>
          <w:rFonts w:ascii="Franklin Gothic Book" w:hAnsi="Franklin Gothic Book"/>
          <w:sz w:val="22"/>
        </w:rPr>
        <w:t>he incremental benefits and costs of FRα testing compared with no FRα testing could not be established</w:t>
      </w:r>
      <w:r w:rsidR="009F2D94">
        <w:rPr>
          <w:rFonts w:ascii="Franklin Gothic Book" w:hAnsi="Franklin Gothic Book"/>
          <w:sz w:val="22"/>
        </w:rPr>
        <w:t xml:space="preserve">. </w:t>
      </w:r>
      <w:r w:rsidR="000B724A">
        <w:rPr>
          <w:rFonts w:ascii="Franklin Gothic Book" w:hAnsi="Franklin Gothic Book"/>
          <w:sz w:val="22"/>
        </w:rPr>
        <w:t xml:space="preserve">MSAC </w:t>
      </w:r>
      <w:r w:rsidR="009F2D94">
        <w:rPr>
          <w:rFonts w:ascii="Franklin Gothic Book" w:hAnsi="Franklin Gothic Book"/>
          <w:sz w:val="22"/>
        </w:rPr>
        <w:t xml:space="preserve">further </w:t>
      </w:r>
      <w:r w:rsidR="000B724A">
        <w:rPr>
          <w:rFonts w:ascii="Franklin Gothic Book" w:hAnsi="Franklin Gothic Book"/>
          <w:sz w:val="22"/>
        </w:rPr>
        <w:t xml:space="preserve">noted </w:t>
      </w:r>
      <w:r w:rsidR="000B724A">
        <w:rPr>
          <w:rFonts w:ascii="Franklin Gothic Book" w:hAnsi="Franklin Gothic Book"/>
          <w:sz w:val="22"/>
        </w:rPr>
        <w:lastRenderedPageBreak/>
        <w:t>the applicant’s pre-MSAC response which stated that</w:t>
      </w:r>
      <w:r w:rsidR="00E81DEB">
        <w:rPr>
          <w:rFonts w:ascii="Franklin Gothic Book" w:hAnsi="Franklin Gothic Book"/>
          <w:sz w:val="22"/>
        </w:rPr>
        <w:t xml:space="preserve"> </w:t>
      </w:r>
      <w:r w:rsidR="000B724A">
        <w:rPr>
          <w:rFonts w:ascii="Franklin Gothic Book" w:hAnsi="Franklin Gothic Book"/>
          <w:sz w:val="22"/>
        </w:rPr>
        <w:t xml:space="preserve">the </w:t>
      </w:r>
      <w:r w:rsidR="000B724A" w:rsidRPr="004D1DA2">
        <w:rPr>
          <w:rFonts w:ascii="Franklin Gothic Book" w:hAnsi="Franklin Gothic Book"/>
          <w:sz w:val="22"/>
        </w:rPr>
        <w:t xml:space="preserve">structure of the economic model assessing FRα testing and MIRV </w:t>
      </w:r>
      <w:r w:rsidR="000B724A">
        <w:rPr>
          <w:rFonts w:ascii="Franklin Gothic Book" w:hAnsi="Franklin Gothic Book"/>
          <w:sz w:val="22"/>
        </w:rPr>
        <w:t>wa</w:t>
      </w:r>
      <w:r w:rsidR="000B724A" w:rsidRPr="004D1DA2">
        <w:rPr>
          <w:rFonts w:ascii="Franklin Gothic Book" w:hAnsi="Franklin Gothic Book"/>
          <w:sz w:val="22"/>
        </w:rPr>
        <w:t xml:space="preserve">s consistent with </w:t>
      </w:r>
      <w:r w:rsidR="003F6C42">
        <w:rPr>
          <w:rFonts w:ascii="Franklin Gothic Book" w:hAnsi="Franklin Gothic Book"/>
          <w:sz w:val="22"/>
        </w:rPr>
        <w:t>some</w:t>
      </w:r>
      <w:r w:rsidR="003F6C42" w:rsidRPr="004D1DA2">
        <w:rPr>
          <w:rFonts w:ascii="Franklin Gothic Book" w:hAnsi="Franklin Gothic Book"/>
          <w:sz w:val="22"/>
        </w:rPr>
        <w:t xml:space="preserve"> </w:t>
      </w:r>
      <w:r w:rsidR="000B724A" w:rsidRPr="004D1DA2">
        <w:rPr>
          <w:rFonts w:ascii="Franklin Gothic Book" w:hAnsi="Franklin Gothic Book"/>
          <w:sz w:val="22"/>
        </w:rPr>
        <w:t xml:space="preserve">codependent submissions </w:t>
      </w:r>
      <w:r w:rsidR="007A33D1">
        <w:rPr>
          <w:rFonts w:ascii="Franklin Gothic Book" w:hAnsi="Franklin Gothic Book"/>
          <w:sz w:val="22"/>
        </w:rPr>
        <w:t xml:space="preserve">where the treatment outcomes are </w:t>
      </w:r>
      <w:r w:rsidR="00FA70D0">
        <w:rPr>
          <w:rFonts w:ascii="Franklin Gothic Book" w:hAnsi="Franklin Gothic Book"/>
          <w:sz w:val="22"/>
        </w:rPr>
        <w:t>modelled</w:t>
      </w:r>
      <w:r w:rsidR="007A33D1" w:rsidRPr="004D1DA2">
        <w:rPr>
          <w:rFonts w:ascii="Franklin Gothic Book" w:hAnsi="Franklin Gothic Book"/>
          <w:sz w:val="22"/>
        </w:rPr>
        <w:t xml:space="preserve"> </w:t>
      </w:r>
      <w:r w:rsidR="000B724A" w:rsidRPr="004D1DA2">
        <w:rPr>
          <w:rFonts w:ascii="Franklin Gothic Book" w:hAnsi="Franklin Gothic Book"/>
          <w:sz w:val="22"/>
        </w:rPr>
        <w:t>in the test positive population only.</w:t>
      </w:r>
      <w:r w:rsidR="009A5E53" w:rsidRPr="009A5E53">
        <w:rPr>
          <w:rFonts w:ascii="Franklin Gothic Book" w:hAnsi="Franklin Gothic Book"/>
          <w:sz w:val="22"/>
        </w:rPr>
        <w:t xml:space="preserve"> </w:t>
      </w:r>
      <w:r w:rsidR="009A5E53">
        <w:rPr>
          <w:rFonts w:ascii="Franklin Gothic Book" w:hAnsi="Franklin Gothic Book"/>
          <w:sz w:val="22"/>
        </w:rPr>
        <w:t xml:space="preserve">MSAC </w:t>
      </w:r>
      <w:r w:rsidR="0090298A">
        <w:rPr>
          <w:rFonts w:ascii="Franklin Gothic Book" w:hAnsi="Franklin Gothic Book"/>
          <w:sz w:val="22"/>
        </w:rPr>
        <w:t>agreed with the commentary that</w:t>
      </w:r>
      <w:r w:rsidR="009A5E53">
        <w:rPr>
          <w:rFonts w:ascii="Franklin Gothic Book" w:hAnsi="Franklin Gothic Book"/>
          <w:sz w:val="22"/>
        </w:rPr>
        <w:t xml:space="preserve"> this limitation could have been addressed using sub-group data from the FORWARD-I trial</w:t>
      </w:r>
      <w:r w:rsidR="009A5E53" w:rsidRPr="00F54A53">
        <w:rPr>
          <w:rFonts w:ascii="Franklin Gothic Book" w:hAnsi="Franklin Gothic Book"/>
          <w:sz w:val="22"/>
        </w:rPr>
        <w:t>.</w:t>
      </w:r>
      <w:r w:rsidR="007F0455" w:rsidRPr="007F0455">
        <w:rPr>
          <w:rFonts w:ascii="Franklin Gothic Book" w:hAnsi="Franklin Gothic Book"/>
          <w:sz w:val="22"/>
        </w:rPr>
        <w:t xml:space="preserve"> </w:t>
      </w:r>
      <w:r w:rsidR="007F0455">
        <w:rPr>
          <w:rFonts w:ascii="Franklin Gothic Book" w:hAnsi="Franklin Gothic Book"/>
          <w:sz w:val="22"/>
        </w:rPr>
        <w:t>However,</w:t>
      </w:r>
      <w:r w:rsidR="00FA70D0">
        <w:rPr>
          <w:rFonts w:ascii="Franklin Gothic Book" w:hAnsi="Franklin Gothic Book"/>
          <w:sz w:val="22"/>
        </w:rPr>
        <w:t xml:space="preserve"> MSAC considered this </w:t>
      </w:r>
      <w:r w:rsidR="00FA6222">
        <w:rPr>
          <w:rFonts w:ascii="Franklin Gothic Book" w:hAnsi="Franklin Gothic Book"/>
          <w:sz w:val="22"/>
        </w:rPr>
        <w:t xml:space="preserve">was acceptable </w:t>
      </w:r>
      <w:r w:rsidR="00FA70D0">
        <w:rPr>
          <w:rFonts w:ascii="Franklin Gothic Book" w:hAnsi="Franklin Gothic Book"/>
          <w:sz w:val="22"/>
        </w:rPr>
        <w:t xml:space="preserve">in the context the test being straightforward to interpret with low </w:t>
      </w:r>
      <w:r w:rsidR="00FA6222">
        <w:rPr>
          <w:rFonts w:ascii="Franklin Gothic Book" w:hAnsi="Franklin Gothic Book"/>
          <w:sz w:val="22"/>
        </w:rPr>
        <w:t xml:space="preserve">rates of </w:t>
      </w:r>
      <w:r w:rsidR="00FA70D0">
        <w:rPr>
          <w:rFonts w:ascii="Franklin Gothic Book" w:hAnsi="Franklin Gothic Book"/>
          <w:sz w:val="22"/>
        </w:rPr>
        <w:t>FN</w:t>
      </w:r>
      <w:r w:rsidR="00FA6222">
        <w:rPr>
          <w:rFonts w:ascii="Franklin Gothic Book" w:hAnsi="Franklin Gothic Book"/>
          <w:sz w:val="22"/>
        </w:rPr>
        <w:t xml:space="preserve">s and FPs. </w:t>
      </w:r>
    </w:p>
    <w:p w14:paraId="1762048A" w14:textId="7DF98927" w:rsidR="00F54A53" w:rsidRPr="00F54A53" w:rsidRDefault="00E81DEB" w:rsidP="00F54A53">
      <w:pPr>
        <w:rPr>
          <w:rFonts w:ascii="Franklin Gothic Book" w:hAnsi="Franklin Gothic Book"/>
          <w:sz w:val="22"/>
        </w:rPr>
      </w:pPr>
      <w:r>
        <w:rPr>
          <w:rFonts w:ascii="Franklin Gothic Book" w:hAnsi="Franklin Gothic Book"/>
          <w:sz w:val="22"/>
        </w:rPr>
        <w:t xml:space="preserve">MSAC </w:t>
      </w:r>
      <w:r w:rsidR="00E06F0A">
        <w:rPr>
          <w:rFonts w:ascii="Franklin Gothic Book" w:hAnsi="Franklin Gothic Book"/>
          <w:sz w:val="22"/>
        </w:rPr>
        <w:t>considered</w:t>
      </w:r>
      <w:r w:rsidR="002F002D">
        <w:rPr>
          <w:rFonts w:ascii="Franklin Gothic Book" w:hAnsi="Franklin Gothic Book"/>
          <w:sz w:val="22"/>
        </w:rPr>
        <w:t xml:space="preserve"> </w:t>
      </w:r>
      <w:r w:rsidR="00BD305F">
        <w:rPr>
          <w:rFonts w:ascii="Franklin Gothic Book" w:hAnsi="Franklin Gothic Book"/>
          <w:sz w:val="22"/>
        </w:rPr>
        <w:t>there w</w:t>
      </w:r>
      <w:r w:rsidR="00742229">
        <w:rPr>
          <w:rFonts w:ascii="Franklin Gothic Book" w:hAnsi="Franklin Gothic Book"/>
          <w:sz w:val="22"/>
        </w:rPr>
        <w:t>ould be</w:t>
      </w:r>
      <w:r w:rsidR="003F4299">
        <w:rPr>
          <w:rFonts w:ascii="Franklin Gothic Book" w:hAnsi="Franklin Gothic Book"/>
          <w:sz w:val="22"/>
        </w:rPr>
        <w:t xml:space="preserve"> </w:t>
      </w:r>
      <w:r w:rsidR="00C679E8" w:rsidRPr="00C679E8">
        <w:rPr>
          <w:rFonts w:ascii="Franklin Gothic Book" w:hAnsi="Franklin Gothic Book"/>
          <w:sz w:val="22"/>
        </w:rPr>
        <w:t xml:space="preserve">negligible impact on the </w:t>
      </w:r>
      <w:r w:rsidR="00050B41">
        <w:rPr>
          <w:rFonts w:ascii="Franklin Gothic Book" w:hAnsi="Franklin Gothic Book"/>
          <w:sz w:val="22"/>
        </w:rPr>
        <w:t xml:space="preserve">incremental </w:t>
      </w:r>
      <w:r w:rsidR="0037412C">
        <w:rPr>
          <w:rFonts w:ascii="Franklin Gothic Book" w:hAnsi="Franklin Gothic Book"/>
          <w:sz w:val="22"/>
        </w:rPr>
        <w:t>cost</w:t>
      </w:r>
      <w:r w:rsidR="00032552">
        <w:rPr>
          <w:rFonts w:ascii="Franklin Gothic Book" w:hAnsi="Franklin Gothic Book"/>
          <w:sz w:val="22"/>
        </w:rPr>
        <w:t xml:space="preserve"> </w:t>
      </w:r>
      <w:r w:rsidR="0037412C">
        <w:rPr>
          <w:rFonts w:ascii="Franklin Gothic Book" w:hAnsi="Franklin Gothic Book"/>
          <w:sz w:val="22"/>
        </w:rPr>
        <w:t>effective</w:t>
      </w:r>
      <w:r w:rsidR="00032552">
        <w:rPr>
          <w:rFonts w:ascii="Franklin Gothic Book" w:hAnsi="Franklin Gothic Book"/>
          <w:sz w:val="22"/>
        </w:rPr>
        <w:t>ness</w:t>
      </w:r>
      <w:r w:rsidR="006D738B">
        <w:rPr>
          <w:rFonts w:ascii="Franklin Gothic Book" w:hAnsi="Franklin Gothic Book"/>
          <w:sz w:val="22"/>
        </w:rPr>
        <w:t xml:space="preserve"> ratio (</w:t>
      </w:r>
      <w:r w:rsidR="00C679E8" w:rsidRPr="00C679E8">
        <w:rPr>
          <w:rFonts w:ascii="Franklin Gothic Book" w:hAnsi="Franklin Gothic Book"/>
          <w:sz w:val="22"/>
        </w:rPr>
        <w:t>ICER</w:t>
      </w:r>
      <w:r w:rsidR="006D738B">
        <w:rPr>
          <w:rFonts w:ascii="Franklin Gothic Book" w:hAnsi="Franklin Gothic Book"/>
          <w:sz w:val="22"/>
        </w:rPr>
        <w:t>)</w:t>
      </w:r>
      <w:r w:rsidR="00C679E8" w:rsidRPr="00C679E8">
        <w:rPr>
          <w:rFonts w:ascii="Franklin Gothic Book" w:hAnsi="Franklin Gothic Book"/>
          <w:sz w:val="22"/>
        </w:rPr>
        <w:t xml:space="preserve"> whether FRα testing occurs at primary diagnosis or at platinum resistance</w:t>
      </w:r>
      <w:r w:rsidR="001F12FD">
        <w:rPr>
          <w:rFonts w:ascii="Franklin Gothic Book" w:hAnsi="Franklin Gothic Book"/>
          <w:sz w:val="22"/>
        </w:rPr>
        <w:t>.</w:t>
      </w:r>
    </w:p>
    <w:p w14:paraId="2654E160" w14:textId="19F11FE2" w:rsidR="00F54A53" w:rsidRPr="00F54A53" w:rsidRDefault="00F54A53" w:rsidP="00F54A53">
      <w:pPr>
        <w:rPr>
          <w:rFonts w:ascii="Franklin Gothic Book" w:hAnsi="Franklin Gothic Book"/>
          <w:sz w:val="22"/>
        </w:rPr>
      </w:pPr>
      <w:r w:rsidRPr="00F54A53">
        <w:rPr>
          <w:rFonts w:ascii="Franklin Gothic Book" w:hAnsi="Franklin Gothic Book"/>
          <w:sz w:val="22"/>
        </w:rPr>
        <w:t>MSAC noted the financial and budgetary impacts</w:t>
      </w:r>
      <w:r w:rsidR="004C588D">
        <w:rPr>
          <w:rFonts w:ascii="Franklin Gothic Book" w:hAnsi="Franklin Gothic Book"/>
          <w:sz w:val="22"/>
        </w:rPr>
        <w:t xml:space="preserve"> for </w:t>
      </w:r>
      <w:r w:rsidRPr="00F54A53">
        <w:rPr>
          <w:rFonts w:ascii="Franklin Gothic Book" w:hAnsi="Franklin Gothic Book"/>
          <w:sz w:val="22"/>
        </w:rPr>
        <w:t>FRα testing</w:t>
      </w:r>
      <w:r w:rsidR="004C588D">
        <w:rPr>
          <w:rFonts w:ascii="Franklin Gothic Book" w:hAnsi="Franklin Gothic Book"/>
          <w:sz w:val="22"/>
        </w:rPr>
        <w:t xml:space="preserve"> either</w:t>
      </w:r>
      <w:r w:rsidRPr="00F54A53">
        <w:rPr>
          <w:rFonts w:ascii="Franklin Gothic Book" w:hAnsi="Franklin Gothic Book"/>
          <w:sz w:val="22"/>
        </w:rPr>
        <w:t xml:space="preserve"> at primary diagnosis (base case) </w:t>
      </w:r>
      <w:r w:rsidR="004C588D">
        <w:rPr>
          <w:rFonts w:ascii="Franklin Gothic Book" w:hAnsi="Franklin Gothic Book"/>
          <w:sz w:val="22"/>
        </w:rPr>
        <w:t xml:space="preserve">or </w:t>
      </w:r>
      <w:r w:rsidRPr="00F54A53">
        <w:rPr>
          <w:rFonts w:ascii="Franklin Gothic Book" w:hAnsi="Franklin Gothic Book"/>
          <w:sz w:val="22"/>
        </w:rPr>
        <w:t>at PROC confirmation (scenario analyses)</w:t>
      </w:r>
      <w:r w:rsidR="009324B8">
        <w:rPr>
          <w:rFonts w:ascii="Franklin Gothic Book" w:hAnsi="Franklin Gothic Book"/>
          <w:sz w:val="22"/>
        </w:rPr>
        <w:t xml:space="preserve">. MSAC </w:t>
      </w:r>
      <w:r w:rsidR="00493F7D">
        <w:rPr>
          <w:rFonts w:ascii="Franklin Gothic Book" w:hAnsi="Franklin Gothic Book"/>
          <w:sz w:val="22"/>
        </w:rPr>
        <w:t>agreed with the commentary</w:t>
      </w:r>
      <w:r w:rsidR="00523598">
        <w:rPr>
          <w:rFonts w:ascii="Franklin Gothic Book" w:hAnsi="Franklin Gothic Book"/>
          <w:sz w:val="22"/>
        </w:rPr>
        <w:t xml:space="preserve"> that</w:t>
      </w:r>
      <w:r w:rsidRPr="00F54A53">
        <w:rPr>
          <w:rFonts w:ascii="Franklin Gothic Book" w:hAnsi="Franklin Gothic Book"/>
          <w:sz w:val="22"/>
        </w:rPr>
        <w:t xml:space="preserve"> the number of incident patients may have been double </w:t>
      </w:r>
      <w:r w:rsidR="003670B4" w:rsidRPr="00F54A53">
        <w:rPr>
          <w:rFonts w:ascii="Franklin Gothic Book" w:hAnsi="Franklin Gothic Book"/>
          <w:sz w:val="22"/>
        </w:rPr>
        <w:t>counted,</w:t>
      </w:r>
      <w:r w:rsidRPr="00F54A53">
        <w:rPr>
          <w:rFonts w:ascii="Franklin Gothic Book" w:hAnsi="Franklin Gothic Book"/>
          <w:sz w:val="22"/>
        </w:rPr>
        <w:t xml:space="preserve"> or the number of prevalent patients may have been underestimated. MSAC considered that this created uncertainty in the predicted number of patients tested at PROC confirmation and the associated costs to the MBS. MSAC also noted the revised costing provided by the department that reduced the proportion of high-grade serous ovarian cancer from 90% to 63% and calculated the cost to the MBS based on a fee of $112 instead of $125, which further reduced the costs to the MBS. </w:t>
      </w:r>
      <w:r w:rsidR="001F25AA" w:rsidRPr="00F54A53">
        <w:rPr>
          <w:rFonts w:ascii="Franklin Gothic Book" w:hAnsi="Franklin Gothic Book"/>
          <w:sz w:val="22"/>
        </w:rPr>
        <w:t>MSAC noted that the cost of the IHC test – either at primary diagnosis or at PROC confirmation – was a small proportion of the overall cost to health budgets</w:t>
      </w:r>
      <w:r w:rsidR="003D26A9">
        <w:rPr>
          <w:rFonts w:ascii="Franklin Gothic Book" w:hAnsi="Franklin Gothic Book"/>
          <w:sz w:val="22"/>
        </w:rPr>
        <w:t>. Therefore,</w:t>
      </w:r>
      <w:r w:rsidR="00ED6AB2">
        <w:rPr>
          <w:rFonts w:ascii="Franklin Gothic Book" w:hAnsi="Franklin Gothic Book"/>
          <w:sz w:val="22"/>
        </w:rPr>
        <w:t xml:space="preserve"> </w:t>
      </w:r>
      <w:r w:rsidRPr="00F54A53">
        <w:rPr>
          <w:rFonts w:ascii="Franklin Gothic Book" w:hAnsi="Franklin Gothic Book"/>
          <w:sz w:val="22"/>
        </w:rPr>
        <w:t>MSAC considered that the financial and budgetary impacts were acceptable.</w:t>
      </w:r>
    </w:p>
    <w:p w14:paraId="20404EBA" w14:textId="5EFF7AC9" w:rsidR="00A6228E" w:rsidRPr="00F54A53" w:rsidDel="00C76FAA" w:rsidRDefault="005A490B" w:rsidP="00FD287E">
      <w:pPr>
        <w:rPr>
          <w:rFonts w:ascii="Franklin Gothic Book" w:hAnsi="Franklin Gothic Book"/>
          <w:sz w:val="22"/>
        </w:rPr>
      </w:pPr>
      <w:r w:rsidRPr="00F54A53">
        <w:rPr>
          <w:rFonts w:ascii="Franklin Gothic Book" w:hAnsi="Franklin Gothic Book"/>
          <w:sz w:val="22"/>
        </w:rPr>
        <w:t xml:space="preserve">MSAC noted </w:t>
      </w:r>
      <w:r w:rsidRPr="006958A3">
        <w:rPr>
          <w:rFonts w:ascii="Franklin Gothic Book" w:eastAsia="Franklin Gothic Book" w:hAnsi="Franklin Gothic Book" w:cstheme="minorHAnsi"/>
          <w:color w:val="000000" w:themeColor="text1"/>
          <w:sz w:val="22"/>
        </w:rPr>
        <w:t xml:space="preserve">the Pharmaceutical Benefits Advisory Committee (PBAC) at its July 2025 meeting deferred its consideration of </w:t>
      </w:r>
      <w:r>
        <w:rPr>
          <w:rFonts w:ascii="Franklin Gothic Book" w:eastAsia="Franklin Gothic Book" w:hAnsi="Franklin Gothic Book" w:cstheme="minorHAnsi"/>
          <w:color w:val="000000" w:themeColor="text1"/>
          <w:sz w:val="22"/>
        </w:rPr>
        <w:t>MIRV</w:t>
      </w:r>
      <w:r w:rsidRPr="006958A3">
        <w:rPr>
          <w:rFonts w:ascii="Franklin Gothic Book" w:eastAsia="Franklin Gothic Book" w:hAnsi="Franklin Gothic Book" w:cstheme="minorHAnsi"/>
          <w:color w:val="000000" w:themeColor="text1"/>
          <w:sz w:val="22"/>
        </w:rPr>
        <w:t xml:space="preserve"> noting the TGA delegate’s overview</w:t>
      </w:r>
      <w:r>
        <w:rPr>
          <w:rFonts w:ascii="Franklin Gothic Book" w:eastAsia="Franklin Gothic Book" w:hAnsi="Franklin Gothic Book" w:cstheme="minorHAnsi"/>
          <w:color w:val="000000" w:themeColor="text1"/>
          <w:sz w:val="22"/>
        </w:rPr>
        <w:t xml:space="preserve"> for MIRV</w:t>
      </w:r>
      <w:r w:rsidRPr="006958A3">
        <w:rPr>
          <w:rFonts w:ascii="Franklin Gothic Book" w:eastAsia="Franklin Gothic Book" w:hAnsi="Franklin Gothic Book" w:cstheme="minorHAnsi"/>
          <w:color w:val="000000" w:themeColor="text1"/>
          <w:sz w:val="22"/>
        </w:rPr>
        <w:t xml:space="preserve"> is expected by September 2025. </w:t>
      </w:r>
      <w:r>
        <w:rPr>
          <w:rFonts w:ascii="Franklin Gothic Book" w:eastAsia="Franklin Gothic Book" w:hAnsi="Franklin Gothic Book" w:cstheme="minorHAnsi"/>
          <w:color w:val="000000" w:themeColor="text1"/>
          <w:sz w:val="22"/>
        </w:rPr>
        <w:t>Additionally, MSAC noted that th</w:t>
      </w:r>
      <w:r w:rsidRPr="006958A3">
        <w:rPr>
          <w:rFonts w:ascii="Franklin Gothic Book" w:eastAsia="Franklin Gothic Book" w:hAnsi="Franklin Gothic Book" w:cstheme="minorHAnsi"/>
          <w:color w:val="000000" w:themeColor="text1"/>
          <w:sz w:val="22"/>
        </w:rPr>
        <w:t xml:space="preserve">e PBAC was of a mind to recommend </w:t>
      </w:r>
      <w:r>
        <w:rPr>
          <w:rFonts w:ascii="Franklin Gothic Book" w:eastAsia="Franklin Gothic Book" w:hAnsi="Franklin Gothic Book" w:cstheme="minorHAnsi"/>
          <w:color w:val="000000" w:themeColor="text1"/>
          <w:sz w:val="22"/>
        </w:rPr>
        <w:t>MIRV</w:t>
      </w:r>
      <w:r w:rsidRPr="006958A3">
        <w:rPr>
          <w:rFonts w:ascii="Franklin Gothic Book" w:eastAsia="Franklin Gothic Book" w:hAnsi="Franklin Gothic Book" w:cstheme="minorHAnsi"/>
          <w:color w:val="000000" w:themeColor="text1"/>
          <w:sz w:val="22"/>
        </w:rPr>
        <w:t xml:space="preserve"> pending </w:t>
      </w:r>
      <w:r w:rsidR="00FA6222">
        <w:rPr>
          <w:rFonts w:ascii="Franklin Gothic Book" w:eastAsia="Franklin Gothic Book" w:hAnsi="Franklin Gothic Book" w:cstheme="minorHAnsi"/>
          <w:color w:val="000000" w:themeColor="text1"/>
          <w:sz w:val="22"/>
        </w:rPr>
        <w:t xml:space="preserve">regulatory </w:t>
      </w:r>
      <w:r w:rsidRPr="006958A3">
        <w:rPr>
          <w:rFonts w:ascii="Franklin Gothic Book" w:eastAsia="Franklin Gothic Book" w:hAnsi="Franklin Gothic Book" w:cstheme="minorHAnsi"/>
          <w:color w:val="000000" w:themeColor="text1"/>
          <w:sz w:val="22"/>
        </w:rPr>
        <w:t>updates.</w:t>
      </w:r>
      <w:r>
        <w:rPr>
          <w:rFonts w:ascii="Franklin Gothic Book" w:eastAsia="Franklin Gothic Book" w:hAnsi="Franklin Gothic Book" w:cstheme="minorHAnsi"/>
          <w:color w:val="000000" w:themeColor="text1"/>
          <w:sz w:val="22"/>
        </w:rPr>
        <w:t xml:space="preserve"> </w:t>
      </w:r>
      <w:r w:rsidR="00B246E6">
        <w:rPr>
          <w:rFonts w:ascii="Franklin Gothic Book" w:eastAsia="Franklin Gothic Book" w:hAnsi="Franklin Gothic Book" w:cstheme="minorHAnsi"/>
          <w:color w:val="000000" w:themeColor="text1"/>
          <w:sz w:val="22"/>
        </w:rPr>
        <w:t xml:space="preserve">Therefore, </w:t>
      </w:r>
      <w:r w:rsidR="00F54A53" w:rsidRPr="00F54A53">
        <w:rPr>
          <w:rFonts w:ascii="Franklin Gothic Book" w:hAnsi="Franklin Gothic Book"/>
          <w:sz w:val="22"/>
        </w:rPr>
        <w:t xml:space="preserve">MSAC </w:t>
      </w:r>
      <w:r w:rsidR="00B246E6">
        <w:rPr>
          <w:rFonts w:ascii="Franklin Gothic Book" w:hAnsi="Franklin Gothic Book"/>
          <w:sz w:val="22"/>
        </w:rPr>
        <w:t>was inclined to support</w:t>
      </w:r>
      <w:r w:rsidR="00F54A53" w:rsidRPr="00F54A53">
        <w:rPr>
          <w:rFonts w:ascii="Franklin Gothic Book" w:hAnsi="Franklin Gothic Book"/>
          <w:sz w:val="22"/>
        </w:rPr>
        <w:t xml:space="preserve"> MBS listing of IHC testing to determine FRα expression, conditional on </w:t>
      </w:r>
      <w:r w:rsidR="00797F66">
        <w:rPr>
          <w:rFonts w:ascii="Franklin Gothic Book" w:hAnsi="Franklin Gothic Book"/>
          <w:sz w:val="22"/>
        </w:rPr>
        <w:t xml:space="preserve">the </w:t>
      </w:r>
      <w:r w:rsidR="00797F66" w:rsidRPr="00515E4C">
        <w:rPr>
          <w:rStyle w:val="InstructionalTextChar"/>
          <w:rFonts w:ascii="Franklin Gothic Book" w:hAnsi="Franklin Gothic Book"/>
          <w:color w:val="auto"/>
          <w:sz w:val="22"/>
          <w:szCs w:val="20"/>
        </w:rPr>
        <w:t>Australian Register of Therapeutic Goods</w:t>
      </w:r>
      <w:r w:rsidR="00797F66" w:rsidRPr="00515E4C">
        <w:rPr>
          <w:rStyle w:val="InstructionalTextChar"/>
          <w:rFonts w:ascii="Franklin Gothic Book" w:hAnsi="Franklin Gothic Book"/>
          <w:iCs/>
          <w:color w:val="auto"/>
          <w:sz w:val="22"/>
          <w:szCs w:val="20"/>
        </w:rPr>
        <w:t xml:space="preserve"> </w:t>
      </w:r>
      <w:r w:rsidR="00797F66">
        <w:rPr>
          <w:rStyle w:val="InstructionalTextChar"/>
          <w:rFonts w:ascii="Franklin Gothic Book" w:hAnsi="Franklin Gothic Book"/>
          <w:iCs/>
          <w:color w:val="auto"/>
          <w:sz w:val="22"/>
          <w:szCs w:val="20"/>
        </w:rPr>
        <w:t>(</w:t>
      </w:r>
      <w:r w:rsidR="00F54A53" w:rsidRPr="00F54A53">
        <w:rPr>
          <w:rFonts w:ascii="Franklin Gothic Book" w:hAnsi="Franklin Gothic Book"/>
          <w:sz w:val="22"/>
        </w:rPr>
        <w:t>ARTG</w:t>
      </w:r>
      <w:r w:rsidR="00797F66">
        <w:rPr>
          <w:rFonts w:ascii="Franklin Gothic Book" w:hAnsi="Franklin Gothic Book"/>
          <w:sz w:val="22"/>
        </w:rPr>
        <w:t>)</w:t>
      </w:r>
      <w:r w:rsidR="00F54A53" w:rsidRPr="00F54A53">
        <w:rPr>
          <w:rFonts w:ascii="Franklin Gothic Book" w:hAnsi="Franklin Gothic Book"/>
          <w:sz w:val="22"/>
        </w:rPr>
        <w:t xml:space="preserve"> listing of the test </w:t>
      </w:r>
      <w:r w:rsidR="00C4095E">
        <w:rPr>
          <w:rFonts w:ascii="Franklin Gothic Book" w:hAnsi="Franklin Gothic Book"/>
          <w:sz w:val="22"/>
        </w:rPr>
        <w:t>and</w:t>
      </w:r>
      <w:r w:rsidR="00F54A53" w:rsidRPr="00F54A53">
        <w:rPr>
          <w:rFonts w:ascii="Franklin Gothic Book" w:hAnsi="Franklin Gothic Book"/>
          <w:sz w:val="22"/>
        </w:rPr>
        <w:t xml:space="preserve"> a positive recommendation for MIRV from the PBAC.</w:t>
      </w:r>
      <w:r w:rsidR="00016583">
        <w:rPr>
          <w:rFonts w:ascii="Franklin Gothic Book" w:hAnsi="Franklin Gothic Book"/>
          <w:sz w:val="22"/>
        </w:rPr>
        <w:t xml:space="preserve"> </w:t>
      </w:r>
      <w:r w:rsidR="00420529">
        <w:rPr>
          <w:rFonts w:ascii="Franklin Gothic Book" w:hAnsi="Franklin Gothic Book"/>
          <w:sz w:val="22"/>
        </w:rPr>
        <w:t xml:space="preserve">Further, </w:t>
      </w:r>
      <w:r w:rsidR="00816857" w:rsidRPr="00816857">
        <w:rPr>
          <w:rFonts w:ascii="Franklin Gothic Book" w:hAnsi="Franklin Gothic Book"/>
          <w:sz w:val="22"/>
        </w:rPr>
        <w:t xml:space="preserve">MSAC </w:t>
      </w:r>
      <w:r w:rsidR="00037F80">
        <w:rPr>
          <w:rFonts w:ascii="Franklin Gothic Book" w:hAnsi="Franklin Gothic Book"/>
          <w:sz w:val="22"/>
        </w:rPr>
        <w:t>re</w:t>
      </w:r>
      <w:r w:rsidR="00816857" w:rsidRPr="00816857">
        <w:rPr>
          <w:rFonts w:ascii="Franklin Gothic Book" w:hAnsi="Franklin Gothic Book"/>
          <w:sz w:val="22"/>
        </w:rPr>
        <w:t>consideration of this application may be conducted out-of-session</w:t>
      </w:r>
      <w:r w:rsidR="00816857">
        <w:rPr>
          <w:rFonts w:ascii="Franklin Gothic Book" w:hAnsi="Franklin Gothic Book"/>
          <w:sz w:val="22"/>
        </w:rPr>
        <w:t xml:space="preserve"> following fulfilment of the specifi</w:t>
      </w:r>
      <w:r w:rsidR="00050ACF">
        <w:rPr>
          <w:rFonts w:ascii="Franklin Gothic Book" w:hAnsi="Franklin Gothic Book"/>
          <w:sz w:val="22"/>
        </w:rPr>
        <w:t>ed</w:t>
      </w:r>
      <w:r w:rsidR="00816857">
        <w:rPr>
          <w:rFonts w:ascii="Franklin Gothic Book" w:hAnsi="Franklin Gothic Book"/>
          <w:sz w:val="22"/>
        </w:rPr>
        <w:t xml:space="preserve"> </w:t>
      </w:r>
      <w:r w:rsidR="008F518E">
        <w:rPr>
          <w:rFonts w:ascii="Franklin Gothic Book" w:hAnsi="Franklin Gothic Book"/>
          <w:sz w:val="22"/>
        </w:rPr>
        <w:t>requirements</w:t>
      </w:r>
      <w:r w:rsidR="00816857">
        <w:rPr>
          <w:rFonts w:ascii="Franklin Gothic Book" w:hAnsi="Franklin Gothic Book"/>
          <w:sz w:val="22"/>
        </w:rPr>
        <w:t>.</w:t>
      </w:r>
      <w:r w:rsidR="00F54A53" w:rsidRPr="00F54A53">
        <w:rPr>
          <w:rFonts w:ascii="Franklin Gothic Book" w:hAnsi="Franklin Gothic Book"/>
          <w:sz w:val="22"/>
        </w:rPr>
        <w:t xml:space="preserve"> </w:t>
      </w:r>
    </w:p>
    <w:p w14:paraId="16B0C07A" w14:textId="53D61F98" w:rsidR="001E1827" w:rsidRPr="00662435" w:rsidRDefault="001E1827" w:rsidP="00AE70BD">
      <w:pPr>
        <w:pStyle w:val="Heading2"/>
        <w:numPr>
          <w:ilvl w:val="0"/>
          <w:numId w:val="18"/>
        </w:numPr>
        <w:ind w:hanging="720"/>
        <w:rPr>
          <w:rFonts w:ascii="Franklin Gothic Medium" w:hAnsi="Franklin Gothic Medium"/>
          <w:b w:val="0"/>
          <w:sz w:val="32"/>
          <w:szCs w:val="32"/>
        </w:rPr>
      </w:pPr>
      <w:r w:rsidRPr="00662435">
        <w:rPr>
          <w:rFonts w:ascii="Franklin Gothic Medium" w:hAnsi="Franklin Gothic Medium"/>
          <w:b w:val="0"/>
          <w:sz w:val="32"/>
          <w:szCs w:val="32"/>
        </w:rPr>
        <w:t>Background</w:t>
      </w:r>
      <w:bookmarkEnd w:id="5"/>
    </w:p>
    <w:p w14:paraId="337172FD" w14:textId="7DBE32AD" w:rsidR="00BC7FC2" w:rsidRDefault="00BC7FC2" w:rsidP="00242EB4">
      <w:pPr>
        <w:rPr>
          <w:rFonts w:ascii="Franklin Gothic Book" w:hAnsi="Franklin Gothic Book"/>
          <w:sz w:val="22"/>
          <w:szCs w:val="20"/>
        </w:rPr>
      </w:pPr>
      <w:r w:rsidRPr="00BC7FC2">
        <w:rPr>
          <w:rFonts w:ascii="Franklin Gothic Book" w:hAnsi="Franklin Gothic Book"/>
          <w:sz w:val="22"/>
          <w:szCs w:val="20"/>
        </w:rPr>
        <w:t xml:space="preserve">This integrated codependent application is the first </w:t>
      </w:r>
      <w:r w:rsidR="003A3EE2">
        <w:rPr>
          <w:rFonts w:ascii="Franklin Gothic Book" w:hAnsi="Franklin Gothic Book"/>
          <w:sz w:val="22"/>
          <w:szCs w:val="20"/>
        </w:rPr>
        <w:t>application</w:t>
      </w:r>
      <w:r w:rsidRPr="00BC7FC2">
        <w:rPr>
          <w:rFonts w:ascii="Franklin Gothic Book" w:hAnsi="Franklin Gothic Book"/>
          <w:sz w:val="22"/>
          <w:szCs w:val="20"/>
        </w:rPr>
        <w:t xml:space="preserve"> </w:t>
      </w:r>
      <w:r w:rsidR="006C29A1" w:rsidRPr="00BC7FC2">
        <w:rPr>
          <w:rFonts w:ascii="Franklin Gothic Book" w:hAnsi="Franklin Gothic Book"/>
          <w:sz w:val="22"/>
          <w:szCs w:val="20"/>
        </w:rPr>
        <w:t>to the MSAC</w:t>
      </w:r>
      <w:r w:rsidRPr="00BC7FC2">
        <w:rPr>
          <w:rFonts w:ascii="Franklin Gothic Book" w:hAnsi="Franklin Gothic Book"/>
          <w:sz w:val="22"/>
          <w:szCs w:val="20"/>
        </w:rPr>
        <w:t xml:space="preserve"> for </w:t>
      </w:r>
      <w:r w:rsidR="00C72B56" w:rsidRPr="00C72B56">
        <w:rPr>
          <w:rFonts w:ascii="Franklin Gothic Book" w:hAnsi="Franklin Gothic Book"/>
          <w:sz w:val="22"/>
          <w:szCs w:val="20"/>
        </w:rPr>
        <w:t>immunohistochemistry (IHC)</w:t>
      </w:r>
      <w:r w:rsidRPr="00BC7FC2">
        <w:rPr>
          <w:rFonts w:ascii="Franklin Gothic Book" w:hAnsi="Franklin Gothic Book"/>
          <w:sz w:val="22"/>
          <w:szCs w:val="20"/>
        </w:rPr>
        <w:t xml:space="preserve"> testing</w:t>
      </w:r>
      <w:r>
        <w:rPr>
          <w:rFonts w:ascii="Franklin Gothic Book" w:hAnsi="Franklin Gothic Book"/>
          <w:sz w:val="22"/>
          <w:szCs w:val="20"/>
        </w:rPr>
        <w:t xml:space="preserve"> of FRα</w:t>
      </w:r>
      <w:r w:rsidRPr="00BC7FC2">
        <w:rPr>
          <w:rFonts w:ascii="Franklin Gothic Book" w:hAnsi="Franklin Gothic Book"/>
          <w:sz w:val="22"/>
          <w:szCs w:val="20"/>
        </w:rPr>
        <w:t xml:space="preserve"> </w:t>
      </w:r>
      <w:r w:rsidRPr="00E321B4">
        <w:rPr>
          <w:rFonts w:ascii="Franklin Gothic Book" w:hAnsi="Franklin Gothic Book"/>
          <w:color w:val="000000" w:themeColor="text1"/>
          <w:sz w:val="22"/>
          <w:szCs w:val="20"/>
        </w:rPr>
        <w:t>expression in patients with high-grade epithelial ovarian, fallopian tube or primary peritoneal carcinoma cancer (EOC), to determine eligibility for treatment with mirvetuximab soravtansine (MIRV)</w:t>
      </w:r>
      <w:r w:rsidRPr="00BC7FC2">
        <w:rPr>
          <w:rFonts w:ascii="Franklin Gothic Book" w:hAnsi="Franklin Gothic Book"/>
          <w:sz w:val="22"/>
          <w:szCs w:val="20"/>
        </w:rPr>
        <w:t xml:space="preserve">. </w:t>
      </w:r>
    </w:p>
    <w:p w14:paraId="6CFE4A9C" w14:textId="65CC2A09" w:rsidR="00BE3D49" w:rsidRPr="00C61C2C" w:rsidRDefault="00BE3D49"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8" w:name="_Toc198721985"/>
      <w:r w:rsidRPr="00C61C2C">
        <w:rPr>
          <w:rFonts w:ascii="Franklin Gothic Medium" w:hAnsi="Franklin Gothic Medium"/>
          <w:b w:val="0"/>
          <w:snapToGrid/>
          <w:color w:val="000000" w:themeColor="text1"/>
          <w:sz w:val="32"/>
          <w:szCs w:val="26"/>
        </w:rPr>
        <w:t>Prerequisites to implementation of any funding advice</w:t>
      </w:r>
      <w:bookmarkEnd w:id="8"/>
    </w:p>
    <w:p w14:paraId="191F2A4B" w14:textId="77777777" w:rsidR="00242EB4" w:rsidRPr="00C61C2C" w:rsidRDefault="00242EB4" w:rsidP="00242EB4">
      <w:pPr>
        <w:rPr>
          <w:rFonts w:ascii="Franklin Gothic Book" w:hAnsi="Franklin Gothic Book"/>
          <w:sz w:val="22"/>
          <w:szCs w:val="20"/>
        </w:rPr>
      </w:pPr>
      <w:r w:rsidRPr="00C61C2C">
        <w:rPr>
          <w:rFonts w:ascii="Franklin Gothic Book" w:hAnsi="Franklin Gothic Book"/>
          <w:sz w:val="22"/>
          <w:szCs w:val="20"/>
        </w:rPr>
        <w:t xml:space="preserve">The test proposed in this submission is the VENTANA FOLR1 (FOLR1-2.1) RxDx Assay (Roche Diagnostics). The assay uses the Ventana Benchmark staining platform. </w:t>
      </w:r>
    </w:p>
    <w:p w14:paraId="5BA64EBE" w14:textId="60C3E77F" w:rsidR="00242EB4" w:rsidRPr="00C61C2C" w:rsidRDefault="00242EB4" w:rsidP="00242EB4">
      <w:pPr>
        <w:rPr>
          <w:rFonts w:ascii="Franklin Gothic Book" w:hAnsi="Franklin Gothic Book"/>
          <w:sz w:val="22"/>
          <w:szCs w:val="20"/>
        </w:rPr>
      </w:pPr>
      <w:r w:rsidRPr="00C61C2C">
        <w:rPr>
          <w:rFonts w:ascii="Franklin Gothic Book" w:hAnsi="Franklin Gothic Book"/>
          <w:sz w:val="22"/>
          <w:szCs w:val="20"/>
        </w:rPr>
        <w:t xml:space="preserve">The proposed test is a qualitative IHC assay which employs a mouse antibody to FRα protein as a reagent for staining of formalin fixed paraffin embedded (FFPE) EOC patient tumour tissue sections. IHC testing is a </w:t>
      </w:r>
      <w:r w:rsidR="00941012" w:rsidRPr="00C61C2C">
        <w:rPr>
          <w:rFonts w:ascii="Franklin Gothic Book" w:hAnsi="Franklin Gothic Book"/>
          <w:sz w:val="22"/>
          <w:szCs w:val="20"/>
        </w:rPr>
        <w:t>commonly used</w:t>
      </w:r>
      <w:r w:rsidRPr="00C61C2C">
        <w:rPr>
          <w:rFonts w:ascii="Franklin Gothic Book" w:hAnsi="Franklin Gothic Book"/>
          <w:sz w:val="22"/>
          <w:szCs w:val="20"/>
        </w:rPr>
        <w:t xml:space="preserve"> technique in pathology laboratories. The ratified PICO Confirmation noted that laboratories should be able to use whichever Therapeutic Goods Administration (TGA) approved product they choose for the test (or use an in-house in</w:t>
      </w:r>
      <w:r w:rsidR="00BE4015" w:rsidRPr="00C61C2C">
        <w:rPr>
          <w:rFonts w:ascii="Franklin Gothic Book" w:hAnsi="Franklin Gothic Book"/>
          <w:sz w:val="22"/>
          <w:szCs w:val="20"/>
        </w:rPr>
        <w:t xml:space="preserve"> </w:t>
      </w:r>
      <w:r w:rsidRPr="00C61C2C">
        <w:rPr>
          <w:rFonts w:ascii="Franklin Gothic Book" w:hAnsi="Franklin Gothic Book"/>
          <w:sz w:val="22"/>
          <w:szCs w:val="20"/>
        </w:rPr>
        <w:t xml:space="preserve">vitro diagnostic) provided their methods meet accreditation standards (National Pathology Accreditation Advisory Council [NPAAC] and National Association of Testing Authorities [NATA]) (p18, 1787 ratified PICO Confirmation). </w:t>
      </w:r>
    </w:p>
    <w:p w14:paraId="1627C484" w14:textId="2AA5CC0E" w:rsidR="00242EB4" w:rsidRPr="00C61C2C" w:rsidRDefault="00242EB4" w:rsidP="00242EB4">
      <w:pPr>
        <w:rPr>
          <w:rFonts w:ascii="Franklin Gothic Book" w:hAnsi="Franklin Gothic Book"/>
          <w:sz w:val="22"/>
          <w:szCs w:val="20"/>
        </w:rPr>
      </w:pPr>
      <w:r w:rsidRPr="00C61C2C">
        <w:rPr>
          <w:rFonts w:ascii="Franklin Gothic Book" w:hAnsi="Franklin Gothic Book"/>
          <w:sz w:val="22"/>
          <w:szCs w:val="20"/>
        </w:rPr>
        <w:t xml:space="preserve">Both the proposed test, the VENTANA FOLR1-2.1 companion diagnostic assay (the FOLR1 test) and the medicine, MIRV, are under regulatory review by the TGA. </w:t>
      </w:r>
      <w:r w:rsidR="00D208D2" w:rsidRPr="00C61C2C">
        <w:rPr>
          <w:rFonts w:ascii="Franklin Gothic Book" w:hAnsi="Franklin Gothic Book"/>
          <w:sz w:val="22"/>
          <w:szCs w:val="20"/>
        </w:rPr>
        <w:t>During the evaluation, the sponsor</w:t>
      </w:r>
      <w:r w:rsidR="009A1C88" w:rsidRPr="00C61C2C">
        <w:rPr>
          <w:rFonts w:ascii="Franklin Gothic Book" w:hAnsi="Franklin Gothic Book"/>
          <w:sz w:val="22"/>
          <w:szCs w:val="20"/>
        </w:rPr>
        <w:t xml:space="preserve"> for MIRV</w:t>
      </w:r>
      <w:r w:rsidR="00D208D2" w:rsidRPr="00C61C2C">
        <w:rPr>
          <w:rFonts w:ascii="Franklin Gothic Book" w:hAnsi="Franklin Gothic Book"/>
          <w:sz w:val="22"/>
          <w:szCs w:val="20"/>
        </w:rPr>
        <w:t xml:space="preserve"> advised that the </w:t>
      </w:r>
      <w:r w:rsidR="003061B3" w:rsidRPr="00C61C2C">
        <w:rPr>
          <w:rFonts w:ascii="Franklin Gothic Book" w:hAnsi="Franklin Gothic Book"/>
          <w:sz w:val="22"/>
          <w:szCs w:val="20"/>
        </w:rPr>
        <w:t xml:space="preserve">TGA </w:t>
      </w:r>
      <w:r w:rsidR="00D208D2" w:rsidRPr="00C61C2C">
        <w:rPr>
          <w:rFonts w:ascii="Franklin Gothic Book" w:hAnsi="Franklin Gothic Book"/>
          <w:sz w:val="22"/>
          <w:szCs w:val="20"/>
        </w:rPr>
        <w:t xml:space="preserve">Delegate's </w:t>
      </w:r>
      <w:r w:rsidR="00015D9E" w:rsidRPr="00C61C2C">
        <w:rPr>
          <w:rFonts w:ascii="Franklin Gothic Book" w:hAnsi="Franklin Gothic Book"/>
          <w:sz w:val="22"/>
          <w:szCs w:val="20"/>
        </w:rPr>
        <w:t>advice</w:t>
      </w:r>
      <w:r w:rsidR="00D208D2" w:rsidRPr="00C61C2C">
        <w:rPr>
          <w:rFonts w:ascii="Franklin Gothic Book" w:hAnsi="Franklin Gothic Book"/>
          <w:sz w:val="22"/>
          <w:szCs w:val="20"/>
        </w:rPr>
        <w:t xml:space="preserve"> </w:t>
      </w:r>
      <w:r w:rsidR="002D3E22" w:rsidRPr="00C61C2C">
        <w:rPr>
          <w:rFonts w:ascii="Franklin Gothic Book" w:hAnsi="Franklin Gothic Book"/>
          <w:sz w:val="22"/>
          <w:szCs w:val="20"/>
        </w:rPr>
        <w:t xml:space="preserve">for the drug component </w:t>
      </w:r>
      <w:r w:rsidR="0062733B" w:rsidRPr="00C61C2C">
        <w:rPr>
          <w:rFonts w:ascii="Franklin Gothic Book" w:hAnsi="Franklin Gothic Book"/>
          <w:sz w:val="22"/>
          <w:szCs w:val="20"/>
        </w:rPr>
        <w:t xml:space="preserve">would be available by </w:t>
      </w:r>
      <w:r w:rsidR="00D208D2" w:rsidRPr="00C61C2C">
        <w:rPr>
          <w:rFonts w:ascii="Franklin Gothic Book" w:hAnsi="Franklin Gothic Book"/>
          <w:sz w:val="22"/>
          <w:szCs w:val="20"/>
        </w:rPr>
        <w:t xml:space="preserve">2 </w:t>
      </w:r>
      <w:r w:rsidR="00D208D2" w:rsidRPr="00C61C2C">
        <w:rPr>
          <w:rFonts w:ascii="Franklin Gothic Book" w:hAnsi="Franklin Gothic Book"/>
          <w:sz w:val="22"/>
          <w:szCs w:val="20"/>
        </w:rPr>
        <w:lastRenderedPageBreak/>
        <w:t>Sept</w:t>
      </w:r>
      <w:r w:rsidR="0062733B" w:rsidRPr="00C61C2C">
        <w:rPr>
          <w:rFonts w:ascii="Franklin Gothic Book" w:hAnsi="Franklin Gothic Book"/>
          <w:sz w:val="22"/>
          <w:szCs w:val="20"/>
        </w:rPr>
        <w:t>ember 2025 and the</w:t>
      </w:r>
      <w:r w:rsidR="00D208D2" w:rsidRPr="00C61C2C">
        <w:rPr>
          <w:rFonts w:ascii="Franklin Gothic Book" w:hAnsi="Franklin Gothic Book"/>
          <w:sz w:val="22"/>
          <w:szCs w:val="20"/>
        </w:rPr>
        <w:t xml:space="preserve"> outcome </w:t>
      </w:r>
      <w:r w:rsidR="0062733B" w:rsidRPr="00C61C2C">
        <w:rPr>
          <w:rFonts w:ascii="Franklin Gothic Book" w:hAnsi="Franklin Gothic Book"/>
          <w:sz w:val="22"/>
          <w:szCs w:val="20"/>
        </w:rPr>
        <w:t>from the</w:t>
      </w:r>
      <w:r w:rsidR="005D15A5" w:rsidRPr="00C61C2C">
        <w:rPr>
          <w:rFonts w:ascii="Franklin Gothic Book" w:hAnsi="Franklin Gothic Book"/>
          <w:sz w:val="22"/>
          <w:szCs w:val="20"/>
        </w:rPr>
        <w:t xml:space="preserve"> TGA</w:t>
      </w:r>
      <w:r w:rsidR="0062733B" w:rsidRPr="00C61C2C">
        <w:rPr>
          <w:rFonts w:ascii="Franklin Gothic Book" w:hAnsi="Franklin Gothic Book"/>
          <w:sz w:val="22"/>
          <w:szCs w:val="20"/>
        </w:rPr>
        <w:t xml:space="preserve"> </w:t>
      </w:r>
      <w:r w:rsidR="005D15A5" w:rsidRPr="00C61C2C">
        <w:rPr>
          <w:rFonts w:ascii="Franklin Gothic Book" w:hAnsi="Franklin Gothic Book"/>
          <w:sz w:val="22"/>
          <w:szCs w:val="20"/>
        </w:rPr>
        <w:t xml:space="preserve">Advisory Committee on Medicines (ACM) </w:t>
      </w:r>
      <w:r w:rsidR="007F6C81" w:rsidRPr="00C61C2C">
        <w:rPr>
          <w:rFonts w:ascii="Franklin Gothic Book" w:hAnsi="Franklin Gothic Book"/>
          <w:sz w:val="22"/>
          <w:szCs w:val="20"/>
        </w:rPr>
        <w:t xml:space="preserve">would be available </w:t>
      </w:r>
      <w:r w:rsidR="005D15A5" w:rsidRPr="00C61C2C">
        <w:rPr>
          <w:rFonts w:ascii="Franklin Gothic Book" w:hAnsi="Franklin Gothic Book"/>
          <w:sz w:val="22"/>
          <w:szCs w:val="20"/>
        </w:rPr>
        <w:t xml:space="preserve">by </w:t>
      </w:r>
      <w:r w:rsidR="00D208D2" w:rsidRPr="00C61C2C">
        <w:rPr>
          <w:rFonts w:ascii="Franklin Gothic Book" w:hAnsi="Franklin Gothic Book"/>
          <w:sz w:val="22"/>
          <w:szCs w:val="20"/>
        </w:rPr>
        <w:t>24 Oct</w:t>
      </w:r>
      <w:r w:rsidR="0062733B" w:rsidRPr="00C61C2C">
        <w:rPr>
          <w:rFonts w:ascii="Franklin Gothic Book" w:hAnsi="Franklin Gothic Book"/>
          <w:sz w:val="22"/>
          <w:szCs w:val="20"/>
        </w:rPr>
        <w:t xml:space="preserve">ober 2025. </w:t>
      </w:r>
    </w:p>
    <w:p w14:paraId="0EAAA83D" w14:textId="554D1A5C" w:rsidR="00242EB4" w:rsidRPr="00C61C2C" w:rsidRDefault="00242EB4" w:rsidP="00242EB4">
      <w:pPr>
        <w:rPr>
          <w:rFonts w:ascii="Franklin Gothic Book" w:hAnsi="Franklin Gothic Book"/>
          <w:sz w:val="22"/>
          <w:szCs w:val="20"/>
        </w:rPr>
      </w:pPr>
      <w:r w:rsidRPr="00C61C2C">
        <w:rPr>
          <w:rFonts w:ascii="Franklin Gothic Book" w:hAnsi="Franklin Gothic Book"/>
          <w:sz w:val="22"/>
          <w:szCs w:val="20"/>
        </w:rPr>
        <w:t xml:space="preserve">As yet, the Ventana FOLR1 test is not on the market in Australia and FRα expression is not a routine biomarker test offered by pathology laboratories for EOC patients. A Quality Assurance Program (QAP) for IHC testing of FRα expression has </w:t>
      </w:r>
      <w:r w:rsidR="00D25FCE">
        <w:rPr>
          <w:rFonts w:ascii="Franklin Gothic Book" w:hAnsi="Franklin Gothic Book"/>
          <w:sz w:val="22"/>
          <w:szCs w:val="20"/>
        </w:rPr>
        <w:t xml:space="preserve">been proposed, but </w:t>
      </w:r>
      <w:r w:rsidRPr="00C61C2C">
        <w:rPr>
          <w:rFonts w:ascii="Franklin Gothic Book" w:hAnsi="Franklin Gothic Book"/>
          <w:sz w:val="22"/>
          <w:szCs w:val="20"/>
        </w:rPr>
        <w:t>not yet been implemented by the RCPA</w:t>
      </w:r>
      <w:r w:rsidR="00D25FCE">
        <w:rPr>
          <w:rFonts w:ascii="Franklin Gothic Book" w:hAnsi="Franklin Gothic Book"/>
          <w:sz w:val="22"/>
          <w:szCs w:val="20"/>
        </w:rPr>
        <w:t>QAP</w:t>
      </w:r>
      <w:r w:rsidRPr="00C61C2C">
        <w:rPr>
          <w:rFonts w:ascii="Franklin Gothic Book" w:hAnsi="Franklin Gothic Book"/>
          <w:sz w:val="22"/>
          <w:szCs w:val="20"/>
        </w:rPr>
        <w:t xml:space="preserve">. </w:t>
      </w:r>
    </w:p>
    <w:p w14:paraId="55ECF5C5" w14:textId="4404ED0C" w:rsidR="00242EB4" w:rsidRPr="00C61C2C" w:rsidRDefault="00242EB4" w:rsidP="00242EB4">
      <w:pPr>
        <w:rPr>
          <w:rFonts w:ascii="Franklin Gothic Book" w:hAnsi="Franklin Gothic Book"/>
          <w:sz w:val="22"/>
          <w:szCs w:val="20"/>
        </w:rPr>
      </w:pPr>
      <w:r w:rsidRPr="00C61C2C">
        <w:rPr>
          <w:rFonts w:ascii="Franklin Gothic Book" w:hAnsi="Franklin Gothic Book"/>
          <w:sz w:val="22"/>
          <w:szCs w:val="20"/>
        </w:rPr>
        <w:t xml:space="preserve">PASC considered that if FRα testing is done at diagnosis, then the testing should be pathologist determinable (reflex testing) and would need to be </w:t>
      </w:r>
      <w:r w:rsidR="0DB7991A" w:rsidRPr="15DD5A08">
        <w:rPr>
          <w:rFonts w:ascii="Franklin Gothic Book" w:hAnsi="Franklin Gothic Book"/>
          <w:sz w:val="22"/>
        </w:rPr>
        <w:t>considered to be</w:t>
      </w:r>
      <w:r w:rsidRPr="15DD5A08">
        <w:rPr>
          <w:rFonts w:ascii="Franklin Gothic Book" w:hAnsi="Franklin Gothic Book"/>
          <w:sz w:val="22"/>
        </w:rPr>
        <w:t xml:space="preserve"> </w:t>
      </w:r>
      <w:r w:rsidRPr="00C61C2C">
        <w:rPr>
          <w:rFonts w:ascii="Franklin Gothic Book" w:hAnsi="Franklin Gothic Book"/>
          <w:sz w:val="22"/>
          <w:szCs w:val="20"/>
        </w:rPr>
        <w:t>included in the list of pathologist-determinable services (p32, 1787 ratified PICO Confirmation).</w:t>
      </w:r>
    </w:p>
    <w:p w14:paraId="02C93F27" w14:textId="77777777" w:rsidR="001E1827" w:rsidRPr="00C61C2C" w:rsidRDefault="00EE501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9" w:name="_Toc93044754"/>
      <w:bookmarkStart w:id="10" w:name="_Toc93322888"/>
      <w:bookmarkStart w:id="11" w:name="_Toc198721986"/>
      <w:bookmarkEnd w:id="9"/>
      <w:bookmarkEnd w:id="10"/>
      <w:r w:rsidRPr="00C61C2C">
        <w:rPr>
          <w:rFonts w:ascii="Franklin Gothic Medium" w:hAnsi="Franklin Gothic Medium"/>
          <w:b w:val="0"/>
          <w:snapToGrid/>
          <w:color w:val="000000" w:themeColor="text1"/>
          <w:sz w:val="32"/>
          <w:szCs w:val="26"/>
        </w:rPr>
        <w:t>Proposal for public funding</w:t>
      </w:r>
      <w:bookmarkEnd w:id="11"/>
    </w:p>
    <w:p w14:paraId="1DC8DFC9" w14:textId="6338D294" w:rsidR="00E517FA" w:rsidRPr="00FD53D0" w:rsidRDefault="00E517FA" w:rsidP="00E517FA">
      <w:pPr>
        <w:rPr>
          <w:rFonts w:ascii="Franklin Gothic Book" w:hAnsi="Franklin Gothic Book"/>
          <w:sz w:val="22"/>
        </w:rPr>
      </w:pPr>
      <w:r w:rsidRPr="00FD53D0">
        <w:rPr>
          <w:rFonts w:ascii="Franklin Gothic Book" w:hAnsi="Franklin Gothic Book"/>
          <w:sz w:val="22"/>
        </w:rPr>
        <w:t>The proposed MBS item descriptor for IHC testing of FR</w:t>
      </w:r>
      <w:r w:rsidRPr="00FD53D0">
        <w:rPr>
          <w:rFonts w:ascii="Franklin Gothic Book" w:hAnsi="Franklin Gothic Book" w:cstheme="minorHAnsi"/>
          <w:sz w:val="22"/>
        </w:rPr>
        <w:t>α</w:t>
      </w:r>
      <w:r w:rsidRPr="00FD53D0">
        <w:rPr>
          <w:rFonts w:ascii="Franklin Gothic Book" w:hAnsi="Franklin Gothic Book"/>
          <w:sz w:val="22"/>
        </w:rPr>
        <w:t xml:space="preserve"> expression in EOC patients with platinum resistance is in</w:t>
      </w:r>
      <w:r w:rsidR="005E37CF">
        <w:rPr>
          <w:rFonts w:ascii="Franklin Gothic Book" w:hAnsi="Franklin Gothic Book"/>
          <w:sz w:val="22"/>
        </w:rPr>
        <w:t xml:space="preserve"> </w:t>
      </w:r>
      <w:r w:rsidR="005E37CF">
        <w:rPr>
          <w:rFonts w:ascii="Franklin Gothic Book" w:hAnsi="Franklin Gothic Book"/>
          <w:sz w:val="22"/>
        </w:rPr>
        <w:fldChar w:fldCharType="begin"/>
      </w:r>
      <w:r w:rsidR="005E37CF">
        <w:rPr>
          <w:rFonts w:ascii="Franklin Gothic Book" w:hAnsi="Franklin Gothic Book"/>
          <w:sz w:val="22"/>
        </w:rPr>
        <w:instrText xml:space="preserve"> REF _Ref205822345 \h </w:instrText>
      </w:r>
      <w:r w:rsidR="009D5A4A">
        <w:rPr>
          <w:rFonts w:ascii="Franklin Gothic Book" w:hAnsi="Franklin Gothic Book"/>
          <w:sz w:val="22"/>
        </w:rPr>
        <w:instrText xml:space="preserve"> \* MERGEFORMAT </w:instrText>
      </w:r>
      <w:r w:rsidR="005E37CF">
        <w:rPr>
          <w:rFonts w:ascii="Franklin Gothic Book" w:hAnsi="Franklin Gothic Book"/>
          <w:sz w:val="22"/>
        </w:rPr>
      </w:r>
      <w:r w:rsidR="005E37CF">
        <w:rPr>
          <w:rFonts w:ascii="Franklin Gothic Book" w:hAnsi="Franklin Gothic Book"/>
          <w:sz w:val="22"/>
        </w:rPr>
        <w:fldChar w:fldCharType="separate"/>
      </w:r>
      <w:r w:rsidR="005E37CF" w:rsidRPr="009D5A4A">
        <w:rPr>
          <w:rFonts w:ascii="Franklin Gothic Book" w:hAnsi="Franklin Gothic Book"/>
          <w:sz w:val="22"/>
        </w:rPr>
        <w:t>Table 2</w:t>
      </w:r>
      <w:r w:rsidR="005E37CF">
        <w:rPr>
          <w:rFonts w:ascii="Franklin Gothic Book" w:hAnsi="Franklin Gothic Book"/>
          <w:sz w:val="22"/>
        </w:rPr>
        <w:fldChar w:fldCharType="end"/>
      </w:r>
      <w:r w:rsidR="002B678B" w:rsidRPr="00FD53D0">
        <w:rPr>
          <w:rFonts w:ascii="Franklin Gothic Book" w:hAnsi="Franklin Gothic Book"/>
          <w:sz w:val="22"/>
        </w:rPr>
        <w:fldChar w:fldCharType="begin"/>
      </w:r>
      <w:r w:rsidR="002B678B" w:rsidRPr="00FD53D0">
        <w:rPr>
          <w:rFonts w:ascii="Franklin Gothic Book" w:hAnsi="Franklin Gothic Book"/>
          <w:sz w:val="22"/>
        </w:rPr>
        <w:instrText xml:space="preserve"> REF _Ref198565745 \h </w:instrText>
      </w:r>
      <w:r w:rsidR="00FD287E" w:rsidRPr="00FD53D0">
        <w:rPr>
          <w:rFonts w:ascii="Franklin Gothic Book" w:hAnsi="Franklin Gothic Book"/>
          <w:sz w:val="22"/>
        </w:rPr>
        <w:instrText xml:space="preserve"> \* MERGEFORMAT </w:instrText>
      </w:r>
      <w:r w:rsidR="002B678B" w:rsidRPr="00FD53D0">
        <w:rPr>
          <w:rFonts w:ascii="Franklin Gothic Book" w:hAnsi="Franklin Gothic Book"/>
          <w:sz w:val="22"/>
        </w:rPr>
      </w:r>
      <w:r w:rsidR="002B678B" w:rsidRPr="00FD53D0">
        <w:rPr>
          <w:rFonts w:ascii="Franklin Gothic Book" w:hAnsi="Franklin Gothic Book"/>
          <w:sz w:val="22"/>
        </w:rPr>
        <w:fldChar w:fldCharType="separate"/>
      </w:r>
      <w:r w:rsidR="002B678B" w:rsidRPr="00FD53D0">
        <w:rPr>
          <w:rFonts w:ascii="Franklin Gothic Book" w:hAnsi="Franklin Gothic Book"/>
          <w:sz w:val="22"/>
        </w:rPr>
        <w:fldChar w:fldCharType="end"/>
      </w:r>
      <w:r w:rsidRPr="00FD53D0">
        <w:rPr>
          <w:rFonts w:ascii="Franklin Gothic Book" w:hAnsi="Franklin Gothic Book"/>
          <w:sz w:val="22"/>
        </w:rPr>
        <w:t xml:space="preserve">. </w:t>
      </w:r>
    </w:p>
    <w:p w14:paraId="3E3DF20B" w14:textId="50BF90E9" w:rsidR="00E517FA" w:rsidRPr="00FD53D0" w:rsidRDefault="00E517FA" w:rsidP="00E517FA">
      <w:pPr>
        <w:rPr>
          <w:rFonts w:ascii="Franklin Gothic Book" w:hAnsi="Franklin Gothic Book"/>
          <w:sz w:val="22"/>
        </w:rPr>
      </w:pPr>
      <w:r w:rsidRPr="00FD53D0">
        <w:rPr>
          <w:rFonts w:ascii="Franklin Gothic Book" w:hAnsi="Franklin Gothic Book"/>
          <w:sz w:val="22"/>
        </w:rPr>
        <w:t xml:space="preserve">The commentary noted that </w:t>
      </w:r>
      <w:r w:rsidR="00E4146E" w:rsidRPr="00FD53D0">
        <w:rPr>
          <w:rFonts w:ascii="Franklin Gothic Book" w:hAnsi="Franklin Gothic Book"/>
          <w:sz w:val="22"/>
        </w:rPr>
        <w:t>there were inconsistencies</w:t>
      </w:r>
      <w:r w:rsidR="00473E98" w:rsidRPr="00FD53D0">
        <w:rPr>
          <w:rFonts w:ascii="Franklin Gothic Book" w:hAnsi="Franklin Gothic Book"/>
          <w:sz w:val="22"/>
        </w:rPr>
        <w:t xml:space="preserve"> in the descriptions of the test populations </w:t>
      </w:r>
      <w:r w:rsidR="00DA3BB7" w:rsidRPr="00FD53D0">
        <w:rPr>
          <w:rFonts w:ascii="Franklin Gothic Book" w:hAnsi="Franklin Gothic Book"/>
          <w:sz w:val="22"/>
        </w:rPr>
        <w:t xml:space="preserve">described in the submission. </w:t>
      </w:r>
      <w:r w:rsidR="004D67E3" w:rsidRPr="00FD53D0">
        <w:rPr>
          <w:rFonts w:ascii="Franklin Gothic Book" w:hAnsi="Franklin Gothic Book"/>
          <w:sz w:val="22"/>
        </w:rPr>
        <w:t>For instance, a</w:t>
      </w:r>
      <w:r w:rsidR="008C682B" w:rsidRPr="00FD53D0">
        <w:rPr>
          <w:rFonts w:ascii="Franklin Gothic Book" w:hAnsi="Franklin Gothic Book"/>
          <w:sz w:val="22"/>
        </w:rPr>
        <w:t xml:space="preserve"> </w:t>
      </w:r>
      <w:r w:rsidRPr="00FD53D0">
        <w:rPr>
          <w:rFonts w:ascii="Franklin Gothic Book" w:hAnsi="Franklin Gothic Book"/>
          <w:sz w:val="22"/>
        </w:rPr>
        <w:t xml:space="preserve">single test population </w:t>
      </w:r>
      <w:r w:rsidR="004D67E3" w:rsidRPr="00FD53D0">
        <w:rPr>
          <w:rFonts w:ascii="Franklin Gothic Book" w:hAnsi="Franklin Gothic Book"/>
          <w:sz w:val="22"/>
        </w:rPr>
        <w:t xml:space="preserve">was </w:t>
      </w:r>
      <w:r w:rsidRPr="00FD53D0">
        <w:rPr>
          <w:rFonts w:ascii="Franklin Gothic Book" w:hAnsi="Franklin Gothic Book"/>
          <w:sz w:val="22"/>
        </w:rPr>
        <w:t>proposed in the PICO table (</w:t>
      </w:r>
      <w:r w:rsidR="005E37CF">
        <w:rPr>
          <w:rFonts w:ascii="Franklin Gothic Book" w:hAnsi="Franklin Gothic Book"/>
          <w:sz w:val="22"/>
        </w:rPr>
        <w:fldChar w:fldCharType="begin"/>
      </w:r>
      <w:r w:rsidR="005E37CF">
        <w:rPr>
          <w:rFonts w:ascii="Franklin Gothic Book" w:hAnsi="Franklin Gothic Book"/>
          <w:sz w:val="22"/>
        </w:rPr>
        <w:instrText xml:space="preserve"> REF _Ref205822345 \h </w:instrText>
      </w:r>
      <w:r w:rsidR="009D5A4A">
        <w:rPr>
          <w:rFonts w:ascii="Franklin Gothic Book" w:hAnsi="Franklin Gothic Book"/>
          <w:sz w:val="22"/>
        </w:rPr>
        <w:instrText xml:space="preserve"> \* MERGEFORMAT </w:instrText>
      </w:r>
      <w:r w:rsidR="005E37CF">
        <w:rPr>
          <w:rFonts w:ascii="Franklin Gothic Book" w:hAnsi="Franklin Gothic Book"/>
          <w:sz w:val="22"/>
        </w:rPr>
      </w:r>
      <w:r w:rsidR="005E37CF">
        <w:rPr>
          <w:rFonts w:ascii="Franklin Gothic Book" w:hAnsi="Franklin Gothic Book"/>
          <w:sz w:val="22"/>
        </w:rPr>
        <w:fldChar w:fldCharType="separate"/>
      </w:r>
      <w:r w:rsidR="005E37CF" w:rsidRPr="009D5A4A">
        <w:rPr>
          <w:rFonts w:ascii="Franklin Gothic Book" w:hAnsi="Franklin Gothic Book"/>
          <w:sz w:val="22"/>
        </w:rPr>
        <w:t>Table 2</w:t>
      </w:r>
      <w:r w:rsidR="005E37CF">
        <w:rPr>
          <w:rFonts w:ascii="Franklin Gothic Book" w:hAnsi="Franklin Gothic Book"/>
          <w:sz w:val="22"/>
        </w:rPr>
        <w:fldChar w:fldCharType="end"/>
      </w:r>
      <w:r w:rsidRPr="00FD53D0">
        <w:rPr>
          <w:rFonts w:ascii="Franklin Gothic Book" w:hAnsi="Franklin Gothic Book"/>
          <w:sz w:val="22"/>
        </w:rPr>
        <w:t>)</w:t>
      </w:r>
      <w:r w:rsidR="00EA2233" w:rsidRPr="00FD53D0">
        <w:rPr>
          <w:rFonts w:ascii="Franklin Gothic Book" w:hAnsi="Franklin Gothic Book"/>
          <w:sz w:val="22"/>
        </w:rPr>
        <w:t xml:space="preserve"> </w:t>
      </w:r>
      <w:r w:rsidR="008C682B" w:rsidRPr="00FD53D0">
        <w:rPr>
          <w:rFonts w:ascii="Franklin Gothic Book" w:hAnsi="Franklin Gothic Book"/>
          <w:sz w:val="22"/>
        </w:rPr>
        <w:t xml:space="preserve">which </w:t>
      </w:r>
      <w:r w:rsidR="00882AEC" w:rsidRPr="00FD53D0">
        <w:rPr>
          <w:rFonts w:ascii="Franklin Gothic Book" w:hAnsi="Franklin Gothic Book"/>
          <w:sz w:val="22"/>
        </w:rPr>
        <w:t>made no reference to time of testing</w:t>
      </w:r>
      <w:r w:rsidR="003D5078" w:rsidRPr="00FD53D0">
        <w:rPr>
          <w:rFonts w:ascii="Franklin Gothic Book" w:hAnsi="Franklin Gothic Book"/>
          <w:sz w:val="22"/>
        </w:rPr>
        <w:t xml:space="preserve">. </w:t>
      </w:r>
      <w:r w:rsidR="004D67E3" w:rsidRPr="00FD53D0">
        <w:rPr>
          <w:rFonts w:ascii="Franklin Gothic Book" w:hAnsi="Franklin Gothic Book"/>
          <w:sz w:val="22"/>
        </w:rPr>
        <w:t>H</w:t>
      </w:r>
      <w:r w:rsidRPr="00FD53D0">
        <w:rPr>
          <w:rFonts w:ascii="Franklin Gothic Book" w:hAnsi="Franklin Gothic Book"/>
          <w:sz w:val="22"/>
        </w:rPr>
        <w:t>owever</w:t>
      </w:r>
      <w:r w:rsidR="004D67E3" w:rsidRPr="00FD53D0">
        <w:rPr>
          <w:rFonts w:ascii="Franklin Gothic Book" w:hAnsi="Franklin Gothic Book"/>
          <w:sz w:val="22"/>
        </w:rPr>
        <w:t>, the proposed MBS items</w:t>
      </w:r>
      <w:r w:rsidR="008634D8" w:rsidRPr="00FD53D0">
        <w:rPr>
          <w:rFonts w:ascii="Franklin Gothic Book" w:hAnsi="Franklin Gothic Book"/>
          <w:sz w:val="22"/>
        </w:rPr>
        <w:t xml:space="preserve"> </w:t>
      </w:r>
      <w:r w:rsidR="004610AD" w:rsidRPr="00FD53D0">
        <w:rPr>
          <w:rFonts w:ascii="Franklin Gothic Book" w:hAnsi="Franklin Gothic Book"/>
          <w:sz w:val="22"/>
        </w:rPr>
        <w:t>and treatment algorithm</w:t>
      </w:r>
      <w:r w:rsidR="008634D8" w:rsidRPr="00FD53D0">
        <w:rPr>
          <w:rFonts w:ascii="Franklin Gothic Book" w:hAnsi="Franklin Gothic Book"/>
          <w:sz w:val="22"/>
        </w:rPr>
        <w:t xml:space="preserve"> considered two test populations which </w:t>
      </w:r>
      <w:r w:rsidRPr="00FD53D0">
        <w:rPr>
          <w:rFonts w:ascii="Franklin Gothic Book" w:hAnsi="Franklin Gothic Book"/>
          <w:sz w:val="22"/>
        </w:rPr>
        <w:t>were closer to the test populations recommended by PASC (</w:t>
      </w:r>
      <w:r w:rsidR="00642AA5">
        <w:rPr>
          <w:rFonts w:ascii="Franklin Gothic Book" w:hAnsi="Franklin Gothic Book"/>
          <w:sz w:val="22"/>
        </w:rPr>
        <w:fldChar w:fldCharType="begin"/>
      </w:r>
      <w:r w:rsidR="00642AA5">
        <w:rPr>
          <w:rFonts w:ascii="Franklin Gothic Book" w:hAnsi="Franklin Gothic Book"/>
          <w:sz w:val="22"/>
        </w:rPr>
        <w:instrText xml:space="preserve"> REF _Ref198565693 \h </w:instrText>
      </w:r>
      <w:r w:rsidR="009D5A4A">
        <w:rPr>
          <w:rFonts w:ascii="Franklin Gothic Book" w:hAnsi="Franklin Gothic Book"/>
          <w:sz w:val="22"/>
        </w:rPr>
        <w:instrText xml:space="preserve"> \* MERGEFORMAT </w:instrText>
      </w:r>
      <w:r w:rsidR="00642AA5">
        <w:rPr>
          <w:rFonts w:ascii="Franklin Gothic Book" w:hAnsi="Franklin Gothic Book"/>
          <w:sz w:val="22"/>
        </w:rPr>
      </w:r>
      <w:r w:rsidR="00642AA5">
        <w:rPr>
          <w:rFonts w:ascii="Franklin Gothic Book" w:hAnsi="Franklin Gothic Book"/>
          <w:sz w:val="22"/>
        </w:rPr>
        <w:fldChar w:fldCharType="separate"/>
      </w:r>
      <w:r w:rsidR="00642AA5" w:rsidRPr="009D5A4A">
        <w:rPr>
          <w:rFonts w:ascii="Franklin Gothic Book" w:hAnsi="Franklin Gothic Book"/>
          <w:sz w:val="22"/>
        </w:rPr>
        <w:t>Table 5</w:t>
      </w:r>
      <w:r w:rsidR="00642AA5">
        <w:rPr>
          <w:rFonts w:ascii="Franklin Gothic Book" w:hAnsi="Franklin Gothic Book"/>
          <w:sz w:val="22"/>
        </w:rPr>
        <w:fldChar w:fldCharType="end"/>
      </w:r>
      <w:r w:rsidR="00303F4E" w:rsidRPr="00FD53D0">
        <w:rPr>
          <w:rFonts w:ascii="Franklin Gothic Book" w:hAnsi="Franklin Gothic Book"/>
          <w:sz w:val="22"/>
        </w:rPr>
        <w:fldChar w:fldCharType="begin"/>
      </w:r>
      <w:r w:rsidR="00303F4E" w:rsidRPr="00FD53D0">
        <w:rPr>
          <w:rFonts w:ascii="Franklin Gothic Book" w:hAnsi="Franklin Gothic Book"/>
          <w:sz w:val="22"/>
        </w:rPr>
        <w:instrText xml:space="preserve"> REF _Ref198565693 \h  \* MERGEFORMAT </w:instrText>
      </w:r>
      <w:r w:rsidR="00303F4E" w:rsidRPr="00FD53D0">
        <w:rPr>
          <w:rFonts w:ascii="Franklin Gothic Book" w:hAnsi="Franklin Gothic Book"/>
          <w:sz w:val="22"/>
        </w:rPr>
      </w:r>
      <w:r w:rsidR="00303F4E" w:rsidRPr="00FD53D0">
        <w:rPr>
          <w:rFonts w:ascii="Franklin Gothic Book" w:hAnsi="Franklin Gothic Book"/>
          <w:sz w:val="22"/>
        </w:rPr>
        <w:fldChar w:fldCharType="separate"/>
      </w:r>
      <w:r w:rsidR="00303F4E" w:rsidRPr="00FD53D0">
        <w:rPr>
          <w:rFonts w:ascii="Franklin Gothic Book" w:hAnsi="Franklin Gothic Book"/>
          <w:sz w:val="22"/>
        </w:rPr>
        <w:fldChar w:fldCharType="end"/>
      </w:r>
      <w:r w:rsidRPr="00FD53D0">
        <w:rPr>
          <w:rFonts w:ascii="Franklin Gothic Book" w:hAnsi="Franklin Gothic Book"/>
          <w:sz w:val="22"/>
        </w:rPr>
        <w:t xml:space="preserve">) </w:t>
      </w:r>
      <w:r w:rsidR="005B39F6" w:rsidRPr="00FD53D0">
        <w:rPr>
          <w:rFonts w:ascii="Franklin Gothic Book" w:hAnsi="Franklin Gothic Book"/>
          <w:sz w:val="22"/>
        </w:rPr>
        <w:t xml:space="preserve">and </w:t>
      </w:r>
      <w:r w:rsidRPr="00FD53D0">
        <w:rPr>
          <w:rFonts w:ascii="Franklin Gothic Book" w:hAnsi="Franklin Gothic Book"/>
          <w:sz w:val="22"/>
        </w:rPr>
        <w:t>reflected timing of a FR</w:t>
      </w:r>
      <w:r w:rsidRPr="009D5A4A">
        <w:rPr>
          <w:rFonts w:ascii="Franklin Gothic Book" w:hAnsi="Franklin Gothic Book"/>
          <w:sz w:val="22"/>
        </w:rPr>
        <w:t>α</w:t>
      </w:r>
      <w:r w:rsidRPr="00FD53D0">
        <w:rPr>
          <w:rFonts w:ascii="Franklin Gothic Book" w:hAnsi="Franklin Gothic Book"/>
          <w:sz w:val="22"/>
        </w:rPr>
        <w:t xml:space="preserve"> expression testing at two </w:t>
      </w:r>
      <w:r w:rsidR="0045111A" w:rsidRPr="00FD53D0">
        <w:rPr>
          <w:rFonts w:ascii="Franklin Gothic Book" w:hAnsi="Franklin Gothic Book"/>
          <w:sz w:val="22"/>
        </w:rPr>
        <w:t xml:space="preserve">different </w:t>
      </w:r>
      <w:r w:rsidRPr="00FD53D0">
        <w:rPr>
          <w:rFonts w:ascii="Franklin Gothic Book" w:hAnsi="Franklin Gothic Book"/>
          <w:sz w:val="22"/>
        </w:rPr>
        <w:t>points of the EOC disease course.</w:t>
      </w:r>
    </w:p>
    <w:p w14:paraId="1F2DB89D" w14:textId="60271C80" w:rsidR="00187186" w:rsidRPr="009D5A4A" w:rsidRDefault="00187186" w:rsidP="00E517FA">
      <w:pPr>
        <w:rPr>
          <w:rFonts w:ascii="Franklin Gothic Book" w:hAnsi="Franklin Gothic Book"/>
          <w:sz w:val="22"/>
        </w:rPr>
      </w:pPr>
      <w:r w:rsidRPr="009D5A4A">
        <w:rPr>
          <w:rFonts w:ascii="Franklin Gothic Book" w:hAnsi="Franklin Gothic Book"/>
          <w:sz w:val="22"/>
        </w:rPr>
        <w:t xml:space="preserve">The descriptor for testing at </w:t>
      </w:r>
      <w:r w:rsidR="00AC1B77" w:rsidRPr="009D5A4A">
        <w:rPr>
          <w:rFonts w:ascii="Franklin Gothic Book" w:hAnsi="Franklin Gothic Book"/>
          <w:sz w:val="22"/>
        </w:rPr>
        <w:t>confirmation of platinum</w:t>
      </w:r>
      <w:r w:rsidRPr="009D5A4A">
        <w:rPr>
          <w:rFonts w:ascii="Franklin Gothic Book" w:hAnsi="Franklin Gothic Book"/>
          <w:sz w:val="22"/>
        </w:rPr>
        <w:t xml:space="preserve"> </w:t>
      </w:r>
      <w:r w:rsidR="00AC1B77" w:rsidRPr="009D5A4A">
        <w:rPr>
          <w:rFonts w:ascii="Franklin Gothic Book" w:hAnsi="Franklin Gothic Book"/>
          <w:sz w:val="22"/>
        </w:rPr>
        <w:t xml:space="preserve">resistance </w:t>
      </w:r>
      <w:r w:rsidRPr="009D5A4A">
        <w:rPr>
          <w:rFonts w:ascii="Franklin Gothic Book" w:hAnsi="Franklin Gothic Book"/>
          <w:sz w:val="22"/>
        </w:rPr>
        <w:t>is in</w:t>
      </w:r>
      <w:r w:rsidR="005E37CF" w:rsidRPr="009D5A4A">
        <w:rPr>
          <w:rFonts w:ascii="Franklin Gothic Book" w:hAnsi="Franklin Gothic Book"/>
          <w:sz w:val="22"/>
        </w:rPr>
        <w:t xml:space="preserve"> </w:t>
      </w:r>
      <w:r w:rsidR="005E37CF" w:rsidRPr="009D5A4A">
        <w:rPr>
          <w:rFonts w:ascii="Franklin Gothic Book" w:hAnsi="Franklin Gothic Book"/>
          <w:sz w:val="22"/>
        </w:rPr>
        <w:fldChar w:fldCharType="begin"/>
      </w:r>
      <w:r w:rsidR="005E37CF" w:rsidRPr="009D5A4A">
        <w:rPr>
          <w:rFonts w:ascii="Franklin Gothic Book" w:hAnsi="Franklin Gothic Book"/>
          <w:sz w:val="22"/>
        </w:rPr>
        <w:instrText xml:space="preserve"> REF _Ref205822345 \h </w:instrText>
      </w:r>
      <w:r w:rsidR="009D5A4A">
        <w:rPr>
          <w:rFonts w:ascii="Franklin Gothic Book" w:hAnsi="Franklin Gothic Book"/>
          <w:sz w:val="22"/>
        </w:rPr>
        <w:instrText xml:space="preserve"> \* MERGEFORMAT </w:instrText>
      </w:r>
      <w:r w:rsidR="005E37CF" w:rsidRPr="009D5A4A">
        <w:rPr>
          <w:rFonts w:ascii="Franklin Gothic Book" w:hAnsi="Franklin Gothic Book"/>
          <w:sz w:val="22"/>
        </w:rPr>
      </w:r>
      <w:r w:rsidR="005E37CF" w:rsidRPr="009D5A4A">
        <w:rPr>
          <w:rFonts w:ascii="Franklin Gothic Book" w:hAnsi="Franklin Gothic Book"/>
          <w:sz w:val="22"/>
        </w:rPr>
        <w:fldChar w:fldCharType="separate"/>
      </w:r>
      <w:r w:rsidR="005E37CF" w:rsidRPr="009D5A4A">
        <w:rPr>
          <w:rFonts w:ascii="Franklin Gothic Book" w:hAnsi="Franklin Gothic Book"/>
          <w:sz w:val="22"/>
        </w:rPr>
        <w:t>Table 2</w:t>
      </w:r>
      <w:r w:rsidR="005E37CF" w:rsidRPr="009D5A4A">
        <w:rPr>
          <w:rFonts w:ascii="Franklin Gothic Book" w:hAnsi="Franklin Gothic Book"/>
          <w:sz w:val="22"/>
        </w:rPr>
        <w:fldChar w:fldCharType="end"/>
      </w:r>
      <w:r w:rsidR="00CB11B4" w:rsidRPr="009D5A4A">
        <w:rPr>
          <w:rFonts w:ascii="Franklin Gothic Book" w:hAnsi="Franklin Gothic Book"/>
          <w:sz w:val="22"/>
        </w:rPr>
        <w:t xml:space="preserve">. </w:t>
      </w:r>
    </w:p>
    <w:p w14:paraId="697B6988" w14:textId="128C0C96" w:rsidR="00E517FA" w:rsidRPr="00F10893" w:rsidRDefault="005E37CF" w:rsidP="005E37CF">
      <w:pPr>
        <w:pStyle w:val="Caption"/>
      </w:pPr>
      <w:bookmarkStart w:id="12" w:name="_Ref205822345"/>
      <w:r>
        <w:t xml:space="preserve">Table </w:t>
      </w:r>
      <w:r>
        <w:fldChar w:fldCharType="begin"/>
      </w:r>
      <w:r>
        <w:instrText xml:space="preserve"> SEQ Table \* ARABIC </w:instrText>
      </w:r>
      <w:r>
        <w:fldChar w:fldCharType="separate"/>
      </w:r>
      <w:r>
        <w:rPr>
          <w:noProof/>
        </w:rPr>
        <w:t>2</w:t>
      </w:r>
      <w:r>
        <w:rPr>
          <w:noProof/>
        </w:rPr>
        <w:fldChar w:fldCharType="end"/>
      </w:r>
      <w:bookmarkEnd w:id="12"/>
      <w:r w:rsidRPr="00F10893">
        <w:t>:</w:t>
      </w:r>
      <w:r w:rsidR="00303F4E" w:rsidRPr="00F10893">
        <w:t xml:space="preserve"> </w:t>
      </w:r>
      <w:r w:rsidR="00006B3C" w:rsidRPr="00F10893">
        <w:t>Proposed MBS item descriptor: FRα expression testing at platinum-resistance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517FA" w:rsidRPr="00F10893" w14:paraId="306DFC56" w14:textId="77777777">
        <w:trPr>
          <w:trHeight w:val="351"/>
          <w:tblHeader/>
        </w:trPr>
        <w:tc>
          <w:tcPr>
            <w:tcW w:w="5000" w:type="pct"/>
            <w:tcBorders>
              <w:top w:val="single" w:sz="4" w:space="0" w:color="000000"/>
              <w:left w:val="single" w:sz="4" w:space="0" w:color="000000"/>
              <w:bottom w:val="single" w:sz="4" w:space="0" w:color="000000"/>
              <w:right w:val="single" w:sz="4" w:space="0" w:color="000000"/>
            </w:tcBorders>
          </w:tcPr>
          <w:p w14:paraId="3E8C88EF" w14:textId="77777777" w:rsidR="00E517FA" w:rsidRPr="00F10893" w:rsidRDefault="00E517FA" w:rsidP="00E517FA">
            <w:pPr>
              <w:widowControl w:val="0"/>
              <w:spacing w:before="0" w:after="0"/>
              <w:jc w:val="left"/>
              <w:rPr>
                <w:rFonts w:ascii="Arial Narrow" w:hAnsi="Arial Narrow"/>
                <w:sz w:val="20"/>
              </w:rPr>
            </w:pPr>
            <w:r w:rsidRPr="00F10893">
              <w:rPr>
                <w:rFonts w:ascii="Arial Narrow" w:hAnsi="Arial Narrow"/>
                <w:sz w:val="20"/>
              </w:rPr>
              <w:t>Category 6 – Pathology Services</w:t>
            </w:r>
          </w:p>
        </w:tc>
      </w:tr>
      <w:tr w:rsidR="00E517FA" w:rsidRPr="00F10893" w14:paraId="61902989" w14:textId="77777777">
        <w:tc>
          <w:tcPr>
            <w:tcW w:w="5000" w:type="pct"/>
            <w:tcBorders>
              <w:top w:val="single" w:sz="4" w:space="0" w:color="000000"/>
              <w:left w:val="single" w:sz="4" w:space="0" w:color="000000"/>
              <w:bottom w:val="single" w:sz="4" w:space="0" w:color="000000"/>
              <w:right w:val="single" w:sz="4" w:space="0" w:color="000000"/>
            </w:tcBorders>
          </w:tcPr>
          <w:p w14:paraId="06763BF9" w14:textId="77777777" w:rsidR="00E517FA" w:rsidRPr="00F10893" w:rsidRDefault="00E517FA" w:rsidP="00E517FA">
            <w:pPr>
              <w:widowControl w:val="0"/>
              <w:spacing w:before="0" w:after="0"/>
              <w:jc w:val="left"/>
              <w:rPr>
                <w:rFonts w:ascii="Arial Narrow" w:hAnsi="Arial Narrow"/>
                <w:sz w:val="20"/>
              </w:rPr>
            </w:pPr>
            <w:r w:rsidRPr="00F10893">
              <w:rPr>
                <w:rFonts w:ascii="Arial Narrow" w:hAnsi="Arial Narrow"/>
                <w:sz w:val="20"/>
              </w:rPr>
              <w:t>MBS item XXXX</w:t>
            </w:r>
          </w:p>
          <w:p w14:paraId="00E772F0" w14:textId="77777777" w:rsidR="00E517FA" w:rsidRPr="00F10893" w:rsidRDefault="00E517FA" w:rsidP="00E517FA">
            <w:pPr>
              <w:widowControl w:val="0"/>
              <w:spacing w:before="0" w:after="0"/>
              <w:jc w:val="left"/>
              <w:rPr>
                <w:rFonts w:ascii="Arial Narrow" w:hAnsi="Arial Narrow"/>
                <w:sz w:val="20"/>
              </w:rPr>
            </w:pPr>
          </w:p>
          <w:p w14:paraId="4A310C7F" w14:textId="77777777" w:rsidR="00E517FA" w:rsidRPr="00F10893" w:rsidRDefault="00E517FA" w:rsidP="00E517FA">
            <w:pPr>
              <w:widowControl w:val="0"/>
              <w:spacing w:before="0" w:after="0"/>
              <w:jc w:val="left"/>
              <w:rPr>
                <w:rFonts w:ascii="Arial Narrow" w:hAnsi="Arial Narrow"/>
                <w:sz w:val="20"/>
              </w:rPr>
            </w:pPr>
            <w:r w:rsidRPr="00F10893">
              <w:rPr>
                <w:rFonts w:ascii="Arial Narrow" w:hAnsi="Arial Narrow"/>
                <w:sz w:val="20"/>
              </w:rPr>
              <w:t>A test of tumour tissue using immunohistochemistry for the detection of membrane FRα tumour expression, in a patient with:</w:t>
            </w:r>
          </w:p>
          <w:p w14:paraId="56B93D87" w14:textId="77777777" w:rsidR="00E517FA" w:rsidRPr="00F10893" w:rsidRDefault="00E517FA" w:rsidP="00E517FA">
            <w:pPr>
              <w:widowControl w:val="0"/>
              <w:spacing w:before="0" w:after="0"/>
              <w:jc w:val="left"/>
              <w:rPr>
                <w:rFonts w:ascii="Arial Narrow" w:hAnsi="Arial Narrow"/>
                <w:sz w:val="20"/>
              </w:rPr>
            </w:pPr>
            <w:r w:rsidRPr="00F10893">
              <w:rPr>
                <w:rFonts w:ascii="Arial Narrow" w:hAnsi="Arial Narrow"/>
                <w:sz w:val="20"/>
              </w:rPr>
              <w:t xml:space="preserve">platinum resistant high-grade epithelial ovarian, fallopian tube or primary peritoneal cancer </w:t>
            </w:r>
          </w:p>
          <w:p w14:paraId="1B7A3DBC" w14:textId="77777777" w:rsidR="00E517FA" w:rsidRPr="00F10893" w:rsidRDefault="00E517FA" w:rsidP="00E517FA">
            <w:pPr>
              <w:widowControl w:val="0"/>
              <w:spacing w:before="0" w:after="0"/>
              <w:jc w:val="left"/>
              <w:rPr>
                <w:rFonts w:ascii="Arial Narrow" w:hAnsi="Arial Narrow"/>
                <w:sz w:val="20"/>
              </w:rPr>
            </w:pPr>
          </w:p>
          <w:p w14:paraId="3B9F1908" w14:textId="77777777" w:rsidR="00E517FA" w:rsidRPr="00F10893" w:rsidRDefault="00E517FA" w:rsidP="00E517FA">
            <w:pPr>
              <w:widowControl w:val="0"/>
              <w:spacing w:before="0" w:after="0"/>
              <w:jc w:val="left"/>
              <w:rPr>
                <w:rFonts w:ascii="Arial Narrow" w:hAnsi="Arial Narrow"/>
                <w:sz w:val="20"/>
                <w:szCs w:val="20"/>
                <w:lang w:eastAsia="ja-JP"/>
              </w:rPr>
            </w:pPr>
            <w:r w:rsidRPr="00F10893">
              <w:rPr>
                <w:rFonts w:ascii="Arial Narrow" w:hAnsi="Arial Narrow"/>
                <w:sz w:val="20"/>
              </w:rPr>
              <w:t>As requested by a specialist or consultant physician, to determine eligibility for treatment with a relevant treatment under the Pharmaceutical Benefits Scheme (PBS).</w:t>
            </w:r>
          </w:p>
        </w:tc>
      </w:tr>
      <w:tr w:rsidR="00E517FA" w:rsidRPr="00F10893" w14:paraId="0E051379" w14:textId="77777777">
        <w:tc>
          <w:tcPr>
            <w:tcW w:w="5000" w:type="pct"/>
            <w:tcBorders>
              <w:top w:val="single" w:sz="4" w:space="0" w:color="000000"/>
              <w:left w:val="single" w:sz="4" w:space="0" w:color="000000"/>
              <w:bottom w:val="single" w:sz="4" w:space="0" w:color="000000"/>
              <w:right w:val="single" w:sz="4" w:space="0" w:color="000000"/>
            </w:tcBorders>
          </w:tcPr>
          <w:p w14:paraId="7296609B" w14:textId="6072007D" w:rsidR="00E517FA" w:rsidRPr="00F10893" w:rsidRDefault="00E517FA" w:rsidP="00E517FA">
            <w:pPr>
              <w:widowControl w:val="0"/>
              <w:spacing w:before="0" w:after="0"/>
              <w:jc w:val="left"/>
              <w:rPr>
                <w:rFonts w:ascii="Arial Narrow" w:hAnsi="Arial Narrow"/>
                <w:sz w:val="20"/>
                <w:szCs w:val="20"/>
              </w:rPr>
            </w:pPr>
            <w:r w:rsidRPr="00F10893">
              <w:rPr>
                <w:rFonts w:ascii="Arial Narrow" w:hAnsi="Arial Narrow"/>
                <w:sz w:val="20"/>
              </w:rPr>
              <w:t xml:space="preserve">Fee: $125.00 Benefit: 75% = </w:t>
            </w:r>
            <w:r w:rsidR="0054670A" w:rsidRPr="00F10893">
              <w:rPr>
                <w:rFonts w:ascii="Arial Narrow" w:hAnsi="Arial Narrow"/>
                <w:sz w:val="20"/>
              </w:rPr>
              <w:t>$</w:t>
            </w:r>
            <w:r w:rsidR="00CE6E7F" w:rsidRPr="00F10893">
              <w:rPr>
                <w:rFonts w:ascii="Arial Narrow" w:hAnsi="Arial Narrow"/>
                <w:sz w:val="20"/>
              </w:rPr>
              <w:t>93.75</w:t>
            </w:r>
            <w:r w:rsidRPr="00F10893">
              <w:rPr>
                <w:rFonts w:ascii="Arial Narrow" w:hAnsi="Arial Narrow"/>
                <w:sz w:val="20"/>
              </w:rPr>
              <w:t xml:space="preserve">; 85% = </w:t>
            </w:r>
            <w:r w:rsidR="0054670A" w:rsidRPr="00F10893">
              <w:rPr>
                <w:rFonts w:ascii="Arial Narrow" w:hAnsi="Arial Narrow"/>
                <w:sz w:val="20"/>
              </w:rPr>
              <w:t>$</w:t>
            </w:r>
            <w:r w:rsidR="00A13D69" w:rsidRPr="00F10893">
              <w:rPr>
                <w:rFonts w:ascii="Arial Narrow" w:hAnsi="Arial Narrow"/>
                <w:sz w:val="20"/>
              </w:rPr>
              <w:t>106.25</w:t>
            </w:r>
          </w:p>
        </w:tc>
      </w:tr>
    </w:tbl>
    <w:p w14:paraId="73C8B17E" w14:textId="2CC700A1"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Table 1.4</w:t>
      </w:r>
      <w:r w:rsidR="00486CB7" w:rsidRPr="00F10893">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 xml:space="preserve">4 Proposed MBS Item Descriptor: FRα Expression Testing at Platinum-resistance, p16 of the submission. </w:t>
      </w:r>
    </w:p>
    <w:p w14:paraId="754E12E0" w14:textId="77777777"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FRα= folate receptor alpha; MBS= Medical Benefits Schedule; PBS= Pharmaceutical Benefits Scheme; TBC= to be confirmed. </w:t>
      </w:r>
    </w:p>
    <w:p w14:paraId="0E46E43E" w14:textId="453F56F1"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i/>
          <w:iCs/>
          <w:snapToGrid w:val="0"/>
          <w:sz w:val="18"/>
          <w:szCs w:val="20"/>
        </w:rPr>
        <w:t>Note: The PICO Confirmation noted that the PBS restriction would specify any FRα testing threshold and this need not be included in the MBS items.</w:t>
      </w:r>
    </w:p>
    <w:p w14:paraId="5EFA2D51" w14:textId="7706F631" w:rsidR="00E517FA" w:rsidRPr="00FD287E" w:rsidRDefault="0050161C" w:rsidP="00E517FA">
      <w:pPr>
        <w:rPr>
          <w:rFonts w:ascii="Franklin Gothic Book" w:hAnsi="Franklin Gothic Book"/>
          <w:sz w:val="22"/>
          <w:szCs w:val="20"/>
        </w:rPr>
      </w:pPr>
      <w:r w:rsidRPr="00FD287E">
        <w:rPr>
          <w:rFonts w:ascii="Franklin Gothic Book" w:hAnsi="Franklin Gothic Book"/>
          <w:sz w:val="22"/>
          <w:szCs w:val="20"/>
        </w:rPr>
        <w:t>The commentary considered that c</w:t>
      </w:r>
      <w:r w:rsidR="00E517FA" w:rsidRPr="00FD287E">
        <w:rPr>
          <w:rFonts w:ascii="Franklin Gothic Book" w:hAnsi="Franklin Gothic Book"/>
          <w:sz w:val="22"/>
          <w:szCs w:val="20"/>
        </w:rPr>
        <w:t>ompared with the descriptor ratified by PASC, the proposed wording for testing at platinum resistance omitted reference to ‘serous’ histology, however this was included in the descriptor for testing at diagnosis (see comments below).</w:t>
      </w:r>
      <w:r w:rsidR="00CA11E9">
        <w:rPr>
          <w:rFonts w:ascii="Franklin Gothic Book" w:hAnsi="Franklin Gothic Book"/>
          <w:sz w:val="22"/>
          <w:szCs w:val="20"/>
        </w:rPr>
        <w:t xml:space="preserve"> </w:t>
      </w:r>
      <w:r w:rsidR="00E517FA" w:rsidRPr="00FD287E">
        <w:rPr>
          <w:rFonts w:ascii="Franklin Gothic Book" w:hAnsi="Franklin Gothic Book"/>
          <w:sz w:val="22"/>
          <w:szCs w:val="20"/>
        </w:rPr>
        <w:t xml:space="preserve">The ratified PICO Confirmation stated that PASC, noting the evolution of understanding of platinum resistance, considered the item descriptor should not define ‘platinum resistant’, hence timing has not been included in the descriptor wording (between cessation of platinum treatment and onset of resistance). </w:t>
      </w:r>
    </w:p>
    <w:p w14:paraId="3EA958BD" w14:textId="48246F11" w:rsidR="00E517FA" w:rsidRPr="00FD287E" w:rsidRDefault="00E517FA" w:rsidP="00E517FA">
      <w:pPr>
        <w:rPr>
          <w:rFonts w:ascii="Franklin Gothic Book" w:hAnsi="Franklin Gothic Book"/>
          <w:sz w:val="22"/>
          <w:szCs w:val="20"/>
        </w:rPr>
      </w:pPr>
      <w:r w:rsidRPr="00FD287E">
        <w:rPr>
          <w:rFonts w:ascii="Franklin Gothic Book" w:hAnsi="Franklin Gothic Book"/>
          <w:sz w:val="22"/>
          <w:szCs w:val="20"/>
        </w:rPr>
        <w:t xml:space="preserve">In the majority of cases, testing at platinum resistance would involve retrieval of archival tumour tissue and the </w:t>
      </w:r>
      <w:r w:rsidR="002A44EC" w:rsidRPr="00FD287E">
        <w:rPr>
          <w:rFonts w:ascii="Franklin Gothic Book" w:hAnsi="Franklin Gothic Book"/>
          <w:sz w:val="22"/>
          <w:szCs w:val="20"/>
        </w:rPr>
        <w:t xml:space="preserve">proposed </w:t>
      </w:r>
      <w:r w:rsidRPr="00FD287E">
        <w:rPr>
          <w:rFonts w:ascii="Franklin Gothic Book" w:hAnsi="Franklin Gothic Book"/>
          <w:sz w:val="22"/>
          <w:szCs w:val="20"/>
        </w:rPr>
        <w:t>item would be co-claimed with MBS item 72860.</w:t>
      </w:r>
      <w:r w:rsidR="2F0C9384" w:rsidRPr="00FD287E">
        <w:rPr>
          <w:rFonts w:ascii="Franklin Gothic Book" w:hAnsi="Franklin Gothic Book"/>
          <w:sz w:val="22"/>
          <w:szCs w:val="20"/>
        </w:rPr>
        <w:t xml:space="preserve"> </w:t>
      </w:r>
    </w:p>
    <w:p w14:paraId="01BE1C1D" w14:textId="5F82D4D5" w:rsidR="00E517FA" w:rsidRPr="00FD287E" w:rsidRDefault="00E517FA" w:rsidP="00E517FA">
      <w:pPr>
        <w:rPr>
          <w:rFonts w:ascii="Franklin Gothic Book" w:hAnsi="Franklin Gothic Book"/>
          <w:sz w:val="22"/>
          <w:szCs w:val="20"/>
        </w:rPr>
      </w:pPr>
      <w:r w:rsidRPr="00FD287E">
        <w:rPr>
          <w:rFonts w:ascii="Franklin Gothic Book" w:hAnsi="Franklin Gothic Book"/>
          <w:sz w:val="22"/>
          <w:szCs w:val="20"/>
        </w:rPr>
        <w:t>The descriptor for testing at primary diagnosis of EOC is in</w:t>
      </w:r>
      <w:r w:rsidR="00303F4E" w:rsidRPr="00FD287E">
        <w:rPr>
          <w:rFonts w:ascii="Franklin Gothic Book" w:hAnsi="Franklin Gothic Book"/>
          <w:sz w:val="22"/>
          <w:szCs w:val="20"/>
        </w:rPr>
        <w:t xml:space="preserve">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_Ref198565817 \h </w:instrText>
      </w:r>
      <w:r w:rsidR="009D5A4A">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9D5A4A">
        <w:rPr>
          <w:rFonts w:ascii="Franklin Gothic Book" w:hAnsi="Franklin Gothic Book"/>
          <w:sz w:val="22"/>
          <w:szCs w:val="20"/>
        </w:rPr>
        <w:t>Table 3</w:t>
      </w:r>
      <w:r w:rsidR="005E37CF">
        <w:rPr>
          <w:rFonts w:ascii="Franklin Gothic Book" w:hAnsi="Franklin Gothic Book"/>
          <w:sz w:val="22"/>
          <w:szCs w:val="20"/>
        </w:rPr>
        <w:fldChar w:fldCharType="end"/>
      </w:r>
      <w:r w:rsidRPr="00FD287E">
        <w:rPr>
          <w:rFonts w:ascii="Franklin Gothic Book" w:hAnsi="Franklin Gothic Book"/>
          <w:sz w:val="22"/>
          <w:szCs w:val="20"/>
        </w:rPr>
        <w:t xml:space="preserve">. </w:t>
      </w:r>
    </w:p>
    <w:p w14:paraId="754922A7" w14:textId="0FE92143" w:rsidR="00E517FA" w:rsidRPr="00F10893" w:rsidRDefault="005E37CF" w:rsidP="002A4881">
      <w:pPr>
        <w:pStyle w:val="Caption"/>
      </w:pPr>
      <w:bookmarkStart w:id="13" w:name="_Ref198565817"/>
      <w:r>
        <w:lastRenderedPageBreak/>
        <w:t>Table</w:t>
      </w:r>
      <w:r w:rsidR="00303F4E" w:rsidRPr="00F10893">
        <w:t xml:space="preserve"> </w:t>
      </w:r>
      <w:r>
        <w:fldChar w:fldCharType="begin"/>
      </w:r>
      <w:r>
        <w:instrText xml:space="preserve"> SEQ Table \* ARABIC </w:instrText>
      </w:r>
      <w:r>
        <w:fldChar w:fldCharType="separate"/>
      </w:r>
      <w:r>
        <w:rPr>
          <w:noProof/>
        </w:rPr>
        <w:t>3</w:t>
      </w:r>
      <w:r>
        <w:rPr>
          <w:noProof/>
        </w:rPr>
        <w:fldChar w:fldCharType="end"/>
      </w:r>
      <w:bookmarkEnd w:id="13"/>
      <w:r w:rsidR="00303F4E" w:rsidRPr="00F10893">
        <w:t xml:space="preserve">: </w:t>
      </w:r>
      <w:r w:rsidR="00E517FA" w:rsidRPr="00F10893">
        <w:t>Proposed MBS item descriptor: FRα expression testing at primary diagnosis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517FA" w:rsidRPr="00F10893" w14:paraId="0F84F266" w14:textId="77777777">
        <w:tc>
          <w:tcPr>
            <w:tcW w:w="5000" w:type="pct"/>
          </w:tcPr>
          <w:p w14:paraId="11C361A0" w14:textId="77777777" w:rsidR="00E517FA" w:rsidRPr="00F10893" w:rsidRDefault="00E517FA" w:rsidP="001436C3">
            <w:pPr>
              <w:keepNext/>
              <w:keepLines/>
              <w:spacing w:before="0" w:after="0"/>
              <w:jc w:val="left"/>
              <w:rPr>
                <w:rFonts w:ascii="Arial Narrow" w:hAnsi="Arial Narrow"/>
                <w:sz w:val="20"/>
              </w:rPr>
            </w:pPr>
            <w:r w:rsidRPr="00F10893">
              <w:rPr>
                <w:rFonts w:ascii="Arial Narrow" w:hAnsi="Arial Narrow"/>
                <w:sz w:val="20"/>
              </w:rPr>
              <w:t>Category 6 – Pathology Services</w:t>
            </w:r>
          </w:p>
        </w:tc>
      </w:tr>
      <w:tr w:rsidR="00E517FA" w:rsidRPr="00F10893" w14:paraId="3E32B59B" w14:textId="77777777">
        <w:tc>
          <w:tcPr>
            <w:tcW w:w="5000" w:type="pct"/>
          </w:tcPr>
          <w:p w14:paraId="7A53DA2A" w14:textId="77777777" w:rsidR="00E517FA" w:rsidRPr="00F10893" w:rsidRDefault="00E517FA" w:rsidP="001436C3">
            <w:pPr>
              <w:keepNext/>
              <w:keepLines/>
              <w:widowControl w:val="0"/>
              <w:spacing w:before="0" w:after="0"/>
              <w:jc w:val="left"/>
              <w:rPr>
                <w:rFonts w:ascii="Arial Narrow" w:hAnsi="Arial Narrow"/>
                <w:sz w:val="20"/>
                <w:szCs w:val="20"/>
              </w:rPr>
            </w:pPr>
            <w:r w:rsidRPr="00F10893">
              <w:rPr>
                <w:rFonts w:ascii="Arial Narrow" w:hAnsi="Arial Narrow"/>
                <w:sz w:val="20"/>
                <w:szCs w:val="20"/>
              </w:rPr>
              <w:t>MBS item XXXX</w:t>
            </w:r>
          </w:p>
          <w:p w14:paraId="7DE5766A" w14:textId="77777777" w:rsidR="00E517FA" w:rsidRPr="00F10893" w:rsidRDefault="00E517FA" w:rsidP="001436C3">
            <w:pPr>
              <w:keepNext/>
              <w:keepLines/>
              <w:widowControl w:val="0"/>
              <w:spacing w:before="0" w:after="0"/>
              <w:jc w:val="left"/>
              <w:rPr>
                <w:rFonts w:ascii="Arial Narrow" w:hAnsi="Arial Narrow"/>
                <w:sz w:val="20"/>
                <w:szCs w:val="20"/>
              </w:rPr>
            </w:pPr>
          </w:p>
          <w:p w14:paraId="66FCB5C5" w14:textId="037C3B20" w:rsidR="00E517FA" w:rsidRPr="00F10893" w:rsidRDefault="00E517FA" w:rsidP="001436C3">
            <w:pPr>
              <w:keepNext/>
              <w:keepLines/>
              <w:widowControl w:val="0"/>
              <w:spacing w:before="0" w:after="0"/>
              <w:jc w:val="left"/>
              <w:rPr>
                <w:rFonts w:ascii="Arial Narrow" w:hAnsi="Arial Narrow"/>
                <w:sz w:val="20"/>
                <w:szCs w:val="20"/>
              </w:rPr>
            </w:pPr>
            <w:r w:rsidRPr="00F10893">
              <w:rPr>
                <w:rFonts w:ascii="Arial Narrow" w:hAnsi="Arial Narrow"/>
                <w:sz w:val="20"/>
                <w:szCs w:val="20"/>
              </w:rPr>
              <w:t xml:space="preserve">A test of tumour tissue using immunohistochemistry in a patient with high-grade serous epithelial ovarian, fallopian tube or primary peritoneal, high-grade endometrioid, or undifferentiated epithelial ovarian cancer, requested by a specialist or consultant physician </w:t>
            </w:r>
            <w:r w:rsidRPr="00F10893">
              <w:rPr>
                <w:rFonts w:ascii="Arial Narrow" w:hAnsi="Arial Narrow"/>
                <w:strike/>
                <w:sz w:val="20"/>
                <w:szCs w:val="20"/>
              </w:rPr>
              <w:t>or certified pathologist</w:t>
            </w:r>
            <w:r w:rsidRPr="00F10893">
              <w:rPr>
                <w:rFonts w:ascii="Arial Narrow" w:hAnsi="Arial Narrow"/>
                <w:sz w:val="20"/>
                <w:szCs w:val="20"/>
              </w:rPr>
              <w:t xml:space="preserve"> to determine membrane FRα expression status for access to a relevant treatment under the Pharmaceutical Benefits Scheme (PBS).</w:t>
            </w:r>
          </w:p>
          <w:p w14:paraId="491718A8" w14:textId="77777777" w:rsidR="001E1039" w:rsidRPr="00F10893" w:rsidRDefault="001E1039" w:rsidP="001436C3">
            <w:pPr>
              <w:keepNext/>
              <w:keepLines/>
              <w:widowControl w:val="0"/>
              <w:spacing w:before="0" w:after="0"/>
              <w:jc w:val="left"/>
              <w:rPr>
                <w:rFonts w:ascii="Arial Narrow" w:hAnsi="Arial Narrow"/>
                <w:sz w:val="20"/>
                <w:szCs w:val="20"/>
              </w:rPr>
            </w:pPr>
          </w:p>
          <w:p w14:paraId="3D8DF6A1" w14:textId="77777777" w:rsidR="00E517FA" w:rsidRPr="00F10893" w:rsidRDefault="001E1039" w:rsidP="001436C3">
            <w:pPr>
              <w:keepNext/>
              <w:keepLines/>
              <w:widowControl w:val="0"/>
              <w:spacing w:before="0" w:after="0"/>
              <w:jc w:val="left"/>
              <w:rPr>
                <w:rStyle w:val="cf01"/>
                <w:rFonts w:ascii="Arial Narrow" w:hAnsi="Arial Narrow"/>
                <w:b w:val="0"/>
                <w:bCs w:val="0"/>
                <w:sz w:val="20"/>
                <w:szCs w:val="20"/>
                <w:u w:val="single"/>
              </w:rPr>
            </w:pPr>
            <w:r w:rsidRPr="00F10893">
              <w:rPr>
                <w:rStyle w:val="cf01"/>
                <w:rFonts w:ascii="Arial Narrow" w:hAnsi="Arial Narrow"/>
                <w:b w:val="0"/>
                <w:bCs w:val="0"/>
                <w:sz w:val="20"/>
                <w:szCs w:val="20"/>
                <w:u w:val="single"/>
              </w:rPr>
              <w:t>(See para PN.1.2 of explanatory notes to this Category)</w:t>
            </w:r>
          </w:p>
          <w:p w14:paraId="07D62AC0" w14:textId="409F0FE2" w:rsidR="001E1039" w:rsidRPr="00F10893" w:rsidRDefault="001E1039" w:rsidP="001436C3">
            <w:pPr>
              <w:keepNext/>
              <w:keepLines/>
              <w:widowControl w:val="0"/>
              <w:spacing w:before="0" w:after="0"/>
              <w:jc w:val="left"/>
              <w:rPr>
                <w:rFonts w:ascii="Arial Narrow" w:hAnsi="Arial Narrow"/>
                <w:sz w:val="20"/>
                <w:szCs w:val="20"/>
              </w:rPr>
            </w:pPr>
          </w:p>
        </w:tc>
      </w:tr>
      <w:tr w:rsidR="00E517FA" w:rsidRPr="00F10893" w14:paraId="2388599D" w14:textId="77777777">
        <w:tc>
          <w:tcPr>
            <w:tcW w:w="5000" w:type="pct"/>
          </w:tcPr>
          <w:p w14:paraId="3A6DDB71" w14:textId="175FB279" w:rsidR="00E517FA" w:rsidRPr="00F10893" w:rsidRDefault="00E517FA" w:rsidP="001436C3">
            <w:pPr>
              <w:keepNext/>
              <w:keepLines/>
              <w:widowControl w:val="0"/>
              <w:spacing w:before="0" w:after="0"/>
              <w:jc w:val="left"/>
              <w:rPr>
                <w:rFonts w:ascii="Arial Narrow" w:hAnsi="Arial Narrow"/>
                <w:sz w:val="20"/>
              </w:rPr>
            </w:pPr>
            <w:r w:rsidRPr="00F10893">
              <w:rPr>
                <w:rFonts w:ascii="Arial Narrow" w:hAnsi="Arial Narrow"/>
                <w:sz w:val="20"/>
              </w:rPr>
              <w:t>Fee: $125.00 Benefit: 75% =</w:t>
            </w:r>
            <w:r w:rsidR="0054670A" w:rsidRPr="00F10893">
              <w:rPr>
                <w:rFonts w:ascii="Arial Narrow" w:hAnsi="Arial Narrow"/>
                <w:sz w:val="20"/>
              </w:rPr>
              <w:t>$</w:t>
            </w:r>
            <w:r w:rsidR="008963C0" w:rsidRPr="00F10893">
              <w:rPr>
                <w:rFonts w:ascii="Arial Narrow" w:hAnsi="Arial Narrow"/>
                <w:sz w:val="20"/>
              </w:rPr>
              <w:t>93.75</w:t>
            </w:r>
            <w:r w:rsidRPr="00F10893">
              <w:rPr>
                <w:rFonts w:ascii="Arial Narrow" w:hAnsi="Arial Narrow"/>
                <w:sz w:val="20"/>
              </w:rPr>
              <w:t xml:space="preserve">; 85% = </w:t>
            </w:r>
            <w:r w:rsidR="008963C0" w:rsidRPr="00F10893">
              <w:rPr>
                <w:rFonts w:ascii="Arial Narrow" w:hAnsi="Arial Narrow"/>
                <w:sz w:val="20"/>
              </w:rPr>
              <w:t>$106.25</w:t>
            </w:r>
          </w:p>
        </w:tc>
      </w:tr>
    </w:tbl>
    <w:p w14:paraId="40E2B487" w14:textId="0A74EBF0" w:rsidR="00E517FA" w:rsidRPr="00F10893" w:rsidRDefault="00E517FA" w:rsidP="001436C3">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Table 1.4</w:t>
      </w:r>
      <w:r w:rsidR="00486CB7" w:rsidRPr="00F10893">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 xml:space="preserve">3 Proposed MBS Item Descriptor: FRα Expression Testing at Diagnosis, p16 of the submission. </w:t>
      </w:r>
    </w:p>
    <w:p w14:paraId="54346660" w14:textId="77777777" w:rsidR="00E517FA" w:rsidRPr="00F10893" w:rsidRDefault="00E517FA" w:rsidP="001436C3">
      <w:pPr>
        <w:keepNext/>
        <w:keepLines/>
        <w:widowControl w:val="0"/>
        <w:spacing w:before="0" w:after="0"/>
        <w:contextualSpacing/>
        <w:rPr>
          <w:rFonts w:ascii="Arial Narrow" w:eastAsia="Times New Roman" w:hAnsi="Arial Narrow" w:cs="Arial"/>
          <w:i/>
          <w:iCs/>
          <w:snapToGrid w:val="0"/>
          <w:sz w:val="18"/>
          <w:szCs w:val="20"/>
        </w:rPr>
      </w:pPr>
      <w:r w:rsidRPr="00F10893">
        <w:rPr>
          <w:rFonts w:ascii="Arial Narrow" w:eastAsia="Times New Roman" w:hAnsi="Arial Narrow" w:cs="Arial"/>
          <w:i/>
          <w:iCs/>
          <w:snapToGrid w:val="0"/>
          <w:sz w:val="18"/>
          <w:szCs w:val="20"/>
        </w:rPr>
        <w:t xml:space="preserve">FRα= folate receptor alpha; MBS= Medical Benefits Schedule; PBS= Pharmaceutical Benefits Scheme; TBC= to be confirmed. </w:t>
      </w:r>
    </w:p>
    <w:p w14:paraId="794847B7" w14:textId="476EFEAC" w:rsidR="00E517FA" w:rsidRPr="00F10893" w:rsidRDefault="00E517FA" w:rsidP="001436C3">
      <w:pPr>
        <w:keepNext/>
        <w:keepLines/>
        <w:widowControl w:val="0"/>
        <w:spacing w:before="0" w:after="0"/>
        <w:contextualSpacing/>
        <w:jc w:val="left"/>
        <w:rPr>
          <w:rFonts w:ascii="Arial Narrow" w:eastAsia="Times New Roman" w:hAnsi="Arial Narrow" w:cs="Arial"/>
          <w:i/>
          <w:iCs/>
          <w:snapToGrid w:val="0"/>
          <w:sz w:val="18"/>
          <w:szCs w:val="20"/>
        </w:rPr>
      </w:pPr>
      <w:r w:rsidRPr="00F10893">
        <w:rPr>
          <w:rFonts w:ascii="Arial Narrow" w:eastAsia="Times New Roman" w:hAnsi="Arial Narrow" w:cs="Arial"/>
          <w:i/>
          <w:iCs/>
          <w:snapToGrid w:val="0"/>
          <w:sz w:val="18"/>
          <w:szCs w:val="20"/>
        </w:rPr>
        <w:t>Wording in strikethrough</w:t>
      </w:r>
      <w:r w:rsidR="00922A16" w:rsidRPr="00F10893">
        <w:rPr>
          <w:rFonts w:ascii="Arial Narrow" w:eastAsia="Times New Roman" w:hAnsi="Arial Narrow" w:cs="Arial"/>
          <w:i/>
          <w:iCs/>
          <w:snapToGrid w:val="0"/>
          <w:sz w:val="18"/>
          <w:szCs w:val="20"/>
        </w:rPr>
        <w:t xml:space="preserve"> or underline</w:t>
      </w:r>
      <w:r w:rsidR="00937EA4" w:rsidRPr="00F10893">
        <w:rPr>
          <w:rFonts w:ascii="Arial Narrow" w:eastAsia="Times New Roman" w:hAnsi="Arial Narrow" w:cs="Arial"/>
          <w:i/>
          <w:iCs/>
          <w:snapToGrid w:val="0"/>
          <w:sz w:val="18"/>
          <w:szCs w:val="20"/>
        </w:rPr>
        <w:t>d was amended during</w:t>
      </w:r>
      <w:r w:rsidR="00985284" w:rsidRPr="00F10893">
        <w:rPr>
          <w:rFonts w:ascii="Arial Narrow" w:eastAsia="Times New Roman" w:hAnsi="Arial Narrow" w:cs="Arial"/>
          <w:i/>
          <w:iCs/>
          <w:snapToGrid w:val="0"/>
          <w:sz w:val="18"/>
          <w:szCs w:val="20"/>
        </w:rPr>
        <w:t xml:space="preserve"> evaluation</w:t>
      </w:r>
      <w:r w:rsidRPr="00F10893">
        <w:rPr>
          <w:rFonts w:ascii="Arial Narrow" w:eastAsia="Times New Roman" w:hAnsi="Arial Narrow" w:cs="Arial"/>
          <w:i/>
          <w:iCs/>
          <w:snapToGrid w:val="0"/>
          <w:sz w:val="18"/>
          <w:szCs w:val="20"/>
        </w:rPr>
        <w:t xml:space="preserve"> </w:t>
      </w:r>
      <w:r w:rsidR="00F207AB" w:rsidRPr="00F10893">
        <w:rPr>
          <w:rFonts w:ascii="Arial Narrow" w:eastAsia="Times New Roman" w:hAnsi="Arial Narrow" w:cs="Arial"/>
          <w:i/>
          <w:iCs/>
          <w:snapToGrid w:val="0"/>
          <w:sz w:val="18"/>
          <w:szCs w:val="20"/>
        </w:rPr>
        <w:t>to reflect comments</w:t>
      </w:r>
      <w:r w:rsidRPr="00F10893">
        <w:rPr>
          <w:rFonts w:ascii="Arial Narrow" w:eastAsia="Times New Roman" w:hAnsi="Arial Narrow" w:cs="Arial"/>
          <w:i/>
          <w:iCs/>
          <w:snapToGrid w:val="0"/>
          <w:sz w:val="18"/>
          <w:szCs w:val="20"/>
        </w:rPr>
        <w:t xml:space="preserve"> in the ratified PICO confirmation that “the item descriptor would not make reference to a ‘certified pathologist’ as the requestor, [but would] instead include a reference to the pathologist determinable practice note PN.1.2.”</w:t>
      </w:r>
    </w:p>
    <w:p w14:paraId="0548C616" w14:textId="07087E69" w:rsidR="00E517FA" w:rsidRPr="00F10893" w:rsidRDefault="00E517FA" w:rsidP="00C77641">
      <w:pPr>
        <w:keepNext/>
        <w:keepLines/>
        <w:widowControl w:val="0"/>
        <w:spacing w:before="0" w:after="0"/>
        <w:contextualSpacing/>
        <w:jc w:val="left"/>
        <w:rPr>
          <w:rFonts w:ascii="Arial Narrow" w:eastAsia="Times New Roman" w:hAnsi="Arial Narrow" w:cs="Arial"/>
          <w:snapToGrid w:val="0"/>
          <w:sz w:val="18"/>
          <w:szCs w:val="20"/>
        </w:rPr>
      </w:pPr>
      <w:r w:rsidRPr="00F10893">
        <w:rPr>
          <w:rFonts w:ascii="Arial Narrow" w:eastAsia="Times New Roman" w:hAnsi="Arial Narrow" w:cs="Arial"/>
          <w:i/>
          <w:iCs/>
          <w:snapToGrid w:val="0"/>
          <w:sz w:val="18"/>
          <w:szCs w:val="20"/>
        </w:rPr>
        <w:t>Note: The PICO Confirmation noted that the PBS restriction would specify any FRα testing threshold and this need not be included in the MBS items.</w:t>
      </w:r>
    </w:p>
    <w:p w14:paraId="53E3E0CE" w14:textId="534768E4" w:rsidR="00E517FA" w:rsidRPr="00FD287E" w:rsidRDefault="00E517FA" w:rsidP="00E517FA">
      <w:pPr>
        <w:keepNext/>
        <w:rPr>
          <w:rFonts w:ascii="Franklin Gothic Book" w:hAnsi="Franklin Gothic Book"/>
          <w:sz w:val="22"/>
          <w:szCs w:val="20"/>
        </w:rPr>
      </w:pPr>
      <w:r w:rsidRPr="00FD287E">
        <w:rPr>
          <w:rFonts w:ascii="Franklin Gothic Book" w:hAnsi="Franklin Gothic Book"/>
          <w:sz w:val="22"/>
          <w:szCs w:val="20"/>
        </w:rPr>
        <w:t>The commentary considered that the proposed item descriptor differed from the test population in the submission PICO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_Ref164701707 \h </w:instrText>
      </w:r>
      <w:r w:rsidR="009D5A4A">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9D5A4A">
        <w:rPr>
          <w:rFonts w:ascii="Franklin Gothic Book" w:hAnsi="Franklin Gothic Book"/>
          <w:sz w:val="22"/>
          <w:szCs w:val="20"/>
        </w:rPr>
        <w:t>Table 4</w:t>
      </w:r>
      <w:r w:rsidR="005E37CF">
        <w:rPr>
          <w:rFonts w:ascii="Franklin Gothic Book" w:hAnsi="Franklin Gothic Book"/>
          <w:sz w:val="22"/>
          <w:szCs w:val="20"/>
        </w:rPr>
        <w:fldChar w:fldCharType="end"/>
      </w:r>
      <w:r w:rsidRPr="00FD287E">
        <w:rPr>
          <w:rFonts w:ascii="Franklin Gothic Book" w:hAnsi="Franklin Gothic Book"/>
          <w:sz w:val="22"/>
          <w:szCs w:val="20"/>
        </w:rPr>
        <w:t>) in several respects:</w:t>
      </w:r>
    </w:p>
    <w:p w14:paraId="68341C1F" w14:textId="77777777" w:rsidR="00E517FA" w:rsidRPr="009D5A4A" w:rsidRDefault="00E517FA" w:rsidP="00AE70BD">
      <w:pPr>
        <w:numPr>
          <w:ilvl w:val="0"/>
          <w:numId w:val="14"/>
        </w:numPr>
        <w:ind w:left="714" w:hanging="357"/>
        <w:contextualSpacing/>
        <w:rPr>
          <w:rFonts w:ascii="Franklin Gothic Book" w:hAnsi="Franklin Gothic Book"/>
          <w:sz w:val="22"/>
          <w:szCs w:val="20"/>
        </w:rPr>
      </w:pPr>
      <w:r w:rsidRPr="009D5A4A">
        <w:rPr>
          <w:rFonts w:ascii="Franklin Gothic Book" w:hAnsi="Franklin Gothic Book"/>
          <w:sz w:val="22"/>
          <w:szCs w:val="20"/>
        </w:rPr>
        <w:t>Inclusion of ‘serous’ tumour histology</w:t>
      </w:r>
    </w:p>
    <w:p w14:paraId="3227B092" w14:textId="4FF4FE5C" w:rsidR="00E517FA" w:rsidRPr="009D5A4A" w:rsidRDefault="00E517FA" w:rsidP="00AE70BD">
      <w:pPr>
        <w:numPr>
          <w:ilvl w:val="0"/>
          <w:numId w:val="14"/>
        </w:numPr>
        <w:ind w:left="714" w:hanging="357"/>
        <w:contextualSpacing/>
        <w:rPr>
          <w:rFonts w:ascii="Franklin Gothic Book" w:hAnsi="Franklin Gothic Book"/>
          <w:sz w:val="22"/>
          <w:szCs w:val="20"/>
        </w:rPr>
      </w:pPr>
      <w:r w:rsidRPr="009D5A4A">
        <w:rPr>
          <w:rFonts w:ascii="Franklin Gothic Book" w:hAnsi="Franklin Gothic Book"/>
          <w:sz w:val="22"/>
          <w:szCs w:val="20"/>
        </w:rPr>
        <w:t xml:space="preserve">Inclusion of tumours with endometrioid, or undifferentiated histology as eligible for testing </w:t>
      </w:r>
    </w:p>
    <w:p w14:paraId="3BEFD572" w14:textId="330D8AC2" w:rsidR="0079013D" w:rsidRPr="00C77641" w:rsidRDefault="00E517FA" w:rsidP="00C77641">
      <w:pPr>
        <w:numPr>
          <w:ilvl w:val="0"/>
          <w:numId w:val="14"/>
        </w:numPr>
        <w:ind w:left="714" w:hanging="357"/>
        <w:rPr>
          <w:rFonts w:ascii="Franklin Gothic Book" w:hAnsi="Franklin Gothic Book"/>
          <w:sz w:val="22"/>
          <w:szCs w:val="20"/>
        </w:rPr>
      </w:pPr>
      <w:r w:rsidRPr="009D5A4A">
        <w:rPr>
          <w:rFonts w:ascii="Franklin Gothic Book" w:hAnsi="Franklin Gothic Book"/>
          <w:sz w:val="22"/>
          <w:szCs w:val="20"/>
        </w:rPr>
        <w:t>Inclusion of the wording ‘or certified pathologist’</w:t>
      </w:r>
      <w:r w:rsidR="0079013D" w:rsidRPr="009D5A4A">
        <w:rPr>
          <w:rFonts w:ascii="Franklin Gothic Book" w:hAnsi="Franklin Gothic Book"/>
          <w:sz w:val="22"/>
          <w:szCs w:val="20"/>
        </w:rPr>
        <w:t>.</w:t>
      </w:r>
    </w:p>
    <w:p w14:paraId="4CABDEDC" w14:textId="24CC85A3" w:rsidR="00E517FA" w:rsidRPr="00FD287E" w:rsidRDefault="0050161C" w:rsidP="00E517FA">
      <w:pPr>
        <w:rPr>
          <w:rFonts w:ascii="Franklin Gothic Book" w:hAnsi="Franklin Gothic Book"/>
          <w:sz w:val="22"/>
          <w:szCs w:val="20"/>
        </w:rPr>
      </w:pPr>
      <w:r w:rsidRPr="00FD287E">
        <w:rPr>
          <w:rFonts w:ascii="Franklin Gothic Book" w:hAnsi="Franklin Gothic Book"/>
          <w:sz w:val="22"/>
          <w:szCs w:val="20"/>
        </w:rPr>
        <w:t>The commentary also noted that r</w:t>
      </w:r>
      <w:r w:rsidR="00E517FA" w:rsidRPr="00FD287E">
        <w:rPr>
          <w:rFonts w:ascii="Franklin Gothic Book" w:hAnsi="Franklin Gothic Book"/>
          <w:sz w:val="22"/>
          <w:szCs w:val="20"/>
        </w:rPr>
        <w:t>egarding the first two criteria, inclusion of criteria referring to tumours of serous histology and tumours with endometrioid, or undifferentiated histology were each consistent with PASC recommendations (and therefore appropriate). Nevertheless, both criteria in the item descriptor were inconsistent with the remainder of the submission which otherwise appeared to be seeking a test and treatment population not limited to serous tumours but on the other hand without including endometrioid, or undifferentiated histology. As such, the commentary considered the proposed differences in the item descriptors compared with those in the ratified PICO Confirmation were not adequately justified. The submission proposed that FRα expression testing performed as a reflex test at the time of the primary diagnosis and as such would be a pathologist determinable service. The inclusion of the wording ‘or certified pathologist’ (</w:t>
      </w:r>
      <w:r w:rsidR="006E5CF2">
        <w:rPr>
          <w:rFonts w:ascii="Franklin Gothic Book" w:hAnsi="Franklin Gothic Book"/>
          <w:sz w:val="22"/>
          <w:szCs w:val="20"/>
        </w:rPr>
        <w:fldChar w:fldCharType="begin"/>
      </w:r>
      <w:r w:rsidR="006E5CF2">
        <w:rPr>
          <w:rFonts w:ascii="Franklin Gothic Book" w:hAnsi="Franklin Gothic Book"/>
          <w:sz w:val="22"/>
          <w:szCs w:val="20"/>
        </w:rPr>
        <w:instrText xml:space="preserve"> REF _Ref198565817 \h  \* MERGEFORMAT </w:instrText>
      </w:r>
      <w:r w:rsidR="006E5CF2">
        <w:rPr>
          <w:rFonts w:ascii="Franklin Gothic Book" w:hAnsi="Franklin Gothic Book"/>
          <w:sz w:val="22"/>
          <w:szCs w:val="20"/>
        </w:rPr>
      </w:r>
      <w:r w:rsidR="006E5CF2">
        <w:rPr>
          <w:rFonts w:ascii="Franklin Gothic Book" w:hAnsi="Franklin Gothic Book"/>
          <w:sz w:val="22"/>
          <w:szCs w:val="20"/>
        </w:rPr>
        <w:fldChar w:fldCharType="separate"/>
      </w:r>
      <w:r w:rsidR="006E5CF2" w:rsidRPr="006E5CF2">
        <w:rPr>
          <w:rFonts w:ascii="Franklin Gothic Book" w:hAnsi="Franklin Gothic Book"/>
          <w:sz w:val="22"/>
          <w:szCs w:val="20"/>
        </w:rPr>
        <w:t>Table 3</w:t>
      </w:r>
      <w:r w:rsidR="006E5CF2">
        <w:rPr>
          <w:rFonts w:ascii="Franklin Gothic Book" w:hAnsi="Franklin Gothic Book"/>
          <w:sz w:val="22"/>
          <w:szCs w:val="20"/>
        </w:rPr>
        <w:fldChar w:fldCharType="end"/>
      </w:r>
      <w:r w:rsidR="002B678B" w:rsidRPr="00FD287E">
        <w:rPr>
          <w:rFonts w:ascii="Franklin Gothic Book" w:hAnsi="Franklin Gothic Book"/>
          <w:sz w:val="22"/>
          <w:szCs w:val="20"/>
        </w:rPr>
        <w:fldChar w:fldCharType="begin"/>
      </w:r>
      <w:r w:rsidR="002B678B" w:rsidRPr="00FD287E">
        <w:rPr>
          <w:rFonts w:ascii="Franklin Gothic Book" w:hAnsi="Franklin Gothic Book"/>
          <w:sz w:val="22"/>
          <w:szCs w:val="20"/>
        </w:rPr>
        <w:instrText xml:space="preserve"> REF _Ref198565817 \h  \* MERGEFORMAT </w:instrText>
      </w:r>
      <w:r w:rsidR="002B678B" w:rsidRPr="00FD287E">
        <w:rPr>
          <w:rFonts w:ascii="Franklin Gothic Book" w:hAnsi="Franklin Gothic Book"/>
          <w:sz w:val="22"/>
          <w:szCs w:val="20"/>
        </w:rPr>
      </w:r>
      <w:r w:rsidR="002B678B" w:rsidRPr="00FD287E">
        <w:rPr>
          <w:rFonts w:ascii="Franklin Gothic Book" w:hAnsi="Franklin Gothic Book"/>
          <w:sz w:val="22"/>
          <w:szCs w:val="20"/>
        </w:rPr>
        <w:fldChar w:fldCharType="separate"/>
      </w:r>
      <w:r w:rsidR="002B678B" w:rsidRPr="00FD287E">
        <w:rPr>
          <w:rFonts w:ascii="Franklin Gothic Book" w:hAnsi="Franklin Gothic Book"/>
          <w:sz w:val="22"/>
          <w:szCs w:val="20"/>
        </w:rPr>
        <w:fldChar w:fldCharType="end"/>
      </w:r>
      <w:r w:rsidR="00E517FA" w:rsidRPr="00FD287E">
        <w:rPr>
          <w:rFonts w:ascii="Franklin Gothic Book" w:hAnsi="Franklin Gothic Book"/>
          <w:sz w:val="22"/>
          <w:szCs w:val="20"/>
        </w:rPr>
        <w:t xml:space="preserve">) reflected this intent, thus the reference in the descriptor is indicated in strikethrough type. </w:t>
      </w:r>
      <w:r w:rsidR="00370EDD" w:rsidRPr="00FD287E">
        <w:rPr>
          <w:rFonts w:ascii="Franklin Gothic Book" w:hAnsi="Franklin Gothic Book"/>
          <w:sz w:val="22"/>
          <w:szCs w:val="20"/>
        </w:rPr>
        <w:t>The item descriptor was amended during evaluation (wording in strikethrough or underlined</w:t>
      </w:r>
      <w:r w:rsidR="00560A7A" w:rsidRPr="00FD287E">
        <w:rPr>
          <w:rFonts w:ascii="Franklin Gothic Book" w:hAnsi="Franklin Gothic Book"/>
          <w:sz w:val="22"/>
          <w:szCs w:val="20"/>
        </w:rPr>
        <w:t xml:space="preserve">) </w:t>
      </w:r>
      <w:r w:rsidR="00370EDD" w:rsidRPr="00FD287E">
        <w:rPr>
          <w:rFonts w:ascii="Franklin Gothic Book" w:hAnsi="Franklin Gothic Book"/>
          <w:sz w:val="22"/>
          <w:szCs w:val="20"/>
        </w:rPr>
        <w:t>to reflect comments in the ratified PICO confirmation that “the item descriptor would not make reference to a ‘certified pathologist’ as the requestor, [but would] instead include a reference to the pathologist determinable practice note PN.1.2.”</w:t>
      </w:r>
      <w:r w:rsidR="00560A7A" w:rsidRPr="00FD287E">
        <w:rPr>
          <w:rFonts w:ascii="Franklin Gothic Book" w:hAnsi="Franklin Gothic Book"/>
          <w:sz w:val="22"/>
          <w:szCs w:val="20"/>
        </w:rPr>
        <w:t>.</w:t>
      </w:r>
    </w:p>
    <w:p w14:paraId="7891883E" w14:textId="58BA4932" w:rsidR="00E517FA" w:rsidRPr="00FD287E" w:rsidRDefault="009E618F" w:rsidP="00E517FA">
      <w:pPr>
        <w:rPr>
          <w:rFonts w:ascii="Franklin Gothic Book" w:hAnsi="Franklin Gothic Book"/>
          <w:sz w:val="22"/>
          <w:szCs w:val="20"/>
        </w:rPr>
      </w:pPr>
      <w:r>
        <w:rPr>
          <w:rFonts w:ascii="Franklin Gothic Book" w:hAnsi="Franklin Gothic Book"/>
          <w:sz w:val="22"/>
          <w:szCs w:val="20"/>
        </w:rPr>
        <w:t>The commentary considered that t</w:t>
      </w:r>
      <w:r w:rsidR="00E517FA" w:rsidRPr="00FD287E">
        <w:rPr>
          <w:rFonts w:ascii="Franklin Gothic Book" w:hAnsi="Franklin Gothic Book"/>
          <w:sz w:val="22"/>
          <w:szCs w:val="20"/>
        </w:rPr>
        <w:t xml:space="preserve">he proposed MBS services would be limited to pathology laboratories with NATA accreditation for this type of testing and enrolled in a QAP for this assay (see above comments in Prerequisites to implementation). </w:t>
      </w:r>
    </w:p>
    <w:p w14:paraId="0224A910" w14:textId="5B4CB147" w:rsidR="00E517FA" w:rsidRDefault="00E517FA" w:rsidP="00E517FA">
      <w:pPr>
        <w:rPr>
          <w:rFonts w:ascii="Franklin Gothic Book" w:hAnsi="Franklin Gothic Book"/>
          <w:sz w:val="22"/>
          <w:szCs w:val="20"/>
        </w:rPr>
      </w:pPr>
      <w:r w:rsidRPr="00FD287E">
        <w:rPr>
          <w:rFonts w:ascii="Franklin Gothic Book" w:hAnsi="Franklin Gothic Book"/>
          <w:sz w:val="22"/>
          <w:szCs w:val="20"/>
        </w:rPr>
        <w:t xml:space="preserve">The </w:t>
      </w:r>
      <w:r w:rsidR="00EB01F5">
        <w:rPr>
          <w:rFonts w:ascii="Franklin Gothic Book" w:hAnsi="Franklin Gothic Book"/>
          <w:sz w:val="22"/>
          <w:szCs w:val="20"/>
        </w:rPr>
        <w:t xml:space="preserve">commentary noted </w:t>
      </w:r>
      <w:r w:rsidR="002C68DC">
        <w:rPr>
          <w:rFonts w:ascii="Franklin Gothic Book" w:hAnsi="Franklin Gothic Book"/>
          <w:sz w:val="22"/>
          <w:szCs w:val="20"/>
        </w:rPr>
        <w:t xml:space="preserve">that the </w:t>
      </w:r>
      <w:r w:rsidRPr="00FD287E">
        <w:rPr>
          <w:rFonts w:ascii="Franklin Gothic Book" w:hAnsi="Franklin Gothic Book"/>
          <w:sz w:val="22"/>
          <w:szCs w:val="20"/>
        </w:rPr>
        <w:t xml:space="preserve">submission proposed a fee of $125 for both items but did not provide a supporting justification </w:t>
      </w:r>
      <w:r w:rsidR="00565B3A">
        <w:rPr>
          <w:rFonts w:ascii="Franklin Gothic Book" w:hAnsi="Franklin Gothic Book"/>
          <w:sz w:val="22"/>
          <w:szCs w:val="20"/>
        </w:rPr>
        <w:t>in</w:t>
      </w:r>
      <w:r w:rsidR="00975FFE">
        <w:rPr>
          <w:rFonts w:ascii="Franklin Gothic Book" w:hAnsi="Franklin Gothic Book"/>
          <w:sz w:val="22"/>
          <w:szCs w:val="20"/>
        </w:rPr>
        <w:t xml:space="preserve"> the ADAR </w:t>
      </w:r>
      <w:r w:rsidRPr="00FD287E">
        <w:rPr>
          <w:rFonts w:ascii="Franklin Gothic Book" w:hAnsi="Franklin Gothic Book"/>
          <w:sz w:val="22"/>
          <w:szCs w:val="20"/>
        </w:rPr>
        <w:t xml:space="preserve">as requested by PASC (p31 1787 ratified PICO Confirmation, PASC December 2024). </w:t>
      </w:r>
    </w:p>
    <w:p w14:paraId="5225D10A" w14:textId="2EC519FB" w:rsidR="00A67D83" w:rsidRPr="009D5A4A" w:rsidRDefault="00A67D83" w:rsidP="00A67D83">
      <w:pPr>
        <w:pStyle w:val="MSACESBulletPoint"/>
        <w:numPr>
          <w:ilvl w:val="0"/>
          <w:numId w:val="0"/>
        </w:numPr>
        <w:jc w:val="both"/>
        <w:rPr>
          <w:rFonts w:ascii="Franklin Gothic Book" w:hAnsi="Franklin Gothic Book"/>
          <w:sz w:val="22"/>
          <w:szCs w:val="20"/>
        </w:rPr>
      </w:pPr>
      <w:r w:rsidRPr="009D5A4A">
        <w:rPr>
          <w:rFonts w:ascii="Franklin Gothic Book" w:hAnsi="Franklin Gothic Book"/>
          <w:sz w:val="22"/>
          <w:szCs w:val="20"/>
        </w:rPr>
        <w:t xml:space="preserve">The key PICO components presented in the submission are presented in </w:t>
      </w:r>
      <w:r w:rsidR="005E37CF" w:rsidRPr="009D5A4A">
        <w:rPr>
          <w:rFonts w:ascii="Franklin Gothic Book" w:hAnsi="Franklin Gothic Book"/>
          <w:sz w:val="22"/>
          <w:szCs w:val="20"/>
        </w:rPr>
        <w:fldChar w:fldCharType="begin"/>
      </w:r>
      <w:r w:rsidR="005E37CF" w:rsidRPr="009D5A4A">
        <w:rPr>
          <w:rFonts w:ascii="Franklin Gothic Book" w:hAnsi="Franklin Gothic Book"/>
          <w:sz w:val="22"/>
          <w:szCs w:val="20"/>
        </w:rPr>
        <w:instrText xml:space="preserve"> REF _Ref164701707 \h </w:instrText>
      </w:r>
      <w:r w:rsidR="00AC17D8" w:rsidRPr="009D5A4A">
        <w:rPr>
          <w:rFonts w:ascii="Franklin Gothic Book" w:hAnsi="Franklin Gothic Book"/>
          <w:sz w:val="22"/>
          <w:szCs w:val="20"/>
        </w:rPr>
        <w:instrText xml:space="preserve"> \* MERGEFORMAT </w:instrText>
      </w:r>
      <w:r w:rsidR="005E37CF" w:rsidRPr="009D5A4A">
        <w:rPr>
          <w:rFonts w:ascii="Franklin Gothic Book" w:hAnsi="Franklin Gothic Book"/>
          <w:sz w:val="22"/>
          <w:szCs w:val="20"/>
        </w:rPr>
      </w:r>
      <w:r w:rsidR="005E37CF" w:rsidRPr="009D5A4A">
        <w:rPr>
          <w:rFonts w:ascii="Franklin Gothic Book" w:hAnsi="Franklin Gothic Book"/>
          <w:sz w:val="22"/>
          <w:szCs w:val="20"/>
        </w:rPr>
        <w:fldChar w:fldCharType="separate"/>
      </w:r>
      <w:r w:rsidR="005E37CF" w:rsidRPr="009D5A4A">
        <w:rPr>
          <w:rFonts w:ascii="Franklin Gothic Book" w:hAnsi="Franklin Gothic Book"/>
          <w:sz w:val="22"/>
          <w:szCs w:val="20"/>
        </w:rPr>
        <w:t>Table 4</w:t>
      </w:r>
      <w:r w:rsidR="005E37CF" w:rsidRPr="009D5A4A">
        <w:rPr>
          <w:rFonts w:ascii="Franklin Gothic Book" w:hAnsi="Franklin Gothic Book"/>
          <w:sz w:val="22"/>
          <w:szCs w:val="20"/>
        </w:rPr>
        <w:fldChar w:fldCharType="end"/>
      </w:r>
      <w:r w:rsidRPr="009D5A4A">
        <w:rPr>
          <w:rFonts w:ascii="Franklin Gothic Book" w:hAnsi="Franklin Gothic Book"/>
          <w:sz w:val="22"/>
          <w:szCs w:val="20"/>
        </w:rPr>
        <w:t>.</w:t>
      </w:r>
    </w:p>
    <w:p w14:paraId="0FD14F8B" w14:textId="61B6024F" w:rsidR="00A67D83" w:rsidRPr="00F10893" w:rsidRDefault="005E37CF" w:rsidP="00C77641">
      <w:pPr>
        <w:pStyle w:val="Caption"/>
        <w:keepLines/>
      </w:pPr>
      <w:bookmarkStart w:id="14" w:name="_Ref164701707"/>
      <w:r>
        <w:lastRenderedPageBreak/>
        <w:t>Table</w:t>
      </w:r>
      <w:r w:rsidR="00A67D83" w:rsidRPr="00F10893">
        <w:t xml:space="preserve"> </w:t>
      </w:r>
      <w:r>
        <w:fldChar w:fldCharType="begin"/>
      </w:r>
      <w:r>
        <w:instrText xml:space="preserve"> SEQ Table \* ARABIC </w:instrText>
      </w:r>
      <w:r>
        <w:fldChar w:fldCharType="separate"/>
      </w:r>
      <w:r>
        <w:rPr>
          <w:noProof/>
        </w:rPr>
        <w:t>4</w:t>
      </w:r>
      <w:r>
        <w:rPr>
          <w:noProof/>
        </w:rPr>
        <w:fldChar w:fldCharType="end"/>
      </w:r>
      <w:bookmarkEnd w:id="14"/>
      <w:r w:rsidR="00A67D83" w:rsidRPr="00F10893">
        <w:t>: Key components of the clinical issue addressed by the submission</w:t>
      </w:r>
    </w:p>
    <w:tbl>
      <w:tblPr>
        <w:tblStyle w:val="PBACTableStyle"/>
        <w:tblW w:w="0" w:type="auto"/>
        <w:tblLook w:val="04A0" w:firstRow="1" w:lastRow="0" w:firstColumn="1" w:lastColumn="0" w:noHBand="0" w:noVBand="1"/>
      </w:tblPr>
      <w:tblGrid>
        <w:gridCol w:w="1195"/>
        <w:gridCol w:w="7821"/>
      </w:tblGrid>
      <w:tr w:rsidR="00A67D83" w:rsidRPr="00F10893" w14:paraId="751F0C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tcPr>
          <w:p w14:paraId="6BE531FA" w14:textId="77777777" w:rsidR="00A67D83" w:rsidRPr="00F10893" w:rsidRDefault="00A67D83" w:rsidP="00C77641">
            <w:pPr>
              <w:pStyle w:val="TableText"/>
              <w:keepNext/>
              <w:keepLines/>
              <w:rPr>
                <w:lang w:val="en-AU"/>
              </w:rPr>
            </w:pPr>
            <w:r w:rsidRPr="00F10893">
              <w:rPr>
                <w:lang w:val="en-AU"/>
              </w:rPr>
              <w:t>Component</w:t>
            </w:r>
          </w:p>
        </w:tc>
        <w:tc>
          <w:tcPr>
            <w:tcW w:w="7821" w:type="dxa"/>
          </w:tcPr>
          <w:p w14:paraId="52BB43A6" w14:textId="77777777" w:rsidR="00A67D83" w:rsidRPr="00F10893" w:rsidRDefault="00A67D83" w:rsidP="00C77641">
            <w:pPr>
              <w:pStyle w:val="TableText"/>
              <w:keepNext/>
              <w:keepLines/>
              <w:cnfStyle w:val="100000000000" w:firstRow="1" w:lastRow="0" w:firstColumn="0" w:lastColumn="0" w:oddVBand="0" w:evenVBand="0" w:oddHBand="0" w:evenHBand="0" w:firstRowFirstColumn="0" w:firstRowLastColumn="0" w:lastRowFirstColumn="0" w:lastRowLastColumn="0"/>
              <w:rPr>
                <w:lang w:val="en-AU"/>
              </w:rPr>
            </w:pPr>
            <w:r w:rsidRPr="00F10893">
              <w:rPr>
                <w:lang w:val="en-AU"/>
              </w:rPr>
              <w:t>Description</w:t>
            </w:r>
          </w:p>
        </w:tc>
      </w:tr>
      <w:tr w:rsidR="00A67D83" w:rsidRPr="00F10893" w14:paraId="3C918A8C" w14:textId="77777777">
        <w:tc>
          <w:tcPr>
            <w:cnfStyle w:val="001000000000" w:firstRow="0" w:lastRow="0" w:firstColumn="1" w:lastColumn="0" w:oddVBand="0" w:evenVBand="0" w:oddHBand="0" w:evenHBand="0" w:firstRowFirstColumn="0" w:firstRowLastColumn="0" w:lastRowFirstColumn="0" w:lastRowLastColumn="0"/>
            <w:tcW w:w="1195" w:type="dxa"/>
          </w:tcPr>
          <w:p w14:paraId="433511DF" w14:textId="77777777" w:rsidR="00A67D83" w:rsidRPr="00F10893" w:rsidRDefault="00A67D83" w:rsidP="00C77641">
            <w:pPr>
              <w:pStyle w:val="TableText"/>
              <w:keepNext/>
              <w:keepLines/>
              <w:rPr>
                <w:lang w:val="en-AU"/>
              </w:rPr>
            </w:pPr>
            <w:r w:rsidRPr="00F10893">
              <w:rPr>
                <w:lang w:val="en-AU"/>
              </w:rPr>
              <w:t>Population</w:t>
            </w:r>
          </w:p>
        </w:tc>
        <w:tc>
          <w:tcPr>
            <w:tcW w:w="7821" w:type="dxa"/>
          </w:tcPr>
          <w:p w14:paraId="65FB82A2"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Test: Patients with high-grade epithelial ovarian, fallopian tube or primary peritoneal carcinoma cancer</w:t>
            </w:r>
          </w:p>
          <w:p w14:paraId="7CCF6CE5" w14:textId="77777777" w:rsidR="00A67D83" w:rsidRPr="00F10893" w:rsidRDefault="00A67D83" w:rsidP="00C77641">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Drug: Patients with platinum-resistant high-grade epithelial ovarian, fallopian tube or primary peritoneal carcinoma cancer. Patient must have high FRα expression, defined as ≥ 75% of viable tumour cells with moderate (2+) and/or strong (3+) membrane staining</w:t>
            </w:r>
          </w:p>
        </w:tc>
      </w:tr>
      <w:tr w:rsidR="00A67D83" w:rsidRPr="00F10893" w14:paraId="0198B96A" w14:textId="77777777">
        <w:tc>
          <w:tcPr>
            <w:cnfStyle w:val="001000000000" w:firstRow="0" w:lastRow="0" w:firstColumn="1" w:lastColumn="0" w:oddVBand="0" w:evenVBand="0" w:oddHBand="0" w:evenHBand="0" w:firstRowFirstColumn="0" w:firstRowLastColumn="0" w:lastRowFirstColumn="0" w:lastRowLastColumn="0"/>
            <w:tcW w:w="1195" w:type="dxa"/>
          </w:tcPr>
          <w:p w14:paraId="367CF25A" w14:textId="77777777" w:rsidR="00A67D83" w:rsidRPr="00F10893" w:rsidRDefault="00A67D83" w:rsidP="00C77641">
            <w:pPr>
              <w:pStyle w:val="TableText"/>
              <w:keepNext/>
              <w:keepLines/>
              <w:rPr>
                <w:lang w:val="en-AU"/>
              </w:rPr>
            </w:pPr>
            <w:r w:rsidRPr="00F10893">
              <w:rPr>
                <w:lang w:val="en-AU"/>
              </w:rPr>
              <w:t>Intervention</w:t>
            </w:r>
          </w:p>
        </w:tc>
        <w:tc>
          <w:tcPr>
            <w:tcW w:w="7821" w:type="dxa"/>
          </w:tcPr>
          <w:p w14:paraId="726A4A33"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Test: Qualitative IHC assay for assessment of FRα protein expression in tumour tissue</w:t>
            </w:r>
          </w:p>
          <w:p w14:paraId="72AD68C1" w14:textId="77777777" w:rsidR="00A67D83" w:rsidRPr="00F10893" w:rsidRDefault="00A67D83" w:rsidP="00C77641">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 xml:space="preserve">Drug: Mirvetuximab soravtansine </w:t>
            </w:r>
          </w:p>
        </w:tc>
      </w:tr>
      <w:tr w:rsidR="00A67D83" w:rsidRPr="00F10893" w14:paraId="12D8B097" w14:textId="77777777">
        <w:tc>
          <w:tcPr>
            <w:cnfStyle w:val="001000000000" w:firstRow="0" w:lastRow="0" w:firstColumn="1" w:lastColumn="0" w:oddVBand="0" w:evenVBand="0" w:oddHBand="0" w:evenHBand="0" w:firstRowFirstColumn="0" w:firstRowLastColumn="0" w:lastRowFirstColumn="0" w:lastRowLastColumn="0"/>
            <w:tcW w:w="1195" w:type="dxa"/>
          </w:tcPr>
          <w:p w14:paraId="5B0DD061" w14:textId="77777777" w:rsidR="00A67D83" w:rsidRPr="00F10893" w:rsidRDefault="00A67D83" w:rsidP="00C77641">
            <w:pPr>
              <w:pStyle w:val="TableText"/>
              <w:keepNext/>
              <w:keepLines/>
              <w:rPr>
                <w:lang w:val="en-AU"/>
              </w:rPr>
            </w:pPr>
            <w:r w:rsidRPr="00F10893">
              <w:rPr>
                <w:lang w:val="en-AU"/>
              </w:rPr>
              <w:t>Comparator</w:t>
            </w:r>
          </w:p>
        </w:tc>
        <w:tc>
          <w:tcPr>
            <w:tcW w:w="7821" w:type="dxa"/>
          </w:tcPr>
          <w:p w14:paraId="3BFFEDE9" w14:textId="77777777" w:rsidR="00A67D83" w:rsidRPr="00F10893" w:rsidRDefault="00A67D83" w:rsidP="00C77641">
            <w:pPr>
              <w:pStyle w:val="TableText"/>
              <w:keepNext/>
              <w:keepLines/>
              <w:tabs>
                <w:tab w:val="left" w:pos="462"/>
              </w:tab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Test: No testing for FRα expression levels</w:t>
            </w:r>
          </w:p>
          <w:p w14:paraId="6456CC53"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i/>
                <w:lang w:val="en-AU"/>
              </w:rPr>
            </w:pPr>
            <w:r w:rsidRPr="00F10893">
              <w:rPr>
                <w:i/>
                <w:lang w:val="en-AU"/>
              </w:rPr>
              <w:t xml:space="preserve">Reference standard </w:t>
            </w:r>
            <w:r w:rsidRPr="00F10893">
              <w:rPr>
                <w:i/>
                <w:vertAlign w:val="superscript"/>
                <w:lang w:val="en-AU"/>
              </w:rPr>
              <w:t>a</w:t>
            </w:r>
            <w:r w:rsidRPr="00F10893">
              <w:rPr>
                <w:i/>
                <w:lang w:val="en-AU"/>
              </w:rPr>
              <w:t>: None</w:t>
            </w:r>
          </w:p>
          <w:p w14:paraId="70E96D55" w14:textId="77777777" w:rsidR="00A67D83" w:rsidRPr="00F10893" w:rsidRDefault="00A67D83" w:rsidP="00C77641">
            <w:pPr>
              <w:pStyle w:val="TableText"/>
              <w:keepNext/>
              <w:keepLines/>
              <w:tabs>
                <w:tab w:val="left" w:pos="462"/>
              </w:tab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Drug:</w:t>
            </w:r>
            <w:r w:rsidRPr="00F10893">
              <w:rPr>
                <w:lang w:val="en-AU"/>
              </w:rPr>
              <w:tab/>
              <w:t xml:space="preserve">• Non-platinum chemotherapy (paclitaxel, topotecan or pegylated liposomal doxorubicin) </w:t>
            </w:r>
          </w:p>
          <w:p w14:paraId="46144645" w14:textId="77777777" w:rsidR="00A67D83" w:rsidRPr="00F10893" w:rsidRDefault="00A67D83" w:rsidP="00C77641">
            <w:pPr>
              <w:pStyle w:val="TableText"/>
              <w:keepNext/>
              <w:keepLines/>
              <w:tabs>
                <w:tab w:val="left" w:pos="475"/>
              </w:tabs>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ab/>
              <w:t>• Non-platinum chemotherapy plus bevacizumab</w:t>
            </w:r>
          </w:p>
        </w:tc>
      </w:tr>
      <w:tr w:rsidR="00A67D83" w:rsidRPr="00F10893" w14:paraId="5863ED30" w14:textId="77777777">
        <w:tc>
          <w:tcPr>
            <w:cnfStyle w:val="001000000000" w:firstRow="0" w:lastRow="0" w:firstColumn="1" w:lastColumn="0" w:oddVBand="0" w:evenVBand="0" w:oddHBand="0" w:evenHBand="0" w:firstRowFirstColumn="0" w:firstRowLastColumn="0" w:lastRowFirstColumn="0" w:lastRowLastColumn="0"/>
            <w:tcW w:w="1195" w:type="dxa"/>
          </w:tcPr>
          <w:p w14:paraId="1DFB5D6F" w14:textId="77777777" w:rsidR="00A67D83" w:rsidRPr="00F10893" w:rsidRDefault="00A67D83" w:rsidP="00C77641">
            <w:pPr>
              <w:pStyle w:val="TableText"/>
              <w:keepNext/>
              <w:keepLines/>
              <w:rPr>
                <w:lang w:val="en-AU"/>
              </w:rPr>
            </w:pPr>
            <w:r w:rsidRPr="00F10893">
              <w:rPr>
                <w:lang w:val="en-AU"/>
              </w:rPr>
              <w:t>Outcomes</w:t>
            </w:r>
          </w:p>
        </w:tc>
        <w:tc>
          <w:tcPr>
            <w:tcW w:w="7821" w:type="dxa"/>
          </w:tcPr>
          <w:p w14:paraId="4F3C373A"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Test: Prognostic effect, diagnostic performance, clinical utility, safety</w:t>
            </w:r>
          </w:p>
          <w:p w14:paraId="541F85FC"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Drug: OS, PFS, objective response rate, rates and nature of adverse events, and QoL measures</w:t>
            </w:r>
          </w:p>
        </w:tc>
      </w:tr>
      <w:tr w:rsidR="00A67D83" w:rsidRPr="00F10893" w14:paraId="0D32384B" w14:textId="77777777">
        <w:tc>
          <w:tcPr>
            <w:cnfStyle w:val="001000000000" w:firstRow="0" w:lastRow="0" w:firstColumn="1" w:lastColumn="0" w:oddVBand="0" w:evenVBand="0" w:oddHBand="0" w:evenHBand="0" w:firstRowFirstColumn="0" w:firstRowLastColumn="0" w:lastRowFirstColumn="0" w:lastRowLastColumn="0"/>
            <w:tcW w:w="1195" w:type="dxa"/>
          </w:tcPr>
          <w:p w14:paraId="0C8F1FB6" w14:textId="77777777" w:rsidR="00A67D83" w:rsidRPr="00F10893" w:rsidRDefault="00A67D83" w:rsidP="00C77641">
            <w:pPr>
              <w:pStyle w:val="TableText"/>
              <w:keepNext/>
              <w:keepLines/>
              <w:rPr>
                <w:lang w:val="en-AU"/>
              </w:rPr>
            </w:pPr>
            <w:r w:rsidRPr="00F10893">
              <w:rPr>
                <w:lang w:val="en-AU"/>
              </w:rPr>
              <w:t>Clinical Utility Standard</w:t>
            </w:r>
          </w:p>
        </w:tc>
        <w:tc>
          <w:tcPr>
            <w:tcW w:w="7821" w:type="dxa"/>
          </w:tcPr>
          <w:p w14:paraId="69C0315A"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Ventana FOLR1 (FOLR1-2.1) RxDX Assay</w:t>
            </w:r>
          </w:p>
        </w:tc>
      </w:tr>
      <w:tr w:rsidR="00A67D83" w:rsidRPr="00F10893" w14:paraId="4C3879C2" w14:textId="77777777">
        <w:tc>
          <w:tcPr>
            <w:cnfStyle w:val="001000000000" w:firstRow="0" w:lastRow="0" w:firstColumn="1" w:lastColumn="0" w:oddVBand="0" w:evenVBand="0" w:oddHBand="0" w:evenHBand="0" w:firstRowFirstColumn="0" w:firstRowLastColumn="0" w:lastRowFirstColumn="0" w:lastRowLastColumn="0"/>
            <w:tcW w:w="1195" w:type="dxa"/>
          </w:tcPr>
          <w:p w14:paraId="5AA64C9E" w14:textId="77777777" w:rsidR="00A67D83" w:rsidRPr="00F10893" w:rsidRDefault="00A67D83" w:rsidP="00C77641">
            <w:pPr>
              <w:pStyle w:val="TableText"/>
              <w:keepNext/>
              <w:keepLines/>
              <w:rPr>
                <w:lang w:val="en-AU"/>
              </w:rPr>
            </w:pPr>
            <w:r w:rsidRPr="00F10893">
              <w:rPr>
                <w:lang w:val="en-AU"/>
              </w:rPr>
              <w:t>Clinical claim</w:t>
            </w:r>
          </w:p>
        </w:tc>
        <w:tc>
          <w:tcPr>
            <w:tcW w:w="7821" w:type="dxa"/>
          </w:tcPr>
          <w:p w14:paraId="38D62C28"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Test: In patients with high grade epithelial ovarian, fallopian tube or primary peritoneal carcinoma cancer, FRα testing is superior to no testing to identify patients suitable for MIRV treatment.</w:t>
            </w:r>
          </w:p>
          <w:p w14:paraId="0B68BD72" w14:textId="77777777" w:rsidR="00A67D83" w:rsidRPr="00F10893" w:rsidRDefault="00A67D83" w:rsidP="00C77641">
            <w:pPr>
              <w:pStyle w:val="TableText"/>
              <w:keepNext/>
              <w:keepLines/>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F10893">
              <w:rPr>
                <w:lang w:val="en-AU"/>
              </w:rPr>
              <w:t>Drug: In patients with high grade epithelial ovarian, fallopian tube or primary peritoneal carcinoma cancer, with FRα high expression identified by IHC, MIRV is more effective than ICC and no testing at improving OS.</w:t>
            </w:r>
          </w:p>
        </w:tc>
      </w:tr>
    </w:tbl>
    <w:p w14:paraId="2DA3DBEC" w14:textId="77777777" w:rsidR="00A67D83" w:rsidRPr="00F10893" w:rsidRDefault="00A67D83" w:rsidP="00C77641">
      <w:pPr>
        <w:pStyle w:val="TableFooter"/>
        <w:keepNext/>
        <w:keepLines/>
      </w:pPr>
      <w:r w:rsidRPr="00F10893">
        <w:t>Source: A</w:t>
      </w:r>
      <w:r w:rsidRPr="00F10893">
        <w:rPr>
          <w:color w:val="000000" w:themeColor="text1"/>
          <w:lang w:eastAsia="en-AU"/>
        </w:rPr>
        <w:t xml:space="preserve">dapted from </w:t>
      </w:r>
      <w:r w:rsidRPr="00F10893">
        <w:t>Table 1.1-2 Key Components of the Clinical Issue Addressed by the Codependent Submission, pp5-6 of the submission.</w:t>
      </w:r>
    </w:p>
    <w:p w14:paraId="0238BB6A" w14:textId="77777777" w:rsidR="00A67D83" w:rsidRPr="00F10893" w:rsidRDefault="00A67D83" w:rsidP="00C77641">
      <w:pPr>
        <w:pStyle w:val="TableFooter"/>
        <w:keepNext/>
        <w:keepLines/>
      </w:pPr>
      <w:r w:rsidRPr="00F10893">
        <w:t>FRα= folate-receptor alpha; ICC= investigator’s choice of chemotherapy; IHC= immunohistochemistry; MIRV= mirvetuximab soravtansine; OS= overall survival; PFS= progression-free survival; QoL= quality of life.</w:t>
      </w:r>
    </w:p>
    <w:p w14:paraId="56B45B96" w14:textId="05745B12" w:rsidR="00A67D83" w:rsidRPr="00F10893" w:rsidRDefault="00A67D83" w:rsidP="00A67D83">
      <w:pPr>
        <w:pStyle w:val="TableFooter"/>
        <w:rPr>
          <w:i/>
          <w:iCs/>
        </w:rPr>
      </w:pPr>
      <w:r w:rsidRPr="00C9732E">
        <w:rPr>
          <w:i/>
          <w:iCs/>
          <w:vertAlign w:val="superscript"/>
        </w:rPr>
        <w:t>a</w:t>
      </w:r>
      <w:r w:rsidRPr="00F10893">
        <w:rPr>
          <w:i/>
          <w:iCs/>
        </w:rPr>
        <w:t xml:space="preserve"> although not included in the source table, the lack of an applicable reference standard for this test is stated elsewhere in the submission.</w:t>
      </w:r>
    </w:p>
    <w:p w14:paraId="602A5D43" w14:textId="611FB6D3" w:rsidR="00A67D83" w:rsidRPr="00DD329F" w:rsidRDefault="00A67D83" w:rsidP="00A67D83">
      <w:pPr>
        <w:rPr>
          <w:rFonts w:ascii="Franklin Gothic Book" w:hAnsi="Franklin Gothic Book"/>
          <w:sz w:val="22"/>
          <w:szCs w:val="20"/>
        </w:rPr>
      </w:pPr>
      <w:r w:rsidRPr="00DD329F">
        <w:rPr>
          <w:rFonts w:ascii="Franklin Gothic Book" w:hAnsi="Franklin Gothic Book"/>
          <w:sz w:val="22"/>
          <w:szCs w:val="20"/>
        </w:rPr>
        <w:t>The submission proposed two MBS descriptors with test populations different to that in</w:t>
      </w:r>
      <w:r w:rsidRPr="00DD329F" w:rsidDel="009977D1">
        <w:rPr>
          <w:rFonts w:ascii="Franklin Gothic Book" w:hAnsi="Franklin Gothic Book"/>
          <w:sz w:val="22"/>
          <w:szCs w:val="20"/>
        </w:rPr>
        <w:t xml:space="preserve"> </w:t>
      </w:r>
      <w:r w:rsidR="009977D1">
        <w:rPr>
          <w:rFonts w:ascii="Franklin Gothic Book" w:hAnsi="Franklin Gothic Book"/>
          <w:sz w:val="22"/>
          <w:szCs w:val="20"/>
        </w:rPr>
        <w:fldChar w:fldCharType="begin"/>
      </w:r>
      <w:r w:rsidR="009977D1">
        <w:rPr>
          <w:rFonts w:ascii="Franklin Gothic Book" w:hAnsi="Franklin Gothic Book"/>
          <w:sz w:val="22"/>
          <w:szCs w:val="20"/>
        </w:rPr>
        <w:instrText xml:space="preserve"> REF _Ref164701707 \h </w:instrText>
      </w:r>
      <w:r w:rsidR="009D5A4A">
        <w:rPr>
          <w:rFonts w:ascii="Franklin Gothic Book" w:hAnsi="Franklin Gothic Book"/>
          <w:sz w:val="22"/>
          <w:szCs w:val="20"/>
        </w:rPr>
        <w:instrText xml:space="preserve"> \* MERGEFORMAT </w:instrText>
      </w:r>
      <w:r w:rsidR="009977D1">
        <w:rPr>
          <w:rFonts w:ascii="Franklin Gothic Book" w:hAnsi="Franklin Gothic Book"/>
          <w:sz w:val="22"/>
          <w:szCs w:val="20"/>
        </w:rPr>
      </w:r>
      <w:r w:rsidR="009977D1">
        <w:rPr>
          <w:rFonts w:ascii="Franklin Gothic Book" w:hAnsi="Franklin Gothic Book"/>
          <w:sz w:val="22"/>
          <w:szCs w:val="20"/>
        </w:rPr>
        <w:fldChar w:fldCharType="separate"/>
      </w:r>
      <w:r w:rsidR="009977D1" w:rsidRPr="009D5A4A">
        <w:rPr>
          <w:rFonts w:ascii="Franklin Gothic Book" w:hAnsi="Franklin Gothic Book"/>
          <w:sz w:val="22"/>
          <w:szCs w:val="20"/>
        </w:rPr>
        <w:t>Table 4</w:t>
      </w:r>
      <w:r w:rsidR="009977D1">
        <w:rPr>
          <w:rFonts w:ascii="Franklin Gothic Book" w:hAnsi="Franklin Gothic Book"/>
          <w:sz w:val="22"/>
          <w:szCs w:val="20"/>
        </w:rPr>
        <w:fldChar w:fldCharType="end"/>
      </w:r>
      <w:r w:rsidR="009977D1">
        <w:rPr>
          <w:rFonts w:ascii="Franklin Gothic Book" w:hAnsi="Franklin Gothic Book"/>
          <w:sz w:val="22"/>
          <w:szCs w:val="20"/>
        </w:rPr>
        <w:t xml:space="preserve"> </w:t>
      </w:r>
      <w:r w:rsidRPr="00DD329F">
        <w:rPr>
          <w:rFonts w:ascii="Franklin Gothic Book" w:hAnsi="Franklin Gothic Book"/>
          <w:sz w:val="22"/>
          <w:szCs w:val="20"/>
        </w:rPr>
        <w:t>above, reflecting the timing of tests at two different points of the EOC disease course (testing at primary diagnosis and testing at platinum resistance).</w:t>
      </w:r>
    </w:p>
    <w:p w14:paraId="5448B006" w14:textId="66015211" w:rsidR="00A67D83" w:rsidRPr="00DD329F" w:rsidRDefault="009E618F" w:rsidP="00A67D83">
      <w:pPr>
        <w:rPr>
          <w:rFonts w:ascii="Franklin Gothic Book" w:hAnsi="Franklin Gothic Book"/>
          <w:sz w:val="22"/>
          <w:szCs w:val="20"/>
        </w:rPr>
      </w:pPr>
      <w:r>
        <w:rPr>
          <w:rFonts w:ascii="Franklin Gothic Book" w:hAnsi="Franklin Gothic Book"/>
          <w:sz w:val="22"/>
          <w:szCs w:val="20"/>
        </w:rPr>
        <w:t>The commentary noted that c</w:t>
      </w:r>
      <w:r w:rsidR="00A67D83" w:rsidRPr="00DD329F">
        <w:rPr>
          <w:rFonts w:ascii="Franklin Gothic Book" w:hAnsi="Franklin Gothic Book"/>
          <w:sz w:val="22"/>
          <w:szCs w:val="20"/>
        </w:rPr>
        <w:t xml:space="preserve">ompared with the treatment population in the ratified PICO Confirmation, the requested wording captured a broader population, omitting the following criteria: </w:t>
      </w:r>
    </w:p>
    <w:p w14:paraId="0395CA79" w14:textId="77777777" w:rsidR="00A67D83" w:rsidRPr="009D5A4A" w:rsidRDefault="00A67D83" w:rsidP="00AE70BD">
      <w:pPr>
        <w:pStyle w:val="ListParagraph"/>
        <w:numPr>
          <w:ilvl w:val="0"/>
          <w:numId w:val="12"/>
        </w:numPr>
        <w:ind w:left="714" w:hanging="357"/>
        <w:contextualSpacing/>
        <w:rPr>
          <w:rFonts w:ascii="Franklin Gothic Book" w:hAnsi="Franklin Gothic Book"/>
          <w:color w:val="auto"/>
          <w:sz w:val="22"/>
          <w:szCs w:val="20"/>
        </w:rPr>
      </w:pPr>
      <w:r w:rsidRPr="009D5A4A">
        <w:rPr>
          <w:rFonts w:ascii="Franklin Gothic Book" w:hAnsi="Franklin Gothic Book"/>
          <w:color w:val="auto"/>
          <w:sz w:val="22"/>
          <w:szCs w:val="20"/>
        </w:rPr>
        <w:t>Serous histology</w:t>
      </w:r>
    </w:p>
    <w:p w14:paraId="248533D7" w14:textId="77777777" w:rsidR="00A67D83" w:rsidRPr="009D5A4A" w:rsidRDefault="00A67D83" w:rsidP="00AE70BD">
      <w:pPr>
        <w:pStyle w:val="ListParagraph"/>
        <w:numPr>
          <w:ilvl w:val="0"/>
          <w:numId w:val="12"/>
        </w:numPr>
        <w:ind w:left="714" w:hanging="357"/>
        <w:contextualSpacing/>
        <w:rPr>
          <w:rFonts w:ascii="Franklin Gothic Book" w:hAnsi="Franklin Gothic Book"/>
          <w:color w:val="auto"/>
          <w:sz w:val="22"/>
          <w:szCs w:val="20"/>
        </w:rPr>
      </w:pPr>
      <w:r w:rsidRPr="009D5A4A">
        <w:rPr>
          <w:rFonts w:ascii="Franklin Gothic Book" w:hAnsi="Franklin Gothic Book"/>
          <w:color w:val="auto"/>
          <w:sz w:val="22"/>
          <w:szCs w:val="20"/>
        </w:rPr>
        <w:t>Prior treatment with no more than three lines of previous systemic therapy</w:t>
      </w:r>
    </w:p>
    <w:p w14:paraId="25227535" w14:textId="77777777" w:rsidR="00A67D83" w:rsidRPr="009D5A4A" w:rsidRDefault="00A67D83" w:rsidP="00AE70BD">
      <w:pPr>
        <w:pStyle w:val="ListParagraph"/>
        <w:numPr>
          <w:ilvl w:val="0"/>
          <w:numId w:val="12"/>
        </w:numPr>
        <w:ind w:left="714" w:hanging="357"/>
        <w:contextualSpacing/>
        <w:rPr>
          <w:rFonts w:ascii="Franklin Gothic Book" w:hAnsi="Franklin Gothic Book"/>
          <w:color w:val="auto"/>
          <w:sz w:val="22"/>
          <w:szCs w:val="20"/>
        </w:rPr>
      </w:pPr>
      <w:r w:rsidRPr="009D5A4A">
        <w:rPr>
          <w:rFonts w:ascii="Franklin Gothic Book" w:hAnsi="Franklin Gothic Book"/>
          <w:color w:val="auto"/>
          <w:sz w:val="22"/>
          <w:szCs w:val="20"/>
        </w:rPr>
        <w:t xml:space="preserve">Testing by a validated assay </w:t>
      </w:r>
    </w:p>
    <w:p w14:paraId="35F72B46" w14:textId="5559C323" w:rsidR="00A67D83" w:rsidRPr="00DD329F" w:rsidRDefault="00A67D83" w:rsidP="00A67D83">
      <w:pPr>
        <w:rPr>
          <w:rFonts w:ascii="Franklin Gothic Book" w:hAnsi="Franklin Gothic Book"/>
          <w:sz w:val="22"/>
          <w:szCs w:val="20"/>
        </w:rPr>
      </w:pPr>
      <w:r w:rsidRPr="00DD329F">
        <w:rPr>
          <w:rFonts w:ascii="Franklin Gothic Book" w:hAnsi="Franklin Gothic Book"/>
          <w:sz w:val="22"/>
          <w:szCs w:val="20"/>
        </w:rPr>
        <w:t xml:space="preserve">The commentary noted that the submission’s PICO table was therefore not consistent with the PICO recommended by the PICO Advisory Subcommittee (PASC), shown in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_Ref198565693 \h </w:instrText>
      </w:r>
      <w:r w:rsidR="009D5A4A">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9D5A4A">
        <w:rPr>
          <w:rFonts w:ascii="Franklin Gothic Book" w:hAnsi="Franklin Gothic Book"/>
          <w:sz w:val="22"/>
          <w:szCs w:val="20"/>
        </w:rPr>
        <w:t>Table 5</w:t>
      </w:r>
      <w:r w:rsidR="005E37CF">
        <w:rPr>
          <w:rFonts w:ascii="Franklin Gothic Book" w:hAnsi="Franklin Gothic Book"/>
          <w:sz w:val="22"/>
          <w:szCs w:val="20"/>
        </w:rPr>
        <w:fldChar w:fldCharType="end"/>
      </w:r>
      <w:r w:rsidR="005E37CF">
        <w:rPr>
          <w:rFonts w:ascii="Franklin Gothic Book" w:hAnsi="Franklin Gothic Book"/>
          <w:sz w:val="22"/>
          <w:szCs w:val="20"/>
        </w:rPr>
        <w:t xml:space="preserve"> </w:t>
      </w:r>
      <w:r w:rsidRPr="00DD329F">
        <w:rPr>
          <w:rFonts w:ascii="Franklin Gothic Book" w:hAnsi="Franklin Gothic Book"/>
          <w:sz w:val="22"/>
          <w:szCs w:val="20"/>
        </w:rPr>
        <w:t xml:space="preserve">(1787 ratified PICO Confirmation, PASC December 2024). </w:t>
      </w:r>
    </w:p>
    <w:p w14:paraId="6643FF09" w14:textId="5F0C0800" w:rsidR="00A67D83" w:rsidRPr="00F10893" w:rsidRDefault="005E37CF" w:rsidP="002A4881">
      <w:pPr>
        <w:pStyle w:val="Caption"/>
      </w:pPr>
      <w:bookmarkStart w:id="15" w:name="_Ref198565693"/>
      <w:r>
        <w:t>Table</w:t>
      </w:r>
      <w:r w:rsidR="00A67D83" w:rsidRPr="00F10893">
        <w:t xml:space="preserve"> </w:t>
      </w:r>
      <w:r>
        <w:fldChar w:fldCharType="begin"/>
      </w:r>
      <w:r>
        <w:instrText xml:space="preserve"> SEQ Table \* ARABIC </w:instrText>
      </w:r>
      <w:r>
        <w:fldChar w:fldCharType="separate"/>
      </w:r>
      <w:r>
        <w:rPr>
          <w:noProof/>
        </w:rPr>
        <w:t>5</w:t>
      </w:r>
      <w:r>
        <w:rPr>
          <w:noProof/>
        </w:rPr>
        <w:fldChar w:fldCharType="end"/>
      </w:r>
      <w:bookmarkEnd w:id="15"/>
      <w:r w:rsidR="00A67D83" w:rsidRPr="00F10893">
        <w:t>: PICO elements as recommended in the ratified PICO Confirmation</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210"/>
        <w:gridCol w:w="7801"/>
      </w:tblGrid>
      <w:tr w:rsidR="00A67D83" w:rsidRPr="00F10893" w14:paraId="26A69AAC" w14:textId="77777777">
        <w:trPr>
          <w:trHeight w:val="372"/>
          <w:tblHeader/>
        </w:trPr>
        <w:tc>
          <w:tcPr>
            <w:tcW w:w="660"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99BD79B" w14:textId="77777777" w:rsidR="00A67D83" w:rsidRPr="00F10893" w:rsidRDefault="00A67D83">
            <w:pPr>
              <w:pStyle w:val="TableText"/>
              <w:keepNext/>
              <w:keepLines/>
              <w:rPr>
                <w:b/>
                <w:bCs/>
              </w:rPr>
            </w:pPr>
            <w:r w:rsidRPr="00F10893">
              <w:rPr>
                <w:b/>
                <w:bCs/>
              </w:rPr>
              <w:t>Component</w:t>
            </w:r>
          </w:p>
        </w:tc>
        <w:tc>
          <w:tcPr>
            <w:tcW w:w="4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B3F42" w14:textId="77777777" w:rsidR="00A67D83" w:rsidRPr="00F10893" w:rsidRDefault="00A67D83">
            <w:pPr>
              <w:pStyle w:val="TableText"/>
              <w:keepNext/>
              <w:keepLines/>
              <w:rPr>
                <w:b/>
                <w:bCs/>
              </w:rPr>
            </w:pPr>
            <w:r w:rsidRPr="00F10893">
              <w:rPr>
                <w:b/>
                <w:bCs/>
              </w:rPr>
              <w:t>Description</w:t>
            </w:r>
          </w:p>
        </w:tc>
      </w:tr>
      <w:tr w:rsidR="00A67D83" w:rsidRPr="00F10893" w14:paraId="2016F98F" w14:textId="77777777">
        <w:tc>
          <w:tcPr>
            <w:tcW w:w="660" w:type="pct"/>
            <w:tcBorders>
              <w:top w:val="single" w:sz="8" w:space="0" w:color="auto"/>
              <w:left w:val="single" w:sz="8" w:space="0" w:color="auto"/>
              <w:bottom w:val="single" w:sz="4" w:space="0" w:color="auto"/>
              <w:right w:val="single" w:sz="4" w:space="0" w:color="auto"/>
            </w:tcBorders>
            <w:hideMark/>
          </w:tcPr>
          <w:p w14:paraId="60888E33" w14:textId="77777777" w:rsidR="00A67D83" w:rsidRPr="00F10893" w:rsidRDefault="00A67D83">
            <w:pPr>
              <w:pStyle w:val="TableText"/>
              <w:keepNext/>
              <w:keepLines/>
              <w:rPr>
                <w:rFonts w:cs="Arial"/>
              </w:rPr>
            </w:pPr>
            <w:r w:rsidRPr="00F10893">
              <w:rPr>
                <w:rFonts w:cs="Arial"/>
              </w:rPr>
              <w:t>Population</w:t>
            </w:r>
          </w:p>
        </w:tc>
        <w:tc>
          <w:tcPr>
            <w:tcW w:w="4340" w:type="pct"/>
            <w:tcBorders>
              <w:top w:val="single" w:sz="4" w:space="0" w:color="auto"/>
              <w:left w:val="single" w:sz="4" w:space="0" w:color="auto"/>
              <w:bottom w:val="single" w:sz="4" w:space="0" w:color="auto"/>
              <w:right w:val="single" w:sz="4" w:space="0" w:color="auto"/>
            </w:tcBorders>
            <w:hideMark/>
          </w:tcPr>
          <w:p w14:paraId="71C432EF" w14:textId="77777777" w:rsidR="00A67D83" w:rsidRPr="00F10893" w:rsidRDefault="00A67D83">
            <w:pPr>
              <w:pStyle w:val="TableText"/>
              <w:keepNext/>
              <w:keepLines/>
              <w:rPr>
                <w:u w:val="single"/>
              </w:rPr>
            </w:pPr>
            <w:r w:rsidRPr="00F10893">
              <w:rPr>
                <w:u w:val="single"/>
              </w:rPr>
              <w:t>Test</w:t>
            </w:r>
          </w:p>
          <w:p w14:paraId="0EE2F70F" w14:textId="77777777" w:rsidR="00A67D83" w:rsidRPr="00F10893" w:rsidRDefault="00A67D83">
            <w:pPr>
              <w:pStyle w:val="TableText"/>
              <w:keepNext/>
              <w:keepLines/>
              <w:rPr>
                <w:i/>
              </w:rPr>
            </w:pPr>
            <w:r w:rsidRPr="00F10893">
              <w:rPr>
                <w:i/>
              </w:rPr>
              <w:t>If performed at confirmation of platinum resistance:</w:t>
            </w:r>
          </w:p>
          <w:p w14:paraId="342CB438" w14:textId="77777777" w:rsidR="00A67D83" w:rsidRPr="00F10893" w:rsidRDefault="00A67D83">
            <w:pPr>
              <w:pStyle w:val="TableText"/>
              <w:keepNext/>
              <w:keepLines/>
              <w:rPr>
                <w:i/>
                <w:iCs/>
              </w:rPr>
            </w:pPr>
            <w:r w:rsidRPr="00F10893">
              <w:t>Adult patients with platinum resistant high-grade serous epithelial ovarian, fallopian tube or primary peritoneal cancer.</w:t>
            </w:r>
          </w:p>
          <w:p w14:paraId="320AA3E8" w14:textId="77777777" w:rsidR="00A67D83" w:rsidRPr="00F10893" w:rsidRDefault="00A67D83">
            <w:pPr>
              <w:pStyle w:val="TableText"/>
              <w:keepNext/>
              <w:keepLines/>
              <w:rPr>
                <w:i/>
              </w:rPr>
            </w:pPr>
            <w:r w:rsidRPr="00F10893">
              <w:rPr>
                <w:i/>
              </w:rPr>
              <w:t>If performed at primary diagnosis of ovarian cancer:</w:t>
            </w:r>
          </w:p>
          <w:p w14:paraId="5D3ED3C5" w14:textId="77777777" w:rsidR="00A67D83" w:rsidRPr="00F10893" w:rsidRDefault="00A67D83">
            <w:pPr>
              <w:pStyle w:val="TableText"/>
              <w:keepNext/>
              <w:keepLines/>
            </w:pPr>
            <w:r w:rsidRPr="00F10893">
              <w:t>Adult patients with high-grade serous epithelial ovarian, fallopian tube, primary peritoneal, high-grade endometrioid, or undifferentiated epithelial ovarian cancer.</w:t>
            </w:r>
          </w:p>
          <w:p w14:paraId="4E4F1A43" w14:textId="77777777" w:rsidR="00A67D83" w:rsidRPr="00F10893" w:rsidRDefault="00A67D83">
            <w:pPr>
              <w:pStyle w:val="TableText"/>
              <w:keepNext/>
              <w:keepLines/>
              <w:rPr>
                <w:u w:val="single"/>
              </w:rPr>
            </w:pPr>
            <w:r w:rsidRPr="00F10893">
              <w:rPr>
                <w:u w:val="single"/>
              </w:rPr>
              <w:t>Treatment</w:t>
            </w:r>
          </w:p>
          <w:p w14:paraId="4BAF532E" w14:textId="18B5B4C4" w:rsidR="00A67D83" w:rsidRPr="00F10893" w:rsidRDefault="00A67D83">
            <w:pPr>
              <w:pStyle w:val="TableText"/>
              <w:keepNext/>
              <w:keepLines/>
            </w:pPr>
            <w:r w:rsidRPr="00F10893">
              <w:t>Platinum resistant high-grade serous epithelial ovarian, fallopian tube, or primary peritoneal cancer whose tumour have a high level of folate receptor alpha (FRα) expression according to the PS2+ scoring method (i.e. ≥75% of viable tumour cells with moderate [2+] or strong [3+] staining) as determined by a validated immunohistochemistry (IHC) assay and which has been treated with no more than three lines of previous systemic therapy.</w:t>
            </w:r>
          </w:p>
        </w:tc>
      </w:tr>
      <w:tr w:rsidR="00A67D83" w:rsidRPr="00F10893" w14:paraId="23421169" w14:textId="77777777">
        <w:tc>
          <w:tcPr>
            <w:tcW w:w="660" w:type="pct"/>
            <w:tcBorders>
              <w:top w:val="single" w:sz="8" w:space="0" w:color="auto"/>
              <w:left w:val="single" w:sz="8" w:space="0" w:color="auto"/>
              <w:bottom w:val="single" w:sz="4" w:space="0" w:color="auto"/>
              <w:right w:val="single" w:sz="4" w:space="0" w:color="auto"/>
            </w:tcBorders>
            <w:hideMark/>
          </w:tcPr>
          <w:p w14:paraId="2C70A15E" w14:textId="77777777" w:rsidR="00A67D83" w:rsidRPr="00F10893" w:rsidRDefault="00A67D83">
            <w:pPr>
              <w:pStyle w:val="TableText"/>
              <w:rPr>
                <w:rFonts w:cs="Arial"/>
              </w:rPr>
            </w:pPr>
            <w:r w:rsidRPr="00F10893">
              <w:rPr>
                <w:rFonts w:cs="Arial"/>
              </w:rPr>
              <w:t xml:space="preserve">Prior tests </w:t>
            </w:r>
          </w:p>
        </w:tc>
        <w:tc>
          <w:tcPr>
            <w:tcW w:w="4340" w:type="pct"/>
            <w:tcBorders>
              <w:top w:val="single" w:sz="4" w:space="0" w:color="auto"/>
              <w:left w:val="single" w:sz="4" w:space="0" w:color="auto"/>
              <w:bottom w:val="single" w:sz="4" w:space="0" w:color="auto"/>
              <w:right w:val="single" w:sz="4" w:space="0" w:color="auto"/>
            </w:tcBorders>
            <w:hideMark/>
          </w:tcPr>
          <w:p w14:paraId="77EB5263" w14:textId="77777777" w:rsidR="00A67D83" w:rsidRPr="00F10893" w:rsidRDefault="00A67D83">
            <w:pPr>
              <w:pStyle w:val="TableText"/>
            </w:pPr>
            <w:r w:rsidRPr="00F10893">
              <w:t xml:space="preserve">If performed at confirmation of platinum resistance: Test(s) to confirm high-grade </w:t>
            </w:r>
            <w:r w:rsidRPr="00F10893">
              <w:rPr>
                <w:rFonts w:cs="Arial"/>
              </w:rPr>
              <w:t>serous</w:t>
            </w:r>
            <w:r w:rsidRPr="00F10893">
              <w:t xml:space="preserve"> epithelial ovarian, fallopian tube or primary peritoneal cancer.</w:t>
            </w:r>
          </w:p>
          <w:p w14:paraId="19C4857F" w14:textId="77777777" w:rsidR="00A67D83" w:rsidRPr="00F10893" w:rsidRDefault="00A67D83">
            <w:pPr>
              <w:pStyle w:val="TableText"/>
            </w:pPr>
            <w:r w:rsidRPr="00F10893">
              <w:lastRenderedPageBreak/>
              <w:t>If performed at primary diagnosis of ovarian cancer: Test(s) to confirm diagnosis of high-grade serous epithelial ovarian, fallopian tube, primary peritoneal, high-grade endometrioid, or undifferentiated epithelial ovarian cancer.</w:t>
            </w:r>
          </w:p>
        </w:tc>
      </w:tr>
      <w:tr w:rsidR="00A67D83" w:rsidRPr="00F10893" w14:paraId="3646DD77" w14:textId="77777777">
        <w:tc>
          <w:tcPr>
            <w:tcW w:w="660" w:type="pct"/>
            <w:tcBorders>
              <w:top w:val="single" w:sz="4" w:space="0" w:color="auto"/>
              <w:left w:val="single" w:sz="8" w:space="0" w:color="auto"/>
              <w:bottom w:val="single" w:sz="4" w:space="0" w:color="auto"/>
              <w:right w:val="single" w:sz="4" w:space="0" w:color="auto"/>
            </w:tcBorders>
            <w:hideMark/>
          </w:tcPr>
          <w:p w14:paraId="38A2AC6E" w14:textId="77777777" w:rsidR="00A67D83" w:rsidRPr="00F10893" w:rsidRDefault="00A67D83">
            <w:pPr>
              <w:pStyle w:val="TableText"/>
              <w:rPr>
                <w:rFonts w:cs="Arial"/>
              </w:rPr>
            </w:pPr>
            <w:r w:rsidRPr="00F10893">
              <w:rPr>
                <w:rFonts w:cs="Arial"/>
              </w:rPr>
              <w:lastRenderedPageBreak/>
              <w:t>Intervention</w:t>
            </w:r>
          </w:p>
        </w:tc>
        <w:tc>
          <w:tcPr>
            <w:tcW w:w="4340" w:type="pct"/>
            <w:tcBorders>
              <w:top w:val="single" w:sz="4" w:space="0" w:color="auto"/>
              <w:left w:val="single" w:sz="4" w:space="0" w:color="auto"/>
              <w:bottom w:val="single" w:sz="4" w:space="0" w:color="auto"/>
              <w:right w:val="single" w:sz="4" w:space="0" w:color="auto"/>
            </w:tcBorders>
            <w:hideMark/>
          </w:tcPr>
          <w:p w14:paraId="53BDD625" w14:textId="77777777" w:rsidR="00A67D83" w:rsidRPr="00F10893" w:rsidRDefault="00A67D83">
            <w:pPr>
              <w:pStyle w:val="TableText"/>
              <w:rPr>
                <w:u w:val="single"/>
              </w:rPr>
            </w:pPr>
            <w:r w:rsidRPr="00F10893">
              <w:rPr>
                <w:u w:val="single"/>
              </w:rPr>
              <w:t>Test</w:t>
            </w:r>
          </w:p>
          <w:p w14:paraId="34CD2FA5" w14:textId="77777777" w:rsidR="00A67D83" w:rsidRPr="00F10893" w:rsidRDefault="00A67D83">
            <w:pPr>
              <w:pStyle w:val="TableText"/>
            </w:pPr>
            <w:r w:rsidRPr="00F10893">
              <w:t>IHC testing on solid tumour tissue to determine FR</w:t>
            </w:r>
            <w:r w:rsidRPr="00F10893">
              <w:rPr>
                <w:rFonts w:cs="Calibri"/>
              </w:rPr>
              <w:t>α</w:t>
            </w:r>
            <w:r w:rsidRPr="00F10893">
              <w:t xml:space="preserve"> expression based on prevalence in terms of percentage of viable tumour cells and level in terms of intensity of staining.</w:t>
            </w:r>
          </w:p>
          <w:p w14:paraId="3EA99D7D" w14:textId="77777777" w:rsidR="00A67D83" w:rsidRPr="00F10893" w:rsidRDefault="00A67D83">
            <w:pPr>
              <w:pStyle w:val="TableText"/>
              <w:rPr>
                <w:u w:val="single"/>
              </w:rPr>
            </w:pPr>
            <w:r w:rsidRPr="00F10893">
              <w:rPr>
                <w:u w:val="single"/>
              </w:rPr>
              <w:t>Treatment</w:t>
            </w:r>
          </w:p>
          <w:p w14:paraId="0C0BA85E" w14:textId="77777777" w:rsidR="00A67D83" w:rsidRPr="00F10893" w:rsidRDefault="00A67D83">
            <w:pPr>
              <w:pStyle w:val="TableText"/>
            </w:pPr>
            <w:r w:rsidRPr="00F10893">
              <w:t xml:space="preserve">Mirvetuximab soravtansine. </w:t>
            </w:r>
          </w:p>
        </w:tc>
      </w:tr>
      <w:tr w:rsidR="00A67D83" w:rsidRPr="00F10893" w14:paraId="61FE1946" w14:textId="77777777">
        <w:tc>
          <w:tcPr>
            <w:tcW w:w="660" w:type="pct"/>
            <w:tcBorders>
              <w:top w:val="single" w:sz="4" w:space="0" w:color="auto"/>
              <w:left w:val="single" w:sz="8" w:space="0" w:color="auto"/>
              <w:bottom w:val="single" w:sz="4" w:space="0" w:color="auto"/>
              <w:right w:val="single" w:sz="4" w:space="0" w:color="auto"/>
            </w:tcBorders>
            <w:hideMark/>
          </w:tcPr>
          <w:p w14:paraId="57AAE45D" w14:textId="77777777" w:rsidR="00A67D83" w:rsidRPr="00F10893" w:rsidRDefault="00A67D83">
            <w:pPr>
              <w:pStyle w:val="TableText"/>
              <w:rPr>
                <w:rFonts w:cs="Arial"/>
              </w:rPr>
            </w:pPr>
            <w:r w:rsidRPr="00F10893">
              <w:rPr>
                <w:rFonts w:cs="Arial"/>
              </w:rPr>
              <w:t>Comparator/s</w:t>
            </w:r>
          </w:p>
        </w:tc>
        <w:tc>
          <w:tcPr>
            <w:tcW w:w="4340" w:type="pct"/>
            <w:tcBorders>
              <w:top w:val="single" w:sz="4" w:space="0" w:color="auto"/>
              <w:left w:val="single" w:sz="4" w:space="0" w:color="auto"/>
              <w:bottom w:val="single" w:sz="4" w:space="0" w:color="auto"/>
              <w:right w:val="single" w:sz="4" w:space="0" w:color="auto"/>
            </w:tcBorders>
            <w:hideMark/>
          </w:tcPr>
          <w:p w14:paraId="52079E39" w14:textId="77777777" w:rsidR="00A67D83" w:rsidRPr="00F10893" w:rsidRDefault="00A67D83">
            <w:pPr>
              <w:pStyle w:val="TableText"/>
              <w:rPr>
                <w:u w:val="single"/>
              </w:rPr>
            </w:pPr>
            <w:r w:rsidRPr="00F10893">
              <w:rPr>
                <w:u w:val="single"/>
              </w:rPr>
              <w:t>Test</w:t>
            </w:r>
          </w:p>
          <w:p w14:paraId="094DD3C4" w14:textId="77777777" w:rsidR="00A67D83" w:rsidRPr="00F10893" w:rsidRDefault="00A67D83">
            <w:pPr>
              <w:pStyle w:val="TableText"/>
            </w:pPr>
            <w:r w:rsidRPr="00F10893">
              <w:t>No testing for FR</w:t>
            </w:r>
            <w:r w:rsidRPr="00F10893">
              <w:rPr>
                <w:rFonts w:cs="Arial"/>
              </w:rPr>
              <w:t>α expression levels.</w:t>
            </w:r>
          </w:p>
          <w:p w14:paraId="09C1BEA1" w14:textId="77777777" w:rsidR="00A67D83" w:rsidRPr="00F10893" w:rsidRDefault="00A67D83">
            <w:pPr>
              <w:pStyle w:val="TableText"/>
              <w:rPr>
                <w:rFonts w:eastAsia="Calibri" w:cs="Times New Roman"/>
                <w:u w:val="single"/>
              </w:rPr>
            </w:pPr>
            <w:r w:rsidRPr="00F10893">
              <w:rPr>
                <w:rFonts w:eastAsia="Calibri" w:cs="Times New Roman"/>
                <w:u w:val="single"/>
              </w:rPr>
              <w:t>Treatment</w:t>
            </w:r>
          </w:p>
          <w:p w14:paraId="68BAD158" w14:textId="77777777" w:rsidR="00A67D83" w:rsidRPr="00F10893" w:rsidRDefault="00A67D83">
            <w:pPr>
              <w:pStyle w:val="TableText"/>
              <w:rPr>
                <w:rFonts w:eastAsia="Calibri" w:cs="Times New Roman"/>
                <w:u w:val="single"/>
              </w:rPr>
            </w:pPr>
            <w:r w:rsidRPr="00F10893">
              <w:rPr>
                <w:rFonts w:eastAsia="Calibri" w:cs="Times New Roman"/>
              </w:rPr>
              <w:t xml:space="preserve">Standard of care: non-platinum treatment (paclitaxel, topotecan, or pegylated liposomal doxorubicin) and supportive care with or without bevacizumab. </w:t>
            </w:r>
          </w:p>
        </w:tc>
      </w:tr>
      <w:tr w:rsidR="00A67D83" w:rsidRPr="00F10893" w14:paraId="36B1E2FE" w14:textId="77777777">
        <w:tc>
          <w:tcPr>
            <w:tcW w:w="660" w:type="pct"/>
            <w:tcBorders>
              <w:top w:val="single" w:sz="4" w:space="0" w:color="auto"/>
              <w:left w:val="single" w:sz="8" w:space="0" w:color="auto"/>
              <w:bottom w:val="single" w:sz="4" w:space="0" w:color="auto"/>
              <w:right w:val="single" w:sz="4" w:space="0" w:color="auto"/>
            </w:tcBorders>
          </w:tcPr>
          <w:p w14:paraId="6C1C7961" w14:textId="77777777" w:rsidR="00A67D83" w:rsidRPr="00F10893" w:rsidRDefault="00A67D83">
            <w:pPr>
              <w:pStyle w:val="TableText"/>
              <w:rPr>
                <w:rFonts w:cs="Arial"/>
              </w:rPr>
            </w:pPr>
            <w:r w:rsidRPr="00F10893">
              <w:rPr>
                <w:rFonts w:cs="Arial"/>
              </w:rPr>
              <w:t xml:space="preserve">Reference standard </w:t>
            </w:r>
          </w:p>
        </w:tc>
        <w:tc>
          <w:tcPr>
            <w:tcW w:w="4340" w:type="pct"/>
            <w:tcBorders>
              <w:top w:val="single" w:sz="4" w:space="0" w:color="auto"/>
              <w:left w:val="single" w:sz="4" w:space="0" w:color="auto"/>
              <w:bottom w:val="single" w:sz="4" w:space="0" w:color="auto"/>
              <w:right w:val="single" w:sz="4" w:space="0" w:color="auto"/>
            </w:tcBorders>
          </w:tcPr>
          <w:p w14:paraId="1B696E1C" w14:textId="77777777" w:rsidR="00A67D83" w:rsidRPr="00F10893" w:rsidRDefault="00A67D83">
            <w:pPr>
              <w:pStyle w:val="TableText"/>
            </w:pPr>
            <w:r w:rsidRPr="00F10893">
              <w:rPr>
                <w:rFonts w:cs="Arial"/>
              </w:rPr>
              <w:t>None.</w:t>
            </w:r>
            <w:r w:rsidRPr="00F10893">
              <w:t xml:space="preserve"> </w:t>
            </w:r>
          </w:p>
        </w:tc>
      </w:tr>
      <w:tr w:rsidR="00A67D83" w:rsidRPr="00F10893" w14:paraId="7048E9B6" w14:textId="77777777">
        <w:tc>
          <w:tcPr>
            <w:tcW w:w="660" w:type="pct"/>
            <w:tcBorders>
              <w:top w:val="single" w:sz="4" w:space="0" w:color="auto"/>
              <w:left w:val="single" w:sz="8" w:space="0" w:color="auto"/>
              <w:bottom w:val="single" w:sz="4" w:space="0" w:color="auto"/>
              <w:right w:val="single" w:sz="4" w:space="0" w:color="auto"/>
            </w:tcBorders>
          </w:tcPr>
          <w:p w14:paraId="615DF44D" w14:textId="77777777" w:rsidR="00A67D83" w:rsidRPr="00F10893" w:rsidRDefault="00A67D83">
            <w:pPr>
              <w:pStyle w:val="TableText"/>
              <w:rPr>
                <w:rFonts w:cs="Arial"/>
              </w:rPr>
            </w:pPr>
            <w:r w:rsidRPr="00F10893">
              <w:rPr>
                <w:rFonts w:cs="Arial"/>
              </w:rPr>
              <w:t xml:space="preserve">Clinical utility standard </w:t>
            </w:r>
          </w:p>
        </w:tc>
        <w:tc>
          <w:tcPr>
            <w:tcW w:w="4340" w:type="pct"/>
            <w:tcBorders>
              <w:top w:val="single" w:sz="4" w:space="0" w:color="auto"/>
              <w:left w:val="single" w:sz="4" w:space="0" w:color="auto"/>
              <w:bottom w:val="single" w:sz="4" w:space="0" w:color="auto"/>
              <w:right w:val="single" w:sz="4" w:space="0" w:color="auto"/>
            </w:tcBorders>
          </w:tcPr>
          <w:p w14:paraId="6C72197E" w14:textId="77777777" w:rsidR="00A67D83" w:rsidRPr="00F10893" w:rsidRDefault="00A67D83">
            <w:pPr>
              <w:pStyle w:val="TableText"/>
            </w:pPr>
            <w:r w:rsidRPr="00F10893">
              <w:rPr>
                <w:rFonts w:cs="Arial"/>
              </w:rPr>
              <w:t>VENTANA FOLR1 (FOLR1-2.1) RxDx Assay to determine FRα expression levels</w:t>
            </w:r>
            <w:r w:rsidRPr="00F10893" w:rsidDel="00ED5376">
              <w:rPr>
                <w:rFonts w:cs="Arial"/>
              </w:rPr>
              <w:t>.</w:t>
            </w:r>
          </w:p>
        </w:tc>
      </w:tr>
      <w:tr w:rsidR="00A67D83" w:rsidRPr="00F10893" w14:paraId="137A5617" w14:textId="77777777">
        <w:tc>
          <w:tcPr>
            <w:tcW w:w="660" w:type="pct"/>
            <w:tcBorders>
              <w:top w:val="single" w:sz="4" w:space="0" w:color="auto"/>
              <w:left w:val="single" w:sz="8" w:space="0" w:color="auto"/>
              <w:bottom w:val="single" w:sz="4" w:space="0" w:color="auto"/>
              <w:right w:val="single" w:sz="4" w:space="0" w:color="auto"/>
            </w:tcBorders>
            <w:hideMark/>
          </w:tcPr>
          <w:p w14:paraId="383ADD89" w14:textId="77777777" w:rsidR="00A67D83" w:rsidRPr="00F10893" w:rsidRDefault="00A67D83">
            <w:pPr>
              <w:pStyle w:val="TableText"/>
              <w:rPr>
                <w:rFonts w:cs="Arial"/>
              </w:rPr>
            </w:pPr>
            <w:r w:rsidRPr="00F10893">
              <w:rPr>
                <w:rFonts w:cs="Arial"/>
              </w:rPr>
              <w:t>Outcomes</w:t>
            </w:r>
          </w:p>
        </w:tc>
        <w:tc>
          <w:tcPr>
            <w:tcW w:w="4340" w:type="pct"/>
            <w:tcBorders>
              <w:top w:val="single" w:sz="4" w:space="0" w:color="auto"/>
              <w:left w:val="single" w:sz="4" w:space="0" w:color="auto"/>
              <w:bottom w:val="single" w:sz="4" w:space="0" w:color="auto"/>
              <w:right w:val="single" w:sz="4" w:space="0" w:color="auto"/>
            </w:tcBorders>
            <w:hideMark/>
          </w:tcPr>
          <w:p w14:paraId="45519255" w14:textId="77777777" w:rsidR="00A67D83" w:rsidRPr="00F10893" w:rsidRDefault="00A67D83">
            <w:pPr>
              <w:pStyle w:val="TableText"/>
              <w:rPr>
                <w:rFonts w:cs="Arial"/>
                <w:u w:val="single"/>
              </w:rPr>
            </w:pPr>
            <w:r w:rsidRPr="00F10893">
              <w:rPr>
                <w:rFonts w:cs="Arial"/>
                <w:u w:val="single"/>
              </w:rPr>
              <w:t>Test</w:t>
            </w:r>
          </w:p>
          <w:p w14:paraId="65679E3E" w14:textId="77777777" w:rsidR="00A67D83" w:rsidRPr="00F10893" w:rsidRDefault="00A67D83">
            <w:pPr>
              <w:pStyle w:val="TableText"/>
            </w:pPr>
            <w:r w:rsidRPr="00F10893">
              <w:rPr>
                <w:rFonts w:cs="Calibri"/>
                <w:bCs/>
              </w:rPr>
              <w:t>Safety outcomes</w:t>
            </w:r>
            <w:r w:rsidRPr="00F10893">
              <w:rPr>
                <w:rFonts w:cs="Calibri"/>
              </w:rPr>
              <w:t xml:space="preserve">: adverse events associated with biopsy/re-biopsy for patients with inadequate tissue for tumour testing. </w:t>
            </w:r>
          </w:p>
          <w:p w14:paraId="532EA8C8" w14:textId="77777777" w:rsidR="00A67D83" w:rsidRPr="00F10893" w:rsidRDefault="00A67D83">
            <w:pPr>
              <w:pStyle w:val="TableText"/>
            </w:pPr>
            <w:r w:rsidRPr="00F10893" w:rsidDel="00DE4FF4">
              <w:rPr>
                <w:bCs/>
              </w:rPr>
              <w:t xml:space="preserve">Diagnostic </w:t>
            </w:r>
            <w:r w:rsidRPr="00F10893">
              <w:rPr>
                <w:bCs/>
              </w:rPr>
              <w:t>performance</w:t>
            </w:r>
            <w:r w:rsidRPr="00F10893" w:rsidDel="009A38CB">
              <w:t>:</w:t>
            </w:r>
            <w:r w:rsidRPr="00F10893">
              <w:t xml:space="preserve"> intra- and inter-reader variability; test failure rate; evidence of stability of proteins in archival tissue; </w:t>
            </w:r>
            <w:r w:rsidRPr="00F10893">
              <w:rPr>
                <w:rFonts w:eastAsiaTheme="minorEastAsia"/>
              </w:rPr>
              <w:t xml:space="preserve">heterogeneity within the same tissue sample; </w:t>
            </w:r>
            <w:r w:rsidRPr="00F10893">
              <w:t>evidence of stability in FR</w:t>
            </w:r>
            <w:r w:rsidRPr="00F10893">
              <w:rPr>
                <w:rFonts w:cs="Calibri"/>
              </w:rPr>
              <w:t>α</w:t>
            </w:r>
            <w:r w:rsidRPr="00F10893">
              <w:t xml:space="preserve"> status over time with treatment and/or progression of disease; </w:t>
            </w:r>
            <w:r w:rsidRPr="00F10893">
              <w:rPr>
                <w:rFonts w:eastAsiaTheme="minorEastAsia"/>
              </w:rPr>
              <w:t>test-retest reliability.</w:t>
            </w:r>
          </w:p>
          <w:p w14:paraId="400DEEF3" w14:textId="77777777" w:rsidR="00A67D83" w:rsidRPr="00F10893" w:rsidRDefault="00A67D83">
            <w:pPr>
              <w:pStyle w:val="TableText"/>
              <w:rPr>
                <w:rFonts w:cs="Calibri"/>
              </w:rPr>
            </w:pPr>
            <w:r w:rsidRPr="00F10893">
              <w:rPr>
                <w:rFonts w:cs="Calibri"/>
                <w:bCs/>
              </w:rPr>
              <w:t>Clinical utility of the test</w:t>
            </w:r>
            <w:r w:rsidRPr="00F10893">
              <w:rPr>
                <w:rFonts w:cs="Calibri"/>
              </w:rPr>
              <w:t xml:space="preserve">: determine whether testing for FRα predicts variation in the treatment effect of </w:t>
            </w:r>
            <w:r w:rsidRPr="00F10893">
              <w:t xml:space="preserve">mirvetuximab soravtansine </w:t>
            </w:r>
            <w:r w:rsidRPr="00F10893">
              <w:rPr>
                <w:rFonts w:cs="Calibri"/>
              </w:rPr>
              <w:t>in terms of health outcomes for patients.</w:t>
            </w:r>
          </w:p>
          <w:p w14:paraId="7194C880" w14:textId="77777777" w:rsidR="00A67D83" w:rsidRPr="00F10893" w:rsidRDefault="00A67D83">
            <w:pPr>
              <w:pStyle w:val="TableText"/>
            </w:pPr>
            <w:r w:rsidRPr="00F10893">
              <w:rPr>
                <w:rFonts w:cs="Calibri"/>
              </w:rPr>
              <w:t>Qualitative assessment of potential risks associated with an incorrect test result or incorrect interpretation of results. Failure of the test to perform as expected or failure to correctly interpret test results may lead to improper patient management decisions.</w:t>
            </w:r>
          </w:p>
          <w:p w14:paraId="73DCC9BD" w14:textId="77777777" w:rsidR="00A67D83" w:rsidRPr="00F10893" w:rsidRDefault="00A67D83">
            <w:pPr>
              <w:pStyle w:val="TableText"/>
              <w:rPr>
                <w:rFonts w:cs="Arial"/>
                <w:u w:val="single"/>
              </w:rPr>
            </w:pPr>
            <w:r w:rsidRPr="00F10893">
              <w:rPr>
                <w:rFonts w:cs="Arial"/>
                <w:u w:val="single"/>
              </w:rPr>
              <w:t>Drug</w:t>
            </w:r>
          </w:p>
          <w:p w14:paraId="78343F95" w14:textId="77777777" w:rsidR="00A67D83" w:rsidRPr="00F10893" w:rsidRDefault="00A67D83">
            <w:pPr>
              <w:pStyle w:val="TableText"/>
              <w:rPr>
                <w:rFonts w:cs="Calibri"/>
              </w:rPr>
            </w:pPr>
            <w:r w:rsidRPr="00F10893">
              <w:rPr>
                <w:rFonts w:cs="Calibri"/>
              </w:rPr>
              <w:t xml:space="preserve">Safety outcomes: Safety and tolerability of treatment with </w:t>
            </w:r>
            <w:r w:rsidRPr="00F10893">
              <w:rPr>
                <w:color w:val="000000" w:themeColor="text1"/>
              </w:rPr>
              <w:t>mirvetuximab soravtansine</w:t>
            </w:r>
            <w:r w:rsidRPr="00F10893">
              <w:rPr>
                <w:rFonts w:cs="Calibri"/>
              </w:rPr>
              <w:t xml:space="preserve"> compared to alternative treatments assessed by adverse events, physical examination, laboratory findings and vital signs. </w:t>
            </w:r>
          </w:p>
          <w:p w14:paraId="077834F0" w14:textId="77777777" w:rsidR="00A67D83" w:rsidRPr="00F10893" w:rsidRDefault="00A67D83">
            <w:pPr>
              <w:pStyle w:val="TableText"/>
            </w:pPr>
            <w:r w:rsidRPr="00F10893">
              <w:rPr>
                <w:rFonts w:cs="Calibri"/>
              </w:rPr>
              <w:t xml:space="preserve">Clinical effectiveness outcomes: </w:t>
            </w:r>
          </w:p>
          <w:p w14:paraId="29938DC4" w14:textId="77777777" w:rsidR="00A67D83" w:rsidRPr="00F10893" w:rsidRDefault="00A67D83">
            <w:pPr>
              <w:pStyle w:val="TableText"/>
            </w:pPr>
            <w:r w:rsidRPr="00F10893">
              <w:t>objective response rate (ORR)</w:t>
            </w:r>
          </w:p>
          <w:p w14:paraId="1CB262FC" w14:textId="77777777" w:rsidR="00A67D83" w:rsidRPr="00F10893" w:rsidRDefault="00A67D83">
            <w:pPr>
              <w:pStyle w:val="TableText"/>
            </w:pPr>
            <w:r w:rsidRPr="00F10893">
              <w:t>overall survival (OS)</w:t>
            </w:r>
          </w:p>
          <w:p w14:paraId="028C1BAB" w14:textId="77777777" w:rsidR="00A67D83" w:rsidRPr="00F10893" w:rsidRDefault="00A67D83">
            <w:pPr>
              <w:pStyle w:val="TableText"/>
            </w:pPr>
            <w:r w:rsidRPr="00F10893">
              <w:t xml:space="preserve">progression-free survival (PFS) </w:t>
            </w:r>
          </w:p>
          <w:p w14:paraId="540E127D" w14:textId="77777777" w:rsidR="00A67D83" w:rsidRPr="00F10893" w:rsidRDefault="00A67D83">
            <w:pPr>
              <w:pStyle w:val="TableText"/>
            </w:pPr>
            <w:r w:rsidRPr="00F10893">
              <w:t>health-related quality of life (HRQoL).</w:t>
            </w:r>
          </w:p>
          <w:p w14:paraId="3AE81510" w14:textId="77777777" w:rsidR="00A67D83" w:rsidRPr="00F10893" w:rsidRDefault="00A67D83">
            <w:pPr>
              <w:pStyle w:val="TableText"/>
            </w:pPr>
            <w:r w:rsidRPr="00F10893">
              <w:rPr>
                <w:rFonts w:cs="Calibri"/>
              </w:rPr>
              <w:t xml:space="preserve">Healthcare system outcomes: </w:t>
            </w:r>
          </w:p>
          <w:p w14:paraId="747CD483" w14:textId="77777777" w:rsidR="00A67D83" w:rsidRPr="00F10893" w:rsidRDefault="00A67D83">
            <w:pPr>
              <w:pStyle w:val="TableText"/>
            </w:pPr>
            <w:r w:rsidRPr="00F10893">
              <w:t>cost of testing per patient and cost associated with re-biopsies (e.g.: early-stage disease that has relapsed, test failure, inadequate sampling)</w:t>
            </w:r>
          </w:p>
          <w:p w14:paraId="73F18D4A" w14:textId="77777777" w:rsidR="00A67D83" w:rsidRPr="00F10893" w:rsidRDefault="00A67D83">
            <w:pPr>
              <w:pStyle w:val="TableText"/>
            </w:pPr>
            <w:r w:rsidRPr="00F10893">
              <w:t>cost of treatment and cost of treating adverse events</w:t>
            </w:r>
          </w:p>
          <w:p w14:paraId="14C638B6" w14:textId="77777777" w:rsidR="00A67D83" w:rsidRPr="00F10893" w:rsidRDefault="00A67D83">
            <w:pPr>
              <w:pStyle w:val="TableText"/>
            </w:pPr>
            <w:r w:rsidRPr="00F10893">
              <w:t>financial implications: number of patients tested; number of patients treated.</w:t>
            </w:r>
          </w:p>
        </w:tc>
      </w:tr>
      <w:tr w:rsidR="00A67D83" w:rsidRPr="00F10893" w14:paraId="3ECCCD2F" w14:textId="77777777">
        <w:tc>
          <w:tcPr>
            <w:tcW w:w="660" w:type="pct"/>
            <w:tcBorders>
              <w:top w:val="single" w:sz="4" w:space="0" w:color="auto"/>
              <w:left w:val="single" w:sz="8" w:space="0" w:color="auto"/>
              <w:bottom w:val="single" w:sz="8" w:space="0" w:color="auto"/>
              <w:right w:val="single" w:sz="4" w:space="0" w:color="auto"/>
            </w:tcBorders>
          </w:tcPr>
          <w:p w14:paraId="57457E21" w14:textId="77777777" w:rsidR="00A67D83" w:rsidRPr="00F10893" w:rsidRDefault="00A67D83">
            <w:pPr>
              <w:pStyle w:val="TableText"/>
              <w:rPr>
                <w:rFonts w:cs="Arial"/>
              </w:rPr>
            </w:pPr>
            <w:r w:rsidRPr="00F10893">
              <w:rPr>
                <w:rFonts w:cs="Arial"/>
              </w:rPr>
              <w:t>Assessment questions</w:t>
            </w:r>
          </w:p>
        </w:tc>
        <w:tc>
          <w:tcPr>
            <w:tcW w:w="4340" w:type="pct"/>
            <w:tcBorders>
              <w:top w:val="single" w:sz="4" w:space="0" w:color="auto"/>
              <w:left w:val="single" w:sz="4" w:space="0" w:color="auto"/>
              <w:bottom w:val="single" w:sz="4" w:space="0" w:color="auto"/>
              <w:right w:val="single" w:sz="4" w:space="0" w:color="auto"/>
            </w:tcBorders>
          </w:tcPr>
          <w:p w14:paraId="2004A6A9" w14:textId="77777777" w:rsidR="00A67D83" w:rsidRPr="00F10893" w:rsidRDefault="00A67D83">
            <w:pPr>
              <w:pStyle w:val="TableText"/>
            </w:pPr>
            <w:r w:rsidRPr="00F10893">
              <w:rPr>
                <w:color w:val="000000" w:themeColor="text1"/>
              </w:rPr>
              <w:t>What is the safety, effectiveness, cost-effectiveness and total costs of FR</w:t>
            </w:r>
            <w:r w:rsidRPr="00F10893">
              <w:rPr>
                <w:rFonts w:cs="Calibri"/>
                <w:color w:val="000000" w:themeColor="text1"/>
              </w:rPr>
              <w:t>α</w:t>
            </w:r>
            <w:r w:rsidRPr="00F10893">
              <w:rPr>
                <w:color w:val="000000" w:themeColor="text1"/>
              </w:rPr>
              <w:t xml:space="preserve"> expression level testing and treatment with mirvetuximab soravtansine versus no testing and standard of care, in platinum resistant </w:t>
            </w:r>
            <w:r w:rsidRPr="00F10893">
              <w:t>high-grade serous epithelial ovarian, fallopian tube or primary peritoneal cancer?</w:t>
            </w:r>
          </w:p>
          <w:p w14:paraId="6D7A5FBC" w14:textId="77777777" w:rsidR="00A67D83" w:rsidRPr="00F10893" w:rsidRDefault="00A67D83">
            <w:pPr>
              <w:pStyle w:val="TableText"/>
              <w:rPr>
                <w:color w:val="000000" w:themeColor="text1"/>
              </w:rPr>
            </w:pPr>
            <w:r w:rsidRPr="00F10893">
              <w:t xml:space="preserve">Does testing for </w:t>
            </w:r>
            <w:r w:rsidRPr="00F10893">
              <w:rPr>
                <w:color w:val="000000" w:themeColor="text1"/>
              </w:rPr>
              <w:t>FR</w:t>
            </w:r>
            <w:r w:rsidRPr="00F10893">
              <w:rPr>
                <w:rFonts w:cs="Calibri"/>
                <w:color w:val="000000" w:themeColor="text1"/>
              </w:rPr>
              <w:t xml:space="preserve">α predict a treatment effect modification with </w:t>
            </w:r>
            <w:r w:rsidRPr="00F10893">
              <w:rPr>
                <w:color w:val="000000" w:themeColor="text1"/>
              </w:rPr>
              <w:t>mirvetuximab soravtansine?</w:t>
            </w:r>
          </w:p>
          <w:p w14:paraId="0AB78DEF" w14:textId="77777777" w:rsidR="00A67D83" w:rsidRPr="00F10893" w:rsidRDefault="00A67D83">
            <w:pPr>
              <w:pStyle w:val="TableText"/>
            </w:pPr>
            <w:r w:rsidRPr="00F10893">
              <w:rPr>
                <w:color w:val="000000" w:themeColor="text1"/>
              </w:rPr>
              <w:t>What are the potential costs and cost offsets associated with disease management arising from the listing of FR</w:t>
            </w:r>
            <w:r w:rsidRPr="00F10893">
              <w:rPr>
                <w:rFonts w:cs="Calibri"/>
                <w:color w:val="000000" w:themeColor="text1"/>
              </w:rPr>
              <w:t>α</w:t>
            </w:r>
            <w:r w:rsidRPr="00F10893">
              <w:rPr>
                <w:color w:val="000000" w:themeColor="text1"/>
              </w:rPr>
              <w:t xml:space="preserve"> testing?</w:t>
            </w:r>
          </w:p>
        </w:tc>
      </w:tr>
    </w:tbl>
    <w:p w14:paraId="51E8693A" w14:textId="77777777" w:rsidR="00A67D83" w:rsidRPr="00F10893" w:rsidRDefault="00A67D83" w:rsidP="00A67D83">
      <w:pPr>
        <w:pStyle w:val="TableFooter"/>
      </w:pPr>
      <w:r w:rsidRPr="00F10893">
        <w:t xml:space="preserve">Source: Table 1, 1787 ratified PICO Confirmation, PASC December 2024. </w:t>
      </w:r>
    </w:p>
    <w:p w14:paraId="61BA8117" w14:textId="06CDB39A" w:rsidR="00A67D83" w:rsidRPr="00F10893" w:rsidRDefault="00A67D83" w:rsidP="00C77641">
      <w:pPr>
        <w:pStyle w:val="TableFigureFooter"/>
      </w:pPr>
      <w:r w:rsidRPr="00F10893">
        <w:t xml:space="preserve">FRα: folate receptor alpha; HRQoL: health-related quality of life; IHC: immunohistochemistry; ORR: objective response rate; OS: overall survival; PFS: progression-free survival; PS2+: scoring of moderate [2+] or strong [3+] staining; RxDx: registered diagnostic test. </w:t>
      </w:r>
    </w:p>
    <w:p w14:paraId="2B742386" w14:textId="30242F74" w:rsidR="00A67D83" w:rsidRPr="00FD287E" w:rsidRDefault="00A67D83" w:rsidP="00E517FA">
      <w:pPr>
        <w:rPr>
          <w:rFonts w:ascii="Franklin Gothic Book" w:hAnsi="Franklin Gothic Book"/>
          <w:sz w:val="22"/>
          <w:szCs w:val="20"/>
        </w:rPr>
      </w:pPr>
      <w:r w:rsidRPr="00AD3D9A">
        <w:rPr>
          <w:rFonts w:ascii="Franklin Gothic Book" w:hAnsi="Franklin Gothic Book"/>
          <w:sz w:val="22"/>
          <w:szCs w:val="20"/>
        </w:rPr>
        <w:t xml:space="preserve">The commentary considered that the submission addressed </w:t>
      </w:r>
      <w:r w:rsidRPr="00AD3D9A">
        <w:rPr>
          <w:rStyle w:val="InstructionalTextChar"/>
          <w:rFonts w:ascii="Franklin Gothic Book" w:hAnsi="Franklin Gothic Book"/>
          <w:color w:val="auto"/>
          <w:sz w:val="22"/>
          <w:szCs w:val="20"/>
        </w:rPr>
        <w:t>most</w:t>
      </w:r>
      <w:r w:rsidRPr="00AD3D9A">
        <w:rPr>
          <w:rFonts w:ascii="Franklin Gothic Book" w:hAnsi="Franklin Gothic Book"/>
          <w:sz w:val="22"/>
          <w:szCs w:val="20"/>
        </w:rPr>
        <w:t xml:space="preserve"> of the PICO elements relating to the proposed test, as prespecified in the PICO confirmation </w:t>
      </w:r>
      <w:r w:rsidRPr="00AD3D9A">
        <w:rPr>
          <w:rStyle w:val="InstructionalTextChar"/>
          <w:rFonts w:ascii="Franklin Gothic Book" w:hAnsi="Franklin Gothic Book"/>
          <w:color w:val="auto"/>
          <w:sz w:val="22"/>
          <w:szCs w:val="20"/>
        </w:rPr>
        <w:t xml:space="preserve">that was ratified by </w:t>
      </w:r>
      <w:r w:rsidRPr="00AD3D9A">
        <w:rPr>
          <w:rFonts w:ascii="Franklin Gothic Book" w:hAnsi="Franklin Gothic Book"/>
          <w:sz w:val="22"/>
          <w:szCs w:val="20"/>
        </w:rPr>
        <w:t>PASC. Data from the key FORWARD-I trial representing test negative patients were only partially presented in the submission. The submission did not present an assessment of diagnostic accuracy for the proposed test, taking into account the prevalence-adjusted estimates of test performance.</w:t>
      </w:r>
    </w:p>
    <w:p w14:paraId="793E8994" w14:textId="77777777" w:rsidR="00FD07C6" w:rsidRPr="00FD287E" w:rsidRDefault="00FD07C6"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16" w:name="_Toc93044759"/>
      <w:bookmarkStart w:id="17" w:name="_Toc93322893"/>
      <w:bookmarkStart w:id="18" w:name="_Toc198721987"/>
      <w:bookmarkEnd w:id="16"/>
      <w:bookmarkEnd w:id="17"/>
      <w:r w:rsidRPr="00FD287E">
        <w:rPr>
          <w:rFonts w:ascii="Franklin Gothic Medium" w:hAnsi="Franklin Gothic Medium"/>
          <w:b w:val="0"/>
          <w:snapToGrid/>
          <w:color w:val="000000" w:themeColor="text1"/>
          <w:sz w:val="32"/>
          <w:szCs w:val="26"/>
        </w:rPr>
        <w:lastRenderedPageBreak/>
        <w:t>Population</w:t>
      </w:r>
      <w:bookmarkEnd w:id="18"/>
    </w:p>
    <w:p w14:paraId="387870AB" w14:textId="0E600B39"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Epithelial ovarian, fallopian tube, and primary peritoneal cancer are collectively described as EOC. There are currently no recommended screening tests for ovarian cancer</w:t>
      </w:r>
      <w:r w:rsidR="00C70215" w:rsidRPr="00214750">
        <w:rPr>
          <w:rFonts w:ascii="Franklin Gothic Book" w:hAnsi="Franklin Gothic Book"/>
          <w:sz w:val="22"/>
          <w:szCs w:val="20"/>
        </w:rPr>
        <w:t>,</w:t>
      </w:r>
      <w:r w:rsidRPr="00214750">
        <w:rPr>
          <w:rFonts w:ascii="Franklin Gothic Book" w:hAnsi="Franklin Gothic Book"/>
          <w:sz w:val="22"/>
          <w:szCs w:val="20"/>
        </w:rPr>
        <w:t xml:space="preserve"> and the absence of definitive symptoms makes it difficult to diagnose in the early stages (Cancer Australia, 2019). Late-stage EOC is rarely curable despite optimal surgical resection and intensive adjuvant or neo-adjuvant chemotherapy. Due to the ambiguous nature of </w:t>
      </w:r>
      <w:r w:rsidR="00BF104B" w:rsidRPr="00214750">
        <w:rPr>
          <w:rFonts w:ascii="Franklin Gothic Book" w:hAnsi="Franklin Gothic Book"/>
          <w:sz w:val="22"/>
          <w:szCs w:val="20"/>
        </w:rPr>
        <w:t xml:space="preserve">typical EOC </w:t>
      </w:r>
      <w:r w:rsidRPr="00214750">
        <w:rPr>
          <w:rFonts w:ascii="Franklin Gothic Book" w:hAnsi="Franklin Gothic Book"/>
          <w:sz w:val="22"/>
          <w:szCs w:val="20"/>
        </w:rPr>
        <w:t>disease symptoms, a lack of early detection tests, and because early-stage disease is typically asymptomatic, 70% of patients receive a late-stage diagnosis (stage III-IV) (Cancer Council, 2024).</w:t>
      </w:r>
    </w:p>
    <w:p w14:paraId="7F87223D" w14:textId="503EDE76" w:rsidR="00E517FA" w:rsidRPr="00214750" w:rsidRDefault="00E517FA" w:rsidP="00E517FA">
      <w:pPr>
        <w:rPr>
          <w:rFonts w:ascii="Franklin Gothic Book" w:hAnsi="Franklin Gothic Book"/>
          <w:sz w:val="22"/>
          <w:szCs w:val="20"/>
          <w:highlight w:val="lightGray"/>
        </w:rPr>
      </w:pPr>
      <w:r w:rsidRPr="00214750">
        <w:rPr>
          <w:rFonts w:ascii="Franklin Gothic Book" w:hAnsi="Franklin Gothic Book"/>
          <w:sz w:val="22"/>
          <w:szCs w:val="20"/>
        </w:rPr>
        <w:t>At the time of diagnosis, women have a five-year survival rate of 48% (Australian Cancer Research Foundation [ACRF], 2022). Ovarian cancer was ranked 6</w:t>
      </w:r>
      <w:r w:rsidR="0079013D" w:rsidRPr="00214750">
        <w:rPr>
          <w:rFonts w:ascii="Franklin Gothic Book" w:hAnsi="Franklin Gothic Book"/>
          <w:sz w:val="22"/>
          <w:szCs w:val="20"/>
          <w:vertAlign w:val="superscript"/>
        </w:rPr>
        <w:t>th</w:t>
      </w:r>
      <w:r w:rsidR="0079013D" w:rsidRPr="00214750">
        <w:rPr>
          <w:rFonts w:ascii="Franklin Gothic Book" w:hAnsi="Franklin Gothic Book"/>
          <w:sz w:val="22"/>
          <w:szCs w:val="20"/>
        </w:rPr>
        <w:t xml:space="preserve"> </w:t>
      </w:r>
      <w:r w:rsidRPr="00214750">
        <w:rPr>
          <w:rFonts w:ascii="Franklin Gothic Book" w:hAnsi="Franklin Gothic Book"/>
          <w:sz w:val="22"/>
          <w:szCs w:val="20"/>
        </w:rPr>
        <w:t>highest as a cause of cancer death in Australian women in 2022 (Cancer Australia, 2024; NCCI, 2022). For Australian patients with advanced or metastatic EOC with serous histology, a median overall survival (OS) of 5.2 years was reported for a cohort of 421 women, in an unpublished draft study commissioned for this submission (registry data collected by the not-for-profit Cancer Screening Program [CaSP]) (Quantium, 2025).</w:t>
      </w:r>
    </w:p>
    <w:p w14:paraId="7E39815B" w14:textId="15418C3E" w:rsidR="00E517FA" w:rsidRPr="00214750" w:rsidRDefault="00E517FA" w:rsidP="00E517FA">
      <w:pPr>
        <w:keepNext/>
        <w:rPr>
          <w:rFonts w:ascii="Franklin Gothic Book" w:hAnsi="Franklin Gothic Book"/>
          <w:sz w:val="22"/>
          <w:szCs w:val="20"/>
        </w:rPr>
      </w:pPr>
      <w:r w:rsidRPr="00214750">
        <w:rPr>
          <w:rFonts w:ascii="Franklin Gothic Book" w:hAnsi="Franklin Gothic Book"/>
          <w:sz w:val="22"/>
          <w:szCs w:val="20"/>
        </w:rPr>
        <w:t xml:space="preserve">Ovarian cancer is managed according to tumour histology. </w:t>
      </w:r>
      <w:r w:rsidRPr="00214750">
        <w:rPr>
          <w:rFonts w:ascii="Franklin Gothic Book" w:hAnsi="Franklin Gothic Book"/>
          <w:sz w:val="22"/>
          <w:szCs w:val="20"/>
        </w:rPr>
        <w:fldChar w:fldCharType="begin"/>
      </w:r>
      <w:r w:rsidRPr="00214750">
        <w:rPr>
          <w:rFonts w:ascii="Franklin Gothic Book" w:hAnsi="Franklin Gothic Book"/>
          <w:sz w:val="22"/>
          <w:szCs w:val="20"/>
        </w:rPr>
        <w:instrText xml:space="preserve"> REF _Ref195779570 \h  \* MERGEFORMAT </w:instrText>
      </w:r>
      <w:r w:rsidRPr="00214750">
        <w:rPr>
          <w:rFonts w:ascii="Franklin Gothic Book" w:hAnsi="Franklin Gothic Book"/>
          <w:sz w:val="22"/>
          <w:szCs w:val="20"/>
        </w:rPr>
      </w:r>
      <w:r w:rsidRPr="00214750">
        <w:rPr>
          <w:rFonts w:ascii="Franklin Gothic Book" w:hAnsi="Franklin Gothic Book"/>
          <w:sz w:val="22"/>
          <w:szCs w:val="20"/>
        </w:rPr>
        <w:fldChar w:fldCharType="separate"/>
      </w:r>
      <w:r w:rsidR="00E25D0E" w:rsidRPr="00E25D0E">
        <w:rPr>
          <w:rFonts w:ascii="Franklin Gothic Book" w:hAnsi="Franklin Gothic Book"/>
          <w:sz w:val="22"/>
          <w:szCs w:val="20"/>
        </w:rPr>
        <w:t>Figure MSAC.1</w:t>
      </w:r>
      <w:r w:rsidRPr="00214750">
        <w:rPr>
          <w:rFonts w:ascii="Franklin Gothic Book" w:hAnsi="Franklin Gothic Book"/>
          <w:sz w:val="22"/>
          <w:szCs w:val="20"/>
        </w:rPr>
        <w:fldChar w:fldCharType="end"/>
      </w:r>
      <w:r w:rsidRPr="00214750">
        <w:rPr>
          <w:rFonts w:ascii="Franklin Gothic Book" w:hAnsi="Franklin Gothic Book"/>
          <w:sz w:val="22"/>
          <w:szCs w:val="20"/>
        </w:rPr>
        <w:t xml:space="preserve"> is presented to conceptualise the currently understood spectrum of tumour subtypes</w:t>
      </w:r>
      <w:r w:rsidR="00A1147A" w:rsidRPr="00214750">
        <w:rPr>
          <w:rFonts w:ascii="Franklin Gothic Book" w:hAnsi="Franklin Gothic Book"/>
          <w:sz w:val="22"/>
          <w:szCs w:val="20"/>
        </w:rPr>
        <w:t>,</w:t>
      </w:r>
      <w:r w:rsidRPr="00214750">
        <w:rPr>
          <w:rFonts w:ascii="Franklin Gothic Book" w:hAnsi="Franklin Gothic Book"/>
          <w:sz w:val="22"/>
          <w:szCs w:val="20"/>
        </w:rPr>
        <w:t xml:space="preserve"> differentiated according to histology, and their proportions</w:t>
      </w:r>
      <w:r w:rsidRPr="00214750" w:rsidDel="00E34B02">
        <w:rPr>
          <w:rFonts w:ascii="Franklin Gothic Book" w:hAnsi="Franklin Gothic Book"/>
          <w:sz w:val="22"/>
          <w:szCs w:val="20"/>
        </w:rPr>
        <w:t>.</w:t>
      </w:r>
    </w:p>
    <w:p w14:paraId="7F24825B" w14:textId="275D526E" w:rsidR="00E517FA" w:rsidRPr="00F10893" w:rsidRDefault="00E517FA" w:rsidP="00E12A0D">
      <w:pPr>
        <w:keepNext/>
        <w:keepLines/>
        <w:tabs>
          <w:tab w:val="left" w:pos="1418"/>
        </w:tabs>
        <w:spacing w:before="0" w:after="0" w:line="259" w:lineRule="auto"/>
        <w:ind w:left="1418" w:hanging="1418"/>
        <w:contextualSpacing/>
        <w:jc w:val="left"/>
        <w:rPr>
          <w:rFonts w:ascii="Arial Narrow" w:hAnsi="Arial Narrow"/>
          <w:b/>
          <w:iCs/>
          <w:sz w:val="20"/>
          <w:szCs w:val="18"/>
        </w:rPr>
      </w:pPr>
      <w:bookmarkStart w:id="19" w:name="_Ref195779570"/>
      <w:r w:rsidRPr="00F10893">
        <w:rPr>
          <w:rFonts w:ascii="Arial Narrow" w:hAnsi="Arial Narrow"/>
          <w:b/>
          <w:iCs/>
          <w:sz w:val="20"/>
          <w:szCs w:val="18"/>
        </w:rPr>
        <w:t>Figure MSAC.</w:t>
      </w:r>
      <w:r w:rsidRPr="00F10893">
        <w:rPr>
          <w:rFonts w:ascii="Arial Narrow" w:hAnsi="Arial Narrow"/>
          <w:b/>
          <w:iCs/>
          <w:sz w:val="20"/>
          <w:szCs w:val="18"/>
        </w:rPr>
        <w:fldChar w:fldCharType="begin"/>
      </w:r>
      <w:r w:rsidRPr="00F10893">
        <w:rPr>
          <w:rFonts w:ascii="Arial Narrow" w:hAnsi="Arial Narrow"/>
          <w:b/>
          <w:iCs/>
          <w:sz w:val="20"/>
          <w:szCs w:val="18"/>
        </w:rPr>
        <w:instrText xml:space="preserve"> SEQ Figure_MSAC. \* ARABIC </w:instrText>
      </w:r>
      <w:r w:rsidRPr="00F10893">
        <w:rPr>
          <w:rFonts w:ascii="Arial Narrow" w:hAnsi="Arial Narrow"/>
          <w:b/>
          <w:iCs/>
          <w:sz w:val="20"/>
          <w:szCs w:val="18"/>
        </w:rPr>
        <w:fldChar w:fldCharType="separate"/>
      </w:r>
      <w:r w:rsidR="00E25D0E">
        <w:rPr>
          <w:rFonts w:ascii="Arial Narrow" w:hAnsi="Arial Narrow"/>
          <w:b/>
          <w:iCs/>
          <w:noProof/>
          <w:sz w:val="20"/>
          <w:szCs w:val="18"/>
        </w:rPr>
        <w:t>1</w:t>
      </w:r>
      <w:r w:rsidRPr="00F10893">
        <w:rPr>
          <w:rFonts w:ascii="Arial Narrow" w:hAnsi="Arial Narrow"/>
          <w:b/>
          <w:iCs/>
          <w:sz w:val="20"/>
          <w:szCs w:val="18"/>
        </w:rPr>
        <w:fldChar w:fldCharType="end"/>
      </w:r>
      <w:bookmarkEnd w:id="19"/>
      <w:r w:rsidRPr="00F10893">
        <w:rPr>
          <w:rFonts w:ascii="Arial Narrow" w:hAnsi="Arial Narrow"/>
          <w:b/>
          <w:iCs/>
          <w:sz w:val="20"/>
          <w:szCs w:val="18"/>
        </w:rPr>
        <w:tab/>
        <w:t xml:space="preserve"> Diagram of ovarian cancer subtypes by histology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1"/>
        <w:gridCol w:w="709"/>
        <w:gridCol w:w="3401"/>
        <w:gridCol w:w="994"/>
        <w:gridCol w:w="1132"/>
        <w:gridCol w:w="799"/>
      </w:tblGrid>
      <w:tr w:rsidR="00E517FA" w:rsidRPr="00F10893" w14:paraId="4F7BB6B3" w14:textId="77777777">
        <w:trPr>
          <w:cnfStyle w:val="100000000000" w:firstRow="1" w:lastRow="0" w:firstColumn="0" w:lastColumn="0" w:oddVBand="0" w:evenVBand="0" w:oddHBand="0" w:evenHBand="0" w:firstRowFirstColumn="0" w:firstRowLastColumn="0" w:lastRowFirstColumn="0" w:lastRowLastColumn="0"/>
        </w:trPr>
        <w:tc>
          <w:tcPr>
            <w:tcW w:w="1099" w:type="pct"/>
            <w:vMerge w:val="restart"/>
            <w:tcBorders>
              <w:right w:val="nil"/>
            </w:tcBorders>
            <w:shd w:val="clear" w:color="auto" w:fill="92D050"/>
          </w:tcPr>
          <w:p w14:paraId="36A9D877"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Epithelial ovarian cancer (EOC)</w:t>
            </w:r>
          </w:p>
        </w:tc>
        <w:tc>
          <w:tcPr>
            <w:tcW w:w="393" w:type="pct"/>
            <w:vMerge w:val="restart"/>
            <w:tcBorders>
              <w:left w:val="nil"/>
            </w:tcBorders>
            <w:shd w:val="clear" w:color="auto" w:fill="92D050"/>
          </w:tcPr>
          <w:p w14:paraId="2CE22D5D"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85-90%</w:t>
            </w:r>
          </w:p>
        </w:tc>
        <w:tc>
          <w:tcPr>
            <w:tcW w:w="1886" w:type="pct"/>
            <w:vMerge w:val="restart"/>
            <w:tcBorders>
              <w:right w:val="nil"/>
            </w:tcBorders>
            <w:shd w:val="clear" w:color="auto" w:fill="92D050"/>
          </w:tcPr>
          <w:p w14:paraId="7BF32458"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Serous</w:t>
            </w:r>
          </w:p>
        </w:tc>
        <w:tc>
          <w:tcPr>
            <w:tcW w:w="551" w:type="pct"/>
            <w:vMerge w:val="restart"/>
            <w:tcBorders>
              <w:left w:val="nil"/>
            </w:tcBorders>
            <w:shd w:val="clear" w:color="auto" w:fill="92D050"/>
          </w:tcPr>
          <w:p w14:paraId="39C642D3"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70-75%</w:t>
            </w:r>
          </w:p>
        </w:tc>
        <w:tc>
          <w:tcPr>
            <w:tcW w:w="628" w:type="pct"/>
            <w:tcBorders>
              <w:bottom w:val="single" w:sz="4" w:space="0" w:color="auto"/>
              <w:right w:val="nil"/>
            </w:tcBorders>
            <w:shd w:val="clear" w:color="auto" w:fill="92D050"/>
          </w:tcPr>
          <w:p w14:paraId="05FE6010"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High grade</w:t>
            </w:r>
          </w:p>
        </w:tc>
        <w:tc>
          <w:tcPr>
            <w:tcW w:w="443" w:type="pct"/>
            <w:tcBorders>
              <w:left w:val="nil"/>
              <w:bottom w:val="single" w:sz="4" w:space="0" w:color="auto"/>
            </w:tcBorders>
            <w:shd w:val="clear" w:color="auto" w:fill="92D050"/>
          </w:tcPr>
          <w:p w14:paraId="0AB7FD43"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95-97%</w:t>
            </w:r>
          </w:p>
        </w:tc>
      </w:tr>
      <w:tr w:rsidR="00E517FA" w:rsidRPr="00F10893" w14:paraId="120A8F40" w14:textId="77777777">
        <w:tc>
          <w:tcPr>
            <w:tcW w:w="1099" w:type="pct"/>
            <w:vMerge/>
            <w:tcBorders>
              <w:right w:val="nil"/>
            </w:tcBorders>
            <w:shd w:val="clear" w:color="auto" w:fill="92D050"/>
          </w:tcPr>
          <w:p w14:paraId="581CD62E" w14:textId="77777777" w:rsidR="00E517FA" w:rsidRPr="00F10893" w:rsidRDefault="00E517FA" w:rsidP="00E12A0D">
            <w:pPr>
              <w:keepNext/>
              <w:keepLines/>
              <w:widowControl w:val="0"/>
              <w:spacing w:before="0"/>
              <w:jc w:val="left"/>
              <w:rPr>
                <w:rFonts w:ascii="Arial Narrow" w:hAnsi="Arial Narrow"/>
                <w:b/>
                <w:sz w:val="20"/>
                <w:lang w:val="en-AU"/>
              </w:rPr>
            </w:pPr>
          </w:p>
        </w:tc>
        <w:tc>
          <w:tcPr>
            <w:tcW w:w="393" w:type="pct"/>
            <w:vMerge/>
            <w:tcBorders>
              <w:left w:val="nil"/>
            </w:tcBorders>
            <w:shd w:val="clear" w:color="auto" w:fill="92D050"/>
          </w:tcPr>
          <w:p w14:paraId="655184CA" w14:textId="77777777" w:rsidR="00E517FA" w:rsidRPr="00F10893" w:rsidRDefault="00E517FA" w:rsidP="00E12A0D">
            <w:pPr>
              <w:keepNext/>
              <w:keepLines/>
              <w:widowControl w:val="0"/>
              <w:spacing w:before="0"/>
              <w:jc w:val="left"/>
              <w:rPr>
                <w:rFonts w:ascii="Arial Narrow" w:hAnsi="Arial Narrow"/>
                <w:b/>
                <w:sz w:val="20"/>
                <w:lang w:val="en-AU"/>
              </w:rPr>
            </w:pPr>
          </w:p>
        </w:tc>
        <w:tc>
          <w:tcPr>
            <w:tcW w:w="1886" w:type="pct"/>
            <w:vMerge/>
            <w:tcBorders>
              <w:bottom w:val="single" w:sz="4" w:space="0" w:color="auto"/>
              <w:right w:val="nil"/>
            </w:tcBorders>
            <w:shd w:val="clear" w:color="auto" w:fill="92D050"/>
          </w:tcPr>
          <w:p w14:paraId="036030AC" w14:textId="77777777" w:rsidR="00E517FA" w:rsidRPr="00F10893" w:rsidRDefault="00E517FA" w:rsidP="00E12A0D">
            <w:pPr>
              <w:keepNext/>
              <w:keepLines/>
              <w:widowControl w:val="0"/>
              <w:spacing w:before="0"/>
              <w:jc w:val="left"/>
              <w:rPr>
                <w:rFonts w:ascii="Arial Narrow" w:hAnsi="Arial Narrow"/>
                <w:sz w:val="20"/>
                <w:lang w:val="en-AU"/>
              </w:rPr>
            </w:pPr>
          </w:p>
        </w:tc>
        <w:tc>
          <w:tcPr>
            <w:tcW w:w="551" w:type="pct"/>
            <w:vMerge/>
            <w:tcBorders>
              <w:left w:val="nil"/>
              <w:bottom w:val="single" w:sz="4" w:space="0" w:color="auto"/>
            </w:tcBorders>
            <w:shd w:val="clear" w:color="auto" w:fill="92D050"/>
          </w:tcPr>
          <w:p w14:paraId="1C37F08E" w14:textId="77777777" w:rsidR="00E517FA" w:rsidRPr="00F10893" w:rsidRDefault="00E517FA" w:rsidP="00E12A0D">
            <w:pPr>
              <w:keepNext/>
              <w:keepLines/>
              <w:widowControl w:val="0"/>
              <w:spacing w:before="0"/>
              <w:jc w:val="left"/>
              <w:rPr>
                <w:rFonts w:ascii="Arial Narrow" w:hAnsi="Arial Narrow"/>
                <w:sz w:val="20"/>
                <w:lang w:val="en-AU"/>
              </w:rPr>
            </w:pPr>
          </w:p>
        </w:tc>
        <w:tc>
          <w:tcPr>
            <w:tcW w:w="628" w:type="pct"/>
            <w:tcBorders>
              <w:bottom w:val="single" w:sz="4" w:space="0" w:color="auto"/>
              <w:right w:val="nil"/>
            </w:tcBorders>
            <w:shd w:val="clear" w:color="auto" w:fill="E2EFD9" w:themeFill="accent6" w:themeFillTint="33"/>
          </w:tcPr>
          <w:p w14:paraId="291448A9"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 xml:space="preserve">Low grade </w:t>
            </w:r>
          </w:p>
        </w:tc>
        <w:tc>
          <w:tcPr>
            <w:tcW w:w="443" w:type="pct"/>
            <w:tcBorders>
              <w:left w:val="nil"/>
              <w:bottom w:val="single" w:sz="4" w:space="0" w:color="auto"/>
            </w:tcBorders>
            <w:shd w:val="clear" w:color="auto" w:fill="E2EFD9" w:themeFill="accent6" w:themeFillTint="33"/>
          </w:tcPr>
          <w:p w14:paraId="0A344367"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3-5%</w:t>
            </w:r>
          </w:p>
        </w:tc>
      </w:tr>
      <w:tr w:rsidR="00E517FA" w:rsidRPr="00F10893" w14:paraId="66DA7FAA" w14:textId="77777777">
        <w:tc>
          <w:tcPr>
            <w:tcW w:w="1099" w:type="pct"/>
            <w:vMerge/>
            <w:tcBorders>
              <w:bottom w:val="single" w:sz="4" w:space="0" w:color="auto"/>
              <w:right w:val="nil"/>
            </w:tcBorders>
            <w:shd w:val="clear" w:color="auto" w:fill="92D050"/>
          </w:tcPr>
          <w:p w14:paraId="3A265302" w14:textId="77777777" w:rsidR="00E517FA" w:rsidRPr="00F10893" w:rsidRDefault="00E517FA" w:rsidP="00E12A0D">
            <w:pPr>
              <w:keepNext/>
              <w:keepLines/>
              <w:widowControl w:val="0"/>
              <w:spacing w:before="0"/>
              <w:jc w:val="left"/>
              <w:rPr>
                <w:rFonts w:ascii="Arial Narrow" w:hAnsi="Arial Narrow"/>
                <w:sz w:val="20"/>
                <w:lang w:val="en-AU"/>
              </w:rPr>
            </w:pPr>
          </w:p>
        </w:tc>
        <w:tc>
          <w:tcPr>
            <w:tcW w:w="393" w:type="pct"/>
            <w:vMerge/>
            <w:tcBorders>
              <w:left w:val="nil"/>
              <w:bottom w:val="single" w:sz="4" w:space="0" w:color="auto"/>
            </w:tcBorders>
            <w:shd w:val="clear" w:color="auto" w:fill="92D050"/>
          </w:tcPr>
          <w:p w14:paraId="6B4B3583" w14:textId="77777777" w:rsidR="00E517FA" w:rsidRPr="00F10893" w:rsidRDefault="00E517FA" w:rsidP="00E12A0D">
            <w:pPr>
              <w:keepNext/>
              <w:keepLines/>
              <w:widowControl w:val="0"/>
              <w:spacing w:before="0"/>
              <w:jc w:val="left"/>
              <w:rPr>
                <w:rFonts w:ascii="Arial Narrow" w:hAnsi="Arial Narrow"/>
                <w:sz w:val="20"/>
                <w:lang w:val="en-AU"/>
              </w:rPr>
            </w:pPr>
          </w:p>
        </w:tc>
        <w:tc>
          <w:tcPr>
            <w:tcW w:w="1886" w:type="pct"/>
            <w:tcBorders>
              <w:bottom w:val="single" w:sz="4" w:space="0" w:color="auto"/>
              <w:right w:val="nil"/>
            </w:tcBorders>
            <w:shd w:val="clear" w:color="auto" w:fill="E2EFD9" w:themeFill="accent6" w:themeFillTint="33"/>
          </w:tcPr>
          <w:p w14:paraId="3F50CEDD" w14:textId="77777777" w:rsidR="00E517FA" w:rsidRPr="00F10893" w:rsidRDefault="00E517FA" w:rsidP="00E12A0D">
            <w:pPr>
              <w:keepNext/>
              <w:keepLines/>
              <w:widowControl w:val="0"/>
              <w:spacing w:before="0"/>
              <w:jc w:val="left"/>
              <w:rPr>
                <w:rFonts w:ascii="Arial Narrow" w:hAnsi="Arial Narrow"/>
                <w:color w:val="404040" w:themeColor="text1" w:themeTint="BF"/>
                <w:sz w:val="20"/>
                <w:szCs w:val="20"/>
                <w:lang w:val="en-AU"/>
              </w:rPr>
            </w:pPr>
            <w:r w:rsidRPr="00F10893">
              <w:rPr>
                <w:rFonts w:ascii="Arial Narrow" w:hAnsi="Arial Narrow"/>
                <w:sz w:val="20"/>
                <w:szCs w:val="20"/>
                <w:lang w:val="en-AU"/>
              </w:rPr>
              <w:t>Clear cell carcinoma (</w:t>
            </w:r>
            <w:r w:rsidRPr="00F10893">
              <w:rPr>
                <w:rFonts w:ascii="Arial Narrow" w:hAnsi="Arial Narrow"/>
                <w:color w:val="404040" w:themeColor="text1" w:themeTint="BF"/>
                <w:sz w:val="20"/>
                <w:szCs w:val="20"/>
                <w:lang w:val="en-AU"/>
              </w:rPr>
              <w:t>5-12%)</w:t>
            </w:r>
          </w:p>
          <w:p w14:paraId="1A1CB9E5" w14:textId="77777777" w:rsidR="00E517FA" w:rsidRPr="00F10893" w:rsidRDefault="00E517FA" w:rsidP="00E12A0D">
            <w:pPr>
              <w:keepNext/>
              <w:keepLines/>
              <w:widowControl w:val="0"/>
              <w:spacing w:before="0"/>
              <w:jc w:val="left"/>
              <w:rPr>
                <w:rFonts w:ascii="Arial Narrow" w:hAnsi="Arial Narrow"/>
                <w:color w:val="404040" w:themeColor="text1" w:themeTint="BF"/>
                <w:sz w:val="20"/>
                <w:szCs w:val="20"/>
                <w:lang w:val="en-AU"/>
              </w:rPr>
            </w:pPr>
            <w:r w:rsidRPr="00F10893">
              <w:rPr>
                <w:rFonts w:ascii="Arial Narrow" w:hAnsi="Arial Narrow"/>
                <w:sz w:val="20"/>
                <w:szCs w:val="20"/>
                <w:lang w:val="en-AU"/>
              </w:rPr>
              <w:t>Endometr</w:t>
            </w:r>
            <w:r w:rsidRPr="00F10893">
              <w:rPr>
                <w:rFonts w:ascii="Arial Narrow" w:hAnsi="Arial Narrow"/>
                <w:color w:val="404040" w:themeColor="text1" w:themeTint="BF"/>
                <w:sz w:val="20"/>
                <w:szCs w:val="20"/>
                <w:lang w:val="en-AU"/>
              </w:rPr>
              <w:t>ioid (11-20%)</w:t>
            </w:r>
          </w:p>
          <w:p w14:paraId="5B145637" w14:textId="77777777" w:rsidR="00E517FA" w:rsidRPr="00F10893" w:rsidRDefault="00E517FA" w:rsidP="00E12A0D">
            <w:pPr>
              <w:keepNext/>
              <w:keepLines/>
              <w:widowControl w:val="0"/>
              <w:spacing w:before="0"/>
              <w:jc w:val="left"/>
              <w:rPr>
                <w:rFonts w:ascii="Arial Narrow" w:hAnsi="Arial Narrow"/>
                <w:color w:val="404040" w:themeColor="text1" w:themeTint="BF"/>
                <w:sz w:val="20"/>
                <w:szCs w:val="20"/>
                <w:lang w:val="en-AU"/>
              </w:rPr>
            </w:pPr>
            <w:r w:rsidRPr="00F10893">
              <w:rPr>
                <w:rFonts w:ascii="Arial Narrow" w:hAnsi="Arial Narrow"/>
                <w:sz w:val="20"/>
                <w:szCs w:val="20"/>
                <w:lang w:val="en-AU"/>
              </w:rPr>
              <w:t>Mucinous (3%)</w:t>
            </w:r>
          </w:p>
          <w:p w14:paraId="363C5585"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szCs w:val="20"/>
                <w:lang w:val="en-AU"/>
              </w:rPr>
              <w:t>Others (mixed; undifferentiated &lt;5%)</w:t>
            </w:r>
          </w:p>
        </w:tc>
        <w:tc>
          <w:tcPr>
            <w:tcW w:w="551" w:type="pct"/>
            <w:tcBorders>
              <w:left w:val="nil"/>
              <w:bottom w:val="single" w:sz="4" w:space="0" w:color="auto"/>
              <w:right w:val="nil"/>
            </w:tcBorders>
            <w:shd w:val="clear" w:color="auto" w:fill="E2EFD9" w:themeFill="accent6" w:themeFillTint="33"/>
          </w:tcPr>
          <w:p w14:paraId="43A9AB7A"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25-30%</w:t>
            </w:r>
          </w:p>
        </w:tc>
        <w:tc>
          <w:tcPr>
            <w:tcW w:w="628" w:type="pct"/>
            <w:tcBorders>
              <w:left w:val="nil"/>
              <w:bottom w:val="single" w:sz="4" w:space="0" w:color="auto"/>
              <w:right w:val="nil"/>
            </w:tcBorders>
            <w:shd w:val="clear" w:color="auto" w:fill="E2EFD9" w:themeFill="accent6" w:themeFillTint="33"/>
          </w:tcPr>
          <w:p w14:paraId="5F245131" w14:textId="77777777" w:rsidR="00E517FA" w:rsidRPr="00F10893" w:rsidRDefault="00E517FA" w:rsidP="00E12A0D">
            <w:pPr>
              <w:keepNext/>
              <w:keepLines/>
              <w:widowControl w:val="0"/>
              <w:spacing w:before="0"/>
              <w:jc w:val="left"/>
              <w:rPr>
                <w:rFonts w:ascii="Arial Narrow" w:hAnsi="Arial Narrow"/>
                <w:sz w:val="20"/>
                <w:lang w:val="en-AU"/>
              </w:rPr>
            </w:pPr>
          </w:p>
        </w:tc>
        <w:tc>
          <w:tcPr>
            <w:tcW w:w="443" w:type="pct"/>
            <w:tcBorders>
              <w:left w:val="nil"/>
              <w:bottom w:val="single" w:sz="4" w:space="0" w:color="auto"/>
            </w:tcBorders>
            <w:shd w:val="clear" w:color="auto" w:fill="E2EFD9" w:themeFill="accent6" w:themeFillTint="33"/>
          </w:tcPr>
          <w:p w14:paraId="0F4BB7E5" w14:textId="77777777" w:rsidR="00E517FA" w:rsidRPr="00F10893" w:rsidRDefault="00E517FA" w:rsidP="00E12A0D">
            <w:pPr>
              <w:keepNext/>
              <w:keepLines/>
              <w:widowControl w:val="0"/>
              <w:spacing w:before="0"/>
              <w:jc w:val="left"/>
              <w:rPr>
                <w:rFonts w:ascii="Arial Narrow" w:hAnsi="Arial Narrow"/>
                <w:sz w:val="20"/>
                <w:lang w:val="en-AU"/>
              </w:rPr>
            </w:pPr>
          </w:p>
        </w:tc>
      </w:tr>
      <w:tr w:rsidR="00E517FA" w:rsidRPr="00F10893" w14:paraId="6FC26B6E" w14:textId="77777777">
        <w:tc>
          <w:tcPr>
            <w:tcW w:w="1099" w:type="pct"/>
            <w:tcBorders>
              <w:right w:val="nil"/>
            </w:tcBorders>
            <w:shd w:val="clear" w:color="auto" w:fill="E2EFD9" w:themeFill="accent6" w:themeFillTint="33"/>
          </w:tcPr>
          <w:p w14:paraId="676094CA"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Non-epithelial OC (stromal or germ cell)</w:t>
            </w:r>
          </w:p>
        </w:tc>
        <w:tc>
          <w:tcPr>
            <w:tcW w:w="393" w:type="pct"/>
            <w:tcBorders>
              <w:left w:val="nil"/>
              <w:right w:val="nil"/>
            </w:tcBorders>
            <w:shd w:val="clear" w:color="auto" w:fill="E2EFD9" w:themeFill="accent6" w:themeFillTint="33"/>
          </w:tcPr>
          <w:p w14:paraId="7F390922" w14:textId="77777777" w:rsidR="00E517FA" w:rsidRPr="00F10893" w:rsidRDefault="00E517FA" w:rsidP="00E12A0D">
            <w:pPr>
              <w:keepNext/>
              <w:keepLines/>
              <w:widowControl w:val="0"/>
              <w:spacing w:before="0"/>
              <w:jc w:val="left"/>
              <w:rPr>
                <w:rFonts w:ascii="Arial Narrow" w:hAnsi="Arial Narrow"/>
                <w:sz w:val="20"/>
                <w:lang w:val="en-AU"/>
              </w:rPr>
            </w:pPr>
            <w:r w:rsidRPr="00F10893">
              <w:rPr>
                <w:rFonts w:ascii="Arial Narrow" w:hAnsi="Arial Narrow"/>
                <w:sz w:val="20"/>
                <w:lang w:val="en-AU"/>
              </w:rPr>
              <w:t>10-15%</w:t>
            </w:r>
          </w:p>
        </w:tc>
        <w:tc>
          <w:tcPr>
            <w:tcW w:w="1886" w:type="pct"/>
            <w:tcBorders>
              <w:left w:val="nil"/>
              <w:right w:val="nil"/>
            </w:tcBorders>
            <w:shd w:val="clear" w:color="auto" w:fill="E2EFD9" w:themeFill="accent6" w:themeFillTint="33"/>
          </w:tcPr>
          <w:p w14:paraId="4A2051F1" w14:textId="77777777" w:rsidR="00E517FA" w:rsidRPr="00F10893" w:rsidRDefault="00E517FA" w:rsidP="00E12A0D">
            <w:pPr>
              <w:keepNext/>
              <w:keepLines/>
              <w:widowControl w:val="0"/>
              <w:spacing w:before="0"/>
              <w:jc w:val="left"/>
              <w:rPr>
                <w:rFonts w:ascii="Arial Narrow" w:hAnsi="Arial Narrow"/>
                <w:sz w:val="20"/>
                <w:lang w:val="en-AU"/>
              </w:rPr>
            </w:pPr>
          </w:p>
        </w:tc>
        <w:tc>
          <w:tcPr>
            <w:tcW w:w="551" w:type="pct"/>
            <w:tcBorders>
              <w:left w:val="nil"/>
              <w:right w:val="nil"/>
            </w:tcBorders>
            <w:shd w:val="clear" w:color="auto" w:fill="E2EFD9" w:themeFill="accent6" w:themeFillTint="33"/>
          </w:tcPr>
          <w:p w14:paraId="54F4564D" w14:textId="77777777" w:rsidR="00E517FA" w:rsidRPr="00F10893" w:rsidRDefault="00E517FA" w:rsidP="00E12A0D">
            <w:pPr>
              <w:keepNext/>
              <w:keepLines/>
              <w:widowControl w:val="0"/>
              <w:spacing w:before="0"/>
              <w:jc w:val="left"/>
              <w:rPr>
                <w:rFonts w:ascii="Arial Narrow" w:hAnsi="Arial Narrow"/>
                <w:sz w:val="20"/>
                <w:lang w:val="en-AU"/>
              </w:rPr>
            </w:pPr>
          </w:p>
        </w:tc>
        <w:tc>
          <w:tcPr>
            <w:tcW w:w="628" w:type="pct"/>
            <w:tcBorders>
              <w:left w:val="nil"/>
              <w:right w:val="nil"/>
            </w:tcBorders>
            <w:shd w:val="clear" w:color="auto" w:fill="E2EFD9" w:themeFill="accent6" w:themeFillTint="33"/>
          </w:tcPr>
          <w:p w14:paraId="3C9FBA50" w14:textId="77777777" w:rsidR="00E517FA" w:rsidRPr="00F10893" w:rsidRDefault="00E517FA" w:rsidP="00E12A0D">
            <w:pPr>
              <w:keepNext/>
              <w:keepLines/>
              <w:widowControl w:val="0"/>
              <w:spacing w:before="0"/>
              <w:jc w:val="left"/>
              <w:rPr>
                <w:rFonts w:ascii="Arial Narrow" w:hAnsi="Arial Narrow"/>
                <w:sz w:val="20"/>
                <w:lang w:val="en-AU"/>
              </w:rPr>
            </w:pPr>
          </w:p>
        </w:tc>
        <w:tc>
          <w:tcPr>
            <w:tcW w:w="443" w:type="pct"/>
            <w:tcBorders>
              <w:left w:val="nil"/>
            </w:tcBorders>
            <w:shd w:val="clear" w:color="auto" w:fill="E2EFD9" w:themeFill="accent6" w:themeFillTint="33"/>
          </w:tcPr>
          <w:p w14:paraId="56BB6FF2" w14:textId="77777777" w:rsidR="00E517FA" w:rsidRPr="00F10893" w:rsidRDefault="00E517FA" w:rsidP="00E12A0D">
            <w:pPr>
              <w:keepNext/>
              <w:keepLines/>
              <w:widowControl w:val="0"/>
              <w:spacing w:before="0"/>
              <w:jc w:val="left"/>
              <w:rPr>
                <w:rFonts w:ascii="Arial Narrow" w:hAnsi="Arial Narrow"/>
                <w:sz w:val="20"/>
                <w:lang w:val="en-AU"/>
              </w:rPr>
            </w:pPr>
          </w:p>
        </w:tc>
      </w:tr>
    </w:tbl>
    <w:p w14:paraId="10A056F8" w14:textId="77777777" w:rsidR="00E517FA" w:rsidRPr="00F10893" w:rsidRDefault="00E517FA" w:rsidP="00E12A0D">
      <w:pPr>
        <w:keepNext/>
        <w:keepLines/>
        <w:widowControl w:val="0"/>
        <w:spacing w:before="0" w:after="24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Developed during the evaluation from Section 1.1.3.1. Disease Background (p5-7 of the submission); Redi et al, (2017); González-Martín et al, (2023); Bergstrom et al, (2017) (cited in the MIRASOL CSR); Fleury et al, (2015); Atallah et al, (2023) (cited in the 1787 PICO Confirmation).</w:t>
      </w:r>
    </w:p>
    <w:p w14:paraId="7AB9FAA8" w14:textId="16A9E4E1" w:rsidR="008764D5" w:rsidRPr="00F10893" w:rsidRDefault="00E517FA" w:rsidP="00E517FA">
      <w:pPr>
        <w:widowControl w:val="0"/>
        <w:spacing w:before="0" w:after="240"/>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EOC= epithelial ovarian cancer; OC= ovarian cancer. </w:t>
      </w:r>
    </w:p>
    <w:p w14:paraId="7DFBD8D7" w14:textId="77777777" w:rsidR="00E517FA" w:rsidRPr="00214750" w:rsidRDefault="00E517FA" w:rsidP="00E517FA">
      <w:pPr>
        <w:rPr>
          <w:rFonts w:ascii="Franklin Gothic Book" w:hAnsi="Franklin Gothic Book" w:cs="Calibri"/>
          <w:sz w:val="22"/>
        </w:rPr>
      </w:pPr>
      <w:r w:rsidRPr="00214750">
        <w:rPr>
          <w:rFonts w:ascii="Franklin Gothic Book" w:hAnsi="Franklin Gothic Book" w:cs="Calibri"/>
          <w:sz w:val="22"/>
        </w:rPr>
        <w:t xml:space="preserve">The PICO Confirmation noted feedback from the sponsor’s clinical experts that testing at primary diagnosis should include patients with high-grade endometrioid, or undifferentiated EOC as these histological subtypes can be difficult to distinguish from high-grade serous EOC. </w:t>
      </w:r>
    </w:p>
    <w:p w14:paraId="41BAB21B" w14:textId="73EF3E27"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The proposed test population was a single population of patients with high-grade epithelial ovarian, fallopian tube or primary peritoneal carcinoma cancer. The commentary noted that this differed from the two test populations recommended in the ratified PICO Confirmation, either testing a</w:t>
      </w:r>
      <w:r w:rsidR="00960091" w:rsidRPr="00214750">
        <w:rPr>
          <w:rFonts w:ascii="Franklin Gothic Book" w:hAnsi="Franklin Gothic Book"/>
          <w:sz w:val="22"/>
          <w:szCs w:val="20"/>
        </w:rPr>
        <w:t>t</w:t>
      </w:r>
      <w:r w:rsidRPr="00214750">
        <w:rPr>
          <w:rFonts w:ascii="Franklin Gothic Book" w:hAnsi="Franklin Gothic Book"/>
          <w:sz w:val="22"/>
          <w:szCs w:val="20"/>
        </w:rPr>
        <w:t xml:space="preserve"> primary diagnosis or testing on diagnosis of platinum resistance</w:t>
      </w:r>
      <w:r w:rsidRPr="00214750">
        <w:rPr>
          <w:rFonts w:ascii="Franklin Gothic Book" w:hAnsi="Franklin Gothic Book" w:cstheme="minorHAnsi"/>
          <w:i/>
          <w:iCs/>
          <w:sz w:val="22"/>
          <w:szCs w:val="20"/>
        </w:rPr>
        <w:t>.</w:t>
      </w:r>
      <w:r w:rsidRPr="00214750">
        <w:rPr>
          <w:rFonts w:ascii="Franklin Gothic Book" w:hAnsi="Franklin Gothic Book" w:cstheme="minorHAnsi"/>
          <w:sz w:val="22"/>
          <w:szCs w:val="20"/>
        </w:rPr>
        <w:t xml:space="preserve"> </w:t>
      </w:r>
      <w:r w:rsidRPr="00214750">
        <w:rPr>
          <w:rFonts w:ascii="Franklin Gothic Book" w:hAnsi="Franklin Gothic Book"/>
          <w:sz w:val="22"/>
          <w:szCs w:val="20"/>
        </w:rPr>
        <w:t xml:space="preserve">The submission’s proposed treatment algorithm and MBS items however did identify the two separate test populations. The submission’s test population </w:t>
      </w:r>
      <w:r w:rsidR="007F1361" w:rsidRPr="00214750">
        <w:rPr>
          <w:rFonts w:ascii="Franklin Gothic Book" w:hAnsi="Franklin Gothic Book"/>
          <w:sz w:val="22"/>
          <w:szCs w:val="20"/>
        </w:rPr>
        <w:t xml:space="preserve">which was indicated in </w:t>
      </w:r>
      <w:r w:rsidRPr="00214750">
        <w:rPr>
          <w:rFonts w:ascii="Franklin Gothic Book" w:hAnsi="Franklin Gothic Book"/>
          <w:sz w:val="22"/>
          <w:szCs w:val="20"/>
        </w:rPr>
        <w:t>PICO table, management algorithm and MBS item descriptors omitted the following criteria specified by the PASC (Table 1, 1787 ratified PICO Confirmation):</w:t>
      </w:r>
    </w:p>
    <w:p w14:paraId="324F9558" w14:textId="77777777" w:rsidR="00E517FA" w:rsidRPr="00214750" w:rsidRDefault="00E517FA" w:rsidP="00AE70BD">
      <w:pPr>
        <w:numPr>
          <w:ilvl w:val="0"/>
          <w:numId w:val="13"/>
        </w:numPr>
        <w:ind w:left="714" w:hanging="357"/>
        <w:contextualSpacing/>
        <w:rPr>
          <w:rFonts w:ascii="Franklin Gothic Book" w:hAnsi="Franklin Gothic Book"/>
          <w:color w:val="000000" w:themeColor="text1"/>
          <w:sz w:val="22"/>
          <w:szCs w:val="20"/>
        </w:rPr>
      </w:pPr>
      <w:r w:rsidRPr="00214750">
        <w:rPr>
          <w:rFonts w:ascii="Franklin Gothic Book" w:hAnsi="Franklin Gothic Book"/>
          <w:color w:val="000000" w:themeColor="text1"/>
          <w:sz w:val="22"/>
          <w:szCs w:val="20"/>
        </w:rPr>
        <w:t>For testing at primary diagnosis only: additional histological subtypes “high grade endometrioid or undifferentiated EOC”.</w:t>
      </w:r>
    </w:p>
    <w:p w14:paraId="0A89693D" w14:textId="0462A99E" w:rsidR="0079013D" w:rsidRPr="00214750" w:rsidRDefault="00E517FA" w:rsidP="00AE70BD">
      <w:pPr>
        <w:numPr>
          <w:ilvl w:val="0"/>
          <w:numId w:val="13"/>
        </w:numPr>
        <w:ind w:left="714" w:hanging="357"/>
        <w:contextualSpacing/>
        <w:rPr>
          <w:rFonts w:ascii="Franklin Gothic Book" w:hAnsi="Franklin Gothic Book"/>
          <w:color w:val="000000" w:themeColor="text1"/>
          <w:sz w:val="22"/>
          <w:szCs w:val="20"/>
        </w:rPr>
      </w:pPr>
      <w:r w:rsidRPr="00214750">
        <w:rPr>
          <w:rFonts w:ascii="Franklin Gothic Book" w:hAnsi="Franklin Gothic Book"/>
          <w:color w:val="000000" w:themeColor="text1"/>
          <w:sz w:val="22"/>
          <w:szCs w:val="20"/>
        </w:rPr>
        <w:t xml:space="preserve">For testing at platinum resistance (MBS items) or both populations (management algorithm): A limitation to serous histology. </w:t>
      </w:r>
    </w:p>
    <w:p w14:paraId="3B1B53E7" w14:textId="6A8FB11C" w:rsidR="00E517FA" w:rsidRPr="009D5A4A" w:rsidRDefault="00C47457" w:rsidP="00E517FA">
      <w:pPr>
        <w:rPr>
          <w:rFonts w:ascii="Franklin Gothic Book" w:hAnsi="Franklin Gothic Book"/>
          <w:sz w:val="22"/>
          <w:szCs w:val="20"/>
        </w:rPr>
      </w:pPr>
      <w:r w:rsidRPr="009D5A4A">
        <w:rPr>
          <w:rFonts w:ascii="Franklin Gothic Book" w:hAnsi="Franklin Gothic Book"/>
          <w:sz w:val="22"/>
          <w:szCs w:val="20"/>
        </w:rPr>
        <w:t xml:space="preserve">The Commentary noted </w:t>
      </w:r>
      <w:r w:rsidR="00B775F2" w:rsidRPr="009D5A4A">
        <w:rPr>
          <w:rFonts w:ascii="Franklin Gothic Book" w:hAnsi="Franklin Gothic Book"/>
          <w:sz w:val="22"/>
          <w:szCs w:val="20"/>
        </w:rPr>
        <w:t>d</w:t>
      </w:r>
      <w:r w:rsidR="00E517FA" w:rsidRPr="009D5A4A">
        <w:rPr>
          <w:rFonts w:ascii="Franklin Gothic Book" w:hAnsi="Franklin Gothic Book"/>
          <w:sz w:val="22"/>
          <w:szCs w:val="20"/>
        </w:rPr>
        <w:t>ifferences between the proposed test population(s) in the submission PICO (</w:t>
      </w:r>
      <w:r w:rsidR="00840EA4" w:rsidRPr="009D5A4A">
        <w:rPr>
          <w:rFonts w:ascii="Franklin Gothic Book" w:hAnsi="Franklin Gothic Book"/>
          <w:sz w:val="22"/>
          <w:szCs w:val="20"/>
        </w:rPr>
        <w:fldChar w:fldCharType="begin"/>
      </w:r>
      <w:r w:rsidR="00840EA4" w:rsidRPr="009D5A4A">
        <w:rPr>
          <w:rFonts w:ascii="Franklin Gothic Book" w:hAnsi="Franklin Gothic Book"/>
          <w:sz w:val="22"/>
          <w:szCs w:val="20"/>
        </w:rPr>
        <w:instrText xml:space="preserve"> REF _Ref198565693 \h </w:instrText>
      </w:r>
      <w:r w:rsidR="009D5A4A">
        <w:rPr>
          <w:rFonts w:ascii="Franklin Gothic Book" w:hAnsi="Franklin Gothic Book"/>
          <w:sz w:val="22"/>
          <w:szCs w:val="20"/>
        </w:rPr>
        <w:instrText xml:space="preserve"> \* MERGEFORMAT </w:instrText>
      </w:r>
      <w:r w:rsidR="00840EA4" w:rsidRPr="009D5A4A">
        <w:rPr>
          <w:rFonts w:ascii="Franklin Gothic Book" w:hAnsi="Franklin Gothic Book"/>
          <w:sz w:val="22"/>
          <w:szCs w:val="20"/>
        </w:rPr>
      </w:r>
      <w:r w:rsidR="00840EA4" w:rsidRPr="009D5A4A">
        <w:rPr>
          <w:rFonts w:ascii="Franklin Gothic Book" w:hAnsi="Franklin Gothic Book"/>
          <w:sz w:val="22"/>
          <w:szCs w:val="20"/>
        </w:rPr>
        <w:fldChar w:fldCharType="separate"/>
      </w:r>
      <w:r w:rsidR="00840EA4" w:rsidRPr="009D5A4A">
        <w:rPr>
          <w:rFonts w:ascii="Franklin Gothic Book" w:hAnsi="Franklin Gothic Book"/>
          <w:sz w:val="22"/>
          <w:szCs w:val="20"/>
        </w:rPr>
        <w:t>Table 5</w:t>
      </w:r>
      <w:r w:rsidR="00840EA4" w:rsidRPr="009D5A4A">
        <w:rPr>
          <w:rFonts w:ascii="Franklin Gothic Book" w:hAnsi="Franklin Gothic Book"/>
          <w:sz w:val="22"/>
          <w:szCs w:val="20"/>
        </w:rPr>
        <w:fldChar w:fldCharType="end"/>
      </w:r>
      <w:r w:rsidR="002B678B" w:rsidRPr="009D5A4A">
        <w:rPr>
          <w:rFonts w:ascii="Franklin Gothic Book" w:hAnsi="Franklin Gothic Book"/>
          <w:sz w:val="22"/>
          <w:szCs w:val="20"/>
        </w:rPr>
        <w:fldChar w:fldCharType="begin"/>
      </w:r>
      <w:r w:rsidR="002B678B" w:rsidRPr="009D5A4A">
        <w:rPr>
          <w:rFonts w:ascii="Franklin Gothic Book" w:hAnsi="Franklin Gothic Book"/>
          <w:sz w:val="22"/>
          <w:szCs w:val="20"/>
        </w:rPr>
        <w:instrText xml:space="preserve"> REF _Ref198565693 \h  \* MERGEFORMAT </w:instrText>
      </w:r>
      <w:r w:rsidR="002B678B" w:rsidRPr="009D5A4A">
        <w:rPr>
          <w:rFonts w:ascii="Franklin Gothic Book" w:hAnsi="Franklin Gothic Book"/>
          <w:sz w:val="22"/>
          <w:szCs w:val="20"/>
        </w:rPr>
      </w:r>
      <w:r w:rsidR="002B678B" w:rsidRPr="009D5A4A">
        <w:rPr>
          <w:rFonts w:ascii="Franklin Gothic Book" w:hAnsi="Franklin Gothic Book"/>
          <w:sz w:val="22"/>
          <w:szCs w:val="20"/>
        </w:rPr>
        <w:fldChar w:fldCharType="separate"/>
      </w:r>
      <w:r w:rsidR="002B678B" w:rsidRPr="009D5A4A">
        <w:rPr>
          <w:rFonts w:ascii="Franklin Gothic Book" w:hAnsi="Franklin Gothic Book"/>
          <w:sz w:val="22"/>
          <w:szCs w:val="20"/>
        </w:rPr>
        <w:fldChar w:fldCharType="end"/>
      </w:r>
      <w:r w:rsidR="00E517FA" w:rsidRPr="009D5A4A">
        <w:rPr>
          <w:rFonts w:ascii="Franklin Gothic Book" w:hAnsi="Franklin Gothic Book"/>
          <w:sz w:val="22"/>
          <w:szCs w:val="20"/>
        </w:rPr>
        <w:t xml:space="preserve">), the proposed management algorithm, and the MBS items were not explained by the submission and could not be resolved. </w:t>
      </w:r>
    </w:p>
    <w:p w14:paraId="226E8941" w14:textId="7A1F26C5"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lastRenderedPageBreak/>
        <w:t>The biomarker applicable to this submission is the FRα protein. The scoring criteria for the proposed IHC test and its application to determine patient eligibility for MIRV through the PBS are defined in</w:t>
      </w:r>
      <w:r w:rsidRPr="00214750" w:rsidDel="00840EA4">
        <w:rPr>
          <w:rFonts w:ascii="Franklin Gothic Book" w:hAnsi="Franklin Gothic Book"/>
          <w:sz w:val="22"/>
          <w:szCs w:val="20"/>
        </w:rPr>
        <w:t xml:space="preserve"> </w:t>
      </w:r>
      <w:r w:rsidR="002F02B7" w:rsidRPr="00D81649">
        <w:rPr>
          <w:rFonts w:ascii="Franklin Gothic Book" w:hAnsi="Franklin Gothic Book"/>
          <w:sz w:val="22"/>
        </w:rPr>
        <w:fldChar w:fldCharType="begin"/>
      </w:r>
      <w:r w:rsidR="002F02B7" w:rsidRPr="00D81649">
        <w:rPr>
          <w:rFonts w:ascii="Franklin Gothic Book" w:hAnsi="Franklin Gothic Book"/>
          <w:sz w:val="22"/>
        </w:rPr>
        <w:instrText xml:space="preserve"> REF _Ref198565886 \h </w:instrText>
      </w:r>
      <w:r w:rsidR="00D81649" w:rsidRPr="00D81649">
        <w:rPr>
          <w:rFonts w:ascii="Franklin Gothic Book" w:hAnsi="Franklin Gothic Book"/>
          <w:sz w:val="22"/>
        </w:rPr>
        <w:instrText xml:space="preserve"> \* MERGEFORMAT </w:instrText>
      </w:r>
      <w:r w:rsidR="002F02B7" w:rsidRPr="00D81649">
        <w:rPr>
          <w:rFonts w:ascii="Franklin Gothic Book" w:hAnsi="Franklin Gothic Book"/>
          <w:sz w:val="22"/>
        </w:rPr>
      </w:r>
      <w:r w:rsidR="002F02B7" w:rsidRPr="00D81649">
        <w:rPr>
          <w:rFonts w:ascii="Franklin Gothic Book" w:hAnsi="Franklin Gothic Book"/>
          <w:sz w:val="22"/>
        </w:rPr>
        <w:fldChar w:fldCharType="separate"/>
      </w:r>
      <w:r w:rsidR="002F02B7" w:rsidRPr="00D81649">
        <w:rPr>
          <w:rFonts w:ascii="Franklin Gothic Book" w:hAnsi="Franklin Gothic Book"/>
          <w:sz w:val="22"/>
        </w:rPr>
        <w:t xml:space="preserve">Table </w:t>
      </w:r>
      <w:r w:rsidR="002F02B7" w:rsidRPr="00D81649">
        <w:rPr>
          <w:rFonts w:ascii="Franklin Gothic Book" w:hAnsi="Franklin Gothic Book"/>
          <w:noProof/>
          <w:sz w:val="22"/>
        </w:rPr>
        <w:t>6</w:t>
      </w:r>
      <w:r w:rsidR="002F02B7" w:rsidRPr="00D81649">
        <w:rPr>
          <w:rFonts w:ascii="Franklin Gothic Book" w:hAnsi="Franklin Gothic Book"/>
          <w:sz w:val="22"/>
        </w:rPr>
        <w:fldChar w:fldCharType="end"/>
      </w:r>
      <w:r w:rsidR="00216A53" w:rsidRPr="00214750" w:rsidDel="00840EA4">
        <w:rPr>
          <w:rFonts w:ascii="Franklin Gothic Book" w:hAnsi="Franklin Gothic Book"/>
          <w:sz w:val="22"/>
          <w:szCs w:val="20"/>
        </w:rPr>
        <w:fldChar w:fldCharType="begin"/>
      </w:r>
      <w:r w:rsidR="00216A53" w:rsidRPr="00214750" w:rsidDel="00840EA4">
        <w:rPr>
          <w:rFonts w:ascii="Franklin Gothic Book" w:hAnsi="Franklin Gothic Book"/>
          <w:sz w:val="22"/>
          <w:szCs w:val="20"/>
        </w:rPr>
        <w:fldChar w:fldCharType="separate"/>
      </w:r>
      <w:r w:rsidR="0068665D" w:rsidRPr="0068665D" w:rsidDel="00840EA4">
        <w:rPr>
          <w:rFonts w:ascii="Franklin Gothic Book" w:hAnsi="Franklin Gothic Book"/>
          <w:sz w:val="22"/>
          <w:szCs w:val="20"/>
        </w:rPr>
        <w:t xml:space="preserve">Table </w:t>
      </w:r>
      <w:r w:rsidR="00840EA4" w:rsidRPr="009D5A4A">
        <w:rPr>
          <w:rFonts w:ascii="Franklin Gothic Book" w:hAnsi="Franklin Gothic Book"/>
          <w:sz w:val="22"/>
          <w:szCs w:val="20"/>
        </w:rPr>
        <w:t>6</w:t>
      </w:r>
      <w:r w:rsidR="00216A53" w:rsidRPr="00214750" w:rsidDel="00840EA4">
        <w:rPr>
          <w:rFonts w:ascii="Franklin Gothic Book" w:hAnsi="Franklin Gothic Book"/>
          <w:sz w:val="22"/>
          <w:szCs w:val="20"/>
        </w:rPr>
        <w:fldChar w:fldCharType="end"/>
      </w:r>
      <w:r w:rsidRPr="00214750">
        <w:rPr>
          <w:rFonts w:ascii="Franklin Gothic Book" w:hAnsi="Franklin Gothic Book"/>
          <w:sz w:val="22"/>
          <w:szCs w:val="20"/>
        </w:rPr>
        <w:t>.</w:t>
      </w:r>
    </w:p>
    <w:p w14:paraId="05944F45" w14:textId="6BEC2BCD" w:rsidR="00E517FA" w:rsidRPr="00F10893" w:rsidRDefault="005E37CF" w:rsidP="00BC0C60">
      <w:pPr>
        <w:pStyle w:val="Caption"/>
      </w:pPr>
      <w:bookmarkStart w:id="20" w:name="_Ref198565886"/>
      <w:r>
        <w:t>Table</w:t>
      </w:r>
      <w:r w:rsidR="00216A53" w:rsidRPr="00F10893">
        <w:t xml:space="preserve"> </w:t>
      </w:r>
      <w:r>
        <w:fldChar w:fldCharType="begin"/>
      </w:r>
      <w:r>
        <w:instrText xml:space="preserve"> SEQ Table \* ARABIC </w:instrText>
      </w:r>
      <w:r>
        <w:fldChar w:fldCharType="separate"/>
      </w:r>
      <w:r>
        <w:rPr>
          <w:noProof/>
        </w:rPr>
        <w:t>6</w:t>
      </w:r>
      <w:r>
        <w:rPr>
          <w:noProof/>
        </w:rPr>
        <w:fldChar w:fldCharType="end"/>
      </w:r>
      <w:bookmarkEnd w:id="20"/>
      <w:r w:rsidR="00216A53" w:rsidRPr="00F10893">
        <w:t xml:space="preserve">: </w:t>
      </w:r>
      <w:r w:rsidR="00E517FA" w:rsidRPr="00F10893">
        <w:t>FRα Expression Scoring Criteria (Ventana FOLR1 Dx)</w:t>
      </w:r>
    </w:p>
    <w:tbl>
      <w:tblPr>
        <w:tblStyle w:val="TableGrid"/>
        <w:tblW w:w="0" w:type="auto"/>
        <w:tblLook w:val="04A0" w:firstRow="1" w:lastRow="0" w:firstColumn="1" w:lastColumn="0" w:noHBand="0" w:noVBand="1"/>
      </w:tblPr>
      <w:tblGrid>
        <w:gridCol w:w="2405"/>
        <w:gridCol w:w="5103"/>
        <w:gridCol w:w="1508"/>
      </w:tblGrid>
      <w:tr w:rsidR="00536B24" w:rsidRPr="00F10893" w14:paraId="79926474" w14:textId="77777777">
        <w:trPr>
          <w:cnfStyle w:val="100000000000" w:firstRow="1" w:lastRow="0" w:firstColumn="0" w:lastColumn="0" w:oddVBand="0" w:evenVBand="0" w:oddHBand="0" w:evenHBand="0" w:firstRowFirstColumn="0" w:firstRowLastColumn="0" w:lastRowFirstColumn="0" w:lastRowLastColumn="0"/>
        </w:trPr>
        <w:tc>
          <w:tcPr>
            <w:tcW w:w="2405" w:type="dxa"/>
            <w:tcBorders>
              <w:top w:val="single" w:sz="4" w:space="0" w:color="auto"/>
              <w:left w:val="single" w:sz="4" w:space="0" w:color="auto"/>
              <w:bottom w:val="single" w:sz="4" w:space="0" w:color="auto"/>
              <w:right w:val="single" w:sz="4" w:space="0" w:color="auto"/>
            </w:tcBorders>
            <w:hideMark/>
          </w:tcPr>
          <w:p w14:paraId="25B1B693" w14:textId="77777777" w:rsidR="00E517FA" w:rsidRPr="00F10893" w:rsidRDefault="00E517FA" w:rsidP="00E517FA">
            <w:pPr>
              <w:keepNext/>
              <w:spacing w:before="0"/>
              <w:jc w:val="left"/>
              <w:rPr>
                <w:rFonts w:ascii="Arial Narrow" w:hAnsi="Arial Narrow"/>
                <w:b w:val="0"/>
                <w:sz w:val="20"/>
                <w:szCs w:val="20"/>
                <w:lang w:val="en-AU"/>
              </w:rPr>
            </w:pPr>
            <w:r w:rsidRPr="00F10893">
              <w:rPr>
                <w:rFonts w:ascii="Arial Narrow" w:hAnsi="Arial Narrow"/>
                <w:sz w:val="20"/>
                <w:szCs w:val="20"/>
                <w:lang w:val="en-AU"/>
              </w:rPr>
              <w:t>IHC interpretation</w:t>
            </w:r>
          </w:p>
        </w:tc>
        <w:tc>
          <w:tcPr>
            <w:tcW w:w="5103" w:type="dxa"/>
            <w:tcBorders>
              <w:top w:val="single" w:sz="4" w:space="0" w:color="auto"/>
              <w:left w:val="single" w:sz="4" w:space="0" w:color="auto"/>
              <w:bottom w:val="single" w:sz="4" w:space="0" w:color="auto"/>
              <w:right w:val="single" w:sz="4" w:space="0" w:color="auto"/>
            </w:tcBorders>
            <w:hideMark/>
          </w:tcPr>
          <w:p w14:paraId="2DB5FB32" w14:textId="77777777" w:rsidR="00E517FA" w:rsidRPr="00F10893" w:rsidRDefault="00E517FA" w:rsidP="00E517FA">
            <w:pPr>
              <w:keepNext/>
              <w:spacing w:before="0"/>
              <w:jc w:val="left"/>
              <w:rPr>
                <w:rFonts w:ascii="Arial Narrow" w:hAnsi="Arial Narrow"/>
                <w:b w:val="0"/>
                <w:sz w:val="20"/>
                <w:szCs w:val="20"/>
                <w:lang w:val="en-AU"/>
              </w:rPr>
            </w:pPr>
            <w:r w:rsidRPr="00F10893">
              <w:rPr>
                <w:rFonts w:ascii="Arial Narrow" w:hAnsi="Arial Narrow"/>
                <w:sz w:val="20"/>
                <w:szCs w:val="20"/>
                <w:lang w:val="en-AU"/>
              </w:rPr>
              <w:t>Staining description</w:t>
            </w:r>
          </w:p>
        </w:tc>
        <w:tc>
          <w:tcPr>
            <w:tcW w:w="1508" w:type="dxa"/>
            <w:tcBorders>
              <w:top w:val="single" w:sz="4" w:space="0" w:color="auto"/>
              <w:left w:val="single" w:sz="4" w:space="0" w:color="auto"/>
              <w:bottom w:val="single" w:sz="4" w:space="0" w:color="auto"/>
              <w:right w:val="single" w:sz="4" w:space="0" w:color="auto"/>
            </w:tcBorders>
            <w:hideMark/>
          </w:tcPr>
          <w:p w14:paraId="3972862E" w14:textId="77777777" w:rsidR="00E517FA" w:rsidRPr="00F10893" w:rsidRDefault="00E517FA" w:rsidP="00E517FA">
            <w:pPr>
              <w:keepNext/>
              <w:spacing w:before="0"/>
              <w:jc w:val="left"/>
              <w:rPr>
                <w:rFonts w:ascii="Arial Narrow" w:hAnsi="Arial Narrow"/>
                <w:b w:val="0"/>
                <w:sz w:val="20"/>
                <w:szCs w:val="20"/>
                <w:lang w:val="en-AU"/>
              </w:rPr>
            </w:pPr>
            <w:r w:rsidRPr="00F10893">
              <w:rPr>
                <w:rFonts w:ascii="Arial Narrow" w:hAnsi="Arial Narrow"/>
                <w:sz w:val="20"/>
                <w:szCs w:val="20"/>
                <w:lang w:val="en-AU"/>
              </w:rPr>
              <w:t>Proposed to be eligible for MIRV</w:t>
            </w:r>
          </w:p>
        </w:tc>
      </w:tr>
      <w:tr w:rsidR="00E517FA" w:rsidRPr="00F10893" w14:paraId="6B5DAF20" w14:textId="77777777">
        <w:tc>
          <w:tcPr>
            <w:tcW w:w="2405" w:type="dxa"/>
            <w:tcBorders>
              <w:top w:val="single" w:sz="4" w:space="0" w:color="auto"/>
              <w:left w:val="single" w:sz="4" w:space="0" w:color="auto"/>
              <w:bottom w:val="single" w:sz="4" w:space="0" w:color="auto"/>
              <w:right w:val="single" w:sz="4" w:space="0" w:color="auto"/>
            </w:tcBorders>
            <w:hideMark/>
          </w:tcPr>
          <w:p w14:paraId="0024BCDE"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Positive for FRα* (high FRα)</w:t>
            </w:r>
          </w:p>
        </w:tc>
        <w:tc>
          <w:tcPr>
            <w:tcW w:w="5103" w:type="dxa"/>
            <w:tcBorders>
              <w:top w:val="single" w:sz="4" w:space="0" w:color="auto"/>
              <w:left w:val="single" w:sz="4" w:space="0" w:color="auto"/>
              <w:bottom w:val="single" w:sz="4" w:space="0" w:color="auto"/>
              <w:right w:val="single" w:sz="4" w:space="0" w:color="auto"/>
            </w:tcBorders>
            <w:hideMark/>
          </w:tcPr>
          <w:p w14:paraId="1C6E348B"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 75% of viable tumour cells with moderate (2+) and/or strong (3+) membrane staining</w:t>
            </w:r>
          </w:p>
        </w:tc>
        <w:tc>
          <w:tcPr>
            <w:tcW w:w="1508" w:type="dxa"/>
            <w:tcBorders>
              <w:top w:val="single" w:sz="4" w:space="0" w:color="auto"/>
              <w:left w:val="single" w:sz="4" w:space="0" w:color="auto"/>
              <w:bottom w:val="single" w:sz="4" w:space="0" w:color="auto"/>
              <w:right w:val="single" w:sz="4" w:space="0" w:color="auto"/>
            </w:tcBorders>
            <w:hideMark/>
          </w:tcPr>
          <w:p w14:paraId="4AE26C33" w14:textId="77777777" w:rsidR="00E517FA" w:rsidRPr="00F10893" w:rsidRDefault="00E517FA" w:rsidP="00E517FA">
            <w:pPr>
              <w:spacing w:before="0"/>
              <w:jc w:val="left"/>
              <w:rPr>
                <w:rFonts w:ascii="Arial Narrow" w:hAnsi="Arial Narrow"/>
                <w:sz w:val="20"/>
                <w:szCs w:val="20"/>
                <w:lang w:val="en-AU"/>
              </w:rPr>
            </w:pPr>
            <w:r w:rsidRPr="00F10893">
              <w:rPr>
                <w:rFonts w:ascii="Arial Narrow" w:hAnsi="Arial Narrow"/>
                <w:sz w:val="20"/>
                <w:szCs w:val="20"/>
                <w:lang w:val="en-AU"/>
              </w:rPr>
              <w:t>Yes</w:t>
            </w:r>
          </w:p>
        </w:tc>
      </w:tr>
      <w:tr w:rsidR="00E517FA" w:rsidRPr="00F10893" w14:paraId="66571617" w14:textId="77777777">
        <w:tc>
          <w:tcPr>
            <w:tcW w:w="2405" w:type="dxa"/>
            <w:tcBorders>
              <w:top w:val="single" w:sz="4" w:space="0" w:color="auto"/>
              <w:left w:val="single" w:sz="4" w:space="0" w:color="auto"/>
              <w:bottom w:val="single" w:sz="4" w:space="0" w:color="auto"/>
              <w:right w:val="single" w:sz="4" w:space="0" w:color="auto"/>
            </w:tcBorders>
            <w:hideMark/>
          </w:tcPr>
          <w:p w14:paraId="04144D39"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Negative for FRα*</w:t>
            </w:r>
          </w:p>
        </w:tc>
        <w:tc>
          <w:tcPr>
            <w:tcW w:w="5103" w:type="dxa"/>
            <w:tcBorders>
              <w:top w:val="single" w:sz="4" w:space="0" w:color="auto"/>
              <w:left w:val="single" w:sz="4" w:space="0" w:color="auto"/>
              <w:bottom w:val="single" w:sz="4" w:space="0" w:color="auto"/>
              <w:right w:val="single" w:sz="4" w:space="0" w:color="auto"/>
            </w:tcBorders>
            <w:hideMark/>
          </w:tcPr>
          <w:p w14:paraId="19E33B15"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&lt; 75% of viable tumour cells with moderate (2+) and/or strong (3+) membrane staining</w:t>
            </w:r>
          </w:p>
        </w:tc>
        <w:tc>
          <w:tcPr>
            <w:tcW w:w="1508" w:type="dxa"/>
            <w:tcBorders>
              <w:top w:val="single" w:sz="4" w:space="0" w:color="auto"/>
              <w:left w:val="single" w:sz="4" w:space="0" w:color="auto"/>
              <w:bottom w:val="single" w:sz="4" w:space="0" w:color="auto"/>
              <w:right w:val="single" w:sz="4" w:space="0" w:color="auto"/>
            </w:tcBorders>
            <w:hideMark/>
          </w:tcPr>
          <w:p w14:paraId="3D5E5106" w14:textId="77777777" w:rsidR="00E517FA" w:rsidRPr="00F10893" w:rsidRDefault="00E517FA" w:rsidP="00E517FA">
            <w:pPr>
              <w:spacing w:before="0"/>
              <w:jc w:val="left"/>
              <w:rPr>
                <w:rFonts w:ascii="Arial Narrow" w:hAnsi="Arial Narrow"/>
                <w:sz w:val="20"/>
                <w:szCs w:val="20"/>
                <w:lang w:val="en-AU"/>
              </w:rPr>
            </w:pPr>
            <w:r w:rsidRPr="00F10893">
              <w:rPr>
                <w:rFonts w:ascii="Arial Narrow" w:hAnsi="Arial Narrow"/>
                <w:sz w:val="20"/>
                <w:szCs w:val="20"/>
                <w:lang w:val="en-AU"/>
              </w:rPr>
              <w:t>No</w:t>
            </w:r>
          </w:p>
        </w:tc>
      </w:tr>
      <w:tr w:rsidR="00E517FA" w:rsidRPr="00F10893" w14:paraId="6F7BA404" w14:textId="77777777">
        <w:tc>
          <w:tcPr>
            <w:tcW w:w="2405" w:type="dxa"/>
            <w:tcBorders>
              <w:top w:val="single" w:sz="4" w:space="0" w:color="auto"/>
              <w:left w:val="single" w:sz="4" w:space="0" w:color="auto"/>
              <w:bottom w:val="single" w:sz="4" w:space="0" w:color="auto"/>
              <w:right w:val="single" w:sz="4" w:space="0" w:color="auto"/>
            </w:tcBorders>
            <w:hideMark/>
          </w:tcPr>
          <w:p w14:paraId="35F75210"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Not evaluable</w:t>
            </w:r>
          </w:p>
        </w:tc>
        <w:tc>
          <w:tcPr>
            <w:tcW w:w="5103" w:type="dxa"/>
            <w:tcBorders>
              <w:top w:val="single" w:sz="4" w:space="0" w:color="auto"/>
              <w:left w:val="single" w:sz="4" w:space="0" w:color="auto"/>
              <w:bottom w:val="single" w:sz="4" w:space="0" w:color="auto"/>
              <w:right w:val="single" w:sz="4" w:space="0" w:color="auto"/>
            </w:tcBorders>
            <w:hideMark/>
          </w:tcPr>
          <w:p w14:paraId="6C140441" w14:textId="77777777" w:rsidR="00E517FA" w:rsidRPr="00F10893" w:rsidRDefault="00E517FA" w:rsidP="00E517FA">
            <w:pPr>
              <w:spacing w:before="0"/>
              <w:rPr>
                <w:rFonts w:ascii="Arial Narrow" w:hAnsi="Arial Narrow"/>
                <w:sz w:val="20"/>
                <w:szCs w:val="20"/>
                <w:lang w:val="en-AU"/>
              </w:rPr>
            </w:pPr>
            <w:r w:rsidRPr="00F10893">
              <w:rPr>
                <w:rFonts w:ascii="Arial Narrow" w:hAnsi="Arial Narrow"/>
                <w:sz w:val="20"/>
                <w:szCs w:val="20"/>
                <w:lang w:val="en-AU"/>
              </w:rPr>
              <w:t>Artifacts making interpretation not possible</w:t>
            </w:r>
          </w:p>
        </w:tc>
        <w:tc>
          <w:tcPr>
            <w:tcW w:w="1508" w:type="dxa"/>
            <w:tcBorders>
              <w:top w:val="single" w:sz="4" w:space="0" w:color="auto"/>
              <w:left w:val="single" w:sz="4" w:space="0" w:color="auto"/>
              <w:bottom w:val="single" w:sz="4" w:space="0" w:color="auto"/>
              <w:right w:val="single" w:sz="4" w:space="0" w:color="auto"/>
            </w:tcBorders>
            <w:hideMark/>
          </w:tcPr>
          <w:p w14:paraId="56F426A6" w14:textId="77777777" w:rsidR="00E517FA" w:rsidRPr="00F10893" w:rsidRDefault="00E517FA" w:rsidP="00E517FA">
            <w:pPr>
              <w:spacing w:before="0"/>
              <w:jc w:val="left"/>
              <w:rPr>
                <w:rFonts w:ascii="Arial Narrow" w:hAnsi="Arial Narrow"/>
                <w:sz w:val="20"/>
                <w:szCs w:val="20"/>
                <w:lang w:val="en-AU"/>
              </w:rPr>
            </w:pPr>
            <w:r w:rsidRPr="00F10893">
              <w:rPr>
                <w:rFonts w:ascii="Arial Narrow" w:hAnsi="Arial Narrow"/>
                <w:sz w:val="20"/>
                <w:szCs w:val="20"/>
                <w:lang w:val="en-AU"/>
              </w:rPr>
              <w:t>No</w:t>
            </w:r>
          </w:p>
        </w:tc>
      </w:tr>
    </w:tbl>
    <w:p w14:paraId="75501500" w14:textId="43508F62"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Table 1.1</w:t>
      </w:r>
      <w:r w:rsidR="00AA1799" w:rsidRPr="00F10893">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8 FRα Expression Scoring Criteria, p1</w:t>
      </w:r>
      <w:r w:rsidR="00694DC9" w:rsidRPr="00F10893">
        <w:rPr>
          <w:rFonts w:ascii="Arial Narrow" w:eastAsia="Times New Roman" w:hAnsi="Arial Narrow" w:cs="Arial"/>
          <w:snapToGrid w:val="0"/>
          <w:sz w:val="18"/>
          <w:szCs w:val="20"/>
        </w:rPr>
        <w:t>8</w:t>
      </w:r>
      <w:r w:rsidRPr="00F10893">
        <w:rPr>
          <w:rFonts w:ascii="Arial Narrow" w:eastAsia="Times New Roman" w:hAnsi="Arial Narrow" w:cs="Arial"/>
          <w:snapToGrid w:val="0"/>
          <w:sz w:val="18"/>
          <w:szCs w:val="20"/>
        </w:rPr>
        <w:t xml:space="preserve"> of the submission</w:t>
      </w:r>
    </w:p>
    <w:p w14:paraId="1C42A267" w14:textId="77777777"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20"/>
          <w:szCs w:val="20"/>
        </w:rPr>
        <w:t>Dx= device</w:t>
      </w:r>
      <w:r w:rsidRPr="00F10893">
        <w:rPr>
          <w:rFonts w:ascii="Arial Narrow" w:eastAsia="Times New Roman" w:hAnsi="Arial Narrow" w:cs="Arial"/>
          <w:snapToGrid w:val="0"/>
          <w:sz w:val="18"/>
          <w:szCs w:val="20"/>
        </w:rPr>
        <w:t>; FRα</w:t>
      </w:r>
      <w:r w:rsidRPr="00F10893" w:rsidDel="00341E58">
        <w:rPr>
          <w:rFonts w:ascii="Arial Narrow" w:eastAsia="Times New Roman" w:hAnsi="Arial Narrow" w:cs="Arial"/>
          <w:snapToGrid w:val="0"/>
          <w:sz w:val="18"/>
          <w:szCs w:val="20"/>
        </w:rPr>
        <w:t xml:space="preserve"> </w:t>
      </w:r>
      <w:r w:rsidRPr="00F10893">
        <w:rPr>
          <w:rFonts w:ascii="Arial Narrow" w:hAnsi="Arial Narrow" w:cs="Arial"/>
          <w:snapToGrid w:val="0"/>
          <w:sz w:val="18"/>
          <w:szCs w:val="20"/>
        </w:rPr>
        <w:t xml:space="preserve">= </w:t>
      </w:r>
      <w:r w:rsidRPr="00F10893">
        <w:rPr>
          <w:rFonts w:ascii="Arial Narrow" w:eastAsia="Times New Roman" w:hAnsi="Arial Narrow" w:cs="Arial"/>
          <w:snapToGrid w:val="0"/>
          <w:sz w:val="18"/>
          <w:szCs w:val="20"/>
        </w:rPr>
        <w:t>folate receptor high alpha; FOLR1= folate receptor alpha: MIRV= mirvetuximab soravtansine.</w:t>
      </w:r>
    </w:p>
    <w:p w14:paraId="655E00D2" w14:textId="34D7D516" w:rsidR="00E517FA" w:rsidRPr="00F10893" w:rsidRDefault="00E517FA" w:rsidP="00E517FA">
      <w:pPr>
        <w:spacing w:before="0" w:after="0"/>
        <w:rPr>
          <w:rFonts w:ascii="Arial Narrow" w:hAnsi="Arial Narrow" w:cstheme="majorBidi"/>
          <w:sz w:val="18"/>
          <w:szCs w:val="18"/>
        </w:rPr>
      </w:pPr>
      <w:r w:rsidRPr="00F10893">
        <w:rPr>
          <w:rFonts w:ascii="Arial Narrow" w:hAnsi="Arial Narrow" w:cstheme="majorBidi"/>
          <w:sz w:val="18"/>
          <w:szCs w:val="18"/>
        </w:rPr>
        <w:t>* To decrease variability of results for cases with percentage of tumour cells near the threshold of 75% (65% to 85%), re-reading of the slide by a second pathologist is recommended. The case result with percentage of tumour cells between 65-85% by a pathologist should be adjudicated by one or two independent pathologists. The patient’s ﬁnal result with regard to FOLR1 Positive should be obtained by either a majority rule or by consensus among the pathologists.</w:t>
      </w:r>
    </w:p>
    <w:p w14:paraId="62526EC0" w14:textId="20A0A921"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 xml:space="preserve">The scoring defined in the United States (US) product information (PI) specifies membrane staining of 2 or 3, described as PS2+. At least 75% of a minimum 100 viable tumour cells counted must </w:t>
      </w:r>
      <w:r w:rsidR="003F00CF" w:rsidRPr="00214750">
        <w:rPr>
          <w:rFonts w:ascii="Franklin Gothic Book" w:hAnsi="Franklin Gothic Book"/>
          <w:sz w:val="22"/>
          <w:szCs w:val="20"/>
        </w:rPr>
        <w:t>fulfill</w:t>
      </w:r>
      <w:r w:rsidRPr="00214750">
        <w:rPr>
          <w:rFonts w:ascii="Franklin Gothic Book" w:hAnsi="Franklin Gothic Book"/>
          <w:sz w:val="22"/>
          <w:szCs w:val="20"/>
        </w:rPr>
        <w:t xml:space="preserve"> the</w:t>
      </w:r>
      <w:r w:rsidR="009502AF" w:rsidRPr="00214750">
        <w:rPr>
          <w:rFonts w:ascii="Franklin Gothic Book" w:hAnsi="Franklin Gothic Book"/>
          <w:sz w:val="22"/>
          <w:szCs w:val="20"/>
        </w:rPr>
        <w:t xml:space="preserve"> PS2+</w:t>
      </w:r>
      <w:r w:rsidRPr="00214750">
        <w:rPr>
          <w:rFonts w:ascii="Franklin Gothic Book" w:hAnsi="Franklin Gothic Book"/>
          <w:sz w:val="22"/>
          <w:szCs w:val="20"/>
        </w:rPr>
        <w:t xml:space="preserve"> criteria</w:t>
      </w:r>
      <w:r w:rsidR="008D18C1" w:rsidRPr="00214750">
        <w:rPr>
          <w:rFonts w:ascii="Franklin Gothic Book" w:hAnsi="Franklin Gothic Book"/>
          <w:sz w:val="22"/>
          <w:szCs w:val="20"/>
        </w:rPr>
        <w:t xml:space="preserve"> in </w:t>
      </w:r>
      <w:r w:rsidR="00840EA4">
        <w:rPr>
          <w:rFonts w:ascii="Franklin Gothic Book" w:hAnsi="Franklin Gothic Book"/>
          <w:sz w:val="22"/>
          <w:szCs w:val="20"/>
        </w:rPr>
        <w:fldChar w:fldCharType="begin"/>
      </w:r>
      <w:r w:rsidR="00840EA4">
        <w:rPr>
          <w:rFonts w:ascii="Franklin Gothic Book" w:hAnsi="Franklin Gothic Book"/>
          <w:sz w:val="22"/>
          <w:szCs w:val="20"/>
        </w:rPr>
        <w:instrText xml:space="preserve"> REF _Ref198565886 \h </w:instrText>
      </w:r>
      <w:r w:rsidR="009D5A4A">
        <w:rPr>
          <w:rFonts w:ascii="Franklin Gothic Book" w:hAnsi="Franklin Gothic Book"/>
          <w:sz w:val="22"/>
          <w:szCs w:val="20"/>
        </w:rPr>
        <w:instrText xml:space="preserve"> \* MERGEFORMAT </w:instrText>
      </w:r>
      <w:r w:rsidR="00840EA4">
        <w:rPr>
          <w:rFonts w:ascii="Franklin Gothic Book" w:hAnsi="Franklin Gothic Book"/>
          <w:sz w:val="22"/>
          <w:szCs w:val="20"/>
        </w:rPr>
      </w:r>
      <w:r w:rsidR="00840EA4">
        <w:rPr>
          <w:rFonts w:ascii="Franklin Gothic Book" w:hAnsi="Franklin Gothic Book"/>
          <w:sz w:val="22"/>
          <w:szCs w:val="20"/>
        </w:rPr>
        <w:fldChar w:fldCharType="separate"/>
      </w:r>
      <w:r w:rsidR="00840EA4" w:rsidRPr="009D5A4A">
        <w:rPr>
          <w:rFonts w:ascii="Franklin Gothic Book" w:hAnsi="Franklin Gothic Book"/>
          <w:sz w:val="22"/>
          <w:szCs w:val="20"/>
        </w:rPr>
        <w:t>Table 6</w:t>
      </w:r>
      <w:r w:rsidR="00840EA4">
        <w:rPr>
          <w:rFonts w:ascii="Franklin Gothic Book" w:hAnsi="Franklin Gothic Book"/>
          <w:sz w:val="22"/>
          <w:szCs w:val="20"/>
        </w:rPr>
        <w:fldChar w:fldCharType="end"/>
      </w:r>
      <w:r w:rsidR="00F11277">
        <w:rPr>
          <w:rFonts w:ascii="Franklin Gothic Book" w:hAnsi="Franklin Gothic Book"/>
          <w:sz w:val="22"/>
          <w:szCs w:val="20"/>
        </w:rPr>
        <w:t xml:space="preserve"> </w:t>
      </w:r>
      <w:r w:rsidR="009502AF" w:rsidRPr="00214750">
        <w:rPr>
          <w:rFonts w:ascii="Franklin Gothic Book" w:hAnsi="Franklin Gothic Book"/>
          <w:sz w:val="22"/>
          <w:szCs w:val="20"/>
        </w:rPr>
        <w:t xml:space="preserve">for the test result </w:t>
      </w:r>
      <w:r w:rsidR="003F00CF" w:rsidRPr="00214750">
        <w:rPr>
          <w:rFonts w:ascii="Franklin Gothic Book" w:hAnsi="Franklin Gothic Book"/>
          <w:sz w:val="22"/>
          <w:szCs w:val="20"/>
        </w:rPr>
        <w:t>to be considered positive</w:t>
      </w:r>
      <w:r w:rsidRPr="00214750">
        <w:rPr>
          <w:rFonts w:ascii="Franklin Gothic Book" w:hAnsi="Franklin Gothic Book"/>
          <w:sz w:val="22"/>
          <w:szCs w:val="20"/>
        </w:rPr>
        <w:t xml:space="preserve">. The commentary noted that no draft </w:t>
      </w:r>
      <w:r w:rsidR="00FD762D" w:rsidRPr="00214750">
        <w:rPr>
          <w:rFonts w:ascii="Franklin Gothic Book" w:hAnsi="Franklin Gothic Book"/>
          <w:sz w:val="22"/>
          <w:szCs w:val="20"/>
        </w:rPr>
        <w:t xml:space="preserve">Instructions for Use (IFU) </w:t>
      </w:r>
      <w:r w:rsidRPr="00214750">
        <w:rPr>
          <w:rFonts w:ascii="Franklin Gothic Book" w:hAnsi="Franklin Gothic Book"/>
          <w:sz w:val="22"/>
          <w:szCs w:val="20"/>
        </w:rPr>
        <w:t xml:space="preserve">for Australia was provided in the submission for the Ventana </w:t>
      </w:r>
      <w:r w:rsidR="00F851A2" w:rsidRPr="00214750">
        <w:rPr>
          <w:rFonts w:ascii="Franklin Gothic Book" w:hAnsi="Franklin Gothic Book"/>
          <w:sz w:val="22"/>
          <w:szCs w:val="20"/>
        </w:rPr>
        <w:t xml:space="preserve">FOLR1 Dx </w:t>
      </w:r>
      <w:r w:rsidRPr="00214750">
        <w:rPr>
          <w:rFonts w:ascii="Franklin Gothic Book" w:hAnsi="Franklin Gothic Book"/>
          <w:sz w:val="22"/>
          <w:szCs w:val="20"/>
        </w:rPr>
        <w:t xml:space="preserve">assay. </w:t>
      </w:r>
    </w:p>
    <w:p w14:paraId="0F6F9C43" w14:textId="0DE47D33"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 xml:space="preserve">The submission presented evidence to show that patients with higher FRα expression did better than those with lower expression </w:t>
      </w:r>
      <w:r w:rsidR="001E13A7" w:rsidRPr="00214750">
        <w:rPr>
          <w:rFonts w:ascii="Franklin Gothic Book" w:hAnsi="Franklin Gothic Book"/>
          <w:sz w:val="22"/>
          <w:szCs w:val="20"/>
        </w:rPr>
        <w:t xml:space="preserve">when </w:t>
      </w:r>
      <w:r w:rsidRPr="00214750">
        <w:rPr>
          <w:rFonts w:ascii="Franklin Gothic Book" w:hAnsi="Franklin Gothic Book"/>
          <w:sz w:val="22"/>
          <w:szCs w:val="20"/>
        </w:rPr>
        <w:t>treated with MIRV</w:t>
      </w:r>
      <w:r w:rsidR="00540581" w:rsidRPr="00214750">
        <w:rPr>
          <w:rFonts w:ascii="Franklin Gothic Book" w:hAnsi="Franklin Gothic Book"/>
          <w:sz w:val="22"/>
          <w:szCs w:val="20"/>
        </w:rPr>
        <w:t xml:space="preserve"> (</w:t>
      </w:r>
      <w:r w:rsidR="00077209" w:rsidRPr="00214750">
        <w:rPr>
          <w:rFonts w:ascii="Franklin Gothic Book" w:hAnsi="Franklin Gothic Book"/>
          <w:sz w:val="22"/>
          <w:szCs w:val="20"/>
        </w:rPr>
        <w:t>see discussion of FORWARD-I trial results</w:t>
      </w:r>
      <w:r w:rsidR="00540581" w:rsidRPr="00214750">
        <w:rPr>
          <w:rFonts w:ascii="Franklin Gothic Book" w:hAnsi="Franklin Gothic Book"/>
          <w:sz w:val="22"/>
          <w:szCs w:val="20"/>
        </w:rPr>
        <w:t>)</w:t>
      </w:r>
      <w:r w:rsidRPr="00214750">
        <w:rPr>
          <w:rFonts w:ascii="Franklin Gothic Book" w:hAnsi="Franklin Gothic Book"/>
          <w:sz w:val="22"/>
          <w:szCs w:val="20"/>
        </w:rPr>
        <w:t>, but no quantitative evaluation of expression levels or titration of this effect was undertaken to identify to the actual threshold of treatment effect (for example, no receiver operat</w:t>
      </w:r>
      <w:r w:rsidR="00536A5F">
        <w:rPr>
          <w:rFonts w:ascii="Franklin Gothic Book" w:hAnsi="Franklin Gothic Book"/>
          <w:sz w:val="22"/>
          <w:szCs w:val="20"/>
        </w:rPr>
        <w:t>ing</w:t>
      </w:r>
      <w:r w:rsidRPr="00214750">
        <w:rPr>
          <w:rFonts w:ascii="Franklin Gothic Book" w:hAnsi="Franklin Gothic Book"/>
          <w:sz w:val="22"/>
          <w:szCs w:val="20"/>
        </w:rPr>
        <w:t xml:space="preserve"> characteristic [ROC] curve). The use of a threshold for positivity has resulted in FR</w:t>
      </w:r>
      <w:r w:rsidRPr="009D5A4A">
        <w:rPr>
          <w:rFonts w:ascii="Franklin Gothic Book" w:hAnsi="Franklin Gothic Book"/>
          <w:sz w:val="22"/>
          <w:szCs w:val="20"/>
        </w:rPr>
        <w:t>α</w:t>
      </w:r>
      <w:r w:rsidRPr="00214750">
        <w:rPr>
          <w:rFonts w:ascii="Franklin Gothic Book" w:hAnsi="Franklin Gothic Book"/>
          <w:sz w:val="22"/>
          <w:szCs w:val="20"/>
        </w:rPr>
        <w:t xml:space="preserve"> status being treated as a binary variable with no testing of alternative thresholds, such as 70% or 85%. </w:t>
      </w:r>
    </w:p>
    <w:p w14:paraId="47CA6804" w14:textId="11A3D7A2"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 xml:space="preserve">The submission defined the biomarker prevalence (FRα high expression) in the target population based on results of the Phase II SORAYA trial which reported a rate of 36% of PROC patients </w:t>
      </w:r>
      <w:r w:rsidR="00EB714F">
        <w:rPr>
          <w:rFonts w:ascii="Franklin Gothic Book" w:hAnsi="Franklin Gothic Book"/>
          <w:sz w:val="22"/>
          <w:szCs w:val="20"/>
        </w:rPr>
        <w:t>with</w:t>
      </w:r>
      <w:r w:rsidR="00EB714F" w:rsidRPr="00214750">
        <w:rPr>
          <w:rFonts w:ascii="Franklin Gothic Book" w:hAnsi="Franklin Gothic Book"/>
          <w:sz w:val="22"/>
          <w:szCs w:val="20"/>
        </w:rPr>
        <w:t xml:space="preserve"> </w:t>
      </w:r>
      <w:r w:rsidRPr="00214750">
        <w:rPr>
          <w:rFonts w:ascii="Franklin Gothic Book" w:hAnsi="Franklin Gothic Book"/>
          <w:sz w:val="22"/>
          <w:szCs w:val="20"/>
        </w:rPr>
        <w:t>FRα high expression (Matulonis et al, 2023). This differs from the US Food and Drug Administration (FDA) Summary of Safety and Effectiveness report for the proposed test (Ventana FOLR1 assay) (FDA 2022) which cited a rate of 28.75% positive based on analysis of a commercial cohort of EOC resected tissue samples (N=953). The US test PI states that borderline results should be adjudicated by a second independent pathologist thus the final value for prevalence of high FRα expression among EOC patients may include a portion of the borderline values. The</w:t>
      </w:r>
      <w:r w:rsidR="008A5059" w:rsidRPr="00214750">
        <w:rPr>
          <w:rFonts w:ascii="Franklin Gothic Book" w:hAnsi="Franklin Gothic Book"/>
          <w:sz w:val="22"/>
          <w:szCs w:val="20"/>
        </w:rPr>
        <w:t xml:space="preserve"> </w:t>
      </w:r>
      <w:r w:rsidR="000B4681" w:rsidRPr="00214750">
        <w:rPr>
          <w:rFonts w:ascii="Franklin Gothic Book" w:hAnsi="Franklin Gothic Book"/>
          <w:sz w:val="22"/>
          <w:szCs w:val="20"/>
        </w:rPr>
        <w:t>c</w:t>
      </w:r>
      <w:r w:rsidR="008A5059" w:rsidRPr="00214750">
        <w:rPr>
          <w:rFonts w:ascii="Franklin Gothic Book" w:hAnsi="Franklin Gothic Book"/>
          <w:sz w:val="22"/>
          <w:szCs w:val="20"/>
        </w:rPr>
        <w:t>ommentary considered that the</w:t>
      </w:r>
      <w:r w:rsidRPr="00214750">
        <w:rPr>
          <w:rFonts w:ascii="Franklin Gothic Book" w:hAnsi="Franklin Gothic Book"/>
          <w:sz w:val="22"/>
          <w:szCs w:val="20"/>
        </w:rPr>
        <w:t xml:space="preserve"> submission’s value of 36%, which is higher than the FDA estimate, may be plausible as an upper bound. </w:t>
      </w:r>
    </w:p>
    <w:p w14:paraId="3B054BB4" w14:textId="0A84A6BD"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The submission cited results from a sub-study of the MIRV Phase I trial, which tested archived tissue samples from 27 patients and compared results with pre-treatment and post-treatment tissue (Martin et al, 2017)</w:t>
      </w:r>
      <w:r w:rsidR="005E37CF">
        <w:rPr>
          <w:rFonts w:ascii="Franklin Gothic Book" w:hAnsi="Franklin Gothic Book"/>
          <w:sz w:val="22"/>
          <w:szCs w:val="20"/>
        </w:rPr>
        <w:t xml:space="preserve"> (</w:t>
      </w:r>
      <w:r w:rsidR="00E26B19">
        <w:rPr>
          <w:rFonts w:ascii="Franklin Gothic Book" w:hAnsi="Franklin Gothic Book"/>
          <w:sz w:val="22"/>
          <w:szCs w:val="20"/>
        </w:rPr>
        <w:fldChar w:fldCharType="begin"/>
      </w:r>
      <w:r w:rsidR="00E26B19">
        <w:rPr>
          <w:rFonts w:ascii="Franklin Gothic Book" w:hAnsi="Franklin Gothic Book"/>
          <w:sz w:val="22"/>
          <w:szCs w:val="20"/>
        </w:rPr>
        <w:instrText xml:space="preserve"> REF _Ref198565976 \h </w:instrText>
      </w:r>
      <w:r w:rsidR="009D5A4A">
        <w:rPr>
          <w:rFonts w:ascii="Franklin Gothic Book" w:hAnsi="Franklin Gothic Book"/>
          <w:sz w:val="22"/>
          <w:szCs w:val="20"/>
        </w:rPr>
        <w:instrText xml:space="preserve"> \* MERGEFORMAT </w:instrText>
      </w:r>
      <w:r w:rsidR="00E26B19">
        <w:rPr>
          <w:rFonts w:ascii="Franklin Gothic Book" w:hAnsi="Franklin Gothic Book"/>
          <w:sz w:val="22"/>
          <w:szCs w:val="20"/>
        </w:rPr>
      </w:r>
      <w:r w:rsidR="00E26B19">
        <w:rPr>
          <w:rFonts w:ascii="Franklin Gothic Book" w:hAnsi="Franklin Gothic Book"/>
          <w:sz w:val="22"/>
          <w:szCs w:val="20"/>
        </w:rPr>
        <w:fldChar w:fldCharType="separate"/>
      </w:r>
      <w:r w:rsidR="00E26B19" w:rsidRPr="009D5A4A">
        <w:rPr>
          <w:rFonts w:ascii="Franklin Gothic Book" w:hAnsi="Franklin Gothic Book"/>
          <w:sz w:val="22"/>
          <w:szCs w:val="20"/>
        </w:rPr>
        <w:t>Table 7</w:t>
      </w:r>
      <w:r w:rsidR="00E26B19">
        <w:rPr>
          <w:rFonts w:ascii="Franklin Gothic Book" w:hAnsi="Franklin Gothic Book"/>
          <w:sz w:val="22"/>
          <w:szCs w:val="20"/>
        </w:rPr>
        <w:fldChar w:fldCharType="end"/>
      </w:r>
      <w:r w:rsidR="005E37CF">
        <w:rPr>
          <w:rFonts w:ascii="Franklin Gothic Book" w:hAnsi="Franklin Gothic Book"/>
          <w:sz w:val="22"/>
          <w:szCs w:val="20"/>
        </w:rPr>
        <w:t>)</w:t>
      </w:r>
    </w:p>
    <w:p w14:paraId="55360198" w14:textId="39D6D33E" w:rsidR="00E517FA" w:rsidRPr="00F10893" w:rsidRDefault="005E37CF" w:rsidP="00930B1E">
      <w:pPr>
        <w:pStyle w:val="TableFigureHeading"/>
      </w:pPr>
      <w:bookmarkStart w:id="21" w:name="_Ref198565976"/>
      <w:r>
        <w:t>Table</w:t>
      </w:r>
      <w:r w:rsidR="00216A53" w:rsidRPr="00F10893">
        <w:t xml:space="preserve"> </w:t>
      </w:r>
      <w:r>
        <w:fldChar w:fldCharType="begin"/>
      </w:r>
      <w:r>
        <w:instrText xml:space="preserve"> SEQ Table \* ARABIC </w:instrText>
      </w:r>
      <w:r>
        <w:fldChar w:fldCharType="separate"/>
      </w:r>
      <w:r>
        <w:rPr>
          <w:noProof/>
        </w:rPr>
        <w:t>7</w:t>
      </w:r>
      <w:r>
        <w:rPr>
          <w:noProof/>
        </w:rPr>
        <w:fldChar w:fldCharType="end"/>
      </w:r>
      <w:bookmarkEnd w:id="21"/>
      <w:r w:rsidR="00216A53" w:rsidRPr="00F10893">
        <w:t xml:space="preserve">: </w:t>
      </w:r>
      <w:r w:rsidR="00E517FA" w:rsidRPr="00F10893">
        <w:t>Re-testing of archival tissue and testing of fresh biopsy (Martin et al, 2017)</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383"/>
        <w:gridCol w:w="1857"/>
        <w:gridCol w:w="1429"/>
      </w:tblGrid>
      <w:tr w:rsidR="00416F3B" w:rsidRPr="00F10893" w14:paraId="2D931DB8" w14:textId="77777777">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auto"/>
            </w:tcBorders>
          </w:tcPr>
          <w:p w14:paraId="13E80FD2" w14:textId="77777777" w:rsidR="00E517FA" w:rsidRPr="00F10893" w:rsidRDefault="00E517FA" w:rsidP="00E517FA">
            <w:pPr>
              <w:widowControl w:val="0"/>
              <w:spacing w:before="0"/>
              <w:jc w:val="left"/>
              <w:rPr>
                <w:rFonts w:ascii="Arial Narrow" w:hAnsi="Arial Narrow"/>
                <w:b w:val="0"/>
                <w:sz w:val="20"/>
                <w:lang w:val="en-AU"/>
              </w:rPr>
            </w:pPr>
          </w:p>
        </w:tc>
        <w:tc>
          <w:tcPr>
            <w:tcW w:w="0" w:type="auto"/>
            <w:tcBorders>
              <w:bottom w:val="single" w:sz="4" w:space="0" w:color="auto"/>
            </w:tcBorders>
          </w:tcPr>
          <w:p w14:paraId="48B39878" w14:textId="77777777" w:rsidR="00E517FA" w:rsidRPr="00F10893" w:rsidRDefault="00E517FA" w:rsidP="00E517FA">
            <w:pPr>
              <w:widowControl w:val="0"/>
              <w:spacing w:before="0"/>
              <w:jc w:val="left"/>
              <w:rPr>
                <w:rFonts w:ascii="Arial Narrow" w:hAnsi="Arial Narrow"/>
                <w:b w:val="0"/>
                <w:sz w:val="20"/>
                <w:lang w:val="en-AU"/>
              </w:rPr>
            </w:pPr>
            <w:r w:rsidRPr="00F10893">
              <w:rPr>
                <w:rFonts w:ascii="Arial Narrow" w:hAnsi="Arial Narrow"/>
                <w:sz w:val="20"/>
                <w:lang w:val="en-AU"/>
              </w:rPr>
              <w:t xml:space="preserve">Archival tissue </w:t>
            </w:r>
          </w:p>
        </w:tc>
        <w:tc>
          <w:tcPr>
            <w:tcW w:w="0" w:type="auto"/>
            <w:tcBorders>
              <w:bottom w:val="single" w:sz="4" w:space="0" w:color="auto"/>
            </w:tcBorders>
          </w:tcPr>
          <w:p w14:paraId="2CED21BD" w14:textId="77777777" w:rsidR="00E517FA" w:rsidRPr="00F10893" w:rsidRDefault="00E517FA" w:rsidP="00E517FA">
            <w:pPr>
              <w:widowControl w:val="0"/>
              <w:spacing w:before="0"/>
              <w:jc w:val="left"/>
              <w:rPr>
                <w:rFonts w:ascii="Arial Narrow" w:hAnsi="Arial Narrow"/>
                <w:b w:val="0"/>
                <w:sz w:val="20"/>
                <w:lang w:val="en-AU"/>
              </w:rPr>
            </w:pPr>
            <w:r w:rsidRPr="00F10893">
              <w:rPr>
                <w:rFonts w:ascii="Arial Narrow" w:hAnsi="Arial Narrow"/>
                <w:sz w:val="20"/>
                <w:lang w:val="en-AU"/>
              </w:rPr>
              <w:t>Pre-treatment biopsy</w:t>
            </w:r>
          </w:p>
        </w:tc>
        <w:tc>
          <w:tcPr>
            <w:tcW w:w="0" w:type="auto"/>
            <w:tcBorders>
              <w:bottom w:val="single" w:sz="4" w:space="0" w:color="auto"/>
            </w:tcBorders>
          </w:tcPr>
          <w:p w14:paraId="203429F3" w14:textId="77777777" w:rsidR="00E517FA" w:rsidRPr="00F10893" w:rsidRDefault="00E517FA" w:rsidP="00E517FA">
            <w:pPr>
              <w:widowControl w:val="0"/>
              <w:spacing w:before="0"/>
              <w:jc w:val="left"/>
              <w:rPr>
                <w:rFonts w:ascii="Arial Narrow" w:hAnsi="Arial Narrow"/>
                <w:b w:val="0"/>
                <w:sz w:val="20"/>
                <w:lang w:val="en-AU"/>
              </w:rPr>
            </w:pPr>
            <w:r w:rsidRPr="00F10893">
              <w:rPr>
                <w:rFonts w:ascii="Arial Narrow" w:hAnsi="Arial Narrow"/>
                <w:sz w:val="20"/>
                <w:lang w:val="en-AU"/>
              </w:rPr>
              <w:t xml:space="preserve">Post-treatment </w:t>
            </w:r>
          </w:p>
          <w:p w14:paraId="0C3A2466" w14:textId="77777777" w:rsidR="00E517FA" w:rsidRPr="00F10893" w:rsidRDefault="00E517FA" w:rsidP="00E517FA">
            <w:pPr>
              <w:widowControl w:val="0"/>
              <w:spacing w:before="0"/>
              <w:jc w:val="left"/>
              <w:rPr>
                <w:rFonts w:ascii="Arial Narrow" w:hAnsi="Arial Narrow"/>
                <w:b w:val="0"/>
                <w:sz w:val="20"/>
                <w:lang w:val="en-AU"/>
              </w:rPr>
            </w:pPr>
            <w:r w:rsidRPr="00F10893">
              <w:rPr>
                <w:rFonts w:ascii="Arial Narrow" w:hAnsi="Arial Narrow"/>
                <w:sz w:val="20"/>
                <w:lang w:val="en-AU"/>
              </w:rPr>
              <w:t>(Cycle 2, Day 8)</w:t>
            </w:r>
          </w:p>
        </w:tc>
      </w:tr>
      <w:tr w:rsidR="00E517FA" w:rsidRPr="00F10893" w14:paraId="07AD6C36" w14:textId="77777777">
        <w:tc>
          <w:tcPr>
            <w:tcW w:w="0" w:type="auto"/>
          </w:tcPr>
          <w:p w14:paraId="7FE7EC50" w14:textId="77777777" w:rsidR="00E517FA" w:rsidRPr="00F10893" w:rsidRDefault="00E517FA" w:rsidP="00E517FA">
            <w:pPr>
              <w:widowControl w:val="0"/>
              <w:spacing w:before="0"/>
              <w:jc w:val="left"/>
              <w:rPr>
                <w:rFonts w:ascii="Arial Narrow" w:hAnsi="Arial Narrow"/>
                <w:sz w:val="20"/>
                <w:lang w:val="en-AU"/>
              </w:rPr>
            </w:pPr>
            <w:r w:rsidRPr="00F10893">
              <w:rPr>
                <w:rFonts w:ascii="Arial Narrow" w:hAnsi="Arial Narrow"/>
                <w:sz w:val="20"/>
                <w:lang w:val="en-AU"/>
              </w:rPr>
              <w:t>Sufficient sample / tumour cells</w:t>
            </w:r>
          </w:p>
        </w:tc>
        <w:tc>
          <w:tcPr>
            <w:tcW w:w="0" w:type="auto"/>
          </w:tcPr>
          <w:p w14:paraId="7F61BC69"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N=27</w:t>
            </w:r>
          </w:p>
        </w:tc>
        <w:tc>
          <w:tcPr>
            <w:tcW w:w="0" w:type="auto"/>
          </w:tcPr>
          <w:p w14:paraId="6385F204"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N=21</w:t>
            </w:r>
          </w:p>
        </w:tc>
        <w:tc>
          <w:tcPr>
            <w:tcW w:w="0" w:type="auto"/>
          </w:tcPr>
          <w:p w14:paraId="24A2769F"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N=17</w:t>
            </w:r>
          </w:p>
        </w:tc>
      </w:tr>
      <w:tr w:rsidR="00E517FA" w:rsidRPr="00F10893" w14:paraId="68D7C8C6" w14:textId="77777777">
        <w:tc>
          <w:tcPr>
            <w:tcW w:w="0" w:type="auto"/>
          </w:tcPr>
          <w:p w14:paraId="231CFACF" w14:textId="77777777" w:rsidR="00E517FA" w:rsidRPr="00F10893" w:rsidRDefault="00E517FA" w:rsidP="00E517FA">
            <w:pPr>
              <w:widowControl w:val="0"/>
              <w:spacing w:before="0"/>
              <w:jc w:val="left"/>
              <w:rPr>
                <w:rFonts w:ascii="Arial Narrow" w:hAnsi="Arial Narrow"/>
                <w:sz w:val="20"/>
                <w:lang w:val="en-AU"/>
              </w:rPr>
            </w:pPr>
            <w:r w:rsidRPr="00F10893">
              <w:rPr>
                <w:rFonts w:ascii="Arial Narrow" w:hAnsi="Arial Narrow"/>
                <w:sz w:val="20"/>
                <w:lang w:val="en-AU"/>
              </w:rPr>
              <w:t>Met FRα positivity threshold on re-testing ≥25% (PS2+)</w:t>
            </w:r>
          </w:p>
        </w:tc>
        <w:tc>
          <w:tcPr>
            <w:tcW w:w="0" w:type="auto"/>
          </w:tcPr>
          <w:p w14:paraId="29CE8A9A"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27/27 (100%)</w:t>
            </w:r>
          </w:p>
        </w:tc>
        <w:tc>
          <w:tcPr>
            <w:tcW w:w="0" w:type="auto"/>
          </w:tcPr>
          <w:p w14:paraId="73A800A5"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15/21 (71%)</w:t>
            </w:r>
          </w:p>
        </w:tc>
        <w:tc>
          <w:tcPr>
            <w:tcW w:w="0" w:type="auto"/>
          </w:tcPr>
          <w:p w14:paraId="0F2DBDD2" w14:textId="77777777" w:rsidR="00E517FA" w:rsidRPr="00F10893" w:rsidRDefault="00E517FA" w:rsidP="00E517FA">
            <w:pPr>
              <w:widowControl w:val="0"/>
              <w:spacing w:before="0"/>
              <w:jc w:val="center"/>
              <w:rPr>
                <w:rFonts w:ascii="Arial Narrow" w:hAnsi="Arial Narrow"/>
                <w:sz w:val="20"/>
                <w:lang w:val="en-AU"/>
              </w:rPr>
            </w:pPr>
            <w:r w:rsidRPr="00F10893">
              <w:rPr>
                <w:rFonts w:ascii="Arial Narrow" w:hAnsi="Arial Narrow"/>
                <w:sz w:val="20"/>
                <w:lang w:val="en-AU"/>
              </w:rPr>
              <w:t>10/17 (59%)</w:t>
            </w:r>
          </w:p>
        </w:tc>
      </w:tr>
    </w:tbl>
    <w:p w14:paraId="393E4991" w14:textId="77777777"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compiled during the evaluation from pp141-142 of the submission and Martin et al, (2017).</w:t>
      </w:r>
    </w:p>
    <w:p w14:paraId="7E7762FB" w14:textId="125F1ADC"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FRα= folate receptor alpha; PS2+= </w:t>
      </w:r>
      <w:r w:rsidRPr="00F10893">
        <w:rPr>
          <w:rFonts w:ascii="Arial Narrow" w:eastAsia="Times New Roman" w:hAnsi="Arial Narrow" w:cs="Calibri"/>
          <w:snapToGrid w:val="0"/>
          <w:sz w:val="18"/>
          <w:szCs w:val="20"/>
        </w:rPr>
        <w:t>FRα membrane staining at moderate (2) or high (3) intensity.</w:t>
      </w:r>
    </w:p>
    <w:p w14:paraId="1FEAB0DF" w14:textId="4FB162CF" w:rsidR="003B580B" w:rsidRPr="00214750" w:rsidRDefault="00E517FA" w:rsidP="00E517FA">
      <w:pPr>
        <w:rPr>
          <w:rFonts w:ascii="Franklin Gothic Book" w:hAnsi="Franklin Gothic Book"/>
          <w:sz w:val="22"/>
          <w:szCs w:val="20"/>
        </w:rPr>
      </w:pPr>
      <w:r w:rsidRPr="00214750">
        <w:rPr>
          <w:rFonts w:ascii="Franklin Gothic Book" w:hAnsi="Franklin Gothic Book"/>
          <w:sz w:val="22"/>
          <w:szCs w:val="20"/>
        </w:rPr>
        <w:t>The submission argued that ‘high concordance’ of FRα expression in evaluable pre-treatment biopsies versus archival tumour samples</w:t>
      </w:r>
      <w:r w:rsidR="00210AAA" w:rsidRPr="00214750">
        <w:rPr>
          <w:rFonts w:ascii="Franklin Gothic Book" w:hAnsi="Franklin Gothic Book"/>
          <w:sz w:val="22"/>
          <w:szCs w:val="20"/>
        </w:rPr>
        <w:t>,</w:t>
      </w:r>
      <w:r w:rsidRPr="00214750">
        <w:rPr>
          <w:rFonts w:ascii="Franklin Gothic Book" w:hAnsi="Franklin Gothic Book"/>
          <w:sz w:val="22"/>
          <w:szCs w:val="20"/>
        </w:rPr>
        <w:t xml:space="preserve"> suggest</w:t>
      </w:r>
      <w:r w:rsidR="00210AAA" w:rsidRPr="00214750">
        <w:rPr>
          <w:rFonts w:ascii="Franklin Gothic Book" w:hAnsi="Franklin Gothic Book"/>
          <w:sz w:val="22"/>
          <w:szCs w:val="20"/>
        </w:rPr>
        <w:t>ing</w:t>
      </w:r>
      <w:r w:rsidRPr="00214750">
        <w:rPr>
          <w:rFonts w:ascii="Franklin Gothic Book" w:hAnsi="Franklin Gothic Book"/>
          <w:sz w:val="22"/>
          <w:szCs w:val="20"/>
        </w:rPr>
        <w:t xml:space="preserve"> that archival tissue can be reliably used to identify patients with receptor-positive tumours, speciﬁcally with respect to pre-speciﬁed thresholds of FRα expression.</w:t>
      </w:r>
      <w:r w:rsidRPr="009D5A4A">
        <w:rPr>
          <w:rFonts w:ascii="Franklin Gothic Book" w:hAnsi="Franklin Gothic Book"/>
          <w:sz w:val="22"/>
          <w:szCs w:val="20"/>
        </w:rPr>
        <w:t xml:space="preserve"> </w:t>
      </w:r>
      <w:r w:rsidRPr="00214750">
        <w:rPr>
          <w:rFonts w:ascii="Franklin Gothic Book" w:hAnsi="Franklin Gothic Book"/>
          <w:sz w:val="22"/>
          <w:szCs w:val="20"/>
        </w:rPr>
        <w:t xml:space="preserve">The commentary considered this conclusion may not be reasonable </w:t>
      </w:r>
      <w:r w:rsidRPr="00214750">
        <w:rPr>
          <w:rFonts w:ascii="Franklin Gothic Book" w:hAnsi="Franklin Gothic Book"/>
          <w:sz w:val="22"/>
          <w:szCs w:val="20"/>
        </w:rPr>
        <w:lastRenderedPageBreak/>
        <w:t xml:space="preserve">given the authors reported decreasing concordance between archival tissue (collected at diagnosis), pre-treatment samples (71%) and </w:t>
      </w:r>
      <w:r w:rsidR="009C72C4">
        <w:rPr>
          <w:rFonts w:ascii="Franklin Gothic Book" w:hAnsi="Franklin Gothic Book"/>
          <w:sz w:val="22"/>
          <w:szCs w:val="20"/>
        </w:rPr>
        <w:t xml:space="preserve">samples </w:t>
      </w:r>
      <w:r w:rsidRPr="00214750">
        <w:rPr>
          <w:rFonts w:ascii="Franklin Gothic Book" w:hAnsi="Franklin Gothic Book"/>
          <w:sz w:val="22"/>
          <w:szCs w:val="20"/>
        </w:rPr>
        <w:t xml:space="preserve">post-treatment </w:t>
      </w:r>
      <w:r w:rsidR="009C72C4">
        <w:rPr>
          <w:rFonts w:ascii="Franklin Gothic Book" w:hAnsi="Franklin Gothic Book"/>
          <w:sz w:val="22"/>
          <w:szCs w:val="20"/>
        </w:rPr>
        <w:t>with MIRV</w:t>
      </w:r>
      <w:r w:rsidR="009C72C4" w:rsidRPr="00214750">
        <w:rPr>
          <w:rFonts w:ascii="Franklin Gothic Book" w:hAnsi="Franklin Gothic Book"/>
          <w:sz w:val="22"/>
          <w:szCs w:val="20"/>
        </w:rPr>
        <w:t xml:space="preserve"> </w:t>
      </w:r>
      <w:r w:rsidRPr="00214750">
        <w:rPr>
          <w:rFonts w:ascii="Franklin Gothic Book" w:hAnsi="Franklin Gothic Book"/>
          <w:sz w:val="22"/>
          <w:szCs w:val="20"/>
        </w:rPr>
        <w:t>(59%)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_Ref198565976 \h </w:instrText>
      </w:r>
      <w:r w:rsidR="009D5A4A">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9D5A4A">
        <w:rPr>
          <w:rFonts w:ascii="Franklin Gothic Book" w:hAnsi="Franklin Gothic Book"/>
          <w:sz w:val="22"/>
          <w:szCs w:val="20"/>
        </w:rPr>
        <w:t>Table 7</w:t>
      </w:r>
      <w:r w:rsidR="005E37CF">
        <w:rPr>
          <w:rFonts w:ascii="Franklin Gothic Book" w:hAnsi="Franklin Gothic Book"/>
          <w:sz w:val="22"/>
          <w:szCs w:val="20"/>
        </w:rPr>
        <w:fldChar w:fldCharType="end"/>
      </w:r>
      <w:r w:rsidR="002B678B" w:rsidRPr="00214750">
        <w:rPr>
          <w:rFonts w:ascii="Franklin Gothic Book" w:hAnsi="Franklin Gothic Book"/>
          <w:sz w:val="22"/>
          <w:szCs w:val="20"/>
        </w:rPr>
        <w:fldChar w:fldCharType="begin"/>
      </w:r>
      <w:r w:rsidR="002B678B" w:rsidRPr="00214750">
        <w:rPr>
          <w:rFonts w:ascii="Franklin Gothic Book" w:hAnsi="Franklin Gothic Book"/>
          <w:sz w:val="22"/>
          <w:szCs w:val="20"/>
        </w:rPr>
        <w:instrText xml:space="preserve"> REF _Ref198565976 \h  \* MERGEFORMAT </w:instrText>
      </w:r>
      <w:r w:rsidR="002B678B" w:rsidRPr="00214750">
        <w:rPr>
          <w:rFonts w:ascii="Franklin Gothic Book" w:hAnsi="Franklin Gothic Book"/>
          <w:sz w:val="22"/>
          <w:szCs w:val="20"/>
        </w:rPr>
      </w:r>
      <w:r w:rsidR="002B678B" w:rsidRPr="00214750">
        <w:rPr>
          <w:rFonts w:ascii="Franklin Gothic Book" w:hAnsi="Franklin Gothic Book"/>
          <w:sz w:val="22"/>
          <w:szCs w:val="20"/>
        </w:rPr>
        <w:fldChar w:fldCharType="separate"/>
      </w:r>
      <w:r w:rsidR="002B678B" w:rsidRPr="00214750">
        <w:rPr>
          <w:rFonts w:ascii="Franklin Gothic Book" w:hAnsi="Franklin Gothic Book"/>
          <w:sz w:val="22"/>
          <w:szCs w:val="20"/>
        </w:rPr>
        <w:fldChar w:fldCharType="end"/>
      </w:r>
      <w:r w:rsidRPr="00214750">
        <w:rPr>
          <w:rFonts w:ascii="Franklin Gothic Book" w:hAnsi="Franklin Gothic Book"/>
          <w:sz w:val="22"/>
          <w:szCs w:val="20"/>
        </w:rPr>
        <w:t xml:space="preserve">), noting that these were based on small patient numbers. </w:t>
      </w:r>
      <w:r w:rsidR="00370BA9" w:rsidRPr="00214750">
        <w:rPr>
          <w:rFonts w:ascii="Franklin Gothic Book" w:hAnsi="Franklin Gothic Book"/>
          <w:sz w:val="22"/>
          <w:szCs w:val="20"/>
        </w:rPr>
        <w:t xml:space="preserve">This appears to suggest that there is uncertainty relating to the stability of the </w:t>
      </w:r>
      <w:r w:rsidR="00E85496" w:rsidRPr="00214750">
        <w:rPr>
          <w:rFonts w:ascii="Franklin Gothic Book" w:hAnsi="Franklin Gothic Book"/>
          <w:sz w:val="22"/>
          <w:szCs w:val="20"/>
        </w:rPr>
        <w:t xml:space="preserve">biomarker over time. </w:t>
      </w:r>
      <w:r w:rsidR="00A87967">
        <w:rPr>
          <w:rFonts w:ascii="Franklin Gothic Book" w:hAnsi="Franklin Gothic Book"/>
          <w:sz w:val="22"/>
          <w:szCs w:val="20"/>
        </w:rPr>
        <w:t>The commentary noted at the time t</w:t>
      </w:r>
      <w:r w:rsidRPr="00214750">
        <w:rPr>
          <w:rFonts w:ascii="Franklin Gothic Book" w:hAnsi="Franklin Gothic Book"/>
          <w:sz w:val="22"/>
          <w:szCs w:val="20"/>
        </w:rPr>
        <w:t>his finding was not investigated further in any subsequent MIRV trials.</w:t>
      </w:r>
      <w:r w:rsidR="00974240" w:rsidRPr="00214750">
        <w:rPr>
          <w:rFonts w:ascii="Franklin Gothic Book" w:hAnsi="Franklin Gothic Book"/>
          <w:sz w:val="22"/>
          <w:szCs w:val="20"/>
        </w:rPr>
        <w:t xml:space="preserve"> </w:t>
      </w:r>
    </w:p>
    <w:p w14:paraId="451D43AD" w14:textId="08C4F8A0" w:rsidR="00E517FA" w:rsidRPr="00214750" w:rsidRDefault="00060AED" w:rsidP="00E517FA">
      <w:pPr>
        <w:rPr>
          <w:rFonts w:ascii="Franklin Gothic Book" w:hAnsi="Franklin Gothic Book"/>
          <w:sz w:val="22"/>
          <w:szCs w:val="20"/>
        </w:rPr>
      </w:pPr>
      <w:r w:rsidRPr="00214750">
        <w:rPr>
          <w:rFonts w:ascii="Franklin Gothic Book" w:hAnsi="Franklin Gothic Book"/>
          <w:sz w:val="22"/>
          <w:szCs w:val="20"/>
        </w:rPr>
        <w:t>The commentary noted that a</w:t>
      </w:r>
      <w:r w:rsidR="00974240" w:rsidRPr="00214750">
        <w:rPr>
          <w:rFonts w:ascii="Franklin Gothic Book" w:hAnsi="Franklin Gothic Book"/>
          <w:sz w:val="22"/>
          <w:szCs w:val="20"/>
        </w:rPr>
        <w:t xml:space="preserve">ll patients in the key MIRASOL and FORWARD-I trials were tested </w:t>
      </w:r>
      <w:r w:rsidR="00C12D92" w:rsidRPr="00214750">
        <w:rPr>
          <w:rFonts w:ascii="Franklin Gothic Book" w:hAnsi="Franklin Gothic Book"/>
          <w:sz w:val="22"/>
          <w:szCs w:val="20"/>
        </w:rPr>
        <w:t xml:space="preserve">for FRα expression </w:t>
      </w:r>
      <w:r w:rsidR="00974240" w:rsidRPr="00214750">
        <w:rPr>
          <w:rFonts w:ascii="Franklin Gothic Book" w:hAnsi="Franklin Gothic Book"/>
          <w:sz w:val="22"/>
          <w:szCs w:val="20"/>
        </w:rPr>
        <w:t xml:space="preserve">as part of </w:t>
      </w:r>
      <w:r w:rsidR="00C12D92" w:rsidRPr="00214750">
        <w:rPr>
          <w:rFonts w:ascii="Franklin Gothic Book" w:hAnsi="Franklin Gothic Book"/>
          <w:sz w:val="22"/>
          <w:szCs w:val="20"/>
        </w:rPr>
        <w:t xml:space="preserve">trial </w:t>
      </w:r>
      <w:r w:rsidR="00974240" w:rsidRPr="00214750">
        <w:rPr>
          <w:rFonts w:ascii="Franklin Gothic Book" w:hAnsi="Franklin Gothic Book"/>
          <w:sz w:val="22"/>
          <w:szCs w:val="20"/>
        </w:rPr>
        <w:t>screening (that is, at platinum resistance)</w:t>
      </w:r>
      <w:r w:rsidR="00306361" w:rsidRPr="00214750">
        <w:rPr>
          <w:rFonts w:ascii="Franklin Gothic Book" w:hAnsi="Franklin Gothic Book"/>
          <w:sz w:val="22"/>
          <w:szCs w:val="20"/>
        </w:rPr>
        <w:t xml:space="preserve">. </w:t>
      </w:r>
      <w:r w:rsidR="00B1362C" w:rsidRPr="00214750">
        <w:rPr>
          <w:rFonts w:ascii="Franklin Gothic Book" w:hAnsi="Franklin Gothic Book"/>
          <w:sz w:val="22"/>
          <w:szCs w:val="20"/>
        </w:rPr>
        <w:t xml:space="preserve">The </w:t>
      </w:r>
      <w:r w:rsidR="008E1AC9" w:rsidRPr="00214750">
        <w:rPr>
          <w:rFonts w:ascii="Franklin Gothic Book" w:hAnsi="Franklin Gothic Book"/>
          <w:sz w:val="22"/>
          <w:szCs w:val="20"/>
        </w:rPr>
        <w:t>clinical study reports (</w:t>
      </w:r>
      <w:r w:rsidR="00B1362C" w:rsidRPr="00214750">
        <w:rPr>
          <w:rFonts w:ascii="Franklin Gothic Book" w:hAnsi="Franklin Gothic Book"/>
          <w:sz w:val="22"/>
          <w:szCs w:val="20"/>
        </w:rPr>
        <w:t>CSRs</w:t>
      </w:r>
      <w:r w:rsidR="008E1AC9" w:rsidRPr="00214750">
        <w:rPr>
          <w:rFonts w:ascii="Franklin Gothic Book" w:hAnsi="Franklin Gothic Book"/>
          <w:sz w:val="22"/>
          <w:szCs w:val="20"/>
        </w:rPr>
        <w:t>)</w:t>
      </w:r>
      <w:r w:rsidR="00B1362C" w:rsidRPr="00214750">
        <w:rPr>
          <w:rFonts w:ascii="Franklin Gothic Book" w:hAnsi="Franklin Gothic Book"/>
          <w:sz w:val="22"/>
          <w:szCs w:val="20"/>
        </w:rPr>
        <w:t xml:space="preserve"> for both trials reported that w</w:t>
      </w:r>
      <w:r w:rsidR="00306361" w:rsidRPr="00214750">
        <w:rPr>
          <w:rFonts w:ascii="Franklin Gothic Book" w:hAnsi="Franklin Gothic Book"/>
          <w:sz w:val="22"/>
          <w:szCs w:val="20"/>
        </w:rPr>
        <w:t xml:space="preserve">here possible, </w:t>
      </w:r>
      <w:r w:rsidR="004C0E03" w:rsidRPr="00214750">
        <w:rPr>
          <w:rFonts w:ascii="Franklin Gothic Book" w:hAnsi="Franklin Gothic Book"/>
          <w:sz w:val="22"/>
          <w:szCs w:val="20"/>
        </w:rPr>
        <w:t>archival tissue was used for testing though biops</w:t>
      </w:r>
      <w:r w:rsidR="00B01BB3" w:rsidRPr="00214750">
        <w:rPr>
          <w:rFonts w:ascii="Franklin Gothic Book" w:hAnsi="Franklin Gothic Book"/>
          <w:sz w:val="22"/>
          <w:szCs w:val="20"/>
        </w:rPr>
        <w:t>y was undertaken in cases where archival tissue was insufficient</w:t>
      </w:r>
      <w:r w:rsidR="00A74792" w:rsidRPr="00214750">
        <w:rPr>
          <w:rFonts w:ascii="Franklin Gothic Book" w:hAnsi="Franklin Gothic Book"/>
          <w:sz w:val="22"/>
          <w:szCs w:val="20"/>
        </w:rPr>
        <w:t>. Numbers of patients in whom a biopsy was required versus those whose archival tissue was used were not reported for either trial in the submission</w:t>
      </w:r>
      <w:r w:rsidR="00974240" w:rsidRPr="00214750">
        <w:rPr>
          <w:rFonts w:ascii="Franklin Gothic Book" w:hAnsi="Franklin Gothic Book"/>
          <w:sz w:val="22"/>
          <w:szCs w:val="20"/>
        </w:rPr>
        <w:t>.</w:t>
      </w:r>
      <w:r w:rsidR="00116114" w:rsidRPr="00214750">
        <w:rPr>
          <w:rFonts w:ascii="Franklin Gothic Book" w:hAnsi="Franklin Gothic Book"/>
          <w:sz w:val="22"/>
          <w:szCs w:val="20"/>
        </w:rPr>
        <w:t xml:space="preserve"> Data extracted from the MIRASOL listings indicated only 2 of the 453 patients in the trial underwent a biopsy for FRα expression testing.</w:t>
      </w:r>
      <w:r w:rsidR="00974240" w:rsidRPr="00214750">
        <w:rPr>
          <w:rFonts w:ascii="Franklin Gothic Book" w:hAnsi="Franklin Gothic Book"/>
          <w:sz w:val="22"/>
          <w:szCs w:val="20"/>
        </w:rPr>
        <w:t xml:space="preserve"> </w:t>
      </w:r>
    </w:p>
    <w:p w14:paraId="4ABF7510" w14:textId="77777777" w:rsidR="00FD07C6" w:rsidRPr="00214750" w:rsidRDefault="00FD07C6"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22" w:name="_Toc198721988"/>
      <w:r w:rsidRPr="00214750">
        <w:rPr>
          <w:rFonts w:ascii="Franklin Gothic Medium" w:hAnsi="Franklin Gothic Medium"/>
          <w:b w:val="0"/>
          <w:snapToGrid/>
          <w:color w:val="000000" w:themeColor="text1"/>
          <w:sz w:val="32"/>
          <w:szCs w:val="26"/>
        </w:rPr>
        <w:t>Comparator</w:t>
      </w:r>
      <w:bookmarkEnd w:id="22"/>
    </w:p>
    <w:p w14:paraId="4C6ED0A7" w14:textId="45827B23" w:rsidR="00E517FA" w:rsidRPr="00214750" w:rsidRDefault="00E517FA" w:rsidP="00E517FA">
      <w:pPr>
        <w:pStyle w:val="MSACESParagraph"/>
        <w:tabs>
          <w:tab w:val="center" w:pos="4513"/>
        </w:tabs>
        <w:jc w:val="both"/>
        <w:rPr>
          <w:rFonts w:ascii="Franklin Gothic Book" w:hAnsi="Franklin Gothic Book"/>
          <w:sz w:val="22"/>
          <w:szCs w:val="20"/>
        </w:rPr>
      </w:pPr>
      <w:r w:rsidRPr="00214750">
        <w:rPr>
          <w:rFonts w:ascii="Franklin Gothic Book" w:hAnsi="Franklin Gothic Book"/>
          <w:sz w:val="22"/>
          <w:szCs w:val="20"/>
        </w:rPr>
        <w:t xml:space="preserve">The test comparator was ‘no testing’. In a test agnostic population, PROC patients currently receive standard of care treatment (non-platinum chemotherapy with or without </w:t>
      </w:r>
      <w:r w:rsidR="00FB6B73" w:rsidRPr="00214750">
        <w:rPr>
          <w:rFonts w:ascii="Franklin Gothic Book" w:hAnsi="Franklin Gothic Book"/>
          <w:sz w:val="22"/>
          <w:szCs w:val="20"/>
        </w:rPr>
        <w:t>bevacizumab</w:t>
      </w:r>
      <w:r w:rsidRPr="00214750">
        <w:rPr>
          <w:rFonts w:ascii="Franklin Gothic Book" w:hAnsi="Franklin Gothic Book"/>
          <w:sz w:val="22"/>
          <w:szCs w:val="20"/>
        </w:rPr>
        <w:t xml:space="preserve">). </w:t>
      </w:r>
    </w:p>
    <w:p w14:paraId="52476485" w14:textId="77777777" w:rsidR="00E517FA" w:rsidRPr="00214750" w:rsidRDefault="00E517FA" w:rsidP="00E517FA">
      <w:pPr>
        <w:pStyle w:val="MSACESParagraph"/>
        <w:tabs>
          <w:tab w:val="center" w:pos="4513"/>
        </w:tabs>
        <w:jc w:val="both"/>
        <w:rPr>
          <w:rFonts w:ascii="Franklin Gothic Book" w:hAnsi="Franklin Gothic Book"/>
          <w:sz w:val="22"/>
          <w:szCs w:val="20"/>
        </w:rPr>
      </w:pPr>
      <w:r w:rsidRPr="00214750">
        <w:rPr>
          <w:rFonts w:ascii="Franklin Gothic Book" w:hAnsi="Franklin Gothic Book"/>
          <w:sz w:val="22"/>
          <w:szCs w:val="20"/>
        </w:rPr>
        <w:t xml:space="preserve">For the assessment of test performance in the linked evidence approach, there was no reference standard. Hence, </w:t>
      </w:r>
      <w:r w:rsidRPr="00214750">
        <w:rPr>
          <w:rFonts w:ascii="Franklin Gothic Book" w:hAnsi="Franklin Gothic Book"/>
          <w:iCs/>
          <w:sz w:val="22"/>
          <w:szCs w:val="20"/>
        </w:rPr>
        <w:t xml:space="preserve">the commentary employed </w:t>
      </w:r>
      <w:r w:rsidRPr="00214750">
        <w:rPr>
          <w:rFonts w:ascii="Franklin Gothic Book" w:hAnsi="Franklin Gothic Book"/>
          <w:sz w:val="22"/>
          <w:szCs w:val="20"/>
        </w:rPr>
        <w:t>measures of positive percent agreement (PPA) and negative percent agreement (NPA) from concordance studies to inform test performance in place of sensitivity and specificity (according to the MSAC Guidelines).</w:t>
      </w:r>
      <w:r w:rsidRPr="00214750">
        <w:rPr>
          <w:rFonts w:ascii="Franklin Gothic Book" w:hAnsi="Franklin Gothic Book"/>
          <w:i/>
          <w:sz w:val="22"/>
          <w:szCs w:val="20"/>
        </w:rPr>
        <w:t xml:space="preserve"> </w:t>
      </w:r>
    </w:p>
    <w:p w14:paraId="2B80189C" w14:textId="77777777" w:rsidR="00EF5F68" w:rsidRPr="00CD02C2" w:rsidRDefault="00EF5F68" w:rsidP="00EF5F68">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23" w:name="_Toc198721989"/>
      <w:r w:rsidRPr="00CD02C2">
        <w:rPr>
          <w:rFonts w:ascii="Franklin Gothic Medium" w:hAnsi="Franklin Gothic Medium"/>
          <w:b w:val="0"/>
          <w:snapToGrid/>
          <w:color w:val="000000" w:themeColor="text1"/>
          <w:sz w:val="32"/>
          <w:szCs w:val="26"/>
        </w:rPr>
        <w:t>Summary of public consultation input</w:t>
      </w:r>
    </w:p>
    <w:p w14:paraId="6C3CD330" w14:textId="77777777" w:rsidR="00EF5F68" w:rsidRDefault="00EF5F68" w:rsidP="00EF5F68">
      <w:pPr>
        <w:keepNext/>
        <w:keepLines/>
        <w:rPr>
          <w:rFonts w:ascii="Franklin Gothic Book" w:hAnsi="Franklin Gothic Book"/>
          <w:sz w:val="22"/>
          <w:szCs w:val="20"/>
        </w:rPr>
      </w:pPr>
      <w:r w:rsidRPr="005142BF">
        <w:rPr>
          <w:rFonts w:ascii="Franklin Gothic Book" w:hAnsi="Franklin Gothic Book"/>
          <w:sz w:val="22"/>
          <w:szCs w:val="20"/>
        </w:rPr>
        <w:t>Consultation input was welcomed from:</w:t>
      </w:r>
    </w:p>
    <w:tbl>
      <w:tblPr>
        <w:tblW w:w="9020" w:type="dxa"/>
        <w:tblLook w:val="04A0" w:firstRow="1" w:lastRow="0" w:firstColumn="1" w:lastColumn="0" w:noHBand="0" w:noVBand="1"/>
      </w:tblPr>
      <w:tblGrid>
        <w:gridCol w:w="7800"/>
        <w:gridCol w:w="1220"/>
      </w:tblGrid>
      <w:tr w:rsidR="00EF5F68" w:rsidRPr="00076FD4" w14:paraId="34325B7A" w14:textId="77777777" w:rsidTr="00341A5D">
        <w:trPr>
          <w:trHeight w:val="827"/>
        </w:trPr>
        <w:tc>
          <w:tcPr>
            <w:tcW w:w="7800" w:type="dxa"/>
            <w:tcBorders>
              <w:top w:val="single" w:sz="4" w:space="0" w:color="000000" w:themeColor="text1"/>
              <w:left w:val="single" w:sz="4" w:space="0" w:color="000000" w:themeColor="text1"/>
              <w:bottom w:val="single" w:sz="8" w:space="0" w:color="auto"/>
              <w:right w:val="single" w:sz="8" w:space="0" w:color="auto"/>
            </w:tcBorders>
            <w:shd w:val="clear" w:color="auto" w:fill="D1D1D1"/>
            <w:vAlign w:val="center"/>
            <w:hideMark/>
          </w:tcPr>
          <w:p w14:paraId="747ED351" w14:textId="77777777" w:rsidR="00EF5F68" w:rsidRPr="00076FD4" w:rsidRDefault="00EF5F68" w:rsidP="00341A5D">
            <w:pPr>
              <w:keepNext/>
              <w:keepLines/>
              <w:spacing w:before="0" w:after="0"/>
              <w:rPr>
                <w:rFonts w:ascii="Arial Narrow" w:eastAsia="Franklin Gothic Book" w:hAnsi="Arial Narrow" w:cs="Franklin Gothic Book"/>
                <w:b/>
                <w:color w:val="000000"/>
                <w:sz w:val="20"/>
                <w:szCs w:val="20"/>
                <w:lang w:eastAsia="en-AU"/>
              </w:rPr>
            </w:pPr>
            <w:r w:rsidRPr="00076FD4">
              <w:rPr>
                <w:rFonts w:ascii="Arial Narrow" w:eastAsia="Franklin Gothic Book" w:hAnsi="Arial Narrow" w:cs="Franklin Gothic Book"/>
                <w:b/>
                <w:color w:val="000000" w:themeColor="text1"/>
                <w:sz w:val="20"/>
                <w:szCs w:val="20"/>
                <w:lang w:eastAsia="en-AU"/>
              </w:rPr>
              <w:t>1787 – Immunohistochemistry testing of solid tumour tissue to determine folate receptor alpha (FR</w:t>
            </w:r>
            <w:r w:rsidRPr="00C456B6">
              <w:rPr>
                <w:rFonts w:ascii="Arial" w:eastAsia="Franklin Gothic Book" w:hAnsi="Arial" w:cs="Arial"/>
                <w:b/>
                <w:bCs/>
                <w:color w:val="000000" w:themeColor="text1"/>
                <w:sz w:val="20"/>
                <w:szCs w:val="20"/>
                <w:lang w:eastAsia="en-AU"/>
              </w:rPr>
              <w:t>ɑ</w:t>
            </w:r>
            <w:r w:rsidRPr="00076FD4">
              <w:rPr>
                <w:rFonts w:ascii="Arial Narrow" w:eastAsia="Franklin Gothic Book" w:hAnsi="Arial Narrow" w:cs="Franklin Gothic Book"/>
                <w:b/>
                <w:color w:val="000000" w:themeColor="text1"/>
                <w:sz w:val="20"/>
                <w:szCs w:val="20"/>
                <w:lang w:eastAsia="en-AU"/>
              </w:rPr>
              <w:t>) expression status in adults with platinum-resistant ovarian cancer, to determine eligibility for treatment with PBS subsidised mirvetuximab soravtansine (Abbvie Pty Ltd)</w:t>
            </w:r>
          </w:p>
        </w:tc>
        <w:tc>
          <w:tcPr>
            <w:tcW w:w="1220" w:type="dxa"/>
            <w:tcBorders>
              <w:top w:val="single" w:sz="4" w:space="0" w:color="000000" w:themeColor="text1"/>
              <w:left w:val="nil"/>
              <w:bottom w:val="single" w:sz="8" w:space="0" w:color="auto"/>
              <w:right w:val="single" w:sz="4" w:space="0" w:color="000000" w:themeColor="text1"/>
            </w:tcBorders>
            <w:shd w:val="clear" w:color="auto" w:fill="D1D1D1"/>
            <w:vAlign w:val="center"/>
            <w:hideMark/>
          </w:tcPr>
          <w:p w14:paraId="407DC66F" w14:textId="77777777" w:rsidR="00EF5F68" w:rsidRPr="00076FD4" w:rsidRDefault="00EF5F68" w:rsidP="00341A5D">
            <w:pPr>
              <w:keepNext/>
              <w:keepLines/>
              <w:spacing w:after="0"/>
              <w:jc w:val="center"/>
              <w:rPr>
                <w:rFonts w:ascii="Arial Narrow" w:eastAsia="Franklin Gothic Book" w:hAnsi="Arial Narrow" w:cs="Franklin Gothic Book"/>
                <w:b/>
                <w:color w:val="000000"/>
                <w:sz w:val="20"/>
                <w:szCs w:val="20"/>
                <w:lang w:eastAsia="en-AU"/>
              </w:rPr>
            </w:pPr>
            <w:r w:rsidRPr="00076FD4">
              <w:rPr>
                <w:rFonts w:ascii="Arial Narrow" w:eastAsia="Franklin Gothic Book" w:hAnsi="Arial Narrow" w:cs="Franklin Gothic Book"/>
                <w:b/>
                <w:color w:val="000000" w:themeColor="text1"/>
                <w:sz w:val="20"/>
                <w:szCs w:val="20"/>
                <w:lang w:eastAsia="en-AU"/>
              </w:rPr>
              <w:t>No. of Inputs Received</w:t>
            </w:r>
            <w:r w:rsidRPr="00076FD4">
              <w:rPr>
                <w:rFonts w:ascii="Arial Narrow" w:eastAsia="Franklin Gothic Book" w:hAnsi="Arial Narrow" w:cs="Franklin Gothic Book"/>
                <w:color w:val="000000" w:themeColor="text1"/>
                <w:sz w:val="20"/>
                <w:szCs w:val="20"/>
                <w:lang w:eastAsia="en-AU"/>
              </w:rPr>
              <w:t> </w:t>
            </w:r>
          </w:p>
        </w:tc>
      </w:tr>
      <w:tr w:rsidR="00EF5F68" w:rsidRPr="00076FD4" w14:paraId="2337D748" w14:textId="77777777" w:rsidTr="00341A5D">
        <w:trPr>
          <w:trHeight w:val="261"/>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0AEC3848" w14:textId="77777777" w:rsidR="00EF5F68" w:rsidRPr="00076FD4" w:rsidRDefault="00EF5F68" w:rsidP="00341A5D">
            <w:pPr>
              <w:keepNext/>
              <w:keepLines/>
              <w:spacing w:before="0" w:after="0"/>
              <w:rPr>
                <w:rFonts w:ascii="Arial Narrow" w:eastAsia="Franklin Gothic Book" w:hAnsi="Arial Narrow" w:cs="Franklin Gothic Book"/>
                <w:b/>
                <w:color w:val="000000"/>
                <w:sz w:val="20"/>
                <w:szCs w:val="20"/>
                <w:lang w:eastAsia="en-AU"/>
              </w:rPr>
            </w:pPr>
            <w:r w:rsidRPr="00076FD4">
              <w:rPr>
                <w:rFonts w:ascii="Arial Narrow" w:eastAsia="Franklin Gothic Book" w:hAnsi="Arial Narrow" w:cs="Franklin Gothic Book"/>
                <w:b/>
                <w:color w:val="000000" w:themeColor="text1"/>
                <w:sz w:val="20"/>
                <w:szCs w:val="20"/>
                <w:lang w:eastAsia="en-AU"/>
              </w:rPr>
              <w:t xml:space="preserve">Organisations </w:t>
            </w:r>
            <w:r w:rsidRPr="00076FD4">
              <w:rPr>
                <w:rFonts w:ascii="Arial Narrow" w:eastAsia="Franklin Gothic Book" w:hAnsi="Arial Narrow" w:cs="Franklin Gothic Book"/>
                <w:b/>
                <w:bCs/>
                <w:color w:val="000000" w:themeColor="text1"/>
                <w:sz w:val="20"/>
                <w:szCs w:val="20"/>
                <w:lang w:eastAsia="en-AU"/>
              </w:rPr>
              <w:t>(</w:t>
            </w:r>
            <w:r>
              <w:rPr>
                <w:rFonts w:ascii="Arial Narrow" w:eastAsia="Franklin Gothic Book" w:hAnsi="Arial Narrow" w:cs="Franklin Gothic Book"/>
                <w:b/>
                <w:bCs/>
                <w:color w:val="000000" w:themeColor="text1"/>
                <w:sz w:val="20"/>
                <w:szCs w:val="20"/>
                <w:lang w:eastAsia="en-AU"/>
              </w:rPr>
              <w:t>2</w:t>
            </w:r>
            <w:r w:rsidRPr="00076FD4">
              <w:rPr>
                <w:rFonts w:ascii="Arial Narrow" w:eastAsia="Franklin Gothic Book" w:hAnsi="Arial Narrow" w:cs="Franklin Gothic Book"/>
                <w:b/>
                <w:bCs/>
                <w:color w:val="000000" w:themeColor="text1"/>
                <w:sz w:val="20"/>
                <w:szCs w:val="20"/>
                <w:lang w:eastAsia="en-AU"/>
              </w:rPr>
              <w:t>)</w:t>
            </w:r>
            <w:r w:rsidRPr="00076FD4">
              <w:rPr>
                <w:rFonts w:ascii="Arial Narrow" w:eastAsia="Franklin Gothic Book" w:hAnsi="Arial Narrow" w:cs="Franklin Gothic Book"/>
                <w:color w:val="000000" w:themeColor="text1"/>
                <w:sz w:val="20"/>
                <w:szCs w:val="20"/>
                <w:lang w:eastAsia="en-AU"/>
              </w:rPr>
              <w:t> </w:t>
            </w:r>
          </w:p>
        </w:tc>
      </w:tr>
      <w:tr w:rsidR="00EF5F68" w:rsidRPr="00076FD4" w14:paraId="1A3FDC3A" w14:textId="77777777" w:rsidTr="00341A5D">
        <w:trPr>
          <w:trHeight w:val="510"/>
        </w:trPr>
        <w:tc>
          <w:tcPr>
            <w:tcW w:w="7800" w:type="dxa"/>
            <w:tcBorders>
              <w:top w:val="nil"/>
              <w:left w:val="single" w:sz="4" w:space="0" w:color="000000" w:themeColor="text1"/>
              <w:bottom w:val="single" w:sz="8" w:space="0" w:color="auto"/>
              <w:right w:val="single" w:sz="8" w:space="0" w:color="auto"/>
            </w:tcBorders>
            <w:vAlign w:val="center"/>
            <w:hideMark/>
          </w:tcPr>
          <w:p w14:paraId="304AB6AE" w14:textId="77777777" w:rsidR="00EF5F68" w:rsidRPr="00076FD4" w:rsidRDefault="00EF5F68" w:rsidP="00341A5D">
            <w:pPr>
              <w:keepNext/>
              <w:keepLines/>
              <w:spacing w:before="0" w:after="0"/>
              <w:rPr>
                <w:rFonts w:ascii="Arial Narrow" w:eastAsia="Franklin Gothic Book" w:hAnsi="Arial Narrow" w:cs="Franklin Gothic Book"/>
                <w:sz w:val="20"/>
                <w:szCs w:val="20"/>
                <w:lang w:eastAsia="en-AU"/>
              </w:rPr>
            </w:pPr>
            <w:r w:rsidRPr="00076FD4">
              <w:rPr>
                <w:rFonts w:ascii="Arial Narrow" w:eastAsia="Franklin Gothic Book" w:hAnsi="Arial Narrow" w:cs="Franklin Gothic Book"/>
                <w:sz w:val="20"/>
                <w:szCs w:val="20"/>
                <w:lang w:eastAsia="en-AU"/>
              </w:rPr>
              <w:t>I am providing input on behalf of a consumer group or organisation. Consumer organisations are not-for-profit organisations representing the interests of healthcare consumers, their families and carers. </w:t>
            </w:r>
          </w:p>
        </w:tc>
        <w:tc>
          <w:tcPr>
            <w:tcW w:w="1220" w:type="dxa"/>
            <w:tcBorders>
              <w:top w:val="nil"/>
              <w:left w:val="nil"/>
              <w:bottom w:val="single" w:sz="8" w:space="0" w:color="auto"/>
              <w:right w:val="single" w:sz="4" w:space="0" w:color="000000" w:themeColor="text1"/>
            </w:tcBorders>
            <w:vAlign w:val="center"/>
            <w:hideMark/>
          </w:tcPr>
          <w:p w14:paraId="3D4EFCAA" w14:textId="77777777" w:rsidR="00EF5F68" w:rsidRPr="00076FD4" w:rsidRDefault="00EF5F68" w:rsidP="00341A5D">
            <w:pPr>
              <w:keepNext/>
              <w:keepLines/>
              <w:spacing w:after="0"/>
              <w:jc w:val="center"/>
              <w:rPr>
                <w:rFonts w:ascii="Arial Narrow" w:eastAsia="Franklin Gothic Book" w:hAnsi="Arial Narrow" w:cs="Franklin Gothic Book"/>
                <w:sz w:val="20"/>
                <w:szCs w:val="20"/>
                <w:lang w:eastAsia="en-AU"/>
              </w:rPr>
            </w:pPr>
            <w:r w:rsidRPr="00076FD4">
              <w:rPr>
                <w:rFonts w:ascii="Arial Narrow" w:eastAsia="Franklin Gothic Book" w:hAnsi="Arial Narrow" w:cs="Franklin Gothic Book"/>
                <w:sz w:val="20"/>
                <w:szCs w:val="20"/>
                <w:lang w:eastAsia="en-AU"/>
              </w:rPr>
              <w:t>2</w:t>
            </w:r>
          </w:p>
        </w:tc>
      </w:tr>
      <w:tr w:rsidR="00EF5F68" w:rsidRPr="00076FD4" w14:paraId="22CD0877" w14:textId="77777777" w:rsidTr="00341A5D">
        <w:trPr>
          <w:trHeight w:val="290"/>
        </w:trPr>
        <w:tc>
          <w:tcPr>
            <w:tcW w:w="7800" w:type="dxa"/>
            <w:tcBorders>
              <w:top w:val="nil"/>
              <w:left w:val="single" w:sz="4" w:space="0" w:color="000000" w:themeColor="text1"/>
              <w:bottom w:val="single" w:sz="4" w:space="0" w:color="000000" w:themeColor="text1"/>
              <w:right w:val="single" w:sz="8" w:space="0" w:color="auto"/>
            </w:tcBorders>
            <w:vAlign w:val="center"/>
            <w:hideMark/>
          </w:tcPr>
          <w:p w14:paraId="1EF06813" w14:textId="77777777" w:rsidR="00EF5F68" w:rsidRPr="00076FD4" w:rsidRDefault="00EF5F68" w:rsidP="00341A5D">
            <w:pPr>
              <w:keepNext/>
              <w:keepLines/>
              <w:spacing w:before="0" w:after="0"/>
              <w:rPr>
                <w:rFonts w:ascii="Arial Narrow" w:eastAsia="Franklin Gothic Book" w:hAnsi="Arial Narrow" w:cs="Franklin Gothic Book"/>
                <w:b/>
                <w:sz w:val="20"/>
                <w:szCs w:val="20"/>
                <w:lang w:eastAsia="en-AU"/>
              </w:rPr>
            </w:pPr>
            <w:r w:rsidRPr="00076FD4">
              <w:rPr>
                <w:rFonts w:ascii="Arial Narrow" w:eastAsia="Franklin Gothic Book" w:hAnsi="Arial Narrow" w:cs="Franklin Gothic Book"/>
                <w:b/>
                <w:sz w:val="20"/>
                <w:szCs w:val="20"/>
                <w:lang w:eastAsia="en-AU"/>
              </w:rPr>
              <w:t>Grand Total</w:t>
            </w:r>
            <w:r w:rsidRPr="00076FD4">
              <w:rPr>
                <w:rFonts w:ascii="Arial Narrow" w:eastAsia="Franklin Gothic Book" w:hAnsi="Arial Narrow" w:cs="Franklin Gothic Book"/>
                <w:sz w:val="20"/>
                <w:szCs w:val="20"/>
                <w:lang w:eastAsia="en-AU"/>
              </w:rPr>
              <w:t> </w:t>
            </w:r>
          </w:p>
        </w:tc>
        <w:tc>
          <w:tcPr>
            <w:tcW w:w="1220" w:type="dxa"/>
            <w:tcBorders>
              <w:top w:val="nil"/>
              <w:left w:val="nil"/>
              <w:bottom w:val="single" w:sz="4" w:space="0" w:color="000000" w:themeColor="text1"/>
              <w:right w:val="single" w:sz="4" w:space="0" w:color="000000" w:themeColor="text1"/>
            </w:tcBorders>
            <w:vAlign w:val="center"/>
            <w:hideMark/>
          </w:tcPr>
          <w:p w14:paraId="07D573ED" w14:textId="77777777" w:rsidR="00EF5F68" w:rsidRPr="00076FD4" w:rsidRDefault="00EF5F68" w:rsidP="00341A5D">
            <w:pPr>
              <w:keepNext/>
              <w:keepLines/>
              <w:spacing w:after="0"/>
              <w:jc w:val="center"/>
              <w:rPr>
                <w:rFonts w:ascii="Arial Narrow" w:eastAsia="Franklin Gothic Book" w:hAnsi="Arial Narrow" w:cs="Franklin Gothic Book"/>
                <w:b/>
                <w:sz w:val="20"/>
                <w:szCs w:val="20"/>
                <w:lang w:eastAsia="en-AU"/>
              </w:rPr>
            </w:pPr>
            <w:r w:rsidRPr="00076FD4">
              <w:rPr>
                <w:rFonts w:ascii="Arial Narrow" w:eastAsia="Franklin Gothic Book" w:hAnsi="Arial Narrow" w:cs="Franklin Gothic Book"/>
                <w:b/>
                <w:sz w:val="20"/>
                <w:szCs w:val="20"/>
                <w:lang w:eastAsia="en-AU"/>
              </w:rPr>
              <w:t>2</w:t>
            </w:r>
          </w:p>
        </w:tc>
      </w:tr>
    </w:tbl>
    <w:p w14:paraId="2ECA8E01" w14:textId="77777777" w:rsidR="00EF5F68" w:rsidRPr="00076FD4" w:rsidRDefault="00EF5F68" w:rsidP="00EF5F68">
      <w:pPr>
        <w:keepNext/>
        <w:keepLines/>
        <w:tabs>
          <w:tab w:val="left" w:pos="3686"/>
        </w:tabs>
        <w:spacing w:before="240" w:after="120" w:line="257" w:lineRule="auto"/>
        <w:rPr>
          <w:rFonts w:ascii="Franklin Gothic Book" w:eastAsia="Franklin Gothic Book" w:hAnsi="Franklin Gothic Book" w:cs="Franklin Gothic Book"/>
          <w:sz w:val="22"/>
        </w:rPr>
      </w:pPr>
      <w:r w:rsidRPr="00076FD4">
        <w:rPr>
          <w:rFonts w:ascii="Franklin Gothic Book" w:eastAsia="Franklin Gothic Book" w:hAnsi="Franklin Gothic Book" w:cs="Franklin Gothic Book"/>
          <w:sz w:val="22"/>
        </w:rPr>
        <w:t>The organisations that submitted input were:</w:t>
      </w:r>
    </w:p>
    <w:p w14:paraId="2BB68EDC" w14:textId="77777777" w:rsidR="00EF5F68" w:rsidRPr="00076FD4" w:rsidRDefault="00EF5F68" w:rsidP="00EF5F68">
      <w:pPr>
        <w:pStyle w:val="ListParagraph"/>
        <w:keepNext/>
        <w:keepLines/>
        <w:numPr>
          <w:ilvl w:val="0"/>
          <w:numId w:val="23"/>
        </w:numPr>
        <w:tabs>
          <w:tab w:val="left" w:pos="3686"/>
        </w:tabs>
        <w:spacing w:line="256" w:lineRule="auto"/>
        <w:contextualSpacing/>
        <w:jc w:val="left"/>
        <w:rPr>
          <w:rFonts w:ascii="Franklin Gothic Book" w:eastAsia="Franklin Gothic Book" w:hAnsi="Franklin Gothic Book" w:cs="Franklin Gothic Book"/>
          <w:sz w:val="22"/>
        </w:rPr>
      </w:pPr>
      <w:r w:rsidRPr="00076FD4">
        <w:rPr>
          <w:rFonts w:ascii="Franklin Gothic Book" w:eastAsia="Franklin Gothic Book" w:hAnsi="Franklin Gothic Book" w:cs="Franklin Gothic Book"/>
          <w:sz w:val="22"/>
        </w:rPr>
        <w:t xml:space="preserve">Rare Cancers Australia (RCA) </w:t>
      </w:r>
      <w:r w:rsidRPr="00076FD4">
        <w:rPr>
          <w:rFonts w:ascii="Franklin Gothic Book" w:eastAsia="Franklin Gothic Book" w:hAnsi="Franklin Gothic Book" w:cs="Franklin Gothic Book"/>
          <w:b/>
          <w:sz w:val="22"/>
        </w:rPr>
        <w:t>(2)</w:t>
      </w:r>
    </w:p>
    <w:p w14:paraId="1593673D" w14:textId="77777777" w:rsidR="00EF5F68" w:rsidRPr="00076FD4" w:rsidRDefault="00EF5F68" w:rsidP="00EF5F68">
      <w:pPr>
        <w:pStyle w:val="ListParagraph"/>
        <w:keepNext/>
        <w:keepLines/>
        <w:numPr>
          <w:ilvl w:val="0"/>
          <w:numId w:val="23"/>
        </w:numPr>
        <w:tabs>
          <w:tab w:val="left" w:pos="3686"/>
        </w:tabs>
        <w:spacing w:after="240" w:line="257" w:lineRule="auto"/>
        <w:ind w:left="714" w:hanging="357"/>
        <w:jc w:val="left"/>
        <w:rPr>
          <w:rFonts w:ascii="Franklin Gothic Book" w:eastAsia="Franklin Gothic Book" w:hAnsi="Franklin Gothic Book" w:cs="Franklin Gothic Book"/>
          <w:b/>
          <w:sz w:val="22"/>
        </w:rPr>
      </w:pPr>
      <w:r w:rsidRPr="00076FD4">
        <w:rPr>
          <w:rFonts w:ascii="Franklin Gothic Book" w:eastAsia="Franklin Gothic Book" w:hAnsi="Franklin Gothic Book" w:cs="Franklin Gothic Book"/>
          <w:sz w:val="22"/>
        </w:rPr>
        <w:t>Ovarian Cancer Australia (OCA)</w:t>
      </w:r>
    </w:p>
    <w:p w14:paraId="52EC566B" w14:textId="77777777" w:rsidR="00EF5F68" w:rsidRPr="00076FD4" w:rsidRDefault="00EF5F68" w:rsidP="00EF5F68">
      <w:pPr>
        <w:rPr>
          <w:rFonts w:ascii="Franklin Gothic Book" w:eastAsia="Franklin Gothic Book" w:hAnsi="Franklin Gothic Book" w:cs="Franklin Gothic Book"/>
          <w:color w:val="1F4E79" w:themeColor="accent1" w:themeShade="80"/>
          <w:sz w:val="22"/>
        </w:rPr>
      </w:pPr>
      <w:r w:rsidRPr="00076FD4">
        <w:rPr>
          <w:rFonts w:ascii="Franklin Gothic Book" w:eastAsia="Franklin Gothic" w:hAnsi="Franklin Gothic Book" w:cs="Franklin Gothic"/>
          <w:b/>
          <w:sz w:val="22"/>
        </w:rPr>
        <w:t xml:space="preserve">Level of support for public funding </w:t>
      </w:r>
    </w:p>
    <w:p w14:paraId="4FBC16BE" w14:textId="77777777" w:rsidR="00EF5F68" w:rsidRPr="00076FD4" w:rsidRDefault="00EF5F68" w:rsidP="00EF5F68">
      <w:pPr>
        <w:rPr>
          <w:rFonts w:ascii="Franklin Gothic Book" w:eastAsia="Franklin Gothic Book" w:hAnsi="Franklin Gothic Book" w:cs="Franklin Gothic Book"/>
          <w:sz w:val="22"/>
        </w:rPr>
      </w:pPr>
      <w:r w:rsidRPr="00076FD4">
        <w:rPr>
          <w:rFonts w:ascii="Franklin Gothic Book" w:eastAsia="Franklin Gothic Book" w:hAnsi="Franklin Gothic Book" w:cs="Franklin Gothic Book"/>
          <w:sz w:val="22"/>
        </w:rPr>
        <w:t>Both RCA and OCA expressed support for the public funding of this application.</w:t>
      </w:r>
    </w:p>
    <w:p w14:paraId="7DC168FC" w14:textId="77777777" w:rsidR="00EF5F68" w:rsidRPr="00076FD4" w:rsidRDefault="00EF5F68" w:rsidP="00EF5F68">
      <w:pPr>
        <w:rPr>
          <w:rFonts w:ascii="Franklin Gothic Book" w:eastAsia="Franklin Gothic" w:hAnsi="Franklin Gothic Book" w:cs="Franklin Gothic"/>
          <w:b/>
          <w:sz w:val="22"/>
        </w:rPr>
      </w:pPr>
      <w:r w:rsidRPr="00076FD4">
        <w:rPr>
          <w:rFonts w:ascii="Franklin Gothic Book" w:eastAsia="Franklin Gothic" w:hAnsi="Franklin Gothic Book" w:cs="Franklin Gothic"/>
          <w:b/>
          <w:sz w:val="22"/>
        </w:rPr>
        <w:t xml:space="preserve">Comments on PICO </w:t>
      </w:r>
    </w:p>
    <w:p w14:paraId="7FE5964F" w14:textId="77777777" w:rsidR="00EF5F68" w:rsidRPr="00076FD4" w:rsidRDefault="00EF5F68" w:rsidP="00EF5F68">
      <w:pPr>
        <w:pStyle w:val="ListParagraph"/>
        <w:numPr>
          <w:ilvl w:val="0"/>
          <w:numId w:val="21"/>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 xml:space="preserve">RCA noted the proposed eligibility criteria appears relevant, but suggested the criteria should consider including patients with earlier signs of platinum-resistance or other related biomarkers, as they may also benefit from such targeted interventions. </w:t>
      </w:r>
    </w:p>
    <w:p w14:paraId="25C46430" w14:textId="77777777" w:rsidR="00EF5F68" w:rsidRPr="00076FD4" w:rsidRDefault="00EF5F68" w:rsidP="00EF5F68">
      <w:pPr>
        <w:pStyle w:val="ListParagraph"/>
        <w:numPr>
          <w:ilvl w:val="0"/>
          <w:numId w:val="21"/>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 xml:space="preserve">OCA noted the proposed eligibility criteria as appropriate in this setting, capturing an accurate representation of those who may benefit most from this testing. OCA stated that utilising FRα levels to help determine eligibility for treatment with the FRα antibody drug conjugate, </w:t>
      </w:r>
      <w:r w:rsidRPr="46823590">
        <w:rPr>
          <w:rFonts w:ascii="Franklin Gothic Book" w:eastAsia="Franklin Gothic Book" w:hAnsi="Franklin Gothic Book" w:cs="Franklin Gothic Book"/>
          <w:sz w:val="22"/>
        </w:rPr>
        <w:lastRenderedPageBreak/>
        <w:t>mirvetuximab soravtansine (MIRV), will help ensure the drug is considered for use only on those who are more likely to benefit.</w:t>
      </w:r>
    </w:p>
    <w:p w14:paraId="7A445947" w14:textId="77777777" w:rsidR="00EF5F68" w:rsidRPr="00076FD4" w:rsidRDefault="00EF5F68" w:rsidP="00EF5F68">
      <w:pPr>
        <w:pStyle w:val="ListParagraph"/>
        <w:numPr>
          <w:ilvl w:val="0"/>
          <w:numId w:val="21"/>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RCA noted further clarity is needed to ensure that the study population aligns with the real-world patient demographics in Australia, including any variances in genetic markers or health statuses that might affect treatment outcomes, and advocated for pan-tumour approval pathways.</w:t>
      </w:r>
    </w:p>
    <w:p w14:paraId="2B2202D0" w14:textId="77777777" w:rsidR="00EF5F68" w:rsidRPr="00076FD4" w:rsidRDefault="00EF5F68" w:rsidP="00EF5F68">
      <w:pPr>
        <w:pStyle w:val="ListParagraph"/>
        <w:numPr>
          <w:ilvl w:val="0"/>
          <w:numId w:val="21"/>
        </w:numPr>
        <w:spacing w:before="0" w:line="259" w:lineRule="auto"/>
        <w:contextualSpacing/>
        <w:jc w:val="left"/>
        <w:rPr>
          <w:rFonts w:ascii="Franklin Gothic Book" w:hAnsi="Franklin Gothic Book"/>
          <w:sz w:val="22"/>
        </w:rPr>
      </w:pPr>
      <w:r w:rsidRPr="46823590">
        <w:rPr>
          <w:rFonts w:ascii="Franklin Gothic Book" w:eastAsia="Franklin Gothic Book" w:hAnsi="Franklin Gothic Book" w:cs="Franklin Gothic Book"/>
          <w:sz w:val="22"/>
        </w:rPr>
        <w:t>OCA noted the ovarian cancer community needs options for those who do not fit into current recommended treatment pathways, whilst also ensuring that resourcing is used accordingly and the appropriate patients who may benefit most from these therapies are identified.</w:t>
      </w:r>
    </w:p>
    <w:p w14:paraId="52D2AF84" w14:textId="77777777" w:rsidR="00EF5F68" w:rsidRPr="00076FD4" w:rsidRDefault="00EF5F68" w:rsidP="00EF5F68">
      <w:pPr>
        <w:rPr>
          <w:rFonts w:ascii="Franklin Gothic Book" w:eastAsia="Franklin Gothic" w:hAnsi="Franklin Gothic Book" w:cs="Franklin Gothic"/>
          <w:sz w:val="22"/>
        </w:rPr>
      </w:pPr>
      <w:r w:rsidRPr="00076FD4">
        <w:rPr>
          <w:rFonts w:ascii="Franklin Gothic Book" w:eastAsia="Franklin Gothic" w:hAnsi="Franklin Gothic Book" w:cs="Franklin Gothic"/>
          <w:b/>
          <w:sz w:val="22"/>
        </w:rPr>
        <w:t xml:space="preserve">Perceived Advantages </w:t>
      </w:r>
    </w:p>
    <w:p w14:paraId="77A43F81" w14:textId="77777777" w:rsidR="00EF5F68" w:rsidRPr="00076FD4" w:rsidRDefault="00EF5F68" w:rsidP="00EF5F68">
      <w:pPr>
        <w:pStyle w:val="ListParagraph"/>
        <w:numPr>
          <w:ilvl w:val="0"/>
          <w:numId w:val="23"/>
        </w:numPr>
        <w:tabs>
          <w:tab w:val="left" w:pos="3686"/>
        </w:tabs>
        <w:spacing w:line="256"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RCA noted the proposed testing will provide access to a more targeted, effective treatment for platinum-resistant ovarian cancer, potentially slowing disease progression and improving quality of life. RCA also noted the ability to identify suitable treatments based on FRα status offers patients a sense of agency and clearer treatment pathways.</w:t>
      </w:r>
    </w:p>
    <w:p w14:paraId="73252EEC" w14:textId="77777777" w:rsidR="00EF5F68" w:rsidRPr="00076FD4" w:rsidRDefault="00EF5F68" w:rsidP="00EF5F68">
      <w:pPr>
        <w:pStyle w:val="ListParagraph"/>
        <w:numPr>
          <w:ilvl w:val="0"/>
          <w:numId w:val="23"/>
        </w:numPr>
        <w:tabs>
          <w:tab w:val="left" w:pos="3686"/>
        </w:tabs>
        <w:spacing w:line="256"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OCA noted that enabling funded-testing for FRα to determine eligibility for MIRV will provide much needed and long-awaited hope for those diagnosed with platinum- resistant epithelial ovarian cancer. OCA also noted available treatments are very limited and are not selected based on any type molecular testing, and highlighted this test has the potential to have meaningful impacts on patients in identifying a treatment that is targeted and therefore has a better chance of working as proven by clinical trials.</w:t>
      </w:r>
    </w:p>
    <w:p w14:paraId="748605B3" w14:textId="77777777" w:rsidR="00EF5F68" w:rsidRPr="00076FD4" w:rsidRDefault="00EF5F68" w:rsidP="00EF5F68">
      <w:pPr>
        <w:keepNext/>
        <w:keepLines/>
        <w:rPr>
          <w:rFonts w:ascii="Franklin Gothic Book" w:eastAsia="Franklin Gothic" w:hAnsi="Franklin Gothic Book" w:cs="Franklin Gothic"/>
          <w:sz w:val="22"/>
        </w:rPr>
      </w:pPr>
      <w:r w:rsidRPr="00076FD4">
        <w:rPr>
          <w:rFonts w:ascii="Franklin Gothic Book" w:eastAsia="Franklin Gothic" w:hAnsi="Franklin Gothic Book" w:cs="Franklin Gothic"/>
          <w:b/>
          <w:sz w:val="22"/>
        </w:rPr>
        <w:t>Perceived Disadvantages</w:t>
      </w:r>
    </w:p>
    <w:p w14:paraId="54958881" w14:textId="77777777" w:rsidR="00EF5F68" w:rsidRPr="00076FD4" w:rsidRDefault="00EF5F68" w:rsidP="00EF5F68">
      <w:pPr>
        <w:pStyle w:val="ListParagraph"/>
        <w:keepNext/>
        <w:keepLines/>
        <w:numPr>
          <w:ilvl w:val="0"/>
          <w:numId w:val="20"/>
        </w:numPr>
        <w:spacing w:before="0" w:line="259" w:lineRule="auto"/>
        <w:contextualSpacing/>
        <w:jc w:val="left"/>
        <w:rPr>
          <w:rFonts w:ascii="Franklin Gothic Book" w:eastAsia="Franklin Gothic Book" w:hAnsi="Franklin Gothic Book" w:cs="Franklin Gothic Book"/>
          <w:sz w:val="22"/>
        </w:rPr>
      </w:pPr>
      <w:r w:rsidRPr="00076FD4">
        <w:rPr>
          <w:rFonts w:ascii="Franklin Gothic Book" w:eastAsia="Franklin Gothic Book" w:hAnsi="Franklin Gothic Book" w:cs="Franklin Gothic Book"/>
          <w:color w:val="auto"/>
          <w:sz w:val="22"/>
        </w:rPr>
        <w:t>OCA noted a potential barrier of this test is where it is incorporated into clinical pathways, in order to ensure optimal care is delivered to all patients who may be eligible for this test and subsequent therapy. OCA highlighted that to avoid any barriers to successful implementation, consideration should be given to the timing in the treatment and diagnosis pathway of this test.</w:t>
      </w:r>
    </w:p>
    <w:p w14:paraId="07A2AD09" w14:textId="77777777" w:rsidR="00EF5F68" w:rsidRPr="00076FD4" w:rsidRDefault="00EF5F68" w:rsidP="00EF5F68">
      <w:pPr>
        <w:rPr>
          <w:rFonts w:ascii="Franklin Gothic Book" w:eastAsia="Franklin Gothic" w:hAnsi="Franklin Gothic Book" w:cs="Franklin Gothic"/>
          <w:b/>
          <w:sz w:val="22"/>
        </w:rPr>
      </w:pPr>
      <w:r w:rsidRPr="00076FD4">
        <w:rPr>
          <w:rFonts w:ascii="Franklin Gothic Book" w:eastAsia="Franklin Gothic" w:hAnsi="Franklin Gothic Book" w:cs="Franklin Gothic"/>
          <w:b/>
          <w:sz w:val="22"/>
        </w:rPr>
        <w:t xml:space="preserve">Support for Implementation and Issues </w:t>
      </w:r>
    </w:p>
    <w:p w14:paraId="06D4E287" w14:textId="77777777" w:rsidR="00EF5F68" w:rsidRPr="00076FD4" w:rsidRDefault="00EF5F68" w:rsidP="00EF5F68">
      <w:pPr>
        <w:pStyle w:val="ListParagraph"/>
        <w:numPr>
          <w:ilvl w:val="0"/>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RCA noted barriers to successful implementation include geographic disparities in testing access, potential gaps in healthcare provider awareness, and cost implications for uninsured services.</w:t>
      </w:r>
    </w:p>
    <w:p w14:paraId="3003079F" w14:textId="77777777" w:rsidR="00EF5F68" w:rsidRPr="00076FD4" w:rsidRDefault="00EF5F68" w:rsidP="00EF5F68">
      <w:pPr>
        <w:pStyle w:val="ListParagraph"/>
        <w:numPr>
          <w:ilvl w:val="0"/>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RCA noted the proposed delivery as suitable, but stated considerations required to ensure equitable access, including:</w:t>
      </w:r>
    </w:p>
    <w:p w14:paraId="7F482989" w14:textId="77777777" w:rsidR="00EF5F68" w:rsidRPr="00076FD4" w:rsidRDefault="00EF5F68" w:rsidP="00EF5F68">
      <w:pPr>
        <w:pStyle w:val="ListParagraph"/>
        <w:numPr>
          <w:ilvl w:val="1"/>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Ensuring that FRα testing is available across Australia, including in rural and remote areas, will be essential. Integrating the testing process with local pathology services could reduce the need for travel and improve access.</w:t>
      </w:r>
    </w:p>
    <w:p w14:paraId="0E6E779D" w14:textId="77777777" w:rsidR="00EF5F68" w:rsidRPr="00076FD4" w:rsidRDefault="00EF5F68" w:rsidP="00EF5F68">
      <w:pPr>
        <w:pStyle w:val="ListParagraph"/>
        <w:numPr>
          <w:ilvl w:val="1"/>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Additional support services, such as counselling and pain management, should be included to address the complex needs of patients undergoing immunohistochemistry testing and subsequent treatments.</w:t>
      </w:r>
    </w:p>
    <w:p w14:paraId="3EEF8BD7" w14:textId="77777777" w:rsidR="00EF5F68" w:rsidRPr="00076FD4" w:rsidRDefault="00EF5F68" w:rsidP="00EF5F68">
      <w:pPr>
        <w:pStyle w:val="ListParagraph"/>
        <w:numPr>
          <w:ilvl w:val="0"/>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RCA also recommended setting an affordable MBS fee that does not place an undue burden on patients, as well as providing transparent information about any potential out-of-pocket costs.</w:t>
      </w:r>
    </w:p>
    <w:p w14:paraId="06D48DBA" w14:textId="77777777" w:rsidR="00EF5F68" w:rsidRPr="00076FD4" w:rsidRDefault="00EF5F68" w:rsidP="00EF5F68">
      <w:pPr>
        <w:pStyle w:val="ListParagraph"/>
        <w:numPr>
          <w:ilvl w:val="0"/>
          <w:numId w:val="22"/>
        </w:numPr>
        <w:spacing w:before="0" w:line="259" w:lineRule="auto"/>
        <w:contextualSpacing/>
        <w:jc w:val="left"/>
        <w:rPr>
          <w:rFonts w:ascii="Franklin Gothic Book" w:eastAsia="Franklin Gothic Book" w:hAnsi="Franklin Gothic Book" w:cs="Franklin Gothic Book"/>
          <w:sz w:val="22"/>
        </w:rPr>
      </w:pPr>
      <w:r w:rsidRPr="46823590">
        <w:rPr>
          <w:rFonts w:ascii="Franklin Gothic Book" w:eastAsia="Franklin Gothic Book" w:hAnsi="Franklin Gothic Book" w:cs="Franklin Gothic Book"/>
          <w:sz w:val="22"/>
        </w:rPr>
        <w:t>OCA noted consideration must be undertaken for the appropriate point in the disease pathway that this testing is recommended and performed. OCA stated that while testing for FRα upfront at the time of diagnosis may result in testing for those who won’t go on to require MIRV, consideration should be given to whether the timing of this test alongside other diagnostics might reduce the risk of women falling through the cracks when they are later determined to be platinum-resistant.</w:t>
      </w:r>
    </w:p>
    <w:p w14:paraId="54005314" w14:textId="0803C5B8" w:rsidR="00EF5F68" w:rsidRPr="00EF5F68" w:rsidRDefault="00EF5F68" w:rsidP="00EF5F68">
      <w:pPr>
        <w:pStyle w:val="ListParagraph"/>
        <w:numPr>
          <w:ilvl w:val="0"/>
          <w:numId w:val="22"/>
        </w:numPr>
        <w:spacing w:before="0" w:line="259" w:lineRule="auto"/>
        <w:contextualSpacing/>
        <w:jc w:val="left"/>
        <w:rPr>
          <w:rFonts w:ascii="Franklin Gothic Book" w:hAnsi="Franklin Gothic Book"/>
          <w:color w:val="auto"/>
          <w:sz w:val="22"/>
          <w:szCs w:val="20"/>
        </w:rPr>
      </w:pPr>
      <w:r w:rsidRPr="46823590">
        <w:rPr>
          <w:rFonts w:ascii="Franklin Gothic Book" w:eastAsia="Franklin Gothic Book" w:hAnsi="Franklin Gothic Book" w:cs="Franklin Gothic Book"/>
          <w:sz w:val="22"/>
        </w:rPr>
        <w:lastRenderedPageBreak/>
        <w:t>OCA noted that with tumour testing at recurrence not currently standard of care in ovarian cancer management, decisions on the timing and systems of this test usage and reimbursement must support equitable access to optimal care, including for priority populations. However, OCA described the FRα immunohistochemistry test as a well-established testing method in Australian laboratories, with no significant challenges expected in actual test delivery.</w:t>
      </w:r>
    </w:p>
    <w:p w14:paraId="503C4D57" w14:textId="69B80763" w:rsidR="00183A87" w:rsidRPr="00214750" w:rsidRDefault="00183A87"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r w:rsidRPr="00214750">
        <w:rPr>
          <w:rFonts w:ascii="Franklin Gothic Medium" w:hAnsi="Franklin Gothic Medium"/>
          <w:b w:val="0"/>
          <w:snapToGrid/>
          <w:color w:val="000000" w:themeColor="text1"/>
          <w:sz w:val="32"/>
          <w:szCs w:val="26"/>
        </w:rPr>
        <w:t>Characteristics of the evidence base</w:t>
      </w:r>
      <w:bookmarkEnd w:id="23"/>
    </w:p>
    <w:p w14:paraId="7FE35BD4" w14:textId="1D460F5A" w:rsidR="008764D5" w:rsidRPr="009D5A4A" w:rsidRDefault="00E517FA" w:rsidP="00E517FA">
      <w:pPr>
        <w:rPr>
          <w:rFonts w:ascii="Franklin Gothic Book" w:hAnsi="Franklin Gothic Book"/>
          <w:sz w:val="22"/>
          <w:szCs w:val="20"/>
        </w:rPr>
      </w:pPr>
      <w:r w:rsidRPr="00214750">
        <w:rPr>
          <w:rFonts w:ascii="Franklin Gothic Book" w:hAnsi="Franklin Gothic Book"/>
          <w:sz w:val="22"/>
          <w:szCs w:val="20"/>
        </w:rPr>
        <w:t>A summary of the studies and trials in the linked evidence approach is shown in</w:t>
      </w:r>
      <w:r w:rsidR="005E37CF">
        <w:rPr>
          <w:rFonts w:ascii="Franklin Gothic Book" w:hAnsi="Franklin Gothic Book"/>
          <w:sz w:val="22"/>
          <w:szCs w:val="20"/>
        </w:rPr>
        <w:t xml:space="preserve">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_Ref198566063 \h </w:instrText>
      </w:r>
      <w:r w:rsidR="00764A1E">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764A1E">
        <w:rPr>
          <w:rFonts w:ascii="Franklin Gothic Book" w:hAnsi="Franklin Gothic Book"/>
          <w:sz w:val="22"/>
          <w:szCs w:val="20"/>
        </w:rPr>
        <w:t>Table 8</w:t>
      </w:r>
      <w:r w:rsidR="005E37CF">
        <w:rPr>
          <w:rFonts w:ascii="Franklin Gothic Book" w:hAnsi="Franklin Gothic Book"/>
          <w:sz w:val="22"/>
          <w:szCs w:val="20"/>
        </w:rPr>
        <w:fldChar w:fldCharType="end"/>
      </w:r>
      <w:r w:rsidRPr="00214750">
        <w:rPr>
          <w:rFonts w:ascii="Franklin Gothic Book" w:hAnsi="Franklin Gothic Book"/>
          <w:sz w:val="22"/>
          <w:szCs w:val="20"/>
        </w:rPr>
        <w:t>, specific areas where evidence was lacking are outlined in</w:t>
      </w:r>
      <w:r w:rsidR="005E37CF">
        <w:rPr>
          <w:rFonts w:ascii="Franklin Gothic Book" w:hAnsi="Franklin Gothic Book"/>
          <w:sz w:val="22"/>
          <w:szCs w:val="20"/>
        </w:rPr>
        <w:t xml:space="preserve">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_Ref198566104 \h </w:instrText>
      </w:r>
      <w:r w:rsidR="00764A1E">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764A1E">
        <w:rPr>
          <w:rFonts w:ascii="Franklin Gothic Book" w:hAnsi="Franklin Gothic Book"/>
          <w:sz w:val="22"/>
          <w:szCs w:val="20"/>
        </w:rPr>
        <w:t>Table 9</w:t>
      </w:r>
      <w:r w:rsidR="005E37CF">
        <w:rPr>
          <w:rFonts w:ascii="Franklin Gothic Book" w:hAnsi="Franklin Gothic Book"/>
          <w:sz w:val="22"/>
          <w:szCs w:val="20"/>
        </w:rPr>
        <w:fldChar w:fldCharType="end"/>
      </w:r>
      <w:r w:rsidRPr="00214750">
        <w:rPr>
          <w:rFonts w:ascii="Franklin Gothic Book" w:hAnsi="Franklin Gothic Book"/>
          <w:sz w:val="22"/>
          <w:szCs w:val="20"/>
        </w:rPr>
        <w:t>. The commentary noted that none of the test outcomes reported in the studies were used in the economic model.</w:t>
      </w:r>
      <w:r w:rsidRPr="009D5A4A">
        <w:rPr>
          <w:rFonts w:ascii="Franklin Gothic Book" w:hAnsi="Franklin Gothic Book"/>
          <w:sz w:val="22"/>
          <w:szCs w:val="20"/>
        </w:rPr>
        <w:t xml:space="preserve"> </w:t>
      </w:r>
    </w:p>
    <w:p w14:paraId="5046DDBC" w14:textId="24E22990" w:rsidR="00E517FA" w:rsidRPr="00F10893" w:rsidRDefault="005E37CF" w:rsidP="00B6001B">
      <w:pPr>
        <w:pStyle w:val="Caption"/>
        <w:keepLines/>
      </w:pPr>
      <w:bookmarkStart w:id="24" w:name="_Ref198566063"/>
      <w:r>
        <w:lastRenderedPageBreak/>
        <w:t>Table</w:t>
      </w:r>
      <w:r w:rsidR="0061655A" w:rsidRPr="00F10893">
        <w:t xml:space="preserve"> </w:t>
      </w:r>
      <w:r>
        <w:fldChar w:fldCharType="begin"/>
      </w:r>
      <w:r>
        <w:instrText xml:space="preserve"> SEQ Table \* ARABIC </w:instrText>
      </w:r>
      <w:r>
        <w:fldChar w:fldCharType="separate"/>
      </w:r>
      <w:r>
        <w:rPr>
          <w:noProof/>
        </w:rPr>
        <w:t>8</w:t>
      </w:r>
      <w:r>
        <w:rPr>
          <w:noProof/>
        </w:rPr>
        <w:fldChar w:fldCharType="end"/>
      </w:r>
      <w:bookmarkEnd w:id="24"/>
      <w:r w:rsidR="0061655A" w:rsidRPr="00F10893">
        <w:t xml:space="preserve">: </w:t>
      </w:r>
      <w:r w:rsidR="00E517FA" w:rsidRPr="00F10893">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217"/>
        <w:gridCol w:w="2094"/>
        <w:gridCol w:w="2173"/>
      </w:tblGrid>
      <w:tr w:rsidR="00E517FA" w:rsidRPr="00F10893" w14:paraId="20D46CB5" w14:textId="77777777">
        <w:trPr>
          <w:tblHeader/>
        </w:trPr>
        <w:tc>
          <w:tcPr>
            <w:tcW w:w="850" w:type="pct"/>
            <w:tcBorders>
              <w:top w:val="single" w:sz="4" w:space="0" w:color="auto"/>
              <w:left w:val="single" w:sz="4" w:space="0" w:color="auto"/>
              <w:bottom w:val="single" w:sz="4" w:space="0" w:color="auto"/>
              <w:right w:val="single" w:sz="4" w:space="0" w:color="auto"/>
            </w:tcBorders>
            <w:vAlign w:val="bottom"/>
          </w:tcPr>
          <w:p w14:paraId="49B549BE" w14:textId="77777777" w:rsidR="00E517FA" w:rsidRPr="00F10893" w:rsidRDefault="00E517FA" w:rsidP="00B6001B">
            <w:pPr>
              <w:keepNext/>
              <w:keepLines/>
              <w:widowControl w:val="0"/>
              <w:spacing w:before="0" w:after="0"/>
              <w:jc w:val="left"/>
              <w:rPr>
                <w:rFonts w:ascii="Arial Narrow" w:hAnsi="Arial Narrow"/>
                <w:b/>
                <w:sz w:val="20"/>
              </w:rPr>
            </w:pPr>
            <w:bookmarkStart w:id="25" w:name="ColumnTitle_Table4"/>
            <w:bookmarkStart w:id="26" w:name="_Hlk68276288"/>
            <w:bookmarkEnd w:id="25"/>
            <w:r w:rsidRPr="00F10893">
              <w:rPr>
                <w:rFonts w:ascii="Arial Narrow" w:hAnsi="Arial Narrow"/>
                <w:b/>
                <w:sz w:val="20"/>
              </w:rPr>
              <w:t>Criterion</w:t>
            </w:r>
          </w:p>
        </w:tc>
        <w:tc>
          <w:tcPr>
            <w:tcW w:w="1784" w:type="pct"/>
            <w:tcBorders>
              <w:top w:val="single" w:sz="4" w:space="0" w:color="auto"/>
              <w:left w:val="single" w:sz="4" w:space="0" w:color="auto"/>
              <w:bottom w:val="single" w:sz="4" w:space="0" w:color="auto"/>
              <w:right w:val="single" w:sz="4" w:space="0" w:color="auto"/>
            </w:tcBorders>
            <w:vAlign w:val="bottom"/>
            <w:hideMark/>
          </w:tcPr>
          <w:p w14:paraId="4ADACCB3" w14:textId="77777777" w:rsidR="00E517FA" w:rsidRPr="00F10893" w:rsidRDefault="00E517FA" w:rsidP="00B6001B">
            <w:pPr>
              <w:keepNext/>
              <w:keepLines/>
              <w:widowControl w:val="0"/>
              <w:spacing w:before="0" w:after="0"/>
              <w:jc w:val="left"/>
              <w:rPr>
                <w:rFonts w:ascii="Arial Narrow" w:hAnsi="Arial Narrow"/>
                <w:b/>
                <w:sz w:val="20"/>
              </w:rPr>
            </w:pPr>
            <w:r w:rsidRPr="00F10893">
              <w:rPr>
                <w:rFonts w:ascii="Arial Narrow" w:hAnsi="Arial Narrow"/>
                <w:b/>
                <w:sz w:val="20"/>
              </w:rPr>
              <w:t>Type of evidence supplied</w:t>
            </w:r>
          </w:p>
        </w:tc>
        <w:tc>
          <w:tcPr>
            <w:tcW w:w="1161" w:type="pct"/>
            <w:tcBorders>
              <w:top w:val="single" w:sz="4" w:space="0" w:color="auto"/>
              <w:left w:val="single" w:sz="4" w:space="0" w:color="auto"/>
              <w:bottom w:val="single" w:sz="4" w:space="0" w:color="auto"/>
              <w:right w:val="single" w:sz="4" w:space="0" w:color="auto"/>
            </w:tcBorders>
            <w:vAlign w:val="bottom"/>
            <w:hideMark/>
          </w:tcPr>
          <w:p w14:paraId="46EBBE3A" w14:textId="77777777" w:rsidR="00E517FA" w:rsidRPr="00F10893" w:rsidRDefault="00E517FA" w:rsidP="00B6001B">
            <w:pPr>
              <w:keepNext/>
              <w:keepLines/>
              <w:widowControl w:val="0"/>
              <w:spacing w:before="0" w:after="0"/>
              <w:jc w:val="left"/>
              <w:rPr>
                <w:rFonts w:ascii="Arial Narrow" w:hAnsi="Arial Narrow"/>
                <w:b/>
                <w:sz w:val="20"/>
              </w:rPr>
            </w:pPr>
            <w:r w:rsidRPr="00F10893">
              <w:rPr>
                <w:rFonts w:ascii="Arial Narrow" w:hAnsi="Arial Narrow"/>
                <w:b/>
                <w:sz w:val="20"/>
              </w:rPr>
              <w:t>Extent of evidence supplied</w:t>
            </w:r>
          </w:p>
        </w:tc>
        <w:tc>
          <w:tcPr>
            <w:tcW w:w="1205" w:type="pct"/>
            <w:tcBorders>
              <w:top w:val="single" w:sz="4" w:space="0" w:color="auto"/>
              <w:left w:val="single" w:sz="4" w:space="0" w:color="auto"/>
              <w:bottom w:val="single" w:sz="4" w:space="0" w:color="auto"/>
              <w:right w:val="single" w:sz="4" w:space="0" w:color="auto"/>
            </w:tcBorders>
            <w:vAlign w:val="bottom"/>
            <w:hideMark/>
          </w:tcPr>
          <w:p w14:paraId="5CED90AF" w14:textId="77777777" w:rsidR="00E517FA" w:rsidRPr="00F10893" w:rsidRDefault="00E517FA" w:rsidP="00B6001B">
            <w:pPr>
              <w:keepNext/>
              <w:keepLines/>
              <w:widowControl w:val="0"/>
              <w:spacing w:before="0" w:after="0"/>
              <w:jc w:val="left"/>
              <w:rPr>
                <w:rFonts w:ascii="Arial Narrow" w:hAnsi="Arial Narrow"/>
                <w:b/>
                <w:sz w:val="20"/>
              </w:rPr>
            </w:pPr>
            <w:r w:rsidRPr="00F10893">
              <w:rPr>
                <w:rFonts w:ascii="Arial Narrow" w:hAnsi="Arial Narrow"/>
                <w:b/>
                <w:sz w:val="20"/>
              </w:rPr>
              <w:t>Overall risk of bias in evidence base</w:t>
            </w:r>
          </w:p>
        </w:tc>
      </w:tr>
      <w:tr w:rsidR="00E517FA" w:rsidRPr="00F10893" w14:paraId="384FAA91" w14:textId="77777777">
        <w:tc>
          <w:tcPr>
            <w:tcW w:w="850" w:type="pct"/>
            <w:tcBorders>
              <w:top w:val="single" w:sz="4" w:space="0" w:color="auto"/>
              <w:left w:val="single" w:sz="4" w:space="0" w:color="auto"/>
              <w:bottom w:val="single" w:sz="4" w:space="0" w:color="auto"/>
              <w:right w:val="single" w:sz="4" w:space="0" w:color="auto"/>
            </w:tcBorders>
            <w:hideMark/>
          </w:tcPr>
          <w:p w14:paraId="105B1B25"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Accuracy and performance of the test (cross-sectional accuracy)</w:t>
            </w:r>
          </w:p>
        </w:tc>
        <w:tc>
          <w:tcPr>
            <w:tcW w:w="1784" w:type="pct"/>
            <w:tcBorders>
              <w:top w:val="single" w:sz="4" w:space="0" w:color="auto"/>
              <w:left w:val="single" w:sz="4" w:space="0" w:color="auto"/>
              <w:bottom w:val="single" w:sz="4" w:space="0" w:color="auto"/>
              <w:right w:val="single" w:sz="4" w:space="0" w:color="auto"/>
            </w:tcBorders>
            <w:hideMark/>
          </w:tcPr>
          <w:p w14:paraId="122D278C" w14:textId="77777777" w:rsidR="00E517FA" w:rsidRPr="00F10893" w:rsidRDefault="00E517FA" w:rsidP="00B6001B">
            <w:pPr>
              <w:keepNext/>
              <w:keepLines/>
              <w:widowControl w:val="0"/>
              <w:spacing w:before="0" w:after="0"/>
              <w:jc w:val="left"/>
              <w:rPr>
                <w:rFonts w:ascii="Arial Narrow" w:hAnsi="Arial Narrow"/>
                <w:sz w:val="20"/>
                <w:szCs w:val="20"/>
              </w:rPr>
            </w:pPr>
            <w:r w:rsidRPr="00F10893">
              <w:rPr>
                <w:rFonts w:ascii="Arial Narrow" w:hAnsi="Arial Narrow"/>
                <w:sz w:val="20"/>
                <w:szCs w:val="20"/>
              </w:rPr>
              <w:t>James et al, (2024) Retrospective analysis of pathology samples from MIRV Phase II trial (SORAYA) used to establish concordance in use of the clinical utility standard in different settings</w:t>
            </w:r>
          </w:p>
          <w:p w14:paraId="6952D5D0" w14:textId="77777777" w:rsidR="00E517FA" w:rsidRPr="00F10893" w:rsidRDefault="00E517FA" w:rsidP="00B6001B">
            <w:pPr>
              <w:keepNext/>
              <w:keepLines/>
              <w:widowControl w:val="0"/>
              <w:spacing w:before="0" w:after="0"/>
              <w:jc w:val="left"/>
              <w:rPr>
                <w:rFonts w:ascii="Arial Narrow" w:hAnsi="Arial Narrow"/>
                <w:sz w:val="20"/>
                <w:szCs w:val="20"/>
              </w:rPr>
            </w:pPr>
          </w:p>
          <w:p w14:paraId="29E16FFE" w14:textId="77777777" w:rsidR="00E517FA" w:rsidRPr="00F10893" w:rsidRDefault="00E517FA" w:rsidP="00B6001B">
            <w:pPr>
              <w:keepNext/>
              <w:keepLines/>
              <w:widowControl w:val="0"/>
              <w:spacing w:before="0" w:after="0"/>
              <w:jc w:val="left"/>
              <w:rPr>
                <w:rFonts w:ascii="Arial Narrow" w:hAnsi="Arial Narrow"/>
                <w:sz w:val="20"/>
                <w:szCs w:val="20"/>
              </w:rPr>
            </w:pPr>
            <w:r w:rsidRPr="00F10893">
              <w:rPr>
                <w:rFonts w:ascii="Arial Narrow" w:hAnsi="Arial Narrow"/>
                <w:sz w:val="20"/>
                <w:szCs w:val="20"/>
              </w:rPr>
              <w:t>Martin et al (2017) sub-study to the MIRV Phase I trial; testing of archived tissue vs fresh pre-treatment biopsy vs fresh post-treatment biopsy</w:t>
            </w:r>
          </w:p>
          <w:p w14:paraId="48923E89" w14:textId="77777777" w:rsidR="00E517FA" w:rsidRPr="00F10893" w:rsidRDefault="00E517FA" w:rsidP="00B6001B">
            <w:pPr>
              <w:keepNext/>
              <w:keepLines/>
              <w:widowControl w:val="0"/>
              <w:spacing w:before="0" w:after="0"/>
              <w:jc w:val="left"/>
              <w:rPr>
                <w:rFonts w:ascii="Arial Narrow" w:hAnsi="Arial Narrow"/>
                <w:sz w:val="20"/>
                <w:szCs w:val="20"/>
              </w:rPr>
            </w:pPr>
          </w:p>
          <w:p w14:paraId="2D75F0C0"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szCs w:val="20"/>
              </w:rPr>
              <w:t>FDA (2022) evaluation report for Ventana FOLR1 assay; reports results of James et al, (2024); includes results of separate biomarker prevalence study (N=953)</w:t>
            </w:r>
          </w:p>
        </w:tc>
        <w:tc>
          <w:tcPr>
            <w:tcW w:w="1161" w:type="pct"/>
            <w:tcBorders>
              <w:top w:val="single" w:sz="4" w:space="0" w:color="auto"/>
              <w:left w:val="single" w:sz="4" w:space="0" w:color="auto"/>
              <w:bottom w:val="single" w:sz="4" w:space="0" w:color="auto"/>
              <w:right w:val="single" w:sz="4" w:space="0" w:color="auto"/>
            </w:tcBorders>
            <w:hideMark/>
          </w:tcPr>
          <w:p w14:paraId="20A1CD91" w14:textId="77777777" w:rsidR="00E517FA" w:rsidRPr="00F10893" w:rsidRDefault="009E52A1" w:rsidP="00B6001B">
            <w:pPr>
              <w:keepNext/>
              <w:keepLines/>
              <w:widowControl w:val="0"/>
              <w:spacing w:before="0" w:after="0"/>
              <w:jc w:val="left"/>
              <w:rPr>
                <w:rFonts w:ascii="Arial Narrow" w:hAnsi="Arial Narrow"/>
                <w:sz w:val="20"/>
                <w:szCs w:val="20"/>
              </w:rPr>
            </w:pPr>
            <w:sdt>
              <w:sdtPr>
                <w:rPr>
                  <w:rFonts w:ascii="Arial Narrow" w:hAnsi="Arial Narrow"/>
                  <w:sz w:val="20"/>
                  <w:szCs w:val="20"/>
                </w:rPr>
                <w:id w:val="-1224128272"/>
                <w14:checkbox>
                  <w14:checked w14:val="1"/>
                  <w14:checkedState w14:val="2612" w14:font="MS Gothic"/>
                  <w14:uncheckedState w14:val="2610" w14:font="MS Gothic"/>
                </w14:checkbox>
              </w:sdtPr>
              <w:sdtEndPr/>
              <w:sdtContent>
                <w:r w:rsidR="00E517FA" w:rsidRPr="00F10893">
                  <w:rPr>
                    <w:rFonts w:ascii="Segoe UI Symbol" w:hAnsi="Segoe UI Symbol" w:cs="Segoe UI Symbol"/>
                    <w:sz w:val="20"/>
                    <w:szCs w:val="20"/>
                  </w:rPr>
                  <w:t>☒</w:t>
                </w:r>
              </w:sdtContent>
            </w:sdt>
            <w:r w:rsidR="00E517FA" w:rsidRPr="00F10893">
              <w:rPr>
                <w:rFonts w:ascii="Arial Narrow" w:hAnsi="Arial Narrow"/>
                <w:sz w:val="20"/>
                <w:szCs w:val="20"/>
              </w:rPr>
              <w:tab/>
              <w:t>k=3</w:t>
            </w:r>
            <w:r w:rsidR="00E517FA" w:rsidRPr="00F10893">
              <w:rPr>
                <w:rFonts w:ascii="Arial Narrow" w:hAnsi="Arial Narrow"/>
                <w:sz w:val="20"/>
                <w:szCs w:val="20"/>
              </w:rPr>
              <w:tab/>
            </w:r>
          </w:p>
          <w:p w14:paraId="7A580904" w14:textId="04CEF10F" w:rsidR="00E517FA" w:rsidRPr="00F10893" w:rsidRDefault="00E517FA" w:rsidP="00B6001B">
            <w:pPr>
              <w:keepNext/>
              <w:keepLines/>
              <w:widowControl w:val="0"/>
              <w:spacing w:before="0" w:after="0"/>
              <w:jc w:val="left"/>
              <w:rPr>
                <w:rFonts w:ascii="Arial Narrow" w:hAnsi="Arial Narrow"/>
                <w:sz w:val="20"/>
                <w:szCs w:val="20"/>
              </w:rPr>
            </w:pPr>
            <w:r w:rsidRPr="00F10893">
              <w:rPr>
                <w:rFonts w:ascii="Arial Narrow" w:hAnsi="Arial Narrow"/>
                <w:sz w:val="20"/>
                <w:szCs w:val="20"/>
              </w:rPr>
              <w:t>n=100+24+28+438</w:t>
            </w:r>
          </w:p>
          <w:p w14:paraId="37ECCC3A" w14:textId="39BACC93" w:rsidR="00E517FA" w:rsidRPr="00F10893" w:rsidRDefault="00490C53" w:rsidP="00B6001B">
            <w:pPr>
              <w:keepNext/>
              <w:keepLines/>
              <w:widowControl w:val="0"/>
              <w:spacing w:before="0" w:after="0"/>
              <w:jc w:val="left"/>
              <w:rPr>
                <w:rFonts w:ascii="Arial Narrow" w:hAnsi="Arial Narrow"/>
                <w:sz w:val="20"/>
                <w:szCs w:val="20"/>
              </w:rPr>
            </w:pPr>
            <w:r w:rsidRPr="00F10893">
              <w:rPr>
                <w:rFonts w:ascii="Arial Narrow" w:hAnsi="Arial Narrow"/>
                <w:sz w:val="20"/>
                <w:szCs w:val="20"/>
              </w:rPr>
              <w:t>(</w:t>
            </w:r>
            <w:r w:rsidR="00362FC1" w:rsidRPr="00F10893">
              <w:rPr>
                <w:rFonts w:ascii="Arial Narrow" w:hAnsi="Arial Narrow"/>
                <w:sz w:val="20"/>
                <w:szCs w:val="20"/>
              </w:rPr>
              <w:t>based on multiple</w:t>
            </w:r>
            <w:r w:rsidRPr="00F10893">
              <w:rPr>
                <w:rFonts w:ascii="Arial Narrow" w:hAnsi="Arial Narrow"/>
                <w:sz w:val="20"/>
                <w:szCs w:val="20"/>
              </w:rPr>
              <w:t xml:space="preserve"> test performance analyses)</w:t>
            </w:r>
          </w:p>
          <w:p w14:paraId="126392C2" w14:textId="77777777" w:rsidR="00E517FA" w:rsidRPr="00F10893" w:rsidRDefault="00E517FA" w:rsidP="00B6001B">
            <w:pPr>
              <w:keepNext/>
              <w:keepLines/>
              <w:widowControl w:val="0"/>
              <w:spacing w:before="0" w:after="0"/>
              <w:jc w:val="left"/>
              <w:rPr>
                <w:rFonts w:ascii="Arial Narrow" w:hAnsi="Arial Narrow"/>
                <w:sz w:val="20"/>
                <w:szCs w:val="20"/>
              </w:rPr>
            </w:pPr>
          </w:p>
          <w:p w14:paraId="1101CD1C" w14:textId="77777777" w:rsidR="00E517FA" w:rsidRPr="00F10893" w:rsidRDefault="00E517FA" w:rsidP="00B6001B">
            <w:pPr>
              <w:keepNext/>
              <w:keepLines/>
              <w:widowControl w:val="0"/>
              <w:spacing w:before="0" w:after="0"/>
              <w:jc w:val="left"/>
              <w:rPr>
                <w:rFonts w:ascii="Arial Narrow" w:hAnsi="Arial Narrow"/>
                <w:sz w:val="20"/>
                <w:szCs w:val="20"/>
              </w:rPr>
            </w:pPr>
          </w:p>
          <w:p w14:paraId="0D265A3B" w14:textId="77777777" w:rsidR="00E517FA" w:rsidRPr="00F10893" w:rsidRDefault="00E517FA" w:rsidP="00B6001B">
            <w:pPr>
              <w:keepNext/>
              <w:keepLines/>
              <w:widowControl w:val="0"/>
              <w:spacing w:before="0" w:after="0"/>
              <w:jc w:val="left"/>
              <w:rPr>
                <w:rFonts w:ascii="Arial Narrow" w:hAnsi="Arial Narrow"/>
                <w:sz w:val="20"/>
                <w:szCs w:val="20"/>
              </w:rPr>
            </w:pPr>
          </w:p>
          <w:p w14:paraId="13603F9C" w14:textId="77777777" w:rsidR="00E517FA" w:rsidRPr="00F10893" w:rsidRDefault="00E517FA" w:rsidP="00B6001B">
            <w:pPr>
              <w:keepNext/>
              <w:keepLines/>
              <w:widowControl w:val="0"/>
              <w:spacing w:before="0" w:after="0"/>
              <w:jc w:val="left"/>
              <w:rPr>
                <w:rFonts w:ascii="Arial Narrow" w:hAnsi="Arial Narrow"/>
                <w:sz w:val="20"/>
                <w:szCs w:val="20"/>
              </w:rPr>
            </w:pPr>
            <w:r w:rsidRPr="00F10893">
              <w:rPr>
                <w:rFonts w:ascii="Arial Narrow" w:hAnsi="Arial Narrow"/>
                <w:sz w:val="20"/>
                <w:szCs w:val="20"/>
              </w:rPr>
              <w:t>n=27</w:t>
            </w:r>
          </w:p>
          <w:p w14:paraId="6E7503A8" w14:textId="77777777" w:rsidR="00E517FA" w:rsidRPr="00F10893" w:rsidRDefault="00E517FA" w:rsidP="00B6001B">
            <w:pPr>
              <w:keepNext/>
              <w:keepLines/>
              <w:widowControl w:val="0"/>
              <w:spacing w:before="0" w:after="0"/>
              <w:jc w:val="left"/>
              <w:rPr>
                <w:rFonts w:ascii="Arial Narrow" w:hAnsi="Arial Narrow"/>
                <w:sz w:val="20"/>
                <w:szCs w:val="20"/>
              </w:rPr>
            </w:pPr>
          </w:p>
          <w:p w14:paraId="1A1A48E2" w14:textId="77777777" w:rsidR="00E517FA" w:rsidRPr="00F10893" w:rsidRDefault="00E517FA" w:rsidP="00B6001B">
            <w:pPr>
              <w:keepNext/>
              <w:keepLines/>
              <w:widowControl w:val="0"/>
              <w:spacing w:before="0" w:after="0"/>
              <w:jc w:val="left"/>
              <w:rPr>
                <w:rFonts w:ascii="Arial Narrow" w:hAnsi="Arial Narrow"/>
                <w:sz w:val="20"/>
                <w:szCs w:val="20"/>
              </w:rPr>
            </w:pPr>
          </w:p>
          <w:p w14:paraId="7D6ABB86" w14:textId="77777777" w:rsidR="00E517FA" w:rsidRPr="00F10893" w:rsidRDefault="00E517FA" w:rsidP="00B6001B">
            <w:pPr>
              <w:keepNext/>
              <w:keepLines/>
              <w:widowControl w:val="0"/>
              <w:spacing w:before="0" w:after="0"/>
              <w:jc w:val="left"/>
              <w:rPr>
                <w:rFonts w:ascii="Arial Narrow" w:hAnsi="Arial Narrow"/>
                <w:sz w:val="20"/>
                <w:szCs w:val="20"/>
              </w:rPr>
            </w:pPr>
          </w:p>
          <w:p w14:paraId="02A8F114" w14:textId="77777777" w:rsidR="00E517FA" w:rsidRPr="00F10893" w:rsidRDefault="00E517FA" w:rsidP="00B6001B">
            <w:pPr>
              <w:keepNext/>
              <w:keepLines/>
              <w:widowControl w:val="0"/>
              <w:spacing w:before="0" w:after="0"/>
              <w:jc w:val="left"/>
              <w:rPr>
                <w:rFonts w:ascii="Arial Narrow" w:hAnsi="Arial Narrow"/>
                <w:sz w:val="20"/>
                <w:szCs w:val="20"/>
              </w:rPr>
            </w:pPr>
          </w:p>
          <w:p w14:paraId="2635473C"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szCs w:val="20"/>
              </w:rPr>
              <w:t>n=953</w:t>
            </w:r>
          </w:p>
        </w:tc>
        <w:tc>
          <w:tcPr>
            <w:tcW w:w="1205" w:type="pct"/>
            <w:tcBorders>
              <w:top w:val="single" w:sz="4" w:space="0" w:color="auto"/>
              <w:left w:val="single" w:sz="4" w:space="0" w:color="auto"/>
              <w:bottom w:val="single" w:sz="4" w:space="0" w:color="auto"/>
              <w:right w:val="single" w:sz="4" w:space="0" w:color="auto"/>
            </w:tcBorders>
            <w:hideMark/>
          </w:tcPr>
          <w:p w14:paraId="64FAA0C3"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szCs w:val="20"/>
              </w:rPr>
              <w:t>James et al, (2024) and Martin et al, (2017) high</w:t>
            </w:r>
            <w:r w:rsidRPr="00F10893">
              <w:rPr>
                <w:rFonts w:ascii="Arial Narrow" w:hAnsi="Arial Narrow"/>
                <w:sz w:val="20"/>
              </w:rPr>
              <w:t xml:space="preserve"> RoB due to lack of reference standard.</w:t>
            </w:r>
          </w:p>
          <w:p w14:paraId="7DF6531F" w14:textId="77777777" w:rsidR="00E517FA" w:rsidRPr="00F10893" w:rsidRDefault="00E517FA" w:rsidP="00B6001B">
            <w:pPr>
              <w:keepNext/>
              <w:keepLines/>
              <w:widowControl w:val="0"/>
              <w:spacing w:before="0" w:after="0"/>
              <w:jc w:val="left"/>
              <w:rPr>
                <w:rFonts w:ascii="Arial Narrow" w:hAnsi="Arial Narrow"/>
                <w:sz w:val="20"/>
              </w:rPr>
            </w:pPr>
          </w:p>
          <w:p w14:paraId="6DDFB6E2" w14:textId="77777777" w:rsidR="00E517FA" w:rsidRPr="00F10893" w:rsidRDefault="00E517FA" w:rsidP="00B6001B">
            <w:pPr>
              <w:keepNext/>
              <w:keepLines/>
              <w:widowControl w:val="0"/>
              <w:spacing w:before="0" w:after="0"/>
              <w:jc w:val="left"/>
              <w:rPr>
                <w:rFonts w:ascii="Arial Narrow" w:hAnsi="Arial Narrow"/>
                <w:sz w:val="20"/>
              </w:rPr>
            </w:pPr>
          </w:p>
          <w:p w14:paraId="3A77E839" w14:textId="77777777" w:rsidR="00E517FA" w:rsidRPr="00F10893" w:rsidRDefault="00E517FA" w:rsidP="00B6001B">
            <w:pPr>
              <w:keepNext/>
              <w:keepLines/>
              <w:widowControl w:val="0"/>
              <w:spacing w:before="0" w:after="0"/>
              <w:jc w:val="left"/>
              <w:rPr>
                <w:rFonts w:ascii="Arial Narrow" w:hAnsi="Arial Narrow"/>
                <w:sz w:val="20"/>
              </w:rPr>
            </w:pPr>
          </w:p>
          <w:p w14:paraId="2514B0BE" w14:textId="77777777" w:rsidR="00E517FA" w:rsidRPr="00F10893" w:rsidRDefault="00E517FA" w:rsidP="00B6001B">
            <w:pPr>
              <w:keepNext/>
              <w:keepLines/>
              <w:widowControl w:val="0"/>
              <w:spacing w:before="0" w:after="0"/>
              <w:jc w:val="left"/>
              <w:rPr>
                <w:rFonts w:ascii="Arial Narrow" w:hAnsi="Arial Narrow"/>
                <w:sz w:val="20"/>
              </w:rPr>
            </w:pPr>
          </w:p>
          <w:p w14:paraId="25CD414A" w14:textId="77777777" w:rsidR="00E517FA" w:rsidRPr="00F10893" w:rsidRDefault="00E517FA" w:rsidP="00B6001B">
            <w:pPr>
              <w:keepNext/>
              <w:keepLines/>
              <w:widowControl w:val="0"/>
              <w:spacing w:before="0" w:after="0"/>
              <w:jc w:val="left"/>
              <w:rPr>
                <w:rFonts w:ascii="Arial Narrow" w:hAnsi="Arial Narrow"/>
                <w:sz w:val="20"/>
              </w:rPr>
            </w:pPr>
          </w:p>
          <w:p w14:paraId="4E4E8CAC" w14:textId="77777777" w:rsidR="00E517FA" w:rsidRPr="00F10893" w:rsidRDefault="00E517FA" w:rsidP="00B6001B">
            <w:pPr>
              <w:keepNext/>
              <w:keepLines/>
              <w:widowControl w:val="0"/>
              <w:spacing w:before="0" w:after="0"/>
              <w:jc w:val="left"/>
              <w:rPr>
                <w:rFonts w:ascii="Arial Narrow" w:hAnsi="Arial Narrow"/>
                <w:sz w:val="20"/>
              </w:rPr>
            </w:pPr>
          </w:p>
          <w:p w14:paraId="367785B1" w14:textId="77777777" w:rsidR="00E517FA" w:rsidRPr="00F10893" w:rsidRDefault="00E517FA" w:rsidP="00B6001B">
            <w:pPr>
              <w:keepNext/>
              <w:keepLines/>
              <w:widowControl w:val="0"/>
              <w:spacing w:before="0" w:after="0"/>
              <w:jc w:val="left"/>
              <w:rPr>
                <w:rFonts w:ascii="Arial Narrow" w:hAnsi="Arial Narrow"/>
                <w:sz w:val="20"/>
              </w:rPr>
            </w:pPr>
          </w:p>
          <w:p w14:paraId="22509DA9" w14:textId="77777777" w:rsidR="00E517FA" w:rsidRPr="00F10893" w:rsidRDefault="00E517FA" w:rsidP="00B6001B">
            <w:pPr>
              <w:keepNext/>
              <w:keepLines/>
              <w:widowControl w:val="0"/>
              <w:spacing w:before="0" w:after="0"/>
              <w:jc w:val="left"/>
              <w:rPr>
                <w:rFonts w:ascii="Arial Narrow" w:hAnsi="Arial Narrow"/>
                <w:sz w:val="20"/>
              </w:rPr>
            </w:pPr>
          </w:p>
          <w:p w14:paraId="09BD2561"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FDA (2022) – RoB not applicable.</w:t>
            </w:r>
          </w:p>
        </w:tc>
      </w:tr>
      <w:tr w:rsidR="00E517FA" w:rsidRPr="00F10893" w14:paraId="0DB3BDBD" w14:textId="77777777">
        <w:tc>
          <w:tcPr>
            <w:tcW w:w="850" w:type="pct"/>
            <w:tcBorders>
              <w:top w:val="single" w:sz="4" w:space="0" w:color="auto"/>
              <w:left w:val="single" w:sz="4" w:space="0" w:color="auto"/>
              <w:bottom w:val="single" w:sz="4" w:space="0" w:color="auto"/>
              <w:right w:val="single" w:sz="4" w:space="0" w:color="auto"/>
            </w:tcBorders>
            <w:hideMark/>
          </w:tcPr>
          <w:p w14:paraId="634F5C95"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Prognostic evidence (longitudinal accuracy)</w:t>
            </w:r>
          </w:p>
        </w:tc>
        <w:tc>
          <w:tcPr>
            <w:tcW w:w="1784" w:type="pct"/>
            <w:tcBorders>
              <w:top w:val="single" w:sz="4" w:space="0" w:color="auto"/>
              <w:left w:val="single" w:sz="4" w:space="0" w:color="auto"/>
              <w:bottom w:val="single" w:sz="4" w:space="0" w:color="auto"/>
              <w:right w:val="single" w:sz="4" w:space="0" w:color="auto"/>
            </w:tcBorders>
            <w:hideMark/>
          </w:tcPr>
          <w:p w14:paraId="769FAD26"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Four non-comparative observational studies</w:t>
            </w:r>
          </w:p>
          <w:p w14:paraId="66C26FA8"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Lawson et al (2024)</w:t>
            </w:r>
          </w:p>
          <w:p w14:paraId="4C426CC0"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Köbel et al (2014)</w:t>
            </w:r>
          </w:p>
          <w:p w14:paraId="2B52F118"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Crane et al (2012)</w:t>
            </w:r>
          </w:p>
          <w:p w14:paraId="27F7FC6A"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Kalli et al (2008)</w:t>
            </w:r>
          </w:p>
        </w:tc>
        <w:tc>
          <w:tcPr>
            <w:tcW w:w="1161" w:type="pct"/>
            <w:tcBorders>
              <w:top w:val="single" w:sz="4" w:space="0" w:color="auto"/>
              <w:left w:val="single" w:sz="4" w:space="0" w:color="auto"/>
              <w:bottom w:val="single" w:sz="4" w:space="0" w:color="auto"/>
              <w:right w:val="single" w:sz="4" w:space="0" w:color="auto"/>
            </w:tcBorders>
            <w:hideMark/>
          </w:tcPr>
          <w:p w14:paraId="6F9B280D" w14:textId="77777777" w:rsidR="00E517FA" w:rsidRPr="00F10893" w:rsidRDefault="009E52A1" w:rsidP="00B6001B">
            <w:pPr>
              <w:keepNext/>
              <w:keepLines/>
              <w:widowControl w:val="0"/>
              <w:spacing w:before="0" w:after="0"/>
              <w:jc w:val="left"/>
              <w:rPr>
                <w:rFonts w:ascii="Arial Narrow" w:hAnsi="Arial Narrow"/>
                <w:sz w:val="20"/>
              </w:rPr>
            </w:pPr>
            <w:sdt>
              <w:sdtPr>
                <w:rPr>
                  <w:rFonts w:ascii="Arial Narrow" w:hAnsi="Arial Narrow"/>
                  <w:sz w:val="20"/>
                </w:rPr>
                <w:id w:val="2105604530"/>
                <w14:checkbox>
                  <w14:checked w14:val="1"/>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k=4</w:t>
            </w:r>
            <w:r w:rsidR="00E517FA" w:rsidRPr="00F10893">
              <w:rPr>
                <w:rFonts w:ascii="Arial Narrow" w:hAnsi="Arial Narrow"/>
                <w:sz w:val="20"/>
              </w:rPr>
              <w:tab/>
            </w:r>
          </w:p>
          <w:p w14:paraId="2E5C67BF"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br/>
              <w:t>n=251</w:t>
            </w:r>
          </w:p>
          <w:p w14:paraId="2A04C8F4"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n=2801</w:t>
            </w:r>
          </w:p>
          <w:p w14:paraId="149E05D2"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n=361</w:t>
            </w:r>
          </w:p>
          <w:p w14:paraId="0D520037"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n=213</w:t>
            </w:r>
          </w:p>
        </w:tc>
        <w:tc>
          <w:tcPr>
            <w:tcW w:w="1205" w:type="pct"/>
            <w:tcBorders>
              <w:top w:val="single" w:sz="4" w:space="0" w:color="auto"/>
              <w:left w:val="single" w:sz="4" w:space="0" w:color="auto"/>
              <w:bottom w:val="single" w:sz="4" w:space="0" w:color="auto"/>
              <w:right w:val="single" w:sz="4" w:space="0" w:color="auto"/>
            </w:tcBorders>
            <w:hideMark/>
          </w:tcPr>
          <w:p w14:paraId="1DDEF6EE"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High</w:t>
            </w:r>
          </w:p>
        </w:tc>
      </w:tr>
      <w:tr w:rsidR="00E517FA" w:rsidRPr="00F10893" w14:paraId="017B7807" w14:textId="77777777">
        <w:tc>
          <w:tcPr>
            <w:tcW w:w="850" w:type="pct"/>
            <w:tcBorders>
              <w:top w:val="single" w:sz="4" w:space="0" w:color="auto"/>
              <w:left w:val="single" w:sz="4" w:space="0" w:color="auto"/>
              <w:bottom w:val="single" w:sz="4" w:space="0" w:color="auto"/>
              <w:right w:val="single" w:sz="4" w:space="0" w:color="auto"/>
            </w:tcBorders>
            <w:hideMark/>
          </w:tcPr>
          <w:p w14:paraId="4382B4C1"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 xml:space="preserve">Change in patient management </w:t>
            </w:r>
          </w:p>
        </w:tc>
        <w:tc>
          <w:tcPr>
            <w:tcW w:w="1784" w:type="pct"/>
            <w:tcBorders>
              <w:top w:val="single" w:sz="4" w:space="0" w:color="auto"/>
              <w:left w:val="single" w:sz="4" w:space="0" w:color="auto"/>
              <w:bottom w:val="single" w:sz="4" w:space="0" w:color="auto"/>
              <w:right w:val="single" w:sz="4" w:space="0" w:color="auto"/>
            </w:tcBorders>
            <w:hideMark/>
          </w:tcPr>
          <w:p w14:paraId="085D39B1"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No evidence presented</w:t>
            </w:r>
          </w:p>
        </w:tc>
        <w:tc>
          <w:tcPr>
            <w:tcW w:w="1161" w:type="pct"/>
            <w:tcBorders>
              <w:top w:val="single" w:sz="4" w:space="0" w:color="auto"/>
              <w:left w:val="single" w:sz="4" w:space="0" w:color="auto"/>
              <w:bottom w:val="single" w:sz="4" w:space="0" w:color="auto"/>
              <w:right w:val="single" w:sz="4" w:space="0" w:color="auto"/>
            </w:tcBorders>
            <w:hideMark/>
          </w:tcPr>
          <w:p w14:paraId="7B7AEC27" w14:textId="77777777" w:rsidR="00E517FA" w:rsidRPr="00F10893" w:rsidRDefault="009E52A1" w:rsidP="00B6001B">
            <w:pPr>
              <w:keepNext/>
              <w:keepLines/>
              <w:widowControl w:val="0"/>
              <w:spacing w:before="0" w:after="0"/>
              <w:jc w:val="left"/>
              <w:rPr>
                <w:rFonts w:ascii="Arial Narrow" w:hAnsi="Arial Narrow"/>
                <w:sz w:val="20"/>
              </w:rPr>
            </w:pPr>
            <w:sdt>
              <w:sdtPr>
                <w:rPr>
                  <w:rFonts w:ascii="Arial Narrow" w:hAnsi="Arial Narrow"/>
                  <w:sz w:val="20"/>
                </w:rPr>
                <w:id w:val="-2117126413"/>
                <w14:checkbox>
                  <w14:checked w14:val="0"/>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k=0</w:t>
            </w:r>
            <w:r w:rsidR="00E517FA" w:rsidRPr="00F10893">
              <w:rPr>
                <w:rFonts w:ascii="Arial Narrow" w:hAnsi="Arial Narrow"/>
                <w:sz w:val="20"/>
              </w:rPr>
              <w:tab/>
              <w:t>n=0</w:t>
            </w:r>
          </w:p>
        </w:tc>
        <w:tc>
          <w:tcPr>
            <w:tcW w:w="1205" w:type="pct"/>
            <w:tcBorders>
              <w:top w:val="single" w:sz="4" w:space="0" w:color="auto"/>
              <w:left w:val="single" w:sz="4" w:space="0" w:color="auto"/>
              <w:bottom w:val="single" w:sz="4" w:space="0" w:color="auto"/>
              <w:right w:val="single" w:sz="4" w:space="0" w:color="auto"/>
            </w:tcBorders>
            <w:hideMark/>
          </w:tcPr>
          <w:p w14:paraId="35C27E7E"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w:t>
            </w:r>
          </w:p>
        </w:tc>
      </w:tr>
      <w:tr w:rsidR="00E517FA" w:rsidRPr="00F10893" w14:paraId="7718E861" w14:textId="77777777">
        <w:tc>
          <w:tcPr>
            <w:tcW w:w="850" w:type="pct"/>
            <w:tcBorders>
              <w:top w:val="single" w:sz="4" w:space="0" w:color="auto"/>
              <w:left w:val="single" w:sz="4" w:space="0" w:color="auto"/>
              <w:bottom w:val="single" w:sz="4" w:space="0" w:color="auto"/>
              <w:right w:val="single" w:sz="4" w:space="0" w:color="auto"/>
            </w:tcBorders>
            <w:hideMark/>
          </w:tcPr>
          <w:p w14:paraId="78B84642"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 xml:space="preserve">Health outcomes (clinical utility) </w:t>
            </w:r>
          </w:p>
        </w:tc>
        <w:tc>
          <w:tcPr>
            <w:tcW w:w="1784" w:type="pct"/>
            <w:tcBorders>
              <w:top w:val="single" w:sz="4" w:space="0" w:color="auto"/>
              <w:left w:val="single" w:sz="4" w:space="0" w:color="auto"/>
              <w:bottom w:val="single" w:sz="4" w:space="0" w:color="auto"/>
              <w:right w:val="single" w:sz="4" w:space="0" w:color="auto"/>
            </w:tcBorders>
          </w:tcPr>
          <w:p w14:paraId="506C4824"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 xml:space="preserve">No evidence presented </w:t>
            </w:r>
            <w:r w:rsidRPr="00F10893">
              <w:rPr>
                <w:rFonts w:ascii="Arial Narrow" w:hAnsi="Arial Narrow"/>
                <w:i/>
                <w:iCs/>
                <w:sz w:val="20"/>
              </w:rPr>
              <w:t>(i.e. no studies of all patients tested, both biomarker positive and negative)</w:t>
            </w:r>
          </w:p>
        </w:tc>
        <w:tc>
          <w:tcPr>
            <w:tcW w:w="1161" w:type="pct"/>
            <w:tcBorders>
              <w:top w:val="single" w:sz="4" w:space="0" w:color="auto"/>
              <w:left w:val="single" w:sz="4" w:space="0" w:color="auto"/>
              <w:bottom w:val="single" w:sz="4" w:space="0" w:color="auto"/>
              <w:right w:val="single" w:sz="4" w:space="0" w:color="auto"/>
            </w:tcBorders>
          </w:tcPr>
          <w:p w14:paraId="65185D53" w14:textId="77777777" w:rsidR="00E517FA" w:rsidRPr="00F10893" w:rsidRDefault="009E52A1" w:rsidP="00B6001B">
            <w:pPr>
              <w:keepNext/>
              <w:keepLines/>
              <w:widowControl w:val="0"/>
              <w:spacing w:before="0" w:after="0"/>
              <w:jc w:val="left"/>
              <w:rPr>
                <w:rFonts w:ascii="Arial Narrow" w:hAnsi="Arial Narrow"/>
                <w:sz w:val="20"/>
              </w:rPr>
            </w:pPr>
            <w:sdt>
              <w:sdtPr>
                <w:rPr>
                  <w:rFonts w:ascii="Arial Narrow" w:hAnsi="Arial Narrow"/>
                  <w:sz w:val="20"/>
                </w:rPr>
                <w:id w:val="1503002508"/>
                <w14:checkbox>
                  <w14:checked w14:val="0"/>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k=0</w:t>
            </w:r>
            <w:r w:rsidR="00E517FA" w:rsidRPr="00F10893">
              <w:rPr>
                <w:rFonts w:ascii="Arial Narrow" w:hAnsi="Arial Narrow"/>
                <w:sz w:val="20"/>
              </w:rPr>
              <w:tab/>
              <w:t>n=0</w:t>
            </w:r>
          </w:p>
        </w:tc>
        <w:tc>
          <w:tcPr>
            <w:tcW w:w="1205" w:type="pct"/>
            <w:tcBorders>
              <w:top w:val="single" w:sz="4" w:space="0" w:color="auto"/>
              <w:left w:val="single" w:sz="4" w:space="0" w:color="auto"/>
              <w:bottom w:val="single" w:sz="4" w:space="0" w:color="auto"/>
              <w:right w:val="single" w:sz="4" w:space="0" w:color="auto"/>
            </w:tcBorders>
            <w:hideMark/>
          </w:tcPr>
          <w:p w14:paraId="72C12798"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w:t>
            </w:r>
          </w:p>
        </w:tc>
      </w:tr>
      <w:tr w:rsidR="00E517FA" w:rsidRPr="00F10893" w14:paraId="223DF0BA" w14:textId="77777777">
        <w:tc>
          <w:tcPr>
            <w:tcW w:w="850" w:type="pct"/>
            <w:tcBorders>
              <w:top w:val="single" w:sz="4" w:space="0" w:color="auto"/>
              <w:left w:val="single" w:sz="4" w:space="0" w:color="auto"/>
              <w:bottom w:val="nil"/>
              <w:right w:val="single" w:sz="4" w:space="0" w:color="auto"/>
            </w:tcBorders>
          </w:tcPr>
          <w:p w14:paraId="1197BC50"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 xml:space="preserve">Predictive effect (treatment effect variation) </w:t>
            </w:r>
          </w:p>
        </w:tc>
        <w:tc>
          <w:tcPr>
            <w:tcW w:w="1784" w:type="pct"/>
            <w:tcBorders>
              <w:top w:val="single" w:sz="4" w:space="0" w:color="auto"/>
              <w:left w:val="single" w:sz="4" w:space="0" w:color="auto"/>
              <w:bottom w:val="nil"/>
              <w:right w:val="single" w:sz="4" w:space="0" w:color="auto"/>
            </w:tcBorders>
          </w:tcPr>
          <w:p w14:paraId="05201245" w14:textId="77777777" w:rsidR="00E517FA" w:rsidRPr="00F10893" w:rsidRDefault="00E517FA" w:rsidP="00B6001B">
            <w:pPr>
              <w:keepNext/>
              <w:keepLines/>
              <w:widowControl w:val="0"/>
              <w:spacing w:before="0" w:after="60"/>
              <w:jc w:val="left"/>
              <w:rPr>
                <w:rFonts w:ascii="Arial Narrow" w:hAnsi="Arial Narrow"/>
                <w:sz w:val="20"/>
              </w:rPr>
            </w:pPr>
            <w:r w:rsidRPr="00F10893">
              <w:rPr>
                <w:rFonts w:ascii="Arial Narrow" w:hAnsi="Arial Narrow"/>
                <w:sz w:val="20"/>
              </w:rPr>
              <w:t>Comparison of outcomes in the whole trial population (stratified according to FRα expression) vs FRα-high subgroup, both groups receive either MIRV or ICC.</w:t>
            </w:r>
          </w:p>
          <w:p w14:paraId="3A69A64D" w14:textId="77777777" w:rsidR="00E517FA" w:rsidRPr="00F10893" w:rsidRDefault="00E517FA" w:rsidP="00B6001B">
            <w:pPr>
              <w:keepNext/>
              <w:keepLines/>
              <w:widowControl w:val="0"/>
              <w:spacing w:before="0" w:after="60"/>
              <w:jc w:val="left"/>
              <w:rPr>
                <w:rFonts w:ascii="Arial Narrow" w:hAnsi="Arial Narrow"/>
                <w:sz w:val="20"/>
              </w:rPr>
            </w:pPr>
            <w:r w:rsidRPr="00F10893">
              <w:rPr>
                <w:rFonts w:ascii="Arial Narrow" w:hAnsi="Arial Narrow"/>
                <w:sz w:val="20"/>
              </w:rPr>
              <w:t>Exploratory analysis of FRα-high vs FRα-medium (latter is effectively test negative) according to previously used test scoring criteria.</w:t>
            </w:r>
          </w:p>
          <w:p w14:paraId="021DAB86"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Post hoc analysis of re-scored patients in FRα-low, medium and high groups according to test scoring criteria proposed for the submission.</w:t>
            </w:r>
          </w:p>
        </w:tc>
        <w:tc>
          <w:tcPr>
            <w:tcW w:w="1161" w:type="pct"/>
            <w:tcBorders>
              <w:top w:val="single" w:sz="4" w:space="0" w:color="auto"/>
              <w:left w:val="single" w:sz="4" w:space="0" w:color="auto"/>
              <w:bottom w:val="nil"/>
              <w:right w:val="single" w:sz="4" w:space="0" w:color="auto"/>
            </w:tcBorders>
          </w:tcPr>
          <w:p w14:paraId="4749D519" w14:textId="77777777" w:rsidR="00E517FA" w:rsidRPr="00F10893" w:rsidRDefault="009E52A1" w:rsidP="00B6001B">
            <w:pPr>
              <w:keepNext/>
              <w:keepLines/>
              <w:widowControl w:val="0"/>
              <w:spacing w:before="0" w:after="60"/>
              <w:jc w:val="left"/>
              <w:rPr>
                <w:rFonts w:ascii="Arial Narrow" w:hAnsi="Arial Narrow"/>
                <w:sz w:val="20"/>
              </w:rPr>
            </w:pPr>
            <w:sdt>
              <w:sdtPr>
                <w:rPr>
                  <w:rFonts w:ascii="Arial Narrow" w:hAnsi="Arial Narrow"/>
                  <w:sz w:val="20"/>
                </w:rPr>
                <w:id w:val="27228802"/>
                <w14:checkbox>
                  <w14:checked w14:val="1"/>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k=2</w:t>
            </w:r>
            <w:r w:rsidR="00E517FA" w:rsidRPr="00F10893">
              <w:rPr>
                <w:rFonts w:ascii="Arial Narrow" w:hAnsi="Arial Narrow"/>
                <w:sz w:val="20"/>
              </w:rPr>
              <w:tab/>
              <w:t>n=366</w:t>
            </w:r>
          </w:p>
          <w:p w14:paraId="7680FA5F"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n=148 FRα medium</w:t>
            </w:r>
            <w:r w:rsidRPr="00F10893">
              <w:rPr>
                <w:rFonts w:ascii="Arial Narrow" w:hAnsi="Arial Narrow"/>
                <w:sz w:val="20"/>
              </w:rPr>
              <w:br/>
              <w:t>n=218 FRα high</w:t>
            </w:r>
            <w:r w:rsidRPr="00F10893">
              <w:rPr>
                <w:rFonts w:ascii="Arial Narrow" w:hAnsi="Arial Narrow"/>
                <w:sz w:val="20"/>
              </w:rPr>
              <w:br/>
              <w:t>(based on 10X scoring)</w:t>
            </w:r>
          </w:p>
        </w:tc>
        <w:tc>
          <w:tcPr>
            <w:tcW w:w="1205" w:type="pct"/>
            <w:tcBorders>
              <w:top w:val="single" w:sz="4" w:space="0" w:color="auto"/>
              <w:left w:val="single" w:sz="4" w:space="0" w:color="auto"/>
              <w:bottom w:val="nil"/>
              <w:right w:val="single" w:sz="4" w:space="0" w:color="auto"/>
            </w:tcBorders>
          </w:tcPr>
          <w:p w14:paraId="4D11FAA2" w14:textId="77777777" w:rsidR="00E517FA" w:rsidRPr="00F10893" w:rsidRDefault="00E517FA" w:rsidP="00B6001B">
            <w:pPr>
              <w:keepNext/>
              <w:keepLines/>
              <w:widowControl w:val="0"/>
              <w:spacing w:before="0" w:after="60"/>
              <w:jc w:val="left"/>
              <w:rPr>
                <w:rFonts w:ascii="Arial Narrow" w:hAnsi="Arial Narrow"/>
                <w:sz w:val="20"/>
              </w:rPr>
            </w:pPr>
            <w:r w:rsidRPr="00F10893">
              <w:rPr>
                <w:rFonts w:ascii="Arial Narrow" w:hAnsi="Arial Narrow"/>
                <w:sz w:val="20"/>
              </w:rPr>
              <w:t>FORWARD-I</w:t>
            </w:r>
          </w:p>
          <w:p w14:paraId="45C8F6E3" w14:textId="77777777" w:rsidR="00E517FA" w:rsidRPr="00F10893" w:rsidRDefault="00E517FA" w:rsidP="00B6001B">
            <w:pPr>
              <w:keepNext/>
              <w:keepLines/>
              <w:widowControl w:val="0"/>
              <w:spacing w:before="0" w:after="60"/>
              <w:jc w:val="left"/>
              <w:rPr>
                <w:rFonts w:ascii="Arial Narrow" w:hAnsi="Arial Narrow"/>
                <w:sz w:val="20"/>
              </w:rPr>
            </w:pPr>
            <w:r w:rsidRPr="00F10893">
              <w:rPr>
                <w:rFonts w:ascii="Arial Narrow" w:hAnsi="Arial Narrow"/>
                <w:sz w:val="20"/>
              </w:rPr>
              <w:t>Low RoB for prespecified outcomes</w:t>
            </w:r>
          </w:p>
          <w:p w14:paraId="49B43ABB"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High RoB for post hoc analysis</w:t>
            </w:r>
          </w:p>
        </w:tc>
      </w:tr>
      <w:tr w:rsidR="00E517FA" w:rsidRPr="00F10893" w14:paraId="333E889F" w14:textId="77777777">
        <w:tc>
          <w:tcPr>
            <w:tcW w:w="850" w:type="pct"/>
            <w:tcBorders>
              <w:top w:val="nil"/>
              <w:left w:val="single" w:sz="4" w:space="0" w:color="auto"/>
              <w:bottom w:val="nil"/>
              <w:right w:val="single" w:sz="4" w:space="0" w:color="auto"/>
            </w:tcBorders>
          </w:tcPr>
          <w:p w14:paraId="3D48CC6A"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Treatment effect (enriched)</w:t>
            </w:r>
          </w:p>
        </w:tc>
        <w:tc>
          <w:tcPr>
            <w:tcW w:w="1784" w:type="pct"/>
            <w:tcBorders>
              <w:top w:val="nil"/>
              <w:left w:val="single" w:sz="4" w:space="0" w:color="auto"/>
              <w:bottom w:val="nil"/>
              <w:right w:val="single" w:sz="4" w:space="0" w:color="auto"/>
            </w:tcBorders>
          </w:tcPr>
          <w:p w14:paraId="2CD6C4DE"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Single RCT of MIRV vs ICC in patients that are FRα-high (test positive) in both arms</w:t>
            </w:r>
          </w:p>
        </w:tc>
        <w:tc>
          <w:tcPr>
            <w:tcW w:w="1161" w:type="pct"/>
            <w:tcBorders>
              <w:top w:val="nil"/>
              <w:left w:val="single" w:sz="4" w:space="0" w:color="auto"/>
              <w:bottom w:val="nil"/>
              <w:right w:val="single" w:sz="4" w:space="0" w:color="auto"/>
            </w:tcBorders>
          </w:tcPr>
          <w:p w14:paraId="464B41A1" w14:textId="77777777" w:rsidR="00E517FA" w:rsidRPr="00F10893" w:rsidRDefault="009E52A1" w:rsidP="00B6001B">
            <w:pPr>
              <w:keepNext/>
              <w:keepLines/>
              <w:widowControl w:val="0"/>
              <w:spacing w:before="0" w:after="0"/>
              <w:jc w:val="left"/>
              <w:rPr>
                <w:rFonts w:ascii="Arial Narrow" w:hAnsi="Arial Narrow"/>
                <w:sz w:val="20"/>
              </w:rPr>
            </w:pPr>
            <w:sdt>
              <w:sdtPr>
                <w:rPr>
                  <w:rFonts w:ascii="Arial Narrow" w:hAnsi="Arial Narrow"/>
                  <w:sz w:val="20"/>
                </w:rPr>
                <w:id w:val="656039172"/>
                <w14:checkbox>
                  <w14:checked w14:val="1"/>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k=1</w:t>
            </w:r>
            <w:r w:rsidR="00E517FA" w:rsidRPr="00F10893">
              <w:rPr>
                <w:rFonts w:ascii="Arial Narrow" w:hAnsi="Arial Narrow"/>
                <w:sz w:val="20"/>
              </w:rPr>
              <w:tab/>
              <w:t>n=453</w:t>
            </w:r>
          </w:p>
        </w:tc>
        <w:tc>
          <w:tcPr>
            <w:tcW w:w="1205" w:type="pct"/>
            <w:tcBorders>
              <w:top w:val="nil"/>
              <w:left w:val="single" w:sz="4" w:space="0" w:color="auto"/>
              <w:bottom w:val="nil"/>
              <w:right w:val="single" w:sz="4" w:space="0" w:color="auto"/>
            </w:tcBorders>
          </w:tcPr>
          <w:p w14:paraId="5021942E"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MIRASOL – high RoB</w:t>
            </w:r>
          </w:p>
        </w:tc>
      </w:tr>
      <w:tr w:rsidR="00E517FA" w:rsidRPr="00F10893" w14:paraId="7FEA4DAA" w14:textId="77777777">
        <w:tc>
          <w:tcPr>
            <w:tcW w:w="850" w:type="pct"/>
            <w:tcBorders>
              <w:top w:val="single" w:sz="4" w:space="0" w:color="auto"/>
              <w:left w:val="single" w:sz="4" w:space="0" w:color="auto"/>
              <w:bottom w:val="single" w:sz="4" w:space="0" w:color="auto"/>
              <w:right w:val="single" w:sz="4" w:space="0" w:color="auto"/>
            </w:tcBorders>
            <w:hideMark/>
          </w:tcPr>
          <w:p w14:paraId="010C026C"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Other</w:t>
            </w:r>
          </w:p>
        </w:tc>
        <w:tc>
          <w:tcPr>
            <w:tcW w:w="1784" w:type="pct"/>
            <w:tcBorders>
              <w:top w:val="single" w:sz="4" w:space="0" w:color="auto"/>
              <w:left w:val="single" w:sz="4" w:space="0" w:color="auto"/>
              <w:bottom w:val="single" w:sz="4" w:space="0" w:color="auto"/>
              <w:right w:val="single" w:sz="4" w:space="0" w:color="auto"/>
            </w:tcBorders>
          </w:tcPr>
          <w:p w14:paraId="44C5A7B9"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Single RCT of bevacizumab + ICC versus ICC as indirect evidence for the bevacizumab + ICC comparator</w:t>
            </w:r>
          </w:p>
        </w:tc>
        <w:tc>
          <w:tcPr>
            <w:tcW w:w="1161" w:type="pct"/>
            <w:tcBorders>
              <w:top w:val="single" w:sz="4" w:space="0" w:color="auto"/>
              <w:left w:val="single" w:sz="4" w:space="0" w:color="auto"/>
              <w:bottom w:val="single" w:sz="4" w:space="0" w:color="auto"/>
              <w:right w:val="single" w:sz="4" w:space="0" w:color="auto"/>
            </w:tcBorders>
            <w:hideMark/>
          </w:tcPr>
          <w:p w14:paraId="6DC050C7" w14:textId="77777777" w:rsidR="00E517FA" w:rsidRPr="00F10893" w:rsidRDefault="009E52A1" w:rsidP="00B6001B">
            <w:pPr>
              <w:keepNext/>
              <w:keepLines/>
              <w:widowControl w:val="0"/>
              <w:spacing w:before="0" w:after="0"/>
              <w:jc w:val="left"/>
              <w:rPr>
                <w:rFonts w:ascii="Arial Narrow" w:hAnsi="Arial Narrow"/>
                <w:sz w:val="20"/>
              </w:rPr>
            </w:pPr>
            <w:sdt>
              <w:sdtPr>
                <w:rPr>
                  <w:rFonts w:ascii="Arial Narrow" w:hAnsi="Arial Narrow"/>
                  <w:sz w:val="20"/>
                </w:rPr>
                <w:id w:val="-1163237163"/>
                <w14:checkbox>
                  <w14:checked w14:val="1"/>
                  <w14:checkedState w14:val="2612" w14:font="MS Gothic"/>
                  <w14:uncheckedState w14:val="2610" w14:font="MS Gothic"/>
                </w14:checkbox>
              </w:sdtPr>
              <w:sdtEndPr/>
              <w:sdtContent>
                <w:r w:rsidR="00E517FA" w:rsidRPr="00F10893">
                  <w:rPr>
                    <w:rFonts w:ascii="Segoe UI Symbol" w:hAnsi="Segoe UI Symbol" w:cs="Segoe UI Symbol"/>
                    <w:sz w:val="20"/>
                  </w:rPr>
                  <w:t>☒</w:t>
                </w:r>
              </w:sdtContent>
            </w:sdt>
            <w:r w:rsidR="00E517FA" w:rsidRPr="00F10893">
              <w:rPr>
                <w:rFonts w:ascii="Arial Narrow" w:hAnsi="Arial Narrow"/>
                <w:sz w:val="20"/>
              </w:rPr>
              <w:tab/>
              <w:t>k=1</w:t>
            </w:r>
            <w:r w:rsidR="00E517FA" w:rsidRPr="00F10893">
              <w:rPr>
                <w:rFonts w:ascii="Arial Narrow" w:hAnsi="Arial Narrow"/>
                <w:sz w:val="20"/>
              </w:rPr>
              <w:tab/>
            </w:r>
          </w:p>
          <w:p w14:paraId="05E7CF2B"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 xml:space="preserve">               n=361</w:t>
            </w:r>
          </w:p>
        </w:tc>
        <w:tc>
          <w:tcPr>
            <w:tcW w:w="1205" w:type="pct"/>
            <w:tcBorders>
              <w:top w:val="single" w:sz="4" w:space="0" w:color="auto"/>
              <w:left w:val="single" w:sz="4" w:space="0" w:color="auto"/>
              <w:bottom w:val="single" w:sz="4" w:space="0" w:color="auto"/>
              <w:right w:val="single" w:sz="4" w:space="0" w:color="auto"/>
            </w:tcBorders>
          </w:tcPr>
          <w:p w14:paraId="29035540" w14:textId="77777777" w:rsidR="00E517FA" w:rsidRPr="00F10893" w:rsidRDefault="00E517FA" w:rsidP="00B6001B">
            <w:pPr>
              <w:keepNext/>
              <w:keepLines/>
              <w:widowControl w:val="0"/>
              <w:spacing w:before="0" w:after="0"/>
              <w:jc w:val="left"/>
              <w:rPr>
                <w:rFonts w:ascii="Arial Narrow" w:hAnsi="Arial Narrow"/>
                <w:sz w:val="20"/>
              </w:rPr>
            </w:pPr>
            <w:r w:rsidRPr="00F10893">
              <w:rPr>
                <w:rFonts w:ascii="Arial Narrow" w:hAnsi="Arial Narrow"/>
                <w:sz w:val="20"/>
              </w:rPr>
              <w:t>AURELIA – high RoB</w:t>
            </w:r>
          </w:p>
        </w:tc>
      </w:tr>
    </w:tbl>
    <w:bookmarkEnd w:id="26"/>
    <w:p w14:paraId="5AB275A8" w14:textId="77777777" w:rsidR="00E517FA" w:rsidRPr="00F10893" w:rsidRDefault="00E517FA" w:rsidP="00B6001B">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compiled during the evaluation.</w:t>
      </w:r>
    </w:p>
    <w:p w14:paraId="168C741B" w14:textId="087B91AC" w:rsidR="008764D5" w:rsidRPr="00F10893" w:rsidRDefault="00E517FA" w:rsidP="00F02286">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ICC= investigator’s choice of chemotherapy; FDA= Food and Drug Administration; FRα= folate receptor alpha; k= number of studies, MIRV= mirvetuximab soravtansine; n= number of patients; RCT= randomised control trial; RoB= risk of bias.</w:t>
      </w:r>
    </w:p>
    <w:p w14:paraId="333D5B99" w14:textId="36079E96" w:rsidR="00E517FA" w:rsidRPr="00F10893" w:rsidRDefault="005E37CF" w:rsidP="00F02286">
      <w:pPr>
        <w:pStyle w:val="Caption"/>
        <w:keepLines/>
      </w:pPr>
      <w:bookmarkStart w:id="27" w:name="_Ref198566104"/>
      <w:r>
        <w:lastRenderedPageBreak/>
        <w:t>Table</w:t>
      </w:r>
      <w:r w:rsidR="0061655A" w:rsidRPr="00F10893">
        <w:t xml:space="preserve"> </w:t>
      </w:r>
      <w:r>
        <w:fldChar w:fldCharType="begin"/>
      </w:r>
      <w:r>
        <w:instrText xml:space="preserve"> SEQ Table \* ARABIC </w:instrText>
      </w:r>
      <w:r>
        <w:fldChar w:fldCharType="separate"/>
      </w:r>
      <w:r>
        <w:rPr>
          <w:noProof/>
        </w:rPr>
        <w:t>9</w:t>
      </w:r>
      <w:r>
        <w:rPr>
          <w:noProof/>
        </w:rPr>
        <w:fldChar w:fldCharType="end"/>
      </w:r>
      <w:bookmarkEnd w:id="27"/>
      <w:r w:rsidR="0061655A" w:rsidRPr="00F10893">
        <w:t xml:space="preserve">: </w:t>
      </w:r>
      <w:r w:rsidR="00E517FA" w:rsidRPr="00F10893">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3134"/>
        <w:gridCol w:w="3689"/>
      </w:tblGrid>
      <w:tr w:rsidR="00E517FA" w:rsidRPr="00F10893" w14:paraId="5DC76ABC" w14:textId="77777777">
        <w:tc>
          <w:tcPr>
            <w:tcW w:w="1216" w:type="pct"/>
            <w:tcBorders>
              <w:top w:val="single" w:sz="4" w:space="0" w:color="000000"/>
              <w:left w:val="single" w:sz="4" w:space="0" w:color="000000"/>
              <w:bottom w:val="single" w:sz="4" w:space="0" w:color="000000"/>
              <w:right w:val="single" w:sz="4" w:space="0" w:color="000000"/>
            </w:tcBorders>
            <w:hideMark/>
          </w:tcPr>
          <w:p w14:paraId="53EFBD05"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Proposed test vs no test</w:t>
            </w:r>
          </w:p>
        </w:tc>
        <w:tc>
          <w:tcPr>
            <w:tcW w:w="3784" w:type="pct"/>
            <w:gridSpan w:val="2"/>
            <w:tcBorders>
              <w:top w:val="single" w:sz="4" w:space="0" w:color="000000"/>
              <w:left w:val="single" w:sz="4" w:space="0" w:color="000000"/>
              <w:bottom w:val="single" w:sz="4" w:space="0" w:color="000000"/>
              <w:right w:val="single" w:sz="4" w:space="0" w:color="000000"/>
            </w:tcBorders>
          </w:tcPr>
          <w:p w14:paraId="2F334AC0" w14:textId="77777777" w:rsidR="00E517FA" w:rsidRPr="00F10893" w:rsidRDefault="00E517FA" w:rsidP="00F02286">
            <w:pPr>
              <w:keepNext/>
              <w:keepLines/>
              <w:widowControl w:val="0"/>
              <w:spacing w:before="0" w:after="0"/>
              <w:jc w:val="left"/>
              <w:rPr>
                <w:rFonts w:ascii="Arial Narrow" w:hAnsi="Arial Narrow"/>
                <w:bCs/>
                <w:sz w:val="20"/>
              </w:rPr>
            </w:pPr>
            <w:r w:rsidRPr="00F10893">
              <w:rPr>
                <w:rFonts w:ascii="Arial Narrow" w:hAnsi="Arial Narrow"/>
                <w:bCs/>
                <w:sz w:val="20"/>
              </w:rPr>
              <w:t>No evidence presented</w:t>
            </w:r>
          </w:p>
        </w:tc>
      </w:tr>
      <w:tr w:rsidR="00E517FA" w:rsidRPr="00F10893" w14:paraId="7DDA2DB4" w14:textId="77777777">
        <w:tc>
          <w:tcPr>
            <w:tcW w:w="1216" w:type="pct"/>
            <w:tcBorders>
              <w:top w:val="single" w:sz="4" w:space="0" w:color="000000"/>
              <w:left w:val="single" w:sz="4" w:space="0" w:color="000000"/>
              <w:bottom w:val="single" w:sz="4" w:space="0" w:color="000000"/>
              <w:right w:val="single" w:sz="4" w:space="0" w:color="000000"/>
            </w:tcBorders>
            <w:hideMark/>
          </w:tcPr>
          <w:p w14:paraId="465696F9"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Proposed test vs alternative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02EA9EC9" w14:textId="77777777" w:rsidR="00E517FA" w:rsidRPr="00F10893" w:rsidRDefault="00E517FA" w:rsidP="00F02286">
            <w:pPr>
              <w:keepNext/>
              <w:keepLines/>
              <w:widowControl w:val="0"/>
              <w:spacing w:before="0" w:after="0"/>
              <w:jc w:val="left"/>
              <w:rPr>
                <w:rFonts w:ascii="Arial Narrow" w:hAnsi="Arial Narrow"/>
                <w:b/>
                <w:sz w:val="20"/>
              </w:rPr>
            </w:pPr>
            <w:r w:rsidRPr="00F10893">
              <w:rPr>
                <w:rFonts w:ascii="Arial Narrow" w:hAnsi="Arial Narrow"/>
                <w:bCs/>
                <w:sz w:val="20"/>
              </w:rPr>
              <w:t>No evidence presented</w:t>
            </w:r>
          </w:p>
        </w:tc>
      </w:tr>
      <w:tr w:rsidR="00E517FA" w:rsidRPr="00F10893" w14:paraId="74C8C90C" w14:textId="77777777">
        <w:tc>
          <w:tcPr>
            <w:tcW w:w="1216" w:type="pct"/>
            <w:tcBorders>
              <w:top w:val="single" w:sz="4" w:space="0" w:color="000000"/>
              <w:left w:val="single" w:sz="4" w:space="0" w:color="000000"/>
              <w:bottom w:val="single" w:sz="4" w:space="0" w:color="000000"/>
              <w:right w:val="single" w:sz="4" w:space="0" w:color="000000"/>
            </w:tcBorders>
          </w:tcPr>
          <w:p w14:paraId="3618446F"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 xml:space="preserve">Concordance </w:t>
            </w:r>
          </w:p>
        </w:tc>
        <w:tc>
          <w:tcPr>
            <w:tcW w:w="3784" w:type="pct"/>
            <w:gridSpan w:val="2"/>
            <w:tcBorders>
              <w:top w:val="single" w:sz="4" w:space="0" w:color="000000"/>
              <w:left w:val="single" w:sz="4" w:space="0" w:color="000000"/>
              <w:bottom w:val="single" w:sz="4" w:space="0" w:color="000000"/>
              <w:right w:val="single" w:sz="4" w:space="0" w:color="000000"/>
            </w:tcBorders>
          </w:tcPr>
          <w:p w14:paraId="5C063269" w14:textId="77777777" w:rsidR="00E517FA" w:rsidRPr="00F10893" w:rsidRDefault="00E517FA" w:rsidP="00F02286">
            <w:pPr>
              <w:keepNext/>
              <w:keepLines/>
              <w:widowControl w:val="0"/>
              <w:spacing w:before="0" w:after="0"/>
              <w:jc w:val="left"/>
              <w:rPr>
                <w:rFonts w:ascii="Arial Narrow" w:hAnsi="Arial Narrow"/>
                <w:bCs/>
                <w:sz w:val="20"/>
              </w:rPr>
            </w:pPr>
            <w:r w:rsidRPr="00F10893">
              <w:rPr>
                <w:rFonts w:ascii="Arial Narrow" w:hAnsi="Arial Narrow"/>
                <w:bCs/>
                <w:sz w:val="20"/>
              </w:rPr>
              <w:t xml:space="preserve">Test performance of the </w:t>
            </w:r>
            <w:r w:rsidRPr="00F10893">
              <w:rPr>
                <w:rFonts w:ascii="Arial Narrow" w:hAnsi="Arial Narrow"/>
                <w:sz w:val="20"/>
              </w:rPr>
              <w:t>FRα</w:t>
            </w:r>
            <w:r w:rsidRPr="00F10893">
              <w:rPr>
                <w:rFonts w:ascii="Arial Narrow" w:hAnsi="Arial Narrow"/>
                <w:bCs/>
                <w:sz w:val="20"/>
              </w:rPr>
              <w:t xml:space="preserve"> test clinical utility standard as used in the MIRV trials and also in practice, based on concordance of results in different settings (intermediate precision and reproducibility) proposed to be representative of the test once implemented in Australia (James et al, 2024; FDA 2022)</w:t>
            </w:r>
          </w:p>
        </w:tc>
      </w:tr>
      <w:tr w:rsidR="00E517FA" w:rsidRPr="00F10893" w14:paraId="0FDEA3EE" w14:textId="77777777">
        <w:tc>
          <w:tcPr>
            <w:tcW w:w="1216" w:type="pct"/>
            <w:tcBorders>
              <w:top w:val="single" w:sz="4" w:space="0" w:color="000000"/>
              <w:left w:val="single" w:sz="4" w:space="0" w:color="000000"/>
              <w:bottom w:val="single" w:sz="4" w:space="0" w:color="000000"/>
              <w:right w:val="single" w:sz="4" w:space="0" w:color="000000"/>
            </w:tcBorders>
          </w:tcPr>
          <w:p w14:paraId="55D5C892"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Expression stability</w:t>
            </w:r>
          </w:p>
        </w:tc>
        <w:tc>
          <w:tcPr>
            <w:tcW w:w="3784" w:type="pct"/>
            <w:gridSpan w:val="2"/>
            <w:tcBorders>
              <w:top w:val="single" w:sz="4" w:space="0" w:color="000000"/>
              <w:left w:val="single" w:sz="4" w:space="0" w:color="000000"/>
              <w:bottom w:val="single" w:sz="4" w:space="0" w:color="000000"/>
              <w:right w:val="single" w:sz="4" w:space="0" w:color="000000"/>
            </w:tcBorders>
          </w:tcPr>
          <w:p w14:paraId="057C6295" w14:textId="77777777" w:rsidR="00E517FA" w:rsidRPr="00F10893" w:rsidRDefault="00E517FA" w:rsidP="00F02286">
            <w:pPr>
              <w:keepNext/>
              <w:keepLines/>
              <w:widowControl w:val="0"/>
              <w:spacing w:before="0" w:after="0"/>
              <w:jc w:val="left"/>
              <w:rPr>
                <w:rFonts w:ascii="Arial Narrow" w:hAnsi="Arial Narrow"/>
                <w:bCs/>
                <w:sz w:val="20"/>
              </w:rPr>
            </w:pPr>
            <w:r w:rsidRPr="00F10893">
              <w:rPr>
                <w:rFonts w:ascii="Arial Narrow" w:hAnsi="Arial Narrow"/>
                <w:bCs/>
                <w:sz w:val="20"/>
              </w:rPr>
              <w:t xml:space="preserve">Martin et al, (2017) comparison of </w:t>
            </w:r>
            <w:r w:rsidRPr="00F10893">
              <w:rPr>
                <w:rFonts w:ascii="Arial Narrow" w:hAnsi="Arial Narrow"/>
                <w:sz w:val="20"/>
              </w:rPr>
              <w:t>FRα expression at 3 time points.</w:t>
            </w:r>
          </w:p>
        </w:tc>
      </w:tr>
      <w:tr w:rsidR="00E517FA" w:rsidRPr="00F10893" w14:paraId="7E75AFAD" w14:textId="77777777">
        <w:tc>
          <w:tcPr>
            <w:tcW w:w="1216" w:type="pct"/>
            <w:tcBorders>
              <w:top w:val="single" w:sz="4" w:space="0" w:color="000000"/>
              <w:left w:val="single" w:sz="4" w:space="0" w:color="000000"/>
              <w:bottom w:val="single" w:sz="4" w:space="0" w:color="000000"/>
              <w:right w:val="single" w:sz="4" w:space="0" w:color="000000"/>
            </w:tcBorders>
          </w:tcPr>
          <w:p w14:paraId="6B43A4F8" w14:textId="77777777" w:rsidR="00E517FA" w:rsidRPr="00F10893" w:rsidRDefault="00E517FA" w:rsidP="00F02286">
            <w:pPr>
              <w:keepNext/>
              <w:keepLines/>
              <w:widowControl w:val="0"/>
              <w:spacing w:before="0" w:after="0"/>
              <w:jc w:val="left"/>
              <w:rPr>
                <w:rFonts w:ascii="Arial Narrow" w:hAnsi="Arial Narrow"/>
                <w:sz w:val="20"/>
              </w:rPr>
            </w:pPr>
          </w:p>
        </w:tc>
        <w:tc>
          <w:tcPr>
            <w:tcW w:w="1738" w:type="pct"/>
            <w:tcBorders>
              <w:top w:val="single" w:sz="4" w:space="0" w:color="000000"/>
              <w:left w:val="single" w:sz="4" w:space="0" w:color="000000"/>
              <w:bottom w:val="single" w:sz="4" w:space="0" w:color="000000"/>
              <w:right w:val="single" w:sz="4" w:space="0" w:color="000000"/>
            </w:tcBorders>
            <w:hideMark/>
          </w:tcPr>
          <w:p w14:paraId="1D1CB130" w14:textId="77777777" w:rsidR="00E517FA" w:rsidRPr="00F10893" w:rsidRDefault="00E517FA" w:rsidP="00F02286">
            <w:pPr>
              <w:keepNext/>
              <w:keepLines/>
              <w:widowControl w:val="0"/>
              <w:spacing w:before="0" w:after="0"/>
              <w:jc w:val="left"/>
              <w:rPr>
                <w:rFonts w:ascii="Arial Narrow" w:hAnsi="Arial Narrow"/>
                <w:b/>
                <w:sz w:val="20"/>
              </w:rPr>
            </w:pPr>
            <w:r w:rsidRPr="00F10893">
              <w:rPr>
                <w:rFonts w:ascii="Arial Narrow" w:hAnsi="Arial Narrow"/>
                <w:b/>
                <w:sz w:val="20"/>
              </w:rPr>
              <w:t>MIRV</w:t>
            </w:r>
          </w:p>
        </w:tc>
        <w:tc>
          <w:tcPr>
            <w:tcW w:w="2046" w:type="pct"/>
            <w:tcBorders>
              <w:top w:val="single" w:sz="4" w:space="0" w:color="000000"/>
              <w:left w:val="single" w:sz="4" w:space="0" w:color="000000"/>
              <w:bottom w:val="single" w:sz="4" w:space="0" w:color="000000"/>
              <w:right w:val="single" w:sz="4" w:space="0" w:color="000000"/>
            </w:tcBorders>
            <w:hideMark/>
          </w:tcPr>
          <w:p w14:paraId="70C631E9" w14:textId="77777777" w:rsidR="00E517FA" w:rsidRPr="00F10893" w:rsidRDefault="00E517FA" w:rsidP="00F02286">
            <w:pPr>
              <w:keepNext/>
              <w:keepLines/>
              <w:widowControl w:val="0"/>
              <w:spacing w:before="0" w:after="0"/>
              <w:jc w:val="left"/>
              <w:rPr>
                <w:rFonts w:ascii="Arial Narrow" w:hAnsi="Arial Narrow"/>
                <w:b/>
                <w:sz w:val="20"/>
              </w:rPr>
            </w:pPr>
            <w:r w:rsidRPr="00F10893">
              <w:rPr>
                <w:rFonts w:ascii="Arial Narrow" w:hAnsi="Arial Narrow"/>
                <w:b/>
                <w:sz w:val="20"/>
              </w:rPr>
              <w:t>ICC; bevacizumab + ICC</w:t>
            </w:r>
            <w:r w:rsidRPr="00F10893">
              <w:rPr>
                <w:rFonts w:ascii="Arial Narrow" w:hAnsi="Arial Narrow"/>
                <w:b/>
                <w:sz w:val="20"/>
                <w:vertAlign w:val="superscript"/>
              </w:rPr>
              <w:t>a</w:t>
            </w:r>
          </w:p>
        </w:tc>
      </w:tr>
      <w:tr w:rsidR="00E517FA" w:rsidRPr="00F10893" w14:paraId="1D6B0D16" w14:textId="77777777">
        <w:tc>
          <w:tcPr>
            <w:tcW w:w="1216" w:type="pct"/>
            <w:tcBorders>
              <w:top w:val="single" w:sz="4" w:space="0" w:color="000000"/>
              <w:left w:val="single" w:sz="4" w:space="0" w:color="000000"/>
              <w:bottom w:val="single" w:sz="4" w:space="0" w:color="000000"/>
              <w:right w:val="single" w:sz="4" w:space="0" w:color="000000"/>
            </w:tcBorders>
            <w:hideMark/>
          </w:tcPr>
          <w:p w14:paraId="03E17FC1"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7CEEC4FC"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MIRASOL</w:t>
            </w:r>
          </w:p>
        </w:tc>
        <w:tc>
          <w:tcPr>
            <w:tcW w:w="2046" w:type="pct"/>
            <w:tcBorders>
              <w:top w:val="single" w:sz="4" w:space="0" w:color="000000"/>
              <w:left w:val="single" w:sz="4" w:space="0" w:color="000000"/>
              <w:bottom w:val="single" w:sz="4" w:space="0" w:color="000000"/>
              <w:right w:val="single" w:sz="4" w:space="0" w:color="000000"/>
            </w:tcBorders>
            <w:hideMark/>
          </w:tcPr>
          <w:p w14:paraId="6F07E863"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MIRASOL; AURELIA</w:t>
            </w:r>
          </w:p>
        </w:tc>
      </w:tr>
      <w:tr w:rsidR="00E517FA" w:rsidRPr="00F10893" w14:paraId="3CD7BCE0" w14:textId="77777777">
        <w:tc>
          <w:tcPr>
            <w:tcW w:w="1216" w:type="pct"/>
            <w:tcBorders>
              <w:top w:val="single" w:sz="4" w:space="0" w:color="000000"/>
              <w:left w:val="single" w:sz="4" w:space="0" w:color="000000"/>
              <w:bottom w:val="single" w:sz="4" w:space="0" w:color="000000"/>
              <w:right w:val="single" w:sz="4" w:space="0" w:color="000000"/>
            </w:tcBorders>
            <w:hideMark/>
          </w:tcPr>
          <w:p w14:paraId="2EE1C6DB"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Biomarker test negative</w:t>
            </w:r>
            <w:r w:rsidRPr="00F10893">
              <w:rPr>
                <w:rFonts w:ascii="Arial Narrow" w:hAnsi="Arial Narrow"/>
                <w:b/>
                <w:sz w:val="20"/>
              </w:rPr>
              <w:t xml:space="preserve"> </w:t>
            </w:r>
          </w:p>
        </w:tc>
        <w:tc>
          <w:tcPr>
            <w:tcW w:w="1738" w:type="pct"/>
            <w:tcBorders>
              <w:top w:val="single" w:sz="4" w:space="0" w:color="000000"/>
              <w:left w:val="single" w:sz="4" w:space="0" w:color="000000"/>
              <w:bottom w:val="single" w:sz="4" w:space="0" w:color="000000"/>
              <w:right w:val="single" w:sz="4" w:space="0" w:color="000000"/>
            </w:tcBorders>
            <w:hideMark/>
          </w:tcPr>
          <w:p w14:paraId="26968C70"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 xml:space="preserve">Partially applicable: FORWARD-I </w:t>
            </w:r>
            <w:r w:rsidRPr="00F10893">
              <w:rPr>
                <w:rFonts w:ascii="Arial Narrow" w:hAnsi="Arial Narrow"/>
                <w:sz w:val="20"/>
              </w:rPr>
              <w:br/>
              <w:t xml:space="preserve">FRα-medium subgroup </w:t>
            </w:r>
          </w:p>
        </w:tc>
        <w:tc>
          <w:tcPr>
            <w:tcW w:w="2046" w:type="pct"/>
            <w:tcBorders>
              <w:top w:val="single" w:sz="4" w:space="0" w:color="000000"/>
              <w:left w:val="single" w:sz="4" w:space="0" w:color="000000"/>
              <w:bottom w:val="single" w:sz="4" w:space="0" w:color="000000"/>
              <w:right w:val="single" w:sz="4" w:space="0" w:color="000000"/>
            </w:tcBorders>
            <w:hideMark/>
          </w:tcPr>
          <w:p w14:paraId="78966619"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 xml:space="preserve">Partially applicable: FORWARD-I FRα-medium subgroup </w:t>
            </w:r>
          </w:p>
        </w:tc>
      </w:tr>
    </w:tbl>
    <w:p w14:paraId="3B75B784" w14:textId="77777777" w:rsidR="00E517FA" w:rsidRPr="00F10893" w:rsidRDefault="00E517FA" w:rsidP="00F02286">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compiled during the evaluation.</w:t>
      </w:r>
    </w:p>
    <w:p w14:paraId="2E0E0A23" w14:textId="77777777" w:rsidR="00E517FA" w:rsidRPr="00F10893" w:rsidRDefault="00E517FA" w:rsidP="00F02286">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ICC= investigator’s choice of chemotherapy; FDA= Food and Drug Administration; FRα= folate receptor alpha; k: number of studies, MIRV= mirvetuximab soravtansine.</w:t>
      </w:r>
    </w:p>
    <w:p w14:paraId="1A23087D" w14:textId="2BC5057F" w:rsidR="00E517FA" w:rsidRPr="00F10893" w:rsidRDefault="00E517FA" w:rsidP="00E517FA">
      <w:pPr>
        <w:widowControl w:val="0"/>
        <w:spacing w:before="0" w:after="0"/>
        <w:contextualSpacing/>
        <w:rPr>
          <w:rFonts w:ascii="Arial Narrow" w:eastAsia="Times New Roman" w:hAnsi="Arial Narrow" w:cs="Arial"/>
          <w:snapToGrid w:val="0"/>
          <w:sz w:val="18"/>
          <w:szCs w:val="20"/>
        </w:rPr>
      </w:pPr>
      <w:r w:rsidRPr="00E4683C">
        <w:rPr>
          <w:rFonts w:ascii="Arial Narrow" w:eastAsia="Times New Roman" w:hAnsi="Arial Narrow" w:cs="Arial"/>
          <w:snapToGrid w:val="0"/>
          <w:sz w:val="18"/>
          <w:szCs w:val="20"/>
          <w:vertAlign w:val="superscript"/>
        </w:rPr>
        <w:t>a</w:t>
      </w:r>
      <w:r w:rsidRPr="00F10893">
        <w:rPr>
          <w:rFonts w:ascii="Arial Narrow" w:eastAsia="Times New Roman" w:hAnsi="Arial Narrow" w:cs="Arial"/>
          <w:snapToGrid w:val="0"/>
          <w:sz w:val="18"/>
          <w:szCs w:val="20"/>
        </w:rPr>
        <w:t xml:space="preserve"> the comparator bevacizumab + ICC is only studied in the AURELIA trial.</w:t>
      </w:r>
    </w:p>
    <w:p w14:paraId="4D096113" w14:textId="5EE242FB" w:rsidR="00E517FA" w:rsidRPr="00214750" w:rsidRDefault="002B2ED6" w:rsidP="00E517FA">
      <w:pPr>
        <w:rPr>
          <w:rFonts w:ascii="Franklin Gothic Book" w:hAnsi="Franklin Gothic Book"/>
          <w:sz w:val="22"/>
          <w:szCs w:val="20"/>
        </w:rPr>
      </w:pPr>
      <w:r w:rsidRPr="00214750">
        <w:rPr>
          <w:rFonts w:ascii="Franklin Gothic Book" w:hAnsi="Franklin Gothic Book"/>
          <w:sz w:val="22"/>
          <w:szCs w:val="20"/>
        </w:rPr>
        <w:t xml:space="preserve">The commentary </w:t>
      </w:r>
      <w:r w:rsidR="005A2979" w:rsidRPr="00214750">
        <w:rPr>
          <w:rFonts w:ascii="Franklin Gothic Book" w:hAnsi="Franklin Gothic Book"/>
          <w:sz w:val="22"/>
          <w:szCs w:val="20"/>
        </w:rPr>
        <w:t>noted</w:t>
      </w:r>
      <w:r w:rsidR="008B0913" w:rsidRPr="00214750">
        <w:rPr>
          <w:rFonts w:ascii="Franklin Gothic Book" w:hAnsi="Franklin Gothic Book"/>
          <w:sz w:val="22"/>
          <w:szCs w:val="20"/>
        </w:rPr>
        <w:t xml:space="preserve"> </w:t>
      </w:r>
      <w:r w:rsidRPr="00214750">
        <w:rPr>
          <w:rFonts w:ascii="Franklin Gothic Book" w:hAnsi="Franklin Gothic Book"/>
          <w:sz w:val="22"/>
          <w:szCs w:val="20"/>
        </w:rPr>
        <w:t>t</w:t>
      </w:r>
      <w:r w:rsidR="00E517FA" w:rsidRPr="00214750">
        <w:rPr>
          <w:rFonts w:ascii="Franklin Gothic Book" w:hAnsi="Franklin Gothic Book"/>
          <w:sz w:val="22"/>
          <w:szCs w:val="20"/>
        </w:rPr>
        <w:t xml:space="preserve">here was no evidence presented </w:t>
      </w:r>
      <w:r w:rsidR="00AC63D8">
        <w:rPr>
          <w:rFonts w:ascii="Franklin Gothic Book" w:hAnsi="Franklin Gothic Book"/>
          <w:sz w:val="22"/>
          <w:szCs w:val="20"/>
        </w:rPr>
        <w:t>in the ADAR</w:t>
      </w:r>
      <w:r w:rsidR="009835C4">
        <w:rPr>
          <w:rFonts w:ascii="Franklin Gothic Book" w:hAnsi="Franklin Gothic Book"/>
          <w:sz w:val="22"/>
          <w:szCs w:val="20"/>
        </w:rPr>
        <w:t xml:space="preserve"> </w:t>
      </w:r>
      <w:r w:rsidR="00E517FA" w:rsidRPr="00214750">
        <w:rPr>
          <w:rFonts w:ascii="Franklin Gothic Book" w:hAnsi="Franklin Gothic Book"/>
          <w:sz w:val="22"/>
          <w:szCs w:val="20"/>
        </w:rPr>
        <w:t>for:</w:t>
      </w:r>
    </w:p>
    <w:p w14:paraId="7BDE028C" w14:textId="77777777" w:rsidR="00E517FA" w:rsidRPr="00214750" w:rsidRDefault="00E517FA" w:rsidP="00AE70BD">
      <w:pPr>
        <w:pStyle w:val="ListParagraph"/>
        <w:numPr>
          <w:ilvl w:val="0"/>
          <w:numId w:val="24"/>
        </w:numPr>
        <w:rPr>
          <w:rFonts w:ascii="Franklin Gothic Book" w:hAnsi="Franklin Gothic Book"/>
          <w:sz w:val="22"/>
          <w:szCs w:val="20"/>
        </w:rPr>
      </w:pPr>
      <w:r w:rsidRPr="00214750">
        <w:rPr>
          <w:rFonts w:ascii="Franklin Gothic Book" w:hAnsi="Franklin Gothic Book"/>
          <w:sz w:val="22"/>
          <w:szCs w:val="20"/>
        </w:rPr>
        <w:t>Investigation of MIRV versus standard of care (investigators choice of chemotherapy [ICC]) in the biomarker negative population as defined by the proposed ≥75% FRα expression cutoff and PS2+ staining.</w:t>
      </w:r>
    </w:p>
    <w:p w14:paraId="0F149D3D" w14:textId="77777777" w:rsidR="00E517FA" w:rsidRPr="00214750" w:rsidRDefault="00E517FA" w:rsidP="00AE70BD">
      <w:pPr>
        <w:pStyle w:val="ListParagraph"/>
        <w:numPr>
          <w:ilvl w:val="0"/>
          <w:numId w:val="24"/>
        </w:numPr>
        <w:rPr>
          <w:rFonts w:ascii="Franklin Gothic Book" w:hAnsi="Franklin Gothic Book"/>
          <w:sz w:val="22"/>
          <w:szCs w:val="20"/>
        </w:rPr>
      </w:pPr>
      <w:r w:rsidRPr="00214750">
        <w:rPr>
          <w:rFonts w:ascii="Franklin Gothic Book" w:hAnsi="Franklin Gothic Book"/>
          <w:sz w:val="22"/>
          <w:szCs w:val="20"/>
        </w:rPr>
        <w:t>Performance of the test in Australia</w:t>
      </w:r>
    </w:p>
    <w:p w14:paraId="24E0E1B0" w14:textId="77777777" w:rsidR="00E517FA" w:rsidRPr="00214750" w:rsidRDefault="00E517FA" w:rsidP="00AE70BD">
      <w:pPr>
        <w:pStyle w:val="ListParagraph"/>
        <w:numPr>
          <w:ilvl w:val="0"/>
          <w:numId w:val="24"/>
        </w:numPr>
        <w:rPr>
          <w:rFonts w:ascii="Franklin Gothic Book" w:hAnsi="Franklin Gothic Book"/>
          <w:sz w:val="22"/>
          <w:szCs w:val="20"/>
        </w:rPr>
      </w:pPr>
      <w:r w:rsidRPr="00214750">
        <w:rPr>
          <w:rFonts w:ascii="Franklin Gothic Book" w:hAnsi="Franklin Gothic Book"/>
          <w:sz w:val="22"/>
          <w:szCs w:val="20"/>
        </w:rPr>
        <w:t>Change in clinical management</w:t>
      </w:r>
    </w:p>
    <w:p w14:paraId="623EDD13" w14:textId="1C682F77" w:rsidR="00E517FA" w:rsidRPr="00214750" w:rsidRDefault="00E517FA" w:rsidP="00E517FA">
      <w:pPr>
        <w:rPr>
          <w:rFonts w:ascii="Franklin Gothic Book" w:hAnsi="Franklin Gothic Book"/>
          <w:sz w:val="22"/>
          <w:szCs w:val="20"/>
        </w:rPr>
      </w:pPr>
      <w:r w:rsidRPr="00214750">
        <w:rPr>
          <w:rFonts w:ascii="Franklin Gothic Book" w:hAnsi="Franklin Gothic Book"/>
          <w:sz w:val="22"/>
          <w:szCs w:val="20"/>
        </w:rPr>
        <w:t xml:space="preserve">The submission presented direct evidence of MIRV versus ICC in the target patient population of FRα-high expression (biomarker positive) EOC patients who have been diagnosed as platinum resistant (MIRASOL). An indirect comparison with a third trial (AURELIA) provided indirect evidence of MIRV versus </w:t>
      </w:r>
      <w:r w:rsidR="0005531A" w:rsidRPr="00214750">
        <w:rPr>
          <w:rFonts w:ascii="Franklin Gothic Book" w:hAnsi="Franklin Gothic Book"/>
          <w:sz w:val="22"/>
          <w:szCs w:val="20"/>
        </w:rPr>
        <w:t xml:space="preserve">bevacizumab </w:t>
      </w:r>
      <w:r w:rsidRPr="00214750">
        <w:rPr>
          <w:rFonts w:ascii="Franklin Gothic Book" w:hAnsi="Franklin Gothic Book"/>
          <w:sz w:val="22"/>
          <w:szCs w:val="20"/>
        </w:rPr>
        <w:t>+ICC based on the common comparator of ICC (biomarker agnostic population) (not discussed further with respect to the test).</w:t>
      </w:r>
    </w:p>
    <w:p w14:paraId="20B40E53" w14:textId="7C9E12FC" w:rsidR="00E517FA" w:rsidRPr="00214750" w:rsidRDefault="009E618F" w:rsidP="00E517FA">
      <w:pPr>
        <w:rPr>
          <w:rFonts w:ascii="Franklin Gothic Book" w:hAnsi="Franklin Gothic Book"/>
          <w:iCs/>
          <w:sz w:val="22"/>
          <w:szCs w:val="20"/>
        </w:rPr>
      </w:pPr>
      <w:r>
        <w:rPr>
          <w:rFonts w:ascii="Franklin Gothic Book" w:hAnsi="Franklin Gothic Book"/>
          <w:sz w:val="22"/>
          <w:szCs w:val="20"/>
        </w:rPr>
        <w:t>The commentary noted that t</w:t>
      </w:r>
      <w:r w:rsidR="00E517FA" w:rsidRPr="00214750">
        <w:rPr>
          <w:rFonts w:ascii="Franklin Gothic Book" w:hAnsi="Franklin Gothic Book"/>
          <w:sz w:val="22"/>
          <w:szCs w:val="20"/>
        </w:rPr>
        <w:t xml:space="preserve">he MIRV program did not explicitly examine treatment effect in test negative patients. However, the direct evidence was supported by a trial in a broader population (FORWARD-I) comparing MIRV versus ICC which included a subgroup of FRα-medium expression patients who would be defined as test negative according to the submission. The trial employed a previously used definition of FRα biomarker positivity (≥50% expression cutoff) and scoring method. No evidence </w:t>
      </w:r>
      <w:r w:rsidR="006C5FE5" w:rsidRPr="00214750">
        <w:rPr>
          <w:rFonts w:ascii="Franklin Gothic Book" w:hAnsi="Franklin Gothic Book"/>
          <w:sz w:val="22"/>
          <w:szCs w:val="20"/>
        </w:rPr>
        <w:t>in</w:t>
      </w:r>
      <w:r w:rsidR="00E517FA" w:rsidRPr="00214750">
        <w:rPr>
          <w:rFonts w:ascii="Franklin Gothic Book" w:hAnsi="Franklin Gothic Book"/>
          <w:sz w:val="22"/>
          <w:szCs w:val="20"/>
        </w:rPr>
        <w:t xml:space="preserve"> biomarker negative patients using the proposed definition (≥75% expression cutoff) and scoring criteria was available for this submission. Hence, the</w:t>
      </w:r>
      <w:r w:rsidR="002B2ED6" w:rsidRPr="00214750">
        <w:rPr>
          <w:rFonts w:ascii="Franklin Gothic Book" w:hAnsi="Franklin Gothic Book"/>
          <w:sz w:val="22"/>
          <w:szCs w:val="20"/>
        </w:rPr>
        <w:t xml:space="preserve"> commentary considered that the</w:t>
      </w:r>
      <w:r w:rsidR="00E517FA" w:rsidRPr="00214750" w:rsidDel="002B2ED6">
        <w:rPr>
          <w:rFonts w:ascii="Franklin Gothic Book" w:hAnsi="Franklin Gothic Book"/>
          <w:sz w:val="22"/>
          <w:szCs w:val="20"/>
        </w:rPr>
        <w:t xml:space="preserve"> </w:t>
      </w:r>
      <w:r w:rsidR="00E517FA" w:rsidRPr="00214750">
        <w:rPr>
          <w:rFonts w:ascii="Franklin Gothic Book" w:hAnsi="Franklin Gothic Book"/>
          <w:sz w:val="22"/>
          <w:szCs w:val="20"/>
        </w:rPr>
        <w:t>submission used a linked evidence approach to support the use of the MIRV / FRα-high expression test combination.</w:t>
      </w:r>
      <w:r w:rsidR="00E517FA" w:rsidRPr="00214750">
        <w:rPr>
          <w:rFonts w:ascii="Franklin Gothic Book" w:hAnsi="Franklin Gothic Book"/>
          <w:iCs/>
          <w:sz w:val="22"/>
          <w:szCs w:val="20"/>
        </w:rPr>
        <w:t xml:space="preserve"> </w:t>
      </w:r>
    </w:p>
    <w:p w14:paraId="369659A0" w14:textId="65B4EED1" w:rsidR="008764D5" w:rsidRPr="00214750" w:rsidRDefault="00E517FA" w:rsidP="00E517FA">
      <w:pPr>
        <w:rPr>
          <w:rFonts w:ascii="Franklin Gothic Book" w:hAnsi="Franklin Gothic Book"/>
          <w:sz w:val="22"/>
          <w:szCs w:val="20"/>
        </w:rPr>
      </w:pPr>
      <w:r w:rsidRPr="00214750">
        <w:rPr>
          <w:rFonts w:ascii="Franklin Gothic Book" w:hAnsi="Franklin Gothic Book"/>
          <w:sz w:val="22"/>
          <w:szCs w:val="20"/>
        </w:rPr>
        <w:t>The linked evidence approach included additional studies of the biomarker and test performance. Studies presented in the submission for test performance are summarised in</w:t>
      </w:r>
      <w:r w:rsidR="005E37CF">
        <w:rPr>
          <w:rFonts w:ascii="Franklin Gothic Book" w:hAnsi="Franklin Gothic Book"/>
          <w:sz w:val="22"/>
          <w:szCs w:val="20"/>
        </w:rPr>
        <w:t xml:space="preserve">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_Ref198566150 \h </w:instrText>
      </w:r>
      <w:r w:rsidR="00764A1E">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764A1E">
        <w:rPr>
          <w:rFonts w:ascii="Franklin Gothic Book" w:hAnsi="Franklin Gothic Book"/>
          <w:sz w:val="22"/>
          <w:szCs w:val="20"/>
        </w:rPr>
        <w:t>Table 10</w:t>
      </w:r>
      <w:r w:rsidR="005E37CF">
        <w:rPr>
          <w:rFonts w:ascii="Franklin Gothic Book" w:hAnsi="Franklin Gothic Book"/>
          <w:sz w:val="22"/>
          <w:szCs w:val="20"/>
        </w:rPr>
        <w:fldChar w:fldCharType="end"/>
      </w:r>
      <w:r w:rsidRPr="00214750">
        <w:rPr>
          <w:rFonts w:ascii="Franklin Gothic Book" w:hAnsi="Franklin Gothic Book"/>
          <w:sz w:val="22"/>
          <w:szCs w:val="20"/>
        </w:rPr>
        <w:t xml:space="preserve">. The commentary noted that these were all retrospective non-comparative cohort studies at high risk of bias. </w:t>
      </w:r>
    </w:p>
    <w:p w14:paraId="40F90FF0" w14:textId="12A651D3" w:rsidR="00E517FA" w:rsidRPr="00F10893" w:rsidRDefault="005E37CF" w:rsidP="00F02286">
      <w:pPr>
        <w:pStyle w:val="Caption"/>
        <w:keepLines/>
      </w:pPr>
      <w:bookmarkStart w:id="28" w:name="_Ref198566150"/>
      <w:r>
        <w:lastRenderedPageBreak/>
        <w:t>Table</w:t>
      </w:r>
      <w:r w:rsidR="0061655A" w:rsidRPr="00F10893">
        <w:t xml:space="preserve"> </w:t>
      </w:r>
      <w:r>
        <w:fldChar w:fldCharType="begin"/>
      </w:r>
      <w:r>
        <w:instrText xml:space="preserve"> SEQ Table \* ARABIC </w:instrText>
      </w:r>
      <w:r>
        <w:fldChar w:fldCharType="separate"/>
      </w:r>
      <w:r>
        <w:rPr>
          <w:noProof/>
        </w:rPr>
        <w:t>10</w:t>
      </w:r>
      <w:r>
        <w:rPr>
          <w:noProof/>
        </w:rPr>
        <w:fldChar w:fldCharType="end"/>
      </w:r>
      <w:bookmarkEnd w:id="28"/>
      <w:r w:rsidR="0061655A" w:rsidRPr="00F10893">
        <w:t xml:space="preserve">: </w:t>
      </w:r>
      <w:r w:rsidR="00E517FA" w:rsidRPr="00F10893">
        <w:t>Overview of Characteristics of Included Studies: test performance and accuracy of FRα IHC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features of the included evidence comparing intervention with comparator"/>
        <w:tblDescription w:val="This table provides a summary of the key features of each study included in the evidence base - including the study authors, sample size, study design and duration, risk of bias in the results, patient population characteristics, key outcomes measured, and whether the results were used in the economic evaluation in the report."/>
      </w:tblPr>
      <w:tblGrid>
        <w:gridCol w:w="717"/>
        <w:gridCol w:w="840"/>
        <w:gridCol w:w="1177"/>
        <w:gridCol w:w="2270"/>
        <w:gridCol w:w="1545"/>
        <w:gridCol w:w="1116"/>
        <w:gridCol w:w="1351"/>
      </w:tblGrid>
      <w:tr w:rsidR="00E517FA" w:rsidRPr="00F10893" w14:paraId="62F91F70" w14:textId="77777777" w:rsidTr="007C2493">
        <w:trPr>
          <w:tblHeader/>
        </w:trPr>
        <w:tc>
          <w:tcPr>
            <w:tcW w:w="397" w:type="pct"/>
            <w:tcBorders>
              <w:bottom w:val="single" w:sz="4" w:space="0" w:color="auto"/>
            </w:tcBorders>
            <w:vAlign w:val="center"/>
          </w:tcPr>
          <w:p w14:paraId="2DE54899"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Study ID</w:t>
            </w:r>
          </w:p>
        </w:tc>
        <w:tc>
          <w:tcPr>
            <w:tcW w:w="466" w:type="pct"/>
            <w:tcBorders>
              <w:bottom w:val="single" w:sz="4" w:space="0" w:color="auto"/>
            </w:tcBorders>
          </w:tcPr>
          <w:p w14:paraId="501EEA53"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Risk of bias</w:t>
            </w:r>
          </w:p>
        </w:tc>
        <w:tc>
          <w:tcPr>
            <w:tcW w:w="653" w:type="pct"/>
            <w:tcBorders>
              <w:bottom w:val="single" w:sz="4" w:space="0" w:color="auto"/>
            </w:tcBorders>
          </w:tcPr>
          <w:p w14:paraId="4D105CB3"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Study type</w:t>
            </w:r>
          </w:p>
        </w:tc>
        <w:tc>
          <w:tcPr>
            <w:tcW w:w="1259" w:type="pct"/>
            <w:tcBorders>
              <w:bottom w:val="single" w:sz="4" w:space="0" w:color="auto"/>
            </w:tcBorders>
          </w:tcPr>
          <w:p w14:paraId="07C1241C"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highlight w:val="yellow"/>
                <w:lang w:eastAsia="en-AU"/>
              </w:rPr>
            </w:pPr>
            <w:r w:rsidRPr="00F10893">
              <w:rPr>
                <w:rFonts w:ascii="Arial Narrow" w:eastAsiaTheme="majorEastAsia" w:hAnsi="Arial Narrow" w:cs="Times New Roman"/>
                <w:b/>
                <w:color w:val="000000" w:themeColor="text1"/>
                <w:sz w:val="20"/>
                <w:szCs w:val="24"/>
                <w:lang w:eastAsia="en-AU"/>
              </w:rPr>
              <w:t>Population, N</w:t>
            </w:r>
          </w:p>
        </w:tc>
        <w:tc>
          <w:tcPr>
            <w:tcW w:w="857" w:type="pct"/>
            <w:tcBorders>
              <w:bottom w:val="single" w:sz="4" w:space="0" w:color="auto"/>
            </w:tcBorders>
          </w:tcPr>
          <w:p w14:paraId="1792FAED" w14:textId="77777777" w:rsidR="00E517FA" w:rsidRPr="00F10893" w:rsidRDefault="00E517FA"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FRα positivity definition</w:t>
            </w:r>
          </w:p>
        </w:tc>
        <w:tc>
          <w:tcPr>
            <w:tcW w:w="619" w:type="pct"/>
            <w:tcBorders>
              <w:bottom w:val="single" w:sz="4" w:space="0" w:color="auto"/>
            </w:tcBorders>
          </w:tcPr>
          <w:p w14:paraId="7CB104C6" w14:textId="77777777" w:rsidR="00E517FA" w:rsidRPr="00F10893" w:rsidRDefault="00E517FA"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FR</w:t>
            </w:r>
            <w:r w:rsidRPr="00F10893">
              <w:rPr>
                <w:rFonts w:ascii="Arial Narrow" w:eastAsiaTheme="majorEastAsia" w:hAnsi="Arial Narrow" w:cs="Calibri"/>
                <w:b/>
                <w:sz w:val="20"/>
                <w:szCs w:val="24"/>
                <w:lang w:eastAsia="en-AU"/>
              </w:rPr>
              <w:t>α method</w:t>
            </w:r>
          </w:p>
        </w:tc>
        <w:tc>
          <w:tcPr>
            <w:tcW w:w="750" w:type="pct"/>
            <w:tcBorders>
              <w:bottom w:val="single" w:sz="4" w:space="0" w:color="auto"/>
            </w:tcBorders>
          </w:tcPr>
          <w:p w14:paraId="2E11265A"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sz w:val="20"/>
                <w:szCs w:val="24"/>
                <w:lang w:eastAsia="en-AU"/>
              </w:rPr>
              <w:t>Outcomes</w:t>
            </w:r>
          </w:p>
        </w:tc>
      </w:tr>
      <w:tr w:rsidR="00E517FA" w:rsidRPr="00F10893" w14:paraId="0EB2A281" w14:textId="77777777" w:rsidTr="007C2493">
        <w:tc>
          <w:tcPr>
            <w:tcW w:w="397" w:type="pct"/>
            <w:tcBorders>
              <w:top w:val="single" w:sz="4" w:space="0" w:color="auto"/>
              <w:left w:val="single" w:sz="4" w:space="0" w:color="auto"/>
              <w:bottom w:val="single" w:sz="4" w:space="0" w:color="auto"/>
              <w:right w:val="single" w:sz="4" w:space="0" w:color="auto"/>
            </w:tcBorders>
          </w:tcPr>
          <w:p w14:paraId="0A37F63D"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highlight w:val="yellow"/>
              </w:rPr>
            </w:pPr>
            <w:r w:rsidRPr="00F10893">
              <w:rPr>
                <w:rFonts w:ascii="Arial Narrow" w:hAnsi="Arial Narrow"/>
                <w:sz w:val="20"/>
              </w:rPr>
              <w:t>James et al (2024)</w:t>
            </w:r>
          </w:p>
        </w:tc>
        <w:tc>
          <w:tcPr>
            <w:tcW w:w="466" w:type="pct"/>
            <w:tcBorders>
              <w:top w:val="single" w:sz="4" w:space="0" w:color="auto"/>
              <w:left w:val="single" w:sz="4" w:space="0" w:color="auto"/>
              <w:bottom w:val="single" w:sz="4" w:space="0" w:color="auto"/>
              <w:right w:val="single" w:sz="4" w:space="0" w:color="auto"/>
            </w:tcBorders>
          </w:tcPr>
          <w:p w14:paraId="1FEE40E1"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High</w:t>
            </w:r>
            <w:r w:rsidRPr="00F10893">
              <w:rPr>
                <w:rFonts w:ascii="Arial Narrow" w:hAnsi="Arial Narrow"/>
                <w:sz w:val="20"/>
                <w:vertAlign w:val="superscript"/>
              </w:rPr>
              <w:t>a</w:t>
            </w:r>
            <w:r w:rsidRPr="00F10893" w:rsidDel="00730267">
              <w:rPr>
                <w:rFonts w:ascii="Arial Narrow" w:hAnsi="Arial Narrow"/>
                <w:sz w:val="20"/>
              </w:rPr>
              <w:t xml:space="preserve"> </w:t>
            </w:r>
          </w:p>
        </w:tc>
        <w:tc>
          <w:tcPr>
            <w:tcW w:w="653" w:type="pct"/>
            <w:tcBorders>
              <w:top w:val="single" w:sz="4" w:space="0" w:color="auto"/>
              <w:left w:val="single" w:sz="4" w:space="0" w:color="auto"/>
              <w:bottom w:val="single" w:sz="4" w:space="0" w:color="auto"/>
              <w:right w:val="single" w:sz="4" w:space="0" w:color="auto"/>
            </w:tcBorders>
          </w:tcPr>
          <w:p w14:paraId="123BAC7E"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Retrospective study</w:t>
            </w:r>
          </w:p>
        </w:tc>
        <w:tc>
          <w:tcPr>
            <w:tcW w:w="1259" w:type="pct"/>
            <w:tcBorders>
              <w:top w:val="single" w:sz="4" w:space="0" w:color="auto"/>
              <w:left w:val="single" w:sz="4" w:space="0" w:color="auto"/>
              <w:bottom w:val="single" w:sz="4" w:space="0" w:color="auto"/>
              <w:right w:val="single" w:sz="4" w:space="0" w:color="auto"/>
            </w:tcBorders>
          </w:tcPr>
          <w:p w14:paraId="16550C75"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SORAYA Phase II trial EOC test samples</w:t>
            </w:r>
          </w:p>
          <w:p w14:paraId="57CB9E33"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Inter-reader precision: N=100</w:t>
            </w:r>
          </w:p>
          <w:p w14:paraId="3980DF1F"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Intra-reader precision: N=100</w:t>
            </w:r>
          </w:p>
          <w:p w14:paraId="1FFC84E0"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Intermediate precision/ repeatability: N=24</w:t>
            </w:r>
          </w:p>
          <w:p w14:paraId="35824C55"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External reproducibility: N=28</w:t>
            </w:r>
          </w:p>
          <w:p w14:paraId="62B7333E"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Test failure: N=438</w:t>
            </w:r>
          </w:p>
        </w:tc>
        <w:tc>
          <w:tcPr>
            <w:tcW w:w="857" w:type="pct"/>
            <w:tcBorders>
              <w:top w:val="single" w:sz="4" w:space="0" w:color="auto"/>
              <w:left w:val="single" w:sz="4" w:space="0" w:color="auto"/>
              <w:bottom w:val="single" w:sz="4" w:space="0" w:color="auto"/>
              <w:right w:val="single" w:sz="4" w:space="0" w:color="auto"/>
            </w:tcBorders>
          </w:tcPr>
          <w:p w14:paraId="2935AD9D"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PS2+ (≥75% of cells stained)</w:t>
            </w:r>
          </w:p>
        </w:tc>
        <w:tc>
          <w:tcPr>
            <w:tcW w:w="619" w:type="pct"/>
            <w:tcBorders>
              <w:top w:val="single" w:sz="4" w:space="0" w:color="auto"/>
              <w:left w:val="single" w:sz="4" w:space="0" w:color="auto"/>
              <w:bottom w:val="single" w:sz="4" w:space="0" w:color="auto"/>
              <w:right w:val="single" w:sz="4" w:space="0" w:color="auto"/>
            </w:tcBorders>
          </w:tcPr>
          <w:p w14:paraId="0B521C95"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Ventana FOLR1 assay</w:t>
            </w:r>
          </w:p>
        </w:tc>
        <w:tc>
          <w:tcPr>
            <w:tcW w:w="750" w:type="pct"/>
            <w:tcBorders>
              <w:top w:val="single" w:sz="4" w:space="0" w:color="auto"/>
              <w:left w:val="single" w:sz="4" w:space="0" w:color="auto"/>
              <w:bottom w:val="single" w:sz="4" w:space="0" w:color="auto"/>
              <w:right w:val="single" w:sz="4" w:space="0" w:color="auto"/>
            </w:tcBorders>
          </w:tcPr>
          <w:p w14:paraId="681F2A9C"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PPA, NPA, OPA; intra-and inter-reader precision, test-retest reliability, test failure</w:t>
            </w:r>
          </w:p>
        </w:tc>
      </w:tr>
      <w:tr w:rsidR="00E517FA" w:rsidRPr="00F10893" w14:paraId="6C7ED669" w14:textId="77777777" w:rsidTr="007C2493">
        <w:tc>
          <w:tcPr>
            <w:tcW w:w="397" w:type="pct"/>
            <w:tcBorders>
              <w:top w:val="single" w:sz="4" w:space="0" w:color="auto"/>
              <w:left w:val="single" w:sz="4" w:space="0" w:color="auto"/>
              <w:bottom w:val="single" w:sz="4" w:space="0" w:color="auto"/>
              <w:right w:val="single" w:sz="4" w:space="0" w:color="auto"/>
            </w:tcBorders>
          </w:tcPr>
          <w:p w14:paraId="7610DDB1"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highlight w:val="yellow"/>
              </w:rPr>
            </w:pPr>
            <w:r w:rsidRPr="00F10893">
              <w:rPr>
                <w:rFonts w:ascii="Arial Narrow" w:hAnsi="Arial Narrow"/>
                <w:sz w:val="20"/>
              </w:rPr>
              <w:t>Previs et al (2024)</w:t>
            </w:r>
          </w:p>
        </w:tc>
        <w:tc>
          <w:tcPr>
            <w:tcW w:w="466" w:type="pct"/>
            <w:tcBorders>
              <w:top w:val="single" w:sz="4" w:space="0" w:color="auto"/>
              <w:left w:val="single" w:sz="4" w:space="0" w:color="auto"/>
              <w:bottom w:val="single" w:sz="4" w:space="0" w:color="auto"/>
              <w:right w:val="single" w:sz="4" w:space="0" w:color="auto"/>
            </w:tcBorders>
          </w:tcPr>
          <w:p w14:paraId="0015BD4D"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High</w:t>
            </w:r>
            <w:r w:rsidRPr="00F10893">
              <w:rPr>
                <w:rFonts w:ascii="Arial Narrow" w:hAnsi="Arial Narrow"/>
                <w:sz w:val="20"/>
                <w:vertAlign w:val="superscript"/>
              </w:rPr>
              <w:t>a</w:t>
            </w:r>
          </w:p>
        </w:tc>
        <w:tc>
          <w:tcPr>
            <w:tcW w:w="653" w:type="pct"/>
            <w:tcBorders>
              <w:top w:val="single" w:sz="4" w:space="0" w:color="auto"/>
              <w:left w:val="single" w:sz="4" w:space="0" w:color="auto"/>
              <w:bottom w:val="single" w:sz="4" w:space="0" w:color="auto"/>
              <w:right w:val="single" w:sz="4" w:space="0" w:color="auto"/>
            </w:tcBorders>
          </w:tcPr>
          <w:p w14:paraId="5D0BD8F6"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Retrospective study</w:t>
            </w:r>
          </w:p>
        </w:tc>
        <w:tc>
          <w:tcPr>
            <w:tcW w:w="1259" w:type="pct"/>
            <w:tcBorders>
              <w:top w:val="single" w:sz="4" w:space="0" w:color="auto"/>
              <w:left w:val="single" w:sz="4" w:space="0" w:color="auto"/>
              <w:bottom w:val="single" w:sz="4" w:space="0" w:color="auto"/>
              <w:right w:val="single" w:sz="4" w:space="0" w:color="auto"/>
            </w:tcBorders>
          </w:tcPr>
          <w:p w14:paraId="2A8F32BB"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 xml:space="preserve">Pathology cases </w:t>
            </w:r>
          </w:p>
          <w:p w14:paraId="5299FD7C"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Total EOC N=425</w:t>
            </w:r>
          </w:p>
          <w:p w14:paraId="789E57CF" w14:textId="51073293" w:rsidR="00E517FA" w:rsidRPr="00F10893" w:rsidRDefault="00E517FA"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rPr>
              <w:t>High grade serous n/N=199/425 (46.8%)</w:t>
            </w:r>
          </w:p>
        </w:tc>
        <w:tc>
          <w:tcPr>
            <w:tcW w:w="857" w:type="pct"/>
            <w:tcBorders>
              <w:top w:val="single" w:sz="4" w:space="0" w:color="auto"/>
              <w:left w:val="single" w:sz="4" w:space="0" w:color="auto"/>
              <w:bottom w:val="single" w:sz="4" w:space="0" w:color="auto"/>
              <w:right w:val="single" w:sz="4" w:space="0" w:color="auto"/>
            </w:tcBorders>
          </w:tcPr>
          <w:p w14:paraId="6D9B9143"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According to instructions: PS2+ (≥75% of cells stained)</w:t>
            </w:r>
          </w:p>
        </w:tc>
        <w:tc>
          <w:tcPr>
            <w:tcW w:w="619" w:type="pct"/>
            <w:tcBorders>
              <w:top w:val="single" w:sz="4" w:space="0" w:color="auto"/>
              <w:left w:val="single" w:sz="4" w:space="0" w:color="auto"/>
              <w:bottom w:val="single" w:sz="4" w:space="0" w:color="auto"/>
              <w:right w:val="single" w:sz="4" w:space="0" w:color="auto"/>
            </w:tcBorders>
          </w:tcPr>
          <w:p w14:paraId="0420BB4B"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Ventana FOLR1 assay</w:t>
            </w:r>
          </w:p>
        </w:tc>
        <w:tc>
          <w:tcPr>
            <w:tcW w:w="750" w:type="pct"/>
            <w:tcBorders>
              <w:top w:val="single" w:sz="4" w:space="0" w:color="auto"/>
              <w:left w:val="single" w:sz="4" w:space="0" w:color="auto"/>
              <w:bottom w:val="single" w:sz="4" w:space="0" w:color="auto"/>
              <w:right w:val="single" w:sz="4" w:space="0" w:color="auto"/>
            </w:tcBorders>
          </w:tcPr>
          <w:p w14:paraId="76BDDAC6"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Stability of FR</w:t>
            </w:r>
            <w:r w:rsidRPr="00F10893">
              <w:rPr>
                <w:rFonts w:ascii="Arial Narrow" w:hAnsi="Arial Narrow" w:cs="Calibri"/>
                <w:sz w:val="20"/>
              </w:rPr>
              <w:t>α</w:t>
            </w:r>
            <w:r w:rsidRPr="00F10893">
              <w:rPr>
                <w:rFonts w:ascii="Arial Narrow" w:hAnsi="Arial Narrow"/>
                <w:sz w:val="20"/>
              </w:rPr>
              <w:t xml:space="preserve"> in archival tissue, stability in FR</w:t>
            </w:r>
            <w:r w:rsidRPr="00F10893">
              <w:rPr>
                <w:rFonts w:ascii="Arial Narrow" w:hAnsi="Arial Narrow" w:cs="Calibri"/>
                <w:sz w:val="20"/>
              </w:rPr>
              <w:t>α</w:t>
            </w:r>
            <w:r w:rsidRPr="00F10893">
              <w:rPr>
                <w:rFonts w:ascii="Arial Narrow" w:hAnsi="Arial Narrow"/>
                <w:sz w:val="20"/>
              </w:rPr>
              <w:t xml:space="preserve"> status over time</w:t>
            </w:r>
          </w:p>
        </w:tc>
      </w:tr>
      <w:tr w:rsidR="00E517FA" w:rsidRPr="00F10893" w14:paraId="16D6C599" w14:textId="77777777" w:rsidTr="007C2493">
        <w:tc>
          <w:tcPr>
            <w:tcW w:w="397" w:type="pct"/>
            <w:tcBorders>
              <w:top w:val="single" w:sz="4" w:space="0" w:color="auto"/>
              <w:left w:val="single" w:sz="4" w:space="0" w:color="auto"/>
              <w:bottom w:val="single" w:sz="4" w:space="0" w:color="auto"/>
              <w:right w:val="single" w:sz="4" w:space="0" w:color="auto"/>
            </w:tcBorders>
          </w:tcPr>
          <w:p w14:paraId="58F47D58"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highlight w:val="yellow"/>
              </w:rPr>
            </w:pPr>
            <w:r w:rsidRPr="00F10893">
              <w:rPr>
                <w:rFonts w:ascii="Arial Narrow" w:hAnsi="Arial Narrow"/>
                <w:sz w:val="20"/>
              </w:rPr>
              <w:t>Martin et al (2017)</w:t>
            </w:r>
          </w:p>
        </w:tc>
        <w:tc>
          <w:tcPr>
            <w:tcW w:w="466" w:type="pct"/>
            <w:tcBorders>
              <w:top w:val="single" w:sz="4" w:space="0" w:color="auto"/>
              <w:left w:val="single" w:sz="4" w:space="0" w:color="auto"/>
              <w:bottom w:val="single" w:sz="4" w:space="0" w:color="auto"/>
              <w:right w:val="single" w:sz="4" w:space="0" w:color="auto"/>
            </w:tcBorders>
          </w:tcPr>
          <w:p w14:paraId="367974E8"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High</w:t>
            </w:r>
            <w:r w:rsidRPr="00F10893">
              <w:rPr>
                <w:rFonts w:ascii="Arial Narrow" w:hAnsi="Arial Narrow"/>
                <w:sz w:val="20"/>
                <w:vertAlign w:val="superscript"/>
              </w:rPr>
              <w:t>a</w:t>
            </w:r>
          </w:p>
        </w:tc>
        <w:tc>
          <w:tcPr>
            <w:tcW w:w="653" w:type="pct"/>
            <w:tcBorders>
              <w:top w:val="single" w:sz="4" w:space="0" w:color="auto"/>
              <w:left w:val="single" w:sz="4" w:space="0" w:color="auto"/>
              <w:bottom w:val="single" w:sz="4" w:space="0" w:color="auto"/>
              <w:right w:val="single" w:sz="4" w:space="0" w:color="auto"/>
            </w:tcBorders>
          </w:tcPr>
          <w:p w14:paraId="6C86BD3F"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 xml:space="preserve">Retrospective study cases enrolled in MIRV Phase 1 expansion cohort study </w:t>
            </w:r>
          </w:p>
        </w:tc>
        <w:tc>
          <w:tcPr>
            <w:tcW w:w="1259" w:type="pct"/>
            <w:tcBorders>
              <w:top w:val="single" w:sz="4" w:space="0" w:color="auto"/>
              <w:left w:val="single" w:sz="4" w:space="0" w:color="auto"/>
              <w:bottom w:val="single" w:sz="4" w:space="0" w:color="auto"/>
              <w:right w:val="single" w:sz="4" w:space="0" w:color="auto"/>
            </w:tcBorders>
          </w:tcPr>
          <w:p w14:paraId="08171958"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EOC patients N=27</w:t>
            </w:r>
          </w:p>
          <w:p w14:paraId="7933F764"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color w:val="000000" w:themeColor="text1"/>
                <w:sz w:val="20"/>
              </w:rPr>
              <w:t>Of which archive tissue available, n/N=21/27</w:t>
            </w:r>
          </w:p>
        </w:tc>
        <w:tc>
          <w:tcPr>
            <w:tcW w:w="857" w:type="pct"/>
            <w:tcBorders>
              <w:top w:val="single" w:sz="4" w:space="0" w:color="auto"/>
              <w:left w:val="single" w:sz="4" w:space="0" w:color="auto"/>
              <w:bottom w:val="single" w:sz="4" w:space="0" w:color="auto"/>
              <w:right w:val="single" w:sz="4" w:space="0" w:color="auto"/>
            </w:tcBorders>
          </w:tcPr>
          <w:p w14:paraId="59A6C0E5" w14:textId="77777777" w:rsidR="00E517FA" w:rsidRPr="00F10893" w:rsidRDefault="00E517FA" w:rsidP="00F02286">
            <w:pPr>
              <w:keepNext/>
              <w:keepLines/>
              <w:widowControl w:val="0"/>
              <w:spacing w:before="0" w:after="0"/>
              <w:jc w:val="left"/>
              <w:rPr>
                <w:rFonts w:ascii="Arial Narrow" w:hAnsi="Arial Narrow"/>
                <w:sz w:val="20"/>
                <w:highlight w:val="yellow"/>
              </w:rPr>
            </w:pPr>
            <w:r w:rsidRPr="00F10893">
              <w:rPr>
                <w:rFonts w:ascii="Arial Narrow" w:hAnsi="Arial Narrow"/>
                <w:sz w:val="20"/>
              </w:rPr>
              <w:t>≥25% of tumour staining at ≥2+ intensity</w:t>
            </w:r>
          </w:p>
        </w:tc>
        <w:tc>
          <w:tcPr>
            <w:tcW w:w="619" w:type="pct"/>
            <w:tcBorders>
              <w:top w:val="single" w:sz="4" w:space="0" w:color="auto"/>
              <w:left w:val="single" w:sz="4" w:space="0" w:color="auto"/>
              <w:bottom w:val="single" w:sz="4" w:space="0" w:color="auto"/>
              <w:right w:val="single" w:sz="4" w:space="0" w:color="auto"/>
            </w:tcBorders>
          </w:tcPr>
          <w:p w14:paraId="6D42FDE9" w14:textId="77777777" w:rsidR="00E517FA" w:rsidRPr="00F10893" w:rsidRDefault="00E517FA" w:rsidP="00F02286">
            <w:pPr>
              <w:keepNext/>
              <w:keepLines/>
              <w:widowControl w:val="0"/>
              <w:spacing w:before="0" w:after="0"/>
              <w:jc w:val="left"/>
              <w:rPr>
                <w:rFonts w:ascii="Arial Narrow" w:hAnsi="Arial Narrow"/>
                <w:sz w:val="20"/>
                <w:highlight w:val="yellow"/>
              </w:rPr>
            </w:pPr>
            <w:r w:rsidRPr="00F10893">
              <w:rPr>
                <w:rFonts w:ascii="Arial Narrow" w:hAnsi="Arial Narrow"/>
                <w:sz w:val="20"/>
              </w:rPr>
              <w:t xml:space="preserve">Ventana FOLR1 assay </w:t>
            </w:r>
          </w:p>
        </w:tc>
        <w:tc>
          <w:tcPr>
            <w:tcW w:w="750" w:type="pct"/>
            <w:tcBorders>
              <w:top w:val="single" w:sz="4" w:space="0" w:color="auto"/>
              <w:left w:val="single" w:sz="4" w:space="0" w:color="auto"/>
              <w:bottom w:val="single" w:sz="4" w:space="0" w:color="auto"/>
              <w:right w:val="single" w:sz="4" w:space="0" w:color="auto"/>
            </w:tcBorders>
          </w:tcPr>
          <w:p w14:paraId="3E13C2FD"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Concordance study</w:t>
            </w:r>
          </w:p>
          <w:p w14:paraId="172C3AC1"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FR</w:t>
            </w:r>
            <w:r w:rsidRPr="00F10893">
              <w:rPr>
                <w:rFonts w:ascii="Arial Narrow" w:hAnsi="Arial Narrow" w:cs="Calibri"/>
                <w:sz w:val="20"/>
              </w:rPr>
              <w:t>α</w:t>
            </w:r>
            <w:r w:rsidRPr="00F10893">
              <w:rPr>
                <w:rFonts w:ascii="Arial Narrow" w:hAnsi="Arial Narrow"/>
                <w:sz w:val="20"/>
              </w:rPr>
              <w:t xml:space="preserve"> expression in archival tissue vs fresh biopsy</w:t>
            </w:r>
          </w:p>
        </w:tc>
      </w:tr>
      <w:tr w:rsidR="00E517FA" w:rsidRPr="00F10893" w14:paraId="2D9AE0BC" w14:textId="77777777" w:rsidTr="007C2493">
        <w:trPr>
          <w:trHeight w:val="842"/>
        </w:trPr>
        <w:tc>
          <w:tcPr>
            <w:tcW w:w="397" w:type="pct"/>
            <w:tcBorders>
              <w:top w:val="single" w:sz="4" w:space="0" w:color="auto"/>
              <w:left w:val="single" w:sz="4" w:space="0" w:color="auto"/>
              <w:bottom w:val="single" w:sz="4" w:space="0" w:color="auto"/>
              <w:right w:val="single" w:sz="4" w:space="0" w:color="auto"/>
            </w:tcBorders>
          </w:tcPr>
          <w:p w14:paraId="48673CFF"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highlight w:val="yellow"/>
              </w:rPr>
            </w:pPr>
            <w:r w:rsidRPr="00F10893">
              <w:rPr>
                <w:rFonts w:ascii="Arial Narrow" w:hAnsi="Arial Narrow"/>
                <w:sz w:val="20"/>
              </w:rPr>
              <w:t>Kalli et al (2008)</w:t>
            </w:r>
          </w:p>
        </w:tc>
        <w:tc>
          <w:tcPr>
            <w:tcW w:w="466" w:type="pct"/>
            <w:tcBorders>
              <w:top w:val="single" w:sz="4" w:space="0" w:color="auto"/>
              <w:left w:val="single" w:sz="4" w:space="0" w:color="auto"/>
              <w:bottom w:val="single" w:sz="4" w:space="0" w:color="auto"/>
              <w:right w:val="single" w:sz="4" w:space="0" w:color="auto"/>
            </w:tcBorders>
          </w:tcPr>
          <w:p w14:paraId="3B9BE83D"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High</w:t>
            </w:r>
            <w:r w:rsidRPr="00F10893">
              <w:rPr>
                <w:rFonts w:ascii="Arial Narrow" w:hAnsi="Arial Narrow"/>
                <w:sz w:val="20"/>
                <w:vertAlign w:val="superscript"/>
              </w:rPr>
              <w:t>a</w:t>
            </w:r>
          </w:p>
        </w:tc>
        <w:tc>
          <w:tcPr>
            <w:tcW w:w="653" w:type="pct"/>
            <w:tcBorders>
              <w:top w:val="single" w:sz="4" w:space="0" w:color="auto"/>
              <w:left w:val="single" w:sz="4" w:space="0" w:color="auto"/>
              <w:bottom w:val="single" w:sz="4" w:space="0" w:color="auto"/>
              <w:right w:val="single" w:sz="4" w:space="0" w:color="auto"/>
            </w:tcBorders>
          </w:tcPr>
          <w:p w14:paraId="672951B0"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Retrospective study of ovarian pathology cases</w:t>
            </w:r>
          </w:p>
        </w:tc>
        <w:tc>
          <w:tcPr>
            <w:tcW w:w="1259" w:type="pct"/>
            <w:tcBorders>
              <w:top w:val="single" w:sz="4" w:space="0" w:color="auto"/>
              <w:left w:val="single" w:sz="4" w:space="0" w:color="auto"/>
              <w:bottom w:val="single" w:sz="4" w:space="0" w:color="auto"/>
              <w:right w:val="single" w:sz="4" w:space="0" w:color="auto"/>
            </w:tcBorders>
          </w:tcPr>
          <w:p w14:paraId="372FAB7F" w14:textId="77777777" w:rsidR="00E517FA" w:rsidRPr="00F10893" w:rsidRDefault="00E517FA"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rPr>
              <w:t>OC cases</w:t>
            </w:r>
            <w:r w:rsidRPr="00F10893">
              <w:rPr>
                <w:rFonts w:ascii="Arial Narrow" w:hAnsi="Arial Narrow"/>
                <w:sz w:val="20"/>
                <w:szCs w:val="20"/>
                <w:vertAlign w:val="superscript"/>
              </w:rPr>
              <w:t>b</w:t>
            </w:r>
            <w:r w:rsidRPr="00F10893">
              <w:rPr>
                <w:rFonts w:ascii="Arial Narrow" w:hAnsi="Arial Narrow"/>
                <w:sz w:val="20"/>
                <w:szCs w:val="20"/>
              </w:rPr>
              <w:t>:</w:t>
            </w:r>
          </w:p>
          <w:p w14:paraId="3AD309D1" w14:textId="4B389665"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Total N=213 (%)</w:t>
            </w:r>
          </w:p>
          <w:p w14:paraId="4D2C793B"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Primary n/N=186/213 (87.3)</w:t>
            </w:r>
          </w:p>
          <w:p w14:paraId="3E33B243" w14:textId="77777777" w:rsidR="00E517FA" w:rsidRPr="00F10893" w:rsidRDefault="00E517FA" w:rsidP="00F02286">
            <w:pPr>
              <w:keepNext/>
              <w:keepLines/>
              <w:widowControl w:val="0"/>
              <w:spacing w:before="0" w:after="0"/>
              <w:jc w:val="left"/>
              <w:rPr>
                <w:rFonts w:ascii="Arial Narrow" w:hAnsi="Arial Narrow"/>
                <w:sz w:val="18"/>
                <w:szCs w:val="18"/>
              </w:rPr>
            </w:pPr>
            <w:r w:rsidRPr="00F10893">
              <w:rPr>
                <w:rFonts w:ascii="Arial Narrow" w:hAnsi="Arial Narrow"/>
                <w:sz w:val="18"/>
                <w:szCs w:val="18"/>
              </w:rPr>
              <w:t xml:space="preserve">  Serous n/N=104/186 (55.9)</w:t>
            </w:r>
          </w:p>
          <w:p w14:paraId="604A8868" w14:textId="77777777" w:rsidR="00E517FA" w:rsidRPr="00F10893" w:rsidRDefault="00E517FA"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rPr>
              <w:t>Recurrent n/N=27 (12.7)</w:t>
            </w:r>
          </w:p>
          <w:p w14:paraId="265FF658" w14:textId="77777777" w:rsidR="00E517FA" w:rsidRPr="00F10893" w:rsidRDefault="00E517FA" w:rsidP="00F02286">
            <w:pPr>
              <w:keepNext/>
              <w:keepLines/>
              <w:widowControl w:val="0"/>
              <w:tabs>
                <w:tab w:val="right" w:pos="2212"/>
              </w:tabs>
              <w:spacing w:before="0" w:after="0"/>
              <w:jc w:val="left"/>
              <w:rPr>
                <w:rFonts w:ascii="Arial Narrow" w:hAnsi="Arial Narrow"/>
                <w:color w:val="000000" w:themeColor="text1"/>
                <w:sz w:val="20"/>
                <w:highlight w:val="yellow"/>
              </w:rPr>
            </w:pPr>
            <w:r w:rsidRPr="00F10893">
              <w:rPr>
                <w:rFonts w:ascii="Arial Narrow" w:hAnsi="Arial Narrow"/>
                <w:color w:val="000000" w:themeColor="text1"/>
                <w:sz w:val="18"/>
                <w:szCs w:val="20"/>
              </w:rPr>
              <w:t xml:space="preserve">  Serous n/N=22/27 (81.5)</w:t>
            </w:r>
          </w:p>
        </w:tc>
        <w:tc>
          <w:tcPr>
            <w:tcW w:w="857" w:type="pct"/>
            <w:tcBorders>
              <w:top w:val="single" w:sz="4" w:space="0" w:color="auto"/>
              <w:left w:val="single" w:sz="4" w:space="0" w:color="auto"/>
              <w:bottom w:val="single" w:sz="4" w:space="0" w:color="auto"/>
              <w:right w:val="single" w:sz="4" w:space="0" w:color="auto"/>
            </w:tcBorders>
          </w:tcPr>
          <w:p w14:paraId="4A7A4B69"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 xml:space="preserve">Any staining was positive. Reported by quartiles: </w:t>
            </w:r>
          </w:p>
          <w:p w14:paraId="50ABD2E3"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&gt;75% +ve</w:t>
            </w:r>
          </w:p>
          <w:p w14:paraId="6AC61CD6"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51%-75% +ve</w:t>
            </w:r>
          </w:p>
          <w:p w14:paraId="4D4D3DCB"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26%-50% +ve</w:t>
            </w:r>
          </w:p>
          <w:p w14:paraId="27487EEC"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&lt;25% +ve</w:t>
            </w:r>
          </w:p>
        </w:tc>
        <w:tc>
          <w:tcPr>
            <w:tcW w:w="619" w:type="pct"/>
            <w:tcBorders>
              <w:top w:val="single" w:sz="4" w:space="0" w:color="auto"/>
              <w:left w:val="single" w:sz="4" w:space="0" w:color="auto"/>
              <w:bottom w:val="single" w:sz="4" w:space="0" w:color="auto"/>
              <w:right w:val="single" w:sz="4" w:space="0" w:color="auto"/>
            </w:tcBorders>
          </w:tcPr>
          <w:p w14:paraId="2339E5F9"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In-house IHC using FBP343 antibody</w:t>
            </w:r>
            <w:r w:rsidRPr="00F10893">
              <w:rPr>
                <w:rFonts w:ascii="Arial Narrow" w:hAnsi="Arial Narrow"/>
                <w:sz w:val="20"/>
                <w:vertAlign w:val="superscript"/>
              </w:rPr>
              <w:footnoteReference w:id="6"/>
            </w:r>
            <w:r w:rsidRPr="00F10893">
              <w:rPr>
                <w:rFonts w:ascii="Arial Narrow" w:hAnsi="Arial Narrow"/>
                <w:sz w:val="20"/>
              </w:rPr>
              <w:t xml:space="preserve"> for FR</w:t>
            </w:r>
            <w:r w:rsidRPr="00F10893">
              <w:rPr>
                <w:rFonts w:ascii="Arial Narrow" w:hAnsi="Arial Narrow" w:cs="Calibri"/>
                <w:sz w:val="20"/>
              </w:rPr>
              <w:t>α</w:t>
            </w:r>
            <w:r w:rsidRPr="00F10893">
              <w:rPr>
                <w:rFonts w:ascii="Arial Narrow" w:hAnsi="Arial Narrow"/>
                <w:sz w:val="20"/>
              </w:rPr>
              <w:t xml:space="preserve"> staining</w:t>
            </w:r>
          </w:p>
        </w:tc>
        <w:tc>
          <w:tcPr>
            <w:tcW w:w="750" w:type="pct"/>
            <w:tcBorders>
              <w:top w:val="single" w:sz="4" w:space="0" w:color="auto"/>
              <w:left w:val="single" w:sz="4" w:space="0" w:color="auto"/>
              <w:bottom w:val="single" w:sz="4" w:space="0" w:color="auto"/>
              <w:right w:val="single" w:sz="4" w:space="0" w:color="auto"/>
            </w:tcBorders>
          </w:tcPr>
          <w:p w14:paraId="7F384ACF" w14:textId="77777777" w:rsidR="00E517FA" w:rsidRPr="00F10893" w:rsidRDefault="00E517FA" w:rsidP="00F02286">
            <w:pPr>
              <w:keepNext/>
              <w:keepLines/>
              <w:widowControl w:val="0"/>
              <w:spacing w:before="0" w:after="0"/>
              <w:jc w:val="left"/>
              <w:rPr>
                <w:rFonts w:ascii="Arial Narrow" w:hAnsi="Arial Narrow"/>
                <w:color w:val="000000" w:themeColor="text1"/>
                <w:sz w:val="20"/>
                <w:highlight w:val="yellow"/>
              </w:rPr>
            </w:pPr>
            <w:r w:rsidRPr="00F10893">
              <w:rPr>
                <w:rFonts w:ascii="Arial Narrow" w:hAnsi="Arial Narrow"/>
                <w:sz w:val="20"/>
              </w:rPr>
              <w:t>Stability in FR</w:t>
            </w:r>
            <w:r w:rsidRPr="00F10893">
              <w:rPr>
                <w:rFonts w:ascii="Arial Narrow" w:hAnsi="Arial Narrow" w:cs="Calibri"/>
                <w:sz w:val="20"/>
              </w:rPr>
              <w:t>α</w:t>
            </w:r>
            <w:r w:rsidRPr="00F10893">
              <w:rPr>
                <w:rFonts w:ascii="Arial Narrow" w:hAnsi="Arial Narrow"/>
                <w:sz w:val="20"/>
              </w:rPr>
              <w:t xml:space="preserve"> status over time</w:t>
            </w:r>
          </w:p>
        </w:tc>
      </w:tr>
      <w:tr w:rsidR="00E517FA" w:rsidRPr="00F10893" w14:paraId="5957AA0A" w14:textId="77777777" w:rsidTr="007C2493">
        <w:trPr>
          <w:trHeight w:val="842"/>
        </w:trPr>
        <w:tc>
          <w:tcPr>
            <w:tcW w:w="397" w:type="pct"/>
            <w:tcBorders>
              <w:top w:val="single" w:sz="4" w:space="0" w:color="auto"/>
              <w:left w:val="single" w:sz="4" w:space="0" w:color="auto"/>
              <w:bottom w:val="single" w:sz="4" w:space="0" w:color="auto"/>
              <w:right w:val="single" w:sz="4" w:space="0" w:color="auto"/>
            </w:tcBorders>
          </w:tcPr>
          <w:p w14:paraId="29AC57C0" w14:textId="77777777" w:rsidR="00E517FA" w:rsidRPr="00F10893" w:rsidRDefault="00E517FA" w:rsidP="00F02286">
            <w:pPr>
              <w:keepNext/>
              <w:keepLines/>
              <w:widowControl w:val="0"/>
              <w:spacing w:before="0" w:after="0"/>
              <w:jc w:val="left"/>
              <w:rPr>
                <w:rFonts w:ascii="Arial Narrow" w:hAnsi="Arial Narrow"/>
                <w:sz w:val="20"/>
                <w:highlight w:val="yellow"/>
              </w:rPr>
            </w:pPr>
            <w:r w:rsidRPr="00F10893">
              <w:rPr>
                <w:rFonts w:ascii="Arial Narrow" w:hAnsi="Arial Narrow"/>
                <w:sz w:val="20"/>
              </w:rPr>
              <w:t>FDA, 2022</w:t>
            </w:r>
          </w:p>
        </w:tc>
        <w:tc>
          <w:tcPr>
            <w:tcW w:w="466" w:type="pct"/>
            <w:tcBorders>
              <w:top w:val="single" w:sz="4" w:space="0" w:color="auto"/>
              <w:left w:val="single" w:sz="4" w:space="0" w:color="auto"/>
              <w:bottom w:val="single" w:sz="4" w:space="0" w:color="auto"/>
              <w:right w:val="single" w:sz="4" w:space="0" w:color="auto"/>
            </w:tcBorders>
          </w:tcPr>
          <w:p w14:paraId="53AF3737" w14:textId="21434E99"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Not applicable</w:t>
            </w:r>
          </w:p>
        </w:tc>
        <w:tc>
          <w:tcPr>
            <w:tcW w:w="653" w:type="pct"/>
            <w:tcBorders>
              <w:top w:val="single" w:sz="4" w:space="0" w:color="auto"/>
              <w:left w:val="single" w:sz="4" w:space="0" w:color="auto"/>
              <w:bottom w:val="single" w:sz="4" w:space="0" w:color="auto"/>
              <w:right w:val="single" w:sz="4" w:space="0" w:color="auto"/>
            </w:tcBorders>
          </w:tcPr>
          <w:p w14:paraId="03E62A5A"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Regulatory evaluation of nonclinical and clinical data</w:t>
            </w:r>
          </w:p>
        </w:tc>
        <w:tc>
          <w:tcPr>
            <w:tcW w:w="1259" w:type="pct"/>
            <w:tcBorders>
              <w:top w:val="single" w:sz="4" w:space="0" w:color="auto"/>
              <w:left w:val="single" w:sz="4" w:space="0" w:color="auto"/>
              <w:bottom w:val="single" w:sz="4" w:space="0" w:color="auto"/>
              <w:right w:val="single" w:sz="4" w:space="0" w:color="auto"/>
            </w:tcBorders>
          </w:tcPr>
          <w:p w14:paraId="2FF36B5B" w14:textId="77777777" w:rsidR="00E517FA" w:rsidRPr="00F10893" w:rsidRDefault="00E517FA" w:rsidP="00F02286">
            <w:pPr>
              <w:keepNext/>
              <w:keepLines/>
              <w:widowControl w:val="0"/>
              <w:spacing w:before="0" w:after="0"/>
              <w:jc w:val="left"/>
              <w:rPr>
                <w:rFonts w:ascii="Arial Narrow" w:hAnsi="Arial Narrow"/>
                <w:sz w:val="20"/>
                <w:highlight w:val="yellow"/>
              </w:rPr>
            </w:pPr>
            <w:r w:rsidRPr="00F10893">
              <w:rPr>
                <w:rFonts w:ascii="Arial Narrow" w:hAnsi="Arial Narrow"/>
                <w:sz w:val="20"/>
              </w:rPr>
              <w:t>(no single study – data supplied by sponsor)</w:t>
            </w:r>
          </w:p>
        </w:tc>
        <w:tc>
          <w:tcPr>
            <w:tcW w:w="857" w:type="pct"/>
            <w:tcBorders>
              <w:top w:val="single" w:sz="4" w:space="0" w:color="auto"/>
              <w:left w:val="single" w:sz="4" w:space="0" w:color="auto"/>
              <w:bottom w:val="single" w:sz="4" w:space="0" w:color="auto"/>
              <w:right w:val="single" w:sz="4" w:space="0" w:color="auto"/>
            </w:tcBorders>
          </w:tcPr>
          <w:p w14:paraId="286A3F6D"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(evaluation of sponsor proposal)</w:t>
            </w:r>
          </w:p>
        </w:tc>
        <w:tc>
          <w:tcPr>
            <w:tcW w:w="619" w:type="pct"/>
            <w:tcBorders>
              <w:top w:val="single" w:sz="4" w:space="0" w:color="auto"/>
              <w:left w:val="single" w:sz="4" w:space="0" w:color="auto"/>
              <w:bottom w:val="single" w:sz="4" w:space="0" w:color="auto"/>
              <w:right w:val="single" w:sz="4" w:space="0" w:color="auto"/>
            </w:tcBorders>
          </w:tcPr>
          <w:p w14:paraId="0F100960"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(no single study – data supplied by sponsor)</w:t>
            </w:r>
          </w:p>
        </w:tc>
        <w:tc>
          <w:tcPr>
            <w:tcW w:w="750" w:type="pct"/>
            <w:tcBorders>
              <w:top w:val="single" w:sz="4" w:space="0" w:color="auto"/>
              <w:left w:val="single" w:sz="4" w:space="0" w:color="auto"/>
              <w:bottom w:val="single" w:sz="4" w:space="0" w:color="auto"/>
              <w:right w:val="single" w:sz="4" w:space="0" w:color="auto"/>
            </w:tcBorders>
          </w:tcPr>
          <w:p w14:paraId="75445401"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Sensitivity</w:t>
            </w:r>
            <w:r w:rsidRPr="00F10893">
              <w:rPr>
                <w:rFonts w:ascii="Arial Narrow" w:hAnsi="Arial Narrow"/>
                <w:sz w:val="20"/>
                <w:vertAlign w:val="superscript"/>
              </w:rPr>
              <w:t>b</w:t>
            </w:r>
            <w:r w:rsidRPr="00F10893">
              <w:rPr>
                <w:rFonts w:ascii="Arial Narrow" w:hAnsi="Arial Narrow"/>
                <w:sz w:val="20"/>
              </w:rPr>
              <w:t>; specificity</w:t>
            </w:r>
            <w:r w:rsidRPr="00F10893">
              <w:rPr>
                <w:rFonts w:ascii="Arial Narrow" w:hAnsi="Arial Narrow"/>
                <w:sz w:val="20"/>
                <w:vertAlign w:val="superscript"/>
              </w:rPr>
              <w:t>c</w:t>
            </w:r>
            <w:r w:rsidRPr="00F10893">
              <w:rPr>
                <w:rFonts w:ascii="Arial Narrow" w:hAnsi="Arial Narrow"/>
                <w:sz w:val="20"/>
              </w:rPr>
              <w:t>; precision; reproducibility; tissue heterogeneity</w:t>
            </w:r>
          </w:p>
        </w:tc>
      </w:tr>
    </w:tbl>
    <w:p w14:paraId="13232F42" w14:textId="3B070292" w:rsidR="00E517FA" w:rsidRPr="00F10893" w:rsidRDefault="00E517FA" w:rsidP="00F02286">
      <w:pPr>
        <w:keepNext/>
        <w:keepLines/>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Source: adapted from Table 2.9</w:t>
      </w:r>
      <w:r w:rsidR="00612EFD" w:rsidRPr="00F10893">
        <w:rPr>
          <w:rFonts w:ascii="Arial Narrow" w:eastAsia="Times New Roman" w:hAnsi="Arial Narrow" w:cs="Arial"/>
          <w:snapToGrid w:val="0"/>
          <w:color w:val="000000" w:themeColor="text1"/>
          <w:sz w:val="18"/>
          <w:lang w:eastAsia="en-AU"/>
        </w:rPr>
        <w:t>-</w:t>
      </w:r>
      <w:r w:rsidRPr="00F10893">
        <w:rPr>
          <w:rFonts w:ascii="Arial Narrow" w:eastAsia="Times New Roman" w:hAnsi="Arial Narrow" w:cs="Arial"/>
          <w:snapToGrid w:val="0"/>
          <w:color w:val="000000" w:themeColor="text1"/>
          <w:sz w:val="18"/>
          <w:lang w:eastAsia="en-AU"/>
        </w:rPr>
        <w:t>8 Overview of Characteristics of Included Studies: Test Performance and Accuracy, p132 of the submission.</w:t>
      </w:r>
    </w:p>
    <w:p w14:paraId="47D8A07D" w14:textId="77777777" w:rsidR="00E517FA" w:rsidRPr="00F10893" w:rsidRDefault="00E517FA" w:rsidP="00F02286">
      <w:pPr>
        <w:keepNext/>
        <w:keepLines/>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EOC=epithelial ovarian cancer; FRα= folate receptor alpha; IHC= immunohistochemistry;</w:t>
      </w:r>
      <w:r w:rsidRPr="00F10893">
        <w:rPr>
          <w:rFonts w:ascii="Arial Narrow" w:eastAsia="Times New Roman" w:hAnsi="Arial Narrow" w:cs="Arial"/>
          <w:snapToGrid w:val="0"/>
          <w:sz w:val="18"/>
          <w:lang w:eastAsia="en-AU"/>
        </w:rPr>
        <w:t xml:space="preserve"> n= number of events; N= number of patients; NPA= </w:t>
      </w:r>
      <w:r w:rsidRPr="00F10893">
        <w:rPr>
          <w:rFonts w:ascii="Arial Narrow" w:eastAsia="Times New Roman" w:hAnsi="Arial Narrow" w:cs="Arial"/>
          <w:snapToGrid w:val="0"/>
          <w:color w:val="000000" w:themeColor="text1"/>
          <w:sz w:val="18"/>
          <w:lang w:eastAsia="en-AU"/>
        </w:rPr>
        <w:t>negative percent agreement; OC= ovarian cancer;</w:t>
      </w:r>
      <w:r w:rsidRPr="00F10893">
        <w:rPr>
          <w:rFonts w:ascii="Arial Narrow" w:eastAsia="Times New Roman" w:hAnsi="Arial Narrow" w:cs="Arial"/>
          <w:snapToGrid w:val="0"/>
          <w:sz w:val="18"/>
          <w:lang w:eastAsia="en-AU"/>
        </w:rPr>
        <w:t xml:space="preserve"> OPA= overall percent agreement; </w:t>
      </w:r>
      <w:r w:rsidRPr="00F10893">
        <w:rPr>
          <w:rFonts w:ascii="Arial Narrow" w:eastAsia="Times New Roman" w:hAnsi="Arial Narrow" w:cs="Arial"/>
          <w:snapToGrid w:val="0"/>
          <w:color w:val="000000" w:themeColor="text1"/>
          <w:sz w:val="18"/>
          <w:lang w:eastAsia="en-AU"/>
        </w:rPr>
        <w:t xml:space="preserve">PPA= positive percent agreement. </w:t>
      </w:r>
    </w:p>
    <w:p w14:paraId="5C91A703" w14:textId="77777777" w:rsidR="00E517FA" w:rsidRPr="00F10893" w:rsidRDefault="00E517FA" w:rsidP="00F02286">
      <w:pPr>
        <w:keepNext/>
        <w:keepLines/>
        <w:tabs>
          <w:tab w:val="left" w:pos="284"/>
        </w:tabs>
        <w:spacing w:before="0" w:after="0"/>
        <w:jc w:val="left"/>
        <w:rPr>
          <w:rFonts w:ascii="Arial Narrow" w:eastAsia="Times New Roman" w:hAnsi="Arial Narrow" w:cs="Arial"/>
          <w:i/>
          <w:iCs/>
          <w:snapToGrid w:val="0"/>
          <w:color w:val="000000" w:themeColor="text1"/>
          <w:sz w:val="18"/>
          <w:lang w:eastAsia="en-AU"/>
        </w:rPr>
      </w:pPr>
      <w:r w:rsidRPr="00F10893">
        <w:rPr>
          <w:rFonts w:ascii="Arial Narrow" w:eastAsia="Times New Roman" w:hAnsi="Arial Narrow" w:cs="Arial"/>
          <w:i/>
          <w:iCs/>
          <w:snapToGrid w:val="0"/>
          <w:color w:val="000000" w:themeColor="text1"/>
          <w:sz w:val="18"/>
          <w:lang w:eastAsia="en-AU"/>
        </w:rPr>
        <w:t xml:space="preserve">a The absence of a reference standard in these studies conferred a high risk of bias according to the QUADAS-2 tool. </w:t>
      </w:r>
    </w:p>
    <w:p w14:paraId="5AC1027E" w14:textId="77777777" w:rsidR="00E517FA" w:rsidRPr="00F10893" w:rsidRDefault="00E517FA" w:rsidP="00E517FA">
      <w:pPr>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b Sensitivity was examined using a panel of EOC tissue samples without comparison to a reference (no rates of true or false positives were reported).</w:t>
      </w:r>
    </w:p>
    <w:p w14:paraId="6BBC3F52" w14:textId="50C63476" w:rsidR="00E517FA" w:rsidRPr="00F02286" w:rsidRDefault="00E517FA" w:rsidP="00E517FA">
      <w:pPr>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 xml:space="preserve">c Specificity was examined with a qualitative method only to check assay antibody specificity for FOLR1 c.f. FOLR2 and FOLR3 proteins. No detection rates, true or false negatives were reported. </w:t>
      </w:r>
    </w:p>
    <w:p w14:paraId="2FD62FD7" w14:textId="08206B2C" w:rsidR="008764D5" w:rsidRPr="00214750" w:rsidRDefault="00E517FA" w:rsidP="00E517FA">
      <w:pPr>
        <w:rPr>
          <w:rFonts w:ascii="Franklin Gothic Book" w:hAnsi="Franklin Gothic Book"/>
          <w:sz w:val="22"/>
          <w:szCs w:val="20"/>
        </w:rPr>
      </w:pPr>
      <w:r w:rsidRPr="00214750">
        <w:rPr>
          <w:rFonts w:ascii="Franklin Gothic Book" w:hAnsi="Franklin Gothic Book"/>
          <w:sz w:val="22"/>
          <w:szCs w:val="20"/>
        </w:rPr>
        <w:t>A summary of the four included studies reporting on the potential prognostic effect of FR</w:t>
      </w:r>
      <w:r w:rsidRPr="00214750">
        <w:rPr>
          <w:rFonts w:ascii="Franklin Gothic Book" w:hAnsi="Franklin Gothic Book" w:cs="Calibri"/>
          <w:sz w:val="22"/>
          <w:szCs w:val="20"/>
        </w:rPr>
        <w:t>α</w:t>
      </w:r>
      <w:r w:rsidRPr="00214750">
        <w:rPr>
          <w:rFonts w:ascii="Franklin Gothic Book" w:hAnsi="Franklin Gothic Book"/>
          <w:sz w:val="22"/>
          <w:szCs w:val="20"/>
        </w:rPr>
        <w:t xml:space="preserve"> expression is provided in</w:t>
      </w:r>
      <w:r w:rsidR="005E37CF">
        <w:rPr>
          <w:rFonts w:ascii="Franklin Gothic Book" w:hAnsi="Franklin Gothic Book"/>
          <w:sz w:val="22"/>
          <w:szCs w:val="20"/>
        </w:rPr>
        <w:t xml:space="preserve"> </w:t>
      </w:r>
      <w:r w:rsidR="005E37CF">
        <w:rPr>
          <w:rFonts w:ascii="Franklin Gothic Book" w:hAnsi="Franklin Gothic Book"/>
          <w:sz w:val="22"/>
          <w:szCs w:val="20"/>
        </w:rPr>
        <w:fldChar w:fldCharType="begin"/>
      </w:r>
      <w:r w:rsidR="005E37CF">
        <w:rPr>
          <w:rFonts w:ascii="Franklin Gothic Book" w:hAnsi="Franklin Gothic Book"/>
          <w:sz w:val="22"/>
          <w:szCs w:val="20"/>
        </w:rPr>
        <w:instrText xml:space="preserve"> REF _Ref198566178 \h </w:instrText>
      </w:r>
      <w:r w:rsidR="00764A1E">
        <w:rPr>
          <w:rFonts w:ascii="Franklin Gothic Book" w:hAnsi="Franklin Gothic Book"/>
          <w:sz w:val="22"/>
          <w:szCs w:val="20"/>
        </w:rPr>
        <w:instrText xml:space="preserve"> \* MERGEFORMAT </w:instrText>
      </w:r>
      <w:r w:rsidR="005E37CF">
        <w:rPr>
          <w:rFonts w:ascii="Franklin Gothic Book" w:hAnsi="Franklin Gothic Book"/>
          <w:sz w:val="22"/>
          <w:szCs w:val="20"/>
        </w:rPr>
      </w:r>
      <w:r w:rsidR="005E37CF">
        <w:rPr>
          <w:rFonts w:ascii="Franklin Gothic Book" w:hAnsi="Franklin Gothic Book"/>
          <w:sz w:val="22"/>
          <w:szCs w:val="20"/>
        </w:rPr>
        <w:fldChar w:fldCharType="separate"/>
      </w:r>
      <w:r w:rsidR="005E37CF" w:rsidRPr="00764A1E">
        <w:rPr>
          <w:rFonts w:ascii="Franklin Gothic Book" w:hAnsi="Franklin Gothic Book"/>
          <w:sz w:val="22"/>
          <w:szCs w:val="20"/>
        </w:rPr>
        <w:t>Table 11</w:t>
      </w:r>
      <w:r w:rsidR="005E37CF">
        <w:rPr>
          <w:rFonts w:ascii="Franklin Gothic Book" w:hAnsi="Franklin Gothic Book"/>
          <w:sz w:val="22"/>
          <w:szCs w:val="20"/>
        </w:rPr>
        <w:fldChar w:fldCharType="end"/>
      </w:r>
      <w:r w:rsidRPr="00214750">
        <w:rPr>
          <w:rFonts w:ascii="Franklin Gothic Book" w:hAnsi="Franklin Gothic Book"/>
          <w:sz w:val="22"/>
          <w:szCs w:val="20"/>
        </w:rPr>
        <w:t xml:space="preserve">. </w:t>
      </w:r>
    </w:p>
    <w:p w14:paraId="46F6191B" w14:textId="04C87E96" w:rsidR="00E517FA" w:rsidRPr="00F10893" w:rsidRDefault="005E37CF" w:rsidP="00F02286">
      <w:pPr>
        <w:pStyle w:val="Caption"/>
        <w:keepLines/>
      </w:pPr>
      <w:bookmarkStart w:id="29" w:name="_Ref198566178"/>
      <w:r>
        <w:lastRenderedPageBreak/>
        <w:t>Table</w:t>
      </w:r>
      <w:r w:rsidR="0061655A" w:rsidRPr="00F10893">
        <w:t xml:space="preserve"> </w:t>
      </w:r>
      <w:r>
        <w:fldChar w:fldCharType="begin"/>
      </w:r>
      <w:r>
        <w:instrText xml:space="preserve"> SEQ Table \* ARABIC </w:instrText>
      </w:r>
      <w:r>
        <w:fldChar w:fldCharType="separate"/>
      </w:r>
      <w:r>
        <w:rPr>
          <w:noProof/>
        </w:rPr>
        <w:t>11</w:t>
      </w:r>
      <w:r>
        <w:rPr>
          <w:noProof/>
        </w:rPr>
        <w:fldChar w:fldCharType="end"/>
      </w:r>
      <w:bookmarkEnd w:id="29"/>
      <w:r w:rsidR="0061655A" w:rsidRPr="00F10893">
        <w:t xml:space="preserve">: </w:t>
      </w:r>
      <w:r w:rsidR="00E517FA" w:rsidRPr="00F10893">
        <w:t>Overview of characteristics of included studies: Prognostic effect of FRα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features of the included evidence comparing intervention with comparator"/>
        <w:tblDescription w:val="This table provides a summary of the key features of each study included in the evidence base - including the study authors, sample size, study design and duration, risk of bias in the results, patient population characteristics, key outcomes measured, and whether the results were used in the economic evaluation in the report."/>
      </w:tblPr>
      <w:tblGrid>
        <w:gridCol w:w="704"/>
        <w:gridCol w:w="710"/>
        <w:gridCol w:w="1275"/>
        <w:gridCol w:w="2268"/>
        <w:gridCol w:w="2171"/>
        <w:gridCol w:w="1030"/>
        <w:gridCol w:w="858"/>
      </w:tblGrid>
      <w:tr w:rsidR="00E517FA" w:rsidRPr="00F10893" w14:paraId="536C4B96" w14:textId="77777777">
        <w:trPr>
          <w:tblHeader/>
        </w:trPr>
        <w:tc>
          <w:tcPr>
            <w:tcW w:w="390" w:type="pct"/>
            <w:vAlign w:val="center"/>
          </w:tcPr>
          <w:p w14:paraId="6A2DFE04"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Study ID</w:t>
            </w:r>
          </w:p>
        </w:tc>
        <w:tc>
          <w:tcPr>
            <w:tcW w:w="394" w:type="pct"/>
          </w:tcPr>
          <w:p w14:paraId="0176DE29"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Risk of Bias</w:t>
            </w:r>
            <w:r w:rsidRPr="00F10893">
              <w:rPr>
                <w:rFonts w:ascii="Arial Narrow" w:eastAsiaTheme="majorEastAsia" w:hAnsi="Arial Narrow" w:cs="Times New Roman"/>
                <w:b/>
                <w:color w:val="000000" w:themeColor="text1"/>
                <w:sz w:val="20"/>
                <w:szCs w:val="24"/>
                <w:vertAlign w:val="superscript"/>
                <w:lang w:eastAsia="en-AU"/>
              </w:rPr>
              <w:t>a</w:t>
            </w:r>
          </w:p>
        </w:tc>
        <w:tc>
          <w:tcPr>
            <w:tcW w:w="707" w:type="pct"/>
          </w:tcPr>
          <w:p w14:paraId="4835844A" w14:textId="77777777" w:rsidR="00E517FA" w:rsidRPr="00F10893" w:rsidRDefault="00E517FA" w:rsidP="00F02286">
            <w:pPr>
              <w:keepNext/>
              <w:keepLines/>
              <w:spacing w:before="0" w:after="0"/>
              <w:jc w:val="left"/>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Site (date range)</w:t>
            </w:r>
          </w:p>
        </w:tc>
        <w:tc>
          <w:tcPr>
            <w:tcW w:w="1258" w:type="pct"/>
          </w:tcPr>
          <w:p w14:paraId="4820E9F8" w14:textId="77777777" w:rsidR="00E517FA" w:rsidRPr="00F10893" w:rsidRDefault="00E517FA" w:rsidP="00F02286">
            <w:pPr>
              <w:keepNext/>
              <w:keepLines/>
              <w:spacing w:before="0" w:after="0"/>
              <w:jc w:val="left"/>
              <w:rPr>
                <w:rFonts w:ascii="Arial Narrow" w:eastAsiaTheme="majorEastAsia" w:hAnsi="Arial Narrow" w:cs="Times New Roman"/>
                <w:b/>
                <w:i/>
                <w:color w:val="000000" w:themeColor="text1"/>
                <w:sz w:val="20"/>
                <w:szCs w:val="24"/>
                <w:lang w:eastAsia="en-AU"/>
              </w:rPr>
            </w:pPr>
            <w:r w:rsidRPr="00F10893">
              <w:rPr>
                <w:rFonts w:ascii="Arial Narrow" w:eastAsiaTheme="majorEastAsia" w:hAnsi="Arial Narrow" w:cs="Times New Roman"/>
                <w:b/>
                <w:color w:val="000000" w:themeColor="text1"/>
                <w:sz w:val="20"/>
                <w:szCs w:val="24"/>
                <w:lang w:eastAsia="en-AU"/>
              </w:rPr>
              <w:t>Population,</w:t>
            </w:r>
            <w:r w:rsidRPr="00F10893">
              <w:rPr>
                <w:rFonts w:ascii="Arial Narrow" w:eastAsiaTheme="majorEastAsia" w:hAnsi="Arial Narrow" w:cs="Times New Roman"/>
                <w:b/>
                <w:i/>
                <w:color w:val="000000" w:themeColor="text1"/>
                <w:sz w:val="20"/>
                <w:szCs w:val="24"/>
                <w:lang w:eastAsia="en-AU"/>
              </w:rPr>
              <w:t xml:space="preserve"> N</w:t>
            </w:r>
          </w:p>
        </w:tc>
        <w:tc>
          <w:tcPr>
            <w:tcW w:w="1204" w:type="pct"/>
          </w:tcPr>
          <w:p w14:paraId="31BCA14B" w14:textId="77777777" w:rsidR="00E517FA" w:rsidRPr="00F10893" w:rsidRDefault="00E517FA" w:rsidP="00F02286">
            <w:pPr>
              <w:keepNext/>
              <w:keepLines/>
              <w:spacing w:before="0" w:after="0"/>
              <w:jc w:val="left"/>
              <w:rPr>
                <w:rFonts w:ascii="Arial Narrow" w:eastAsiaTheme="majorEastAsia" w:hAnsi="Arial Narrow" w:cs="Times New Roman"/>
                <w:b/>
                <w:i/>
                <w:sz w:val="20"/>
                <w:szCs w:val="24"/>
                <w:lang w:eastAsia="en-AU"/>
              </w:rPr>
            </w:pPr>
            <w:r w:rsidRPr="00F10893">
              <w:rPr>
                <w:rFonts w:ascii="Arial Narrow" w:eastAsiaTheme="majorEastAsia" w:hAnsi="Arial Narrow" w:cs="Times New Roman"/>
                <w:b/>
                <w:i/>
                <w:sz w:val="20"/>
                <w:szCs w:val="24"/>
                <w:lang w:eastAsia="en-AU"/>
              </w:rPr>
              <w:t>FRα positivity definition</w:t>
            </w:r>
          </w:p>
        </w:tc>
        <w:tc>
          <w:tcPr>
            <w:tcW w:w="571" w:type="pct"/>
          </w:tcPr>
          <w:p w14:paraId="2C8477B0" w14:textId="77777777" w:rsidR="00E517FA" w:rsidRPr="00F10893" w:rsidRDefault="00E517FA"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FR</w:t>
            </w:r>
            <w:r w:rsidRPr="00F10893">
              <w:rPr>
                <w:rFonts w:ascii="Arial Narrow" w:eastAsiaTheme="majorEastAsia" w:hAnsi="Arial Narrow" w:cs="Calibri"/>
                <w:b/>
                <w:sz w:val="20"/>
                <w:szCs w:val="24"/>
                <w:lang w:eastAsia="en-AU"/>
              </w:rPr>
              <w:t>α method</w:t>
            </w:r>
          </w:p>
        </w:tc>
        <w:tc>
          <w:tcPr>
            <w:tcW w:w="476" w:type="pct"/>
          </w:tcPr>
          <w:p w14:paraId="70F072AD" w14:textId="77777777" w:rsidR="00E517FA" w:rsidRPr="00F10893" w:rsidRDefault="00E517FA" w:rsidP="00F02286">
            <w:pPr>
              <w:keepNext/>
              <w:keepLines/>
              <w:spacing w:before="0" w:after="0"/>
              <w:ind w:left="-57" w:right="-57"/>
              <w:jc w:val="center"/>
              <w:rPr>
                <w:rFonts w:ascii="Arial Narrow" w:eastAsiaTheme="majorEastAsia" w:hAnsi="Arial Narrow" w:cs="Times New Roman"/>
                <w:b/>
                <w:color w:val="000000" w:themeColor="text1"/>
                <w:sz w:val="20"/>
                <w:szCs w:val="24"/>
                <w:lang w:eastAsia="en-AU"/>
              </w:rPr>
            </w:pPr>
            <w:r w:rsidRPr="00F10893">
              <w:rPr>
                <w:rFonts w:ascii="Arial Narrow" w:eastAsiaTheme="majorEastAsia" w:hAnsi="Arial Narrow" w:cs="Times New Roman"/>
                <w:b/>
                <w:sz w:val="20"/>
                <w:szCs w:val="24"/>
                <w:lang w:eastAsia="en-AU"/>
              </w:rPr>
              <w:t>Outcomes</w:t>
            </w:r>
          </w:p>
        </w:tc>
      </w:tr>
      <w:tr w:rsidR="00E517FA" w:rsidRPr="00F10893" w14:paraId="43D980EB" w14:textId="77777777">
        <w:tc>
          <w:tcPr>
            <w:tcW w:w="390" w:type="pct"/>
          </w:tcPr>
          <w:p w14:paraId="7C9C9354"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rPr>
            </w:pPr>
            <w:r w:rsidRPr="00F10893">
              <w:rPr>
                <w:rFonts w:ascii="Arial Narrow" w:hAnsi="Arial Narrow"/>
                <w:sz w:val="20"/>
              </w:rPr>
              <w:t>Lawson et al (2024)</w:t>
            </w:r>
          </w:p>
        </w:tc>
        <w:tc>
          <w:tcPr>
            <w:tcW w:w="394" w:type="pct"/>
          </w:tcPr>
          <w:p w14:paraId="1DCCF58E"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High</w:t>
            </w:r>
          </w:p>
        </w:tc>
        <w:tc>
          <w:tcPr>
            <w:tcW w:w="707" w:type="pct"/>
          </w:tcPr>
          <w:p w14:paraId="5AF4FBC3"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MD Anderson Cancer Centre (Houston, TX) (Jan 2023 – 1 Oct 2023)</w:t>
            </w:r>
          </w:p>
        </w:tc>
        <w:tc>
          <w:tcPr>
            <w:tcW w:w="1258" w:type="pct"/>
          </w:tcPr>
          <w:p w14:paraId="036B4401"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Gynaecologic cases:</w:t>
            </w:r>
          </w:p>
          <w:p w14:paraId="451C9DE0" w14:textId="77777777" w:rsidR="00E517FA" w:rsidRPr="00F10893" w:rsidRDefault="00E517FA" w:rsidP="00F02286">
            <w:pPr>
              <w:keepNext/>
              <w:keepLines/>
              <w:widowControl w:val="0"/>
              <w:spacing w:before="0" w:after="0"/>
              <w:jc w:val="left"/>
              <w:rPr>
                <w:rFonts w:ascii="Arial Narrow" w:hAnsi="Arial Narrow"/>
                <w:i/>
                <w:iCs/>
                <w:color w:val="000000" w:themeColor="text1"/>
                <w:sz w:val="20"/>
              </w:rPr>
            </w:pPr>
            <w:r w:rsidRPr="00F10893">
              <w:rPr>
                <w:rFonts w:ascii="Arial Narrow" w:hAnsi="Arial Narrow"/>
                <w:i/>
                <w:iCs/>
                <w:color w:val="000000" w:themeColor="text1"/>
                <w:sz w:val="20"/>
              </w:rPr>
              <w:t xml:space="preserve">Total N=215 </w:t>
            </w:r>
          </w:p>
          <w:p w14:paraId="75E16719" w14:textId="77777777" w:rsidR="00E517FA" w:rsidRPr="00F10893" w:rsidRDefault="00E517FA" w:rsidP="00F02286">
            <w:pPr>
              <w:keepNext/>
              <w:keepLines/>
              <w:widowControl w:val="0"/>
              <w:spacing w:before="0" w:after="0"/>
              <w:jc w:val="left"/>
              <w:rPr>
                <w:rFonts w:ascii="Arial Narrow" w:hAnsi="Arial Narrow"/>
                <w:i/>
                <w:iCs/>
                <w:color w:val="000000" w:themeColor="text1"/>
                <w:sz w:val="20"/>
              </w:rPr>
            </w:pPr>
            <w:r w:rsidRPr="00F10893">
              <w:rPr>
                <w:rFonts w:ascii="Arial Narrow" w:hAnsi="Arial Narrow"/>
                <w:i/>
                <w:iCs/>
                <w:color w:val="000000" w:themeColor="text1"/>
                <w:sz w:val="20"/>
              </w:rPr>
              <w:t>H</w:t>
            </w:r>
            <w:r w:rsidRPr="00F10893">
              <w:rPr>
                <w:rFonts w:ascii="Arial Narrow" w:hAnsi="Arial Narrow"/>
                <w:i/>
                <w:iCs/>
                <w:sz w:val="20"/>
              </w:rPr>
              <w:t>igh-grade serous n/N=162/215 (75%)</w:t>
            </w:r>
          </w:p>
        </w:tc>
        <w:tc>
          <w:tcPr>
            <w:tcW w:w="1204" w:type="pct"/>
          </w:tcPr>
          <w:p w14:paraId="633D2A48"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PS2+ (≥75% of cells stained)</w:t>
            </w:r>
          </w:p>
        </w:tc>
        <w:tc>
          <w:tcPr>
            <w:tcW w:w="571" w:type="pct"/>
          </w:tcPr>
          <w:p w14:paraId="3C8C0444"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Ventana FR</w:t>
            </w:r>
            <w:r w:rsidRPr="00F10893">
              <w:rPr>
                <w:rFonts w:ascii="Arial Narrow" w:hAnsi="Arial Narrow" w:cs="Calibri"/>
                <w:i/>
                <w:iCs/>
                <w:sz w:val="20"/>
              </w:rPr>
              <w:t>α</w:t>
            </w:r>
            <w:r w:rsidRPr="00F10893">
              <w:rPr>
                <w:rFonts w:ascii="Arial Narrow" w:hAnsi="Arial Narrow"/>
                <w:i/>
                <w:iCs/>
                <w:sz w:val="20"/>
              </w:rPr>
              <w:t xml:space="preserve"> IHC (antibody clone FOLR1-2.1)</w:t>
            </w:r>
          </w:p>
        </w:tc>
        <w:tc>
          <w:tcPr>
            <w:tcW w:w="476" w:type="pct"/>
          </w:tcPr>
          <w:p w14:paraId="628C850F"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OS, PFS</w:t>
            </w:r>
          </w:p>
        </w:tc>
      </w:tr>
      <w:tr w:rsidR="00E517FA" w:rsidRPr="00F10893" w14:paraId="7A051B9A" w14:textId="77777777">
        <w:tc>
          <w:tcPr>
            <w:tcW w:w="390" w:type="pct"/>
          </w:tcPr>
          <w:p w14:paraId="0A338380"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rPr>
            </w:pPr>
            <w:r w:rsidRPr="00F10893">
              <w:rPr>
                <w:rFonts w:ascii="Arial Narrow" w:hAnsi="Arial Narrow"/>
                <w:sz w:val="20"/>
              </w:rPr>
              <w:t>Köbel et al (2014)</w:t>
            </w:r>
          </w:p>
        </w:tc>
        <w:tc>
          <w:tcPr>
            <w:tcW w:w="394" w:type="pct"/>
          </w:tcPr>
          <w:p w14:paraId="75488DF4"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Unclear</w:t>
            </w:r>
          </w:p>
        </w:tc>
        <w:tc>
          <w:tcPr>
            <w:tcW w:w="707" w:type="pct"/>
          </w:tcPr>
          <w:p w14:paraId="7B7ABC47"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Enrolled in 12 studies part of OTTA consortium (see footnote</w:t>
            </w:r>
            <w:r w:rsidRPr="00F10893">
              <w:rPr>
                <w:rFonts w:ascii="Arial Narrow" w:hAnsi="Arial Narrow"/>
                <w:sz w:val="20"/>
                <w:vertAlign w:val="superscript"/>
              </w:rPr>
              <w:t xml:space="preserve"> b</w:t>
            </w:r>
            <w:r w:rsidRPr="00F10893">
              <w:rPr>
                <w:rFonts w:ascii="Arial Narrow" w:hAnsi="Arial Narrow"/>
                <w:sz w:val="20"/>
              </w:rPr>
              <w:t>)</w:t>
            </w:r>
          </w:p>
        </w:tc>
        <w:tc>
          <w:tcPr>
            <w:tcW w:w="1258" w:type="pct"/>
          </w:tcPr>
          <w:p w14:paraId="2E95ECB3" w14:textId="77777777" w:rsidR="00E517FA" w:rsidRPr="00F10893" w:rsidRDefault="00E517FA" w:rsidP="00F02286">
            <w:pPr>
              <w:keepNext/>
              <w:keepLines/>
              <w:widowControl w:val="0"/>
              <w:spacing w:before="0" w:after="0"/>
              <w:jc w:val="left"/>
              <w:rPr>
                <w:rFonts w:ascii="Arial Narrow" w:hAnsi="Arial Narrow"/>
                <w:sz w:val="20"/>
              </w:rPr>
            </w:pPr>
            <w:r w:rsidRPr="00F10893">
              <w:rPr>
                <w:rFonts w:ascii="Arial Narrow" w:hAnsi="Arial Narrow"/>
                <w:sz w:val="20"/>
              </w:rPr>
              <w:t xml:space="preserve">OC cases: </w:t>
            </w:r>
          </w:p>
          <w:p w14:paraId="48A66113" w14:textId="77777777" w:rsidR="00E517FA" w:rsidRPr="00F10893" w:rsidRDefault="00E517FA" w:rsidP="00F02286">
            <w:pPr>
              <w:keepNext/>
              <w:keepLines/>
              <w:widowControl w:val="0"/>
              <w:spacing w:before="0" w:after="0"/>
              <w:jc w:val="left"/>
              <w:rPr>
                <w:rFonts w:ascii="Arial Narrow" w:hAnsi="Arial Narrow"/>
                <w:i/>
                <w:iCs/>
                <w:color w:val="000000" w:themeColor="text1"/>
                <w:sz w:val="20"/>
              </w:rPr>
            </w:pPr>
            <w:r w:rsidRPr="00F10893">
              <w:rPr>
                <w:rFonts w:ascii="Arial Narrow" w:hAnsi="Arial Narrow"/>
                <w:i/>
                <w:iCs/>
                <w:color w:val="000000" w:themeColor="text1"/>
                <w:sz w:val="20"/>
              </w:rPr>
              <w:t>Total N=2801</w:t>
            </w:r>
          </w:p>
          <w:p w14:paraId="31E6EBC5" w14:textId="77777777" w:rsidR="00E517FA" w:rsidRPr="00F10893" w:rsidRDefault="00E517FA" w:rsidP="00F02286">
            <w:pPr>
              <w:keepNext/>
              <w:keepLines/>
              <w:widowControl w:val="0"/>
              <w:spacing w:before="0" w:after="0"/>
              <w:jc w:val="left"/>
              <w:rPr>
                <w:rFonts w:ascii="Arial Narrow" w:hAnsi="Arial Narrow"/>
                <w:i/>
                <w:iCs/>
                <w:color w:val="000000" w:themeColor="text1"/>
                <w:sz w:val="20"/>
              </w:rPr>
            </w:pPr>
            <w:r w:rsidRPr="00F10893">
              <w:rPr>
                <w:rFonts w:ascii="Arial Narrow" w:hAnsi="Arial Narrow"/>
                <w:i/>
                <w:iCs/>
                <w:color w:val="000000" w:themeColor="text1"/>
                <w:sz w:val="20"/>
              </w:rPr>
              <w:t>High grade serous n/N=1507/2801 (53.8%)</w:t>
            </w:r>
          </w:p>
        </w:tc>
        <w:tc>
          <w:tcPr>
            <w:tcW w:w="1204" w:type="pct"/>
          </w:tcPr>
          <w:p w14:paraId="02EFC48E"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FRα negative is absent / weak staining.</w:t>
            </w:r>
          </w:p>
          <w:p w14:paraId="435422D9"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FRα positive is all others:</w:t>
            </w:r>
          </w:p>
          <w:p w14:paraId="0DC9BF92"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Strong: 1-50% cells stained</w:t>
            </w:r>
          </w:p>
          <w:p w14:paraId="0FC6FB44"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 xml:space="preserve">Strong membranous: &gt;50% </w:t>
            </w:r>
          </w:p>
          <w:p w14:paraId="5FA20E28"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 xml:space="preserve">Strong cytoplasmic: 50-95% </w:t>
            </w:r>
          </w:p>
          <w:p w14:paraId="6706060C"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Strong cytoplasmic: &gt;95%</w:t>
            </w:r>
          </w:p>
        </w:tc>
        <w:tc>
          <w:tcPr>
            <w:tcW w:w="571" w:type="pct"/>
          </w:tcPr>
          <w:p w14:paraId="6D22DB50"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In-house IHC using BN3.2 antibody (Novocastra) for FR</w:t>
            </w:r>
            <w:r w:rsidRPr="00F10893">
              <w:rPr>
                <w:rFonts w:ascii="Arial Narrow" w:hAnsi="Arial Narrow" w:cs="Calibri"/>
                <w:i/>
                <w:iCs/>
                <w:sz w:val="20"/>
              </w:rPr>
              <w:t>α</w:t>
            </w:r>
            <w:r w:rsidRPr="00F10893">
              <w:rPr>
                <w:rFonts w:ascii="Arial Narrow" w:hAnsi="Arial Narrow"/>
                <w:i/>
                <w:iCs/>
                <w:sz w:val="20"/>
              </w:rPr>
              <w:t xml:space="preserve"> staining</w:t>
            </w:r>
          </w:p>
        </w:tc>
        <w:tc>
          <w:tcPr>
            <w:tcW w:w="476" w:type="pct"/>
          </w:tcPr>
          <w:p w14:paraId="6D448DE9"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OS, PFS</w:t>
            </w:r>
          </w:p>
        </w:tc>
      </w:tr>
      <w:tr w:rsidR="00E517FA" w:rsidRPr="00F10893" w14:paraId="698C348F" w14:textId="77777777">
        <w:tc>
          <w:tcPr>
            <w:tcW w:w="390" w:type="pct"/>
          </w:tcPr>
          <w:p w14:paraId="3100DBCE"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rPr>
            </w:pPr>
            <w:r w:rsidRPr="00F10893">
              <w:rPr>
                <w:rFonts w:ascii="Arial Narrow" w:hAnsi="Arial Narrow"/>
                <w:sz w:val="20"/>
              </w:rPr>
              <w:t>Crane et al (2012)</w:t>
            </w:r>
          </w:p>
        </w:tc>
        <w:tc>
          <w:tcPr>
            <w:tcW w:w="394" w:type="pct"/>
          </w:tcPr>
          <w:p w14:paraId="08FD473B"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High</w:t>
            </w:r>
          </w:p>
        </w:tc>
        <w:tc>
          <w:tcPr>
            <w:tcW w:w="707" w:type="pct"/>
          </w:tcPr>
          <w:p w14:paraId="77A24A4B"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 xml:space="preserve">University Medical Centre Groningen (Netherlands) </w:t>
            </w:r>
            <w:r w:rsidRPr="00F10893">
              <w:rPr>
                <w:rFonts w:ascii="Arial Narrow" w:hAnsi="Arial Narrow"/>
                <w:i/>
                <w:iCs/>
                <w:sz w:val="20"/>
              </w:rPr>
              <w:t>(1985 – 2002)</w:t>
            </w:r>
          </w:p>
        </w:tc>
        <w:tc>
          <w:tcPr>
            <w:tcW w:w="1258" w:type="pct"/>
          </w:tcPr>
          <w:p w14:paraId="2809115D" w14:textId="77777777" w:rsidR="00E517FA" w:rsidRPr="00F10893" w:rsidRDefault="00E517FA" w:rsidP="00F02286">
            <w:pPr>
              <w:keepNext/>
              <w:keepLines/>
              <w:widowControl w:val="0"/>
              <w:spacing w:before="0" w:after="0"/>
              <w:jc w:val="left"/>
              <w:rPr>
                <w:rFonts w:ascii="Arial Narrow" w:hAnsi="Arial Narrow"/>
                <w:i/>
                <w:color w:val="000000" w:themeColor="text1"/>
                <w:sz w:val="20"/>
              </w:rPr>
            </w:pPr>
            <w:r w:rsidRPr="00F10893">
              <w:rPr>
                <w:rFonts w:ascii="Arial Narrow" w:hAnsi="Arial Narrow"/>
                <w:sz w:val="20"/>
              </w:rPr>
              <w:t>OC cases:</w:t>
            </w:r>
            <w:r w:rsidRPr="00F10893">
              <w:rPr>
                <w:rFonts w:ascii="Arial Narrow" w:hAnsi="Arial Narrow"/>
                <w:i/>
                <w:color w:val="000000" w:themeColor="text1"/>
                <w:sz w:val="20"/>
              </w:rPr>
              <w:t xml:space="preserve"> </w:t>
            </w:r>
          </w:p>
          <w:p w14:paraId="7EEBE8D5" w14:textId="77777777" w:rsidR="00E517FA" w:rsidRPr="00F10893" w:rsidRDefault="00E517FA" w:rsidP="00F02286">
            <w:pPr>
              <w:keepNext/>
              <w:keepLines/>
              <w:widowControl w:val="0"/>
              <w:spacing w:before="0" w:after="0"/>
              <w:jc w:val="left"/>
              <w:rPr>
                <w:rFonts w:ascii="Arial Narrow" w:hAnsi="Arial Narrow"/>
                <w:i/>
                <w:color w:val="000000" w:themeColor="text1"/>
                <w:sz w:val="20"/>
              </w:rPr>
            </w:pPr>
            <w:r w:rsidRPr="00F10893">
              <w:rPr>
                <w:rFonts w:ascii="Arial Narrow" w:hAnsi="Arial Narrow"/>
                <w:i/>
                <w:color w:val="000000" w:themeColor="text1"/>
                <w:sz w:val="20"/>
              </w:rPr>
              <w:t>Total N=361</w:t>
            </w:r>
          </w:p>
          <w:p w14:paraId="3B504198" w14:textId="77777777" w:rsidR="00E517FA" w:rsidRPr="00F10893" w:rsidRDefault="00E517FA" w:rsidP="00F02286">
            <w:pPr>
              <w:keepNext/>
              <w:keepLines/>
              <w:widowControl w:val="0"/>
              <w:spacing w:before="0" w:after="0"/>
              <w:jc w:val="left"/>
              <w:rPr>
                <w:rFonts w:ascii="Arial Narrow" w:hAnsi="Arial Narrow"/>
                <w:i/>
                <w:color w:val="000000" w:themeColor="text1"/>
                <w:sz w:val="20"/>
              </w:rPr>
            </w:pPr>
            <w:r w:rsidRPr="00F10893">
              <w:rPr>
                <w:rFonts w:ascii="Arial Narrow" w:hAnsi="Arial Narrow"/>
                <w:i/>
                <w:color w:val="000000" w:themeColor="text1"/>
                <w:sz w:val="20"/>
              </w:rPr>
              <w:t>Serous n/N=201/361 (55.7%)</w:t>
            </w:r>
          </w:p>
          <w:p w14:paraId="10F134C5" w14:textId="77777777" w:rsidR="00E517FA" w:rsidRPr="00F10893" w:rsidRDefault="00E517FA" w:rsidP="00F02286">
            <w:pPr>
              <w:keepNext/>
              <w:keepLines/>
              <w:widowControl w:val="0"/>
              <w:spacing w:before="0" w:after="0"/>
              <w:jc w:val="left"/>
              <w:rPr>
                <w:rFonts w:ascii="Arial Narrow" w:hAnsi="Arial Narrow"/>
                <w:i/>
                <w:color w:val="000000" w:themeColor="text1"/>
                <w:sz w:val="20"/>
              </w:rPr>
            </w:pPr>
            <w:r w:rsidRPr="00F10893">
              <w:rPr>
                <w:rFonts w:ascii="Arial Narrow" w:hAnsi="Arial Narrow"/>
                <w:i/>
                <w:color w:val="000000" w:themeColor="text1"/>
                <w:sz w:val="20"/>
              </w:rPr>
              <w:t>Non-serous n/N=116/361</w:t>
            </w:r>
          </w:p>
          <w:p w14:paraId="10822729" w14:textId="77777777" w:rsidR="00E517FA" w:rsidRPr="00F10893" w:rsidRDefault="00E517FA" w:rsidP="00F02286">
            <w:pPr>
              <w:keepNext/>
              <w:keepLines/>
              <w:widowControl w:val="0"/>
              <w:spacing w:before="0" w:after="0"/>
              <w:jc w:val="left"/>
              <w:rPr>
                <w:rFonts w:ascii="Arial Narrow" w:hAnsi="Arial Narrow"/>
                <w:i/>
                <w:color w:val="000000" w:themeColor="text1"/>
                <w:sz w:val="20"/>
              </w:rPr>
            </w:pPr>
            <w:r w:rsidRPr="00F10893">
              <w:rPr>
                <w:rFonts w:ascii="Arial Narrow" w:hAnsi="Arial Narrow"/>
                <w:i/>
                <w:color w:val="000000" w:themeColor="text1"/>
                <w:sz w:val="20"/>
              </w:rPr>
              <w:t>Missing n/N=35/361</w:t>
            </w:r>
          </w:p>
        </w:tc>
        <w:tc>
          <w:tcPr>
            <w:tcW w:w="1204" w:type="pct"/>
          </w:tcPr>
          <w:p w14:paraId="6C250F35"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According to method of Bagnoli et al, (2003)</w:t>
            </w:r>
            <w:r w:rsidRPr="00F10893">
              <w:rPr>
                <w:rFonts w:ascii="Arial Narrow" w:hAnsi="Arial Narrow"/>
                <w:i/>
                <w:iCs/>
                <w:sz w:val="20"/>
                <w:vertAlign w:val="superscript"/>
              </w:rPr>
              <w:footnoteReference w:id="7"/>
            </w:r>
            <w:r w:rsidRPr="00F10893">
              <w:rPr>
                <w:rFonts w:ascii="Arial Narrow" w:hAnsi="Arial Narrow"/>
                <w:i/>
                <w:iCs/>
                <w:sz w:val="20"/>
              </w:rPr>
              <w:t xml:space="preserve"> using ≥25% threshold</w:t>
            </w:r>
          </w:p>
          <w:p w14:paraId="64C550C0"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0 = no staining; 1 = weak staining; 2 = moderate staining; 3 = strong staining.</w:t>
            </w:r>
          </w:p>
        </w:tc>
        <w:tc>
          <w:tcPr>
            <w:tcW w:w="571" w:type="pct"/>
          </w:tcPr>
          <w:p w14:paraId="00B7B031"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In-house IHC using mAB343 antibody (Endocyte) for FR</w:t>
            </w:r>
            <w:r w:rsidRPr="00F10893">
              <w:rPr>
                <w:rFonts w:ascii="Arial Narrow" w:hAnsi="Arial Narrow" w:cs="Calibri"/>
                <w:i/>
                <w:iCs/>
                <w:sz w:val="20"/>
              </w:rPr>
              <w:t>α</w:t>
            </w:r>
            <w:r w:rsidRPr="00F10893">
              <w:rPr>
                <w:rFonts w:ascii="Arial Narrow" w:hAnsi="Arial Narrow"/>
                <w:i/>
                <w:iCs/>
                <w:sz w:val="20"/>
              </w:rPr>
              <w:t xml:space="preserve"> staining</w:t>
            </w:r>
          </w:p>
        </w:tc>
        <w:tc>
          <w:tcPr>
            <w:tcW w:w="476" w:type="pct"/>
          </w:tcPr>
          <w:p w14:paraId="21EF047F"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OS, PFS</w:t>
            </w:r>
          </w:p>
        </w:tc>
      </w:tr>
      <w:tr w:rsidR="00E517FA" w:rsidRPr="00F10893" w14:paraId="16629482" w14:textId="77777777">
        <w:trPr>
          <w:trHeight w:val="842"/>
        </w:trPr>
        <w:tc>
          <w:tcPr>
            <w:tcW w:w="390" w:type="pct"/>
          </w:tcPr>
          <w:p w14:paraId="42C92EAC" w14:textId="77777777" w:rsidR="00E517FA" w:rsidRPr="00F10893" w:rsidRDefault="00E517FA" w:rsidP="00F02286">
            <w:pPr>
              <w:keepNext/>
              <w:keepLines/>
              <w:widowControl w:val="0"/>
              <w:spacing w:before="0" w:after="0"/>
              <w:jc w:val="left"/>
              <w:rPr>
                <w:rFonts w:ascii="Arial Narrow" w:hAnsi="Arial Narrow"/>
                <w:color w:val="000000" w:themeColor="text1"/>
                <w:sz w:val="20"/>
                <w:szCs w:val="20"/>
              </w:rPr>
            </w:pPr>
            <w:r w:rsidRPr="00F10893">
              <w:rPr>
                <w:rFonts w:ascii="Arial Narrow" w:hAnsi="Arial Narrow"/>
                <w:sz w:val="20"/>
              </w:rPr>
              <w:t>Kalli et al (2008)</w:t>
            </w:r>
          </w:p>
        </w:tc>
        <w:tc>
          <w:tcPr>
            <w:tcW w:w="394" w:type="pct"/>
          </w:tcPr>
          <w:p w14:paraId="3B10610A"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High</w:t>
            </w:r>
          </w:p>
        </w:tc>
        <w:tc>
          <w:tcPr>
            <w:tcW w:w="707" w:type="pct"/>
          </w:tcPr>
          <w:p w14:paraId="7E678D54"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Mayo Clinic (Rochester, MN) (Jun 1991 – Jun 2005)</w:t>
            </w:r>
          </w:p>
        </w:tc>
        <w:tc>
          <w:tcPr>
            <w:tcW w:w="1258" w:type="pct"/>
          </w:tcPr>
          <w:p w14:paraId="65A5C168" w14:textId="77777777" w:rsidR="00E517FA" w:rsidRPr="00F10893" w:rsidRDefault="00E517FA"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rPr>
              <w:t>OC cases</w:t>
            </w:r>
            <w:r w:rsidRPr="00F10893">
              <w:rPr>
                <w:rFonts w:ascii="Arial Narrow" w:hAnsi="Arial Narrow"/>
                <w:sz w:val="20"/>
                <w:szCs w:val="20"/>
                <w:vertAlign w:val="superscript"/>
              </w:rPr>
              <w:t>c</w:t>
            </w:r>
            <w:r w:rsidRPr="00F10893">
              <w:rPr>
                <w:rFonts w:ascii="Arial Narrow" w:hAnsi="Arial Narrow"/>
                <w:sz w:val="20"/>
                <w:szCs w:val="20"/>
              </w:rPr>
              <w:t>:</w:t>
            </w:r>
          </w:p>
          <w:p w14:paraId="22F99038"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Total N=213</w:t>
            </w:r>
          </w:p>
          <w:p w14:paraId="5B1E7B39" w14:textId="77777777" w:rsidR="00E517FA" w:rsidRPr="00F10893" w:rsidRDefault="00E517FA" w:rsidP="00F02286">
            <w:pPr>
              <w:keepNext/>
              <w:keepLines/>
              <w:widowControl w:val="0"/>
              <w:spacing w:before="0" w:after="0"/>
              <w:jc w:val="left"/>
              <w:rPr>
                <w:rFonts w:ascii="Arial Narrow" w:hAnsi="Arial Narrow"/>
                <w:i/>
                <w:sz w:val="20"/>
              </w:rPr>
            </w:pPr>
            <w:r w:rsidRPr="00F10893">
              <w:rPr>
                <w:rFonts w:ascii="Arial Narrow" w:hAnsi="Arial Narrow"/>
                <w:i/>
                <w:sz w:val="20"/>
              </w:rPr>
              <w:t>Primary n/N=186/213 (87.3%)</w:t>
            </w:r>
          </w:p>
          <w:p w14:paraId="3B6A3377" w14:textId="77777777" w:rsidR="00E517FA" w:rsidRPr="00F10893" w:rsidRDefault="00E517FA" w:rsidP="00F02286">
            <w:pPr>
              <w:keepNext/>
              <w:keepLines/>
              <w:widowControl w:val="0"/>
              <w:spacing w:before="0" w:after="0"/>
              <w:jc w:val="left"/>
              <w:rPr>
                <w:rFonts w:ascii="Arial Narrow" w:hAnsi="Arial Narrow"/>
                <w:i/>
                <w:iCs/>
                <w:sz w:val="18"/>
                <w:szCs w:val="18"/>
              </w:rPr>
            </w:pPr>
            <w:r w:rsidRPr="00F10893">
              <w:rPr>
                <w:rFonts w:ascii="Arial Narrow" w:hAnsi="Arial Narrow"/>
                <w:i/>
                <w:iCs/>
                <w:sz w:val="18"/>
                <w:szCs w:val="18"/>
              </w:rPr>
              <w:t xml:space="preserve">   Serous n/N=104/186 (55.9%)</w:t>
            </w:r>
          </w:p>
          <w:p w14:paraId="74453C6F" w14:textId="77777777" w:rsidR="00E517FA" w:rsidRPr="00F10893" w:rsidRDefault="00E517FA" w:rsidP="00F02286">
            <w:pPr>
              <w:keepNext/>
              <w:keepLines/>
              <w:widowControl w:val="0"/>
              <w:spacing w:before="0" w:after="0"/>
              <w:jc w:val="left"/>
              <w:rPr>
                <w:rFonts w:ascii="Arial Narrow" w:hAnsi="Arial Narrow"/>
                <w:i/>
                <w:sz w:val="20"/>
                <w:szCs w:val="20"/>
              </w:rPr>
            </w:pPr>
            <w:r w:rsidRPr="00F10893">
              <w:rPr>
                <w:rFonts w:ascii="Arial Narrow" w:hAnsi="Arial Narrow"/>
                <w:i/>
                <w:sz w:val="20"/>
                <w:szCs w:val="20"/>
              </w:rPr>
              <w:t>Recurrent n/N=27 (12.7%)</w:t>
            </w:r>
          </w:p>
          <w:p w14:paraId="1F2C7738" w14:textId="77777777" w:rsidR="00E517FA" w:rsidRPr="00F10893" w:rsidRDefault="00E517FA" w:rsidP="00F02286">
            <w:pPr>
              <w:keepNext/>
              <w:keepLines/>
              <w:widowControl w:val="0"/>
              <w:tabs>
                <w:tab w:val="right" w:pos="2212"/>
              </w:tabs>
              <w:spacing w:before="0" w:after="0"/>
              <w:jc w:val="left"/>
              <w:rPr>
                <w:rFonts w:ascii="Arial Narrow" w:hAnsi="Arial Narrow"/>
                <w:i/>
                <w:color w:val="000000" w:themeColor="text1"/>
                <w:sz w:val="20"/>
              </w:rPr>
            </w:pPr>
            <w:r w:rsidRPr="00F10893">
              <w:rPr>
                <w:rFonts w:ascii="Arial Narrow" w:hAnsi="Arial Narrow"/>
                <w:i/>
                <w:color w:val="000000" w:themeColor="text1"/>
                <w:sz w:val="18"/>
                <w:szCs w:val="20"/>
              </w:rPr>
              <w:t xml:space="preserve">   Serous n/N=22/27 (81.5%)</w:t>
            </w:r>
          </w:p>
        </w:tc>
        <w:tc>
          <w:tcPr>
            <w:tcW w:w="1204" w:type="pct"/>
          </w:tcPr>
          <w:p w14:paraId="07E673CB"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Any staining was positive.</w:t>
            </w:r>
          </w:p>
          <w:p w14:paraId="2EF4DB0F"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Staining reported by quartiles &gt;75% positive; 51%-75% positive; 26%-50% positive; &lt;25% positive</w:t>
            </w:r>
          </w:p>
        </w:tc>
        <w:tc>
          <w:tcPr>
            <w:tcW w:w="571" w:type="pct"/>
          </w:tcPr>
          <w:p w14:paraId="02849DA7" w14:textId="77777777" w:rsidR="00E517FA" w:rsidRPr="00F10893" w:rsidRDefault="00E517FA" w:rsidP="00F02286">
            <w:pPr>
              <w:keepNext/>
              <w:keepLines/>
              <w:widowControl w:val="0"/>
              <w:spacing w:before="0" w:after="0"/>
              <w:jc w:val="left"/>
              <w:rPr>
                <w:rFonts w:ascii="Arial Narrow" w:hAnsi="Arial Narrow"/>
                <w:i/>
                <w:iCs/>
                <w:sz w:val="20"/>
              </w:rPr>
            </w:pPr>
            <w:r w:rsidRPr="00F10893">
              <w:rPr>
                <w:rFonts w:ascii="Arial Narrow" w:hAnsi="Arial Narrow"/>
                <w:i/>
                <w:iCs/>
                <w:sz w:val="20"/>
              </w:rPr>
              <w:t>In-house IHC using FBP343 antibody</w:t>
            </w:r>
            <w:r w:rsidRPr="00F10893">
              <w:rPr>
                <w:rFonts w:ascii="Arial Narrow" w:hAnsi="Arial Narrow"/>
                <w:i/>
                <w:iCs/>
                <w:sz w:val="20"/>
                <w:vertAlign w:val="superscript"/>
              </w:rPr>
              <w:footnoteReference w:id="8"/>
            </w:r>
            <w:r w:rsidRPr="00F10893">
              <w:rPr>
                <w:rFonts w:ascii="Arial Narrow" w:hAnsi="Arial Narrow"/>
                <w:i/>
                <w:iCs/>
                <w:sz w:val="20"/>
              </w:rPr>
              <w:t xml:space="preserve"> for FR</w:t>
            </w:r>
            <w:r w:rsidRPr="00F10893">
              <w:rPr>
                <w:rFonts w:ascii="Arial Narrow" w:hAnsi="Arial Narrow" w:cs="Calibri"/>
                <w:i/>
                <w:iCs/>
                <w:sz w:val="20"/>
              </w:rPr>
              <w:t>α</w:t>
            </w:r>
            <w:r w:rsidRPr="00F10893">
              <w:rPr>
                <w:rFonts w:ascii="Arial Narrow" w:hAnsi="Arial Narrow"/>
                <w:i/>
                <w:iCs/>
                <w:sz w:val="20"/>
              </w:rPr>
              <w:t xml:space="preserve"> staining</w:t>
            </w:r>
          </w:p>
        </w:tc>
        <w:tc>
          <w:tcPr>
            <w:tcW w:w="476" w:type="pct"/>
          </w:tcPr>
          <w:p w14:paraId="34A0C2EC" w14:textId="77777777" w:rsidR="00E517FA" w:rsidRPr="00F10893" w:rsidRDefault="00E517FA" w:rsidP="00F02286">
            <w:pPr>
              <w:keepNext/>
              <w:keepLines/>
              <w:widowControl w:val="0"/>
              <w:spacing w:before="0" w:after="0"/>
              <w:jc w:val="left"/>
              <w:rPr>
                <w:rFonts w:ascii="Arial Narrow" w:hAnsi="Arial Narrow"/>
                <w:color w:val="000000" w:themeColor="text1"/>
                <w:sz w:val="20"/>
              </w:rPr>
            </w:pPr>
            <w:r w:rsidRPr="00F10893">
              <w:rPr>
                <w:rFonts w:ascii="Arial Narrow" w:hAnsi="Arial Narrow"/>
                <w:sz w:val="20"/>
              </w:rPr>
              <w:t>OS, RFS</w:t>
            </w:r>
          </w:p>
        </w:tc>
      </w:tr>
    </w:tbl>
    <w:p w14:paraId="5EE7EF41" w14:textId="389FD758" w:rsidR="00E517FA" w:rsidRPr="00F10893" w:rsidRDefault="00E517FA" w:rsidP="00F02286">
      <w:pPr>
        <w:keepNext/>
        <w:keepLines/>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 xml:space="preserve">Source: </w:t>
      </w:r>
      <w:r w:rsidR="00612EFD" w:rsidRPr="00F10893">
        <w:rPr>
          <w:rFonts w:ascii="Arial Narrow" w:eastAsia="Times New Roman" w:hAnsi="Arial Narrow" w:cs="Arial"/>
          <w:snapToGrid w:val="0"/>
          <w:color w:val="000000" w:themeColor="text1"/>
          <w:sz w:val="18"/>
          <w:lang w:eastAsia="en-AU"/>
        </w:rPr>
        <w:t xml:space="preserve">Adapted from </w:t>
      </w:r>
      <w:r w:rsidRPr="00F10893">
        <w:rPr>
          <w:rFonts w:ascii="Arial Narrow" w:eastAsia="Times New Roman" w:hAnsi="Arial Narrow" w:cs="Arial"/>
          <w:snapToGrid w:val="0"/>
          <w:color w:val="000000" w:themeColor="text1"/>
          <w:sz w:val="18"/>
          <w:lang w:eastAsia="en-AU"/>
        </w:rPr>
        <w:t>Table 2.8</w:t>
      </w:r>
      <w:r w:rsidR="000B568D" w:rsidRPr="00F10893">
        <w:rPr>
          <w:rFonts w:ascii="Arial Narrow" w:eastAsia="Times New Roman" w:hAnsi="Arial Narrow" w:cs="Arial"/>
          <w:snapToGrid w:val="0"/>
          <w:color w:val="000000" w:themeColor="text1"/>
          <w:sz w:val="18"/>
          <w:lang w:eastAsia="en-AU"/>
        </w:rPr>
        <w:t>-</w:t>
      </w:r>
      <w:r w:rsidRPr="00F10893">
        <w:rPr>
          <w:rFonts w:ascii="Arial Narrow" w:eastAsia="Times New Roman" w:hAnsi="Arial Narrow" w:cs="Arial"/>
          <w:snapToGrid w:val="0"/>
          <w:color w:val="000000" w:themeColor="text1"/>
          <w:sz w:val="18"/>
          <w:lang w:eastAsia="en-AU"/>
        </w:rPr>
        <w:t>4 Overview of Characteristics of Included Studies: Prognostic Effect of FRα Expression, p112 of the submission.</w:t>
      </w:r>
    </w:p>
    <w:p w14:paraId="02D27B04" w14:textId="77777777" w:rsidR="00E517FA" w:rsidRPr="00F10893" w:rsidRDefault="00E517FA" w:rsidP="00F02286">
      <w:pPr>
        <w:keepNext/>
        <w:keepLines/>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FRα= folate receptor alpha; IHC= immunohistochemistry; n= number of events; N= number of patients; OC= ovarian cancer; OS= overall survival; OTTA=</w:t>
      </w:r>
      <w:r w:rsidRPr="00F10893">
        <w:rPr>
          <w:rFonts w:ascii="Arial Narrow" w:eastAsia="Times New Roman" w:hAnsi="Arial Narrow" w:cs="Arial"/>
          <w:snapToGrid w:val="0"/>
          <w:sz w:val="18"/>
          <w:lang w:eastAsia="en-AU"/>
        </w:rPr>
        <w:t xml:space="preserve"> </w:t>
      </w:r>
      <w:r w:rsidRPr="00F10893">
        <w:rPr>
          <w:rFonts w:ascii="Arial Narrow" w:eastAsia="Times New Roman" w:hAnsi="Arial Narrow" w:cs="Arial"/>
          <w:snapToGrid w:val="0"/>
          <w:color w:val="000000" w:themeColor="text1"/>
          <w:sz w:val="18"/>
          <w:lang w:eastAsia="en-AU"/>
        </w:rPr>
        <w:t xml:space="preserve">Ovarian Tumour Tissue Analysis; PFS= progression-free survival; QUIPS </w:t>
      </w:r>
      <w:r w:rsidRPr="00F10893">
        <w:rPr>
          <w:rFonts w:ascii="Arial Narrow" w:eastAsia="Times New Roman" w:hAnsi="Arial Narrow" w:cs="Arial"/>
          <w:snapToGrid w:val="0"/>
          <w:sz w:val="18"/>
          <w:lang w:eastAsia="en-AU"/>
        </w:rPr>
        <w:t xml:space="preserve">Quality In Prognosis Studies tool; PS2+= </w:t>
      </w:r>
      <w:r w:rsidRPr="00F10893">
        <w:rPr>
          <w:rFonts w:ascii="Arial Narrow" w:eastAsia="Times New Roman" w:hAnsi="Arial Narrow" w:cs="Calibri"/>
          <w:snapToGrid w:val="0"/>
          <w:sz w:val="18"/>
          <w:lang w:eastAsia="en-AU"/>
        </w:rPr>
        <w:t>FRα membrane staining at moderate (2) or high (3) intensity;</w:t>
      </w:r>
      <w:r w:rsidRPr="00F10893">
        <w:rPr>
          <w:rFonts w:ascii="Arial Narrow" w:eastAsia="Times New Roman" w:hAnsi="Arial Narrow" w:cs="Arial"/>
          <w:snapToGrid w:val="0"/>
          <w:sz w:val="18"/>
          <w:lang w:eastAsia="en-AU"/>
        </w:rPr>
        <w:t xml:space="preserve"> </w:t>
      </w:r>
      <w:r w:rsidRPr="00F10893">
        <w:rPr>
          <w:rFonts w:ascii="Arial Narrow" w:eastAsia="Times New Roman" w:hAnsi="Arial Narrow" w:cs="Arial"/>
          <w:snapToGrid w:val="0"/>
          <w:color w:val="000000" w:themeColor="text1"/>
          <w:sz w:val="18"/>
          <w:lang w:eastAsia="en-AU"/>
        </w:rPr>
        <w:t>RFS= recurrence-free survival.</w:t>
      </w:r>
    </w:p>
    <w:p w14:paraId="5FC5F93B" w14:textId="77777777" w:rsidR="00E517FA" w:rsidRPr="00F10893" w:rsidRDefault="00E517FA" w:rsidP="00E517FA">
      <w:pPr>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a Risk of Bias assessment using the Quality In Prognosis Studies (QUIPS) tool.</w:t>
      </w:r>
    </w:p>
    <w:p w14:paraId="48F72FCA" w14:textId="77777777" w:rsidR="00E517FA" w:rsidRPr="00F10893" w:rsidRDefault="00E517FA" w:rsidP="00E517FA">
      <w:pPr>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b OTTA consortium Included studies undertaken in: Australia (2002 to 2006); Canada, (1998 to 2009); Germany (2002 to 2006); Canada (2003 to 2007); United States (2003 to 2009); Denmark (1994 to 1999); United States (2000 to 2009); United Kingdom (1998 to 2008); Canada (1995 to 2003); United Kingdom (2006 to 2010) and Canada (1984 to 2000).</w:t>
      </w:r>
    </w:p>
    <w:p w14:paraId="4DF143AE" w14:textId="77777777" w:rsidR="00E517FA" w:rsidRPr="00F10893" w:rsidRDefault="00E517FA" w:rsidP="00E517FA">
      <w:pPr>
        <w:tabs>
          <w:tab w:val="left" w:pos="284"/>
        </w:tabs>
        <w:spacing w:before="0" w:after="0"/>
        <w:jc w:val="left"/>
        <w:rPr>
          <w:rFonts w:ascii="Arial Narrow" w:eastAsia="Times New Roman" w:hAnsi="Arial Narrow" w:cs="Arial"/>
          <w:snapToGrid w:val="0"/>
          <w:color w:val="000000" w:themeColor="text1"/>
          <w:sz w:val="18"/>
          <w:lang w:eastAsia="en-AU"/>
        </w:rPr>
      </w:pPr>
      <w:r w:rsidRPr="00F10893">
        <w:rPr>
          <w:rFonts w:ascii="Arial Narrow" w:eastAsia="Times New Roman" w:hAnsi="Arial Narrow" w:cs="Arial"/>
          <w:snapToGrid w:val="0"/>
          <w:color w:val="000000" w:themeColor="text1"/>
          <w:sz w:val="18"/>
          <w:lang w:eastAsia="en-AU"/>
        </w:rPr>
        <w:t>c Kalli et al, (2008) excluded</w:t>
      </w:r>
      <w:r w:rsidRPr="00F10893">
        <w:rPr>
          <w:rFonts w:ascii="Arial Narrow" w:eastAsia="Times New Roman" w:hAnsi="Arial Narrow" w:cs="Arial"/>
          <w:snapToGrid w:val="0"/>
          <w:sz w:val="18"/>
          <w:lang w:eastAsia="en-AU"/>
        </w:rPr>
        <w:t xml:space="preserve"> borderline carcinoma and non-epithelial malignancies from the study.</w:t>
      </w:r>
    </w:p>
    <w:p w14:paraId="3BBE483F" w14:textId="77777777" w:rsidR="00E517FA" w:rsidRPr="00F10893" w:rsidRDefault="00E517FA" w:rsidP="00E517FA">
      <w:pPr>
        <w:tabs>
          <w:tab w:val="left" w:pos="284"/>
        </w:tabs>
        <w:spacing w:before="0" w:after="0"/>
        <w:jc w:val="left"/>
        <w:rPr>
          <w:rFonts w:ascii="Arial Narrow" w:eastAsia="Times New Roman" w:hAnsi="Arial Narrow" w:cs="Arial"/>
          <w:i/>
          <w:iCs/>
          <w:snapToGrid w:val="0"/>
          <w:color w:val="000000" w:themeColor="text1"/>
          <w:sz w:val="18"/>
          <w:lang w:eastAsia="en-AU"/>
        </w:rPr>
      </w:pPr>
      <w:r w:rsidRPr="00F10893">
        <w:rPr>
          <w:rFonts w:ascii="Arial Narrow" w:eastAsia="Times New Roman" w:hAnsi="Arial Narrow" w:cs="Arial"/>
          <w:i/>
          <w:iCs/>
          <w:snapToGrid w:val="0"/>
          <w:color w:val="000000" w:themeColor="text1"/>
          <w:sz w:val="18"/>
          <w:lang w:eastAsia="en-AU"/>
        </w:rPr>
        <w:t>Text added during the evaluation is in italics.</w:t>
      </w:r>
    </w:p>
    <w:p w14:paraId="37194702" w14:textId="77777777" w:rsidR="00EE5014" w:rsidRPr="00214750" w:rsidRDefault="00EE501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30" w:name="_Toc198721990"/>
      <w:r w:rsidRPr="00214750">
        <w:rPr>
          <w:rFonts w:ascii="Franklin Gothic Medium" w:hAnsi="Franklin Gothic Medium"/>
          <w:b w:val="0"/>
          <w:snapToGrid/>
          <w:color w:val="000000" w:themeColor="text1"/>
          <w:sz w:val="32"/>
          <w:szCs w:val="26"/>
        </w:rPr>
        <w:t>Comparative safety</w:t>
      </w:r>
      <w:bookmarkEnd w:id="30"/>
    </w:p>
    <w:p w14:paraId="45E86F55" w14:textId="77777777" w:rsidR="0062726F" w:rsidRPr="009F0454" w:rsidRDefault="0062726F"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Adverse events from testing</w:t>
      </w:r>
    </w:p>
    <w:p w14:paraId="3248830E" w14:textId="48E9E93C" w:rsidR="00CA5BB3" w:rsidRPr="009F0454" w:rsidRDefault="00CA5BB3" w:rsidP="00CA5BB3">
      <w:pPr>
        <w:rPr>
          <w:rFonts w:ascii="Franklin Gothic Book" w:hAnsi="Franklin Gothic Book"/>
          <w:sz w:val="22"/>
          <w:szCs w:val="20"/>
        </w:rPr>
      </w:pPr>
      <w:r w:rsidRPr="009F0454">
        <w:rPr>
          <w:rFonts w:ascii="Franklin Gothic Book" w:hAnsi="Franklin Gothic Book"/>
          <w:sz w:val="22"/>
          <w:szCs w:val="20"/>
        </w:rPr>
        <w:t xml:space="preserve">The submission argued that FRα expression testing at primary diagnosis would be performed as part of diagnostic work-up and would not confer any additional safety risks. Testing of tumour FRα expression at the time of platinum-resistance would also confer no additional safety risks if tumour tissue retrieved from archive storage was adequate. </w:t>
      </w:r>
    </w:p>
    <w:p w14:paraId="1716AE6D" w14:textId="77777777" w:rsidR="00C22CEC" w:rsidRPr="009F0454" w:rsidRDefault="00CA5BB3" w:rsidP="00CA5BB3">
      <w:pPr>
        <w:rPr>
          <w:rFonts w:ascii="Franklin Gothic Book" w:hAnsi="Franklin Gothic Book"/>
          <w:sz w:val="22"/>
          <w:szCs w:val="20"/>
        </w:rPr>
      </w:pPr>
      <w:r w:rsidRPr="009F0454">
        <w:rPr>
          <w:rFonts w:ascii="Franklin Gothic Book" w:hAnsi="Franklin Gothic Book"/>
          <w:sz w:val="22"/>
          <w:szCs w:val="20"/>
        </w:rPr>
        <w:t xml:space="preserve">If tissue was unavailable or inadequate for testing at platinum resistance, a fresh biopsy would be indicated. The submission presented two retrospective studies reporting safety outcomes in women being investigated for ovarian masses (Griffin et al, 2009 [N=60]; Thabet et al, 2014 </w:t>
      </w:r>
      <w:r w:rsidRPr="009F0454">
        <w:rPr>
          <w:rFonts w:ascii="Franklin Gothic Book" w:hAnsi="Franklin Gothic Book"/>
          <w:sz w:val="22"/>
          <w:szCs w:val="20"/>
        </w:rPr>
        <w:lastRenderedPageBreak/>
        <w:t xml:space="preserve">[N=27]) to support its conclusion that there were no material safety concerns associated with biopsy procedures in patients with ovarian cancers. </w:t>
      </w:r>
    </w:p>
    <w:p w14:paraId="22D8838F" w14:textId="35CD111F" w:rsidR="00CA5BB3" w:rsidRPr="009F0454" w:rsidRDefault="00CA5BB3" w:rsidP="00CA5BB3">
      <w:pPr>
        <w:rPr>
          <w:rFonts w:ascii="Franklin Gothic Book" w:hAnsi="Franklin Gothic Book"/>
          <w:sz w:val="22"/>
          <w:szCs w:val="20"/>
        </w:rPr>
      </w:pPr>
      <w:r w:rsidRPr="009F0454">
        <w:rPr>
          <w:rFonts w:ascii="Franklin Gothic Book" w:hAnsi="Franklin Gothic Book"/>
          <w:sz w:val="22"/>
          <w:szCs w:val="20"/>
        </w:rPr>
        <w:t>The commentary considered this was not reasonable. Complications associated with minimally invasive gynaecological procedures such as biopsies are well recognised to include bleeding, infection, perforation, pain, extension of hospitalisation, re-investigations and, rarely, other events such as sepsis and thromboses. The two cited studies (Griffin et al, 2009 [N=60]; Thabet et al, 2014 [N=27]) were likely too small to be powered for less common complications of minimally invasive surgery and were restricted to one type of biopsy procedure. Other studies have reported moderate blood loss in 4.5% of ultrasound-guided biopsies (Verschuere et al, 2021</w:t>
      </w:r>
      <w:r w:rsidRPr="009F0454">
        <w:rPr>
          <w:rStyle w:val="FootnoteReference"/>
          <w:rFonts w:ascii="Franklin Gothic Book" w:hAnsi="Franklin Gothic Book"/>
          <w:sz w:val="22"/>
          <w:szCs w:val="20"/>
        </w:rPr>
        <w:footnoteReference w:id="9"/>
      </w:r>
      <w:r w:rsidRPr="009F0454">
        <w:rPr>
          <w:rFonts w:ascii="Franklin Gothic Book" w:hAnsi="Franklin Gothic Book"/>
          <w:sz w:val="22"/>
          <w:szCs w:val="20"/>
        </w:rPr>
        <w:t xml:space="preserve"> [N=155]) and Grade 2 events (pain or haematoma) in 2.5% of image-guided biopsies (Goranova et al, 2017</w:t>
      </w:r>
      <w:r w:rsidRPr="009F0454">
        <w:rPr>
          <w:rStyle w:val="FootnoteReference"/>
          <w:rFonts w:ascii="Franklin Gothic Book" w:hAnsi="Franklin Gothic Book"/>
          <w:sz w:val="22"/>
          <w:szCs w:val="20"/>
        </w:rPr>
        <w:footnoteReference w:id="10"/>
      </w:r>
      <w:r w:rsidRPr="009F0454">
        <w:rPr>
          <w:rFonts w:ascii="Franklin Gothic Book" w:hAnsi="Franklin Gothic Book"/>
          <w:sz w:val="22"/>
          <w:szCs w:val="20"/>
        </w:rPr>
        <w:t xml:space="preserve"> [N=202]). Larger studies would likely detect other less commonly observed events. Although incidence of these events are low, potential risks are considered to be inherently part of the biopsy procedure. </w:t>
      </w:r>
    </w:p>
    <w:p w14:paraId="217770B5" w14:textId="1510F864" w:rsidR="00CA5BB3" w:rsidRPr="009F0454" w:rsidRDefault="00CA5BB3" w:rsidP="00CA5BB3">
      <w:pPr>
        <w:rPr>
          <w:rFonts w:ascii="Franklin Gothic Book" w:hAnsi="Franklin Gothic Book"/>
          <w:sz w:val="22"/>
          <w:szCs w:val="20"/>
        </w:rPr>
      </w:pPr>
      <w:r w:rsidRPr="009F0454">
        <w:rPr>
          <w:rFonts w:ascii="Franklin Gothic Book" w:hAnsi="Franklin Gothic Book"/>
          <w:sz w:val="22"/>
          <w:szCs w:val="20"/>
        </w:rPr>
        <w:t>Furthermore,</w:t>
      </w:r>
      <w:r w:rsidR="00060AED" w:rsidRPr="009F0454">
        <w:rPr>
          <w:rFonts w:ascii="Franklin Gothic Book" w:hAnsi="Franklin Gothic Book"/>
          <w:sz w:val="22"/>
          <w:szCs w:val="20"/>
        </w:rPr>
        <w:t xml:space="preserve"> the commentary noted that </w:t>
      </w:r>
      <w:r w:rsidRPr="009F0454">
        <w:rPr>
          <w:rFonts w:ascii="Franklin Gothic Book" w:hAnsi="Franklin Gothic Book"/>
          <w:sz w:val="22"/>
          <w:szCs w:val="20"/>
        </w:rPr>
        <w:t xml:space="preserve">the rates of biopsy reported in the CaSP registry data for PROC patients </w:t>
      </w:r>
      <w:r w:rsidR="0005699F">
        <w:rPr>
          <w:rFonts w:ascii="Franklin Gothic Book" w:hAnsi="Franklin Gothic Book"/>
          <w:sz w:val="22"/>
          <w:szCs w:val="20"/>
        </w:rPr>
        <w:t>(</w:t>
      </w:r>
      <w:r w:rsidRPr="009F0454">
        <w:rPr>
          <w:rFonts w:ascii="Franklin Gothic Book" w:hAnsi="Franklin Gothic Book"/>
          <w:sz w:val="22"/>
          <w:szCs w:val="20"/>
        </w:rPr>
        <w:t>11% in second line and 14% in third line</w:t>
      </w:r>
      <w:r w:rsidR="0005699F">
        <w:rPr>
          <w:rFonts w:ascii="Franklin Gothic Book" w:hAnsi="Franklin Gothic Book"/>
          <w:sz w:val="22"/>
          <w:szCs w:val="20"/>
        </w:rPr>
        <w:t>)</w:t>
      </w:r>
      <w:r w:rsidRPr="009F0454">
        <w:rPr>
          <w:rFonts w:ascii="Franklin Gothic Book" w:hAnsi="Franklin Gothic Book"/>
          <w:sz w:val="22"/>
          <w:szCs w:val="20"/>
        </w:rPr>
        <w:t xml:space="preserve"> were considered applicable to the test population of patients at platinum resistance </w:t>
      </w:r>
      <w:r w:rsidR="00EA6066">
        <w:rPr>
          <w:rFonts w:ascii="Franklin Gothic Book" w:hAnsi="Franklin Gothic Book"/>
          <w:sz w:val="22"/>
          <w:szCs w:val="20"/>
        </w:rPr>
        <w:t>due to</w:t>
      </w:r>
      <w:r w:rsidR="00EA6066" w:rsidRPr="009F0454">
        <w:rPr>
          <w:rFonts w:ascii="Franklin Gothic Book" w:hAnsi="Franklin Gothic Book"/>
          <w:sz w:val="22"/>
          <w:szCs w:val="20"/>
        </w:rPr>
        <w:t xml:space="preserve"> </w:t>
      </w:r>
      <w:r w:rsidR="00E76800">
        <w:rPr>
          <w:rFonts w:ascii="Franklin Gothic Book" w:hAnsi="Franklin Gothic Book"/>
          <w:sz w:val="22"/>
          <w:szCs w:val="20"/>
        </w:rPr>
        <w:t>possibly</w:t>
      </w:r>
      <w:r w:rsidR="00E76800" w:rsidRPr="009F0454">
        <w:rPr>
          <w:rFonts w:ascii="Franklin Gothic Book" w:hAnsi="Franklin Gothic Book"/>
          <w:sz w:val="22"/>
          <w:szCs w:val="20"/>
        </w:rPr>
        <w:t xml:space="preserve"> </w:t>
      </w:r>
      <w:r w:rsidRPr="009F0454">
        <w:rPr>
          <w:rFonts w:ascii="Franklin Gothic Book" w:hAnsi="Franklin Gothic Book"/>
          <w:sz w:val="22"/>
          <w:szCs w:val="20"/>
        </w:rPr>
        <w:t xml:space="preserve">insufficient archival tissue for testing. </w:t>
      </w:r>
    </w:p>
    <w:p w14:paraId="0F99F8F7" w14:textId="5BE9553A" w:rsidR="0062726F" w:rsidRPr="009F0454" w:rsidRDefault="0062726F"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Adverse events from changes in management</w:t>
      </w:r>
    </w:p>
    <w:p w14:paraId="77F6426F" w14:textId="39F72CB4" w:rsidR="00CA5BB3" w:rsidRPr="009F0454" w:rsidRDefault="00CA5BB3" w:rsidP="00CA5BB3">
      <w:pPr>
        <w:rPr>
          <w:rFonts w:ascii="Franklin Gothic Book" w:hAnsi="Franklin Gothic Book"/>
          <w:sz w:val="22"/>
        </w:rPr>
      </w:pPr>
      <w:r w:rsidRPr="009F0454">
        <w:rPr>
          <w:rFonts w:ascii="Franklin Gothic Book" w:hAnsi="Franklin Gothic Book"/>
          <w:sz w:val="22"/>
        </w:rPr>
        <w:t>The submission did not provide any data for test failure or false results for the requested test in Australia as the proposed Ventana FOLR1 assay (or in-house alternative) has not yet been implemented for routine use in Australian laboratories.</w:t>
      </w:r>
    </w:p>
    <w:p w14:paraId="3D5F8453" w14:textId="07219917" w:rsidR="00CA5BB3" w:rsidRPr="009F0454" w:rsidRDefault="00CA5BB3" w:rsidP="00CA5BB3">
      <w:pPr>
        <w:rPr>
          <w:rFonts w:ascii="Franklin Gothic Book" w:hAnsi="Franklin Gothic Book"/>
          <w:sz w:val="22"/>
        </w:rPr>
      </w:pPr>
      <w:r w:rsidRPr="009F0454">
        <w:rPr>
          <w:rFonts w:ascii="Franklin Gothic Book" w:hAnsi="Franklin Gothic Book"/>
          <w:sz w:val="22"/>
        </w:rPr>
        <w:t xml:space="preserve">Data for test performance from concordance testing were described for the clinical utility standard (see </w:t>
      </w:r>
      <w:r w:rsidR="00F15C56">
        <w:rPr>
          <w:rFonts w:ascii="Franklin Gothic Book" w:hAnsi="Franklin Gothic Book"/>
          <w:sz w:val="22"/>
        </w:rPr>
        <w:fldChar w:fldCharType="begin"/>
      </w:r>
      <w:r w:rsidR="00F15C56">
        <w:rPr>
          <w:rFonts w:ascii="Franklin Gothic Book" w:hAnsi="Franklin Gothic Book"/>
          <w:sz w:val="22"/>
        </w:rPr>
        <w:instrText xml:space="preserve"> REF _Ref198566211 \h </w:instrText>
      </w:r>
      <w:r w:rsidR="00045006">
        <w:rPr>
          <w:rFonts w:ascii="Franklin Gothic Book" w:hAnsi="Franklin Gothic Book"/>
          <w:sz w:val="22"/>
        </w:rPr>
        <w:instrText xml:space="preserve"> \* MERGEFORMAT </w:instrText>
      </w:r>
      <w:r w:rsidR="00F15C56">
        <w:rPr>
          <w:rFonts w:ascii="Franklin Gothic Book" w:hAnsi="Franklin Gothic Book"/>
          <w:sz w:val="22"/>
        </w:rPr>
      </w:r>
      <w:r w:rsidR="00F15C56">
        <w:rPr>
          <w:rFonts w:ascii="Franklin Gothic Book" w:hAnsi="Franklin Gothic Book"/>
          <w:sz w:val="22"/>
        </w:rPr>
        <w:fldChar w:fldCharType="separate"/>
      </w:r>
      <w:r w:rsidR="00F15C56" w:rsidRPr="00045006">
        <w:rPr>
          <w:rFonts w:ascii="Franklin Gothic Book" w:hAnsi="Franklin Gothic Book"/>
          <w:sz w:val="22"/>
        </w:rPr>
        <w:t>Table 12</w:t>
      </w:r>
      <w:r w:rsidR="00F15C56">
        <w:rPr>
          <w:rFonts w:ascii="Franklin Gothic Book" w:hAnsi="Franklin Gothic Book"/>
          <w:sz w:val="22"/>
        </w:rPr>
        <w:fldChar w:fldCharType="end"/>
      </w:r>
      <w:r w:rsidR="00F15C56">
        <w:rPr>
          <w:rFonts w:ascii="Franklin Gothic Book" w:hAnsi="Franklin Gothic Book"/>
          <w:sz w:val="22"/>
        </w:rPr>
        <w:t xml:space="preserve"> </w:t>
      </w:r>
      <w:r w:rsidRPr="009F0454">
        <w:rPr>
          <w:rFonts w:ascii="Franklin Gothic Book" w:hAnsi="Franklin Gothic Book"/>
          <w:sz w:val="22"/>
        </w:rPr>
        <w:t xml:space="preserve">below). The commentary considered that although the submission did not present estimates of prevalence adjusted positive predictive value (PPV) or negative predictive value (NPV), these were calculated during the evaluation using both the submission’s assumptions of performance and biomarker prevalence (PPV 96.4% [95% CI 94.6, 97.7]; NPV 97.92% [95% CI 97.2, 98.5]) and the evaluator’s assumptions (PPV 85.1% [95% CI 81.9, 87.8]; NPV 97.15% [95% CI 96.4, 97.7]). Based on </w:t>
      </w:r>
      <w:r w:rsidR="002C7D60" w:rsidRPr="009F0454">
        <w:rPr>
          <w:rFonts w:ascii="Franklin Gothic Book" w:hAnsi="Franklin Gothic Book"/>
          <w:sz w:val="22"/>
        </w:rPr>
        <w:t xml:space="preserve">calculations conducted during the evaluation </w:t>
      </w:r>
      <w:r w:rsidRPr="009F0454">
        <w:rPr>
          <w:rFonts w:ascii="Franklin Gothic Book" w:hAnsi="Franklin Gothic Book"/>
          <w:sz w:val="22"/>
        </w:rPr>
        <w:t>(and assuming the Ventana FOLR1 assay performs in Australia the same as in the MIRV clinical program), testing of the target patient population in Australia would result in:</w:t>
      </w:r>
    </w:p>
    <w:p w14:paraId="1464427D" w14:textId="3AE30F89" w:rsidR="00CA5BB3" w:rsidRPr="00E31B4D" w:rsidRDefault="00CA5BB3" w:rsidP="00E31B4D">
      <w:pPr>
        <w:pStyle w:val="ListParagraph"/>
        <w:numPr>
          <w:ilvl w:val="0"/>
          <w:numId w:val="25"/>
        </w:numPr>
        <w:rPr>
          <w:rFonts w:ascii="Franklin Gothic Book" w:hAnsi="Franklin Gothic Book"/>
          <w:sz w:val="22"/>
        </w:rPr>
      </w:pPr>
      <w:r w:rsidRPr="00E31B4D">
        <w:rPr>
          <w:rFonts w:ascii="Franklin Gothic Book" w:hAnsi="Franklin Gothic Book"/>
          <w:sz w:val="22"/>
        </w:rPr>
        <w:t xml:space="preserve">Approximately 15 false negatives for every 100 patients tested. These patients would likely receive standard of care (non-platinum chemotherapy with or without </w:t>
      </w:r>
      <w:r w:rsidR="00D43B0C" w:rsidRPr="00E31B4D">
        <w:rPr>
          <w:rFonts w:ascii="Franklin Gothic Book" w:hAnsi="Franklin Gothic Book"/>
          <w:sz w:val="22"/>
        </w:rPr>
        <w:t>bevacizumab</w:t>
      </w:r>
      <w:r w:rsidRPr="00E31B4D">
        <w:rPr>
          <w:rFonts w:ascii="Franklin Gothic Book" w:hAnsi="Franklin Gothic Book"/>
          <w:sz w:val="22"/>
        </w:rPr>
        <w:t xml:space="preserve">) instead of MIRV and receive some treatment benefit. </w:t>
      </w:r>
    </w:p>
    <w:p w14:paraId="6557832F" w14:textId="2F35927E" w:rsidR="00CA5BB3" w:rsidRPr="00E31B4D" w:rsidRDefault="00CA5BB3" w:rsidP="00E31B4D">
      <w:pPr>
        <w:pStyle w:val="ListParagraph"/>
        <w:numPr>
          <w:ilvl w:val="0"/>
          <w:numId w:val="25"/>
        </w:numPr>
        <w:rPr>
          <w:rFonts w:ascii="Franklin Gothic Book" w:hAnsi="Franklin Gothic Book"/>
          <w:sz w:val="22"/>
        </w:rPr>
      </w:pPr>
      <w:r w:rsidRPr="00E31B4D">
        <w:rPr>
          <w:rFonts w:ascii="Franklin Gothic Book" w:hAnsi="Franklin Gothic Book"/>
          <w:sz w:val="22"/>
        </w:rPr>
        <w:t xml:space="preserve">Approximately 3 false positives for every 100 patients tested. These patients would receive inappropriate MIRV treatment. Based on the survival outcomes for FRα medium expression subgroup in the FORWARD-I study, these patients would experience minimal treatment benefit from MIRV and do worse than if they had received non-platinum chemotherapy. </w:t>
      </w:r>
    </w:p>
    <w:p w14:paraId="695090BE" w14:textId="77777777" w:rsidR="00CA5BB3" w:rsidRPr="009F0454" w:rsidRDefault="00CA5BB3" w:rsidP="00CA5BB3">
      <w:pPr>
        <w:rPr>
          <w:rFonts w:ascii="Franklin Gothic Book" w:hAnsi="Franklin Gothic Book"/>
          <w:sz w:val="22"/>
        </w:rPr>
      </w:pPr>
      <w:r w:rsidRPr="009F0454">
        <w:rPr>
          <w:rFonts w:ascii="Franklin Gothic Book" w:hAnsi="Franklin Gothic Book"/>
          <w:sz w:val="22"/>
        </w:rPr>
        <w:t xml:space="preserve">The clinical performance of FRα expression testing used in the context of identifying patients eligible for enrolment in the MIRV SORAYA trial was reported by James et al, (2024). The intent to diagnose (ITD) population consisted of all screened patients for the SORAYA trial for whom at least one sample was tested and FRα expression was tested using the Ventana FOLR1 assay (N=438). Of the ITD population, 431 (98.4%) patients had an FRα expression result. The complement of this analysis represents the test failure rate, that is 7/438 (1.6%) of tumour specimens did not have </w:t>
      </w:r>
      <w:r w:rsidRPr="009F0454">
        <w:rPr>
          <w:rFonts w:ascii="Franklin Gothic Book" w:hAnsi="Franklin Gothic Book"/>
          <w:sz w:val="22"/>
        </w:rPr>
        <w:lastRenderedPageBreak/>
        <w:t xml:space="preserve">evaluable FRα status after testing. According to the authors, test failure was based on staining acceptability, assuming slide tissue morphology was acceptable. </w:t>
      </w:r>
    </w:p>
    <w:p w14:paraId="52CDADBA" w14:textId="788BA748" w:rsidR="00CA5BB3" w:rsidRPr="009F0454" w:rsidRDefault="00CA5BB3" w:rsidP="00CA5BB3">
      <w:pPr>
        <w:rPr>
          <w:rFonts w:ascii="Franklin Gothic Book" w:hAnsi="Franklin Gothic Book"/>
          <w:sz w:val="22"/>
        </w:rPr>
      </w:pPr>
      <w:r w:rsidRPr="009F0454">
        <w:rPr>
          <w:rFonts w:ascii="Franklin Gothic Book" w:hAnsi="Franklin Gothic Book"/>
          <w:sz w:val="22"/>
        </w:rPr>
        <w:t>Equivalent test failure results were not reported in the submission or in CSRs for the FORWARD-I or MIRASOL trials.</w:t>
      </w:r>
    </w:p>
    <w:p w14:paraId="335029B0" w14:textId="10DD7E6E" w:rsidR="00CA5BB3" w:rsidRPr="009F0454" w:rsidRDefault="00CA5BB3" w:rsidP="00CA5BB3">
      <w:pPr>
        <w:rPr>
          <w:rFonts w:ascii="Franklin Gothic Book" w:hAnsi="Franklin Gothic Book"/>
          <w:sz w:val="22"/>
        </w:rPr>
      </w:pPr>
      <w:r w:rsidRPr="009F0454">
        <w:rPr>
          <w:rFonts w:ascii="Franklin Gothic Book" w:hAnsi="Franklin Gothic Book"/>
          <w:sz w:val="22"/>
        </w:rPr>
        <w:t>The commentary noted that these events were not incorporated in the submission’s economic model.</w:t>
      </w:r>
      <w:r w:rsidR="00651D27" w:rsidRPr="009F0454">
        <w:rPr>
          <w:rFonts w:ascii="Franklin Gothic Book" w:hAnsi="Franklin Gothic Book"/>
          <w:sz w:val="22"/>
        </w:rPr>
        <w:t xml:space="preserve"> Only test positive patients were included in the trial population. No results of patient screening </w:t>
      </w:r>
      <w:r w:rsidR="008A0AED" w:rsidRPr="009F0454">
        <w:rPr>
          <w:rFonts w:ascii="Franklin Gothic Book" w:hAnsi="Franklin Gothic Book"/>
          <w:sz w:val="22"/>
        </w:rPr>
        <w:t>that indicated</w:t>
      </w:r>
      <w:r w:rsidR="00651D27" w:rsidRPr="009F0454">
        <w:rPr>
          <w:rFonts w:ascii="Franklin Gothic Book" w:hAnsi="Franklin Gothic Book"/>
          <w:sz w:val="22"/>
        </w:rPr>
        <w:t xml:space="preserve"> </w:t>
      </w:r>
      <w:r w:rsidR="004C76DA" w:rsidRPr="009F0454">
        <w:rPr>
          <w:rFonts w:ascii="Franklin Gothic Book" w:hAnsi="Franklin Gothic Book"/>
          <w:sz w:val="22"/>
        </w:rPr>
        <w:t>test performance were included in the data received for review.</w:t>
      </w:r>
    </w:p>
    <w:p w14:paraId="4455F60B" w14:textId="77777777" w:rsidR="00EE5014" w:rsidRPr="009F0454" w:rsidRDefault="00EE501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31" w:name="_Ref496866969"/>
      <w:bookmarkStart w:id="32" w:name="_Ref496866994"/>
      <w:bookmarkStart w:id="33" w:name="_Toc198721991"/>
      <w:r w:rsidRPr="009F0454">
        <w:rPr>
          <w:rFonts w:ascii="Franklin Gothic Medium" w:hAnsi="Franklin Gothic Medium"/>
          <w:b w:val="0"/>
          <w:snapToGrid/>
          <w:color w:val="000000" w:themeColor="text1"/>
          <w:sz w:val="32"/>
          <w:szCs w:val="26"/>
        </w:rPr>
        <w:t>Comparative effectiveness</w:t>
      </w:r>
      <w:bookmarkEnd w:id="31"/>
      <w:bookmarkEnd w:id="32"/>
      <w:bookmarkEnd w:id="33"/>
    </w:p>
    <w:p w14:paraId="68AF3307" w14:textId="77777777" w:rsidR="00B4220C" w:rsidRPr="009F0454" w:rsidRDefault="00B4220C"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Effectiveness (based on linked evidence)</w:t>
      </w:r>
    </w:p>
    <w:p w14:paraId="54147A69" w14:textId="5BB63654" w:rsidR="00CA5BB3" w:rsidRPr="00045006" w:rsidRDefault="00CA5BB3" w:rsidP="00CA5BB3">
      <w:pPr>
        <w:rPr>
          <w:rFonts w:ascii="Franklin Gothic Book" w:hAnsi="Franklin Gothic Book"/>
          <w:sz w:val="22"/>
        </w:rPr>
      </w:pPr>
      <w:r w:rsidRPr="00045006">
        <w:rPr>
          <w:rFonts w:ascii="Franklin Gothic Book" w:hAnsi="Franklin Gothic Book"/>
          <w:sz w:val="22"/>
        </w:rPr>
        <w:t xml:space="preserve">Evidence for predictive value of the FRα biomarker for MIRV treatment effect was restricted to the MIRV trials. The submission presented MIRASOL (the FRα high expression population based on the PS2+ scoring criteria) and FORWARD-I (the FRα medium and high expression populations based on the 10X scoring criteria). The available trials and the comparison they inform are summarised above in </w:t>
      </w:r>
      <w:r w:rsidR="00A46680" w:rsidRPr="00045006">
        <w:rPr>
          <w:rFonts w:ascii="Franklin Gothic Book" w:hAnsi="Franklin Gothic Book"/>
          <w:sz w:val="22"/>
        </w:rPr>
        <w:fldChar w:fldCharType="begin"/>
      </w:r>
      <w:r w:rsidR="00A46680" w:rsidRPr="00045006">
        <w:rPr>
          <w:rFonts w:ascii="Franklin Gothic Book" w:hAnsi="Franklin Gothic Book"/>
          <w:sz w:val="22"/>
        </w:rPr>
        <w:instrText xml:space="preserve"> REF _Ref198566063 \h </w:instrText>
      </w:r>
      <w:r w:rsidR="009F0454" w:rsidRPr="00045006">
        <w:rPr>
          <w:rFonts w:ascii="Franklin Gothic Book" w:hAnsi="Franklin Gothic Book"/>
          <w:sz w:val="22"/>
        </w:rPr>
        <w:instrText xml:space="preserve"> \* MERGEFORMAT </w:instrText>
      </w:r>
      <w:r w:rsidR="00A46680" w:rsidRPr="00045006">
        <w:rPr>
          <w:rFonts w:ascii="Franklin Gothic Book" w:hAnsi="Franklin Gothic Book"/>
          <w:sz w:val="22"/>
        </w:rPr>
      </w:r>
      <w:r w:rsidR="00A46680" w:rsidRPr="00045006">
        <w:rPr>
          <w:rFonts w:ascii="Franklin Gothic Book" w:hAnsi="Franklin Gothic Book"/>
          <w:sz w:val="22"/>
        </w:rPr>
        <w:fldChar w:fldCharType="separate"/>
      </w:r>
      <w:r w:rsidR="00A46680" w:rsidRPr="00045006">
        <w:rPr>
          <w:rFonts w:ascii="Franklin Gothic Book" w:hAnsi="Franklin Gothic Book"/>
          <w:sz w:val="22"/>
        </w:rPr>
        <w:fldChar w:fldCharType="end"/>
      </w:r>
      <w:r w:rsidR="00A46680" w:rsidRPr="00045006">
        <w:rPr>
          <w:rFonts w:ascii="Franklin Gothic Book" w:hAnsi="Franklin Gothic Book"/>
          <w:sz w:val="22"/>
        </w:rPr>
        <w:t xml:space="preserve"> </w:t>
      </w:r>
      <w:r w:rsidRPr="00045006">
        <w:rPr>
          <w:rFonts w:ascii="Franklin Gothic Book" w:hAnsi="Franklin Gothic Book"/>
          <w:sz w:val="22"/>
        </w:rPr>
        <w:t>and</w:t>
      </w:r>
      <w:r w:rsidR="00A46680" w:rsidRPr="00045006">
        <w:rPr>
          <w:rFonts w:ascii="Franklin Gothic Book" w:hAnsi="Franklin Gothic Book"/>
          <w:sz w:val="22"/>
        </w:rPr>
        <w:t xml:space="preserve"> </w:t>
      </w:r>
      <w:r w:rsidR="00A46680" w:rsidRPr="00045006">
        <w:rPr>
          <w:rFonts w:ascii="Franklin Gothic Book" w:hAnsi="Franklin Gothic Book"/>
          <w:sz w:val="22"/>
        </w:rPr>
        <w:fldChar w:fldCharType="begin"/>
      </w:r>
      <w:r w:rsidR="00A46680" w:rsidRPr="00045006">
        <w:rPr>
          <w:rFonts w:ascii="Franklin Gothic Book" w:hAnsi="Franklin Gothic Book"/>
          <w:sz w:val="22"/>
        </w:rPr>
        <w:instrText xml:space="preserve"> REF _Ref198566104 \h </w:instrText>
      </w:r>
      <w:r w:rsidR="009F0454" w:rsidRPr="00045006">
        <w:rPr>
          <w:rFonts w:ascii="Franklin Gothic Book" w:hAnsi="Franklin Gothic Book"/>
          <w:sz w:val="22"/>
        </w:rPr>
        <w:instrText xml:space="preserve"> \* MERGEFORMAT </w:instrText>
      </w:r>
      <w:r w:rsidR="00A46680" w:rsidRPr="00045006">
        <w:rPr>
          <w:rFonts w:ascii="Franklin Gothic Book" w:hAnsi="Franklin Gothic Book"/>
          <w:sz w:val="22"/>
        </w:rPr>
      </w:r>
      <w:r w:rsidR="00A46680" w:rsidRPr="00045006">
        <w:rPr>
          <w:rFonts w:ascii="Franklin Gothic Book" w:hAnsi="Franklin Gothic Book"/>
          <w:sz w:val="22"/>
        </w:rPr>
        <w:fldChar w:fldCharType="separate"/>
      </w:r>
      <w:r w:rsidR="00A46680" w:rsidRPr="00045006">
        <w:rPr>
          <w:rFonts w:ascii="Franklin Gothic Book" w:hAnsi="Franklin Gothic Book"/>
          <w:sz w:val="22"/>
        </w:rPr>
        <w:fldChar w:fldCharType="end"/>
      </w:r>
      <w:r w:rsidRPr="00045006">
        <w:rPr>
          <w:rFonts w:ascii="Franklin Gothic Book" w:hAnsi="Franklin Gothic Book"/>
          <w:sz w:val="22"/>
        </w:rPr>
        <w:t xml:space="preserve">, respectively. </w:t>
      </w:r>
    </w:p>
    <w:p w14:paraId="30A8F1E0" w14:textId="77777777" w:rsidR="00CA5BB3" w:rsidRPr="00045006" w:rsidRDefault="00CA5BB3" w:rsidP="00CA5BB3">
      <w:pPr>
        <w:rPr>
          <w:rFonts w:ascii="Franklin Gothic Book" w:hAnsi="Franklin Gothic Book"/>
          <w:sz w:val="22"/>
        </w:rPr>
      </w:pPr>
      <w:r w:rsidRPr="00045006">
        <w:rPr>
          <w:rFonts w:ascii="Franklin Gothic Book" w:hAnsi="Franklin Gothic Book"/>
          <w:sz w:val="22"/>
        </w:rPr>
        <w:t>The submission included two key clinical trials – MIRASOL and FORWARD-I – intended to examine biomarker positive patients only. However, the nominated threshold for FRα positivity of the FORWARD-I was redefined post-hoc to be a minimum 75% of positively stained tumour cells (the scoring criteria were also revised at the same time). Therefore, the FRα-medium patients in the FORWARD-I trial (defined as 50% to &lt;75% expression according to 10X scoring) would be considered biomarker negative based on the requested test criteria for the submission. The commentary considered that for the purpose of examining treatment response and the predictive value of the biomarker, the FRα-medium patients were considered an adequate subset of the test negative population for this evaluation.</w:t>
      </w:r>
    </w:p>
    <w:p w14:paraId="5C53EF25" w14:textId="77777777" w:rsidR="00CA5BB3" w:rsidRPr="00045006" w:rsidRDefault="00CA5BB3" w:rsidP="00CA5BB3">
      <w:pPr>
        <w:rPr>
          <w:rFonts w:ascii="Franklin Gothic Book" w:hAnsi="Franklin Gothic Book"/>
          <w:sz w:val="22"/>
        </w:rPr>
      </w:pPr>
      <w:r w:rsidRPr="00045006">
        <w:rPr>
          <w:rFonts w:ascii="Franklin Gothic Book" w:hAnsi="Franklin Gothic Book"/>
          <w:sz w:val="22"/>
        </w:rPr>
        <w:t xml:space="preserve">Data for test performance in the Australian context was absent. The submission assumed that the Ventana FOLR1 assay, once implemented in Australian laboratories, will have the same performance as the clinical utility standard employed in the MIRV clinical trials. </w:t>
      </w:r>
    </w:p>
    <w:p w14:paraId="1B0A574E" w14:textId="58BF1631" w:rsidR="00CA5BB3" w:rsidRPr="009F0454" w:rsidRDefault="00CA5BB3" w:rsidP="00CA5BB3">
      <w:pPr>
        <w:rPr>
          <w:rFonts w:ascii="Franklin Gothic Book" w:hAnsi="Franklin Gothic Book"/>
          <w:sz w:val="22"/>
          <w:szCs w:val="20"/>
        </w:rPr>
      </w:pPr>
      <w:r w:rsidRPr="00045006">
        <w:rPr>
          <w:rFonts w:ascii="Franklin Gothic Book" w:hAnsi="Franklin Gothic Book"/>
          <w:sz w:val="22"/>
        </w:rPr>
        <w:t>FRα expression testing, scoring criteria and thresholds for positive results used in the MIRV trials are summarised in</w:t>
      </w:r>
      <w:r w:rsidR="0061655A">
        <w:rPr>
          <w:rFonts w:ascii="Franklin Gothic Book" w:hAnsi="Franklin Gothic Book"/>
          <w:sz w:val="22"/>
        </w:rPr>
        <w:t xml:space="preserve"> </w:t>
      </w:r>
      <w:r w:rsidR="00045006" w:rsidRPr="00247ADE">
        <w:rPr>
          <w:rFonts w:ascii="Franklin Gothic Book" w:hAnsi="Franklin Gothic Book"/>
          <w:sz w:val="22"/>
        </w:rPr>
        <w:fldChar w:fldCharType="begin"/>
      </w:r>
      <w:r w:rsidR="00045006" w:rsidRPr="00247ADE">
        <w:rPr>
          <w:rFonts w:ascii="Franklin Gothic Book" w:hAnsi="Franklin Gothic Book"/>
          <w:sz w:val="22"/>
        </w:rPr>
        <w:instrText xml:space="preserve"> REF _Ref198566211 \h </w:instrText>
      </w:r>
      <w:r w:rsidR="00247ADE" w:rsidRPr="00247ADE">
        <w:rPr>
          <w:rFonts w:ascii="Franklin Gothic Book" w:hAnsi="Franklin Gothic Book"/>
          <w:sz w:val="22"/>
        </w:rPr>
        <w:instrText xml:space="preserve"> \* MERGEFORMAT </w:instrText>
      </w:r>
      <w:r w:rsidR="00045006" w:rsidRPr="00247ADE">
        <w:rPr>
          <w:rFonts w:ascii="Franklin Gothic Book" w:hAnsi="Franklin Gothic Book"/>
          <w:sz w:val="22"/>
        </w:rPr>
      </w:r>
      <w:r w:rsidR="00045006" w:rsidRPr="00247ADE">
        <w:rPr>
          <w:rFonts w:ascii="Franklin Gothic Book" w:hAnsi="Franklin Gothic Book"/>
          <w:sz w:val="22"/>
        </w:rPr>
        <w:fldChar w:fldCharType="separate"/>
      </w:r>
      <w:r w:rsidR="00045006" w:rsidRPr="00247ADE">
        <w:rPr>
          <w:rFonts w:ascii="Franklin Gothic Book" w:hAnsi="Franklin Gothic Book"/>
          <w:sz w:val="22"/>
        </w:rPr>
        <w:t xml:space="preserve">Table </w:t>
      </w:r>
      <w:r w:rsidR="00045006" w:rsidRPr="00247ADE">
        <w:rPr>
          <w:rFonts w:ascii="Franklin Gothic Book" w:hAnsi="Franklin Gothic Book"/>
          <w:noProof/>
          <w:sz w:val="22"/>
        </w:rPr>
        <w:t>12</w:t>
      </w:r>
      <w:r w:rsidR="00045006" w:rsidRPr="00247ADE">
        <w:rPr>
          <w:rFonts w:ascii="Franklin Gothic Book" w:hAnsi="Franklin Gothic Book"/>
          <w:sz w:val="22"/>
        </w:rPr>
        <w:fldChar w:fldCharType="end"/>
      </w:r>
      <w:r w:rsidR="0061655A" w:rsidRPr="00045006">
        <w:rPr>
          <w:rFonts w:ascii="Franklin Gothic Book" w:hAnsi="Franklin Gothic Book"/>
          <w:sz w:val="22"/>
        </w:rPr>
        <w:fldChar w:fldCharType="begin"/>
      </w:r>
      <w:r w:rsidR="0061655A" w:rsidRPr="00045006">
        <w:rPr>
          <w:rFonts w:ascii="Franklin Gothic Book" w:hAnsi="Franklin Gothic Book"/>
          <w:sz w:val="22"/>
        </w:rPr>
        <w:instrText xml:space="preserve"> REF _Ref198566211 \h </w:instrText>
      </w:r>
      <w:r w:rsidR="009F0454" w:rsidRPr="00045006">
        <w:rPr>
          <w:rFonts w:ascii="Franklin Gothic Book" w:hAnsi="Franklin Gothic Book"/>
          <w:sz w:val="22"/>
        </w:rPr>
        <w:instrText xml:space="preserve"> \* MERGEFORMAT </w:instrText>
      </w:r>
      <w:r w:rsidR="0061655A" w:rsidRPr="00045006">
        <w:rPr>
          <w:rFonts w:ascii="Franklin Gothic Book" w:hAnsi="Franklin Gothic Book"/>
          <w:sz w:val="22"/>
        </w:rPr>
      </w:r>
      <w:r w:rsidR="0061655A" w:rsidRPr="00045006">
        <w:rPr>
          <w:rFonts w:ascii="Franklin Gothic Book" w:hAnsi="Franklin Gothic Book"/>
          <w:sz w:val="22"/>
        </w:rPr>
        <w:fldChar w:fldCharType="separate"/>
      </w:r>
      <w:r w:rsidR="0061655A" w:rsidRPr="00045006">
        <w:rPr>
          <w:rFonts w:ascii="Franklin Gothic Book" w:hAnsi="Franklin Gothic Book"/>
          <w:sz w:val="22"/>
        </w:rPr>
        <w:fldChar w:fldCharType="end"/>
      </w:r>
      <w:r w:rsidRPr="00045006">
        <w:rPr>
          <w:rFonts w:ascii="Franklin Gothic Book" w:hAnsi="Franklin Gothic Book"/>
          <w:sz w:val="22"/>
        </w:rPr>
        <w:t>.</w:t>
      </w:r>
      <w:r w:rsidRPr="009F0454">
        <w:rPr>
          <w:rFonts w:ascii="Franklin Gothic Book" w:hAnsi="Franklin Gothic Book"/>
          <w:sz w:val="22"/>
          <w:szCs w:val="20"/>
        </w:rPr>
        <w:t xml:space="preserve"> </w:t>
      </w:r>
    </w:p>
    <w:p w14:paraId="76C3FE49" w14:textId="5517A1A4" w:rsidR="00CA5BB3" w:rsidRPr="00F10893" w:rsidRDefault="005E37CF" w:rsidP="00F02286">
      <w:pPr>
        <w:pStyle w:val="Caption"/>
        <w:keepLines/>
      </w:pPr>
      <w:bookmarkStart w:id="34" w:name="_Ref198566211"/>
      <w:bookmarkStart w:id="35" w:name="_Ref201154516"/>
      <w:bookmarkStart w:id="36" w:name="_Ref206138091"/>
      <w:r>
        <w:lastRenderedPageBreak/>
        <w:t>Table</w:t>
      </w:r>
      <w:r w:rsidR="0061655A" w:rsidRPr="00F10893">
        <w:t xml:space="preserve"> </w:t>
      </w:r>
      <w:r>
        <w:fldChar w:fldCharType="begin"/>
      </w:r>
      <w:r>
        <w:instrText xml:space="preserve"> SEQ Table \* ARABIC </w:instrText>
      </w:r>
      <w:r>
        <w:fldChar w:fldCharType="separate"/>
      </w:r>
      <w:r>
        <w:rPr>
          <w:noProof/>
        </w:rPr>
        <w:t>12</w:t>
      </w:r>
      <w:r>
        <w:rPr>
          <w:noProof/>
        </w:rPr>
        <w:fldChar w:fldCharType="end"/>
      </w:r>
      <w:bookmarkEnd w:id="34"/>
      <w:bookmarkEnd w:id="35"/>
      <w:r w:rsidR="0061655A" w:rsidRPr="00F10893">
        <w:t xml:space="preserve">: </w:t>
      </w:r>
      <w:r w:rsidR="00CA5BB3" w:rsidRPr="00F10893">
        <w:t>FRα assays and scoring used during MIRV development</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1417"/>
        <w:gridCol w:w="1843"/>
        <w:gridCol w:w="1067"/>
        <w:gridCol w:w="997"/>
        <w:gridCol w:w="1628"/>
        <w:gridCol w:w="1075"/>
      </w:tblGrid>
      <w:tr w:rsidR="00CA5BB3" w:rsidRPr="00F10893" w14:paraId="54D4034B" w14:textId="77777777">
        <w:tc>
          <w:tcPr>
            <w:tcW w:w="548" w:type="pct"/>
          </w:tcPr>
          <w:p w14:paraId="57FF2423"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Study ID</w:t>
            </w:r>
          </w:p>
        </w:tc>
        <w:tc>
          <w:tcPr>
            <w:tcW w:w="786" w:type="pct"/>
          </w:tcPr>
          <w:p w14:paraId="721A4906"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Staining</w:t>
            </w:r>
          </w:p>
        </w:tc>
        <w:tc>
          <w:tcPr>
            <w:tcW w:w="1022" w:type="pct"/>
          </w:tcPr>
          <w:p w14:paraId="7570641C"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 xml:space="preserve">Assay </w:t>
            </w:r>
            <w:r w:rsidRPr="00F10893">
              <w:rPr>
                <w:rFonts w:ascii="Arial Narrow" w:eastAsiaTheme="majorEastAsia" w:hAnsi="Arial Narrow" w:cs="Times New Roman"/>
                <w:b/>
                <w:sz w:val="20"/>
                <w:szCs w:val="24"/>
                <w:vertAlign w:val="superscript"/>
                <w:lang w:eastAsia="en-AU"/>
              </w:rPr>
              <w:t>a</w:t>
            </w:r>
          </w:p>
          <w:p w14:paraId="73BD8CF7"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Antibody clone</w:t>
            </w:r>
          </w:p>
        </w:tc>
        <w:tc>
          <w:tcPr>
            <w:tcW w:w="592" w:type="pct"/>
          </w:tcPr>
          <w:p w14:paraId="49D5D73E"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Laboratory</w:t>
            </w:r>
          </w:p>
        </w:tc>
        <w:tc>
          <w:tcPr>
            <w:tcW w:w="553" w:type="pct"/>
          </w:tcPr>
          <w:p w14:paraId="2BAF3493"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Cells counted</w:t>
            </w:r>
          </w:p>
        </w:tc>
        <w:tc>
          <w:tcPr>
            <w:tcW w:w="903" w:type="pct"/>
          </w:tcPr>
          <w:p w14:paraId="7B80B714"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Threshold for positivity</w:t>
            </w:r>
          </w:p>
        </w:tc>
        <w:tc>
          <w:tcPr>
            <w:tcW w:w="596" w:type="pct"/>
          </w:tcPr>
          <w:p w14:paraId="13FC65A4" w14:textId="77777777" w:rsidR="00CA5BB3" w:rsidRPr="00F10893" w:rsidRDefault="00CA5BB3" w:rsidP="00F02286">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Patients included</w:t>
            </w:r>
          </w:p>
        </w:tc>
      </w:tr>
      <w:tr w:rsidR="00CA5BB3" w:rsidRPr="00F10893" w14:paraId="0B88C0F1" w14:textId="77777777">
        <w:tc>
          <w:tcPr>
            <w:tcW w:w="548" w:type="pct"/>
          </w:tcPr>
          <w:p w14:paraId="648F2F5B"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Phase I</w:t>
            </w:r>
            <w:r w:rsidRPr="00F10893">
              <w:rPr>
                <w:rFonts w:ascii="Arial Narrow" w:hAnsi="Arial Narrow"/>
                <w:sz w:val="20"/>
                <w:vertAlign w:val="superscript"/>
              </w:rPr>
              <w:t>c</w:t>
            </w:r>
          </w:p>
        </w:tc>
        <w:tc>
          <w:tcPr>
            <w:tcW w:w="786" w:type="pct"/>
          </w:tcPr>
          <w:p w14:paraId="6418B177"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level 2 (moderate) or level 3 (strong) (“PS2+”) membrane staining intensity</w:t>
            </w:r>
          </w:p>
        </w:tc>
        <w:tc>
          <w:tcPr>
            <w:tcW w:w="1022" w:type="pct"/>
          </w:tcPr>
          <w:p w14:paraId="225D024A" w14:textId="77777777" w:rsidR="00CA5BB3" w:rsidRPr="00F10893" w:rsidRDefault="00CA5BB3"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u w:val="single"/>
              </w:rPr>
              <w:t>Dose escalation</w:t>
            </w:r>
            <w:r w:rsidRPr="00F10893">
              <w:rPr>
                <w:rFonts w:ascii="Arial Narrow" w:hAnsi="Arial Narrow"/>
                <w:sz w:val="20"/>
                <w:szCs w:val="20"/>
                <w:vertAlign w:val="superscript"/>
              </w:rPr>
              <w:t>b</w:t>
            </w:r>
            <w:r w:rsidRPr="00F10893">
              <w:rPr>
                <w:rFonts w:ascii="Arial Narrow" w:hAnsi="Arial Narrow"/>
                <w:sz w:val="20"/>
                <w:szCs w:val="20"/>
              </w:rPr>
              <w:t>:</w:t>
            </w:r>
          </w:p>
          <w:p w14:paraId="652DA57A" w14:textId="77777777" w:rsidR="00CA5BB3" w:rsidRPr="00F10893" w:rsidRDefault="00CA5BB3" w:rsidP="00F02286">
            <w:pPr>
              <w:keepNext/>
              <w:keepLines/>
              <w:widowControl w:val="0"/>
              <w:spacing w:before="0" w:after="0"/>
              <w:jc w:val="left"/>
              <w:rPr>
                <w:rFonts w:ascii="Arial Narrow" w:hAnsi="Arial Narrow"/>
                <w:sz w:val="20"/>
                <w:szCs w:val="20"/>
              </w:rPr>
            </w:pPr>
            <w:r w:rsidRPr="00F10893">
              <w:rPr>
                <w:rFonts w:ascii="Arial Narrow" w:hAnsi="Arial Narrow"/>
                <w:sz w:val="20"/>
                <w:szCs w:val="20"/>
              </w:rPr>
              <w:t>Leica FRα IHC assay</w:t>
            </w:r>
          </w:p>
          <w:p w14:paraId="233215EF"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NCL-L-FRalpha BN3.2</w:t>
            </w:r>
          </w:p>
          <w:p w14:paraId="538038C8"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u w:val="single"/>
              </w:rPr>
              <w:t>Expansion cohort</w:t>
            </w:r>
            <w:r w:rsidRPr="00F10893">
              <w:rPr>
                <w:rFonts w:ascii="Arial Narrow" w:hAnsi="Arial Narrow"/>
                <w:sz w:val="20"/>
              </w:rPr>
              <w:t>:</w:t>
            </w:r>
          </w:p>
          <w:p w14:paraId="790F2B04"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Ventana robust prototype assay</w:t>
            </w:r>
          </w:p>
          <w:p w14:paraId="55F23AE7"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FOLR-2.1-clone 353.2.1</w:t>
            </w:r>
          </w:p>
        </w:tc>
        <w:tc>
          <w:tcPr>
            <w:tcW w:w="592" w:type="pct"/>
          </w:tcPr>
          <w:p w14:paraId="48CA92E6"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Expansion: Single central laboratory</w:t>
            </w:r>
          </w:p>
        </w:tc>
        <w:tc>
          <w:tcPr>
            <w:tcW w:w="553" w:type="pct"/>
          </w:tcPr>
          <w:p w14:paraId="1E72595F"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100 viable tumour cells</w:t>
            </w:r>
          </w:p>
        </w:tc>
        <w:tc>
          <w:tcPr>
            <w:tcW w:w="903" w:type="pct"/>
          </w:tcPr>
          <w:p w14:paraId="23DB66DB"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Low: 25%&lt;50% cells</w:t>
            </w:r>
          </w:p>
          <w:p w14:paraId="3305B521"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Medium: 50%-74% cells</w:t>
            </w:r>
          </w:p>
          <w:p w14:paraId="7D027718"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High: ≥75% cells</w:t>
            </w:r>
          </w:p>
        </w:tc>
        <w:tc>
          <w:tcPr>
            <w:tcW w:w="596" w:type="pct"/>
          </w:tcPr>
          <w:p w14:paraId="629FD831"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≥25% FRα</w:t>
            </w:r>
          </w:p>
          <w:p w14:paraId="2935AF09"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Low, medium or high FRα expression</w:t>
            </w:r>
          </w:p>
        </w:tc>
      </w:tr>
      <w:tr w:rsidR="00CA5BB3" w:rsidRPr="00F10893" w14:paraId="2821FA44" w14:textId="77777777">
        <w:tc>
          <w:tcPr>
            <w:tcW w:w="548" w:type="pct"/>
          </w:tcPr>
          <w:p w14:paraId="185E9AC5"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SORAYA (Phase II)</w:t>
            </w:r>
          </w:p>
        </w:tc>
        <w:tc>
          <w:tcPr>
            <w:tcW w:w="786" w:type="pct"/>
          </w:tcPr>
          <w:p w14:paraId="00643A68"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level 2 (moderate) or level 3 (strong) (“PS2+”) membrane staining intensity</w:t>
            </w:r>
          </w:p>
        </w:tc>
        <w:tc>
          <w:tcPr>
            <w:tcW w:w="1022" w:type="pct"/>
          </w:tcPr>
          <w:p w14:paraId="20215C29"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Ventana FOLR1 Assay</w:t>
            </w:r>
          </w:p>
          <w:p w14:paraId="3AD94319" w14:textId="77777777" w:rsidR="00CA5BB3" w:rsidRPr="00F10893" w:rsidRDefault="00CA5BB3" w:rsidP="00F02286">
            <w:pPr>
              <w:keepNext/>
              <w:keepLines/>
              <w:widowControl w:val="0"/>
              <w:spacing w:before="0" w:after="0"/>
              <w:jc w:val="left"/>
              <w:rPr>
                <w:rFonts w:ascii="Arial Narrow" w:hAnsi="Arial Narrow"/>
                <w:sz w:val="20"/>
                <w:u w:val="single"/>
              </w:rPr>
            </w:pPr>
            <w:r w:rsidRPr="00F10893">
              <w:rPr>
                <w:rFonts w:ascii="Arial Narrow" w:hAnsi="Arial Narrow"/>
                <w:sz w:val="20"/>
              </w:rPr>
              <w:t>Clone FOLR1-2.1</w:t>
            </w:r>
          </w:p>
        </w:tc>
        <w:tc>
          <w:tcPr>
            <w:tcW w:w="592" w:type="pct"/>
          </w:tcPr>
          <w:p w14:paraId="3BEFF2C5"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2 Histo-GeneX (now CellCarta) central laboratories</w:t>
            </w:r>
          </w:p>
        </w:tc>
        <w:tc>
          <w:tcPr>
            <w:tcW w:w="553" w:type="pct"/>
          </w:tcPr>
          <w:p w14:paraId="7F413D7D"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100 viable tumour cells</w:t>
            </w:r>
          </w:p>
        </w:tc>
        <w:tc>
          <w:tcPr>
            <w:tcW w:w="903" w:type="pct"/>
          </w:tcPr>
          <w:p w14:paraId="04E0E105"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High: ≥ 75% cells</w:t>
            </w:r>
          </w:p>
        </w:tc>
        <w:tc>
          <w:tcPr>
            <w:tcW w:w="596" w:type="pct"/>
          </w:tcPr>
          <w:p w14:paraId="422532FD"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High FRα expression only</w:t>
            </w:r>
          </w:p>
        </w:tc>
      </w:tr>
      <w:tr w:rsidR="00CA5BB3" w:rsidRPr="00F10893" w14:paraId="4A818A03" w14:textId="77777777">
        <w:tc>
          <w:tcPr>
            <w:tcW w:w="548" w:type="pct"/>
          </w:tcPr>
          <w:p w14:paraId="3A8ABAD3" w14:textId="77777777" w:rsidR="00CA5BB3" w:rsidRPr="00F10893" w:rsidRDefault="00CA5BB3" w:rsidP="00F02286">
            <w:pPr>
              <w:keepNext/>
              <w:keepLines/>
              <w:widowControl w:val="0"/>
              <w:spacing w:before="0" w:after="0"/>
              <w:ind w:right="-28"/>
              <w:jc w:val="left"/>
              <w:rPr>
                <w:rFonts w:ascii="Arial Narrow" w:hAnsi="Arial Narrow"/>
                <w:sz w:val="20"/>
              </w:rPr>
            </w:pPr>
            <w:r w:rsidRPr="00F10893">
              <w:rPr>
                <w:rFonts w:ascii="Arial Narrow" w:hAnsi="Arial Narrow"/>
                <w:sz w:val="20"/>
              </w:rPr>
              <w:t>FORWARD I</w:t>
            </w:r>
          </w:p>
        </w:tc>
        <w:tc>
          <w:tcPr>
            <w:tcW w:w="786" w:type="pct"/>
          </w:tcPr>
          <w:p w14:paraId="772E0C5D"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Any cells with visible staining at 10X magnification (any intensity)</w:t>
            </w:r>
          </w:p>
        </w:tc>
        <w:tc>
          <w:tcPr>
            <w:tcW w:w="1022" w:type="pct"/>
          </w:tcPr>
          <w:p w14:paraId="3C9D3236"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Ventana FOLR1 Assay</w:t>
            </w:r>
          </w:p>
          <w:p w14:paraId="759C2724"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Clone FOLR1-2.1</w:t>
            </w:r>
          </w:p>
        </w:tc>
        <w:tc>
          <w:tcPr>
            <w:tcW w:w="592" w:type="pct"/>
          </w:tcPr>
          <w:p w14:paraId="02969501"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Single central laboratory</w:t>
            </w:r>
          </w:p>
        </w:tc>
        <w:tc>
          <w:tcPr>
            <w:tcW w:w="553" w:type="pct"/>
          </w:tcPr>
          <w:p w14:paraId="65DF03D4"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Minimum 100 viable tumour cells</w:t>
            </w:r>
          </w:p>
        </w:tc>
        <w:tc>
          <w:tcPr>
            <w:tcW w:w="903" w:type="pct"/>
          </w:tcPr>
          <w:p w14:paraId="37A2CC43"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Medium: 50%-74% cells</w:t>
            </w:r>
          </w:p>
          <w:p w14:paraId="7B82F490"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High: ≥75% cells</w:t>
            </w:r>
          </w:p>
        </w:tc>
        <w:tc>
          <w:tcPr>
            <w:tcW w:w="596" w:type="pct"/>
          </w:tcPr>
          <w:p w14:paraId="69ED2A6D"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Medium or high FRα expression</w:t>
            </w:r>
          </w:p>
        </w:tc>
      </w:tr>
      <w:tr w:rsidR="00CA5BB3" w:rsidRPr="00F10893" w14:paraId="3649CADC" w14:textId="77777777">
        <w:tc>
          <w:tcPr>
            <w:tcW w:w="548" w:type="pct"/>
          </w:tcPr>
          <w:p w14:paraId="66987CF0"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MIRASOL</w:t>
            </w:r>
          </w:p>
        </w:tc>
        <w:tc>
          <w:tcPr>
            <w:tcW w:w="786" w:type="pct"/>
          </w:tcPr>
          <w:p w14:paraId="02FDF9F4"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level 2 (moderate) or level 3 (strong) (“PS2+”) membrane staining intensity</w:t>
            </w:r>
          </w:p>
        </w:tc>
        <w:tc>
          <w:tcPr>
            <w:tcW w:w="1022" w:type="pct"/>
          </w:tcPr>
          <w:p w14:paraId="646AB54B" w14:textId="77777777" w:rsidR="00CA5BB3" w:rsidRPr="00F10893" w:rsidRDefault="00CA5BB3" w:rsidP="00F02286">
            <w:pPr>
              <w:keepNext/>
              <w:keepLines/>
              <w:widowControl w:val="0"/>
              <w:tabs>
                <w:tab w:val="left" w:pos="462"/>
              </w:tabs>
              <w:spacing w:before="0" w:after="0"/>
              <w:jc w:val="left"/>
              <w:rPr>
                <w:rFonts w:ascii="Arial Narrow" w:hAnsi="Arial Narrow"/>
                <w:sz w:val="20"/>
              </w:rPr>
            </w:pPr>
            <w:r w:rsidRPr="00F10893">
              <w:rPr>
                <w:rFonts w:ascii="Arial Narrow" w:hAnsi="Arial Narrow"/>
                <w:sz w:val="20"/>
              </w:rPr>
              <w:t>Ventana FOLR1 Assay</w:t>
            </w:r>
          </w:p>
          <w:p w14:paraId="6CB9EC2A"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Clone FOLR1-2.1</w:t>
            </w:r>
          </w:p>
        </w:tc>
        <w:tc>
          <w:tcPr>
            <w:tcW w:w="592" w:type="pct"/>
          </w:tcPr>
          <w:p w14:paraId="33A60A02"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3 central laboratories</w:t>
            </w:r>
          </w:p>
        </w:tc>
        <w:tc>
          <w:tcPr>
            <w:tcW w:w="553" w:type="pct"/>
          </w:tcPr>
          <w:p w14:paraId="03DAC739"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Minimum 100 viable tumour cells</w:t>
            </w:r>
          </w:p>
        </w:tc>
        <w:tc>
          <w:tcPr>
            <w:tcW w:w="903" w:type="pct"/>
          </w:tcPr>
          <w:p w14:paraId="7B1976AC"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High: ≥ 75% cells</w:t>
            </w:r>
          </w:p>
        </w:tc>
        <w:tc>
          <w:tcPr>
            <w:tcW w:w="596" w:type="pct"/>
          </w:tcPr>
          <w:p w14:paraId="1AEAA1B1" w14:textId="77777777" w:rsidR="00CA5BB3" w:rsidRPr="00F10893" w:rsidRDefault="00CA5BB3" w:rsidP="00F02286">
            <w:pPr>
              <w:keepNext/>
              <w:keepLines/>
              <w:widowControl w:val="0"/>
              <w:spacing w:before="0" w:after="0"/>
              <w:jc w:val="left"/>
              <w:rPr>
                <w:rFonts w:ascii="Arial Narrow" w:hAnsi="Arial Narrow"/>
                <w:sz w:val="20"/>
              </w:rPr>
            </w:pPr>
            <w:r w:rsidRPr="00F10893">
              <w:rPr>
                <w:rFonts w:ascii="Arial Narrow" w:hAnsi="Arial Narrow"/>
                <w:sz w:val="20"/>
              </w:rPr>
              <w:t>High FRα expression only</w:t>
            </w:r>
          </w:p>
        </w:tc>
      </w:tr>
    </w:tbl>
    <w:p w14:paraId="47F81F4E" w14:textId="77777777" w:rsidR="00CA5BB3" w:rsidRPr="00F10893" w:rsidRDefault="00CA5BB3" w:rsidP="00F02286">
      <w:pPr>
        <w:keepNext/>
        <w:keepLines/>
        <w:spacing w:before="0" w:after="120"/>
        <w:contextualSpacing/>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Source: Compiled for this evaluation from: Elahere European Public Assessment Report, 19 September 2024 (EMEA/H/C/005036/0000); Martin et al, (2017); James et al, (2024).</w:t>
      </w:r>
    </w:p>
    <w:p w14:paraId="14D5D4D2" w14:textId="77777777" w:rsidR="00CA5BB3" w:rsidRPr="00F10893" w:rsidRDefault="00CA5BB3" w:rsidP="00F02286">
      <w:pPr>
        <w:keepNext/>
        <w:keepLines/>
        <w:spacing w:before="0" w:after="120"/>
        <w:contextualSpacing/>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FRα= folate-receptor alpha; IHC= immunohistochemistry; MIRV= mirvetuximab soravtansine; PS2+= FRα membrane staining at moderate (2) or high (3) intensity.</w:t>
      </w:r>
    </w:p>
    <w:p w14:paraId="6A523BD3" w14:textId="77777777" w:rsidR="00CA5BB3" w:rsidRPr="00F10893" w:rsidRDefault="00CA5BB3" w:rsidP="00CA5BB3">
      <w:pPr>
        <w:spacing w:before="0" w:after="120"/>
        <w:contextualSpacing/>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a</w:t>
      </w:r>
      <w:r w:rsidRPr="00F10893">
        <w:rPr>
          <w:rFonts w:ascii="Arial Narrow" w:eastAsia="Times New Roman" w:hAnsi="Arial Narrow" w:cs="Arial"/>
          <w:snapToGrid w:val="0"/>
          <w:sz w:val="18"/>
          <w:lang w:eastAsia="en-AU"/>
        </w:rPr>
        <w:t xml:space="preserve"> Development assay information from European Public Assessment Report, 19 September 2024 (EMEA/H/C/005036/0000) (p124).</w:t>
      </w:r>
    </w:p>
    <w:p w14:paraId="6FCE0F0D" w14:textId="77777777" w:rsidR="00CA5BB3" w:rsidRPr="00F10893" w:rsidRDefault="00CA5BB3" w:rsidP="00CA5BB3">
      <w:pPr>
        <w:spacing w:before="0" w:after="120"/>
        <w:contextualSpacing/>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b</w:t>
      </w:r>
      <w:r w:rsidRPr="00F10893">
        <w:rPr>
          <w:rFonts w:ascii="Arial Narrow" w:eastAsia="Times New Roman" w:hAnsi="Arial Narrow" w:cs="Arial"/>
          <w:snapToGrid w:val="0"/>
          <w:sz w:val="18"/>
          <w:lang w:eastAsia="en-AU"/>
        </w:rPr>
        <w:t xml:space="preserve"> The Ventana robust prototype assay was also used to retrospectively re-test samples from the initial dose escalation phase. </w:t>
      </w:r>
    </w:p>
    <w:p w14:paraId="4F245A29" w14:textId="77777777" w:rsidR="00CA5BB3" w:rsidRPr="00F10893" w:rsidRDefault="00CA5BB3" w:rsidP="00CA5BB3">
      <w:pPr>
        <w:spacing w:before="0" w:after="120"/>
        <w:contextualSpacing/>
        <w:rPr>
          <w:rFonts w:ascii="Arial Narrow" w:eastAsia="Times New Roman" w:hAnsi="Arial Narrow" w:cs="Arial"/>
          <w:i/>
          <w:iCs/>
          <w:snapToGrid w:val="0"/>
          <w:sz w:val="18"/>
          <w:lang w:eastAsia="en-AU"/>
        </w:rPr>
      </w:pPr>
      <w:r w:rsidRPr="00F10893">
        <w:rPr>
          <w:rFonts w:ascii="Arial Narrow" w:eastAsia="Times New Roman" w:hAnsi="Arial Narrow" w:cs="Arial"/>
          <w:snapToGrid w:val="0"/>
          <w:sz w:val="18"/>
          <w:vertAlign w:val="superscript"/>
          <w:lang w:eastAsia="en-AU"/>
        </w:rPr>
        <w:t>c</w:t>
      </w:r>
      <w:r w:rsidRPr="00F10893">
        <w:rPr>
          <w:rFonts w:ascii="Arial Narrow" w:eastAsia="Times New Roman" w:hAnsi="Arial Narrow" w:cs="Arial"/>
          <w:snapToGrid w:val="0"/>
          <w:sz w:val="18"/>
          <w:lang w:eastAsia="en-AU"/>
        </w:rPr>
        <w:t xml:space="preserve"> Testing for entry to the Phase I study was based on archival samples only. </w:t>
      </w:r>
    </w:p>
    <w:p w14:paraId="18D51F81" w14:textId="77777777" w:rsidR="00D44F9D" w:rsidRPr="009F0454" w:rsidRDefault="00D44F9D"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 xml:space="preserve">Comparative accuracy/test performance </w:t>
      </w:r>
    </w:p>
    <w:p w14:paraId="0D8962EE" w14:textId="24FCE973" w:rsidR="008764D5" w:rsidRPr="009F0454" w:rsidRDefault="005A7959" w:rsidP="005A7959">
      <w:pPr>
        <w:rPr>
          <w:rFonts w:ascii="Franklin Gothic Book" w:hAnsi="Franklin Gothic Book"/>
          <w:sz w:val="22"/>
          <w:szCs w:val="20"/>
        </w:rPr>
      </w:pPr>
      <w:r w:rsidRPr="009F0454">
        <w:rPr>
          <w:rFonts w:ascii="Franklin Gothic Book" w:hAnsi="Franklin Gothic Book"/>
          <w:sz w:val="22"/>
          <w:szCs w:val="20"/>
        </w:rPr>
        <w:t>A summary of the diagnostic accuracy of the clinical utility standard is given in</w:t>
      </w:r>
      <w:r w:rsidR="00DB6EE6" w:rsidRPr="009F0454">
        <w:rPr>
          <w:rFonts w:ascii="Franklin Gothic Book" w:hAnsi="Franklin Gothic Book"/>
          <w:sz w:val="22"/>
          <w:szCs w:val="20"/>
        </w:rPr>
        <w:t xml:space="preserve"> </w:t>
      </w:r>
      <w:r w:rsidR="00DB6EE6" w:rsidRPr="00C408A2">
        <w:rPr>
          <w:rFonts w:ascii="Franklin Gothic Book" w:hAnsi="Franklin Gothic Book"/>
          <w:sz w:val="22"/>
        </w:rPr>
        <w:fldChar w:fldCharType="begin"/>
      </w:r>
      <w:r w:rsidR="00DB6EE6" w:rsidRPr="009F0454">
        <w:rPr>
          <w:rFonts w:ascii="Franklin Gothic Book" w:hAnsi="Franklin Gothic Book"/>
          <w:sz w:val="22"/>
          <w:szCs w:val="20"/>
        </w:rPr>
        <w:instrText xml:space="preserve"> REF _Ref198566265 \h </w:instrText>
      </w:r>
      <w:r w:rsidR="009F0454" w:rsidRPr="009F0454">
        <w:rPr>
          <w:rFonts w:ascii="Franklin Gothic Book" w:hAnsi="Franklin Gothic Book"/>
          <w:sz w:val="22"/>
          <w:szCs w:val="20"/>
        </w:rPr>
        <w:instrText xml:space="preserve"> \* MERGEFORMAT </w:instrText>
      </w:r>
      <w:r w:rsidR="00DB6EE6" w:rsidRPr="00C408A2">
        <w:rPr>
          <w:rFonts w:ascii="Franklin Gothic Book" w:hAnsi="Franklin Gothic Book"/>
          <w:sz w:val="22"/>
        </w:rPr>
      </w:r>
      <w:r w:rsidR="00DB6EE6" w:rsidRPr="00C408A2">
        <w:rPr>
          <w:rFonts w:ascii="Franklin Gothic Book" w:hAnsi="Franklin Gothic Book"/>
          <w:sz w:val="22"/>
        </w:rPr>
        <w:fldChar w:fldCharType="separate"/>
      </w:r>
      <w:r w:rsidR="00C408A2" w:rsidRPr="00C408A2">
        <w:rPr>
          <w:rFonts w:ascii="Franklin Gothic Book" w:hAnsi="Franklin Gothic Book"/>
          <w:sz w:val="22"/>
        </w:rPr>
        <w:t>Table</w:t>
      </w:r>
      <w:r w:rsidR="00C408A2" w:rsidRPr="00C408A2">
        <w:rPr>
          <w:sz w:val="22"/>
        </w:rPr>
        <w:t xml:space="preserve"> </w:t>
      </w:r>
      <w:r w:rsidR="00C408A2" w:rsidRPr="00D81649">
        <w:rPr>
          <w:rFonts w:ascii="Franklin Gothic Book" w:hAnsi="Franklin Gothic Book"/>
          <w:noProof/>
          <w:sz w:val="22"/>
        </w:rPr>
        <w:t>13</w:t>
      </w:r>
      <w:r w:rsidR="00DB6EE6" w:rsidRPr="00C408A2">
        <w:rPr>
          <w:rFonts w:ascii="Franklin Gothic Book" w:hAnsi="Franklin Gothic Book"/>
          <w:sz w:val="22"/>
        </w:rPr>
        <w:fldChar w:fldCharType="end"/>
      </w:r>
      <w:r w:rsidR="00DB6EE6" w:rsidRPr="009F0454">
        <w:rPr>
          <w:rFonts w:ascii="Franklin Gothic Book" w:hAnsi="Franklin Gothic Book"/>
          <w:sz w:val="22"/>
          <w:szCs w:val="20"/>
        </w:rPr>
        <w:fldChar w:fldCharType="begin"/>
      </w:r>
      <w:r w:rsidR="00DB6EE6" w:rsidRPr="009F0454">
        <w:rPr>
          <w:rFonts w:ascii="Franklin Gothic Book" w:hAnsi="Franklin Gothic Book"/>
          <w:sz w:val="22"/>
          <w:szCs w:val="20"/>
        </w:rPr>
        <w:instrText xml:space="preserve"> REF _Ref198566265 \h </w:instrText>
      </w:r>
      <w:r w:rsidR="009F0454" w:rsidRPr="009F0454">
        <w:rPr>
          <w:rFonts w:ascii="Franklin Gothic Book" w:hAnsi="Franklin Gothic Book"/>
          <w:sz w:val="22"/>
          <w:szCs w:val="20"/>
        </w:rPr>
        <w:instrText xml:space="preserve"> \* MERGEFORMAT </w:instrText>
      </w:r>
      <w:r w:rsidR="00DB6EE6" w:rsidRPr="009F0454">
        <w:rPr>
          <w:rFonts w:ascii="Franklin Gothic Book" w:hAnsi="Franklin Gothic Book"/>
          <w:sz w:val="22"/>
          <w:szCs w:val="20"/>
        </w:rPr>
      </w:r>
      <w:r w:rsidR="00DB6EE6" w:rsidRPr="009F0454">
        <w:rPr>
          <w:rFonts w:ascii="Franklin Gothic Book" w:hAnsi="Franklin Gothic Book"/>
          <w:sz w:val="22"/>
          <w:szCs w:val="20"/>
        </w:rPr>
        <w:fldChar w:fldCharType="separate"/>
      </w:r>
      <w:r w:rsidR="00DB6EE6" w:rsidRPr="009F0454">
        <w:rPr>
          <w:rFonts w:ascii="Franklin Gothic Book" w:hAnsi="Franklin Gothic Book"/>
          <w:sz w:val="22"/>
          <w:szCs w:val="20"/>
        </w:rPr>
        <w:fldChar w:fldCharType="end"/>
      </w:r>
      <w:r w:rsidRPr="009F0454">
        <w:rPr>
          <w:rFonts w:ascii="Franklin Gothic Book" w:hAnsi="Franklin Gothic Book"/>
          <w:sz w:val="22"/>
          <w:szCs w:val="20"/>
        </w:rPr>
        <w:t>, including prevalence adjusted estimates, the number needed to test (NNT) to identify one positive patient, and the number needed to yield one misdiagnosed patient.</w:t>
      </w:r>
    </w:p>
    <w:p w14:paraId="6AA50F9D" w14:textId="431E85A5" w:rsidR="005A7959" w:rsidRPr="00F10893" w:rsidRDefault="005E37CF" w:rsidP="00F02286">
      <w:pPr>
        <w:pStyle w:val="Caption"/>
        <w:keepLines/>
      </w:pPr>
      <w:bookmarkStart w:id="37" w:name="_Ref198566265"/>
      <w:r>
        <w:lastRenderedPageBreak/>
        <w:t>Table</w:t>
      </w:r>
      <w:r w:rsidR="00DB6EE6" w:rsidRPr="00F10893">
        <w:t xml:space="preserve"> </w:t>
      </w:r>
      <w:r>
        <w:fldChar w:fldCharType="begin"/>
      </w:r>
      <w:r>
        <w:instrText xml:space="preserve"> SEQ Table \* ARABIC </w:instrText>
      </w:r>
      <w:r>
        <w:fldChar w:fldCharType="separate"/>
      </w:r>
      <w:r>
        <w:rPr>
          <w:noProof/>
        </w:rPr>
        <w:t>13</w:t>
      </w:r>
      <w:r>
        <w:rPr>
          <w:noProof/>
        </w:rPr>
        <w:fldChar w:fldCharType="end"/>
      </w:r>
      <w:bookmarkEnd w:id="37"/>
      <w:r w:rsidR="00DB6EE6" w:rsidRPr="00F10893">
        <w:t xml:space="preserve">: </w:t>
      </w:r>
      <w:r w:rsidR="005A7959" w:rsidRPr="00F10893">
        <w:t>Diagnostic accuracy of the FRα clinical utility standard based on concordance</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821"/>
      </w:tblGrid>
      <w:tr w:rsidR="005A7959" w:rsidRPr="00F10893" w14:paraId="27621DC3"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5954DAFE"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b/>
                <w:sz w:val="20"/>
              </w:rPr>
              <w:t>Positive percent agreement (PPA)</w:t>
            </w:r>
          </w:p>
        </w:tc>
      </w:tr>
      <w:tr w:rsidR="005A7959" w:rsidRPr="00F10893" w14:paraId="1CB24F5D" w14:textId="77777777">
        <w:tc>
          <w:tcPr>
            <w:tcW w:w="2342" w:type="pct"/>
            <w:tcBorders>
              <w:top w:val="single" w:sz="4" w:space="0" w:color="auto"/>
              <w:left w:val="single" w:sz="4" w:space="0" w:color="auto"/>
              <w:bottom w:val="single" w:sz="4" w:space="0" w:color="auto"/>
              <w:right w:val="single" w:sz="4" w:space="0" w:color="auto"/>
            </w:tcBorders>
          </w:tcPr>
          <w:p w14:paraId="7A1C935C"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Submission (analysis of James et al, 2024)</w:t>
            </w:r>
          </w:p>
        </w:tc>
        <w:tc>
          <w:tcPr>
            <w:tcW w:w="2658" w:type="pct"/>
            <w:tcBorders>
              <w:top w:val="single" w:sz="4" w:space="0" w:color="auto"/>
              <w:left w:val="single" w:sz="4" w:space="0" w:color="auto"/>
              <w:bottom w:val="single" w:sz="4" w:space="0" w:color="auto"/>
              <w:right w:val="single" w:sz="4" w:space="0" w:color="auto"/>
            </w:tcBorders>
          </w:tcPr>
          <w:p w14:paraId="354E223D" w14:textId="77777777" w:rsidR="005A7959" w:rsidRPr="00F10893" w:rsidRDefault="005A7959" w:rsidP="00F02286">
            <w:pPr>
              <w:keepNext/>
              <w:keepLines/>
              <w:widowControl w:val="0"/>
              <w:tabs>
                <w:tab w:val="decimal" w:pos="396"/>
              </w:tabs>
              <w:spacing w:before="0" w:after="0"/>
              <w:jc w:val="center"/>
              <w:rPr>
                <w:rFonts w:ascii="Arial Narrow" w:hAnsi="Arial Narrow"/>
                <w:sz w:val="20"/>
                <w:szCs w:val="20"/>
              </w:rPr>
            </w:pPr>
            <w:r w:rsidRPr="00F10893">
              <w:rPr>
                <w:rFonts w:ascii="Arial Narrow" w:hAnsi="Arial Narrow"/>
                <w:sz w:val="20"/>
                <w:szCs w:val="20"/>
              </w:rPr>
              <w:t xml:space="preserve">96.3% </w:t>
            </w:r>
          </w:p>
          <w:p w14:paraId="118454B5"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(95% CI 93.6, 97.9)</w:t>
            </w:r>
          </w:p>
        </w:tc>
      </w:tr>
      <w:tr w:rsidR="005A7959" w:rsidRPr="00F10893" w14:paraId="23EDED20" w14:textId="77777777">
        <w:tc>
          <w:tcPr>
            <w:tcW w:w="2342" w:type="pct"/>
            <w:tcBorders>
              <w:top w:val="single" w:sz="4" w:space="0" w:color="auto"/>
              <w:left w:val="single" w:sz="4" w:space="0" w:color="auto"/>
              <w:bottom w:val="single" w:sz="4" w:space="0" w:color="auto"/>
              <w:right w:val="single" w:sz="4" w:space="0" w:color="auto"/>
            </w:tcBorders>
          </w:tcPr>
          <w:p w14:paraId="7F9B71AE"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James et al, (2024); FDA (2022)</w:t>
            </w:r>
          </w:p>
        </w:tc>
        <w:tc>
          <w:tcPr>
            <w:tcW w:w="2658" w:type="pct"/>
            <w:tcBorders>
              <w:top w:val="single" w:sz="4" w:space="0" w:color="auto"/>
              <w:left w:val="single" w:sz="4" w:space="0" w:color="auto"/>
              <w:bottom w:val="single" w:sz="4" w:space="0" w:color="auto"/>
              <w:right w:val="single" w:sz="4" w:space="0" w:color="auto"/>
            </w:tcBorders>
          </w:tcPr>
          <w:p w14:paraId="09652AAF"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93.2%</w:t>
            </w:r>
            <w:r w:rsidRPr="00F10893">
              <w:rPr>
                <w:rFonts w:ascii="Arial Narrow" w:hAnsi="Arial Narrow"/>
                <w:sz w:val="20"/>
              </w:rPr>
              <w:t xml:space="preserve"> </w:t>
            </w:r>
          </w:p>
          <w:p w14:paraId="09232277"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(95% CI 89.4, 96.8)</w:t>
            </w:r>
          </w:p>
        </w:tc>
      </w:tr>
      <w:tr w:rsidR="005A7959" w:rsidRPr="00F10893" w14:paraId="3A41ACCA"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79AE9972"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Negative percent agreement (NPA)</w:t>
            </w:r>
          </w:p>
        </w:tc>
      </w:tr>
      <w:tr w:rsidR="005A7959" w:rsidRPr="00F10893" w14:paraId="4E8E9177" w14:textId="77777777">
        <w:tc>
          <w:tcPr>
            <w:tcW w:w="2342" w:type="pct"/>
            <w:tcBorders>
              <w:top w:val="single" w:sz="4" w:space="0" w:color="000000"/>
              <w:left w:val="single" w:sz="4" w:space="0" w:color="000000"/>
              <w:bottom w:val="single" w:sz="4" w:space="0" w:color="000000"/>
              <w:right w:val="single" w:sz="4" w:space="0" w:color="000000"/>
            </w:tcBorders>
          </w:tcPr>
          <w:p w14:paraId="048E9D53"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Submission (analysis of James et al, 2024)</w:t>
            </w:r>
          </w:p>
        </w:tc>
        <w:tc>
          <w:tcPr>
            <w:tcW w:w="2658" w:type="pct"/>
            <w:tcBorders>
              <w:top w:val="single" w:sz="4" w:space="0" w:color="000000"/>
              <w:left w:val="single" w:sz="4" w:space="0" w:color="000000"/>
              <w:bottom w:val="single" w:sz="4" w:space="0" w:color="000000"/>
              <w:right w:val="single" w:sz="4" w:space="0" w:color="000000"/>
            </w:tcBorders>
          </w:tcPr>
          <w:p w14:paraId="6E3627C1" w14:textId="77777777" w:rsidR="005A7959" w:rsidRPr="00F10893" w:rsidRDefault="005A7959" w:rsidP="00F02286">
            <w:pPr>
              <w:keepNext/>
              <w:keepLines/>
              <w:widowControl w:val="0"/>
              <w:tabs>
                <w:tab w:val="decimal" w:pos="396"/>
              </w:tabs>
              <w:spacing w:before="0" w:after="0"/>
              <w:jc w:val="center"/>
              <w:rPr>
                <w:rFonts w:ascii="Arial Narrow" w:hAnsi="Arial Narrow"/>
                <w:sz w:val="20"/>
                <w:szCs w:val="20"/>
              </w:rPr>
            </w:pPr>
            <w:r w:rsidRPr="00F10893">
              <w:rPr>
                <w:rFonts w:ascii="Arial Narrow" w:hAnsi="Arial Narrow"/>
                <w:sz w:val="20"/>
                <w:szCs w:val="20"/>
              </w:rPr>
              <w:t xml:space="preserve">98.0% </w:t>
            </w:r>
          </w:p>
          <w:p w14:paraId="2EA01691"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(95% CI 95.7, 99.1)</w:t>
            </w:r>
          </w:p>
        </w:tc>
      </w:tr>
      <w:tr w:rsidR="005A7959" w:rsidRPr="00F10893" w14:paraId="3561414C" w14:textId="77777777">
        <w:tc>
          <w:tcPr>
            <w:tcW w:w="2342" w:type="pct"/>
            <w:tcBorders>
              <w:top w:val="single" w:sz="4" w:space="0" w:color="000000"/>
              <w:left w:val="single" w:sz="4" w:space="0" w:color="000000"/>
              <w:bottom w:val="single" w:sz="4" w:space="0" w:color="000000"/>
              <w:right w:val="single" w:sz="4" w:space="0" w:color="000000"/>
            </w:tcBorders>
          </w:tcPr>
          <w:p w14:paraId="4E6F656F"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James et al, (2024); FDA (2022)</w:t>
            </w:r>
          </w:p>
        </w:tc>
        <w:tc>
          <w:tcPr>
            <w:tcW w:w="2658" w:type="pct"/>
            <w:tcBorders>
              <w:top w:val="single" w:sz="4" w:space="0" w:color="000000"/>
              <w:left w:val="single" w:sz="4" w:space="0" w:color="000000"/>
              <w:bottom w:val="single" w:sz="4" w:space="0" w:color="000000"/>
              <w:right w:val="single" w:sz="4" w:space="0" w:color="000000"/>
            </w:tcBorders>
          </w:tcPr>
          <w:p w14:paraId="2293400C"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93.4%</w:t>
            </w:r>
            <w:r w:rsidRPr="00F10893">
              <w:rPr>
                <w:rFonts w:ascii="Arial Narrow" w:hAnsi="Arial Narrow"/>
                <w:sz w:val="20"/>
              </w:rPr>
              <w:t xml:space="preserve"> </w:t>
            </w:r>
          </w:p>
          <w:p w14:paraId="060CD558"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szCs w:val="20"/>
              </w:rPr>
              <w:t>(95% CI 89.9, 96.8)</w:t>
            </w:r>
          </w:p>
        </w:tc>
      </w:tr>
      <w:tr w:rsidR="005A7959" w:rsidRPr="00F10893" w14:paraId="423C14F9"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6F12E084"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EOC biomarker prevalence estimate</w:t>
            </w:r>
          </w:p>
        </w:tc>
      </w:tr>
      <w:tr w:rsidR="005A7959" w:rsidRPr="00F10893" w14:paraId="3BA77A5D" w14:textId="77777777">
        <w:tc>
          <w:tcPr>
            <w:tcW w:w="2342" w:type="pct"/>
            <w:tcBorders>
              <w:top w:val="single" w:sz="4" w:space="0" w:color="000000"/>
              <w:left w:val="single" w:sz="4" w:space="0" w:color="000000"/>
              <w:bottom w:val="single" w:sz="4" w:space="0" w:color="000000"/>
              <w:right w:val="single" w:sz="4" w:space="0" w:color="000000"/>
            </w:tcBorders>
            <w:hideMark/>
          </w:tcPr>
          <w:p w14:paraId="15FD7963"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Submission (MIRV program)</w:t>
            </w:r>
            <w:r w:rsidRPr="00F10893">
              <w:rPr>
                <w:rFonts w:ascii="Arial Narrow" w:hAnsi="Arial Narrow"/>
                <w:sz w:val="20"/>
                <w:vertAlign w:val="superscript"/>
              </w:rPr>
              <w:t>a</w:t>
            </w:r>
          </w:p>
        </w:tc>
        <w:tc>
          <w:tcPr>
            <w:tcW w:w="2658" w:type="pct"/>
            <w:tcBorders>
              <w:top w:val="single" w:sz="4" w:space="0" w:color="000000"/>
              <w:left w:val="single" w:sz="4" w:space="0" w:color="000000"/>
              <w:bottom w:val="single" w:sz="4" w:space="0" w:color="000000"/>
              <w:right w:val="single" w:sz="4" w:space="0" w:color="000000"/>
            </w:tcBorders>
            <w:hideMark/>
          </w:tcPr>
          <w:p w14:paraId="38269824"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36% (NR)</w:t>
            </w:r>
          </w:p>
        </w:tc>
      </w:tr>
      <w:tr w:rsidR="005A7959" w:rsidRPr="00F10893" w14:paraId="74C18F84" w14:textId="77777777">
        <w:tc>
          <w:tcPr>
            <w:tcW w:w="2342" w:type="pct"/>
            <w:tcBorders>
              <w:top w:val="single" w:sz="4" w:space="0" w:color="000000"/>
              <w:left w:val="single" w:sz="4" w:space="0" w:color="000000"/>
              <w:bottom w:val="single" w:sz="4" w:space="0" w:color="000000"/>
              <w:right w:val="single" w:sz="4" w:space="0" w:color="000000"/>
            </w:tcBorders>
          </w:tcPr>
          <w:p w14:paraId="230E2119"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 xml:space="preserve">FDA (2022) </w:t>
            </w:r>
          </w:p>
        </w:tc>
        <w:tc>
          <w:tcPr>
            <w:tcW w:w="2658" w:type="pct"/>
            <w:tcBorders>
              <w:top w:val="single" w:sz="4" w:space="0" w:color="000000"/>
              <w:left w:val="single" w:sz="4" w:space="0" w:color="000000"/>
              <w:bottom w:val="single" w:sz="4" w:space="0" w:color="000000"/>
              <w:right w:val="single" w:sz="4" w:space="0" w:color="000000"/>
            </w:tcBorders>
          </w:tcPr>
          <w:p w14:paraId="7018715A"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28.75% (NR)</w:t>
            </w:r>
          </w:p>
        </w:tc>
      </w:tr>
      <w:tr w:rsidR="005A7959" w:rsidRPr="00F10893" w14:paraId="13D96614"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40ABA4AD"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[Estimated] Prevalence-adjusted PPV for use of the test in Australia</w:t>
            </w:r>
            <w:r w:rsidRPr="00F10893">
              <w:rPr>
                <w:rFonts w:ascii="Arial Narrow" w:hAnsi="Arial Narrow"/>
                <w:b/>
                <w:sz w:val="20"/>
                <w:vertAlign w:val="superscript"/>
              </w:rPr>
              <w:t>b</w:t>
            </w:r>
          </w:p>
        </w:tc>
      </w:tr>
      <w:tr w:rsidR="005A7959" w:rsidRPr="00F10893" w14:paraId="65C40878" w14:textId="77777777">
        <w:tc>
          <w:tcPr>
            <w:tcW w:w="2342" w:type="pct"/>
            <w:tcBorders>
              <w:top w:val="single" w:sz="4" w:space="0" w:color="000000"/>
              <w:left w:val="single" w:sz="4" w:space="0" w:color="000000"/>
              <w:bottom w:val="single" w:sz="4" w:space="0" w:color="000000"/>
              <w:right w:val="single" w:sz="4" w:space="0" w:color="000000"/>
            </w:tcBorders>
            <w:hideMark/>
          </w:tcPr>
          <w:p w14:paraId="162DCFF4"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Based on the submission</w:t>
            </w:r>
          </w:p>
        </w:tc>
        <w:tc>
          <w:tcPr>
            <w:tcW w:w="2658" w:type="pct"/>
            <w:tcBorders>
              <w:top w:val="single" w:sz="4" w:space="0" w:color="000000"/>
              <w:left w:val="single" w:sz="4" w:space="0" w:color="000000"/>
              <w:bottom w:val="single" w:sz="4" w:space="0" w:color="000000"/>
              <w:right w:val="single" w:sz="4" w:space="0" w:color="000000"/>
            </w:tcBorders>
            <w:hideMark/>
          </w:tcPr>
          <w:p w14:paraId="768F9070"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 xml:space="preserve">96.4% </w:t>
            </w:r>
          </w:p>
          <w:p w14:paraId="7CA51FDB"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(95% CI 94.6, 97.7)</w:t>
            </w:r>
          </w:p>
        </w:tc>
      </w:tr>
      <w:tr w:rsidR="005A7959" w:rsidRPr="00F10893" w14:paraId="1FE60E96" w14:textId="77777777">
        <w:tc>
          <w:tcPr>
            <w:tcW w:w="2342" w:type="pct"/>
            <w:tcBorders>
              <w:top w:val="single" w:sz="4" w:space="0" w:color="000000"/>
              <w:left w:val="single" w:sz="4" w:space="0" w:color="000000"/>
              <w:bottom w:val="single" w:sz="4" w:space="0" w:color="000000"/>
              <w:right w:val="single" w:sz="4" w:space="0" w:color="000000"/>
            </w:tcBorders>
          </w:tcPr>
          <w:p w14:paraId="2C85E3CC" w14:textId="77777777" w:rsidR="005A7959" w:rsidRPr="00F10893" w:rsidRDefault="005A7959" w:rsidP="00F02286">
            <w:pPr>
              <w:keepNext/>
              <w:keepLines/>
              <w:widowControl w:val="0"/>
              <w:spacing w:before="0" w:after="0"/>
              <w:jc w:val="left"/>
              <w:rPr>
                <w:rFonts w:ascii="Arial Narrow" w:hAnsi="Arial Narrow"/>
                <w:i/>
                <w:sz w:val="20"/>
              </w:rPr>
            </w:pPr>
            <w:r w:rsidRPr="00F10893">
              <w:rPr>
                <w:rFonts w:ascii="Arial Narrow" w:hAnsi="Arial Narrow"/>
                <w:i/>
                <w:sz w:val="20"/>
              </w:rPr>
              <w:t>Based on the evaluation</w:t>
            </w:r>
          </w:p>
        </w:tc>
        <w:tc>
          <w:tcPr>
            <w:tcW w:w="2658" w:type="pct"/>
            <w:tcBorders>
              <w:top w:val="single" w:sz="4" w:space="0" w:color="000000"/>
              <w:left w:val="single" w:sz="4" w:space="0" w:color="000000"/>
              <w:bottom w:val="single" w:sz="4" w:space="0" w:color="000000"/>
              <w:right w:val="single" w:sz="4" w:space="0" w:color="000000"/>
            </w:tcBorders>
          </w:tcPr>
          <w:p w14:paraId="2780DAC8"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 xml:space="preserve">85.1% </w:t>
            </w:r>
          </w:p>
          <w:p w14:paraId="1556040C"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w:t>
            </w:r>
            <w:r w:rsidRPr="00F10893">
              <w:rPr>
                <w:rFonts w:ascii="Arial Narrow" w:hAnsi="Arial Narrow"/>
                <w:sz w:val="20"/>
              </w:rPr>
              <w:t xml:space="preserve">95% CI </w:t>
            </w:r>
            <w:r w:rsidRPr="00F10893">
              <w:rPr>
                <w:rFonts w:ascii="Arial Narrow" w:hAnsi="Arial Narrow"/>
                <w:i/>
                <w:sz w:val="20"/>
              </w:rPr>
              <w:t>81.9, 87.8)</w:t>
            </w:r>
          </w:p>
        </w:tc>
      </w:tr>
      <w:tr w:rsidR="005A7959" w:rsidRPr="00F10893" w14:paraId="0941A8DE"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57CA5C3E"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[Estimated] Prevalence-adjusted NPV for use of the test in Australia</w:t>
            </w:r>
            <w:r w:rsidRPr="00F10893">
              <w:rPr>
                <w:rFonts w:ascii="Arial Narrow" w:hAnsi="Arial Narrow"/>
                <w:b/>
                <w:sz w:val="20"/>
                <w:vertAlign w:val="superscript"/>
              </w:rPr>
              <w:t>b</w:t>
            </w:r>
          </w:p>
        </w:tc>
      </w:tr>
      <w:tr w:rsidR="005A7959" w:rsidRPr="00F10893" w14:paraId="7983AF48" w14:textId="77777777">
        <w:tc>
          <w:tcPr>
            <w:tcW w:w="2342" w:type="pct"/>
            <w:tcBorders>
              <w:top w:val="single" w:sz="4" w:space="0" w:color="000000"/>
              <w:left w:val="single" w:sz="4" w:space="0" w:color="000000"/>
              <w:bottom w:val="single" w:sz="4" w:space="0" w:color="000000"/>
              <w:right w:val="single" w:sz="4" w:space="0" w:color="000000"/>
            </w:tcBorders>
            <w:hideMark/>
          </w:tcPr>
          <w:p w14:paraId="36F8072B"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Based on the submission</w:t>
            </w:r>
          </w:p>
        </w:tc>
        <w:tc>
          <w:tcPr>
            <w:tcW w:w="2658" w:type="pct"/>
            <w:tcBorders>
              <w:top w:val="single" w:sz="4" w:space="0" w:color="000000"/>
              <w:left w:val="single" w:sz="4" w:space="0" w:color="000000"/>
              <w:bottom w:val="single" w:sz="4" w:space="0" w:color="000000"/>
              <w:right w:val="single" w:sz="4" w:space="0" w:color="000000"/>
            </w:tcBorders>
            <w:hideMark/>
          </w:tcPr>
          <w:p w14:paraId="6437D123"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 xml:space="preserve">97.92% </w:t>
            </w:r>
          </w:p>
          <w:p w14:paraId="4C5F27B9"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(95% CI 97.2, 98.5)</w:t>
            </w:r>
          </w:p>
        </w:tc>
      </w:tr>
      <w:tr w:rsidR="005A7959" w:rsidRPr="00F10893" w14:paraId="1259F8B2" w14:textId="77777777">
        <w:tc>
          <w:tcPr>
            <w:tcW w:w="2342" w:type="pct"/>
            <w:tcBorders>
              <w:top w:val="single" w:sz="4" w:space="0" w:color="000000"/>
              <w:left w:val="single" w:sz="4" w:space="0" w:color="000000"/>
              <w:bottom w:val="single" w:sz="4" w:space="0" w:color="000000"/>
              <w:right w:val="single" w:sz="4" w:space="0" w:color="000000"/>
            </w:tcBorders>
          </w:tcPr>
          <w:p w14:paraId="4BE85D82" w14:textId="77777777" w:rsidR="005A7959" w:rsidRPr="00F10893" w:rsidRDefault="005A7959" w:rsidP="00F02286">
            <w:pPr>
              <w:keepNext/>
              <w:keepLines/>
              <w:widowControl w:val="0"/>
              <w:spacing w:before="0" w:after="0"/>
              <w:jc w:val="left"/>
              <w:rPr>
                <w:rFonts w:ascii="Arial Narrow" w:hAnsi="Arial Narrow"/>
                <w:i/>
                <w:sz w:val="20"/>
              </w:rPr>
            </w:pPr>
            <w:r w:rsidRPr="00F10893">
              <w:rPr>
                <w:rFonts w:ascii="Arial Narrow" w:hAnsi="Arial Narrow"/>
                <w:i/>
                <w:sz w:val="20"/>
              </w:rPr>
              <w:t>Based on the evaluation</w:t>
            </w:r>
          </w:p>
        </w:tc>
        <w:tc>
          <w:tcPr>
            <w:tcW w:w="2658" w:type="pct"/>
            <w:tcBorders>
              <w:top w:val="single" w:sz="4" w:space="0" w:color="000000"/>
              <w:left w:val="single" w:sz="4" w:space="0" w:color="000000"/>
              <w:bottom w:val="single" w:sz="4" w:space="0" w:color="000000"/>
              <w:right w:val="single" w:sz="4" w:space="0" w:color="000000"/>
            </w:tcBorders>
          </w:tcPr>
          <w:p w14:paraId="2C5823E9"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 xml:space="preserve">97.15% </w:t>
            </w:r>
          </w:p>
          <w:p w14:paraId="4C6679C3"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w:t>
            </w:r>
            <w:r w:rsidRPr="00F10893">
              <w:rPr>
                <w:rFonts w:ascii="Arial Narrow" w:hAnsi="Arial Narrow"/>
                <w:sz w:val="20"/>
              </w:rPr>
              <w:t xml:space="preserve">95% CI </w:t>
            </w:r>
            <w:r w:rsidRPr="00F10893">
              <w:rPr>
                <w:rFonts w:ascii="Arial Narrow" w:hAnsi="Arial Narrow"/>
                <w:i/>
                <w:sz w:val="20"/>
              </w:rPr>
              <w:t>96.4, 97.7)</w:t>
            </w:r>
          </w:p>
        </w:tc>
      </w:tr>
      <w:tr w:rsidR="005A7959" w:rsidRPr="00F10893" w14:paraId="2FFF505C"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20A689C0"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[Estimated] Number needed to test (NNT) to identify one positive patient in Australia</w:t>
            </w:r>
          </w:p>
        </w:tc>
      </w:tr>
      <w:tr w:rsidR="005A7959" w:rsidRPr="00F10893" w14:paraId="4EB893E0" w14:textId="77777777">
        <w:tc>
          <w:tcPr>
            <w:tcW w:w="2342" w:type="pct"/>
            <w:tcBorders>
              <w:top w:val="single" w:sz="4" w:space="0" w:color="000000"/>
              <w:left w:val="single" w:sz="4" w:space="0" w:color="000000"/>
              <w:bottom w:val="single" w:sz="4" w:space="0" w:color="000000"/>
              <w:right w:val="single" w:sz="4" w:space="0" w:color="000000"/>
            </w:tcBorders>
            <w:hideMark/>
          </w:tcPr>
          <w:p w14:paraId="70BAA971"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Based on the submission</w:t>
            </w:r>
          </w:p>
        </w:tc>
        <w:tc>
          <w:tcPr>
            <w:tcW w:w="2658" w:type="pct"/>
            <w:tcBorders>
              <w:top w:val="single" w:sz="4" w:space="0" w:color="000000"/>
              <w:left w:val="single" w:sz="4" w:space="0" w:color="000000"/>
              <w:bottom w:val="single" w:sz="4" w:space="0" w:color="000000"/>
              <w:right w:val="single" w:sz="4" w:space="0" w:color="000000"/>
            </w:tcBorders>
            <w:hideMark/>
          </w:tcPr>
          <w:p w14:paraId="440353F4"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1.06 patients</w:t>
            </w:r>
          </w:p>
        </w:tc>
      </w:tr>
      <w:tr w:rsidR="005A7959" w:rsidRPr="00F10893" w14:paraId="275B317E" w14:textId="77777777">
        <w:tc>
          <w:tcPr>
            <w:tcW w:w="2342" w:type="pct"/>
            <w:tcBorders>
              <w:top w:val="single" w:sz="4" w:space="0" w:color="000000"/>
              <w:left w:val="single" w:sz="4" w:space="0" w:color="000000"/>
              <w:bottom w:val="single" w:sz="4" w:space="0" w:color="000000"/>
              <w:right w:val="single" w:sz="4" w:space="0" w:color="000000"/>
            </w:tcBorders>
          </w:tcPr>
          <w:p w14:paraId="1A0DE938" w14:textId="77777777" w:rsidR="005A7959" w:rsidRPr="00F10893" w:rsidRDefault="005A7959" w:rsidP="00F02286">
            <w:pPr>
              <w:keepNext/>
              <w:keepLines/>
              <w:widowControl w:val="0"/>
              <w:spacing w:before="0" w:after="0"/>
              <w:jc w:val="left"/>
              <w:rPr>
                <w:rFonts w:ascii="Arial Narrow" w:hAnsi="Arial Narrow"/>
                <w:i/>
                <w:sz w:val="20"/>
              </w:rPr>
            </w:pPr>
            <w:r w:rsidRPr="00F10893">
              <w:rPr>
                <w:rFonts w:ascii="Arial Narrow" w:hAnsi="Arial Narrow"/>
                <w:i/>
                <w:sz w:val="20"/>
              </w:rPr>
              <w:t>Based on the evaluation</w:t>
            </w:r>
          </w:p>
        </w:tc>
        <w:tc>
          <w:tcPr>
            <w:tcW w:w="2658" w:type="pct"/>
            <w:tcBorders>
              <w:top w:val="single" w:sz="4" w:space="0" w:color="000000"/>
              <w:left w:val="single" w:sz="4" w:space="0" w:color="000000"/>
              <w:bottom w:val="single" w:sz="4" w:space="0" w:color="000000"/>
              <w:right w:val="single" w:sz="4" w:space="0" w:color="000000"/>
            </w:tcBorders>
          </w:tcPr>
          <w:p w14:paraId="22B8D1F4"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1.22 patients</w:t>
            </w:r>
          </w:p>
        </w:tc>
      </w:tr>
      <w:tr w:rsidR="005A7959" w:rsidRPr="00F10893" w14:paraId="727354E1" w14:textId="77777777">
        <w:tc>
          <w:tcPr>
            <w:tcW w:w="5000" w:type="pct"/>
            <w:gridSpan w:val="2"/>
            <w:tcBorders>
              <w:top w:val="single" w:sz="4" w:space="0" w:color="000000"/>
              <w:left w:val="single" w:sz="4" w:space="0" w:color="000000"/>
              <w:bottom w:val="single" w:sz="4" w:space="0" w:color="000000"/>
              <w:right w:val="single" w:sz="4" w:space="0" w:color="000000"/>
            </w:tcBorders>
            <w:hideMark/>
          </w:tcPr>
          <w:p w14:paraId="70867CEC" w14:textId="77777777" w:rsidR="005A7959" w:rsidRPr="00F10893" w:rsidRDefault="005A7959" w:rsidP="00F02286">
            <w:pPr>
              <w:keepNext/>
              <w:keepLines/>
              <w:widowControl w:val="0"/>
              <w:spacing w:before="0" w:after="0"/>
              <w:jc w:val="left"/>
              <w:rPr>
                <w:rFonts w:ascii="Arial Narrow" w:hAnsi="Arial Narrow"/>
                <w:b/>
                <w:sz w:val="20"/>
              </w:rPr>
            </w:pPr>
            <w:r w:rsidRPr="00F10893">
              <w:rPr>
                <w:rFonts w:ascii="Arial Narrow" w:hAnsi="Arial Narrow"/>
                <w:b/>
                <w:sz w:val="20"/>
              </w:rPr>
              <w:t>[Estimated] Number needed to misdiagnose (NNM) one patient in Australia</w:t>
            </w:r>
          </w:p>
        </w:tc>
      </w:tr>
      <w:tr w:rsidR="005A7959" w:rsidRPr="00F10893" w14:paraId="0BCD77F7" w14:textId="77777777">
        <w:tc>
          <w:tcPr>
            <w:tcW w:w="2342" w:type="pct"/>
            <w:tcBorders>
              <w:top w:val="single" w:sz="4" w:space="0" w:color="000000"/>
              <w:left w:val="single" w:sz="4" w:space="0" w:color="000000"/>
              <w:bottom w:val="single" w:sz="4" w:space="0" w:color="000000"/>
              <w:right w:val="single" w:sz="4" w:space="0" w:color="000000"/>
            </w:tcBorders>
            <w:hideMark/>
          </w:tcPr>
          <w:p w14:paraId="4D8C3259" w14:textId="77777777" w:rsidR="005A7959" w:rsidRPr="00F10893" w:rsidRDefault="005A7959" w:rsidP="00F02286">
            <w:pPr>
              <w:keepNext/>
              <w:keepLines/>
              <w:widowControl w:val="0"/>
              <w:spacing w:before="0" w:after="0"/>
              <w:jc w:val="left"/>
              <w:rPr>
                <w:rFonts w:ascii="Arial Narrow" w:hAnsi="Arial Narrow"/>
                <w:sz w:val="20"/>
              </w:rPr>
            </w:pPr>
            <w:r w:rsidRPr="00F10893">
              <w:rPr>
                <w:rFonts w:ascii="Arial Narrow" w:hAnsi="Arial Narrow"/>
                <w:sz w:val="20"/>
              </w:rPr>
              <w:t>Based on the submission</w:t>
            </w:r>
          </w:p>
        </w:tc>
        <w:tc>
          <w:tcPr>
            <w:tcW w:w="2658" w:type="pct"/>
            <w:tcBorders>
              <w:top w:val="single" w:sz="4" w:space="0" w:color="000000"/>
              <w:left w:val="single" w:sz="4" w:space="0" w:color="000000"/>
              <w:bottom w:val="single" w:sz="4" w:space="0" w:color="000000"/>
              <w:right w:val="single" w:sz="4" w:space="0" w:color="000000"/>
            </w:tcBorders>
            <w:hideMark/>
          </w:tcPr>
          <w:p w14:paraId="16746EDB" w14:textId="77777777" w:rsidR="005A7959" w:rsidRPr="00F10893" w:rsidRDefault="005A7959" w:rsidP="00F02286">
            <w:pPr>
              <w:keepNext/>
              <w:keepLines/>
              <w:widowControl w:val="0"/>
              <w:tabs>
                <w:tab w:val="decimal" w:pos="396"/>
              </w:tabs>
              <w:spacing w:before="0" w:after="0"/>
              <w:jc w:val="center"/>
              <w:rPr>
                <w:rFonts w:ascii="Arial Narrow" w:hAnsi="Arial Narrow"/>
                <w:sz w:val="20"/>
              </w:rPr>
            </w:pPr>
            <w:r w:rsidRPr="00F10893">
              <w:rPr>
                <w:rFonts w:ascii="Arial Narrow" w:hAnsi="Arial Narrow"/>
                <w:sz w:val="20"/>
              </w:rPr>
              <w:t>38.28 patients</w:t>
            </w:r>
          </w:p>
        </w:tc>
      </w:tr>
      <w:tr w:rsidR="005A7959" w:rsidRPr="00F10893" w14:paraId="6681D276" w14:textId="77777777">
        <w:tc>
          <w:tcPr>
            <w:tcW w:w="2342" w:type="pct"/>
            <w:tcBorders>
              <w:top w:val="single" w:sz="4" w:space="0" w:color="000000"/>
              <w:left w:val="single" w:sz="4" w:space="0" w:color="000000"/>
              <w:bottom w:val="single" w:sz="4" w:space="0" w:color="000000"/>
              <w:right w:val="single" w:sz="4" w:space="0" w:color="000000"/>
            </w:tcBorders>
          </w:tcPr>
          <w:p w14:paraId="647FFF3E" w14:textId="77777777" w:rsidR="005A7959" w:rsidRPr="00F10893" w:rsidRDefault="005A7959" w:rsidP="00F02286">
            <w:pPr>
              <w:keepNext/>
              <w:keepLines/>
              <w:widowControl w:val="0"/>
              <w:spacing w:before="0" w:after="0"/>
              <w:jc w:val="left"/>
              <w:rPr>
                <w:rFonts w:ascii="Arial Narrow" w:hAnsi="Arial Narrow"/>
                <w:i/>
                <w:sz w:val="20"/>
              </w:rPr>
            </w:pPr>
            <w:r w:rsidRPr="00F10893">
              <w:rPr>
                <w:rFonts w:ascii="Arial Narrow" w:hAnsi="Arial Narrow"/>
                <w:i/>
                <w:sz w:val="20"/>
              </w:rPr>
              <w:t>Based on the evaluation</w:t>
            </w:r>
          </w:p>
        </w:tc>
        <w:tc>
          <w:tcPr>
            <w:tcW w:w="2658" w:type="pct"/>
            <w:tcBorders>
              <w:top w:val="single" w:sz="4" w:space="0" w:color="000000"/>
              <w:left w:val="single" w:sz="4" w:space="0" w:color="000000"/>
              <w:bottom w:val="single" w:sz="4" w:space="0" w:color="000000"/>
              <w:right w:val="single" w:sz="4" w:space="0" w:color="000000"/>
            </w:tcBorders>
          </w:tcPr>
          <w:p w14:paraId="1D6FD66D" w14:textId="77777777" w:rsidR="005A7959" w:rsidRPr="00F10893" w:rsidRDefault="005A7959" w:rsidP="00F02286">
            <w:pPr>
              <w:keepNext/>
              <w:keepLines/>
              <w:widowControl w:val="0"/>
              <w:tabs>
                <w:tab w:val="decimal" w:pos="396"/>
              </w:tabs>
              <w:spacing w:before="0" w:after="0"/>
              <w:jc w:val="center"/>
              <w:rPr>
                <w:rFonts w:ascii="Arial Narrow" w:hAnsi="Arial Narrow"/>
                <w:i/>
                <w:sz w:val="20"/>
              </w:rPr>
            </w:pPr>
            <w:r w:rsidRPr="00F10893">
              <w:rPr>
                <w:rFonts w:ascii="Arial Narrow" w:hAnsi="Arial Narrow"/>
                <w:i/>
                <w:sz w:val="20"/>
              </w:rPr>
              <w:t>15.02 patients</w:t>
            </w:r>
          </w:p>
        </w:tc>
      </w:tr>
    </w:tbl>
    <w:p w14:paraId="1D73E1EB" w14:textId="77777777" w:rsidR="005A7959" w:rsidRPr="00F10893" w:rsidRDefault="005A7959" w:rsidP="00F02286">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compiled during the evaluation.</w:t>
      </w:r>
    </w:p>
    <w:p w14:paraId="01AEC12D" w14:textId="77777777" w:rsidR="005A7959" w:rsidRPr="00F10893" w:rsidRDefault="005A7959" w:rsidP="00F02286">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CI= confidence interval; EOC=epithelial ovarian cancer; FDA= Food and Drug Administration; NPV= negative predictive value; NR: not reported; PPV= positive predictive value. </w:t>
      </w:r>
    </w:p>
    <w:p w14:paraId="283595CB" w14:textId="77777777" w:rsidR="005A7959" w:rsidRPr="00F10893" w:rsidRDefault="005A7959" w:rsidP="00F02286">
      <w:pPr>
        <w:keepNext/>
        <w:keepLines/>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a The submission cites MIRV study publications Moore et al, 2023; Matulonis et al 2023 for this value. </w:t>
      </w:r>
    </w:p>
    <w:p w14:paraId="2AC05A4D" w14:textId="77777777" w:rsidR="005A7959" w:rsidRPr="00F10893" w:rsidRDefault="005A7959" w:rsidP="00F02286">
      <w:pPr>
        <w:keepNext/>
        <w:keepLines/>
        <w:widowControl w:val="0"/>
        <w:spacing w:before="0" w:after="0"/>
        <w:contextualSpacing/>
        <w:rPr>
          <w:rFonts w:ascii="Arial Narrow" w:eastAsia="Times New Roman" w:hAnsi="Arial Narrow" w:cs="Arial"/>
          <w:i/>
          <w:iCs/>
          <w:snapToGrid w:val="0"/>
          <w:sz w:val="18"/>
          <w:szCs w:val="20"/>
        </w:rPr>
      </w:pPr>
      <w:r w:rsidRPr="00F10893">
        <w:rPr>
          <w:rFonts w:ascii="Arial Narrow" w:eastAsia="Times New Roman" w:hAnsi="Arial Narrow" w:cs="Arial"/>
          <w:i/>
          <w:iCs/>
          <w:snapToGrid w:val="0"/>
          <w:sz w:val="18"/>
          <w:szCs w:val="20"/>
        </w:rPr>
        <w:t>b CIs have been derived</w:t>
      </w:r>
      <w:r w:rsidRPr="00F10893">
        <w:rPr>
          <w:rFonts w:ascii="Arial Narrow" w:eastAsia="Times New Roman" w:hAnsi="Arial Narrow" w:cs="Arial"/>
          <w:i/>
          <w:snapToGrid w:val="0"/>
          <w:sz w:val="18"/>
          <w:szCs w:val="20"/>
        </w:rPr>
        <w:t xml:space="preserve"> </w:t>
      </w:r>
      <w:r w:rsidRPr="00F10893">
        <w:rPr>
          <w:rFonts w:ascii="Arial Narrow" w:eastAsia="Times New Roman" w:hAnsi="Arial Narrow" w:cs="Arial"/>
          <w:i/>
          <w:iCs/>
          <w:snapToGrid w:val="0"/>
          <w:sz w:val="18"/>
          <w:szCs w:val="20"/>
        </w:rPr>
        <w:t>during the evaluation using the percentages without a true sample size for PPV and NPV.</w:t>
      </w:r>
    </w:p>
    <w:p w14:paraId="48E278E0" w14:textId="46A85F86" w:rsidR="005A7959" w:rsidRPr="00F02286" w:rsidRDefault="005A7959" w:rsidP="00F02286">
      <w:pPr>
        <w:widowControl w:val="0"/>
        <w:spacing w:before="0" w:after="0"/>
        <w:contextualSpacing/>
        <w:rPr>
          <w:rFonts w:ascii="Arial Narrow" w:eastAsia="Times New Roman" w:hAnsi="Arial Narrow" w:cs="Arial"/>
          <w:i/>
          <w:iCs/>
          <w:snapToGrid w:val="0"/>
          <w:sz w:val="18"/>
          <w:szCs w:val="20"/>
        </w:rPr>
      </w:pPr>
      <w:r w:rsidRPr="00F10893">
        <w:rPr>
          <w:rFonts w:ascii="Arial Narrow" w:eastAsia="Times New Roman" w:hAnsi="Arial Narrow" w:cs="Arial"/>
          <w:i/>
          <w:iCs/>
          <w:snapToGrid w:val="0"/>
          <w:sz w:val="18"/>
          <w:szCs w:val="20"/>
        </w:rPr>
        <w:t xml:space="preserve">All ‘[estimated]’ values were calculated during the evaluation. Values calculated ‘based on the evaluation’ (i.e. using revised PPA, NPA and prevalence figures) are in italics. </w:t>
      </w:r>
    </w:p>
    <w:p w14:paraId="334407B6" w14:textId="6E096CCD" w:rsidR="005A7959" w:rsidRPr="009F0454" w:rsidRDefault="005A7959" w:rsidP="005A7959">
      <w:pPr>
        <w:rPr>
          <w:rFonts w:ascii="Franklin Gothic Book" w:hAnsi="Franklin Gothic Book"/>
          <w:sz w:val="22"/>
          <w:szCs w:val="20"/>
        </w:rPr>
      </w:pPr>
      <w:r w:rsidRPr="009F0454">
        <w:rPr>
          <w:rFonts w:ascii="Franklin Gothic Book" w:hAnsi="Franklin Gothic Book"/>
          <w:sz w:val="22"/>
          <w:szCs w:val="20"/>
        </w:rPr>
        <w:t xml:space="preserve">The submission presented test performance information for the clinical utility standard, the Ventana FOLR1 assay. One key study by James et al, (2024) presented a summary of the clinical utility standard assay development, which was supported by the evaluation report for the test from the FDA (FDA, 2022) (which also included a small amount of additional unpublished data). The study by James et al, (2024) and the FDA evaluation (FDA, 2022) described a concordance study which reported percent agreement based on pairwise comparison among three pathologists which was the source of test performance outcomes.  </w:t>
      </w:r>
    </w:p>
    <w:p w14:paraId="53E89EE4" w14:textId="714CCF4A" w:rsidR="005A7959" w:rsidRPr="009F0454" w:rsidRDefault="005A7959" w:rsidP="005A7959">
      <w:pPr>
        <w:rPr>
          <w:rFonts w:ascii="Franklin Gothic Book" w:hAnsi="Franklin Gothic Book"/>
          <w:sz w:val="22"/>
          <w:szCs w:val="20"/>
        </w:rPr>
      </w:pPr>
      <w:r w:rsidRPr="009F0454">
        <w:rPr>
          <w:rFonts w:ascii="Franklin Gothic Book" w:hAnsi="Franklin Gothic Book"/>
          <w:sz w:val="22"/>
          <w:szCs w:val="20"/>
        </w:rPr>
        <w:t>The submission presented different values for PPA and NPA compared to James et al, (2024) (also cited in the FDA evaluation report).</w:t>
      </w:r>
      <w:r w:rsidRPr="009757D3">
        <w:rPr>
          <w:rFonts w:ascii="Franklin Gothic Book" w:hAnsi="Franklin Gothic Book"/>
          <w:sz w:val="22"/>
          <w:szCs w:val="20"/>
        </w:rPr>
        <w:t xml:space="preserve"> </w:t>
      </w:r>
      <w:r w:rsidRPr="009F0454">
        <w:rPr>
          <w:rFonts w:ascii="Franklin Gothic Book" w:hAnsi="Franklin Gothic Book"/>
          <w:sz w:val="22"/>
          <w:szCs w:val="20"/>
        </w:rPr>
        <w:t>The PPA and NPA values used in the evaluation were taken from the latter (see</w:t>
      </w:r>
      <w:r w:rsidR="008665EF">
        <w:rPr>
          <w:rFonts w:ascii="Franklin Gothic Book" w:hAnsi="Franklin Gothic Book"/>
          <w:sz w:val="22"/>
          <w:szCs w:val="20"/>
        </w:rPr>
        <w:t xml:space="preserve"> </w:t>
      </w:r>
      <w:r w:rsidR="008665EF">
        <w:rPr>
          <w:rFonts w:ascii="Franklin Gothic Book" w:hAnsi="Franklin Gothic Book"/>
          <w:sz w:val="22"/>
          <w:szCs w:val="20"/>
        </w:rPr>
        <w:fldChar w:fldCharType="begin"/>
      </w:r>
      <w:r w:rsidR="008665EF">
        <w:rPr>
          <w:rFonts w:ascii="Franklin Gothic Book" w:hAnsi="Franklin Gothic Book"/>
          <w:sz w:val="22"/>
          <w:szCs w:val="20"/>
        </w:rPr>
        <w:instrText xml:space="preserve"> REF _Ref198566265 \h </w:instrText>
      </w:r>
      <w:r w:rsidR="009757D3">
        <w:rPr>
          <w:rFonts w:ascii="Franklin Gothic Book" w:hAnsi="Franklin Gothic Book"/>
          <w:sz w:val="22"/>
          <w:szCs w:val="20"/>
        </w:rPr>
        <w:instrText xml:space="preserve"> \* MERGEFORMAT </w:instrText>
      </w:r>
      <w:r w:rsidR="008665EF">
        <w:rPr>
          <w:rFonts w:ascii="Franklin Gothic Book" w:hAnsi="Franklin Gothic Book"/>
          <w:sz w:val="22"/>
          <w:szCs w:val="20"/>
        </w:rPr>
      </w:r>
      <w:r w:rsidR="008665EF">
        <w:rPr>
          <w:rFonts w:ascii="Franklin Gothic Book" w:hAnsi="Franklin Gothic Book"/>
          <w:sz w:val="22"/>
          <w:szCs w:val="20"/>
        </w:rPr>
        <w:fldChar w:fldCharType="separate"/>
      </w:r>
      <w:r w:rsidR="008665EF" w:rsidRPr="009757D3">
        <w:rPr>
          <w:rFonts w:ascii="Franklin Gothic Book" w:hAnsi="Franklin Gothic Book"/>
          <w:sz w:val="22"/>
          <w:szCs w:val="20"/>
        </w:rPr>
        <w:t>Table 13</w:t>
      </w:r>
      <w:r w:rsidR="008665EF">
        <w:rPr>
          <w:rFonts w:ascii="Franklin Gothic Book" w:hAnsi="Franklin Gothic Book"/>
          <w:sz w:val="22"/>
          <w:szCs w:val="20"/>
        </w:rPr>
        <w:fldChar w:fldCharType="end"/>
      </w:r>
      <w:r w:rsidR="00DB6EE6" w:rsidRPr="009F0454">
        <w:rPr>
          <w:rFonts w:ascii="Franklin Gothic Book" w:hAnsi="Franklin Gothic Book"/>
          <w:sz w:val="22"/>
          <w:szCs w:val="20"/>
        </w:rPr>
        <w:t xml:space="preserve"> </w:t>
      </w:r>
      <w:r w:rsidR="00DB6EE6" w:rsidRPr="009F0454">
        <w:rPr>
          <w:rFonts w:ascii="Franklin Gothic Book" w:hAnsi="Franklin Gothic Book"/>
          <w:sz w:val="22"/>
          <w:szCs w:val="20"/>
        </w:rPr>
        <w:fldChar w:fldCharType="begin"/>
      </w:r>
      <w:r w:rsidR="00DB6EE6" w:rsidRPr="009F0454">
        <w:rPr>
          <w:rFonts w:ascii="Franklin Gothic Book" w:hAnsi="Franklin Gothic Book"/>
          <w:sz w:val="22"/>
          <w:szCs w:val="20"/>
        </w:rPr>
        <w:instrText xml:space="preserve"> REF _Ref198566265 \h </w:instrText>
      </w:r>
      <w:r w:rsidR="009F0454" w:rsidRPr="009F0454">
        <w:rPr>
          <w:rFonts w:ascii="Franklin Gothic Book" w:hAnsi="Franklin Gothic Book"/>
          <w:sz w:val="22"/>
          <w:szCs w:val="20"/>
        </w:rPr>
        <w:instrText xml:space="preserve"> \* MERGEFORMAT </w:instrText>
      </w:r>
      <w:r w:rsidR="00DB6EE6" w:rsidRPr="009F0454">
        <w:rPr>
          <w:rFonts w:ascii="Franklin Gothic Book" w:hAnsi="Franklin Gothic Book"/>
          <w:sz w:val="22"/>
          <w:szCs w:val="20"/>
        </w:rPr>
      </w:r>
      <w:r w:rsidR="00DB6EE6" w:rsidRPr="009F0454">
        <w:rPr>
          <w:rFonts w:ascii="Franklin Gothic Book" w:hAnsi="Franklin Gothic Book"/>
          <w:sz w:val="22"/>
          <w:szCs w:val="20"/>
        </w:rPr>
        <w:fldChar w:fldCharType="separate"/>
      </w:r>
      <w:r w:rsidR="00DB6EE6" w:rsidRPr="009F0454">
        <w:rPr>
          <w:rFonts w:ascii="Franklin Gothic Book" w:hAnsi="Franklin Gothic Book"/>
          <w:sz w:val="22"/>
          <w:szCs w:val="20"/>
        </w:rPr>
        <w:fldChar w:fldCharType="end"/>
      </w:r>
      <w:r w:rsidRPr="009F0454">
        <w:rPr>
          <w:rFonts w:ascii="Franklin Gothic Book" w:hAnsi="Franklin Gothic Book"/>
          <w:sz w:val="22"/>
          <w:szCs w:val="20"/>
        </w:rPr>
        <w:t>).</w:t>
      </w:r>
    </w:p>
    <w:p w14:paraId="7E749874" w14:textId="62D8BAD1" w:rsidR="00264B61" w:rsidRPr="009F0454" w:rsidRDefault="00264B61" w:rsidP="00B42662">
      <w:pPr>
        <w:rPr>
          <w:rFonts w:ascii="Franklin Gothic Book" w:hAnsi="Franklin Gothic Book"/>
          <w:sz w:val="22"/>
          <w:szCs w:val="20"/>
        </w:rPr>
      </w:pPr>
      <w:r w:rsidRPr="009F0454">
        <w:rPr>
          <w:rFonts w:ascii="Franklin Gothic Book" w:hAnsi="Franklin Gothic Book"/>
          <w:sz w:val="22"/>
          <w:szCs w:val="20"/>
        </w:rPr>
        <w:t xml:space="preserve">The submission did not adequately consider test performance with regard to false positives or false negatives. </w:t>
      </w:r>
      <w:r w:rsidR="00060AED" w:rsidRPr="009F0454">
        <w:rPr>
          <w:rFonts w:ascii="Franklin Gothic Book" w:hAnsi="Franklin Gothic Book"/>
          <w:sz w:val="22"/>
          <w:szCs w:val="20"/>
        </w:rPr>
        <w:t>The commentary considered that b</w:t>
      </w:r>
      <w:r w:rsidRPr="009F0454">
        <w:rPr>
          <w:rFonts w:ascii="Franklin Gothic Book" w:hAnsi="Franklin Gothic Book"/>
          <w:sz w:val="22"/>
          <w:szCs w:val="20"/>
        </w:rPr>
        <w:t xml:space="preserve">ased on the prevalence-adjusted PPV </w:t>
      </w:r>
      <w:r w:rsidR="0014434E" w:rsidRPr="009F0454">
        <w:rPr>
          <w:rFonts w:ascii="Franklin Gothic Book" w:hAnsi="Franklin Gothic Book"/>
          <w:sz w:val="22"/>
          <w:szCs w:val="20"/>
        </w:rPr>
        <w:t>and</w:t>
      </w:r>
      <w:r w:rsidRPr="009F0454">
        <w:rPr>
          <w:rFonts w:ascii="Franklin Gothic Book" w:hAnsi="Franklin Gothic Book"/>
          <w:sz w:val="22"/>
          <w:szCs w:val="20"/>
        </w:rPr>
        <w:t xml:space="preserve"> NPV calculated during the </w:t>
      </w:r>
      <w:r w:rsidRPr="009757D3">
        <w:rPr>
          <w:rFonts w:ascii="Franklin Gothic Book" w:hAnsi="Franklin Gothic Book"/>
          <w:sz w:val="22"/>
          <w:szCs w:val="20"/>
        </w:rPr>
        <w:t>evaluation</w:t>
      </w:r>
      <w:r w:rsidR="008665EF" w:rsidRPr="009757D3">
        <w:rPr>
          <w:rFonts w:ascii="Franklin Gothic Book" w:hAnsi="Franklin Gothic Book"/>
          <w:sz w:val="22"/>
          <w:szCs w:val="20"/>
        </w:rPr>
        <w:t xml:space="preserve"> </w:t>
      </w:r>
      <w:r w:rsidRPr="009757D3" w:rsidDel="00946F0D">
        <w:rPr>
          <w:rFonts w:ascii="Franklin Gothic Book" w:hAnsi="Franklin Gothic Book"/>
          <w:sz w:val="22"/>
          <w:szCs w:val="20"/>
        </w:rPr>
        <w:t>(</w:t>
      </w:r>
      <w:r w:rsidR="00A46680" w:rsidRPr="009757D3" w:rsidDel="00946F0D">
        <w:rPr>
          <w:rFonts w:ascii="Franklin Gothic Book" w:hAnsi="Franklin Gothic Book"/>
          <w:sz w:val="22"/>
          <w:szCs w:val="20"/>
        </w:rPr>
        <w:fldChar w:fldCharType="begin"/>
      </w:r>
      <w:r w:rsidR="00A46680" w:rsidRPr="009757D3" w:rsidDel="00946F0D">
        <w:rPr>
          <w:rFonts w:ascii="Franklin Gothic Book" w:hAnsi="Franklin Gothic Book"/>
          <w:sz w:val="22"/>
          <w:szCs w:val="20"/>
        </w:rPr>
        <w:fldChar w:fldCharType="separate"/>
      </w:r>
      <w:r w:rsidR="0068665D" w:rsidRPr="009757D3" w:rsidDel="00946F0D">
        <w:rPr>
          <w:rFonts w:ascii="Franklin Gothic Book" w:hAnsi="Franklin Gothic Book"/>
          <w:sz w:val="22"/>
          <w:szCs w:val="20"/>
        </w:rPr>
        <w:t xml:space="preserve">Table </w:t>
      </w:r>
      <w:r w:rsidR="00946F0D" w:rsidRPr="009757D3">
        <w:rPr>
          <w:rFonts w:ascii="Franklin Gothic Book" w:hAnsi="Franklin Gothic Book"/>
          <w:sz w:val="22"/>
          <w:szCs w:val="20"/>
        </w:rPr>
        <w:t>13</w:t>
      </w:r>
      <w:r w:rsidR="00A46680" w:rsidRPr="009757D3" w:rsidDel="00946F0D">
        <w:rPr>
          <w:rFonts w:ascii="Franklin Gothic Book" w:hAnsi="Franklin Gothic Book"/>
          <w:sz w:val="22"/>
          <w:szCs w:val="20"/>
        </w:rPr>
        <w:fldChar w:fldCharType="end"/>
      </w:r>
      <w:r w:rsidR="00946F0D" w:rsidRPr="009757D3">
        <w:rPr>
          <w:rFonts w:ascii="Franklin Gothic Book" w:hAnsi="Franklin Gothic Book"/>
          <w:sz w:val="22"/>
          <w:szCs w:val="20"/>
        </w:rPr>
        <w:fldChar w:fldCharType="begin"/>
      </w:r>
      <w:r w:rsidR="00946F0D" w:rsidRPr="009757D3">
        <w:rPr>
          <w:rFonts w:ascii="Franklin Gothic Book" w:hAnsi="Franklin Gothic Book"/>
          <w:sz w:val="22"/>
          <w:szCs w:val="20"/>
        </w:rPr>
        <w:instrText xml:space="preserve"> REF _Ref198566265 \h </w:instrText>
      </w:r>
      <w:r w:rsidR="009757D3">
        <w:rPr>
          <w:rFonts w:ascii="Franklin Gothic Book" w:hAnsi="Franklin Gothic Book"/>
          <w:sz w:val="22"/>
          <w:szCs w:val="20"/>
        </w:rPr>
        <w:instrText xml:space="preserve"> \* MERGEFORMAT </w:instrText>
      </w:r>
      <w:r w:rsidR="00946F0D" w:rsidRPr="009757D3">
        <w:rPr>
          <w:rFonts w:ascii="Franklin Gothic Book" w:hAnsi="Franklin Gothic Book"/>
          <w:sz w:val="22"/>
          <w:szCs w:val="20"/>
        </w:rPr>
      </w:r>
      <w:r w:rsidR="00946F0D" w:rsidRPr="009757D3">
        <w:rPr>
          <w:rFonts w:ascii="Franklin Gothic Book" w:hAnsi="Franklin Gothic Book"/>
          <w:sz w:val="22"/>
          <w:szCs w:val="20"/>
        </w:rPr>
        <w:fldChar w:fldCharType="separate"/>
      </w:r>
      <w:r w:rsidR="00946F0D" w:rsidRPr="009757D3">
        <w:rPr>
          <w:rFonts w:ascii="Franklin Gothic Book" w:hAnsi="Franklin Gothic Book"/>
          <w:sz w:val="22"/>
          <w:szCs w:val="20"/>
        </w:rPr>
        <w:t>Table 13</w:t>
      </w:r>
      <w:r w:rsidR="00946F0D" w:rsidRPr="009757D3">
        <w:rPr>
          <w:rFonts w:ascii="Franklin Gothic Book" w:hAnsi="Franklin Gothic Book"/>
          <w:sz w:val="22"/>
          <w:szCs w:val="20"/>
        </w:rPr>
        <w:fldChar w:fldCharType="end"/>
      </w:r>
      <w:r w:rsidRPr="009757D3">
        <w:rPr>
          <w:rFonts w:ascii="Franklin Gothic Book" w:hAnsi="Franklin Gothic Book"/>
          <w:sz w:val="22"/>
          <w:szCs w:val="20"/>
        </w:rPr>
        <w:t>) and assuming that the Ventana FOLR1 assay performs in Australia</w:t>
      </w:r>
      <w:r w:rsidRPr="009F0454">
        <w:rPr>
          <w:rFonts w:ascii="Franklin Gothic Book" w:hAnsi="Franklin Gothic Book"/>
          <w:sz w:val="22"/>
          <w:szCs w:val="20"/>
        </w:rPr>
        <w:t xml:space="preserve"> the same as in the MIRV clinical program, testing of the target population in Australia would result in</w:t>
      </w:r>
      <w:r w:rsidR="00311040" w:rsidRPr="009F0454">
        <w:rPr>
          <w:rFonts w:ascii="Franklin Gothic Book" w:hAnsi="Franklin Gothic Book"/>
          <w:sz w:val="22"/>
          <w:szCs w:val="20"/>
        </w:rPr>
        <w:t xml:space="preserve"> a</w:t>
      </w:r>
      <w:r w:rsidRPr="009F0454">
        <w:rPr>
          <w:rFonts w:ascii="Franklin Gothic Book" w:hAnsi="Franklin Gothic Book"/>
          <w:sz w:val="22"/>
          <w:szCs w:val="20"/>
        </w:rPr>
        <w:t>pproximately 15 false negatives</w:t>
      </w:r>
      <w:r w:rsidR="00311040" w:rsidRPr="009F0454">
        <w:rPr>
          <w:rFonts w:ascii="Franklin Gothic Book" w:hAnsi="Franklin Gothic Book"/>
          <w:sz w:val="22"/>
          <w:szCs w:val="20"/>
        </w:rPr>
        <w:t xml:space="preserve"> and approximately 3 false positives</w:t>
      </w:r>
      <w:r w:rsidRPr="009F0454">
        <w:rPr>
          <w:rFonts w:ascii="Franklin Gothic Book" w:hAnsi="Franklin Gothic Book"/>
          <w:sz w:val="22"/>
          <w:szCs w:val="20"/>
        </w:rPr>
        <w:t xml:space="preserve"> for every 100 patients tested. </w:t>
      </w:r>
    </w:p>
    <w:p w14:paraId="3F90F7E0" w14:textId="31F78CFA" w:rsidR="008764D5" w:rsidRPr="009F0454" w:rsidRDefault="005A7959" w:rsidP="00B31A89">
      <w:pPr>
        <w:rPr>
          <w:rFonts w:ascii="Franklin Gothic Book" w:hAnsi="Franklin Gothic Book"/>
          <w:sz w:val="22"/>
          <w:szCs w:val="20"/>
        </w:rPr>
      </w:pPr>
      <w:r w:rsidRPr="009F0454">
        <w:rPr>
          <w:rFonts w:ascii="Franklin Gothic Book" w:hAnsi="Franklin Gothic Book"/>
          <w:sz w:val="22"/>
          <w:szCs w:val="20"/>
        </w:rPr>
        <w:t>The James et al, (2024) study also reported results of an inter-laboratory reproducibility study, showing site-to-site variability of the Ventana FOLR1 assay performance (</w:t>
      </w:r>
      <w:r w:rsidR="004F469D">
        <w:rPr>
          <w:rFonts w:ascii="Franklin Gothic Book" w:hAnsi="Franklin Gothic Book"/>
          <w:sz w:val="22"/>
          <w:szCs w:val="20"/>
        </w:rPr>
        <w:fldChar w:fldCharType="begin"/>
      </w:r>
      <w:r w:rsidR="004F469D">
        <w:rPr>
          <w:rFonts w:ascii="Franklin Gothic Book" w:hAnsi="Franklin Gothic Book"/>
          <w:sz w:val="22"/>
          <w:szCs w:val="20"/>
        </w:rPr>
        <w:instrText xml:space="preserve"> REF _Ref198566321 \h </w:instrText>
      </w:r>
      <w:r w:rsidR="004F469D">
        <w:rPr>
          <w:rFonts w:ascii="Franklin Gothic Book" w:hAnsi="Franklin Gothic Book"/>
          <w:sz w:val="22"/>
          <w:szCs w:val="20"/>
        </w:rPr>
      </w:r>
      <w:r w:rsidR="004F469D">
        <w:rPr>
          <w:rFonts w:ascii="Franklin Gothic Book" w:hAnsi="Franklin Gothic Book"/>
          <w:sz w:val="22"/>
          <w:szCs w:val="20"/>
        </w:rPr>
        <w:fldChar w:fldCharType="separate"/>
      </w:r>
      <w:r w:rsidR="004F469D">
        <w:t>Table</w:t>
      </w:r>
      <w:r w:rsidR="004F469D" w:rsidRPr="00F10893">
        <w:t xml:space="preserve"> </w:t>
      </w:r>
      <w:r w:rsidR="004F469D">
        <w:rPr>
          <w:noProof/>
        </w:rPr>
        <w:t>14</w:t>
      </w:r>
      <w:r w:rsidR="004F469D">
        <w:rPr>
          <w:rFonts w:ascii="Franklin Gothic Book" w:hAnsi="Franklin Gothic Book"/>
          <w:sz w:val="22"/>
          <w:szCs w:val="20"/>
        </w:rPr>
        <w:fldChar w:fldCharType="end"/>
      </w:r>
      <w:r w:rsidRPr="009F0454">
        <w:rPr>
          <w:rFonts w:ascii="Franklin Gothic Book" w:hAnsi="Franklin Gothic Book"/>
          <w:sz w:val="22"/>
          <w:szCs w:val="20"/>
        </w:rPr>
        <w:t>).</w:t>
      </w:r>
    </w:p>
    <w:p w14:paraId="793C0FD6" w14:textId="50D39F3B" w:rsidR="005A7959" w:rsidRPr="00F10893" w:rsidRDefault="005E37CF" w:rsidP="00BC0C60">
      <w:pPr>
        <w:pStyle w:val="Caption"/>
      </w:pPr>
      <w:bookmarkStart w:id="38" w:name="_Ref198566321"/>
      <w:r>
        <w:lastRenderedPageBreak/>
        <w:t>Table</w:t>
      </w:r>
      <w:r w:rsidR="00DB6EE6" w:rsidRPr="00F10893">
        <w:t xml:space="preserve"> </w:t>
      </w:r>
      <w:r>
        <w:fldChar w:fldCharType="begin"/>
      </w:r>
      <w:r>
        <w:instrText xml:space="preserve"> SEQ Table \* ARABIC </w:instrText>
      </w:r>
      <w:r>
        <w:fldChar w:fldCharType="separate"/>
      </w:r>
      <w:r>
        <w:rPr>
          <w:noProof/>
        </w:rPr>
        <w:t>14</w:t>
      </w:r>
      <w:r>
        <w:rPr>
          <w:noProof/>
        </w:rPr>
        <w:fldChar w:fldCharType="end"/>
      </w:r>
      <w:bookmarkEnd w:id="38"/>
      <w:r w:rsidR="00DB6EE6" w:rsidRPr="00F10893">
        <w:t xml:space="preserve">: </w:t>
      </w:r>
      <w:r w:rsidR="005A7959" w:rsidRPr="00F10893">
        <w:t>Inter-laboratory reproducibility (pairwise comparison) (James et al, 2024</w:t>
      </w:r>
      <w:r w:rsidR="001951AF" w:rsidRPr="00F10893">
        <w:t>*</w:t>
      </w:r>
      <w:r w:rsidR="005A7959" w:rsidRPr="00F10893">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5"/>
        <w:gridCol w:w="4081"/>
        <w:gridCol w:w="2247"/>
      </w:tblGrid>
      <w:tr w:rsidR="00115536" w:rsidRPr="00F10893" w14:paraId="0EB85E17" w14:textId="77777777">
        <w:trPr>
          <w:cnfStyle w:val="100000000000" w:firstRow="1" w:lastRow="0" w:firstColumn="0" w:lastColumn="0" w:oddVBand="0" w:evenVBand="0" w:oddHBand="0" w:evenHBand="0" w:firstRowFirstColumn="0" w:firstRowLastColumn="0" w:lastRowFirstColumn="0" w:lastRowLastColumn="0"/>
        </w:trPr>
        <w:tc>
          <w:tcPr>
            <w:tcW w:w="784" w:type="pct"/>
          </w:tcPr>
          <w:p w14:paraId="103889BE" w14:textId="77777777" w:rsidR="005A7959" w:rsidRPr="00F10893" w:rsidRDefault="005A7959" w:rsidP="005A7959">
            <w:pPr>
              <w:keepNext/>
              <w:spacing w:before="0"/>
              <w:jc w:val="left"/>
              <w:rPr>
                <w:rFonts w:ascii="Arial Narrow" w:hAnsi="Arial Narrow"/>
                <w:b w:val="0"/>
                <w:sz w:val="20"/>
                <w:lang w:val="en-AU"/>
              </w:rPr>
            </w:pPr>
          </w:p>
        </w:tc>
        <w:tc>
          <w:tcPr>
            <w:tcW w:w="707" w:type="pct"/>
          </w:tcPr>
          <w:p w14:paraId="64090162" w14:textId="77777777" w:rsidR="005A7959" w:rsidRPr="00F10893" w:rsidRDefault="005A7959" w:rsidP="005A7959">
            <w:pPr>
              <w:keepNext/>
              <w:spacing w:before="0"/>
              <w:jc w:val="left"/>
              <w:rPr>
                <w:rFonts w:ascii="Arial Narrow" w:hAnsi="Arial Narrow"/>
                <w:b w:val="0"/>
                <w:sz w:val="20"/>
                <w:lang w:val="en-AU"/>
              </w:rPr>
            </w:pPr>
            <w:r w:rsidRPr="00F10893">
              <w:rPr>
                <w:rFonts w:ascii="Arial Narrow" w:hAnsi="Arial Narrow"/>
                <w:sz w:val="20"/>
                <w:lang w:val="en-AU"/>
              </w:rPr>
              <w:t>Outcome</w:t>
            </w:r>
          </w:p>
        </w:tc>
        <w:tc>
          <w:tcPr>
            <w:tcW w:w="2263" w:type="pct"/>
          </w:tcPr>
          <w:p w14:paraId="4886F1C1" w14:textId="4518E2E6" w:rsidR="005A7959" w:rsidRPr="00F10893" w:rsidRDefault="005A7959" w:rsidP="005A7959">
            <w:pPr>
              <w:keepNext/>
              <w:spacing w:before="0"/>
              <w:jc w:val="left"/>
              <w:rPr>
                <w:rFonts w:ascii="Arial Narrow" w:hAnsi="Arial Narrow"/>
                <w:b w:val="0"/>
                <w:sz w:val="20"/>
                <w:lang w:val="en-AU"/>
              </w:rPr>
            </w:pPr>
            <w:r w:rsidRPr="00F10893">
              <w:rPr>
                <w:rFonts w:ascii="Arial Narrow" w:hAnsi="Arial Narrow"/>
                <w:sz w:val="20"/>
                <w:lang w:val="en-AU"/>
              </w:rPr>
              <w:t>n/N (N=1680 reads before pairwise comparison)</w:t>
            </w:r>
          </w:p>
        </w:tc>
        <w:tc>
          <w:tcPr>
            <w:tcW w:w="1246" w:type="pct"/>
          </w:tcPr>
          <w:p w14:paraId="7BF55B31" w14:textId="77777777" w:rsidR="005A7959" w:rsidRPr="00F10893" w:rsidRDefault="005A7959" w:rsidP="005A7959">
            <w:pPr>
              <w:keepNext/>
              <w:spacing w:before="0"/>
              <w:jc w:val="left"/>
              <w:rPr>
                <w:rFonts w:ascii="Arial Narrow" w:hAnsi="Arial Narrow"/>
                <w:b w:val="0"/>
                <w:sz w:val="20"/>
                <w:lang w:val="en-AU"/>
              </w:rPr>
            </w:pPr>
            <w:r w:rsidRPr="00F10893">
              <w:rPr>
                <w:rFonts w:ascii="Arial Narrow" w:hAnsi="Arial Narrow"/>
                <w:sz w:val="20"/>
                <w:lang w:val="en-AU"/>
              </w:rPr>
              <w:t>% (95% CI)</w:t>
            </w:r>
          </w:p>
        </w:tc>
      </w:tr>
      <w:tr w:rsidR="005A7959" w:rsidRPr="00F10893" w14:paraId="05DCF311" w14:textId="77777777">
        <w:tc>
          <w:tcPr>
            <w:tcW w:w="784" w:type="pct"/>
            <w:vMerge w:val="restart"/>
            <w:vAlign w:val="center"/>
          </w:tcPr>
          <w:p w14:paraId="51FE526D" w14:textId="77777777" w:rsidR="005A7959" w:rsidRPr="00F10893" w:rsidRDefault="005A7959" w:rsidP="005A7959">
            <w:pPr>
              <w:widowControl w:val="0"/>
              <w:spacing w:before="0"/>
              <w:jc w:val="left"/>
              <w:rPr>
                <w:rFonts w:ascii="Arial Narrow" w:hAnsi="Arial Narrow"/>
                <w:b/>
                <w:sz w:val="20"/>
                <w:lang w:val="en-AU"/>
              </w:rPr>
            </w:pPr>
            <w:r w:rsidRPr="00F10893">
              <w:rPr>
                <w:rFonts w:ascii="Arial Narrow" w:hAnsi="Arial Narrow"/>
                <w:b/>
                <w:sz w:val="20"/>
                <w:lang w:val="en-AU"/>
              </w:rPr>
              <w:t>Inter-site</w:t>
            </w:r>
          </w:p>
        </w:tc>
        <w:tc>
          <w:tcPr>
            <w:tcW w:w="707" w:type="pct"/>
          </w:tcPr>
          <w:p w14:paraId="24ACF0AC"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PPA</w:t>
            </w:r>
          </w:p>
        </w:tc>
        <w:tc>
          <w:tcPr>
            <w:tcW w:w="2263" w:type="pct"/>
          </w:tcPr>
          <w:p w14:paraId="1999BE7E"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27990/33362</w:t>
            </w:r>
          </w:p>
        </w:tc>
        <w:tc>
          <w:tcPr>
            <w:tcW w:w="1246" w:type="pct"/>
          </w:tcPr>
          <w:p w14:paraId="3A2DB09B"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83.9 (77.5, 89.1)</w:t>
            </w:r>
          </w:p>
        </w:tc>
      </w:tr>
      <w:tr w:rsidR="005A7959" w:rsidRPr="00F10893" w14:paraId="16C51D85" w14:textId="77777777">
        <w:tc>
          <w:tcPr>
            <w:tcW w:w="784" w:type="pct"/>
            <w:vMerge/>
            <w:shd w:val="clear" w:color="auto" w:fill="F2F2F2" w:themeFill="background1" w:themeFillShade="F2"/>
          </w:tcPr>
          <w:p w14:paraId="086594F7" w14:textId="77777777" w:rsidR="005A7959" w:rsidRPr="00F10893" w:rsidRDefault="005A7959" w:rsidP="005A7959">
            <w:pPr>
              <w:widowControl w:val="0"/>
              <w:spacing w:before="0"/>
              <w:jc w:val="left"/>
              <w:rPr>
                <w:rFonts w:ascii="Arial Narrow" w:hAnsi="Arial Narrow"/>
                <w:b/>
                <w:sz w:val="20"/>
                <w:lang w:val="en-AU"/>
              </w:rPr>
            </w:pPr>
          </w:p>
        </w:tc>
        <w:tc>
          <w:tcPr>
            <w:tcW w:w="707" w:type="pct"/>
          </w:tcPr>
          <w:p w14:paraId="3C108DA4"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NPA</w:t>
            </w:r>
          </w:p>
        </w:tc>
        <w:tc>
          <w:tcPr>
            <w:tcW w:w="2263" w:type="pct"/>
          </w:tcPr>
          <w:p w14:paraId="6216921C"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28386/33758</w:t>
            </w:r>
          </w:p>
        </w:tc>
        <w:tc>
          <w:tcPr>
            <w:tcW w:w="1246" w:type="pct"/>
          </w:tcPr>
          <w:p w14:paraId="16F02B98"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84.1 (79.7, 88.4)</w:t>
            </w:r>
          </w:p>
        </w:tc>
      </w:tr>
      <w:tr w:rsidR="005A7959" w:rsidRPr="00F10893" w14:paraId="460ECB2C" w14:textId="77777777">
        <w:tc>
          <w:tcPr>
            <w:tcW w:w="784" w:type="pct"/>
            <w:vMerge/>
            <w:tcBorders>
              <w:bottom w:val="single" w:sz="4" w:space="0" w:color="auto"/>
            </w:tcBorders>
            <w:shd w:val="clear" w:color="auto" w:fill="F2F2F2" w:themeFill="background1" w:themeFillShade="F2"/>
          </w:tcPr>
          <w:p w14:paraId="230A2CBE" w14:textId="77777777" w:rsidR="005A7959" w:rsidRPr="00F10893" w:rsidRDefault="005A7959" w:rsidP="005A7959">
            <w:pPr>
              <w:widowControl w:val="0"/>
              <w:spacing w:before="0"/>
              <w:jc w:val="left"/>
              <w:rPr>
                <w:rFonts w:ascii="Arial Narrow" w:hAnsi="Arial Narrow"/>
                <w:b/>
                <w:sz w:val="20"/>
                <w:lang w:val="en-AU"/>
              </w:rPr>
            </w:pPr>
          </w:p>
        </w:tc>
        <w:tc>
          <w:tcPr>
            <w:tcW w:w="707" w:type="pct"/>
            <w:tcBorders>
              <w:bottom w:val="single" w:sz="4" w:space="0" w:color="auto"/>
            </w:tcBorders>
          </w:tcPr>
          <w:p w14:paraId="58633C0E"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OPA</w:t>
            </w:r>
          </w:p>
        </w:tc>
        <w:tc>
          <w:tcPr>
            <w:tcW w:w="2263" w:type="pct"/>
            <w:tcBorders>
              <w:bottom w:val="single" w:sz="4" w:space="0" w:color="auto"/>
            </w:tcBorders>
          </w:tcPr>
          <w:p w14:paraId="7203C66A"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28188/33560</w:t>
            </w:r>
          </w:p>
        </w:tc>
        <w:tc>
          <w:tcPr>
            <w:tcW w:w="1246" w:type="pct"/>
            <w:tcBorders>
              <w:bottom w:val="single" w:sz="4" w:space="0" w:color="auto"/>
            </w:tcBorders>
          </w:tcPr>
          <w:p w14:paraId="15DFCED7"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84.0 (78.7, 88.7)</w:t>
            </w:r>
          </w:p>
        </w:tc>
      </w:tr>
      <w:tr w:rsidR="005A7959" w:rsidRPr="00F10893" w14:paraId="2A960C0C"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val="restart"/>
            <w:tcBorders>
              <w:top w:val="single" w:sz="4" w:space="0" w:color="auto"/>
              <w:left w:val="single" w:sz="4" w:space="0" w:color="auto"/>
              <w:bottom w:val="single" w:sz="4" w:space="0" w:color="auto"/>
              <w:right w:val="single" w:sz="4" w:space="0" w:color="auto"/>
            </w:tcBorders>
          </w:tcPr>
          <w:p w14:paraId="4095323F" w14:textId="77777777" w:rsidR="005A7959" w:rsidRPr="00F10893" w:rsidRDefault="005A7959" w:rsidP="005A7959">
            <w:pPr>
              <w:widowControl w:val="0"/>
              <w:spacing w:before="0"/>
              <w:jc w:val="left"/>
              <w:rPr>
                <w:rFonts w:ascii="Arial Narrow" w:hAnsi="Arial Narrow"/>
                <w:b/>
                <w:sz w:val="20"/>
                <w:lang w:val="en-AU"/>
              </w:rPr>
            </w:pPr>
            <w:r w:rsidRPr="00F10893">
              <w:rPr>
                <w:rFonts w:ascii="Arial Narrow" w:hAnsi="Arial Narrow"/>
                <w:b/>
                <w:sz w:val="20"/>
                <w:lang w:val="en-AU"/>
              </w:rPr>
              <w:t>Inter-reader</w:t>
            </w:r>
          </w:p>
        </w:tc>
        <w:tc>
          <w:tcPr>
            <w:tcW w:w="707" w:type="pct"/>
            <w:tcBorders>
              <w:top w:val="single" w:sz="4" w:space="0" w:color="auto"/>
              <w:left w:val="single" w:sz="4" w:space="0" w:color="auto"/>
              <w:bottom w:val="single" w:sz="4" w:space="0" w:color="auto"/>
              <w:right w:val="single" w:sz="4" w:space="0" w:color="auto"/>
            </w:tcBorders>
          </w:tcPr>
          <w:p w14:paraId="36B57DDE"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PPA</w:t>
            </w:r>
          </w:p>
        </w:tc>
        <w:tc>
          <w:tcPr>
            <w:tcW w:w="2263" w:type="pct"/>
            <w:tcBorders>
              <w:top w:val="single" w:sz="4" w:space="0" w:color="auto"/>
              <w:left w:val="single" w:sz="4" w:space="0" w:color="auto"/>
              <w:bottom w:val="single" w:sz="4" w:space="0" w:color="auto"/>
              <w:right w:val="single" w:sz="4" w:space="0" w:color="auto"/>
            </w:tcBorders>
          </w:tcPr>
          <w:p w14:paraId="6BAA8576"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2134/2505</w:t>
            </w:r>
          </w:p>
        </w:tc>
        <w:tc>
          <w:tcPr>
            <w:tcW w:w="1246" w:type="pct"/>
            <w:tcBorders>
              <w:top w:val="single" w:sz="4" w:space="0" w:color="auto"/>
              <w:left w:val="single" w:sz="4" w:space="0" w:color="auto"/>
              <w:bottom w:val="single" w:sz="4" w:space="0" w:color="auto"/>
              <w:right w:val="single" w:sz="4" w:space="0" w:color="auto"/>
            </w:tcBorders>
          </w:tcPr>
          <w:p w14:paraId="07CEFB94"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85.2 (79.5, 89.9)</w:t>
            </w:r>
          </w:p>
        </w:tc>
      </w:tr>
      <w:tr w:rsidR="005A7959" w:rsidRPr="00F10893" w14:paraId="6FFBE3B7"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tcBorders>
              <w:top w:val="single" w:sz="4" w:space="0" w:color="auto"/>
              <w:left w:val="single" w:sz="4" w:space="0" w:color="auto"/>
              <w:bottom w:val="single" w:sz="4" w:space="0" w:color="auto"/>
              <w:right w:val="single" w:sz="4" w:space="0" w:color="auto"/>
            </w:tcBorders>
          </w:tcPr>
          <w:p w14:paraId="5958F370" w14:textId="77777777" w:rsidR="005A7959" w:rsidRPr="00F10893" w:rsidRDefault="005A7959" w:rsidP="005A7959">
            <w:pPr>
              <w:widowControl w:val="0"/>
              <w:spacing w:before="0"/>
              <w:jc w:val="left"/>
              <w:rPr>
                <w:rFonts w:ascii="Arial Narrow" w:hAnsi="Arial Narrow"/>
                <w:b/>
                <w:sz w:val="20"/>
                <w:lang w:val="en-AU"/>
              </w:rPr>
            </w:pPr>
          </w:p>
        </w:tc>
        <w:tc>
          <w:tcPr>
            <w:tcW w:w="707" w:type="pct"/>
            <w:tcBorders>
              <w:top w:val="single" w:sz="4" w:space="0" w:color="auto"/>
              <w:left w:val="single" w:sz="4" w:space="0" w:color="auto"/>
              <w:bottom w:val="single" w:sz="4" w:space="0" w:color="auto"/>
              <w:right w:val="single" w:sz="4" w:space="0" w:color="auto"/>
            </w:tcBorders>
          </w:tcPr>
          <w:p w14:paraId="447FE9AD"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NPA</w:t>
            </w:r>
          </w:p>
        </w:tc>
        <w:tc>
          <w:tcPr>
            <w:tcW w:w="2263" w:type="pct"/>
            <w:tcBorders>
              <w:top w:val="single" w:sz="4" w:space="0" w:color="auto"/>
              <w:left w:val="single" w:sz="4" w:space="0" w:color="auto"/>
              <w:bottom w:val="single" w:sz="4" w:space="0" w:color="auto"/>
              <w:right w:val="single" w:sz="4" w:space="0" w:color="auto"/>
            </w:tcBorders>
          </w:tcPr>
          <w:p w14:paraId="7A347174"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2158/2529</w:t>
            </w:r>
          </w:p>
        </w:tc>
        <w:tc>
          <w:tcPr>
            <w:tcW w:w="1246" w:type="pct"/>
            <w:tcBorders>
              <w:top w:val="single" w:sz="4" w:space="0" w:color="auto"/>
              <w:left w:val="single" w:sz="4" w:space="0" w:color="auto"/>
              <w:bottom w:val="single" w:sz="4" w:space="0" w:color="auto"/>
              <w:right w:val="single" w:sz="4" w:space="0" w:color="auto"/>
            </w:tcBorders>
          </w:tcPr>
          <w:p w14:paraId="48F166A7"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85.3 (81.2, 89.4)</w:t>
            </w:r>
          </w:p>
        </w:tc>
      </w:tr>
      <w:tr w:rsidR="005A7959" w:rsidRPr="00F10893" w14:paraId="782E393B"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tcBorders>
              <w:top w:val="single" w:sz="4" w:space="0" w:color="auto"/>
              <w:left w:val="single" w:sz="4" w:space="0" w:color="auto"/>
              <w:bottom w:val="single" w:sz="4" w:space="0" w:color="auto"/>
              <w:right w:val="single" w:sz="4" w:space="0" w:color="auto"/>
            </w:tcBorders>
          </w:tcPr>
          <w:p w14:paraId="2D5BD586" w14:textId="77777777" w:rsidR="005A7959" w:rsidRPr="00F10893" w:rsidRDefault="005A7959" w:rsidP="005A7959">
            <w:pPr>
              <w:widowControl w:val="0"/>
              <w:spacing w:before="0"/>
              <w:jc w:val="left"/>
              <w:rPr>
                <w:rFonts w:ascii="Arial Narrow" w:hAnsi="Arial Narrow"/>
                <w:b/>
                <w:sz w:val="20"/>
                <w:lang w:val="en-AU"/>
              </w:rPr>
            </w:pPr>
          </w:p>
        </w:tc>
        <w:tc>
          <w:tcPr>
            <w:tcW w:w="707" w:type="pct"/>
            <w:tcBorders>
              <w:top w:val="single" w:sz="4" w:space="0" w:color="auto"/>
              <w:left w:val="single" w:sz="4" w:space="0" w:color="auto"/>
              <w:bottom w:val="single" w:sz="4" w:space="0" w:color="auto"/>
              <w:right w:val="single" w:sz="4" w:space="0" w:color="auto"/>
            </w:tcBorders>
          </w:tcPr>
          <w:p w14:paraId="371B3AD7"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OPA</w:t>
            </w:r>
          </w:p>
        </w:tc>
        <w:tc>
          <w:tcPr>
            <w:tcW w:w="2263" w:type="pct"/>
            <w:tcBorders>
              <w:top w:val="single" w:sz="4" w:space="0" w:color="auto"/>
              <w:left w:val="single" w:sz="4" w:space="0" w:color="auto"/>
              <w:bottom w:val="single" w:sz="4" w:space="0" w:color="auto"/>
              <w:right w:val="single" w:sz="4" w:space="0" w:color="auto"/>
            </w:tcBorders>
          </w:tcPr>
          <w:p w14:paraId="2AAD16AF"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2146/2517</w:t>
            </w:r>
          </w:p>
        </w:tc>
        <w:tc>
          <w:tcPr>
            <w:tcW w:w="1246" w:type="pct"/>
            <w:tcBorders>
              <w:top w:val="single" w:sz="4" w:space="0" w:color="auto"/>
              <w:left w:val="single" w:sz="4" w:space="0" w:color="auto"/>
              <w:bottom w:val="single" w:sz="4" w:space="0" w:color="auto"/>
              <w:right w:val="single" w:sz="4" w:space="0" w:color="auto"/>
            </w:tcBorders>
          </w:tcPr>
          <w:p w14:paraId="4D4C037A"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85.3 (80.5, 89.6)</w:t>
            </w:r>
          </w:p>
        </w:tc>
      </w:tr>
      <w:tr w:rsidR="005A7959" w:rsidRPr="00F10893" w14:paraId="20B18F13"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val="restart"/>
            <w:tcBorders>
              <w:top w:val="single" w:sz="4" w:space="0" w:color="auto"/>
              <w:left w:val="single" w:sz="4" w:space="0" w:color="auto"/>
              <w:bottom w:val="single" w:sz="4" w:space="0" w:color="auto"/>
              <w:right w:val="single" w:sz="4" w:space="0" w:color="auto"/>
            </w:tcBorders>
          </w:tcPr>
          <w:p w14:paraId="20568B70" w14:textId="77777777" w:rsidR="005A7959" w:rsidRPr="00F10893" w:rsidRDefault="005A7959" w:rsidP="005A7959">
            <w:pPr>
              <w:widowControl w:val="0"/>
              <w:spacing w:before="0"/>
              <w:jc w:val="left"/>
              <w:rPr>
                <w:rFonts w:ascii="Arial Narrow" w:hAnsi="Arial Narrow"/>
                <w:b/>
                <w:sz w:val="20"/>
                <w:lang w:val="en-AU"/>
              </w:rPr>
            </w:pPr>
            <w:r w:rsidRPr="00F10893">
              <w:rPr>
                <w:rFonts w:ascii="Arial Narrow" w:hAnsi="Arial Narrow"/>
                <w:b/>
                <w:sz w:val="20"/>
                <w:lang w:val="en-AU"/>
              </w:rPr>
              <w:t>Inter-day</w:t>
            </w:r>
          </w:p>
        </w:tc>
        <w:tc>
          <w:tcPr>
            <w:tcW w:w="707" w:type="pct"/>
            <w:tcBorders>
              <w:top w:val="single" w:sz="4" w:space="0" w:color="auto"/>
              <w:left w:val="single" w:sz="4" w:space="0" w:color="auto"/>
              <w:bottom w:val="single" w:sz="4" w:space="0" w:color="auto"/>
              <w:right w:val="single" w:sz="4" w:space="0" w:color="auto"/>
            </w:tcBorders>
          </w:tcPr>
          <w:p w14:paraId="33301D08"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PPA</w:t>
            </w:r>
          </w:p>
        </w:tc>
        <w:tc>
          <w:tcPr>
            <w:tcW w:w="2263" w:type="pct"/>
            <w:tcBorders>
              <w:top w:val="single" w:sz="4" w:space="0" w:color="auto"/>
              <w:left w:val="single" w:sz="4" w:space="0" w:color="auto"/>
              <w:bottom w:val="single" w:sz="4" w:space="0" w:color="auto"/>
              <w:right w:val="single" w:sz="4" w:space="0" w:color="auto"/>
            </w:tcBorders>
          </w:tcPr>
          <w:p w14:paraId="57D69179"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3088/3337</w:t>
            </w:r>
          </w:p>
        </w:tc>
        <w:tc>
          <w:tcPr>
            <w:tcW w:w="1246" w:type="pct"/>
            <w:tcBorders>
              <w:top w:val="single" w:sz="4" w:space="0" w:color="auto"/>
              <w:left w:val="single" w:sz="4" w:space="0" w:color="auto"/>
              <w:bottom w:val="single" w:sz="4" w:space="0" w:color="auto"/>
              <w:right w:val="single" w:sz="4" w:space="0" w:color="auto"/>
            </w:tcBorders>
          </w:tcPr>
          <w:p w14:paraId="5D97B96E"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92.5 (89.5, 95.1)</w:t>
            </w:r>
          </w:p>
        </w:tc>
      </w:tr>
      <w:tr w:rsidR="005A7959" w:rsidRPr="00F10893" w14:paraId="06C2E676"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tcBorders>
              <w:top w:val="single" w:sz="4" w:space="0" w:color="auto"/>
              <w:left w:val="single" w:sz="4" w:space="0" w:color="auto"/>
              <w:bottom w:val="single" w:sz="4" w:space="0" w:color="auto"/>
              <w:right w:val="single" w:sz="4" w:space="0" w:color="auto"/>
            </w:tcBorders>
          </w:tcPr>
          <w:p w14:paraId="56CA84C6" w14:textId="77777777" w:rsidR="005A7959" w:rsidRPr="00F10893" w:rsidRDefault="005A7959" w:rsidP="005A7959">
            <w:pPr>
              <w:widowControl w:val="0"/>
              <w:spacing w:before="0"/>
              <w:jc w:val="left"/>
              <w:rPr>
                <w:rFonts w:ascii="Arial Narrow" w:hAnsi="Arial Narrow"/>
                <w:b/>
                <w:sz w:val="20"/>
                <w:lang w:val="en-AU"/>
              </w:rPr>
            </w:pPr>
          </w:p>
        </w:tc>
        <w:tc>
          <w:tcPr>
            <w:tcW w:w="707" w:type="pct"/>
            <w:tcBorders>
              <w:top w:val="single" w:sz="4" w:space="0" w:color="auto"/>
              <w:left w:val="single" w:sz="4" w:space="0" w:color="auto"/>
              <w:bottom w:val="single" w:sz="4" w:space="0" w:color="auto"/>
              <w:right w:val="single" w:sz="4" w:space="0" w:color="auto"/>
            </w:tcBorders>
          </w:tcPr>
          <w:p w14:paraId="3254749A"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NPA</w:t>
            </w:r>
          </w:p>
        </w:tc>
        <w:tc>
          <w:tcPr>
            <w:tcW w:w="2263" w:type="pct"/>
            <w:tcBorders>
              <w:top w:val="single" w:sz="4" w:space="0" w:color="auto"/>
              <w:left w:val="single" w:sz="4" w:space="0" w:color="auto"/>
              <w:bottom w:val="single" w:sz="4" w:space="0" w:color="auto"/>
              <w:right w:val="single" w:sz="4" w:space="0" w:color="auto"/>
            </w:tcBorders>
          </w:tcPr>
          <w:p w14:paraId="6D09F529"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3126/3375</w:t>
            </w:r>
          </w:p>
        </w:tc>
        <w:tc>
          <w:tcPr>
            <w:tcW w:w="1246" w:type="pct"/>
            <w:tcBorders>
              <w:top w:val="single" w:sz="4" w:space="0" w:color="auto"/>
              <w:left w:val="single" w:sz="4" w:space="0" w:color="auto"/>
              <w:bottom w:val="single" w:sz="4" w:space="0" w:color="auto"/>
              <w:right w:val="single" w:sz="4" w:space="0" w:color="auto"/>
            </w:tcBorders>
          </w:tcPr>
          <w:p w14:paraId="320F0F18"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92.6 (90.5, 94.8)</w:t>
            </w:r>
          </w:p>
        </w:tc>
      </w:tr>
      <w:tr w:rsidR="005A7959" w:rsidRPr="00F10893" w14:paraId="69A30B28"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4" w:type="pct"/>
            <w:vMerge/>
            <w:tcBorders>
              <w:top w:val="single" w:sz="4" w:space="0" w:color="auto"/>
              <w:left w:val="single" w:sz="4" w:space="0" w:color="auto"/>
              <w:bottom w:val="single" w:sz="4" w:space="0" w:color="auto"/>
              <w:right w:val="single" w:sz="4" w:space="0" w:color="auto"/>
            </w:tcBorders>
          </w:tcPr>
          <w:p w14:paraId="7E0FEF11" w14:textId="77777777" w:rsidR="005A7959" w:rsidRPr="00F10893" w:rsidRDefault="005A7959" w:rsidP="005A7959">
            <w:pPr>
              <w:widowControl w:val="0"/>
              <w:spacing w:before="0"/>
              <w:jc w:val="left"/>
              <w:rPr>
                <w:rFonts w:ascii="Arial Narrow" w:hAnsi="Arial Narrow"/>
                <w:b/>
                <w:sz w:val="20"/>
                <w:lang w:val="en-AU"/>
              </w:rPr>
            </w:pPr>
          </w:p>
        </w:tc>
        <w:tc>
          <w:tcPr>
            <w:tcW w:w="707" w:type="pct"/>
            <w:tcBorders>
              <w:top w:val="single" w:sz="4" w:space="0" w:color="auto"/>
              <w:left w:val="single" w:sz="4" w:space="0" w:color="auto"/>
              <w:bottom w:val="single" w:sz="4" w:space="0" w:color="auto"/>
              <w:right w:val="single" w:sz="4" w:space="0" w:color="auto"/>
            </w:tcBorders>
          </w:tcPr>
          <w:p w14:paraId="445353D7" w14:textId="77777777" w:rsidR="005A7959" w:rsidRPr="00F10893" w:rsidRDefault="005A7959" w:rsidP="005A7959">
            <w:pPr>
              <w:widowControl w:val="0"/>
              <w:spacing w:before="0"/>
              <w:jc w:val="left"/>
              <w:rPr>
                <w:rFonts w:ascii="Arial Narrow" w:hAnsi="Arial Narrow"/>
                <w:sz w:val="20"/>
                <w:lang w:val="en-AU"/>
              </w:rPr>
            </w:pPr>
            <w:r w:rsidRPr="00F10893">
              <w:rPr>
                <w:rFonts w:ascii="Arial Narrow" w:hAnsi="Arial Narrow"/>
                <w:sz w:val="20"/>
                <w:lang w:val="en-AU"/>
              </w:rPr>
              <w:t>OPA</w:t>
            </w:r>
          </w:p>
        </w:tc>
        <w:tc>
          <w:tcPr>
            <w:tcW w:w="2263" w:type="pct"/>
            <w:tcBorders>
              <w:top w:val="single" w:sz="4" w:space="0" w:color="auto"/>
              <w:left w:val="single" w:sz="4" w:space="0" w:color="auto"/>
              <w:bottom w:val="single" w:sz="4" w:space="0" w:color="auto"/>
              <w:right w:val="single" w:sz="4" w:space="0" w:color="auto"/>
            </w:tcBorders>
          </w:tcPr>
          <w:p w14:paraId="4BC431E7"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3107/3356</w:t>
            </w:r>
          </w:p>
        </w:tc>
        <w:tc>
          <w:tcPr>
            <w:tcW w:w="1246" w:type="pct"/>
            <w:tcBorders>
              <w:top w:val="single" w:sz="4" w:space="0" w:color="auto"/>
              <w:left w:val="single" w:sz="4" w:space="0" w:color="auto"/>
              <w:bottom w:val="single" w:sz="4" w:space="0" w:color="auto"/>
              <w:right w:val="single" w:sz="4" w:space="0" w:color="auto"/>
            </w:tcBorders>
          </w:tcPr>
          <w:p w14:paraId="40BB39BE" w14:textId="77777777" w:rsidR="005A7959" w:rsidRPr="00F10893" w:rsidRDefault="005A7959" w:rsidP="005A7959">
            <w:pPr>
              <w:widowControl w:val="0"/>
              <w:spacing w:before="0"/>
              <w:jc w:val="center"/>
              <w:rPr>
                <w:rFonts w:ascii="Arial Narrow" w:hAnsi="Arial Narrow"/>
                <w:sz w:val="20"/>
                <w:lang w:val="en-AU"/>
              </w:rPr>
            </w:pPr>
            <w:r w:rsidRPr="00F10893">
              <w:rPr>
                <w:rFonts w:ascii="Arial Narrow" w:hAnsi="Arial Narrow"/>
                <w:sz w:val="20"/>
                <w:lang w:val="en-AU"/>
              </w:rPr>
              <w:t>92.6 (90.1, 94.9)</w:t>
            </w:r>
          </w:p>
        </w:tc>
      </w:tr>
    </w:tbl>
    <w:p w14:paraId="2EEFF545" w14:textId="4CC51A9A" w:rsidR="005A7959" w:rsidRPr="00F10893" w:rsidRDefault="005A7959" w:rsidP="005A7959">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w:t>
      </w:r>
      <w:r w:rsidR="002058CF">
        <w:rPr>
          <w:rFonts w:ascii="Arial Narrow" w:eastAsia="Times New Roman" w:hAnsi="Arial Narrow" w:cs="Arial"/>
          <w:snapToGrid w:val="0"/>
          <w:sz w:val="18"/>
          <w:szCs w:val="20"/>
        </w:rPr>
        <w:t xml:space="preserve"> </w:t>
      </w:r>
      <w:r w:rsidR="00B304A9" w:rsidRPr="00F10893">
        <w:rPr>
          <w:rFonts w:ascii="Arial Narrow" w:eastAsia="Times New Roman" w:hAnsi="Arial Narrow" w:cs="Arial"/>
          <w:snapToGrid w:val="0"/>
          <w:sz w:val="18"/>
          <w:szCs w:val="20"/>
        </w:rPr>
        <w:t xml:space="preserve">Figure 4, </w:t>
      </w:r>
      <w:r w:rsidR="004F26DB" w:rsidRPr="00F10893">
        <w:rPr>
          <w:rFonts w:ascii="Arial Narrow" w:eastAsia="Times New Roman" w:hAnsi="Arial Narrow" w:cs="Arial"/>
          <w:snapToGrid w:val="0"/>
          <w:sz w:val="18"/>
          <w:szCs w:val="20"/>
        </w:rPr>
        <w:t>James et al (2024)</w:t>
      </w:r>
      <w:r w:rsidR="00B304A9" w:rsidRPr="00F10893">
        <w:rPr>
          <w:rFonts w:ascii="Arial Narrow" w:eastAsia="Times New Roman" w:hAnsi="Arial Narrow" w:cs="Arial"/>
          <w:snapToGrid w:val="0"/>
          <w:sz w:val="18"/>
          <w:szCs w:val="20"/>
        </w:rPr>
        <w:t xml:space="preserve">; </w:t>
      </w:r>
      <w:r w:rsidR="00C2106D" w:rsidRPr="00F10893">
        <w:rPr>
          <w:rFonts w:ascii="Arial Narrow" w:eastAsia="Times New Roman" w:hAnsi="Arial Narrow" w:cs="Arial"/>
          <w:snapToGrid w:val="0"/>
          <w:sz w:val="18"/>
          <w:szCs w:val="20"/>
        </w:rPr>
        <w:t>Table1 6, Table 17, FDA (2022)</w:t>
      </w:r>
      <w:r w:rsidR="004F26DB" w:rsidRPr="00F10893">
        <w:rPr>
          <w:rFonts w:ascii="Arial Narrow" w:eastAsia="Times New Roman" w:hAnsi="Arial Narrow" w:cs="Arial"/>
          <w:snapToGrid w:val="0"/>
          <w:sz w:val="18"/>
          <w:szCs w:val="20"/>
        </w:rPr>
        <w:t xml:space="preserve"> </w:t>
      </w:r>
      <w:r w:rsidRPr="00F10893">
        <w:rPr>
          <w:rFonts w:ascii="Arial Narrow" w:eastAsia="Times New Roman" w:hAnsi="Arial Narrow" w:cs="Arial"/>
          <w:snapToGrid w:val="0"/>
          <w:sz w:val="18"/>
          <w:szCs w:val="20"/>
        </w:rPr>
        <w:t>.</w:t>
      </w:r>
    </w:p>
    <w:p w14:paraId="46A11595" w14:textId="77777777" w:rsidR="005A7959" w:rsidRPr="00F10893" w:rsidRDefault="005A7959" w:rsidP="005A7959">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CI= confidence interval; n= number of events; N= number of patients; NPA= negative percent agreement; OPA= overall percent agreement; PPA= positive percent agreement.</w:t>
      </w:r>
    </w:p>
    <w:p w14:paraId="1EBD94E2" w14:textId="123C3102" w:rsidR="001951AF" w:rsidRPr="00F10893" w:rsidRDefault="00A839EA" w:rsidP="00A839EA">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 </w:t>
      </w:r>
      <w:r w:rsidR="00AC357C" w:rsidRPr="00F10893">
        <w:rPr>
          <w:rFonts w:ascii="Arial Narrow" w:eastAsia="Times New Roman" w:hAnsi="Arial Narrow" w:cs="Arial"/>
          <w:snapToGrid w:val="0"/>
          <w:sz w:val="18"/>
          <w:szCs w:val="20"/>
        </w:rPr>
        <w:t>Studies</w:t>
      </w:r>
      <w:r w:rsidR="00FC3899" w:rsidRPr="00F10893">
        <w:rPr>
          <w:rFonts w:ascii="Arial Narrow" w:eastAsia="Times New Roman" w:hAnsi="Arial Narrow" w:cs="Arial"/>
          <w:snapToGrid w:val="0"/>
          <w:sz w:val="18"/>
          <w:szCs w:val="20"/>
        </w:rPr>
        <w:t xml:space="preserve"> reported in James et </w:t>
      </w:r>
      <w:r w:rsidRPr="00F10893">
        <w:rPr>
          <w:rFonts w:ascii="Arial Narrow" w:eastAsia="Times New Roman" w:hAnsi="Arial Narrow" w:cs="Arial"/>
          <w:snapToGrid w:val="0"/>
          <w:sz w:val="18"/>
          <w:szCs w:val="20"/>
        </w:rPr>
        <w:t>al (202</w:t>
      </w:r>
      <w:r w:rsidR="00DF69EC" w:rsidRPr="00F10893">
        <w:rPr>
          <w:rFonts w:ascii="Arial Narrow" w:eastAsia="Times New Roman" w:hAnsi="Arial Narrow" w:cs="Arial"/>
          <w:snapToGrid w:val="0"/>
          <w:sz w:val="18"/>
          <w:szCs w:val="20"/>
        </w:rPr>
        <w:t>4</w:t>
      </w:r>
      <w:r w:rsidRPr="00F10893">
        <w:rPr>
          <w:rFonts w:ascii="Arial Narrow" w:eastAsia="Times New Roman" w:hAnsi="Arial Narrow" w:cs="Arial"/>
          <w:snapToGrid w:val="0"/>
          <w:sz w:val="18"/>
          <w:szCs w:val="20"/>
        </w:rPr>
        <w:t>)</w:t>
      </w:r>
      <w:r w:rsidR="00957F6B" w:rsidRPr="00F10893">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 xml:space="preserve"> supplemented with additional data for same analyses </w:t>
      </w:r>
      <w:r w:rsidR="00474763" w:rsidRPr="00F10893">
        <w:rPr>
          <w:rFonts w:ascii="Arial Narrow" w:eastAsia="Times New Roman" w:hAnsi="Arial Narrow" w:cs="Arial"/>
          <w:snapToGrid w:val="0"/>
          <w:sz w:val="18"/>
          <w:szCs w:val="20"/>
        </w:rPr>
        <w:t>evaluated</w:t>
      </w:r>
      <w:r w:rsidRPr="00F10893">
        <w:rPr>
          <w:rFonts w:ascii="Arial Narrow" w:eastAsia="Times New Roman" w:hAnsi="Arial Narrow" w:cs="Arial"/>
          <w:snapToGrid w:val="0"/>
          <w:sz w:val="18"/>
          <w:szCs w:val="20"/>
        </w:rPr>
        <w:t xml:space="preserve"> in FDA (2022). </w:t>
      </w:r>
    </w:p>
    <w:p w14:paraId="2CC5D3D7" w14:textId="219A2893" w:rsidR="005A7959" w:rsidRPr="00F10893" w:rsidRDefault="00751A22" w:rsidP="005A7959">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The authors described the pairwise analysis thus: “The inter-site analysis was calculated by pooling all results from all possible pairs of observations per case between sites (28 cases x 16 reader pairs per day between any 2 sites x 25 day pairs x 3 site pairs). The inter-reader analysis was calculated by pooling all results from all possible pairs of observations per case within each day at each site (28 cases x 6 reader pairs x 5 days x 3 sites)”. The FDA (2022) report included additional analyses for inter-day reproducibility as part of </w:t>
      </w:r>
      <w:r w:rsidR="00893C96" w:rsidRPr="00F10893">
        <w:rPr>
          <w:rFonts w:ascii="Arial Narrow" w:eastAsia="Times New Roman" w:hAnsi="Arial Narrow" w:cs="Arial"/>
          <w:snapToGrid w:val="0"/>
          <w:sz w:val="18"/>
          <w:szCs w:val="20"/>
        </w:rPr>
        <w:t>the same</w:t>
      </w:r>
      <w:r w:rsidRPr="00F10893">
        <w:rPr>
          <w:rFonts w:ascii="Arial Narrow" w:eastAsia="Times New Roman" w:hAnsi="Arial Narrow" w:cs="Arial"/>
          <w:snapToGrid w:val="0"/>
          <w:sz w:val="18"/>
          <w:szCs w:val="20"/>
        </w:rPr>
        <w:t xml:space="preserve"> dataset that </w:t>
      </w:r>
      <w:r w:rsidR="00893C96" w:rsidRPr="00F10893">
        <w:rPr>
          <w:rFonts w:ascii="Arial Narrow" w:eastAsia="Times New Roman" w:hAnsi="Arial Narrow" w:cs="Arial"/>
          <w:snapToGrid w:val="0"/>
          <w:sz w:val="18"/>
          <w:szCs w:val="20"/>
        </w:rPr>
        <w:t>were</w:t>
      </w:r>
      <w:r w:rsidRPr="00F10893">
        <w:rPr>
          <w:rFonts w:ascii="Arial Narrow" w:eastAsia="Times New Roman" w:hAnsi="Arial Narrow" w:cs="Arial"/>
          <w:snapToGrid w:val="0"/>
          <w:sz w:val="18"/>
          <w:szCs w:val="20"/>
        </w:rPr>
        <w:t xml:space="preserve"> not reported in the James et al (2024) article. </w:t>
      </w:r>
    </w:p>
    <w:p w14:paraId="193F4956" w14:textId="22065B1D" w:rsidR="005A78C9" w:rsidRPr="009757D3" w:rsidRDefault="00060AED" w:rsidP="005A7959">
      <w:pPr>
        <w:rPr>
          <w:rFonts w:ascii="Franklin Gothic Book" w:hAnsi="Franklin Gothic Book"/>
          <w:sz w:val="22"/>
          <w:szCs w:val="20"/>
        </w:rPr>
      </w:pPr>
      <w:r w:rsidRPr="009F0454">
        <w:rPr>
          <w:rFonts w:ascii="Franklin Gothic Book" w:hAnsi="Franklin Gothic Book"/>
          <w:sz w:val="22"/>
          <w:szCs w:val="20"/>
        </w:rPr>
        <w:t>The commentary considered that t</w:t>
      </w:r>
      <w:r w:rsidR="005A7959" w:rsidRPr="009F0454">
        <w:rPr>
          <w:rFonts w:ascii="Franklin Gothic Book" w:hAnsi="Franklin Gothic Book"/>
          <w:sz w:val="22"/>
          <w:szCs w:val="20"/>
        </w:rPr>
        <w:t>here is no evidence of reliability of the requested test in Australia as neither the proposed Ventana FOLR1 assay nor any equivalent in-house tests of FRα expression have been implemented for routine use, so it is unknown if test performance will vary site-to-site similarly to the values in</w:t>
      </w:r>
      <w:r w:rsidR="00946F0D">
        <w:rPr>
          <w:rFonts w:ascii="Franklin Gothic Book" w:hAnsi="Franklin Gothic Book"/>
          <w:sz w:val="22"/>
          <w:szCs w:val="20"/>
        </w:rPr>
        <w:t xml:space="preserve"> </w:t>
      </w:r>
      <w:r w:rsidR="00DB6EE6" w:rsidRPr="009F0454" w:rsidDel="00946F0D">
        <w:rPr>
          <w:rFonts w:ascii="Franklin Gothic Book" w:hAnsi="Franklin Gothic Book"/>
          <w:sz w:val="22"/>
          <w:szCs w:val="20"/>
        </w:rPr>
        <w:fldChar w:fldCharType="begin"/>
      </w:r>
      <w:r w:rsidR="00DB6EE6" w:rsidRPr="009F0454" w:rsidDel="00946F0D">
        <w:rPr>
          <w:rFonts w:ascii="Franklin Gothic Book" w:hAnsi="Franklin Gothic Book"/>
          <w:sz w:val="22"/>
          <w:szCs w:val="20"/>
        </w:rPr>
        <w:fldChar w:fldCharType="separate"/>
      </w:r>
      <w:r w:rsidR="0068665D" w:rsidRPr="0068665D" w:rsidDel="00946F0D">
        <w:rPr>
          <w:rFonts w:ascii="Franklin Gothic Book" w:hAnsi="Franklin Gothic Book"/>
          <w:sz w:val="22"/>
          <w:szCs w:val="20"/>
        </w:rPr>
        <w:t xml:space="preserve">Table </w:t>
      </w:r>
      <w:r w:rsidR="00946F0D" w:rsidRPr="009757D3">
        <w:rPr>
          <w:rFonts w:ascii="Franklin Gothic Book" w:hAnsi="Franklin Gothic Book"/>
          <w:sz w:val="22"/>
          <w:szCs w:val="20"/>
        </w:rPr>
        <w:t>14</w:t>
      </w:r>
      <w:r w:rsidR="00DB6EE6" w:rsidRPr="009F0454" w:rsidDel="00946F0D">
        <w:rPr>
          <w:rFonts w:ascii="Franklin Gothic Book" w:hAnsi="Franklin Gothic Book"/>
          <w:sz w:val="22"/>
          <w:szCs w:val="20"/>
        </w:rPr>
        <w:fldChar w:fldCharType="end"/>
      </w:r>
      <w:r w:rsidR="00946F0D">
        <w:rPr>
          <w:rFonts w:ascii="Franklin Gothic Book" w:hAnsi="Franklin Gothic Book"/>
          <w:sz w:val="22"/>
          <w:szCs w:val="20"/>
        </w:rPr>
        <w:fldChar w:fldCharType="begin"/>
      </w:r>
      <w:r w:rsidR="00946F0D">
        <w:rPr>
          <w:rFonts w:ascii="Franklin Gothic Book" w:hAnsi="Franklin Gothic Book"/>
          <w:sz w:val="22"/>
          <w:szCs w:val="20"/>
        </w:rPr>
        <w:instrText xml:space="preserve"> REF _Ref198566321 \h </w:instrText>
      </w:r>
      <w:r w:rsidR="009757D3">
        <w:rPr>
          <w:rFonts w:ascii="Franklin Gothic Book" w:hAnsi="Franklin Gothic Book"/>
          <w:sz w:val="22"/>
          <w:szCs w:val="20"/>
        </w:rPr>
        <w:instrText xml:space="preserve"> \* MERGEFORMAT </w:instrText>
      </w:r>
      <w:r w:rsidR="00946F0D">
        <w:rPr>
          <w:rFonts w:ascii="Franklin Gothic Book" w:hAnsi="Franklin Gothic Book"/>
          <w:sz w:val="22"/>
          <w:szCs w:val="20"/>
        </w:rPr>
      </w:r>
      <w:r w:rsidR="00946F0D">
        <w:rPr>
          <w:rFonts w:ascii="Franklin Gothic Book" w:hAnsi="Franklin Gothic Book"/>
          <w:sz w:val="22"/>
          <w:szCs w:val="20"/>
        </w:rPr>
        <w:fldChar w:fldCharType="separate"/>
      </w:r>
      <w:r w:rsidR="00946F0D" w:rsidRPr="009757D3">
        <w:rPr>
          <w:rFonts w:ascii="Franklin Gothic Book" w:hAnsi="Franklin Gothic Book"/>
          <w:sz w:val="22"/>
          <w:szCs w:val="20"/>
        </w:rPr>
        <w:t>Table 14</w:t>
      </w:r>
      <w:r w:rsidR="00946F0D">
        <w:rPr>
          <w:rFonts w:ascii="Franklin Gothic Book" w:hAnsi="Franklin Gothic Book"/>
          <w:sz w:val="22"/>
          <w:szCs w:val="20"/>
        </w:rPr>
        <w:fldChar w:fldCharType="end"/>
      </w:r>
      <w:r w:rsidR="005A7959" w:rsidRPr="009F0454">
        <w:rPr>
          <w:rFonts w:ascii="Franklin Gothic Book" w:hAnsi="Franklin Gothic Book"/>
          <w:sz w:val="22"/>
          <w:szCs w:val="20"/>
        </w:rPr>
        <w:t>. The requirement for NATA accreditation and enrolment in an RCPA QAP for any laboratory wishing to offer an MBS-funded FRα IHC test should mitigate variability between laboratories.</w:t>
      </w:r>
      <w:r w:rsidRPr="009F0454">
        <w:rPr>
          <w:rFonts w:ascii="Franklin Gothic Book" w:hAnsi="Franklin Gothic Book"/>
          <w:sz w:val="22"/>
          <w:szCs w:val="20"/>
        </w:rPr>
        <w:t xml:space="preserve"> </w:t>
      </w:r>
      <w:r w:rsidR="00E53A7E" w:rsidRPr="009757D3">
        <w:rPr>
          <w:rFonts w:ascii="Franklin Gothic Book" w:hAnsi="Franklin Gothic Book"/>
          <w:sz w:val="22"/>
          <w:szCs w:val="20"/>
        </w:rPr>
        <w:t>Additionally, as</w:t>
      </w:r>
      <w:r w:rsidR="0028427B" w:rsidRPr="009757D3">
        <w:rPr>
          <w:rFonts w:ascii="Franklin Gothic Book" w:hAnsi="Franklin Gothic Book"/>
          <w:sz w:val="22"/>
          <w:szCs w:val="20"/>
        </w:rPr>
        <w:t xml:space="preserve"> discussed in </w:t>
      </w:r>
      <w:r w:rsidR="002B1A57" w:rsidRPr="009757D3">
        <w:rPr>
          <w:rFonts w:ascii="Franklin Gothic Book" w:hAnsi="Franklin Gothic Book"/>
          <w:sz w:val="22"/>
          <w:szCs w:val="20"/>
        </w:rPr>
        <w:t>Section 5</w:t>
      </w:r>
      <w:r w:rsidR="00722582" w:rsidRPr="009757D3">
        <w:rPr>
          <w:rFonts w:ascii="Franklin Gothic Book" w:hAnsi="Franklin Gothic Book"/>
          <w:sz w:val="22"/>
          <w:szCs w:val="20"/>
        </w:rPr>
        <w:t xml:space="preserve">, </w:t>
      </w:r>
      <w:r w:rsidR="002E071C" w:rsidRPr="009757D3">
        <w:rPr>
          <w:rFonts w:ascii="Franklin Gothic Book" w:hAnsi="Franklin Gothic Book"/>
          <w:sz w:val="22"/>
          <w:szCs w:val="20"/>
        </w:rPr>
        <w:t xml:space="preserve">the commentary considered that </w:t>
      </w:r>
      <w:r w:rsidR="00722582" w:rsidRPr="009757D3">
        <w:rPr>
          <w:rFonts w:ascii="Franklin Gothic Book" w:hAnsi="Franklin Gothic Book"/>
          <w:sz w:val="22"/>
          <w:szCs w:val="20"/>
        </w:rPr>
        <w:t xml:space="preserve">there is uncertainty </w:t>
      </w:r>
      <w:r w:rsidR="00394159" w:rsidRPr="009F0454">
        <w:rPr>
          <w:rFonts w:ascii="Franklin Gothic Book" w:hAnsi="Franklin Gothic Book"/>
          <w:sz w:val="22"/>
          <w:szCs w:val="20"/>
        </w:rPr>
        <w:t xml:space="preserve">relating to the stability of the biomarker over time. </w:t>
      </w:r>
      <w:r w:rsidR="00722582" w:rsidRPr="009757D3">
        <w:rPr>
          <w:rFonts w:ascii="Franklin Gothic Book" w:hAnsi="Franklin Gothic Book"/>
          <w:sz w:val="22"/>
          <w:szCs w:val="20"/>
        </w:rPr>
        <w:t xml:space="preserve"> </w:t>
      </w:r>
      <w:r w:rsidR="002B1A57" w:rsidRPr="009757D3">
        <w:rPr>
          <w:rFonts w:ascii="Franklin Gothic Book" w:hAnsi="Franklin Gothic Book"/>
          <w:sz w:val="22"/>
          <w:szCs w:val="20"/>
        </w:rPr>
        <w:t xml:space="preserve"> </w:t>
      </w:r>
    </w:p>
    <w:p w14:paraId="38F8290A" w14:textId="77777777" w:rsidR="00D44F9D" w:rsidRPr="009F0454" w:rsidRDefault="00D44F9D"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Prognostic evidence</w:t>
      </w:r>
    </w:p>
    <w:p w14:paraId="474BD8E6" w14:textId="748F11F5" w:rsidR="005A7959" w:rsidRPr="009F0454" w:rsidRDefault="005A7959" w:rsidP="005A7959">
      <w:pPr>
        <w:rPr>
          <w:rFonts w:ascii="Franklin Gothic Book" w:hAnsi="Franklin Gothic Book"/>
          <w:sz w:val="22"/>
          <w:szCs w:val="20"/>
        </w:rPr>
      </w:pPr>
      <w:r w:rsidRPr="009F0454">
        <w:rPr>
          <w:rFonts w:ascii="Franklin Gothic Book" w:hAnsi="Franklin Gothic Book"/>
          <w:sz w:val="22"/>
          <w:szCs w:val="20"/>
        </w:rPr>
        <w:t xml:space="preserve">The submission presented information on prognostic effect based on a comparison of outcomes for the untreated/standard of care population informed by retrospective testing of patient biomarker positive and biomarker negative status. </w:t>
      </w:r>
    </w:p>
    <w:p w14:paraId="43CCDC80" w14:textId="68E220C7" w:rsidR="005A7959" w:rsidRPr="009757D3" w:rsidRDefault="005A7959" w:rsidP="005A7959">
      <w:pPr>
        <w:rPr>
          <w:rFonts w:ascii="Franklin Gothic Book" w:hAnsi="Franklin Gothic Book"/>
          <w:sz w:val="22"/>
          <w:szCs w:val="20"/>
        </w:rPr>
      </w:pPr>
      <w:r w:rsidRPr="009F0454">
        <w:rPr>
          <w:rFonts w:ascii="Franklin Gothic Book" w:hAnsi="Franklin Gothic Book"/>
          <w:sz w:val="22"/>
          <w:szCs w:val="20"/>
        </w:rPr>
        <w:t>An overview of the four included studies reporting on the potential prognostic effect of FRα expression is provided above in</w:t>
      </w:r>
      <w:r w:rsidR="00946F0D">
        <w:rPr>
          <w:rFonts w:ascii="Franklin Gothic Book" w:hAnsi="Franklin Gothic Book"/>
          <w:sz w:val="22"/>
          <w:szCs w:val="20"/>
        </w:rPr>
        <w:t xml:space="preserve"> </w:t>
      </w:r>
      <w:r w:rsidR="00DB6EE6" w:rsidRPr="009F0454" w:rsidDel="00946F0D">
        <w:rPr>
          <w:rFonts w:ascii="Franklin Gothic Book" w:hAnsi="Franklin Gothic Book"/>
          <w:sz w:val="22"/>
          <w:szCs w:val="20"/>
        </w:rPr>
        <w:fldChar w:fldCharType="begin"/>
      </w:r>
      <w:r w:rsidR="00DB6EE6" w:rsidRPr="009F0454" w:rsidDel="00946F0D">
        <w:rPr>
          <w:rFonts w:ascii="Franklin Gothic Book" w:hAnsi="Franklin Gothic Book"/>
          <w:sz w:val="22"/>
          <w:szCs w:val="20"/>
        </w:rPr>
        <w:fldChar w:fldCharType="separate"/>
      </w:r>
      <w:r w:rsidR="0068665D" w:rsidRPr="0068665D" w:rsidDel="00946F0D">
        <w:rPr>
          <w:rFonts w:ascii="Franklin Gothic Book" w:hAnsi="Franklin Gothic Book"/>
          <w:sz w:val="22"/>
          <w:szCs w:val="20"/>
        </w:rPr>
        <w:t xml:space="preserve">Table </w:t>
      </w:r>
      <w:r w:rsidR="00946F0D" w:rsidRPr="009757D3">
        <w:rPr>
          <w:rFonts w:ascii="Franklin Gothic Book" w:hAnsi="Franklin Gothic Book"/>
          <w:sz w:val="22"/>
          <w:szCs w:val="20"/>
        </w:rPr>
        <w:t>11</w:t>
      </w:r>
      <w:r w:rsidR="00DB6EE6" w:rsidRPr="009F0454" w:rsidDel="00946F0D">
        <w:rPr>
          <w:rFonts w:ascii="Franklin Gothic Book" w:hAnsi="Franklin Gothic Book"/>
          <w:sz w:val="22"/>
          <w:szCs w:val="20"/>
        </w:rPr>
        <w:fldChar w:fldCharType="end"/>
      </w:r>
      <w:r w:rsidR="00946F0D">
        <w:rPr>
          <w:rFonts w:ascii="Franklin Gothic Book" w:hAnsi="Franklin Gothic Book"/>
          <w:sz w:val="22"/>
          <w:szCs w:val="20"/>
        </w:rPr>
        <w:fldChar w:fldCharType="begin"/>
      </w:r>
      <w:r w:rsidR="00946F0D">
        <w:rPr>
          <w:rFonts w:ascii="Franklin Gothic Book" w:hAnsi="Franklin Gothic Book"/>
          <w:sz w:val="22"/>
          <w:szCs w:val="20"/>
        </w:rPr>
        <w:instrText xml:space="preserve"> REF _Ref198566178 \h </w:instrText>
      </w:r>
      <w:r w:rsidR="009757D3">
        <w:rPr>
          <w:rFonts w:ascii="Franklin Gothic Book" w:hAnsi="Franklin Gothic Book"/>
          <w:sz w:val="22"/>
          <w:szCs w:val="20"/>
        </w:rPr>
        <w:instrText xml:space="preserve"> \* MERGEFORMAT </w:instrText>
      </w:r>
      <w:r w:rsidR="00946F0D">
        <w:rPr>
          <w:rFonts w:ascii="Franklin Gothic Book" w:hAnsi="Franklin Gothic Book"/>
          <w:sz w:val="22"/>
          <w:szCs w:val="20"/>
        </w:rPr>
      </w:r>
      <w:r w:rsidR="00946F0D">
        <w:rPr>
          <w:rFonts w:ascii="Franklin Gothic Book" w:hAnsi="Franklin Gothic Book"/>
          <w:sz w:val="22"/>
          <w:szCs w:val="20"/>
        </w:rPr>
        <w:fldChar w:fldCharType="separate"/>
      </w:r>
      <w:r w:rsidR="00946F0D" w:rsidRPr="009757D3">
        <w:rPr>
          <w:rFonts w:ascii="Franklin Gothic Book" w:hAnsi="Franklin Gothic Book"/>
          <w:sz w:val="22"/>
          <w:szCs w:val="20"/>
        </w:rPr>
        <w:t>Table 11</w:t>
      </w:r>
      <w:r w:rsidR="00946F0D">
        <w:rPr>
          <w:rFonts w:ascii="Franklin Gothic Book" w:hAnsi="Franklin Gothic Book"/>
          <w:sz w:val="22"/>
          <w:szCs w:val="20"/>
        </w:rPr>
        <w:fldChar w:fldCharType="end"/>
      </w:r>
      <w:r w:rsidRPr="009F0454">
        <w:rPr>
          <w:rFonts w:ascii="Franklin Gothic Book" w:hAnsi="Franklin Gothic Book"/>
          <w:sz w:val="22"/>
          <w:szCs w:val="20"/>
        </w:rPr>
        <w:t>. All four studies were retrospective non-comparative, observational studies of gynaecological IHC pathology cases. The included studies for prognostic validity were also single arm, non-comparative studies considered to be at a high risk of bias due to selection bias (Crane et al, 2012; Kalli et al, 2008) or confounding (Lawson et al, 2024; 22.4% of patients received MIRV prior to outcome reporting). Only Lawson et al, (2024) used a validated test for FR</w:t>
      </w:r>
      <w:r w:rsidRPr="009757D3">
        <w:rPr>
          <w:rFonts w:ascii="Franklin Gothic Book" w:hAnsi="Franklin Gothic Book"/>
          <w:sz w:val="22"/>
          <w:szCs w:val="20"/>
        </w:rPr>
        <w:t>α</w:t>
      </w:r>
      <w:r w:rsidRPr="009F0454">
        <w:rPr>
          <w:rFonts w:ascii="Franklin Gothic Book" w:hAnsi="Franklin Gothic Book"/>
          <w:sz w:val="22"/>
          <w:szCs w:val="20"/>
        </w:rPr>
        <w:t xml:space="preserve"> expression IHC. Three of the four included studies K</w:t>
      </w:r>
      <w:r w:rsidRPr="009757D3">
        <w:rPr>
          <w:rFonts w:ascii="Franklin Gothic Book" w:hAnsi="Franklin Gothic Book"/>
          <w:sz w:val="22"/>
          <w:szCs w:val="20"/>
        </w:rPr>
        <w:t>ö</w:t>
      </w:r>
      <w:r w:rsidRPr="009F0454">
        <w:rPr>
          <w:rFonts w:ascii="Franklin Gothic Book" w:hAnsi="Franklin Gothic Book"/>
          <w:sz w:val="22"/>
          <w:szCs w:val="20"/>
        </w:rPr>
        <w:t>bel et al (2014), Crane et al, (2012) and Kalli et al, (2008) employed different FR</w:t>
      </w:r>
      <w:r w:rsidRPr="009757D3">
        <w:rPr>
          <w:rFonts w:ascii="Franklin Gothic Book" w:hAnsi="Franklin Gothic Book"/>
          <w:sz w:val="22"/>
          <w:szCs w:val="20"/>
        </w:rPr>
        <w:t>α</w:t>
      </w:r>
      <w:r w:rsidRPr="009F0454">
        <w:rPr>
          <w:rFonts w:ascii="Franklin Gothic Book" w:hAnsi="Franklin Gothic Book"/>
          <w:sz w:val="22"/>
          <w:szCs w:val="20"/>
        </w:rPr>
        <w:t xml:space="preserve"> expression test methods and as such definitions of test positivity/negativity were different to those obtained with the Ventana FOLR1 assay (which was used in the Lawson et al, 2024 study). </w:t>
      </w:r>
    </w:p>
    <w:p w14:paraId="2533F863" w14:textId="71EFAB9A" w:rsidR="005A7959" w:rsidRPr="009F0454" w:rsidRDefault="002E071C" w:rsidP="005A7959">
      <w:pPr>
        <w:rPr>
          <w:rFonts w:ascii="Franklin Gothic Book" w:hAnsi="Franklin Gothic Book"/>
          <w:sz w:val="22"/>
          <w:szCs w:val="20"/>
        </w:rPr>
      </w:pPr>
      <w:r w:rsidRPr="009F0454">
        <w:rPr>
          <w:rFonts w:ascii="Franklin Gothic Book" w:hAnsi="Franklin Gothic Book"/>
          <w:sz w:val="22"/>
          <w:szCs w:val="20"/>
        </w:rPr>
        <w:t xml:space="preserve">The commentary </w:t>
      </w:r>
      <w:r w:rsidR="00726426" w:rsidRPr="009F0454">
        <w:rPr>
          <w:rFonts w:ascii="Franklin Gothic Book" w:hAnsi="Franklin Gothic Book"/>
          <w:sz w:val="22"/>
          <w:szCs w:val="20"/>
        </w:rPr>
        <w:t>considered that n</w:t>
      </w:r>
      <w:r w:rsidR="005A7959" w:rsidRPr="009F0454">
        <w:rPr>
          <w:rFonts w:ascii="Franklin Gothic Book" w:hAnsi="Franklin Gothic Book"/>
          <w:sz w:val="22"/>
          <w:szCs w:val="20"/>
        </w:rPr>
        <w:t>oting the above constraints on the data, none of the four studies reported a difference in survival outcomes for the patients who tested FR</w:t>
      </w:r>
      <w:r w:rsidR="005A7959" w:rsidRPr="009757D3">
        <w:rPr>
          <w:rFonts w:ascii="Franklin Gothic Book" w:hAnsi="Franklin Gothic Book"/>
          <w:sz w:val="22"/>
          <w:szCs w:val="20"/>
        </w:rPr>
        <w:t>α</w:t>
      </w:r>
      <w:r w:rsidR="005A7959" w:rsidRPr="009F0454">
        <w:rPr>
          <w:rFonts w:ascii="Franklin Gothic Book" w:hAnsi="Franklin Gothic Book"/>
          <w:sz w:val="22"/>
          <w:szCs w:val="20"/>
        </w:rPr>
        <w:t xml:space="preserve"> expression positive compared with FR</w:t>
      </w:r>
      <w:r w:rsidR="005A7959" w:rsidRPr="009757D3">
        <w:rPr>
          <w:rFonts w:ascii="Franklin Gothic Book" w:hAnsi="Franklin Gothic Book"/>
          <w:sz w:val="22"/>
          <w:szCs w:val="20"/>
        </w:rPr>
        <w:t>α</w:t>
      </w:r>
      <w:r w:rsidR="005A7959" w:rsidRPr="009F0454">
        <w:rPr>
          <w:rFonts w:ascii="Franklin Gothic Book" w:hAnsi="Franklin Gothic Book"/>
          <w:sz w:val="22"/>
          <w:szCs w:val="20"/>
        </w:rPr>
        <w:t xml:space="preserve"> expression negative. As such, the commentary considered there was no evidence to suggest that FR</w:t>
      </w:r>
      <w:r w:rsidR="005A7959" w:rsidRPr="009757D3">
        <w:rPr>
          <w:rFonts w:ascii="Franklin Gothic Book" w:hAnsi="Franklin Gothic Book"/>
          <w:sz w:val="22"/>
          <w:szCs w:val="20"/>
        </w:rPr>
        <w:t>α</w:t>
      </w:r>
      <w:r w:rsidR="005A7959" w:rsidRPr="009F0454">
        <w:rPr>
          <w:rFonts w:ascii="Franklin Gothic Book" w:hAnsi="Franklin Gothic Book"/>
          <w:sz w:val="22"/>
          <w:szCs w:val="20"/>
        </w:rPr>
        <w:t xml:space="preserve"> expression levels were informative as a prognostic biomarker for ovarian cancer.</w:t>
      </w:r>
    </w:p>
    <w:p w14:paraId="18ED7687" w14:textId="77777777" w:rsidR="00D44F9D" w:rsidRPr="009F0454" w:rsidRDefault="00D44F9D" w:rsidP="009F0454">
      <w:pPr>
        <w:pStyle w:val="Heading4"/>
        <w:tabs>
          <w:tab w:val="left" w:pos="851"/>
        </w:tabs>
        <w:spacing w:before="360" w:after="200" w:line="240" w:lineRule="auto"/>
        <w:rPr>
          <w:rFonts w:ascii="Franklin Gothic Medium" w:hAnsi="Franklin Gothic Medium"/>
          <w:b w:val="0"/>
          <w:i/>
          <w:color w:val="auto"/>
          <w:szCs w:val="24"/>
        </w:rPr>
      </w:pPr>
      <w:r w:rsidRPr="009F0454">
        <w:rPr>
          <w:rFonts w:ascii="Franklin Gothic Medium" w:hAnsi="Franklin Gothic Medium"/>
          <w:b w:val="0"/>
          <w:i/>
          <w:color w:val="auto"/>
          <w:szCs w:val="24"/>
        </w:rPr>
        <w:t xml:space="preserve">Predictive evidence </w:t>
      </w:r>
    </w:p>
    <w:p w14:paraId="62EF6D2F" w14:textId="55766E51" w:rsidR="005A7959" w:rsidRPr="009F0454" w:rsidRDefault="005A7959" w:rsidP="005A7959">
      <w:pPr>
        <w:rPr>
          <w:rFonts w:ascii="Franklin Gothic Book" w:hAnsi="Franklin Gothic Book"/>
          <w:sz w:val="22"/>
          <w:szCs w:val="20"/>
        </w:rPr>
      </w:pPr>
      <w:r w:rsidRPr="009F0454">
        <w:rPr>
          <w:rFonts w:ascii="Franklin Gothic Book" w:hAnsi="Franklin Gothic Book"/>
          <w:sz w:val="22"/>
          <w:szCs w:val="20"/>
        </w:rPr>
        <w:t>In the MIRV Phase I study (Martin et al, 2017), 27 patients evaluable for efficacy were included in an analysis of the clinical activity of MIRV by FRα expression level (</w:t>
      </w:r>
      <w:r w:rsidR="001D1448">
        <w:rPr>
          <w:rFonts w:ascii="Franklin Gothic Book" w:hAnsi="Franklin Gothic Book"/>
          <w:sz w:val="22"/>
          <w:szCs w:val="20"/>
        </w:rPr>
        <w:fldChar w:fldCharType="begin"/>
      </w:r>
      <w:r w:rsidR="001D1448">
        <w:rPr>
          <w:rFonts w:ascii="Franklin Gothic Book" w:hAnsi="Franklin Gothic Book"/>
          <w:sz w:val="22"/>
          <w:szCs w:val="20"/>
        </w:rPr>
        <w:instrText xml:space="preserve"> REF _Ref198566386 \h </w:instrText>
      </w:r>
      <w:r w:rsidR="009757D3">
        <w:rPr>
          <w:rFonts w:ascii="Franklin Gothic Book" w:hAnsi="Franklin Gothic Book"/>
          <w:sz w:val="22"/>
          <w:szCs w:val="20"/>
        </w:rPr>
        <w:instrText xml:space="preserve"> \* MERGEFORMAT </w:instrText>
      </w:r>
      <w:r w:rsidR="001D1448">
        <w:rPr>
          <w:rFonts w:ascii="Franklin Gothic Book" w:hAnsi="Franklin Gothic Book"/>
          <w:sz w:val="22"/>
          <w:szCs w:val="20"/>
        </w:rPr>
      </w:r>
      <w:r w:rsidR="001D1448">
        <w:rPr>
          <w:rFonts w:ascii="Franklin Gothic Book" w:hAnsi="Franklin Gothic Book"/>
          <w:sz w:val="22"/>
          <w:szCs w:val="20"/>
        </w:rPr>
        <w:fldChar w:fldCharType="separate"/>
      </w:r>
      <w:r w:rsidR="001D1448" w:rsidRPr="009757D3">
        <w:rPr>
          <w:rFonts w:ascii="Franklin Gothic Book" w:hAnsi="Franklin Gothic Book"/>
          <w:sz w:val="22"/>
          <w:szCs w:val="20"/>
        </w:rPr>
        <w:t>Table 15</w:t>
      </w:r>
      <w:r w:rsidR="001D1448">
        <w:rPr>
          <w:rFonts w:ascii="Franklin Gothic Book" w:hAnsi="Franklin Gothic Book"/>
          <w:sz w:val="22"/>
          <w:szCs w:val="20"/>
        </w:rPr>
        <w:fldChar w:fldCharType="end"/>
      </w:r>
      <w:r w:rsidR="00DB6EE6" w:rsidRPr="009F0454">
        <w:rPr>
          <w:rFonts w:ascii="Franklin Gothic Book" w:hAnsi="Franklin Gothic Book"/>
          <w:sz w:val="22"/>
          <w:szCs w:val="20"/>
        </w:rPr>
        <w:fldChar w:fldCharType="begin"/>
      </w:r>
      <w:r w:rsidR="00DB6EE6" w:rsidRPr="009F0454">
        <w:rPr>
          <w:rFonts w:ascii="Franklin Gothic Book" w:hAnsi="Franklin Gothic Book"/>
          <w:sz w:val="22"/>
          <w:szCs w:val="20"/>
        </w:rPr>
        <w:instrText xml:space="preserve"> REF _Ref198566386 \h </w:instrText>
      </w:r>
      <w:r w:rsidR="009F0454" w:rsidRPr="009F0454">
        <w:rPr>
          <w:rFonts w:ascii="Franklin Gothic Book" w:hAnsi="Franklin Gothic Book"/>
          <w:sz w:val="22"/>
          <w:szCs w:val="20"/>
        </w:rPr>
        <w:instrText xml:space="preserve"> \* MERGEFORMAT </w:instrText>
      </w:r>
      <w:r w:rsidR="00DB6EE6" w:rsidRPr="009F0454">
        <w:rPr>
          <w:rFonts w:ascii="Franklin Gothic Book" w:hAnsi="Franklin Gothic Book"/>
          <w:sz w:val="22"/>
          <w:szCs w:val="20"/>
        </w:rPr>
      </w:r>
      <w:r w:rsidR="00DB6EE6" w:rsidRPr="009F0454">
        <w:rPr>
          <w:rFonts w:ascii="Franklin Gothic Book" w:hAnsi="Franklin Gothic Book"/>
          <w:sz w:val="22"/>
          <w:szCs w:val="20"/>
        </w:rPr>
        <w:fldChar w:fldCharType="separate"/>
      </w:r>
      <w:r w:rsidR="00DB6EE6" w:rsidRPr="009F0454">
        <w:rPr>
          <w:rFonts w:ascii="Franklin Gothic Book" w:hAnsi="Franklin Gothic Book"/>
          <w:sz w:val="22"/>
          <w:szCs w:val="20"/>
        </w:rPr>
        <w:fldChar w:fldCharType="end"/>
      </w:r>
      <w:r w:rsidRPr="009F0454">
        <w:rPr>
          <w:rFonts w:ascii="Franklin Gothic Book" w:hAnsi="Franklin Gothic Book"/>
          <w:sz w:val="22"/>
          <w:szCs w:val="20"/>
        </w:rPr>
        <w:t>).</w:t>
      </w:r>
    </w:p>
    <w:p w14:paraId="163C9CB6" w14:textId="72860CAC" w:rsidR="005A7959" w:rsidRPr="00F10893" w:rsidRDefault="005E37CF" w:rsidP="00BC0C60">
      <w:pPr>
        <w:pStyle w:val="Caption"/>
      </w:pPr>
      <w:bookmarkStart w:id="39" w:name="_Ref198566386"/>
      <w:r>
        <w:lastRenderedPageBreak/>
        <w:t>Table</w:t>
      </w:r>
      <w:r w:rsidR="00DB6EE6" w:rsidRPr="00F10893">
        <w:t xml:space="preserve"> </w:t>
      </w:r>
      <w:r>
        <w:fldChar w:fldCharType="begin"/>
      </w:r>
      <w:r>
        <w:instrText xml:space="preserve"> SEQ Table \* ARABIC </w:instrText>
      </w:r>
      <w:r>
        <w:fldChar w:fldCharType="separate"/>
      </w:r>
      <w:r>
        <w:rPr>
          <w:noProof/>
        </w:rPr>
        <w:t>15</w:t>
      </w:r>
      <w:r>
        <w:rPr>
          <w:noProof/>
        </w:rPr>
        <w:fldChar w:fldCharType="end"/>
      </w:r>
      <w:bookmarkEnd w:id="39"/>
      <w:r w:rsidR="00DB6EE6" w:rsidRPr="00F10893">
        <w:t xml:space="preserve">: </w:t>
      </w:r>
      <w:r w:rsidR="005A7959" w:rsidRPr="00F10893">
        <w:t>MIRV treatment Effect by FRα Expression: Phase 1 Study</w:t>
      </w:r>
    </w:p>
    <w:tbl>
      <w:tblPr>
        <w:tblStyle w:val="TableGrid"/>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13"/>
        <w:gridCol w:w="2037"/>
        <w:gridCol w:w="1362"/>
        <w:gridCol w:w="582"/>
        <w:gridCol w:w="565"/>
        <w:gridCol w:w="1481"/>
        <w:gridCol w:w="1596"/>
      </w:tblGrid>
      <w:tr w:rsidR="0024380E" w:rsidRPr="00F10893" w14:paraId="225681E6" w14:textId="77777777">
        <w:trPr>
          <w:cnfStyle w:val="100000000000" w:firstRow="1" w:lastRow="0" w:firstColumn="0" w:lastColumn="0" w:oddVBand="0" w:evenVBand="0" w:oddHBand="0" w:evenHBand="0" w:firstRowFirstColumn="0" w:firstRowLastColumn="0" w:lastRowFirstColumn="0" w:lastRowLastColumn="0"/>
        </w:trPr>
        <w:tc>
          <w:tcPr>
            <w:tcW w:w="1413" w:type="dxa"/>
          </w:tcPr>
          <w:p w14:paraId="2E54B687" w14:textId="77777777" w:rsidR="005A7959" w:rsidRPr="00F10893" w:rsidRDefault="005A7959" w:rsidP="005A7959">
            <w:pPr>
              <w:keepNext/>
              <w:spacing w:before="0"/>
              <w:jc w:val="left"/>
              <w:rPr>
                <w:rFonts w:ascii="Arial Narrow" w:hAnsi="Arial Narrow"/>
                <w:b w:val="0"/>
                <w:sz w:val="20"/>
                <w:szCs w:val="20"/>
                <w:lang w:val="en-AU"/>
              </w:rPr>
            </w:pPr>
            <w:r w:rsidRPr="00F10893">
              <w:rPr>
                <w:rFonts w:ascii="Arial Narrow" w:hAnsi="Arial Narrow"/>
                <w:sz w:val="20"/>
                <w:szCs w:val="20"/>
                <w:lang w:val="en-AU"/>
              </w:rPr>
              <w:t>FRα expression</w:t>
            </w:r>
          </w:p>
        </w:tc>
        <w:tc>
          <w:tcPr>
            <w:tcW w:w="2037" w:type="dxa"/>
          </w:tcPr>
          <w:p w14:paraId="02EB2CAB" w14:textId="77777777" w:rsidR="005A7959" w:rsidRPr="00F10893" w:rsidRDefault="005A7959" w:rsidP="005A7959">
            <w:pPr>
              <w:keepNext/>
              <w:spacing w:before="0"/>
              <w:jc w:val="left"/>
              <w:rPr>
                <w:rFonts w:ascii="Arial Narrow" w:hAnsi="Arial Narrow"/>
                <w:b w:val="0"/>
                <w:sz w:val="20"/>
                <w:szCs w:val="20"/>
                <w:lang w:val="en-AU"/>
              </w:rPr>
            </w:pPr>
            <w:r w:rsidRPr="00F10893">
              <w:rPr>
                <w:rFonts w:ascii="Arial Narrow" w:hAnsi="Arial Narrow"/>
                <w:sz w:val="20"/>
                <w:szCs w:val="20"/>
                <w:lang w:val="en-AU"/>
              </w:rPr>
              <w:t>Definition</w:t>
            </w:r>
          </w:p>
        </w:tc>
        <w:tc>
          <w:tcPr>
            <w:tcW w:w="1362" w:type="dxa"/>
          </w:tcPr>
          <w:p w14:paraId="131D4483" w14:textId="77777777" w:rsidR="005A7959" w:rsidRPr="00F10893" w:rsidRDefault="005A7959" w:rsidP="005A7959">
            <w:pPr>
              <w:keepNext/>
              <w:spacing w:before="0"/>
              <w:jc w:val="left"/>
              <w:rPr>
                <w:rFonts w:ascii="Arial Narrow" w:hAnsi="Arial Narrow"/>
                <w:b w:val="0"/>
                <w:sz w:val="20"/>
                <w:szCs w:val="20"/>
                <w:lang w:val="en-AU"/>
              </w:rPr>
            </w:pPr>
            <w:r w:rsidRPr="00F10893">
              <w:rPr>
                <w:rFonts w:ascii="Arial Narrow" w:hAnsi="Arial Narrow"/>
                <w:sz w:val="20"/>
                <w:szCs w:val="20"/>
                <w:lang w:val="en-AU"/>
              </w:rPr>
              <w:t># patients</w:t>
            </w:r>
          </w:p>
        </w:tc>
        <w:tc>
          <w:tcPr>
            <w:tcW w:w="582" w:type="dxa"/>
          </w:tcPr>
          <w:p w14:paraId="64DA0565" w14:textId="77777777" w:rsidR="005A7959" w:rsidRPr="00F10893" w:rsidRDefault="005A7959" w:rsidP="005A7959">
            <w:pPr>
              <w:keepNext/>
              <w:spacing w:before="0"/>
              <w:jc w:val="left"/>
              <w:rPr>
                <w:rFonts w:ascii="Arial Narrow" w:hAnsi="Arial Narrow"/>
                <w:sz w:val="20"/>
                <w:szCs w:val="20"/>
                <w:lang w:val="en-AU"/>
              </w:rPr>
            </w:pPr>
            <w:r w:rsidRPr="00F10893">
              <w:rPr>
                <w:rFonts w:ascii="Arial Narrow" w:hAnsi="Arial Narrow"/>
                <w:sz w:val="20"/>
                <w:szCs w:val="20"/>
                <w:lang w:val="en-AU"/>
              </w:rPr>
              <w:t>CR</w:t>
            </w:r>
          </w:p>
        </w:tc>
        <w:tc>
          <w:tcPr>
            <w:tcW w:w="565" w:type="dxa"/>
          </w:tcPr>
          <w:p w14:paraId="1B0DE031" w14:textId="77777777" w:rsidR="005A7959" w:rsidRPr="00F10893" w:rsidRDefault="005A7959" w:rsidP="005A7959">
            <w:pPr>
              <w:keepNext/>
              <w:spacing w:before="0"/>
              <w:jc w:val="left"/>
              <w:rPr>
                <w:rFonts w:ascii="Arial Narrow" w:hAnsi="Arial Narrow"/>
                <w:sz w:val="20"/>
                <w:szCs w:val="20"/>
                <w:lang w:val="en-AU"/>
              </w:rPr>
            </w:pPr>
            <w:r w:rsidRPr="00F10893">
              <w:rPr>
                <w:rFonts w:ascii="Arial Narrow" w:hAnsi="Arial Narrow"/>
                <w:sz w:val="20"/>
                <w:szCs w:val="20"/>
                <w:lang w:val="en-AU"/>
              </w:rPr>
              <w:t>PR</w:t>
            </w:r>
          </w:p>
        </w:tc>
        <w:tc>
          <w:tcPr>
            <w:tcW w:w="1481" w:type="dxa"/>
          </w:tcPr>
          <w:p w14:paraId="7E5E6BDF" w14:textId="77777777" w:rsidR="005A7959" w:rsidRPr="00F10893" w:rsidRDefault="005A7959" w:rsidP="005A7959">
            <w:pPr>
              <w:keepNext/>
              <w:spacing w:before="0"/>
              <w:jc w:val="left"/>
              <w:rPr>
                <w:rFonts w:ascii="Arial Narrow" w:hAnsi="Arial Narrow"/>
                <w:sz w:val="20"/>
                <w:szCs w:val="20"/>
                <w:lang w:val="en-AU"/>
              </w:rPr>
            </w:pPr>
            <w:r w:rsidRPr="00F10893">
              <w:rPr>
                <w:rFonts w:ascii="Arial Narrow" w:hAnsi="Arial Narrow"/>
                <w:sz w:val="20"/>
                <w:szCs w:val="20"/>
                <w:lang w:val="en-AU"/>
              </w:rPr>
              <w:t>ORR, N (%)</w:t>
            </w:r>
          </w:p>
        </w:tc>
        <w:tc>
          <w:tcPr>
            <w:tcW w:w="1596" w:type="dxa"/>
          </w:tcPr>
          <w:p w14:paraId="075D536F" w14:textId="77777777" w:rsidR="005A7959" w:rsidRPr="00F10893" w:rsidRDefault="005A7959" w:rsidP="005A7959">
            <w:pPr>
              <w:keepNext/>
              <w:spacing w:before="0"/>
              <w:jc w:val="left"/>
              <w:rPr>
                <w:rFonts w:ascii="Arial Narrow" w:hAnsi="Arial Narrow"/>
                <w:b w:val="0"/>
                <w:sz w:val="20"/>
                <w:szCs w:val="20"/>
                <w:lang w:val="en-AU"/>
              </w:rPr>
            </w:pPr>
            <w:r w:rsidRPr="00F10893">
              <w:rPr>
                <w:rFonts w:ascii="Arial Narrow" w:hAnsi="Arial Narrow"/>
                <w:sz w:val="20"/>
                <w:szCs w:val="20"/>
                <w:lang w:val="en-AU"/>
              </w:rPr>
              <w:t>PFS (months), median (95% CI)</w:t>
            </w:r>
          </w:p>
        </w:tc>
      </w:tr>
      <w:tr w:rsidR="005A7959" w:rsidRPr="00F10893" w14:paraId="655AF066" w14:textId="77777777">
        <w:tc>
          <w:tcPr>
            <w:tcW w:w="1413" w:type="dxa"/>
          </w:tcPr>
          <w:p w14:paraId="6BC20D59"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Overall</w:t>
            </w:r>
          </w:p>
        </w:tc>
        <w:tc>
          <w:tcPr>
            <w:tcW w:w="2037" w:type="dxa"/>
          </w:tcPr>
          <w:p w14:paraId="0E870366"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cs="Calibri"/>
                <w:sz w:val="20"/>
                <w:szCs w:val="20"/>
                <w:lang w:val="en-AU"/>
              </w:rPr>
              <w:t>≥</w:t>
            </w:r>
            <w:r w:rsidRPr="00F10893">
              <w:rPr>
                <w:rFonts w:ascii="Arial Narrow" w:hAnsi="Arial Narrow"/>
                <w:sz w:val="20"/>
                <w:szCs w:val="20"/>
                <w:lang w:val="en-AU"/>
              </w:rPr>
              <w:t xml:space="preserve">25% of tumour cell with </w:t>
            </w:r>
            <w:r w:rsidRPr="00F10893">
              <w:rPr>
                <w:rFonts w:ascii="Arial Narrow" w:hAnsi="Arial Narrow" w:cs="Calibri"/>
                <w:sz w:val="20"/>
                <w:szCs w:val="20"/>
                <w:lang w:val="en-AU"/>
              </w:rPr>
              <w:t>≥</w:t>
            </w:r>
            <w:r w:rsidRPr="00F10893">
              <w:rPr>
                <w:rFonts w:ascii="Arial Narrow" w:hAnsi="Arial Narrow"/>
                <w:sz w:val="20"/>
                <w:szCs w:val="20"/>
                <w:lang w:val="en-AU"/>
              </w:rPr>
              <w:t>2+ staining</w:t>
            </w:r>
          </w:p>
        </w:tc>
        <w:tc>
          <w:tcPr>
            <w:tcW w:w="1362" w:type="dxa"/>
          </w:tcPr>
          <w:p w14:paraId="6C9A2177"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27</w:t>
            </w:r>
          </w:p>
        </w:tc>
        <w:tc>
          <w:tcPr>
            <w:tcW w:w="582" w:type="dxa"/>
          </w:tcPr>
          <w:p w14:paraId="7002C205"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2</w:t>
            </w:r>
          </w:p>
        </w:tc>
        <w:tc>
          <w:tcPr>
            <w:tcW w:w="565" w:type="dxa"/>
          </w:tcPr>
          <w:p w14:paraId="34DA3A52"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4</w:t>
            </w:r>
          </w:p>
        </w:tc>
        <w:tc>
          <w:tcPr>
            <w:tcW w:w="1481" w:type="dxa"/>
          </w:tcPr>
          <w:p w14:paraId="32FC230C"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6 (22.2%)</w:t>
            </w:r>
          </w:p>
        </w:tc>
        <w:tc>
          <w:tcPr>
            <w:tcW w:w="1596" w:type="dxa"/>
          </w:tcPr>
          <w:p w14:paraId="0DD9533C"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4.2 (2.8, 5.4)</w:t>
            </w:r>
          </w:p>
        </w:tc>
      </w:tr>
      <w:tr w:rsidR="005A7959" w:rsidRPr="00F10893" w14:paraId="5F1C308D" w14:textId="77777777">
        <w:tc>
          <w:tcPr>
            <w:tcW w:w="1413" w:type="dxa"/>
          </w:tcPr>
          <w:p w14:paraId="6CC55D75"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Low</w:t>
            </w:r>
          </w:p>
        </w:tc>
        <w:tc>
          <w:tcPr>
            <w:tcW w:w="2037" w:type="dxa"/>
          </w:tcPr>
          <w:p w14:paraId="6A9F3AA0"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 xml:space="preserve">25%-49% of tumour cell with </w:t>
            </w:r>
            <w:r w:rsidRPr="00F10893">
              <w:rPr>
                <w:rFonts w:ascii="Arial Narrow" w:hAnsi="Arial Narrow" w:cs="Calibri"/>
                <w:sz w:val="20"/>
                <w:szCs w:val="20"/>
                <w:lang w:val="en-AU"/>
              </w:rPr>
              <w:t>≥</w:t>
            </w:r>
            <w:r w:rsidRPr="00F10893">
              <w:rPr>
                <w:rFonts w:ascii="Arial Narrow" w:hAnsi="Arial Narrow"/>
                <w:sz w:val="20"/>
                <w:szCs w:val="20"/>
                <w:lang w:val="en-AU"/>
              </w:rPr>
              <w:t>2+ staining</w:t>
            </w:r>
          </w:p>
        </w:tc>
        <w:tc>
          <w:tcPr>
            <w:tcW w:w="1362" w:type="dxa"/>
          </w:tcPr>
          <w:p w14:paraId="79990654"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6</w:t>
            </w:r>
          </w:p>
        </w:tc>
        <w:tc>
          <w:tcPr>
            <w:tcW w:w="582" w:type="dxa"/>
          </w:tcPr>
          <w:p w14:paraId="7E94CE88"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0</w:t>
            </w:r>
          </w:p>
        </w:tc>
        <w:tc>
          <w:tcPr>
            <w:tcW w:w="565" w:type="dxa"/>
          </w:tcPr>
          <w:p w14:paraId="2DC427BA"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0</w:t>
            </w:r>
          </w:p>
        </w:tc>
        <w:tc>
          <w:tcPr>
            <w:tcW w:w="1481" w:type="dxa"/>
          </w:tcPr>
          <w:p w14:paraId="5934C8D6"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0 (0%)</w:t>
            </w:r>
          </w:p>
        </w:tc>
        <w:tc>
          <w:tcPr>
            <w:tcW w:w="1596" w:type="dxa"/>
          </w:tcPr>
          <w:p w14:paraId="59099168"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2.8 (1.3, 5.4)</w:t>
            </w:r>
          </w:p>
        </w:tc>
      </w:tr>
      <w:tr w:rsidR="005A7959" w:rsidRPr="00F10893" w14:paraId="7BACB2A4" w14:textId="77777777">
        <w:tc>
          <w:tcPr>
            <w:tcW w:w="1413" w:type="dxa"/>
          </w:tcPr>
          <w:p w14:paraId="577F6F08"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Medium</w:t>
            </w:r>
          </w:p>
        </w:tc>
        <w:tc>
          <w:tcPr>
            <w:tcW w:w="2037" w:type="dxa"/>
          </w:tcPr>
          <w:p w14:paraId="4ED36FA1"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 xml:space="preserve">50%-74% of tumour cell with </w:t>
            </w:r>
            <w:r w:rsidRPr="00F10893">
              <w:rPr>
                <w:rFonts w:ascii="Arial Narrow" w:hAnsi="Arial Narrow" w:cs="Calibri"/>
                <w:sz w:val="20"/>
                <w:szCs w:val="20"/>
                <w:lang w:val="en-AU"/>
              </w:rPr>
              <w:t>≥</w:t>
            </w:r>
            <w:r w:rsidRPr="00F10893">
              <w:rPr>
                <w:rFonts w:ascii="Arial Narrow" w:hAnsi="Arial Narrow"/>
                <w:sz w:val="20"/>
                <w:szCs w:val="20"/>
                <w:lang w:val="en-AU"/>
              </w:rPr>
              <w:t>2+ staining</w:t>
            </w:r>
          </w:p>
        </w:tc>
        <w:tc>
          <w:tcPr>
            <w:tcW w:w="1362" w:type="dxa"/>
          </w:tcPr>
          <w:p w14:paraId="206E58A5"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5</w:t>
            </w:r>
          </w:p>
        </w:tc>
        <w:tc>
          <w:tcPr>
            <w:tcW w:w="582" w:type="dxa"/>
          </w:tcPr>
          <w:p w14:paraId="444B6DA9"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0</w:t>
            </w:r>
          </w:p>
        </w:tc>
        <w:tc>
          <w:tcPr>
            <w:tcW w:w="565" w:type="dxa"/>
          </w:tcPr>
          <w:p w14:paraId="1CBABD52"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1</w:t>
            </w:r>
          </w:p>
        </w:tc>
        <w:tc>
          <w:tcPr>
            <w:tcW w:w="1481" w:type="dxa"/>
          </w:tcPr>
          <w:p w14:paraId="42FDACDC"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1 (20%)</w:t>
            </w:r>
          </w:p>
        </w:tc>
        <w:tc>
          <w:tcPr>
            <w:tcW w:w="1596" w:type="dxa"/>
          </w:tcPr>
          <w:p w14:paraId="18DD44FF"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3.9 (2.6, 12.7)</w:t>
            </w:r>
          </w:p>
        </w:tc>
      </w:tr>
      <w:tr w:rsidR="005A7959" w:rsidRPr="00F10893" w14:paraId="76CA2FE0" w14:textId="77777777">
        <w:tc>
          <w:tcPr>
            <w:tcW w:w="1413" w:type="dxa"/>
          </w:tcPr>
          <w:p w14:paraId="2B4E2CC6"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sz w:val="20"/>
                <w:szCs w:val="20"/>
                <w:lang w:val="en-AU"/>
              </w:rPr>
              <w:t>High</w:t>
            </w:r>
          </w:p>
        </w:tc>
        <w:tc>
          <w:tcPr>
            <w:tcW w:w="2037" w:type="dxa"/>
          </w:tcPr>
          <w:p w14:paraId="711870AF" w14:textId="77777777" w:rsidR="005A7959" w:rsidRPr="00F10893" w:rsidRDefault="005A7959" w:rsidP="005A7959">
            <w:pPr>
              <w:spacing w:before="0"/>
              <w:ind w:left="57" w:right="57"/>
              <w:rPr>
                <w:rFonts w:ascii="Arial Narrow" w:hAnsi="Arial Narrow"/>
                <w:sz w:val="20"/>
                <w:szCs w:val="20"/>
                <w:lang w:val="en-AU"/>
              </w:rPr>
            </w:pPr>
            <w:r w:rsidRPr="00F10893">
              <w:rPr>
                <w:rFonts w:ascii="Arial Narrow" w:hAnsi="Arial Narrow" w:cs="Calibri"/>
                <w:sz w:val="20"/>
                <w:szCs w:val="20"/>
                <w:lang w:val="en-AU"/>
              </w:rPr>
              <w:t>≥75</w:t>
            </w:r>
            <w:r w:rsidRPr="00F10893">
              <w:rPr>
                <w:rFonts w:ascii="Arial Narrow" w:hAnsi="Arial Narrow"/>
                <w:sz w:val="20"/>
                <w:szCs w:val="20"/>
                <w:lang w:val="en-AU"/>
              </w:rPr>
              <w:t xml:space="preserve">% of tumour cell with </w:t>
            </w:r>
            <w:r w:rsidRPr="00F10893">
              <w:rPr>
                <w:rFonts w:ascii="Arial Narrow" w:hAnsi="Arial Narrow" w:cs="Calibri"/>
                <w:sz w:val="20"/>
                <w:szCs w:val="20"/>
                <w:lang w:val="en-AU"/>
              </w:rPr>
              <w:t>≥</w:t>
            </w:r>
            <w:r w:rsidRPr="00F10893">
              <w:rPr>
                <w:rFonts w:ascii="Arial Narrow" w:hAnsi="Arial Narrow"/>
                <w:sz w:val="20"/>
                <w:szCs w:val="20"/>
                <w:lang w:val="en-AU"/>
              </w:rPr>
              <w:t>2+ staining</w:t>
            </w:r>
          </w:p>
        </w:tc>
        <w:tc>
          <w:tcPr>
            <w:tcW w:w="1362" w:type="dxa"/>
          </w:tcPr>
          <w:p w14:paraId="51A7D1B9"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16</w:t>
            </w:r>
          </w:p>
        </w:tc>
        <w:tc>
          <w:tcPr>
            <w:tcW w:w="582" w:type="dxa"/>
          </w:tcPr>
          <w:p w14:paraId="2E2592A1"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2</w:t>
            </w:r>
          </w:p>
        </w:tc>
        <w:tc>
          <w:tcPr>
            <w:tcW w:w="565" w:type="dxa"/>
          </w:tcPr>
          <w:p w14:paraId="7276FDF5"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3</w:t>
            </w:r>
          </w:p>
        </w:tc>
        <w:tc>
          <w:tcPr>
            <w:tcW w:w="1481" w:type="dxa"/>
          </w:tcPr>
          <w:p w14:paraId="59F9872E"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5 (31.3%)</w:t>
            </w:r>
          </w:p>
        </w:tc>
        <w:tc>
          <w:tcPr>
            <w:tcW w:w="1596" w:type="dxa"/>
          </w:tcPr>
          <w:p w14:paraId="54C3CE32" w14:textId="77777777" w:rsidR="005A7959" w:rsidRPr="00F10893" w:rsidRDefault="005A7959" w:rsidP="005A7959">
            <w:pPr>
              <w:spacing w:before="0"/>
              <w:ind w:left="57" w:right="57"/>
              <w:jc w:val="center"/>
              <w:rPr>
                <w:rFonts w:ascii="Arial Narrow" w:hAnsi="Arial Narrow"/>
                <w:sz w:val="20"/>
                <w:szCs w:val="20"/>
                <w:lang w:val="en-AU"/>
              </w:rPr>
            </w:pPr>
            <w:r w:rsidRPr="00F10893">
              <w:rPr>
                <w:rFonts w:ascii="Arial Narrow" w:hAnsi="Arial Narrow"/>
                <w:sz w:val="20"/>
                <w:szCs w:val="20"/>
                <w:lang w:val="en-AU"/>
              </w:rPr>
              <w:t>5.4 (2.8, --)</w:t>
            </w:r>
          </w:p>
        </w:tc>
      </w:tr>
    </w:tbl>
    <w:p w14:paraId="459B8ACD" w14:textId="6E86A481" w:rsidR="005A7959" w:rsidRPr="00F10893" w:rsidRDefault="005A7959" w:rsidP="005A7959">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Table 2.9</w:t>
      </w:r>
      <w:r w:rsidR="008170CC" w:rsidRPr="00F10893">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24 Treatment Effect by FRα Expression: Phase 1 Study, p152 of the submission</w:t>
      </w:r>
    </w:p>
    <w:p w14:paraId="655A9E8F" w14:textId="6127B5D1" w:rsidR="005A7959" w:rsidRPr="00F10893" w:rsidRDefault="005A7959" w:rsidP="005A7959">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CI= confidence interval; CR= complete response; FRα= folate receptor alpha; MIRV= mirvetuximab soravtansine; N= number of patients in cohort; ORR= objective response rate; PFS= progression-free survival; PR= partial response.</w:t>
      </w:r>
    </w:p>
    <w:p w14:paraId="6081B6C7" w14:textId="77777777" w:rsidR="005A7959" w:rsidRPr="009757D3" w:rsidRDefault="005A7959" w:rsidP="005A7959">
      <w:pPr>
        <w:rPr>
          <w:rFonts w:ascii="Franklin Gothic Book" w:hAnsi="Franklin Gothic Book"/>
          <w:sz w:val="22"/>
          <w:szCs w:val="20"/>
        </w:rPr>
      </w:pPr>
      <w:r w:rsidRPr="009757D3">
        <w:rPr>
          <w:rFonts w:ascii="Franklin Gothic Book" w:hAnsi="Franklin Gothic Book"/>
          <w:sz w:val="22"/>
          <w:szCs w:val="20"/>
        </w:rPr>
        <w:t xml:space="preserve">No patients with low FRα expression showed response to treatment. An increase in the percentage of patients responding to treatment, as well as median progression free survival (PFS), was reported with increasing levels of FRα expression, particularly in the FRα high expression subgroup. This formed the proof of concept for further hypothesis testing in the MIRV clinical program. </w:t>
      </w:r>
    </w:p>
    <w:p w14:paraId="6B4DE089" w14:textId="6C287B53" w:rsidR="005A7959" w:rsidRPr="009757D3" w:rsidRDefault="005A7959" w:rsidP="005A7959">
      <w:pPr>
        <w:rPr>
          <w:rFonts w:ascii="Franklin Gothic Book" w:hAnsi="Franklin Gothic Book"/>
          <w:sz w:val="22"/>
          <w:szCs w:val="20"/>
        </w:rPr>
      </w:pPr>
      <w:r w:rsidRPr="009757D3">
        <w:rPr>
          <w:rFonts w:ascii="Franklin Gothic Book" w:hAnsi="Franklin Gothic Book"/>
          <w:sz w:val="22"/>
          <w:szCs w:val="20"/>
        </w:rPr>
        <w:t>The commentary noted that the FORWARD-I trial employed a different definition of FRα expression test positivity than used for MIRASOL (and proposed for the PBS restriction for MIRV)</w:t>
      </w:r>
      <w:r w:rsidR="00156F8A" w:rsidRPr="009757D3">
        <w:rPr>
          <w:rFonts w:ascii="Franklin Gothic Book" w:hAnsi="Franklin Gothic Book"/>
          <w:sz w:val="22"/>
          <w:szCs w:val="20"/>
        </w:rPr>
        <w:t xml:space="preserve">. </w:t>
      </w:r>
      <w:r w:rsidR="00DA15B7" w:rsidRPr="009757D3">
        <w:rPr>
          <w:rFonts w:ascii="Franklin Gothic Book" w:hAnsi="Franklin Gothic Book"/>
          <w:sz w:val="22"/>
          <w:szCs w:val="20"/>
        </w:rPr>
        <w:t>Nevertheless</w:t>
      </w:r>
      <w:r w:rsidRPr="009757D3">
        <w:rPr>
          <w:rFonts w:ascii="Franklin Gothic Book" w:hAnsi="Franklin Gothic Book"/>
          <w:sz w:val="22"/>
          <w:szCs w:val="20"/>
        </w:rPr>
        <w:t xml:space="preserve">, the trial supports clinical utility of the biomarker, in that it shows the rationale behind the choice of cutoff for the eligible patient population and offers a subgroup that represents a biomarker negative population. </w:t>
      </w:r>
    </w:p>
    <w:p w14:paraId="25ABC55B" w14:textId="521B8FB6" w:rsidR="005A7959" w:rsidRPr="009757D3" w:rsidRDefault="005A7959" w:rsidP="005A7959">
      <w:pPr>
        <w:rPr>
          <w:rFonts w:ascii="Franklin Gothic Book" w:hAnsi="Franklin Gothic Book"/>
          <w:sz w:val="22"/>
          <w:szCs w:val="20"/>
        </w:rPr>
      </w:pPr>
      <w:r w:rsidRPr="009757D3">
        <w:rPr>
          <w:rFonts w:ascii="Franklin Gothic Book" w:hAnsi="Franklin Gothic Book"/>
          <w:sz w:val="22"/>
          <w:szCs w:val="20"/>
        </w:rPr>
        <w:t>The sponsor explored the FORWARD-I data by re-scoring the tissue samples used to determine FRα expression status in the trial using the PS2+ method and compared them to the simplified 10X method used as the basis for the trial (</w:t>
      </w:r>
      <w:r w:rsidR="00F93E12">
        <w:rPr>
          <w:rFonts w:ascii="Franklin Gothic Book" w:hAnsi="Franklin Gothic Book"/>
          <w:sz w:val="22"/>
          <w:szCs w:val="20"/>
        </w:rPr>
        <w:fldChar w:fldCharType="begin"/>
      </w:r>
      <w:r w:rsidR="00F93E12">
        <w:rPr>
          <w:rFonts w:ascii="Franklin Gothic Book" w:hAnsi="Franklin Gothic Book"/>
          <w:sz w:val="22"/>
          <w:szCs w:val="20"/>
        </w:rPr>
        <w:instrText xml:space="preserve"> REF _Ref198566411 \h  \* MERGEFORMAT </w:instrText>
      </w:r>
      <w:r w:rsidR="00F93E12">
        <w:rPr>
          <w:rFonts w:ascii="Franklin Gothic Book" w:hAnsi="Franklin Gothic Book"/>
          <w:sz w:val="22"/>
          <w:szCs w:val="20"/>
        </w:rPr>
      </w:r>
      <w:r w:rsidR="00F93E12">
        <w:rPr>
          <w:rFonts w:ascii="Franklin Gothic Book" w:hAnsi="Franklin Gothic Book"/>
          <w:sz w:val="22"/>
          <w:szCs w:val="20"/>
        </w:rPr>
        <w:fldChar w:fldCharType="separate"/>
      </w:r>
      <w:r w:rsidR="00F93E12" w:rsidRPr="00F93E12">
        <w:rPr>
          <w:rFonts w:ascii="Franklin Gothic Book" w:hAnsi="Franklin Gothic Book"/>
          <w:sz w:val="22"/>
          <w:szCs w:val="20"/>
        </w:rPr>
        <w:t>Table 16</w:t>
      </w:r>
      <w:r w:rsidR="00F93E12">
        <w:rPr>
          <w:rFonts w:ascii="Franklin Gothic Book" w:hAnsi="Franklin Gothic Book"/>
          <w:sz w:val="22"/>
          <w:szCs w:val="20"/>
        </w:rPr>
        <w:fldChar w:fldCharType="end"/>
      </w:r>
      <w:r w:rsidR="00DB6EE6" w:rsidRPr="009757D3" w:rsidDel="00946F0D">
        <w:rPr>
          <w:rFonts w:ascii="Franklin Gothic Book" w:hAnsi="Franklin Gothic Book"/>
          <w:sz w:val="22"/>
          <w:szCs w:val="20"/>
        </w:rPr>
        <w:fldChar w:fldCharType="begin"/>
      </w:r>
      <w:r w:rsidR="00DB6EE6" w:rsidRPr="009757D3" w:rsidDel="00946F0D">
        <w:rPr>
          <w:rFonts w:ascii="Franklin Gothic Book" w:hAnsi="Franklin Gothic Book"/>
          <w:sz w:val="22"/>
          <w:szCs w:val="20"/>
        </w:rPr>
        <w:fldChar w:fldCharType="separate"/>
      </w:r>
      <w:r w:rsidR="005E37CF" w:rsidRPr="009757D3" w:rsidDel="00946F0D">
        <w:rPr>
          <w:rFonts w:ascii="Franklin Gothic Book" w:hAnsi="Franklin Gothic Book"/>
          <w:sz w:val="22"/>
          <w:szCs w:val="20"/>
        </w:rPr>
        <w:t xml:space="preserve">Table </w:t>
      </w:r>
      <w:r w:rsidR="00946F0D" w:rsidRPr="009757D3">
        <w:rPr>
          <w:rFonts w:ascii="Franklin Gothic Book" w:hAnsi="Franklin Gothic Book"/>
          <w:sz w:val="22"/>
          <w:szCs w:val="20"/>
        </w:rPr>
        <w:t>16</w:t>
      </w:r>
      <w:r w:rsidR="00DB6EE6" w:rsidRPr="009757D3" w:rsidDel="00946F0D">
        <w:rPr>
          <w:rFonts w:ascii="Franklin Gothic Book" w:hAnsi="Franklin Gothic Book"/>
          <w:sz w:val="22"/>
          <w:szCs w:val="20"/>
        </w:rPr>
        <w:fldChar w:fldCharType="end"/>
      </w:r>
      <w:r w:rsidRPr="009757D3">
        <w:rPr>
          <w:rFonts w:ascii="Franklin Gothic Book" w:hAnsi="Franklin Gothic Book"/>
          <w:sz w:val="22"/>
          <w:szCs w:val="20"/>
        </w:rPr>
        <w:t xml:space="preserve">). </w:t>
      </w:r>
    </w:p>
    <w:p w14:paraId="49BF08F4" w14:textId="67F75448" w:rsidR="005A7959" w:rsidRPr="00F10893" w:rsidRDefault="005E37CF" w:rsidP="004B34AE">
      <w:pPr>
        <w:keepNext/>
        <w:keepLines/>
        <w:tabs>
          <w:tab w:val="left" w:pos="1418"/>
        </w:tabs>
        <w:spacing w:before="0" w:after="0" w:line="259" w:lineRule="auto"/>
        <w:ind w:left="1418" w:hanging="1418"/>
        <w:contextualSpacing/>
        <w:jc w:val="left"/>
        <w:rPr>
          <w:rFonts w:ascii="Arial Narrow" w:hAnsi="Arial Narrow"/>
          <w:b/>
          <w:iCs/>
          <w:sz w:val="20"/>
          <w:szCs w:val="18"/>
        </w:rPr>
      </w:pPr>
      <w:bookmarkStart w:id="40" w:name="_Ref198566411"/>
      <w:r>
        <w:rPr>
          <w:rFonts w:ascii="Arial Narrow" w:hAnsi="Arial Narrow"/>
          <w:b/>
          <w:iCs/>
          <w:sz w:val="20"/>
          <w:szCs w:val="18"/>
        </w:rPr>
        <w:t>Table</w:t>
      </w:r>
      <w:r w:rsidR="00DB6EE6"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16</w:t>
      </w:r>
      <w:r>
        <w:rPr>
          <w:rFonts w:ascii="Arial Narrow" w:hAnsi="Arial Narrow"/>
          <w:b/>
          <w:iCs/>
          <w:sz w:val="20"/>
          <w:szCs w:val="18"/>
        </w:rPr>
        <w:fldChar w:fldCharType="end"/>
      </w:r>
      <w:bookmarkEnd w:id="40"/>
      <w:r w:rsidR="00DB6EE6" w:rsidRPr="00F10893">
        <w:rPr>
          <w:rFonts w:ascii="Arial Narrow" w:hAnsi="Arial Narrow"/>
          <w:b/>
          <w:iCs/>
          <w:sz w:val="20"/>
          <w:szCs w:val="18"/>
        </w:rPr>
        <w:t xml:space="preserve">: </w:t>
      </w:r>
      <w:r w:rsidR="005A7959" w:rsidRPr="00F10893">
        <w:rPr>
          <w:rFonts w:ascii="Arial Narrow" w:hAnsi="Arial Narrow"/>
          <w:b/>
          <w:iCs/>
          <w:sz w:val="20"/>
          <w:szCs w:val="18"/>
        </w:rPr>
        <w:t>Results of re-scoring FORWARD-I patients FRα expression levels (N=332)</w:t>
      </w:r>
      <w:r w:rsidR="005A7959" w:rsidRPr="00F10893">
        <w:rPr>
          <w:rFonts w:ascii="Arial Narrow" w:hAnsi="Arial Narrow"/>
          <w:b/>
          <w:iCs/>
          <w:sz w:val="20"/>
          <w:szCs w:val="18"/>
          <w:vertAlign w:val="superscript"/>
        </w:rPr>
        <w:t>a</w:t>
      </w:r>
    </w:p>
    <w:tbl>
      <w:tblPr>
        <w:tblStyle w:val="ACE"/>
        <w:tblW w:w="5000" w:type="pct"/>
        <w:tblCellMar>
          <w:left w:w="28" w:type="dxa"/>
          <w:right w:w="28" w:type="dxa"/>
        </w:tblCellMar>
        <w:tblLook w:val="04A0" w:firstRow="1" w:lastRow="0" w:firstColumn="1" w:lastColumn="0" w:noHBand="0" w:noVBand="1"/>
      </w:tblPr>
      <w:tblGrid>
        <w:gridCol w:w="1838"/>
        <w:gridCol w:w="852"/>
        <w:gridCol w:w="850"/>
        <w:gridCol w:w="566"/>
        <w:gridCol w:w="1430"/>
        <w:gridCol w:w="555"/>
        <w:gridCol w:w="2925"/>
      </w:tblGrid>
      <w:tr w:rsidR="005A7959" w:rsidRPr="00F10893" w14:paraId="6D3BA39E"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40C74AC3"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FRα expression Level</w:t>
            </w:r>
          </w:p>
        </w:tc>
        <w:tc>
          <w:tcPr>
            <w:tcW w:w="472" w:type="pct"/>
            <w:tcBorders>
              <w:top w:val="single" w:sz="4" w:space="0" w:color="auto"/>
              <w:bottom w:val="single" w:sz="4" w:space="0" w:color="auto"/>
              <w:right w:val="single" w:sz="4" w:space="0" w:color="auto"/>
            </w:tcBorders>
            <w:shd w:val="clear" w:color="auto" w:fill="auto"/>
          </w:tcPr>
          <w:p w14:paraId="388BF7AD"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Cutoff</w:t>
            </w:r>
          </w:p>
        </w:tc>
        <w:tc>
          <w:tcPr>
            <w:tcW w:w="471" w:type="pct"/>
            <w:tcBorders>
              <w:top w:val="single" w:sz="4" w:space="0" w:color="auto"/>
              <w:bottom w:val="single" w:sz="4" w:space="0" w:color="auto"/>
            </w:tcBorders>
            <w:shd w:val="clear" w:color="auto" w:fill="auto"/>
            <w:vAlign w:val="center"/>
          </w:tcPr>
          <w:p w14:paraId="6CA983B5"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10X, N</w:t>
            </w:r>
          </w:p>
        </w:tc>
        <w:tc>
          <w:tcPr>
            <w:tcW w:w="314" w:type="pct"/>
            <w:tcBorders>
              <w:top w:val="single" w:sz="4" w:space="0" w:color="auto"/>
              <w:bottom w:val="single" w:sz="4" w:space="0" w:color="auto"/>
              <w:right w:val="single" w:sz="4" w:space="0" w:color="auto"/>
            </w:tcBorders>
            <w:shd w:val="clear" w:color="auto" w:fill="auto"/>
          </w:tcPr>
          <w:p w14:paraId="3E2EAB1E"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w:t>
            </w:r>
          </w:p>
        </w:tc>
        <w:tc>
          <w:tcPr>
            <w:tcW w:w="793" w:type="pct"/>
            <w:tcBorders>
              <w:top w:val="single" w:sz="4" w:space="0" w:color="auto"/>
              <w:bottom w:val="single" w:sz="4" w:space="0" w:color="auto"/>
              <w:right w:val="single" w:sz="4" w:space="0" w:color="auto"/>
            </w:tcBorders>
            <w:shd w:val="clear" w:color="auto" w:fill="auto"/>
            <w:vAlign w:val="center"/>
          </w:tcPr>
          <w:p w14:paraId="1F677B30"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 xml:space="preserve">PS2+, N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FED9962"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3922203D"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 xml:space="preserve">Outcome of re-scoring </w:t>
            </w:r>
          </w:p>
        </w:tc>
      </w:tr>
      <w:tr w:rsidR="005A7959" w:rsidRPr="00F10893" w14:paraId="7A25356A"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2400CDF9"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lang w:val="en-AU"/>
              </w:rPr>
              <w:t>FRα-low (&lt;50%)</w:t>
            </w:r>
          </w:p>
        </w:tc>
        <w:tc>
          <w:tcPr>
            <w:tcW w:w="472" w:type="pct"/>
            <w:tcBorders>
              <w:top w:val="single" w:sz="4" w:space="0" w:color="auto"/>
              <w:bottom w:val="single" w:sz="4" w:space="0" w:color="auto"/>
              <w:right w:val="single" w:sz="4" w:space="0" w:color="auto"/>
            </w:tcBorders>
            <w:shd w:val="clear" w:color="auto" w:fill="auto"/>
            <w:vAlign w:val="center"/>
          </w:tcPr>
          <w:p w14:paraId="4DEAA0BF" w14:textId="77777777" w:rsidR="005A7959" w:rsidRPr="00F10893" w:rsidRDefault="005A7959" w:rsidP="004B34AE">
            <w:pPr>
              <w:keepNext/>
              <w:keepLines/>
              <w:spacing w:before="0"/>
              <w:jc w:val="center"/>
              <w:rPr>
                <w:rFonts w:ascii="Arial Narrow" w:hAnsi="Arial Narrow"/>
                <w:sz w:val="20"/>
                <w:szCs w:val="18"/>
                <w:lang w:val="en-AU"/>
              </w:rPr>
            </w:pPr>
            <w:r w:rsidRPr="00F10893">
              <w:rPr>
                <w:rFonts w:ascii="Arial Narrow" w:hAnsi="Arial Narrow"/>
                <w:sz w:val="20"/>
                <w:szCs w:val="18"/>
                <w:lang w:val="en-AU"/>
              </w:rPr>
              <w:t>0&lt;50%</w:t>
            </w:r>
          </w:p>
        </w:tc>
        <w:tc>
          <w:tcPr>
            <w:tcW w:w="471" w:type="pct"/>
            <w:tcBorders>
              <w:top w:val="single" w:sz="4" w:space="0" w:color="auto"/>
              <w:bottom w:val="single" w:sz="4" w:space="0" w:color="auto"/>
            </w:tcBorders>
            <w:shd w:val="clear" w:color="auto" w:fill="auto"/>
            <w:vAlign w:val="center"/>
          </w:tcPr>
          <w:p w14:paraId="3D25B0AE" w14:textId="77777777" w:rsidR="005A7959" w:rsidRPr="00F10893" w:rsidRDefault="005A7959" w:rsidP="004B34AE">
            <w:pPr>
              <w:keepNext/>
              <w:keepLines/>
              <w:spacing w:before="0"/>
              <w:jc w:val="center"/>
              <w:rPr>
                <w:rFonts w:ascii="Arial Narrow" w:hAnsi="Arial Narrow"/>
                <w:sz w:val="20"/>
                <w:szCs w:val="18"/>
                <w:lang w:val="en-AU"/>
              </w:rPr>
            </w:pPr>
            <w:r w:rsidRPr="00F10893">
              <w:rPr>
                <w:rFonts w:ascii="Arial Narrow" w:hAnsi="Arial Narrow"/>
                <w:sz w:val="20"/>
                <w:szCs w:val="18"/>
                <w:lang w:val="en-AU"/>
              </w:rPr>
              <w:t>0</w:t>
            </w:r>
          </w:p>
        </w:tc>
        <w:tc>
          <w:tcPr>
            <w:tcW w:w="314" w:type="pct"/>
            <w:tcBorders>
              <w:top w:val="single" w:sz="4" w:space="0" w:color="auto"/>
              <w:bottom w:val="single" w:sz="4" w:space="0" w:color="auto"/>
              <w:right w:val="single" w:sz="4" w:space="0" w:color="auto"/>
            </w:tcBorders>
            <w:shd w:val="clear" w:color="auto" w:fill="auto"/>
            <w:vAlign w:val="center"/>
          </w:tcPr>
          <w:p w14:paraId="69F7CF43" w14:textId="77777777" w:rsidR="005A7959" w:rsidRPr="00F10893" w:rsidRDefault="005A7959" w:rsidP="004B34AE">
            <w:pPr>
              <w:keepNext/>
              <w:keepLines/>
              <w:spacing w:before="0"/>
              <w:jc w:val="center"/>
              <w:rPr>
                <w:rFonts w:ascii="Arial Narrow" w:hAnsi="Arial Narrow"/>
                <w:sz w:val="20"/>
                <w:szCs w:val="18"/>
                <w:lang w:val="en-AU"/>
              </w:rPr>
            </w:pPr>
            <w:r w:rsidRPr="00F10893">
              <w:rPr>
                <w:rFonts w:ascii="Arial Narrow" w:hAnsi="Arial Narrow"/>
                <w:sz w:val="20"/>
                <w:szCs w:val="18"/>
                <w:lang w:val="en-AU"/>
              </w:rPr>
              <w:t>--</w:t>
            </w:r>
          </w:p>
        </w:tc>
        <w:tc>
          <w:tcPr>
            <w:tcW w:w="793" w:type="pct"/>
            <w:tcBorders>
              <w:top w:val="single" w:sz="4" w:space="0" w:color="auto"/>
              <w:bottom w:val="single" w:sz="4" w:space="0" w:color="auto"/>
              <w:right w:val="single" w:sz="4" w:space="0" w:color="auto"/>
            </w:tcBorders>
            <w:shd w:val="clear" w:color="auto" w:fill="D1F3B7"/>
            <w:vAlign w:val="center"/>
          </w:tcPr>
          <w:p w14:paraId="62D72530" w14:textId="77777777" w:rsidR="005A7959" w:rsidRPr="00F10893" w:rsidRDefault="005A7959" w:rsidP="004B34AE">
            <w:pPr>
              <w:keepNext/>
              <w:keepLines/>
              <w:spacing w:before="0"/>
              <w:jc w:val="center"/>
              <w:rPr>
                <w:rFonts w:ascii="Arial Narrow" w:hAnsi="Arial Narrow"/>
                <w:sz w:val="20"/>
                <w:szCs w:val="18"/>
                <w:lang w:val="en-AU"/>
              </w:rPr>
            </w:pPr>
            <w:r w:rsidRPr="00F10893">
              <w:rPr>
                <w:rFonts w:ascii="Arial Narrow" w:hAnsi="Arial Narrow"/>
                <w:sz w:val="20"/>
                <w:szCs w:val="18"/>
                <w:lang w:val="en-AU"/>
              </w:rPr>
              <w:t>114</w:t>
            </w:r>
          </w:p>
        </w:tc>
        <w:tc>
          <w:tcPr>
            <w:tcW w:w="308" w:type="pct"/>
            <w:tcBorders>
              <w:top w:val="single" w:sz="4" w:space="0" w:color="auto"/>
              <w:left w:val="single" w:sz="4" w:space="0" w:color="auto"/>
              <w:bottom w:val="single" w:sz="4" w:space="0" w:color="auto"/>
              <w:right w:val="single" w:sz="4" w:space="0" w:color="auto"/>
            </w:tcBorders>
            <w:shd w:val="clear" w:color="auto" w:fill="D1F3B7"/>
            <w:vAlign w:val="center"/>
          </w:tcPr>
          <w:p w14:paraId="72BA9932" w14:textId="77777777" w:rsidR="005A7959" w:rsidRPr="00F10893" w:rsidRDefault="005A7959" w:rsidP="004B34AE">
            <w:pPr>
              <w:keepNext/>
              <w:keepLines/>
              <w:spacing w:before="0"/>
              <w:jc w:val="center"/>
              <w:rPr>
                <w:rFonts w:ascii="Arial Narrow" w:hAnsi="Arial Narrow"/>
                <w:sz w:val="20"/>
                <w:szCs w:val="18"/>
                <w:lang w:val="en-AU"/>
              </w:rPr>
            </w:pPr>
            <w:r w:rsidRPr="00F10893">
              <w:rPr>
                <w:rFonts w:ascii="Arial Narrow" w:hAnsi="Arial Narrow"/>
                <w:sz w:val="20"/>
                <w:szCs w:val="18"/>
                <w:lang w:val="en-AU"/>
              </w:rPr>
              <w:t>34%</w:t>
            </w:r>
          </w:p>
        </w:tc>
        <w:tc>
          <w:tcPr>
            <w:tcW w:w="162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940F8B" w14:textId="77777777" w:rsidR="005A7959" w:rsidRPr="00F10893" w:rsidRDefault="005A7959" w:rsidP="004B34AE">
            <w:pPr>
              <w:keepNext/>
              <w:keepLines/>
              <w:spacing w:before="0"/>
              <w:jc w:val="left"/>
              <w:rPr>
                <w:rFonts w:ascii="Arial Narrow" w:hAnsi="Arial Narrow"/>
                <w:sz w:val="20"/>
                <w:szCs w:val="18"/>
                <w:lang w:val="en-AU"/>
              </w:rPr>
            </w:pPr>
            <w:r w:rsidRPr="00F10893">
              <w:rPr>
                <w:rFonts w:ascii="Arial Narrow" w:hAnsi="Arial Narrow"/>
                <w:sz w:val="20"/>
                <w:szCs w:val="18"/>
                <w:lang w:val="en-AU"/>
              </w:rPr>
              <w:t>Below intended expression cutoff for the FORWARD-I trial</w:t>
            </w:r>
          </w:p>
        </w:tc>
      </w:tr>
      <w:tr w:rsidR="005A7959" w:rsidRPr="00F10893" w14:paraId="55416D82" w14:textId="77777777">
        <w:tc>
          <w:tcPr>
            <w:tcW w:w="1019" w:type="pct"/>
            <w:vMerge w:val="restart"/>
            <w:shd w:val="clear" w:color="auto" w:fill="D1F3B7"/>
            <w:vAlign w:val="center"/>
          </w:tcPr>
          <w:p w14:paraId="007F0F55" w14:textId="77777777" w:rsidR="005A7959" w:rsidRPr="00F10893" w:rsidRDefault="005A7959" w:rsidP="004B34AE">
            <w:pPr>
              <w:keepNext/>
              <w:keepLines/>
              <w:spacing w:before="0"/>
              <w:rPr>
                <w:rFonts w:ascii="Arial Narrow" w:hAnsi="Arial Narrow" w:cs="Calibri"/>
                <w:sz w:val="20"/>
                <w:lang w:val="en-AU"/>
              </w:rPr>
            </w:pPr>
            <w:r w:rsidRPr="00F10893">
              <w:rPr>
                <w:rFonts w:ascii="Arial Narrow" w:hAnsi="Arial Narrow"/>
                <w:sz w:val="20"/>
                <w:lang w:val="en-AU"/>
              </w:rPr>
              <w:t>FRα-medium</w:t>
            </w:r>
          </w:p>
        </w:tc>
        <w:tc>
          <w:tcPr>
            <w:tcW w:w="472" w:type="pct"/>
            <w:vMerge w:val="restart"/>
            <w:shd w:val="clear" w:color="auto" w:fill="D1F3B7"/>
            <w:vAlign w:val="center"/>
          </w:tcPr>
          <w:p w14:paraId="257BF20B"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sz w:val="20"/>
                <w:lang w:val="en-AU"/>
              </w:rPr>
              <w:t>50&lt;75%</w:t>
            </w:r>
          </w:p>
        </w:tc>
        <w:tc>
          <w:tcPr>
            <w:tcW w:w="471" w:type="pct"/>
            <w:vMerge w:val="restart"/>
            <w:shd w:val="clear" w:color="auto" w:fill="D1F3B7"/>
            <w:vAlign w:val="center"/>
          </w:tcPr>
          <w:p w14:paraId="1F015263"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134</w:t>
            </w:r>
          </w:p>
        </w:tc>
        <w:tc>
          <w:tcPr>
            <w:tcW w:w="314" w:type="pct"/>
            <w:vMerge w:val="restart"/>
            <w:shd w:val="clear" w:color="auto" w:fill="D1F3B7"/>
            <w:vAlign w:val="center"/>
          </w:tcPr>
          <w:p w14:paraId="10C25C66"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40%</w:t>
            </w:r>
          </w:p>
        </w:tc>
        <w:tc>
          <w:tcPr>
            <w:tcW w:w="793" w:type="pct"/>
            <w:tcBorders>
              <w:bottom w:val="nil"/>
            </w:tcBorders>
            <w:shd w:val="clear" w:color="auto" w:fill="D1F3B7"/>
            <w:vAlign w:val="center"/>
          </w:tcPr>
          <w:p w14:paraId="0B5F6846"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20</w:t>
            </w:r>
            <w:r w:rsidRPr="00F10893">
              <w:rPr>
                <w:rFonts w:ascii="Arial Narrow" w:hAnsi="Arial Narrow" w:cs="Calibri"/>
                <w:sz w:val="20"/>
                <w:vertAlign w:val="superscript"/>
                <w:lang w:val="en-AU"/>
              </w:rPr>
              <w:t xml:space="preserve">a </w:t>
            </w:r>
          </w:p>
        </w:tc>
        <w:tc>
          <w:tcPr>
            <w:tcW w:w="308" w:type="pct"/>
            <w:vMerge w:val="restart"/>
            <w:shd w:val="thinDiagStripe" w:color="26C88E" w:fill="D1F3B7"/>
            <w:vAlign w:val="center"/>
          </w:tcPr>
          <w:p w14:paraId="662FEB87"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31%</w:t>
            </w:r>
          </w:p>
        </w:tc>
        <w:tc>
          <w:tcPr>
            <w:tcW w:w="1622" w:type="pct"/>
            <w:vMerge w:val="restart"/>
            <w:tcMar>
              <w:left w:w="57" w:type="dxa"/>
              <w:right w:w="57" w:type="dxa"/>
            </w:tcMar>
            <w:vAlign w:val="center"/>
          </w:tcPr>
          <w:p w14:paraId="576B9509" w14:textId="77777777" w:rsidR="005A7959" w:rsidRPr="00F10893" w:rsidRDefault="005A7959" w:rsidP="004B34AE">
            <w:pPr>
              <w:keepNext/>
              <w:keepLines/>
              <w:spacing w:before="0"/>
              <w:jc w:val="left"/>
              <w:rPr>
                <w:rFonts w:ascii="Arial Narrow" w:hAnsi="Arial Narrow" w:cs="Calibri"/>
                <w:sz w:val="20"/>
                <w:lang w:val="en-AU"/>
              </w:rPr>
            </w:pPr>
            <w:r w:rsidRPr="00F10893">
              <w:rPr>
                <w:rFonts w:ascii="Arial Narrow" w:hAnsi="Arial Narrow"/>
                <w:sz w:val="20"/>
                <w:lang w:val="en-AU"/>
              </w:rPr>
              <w:t>Intended expression level FRα-medium</w:t>
            </w:r>
          </w:p>
        </w:tc>
      </w:tr>
      <w:tr w:rsidR="005A7959" w:rsidRPr="00F10893" w14:paraId="7E21E141" w14:textId="77777777">
        <w:tc>
          <w:tcPr>
            <w:tcW w:w="1019" w:type="pct"/>
            <w:vMerge/>
            <w:shd w:val="clear" w:color="auto" w:fill="D1F3B7"/>
            <w:vAlign w:val="center"/>
          </w:tcPr>
          <w:p w14:paraId="4A12FC01" w14:textId="77777777" w:rsidR="005A7959" w:rsidRPr="00F10893" w:rsidRDefault="005A7959" w:rsidP="004B34AE">
            <w:pPr>
              <w:keepNext/>
              <w:keepLines/>
              <w:spacing w:before="0"/>
              <w:rPr>
                <w:rFonts w:ascii="Arial Narrow" w:hAnsi="Arial Narrow"/>
                <w:sz w:val="20"/>
                <w:lang w:val="en-AU"/>
              </w:rPr>
            </w:pPr>
          </w:p>
        </w:tc>
        <w:tc>
          <w:tcPr>
            <w:tcW w:w="472" w:type="pct"/>
            <w:vMerge/>
            <w:shd w:val="clear" w:color="auto" w:fill="D1F3B7"/>
          </w:tcPr>
          <w:p w14:paraId="555A7BCB" w14:textId="77777777" w:rsidR="005A7959" w:rsidRPr="00F10893" w:rsidRDefault="005A7959" w:rsidP="004B34AE">
            <w:pPr>
              <w:keepNext/>
              <w:keepLines/>
              <w:spacing w:before="0"/>
              <w:jc w:val="center"/>
              <w:rPr>
                <w:rFonts w:ascii="Arial Narrow" w:hAnsi="Arial Narrow" w:cs="Calibri"/>
                <w:sz w:val="20"/>
                <w:lang w:val="en-AU"/>
              </w:rPr>
            </w:pPr>
          </w:p>
        </w:tc>
        <w:tc>
          <w:tcPr>
            <w:tcW w:w="471" w:type="pct"/>
            <w:vMerge/>
            <w:shd w:val="clear" w:color="auto" w:fill="D1F3B7"/>
            <w:vAlign w:val="center"/>
          </w:tcPr>
          <w:p w14:paraId="0B4BF4E3" w14:textId="77777777" w:rsidR="005A7959" w:rsidRPr="00F10893" w:rsidRDefault="005A7959" w:rsidP="004B34AE">
            <w:pPr>
              <w:keepNext/>
              <w:keepLines/>
              <w:spacing w:before="0"/>
              <w:jc w:val="center"/>
              <w:rPr>
                <w:rFonts w:ascii="Arial Narrow" w:hAnsi="Arial Narrow" w:cs="Calibri"/>
                <w:sz w:val="20"/>
                <w:lang w:val="en-AU"/>
              </w:rPr>
            </w:pPr>
          </w:p>
        </w:tc>
        <w:tc>
          <w:tcPr>
            <w:tcW w:w="314" w:type="pct"/>
            <w:vMerge/>
            <w:shd w:val="clear" w:color="auto" w:fill="D1F3B7"/>
          </w:tcPr>
          <w:p w14:paraId="7BFE6FA5" w14:textId="77777777" w:rsidR="005A7959" w:rsidRPr="00F10893" w:rsidRDefault="005A7959" w:rsidP="004B34AE">
            <w:pPr>
              <w:keepNext/>
              <w:keepLines/>
              <w:spacing w:before="0"/>
              <w:jc w:val="center"/>
              <w:rPr>
                <w:rFonts w:ascii="Arial Narrow" w:hAnsi="Arial Narrow" w:cs="Calibri"/>
                <w:sz w:val="20"/>
                <w:lang w:val="en-AU"/>
              </w:rPr>
            </w:pPr>
          </w:p>
        </w:tc>
        <w:tc>
          <w:tcPr>
            <w:tcW w:w="793" w:type="pct"/>
            <w:tcBorders>
              <w:top w:val="nil"/>
            </w:tcBorders>
            <w:shd w:val="clear" w:color="auto" w:fill="26C88E"/>
            <w:vAlign w:val="center"/>
          </w:tcPr>
          <w:p w14:paraId="6B0DFC35"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82</w:t>
            </w:r>
            <w:r w:rsidRPr="00F10893">
              <w:rPr>
                <w:rFonts w:ascii="Arial Narrow" w:hAnsi="Arial Narrow" w:cs="Calibri"/>
                <w:sz w:val="20"/>
                <w:vertAlign w:val="superscript"/>
                <w:lang w:val="en-AU"/>
              </w:rPr>
              <w:t>a</w:t>
            </w:r>
          </w:p>
        </w:tc>
        <w:tc>
          <w:tcPr>
            <w:tcW w:w="308" w:type="pct"/>
            <w:vMerge/>
            <w:shd w:val="thinDiagStripe" w:color="26C88E" w:fill="D1F3B7"/>
            <w:vAlign w:val="center"/>
          </w:tcPr>
          <w:p w14:paraId="1291736B" w14:textId="77777777" w:rsidR="005A7959" w:rsidRPr="00F10893" w:rsidRDefault="005A7959" w:rsidP="004B34AE">
            <w:pPr>
              <w:keepNext/>
              <w:keepLines/>
              <w:spacing w:before="0"/>
              <w:jc w:val="center"/>
              <w:rPr>
                <w:rFonts w:ascii="Arial Narrow" w:hAnsi="Arial Narrow" w:cs="Calibri"/>
                <w:sz w:val="20"/>
                <w:lang w:val="en-AU"/>
              </w:rPr>
            </w:pPr>
          </w:p>
        </w:tc>
        <w:tc>
          <w:tcPr>
            <w:tcW w:w="1622" w:type="pct"/>
            <w:vMerge/>
            <w:tcMar>
              <w:left w:w="57" w:type="dxa"/>
              <w:right w:w="57" w:type="dxa"/>
            </w:tcMar>
            <w:vAlign w:val="center"/>
          </w:tcPr>
          <w:p w14:paraId="71059494" w14:textId="77777777" w:rsidR="005A7959" w:rsidRPr="00F10893" w:rsidRDefault="005A7959" w:rsidP="004B34AE">
            <w:pPr>
              <w:keepNext/>
              <w:keepLines/>
              <w:spacing w:before="0"/>
              <w:jc w:val="left"/>
              <w:rPr>
                <w:rFonts w:ascii="Arial Narrow" w:hAnsi="Arial Narrow"/>
                <w:sz w:val="20"/>
                <w:lang w:val="en-AU"/>
              </w:rPr>
            </w:pPr>
          </w:p>
        </w:tc>
      </w:tr>
      <w:tr w:rsidR="005A7959" w:rsidRPr="00F10893" w14:paraId="55C503F9" w14:textId="77777777">
        <w:tc>
          <w:tcPr>
            <w:tcW w:w="1019" w:type="pct"/>
            <w:shd w:val="clear" w:color="auto" w:fill="26C88E"/>
            <w:vAlign w:val="center"/>
          </w:tcPr>
          <w:p w14:paraId="74CB859A" w14:textId="77777777" w:rsidR="005A7959" w:rsidRPr="00F10893" w:rsidRDefault="005A7959" w:rsidP="004B34AE">
            <w:pPr>
              <w:keepNext/>
              <w:keepLines/>
              <w:spacing w:before="0"/>
              <w:rPr>
                <w:rFonts w:ascii="Arial Narrow" w:hAnsi="Arial Narrow"/>
                <w:sz w:val="20"/>
                <w:lang w:val="en-AU"/>
              </w:rPr>
            </w:pPr>
            <w:r w:rsidRPr="00F10893">
              <w:rPr>
                <w:rFonts w:ascii="Arial Narrow" w:hAnsi="Arial Narrow" w:cs="Calibri"/>
                <w:sz w:val="20"/>
                <w:lang w:val="en-AU"/>
              </w:rPr>
              <w:t>FRα-high</w:t>
            </w:r>
          </w:p>
        </w:tc>
        <w:tc>
          <w:tcPr>
            <w:tcW w:w="472" w:type="pct"/>
            <w:shd w:val="clear" w:color="auto" w:fill="26C88E"/>
          </w:tcPr>
          <w:p w14:paraId="3ED1630D"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sz w:val="20"/>
                <w:lang w:val="en-AU"/>
              </w:rPr>
              <w:t>≥75%</w:t>
            </w:r>
          </w:p>
        </w:tc>
        <w:tc>
          <w:tcPr>
            <w:tcW w:w="471" w:type="pct"/>
            <w:shd w:val="clear" w:color="auto" w:fill="26C88E"/>
            <w:vAlign w:val="center"/>
          </w:tcPr>
          <w:p w14:paraId="01D1B82D"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198</w:t>
            </w:r>
          </w:p>
        </w:tc>
        <w:tc>
          <w:tcPr>
            <w:tcW w:w="314" w:type="pct"/>
            <w:shd w:val="clear" w:color="auto" w:fill="26C88E"/>
          </w:tcPr>
          <w:p w14:paraId="659350A4"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60%</w:t>
            </w:r>
          </w:p>
        </w:tc>
        <w:tc>
          <w:tcPr>
            <w:tcW w:w="793" w:type="pct"/>
            <w:shd w:val="clear" w:color="auto" w:fill="26C88E"/>
            <w:vAlign w:val="center"/>
          </w:tcPr>
          <w:p w14:paraId="5F89898E"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116</w:t>
            </w:r>
          </w:p>
        </w:tc>
        <w:tc>
          <w:tcPr>
            <w:tcW w:w="308" w:type="pct"/>
            <w:tcBorders>
              <w:bottom w:val="single" w:sz="4" w:space="0" w:color="auto"/>
            </w:tcBorders>
            <w:shd w:val="clear" w:color="auto" w:fill="26C88E"/>
            <w:vAlign w:val="center"/>
          </w:tcPr>
          <w:p w14:paraId="3A6F0599" w14:textId="77777777" w:rsidR="005A7959" w:rsidRPr="00F10893" w:rsidRDefault="005A7959" w:rsidP="004B34AE">
            <w:pPr>
              <w:keepNext/>
              <w:keepLines/>
              <w:spacing w:before="0"/>
              <w:jc w:val="center"/>
              <w:rPr>
                <w:rFonts w:ascii="Arial Narrow" w:hAnsi="Arial Narrow" w:cs="Calibri"/>
                <w:sz w:val="20"/>
                <w:lang w:val="en-AU"/>
              </w:rPr>
            </w:pPr>
            <w:r w:rsidRPr="00F10893">
              <w:rPr>
                <w:rFonts w:ascii="Arial Narrow" w:hAnsi="Arial Narrow" w:cs="Calibri"/>
                <w:sz w:val="20"/>
                <w:lang w:val="en-AU"/>
              </w:rPr>
              <w:t>35%</w:t>
            </w:r>
          </w:p>
        </w:tc>
        <w:tc>
          <w:tcPr>
            <w:tcW w:w="1622" w:type="pct"/>
            <w:tcBorders>
              <w:bottom w:val="single" w:sz="4" w:space="0" w:color="auto"/>
            </w:tcBorders>
            <w:tcMar>
              <w:left w:w="57" w:type="dxa"/>
              <w:right w:w="57" w:type="dxa"/>
            </w:tcMar>
            <w:vAlign w:val="center"/>
          </w:tcPr>
          <w:p w14:paraId="50367F78" w14:textId="77777777" w:rsidR="005A7959" w:rsidRPr="00F10893" w:rsidRDefault="005A7959" w:rsidP="004B34AE">
            <w:pPr>
              <w:keepNext/>
              <w:keepLines/>
              <w:spacing w:before="0"/>
              <w:jc w:val="left"/>
              <w:rPr>
                <w:rFonts w:ascii="Arial Narrow" w:hAnsi="Arial Narrow" w:cs="Calibri"/>
                <w:sz w:val="20"/>
                <w:lang w:val="en-AU"/>
              </w:rPr>
            </w:pPr>
            <w:r w:rsidRPr="00F10893">
              <w:rPr>
                <w:rFonts w:ascii="Arial Narrow" w:hAnsi="Arial Narrow"/>
                <w:sz w:val="20"/>
                <w:lang w:val="en-AU"/>
              </w:rPr>
              <w:t>Intended expression level FRα-high</w:t>
            </w:r>
          </w:p>
        </w:tc>
      </w:tr>
    </w:tbl>
    <w:p w14:paraId="02363815" w14:textId="15967EA5" w:rsidR="005A7959" w:rsidRPr="00F10893" w:rsidRDefault="005A7959" w:rsidP="004B34AE">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Source: </w:t>
      </w:r>
      <w:r w:rsidR="00541E68" w:rsidRPr="00F10893">
        <w:rPr>
          <w:rFonts w:ascii="Arial Narrow" w:eastAsia="Times New Roman" w:hAnsi="Arial Narrow" w:cs="Arial"/>
          <w:snapToGrid w:val="0"/>
          <w:sz w:val="18"/>
          <w:lang w:eastAsia="en-AU"/>
        </w:rPr>
        <w:t>Data extracted from s</w:t>
      </w:r>
      <w:r w:rsidRPr="00F10893">
        <w:rPr>
          <w:rFonts w:ascii="Arial Narrow" w:eastAsia="Times New Roman" w:hAnsi="Arial Narrow" w:cs="Arial"/>
          <w:snapToGrid w:val="0"/>
          <w:sz w:val="18"/>
          <w:lang w:eastAsia="en-AU"/>
        </w:rPr>
        <w:t xml:space="preserve">lide 11 FORWARD I 10X SCORING COMPARED WITH EXPLORATORY PS2+ SCORING, Moore et al, (2019). </w:t>
      </w:r>
    </w:p>
    <w:p w14:paraId="7512422F" w14:textId="77777777" w:rsidR="005A7959" w:rsidRPr="00F10893" w:rsidRDefault="005A7959" w:rsidP="004B34AE">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FRα= folate receptor alpha; N= number of patients in cohort; PS2+= FRα membrane staining at moderate (2) or high (3) intensity.</w:t>
      </w:r>
    </w:p>
    <w:p w14:paraId="58820CFF" w14:textId="77777777" w:rsidR="005A7959" w:rsidRPr="00F10893" w:rsidRDefault="005A7959" w:rsidP="004B34AE">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a</w:t>
      </w:r>
      <w:r w:rsidRPr="00F10893">
        <w:rPr>
          <w:rFonts w:ascii="Arial Narrow" w:eastAsia="Times New Roman" w:hAnsi="Arial Narrow" w:cs="Arial"/>
          <w:snapToGrid w:val="0"/>
          <w:sz w:val="18"/>
          <w:lang w:eastAsia="en-AU"/>
        </w:rPr>
        <w:t xml:space="preserve"> Analysis population for whom samples were available; percentages indicated are of the total N=332. </w:t>
      </w:r>
    </w:p>
    <w:p w14:paraId="1039703A" w14:textId="77777777" w:rsidR="005A7959" w:rsidRPr="00F10893" w:rsidRDefault="005A7959" w:rsidP="004B34AE">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b</w:t>
      </w:r>
      <w:r w:rsidRPr="00F10893">
        <w:rPr>
          <w:rFonts w:ascii="Arial Narrow" w:eastAsia="Times New Roman" w:hAnsi="Arial Narrow" w:cs="Arial"/>
          <w:snapToGrid w:val="0"/>
          <w:sz w:val="18"/>
          <w:lang w:eastAsia="en-AU"/>
        </w:rPr>
        <w:t xml:space="preserve"> Values for the re-scored medium group (20+82=102) were derived during the evaluation from the numbers presented in the source document which gave a value of n=103. Investigation of these discrepancies was considered unlikely to change the resulting proportions. </w:t>
      </w:r>
    </w:p>
    <w:p w14:paraId="52C77932" w14:textId="2B61B823" w:rsidR="005A7959" w:rsidRPr="00F10893" w:rsidRDefault="005A7959" w:rsidP="00F0228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Shading was added to indicate the origin of the values in the re-scored groups. </w:t>
      </w:r>
      <w:r w:rsidRPr="00A22FB3">
        <w:rPr>
          <w:rFonts w:ascii="Arial Narrow" w:eastAsia="Times New Roman" w:hAnsi="Arial Narrow" w:cs="Arial"/>
          <w:snapToGrid w:val="0"/>
          <w:sz w:val="18"/>
          <w:shd w:val="clear" w:color="auto" w:fill="C5E0B3" w:themeFill="accent6" w:themeFillTint="66"/>
          <w:lang w:eastAsia="en-AU"/>
        </w:rPr>
        <w:t>Light green shading</w:t>
      </w:r>
      <w:r w:rsidRPr="00F10893">
        <w:rPr>
          <w:rFonts w:ascii="Arial Narrow" w:eastAsia="Times New Roman" w:hAnsi="Arial Narrow" w:cs="Arial"/>
          <w:snapToGrid w:val="0"/>
          <w:sz w:val="18"/>
          <w:lang w:eastAsia="en-AU"/>
        </w:rPr>
        <w:t xml:space="preserve"> indicated patients originally classified as FRα-medium and </w:t>
      </w:r>
      <w:r w:rsidRPr="00642293">
        <w:rPr>
          <w:rFonts w:ascii="Arial Narrow" w:eastAsia="Times New Roman" w:hAnsi="Arial Narrow" w:cs="Arial"/>
          <w:snapToGrid w:val="0"/>
          <w:sz w:val="18"/>
          <w:shd w:val="clear" w:color="auto" w:fill="00CC99"/>
          <w:lang w:eastAsia="en-AU"/>
        </w:rPr>
        <w:t>dark green shading</w:t>
      </w:r>
      <w:r w:rsidRPr="00F10893">
        <w:rPr>
          <w:rFonts w:ascii="Arial Narrow" w:eastAsia="Times New Roman" w:hAnsi="Arial Narrow" w:cs="Arial"/>
          <w:snapToGrid w:val="0"/>
          <w:sz w:val="18"/>
          <w:lang w:eastAsia="en-AU"/>
        </w:rPr>
        <w:t xml:space="preserve"> indicated patients originally scored as FRα-high. Hatched indicated a mix of both. </w:t>
      </w:r>
    </w:p>
    <w:p w14:paraId="4981541F" w14:textId="0949DF36"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t>Of the FORWARD-I patients originally scored as FRα-medium, 114 (85%) were re-scored as FRα-low and 20 (15%) remained as FRα-medium according to the PS2+ method. Of the group originally scored as FRα-high, 82 (41%) were rescored as medium and 116 (59%) remained as FRα-high. Therefore, according to definition of FRα test positivity requested in the submission, all the patients in the FORWARD-I FRα-medium group would have been defined as test negative and just over half (59%) of the patients in the FRα-high group would have been defined as test positive. The re-scored groups formed the basis of the post hoc analyses.</w:t>
      </w:r>
    </w:p>
    <w:p w14:paraId="018504C1" w14:textId="6D16C3E0"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t>The results from the analysis of PFS by blinded independent central review</w:t>
      </w:r>
      <w:r w:rsidRPr="009757D3">
        <w:rPr>
          <w:rFonts w:ascii="Franklin Gothic Book" w:hAnsi="Franklin Gothic Book"/>
          <w:sz w:val="22"/>
          <w:szCs w:val="20"/>
        </w:rPr>
        <w:t xml:space="preserve"> (</w:t>
      </w:r>
      <w:r w:rsidRPr="000B0472">
        <w:rPr>
          <w:rFonts w:ascii="Franklin Gothic Book" w:hAnsi="Franklin Gothic Book"/>
          <w:sz w:val="22"/>
          <w:szCs w:val="20"/>
        </w:rPr>
        <w:t>BICR) in the FORWARD-I trial are summarised in</w:t>
      </w:r>
      <w:r w:rsidR="00A721DD">
        <w:rPr>
          <w:rFonts w:ascii="Franklin Gothic Book" w:hAnsi="Franklin Gothic Book"/>
          <w:sz w:val="22"/>
          <w:szCs w:val="20"/>
        </w:rPr>
        <w:t xml:space="preserve"> </w:t>
      </w:r>
      <w:r w:rsidR="00A721DD">
        <w:rPr>
          <w:rFonts w:ascii="Franklin Gothic Book" w:hAnsi="Franklin Gothic Book"/>
          <w:sz w:val="22"/>
          <w:szCs w:val="20"/>
        </w:rPr>
        <w:fldChar w:fldCharType="begin"/>
      </w:r>
      <w:r w:rsidR="00A721DD">
        <w:rPr>
          <w:rFonts w:ascii="Franklin Gothic Book" w:hAnsi="Franklin Gothic Book"/>
          <w:sz w:val="22"/>
          <w:szCs w:val="20"/>
        </w:rPr>
        <w:instrText xml:space="preserve"> REF _Ref198715263 \h </w:instrText>
      </w:r>
      <w:r w:rsidR="009757D3">
        <w:rPr>
          <w:rFonts w:ascii="Franklin Gothic Book" w:hAnsi="Franklin Gothic Book"/>
          <w:sz w:val="22"/>
          <w:szCs w:val="20"/>
        </w:rPr>
        <w:instrText xml:space="preserve"> \* MERGEFORMAT </w:instrText>
      </w:r>
      <w:r w:rsidR="00A721DD">
        <w:rPr>
          <w:rFonts w:ascii="Franklin Gothic Book" w:hAnsi="Franklin Gothic Book"/>
          <w:sz w:val="22"/>
          <w:szCs w:val="20"/>
        </w:rPr>
      </w:r>
      <w:r w:rsidR="00A721DD">
        <w:rPr>
          <w:rFonts w:ascii="Franklin Gothic Book" w:hAnsi="Franklin Gothic Book"/>
          <w:sz w:val="22"/>
          <w:szCs w:val="20"/>
        </w:rPr>
        <w:fldChar w:fldCharType="separate"/>
      </w:r>
      <w:r w:rsidR="00A721DD" w:rsidRPr="009757D3">
        <w:rPr>
          <w:rFonts w:ascii="Franklin Gothic Book" w:hAnsi="Franklin Gothic Book"/>
          <w:sz w:val="22"/>
          <w:szCs w:val="20"/>
        </w:rPr>
        <w:t>Table 17</w:t>
      </w:r>
      <w:r w:rsidR="00A721DD">
        <w:rPr>
          <w:rFonts w:ascii="Franklin Gothic Book" w:hAnsi="Franklin Gothic Book"/>
          <w:sz w:val="22"/>
          <w:szCs w:val="20"/>
        </w:rPr>
        <w:fldChar w:fldCharType="end"/>
      </w:r>
      <w:r w:rsidR="00DB6EE6" w:rsidRPr="000B0472" w:rsidDel="00A721DD">
        <w:rPr>
          <w:rFonts w:ascii="Franklin Gothic Book" w:hAnsi="Franklin Gothic Book"/>
          <w:sz w:val="22"/>
          <w:szCs w:val="20"/>
        </w:rPr>
        <w:t xml:space="preserve"> </w:t>
      </w:r>
      <w:r w:rsidR="0010659B" w:rsidRPr="000B0472">
        <w:rPr>
          <w:rFonts w:ascii="Franklin Gothic Book" w:hAnsi="Franklin Gothic Book"/>
          <w:sz w:val="22"/>
          <w:szCs w:val="20"/>
        </w:rPr>
        <w:fldChar w:fldCharType="begin"/>
      </w:r>
      <w:r w:rsidR="0010659B" w:rsidRPr="000B0472">
        <w:rPr>
          <w:rFonts w:ascii="Franklin Gothic Book" w:hAnsi="Franklin Gothic Book"/>
          <w:sz w:val="22"/>
          <w:szCs w:val="20"/>
        </w:rPr>
        <w:instrText xml:space="preserve"> REF _Ref198566411 \h </w:instrText>
      </w:r>
      <w:r w:rsidR="0022589F" w:rsidRPr="000B0472">
        <w:rPr>
          <w:rFonts w:ascii="Franklin Gothic Book" w:hAnsi="Franklin Gothic Book"/>
          <w:sz w:val="22"/>
          <w:szCs w:val="20"/>
        </w:rPr>
        <w:instrText xml:space="preserve"> \* MERGEFORMAT </w:instrText>
      </w:r>
      <w:r w:rsidR="0010659B" w:rsidRPr="000B0472">
        <w:rPr>
          <w:rFonts w:ascii="Franklin Gothic Book" w:hAnsi="Franklin Gothic Book"/>
          <w:sz w:val="22"/>
          <w:szCs w:val="20"/>
        </w:rPr>
      </w:r>
      <w:r w:rsidR="0010659B" w:rsidRPr="000B0472">
        <w:rPr>
          <w:rFonts w:ascii="Franklin Gothic Book" w:hAnsi="Franklin Gothic Book"/>
          <w:sz w:val="22"/>
          <w:szCs w:val="20"/>
        </w:rPr>
        <w:fldChar w:fldCharType="separate"/>
      </w:r>
      <w:r w:rsidR="0010659B" w:rsidRPr="000B0472">
        <w:rPr>
          <w:rFonts w:ascii="Franklin Gothic Book" w:hAnsi="Franklin Gothic Book"/>
          <w:sz w:val="22"/>
          <w:szCs w:val="20"/>
        </w:rPr>
        <w:fldChar w:fldCharType="end"/>
      </w:r>
      <w:r w:rsidRPr="000B0472">
        <w:rPr>
          <w:rFonts w:ascii="Franklin Gothic Book" w:hAnsi="Franklin Gothic Book"/>
          <w:sz w:val="22"/>
          <w:szCs w:val="20"/>
        </w:rPr>
        <w:t>, including the re-analysed FRα expression groups based on the post hoc analysis (low, medium and high by PS2+ scoring as per</w:t>
      </w:r>
      <w:r w:rsidR="001D1448">
        <w:rPr>
          <w:rFonts w:ascii="Franklin Gothic Book" w:hAnsi="Franklin Gothic Book"/>
          <w:sz w:val="22"/>
          <w:szCs w:val="20"/>
        </w:rPr>
        <w:t xml:space="preserve"> </w:t>
      </w:r>
      <w:r w:rsidR="00DB6EE6" w:rsidRPr="000B0472" w:rsidDel="00A721DD">
        <w:rPr>
          <w:rFonts w:ascii="Franklin Gothic Book" w:hAnsi="Franklin Gothic Book"/>
          <w:sz w:val="22"/>
          <w:szCs w:val="20"/>
        </w:rPr>
        <w:t xml:space="preserve"> </w:t>
      </w:r>
      <w:r w:rsidR="00A721DD">
        <w:rPr>
          <w:rFonts w:ascii="Franklin Gothic Book" w:hAnsi="Franklin Gothic Book"/>
          <w:sz w:val="22"/>
          <w:szCs w:val="20"/>
        </w:rPr>
        <w:fldChar w:fldCharType="begin"/>
      </w:r>
      <w:r w:rsidR="00A721DD">
        <w:rPr>
          <w:rFonts w:ascii="Franklin Gothic Book" w:hAnsi="Franklin Gothic Book"/>
          <w:sz w:val="22"/>
          <w:szCs w:val="20"/>
        </w:rPr>
        <w:instrText xml:space="preserve"> REF _Ref198715263 \h </w:instrText>
      </w:r>
      <w:r w:rsidR="009757D3">
        <w:rPr>
          <w:rFonts w:ascii="Franklin Gothic Book" w:hAnsi="Franklin Gothic Book"/>
          <w:sz w:val="22"/>
          <w:szCs w:val="20"/>
        </w:rPr>
        <w:instrText xml:space="preserve"> \* MERGEFORMAT </w:instrText>
      </w:r>
      <w:r w:rsidR="00A721DD">
        <w:rPr>
          <w:rFonts w:ascii="Franklin Gothic Book" w:hAnsi="Franklin Gothic Book"/>
          <w:sz w:val="22"/>
          <w:szCs w:val="20"/>
        </w:rPr>
      </w:r>
      <w:r w:rsidR="00A721DD">
        <w:rPr>
          <w:rFonts w:ascii="Franklin Gothic Book" w:hAnsi="Franklin Gothic Book"/>
          <w:sz w:val="22"/>
          <w:szCs w:val="20"/>
        </w:rPr>
        <w:fldChar w:fldCharType="separate"/>
      </w:r>
      <w:r w:rsidR="00A721DD" w:rsidRPr="009757D3">
        <w:rPr>
          <w:rFonts w:ascii="Franklin Gothic Book" w:hAnsi="Franklin Gothic Book"/>
          <w:sz w:val="22"/>
          <w:szCs w:val="20"/>
        </w:rPr>
        <w:t>Table 17</w:t>
      </w:r>
      <w:r w:rsidR="00A721DD">
        <w:rPr>
          <w:rFonts w:ascii="Franklin Gothic Book" w:hAnsi="Franklin Gothic Book"/>
          <w:sz w:val="22"/>
          <w:szCs w:val="20"/>
        </w:rPr>
        <w:fldChar w:fldCharType="end"/>
      </w:r>
      <w:r w:rsidR="00223AEB" w:rsidRPr="000B0472">
        <w:rPr>
          <w:rFonts w:ascii="Franklin Gothic Book" w:hAnsi="Franklin Gothic Book"/>
          <w:sz w:val="22"/>
          <w:szCs w:val="20"/>
        </w:rPr>
        <w:fldChar w:fldCharType="begin"/>
      </w:r>
      <w:r w:rsidR="00223AEB" w:rsidRPr="000B0472">
        <w:rPr>
          <w:rFonts w:ascii="Franklin Gothic Book" w:hAnsi="Franklin Gothic Book"/>
          <w:sz w:val="22"/>
          <w:szCs w:val="20"/>
        </w:rPr>
        <w:instrText xml:space="preserve"> REF _Ref198715263 \h </w:instrText>
      </w:r>
      <w:r w:rsidR="000B0472" w:rsidRPr="000B0472">
        <w:rPr>
          <w:rFonts w:ascii="Franklin Gothic Book" w:hAnsi="Franklin Gothic Book"/>
          <w:sz w:val="22"/>
          <w:szCs w:val="20"/>
        </w:rPr>
        <w:instrText xml:space="preserve"> \* MERGEFORMAT </w:instrText>
      </w:r>
      <w:r w:rsidR="00223AEB" w:rsidRPr="000B0472">
        <w:rPr>
          <w:rFonts w:ascii="Franklin Gothic Book" w:hAnsi="Franklin Gothic Book"/>
          <w:sz w:val="22"/>
          <w:szCs w:val="20"/>
        </w:rPr>
      </w:r>
      <w:r w:rsidR="00223AEB" w:rsidRPr="000B0472">
        <w:rPr>
          <w:rFonts w:ascii="Franklin Gothic Book" w:hAnsi="Franklin Gothic Book"/>
          <w:sz w:val="22"/>
          <w:szCs w:val="20"/>
        </w:rPr>
        <w:fldChar w:fldCharType="separate"/>
      </w:r>
      <w:r w:rsidR="00223AEB" w:rsidRPr="000B0472">
        <w:rPr>
          <w:rFonts w:ascii="Franklin Gothic Book" w:hAnsi="Franklin Gothic Book"/>
          <w:sz w:val="22"/>
          <w:szCs w:val="20"/>
        </w:rPr>
        <w:fldChar w:fldCharType="end"/>
      </w:r>
      <w:r w:rsidRPr="000B0472">
        <w:rPr>
          <w:rFonts w:ascii="Franklin Gothic Book" w:hAnsi="Franklin Gothic Book"/>
          <w:sz w:val="22"/>
          <w:szCs w:val="20"/>
        </w:rPr>
        <w:t xml:space="preserve">). </w:t>
      </w:r>
    </w:p>
    <w:p w14:paraId="33309E65" w14:textId="5B9D1A75" w:rsidR="00D6052C" w:rsidRDefault="005E37CF" w:rsidP="002A4881">
      <w:pPr>
        <w:pStyle w:val="Caption"/>
      </w:pPr>
      <w:bookmarkStart w:id="41" w:name="_Ref198715263"/>
      <w:bookmarkStart w:id="42" w:name="_Ref198715238"/>
      <w:r>
        <w:lastRenderedPageBreak/>
        <w:t>Table</w:t>
      </w:r>
      <w:r w:rsidR="00D6052C">
        <w:t xml:space="preserve"> </w:t>
      </w:r>
      <w:r>
        <w:fldChar w:fldCharType="begin"/>
      </w:r>
      <w:r>
        <w:instrText xml:space="preserve"> SEQ Table \* ARABIC </w:instrText>
      </w:r>
      <w:r>
        <w:fldChar w:fldCharType="separate"/>
      </w:r>
      <w:r>
        <w:rPr>
          <w:noProof/>
        </w:rPr>
        <w:t>17</w:t>
      </w:r>
      <w:r>
        <w:rPr>
          <w:noProof/>
        </w:rPr>
        <w:fldChar w:fldCharType="end"/>
      </w:r>
      <w:bookmarkEnd w:id="41"/>
      <w:r w:rsidR="00D6052C">
        <w:t xml:space="preserve">: </w:t>
      </w:r>
      <w:r w:rsidR="00D6052C" w:rsidRPr="009316FA">
        <w:t>FORWARD-I: analysis of PFS by BICR (February 2019 data cutoff)</w:t>
      </w:r>
      <w:bookmarkEnd w:id="42"/>
    </w:p>
    <w:tbl>
      <w:tblPr>
        <w:tblStyle w:val="ACE"/>
        <w:tblW w:w="9016" w:type="dxa"/>
        <w:tblCellMar>
          <w:left w:w="28" w:type="dxa"/>
          <w:right w:w="28" w:type="dxa"/>
        </w:tblCellMar>
        <w:tblLook w:val="04A0" w:firstRow="1" w:lastRow="0" w:firstColumn="1" w:lastColumn="0" w:noHBand="0" w:noVBand="1"/>
      </w:tblPr>
      <w:tblGrid>
        <w:gridCol w:w="1331"/>
        <w:gridCol w:w="1125"/>
        <w:gridCol w:w="1078"/>
        <w:gridCol w:w="967"/>
        <w:gridCol w:w="1078"/>
        <w:gridCol w:w="1016"/>
        <w:gridCol w:w="960"/>
        <w:gridCol w:w="1461"/>
      </w:tblGrid>
      <w:tr w:rsidR="00B6628A" w:rsidRPr="00F10893" w14:paraId="14E59FB3" w14:textId="77777777" w:rsidTr="00055AF4">
        <w:trPr>
          <w:cnfStyle w:val="100000000000" w:firstRow="1" w:lastRow="0" w:firstColumn="0" w:lastColumn="0" w:oddVBand="0" w:evenVBand="0" w:oddHBand="0" w:evenHBand="0" w:firstRowFirstColumn="0" w:firstRowLastColumn="0" w:lastRowFirstColumn="0" w:lastRowLastColumn="0"/>
          <w:cantSplit/>
          <w:tblHeader/>
        </w:trPr>
        <w:tc>
          <w:tcPr>
            <w:tcW w:w="1331" w:type="dxa"/>
            <w:tcBorders>
              <w:top w:val="single" w:sz="4" w:space="0" w:color="auto"/>
              <w:bottom w:val="single" w:sz="4" w:space="0" w:color="auto"/>
              <w:right w:val="single" w:sz="4" w:space="0" w:color="auto"/>
            </w:tcBorders>
            <w:shd w:val="clear" w:color="auto" w:fill="auto"/>
          </w:tcPr>
          <w:p w14:paraId="070147E3"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Outcome</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572F8B08" w14:textId="77777777" w:rsidR="005A7959" w:rsidRPr="00F10893" w:rsidRDefault="005A7959" w:rsidP="00581EB6">
            <w:pPr>
              <w:keepNext/>
              <w:keepLines/>
              <w:spacing w:before="0"/>
              <w:jc w:val="left"/>
              <w:rPr>
                <w:rFonts w:ascii="Arial Narrow" w:hAnsi="Arial Narrow" w:cs="Calibri"/>
                <w:kern w:val="24"/>
                <w:sz w:val="20"/>
                <w:lang w:val="en-AU"/>
              </w:rPr>
            </w:pPr>
            <w:r w:rsidRPr="00F10893">
              <w:rPr>
                <w:rFonts w:ascii="Arial Narrow" w:hAnsi="Arial Narrow" w:cs="Calibri"/>
                <w:kern w:val="24"/>
                <w:sz w:val="20"/>
                <w:lang w:val="en-AU"/>
              </w:rPr>
              <w:t>n/N with event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F59B41" w14:textId="0AB29149" w:rsidR="005A7959" w:rsidRPr="00F10893" w:rsidRDefault="005A7959" w:rsidP="00581EB6">
            <w:pPr>
              <w:keepNext/>
              <w:keepLines/>
              <w:spacing w:before="0"/>
              <w:jc w:val="left"/>
              <w:rPr>
                <w:rFonts w:ascii="Arial Narrow" w:eastAsia="Times New Roman" w:hAnsi="Arial Narrow"/>
                <w:sz w:val="20"/>
                <w:lang w:val="en-AU"/>
              </w:rPr>
            </w:pPr>
            <w:r w:rsidRPr="00F10893">
              <w:rPr>
                <w:rFonts w:ascii="Arial Narrow" w:eastAsia="Times New Roman" w:hAnsi="Arial Narrow" w:cs="Calibri"/>
                <w:kern w:val="24"/>
                <w:sz w:val="20"/>
                <w:lang w:val="en-AU"/>
              </w:rPr>
              <w:t>Median time to PFS</w:t>
            </w:r>
            <w:r w:rsidR="00122BDD" w:rsidRPr="00F10893">
              <w:rPr>
                <w:rFonts w:ascii="Arial Narrow" w:eastAsia="Times New Roman" w:hAnsi="Arial Narrow" w:cs="Calibri"/>
                <w:kern w:val="24"/>
                <w:sz w:val="20"/>
                <w:lang w:val="en-AU"/>
              </w:rPr>
              <w:t xml:space="preserve"> event</w:t>
            </w:r>
            <w:r w:rsidRPr="00F10893">
              <w:rPr>
                <w:rFonts w:ascii="Arial Narrow" w:eastAsia="Times New Roman" w:hAnsi="Arial Narrow" w:cs="Calibri"/>
                <w:kern w:val="24"/>
                <w:sz w:val="20"/>
                <w:lang w:val="en-AU"/>
              </w:rPr>
              <w:t xml:space="preserve"> (mo)</w:t>
            </w:r>
          </w:p>
          <w:p w14:paraId="4A51F54A" w14:textId="77777777" w:rsidR="005A7959" w:rsidRPr="00F10893" w:rsidRDefault="005A7959" w:rsidP="00581EB6">
            <w:pPr>
              <w:keepNext/>
              <w:keepLines/>
              <w:spacing w:before="0"/>
              <w:jc w:val="left"/>
              <w:rPr>
                <w:rFonts w:ascii="Arial Narrow" w:eastAsia="Times New Roman" w:hAnsi="Arial Narrow" w:cs="Calibri"/>
                <w:kern w:val="24"/>
                <w:sz w:val="20"/>
                <w:lang w:val="en-AU"/>
              </w:rPr>
            </w:pPr>
            <w:r w:rsidRPr="00F10893">
              <w:rPr>
                <w:rFonts w:ascii="Arial Narrow" w:eastAsia="Times New Roman" w:hAnsi="Arial Narrow" w:cs="Calibri"/>
                <w:kern w:val="24"/>
                <w:sz w:val="20"/>
                <w:lang w:val="en-AU"/>
              </w:rPr>
              <w:t>(95% CI)</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453BE835" w14:textId="77777777" w:rsidR="005A7959" w:rsidRPr="00F10893" w:rsidRDefault="005A7959" w:rsidP="00581EB6">
            <w:pPr>
              <w:keepNext/>
              <w:keepLines/>
              <w:spacing w:before="0"/>
              <w:jc w:val="left"/>
              <w:rPr>
                <w:rFonts w:ascii="Arial Narrow" w:hAnsi="Arial Narrow" w:cs="Calibri"/>
                <w:kern w:val="24"/>
                <w:sz w:val="20"/>
                <w:lang w:val="en-AU"/>
              </w:rPr>
            </w:pPr>
            <w:r w:rsidRPr="00F10893">
              <w:rPr>
                <w:rFonts w:ascii="Arial Narrow" w:hAnsi="Arial Narrow" w:cs="Calibri"/>
                <w:kern w:val="24"/>
                <w:sz w:val="20"/>
                <w:lang w:val="en-AU"/>
              </w:rPr>
              <w:t>n/N with event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648084E" w14:textId="7B0992C7" w:rsidR="005A7959" w:rsidRPr="00F10893" w:rsidRDefault="005A7959" w:rsidP="00581EB6">
            <w:pPr>
              <w:keepNext/>
              <w:keepLines/>
              <w:spacing w:before="0"/>
              <w:jc w:val="left"/>
              <w:rPr>
                <w:rFonts w:ascii="Arial Narrow" w:hAnsi="Arial Narrow" w:cs="Calibri"/>
                <w:kern w:val="24"/>
                <w:sz w:val="20"/>
                <w:lang w:val="en-AU"/>
              </w:rPr>
            </w:pPr>
            <w:r w:rsidRPr="00F10893">
              <w:rPr>
                <w:rFonts w:ascii="Arial Narrow" w:hAnsi="Arial Narrow" w:cs="Calibri"/>
                <w:kern w:val="24"/>
                <w:sz w:val="20"/>
                <w:lang w:val="en-AU"/>
              </w:rPr>
              <w:t>Median time to PFS</w:t>
            </w:r>
            <w:r w:rsidR="00122BDD" w:rsidRPr="00F10893">
              <w:rPr>
                <w:rFonts w:ascii="Arial Narrow" w:hAnsi="Arial Narrow" w:cs="Calibri"/>
                <w:kern w:val="24"/>
                <w:sz w:val="20"/>
                <w:lang w:val="en-AU"/>
              </w:rPr>
              <w:t xml:space="preserve"> event</w:t>
            </w:r>
            <w:r w:rsidRPr="00F10893">
              <w:rPr>
                <w:rFonts w:ascii="Arial Narrow" w:hAnsi="Arial Narrow" w:cs="Calibri"/>
                <w:kern w:val="24"/>
                <w:sz w:val="20"/>
                <w:lang w:val="en-AU"/>
              </w:rPr>
              <w:t xml:space="preserve"> (mo)</w:t>
            </w:r>
          </w:p>
          <w:p w14:paraId="34736404" w14:textId="77777777" w:rsidR="005A7959" w:rsidRPr="00F10893" w:rsidRDefault="005A7959" w:rsidP="00581EB6">
            <w:pPr>
              <w:keepNext/>
              <w:keepLines/>
              <w:spacing w:before="0"/>
              <w:jc w:val="left"/>
              <w:rPr>
                <w:rFonts w:ascii="Arial Narrow" w:hAnsi="Arial Narrow" w:cs="Calibri"/>
                <w:kern w:val="24"/>
                <w:sz w:val="20"/>
                <w:lang w:val="en-AU"/>
              </w:rPr>
            </w:pPr>
            <w:r w:rsidRPr="00F10893">
              <w:rPr>
                <w:rFonts w:ascii="Arial Narrow" w:hAnsi="Arial Narrow" w:cs="Calibri"/>
                <w:kern w:val="24"/>
                <w:sz w:val="20"/>
                <w:lang w:val="en-AU"/>
              </w:rPr>
              <w:t>(95% CI)</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9D0B276"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Difference in median</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65B3DDE"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P-value (log rank test)</w:t>
            </w:r>
          </w:p>
        </w:tc>
        <w:tc>
          <w:tcPr>
            <w:tcW w:w="1461" w:type="dxa"/>
            <w:tcBorders>
              <w:top w:val="single" w:sz="4" w:space="0" w:color="auto"/>
              <w:left w:val="single" w:sz="4" w:space="0" w:color="auto"/>
              <w:bottom w:val="single" w:sz="4" w:space="0" w:color="auto"/>
            </w:tcBorders>
            <w:shd w:val="clear" w:color="auto" w:fill="auto"/>
          </w:tcPr>
          <w:p w14:paraId="55616828"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HR (95% CI)</w:t>
            </w:r>
          </w:p>
        </w:tc>
      </w:tr>
      <w:tr w:rsidR="005A7959" w:rsidRPr="00F10893" w14:paraId="66ECE172" w14:textId="77777777" w:rsidTr="004876B7">
        <w:tc>
          <w:tcPr>
            <w:tcW w:w="9016" w:type="dxa"/>
            <w:gridSpan w:val="8"/>
            <w:tcBorders>
              <w:top w:val="single" w:sz="4" w:space="0" w:color="auto"/>
              <w:bottom w:val="single" w:sz="4" w:space="0" w:color="auto"/>
            </w:tcBorders>
            <w:shd w:val="clear" w:color="auto" w:fill="auto"/>
          </w:tcPr>
          <w:p w14:paraId="482C4F59" w14:textId="77777777" w:rsidR="005A7959" w:rsidRPr="00F10893" w:rsidRDefault="005A7959" w:rsidP="00581EB6">
            <w:pPr>
              <w:keepNext/>
              <w:keepLines/>
              <w:autoSpaceDE w:val="0"/>
              <w:autoSpaceDN w:val="0"/>
              <w:adjustRightInd w:val="0"/>
              <w:spacing w:before="0"/>
              <w:jc w:val="left"/>
              <w:rPr>
                <w:rFonts w:ascii="Arial Narrow" w:hAnsi="Arial Narrow" w:cs="Calibri"/>
                <w:b/>
                <w:color w:val="000000"/>
                <w:sz w:val="20"/>
                <w:lang w:val="en-AU"/>
              </w:rPr>
            </w:pPr>
            <w:r w:rsidRPr="00F10893">
              <w:rPr>
                <w:rFonts w:ascii="Arial Narrow" w:hAnsi="Arial Narrow" w:cs="Calibri"/>
                <w:b/>
                <w:color w:val="000000"/>
                <w:sz w:val="20"/>
                <w:lang w:val="en-AU"/>
              </w:rPr>
              <w:t>PFS – Whole trial population</w:t>
            </w:r>
          </w:p>
        </w:tc>
      </w:tr>
      <w:tr w:rsidR="005A7959" w:rsidRPr="00F10893" w14:paraId="3AA674C0" w14:textId="77777777" w:rsidTr="0083696A">
        <w:trPr>
          <w:tblHeader/>
        </w:trPr>
        <w:tc>
          <w:tcPr>
            <w:tcW w:w="1331" w:type="dxa"/>
            <w:tcBorders>
              <w:top w:val="single" w:sz="4" w:space="0" w:color="auto"/>
              <w:bottom w:val="single" w:sz="4" w:space="0" w:color="auto"/>
              <w:right w:val="single" w:sz="4" w:space="0" w:color="auto"/>
            </w:tcBorders>
            <w:shd w:val="clear" w:color="auto" w:fill="auto"/>
          </w:tcPr>
          <w:p w14:paraId="2891C3A2" w14:textId="77777777" w:rsidR="005A7959" w:rsidRPr="00F10893" w:rsidRDefault="005A7959" w:rsidP="00581EB6">
            <w:pPr>
              <w:keepNext/>
              <w:keepLines/>
              <w:spacing w:before="0"/>
              <w:rPr>
                <w:rFonts w:ascii="Arial Narrow" w:hAnsi="Arial Narrow" w:cs="Calibri"/>
                <w:sz w:val="20"/>
                <w:lang w:val="en-AU"/>
              </w:rPr>
            </w:pPr>
          </w:p>
        </w:tc>
        <w:tc>
          <w:tcPr>
            <w:tcW w:w="2203" w:type="dxa"/>
            <w:gridSpan w:val="2"/>
            <w:tcBorders>
              <w:top w:val="single" w:sz="4" w:space="0" w:color="auto"/>
              <w:left w:val="single" w:sz="4" w:space="0" w:color="auto"/>
              <w:bottom w:val="single" w:sz="4" w:space="0" w:color="auto"/>
              <w:right w:val="single" w:sz="4" w:space="0" w:color="auto"/>
            </w:tcBorders>
            <w:shd w:val="clear" w:color="auto" w:fill="auto"/>
          </w:tcPr>
          <w:p w14:paraId="7B0AE2EF"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bCs/>
                <w:sz w:val="20"/>
                <w:lang w:val="en-AU"/>
              </w:rPr>
              <w:t>MIRV (N=</w:t>
            </w:r>
            <w:r w:rsidRPr="00F10893">
              <w:rPr>
                <w:rFonts w:ascii="Arial Narrow" w:hAnsi="Arial Narrow" w:cs="Calibri"/>
                <w:sz w:val="20"/>
                <w:lang w:val="en-AU"/>
              </w:rPr>
              <w:t>248</w:t>
            </w:r>
            <w:r w:rsidRPr="00F10893">
              <w:rPr>
                <w:rFonts w:ascii="Arial Narrow" w:hAnsi="Arial Narrow" w:cs="Calibri"/>
                <w:bCs/>
                <w:sz w:val="20"/>
                <w:lang w:val="en-AU"/>
              </w:rPr>
              <w:t>)</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tcPr>
          <w:p w14:paraId="6BB0D6CB"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ICC (N=118)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7A2D2034" w14:textId="77777777" w:rsidR="005A7959" w:rsidRPr="00F10893" w:rsidRDefault="005A7959" w:rsidP="00581EB6">
            <w:pPr>
              <w:keepNext/>
              <w:keepLines/>
              <w:spacing w:before="0"/>
              <w:jc w:val="center"/>
              <w:rPr>
                <w:rFonts w:ascii="Arial Narrow" w:hAnsi="Arial Narrow" w:cs="Calibri"/>
                <w:sz w:val="20"/>
                <w:lang w:val="en-A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03971D6" w14:textId="77777777" w:rsidR="005A7959" w:rsidRPr="00F10893" w:rsidRDefault="005A7959" w:rsidP="00581EB6">
            <w:pPr>
              <w:keepNext/>
              <w:keepLines/>
              <w:spacing w:before="0"/>
              <w:jc w:val="center"/>
              <w:rPr>
                <w:rFonts w:ascii="Arial Narrow" w:hAnsi="Arial Narrow" w:cs="Calibri"/>
                <w:sz w:val="20"/>
                <w:lang w:val="en-AU"/>
              </w:rPr>
            </w:pPr>
          </w:p>
        </w:tc>
        <w:tc>
          <w:tcPr>
            <w:tcW w:w="1461" w:type="dxa"/>
            <w:tcBorders>
              <w:top w:val="single" w:sz="4" w:space="0" w:color="auto"/>
              <w:left w:val="single" w:sz="4" w:space="0" w:color="auto"/>
              <w:bottom w:val="single" w:sz="4" w:space="0" w:color="auto"/>
            </w:tcBorders>
            <w:shd w:val="clear" w:color="auto" w:fill="auto"/>
          </w:tcPr>
          <w:p w14:paraId="26D0FDD4" w14:textId="77777777" w:rsidR="005A7959" w:rsidRPr="00F10893" w:rsidRDefault="005A7959" w:rsidP="00581EB6">
            <w:pPr>
              <w:keepNext/>
              <w:keepLines/>
              <w:spacing w:before="0"/>
              <w:jc w:val="center"/>
              <w:rPr>
                <w:rFonts w:ascii="Arial Narrow" w:hAnsi="Arial Narrow" w:cs="Calibri"/>
                <w:sz w:val="20"/>
                <w:lang w:val="en-AU"/>
              </w:rPr>
            </w:pPr>
          </w:p>
        </w:tc>
      </w:tr>
      <w:tr w:rsidR="00B304A9" w:rsidRPr="00F10893" w14:paraId="24B64740" w14:textId="77777777" w:rsidTr="004876B7">
        <w:tc>
          <w:tcPr>
            <w:tcW w:w="1331" w:type="dxa"/>
            <w:tcBorders>
              <w:bottom w:val="nil"/>
            </w:tcBorders>
            <w:shd w:val="clear" w:color="auto" w:fill="auto"/>
            <w:hideMark/>
          </w:tcPr>
          <w:p w14:paraId="1ED9AF36" w14:textId="77777777" w:rsidR="005A7959" w:rsidRPr="00F10893" w:rsidRDefault="005A7959" w:rsidP="00581EB6">
            <w:pPr>
              <w:keepNext/>
              <w:keepLines/>
              <w:spacing w:before="0"/>
              <w:rPr>
                <w:rFonts w:ascii="Arial Narrow" w:hAnsi="Arial Narrow" w:cs="Calibri"/>
                <w:sz w:val="20"/>
                <w:lang w:val="en-AU"/>
              </w:rPr>
            </w:pPr>
            <w:r w:rsidRPr="00F10893">
              <w:rPr>
                <w:rFonts w:ascii="Arial Narrow" w:hAnsi="Arial Narrow"/>
                <w:sz w:val="20"/>
                <w:lang w:val="en-AU"/>
              </w:rPr>
              <w:t>ITT</w:t>
            </w:r>
          </w:p>
        </w:tc>
        <w:tc>
          <w:tcPr>
            <w:tcW w:w="1125" w:type="dxa"/>
            <w:tcBorders>
              <w:bottom w:val="nil"/>
            </w:tcBorders>
            <w:shd w:val="clear" w:color="auto" w:fill="auto"/>
          </w:tcPr>
          <w:p w14:paraId="20236CB5"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174/248 </w:t>
            </w:r>
          </w:p>
          <w:p w14:paraId="0A0E172D"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(70%)</w:t>
            </w:r>
          </w:p>
        </w:tc>
        <w:tc>
          <w:tcPr>
            <w:tcW w:w="1078" w:type="dxa"/>
            <w:tcBorders>
              <w:bottom w:val="nil"/>
            </w:tcBorders>
            <w:shd w:val="clear" w:color="auto" w:fill="auto"/>
          </w:tcPr>
          <w:p w14:paraId="599BCE65"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4.14 </w:t>
            </w:r>
            <w:r w:rsidRPr="00F10893">
              <w:rPr>
                <w:rFonts w:ascii="Arial Narrow" w:hAnsi="Arial Narrow" w:cs="Calibri"/>
                <w:sz w:val="20"/>
                <w:lang w:val="en-AU"/>
              </w:rPr>
              <w:br/>
              <w:t xml:space="preserve">(3.75, 4.53) </w:t>
            </w:r>
          </w:p>
        </w:tc>
        <w:tc>
          <w:tcPr>
            <w:tcW w:w="967" w:type="dxa"/>
            <w:tcBorders>
              <w:bottom w:val="nil"/>
            </w:tcBorders>
            <w:shd w:val="clear" w:color="auto" w:fill="auto"/>
          </w:tcPr>
          <w:p w14:paraId="4949E99C"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70/118 </w:t>
            </w:r>
          </w:p>
          <w:p w14:paraId="3393D53F"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(59%)</w:t>
            </w:r>
          </w:p>
        </w:tc>
        <w:tc>
          <w:tcPr>
            <w:tcW w:w="1078" w:type="dxa"/>
            <w:tcBorders>
              <w:bottom w:val="nil"/>
            </w:tcBorders>
            <w:shd w:val="clear" w:color="auto" w:fill="auto"/>
          </w:tcPr>
          <w:p w14:paraId="4968A7FB"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4.44 </w:t>
            </w:r>
            <w:r w:rsidRPr="00F10893">
              <w:rPr>
                <w:rFonts w:ascii="Arial Narrow" w:hAnsi="Arial Narrow" w:cs="Calibri"/>
                <w:sz w:val="20"/>
                <w:lang w:val="en-AU"/>
              </w:rPr>
              <w:br/>
              <w:t>(2.83, 5.59)</w:t>
            </w:r>
          </w:p>
        </w:tc>
        <w:tc>
          <w:tcPr>
            <w:tcW w:w="1016" w:type="dxa"/>
            <w:tcBorders>
              <w:bottom w:val="nil"/>
            </w:tcBorders>
            <w:shd w:val="clear" w:color="auto" w:fill="auto"/>
          </w:tcPr>
          <w:p w14:paraId="4F0116B5"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-0.3</w:t>
            </w:r>
          </w:p>
        </w:tc>
        <w:tc>
          <w:tcPr>
            <w:tcW w:w="960" w:type="dxa"/>
            <w:tcBorders>
              <w:bottom w:val="nil"/>
            </w:tcBorders>
            <w:shd w:val="clear" w:color="auto" w:fill="auto"/>
          </w:tcPr>
          <w:p w14:paraId="77D10560"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0.897</w:t>
            </w:r>
          </w:p>
        </w:tc>
        <w:tc>
          <w:tcPr>
            <w:tcW w:w="1461" w:type="dxa"/>
            <w:tcBorders>
              <w:bottom w:val="nil"/>
            </w:tcBorders>
            <w:shd w:val="clear" w:color="auto" w:fill="auto"/>
          </w:tcPr>
          <w:p w14:paraId="28C83C19"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0.981 </w:t>
            </w:r>
            <w:r w:rsidRPr="00F10893">
              <w:rPr>
                <w:rFonts w:ascii="Arial Narrow" w:hAnsi="Arial Narrow" w:cs="Calibri"/>
                <w:sz w:val="20"/>
                <w:lang w:val="en-AU"/>
              </w:rPr>
              <w:br/>
              <w:t>(0.734, 1.310)</w:t>
            </w:r>
          </w:p>
        </w:tc>
      </w:tr>
      <w:tr w:rsidR="005A7959" w:rsidRPr="00F10893" w14:paraId="24B43978" w14:textId="77777777" w:rsidTr="004876B7">
        <w:tc>
          <w:tcPr>
            <w:tcW w:w="9016" w:type="dxa"/>
            <w:gridSpan w:val="8"/>
            <w:tcBorders>
              <w:bottom w:val="single" w:sz="4" w:space="0" w:color="auto"/>
            </w:tcBorders>
            <w:shd w:val="clear" w:color="auto" w:fill="auto"/>
          </w:tcPr>
          <w:p w14:paraId="7FD8369E" w14:textId="77777777" w:rsidR="005A7959" w:rsidRPr="00F10893" w:rsidRDefault="005A7959" w:rsidP="00581EB6">
            <w:pPr>
              <w:keepNext/>
              <w:keepLines/>
              <w:autoSpaceDE w:val="0"/>
              <w:autoSpaceDN w:val="0"/>
              <w:adjustRightInd w:val="0"/>
              <w:spacing w:before="0"/>
              <w:jc w:val="left"/>
              <w:rPr>
                <w:rFonts w:ascii="Arial Narrow" w:hAnsi="Arial Narrow" w:cs="Calibri"/>
                <w:b/>
                <w:sz w:val="20"/>
                <w:highlight w:val="yellow"/>
                <w:lang w:val="en-AU"/>
              </w:rPr>
            </w:pPr>
            <w:r w:rsidRPr="00F10893">
              <w:rPr>
                <w:rFonts w:ascii="Arial Narrow" w:hAnsi="Arial Narrow" w:cs="Calibri"/>
                <w:b/>
                <w:sz w:val="20"/>
                <w:lang w:val="en-AU"/>
              </w:rPr>
              <w:t>PFS – FRα-high (≥75%, using 10X scoring) (pre-specified)</w:t>
            </w:r>
          </w:p>
        </w:tc>
      </w:tr>
      <w:tr w:rsidR="005A7959" w:rsidRPr="00F10893" w14:paraId="009E8002" w14:textId="77777777" w:rsidTr="0083696A">
        <w:trPr>
          <w:tblHeader/>
        </w:trPr>
        <w:tc>
          <w:tcPr>
            <w:tcW w:w="1331" w:type="dxa"/>
            <w:tcBorders>
              <w:top w:val="single" w:sz="4" w:space="0" w:color="auto"/>
              <w:bottom w:val="single" w:sz="4" w:space="0" w:color="auto"/>
              <w:right w:val="single" w:sz="4" w:space="0" w:color="auto"/>
            </w:tcBorders>
            <w:shd w:val="clear" w:color="auto" w:fill="auto"/>
          </w:tcPr>
          <w:p w14:paraId="310D83FD" w14:textId="77777777" w:rsidR="005A7959" w:rsidRPr="00F10893" w:rsidRDefault="005A7959" w:rsidP="00581EB6">
            <w:pPr>
              <w:keepNext/>
              <w:keepLines/>
              <w:spacing w:before="0"/>
              <w:rPr>
                <w:rFonts w:ascii="Arial Narrow" w:hAnsi="Arial Narrow" w:cs="Calibri"/>
                <w:sz w:val="20"/>
                <w:lang w:val="en-AU"/>
              </w:rPr>
            </w:pPr>
          </w:p>
        </w:tc>
        <w:tc>
          <w:tcPr>
            <w:tcW w:w="2203" w:type="dxa"/>
            <w:gridSpan w:val="2"/>
            <w:tcBorders>
              <w:top w:val="single" w:sz="4" w:space="0" w:color="auto"/>
              <w:left w:val="single" w:sz="4" w:space="0" w:color="auto"/>
              <w:bottom w:val="single" w:sz="4" w:space="0" w:color="auto"/>
              <w:right w:val="single" w:sz="4" w:space="0" w:color="auto"/>
            </w:tcBorders>
            <w:shd w:val="clear" w:color="auto" w:fill="auto"/>
          </w:tcPr>
          <w:p w14:paraId="6E8D611E"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bCs/>
                <w:sz w:val="20"/>
                <w:lang w:val="en-AU"/>
              </w:rPr>
              <w:t>MIRV (N=</w:t>
            </w:r>
            <w:r w:rsidRPr="00F10893">
              <w:rPr>
                <w:rFonts w:ascii="Arial Narrow" w:hAnsi="Arial Narrow" w:cs="Calibri"/>
                <w:sz w:val="20"/>
                <w:lang w:val="en-AU"/>
              </w:rPr>
              <w:t>147</w:t>
            </w:r>
            <w:r w:rsidRPr="00F10893">
              <w:rPr>
                <w:rFonts w:ascii="Arial Narrow" w:hAnsi="Arial Narrow" w:cs="Calibri"/>
                <w:bCs/>
                <w:sz w:val="20"/>
                <w:lang w:val="en-AU"/>
              </w:rPr>
              <w:t>)</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tcPr>
          <w:p w14:paraId="40D39E6E" w14:textId="77777777" w:rsidR="005A7959" w:rsidRPr="00F10893" w:rsidRDefault="005A7959" w:rsidP="00581EB6">
            <w:pPr>
              <w:keepNext/>
              <w:keepLines/>
              <w:spacing w:before="0"/>
              <w:jc w:val="left"/>
              <w:rPr>
                <w:rFonts w:ascii="Arial Narrow" w:hAnsi="Arial Narrow" w:cs="Calibri"/>
                <w:sz w:val="20"/>
                <w:lang w:val="en-AU"/>
              </w:rPr>
            </w:pPr>
            <w:r w:rsidRPr="00F10893">
              <w:rPr>
                <w:rFonts w:ascii="Arial Narrow" w:hAnsi="Arial Narrow" w:cs="Calibri"/>
                <w:sz w:val="20"/>
                <w:lang w:val="en-AU"/>
              </w:rPr>
              <w:t>ICC (N=71)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1171B669" w14:textId="77777777" w:rsidR="005A7959" w:rsidRPr="00F10893" w:rsidRDefault="005A7959" w:rsidP="00581EB6">
            <w:pPr>
              <w:keepNext/>
              <w:keepLines/>
              <w:spacing w:before="0"/>
              <w:jc w:val="center"/>
              <w:rPr>
                <w:rFonts w:ascii="Arial Narrow" w:hAnsi="Arial Narrow" w:cs="Calibri"/>
                <w:sz w:val="20"/>
                <w:lang w:val="en-A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26F8275" w14:textId="77777777" w:rsidR="005A7959" w:rsidRPr="00F10893" w:rsidRDefault="005A7959" w:rsidP="00581EB6">
            <w:pPr>
              <w:keepNext/>
              <w:keepLines/>
              <w:spacing w:before="0"/>
              <w:jc w:val="center"/>
              <w:rPr>
                <w:rFonts w:ascii="Arial Narrow" w:hAnsi="Arial Narrow" w:cs="Calibri"/>
                <w:sz w:val="20"/>
                <w:lang w:val="en-AU"/>
              </w:rPr>
            </w:pPr>
          </w:p>
        </w:tc>
        <w:tc>
          <w:tcPr>
            <w:tcW w:w="1461" w:type="dxa"/>
            <w:tcBorders>
              <w:top w:val="single" w:sz="4" w:space="0" w:color="auto"/>
              <w:left w:val="single" w:sz="4" w:space="0" w:color="auto"/>
              <w:bottom w:val="single" w:sz="4" w:space="0" w:color="auto"/>
            </w:tcBorders>
            <w:shd w:val="clear" w:color="auto" w:fill="auto"/>
          </w:tcPr>
          <w:p w14:paraId="1AEC91B5" w14:textId="77777777" w:rsidR="005A7959" w:rsidRPr="00F10893" w:rsidRDefault="005A7959" w:rsidP="00581EB6">
            <w:pPr>
              <w:keepNext/>
              <w:keepLines/>
              <w:spacing w:before="0"/>
              <w:jc w:val="center"/>
              <w:rPr>
                <w:rFonts w:ascii="Arial Narrow" w:hAnsi="Arial Narrow" w:cs="Calibri"/>
                <w:sz w:val="20"/>
                <w:lang w:val="en-AU"/>
              </w:rPr>
            </w:pPr>
          </w:p>
        </w:tc>
      </w:tr>
      <w:tr w:rsidR="005A78C9" w:rsidRPr="00F10893" w14:paraId="1DB80438" w14:textId="77777777" w:rsidTr="004876B7">
        <w:tc>
          <w:tcPr>
            <w:tcW w:w="1331" w:type="dxa"/>
            <w:tcBorders>
              <w:top w:val="single" w:sz="4" w:space="0" w:color="auto"/>
              <w:left w:val="single" w:sz="4" w:space="0" w:color="auto"/>
              <w:bottom w:val="single" w:sz="4" w:space="0" w:color="auto"/>
              <w:right w:val="single" w:sz="4" w:space="0" w:color="auto"/>
            </w:tcBorders>
            <w:shd w:val="clear" w:color="auto" w:fill="auto"/>
          </w:tcPr>
          <w:p w14:paraId="5BA1897E" w14:textId="77777777" w:rsidR="005A7959" w:rsidRPr="00F10893" w:rsidRDefault="005A7959" w:rsidP="00581EB6">
            <w:pPr>
              <w:keepNext/>
              <w:keepLines/>
              <w:spacing w:before="0"/>
              <w:rPr>
                <w:rFonts w:ascii="Arial Narrow" w:hAnsi="Arial Narrow" w:cs="Calibri"/>
                <w:sz w:val="20"/>
                <w:lang w:val="en-AU"/>
              </w:rPr>
            </w:pPr>
            <w:r w:rsidRPr="00F10893">
              <w:rPr>
                <w:rFonts w:ascii="Arial Narrow" w:hAnsi="Arial Narrow"/>
                <w:sz w:val="20"/>
                <w:lang w:val="en-AU"/>
              </w:rPr>
              <w:t>FRα-high</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5F248C87"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93/147 </w:t>
            </w:r>
          </w:p>
          <w:p w14:paraId="182FEF9C"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(63%)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20801FA"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4.76 </w:t>
            </w:r>
            <w:r w:rsidRPr="00F10893">
              <w:rPr>
                <w:rFonts w:ascii="Arial Narrow" w:hAnsi="Arial Narrow" w:cs="Calibri"/>
                <w:sz w:val="20"/>
                <w:lang w:val="en-AU"/>
              </w:rPr>
              <w:br/>
              <w:t>(4.11, 5.68)</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0840802E"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45/71 </w:t>
            </w:r>
          </w:p>
          <w:p w14:paraId="2D822C92"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(63%)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5F4AEEC"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3.25 </w:t>
            </w:r>
            <w:r w:rsidRPr="00F10893">
              <w:rPr>
                <w:rFonts w:ascii="Arial Narrow" w:hAnsi="Arial Narrow" w:cs="Calibri"/>
                <w:sz w:val="20"/>
                <w:lang w:val="en-AU"/>
              </w:rPr>
              <w:br/>
              <w:t>(1.97, 5.59)</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6E79925"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1.51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DEAF6FC"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0.049</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7A11F384"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0.693 </w:t>
            </w:r>
            <w:r w:rsidRPr="00F10893">
              <w:rPr>
                <w:rFonts w:ascii="Arial Narrow" w:hAnsi="Arial Narrow" w:cs="Calibri"/>
                <w:sz w:val="20"/>
                <w:lang w:val="en-AU"/>
              </w:rPr>
              <w:br/>
              <w:t>(0.480, 1.000)</w:t>
            </w:r>
          </w:p>
        </w:tc>
      </w:tr>
      <w:tr w:rsidR="005A7959" w:rsidRPr="00F10893" w14:paraId="413B771D" w14:textId="77777777" w:rsidTr="004876B7">
        <w:tc>
          <w:tcPr>
            <w:tcW w:w="9016" w:type="dxa"/>
            <w:gridSpan w:val="8"/>
            <w:tcBorders>
              <w:bottom w:val="single" w:sz="4" w:space="0" w:color="auto"/>
            </w:tcBorders>
            <w:shd w:val="clear" w:color="auto" w:fill="auto"/>
          </w:tcPr>
          <w:p w14:paraId="37869629" w14:textId="77777777" w:rsidR="005A7959" w:rsidRPr="00F10893" w:rsidRDefault="005A7959" w:rsidP="00581EB6">
            <w:pPr>
              <w:keepNext/>
              <w:keepLines/>
              <w:autoSpaceDE w:val="0"/>
              <w:autoSpaceDN w:val="0"/>
              <w:adjustRightInd w:val="0"/>
              <w:spacing w:before="0"/>
              <w:jc w:val="left"/>
              <w:rPr>
                <w:rFonts w:ascii="Arial Narrow" w:hAnsi="Arial Narrow" w:cs="Calibri"/>
                <w:b/>
                <w:i/>
                <w:sz w:val="20"/>
                <w:highlight w:val="yellow"/>
                <w:lang w:val="en-AU"/>
              </w:rPr>
            </w:pPr>
            <w:r w:rsidRPr="00F10893">
              <w:rPr>
                <w:rFonts w:ascii="Arial Narrow" w:hAnsi="Arial Narrow" w:cs="Calibri"/>
                <w:b/>
                <w:i/>
                <w:sz w:val="20"/>
                <w:lang w:val="en-AU"/>
              </w:rPr>
              <w:t>PFS – FRα-medium (&lt;75%, using 10X scoring) (pre-specified)</w:t>
            </w:r>
          </w:p>
        </w:tc>
      </w:tr>
      <w:tr w:rsidR="005A7959" w:rsidRPr="00F10893" w14:paraId="0BBAA378" w14:textId="77777777" w:rsidTr="0083696A">
        <w:trPr>
          <w:tblHeader/>
        </w:trPr>
        <w:tc>
          <w:tcPr>
            <w:tcW w:w="1331" w:type="dxa"/>
            <w:tcBorders>
              <w:top w:val="single" w:sz="4" w:space="0" w:color="auto"/>
              <w:bottom w:val="single" w:sz="4" w:space="0" w:color="auto"/>
              <w:right w:val="single" w:sz="4" w:space="0" w:color="auto"/>
            </w:tcBorders>
            <w:shd w:val="clear" w:color="auto" w:fill="auto"/>
          </w:tcPr>
          <w:p w14:paraId="215573AC" w14:textId="77777777" w:rsidR="005A7959" w:rsidRPr="00F10893" w:rsidRDefault="005A7959" w:rsidP="00581EB6">
            <w:pPr>
              <w:keepNext/>
              <w:keepLines/>
              <w:spacing w:before="0"/>
              <w:rPr>
                <w:rFonts w:ascii="Arial Narrow" w:hAnsi="Arial Narrow" w:cs="Calibri"/>
                <w:i/>
                <w:iCs/>
                <w:sz w:val="20"/>
                <w:lang w:val="en-AU"/>
              </w:rPr>
            </w:pPr>
          </w:p>
        </w:tc>
        <w:tc>
          <w:tcPr>
            <w:tcW w:w="2203" w:type="dxa"/>
            <w:gridSpan w:val="2"/>
            <w:tcBorders>
              <w:top w:val="single" w:sz="4" w:space="0" w:color="auto"/>
              <w:left w:val="single" w:sz="4" w:space="0" w:color="auto"/>
              <w:bottom w:val="single" w:sz="4" w:space="0" w:color="auto"/>
              <w:right w:val="single" w:sz="4" w:space="0" w:color="auto"/>
            </w:tcBorders>
            <w:shd w:val="clear" w:color="auto" w:fill="auto"/>
          </w:tcPr>
          <w:p w14:paraId="664342AE" w14:textId="77777777" w:rsidR="005A7959" w:rsidRPr="00F10893" w:rsidRDefault="005A7959" w:rsidP="00581EB6">
            <w:pPr>
              <w:keepNext/>
              <w:keepLines/>
              <w:spacing w:before="0"/>
              <w:jc w:val="left"/>
              <w:rPr>
                <w:rFonts w:ascii="Arial Narrow" w:hAnsi="Arial Narrow" w:cs="Calibri"/>
                <w:i/>
                <w:iCs/>
                <w:sz w:val="20"/>
                <w:lang w:val="en-AU"/>
              </w:rPr>
            </w:pPr>
            <w:r w:rsidRPr="00F10893">
              <w:rPr>
                <w:rFonts w:ascii="Arial Narrow" w:hAnsi="Arial Narrow" w:cs="Calibri"/>
                <w:bCs/>
                <w:i/>
                <w:iCs/>
                <w:sz w:val="20"/>
                <w:lang w:val="en-AU"/>
              </w:rPr>
              <w:t>MIRV (N=</w:t>
            </w:r>
            <w:r w:rsidRPr="00F10893">
              <w:rPr>
                <w:rFonts w:ascii="Arial Narrow" w:hAnsi="Arial Narrow" w:cs="Calibri"/>
                <w:i/>
                <w:iCs/>
                <w:sz w:val="20"/>
                <w:lang w:val="en-AU"/>
              </w:rPr>
              <w:t>248</w:t>
            </w:r>
            <w:r w:rsidRPr="00F10893">
              <w:rPr>
                <w:rFonts w:ascii="Arial Narrow" w:hAnsi="Arial Narrow" w:cs="Calibri"/>
                <w:bCs/>
                <w:i/>
                <w:iCs/>
                <w:sz w:val="20"/>
                <w:lang w:val="en-AU"/>
              </w:rPr>
              <w:t>)</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tcPr>
          <w:p w14:paraId="3D620C11" w14:textId="77777777" w:rsidR="005A7959" w:rsidRPr="00F10893" w:rsidRDefault="005A7959" w:rsidP="00581EB6">
            <w:pPr>
              <w:keepNext/>
              <w:keepLines/>
              <w:spacing w:before="0"/>
              <w:jc w:val="left"/>
              <w:rPr>
                <w:rFonts w:ascii="Arial Narrow" w:hAnsi="Arial Narrow" w:cs="Calibri"/>
                <w:i/>
                <w:iCs/>
                <w:sz w:val="20"/>
                <w:lang w:val="en-AU"/>
              </w:rPr>
            </w:pPr>
            <w:r w:rsidRPr="00F10893">
              <w:rPr>
                <w:rFonts w:ascii="Arial Narrow" w:hAnsi="Arial Narrow" w:cs="Calibri"/>
                <w:i/>
                <w:iCs/>
                <w:sz w:val="20"/>
                <w:lang w:val="en-AU"/>
              </w:rPr>
              <w:t>ICC (N=118)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7575AF81" w14:textId="77777777" w:rsidR="005A7959" w:rsidRPr="00F10893" w:rsidRDefault="005A7959" w:rsidP="00581EB6">
            <w:pPr>
              <w:keepNext/>
              <w:keepLines/>
              <w:spacing w:before="0"/>
              <w:jc w:val="center"/>
              <w:rPr>
                <w:rFonts w:ascii="Arial Narrow" w:hAnsi="Arial Narrow" w:cs="Calibri"/>
                <w:i/>
                <w:iCs/>
                <w:sz w:val="20"/>
                <w:lang w:val="en-A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EDAE512" w14:textId="77777777" w:rsidR="005A7959" w:rsidRPr="00F10893" w:rsidRDefault="005A7959" w:rsidP="00581EB6">
            <w:pPr>
              <w:keepNext/>
              <w:keepLines/>
              <w:spacing w:before="0"/>
              <w:jc w:val="center"/>
              <w:rPr>
                <w:rFonts w:ascii="Arial Narrow" w:hAnsi="Arial Narrow" w:cs="Calibri"/>
                <w:i/>
                <w:iCs/>
                <w:sz w:val="20"/>
                <w:lang w:val="en-AU"/>
              </w:rPr>
            </w:pPr>
          </w:p>
        </w:tc>
        <w:tc>
          <w:tcPr>
            <w:tcW w:w="1461" w:type="dxa"/>
            <w:tcBorders>
              <w:top w:val="single" w:sz="4" w:space="0" w:color="auto"/>
              <w:left w:val="single" w:sz="4" w:space="0" w:color="auto"/>
              <w:bottom w:val="single" w:sz="4" w:space="0" w:color="auto"/>
            </w:tcBorders>
            <w:shd w:val="clear" w:color="auto" w:fill="auto"/>
          </w:tcPr>
          <w:p w14:paraId="6E92AB18" w14:textId="77777777" w:rsidR="005A7959" w:rsidRPr="00F10893" w:rsidRDefault="005A7959" w:rsidP="00581EB6">
            <w:pPr>
              <w:keepNext/>
              <w:keepLines/>
              <w:spacing w:before="0"/>
              <w:jc w:val="center"/>
              <w:rPr>
                <w:rFonts w:ascii="Arial Narrow" w:hAnsi="Arial Narrow" w:cs="Calibri"/>
                <w:i/>
                <w:iCs/>
                <w:sz w:val="20"/>
                <w:lang w:val="en-AU"/>
              </w:rPr>
            </w:pPr>
          </w:p>
        </w:tc>
      </w:tr>
      <w:tr w:rsidR="005A78C9" w:rsidRPr="00F10893" w14:paraId="15223710" w14:textId="77777777" w:rsidTr="004876B7">
        <w:tc>
          <w:tcPr>
            <w:tcW w:w="1331" w:type="dxa"/>
            <w:tcBorders>
              <w:top w:val="single" w:sz="4" w:space="0" w:color="auto"/>
              <w:left w:val="single" w:sz="4" w:space="0" w:color="auto"/>
              <w:bottom w:val="single" w:sz="4" w:space="0" w:color="auto"/>
              <w:right w:val="single" w:sz="4" w:space="0" w:color="auto"/>
            </w:tcBorders>
            <w:shd w:val="clear" w:color="auto" w:fill="auto"/>
          </w:tcPr>
          <w:p w14:paraId="121DEDDD" w14:textId="77777777" w:rsidR="005A7959" w:rsidRPr="00F10893" w:rsidRDefault="005A7959" w:rsidP="00581EB6">
            <w:pPr>
              <w:keepNext/>
              <w:keepLines/>
              <w:spacing w:before="0"/>
              <w:rPr>
                <w:rFonts w:ascii="Arial Narrow" w:hAnsi="Arial Narrow" w:cs="Calibri"/>
                <w:i/>
                <w:iCs/>
                <w:sz w:val="20"/>
                <w:lang w:val="en-AU"/>
              </w:rPr>
            </w:pPr>
            <w:r w:rsidRPr="00F10893">
              <w:rPr>
                <w:rFonts w:ascii="Arial Narrow" w:hAnsi="Arial Narrow"/>
                <w:i/>
                <w:iCs/>
                <w:sz w:val="20"/>
                <w:lang w:val="en-AU"/>
              </w:rPr>
              <w:t>FRα-medium</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213B04C3"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81/101 </w:t>
            </w:r>
          </w:p>
          <w:p w14:paraId="70327FA2"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(80%)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C575F0A"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2.92 </w:t>
            </w:r>
            <w:r w:rsidRPr="00F10893">
              <w:rPr>
                <w:rFonts w:ascii="Arial Narrow" w:hAnsi="Arial Narrow" w:cs="Calibri"/>
                <w:i/>
                <w:iCs/>
                <w:sz w:val="20"/>
                <w:lang w:val="en-AU"/>
              </w:rPr>
              <w:br/>
              <w:t xml:space="preserve">(2.76, 4.14) </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1EE5DFC5"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25/46 </w:t>
            </w:r>
          </w:p>
          <w:p w14:paraId="73C659F0"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(54%)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B753012"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5.55 </w:t>
            </w:r>
            <w:r w:rsidRPr="00F10893">
              <w:rPr>
                <w:rFonts w:ascii="Arial Narrow" w:hAnsi="Arial Narrow" w:cs="Calibri"/>
                <w:i/>
                <w:iCs/>
                <w:sz w:val="20"/>
                <w:lang w:val="en-AU"/>
              </w:rPr>
              <w:br/>
              <w:t>(2.73, 8.34)</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79C1DAF5"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-2.63</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CF9E098" w14:textId="77777777"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0.061 </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3929D6CD" w14:textId="235C7BC5" w:rsidR="005A7959" w:rsidRPr="00F10893" w:rsidRDefault="005A7959" w:rsidP="00581EB6">
            <w:pPr>
              <w:keepNext/>
              <w:keepLines/>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1.560 </w:t>
            </w:r>
            <w:r w:rsidRPr="00F10893">
              <w:rPr>
                <w:rFonts w:ascii="Arial Narrow" w:hAnsi="Arial Narrow"/>
                <w:i/>
                <w:iCs/>
                <w:sz w:val="20"/>
                <w:lang w:val="en-AU"/>
              </w:rPr>
              <w:br/>
            </w:r>
            <w:r w:rsidRPr="00F10893">
              <w:rPr>
                <w:rFonts w:ascii="Arial Narrow" w:hAnsi="Arial Narrow" w:cs="Calibri"/>
                <w:i/>
                <w:iCs/>
                <w:sz w:val="20"/>
                <w:lang w:val="en-AU"/>
              </w:rPr>
              <w:t>(0.976, 2.492)</w:t>
            </w:r>
          </w:p>
        </w:tc>
      </w:tr>
      <w:tr w:rsidR="005A7959" w:rsidRPr="00F10893" w14:paraId="140F4689" w14:textId="77777777" w:rsidTr="004876B7">
        <w:tc>
          <w:tcPr>
            <w:tcW w:w="9016" w:type="dxa"/>
            <w:gridSpan w:val="8"/>
            <w:tcBorders>
              <w:bottom w:val="single" w:sz="4" w:space="0" w:color="auto"/>
            </w:tcBorders>
            <w:shd w:val="clear" w:color="auto" w:fill="auto"/>
          </w:tcPr>
          <w:p w14:paraId="5CA72A51" w14:textId="77777777" w:rsidR="005A7959" w:rsidRPr="00F10893" w:rsidRDefault="005A7959" w:rsidP="00581EB6">
            <w:pPr>
              <w:keepNext/>
              <w:keepLines/>
              <w:autoSpaceDE w:val="0"/>
              <w:autoSpaceDN w:val="0"/>
              <w:adjustRightInd w:val="0"/>
              <w:spacing w:before="0"/>
              <w:jc w:val="left"/>
              <w:rPr>
                <w:rFonts w:ascii="Arial Narrow" w:hAnsi="Arial Narrow" w:cs="Calibri"/>
                <w:b/>
                <w:sz w:val="20"/>
                <w:highlight w:val="yellow"/>
                <w:lang w:val="en-AU"/>
              </w:rPr>
            </w:pPr>
            <w:r w:rsidRPr="00F10893">
              <w:rPr>
                <w:rFonts w:ascii="Arial Narrow" w:hAnsi="Arial Narrow" w:cs="Calibri"/>
                <w:b/>
                <w:sz w:val="20"/>
                <w:lang w:val="en-AU"/>
              </w:rPr>
              <w:t>PFS – FRα expression groups (≥75%, using PS2+ scoring) (post-hoc)</w:t>
            </w:r>
          </w:p>
        </w:tc>
      </w:tr>
      <w:tr w:rsidR="005A7959" w:rsidRPr="00F10893" w14:paraId="2AA6DF87" w14:textId="77777777" w:rsidTr="0083696A">
        <w:trPr>
          <w:tblHeader/>
        </w:trPr>
        <w:tc>
          <w:tcPr>
            <w:tcW w:w="1331" w:type="dxa"/>
            <w:tcBorders>
              <w:top w:val="single" w:sz="4" w:space="0" w:color="auto"/>
              <w:bottom w:val="single" w:sz="4" w:space="0" w:color="auto"/>
              <w:right w:val="single" w:sz="4" w:space="0" w:color="auto"/>
            </w:tcBorders>
            <w:shd w:val="clear" w:color="auto" w:fill="auto"/>
          </w:tcPr>
          <w:p w14:paraId="2911B8D5" w14:textId="77777777" w:rsidR="005A7959" w:rsidRPr="00F10893" w:rsidRDefault="005A7959" w:rsidP="00581EB6">
            <w:pPr>
              <w:keepNext/>
              <w:keepLines/>
              <w:spacing w:before="0"/>
              <w:jc w:val="left"/>
              <w:rPr>
                <w:rFonts w:ascii="Arial Narrow" w:hAnsi="Arial Narrow" w:cs="Calibri"/>
                <w:i/>
                <w:iCs/>
                <w:sz w:val="20"/>
                <w:lang w:val="en-AU"/>
              </w:rPr>
            </w:pPr>
          </w:p>
        </w:tc>
        <w:tc>
          <w:tcPr>
            <w:tcW w:w="2203" w:type="dxa"/>
            <w:gridSpan w:val="2"/>
            <w:tcBorders>
              <w:top w:val="single" w:sz="4" w:space="0" w:color="auto"/>
              <w:left w:val="single" w:sz="4" w:space="0" w:color="auto"/>
              <w:bottom w:val="single" w:sz="4" w:space="0" w:color="auto"/>
              <w:right w:val="single" w:sz="4" w:space="0" w:color="auto"/>
            </w:tcBorders>
            <w:shd w:val="clear" w:color="auto" w:fill="auto"/>
          </w:tcPr>
          <w:p w14:paraId="27EC8CA9" w14:textId="77777777" w:rsidR="005A7959" w:rsidRPr="00F10893" w:rsidRDefault="005A7959" w:rsidP="00581EB6">
            <w:pPr>
              <w:keepNext/>
              <w:keepLines/>
              <w:spacing w:before="0"/>
              <w:jc w:val="left"/>
              <w:rPr>
                <w:rFonts w:ascii="Arial Narrow" w:hAnsi="Arial Narrow" w:cs="Calibri"/>
                <w:i/>
                <w:iCs/>
                <w:sz w:val="20"/>
                <w:lang w:val="en-AU"/>
              </w:rPr>
            </w:pPr>
            <w:r w:rsidRPr="00F10893">
              <w:rPr>
                <w:rFonts w:ascii="Arial Narrow" w:hAnsi="Arial Narrow" w:cs="Calibri"/>
                <w:bCs/>
                <w:i/>
                <w:iCs/>
                <w:sz w:val="20"/>
                <w:lang w:val="en-AU"/>
              </w:rPr>
              <w:t xml:space="preserve">MIRV </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tcPr>
          <w:p w14:paraId="38DCFB99" w14:textId="77777777" w:rsidR="005A7959" w:rsidRPr="00F10893" w:rsidRDefault="005A7959" w:rsidP="00581EB6">
            <w:pPr>
              <w:keepNext/>
              <w:keepLines/>
              <w:spacing w:before="0"/>
              <w:jc w:val="left"/>
              <w:rPr>
                <w:rFonts w:ascii="Arial Narrow" w:hAnsi="Arial Narrow" w:cs="Calibri"/>
                <w:i/>
                <w:iCs/>
                <w:sz w:val="20"/>
                <w:lang w:val="en-AU"/>
              </w:rPr>
            </w:pPr>
            <w:r w:rsidRPr="00F10893">
              <w:rPr>
                <w:rFonts w:ascii="Arial Narrow" w:hAnsi="Arial Narrow" w:cs="Calibri"/>
                <w:i/>
                <w:iCs/>
                <w:sz w:val="20"/>
                <w:lang w:val="en-AU"/>
              </w:rPr>
              <w:t xml:space="preserve">ICC </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10ACEC02" w14:textId="77777777" w:rsidR="005A7959" w:rsidRPr="00F10893" w:rsidRDefault="005A7959" w:rsidP="00581EB6">
            <w:pPr>
              <w:keepNext/>
              <w:keepLines/>
              <w:spacing w:before="0"/>
              <w:jc w:val="center"/>
              <w:rPr>
                <w:rFonts w:ascii="Arial Narrow" w:hAnsi="Arial Narrow" w:cs="Calibri"/>
                <w:i/>
                <w:iCs/>
                <w:sz w:val="20"/>
                <w:lang w:val="en-A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4E6D0E2" w14:textId="77777777" w:rsidR="005A7959" w:rsidRPr="00F10893" w:rsidRDefault="005A7959" w:rsidP="00581EB6">
            <w:pPr>
              <w:keepNext/>
              <w:keepLines/>
              <w:spacing w:before="0"/>
              <w:jc w:val="center"/>
              <w:rPr>
                <w:rFonts w:ascii="Arial Narrow" w:hAnsi="Arial Narrow" w:cs="Calibri"/>
                <w:i/>
                <w:iCs/>
                <w:sz w:val="20"/>
                <w:lang w:val="en-AU"/>
              </w:rPr>
            </w:pPr>
          </w:p>
        </w:tc>
        <w:tc>
          <w:tcPr>
            <w:tcW w:w="1461" w:type="dxa"/>
            <w:tcBorders>
              <w:top w:val="single" w:sz="4" w:space="0" w:color="auto"/>
              <w:left w:val="single" w:sz="4" w:space="0" w:color="auto"/>
              <w:bottom w:val="single" w:sz="4" w:space="0" w:color="auto"/>
            </w:tcBorders>
            <w:shd w:val="clear" w:color="auto" w:fill="auto"/>
          </w:tcPr>
          <w:p w14:paraId="35E844DF" w14:textId="77777777" w:rsidR="005A7959" w:rsidRPr="00F10893" w:rsidRDefault="005A7959" w:rsidP="00581EB6">
            <w:pPr>
              <w:keepNext/>
              <w:keepLines/>
              <w:spacing w:before="0"/>
              <w:jc w:val="center"/>
              <w:rPr>
                <w:rFonts w:ascii="Arial Narrow" w:hAnsi="Arial Narrow" w:cs="Calibri"/>
                <w:i/>
                <w:iCs/>
                <w:sz w:val="20"/>
                <w:lang w:val="en-AU"/>
              </w:rPr>
            </w:pPr>
          </w:p>
        </w:tc>
      </w:tr>
      <w:tr w:rsidR="005A7959" w:rsidRPr="00F10893" w14:paraId="7BB69535" w14:textId="77777777" w:rsidTr="0083696A">
        <w:tc>
          <w:tcPr>
            <w:tcW w:w="1331" w:type="dxa"/>
            <w:tcBorders>
              <w:top w:val="single" w:sz="4" w:space="0" w:color="auto"/>
              <w:left w:val="single" w:sz="4" w:space="0" w:color="auto"/>
              <w:bottom w:val="single" w:sz="4" w:space="0" w:color="auto"/>
              <w:right w:val="single" w:sz="4" w:space="0" w:color="auto"/>
            </w:tcBorders>
            <w:shd w:val="clear" w:color="auto" w:fill="auto"/>
          </w:tcPr>
          <w:p w14:paraId="5EDA0094" w14:textId="77777777" w:rsidR="005A7959" w:rsidRPr="00F10893" w:rsidRDefault="005A7959" w:rsidP="00581EB6">
            <w:pPr>
              <w:keepNext/>
              <w:keepLines/>
              <w:spacing w:before="0"/>
              <w:rPr>
                <w:rFonts w:ascii="Arial Narrow" w:hAnsi="Arial Narrow" w:cs="Calibri"/>
                <w:sz w:val="20"/>
                <w:lang w:val="en-AU"/>
              </w:rPr>
            </w:pPr>
            <w:r w:rsidRPr="00F10893">
              <w:rPr>
                <w:rFonts w:ascii="Arial Narrow" w:hAnsi="Arial Narrow"/>
                <w:sz w:val="20"/>
                <w:lang w:val="en-AU"/>
              </w:rPr>
              <w:t>FRα-high</w:t>
            </w:r>
          </w:p>
        </w:tc>
        <w:tc>
          <w:tcPr>
            <w:tcW w:w="1125" w:type="dxa"/>
            <w:shd w:val="clear" w:color="auto" w:fill="auto"/>
          </w:tcPr>
          <w:p w14:paraId="6C5512FE"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50/82 </w:t>
            </w:r>
          </w:p>
          <w:p w14:paraId="16C68353"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(61%)</w:t>
            </w:r>
          </w:p>
        </w:tc>
        <w:tc>
          <w:tcPr>
            <w:tcW w:w="1078" w:type="dxa"/>
            <w:shd w:val="clear" w:color="auto" w:fill="auto"/>
          </w:tcPr>
          <w:p w14:paraId="58A8D41A"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5.62 </w:t>
            </w:r>
            <w:r w:rsidRPr="00F10893">
              <w:rPr>
                <w:rFonts w:ascii="Arial Narrow" w:hAnsi="Arial Narrow" w:cs="Calibri"/>
                <w:sz w:val="20"/>
                <w:lang w:val="en-AU"/>
              </w:rPr>
              <w:br/>
              <w:t xml:space="preserve">(4.04, 7.06) </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5FDDD830"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25/34 </w:t>
            </w:r>
          </w:p>
          <w:p w14:paraId="5CBB951C"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(74%)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542DB0"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3.22 </w:t>
            </w:r>
            <w:r w:rsidRPr="00F10893">
              <w:rPr>
                <w:rFonts w:ascii="Arial Narrow" w:hAnsi="Arial Narrow" w:cs="Calibri"/>
                <w:sz w:val="20"/>
                <w:lang w:val="en-AU"/>
              </w:rPr>
              <w:br/>
              <w:t>(1.51, 5.49)</w:t>
            </w:r>
          </w:p>
        </w:tc>
        <w:tc>
          <w:tcPr>
            <w:tcW w:w="1016" w:type="dxa"/>
            <w:shd w:val="clear" w:color="auto" w:fill="auto"/>
          </w:tcPr>
          <w:p w14:paraId="6F697C98"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2.4</w:t>
            </w:r>
          </w:p>
        </w:tc>
        <w:tc>
          <w:tcPr>
            <w:tcW w:w="960" w:type="dxa"/>
            <w:shd w:val="clear" w:color="auto" w:fill="auto"/>
          </w:tcPr>
          <w:p w14:paraId="3CDDD43F"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0.0151</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52446A3"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0.549 </w:t>
            </w:r>
            <w:r w:rsidRPr="00F10893">
              <w:rPr>
                <w:rFonts w:ascii="Arial Narrow" w:hAnsi="Arial Narrow" w:cs="Calibri"/>
                <w:sz w:val="20"/>
                <w:lang w:val="en-AU"/>
              </w:rPr>
              <w:br/>
              <w:t>(0.336, 0.897)</w:t>
            </w:r>
          </w:p>
        </w:tc>
      </w:tr>
      <w:tr w:rsidR="005A7959" w:rsidRPr="00F10893" w14:paraId="66290114" w14:textId="77777777" w:rsidTr="0083696A">
        <w:tc>
          <w:tcPr>
            <w:tcW w:w="1331" w:type="dxa"/>
            <w:tcBorders>
              <w:top w:val="single" w:sz="4" w:space="0" w:color="auto"/>
              <w:left w:val="single" w:sz="4" w:space="0" w:color="auto"/>
              <w:bottom w:val="single" w:sz="4" w:space="0" w:color="auto"/>
              <w:right w:val="single" w:sz="4" w:space="0" w:color="auto"/>
            </w:tcBorders>
            <w:shd w:val="clear" w:color="auto" w:fill="auto"/>
          </w:tcPr>
          <w:p w14:paraId="268702B9" w14:textId="77777777" w:rsidR="005A7959" w:rsidRPr="00F10893" w:rsidRDefault="005A7959" w:rsidP="00581EB6">
            <w:pPr>
              <w:keepNext/>
              <w:keepLines/>
              <w:spacing w:before="0"/>
              <w:rPr>
                <w:rFonts w:ascii="Arial Narrow" w:hAnsi="Arial Narrow" w:cs="Calibri"/>
                <w:kern w:val="24"/>
                <w:sz w:val="20"/>
                <w:lang w:val="en-AU"/>
              </w:rPr>
            </w:pPr>
            <w:r w:rsidRPr="00F10893">
              <w:rPr>
                <w:rFonts w:ascii="Arial Narrow" w:hAnsi="Arial Narrow"/>
                <w:sz w:val="20"/>
                <w:lang w:val="en-AU"/>
              </w:rPr>
              <w:t>FRα-medium</w:t>
            </w:r>
          </w:p>
        </w:tc>
        <w:tc>
          <w:tcPr>
            <w:tcW w:w="1125" w:type="dxa"/>
            <w:shd w:val="clear" w:color="auto" w:fill="auto"/>
          </w:tcPr>
          <w:p w14:paraId="24803F69"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53/69 </w:t>
            </w:r>
          </w:p>
          <w:p w14:paraId="670D6E91"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(77%)</w:t>
            </w:r>
          </w:p>
        </w:tc>
        <w:tc>
          <w:tcPr>
            <w:tcW w:w="1078" w:type="dxa"/>
            <w:shd w:val="clear" w:color="auto" w:fill="auto"/>
          </w:tcPr>
          <w:p w14:paraId="09579F33"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4.30 </w:t>
            </w:r>
            <w:r w:rsidRPr="00F10893">
              <w:rPr>
                <w:rFonts w:ascii="Arial Narrow" w:hAnsi="Arial Narrow" w:cs="Calibri"/>
                <w:sz w:val="20"/>
                <w:lang w:val="en-AU"/>
              </w:rPr>
              <w:br/>
              <w:t>(4.11, 5.59)</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018317EF"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22/34 </w:t>
            </w:r>
          </w:p>
          <w:p w14:paraId="1D39EC57"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(65%)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22C8824"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5.55 </w:t>
            </w:r>
            <w:r w:rsidRPr="00F10893">
              <w:rPr>
                <w:rFonts w:ascii="Arial Narrow" w:hAnsi="Arial Narrow" w:cs="Calibri"/>
                <w:sz w:val="20"/>
                <w:lang w:val="en-AU"/>
              </w:rPr>
              <w:br/>
              <w:t>(1.61, 9.10)</w:t>
            </w:r>
          </w:p>
        </w:tc>
        <w:tc>
          <w:tcPr>
            <w:tcW w:w="1016" w:type="dxa"/>
            <w:shd w:val="clear" w:color="auto" w:fill="auto"/>
          </w:tcPr>
          <w:p w14:paraId="116FBDD0"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-1.25</w:t>
            </w:r>
          </w:p>
        </w:tc>
        <w:tc>
          <w:tcPr>
            <w:tcW w:w="960" w:type="dxa"/>
            <w:shd w:val="clear" w:color="auto" w:fill="auto"/>
          </w:tcPr>
          <w:p w14:paraId="06D17F93"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0.9543</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E17E7EB"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1.015 </w:t>
            </w:r>
            <w:r w:rsidRPr="00F10893">
              <w:rPr>
                <w:rFonts w:ascii="Arial Narrow" w:hAnsi="Arial Narrow" w:cs="Calibri"/>
                <w:sz w:val="20"/>
                <w:lang w:val="en-AU"/>
              </w:rPr>
              <w:br/>
              <w:t>(0.611, 1.687)</w:t>
            </w:r>
          </w:p>
        </w:tc>
      </w:tr>
      <w:tr w:rsidR="005A7959" w:rsidRPr="00F10893" w14:paraId="3429CEC7" w14:textId="77777777" w:rsidTr="0083696A">
        <w:tc>
          <w:tcPr>
            <w:tcW w:w="1331" w:type="dxa"/>
            <w:tcBorders>
              <w:top w:val="single" w:sz="4" w:space="0" w:color="auto"/>
              <w:left w:val="single" w:sz="4" w:space="0" w:color="auto"/>
              <w:bottom w:val="single" w:sz="4" w:space="0" w:color="auto"/>
              <w:right w:val="single" w:sz="4" w:space="0" w:color="auto"/>
            </w:tcBorders>
            <w:shd w:val="clear" w:color="auto" w:fill="auto"/>
          </w:tcPr>
          <w:p w14:paraId="4E1B4CE2" w14:textId="77777777" w:rsidR="005A7959" w:rsidRPr="00F10893" w:rsidRDefault="005A7959" w:rsidP="00581EB6">
            <w:pPr>
              <w:keepNext/>
              <w:keepLines/>
              <w:spacing w:before="0"/>
              <w:rPr>
                <w:rFonts w:ascii="Arial Narrow" w:hAnsi="Arial Narrow" w:cs="Calibri"/>
                <w:kern w:val="24"/>
                <w:sz w:val="20"/>
                <w:lang w:val="en-AU"/>
              </w:rPr>
            </w:pPr>
            <w:r w:rsidRPr="00F10893">
              <w:rPr>
                <w:rFonts w:ascii="Arial Narrow" w:hAnsi="Arial Narrow"/>
                <w:sz w:val="20"/>
                <w:lang w:val="en-AU"/>
              </w:rPr>
              <w:t>FRα-low</w:t>
            </w:r>
          </w:p>
        </w:tc>
        <w:tc>
          <w:tcPr>
            <w:tcW w:w="1125" w:type="dxa"/>
            <w:shd w:val="clear" w:color="auto" w:fill="auto"/>
          </w:tcPr>
          <w:p w14:paraId="0861542B"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57/76 </w:t>
            </w:r>
          </w:p>
          <w:p w14:paraId="18E6B5D6"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(75%)</w:t>
            </w:r>
          </w:p>
        </w:tc>
        <w:tc>
          <w:tcPr>
            <w:tcW w:w="1078" w:type="dxa"/>
            <w:shd w:val="clear" w:color="auto" w:fill="auto"/>
          </w:tcPr>
          <w:p w14:paraId="65DA9FC4"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3.75 </w:t>
            </w:r>
            <w:r w:rsidRPr="00F10893">
              <w:rPr>
                <w:rFonts w:ascii="Arial Narrow" w:hAnsi="Arial Narrow" w:cs="Calibri"/>
                <w:sz w:val="20"/>
                <w:lang w:val="en-AU"/>
              </w:rPr>
              <w:br/>
              <w:t xml:space="preserve">(2.83, 4.14) </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0F3017EB"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21/38 </w:t>
            </w:r>
          </w:p>
          <w:p w14:paraId="4312538F"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(55%)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C6FD7"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5.49 </w:t>
            </w:r>
            <w:r w:rsidRPr="00F10893">
              <w:rPr>
                <w:rFonts w:ascii="Arial Narrow" w:hAnsi="Arial Narrow" w:cs="Calibri"/>
                <w:sz w:val="20"/>
                <w:lang w:val="en-AU"/>
              </w:rPr>
              <w:br/>
              <w:t>(1.97, 6.97)</w:t>
            </w:r>
          </w:p>
        </w:tc>
        <w:tc>
          <w:tcPr>
            <w:tcW w:w="1016" w:type="dxa"/>
            <w:shd w:val="clear" w:color="auto" w:fill="auto"/>
          </w:tcPr>
          <w:p w14:paraId="2AFB4B3F"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-1.74</w:t>
            </w:r>
          </w:p>
        </w:tc>
        <w:tc>
          <w:tcPr>
            <w:tcW w:w="960" w:type="dxa"/>
            <w:shd w:val="clear" w:color="auto" w:fill="auto"/>
          </w:tcPr>
          <w:p w14:paraId="058275F3"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0.1425</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78F39862" w14:textId="77777777" w:rsidR="005A7959" w:rsidRPr="00F10893" w:rsidRDefault="005A7959" w:rsidP="00581EB6">
            <w:pPr>
              <w:keepNext/>
              <w:keepLines/>
              <w:spacing w:before="0"/>
              <w:jc w:val="center"/>
              <w:rPr>
                <w:rFonts w:ascii="Arial Narrow" w:hAnsi="Arial Narrow" w:cs="Calibri"/>
                <w:sz w:val="20"/>
                <w:lang w:val="en-AU"/>
              </w:rPr>
            </w:pPr>
            <w:r w:rsidRPr="00F10893">
              <w:rPr>
                <w:rFonts w:ascii="Arial Narrow" w:hAnsi="Arial Narrow" w:cs="Calibri"/>
                <w:sz w:val="20"/>
                <w:lang w:val="en-AU"/>
              </w:rPr>
              <w:t xml:space="preserve">1.458 </w:t>
            </w:r>
            <w:r w:rsidRPr="00F10893">
              <w:rPr>
                <w:rFonts w:ascii="Arial Narrow" w:hAnsi="Arial Narrow" w:cs="Calibri"/>
                <w:sz w:val="20"/>
                <w:lang w:val="en-AU"/>
              </w:rPr>
              <w:br/>
              <w:t>(0.878, 2.420)</w:t>
            </w:r>
          </w:p>
        </w:tc>
      </w:tr>
    </w:tbl>
    <w:p w14:paraId="42EE86C7" w14:textId="172945C0"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Source: Compiled during the evaluation fro</w:t>
      </w:r>
      <w:r w:rsidR="006A14D1" w:rsidRPr="00F10893">
        <w:rPr>
          <w:rFonts w:ascii="Arial Narrow" w:eastAsia="Times New Roman" w:hAnsi="Arial Narrow" w:cs="Arial"/>
          <w:snapToGrid w:val="0"/>
          <w:sz w:val="18"/>
          <w:lang w:eastAsia="en-AU"/>
        </w:rPr>
        <w:t>m the below sources:</w:t>
      </w:r>
    </w:p>
    <w:p w14:paraId="53B55C01"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9 Primary and secondary endpoint results for the ITT population and the FRα- high population, p18 of submission Appendix A; </w:t>
      </w:r>
    </w:p>
    <w:p w14:paraId="6F9778CA" w14:textId="5D879B8F"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21: Progression-free Survival per BIRC – ITT Population, pp97-99, FORWARD-</w:t>
      </w:r>
      <w:r w:rsidR="005C28E5" w:rsidRPr="00F10893">
        <w:rPr>
          <w:rFonts w:ascii="Arial Narrow" w:eastAsia="Times New Roman" w:hAnsi="Arial Narrow" w:cs="Arial"/>
          <w:snapToGrid w:val="0"/>
          <w:sz w:val="18"/>
          <w:lang w:eastAsia="en-AU"/>
        </w:rPr>
        <w:t>I</w:t>
      </w:r>
      <w:r w:rsidRPr="00F10893">
        <w:rPr>
          <w:rFonts w:ascii="Arial Narrow" w:eastAsia="Times New Roman" w:hAnsi="Arial Narrow" w:cs="Arial"/>
          <w:snapToGrid w:val="0"/>
          <w:sz w:val="18"/>
          <w:lang w:eastAsia="en-AU"/>
        </w:rPr>
        <w:t xml:space="preserve"> CSR February 2019 data cutoff; </w:t>
      </w:r>
    </w:p>
    <w:p w14:paraId="2101C2D7" w14:textId="43B3BFA5"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22: Progression-free Survival per BIRC – FRα-high Population, pp100-102, FORWARD-</w:t>
      </w:r>
      <w:r w:rsidR="005C28E5" w:rsidRPr="00F10893">
        <w:rPr>
          <w:rFonts w:ascii="Arial Narrow" w:eastAsia="Times New Roman" w:hAnsi="Arial Narrow" w:cs="Arial"/>
          <w:snapToGrid w:val="0"/>
          <w:sz w:val="18"/>
          <w:lang w:eastAsia="en-AU"/>
        </w:rPr>
        <w:t>I</w:t>
      </w:r>
      <w:r w:rsidRPr="00F10893">
        <w:rPr>
          <w:rFonts w:ascii="Arial Narrow" w:eastAsia="Times New Roman" w:hAnsi="Arial Narrow" w:cs="Arial"/>
          <w:snapToGrid w:val="0"/>
          <w:sz w:val="18"/>
          <w:lang w:eastAsia="en-AU"/>
        </w:rPr>
        <w:t xml:space="preserve"> CSR February 2019 data cutoff; </w:t>
      </w:r>
    </w:p>
    <w:p w14:paraId="5B9C637B"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10 Post hoc analysis of FORWARD I: primary and secondary endpoints results for the FRα- high, FRα- medium and FRα- low population, p19 of submission Appendix A.</w:t>
      </w:r>
    </w:p>
    <w:p w14:paraId="19A15A6D"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14.2.1.1.3: Progression Free Survival BIRC - FR A Medium Level ITT Population, p662, FORWARD-I CSR. </w:t>
      </w:r>
    </w:p>
    <w:p w14:paraId="5E16BAEC"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Slides 12; 14, FORWARD I 10X SCORING COMPARED WITH EXPLORATORY PS2+ SCORING, Moore et al, (2019). </w:t>
      </w:r>
    </w:p>
    <w:p w14:paraId="290DD9D6"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65, Table 66 and Table 67, pp1-6 of Corrected Attachment 2.7 to the submission.</w:t>
      </w:r>
    </w:p>
    <w:p w14:paraId="136AA203" w14:textId="77777777" w:rsidR="005A7959" w:rsidRPr="00F10893" w:rsidRDefault="005A7959" w:rsidP="00581EB6">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BICR= blinded independent central review; CI= confidence interval; CSR= clinical study report; FRα= folate receptor alpha; HR= hazard ratio; ICC= investigator’s choice of chemotherapy; ITT= intention to treat analysis; MIRV= mirvetuximab soravtansine; mo= months; PFS= progression-free survival; PS2+= FRα membrane staining at moderate (2) or high (3) intensity.</w:t>
      </w:r>
    </w:p>
    <w:p w14:paraId="7CD61A90" w14:textId="7F5EA41D" w:rsidR="005A7959" w:rsidRPr="00F02286" w:rsidRDefault="004876B7" w:rsidP="00F02286">
      <w:pPr>
        <w:keepNext/>
        <w:keepLines/>
        <w:tabs>
          <w:tab w:val="left" w:pos="284"/>
        </w:tabs>
        <w:spacing w:before="0" w:after="0"/>
        <w:jc w:val="left"/>
        <w:rPr>
          <w:rFonts w:ascii="Arial Narrow" w:eastAsia="Times New Roman" w:hAnsi="Arial Narrow" w:cs="Arial"/>
          <w:i/>
          <w:iCs/>
          <w:snapToGrid w:val="0"/>
          <w:sz w:val="18"/>
          <w:lang w:eastAsia="en-AU"/>
        </w:rPr>
      </w:pPr>
      <w:r w:rsidRPr="00F10893">
        <w:rPr>
          <w:rFonts w:ascii="Arial Narrow" w:eastAsia="Times New Roman" w:hAnsi="Arial Narrow" w:cs="Arial"/>
          <w:i/>
          <w:iCs/>
          <w:snapToGrid w:val="0"/>
          <w:sz w:val="18"/>
          <w:lang w:eastAsia="en-AU"/>
        </w:rPr>
        <w:t>Values in italics were extracted from the CSRs during the evaluation.</w:t>
      </w:r>
    </w:p>
    <w:p w14:paraId="3CC5FF79" w14:textId="59204AD1"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t>The primary endpoint of PFS by BICR did not meet statistical significance in either the ITT (whole trial) population or FRα-high expression (≥75%, using 10X scoring) subgroup. The median PFS for the FRα-medium population showed a pronounced lack of benefit, in which MIRV patients did worse than the ICC patients (a difference of -2.63 months median time to progression or death). The hazard ratio (HR) point estimate was above 1.0 with wide confidence intervals (1.560 [95% CI 0.976, 2.492] p=0.061).</w:t>
      </w:r>
    </w:p>
    <w:p w14:paraId="12E693DC" w14:textId="691E70F9" w:rsidR="005A7959" w:rsidRPr="000B0472" w:rsidRDefault="005A7959" w:rsidP="005A7959">
      <w:pPr>
        <w:rPr>
          <w:rFonts w:ascii="Franklin Gothic Book" w:hAnsi="Franklin Gothic Book"/>
          <w:sz w:val="22"/>
          <w:szCs w:val="20"/>
        </w:rPr>
      </w:pPr>
      <w:r w:rsidRPr="000B0472">
        <w:rPr>
          <w:rFonts w:ascii="Franklin Gothic Book" w:hAnsi="Franklin Gothic Book" w:cs="Calibri"/>
          <w:sz w:val="22"/>
        </w:rPr>
        <w:t>The post-hoc re-</w:t>
      </w:r>
      <w:r w:rsidRPr="000B0472">
        <w:rPr>
          <w:rFonts w:ascii="Franklin Gothic Book" w:hAnsi="Franklin Gothic Book"/>
          <w:sz w:val="22"/>
          <w:szCs w:val="20"/>
        </w:rPr>
        <w:t xml:space="preserve">scored subgroups showed a benefit only for the FRα-high expression group </w:t>
      </w:r>
      <w:r w:rsidR="009345CA" w:rsidRPr="000B0472">
        <w:rPr>
          <w:rFonts w:ascii="Franklin Gothic Book" w:hAnsi="Franklin Gothic Book"/>
          <w:sz w:val="22"/>
          <w:szCs w:val="20"/>
        </w:rPr>
        <w:t xml:space="preserve">(≥75%, using </w:t>
      </w:r>
      <w:r w:rsidR="00963904" w:rsidRPr="000B0472">
        <w:rPr>
          <w:rFonts w:ascii="Franklin Gothic Book" w:hAnsi="Franklin Gothic Book"/>
          <w:sz w:val="22"/>
          <w:szCs w:val="20"/>
        </w:rPr>
        <w:t>PS2+ scoring</w:t>
      </w:r>
      <w:r w:rsidR="009345CA" w:rsidRPr="000B0472">
        <w:rPr>
          <w:rFonts w:ascii="Franklin Gothic Book" w:hAnsi="Franklin Gothic Book"/>
          <w:sz w:val="22"/>
          <w:szCs w:val="20"/>
        </w:rPr>
        <w:t>)</w:t>
      </w:r>
      <w:r w:rsidR="00963904" w:rsidRPr="000B0472">
        <w:rPr>
          <w:rFonts w:ascii="Franklin Gothic Book" w:hAnsi="Franklin Gothic Book"/>
          <w:sz w:val="22"/>
          <w:szCs w:val="20"/>
        </w:rPr>
        <w:t xml:space="preserve"> </w:t>
      </w:r>
      <w:r w:rsidRPr="000B0472">
        <w:rPr>
          <w:rFonts w:ascii="Franklin Gothic Book" w:hAnsi="Franklin Gothic Book"/>
          <w:sz w:val="22"/>
          <w:szCs w:val="20"/>
        </w:rPr>
        <w:t xml:space="preserve">(HR 0.549 [95% CI 0.336, 0.897] p=0.0151) – this formed the basis for the hypothesis tested in the MIRASOL trial. </w:t>
      </w:r>
    </w:p>
    <w:p w14:paraId="32C31CAA" w14:textId="6CDA49ED"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t>The results for OS in the FORWARD-I trial are summarised in</w:t>
      </w:r>
      <w:r w:rsidR="00DB6EE6" w:rsidRPr="000B0472">
        <w:rPr>
          <w:rFonts w:ascii="Franklin Gothic Book" w:hAnsi="Franklin Gothic Book"/>
          <w:sz w:val="22"/>
          <w:szCs w:val="20"/>
        </w:rPr>
        <w:t xml:space="preserve"> </w:t>
      </w:r>
      <w:r w:rsidR="00FF42F9" w:rsidRPr="0049424B">
        <w:rPr>
          <w:rFonts w:ascii="Franklin Gothic Book" w:hAnsi="Franklin Gothic Book"/>
        </w:rPr>
        <w:fldChar w:fldCharType="begin"/>
      </w:r>
      <w:r w:rsidR="00FF42F9" w:rsidRPr="0049424B">
        <w:rPr>
          <w:rFonts w:ascii="Franklin Gothic Book" w:hAnsi="Franklin Gothic Book"/>
        </w:rPr>
        <w:instrText xml:space="preserve"> REF _Ref198566517 \h  \* MERGEFORMAT </w:instrText>
      </w:r>
      <w:r w:rsidR="00FF42F9" w:rsidRPr="0049424B">
        <w:rPr>
          <w:rFonts w:ascii="Franklin Gothic Book" w:hAnsi="Franklin Gothic Book"/>
        </w:rPr>
      </w:r>
      <w:r w:rsidR="00FF42F9" w:rsidRPr="0049424B">
        <w:rPr>
          <w:rFonts w:ascii="Franklin Gothic Book" w:hAnsi="Franklin Gothic Book"/>
        </w:rPr>
        <w:fldChar w:fldCharType="separate"/>
      </w:r>
      <w:r w:rsidR="00FF42F9" w:rsidRPr="0049424B">
        <w:rPr>
          <w:rFonts w:ascii="Franklin Gothic Book" w:hAnsi="Franklin Gothic Book"/>
          <w:iCs/>
          <w:sz w:val="22"/>
          <w:szCs w:val="20"/>
        </w:rPr>
        <w:t xml:space="preserve">Table </w:t>
      </w:r>
      <w:r w:rsidR="00FF42F9" w:rsidRPr="0049424B">
        <w:rPr>
          <w:rFonts w:ascii="Franklin Gothic Book" w:hAnsi="Franklin Gothic Book"/>
          <w:iCs/>
          <w:noProof/>
          <w:sz w:val="22"/>
          <w:szCs w:val="20"/>
        </w:rPr>
        <w:t>18</w:t>
      </w:r>
      <w:r w:rsidR="00FF42F9" w:rsidRPr="0049424B">
        <w:rPr>
          <w:rFonts w:ascii="Franklin Gothic Book" w:hAnsi="Franklin Gothic Book"/>
        </w:rPr>
        <w:fldChar w:fldCharType="end"/>
      </w:r>
      <w:r w:rsidR="00DB6EE6" w:rsidRPr="000B0472">
        <w:rPr>
          <w:rFonts w:ascii="Franklin Gothic Book" w:hAnsi="Franklin Gothic Book"/>
          <w:sz w:val="22"/>
          <w:szCs w:val="20"/>
        </w:rPr>
        <w:fldChar w:fldCharType="begin"/>
      </w:r>
      <w:r w:rsidR="00DB6EE6" w:rsidRPr="000B0472">
        <w:rPr>
          <w:rFonts w:ascii="Franklin Gothic Book" w:hAnsi="Franklin Gothic Book"/>
          <w:sz w:val="22"/>
          <w:szCs w:val="20"/>
        </w:rPr>
        <w:instrText xml:space="preserve"> REF _Ref198566517 \h  \* MERGEFORMAT </w:instrText>
      </w:r>
      <w:r w:rsidR="00DB6EE6" w:rsidRPr="000B0472">
        <w:rPr>
          <w:rFonts w:ascii="Franklin Gothic Book" w:hAnsi="Franklin Gothic Book"/>
          <w:sz w:val="22"/>
          <w:szCs w:val="20"/>
        </w:rPr>
      </w:r>
      <w:r w:rsidR="00DB6EE6" w:rsidRPr="000B0472">
        <w:rPr>
          <w:rFonts w:ascii="Franklin Gothic Book" w:hAnsi="Franklin Gothic Book"/>
          <w:sz w:val="22"/>
          <w:szCs w:val="20"/>
        </w:rPr>
        <w:fldChar w:fldCharType="separate"/>
      </w:r>
      <w:r w:rsidR="00DB6EE6" w:rsidRPr="000B0472">
        <w:rPr>
          <w:rFonts w:ascii="Franklin Gothic Book" w:hAnsi="Franklin Gothic Book"/>
          <w:sz w:val="22"/>
          <w:szCs w:val="20"/>
        </w:rPr>
        <w:fldChar w:fldCharType="end"/>
      </w:r>
      <w:r w:rsidRPr="000B0472">
        <w:rPr>
          <w:rFonts w:ascii="Franklin Gothic Book" w:hAnsi="Franklin Gothic Book"/>
          <w:sz w:val="22"/>
          <w:szCs w:val="20"/>
        </w:rPr>
        <w:t xml:space="preserve">. The submission presented OS results for the pre-specified subgroups from three analyses (February 2019; August 2019; March 2020). The post hoc analysis of the re-scored low, medium and high FRα expression groups was based on February 2019 data. </w:t>
      </w:r>
    </w:p>
    <w:p w14:paraId="022F7303" w14:textId="0C86399E" w:rsidR="005A7959" w:rsidRPr="00F10893" w:rsidRDefault="005E37CF" w:rsidP="005A7959">
      <w:pPr>
        <w:keepNext/>
        <w:tabs>
          <w:tab w:val="left" w:pos="1418"/>
        </w:tabs>
        <w:spacing w:before="0" w:after="0" w:line="259" w:lineRule="auto"/>
        <w:ind w:left="1418" w:hanging="1418"/>
        <w:contextualSpacing/>
        <w:jc w:val="left"/>
        <w:rPr>
          <w:rFonts w:ascii="Arial Narrow" w:hAnsi="Arial Narrow"/>
          <w:b/>
          <w:iCs/>
          <w:sz w:val="20"/>
          <w:szCs w:val="18"/>
        </w:rPr>
      </w:pPr>
      <w:bookmarkStart w:id="43" w:name="_Ref198566517"/>
      <w:r>
        <w:rPr>
          <w:rFonts w:ascii="Arial Narrow" w:hAnsi="Arial Narrow"/>
          <w:b/>
          <w:iCs/>
          <w:sz w:val="20"/>
          <w:szCs w:val="18"/>
        </w:rPr>
        <w:lastRenderedPageBreak/>
        <w:t>Table</w:t>
      </w:r>
      <w:r w:rsidR="00DB6EE6"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18</w:t>
      </w:r>
      <w:r>
        <w:rPr>
          <w:rFonts w:ascii="Arial Narrow" w:hAnsi="Arial Narrow"/>
          <w:b/>
          <w:iCs/>
          <w:sz w:val="20"/>
          <w:szCs w:val="18"/>
        </w:rPr>
        <w:fldChar w:fldCharType="end"/>
      </w:r>
      <w:bookmarkEnd w:id="43"/>
      <w:r w:rsidR="00DB6EE6" w:rsidRPr="00F10893">
        <w:rPr>
          <w:rFonts w:ascii="Arial Narrow" w:hAnsi="Arial Narrow"/>
          <w:b/>
          <w:iCs/>
          <w:sz w:val="20"/>
          <w:szCs w:val="18"/>
        </w:rPr>
        <w:t xml:space="preserve">: </w:t>
      </w:r>
      <w:r w:rsidR="005A7959" w:rsidRPr="00F10893">
        <w:rPr>
          <w:rFonts w:ascii="Arial Narrow" w:hAnsi="Arial Narrow"/>
          <w:b/>
          <w:iCs/>
          <w:sz w:val="20"/>
          <w:szCs w:val="18"/>
        </w:rPr>
        <w:t>FORWARD-I: analysis of OS (February 2019 and March 2020 data cutoffs)</w:t>
      </w:r>
    </w:p>
    <w:tbl>
      <w:tblPr>
        <w:tblStyle w:val="ACE"/>
        <w:tblW w:w="4968" w:type="pct"/>
        <w:tblCellMar>
          <w:left w:w="28" w:type="dxa"/>
          <w:right w:w="28" w:type="dxa"/>
        </w:tblCellMar>
        <w:tblLook w:val="04A0" w:firstRow="1" w:lastRow="0" w:firstColumn="1" w:lastColumn="0" w:noHBand="0" w:noVBand="1"/>
      </w:tblPr>
      <w:tblGrid>
        <w:gridCol w:w="1118"/>
        <w:gridCol w:w="1132"/>
        <w:gridCol w:w="1118"/>
        <w:gridCol w:w="1118"/>
        <w:gridCol w:w="1118"/>
        <w:gridCol w:w="1118"/>
        <w:gridCol w:w="1118"/>
        <w:gridCol w:w="1118"/>
      </w:tblGrid>
      <w:tr w:rsidR="005A7959" w:rsidRPr="00F10893" w14:paraId="319AF75C" w14:textId="77777777" w:rsidTr="006A14D1">
        <w:trPr>
          <w:cnfStyle w:val="100000000000" w:firstRow="1" w:lastRow="0" w:firstColumn="0" w:lastColumn="0" w:oddVBand="0" w:evenVBand="0" w:oddHBand="0" w:evenHBand="0" w:firstRowFirstColumn="0" w:firstRowLastColumn="0" w:lastRowFirstColumn="0" w:lastRowLastColumn="0"/>
          <w:tblHeader/>
        </w:trPr>
        <w:tc>
          <w:tcPr>
            <w:tcW w:w="625" w:type="pct"/>
            <w:tcBorders>
              <w:top w:val="single" w:sz="4" w:space="0" w:color="auto"/>
              <w:bottom w:val="single" w:sz="4" w:space="0" w:color="auto"/>
              <w:right w:val="single" w:sz="4" w:space="0" w:color="auto"/>
            </w:tcBorders>
            <w:shd w:val="clear" w:color="auto" w:fill="auto"/>
          </w:tcPr>
          <w:p w14:paraId="715BF7FA" w14:textId="77777777" w:rsidR="005A7959" w:rsidRPr="00F10893" w:rsidRDefault="005A7959" w:rsidP="005A7959">
            <w:pPr>
              <w:keepNext/>
              <w:spacing w:before="0"/>
              <w:jc w:val="left"/>
              <w:rPr>
                <w:rFonts w:ascii="Arial Narrow" w:hAnsi="Arial Narrow" w:cs="Calibri"/>
                <w:sz w:val="20"/>
                <w:lang w:val="en-AU"/>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5335F"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bCs/>
                <w:sz w:val="20"/>
                <w:lang w:val="en-AU"/>
              </w:rPr>
              <w:t>MIRV (N=</w:t>
            </w:r>
            <w:r w:rsidRPr="00F10893">
              <w:rPr>
                <w:rFonts w:ascii="Arial Narrow" w:hAnsi="Arial Narrow" w:cs="Calibri"/>
                <w:sz w:val="20"/>
                <w:lang w:val="en-AU"/>
              </w:rPr>
              <w:t>248</w:t>
            </w:r>
            <w:r w:rsidRPr="00F10893">
              <w:rPr>
                <w:rFonts w:ascii="Arial Narrow" w:hAnsi="Arial Narrow" w:cs="Calibri"/>
                <w:bCs/>
                <w:sz w:val="20"/>
                <w:lang w:val="en-AU"/>
              </w:rPr>
              <w:t>)</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0B687"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sz w:val="20"/>
                <w:lang w:val="en-AU"/>
              </w:rPr>
              <w:t>ICC (N=118)</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6F72BFD" w14:textId="77777777" w:rsidR="005A7959" w:rsidRPr="00F10893" w:rsidRDefault="005A7959" w:rsidP="005A7959">
            <w:pPr>
              <w:keepNext/>
              <w:spacing w:before="0"/>
              <w:jc w:val="left"/>
              <w:rPr>
                <w:rFonts w:ascii="Arial Narrow" w:hAnsi="Arial Narrow" w:cs="Calibri"/>
                <w:sz w:val="20"/>
                <w:lang w:val="en-AU"/>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35F65AD" w14:textId="77777777" w:rsidR="005A7959" w:rsidRPr="00F10893" w:rsidRDefault="005A7959" w:rsidP="005A7959">
            <w:pPr>
              <w:keepNext/>
              <w:spacing w:before="0"/>
              <w:jc w:val="left"/>
              <w:rPr>
                <w:rFonts w:ascii="Arial Narrow" w:hAnsi="Arial Narrow" w:cs="Calibri"/>
                <w:sz w:val="20"/>
                <w:lang w:val="en-AU"/>
              </w:rPr>
            </w:pPr>
          </w:p>
        </w:tc>
        <w:tc>
          <w:tcPr>
            <w:tcW w:w="625" w:type="pct"/>
            <w:tcBorders>
              <w:top w:val="single" w:sz="4" w:space="0" w:color="auto"/>
              <w:left w:val="single" w:sz="4" w:space="0" w:color="auto"/>
              <w:bottom w:val="single" w:sz="4" w:space="0" w:color="auto"/>
            </w:tcBorders>
            <w:shd w:val="clear" w:color="auto" w:fill="auto"/>
          </w:tcPr>
          <w:p w14:paraId="4DCC4C61" w14:textId="77777777" w:rsidR="005A7959" w:rsidRPr="00F10893" w:rsidRDefault="005A7959" w:rsidP="005A7959">
            <w:pPr>
              <w:keepNext/>
              <w:spacing w:before="0"/>
              <w:jc w:val="left"/>
              <w:rPr>
                <w:rFonts w:ascii="Arial Narrow" w:hAnsi="Arial Narrow" w:cs="Calibri"/>
                <w:sz w:val="20"/>
                <w:lang w:val="en-AU"/>
              </w:rPr>
            </w:pPr>
          </w:p>
        </w:tc>
      </w:tr>
      <w:tr w:rsidR="005A7959" w:rsidRPr="00F10893" w14:paraId="7FE3244C" w14:textId="77777777" w:rsidTr="006A14D1">
        <w:trPr>
          <w:cnfStyle w:val="100000000000" w:firstRow="1" w:lastRow="0" w:firstColumn="0" w:lastColumn="0" w:oddVBand="0" w:evenVBand="0" w:oddHBand="0" w:evenHBand="0" w:firstRowFirstColumn="0" w:firstRowLastColumn="0" w:lastRowFirstColumn="0" w:lastRowLastColumn="0"/>
          <w:tblHeader/>
        </w:trPr>
        <w:tc>
          <w:tcPr>
            <w:tcW w:w="625" w:type="pct"/>
            <w:tcBorders>
              <w:top w:val="single" w:sz="4" w:space="0" w:color="auto"/>
              <w:bottom w:val="single" w:sz="4" w:space="0" w:color="auto"/>
              <w:right w:val="single" w:sz="4" w:space="0" w:color="auto"/>
            </w:tcBorders>
            <w:shd w:val="clear" w:color="auto" w:fill="auto"/>
          </w:tcPr>
          <w:p w14:paraId="21106143"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sz w:val="20"/>
                <w:lang w:val="en-AU"/>
              </w:rPr>
              <w:t>Outcome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C6FFCD8" w14:textId="77777777" w:rsidR="005A7959" w:rsidRPr="00F10893" w:rsidRDefault="005A7959" w:rsidP="005A7959">
            <w:pPr>
              <w:keepNext/>
              <w:spacing w:before="0"/>
              <w:jc w:val="left"/>
              <w:rPr>
                <w:rFonts w:ascii="Arial Narrow" w:hAnsi="Arial Narrow" w:cs="Calibri"/>
                <w:kern w:val="24"/>
                <w:sz w:val="20"/>
                <w:lang w:val="en-AU"/>
              </w:rPr>
            </w:pPr>
            <w:r w:rsidRPr="00F10893">
              <w:rPr>
                <w:rFonts w:ascii="Arial Narrow" w:hAnsi="Arial Narrow" w:cs="Calibri"/>
                <w:kern w:val="24"/>
                <w:sz w:val="20"/>
                <w:lang w:val="en-AU"/>
              </w:rPr>
              <w:t>n/N with event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F43921B" w14:textId="77777777" w:rsidR="005A7959" w:rsidRPr="00F10893" w:rsidRDefault="005A7959" w:rsidP="005A7959">
            <w:pPr>
              <w:keepNext/>
              <w:spacing w:before="0"/>
              <w:jc w:val="left"/>
              <w:rPr>
                <w:rFonts w:ascii="Arial Narrow" w:eastAsia="Times New Roman" w:hAnsi="Arial Narrow"/>
                <w:sz w:val="20"/>
                <w:lang w:val="en-AU"/>
              </w:rPr>
            </w:pPr>
            <w:r w:rsidRPr="00F10893">
              <w:rPr>
                <w:rFonts w:ascii="Arial Narrow" w:eastAsia="Times New Roman" w:hAnsi="Arial Narrow" w:cs="Calibri"/>
                <w:kern w:val="24"/>
                <w:sz w:val="20"/>
                <w:lang w:val="en-AU"/>
              </w:rPr>
              <w:t>Median time to event (mo)</w:t>
            </w:r>
          </w:p>
          <w:p w14:paraId="1E48F306" w14:textId="77777777" w:rsidR="005A7959" w:rsidRPr="00F10893" w:rsidRDefault="005A7959" w:rsidP="005A7959">
            <w:pPr>
              <w:keepNext/>
              <w:spacing w:before="0"/>
              <w:jc w:val="left"/>
              <w:rPr>
                <w:rFonts w:ascii="Arial Narrow" w:eastAsia="Times New Roman" w:hAnsi="Arial Narrow" w:cs="Calibri"/>
                <w:kern w:val="24"/>
                <w:sz w:val="20"/>
                <w:lang w:val="en-AU"/>
              </w:rPr>
            </w:pPr>
            <w:r w:rsidRPr="00F10893">
              <w:rPr>
                <w:rFonts w:ascii="Arial Narrow" w:eastAsia="Times New Roman" w:hAnsi="Arial Narrow" w:cs="Calibri"/>
                <w:kern w:val="24"/>
                <w:sz w:val="20"/>
                <w:lang w:val="en-AU"/>
              </w:rPr>
              <w:t>(95% CI)</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F9FDF27" w14:textId="77777777" w:rsidR="005A7959" w:rsidRPr="00F10893" w:rsidRDefault="005A7959" w:rsidP="005A7959">
            <w:pPr>
              <w:keepNext/>
              <w:spacing w:before="0"/>
              <w:jc w:val="left"/>
              <w:rPr>
                <w:rFonts w:ascii="Arial Narrow" w:hAnsi="Arial Narrow" w:cs="Calibri"/>
                <w:kern w:val="24"/>
                <w:sz w:val="20"/>
                <w:lang w:val="en-AU"/>
              </w:rPr>
            </w:pPr>
            <w:r w:rsidRPr="00F10893">
              <w:rPr>
                <w:rFonts w:ascii="Arial Narrow" w:hAnsi="Arial Narrow" w:cs="Calibri"/>
                <w:kern w:val="24"/>
                <w:sz w:val="20"/>
                <w:lang w:val="en-AU"/>
              </w:rPr>
              <w:t>n/N with event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340E14A" w14:textId="77777777" w:rsidR="005A7959" w:rsidRPr="00F10893" w:rsidRDefault="005A7959" w:rsidP="005A7959">
            <w:pPr>
              <w:keepNext/>
              <w:spacing w:before="0"/>
              <w:jc w:val="left"/>
              <w:rPr>
                <w:rFonts w:ascii="Arial Narrow" w:hAnsi="Arial Narrow" w:cs="Calibri"/>
                <w:kern w:val="24"/>
                <w:sz w:val="20"/>
                <w:lang w:val="en-AU"/>
              </w:rPr>
            </w:pPr>
            <w:r w:rsidRPr="00F10893">
              <w:rPr>
                <w:rFonts w:ascii="Arial Narrow" w:hAnsi="Arial Narrow" w:cs="Calibri"/>
                <w:kern w:val="24"/>
                <w:sz w:val="20"/>
                <w:lang w:val="en-AU"/>
              </w:rPr>
              <w:t>Median time to event (mo)</w:t>
            </w:r>
          </w:p>
          <w:p w14:paraId="4B0FB31E" w14:textId="77777777" w:rsidR="005A7959" w:rsidRPr="00F10893" w:rsidRDefault="005A7959" w:rsidP="005A7959">
            <w:pPr>
              <w:keepNext/>
              <w:spacing w:before="0"/>
              <w:jc w:val="left"/>
              <w:rPr>
                <w:rFonts w:ascii="Arial Narrow" w:hAnsi="Arial Narrow" w:cs="Calibri"/>
                <w:kern w:val="24"/>
                <w:sz w:val="20"/>
                <w:lang w:val="en-AU"/>
              </w:rPr>
            </w:pPr>
            <w:r w:rsidRPr="00F10893">
              <w:rPr>
                <w:rFonts w:ascii="Arial Narrow" w:hAnsi="Arial Narrow" w:cs="Calibri"/>
                <w:kern w:val="24"/>
                <w:sz w:val="20"/>
                <w:lang w:val="en-AU"/>
              </w:rPr>
              <w:t>(95% CI)</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4575A92"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sz w:val="20"/>
                <w:lang w:val="en-AU"/>
              </w:rPr>
              <w:t>Difference in median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63A5042"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sz w:val="20"/>
                <w:lang w:val="en-AU"/>
              </w:rPr>
              <w:t>P-value (log rank test)</w:t>
            </w:r>
          </w:p>
        </w:tc>
        <w:tc>
          <w:tcPr>
            <w:tcW w:w="625" w:type="pct"/>
            <w:tcBorders>
              <w:top w:val="single" w:sz="4" w:space="0" w:color="auto"/>
              <w:left w:val="single" w:sz="4" w:space="0" w:color="auto"/>
              <w:bottom w:val="single" w:sz="4" w:space="0" w:color="auto"/>
            </w:tcBorders>
            <w:shd w:val="clear" w:color="auto" w:fill="auto"/>
          </w:tcPr>
          <w:p w14:paraId="5625B6D0" w14:textId="77777777" w:rsidR="005A7959" w:rsidRPr="00F10893" w:rsidRDefault="005A7959" w:rsidP="005A7959">
            <w:pPr>
              <w:keepNext/>
              <w:spacing w:before="0"/>
              <w:jc w:val="left"/>
              <w:rPr>
                <w:rFonts w:ascii="Arial Narrow" w:hAnsi="Arial Narrow" w:cs="Calibri"/>
                <w:sz w:val="20"/>
                <w:lang w:val="en-AU"/>
              </w:rPr>
            </w:pPr>
            <w:r w:rsidRPr="00F10893">
              <w:rPr>
                <w:rFonts w:ascii="Arial Narrow" w:hAnsi="Arial Narrow" w:cs="Calibri"/>
                <w:sz w:val="20"/>
                <w:lang w:val="en-AU"/>
              </w:rPr>
              <w:t>HR (95% CI)</w:t>
            </w:r>
          </w:p>
        </w:tc>
      </w:tr>
      <w:tr w:rsidR="002C7D60" w:rsidRPr="00F10893" w14:paraId="43BDE864" w14:textId="77777777" w:rsidTr="006A14D1">
        <w:trPr>
          <w:cnfStyle w:val="100000000000" w:firstRow="1" w:lastRow="0" w:firstColumn="0" w:lastColumn="0" w:oddVBand="0" w:evenVBand="0" w:oddHBand="0" w:evenHBand="0" w:firstRowFirstColumn="0" w:firstRowLastColumn="0" w:lastRowFirstColumn="0" w:lastRowLastColumn="0"/>
          <w:tblHeader/>
        </w:trPr>
        <w:tc>
          <w:tcPr>
            <w:tcW w:w="5000" w:type="pct"/>
            <w:gridSpan w:val="8"/>
            <w:tcBorders>
              <w:top w:val="single" w:sz="4" w:space="0" w:color="auto"/>
              <w:bottom w:val="single" w:sz="4" w:space="0" w:color="auto"/>
            </w:tcBorders>
            <w:shd w:val="clear" w:color="auto" w:fill="auto"/>
          </w:tcPr>
          <w:p w14:paraId="6C34E18E" w14:textId="3AE39B56" w:rsidR="002C7D60" w:rsidRPr="00F10893" w:rsidRDefault="002C7D60" w:rsidP="005A7959">
            <w:pPr>
              <w:keepNext/>
              <w:spacing w:before="0"/>
              <w:jc w:val="left"/>
              <w:rPr>
                <w:rFonts w:ascii="Arial Narrow" w:hAnsi="Arial Narrow" w:cs="Calibri"/>
                <w:sz w:val="20"/>
                <w:lang w:val="en-AU"/>
              </w:rPr>
            </w:pPr>
            <w:r w:rsidRPr="00F10893">
              <w:rPr>
                <w:rFonts w:ascii="Arial Narrow" w:hAnsi="Arial Narrow" w:cs="Calibri"/>
                <w:bCs/>
                <w:color w:val="000000"/>
                <w:sz w:val="20"/>
                <w:lang w:val="en-AU"/>
              </w:rPr>
              <w:t>OS – Whole trial population</w:t>
            </w:r>
          </w:p>
        </w:tc>
      </w:tr>
      <w:tr w:rsidR="005A7959" w:rsidRPr="00F10893" w14:paraId="49C69864" w14:textId="77777777" w:rsidTr="006A14D1">
        <w:trPr>
          <w:cnfStyle w:val="100000000000" w:firstRow="1" w:lastRow="0" w:firstColumn="0" w:lastColumn="0" w:oddVBand="0" w:evenVBand="0" w:oddHBand="0" w:evenHBand="0" w:firstRowFirstColumn="0" w:firstRowLastColumn="0" w:lastRowFirstColumn="0" w:lastRowLastColumn="0"/>
          <w:tblHeader/>
        </w:trPr>
        <w:tc>
          <w:tcPr>
            <w:tcW w:w="625" w:type="pct"/>
            <w:tcBorders>
              <w:top w:val="single" w:sz="4" w:space="0" w:color="auto"/>
              <w:bottom w:val="single" w:sz="4" w:space="0" w:color="auto"/>
              <w:right w:val="single" w:sz="4" w:space="0" w:color="auto"/>
            </w:tcBorders>
            <w:shd w:val="clear" w:color="auto" w:fill="auto"/>
          </w:tcPr>
          <w:p w14:paraId="72C3E6C9" w14:textId="77777777" w:rsidR="005A7959" w:rsidRPr="00F10893" w:rsidRDefault="005A7959" w:rsidP="005A7959">
            <w:pPr>
              <w:keepNext/>
              <w:spacing w:before="0"/>
              <w:jc w:val="left"/>
              <w:rPr>
                <w:rFonts w:ascii="Arial Narrow" w:hAnsi="Arial Narrow" w:cs="Calibri"/>
                <w:b w:val="0"/>
                <w:bCs/>
                <w:sz w:val="20"/>
                <w:lang w:val="en-AU"/>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992FF" w14:textId="77777777" w:rsidR="005A7959" w:rsidRPr="00F10893" w:rsidRDefault="005A7959" w:rsidP="005A7959">
            <w:pPr>
              <w:keepNext/>
              <w:spacing w:before="0"/>
              <w:jc w:val="left"/>
              <w:rPr>
                <w:rFonts w:ascii="Arial Narrow" w:hAnsi="Arial Narrow" w:cs="Calibri"/>
                <w:b w:val="0"/>
                <w:bCs/>
                <w:sz w:val="20"/>
                <w:lang w:val="en-AU"/>
              </w:rPr>
            </w:pPr>
            <w:r w:rsidRPr="00F10893">
              <w:rPr>
                <w:rFonts w:ascii="Arial Narrow" w:hAnsi="Arial Narrow" w:cs="Calibri"/>
                <w:bCs/>
                <w:sz w:val="20"/>
                <w:lang w:val="en-AU"/>
              </w:rPr>
              <w:t>MIRV (N=248)</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922B8" w14:textId="77777777" w:rsidR="005A7959" w:rsidRPr="00F10893" w:rsidRDefault="005A7959" w:rsidP="005A7959">
            <w:pPr>
              <w:keepNext/>
              <w:spacing w:before="0"/>
              <w:jc w:val="left"/>
              <w:rPr>
                <w:rFonts w:ascii="Arial Narrow" w:hAnsi="Arial Narrow" w:cs="Calibri"/>
                <w:b w:val="0"/>
                <w:bCs/>
                <w:sz w:val="20"/>
                <w:lang w:val="en-AU"/>
              </w:rPr>
            </w:pPr>
            <w:r w:rsidRPr="00F10893">
              <w:rPr>
                <w:rFonts w:ascii="Arial Narrow" w:hAnsi="Arial Narrow" w:cs="Calibri"/>
                <w:bCs/>
                <w:sz w:val="20"/>
                <w:lang w:val="en-AU"/>
              </w:rPr>
              <w:t>ICC (N=118)</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085BDC5" w14:textId="77777777" w:rsidR="005A7959" w:rsidRPr="00F10893" w:rsidRDefault="005A7959" w:rsidP="005A7959">
            <w:pPr>
              <w:keepNext/>
              <w:spacing w:before="0"/>
              <w:jc w:val="center"/>
              <w:rPr>
                <w:rFonts w:ascii="Arial Narrow" w:hAnsi="Arial Narrow" w:cs="Calibri"/>
                <w:b w:val="0"/>
                <w:bCs/>
                <w:sz w:val="20"/>
                <w:lang w:val="en-AU"/>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5CDE8A3" w14:textId="77777777" w:rsidR="005A7959" w:rsidRPr="00F10893" w:rsidRDefault="005A7959" w:rsidP="005A7959">
            <w:pPr>
              <w:keepNext/>
              <w:spacing w:before="0"/>
              <w:jc w:val="center"/>
              <w:rPr>
                <w:rFonts w:ascii="Arial Narrow" w:hAnsi="Arial Narrow" w:cs="Calibri"/>
                <w:b w:val="0"/>
                <w:bCs/>
                <w:sz w:val="20"/>
                <w:lang w:val="en-AU"/>
              </w:rPr>
            </w:pPr>
          </w:p>
        </w:tc>
        <w:tc>
          <w:tcPr>
            <w:tcW w:w="625" w:type="pct"/>
            <w:tcBorders>
              <w:top w:val="single" w:sz="4" w:space="0" w:color="auto"/>
              <w:left w:val="single" w:sz="4" w:space="0" w:color="auto"/>
              <w:bottom w:val="single" w:sz="4" w:space="0" w:color="auto"/>
            </w:tcBorders>
            <w:shd w:val="clear" w:color="auto" w:fill="auto"/>
          </w:tcPr>
          <w:p w14:paraId="67628649" w14:textId="77777777" w:rsidR="005A7959" w:rsidRPr="00F10893" w:rsidRDefault="005A7959" w:rsidP="005A7959">
            <w:pPr>
              <w:keepNext/>
              <w:spacing w:before="0"/>
              <w:jc w:val="center"/>
              <w:rPr>
                <w:rFonts w:ascii="Arial Narrow" w:hAnsi="Arial Narrow" w:cs="Calibri"/>
                <w:b w:val="0"/>
                <w:bCs/>
                <w:sz w:val="20"/>
                <w:lang w:val="en-AU"/>
              </w:rPr>
            </w:pPr>
          </w:p>
        </w:tc>
      </w:tr>
      <w:tr w:rsidR="005A7959" w:rsidRPr="00F10893" w14:paraId="42C5FBA7" w14:textId="77777777" w:rsidTr="006A14D1">
        <w:tc>
          <w:tcPr>
            <w:tcW w:w="625" w:type="pct"/>
            <w:tcBorders>
              <w:bottom w:val="single" w:sz="4" w:space="0" w:color="auto"/>
            </w:tcBorders>
            <w:shd w:val="clear" w:color="auto" w:fill="auto"/>
            <w:vAlign w:val="center"/>
            <w:hideMark/>
          </w:tcPr>
          <w:p w14:paraId="62D10BD8" w14:textId="77777777" w:rsidR="005A7959" w:rsidRPr="00F10893" w:rsidRDefault="005A7959" w:rsidP="005A7959">
            <w:pPr>
              <w:spacing w:before="0"/>
              <w:rPr>
                <w:rFonts w:ascii="Arial Narrow" w:hAnsi="Arial Narrow" w:cs="Calibri"/>
                <w:sz w:val="20"/>
                <w:lang w:val="en-AU"/>
              </w:rPr>
            </w:pPr>
            <w:r w:rsidRPr="00F10893">
              <w:rPr>
                <w:rFonts w:ascii="Arial Narrow" w:hAnsi="Arial Narrow"/>
                <w:sz w:val="20"/>
                <w:lang w:val="en-AU"/>
              </w:rPr>
              <w:t xml:space="preserve">ITT </w:t>
            </w:r>
            <w:r w:rsidRPr="00F10893">
              <w:rPr>
                <w:rFonts w:ascii="Arial Narrow" w:hAnsi="Arial Narrow"/>
                <w:sz w:val="20"/>
                <w:lang w:val="en-AU"/>
              </w:rPr>
              <w:br/>
              <w:t>February 2019</w:t>
            </w:r>
          </w:p>
        </w:tc>
        <w:tc>
          <w:tcPr>
            <w:tcW w:w="625" w:type="pct"/>
            <w:shd w:val="clear" w:color="auto" w:fill="auto"/>
            <w:vAlign w:val="center"/>
          </w:tcPr>
          <w:p w14:paraId="08C03D4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96/248 </w:t>
            </w:r>
          </w:p>
          <w:p w14:paraId="51FC9906"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(39%)</w:t>
            </w:r>
          </w:p>
        </w:tc>
        <w:tc>
          <w:tcPr>
            <w:tcW w:w="625" w:type="pct"/>
            <w:shd w:val="clear" w:color="auto" w:fill="auto"/>
            <w:vAlign w:val="center"/>
          </w:tcPr>
          <w:p w14:paraId="6287642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16.4 </w:t>
            </w:r>
            <w:r w:rsidRPr="00F10893">
              <w:rPr>
                <w:rFonts w:ascii="Arial Narrow" w:hAnsi="Arial Narrow" w:cs="Calibri"/>
                <w:sz w:val="20"/>
                <w:lang w:val="en-AU"/>
              </w:rPr>
              <w:br/>
              <w:t>(12.81, NC)</w:t>
            </w:r>
          </w:p>
        </w:tc>
        <w:tc>
          <w:tcPr>
            <w:tcW w:w="625" w:type="pct"/>
            <w:tcBorders>
              <w:bottom w:val="single" w:sz="4" w:space="0" w:color="auto"/>
            </w:tcBorders>
            <w:shd w:val="clear" w:color="auto" w:fill="auto"/>
            <w:vAlign w:val="center"/>
          </w:tcPr>
          <w:p w14:paraId="7F1A185C"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50/118 </w:t>
            </w:r>
          </w:p>
          <w:p w14:paraId="27258CB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(42%)</w:t>
            </w:r>
          </w:p>
        </w:tc>
        <w:tc>
          <w:tcPr>
            <w:tcW w:w="625" w:type="pct"/>
            <w:tcBorders>
              <w:bottom w:val="single" w:sz="4" w:space="0" w:color="auto"/>
            </w:tcBorders>
            <w:shd w:val="clear" w:color="auto" w:fill="auto"/>
            <w:vAlign w:val="center"/>
          </w:tcPr>
          <w:p w14:paraId="669415BB"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14.0</w:t>
            </w:r>
            <w:r w:rsidRPr="00F10893">
              <w:rPr>
                <w:rFonts w:ascii="Arial Narrow" w:hAnsi="Arial Narrow" w:cs="Calibri"/>
                <w:sz w:val="20"/>
                <w:lang w:val="en-AU"/>
              </w:rPr>
              <w:br/>
              <w:t>(11.01, NC)</w:t>
            </w:r>
          </w:p>
        </w:tc>
        <w:tc>
          <w:tcPr>
            <w:tcW w:w="625" w:type="pct"/>
            <w:shd w:val="clear" w:color="auto" w:fill="auto"/>
            <w:vAlign w:val="center"/>
          </w:tcPr>
          <w:p w14:paraId="5A128B30"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2.4</w:t>
            </w:r>
          </w:p>
        </w:tc>
        <w:tc>
          <w:tcPr>
            <w:tcW w:w="625" w:type="pct"/>
            <w:shd w:val="clear" w:color="auto" w:fill="auto"/>
            <w:vAlign w:val="center"/>
          </w:tcPr>
          <w:p w14:paraId="14728BA1"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0.248</w:t>
            </w:r>
          </w:p>
        </w:tc>
        <w:tc>
          <w:tcPr>
            <w:tcW w:w="625" w:type="pct"/>
            <w:tcBorders>
              <w:bottom w:val="single" w:sz="4" w:space="0" w:color="auto"/>
            </w:tcBorders>
            <w:shd w:val="clear" w:color="auto" w:fill="auto"/>
            <w:vAlign w:val="center"/>
          </w:tcPr>
          <w:p w14:paraId="09635524"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0.815 </w:t>
            </w:r>
            <w:r w:rsidRPr="00F10893">
              <w:rPr>
                <w:rFonts w:ascii="Arial Narrow" w:hAnsi="Arial Narrow" w:cs="Calibri"/>
                <w:sz w:val="20"/>
                <w:lang w:val="en-AU"/>
              </w:rPr>
              <w:br/>
              <w:t>(0.575, 1.154)</w:t>
            </w:r>
          </w:p>
        </w:tc>
      </w:tr>
      <w:tr w:rsidR="005A7959" w:rsidRPr="00F10893" w14:paraId="47F1B184" w14:textId="77777777" w:rsidTr="006A14D1">
        <w:tc>
          <w:tcPr>
            <w:tcW w:w="625" w:type="pct"/>
            <w:tcBorders>
              <w:bottom w:val="single" w:sz="4" w:space="0" w:color="auto"/>
            </w:tcBorders>
            <w:shd w:val="clear" w:color="auto" w:fill="auto"/>
            <w:vAlign w:val="center"/>
          </w:tcPr>
          <w:p w14:paraId="40540AA3" w14:textId="77777777" w:rsidR="005A7959" w:rsidRPr="00F10893" w:rsidRDefault="005A7959" w:rsidP="005A7959">
            <w:pPr>
              <w:spacing w:before="0"/>
              <w:jc w:val="left"/>
              <w:rPr>
                <w:rFonts w:ascii="Arial Narrow" w:hAnsi="Arial Narrow"/>
                <w:sz w:val="20"/>
                <w:lang w:val="en-AU"/>
              </w:rPr>
            </w:pPr>
            <w:r w:rsidRPr="00F10893">
              <w:rPr>
                <w:rFonts w:ascii="Arial Narrow" w:hAnsi="Arial Narrow"/>
                <w:sz w:val="20"/>
                <w:lang w:val="en-AU"/>
              </w:rPr>
              <w:t xml:space="preserve">ITT </w:t>
            </w:r>
            <w:r w:rsidRPr="00F10893">
              <w:rPr>
                <w:rFonts w:ascii="Arial Narrow" w:hAnsi="Arial Narrow"/>
                <w:sz w:val="20"/>
                <w:lang w:val="en-AU"/>
              </w:rPr>
              <w:br/>
              <w:t>August 2019 exploratory analysis</w:t>
            </w:r>
          </w:p>
        </w:tc>
        <w:tc>
          <w:tcPr>
            <w:tcW w:w="625" w:type="pct"/>
            <w:shd w:val="clear" w:color="auto" w:fill="auto"/>
            <w:vAlign w:val="center"/>
          </w:tcPr>
          <w:p w14:paraId="7328E84D"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96/248 </w:t>
            </w:r>
          </w:p>
          <w:p w14:paraId="0364D10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(39%)</w:t>
            </w:r>
          </w:p>
        </w:tc>
        <w:tc>
          <w:tcPr>
            <w:tcW w:w="625" w:type="pct"/>
            <w:shd w:val="clear" w:color="auto" w:fill="auto"/>
            <w:vAlign w:val="center"/>
          </w:tcPr>
          <w:p w14:paraId="4DB4BBF5"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15.6 </w:t>
            </w:r>
          </w:p>
          <w:p w14:paraId="299B96D9"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(NR)</w:t>
            </w:r>
          </w:p>
        </w:tc>
        <w:tc>
          <w:tcPr>
            <w:tcW w:w="625" w:type="pct"/>
            <w:tcBorders>
              <w:bottom w:val="single" w:sz="4" w:space="0" w:color="auto"/>
            </w:tcBorders>
            <w:shd w:val="clear" w:color="auto" w:fill="auto"/>
            <w:vAlign w:val="center"/>
          </w:tcPr>
          <w:p w14:paraId="50F6CB7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50/118 </w:t>
            </w:r>
          </w:p>
          <w:p w14:paraId="26E761E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(42%)</w:t>
            </w:r>
          </w:p>
        </w:tc>
        <w:tc>
          <w:tcPr>
            <w:tcW w:w="625" w:type="pct"/>
            <w:tcBorders>
              <w:bottom w:val="single" w:sz="4" w:space="0" w:color="auto"/>
            </w:tcBorders>
            <w:shd w:val="clear" w:color="auto" w:fill="auto"/>
            <w:vAlign w:val="center"/>
          </w:tcPr>
          <w:p w14:paraId="15A3A912"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13.9 (NR)</w:t>
            </w:r>
          </w:p>
        </w:tc>
        <w:tc>
          <w:tcPr>
            <w:tcW w:w="625" w:type="pct"/>
            <w:shd w:val="clear" w:color="auto" w:fill="auto"/>
            <w:vAlign w:val="center"/>
          </w:tcPr>
          <w:p w14:paraId="4299DC53"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1.7</w:t>
            </w:r>
          </w:p>
        </w:tc>
        <w:tc>
          <w:tcPr>
            <w:tcW w:w="625" w:type="pct"/>
            <w:shd w:val="clear" w:color="auto" w:fill="auto"/>
            <w:vAlign w:val="center"/>
          </w:tcPr>
          <w:p w14:paraId="23A62C41" w14:textId="77777777" w:rsidR="005A7959" w:rsidRPr="00F10893" w:rsidRDefault="005A7959" w:rsidP="005A7959">
            <w:pPr>
              <w:autoSpaceDE w:val="0"/>
              <w:autoSpaceDN w:val="0"/>
              <w:adjustRightInd w:val="0"/>
              <w:spacing w:before="0"/>
              <w:contextualSpacing/>
              <w:jc w:val="center"/>
              <w:rPr>
                <w:rFonts w:ascii="Arial Narrow" w:hAnsi="Arial Narrow" w:cs="Calibri"/>
                <w:sz w:val="20"/>
                <w:lang w:val="en-AU"/>
              </w:rPr>
            </w:pPr>
            <w:r w:rsidRPr="00F10893">
              <w:rPr>
                <w:rFonts w:ascii="Arial Narrow" w:hAnsi="Arial Narrow" w:cs="Calibri"/>
                <w:sz w:val="20"/>
                <w:lang w:val="en-AU"/>
              </w:rPr>
              <w:t>0.278</w:t>
            </w:r>
          </w:p>
        </w:tc>
        <w:tc>
          <w:tcPr>
            <w:tcW w:w="625" w:type="pct"/>
            <w:tcBorders>
              <w:bottom w:val="single" w:sz="4" w:space="0" w:color="auto"/>
            </w:tcBorders>
            <w:shd w:val="clear" w:color="auto" w:fill="auto"/>
            <w:vAlign w:val="center"/>
          </w:tcPr>
          <w:p w14:paraId="38FC73C2" w14:textId="77777777" w:rsidR="005A7959" w:rsidRPr="00F10893" w:rsidRDefault="005A7959" w:rsidP="005A7959">
            <w:pPr>
              <w:spacing w:before="0"/>
              <w:jc w:val="center"/>
              <w:rPr>
                <w:rFonts w:ascii="Arial Narrow" w:hAnsi="Arial Narrow"/>
                <w:sz w:val="20"/>
                <w:lang w:val="en-AU"/>
              </w:rPr>
            </w:pPr>
            <w:r w:rsidRPr="00F10893">
              <w:rPr>
                <w:rFonts w:ascii="Arial Narrow" w:hAnsi="Arial Narrow"/>
                <w:sz w:val="20"/>
                <w:lang w:val="en-AU"/>
              </w:rPr>
              <w:t xml:space="preserve">0.846 </w:t>
            </w:r>
            <w:r w:rsidRPr="00F10893">
              <w:rPr>
                <w:rFonts w:ascii="Arial Narrow" w:hAnsi="Arial Narrow"/>
                <w:sz w:val="20"/>
                <w:lang w:val="en-AU"/>
              </w:rPr>
              <w:br/>
              <w:t>(0.625, 1.145)</w:t>
            </w:r>
          </w:p>
        </w:tc>
      </w:tr>
      <w:tr w:rsidR="005A7959" w:rsidRPr="00F10893" w14:paraId="7E4641DB" w14:textId="77777777" w:rsidTr="006A14D1">
        <w:tc>
          <w:tcPr>
            <w:tcW w:w="625" w:type="pct"/>
            <w:tcBorders>
              <w:bottom w:val="single" w:sz="4" w:space="0" w:color="auto"/>
            </w:tcBorders>
            <w:shd w:val="clear" w:color="auto" w:fill="auto"/>
            <w:vAlign w:val="center"/>
          </w:tcPr>
          <w:p w14:paraId="1E33FF34" w14:textId="77777777" w:rsidR="005A7959" w:rsidRPr="00F10893" w:rsidRDefault="005A7959" w:rsidP="005A7959">
            <w:pPr>
              <w:spacing w:before="0"/>
              <w:rPr>
                <w:rFonts w:ascii="Arial Narrow" w:hAnsi="Arial Narrow"/>
                <w:sz w:val="20"/>
                <w:lang w:val="en-AU"/>
              </w:rPr>
            </w:pPr>
            <w:r w:rsidRPr="00F10893">
              <w:rPr>
                <w:rFonts w:ascii="Arial Narrow" w:hAnsi="Arial Narrow"/>
                <w:sz w:val="20"/>
                <w:lang w:val="en-AU"/>
              </w:rPr>
              <w:t xml:space="preserve">ITT </w:t>
            </w:r>
            <w:r w:rsidRPr="00F10893">
              <w:rPr>
                <w:rFonts w:ascii="Arial Narrow" w:hAnsi="Arial Narrow"/>
                <w:sz w:val="20"/>
                <w:lang w:val="en-AU"/>
              </w:rPr>
              <w:br/>
              <w:t>March 2020</w:t>
            </w:r>
          </w:p>
        </w:tc>
        <w:tc>
          <w:tcPr>
            <w:tcW w:w="625" w:type="pct"/>
            <w:shd w:val="clear" w:color="auto" w:fill="auto"/>
            <w:vAlign w:val="center"/>
          </w:tcPr>
          <w:p w14:paraId="4BD23718" w14:textId="7123695D"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152/248](61%) </w:t>
            </w:r>
          </w:p>
        </w:tc>
        <w:tc>
          <w:tcPr>
            <w:tcW w:w="625" w:type="pct"/>
            <w:shd w:val="clear" w:color="auto" w:fill="auto"/>
            <w:vAlign w:val="center"/>
          </w:tcPr>
          <w:p w14:paraId="5A987F51"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15.57 </w:t>
            </w:r>
            <w:r w:rsidRPr="00F10893">
              <w:rPr>
                <w:rFonts w:ascii="Arial Narrow" w:hAnsi="Arial Narrow" w:cs="Calibri"/>
                <w:sz w:val="20"/>
                <w:lang w:val="en-AU"/>
              </w:rPr>
              <w:br/>
              <w:t>(12.85, 18.04)</w:t>
            </w:r>
          </w:p>
        </w:tc>
        <w:tc>
          <w:tcPr>
            <w:tcW w:w="625" w:type="pct"/>
            <w:tcBorders>
              <w:bottom w:val="single" w:sz="4" w:space="0" w:color="auto"/>
            </w:tcBorders>
            <w:shd w:val="clear" w:color="auto" w:fill="auto"/>
            <w:vAlign w:val="center"/>
          </w:tcPr>
          <w:p w14:paraId="275919F9"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75/118 </w:t>
            </w:r>
          </w:p>
          <w:p w14:paraId="20462D3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(64%)</w:t>
            </w:r>
          </w:p>
        </w:tc>
        <w:tc>
          <w:tcPr>
            <w:tcW w:w="625" w:type="pct"/>
            <w:tcBorders>
              <w:bottom w:val="single" w:sz="4" w:space="0" w:color="auto"/>
            </w:tcBorders>
            <w:shd w:val="clear" w:color="auto" w:fill="auto"/>
            <w:vAlign w:val="center"/>
          </w:tcPr>
          <w:p w14:paraId="3F425773"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13.93 </w:t>
            </w:r>
            <w:r w:rsidRPr="00F10893">
              <w:rPr>
                <w:rFonts w:ascii="Arial Narrow" w:hAnsi="Arial Narrow" w:cs="Calibri"/>
                <w:sz w:val="20"/>
                <w:lang w:val="en-AU"/>
              </w:rPr>
              <w:br/>
              <w:t>(11.40, 18.50)</w:t>
            </w:r>
          </w:p>
        </w:tc>
        <w:tc>
          <w:tcPr>
            <w:tcW w:w="625" w:type="pct"/>
            <w:shd w:val="clear" w:color="auto" w:fill="auto"/>
            <w:vAlign w:val="center"/>
          </w:tcPr>
          <w:p w14:paraId="6F21ABE5"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1.64</w:t>
            </w:r>
          </w:p>
        </w:tc>
        <w:tc>
          <w:tcPr>
            <w:tcW w:w="625" w:type="pct"/>
            <w:shd w:val="clear" w:color="auto" w:fill="auto"/>
            <w:vAlign w:val="center"/>
          </w:tcPr>
          <w:p w14:paraId="79CC5737"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0.276</w:t>
            </w:r>
          </w:p>
        </w:tc>
        <w:tc>
          <w:tcPr>
            <w:tcW w:w="625" w:type="pct"/>
            <w:tcBorders>
              <w:bottom w:val="single" w:sz="4" w:space="0" w:color="auto"/>
            </w:tcBorders>
            <w:shd w:val="clear" w:color="auto" w:fill="auto"/>
            <w:vAlign w:val="center"/>
          </w:tcPr>
          <w:p w14:paraId="2F3ACFE5" w14:textId="77777777" w:rsidR="005A7959" w:rsidRPr="00F10893" w:rsidRDefault="005A7959" w:rsidP="005A7959">
            <w:pPr>
              <w:spacing w:before="0"/>
              <w:jc w:val="center"/>
              <w:rPr>
                <w:rFonts w:ascii="Arial Narrow" w:hAnsi="Arial Narrow"/>
                <w:sz w:val="20"/>
                <w:lang w:val="en-AU"/>
              </w:rPr>
            </w:pPr>
            <w:r w:rsidRPr="00F10893">
              <w:rPr>
                <w:rFonts w:ascii="Arial Narrow" w:hAnsi="Arial Narrow"/>
                <w:sz w:val="20"/>
                <w:lang w:val="en-AU"/>
              </w:rPr>
              <w:t>0.855</w:t>
            </w:r>
            <w:r w:rsidRPr="00F10893">
              <w:rPr>
                <w:rFonts w:ascii="Arial Narrow" w:hAnsi="Arial Narrow"/>
                <w:sz w:val="20"/>
                <w:lang w:val="en-AU"/>
              </w:rPr>
              <w:br/>
              <w:t>(0.644, 1.134)</w:t>
            </w:r>
          </w:p>
        </w:tc>
      </w:tr>
      <w:tr w:rsidR="002C7D60" w:rsidRPr="00F10893" w14:paraId="2F4ED3CE" w14:textId="77777777" w:rsidTr="006A14D1">
        <w:tc>
          <w:tcPr>
            <w:tcW w:w="5000" w:type="pct"/>
            <w:gridSpan w:val="8"/>
            <w:tcBorders>
              <w:bottom w:val="single" w:sz="4" w:space="0" w:color="auto"/>
            </w:tcBorders>
            <w:shd w:val="clear" w:color="auto" w:fill="auto"/>
            <w:vAlign w:val="center"/>
          </w:tcPr>
          <w:p w14:paraId="24E63A14" w14:textId="5532E952" w:rsidR="002C7D60" w:rsidRPr="00F10893" w:rsidRDefault="002C7D60" w:rsidP="002C7D60">
            <w:pPr>
              <w:spacing w:before="0"/>
              <w:jc w:val="left"/>
              <w:rPr>
                <w:rFonts w:ascii="Arial Narrow" w:hAnsi="Arial Narrow"/>
                <w:sz w:val="20"/>
                <w:lang w:val="en-AU"/>
              </w:rPr>
            </w:pPr>
            <w:r w:rsidRPr="00F10893">
              <w:rPr>
                <w:rFonts w:ascii="Arial Narrow" w:hAnsi="Arial Narrow" w:cs="Calibri"/>
                <w:b/>
                <w:bCs/>
                <w:color w:val="000000"/>
                <w:sz w:val="20"/>
                <w:lang w:val="en-AU"/>
              </w:rPr>
              <w:t>OS – FRα-high (≥75%, using 10X scoring) (pre-specified)</w:t>
            </w:r>
          </w:p>
        </w:tc>
      </w:tr>
      <w:tr w:rsidR="005A7959" w:rsidRPr="00F10893" w14:paraId="61F205AC" w14:textId="77777777" w:rsidTr="006A14D1">
        <w:trPr>
          <w:tblHeader/>
        </w:trPr>
        <w:tc>
          <w:tcPr>
            <w:tcW w:w="625" w:type="pct"/>
            <w:tcBorders>
              <w:top w:val="single" w:sz="4" w:space="0" w:color="auto"/>
              <w:bottom w:val="single" w:sz="4" w:space="0" w:color="auto"/>
              <w:right w:val="single" w:sz="4" w:space="0" w:color="auto"/>
            </w:tcBorders>
            <w:shd w:val="clear" w:color="auto" w:fill="auto"/>
          </w:tcPr>
          <w:p w14:paraId="4F8B4542" w14:textId="77777777" w:rsidR="005A7959" w:rsidRPr="00F10893" w:rsidRDefault="005A7959" w:rsidP="005A7959">
            <w:pPr>
              <w:keepNext/>
              <w:spacing w:before="0"/>
              <w:rPr>
                <w:rFonts w:ascii="Arial Narrow" w:hAnsi="Arial Narrow" w:cs="Calibri"/>
                <w:b/>
                <w:bCs/>
                <w:sz w:val="20"/>
                <w:lang w:val="en-AU"/>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CCC45" w14:textId="77777777" w:rsidR="005A7959" w:rsidRPr="00F10893" w:rsidRDefault="005A7959" w:rsidP="005A7959">
            <w:pPr>
              <w:keepNext/>
              <w:spacing w:before="0"/>
              <w:jc w:val="left"/>
              <w:rPr>
                <w:rFonts w:ascii="Arial Narrow" w:hAnsi="Arial Narrow" w:cs="Calibri"/>
                <w:b/>
                <w:bCs/>
                <w:sz w:val="20"/>
                <w:lang w:val="en-AU"/>
              </w:rPr>
            </w:pPr>
            <w:r w:rsidRPr="00F10893">
              <w:rPr>
                <w:rFonts w:ascii="Arial Narrow" w:hAnsi="Arial Narrow" w:cs="Calibri"/>
                <w:b/>
                <w:bCs/>
                <w:sz w:val="20"/>
                <w:lang w:val="en-AU"/>
              </w:rPr>
              <w:t>MIRV (N=147)</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53DFF" w14:textId="77777777" w:rsidR="005A7959" w:rsidRPr="00F10893" w:rsidRDefault="005A7959" w:rsidP="005A7959">
            <w:pPr>
              <w:keepNext/>
              <w:spacing w:before="0"/>
              <w:jc w:val="left"/>
              <w:rPr>
                <w:rFonts w:ascii="Arial Narrow" w:hAnsi="Arial Narrow" w:cs="Calibri"/>
                <w:b/>
                <w:bCs/>
                <w:sz w:val="20"/>
                <w:lang w:val="en-AU"/>
              </w:rPr>
            </w:pPr>
            <w:r w:rsidRPr="00F10893">
              <w:rPr>
                <w:rFonts w:ascii="Arial Narrow" w:hAnsi="Arial Narrow" w:cs="Calibri"/>
                <w:b/>
                <w:bCs/>
                <w:sz w:val="20"/>
                <w:lang w:val="en-AU"/>
              </w:rPr>
              <w:t>ICC (N=71)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E082BB1" w14:textId="77777777" w:rsidR="005A7959" w:rsidRPr="00F10893" w:rsidRDefault="005A7959" w:rsidP="005A7959">
            <w:pPr>
              <w:keepNext/>
              <w:spacing w:before="0"/>
              <w:jc w:val="center"/>
              <w:rPr>
                <w:rFonts w:ascii="Arial Narrow" w:hAnsi="Arial Narrow" w:cs="Calibri"/>
                <w:b/>
                <w:bCs/>
                <w:sz w:val="20"/>
                <w:lang w:val="en-AU"/>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0A80E6CB" w14:textId="77777777" w:rsidR="005A7959" w:rsidRPr="00F10893" w:rsidRDefault="005A7959" w:rsidP="005A7959">
            <w:pPr>
              <w:keepNext/>
              <w:spacing w:before="0"/>
              <w:jc w:val="center"/>
              <w:rPr>
                <w:rFonts w:ascii="Arial Narrow" w:hAnsi="Arial Narrow" w:cs="Calibri"/>
                <w:b/>
                <w:bCs/>
                <w:sz w:val="20"/>
                <w:lang w:val="en-AU"/>
              </w:rPr>
            </w:pPr>
          </w:p>
        </w:tc>
        <w:tc>
          <w:tcPr>
            <w:tcW w:w="625" w:type="pct"/>
            <w:tcBorders>
              <w:top w:val="single" w:sz="4" w:space="0" w:color="auto"/>
              <w:left w:val="single" w:sz="4" w:space="0" w:color="auto"/>
              <w:bottom w:val="single" w:sz="4" w:space="0" w:color="auto"/>
            </w:tcBorders>
            <w:shd w:val="clear" w:color="auto" w:fill="auto"/>
          </w:tcPr>
          <w:p w14:paraId="0E22A3C9" w14:textId="77777777" w:rsidR="005A7959" w:rsidRPr="00F10893" w:rsidRDefault="005A7959" w:rsidP="005A7959">
            <w:pPr>
              <w:keepNext/>
              <w:spacing w:before="0"/>
              <w:jc w:val="center"/>
              <w:rPr>
                <w:rFonts w:ascii="Arial Narrow" w:hAnsi="Arial Narrow" w:cs="Calibri"/>
                <w:b/>
                <w:bCs/>
                <w:sz w:val="20"/>
                <w:lang w:val="en-AU"/>
              </w:rPr>
            </w:pPr>
          </w:p>
        </w:tc>
      </w:tr>
      <w:tr w:rsidR="005A7959" w:rsidRPr="00F10893" w14:paraId="38940755" w14:textId="77777777" w:rsidTr="006A14D1">
        <w:tc>
          <w:tcPr>
            <w:tcW w:w="625" w:type="pct"/>
            <w:tcBorders>
              <w:bottom w:val="single" w:sz="4" w:space="0" w:color="auto"/>
            </w:tcBorders>
            <w:shd w:val="clear" w:color="auto" w:fill="auto"/>
            <w:vAlign w:val="center"/>
            <w:hideMark/>
          </w:tcPr>
          <w:p w14:paraId="1CD08568" w14:textId="77777777" w:rsidR="005A7959" w:rsidRPr="00F10893" w:rsidRDefault="005A7959" w:rsidP="005A7959">
            <w:pPr>
              <w:spacing w:before="0"/>
              <w:rPr>
                <w:rFonts w:ascii="Arial Narrow" w:hAnsi="Arial Narrow" w:cs="Calibri"/>
                <w:sz w:val="20"/>
                <w:lang w:val="en-AU"/>
              </w:rPr>
            </w:pPr>
            <w:r w:rsidRPr="00F10893">
              <w:rPr>
                <w:rFonts w:ascii="Arial Narrow" w:hAnsi="Arial Narrow"/>
                <w:sz w:val="20"/>
                <w:lang w:val="en-AU"/>
              </w:rPr>
              <w:t>FRα-high</w:t>
            </w:r>
            <w:r w:rsidRPr="00F10893">
              <w:rPr>
                <w:rFonts w:ascii="Arial Narrow" w:hAnsi="Arial Narrow"/>
                <w:sz w:val="20"/>
                <w:lang w:val="en-AU"/>
              </w:rPr>
              <w:br/>
            </w:r>
            <w:r w:rsidRPr="00F10893">
              <w:rPr>
                <w:rFonts w:ascii="Arial Narrow" w:hAnsi="Arial Narrow" w:cs="Calibri"/>
                <w:sz w:val="20"/>
                <w:lang w:val="en-AU"/>
              </w:rPr>
              <w:t>February 2019</w:t>
            </w:r>
          </w:p>
        </w:tc>
        <w:tc>
          <w:tcPr>
            <w:tcW w:w="625" w:type="pct"/>
            <w:shd w:val="clear" w:color="auto" w:fill="auto"/>
            <w:vAlign w:val="center"/>
          </w:tcPr>
          <w:p w14:paraId="069AAC2B"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50/147 </w:t>
            </w:r>
          </w:p>
          <w:p w14:paraId="76CBA8BD"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(34%) </w:t>
            </w:r>
          </w:p>
        </w:tc>
        <w:tc>
          <w:tcPr>
            <w:tcW w:w="625" w:type="pct"/>
            <w:shd w:val="clear" w:color="auto" w:fill="auto"/>
            <w:vAlign w:val="center"/>
          </w:tcPr>
          <w:p w14:paraId="7E15408F"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NC </w:t>
            </w:r>
            <w:r w:rsidRPr="00F10893">
              <w:rPr>
                <w:rFonts w:ascii="Arial Narrow" w:hAnsi="Arial Narrow" w:cs="Calibri"/>
                <w:sz w:val="20"/>
                <w:lang w:val="en-AU"/>
              </w:rPr>
              <w:br/>
              <w:t xml:space="preserve">(12.58, NC) </w:t>
            </w:r>
          </w:p>
        </w:tc>
        <w:tc>
          <w:tcPr>
            <w:tcW w:w="625" w:type="pct"/>
            <w:tcBorders>
              <w:bottom w:val="single" w:sz="4" w:space="0" w:color="auto"/>
            </w:tcBorders>
            <w:shd w:val="clear" w:color="auto" w:fill="auto"/>
            <w:vAlign w:val="center"/>
          </w:tcPr>
          <w:p w14:paraId="105AAF5B"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33/71 </w:t>
            </w:r>
          </w:p>
          <w:p w14:paraId="0205DDD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(46%) </w:t>
            </w:r>
          </w:p>
        </w:tc>
        <w:tc>
          <w:tcPr>
            <w:tcW w:w="625" w:type="pct"/>
            <w:tcBorders>
              <w:bottom w:val="single" w:sz="4" w:space="0" w:color="auto"/>
            </w:tcBorders>
            <w:shd w:val="clear" w:color="auto" w:fill="auto"/>
            <w:vAlign w:val="center"/>
          </w:tcPr>
          <w:p w14:paraId="361C929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11.76 </w:t>
            </w:r>
            <w:r w:rsidRPr="00F10893">
              <w:rPr>
                <w:rFonts w:ascii="Arial Narrow" w:hAnsi="Arial Narrow" w:cs="Calibri"/>
                <w:sz w:val="20"/>
                <w:lang w:val="en-AU"/>
              </w:rPr>
              <w:br/>
              <w:t>(9.20, NC)</w:t>
            </w:r>
          </w:p>
        </w:tc>
        <w:tc>
          <w:tcPr>
            <w:tcW w:w="625" w:type="pct"/>
            <w:shd w:val="clear" w:color="auto" w:fill="auto"/>
            <w:vAlign w:val="center"/>
          </w:tcPr>
          <w:p w14:paraId="01318781"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NC</w:t>
            </w:r>
          </w:p>
        </w:tc>
        <w:tc>
          <w:tcPr>
            <w:tcW w:w="625" w:type="pct"/>
            <w:shd w:val="clear" w:color="auto" w:fill="auto"/>
            <w:vAlign w:val="center"/>
          </w:tcPr>
          <w:p w14:paraId="64280AA5"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0.033</w:t>
            </w:r>
          </w:p>
        </w:tc>
        <w:tc>
          <w:tcPr>
            <w:tcW w:w="625" w:type="pct"/>
            <w:tcBorders>
              <w:bottom w:val="single" w:sz="4" w:space="0" w:color="auto"/>
            </w:tcBorders>
            <w:shd w:val="clear" w:color="auto" w:fill="auto"/>
            <w:vAlign w:val="center"/>
          </w:tcPr>
          <w:p w14:paraId="6F2D5147"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 xml:space="preserve">0.618 </w:t>
            </w:r>
            <w:r w:rsidRPr="00F10893">
              <w:rPr>
                <w:rFonts w:ascii="Arial Narrow" w:hAnsi="Arial Narrow" w:cs="Calibri"/>
                <w:color w:val="000000"/>
                <w:sz w:val="20"/>
                <w:lang w:val="en-AU"/>
              </w:rPr>
              <w:br/>
              <w:t>(0.395, 0.966)</w:t>
            </w:r>
          </w:p>
        </w:tc>
      </w:tr>
      <w:tr w:rsidR="005A7959" w:rsidRPr="00F10893" w14:paraId="6AC4AAE1" w14:textId="77777777" w:rsidTr="006A14D1">
        <w:tc>
          <w:tcPr>
            <w:tcW w:w="625" w:type="pct"/>
            <w:tcBorders>
              <w:bottom w:val="single" w:sz="4" w:space="0" w:color="auto"/>
            </w:tcBorders>
            <w:shd w:val="clear" w:color="auto" w:fill="auto"/>
            <w:vAlign w:val="center"/>
          </w:tcPr>
          <w:p w14:paraId="21EA0925" w14:textId="77777777" w:rsidR="005A7959" w:rsidRPr="00F10893" w:rsidRDefault="005A7959" w:rsidP="005A7959">
            <w:pPr>
              <w:spacing w:before="0"/>
              <w:jc w:val="left"/>
              <w:rPr>
                <w:rFonts w:ascii="Arial Narrow" w:hAnsi="Arial Narrow"/>
                <w:sz w:val="20"/>
                <w:lang w:val="en-AU"/>
              </w:rPr>
            </w:pPr>
            <w:r w:rsidRPr="00F10893">
              <w:rPr>
                <w:rFonts w:ascii="Arial Narrow" w:hAnsi="Arial Narrow"/>
                <w:sz w:val="20"/>
                <w:lang w:val="en-AU"/>
              </w:rPr>
              <w:t xml:space="preserve">ITT </w:t>
            </w:r>
            <w:r w:rsidRPr="00F10893">
              <w:rPr>
                <w:rFonts w:ascii="Arial Narrow" w:hAnsi="Arial Narrow"/>
                <w:sz w:val="20"/>
                <w:lang w:val="en-AU"/>
              </w:rPr>
              <w:br/>
              <w:t>August 2019 exploratory analysis</w:t>
            </w:r>
          </w:p>
        </w:tc>
        <w:tc>
          <w:tcPr>
            <w:tcW w:w="625" w:type="pct"/>
            <w:shd w:val="clear" w:color="auto" w:fill="auto"/>
            <w:vAlign w:val="center"/>
          </w:tcPr>
          <w:p w14:paraId="2A6D8BF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50/147 </w:t>
            </w:r>
          </w:p>
          <w:p w14:paraId="479E3234"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(34%)</w:t>
            </w:r>
          </w:p>
        </w:tc>
        <w:tc>
          <w:tcPr>
            <w:tcW w:w="625" w:type="pct"/>
            <w:shd w:val="clear" w:color="auto" w:fill="auto"/>
            <w:vAlign w:val="center"/>
          </w:tcPr>
          <w:p w14:paraId="1AF8E1B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16.4 </w:t>
            </w:r>
            <w:r w:rsidRPr="00F10893">
              <w:rPr>
                <w:rFonts w:ascii="Arial Narrow" w:hAnsi="Arial Narrow" w:cs="Calibri"/>
                <w:sz w:val="20"/>
                <w:lang w:val="en-AU"/>
              </w:rPr>
              <w:br/>
              <w:t>(NR)</w:t>
            </w:r>
          </w:p>
        </w:tc>
        <w:tc>
          <w:tcPr>
            <w:tcW w:w="625" w:type="pct"/>
            <w:tcBorders>
              <w:bottom w:val="single" w:sz="4" w:space="0" w:color="auto"/>
            </w:tcBorders>
            <w:shd w:val="clear" w:color="auto" w:fill="auto"/>
            <w:vAlign w:val="center"/>
          </w:tcPr>
          <w:p w14:paraId="58F6ECE3"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33/71 </w:t>
            </w:r>
          </w:p>
          <w:p w14:paraId="13EA930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(46%)</w:t>
            </w:r>
          </w:p>
        </w:tc>
        <w:tc>
          <w:tcPr>
            <w:tcW w:w="625" w:type="pct"/>
            <w:tcBorders>
              <w:bottom w:val="single" w:sz="4" w:space="0" w:color="auto"/>
            </w:tcBorders>
            <w:shd w:val="clear" w:color="auto" w:fill="auto"/>
            <w:vAlign w:val="center"/>
          </w:tcPr>
          <w:p w14:paraId="2917A08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12.0</w:t>
            </w:r>
          </w:p>
          <w:p w14:paraId="0A772AB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(NR)</w:t>
            </w:r>
          </w:p>
        </w:tc>
        <w:tc>
          <w:tcPr>
            <w:tcW w:w="625" w:type="pct"/>
            <w:shd w:val="clear" w:color="auto" w:fill="auto"/>
            <w:vAlign w:val="center"/>
          </w:tcPr>
          <w:p w14:paraId="18AECB75" w14:textId="77777777" w:rsidR="005A7959" w:rsidRPr="00F10893" w:rsidRDefault="005A7959" w:rsidP="005A7959">
            <w:pPr>
              <w:autoSpaceDE w:val="0"/>
              <w:autoSpaceDN w:val="0"/>
              <w:adjustRightInd w:val="0"/>
              <w:spacing w:before="0"/>
              <w:contextualSpacing/>
              <w:jc w:val="center"/>
              <w:rPr>
                <w:rFonts w:ascii="Arial Narrow" w:hAnsi="Arial Narrow" w:cs="Calibri"/>
                <w:color w:val="000000"/>
                <w:sz w:val="20"/>
                <w:lang w:val="en-AU"/>
              </w:rPr>
            </w:pPr>
            <w:r w:rsidRPr="00F10893">
              <w:rPr>
                <w:rFonts w:ascii="Arial Narrow" w:hAnsi="Arial Narrow" w:cs="Calibri"/>
                <w:color w:val="000000"/>
                <w:sz w:val="20"/>
                <w:lang w:val="en-AU"/>
              </w:rPr>
              <w:t>4.4</w:t>
            </w:r>
          </w:p>
        </w:tc>
        <w:tc>
          <w:tcPr>
            <w:tcW w:w="625" w:type="pct"/>
            <w:shd w:val="clear" w:color="auto" w:fill="auto"/>
            <w:vAlign w:val="center"/>
          </w:tcPr>
          <w:p w14:paraId="04C00F97" w14:textId="77777777" w:rsidR="005A7959" w:rsidRPr="00F10893" w:rsidRDefault="005A7959" w:rsidP="005A7959">
            <w:pPr>
              <w:autoSpaceDE w:val="0"/>
              <w:autoSpaceDN w:val="0"/>
              <w:adjustRightInd w:val="0"/>
              <w:spacing w:before="0"/>
              <w:contextualSpacing/>
              <w:jc w:val="center"/>
              <w:rPr>
                <w:rFonts w:ascii="Arial Narrow" w:hAnsi="Arial Narrow" w:cs="Calibri"/>
                <w:sz w:val="20"/>
                <w:lang w:val="en-AU"/>
              </w:rPr>
            </w:pPr>
            <w:r w:rsidRPr="00F10893">
              <w:rPr>
                <w:rFonts w:ascii="Arial Narrow" w:hAnsi="Arial Narrow" w:cs="Calibri"/>
                <w:sz w:val="20"/>
                <w:lang w:val="en-AU"/>
              </w:rPr>
              <w:t>0.048</w:t>
            </w:r>
          </w:p>
        </w:tc>
        <w:tc>
          <w:tcPr>
            <w:tcW w:w="625" w:type="pct"/>
            <w:tcBorders>
              <w:bottom w:val="single" w:sz="4" w:space="0" w:color="auto"/>
            </w:tcBorders>
            <w:shd w:val="clear" w:color="auto" w:fill="auto"/>
            <w:vAlign w:val="center"/>
          </w:tcPr>
          <w:p w14:paraId="5722BD4A" w14:textId="77777777" w:rsidR="005A7959" w:rsidRPr="00F10893" w:rsidRDefault="005A7959" w:rsidP="005A7959">
            <w:pPr>
              <w:spacing w:before="0"/>
              <w:jc w:val="center"/>
              <w:rPr>
                <w:rFonts w:ascii="Arial Narrow" w:hAnsi="Arial Narrow"/>
                <w:sz w:val="20"/>
                <w:lang w:val="en-AU"/>
              </w:rPr>
            </w:pPr>
            <w:r w:rsidRPr="00F10893">
              <w:rPr>
                <w:rFonts w:ascii="Arial Narrow" w:hAnsi="Arial Narrow"/>
                <w:sz w:val="20"/>
                <w:lang w:val="en-AU"/>
              </w:rPr>
              <w:t xml:space="preserve">0.678 </w:t>
            </w:r>
            <w:r w:rsidRPr="00F10893">
              <w:rPr>
                <w:rFonts w:ascii="Arial Narrow" w:hAnsi="Arial Narrow"/>
                <w:sz w:val="20"/>
                <w:lang w:val="en-AU"/>
              </w:rPr>
              <w:br/>
              <w:t>(0.460, 0.999)</w:t>
            </w:r>
          </w:p>
        </w:tc>
      </w:tr>
      <w:tr w:rsidR="005A7959" w:rsidRPr="00F10893" w14:paraId="0A630039" w14:textId="77777777" w:rsidTr="006A14D1">
        <w:tc>
          <w:tcPr>
            <w:tcW w:w="625" w:type="pct"/>
            <w:tcBorders>
              <w:bottom w:val="single" w:sz="4" w:space="0" w:color="auto"/>
            </w:tcBorders>
            <w:shd w:val="clear" w:color="auto" w:fill="auto"/>
            <w:vAlign w:val="center"/>
          </w:tcPr>
          <w:p w14:paraId="15DC6244" w14:textId="77777777" w:rsidR="005A7959" w:rsidRPr="00F10893" w:rsidRDefault="005A7959" w:rsidP="005A7959">
            <w:pPr>
              <w:spacing w:before="0"/>
              <w:rPr>
                <w:rFonts w:ascii="Arial Narrow" w:hAnsi="Arial Narrow"/>
                <w:sz w:val="20"/>
                <w:lang w:val="en-AU"/>
              </w:rPr>
            </w:pPr>
            <w:r w:rsidRPr="00F10893">
              <w:rPr>
                <w:rFonts w:ascii="Arial Narrow" w:hAnsi="Arial Narrow"/>
                <w:sz w:val="20"/>
                <w:lang w:val="en-AU"/>
              </w:rPr>
              <w:t>FRα-high</w:t>
            </w:r>
            <w:r w:rsidRPr="00F10893">
              <w:rPr>
                <w:rFonts w:ascii="Arial Narrow" w:hAnsi="Arial Narrow"/>
                <w:sz w:val="20"/>
                <w:lang w:val="en-AU"/>
              </w:rPr>
              <w:br/>
            </w:r>
            <w:r w:rsidRPr="00F10893">
              <w:rPr>
                <w:rFonts w:ascii="Arial Narrow" w:hAnsi="Arial Narrow" w:cs="Calibri"/>
                <w:sz w:val="20"/>
                <w:lang w:val="en-AU"/>
              </w:rPr>
              <w:t>March 2020</w:t>
            </w:r>
          </w:p>
        </w:tc>
        <w:tc>
          <w:tcPr>
            <w:tcW w:w="625" w:type="pct"/>
            <w:shd w:val="clear" w:color="auto" w:fill="auto"/>
            <w:vAlign w:val="center"/>
          </w:tcPr>
          <w:p w14:paraId="42B28D2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82/147 </w:t>
            </w:r>
          </w:p>
          <w:p w14:paraId="56DE6284"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(56%) </w:t>
            </w:r>
          </w:p>
        </w:tc>
        <w:tc>
          <w:tcPr>
            <w:tcW w:w="625" w:type="pct"/>
            <w:shd w:val="clear" w:color="auto" w:fill="auto"/>
            <w:vAlign w:val="center"/>
          </w:tcPr>
          <w:p w14:paraId="2C764F2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17.31 </w:t>
            </w:r>
            <w:r w:rsidRPr="00F10893">
              <w:rPr>
                <w:rFonts w:ascii="Arial Narrow" w:hAnsi="Arial Narrow" w:cs="Calibri"/>
                <w:sz w:val="20"/>
                <w:lang w:val="en-AU"/>
              </w:rPr>
              <w:br/>
              <w:t xml:space="preserve">(12.81, 20.50) </w:t>
            </w:r>
          </w:p>
        </w:tc>
        <w:tc>
          <w:tcPr>
            <w:tcW w:w="625" w:type="pct"/>
            <w:tcBorders>
              <w:bottom w:val="single" w:sz="4" w:space="0" w:color="auto"/>
            </w:tcBorders>
            <w:shd w:val="clear" w:color="auto" w:fill="auto"/>
            <w:vAlign w:val="center"/>
          </w:tcPr>
          <w:p w14:paraId="51C64B0D"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45/71 </w:t>
            </w:r>
          </w:p>
          <w:p w14:paraId="3F3A160D"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(63%)</w:t>
            </w:r>
          </w:p>
        </w:tc>
        <w:tc>
          <w:tcPr>
            <w:tcW w:w="625" w:type="pct"/>
            <w:tcBorders>
              <w:bottom w:val="single" w:sz="4" w:space="0" w:color="auto"/>
            </w:tcBorders>
            <w:shd w:val="clear" w:color="auto" w:fill="auto"/>
            <w:vAlign w:val="center"/>
          </w:tcPr>
          <w:p w14:paraId="326CD2E1"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12.02 </w:t>
            </w:r>
            <w:r w:rsidRPr="00F10893">
              <w:rPr>
                <w:rFonts w:ascii="Arial Narrow" w:hAnsi="Arial Narrow" w:cs="Calibri"/>
                <w:sz w:val="20"/>
                <w:lang w:val="en-AU"/>
              </w:rPr>
              <w:br/>
              <w:t>(9.20, 18.07)</w:t>
            </w:r>
          </w:p>
        </w:tc>
        <w:tc>
          <w:tcPr>
            <w:tcW w:w="625" w:type="pct"/>
            <w:shd w:val="clear" w:color="auto" w:fill="auto"/>
            <w:vAlign w:val="center"/>
          </w:tcPr>
          <w:p w14:paraId="13E2D9A2"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5.29</w:t>
            </w:r>
          </w:p>
        </w:tc>
        <w:tc>
          <w:tcPr>
            <w:tcW w:w="625" w:type="pct"/>
            <w:shd w:val="clear" w:color="auto" w:fill="auto"/>
            <w:vAlign w:val="center"/>
          </w:tcPr>
          <w:p w14:paraId="00C3D1C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sz w:val="20"/>
                <w:lang w:val="en-AU"/>
              </w:rPr>
              <w:t>0.063</w:t>
            </w:r>
          </w:p>
        </w:tc>
        <w:tc>
          <w:tcPr>
            <w:tcW w:w="625" w:type="pct"/>
            <w:tcBorders>
              <w:bottom w:val="single" w:sz="4" w:space="0" w:color="auto"/>
            </w:tcBorders>
            <w:shd w:val="clear" w:color="auto" w:fill="auto"/>
            <w:vAlign w:val="center"/>
          </w:tcPr>
          <w:p w14:paraId="735476EB" w14:textId="77777777" w:rsidR="005A7959" w:rsidRPr="00F10893" w:rsidRDefault="005A7959" w:rsidP="005A7959">
            <w:pPr>
              <w:autoSpaceDE w:val="0"/>
              <w:autoSpaceDN w:val="0"/>
              <w:adjustRightInd w:val="0"/>
              <w:spacing w:before="0"/>
              <w:contextualSpacing/>
              <w:jc w:val="center"/>
              <w:rPr>
                <w:rFonts w:ascii="Arial Narrow" w:hAnsi="Arial Narrow" w:cs="Calibri"/>
                <w:sz w:val="20"/>
                <w:lang w:val="en-AU"/>
              </w:rPr>
            </w:pPr>
            <w:r w:rsidRPr="00F10893">
              <w:rPr>
                <w:rFonts w:ascii="Arial Narrow" w:hAnsi="Arial Narrow" w:cs="Calibri"/>
                <w:sz w:val="20"/>
                <w:lang w:val="en-AU"/>
              </w:rPr>
              <w:t xml:space="preserve">0.706 </w:t>
            </w:r>
            <w:r w:rsidRPr="00F10893">
              <w:rPr>
                <w:rFonts w:ascii="Arial Narrow" w:hAnsi="Arial Narrow" w:cs="Calibri"/>
                <w:sz w:val="20"/>
                <w:lang w:val="en-AU"/>
              </w:rPr>
              <w:br/>
              <w:t>(0.489, 1.020)</w:t>
            </w:r>
          </w:p>
        </w:tc>
      </w:tr>
      <w:tr w:rsidR="002C7D60" w:rsidRPr="00F10893" w14:paraId="149DC720" w14:textId="77777777" w:rsidTr="006A14D1">
        <w:tc>
          <w:tcPr>
            <w:tcW w:w="5000" w:type="pct"/>
            <w:gridSpan w:val="8"/>
            <w:tcBorders>
              <w:bottom w:val="single" w:sz="4" w:space="0" w:color="auto"/>
            </w:tcBorders>
            <w:shd w:val="clear" w:color="auto" w:fill="auto"/>
            <w:vAlign w:val="center"/>
          </w:tcPr>
          <w:p w14:paraId="0702E1D1" w14:textId="621457D9" w:rsidR="002C7D60" w:rsidRPr="00F10893" w:rsidRDefault="002C7D60" w:rsidP="002C7D60">
            <w:pPr>
              <w:autoSpaceDE w:val="0"/>
              <w:autoSpaceDN w:val="0"/>
              <w:adjustRightInd w:val="0"/>
              <w:spacing w:before="0"/>
              <w:contextualSpacing/>
              <w:jc w:val="left"/>
              <w:rPr>
                <w:rFonts w:ascii="Arial Narrow" w:hAnsi="Arial Narrow" w:cs="Calibri"/>
                <w:sz w:val="20"/>
                <w:lang w:val="en-AU"/>
              </w:rPr>
            </w:pPr>
            <w:r w:rsidRPr="00F10893">
              <w:rPr>
                <w:rFonts w:ascii="Arial Narrow" w:hAnsi="Arial Narrow" w:cs="Calibri"/>
                <w:b/>
                <w:bCs/>
                <w:color w:val="000000"/>
                <w:sz w:val="20"/>
                <w:lang w:val="en-AU"/>
              </w:rPr>
              <w:t>OS – FRα-medium (&lt;75%, using 10X scoring) (pre-specified)</w:t>
            </w:r>
          </w:p>
        </w:tc>
      </w:tr>
      <w:tr w:rsidR="005A7959" w:rsidRPr="00F10893" w14:paraId="280FBED4" w14:textId="77777777" w:rsidTr="006A14D1">
        <w:trPr>
          <w:tblHeader/>
        </w:trPr>
        <w:tc>
          <w:tcPr>
            <w:tcW w:w="625" w:type="pct"/>
            <w:tcBorders>
              <w:top w:val="single" w:sz="4" w:space="0" w:color="auto"/>
              <w:bottom w:val="single" w:sz="4" w:space="0" w:color="auto"/>
              <w:right w:val="single" w:sz="4" w:space="0" w:color="auto"/>
            </w:tcBorders>
            <w:shd w:val="clear" w:color="auto" w:fill="auto"/>
          </w:tcPr>
          <w:p w14:paraId="4986E8D8" w14:textId="77777777" w:rsidR="005A7959" w:rsidRPr="00F10893" w:rsidRDefault="005A7959" w:rsidP="005A7959">
            <w:pPr>
              <w:keepNext/>
              <w:spacing w:before="0"/>
              <w:rPr>
                <w:rFonts w:ascii="Arial Narrow" w:hAnsi="Arial Narrow" w:cs="Calibri"/>
                <w:b/>
                <w:bCs/>
                <w:sz w:val="20"/>
                <w:lang w:val="en-AU"/>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F8BC5" w14:textId="77777777" w:rsidR="005A7959" w:rsidRPr="00F10893" w:rsidRDefault="005A7959" w:rsidP="005A7959">
            <w:pPr>
              <w:keepNext/>
              <w:spacing w:before="0"/>
              <w:jc w:val="left"/>
              <w:rPr>
                <w:rFonts w:ascii="Arial Narrow" w:hAnsi="Arial Narrow" w:cs="Calibri"/>
                <w:b/>
                <w:bCs/>
                <w:sz w:val="20"/>
                <w:lang w:val="en-AU"/>
              </w:rPr>
            </w:pPr>
            <w:r w:rsidRPr="00F10893">
              <w:rPr>
                <w:rFonts w:ascii="Arial Narrow" w:hAnsi="Arial Narrow" w:cs="Calibri"/>
                <w:b/>
                <w:bCs/>
                <w:sz w:val="20"/>
                <w:lang w:val="en-AU"/>
              </w:rPr>
              <w:t>MIRV (N=101)</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1F496" w14:textId="77777777" w:rsidR="005A7959" w:rsidRPr="00F10893" w:rsidRDefault="005A7959" w:rsidP="005A7959">
            <w:pPr>
              <w:keepNext/>
              <w:spacing w:before="0"/>
              <w:jc w:val="left"/>
              <w:rPr>
                <w:rFonts w:ascii="Arial Narrow" w:hAnsi="Arial Narrow" w:cs="Calibri"/>
                <w:b/>
                <w:bCs/>
                <w:sz w:val="20"/>
                <w:lang w:val="en-AU"/>
              </w:rPr>
            </w:pPr>
            <w:r w:rsidRPr="00F10893">
              <w:rPr>
                <w:rFonts w:ascii="Arial Narrow" w:hAnsi="Arial Narrow" w:cs="Calibri"/>
                <w:b/>
                <w:bCs/>
                <w:sz w:val="20"/>
                <w:lang w:val="en-AU"/>
              </w:rPr>
              <w:t>ICC (N=46)</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1D0E72D" w14:textId="77777777" w:rsidR="005A7959" w:rsidRPr="00F10893" w:rsidRDefault="005A7959" w:rsidP="005A7959">
            <w:pPr>
              <w:keepNext/>
              <w:spacing w:before="0"/>
              <w:jc w:val="center"/>
              <w:rPr>
                <w:rFonts w:ascii="Arial Narrow" w:hAnsi="Arial Narrow" w:cs="Calibri"/>
                <w:b/>
                <w:bCs/>
                <w:sz w:val="20"/>
                <w:lang w:val="en-AU"/>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641642B" w14:textId="77777777" w:rsidR="005A7959" w:rsidRPr="00F10893" w:rsidRDefault="005A7959" w:rsidP="005A7959">
            <w:pPr>
              <w:keepNext/>
              <w:spacing w:before="0"/>
              <w:jc w:val="center"/>
              <w:rPr>
                <w:rFonts w:ascii="Arial Narrow" w:hAnsi="Arial Narrow" w:cs="Calibri"/>
                <w:b/>
                <w:bCs/>
                <w:sz w:val="20"/>
                <w:lang w:val="en-AU"/>
              </w:rPr>
            </w:pPr>
          </w:p>
        </w:tc>
        <w:tc>
          <w:tcPr>
            <w:tcW w:w="625" w:type="pct"/>
            <w:tcBorders>
              <w:top w:val="single" w:sz="4" w:space="0" w:color="auto"/>
              <w:left w:val="single" w:sz="4" w:space="0" w:color="auto"/>
              <w:bottom w:val="single" w:sz="4" w:space="0" w:color="auto"/>
            </w:tcBorders>
            <w:shd w:val="clear" w:color="auto" w:fill="auto"/>
          </w:tcPr>
          <w:p w14:paraId="65AC8FA6" w14:textId="77777777" w:rsidR="005A7959" w:rsidRPr="00F10893" w:rsidRDefault="005A7959" w:rsidP="005A7959">
            <w:pPr>
              <w:keepNext/>
              <w:spacing w:before="0"/>
              <w:jc w:val="center"/>
              <w:rPr>
                <w:rFonts w:ascii="Arial Narrow" w:hAnsi="Arial Narrow" w:cs="Calibri"/>
                <w:b/>
                <w:bCs/>
                <w:sz w:val="20"/>
                <w:lang w:val="en-AU"/>
              </w:rPr>
            </w:pPr>
          </w:p>
        </w:tc>
      </w:tr>
      <w:tr w:rsidR="005A7959" w:rsidRPr="00F10893" w14:paraId="1A2ED24C" w14:textId="77777777" w:rsidTr="006A14D1">
        <w:tc>
          <w:tcPr>
            <w:tcW w:w="625" w:type="pct"/>
            <w:tcBorders>
              <w:bottom w:val="single" w:sz="4" w:space="0" w:color="auto"/>
            </w:tcBorders>
            <w:shd w:val="clear" w:color="auto" w:fill="auto"/>
            <w:vAlign w:val="center"/>
            <w:hideMark/>
          </w:tcPr>
          <w:p w14:paraId="7F189797" w14:textId="77777777" w:rsidR="005A7959" w:rsidRPr="00F10893" w:rsidRDefault="005A7959" w:rsidP="005A7959">
            <w:pPr>
              <w:spacing w:before="0"/>
              <w:rPr>
                <w:rFonts w:ascii="Arial Narrow" w:hAnsi="Arial Narrow" w:cs="Calibri"/>
                <w:i/>
                <w:iCs/>
                <w:sz w:val="20"/>
                <w:lang w:val="en-AU"/>
              </w:rPr>
            </w:pPr>
            <w:r w:rsidRPr="00F10893">
              <w:rPr>
                <w:rFonts w:ascii="Arial Narrow" w:hAnsi="Arial Narrow"/>
                <w:i/>
                <w:iCs/>
                <w:sz w:val="20"/>
                <w:lang w:val="en-AU"/>
              </w:rPr>
              <w:t>FRα-medium</w:t>
            </w:r>
            <w:r w:rsidRPr="00F10893">
              <w:rPr>
                <w:rFonts w:ascii="Arial Narrow" w:hAnsi="Arial Narrow"/>
                <w:i/>
                <w:iCs/>
                <w:sz w:val="20"/>
                <w:lang w:val="en-AU"/>
              </w:rPr>
              <w:br/>
            </w:r>
            <w:r w:rsidRPr="00F10893">
              <w:rPr>
                <w:rFonts w:ascii="Arial Narrow" w:hAnsi="Arial Narrow" w:cs="Calibri"/>
                <w:i/>
                <w:iCs/>
                <w:sz w:val="20"/>
                <w:lang w:val="en-AU"/>
              </w:rPr>
              <w:t>February 2019</w:t>
            </w:r>
          </w:p>
        </w:tc>
        <w:tc>
          <w:tcPr>
            <w:tcW w:w="625" w:type="pct"/>
            <w:shd w:val="clear" w:color="auto" w:fill="auto"/>
            <w:vAlign w:val="center"/>
          </w:tcPr>
          <w:p w14:paraId="6D7C6E1E"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46/101 </w:t>
            </w:r>
          </w:p>
          <w:p w14:paraId="59997540"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(46)</w:t>
            </w:r>
          </w:p>
        </w:tc>
        <w:tc>
          <w:tcPr>
            <w:tcW w:w="625" w:type="pct"/>
            <w:shd w:val="clear" w:color="auto" w:fill="auto"/>
            <w:vAlign w:val="center"/>
          </w:tcPr>
          <w:p w14:paraId="6F33F7EE"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14.36 </w:t>
            </w:r>
            <w:r w:rsidRPr="00F10893">
              <w:rPr>
                <w:rFonts w:ascii="Arial Narrow" w:hAnsi="Arial Narrow" w:cs="Calibri"/>
                <w:i/>
                <w:iCs/>
                <w:sz w:val="20"/>
                <w:lang w:val="en-AU"/>
              </w:rPr>
              <w:br/>
              <w:t xml:space="preserve">(12.06, 20.50) </w:t>
            </w:r>
          </w:p>
        </w:tc>
        <w:tc>
          <w:tcPr>
            <w:tcW w:w="625" w:type="pct"/>
            <w:tcBorders>
              <w:bottom w:val="single" w:sz="4" w:space="0" w:color="auto"/>
            </w:tcBorders>
            <w:shd w:val="clear" w:color="auto" w:fill="auto"/>
            <w:vAlign w:val="center"/>
          </w:tcPr>
          <w:p w14:paraId="37BB63F1"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17/46 </w:t>
            </w:r>
          </w:p>
          <w:p w14:paraId="2AF5DF68"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(37)</w:t>
            </w:r>
          </w:p>
        </w:tc>
        <w:tc>
          <w:tcPr>
            <w:tcW w:w="625" w:type="pct"/>
            <w:tcBorders>
              <w:bottom w:val="single" w:sz="4" w:space="0" w:color="auto"/>
            </w:tcBorders>
            <w:shd w:val="clear" w:color="auto" w:fill="auto"/>
            <w:vAlign w:val="center"/>
          </w:tcPr>
          <w:p w14:paraId="35885DDE"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 xml:space="preserve">15.18 </w:t>
            </w:r>
            <w:r w:rsidRPr="00F10893">
              <w:rPr>
                <w:rFonts w:ascii="Arial Narrow" w:hAnsi="Arial Narrow" w:cs="Calibri"/>
                <w:i/>
                <w:iCs/>
                <w:sz w:val="20"/>
                <w:lang w:val="en-AU"/>
              </w:rPr>
              <w:br/>
              <w:t>(11.43, --- )</w:t>
            </w:r>
          </w:p>
        </w:tc>
        <w:tc>
          <w:tcPr>
            <w:tcW w:w="625" w:type="pct"/>
            <w:shd w:val="clear" w:color="auto" w:fill="auto"/>
            <w:vAlign w:val="center"/>
          </w:tcPr>
          <w:p w14:paraId="4B85D342"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-0.82</w:t>
            </w:r>
          </w:p>
        </w:tc>
        <w:tc>
          <w:tcPr>
            <w:tcW w:w="625" w:type="pct"/>
            <w:shd w:val="clear" w:color="auto" w:fill="auto"/>
            <w:vAlign w:val="center"/>
          </w:tcPr>
          <w:p w14:paraId="68065AFF"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0.521</w:t>
            </w:r>
          </w:p>
        </w:tc>
        <w:tc>
          <w:tcPr>
            <w:tcW w:w="625" w:type="pct"/>
            <w:tcBorders>
              <w:bottom w:val="single" w:sz="4" w:space="0" w:color="auto"/>
            </w:tcBorders>
            <w:shd w:val="clear" w:color="auto" w:fill="auto"/>
            <w:vAlign w:val="center"/>
          </w:tcPr>
          <w:p w14:paraId="56DDE88A" w14:textId="77777777" w:rsidR="005A7959" w:rsidRPr="00F10893" w:rsidRDefault="005A7959" w:rsidP="005A7959">
            <w:pPr>
              <w:autoSpaceDE w:val="0"/>
              <w:autoSpaceDN w:val="0"/>
              <w:adjustRightInd w:val="0"/>
              <w:spacing w:before="0"/>
              <w:contextualSpacing/>
              <w:jc w:val="center"/>
              <w:rPr>
                <w:rFonts w:ascii="Arial Narrow" w:hAnsi="Arial Narrow" w:cs="Calibri"/>
                <w:i/>
                <w:iCs/>
                <w:color w:val="000000"/>
                <w:sz w:val="20"/>
                <w:lang w:val="en-AU"/>
              </w:rPr>
            </w:pPr>
            <w:r w:rsidRPr="00F10893">
              <w:rPr>
                <w:rFonts w:ascii="Arial Narrow" w:hAnsi="Arial Narrow" w:cs="Calibri"/>
                <w:i/>
                <w:iCs/>
                <w:color w:val="000000"/>
                <w:sz w:val="20"/>
                <w:lang w:val="en-AU"/>
              </w:rPr>
              <w:t xml:space="preserve">1.203 </w:t>
            </w:r>
            <w:r w:rsidRPr="00F10893">
              <w:rPr>
                <w:rFonts w:ascii="Arial Narrow" w:hAnsi="Arial Narrow" w:cs="Calibri"/>
                <w:i/>
                <w:iCs/>
                <w:color w:val="000000"/>
                <w:sz w:val="20"/>
                <w:lang w:val="en-AU"/>
              </w:rPr>
              <w:br/>
              <w:t>(0.683, 2.120)</w:t>
            </w:r>
          </w:p>
        </w:tc>
      </w:tr>
      <w:tr w:rsidR="005A7959" w:rsidRPr="00F10893" w14:paraId="78D2CC32" w14:textId="77777777" w:rsidTr="006A14D1">
        <w:tc>
          <w:tcPr>
            <w:tcW w:w="625" w:type="pct"/>
            <w:tcBorders>
              <w:bottom w:val="single" w:sz="4" w:space="0" w:color="auto"/>
            </w:tcBorders>
            <w:shd w:val="clear" w:color="auto" w:fill="auto"/>
            <w:vAlign w:val="center"/>
          </w:tcPr>
          <w:p w14:paraId="1146711F" w14:textId="77777777" w:rsidR="005A7959" w:rsidRPr="00F10893" w:rsidRDefault="005A7959" w:rsidP="005A7959">
            <w:pPr>
              <w:spacing w:before="0"/>
              <w:rPr>
                <w:rFonts w:ascii="Arial Narrow" w:hAnsi="Arial Narrow"/>
                <w:i/>
                <w:iCs/>
                <w:sz w:val="20"/>
                <w:lang w:val="en-AU"/>
              </w:rPr>
            </w:pPr>
            <w:r w:rsidRPr="00F10893">
              <w:rPr>
                <w:rFonts w:ascii="Arial Narrow" w:hAnsi="Arial Narrow"/>
                <w:i/>
                <w:iCs/>
                <w:sz w:val="20"/>
                <w:lang w:val="en-AU"/>
              </w:rPr>
              <w:t>FRα-medium</w:t>
            </w:r>
            <w:r w:rsidRPr="00F10893">
              <w:rPr>
                <w:rFonts w:ascii="Arial Narrow" w:hAnsi="Arial Narrow"/>
                <w:i/>
                <w:iCs/>
                <w:sz w:val="20"/>
                <w:lang w:val="en-AU"/>
              </w:rPr>
              <w:br/>
            </w:r>
            <w:r w:rsidRPr="00F10893">
              <w:rPr>
                <w:rFonts w:ascii="Arial Narrow" w:hAnsi="Arial Narrow" w:cs="Calibri"/>
                <w:i/>
                <w:iCs/>
                <w:sz w:val="20"/>
                <w:lang w:val="en-AU"/>
              </w:rPr>
              <w:t>March 2020</w:t>
            </w:r>
          </w:p>
        </w:tc>
        <w:tc>
          <w:tcPr>
            <w:tcW w:w="625" w:type="pct"/>
            <w:shd w:val="clear" w:color="auto" w:fill="auto"/>
            <w:vAlign w:val="center"/>
          </w:tcPr>
          <w:p w14:paraId="566E7EFD"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shd w:val="clear" w:color="auto" w:fill="auto"/>
            <w:vAlign w:val="center"/>
          </w:tcPr>
          <w:p w14:paraId="680A89BF"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tcBorders>
              <w:bottom w:val="single" w:sz="4" w:space="0" w:color="auto"/>
            </w:tcBorders>
            <w:shd w:val="clear" w:color="auto" w:fill="auto"/>
            <w:vAlign w:val="center"/>
          </w:tcPr>
          <w:p w14:paraId="77535C6B"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tcBorders>
              <w:bottom w:val="single" w:sz="4" w:space="0" w:color="auto"/>
            </w:tcBorders>
            <w:shd w:val="clear" w:color="auto" w:fill="auto"/>
            <w:vAlign w:val="center"/>
          </w:tcPr>
          <w:p w14:paraId="540D749F"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shd w:val="clear" w:color="auto" w:fill="auto"/>
            <w:vAlign w:val="center"/>
          </w:tcPr>
          <w:p w14:paraId="233FEC6D"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shd w:val="clear" w:color="auto" w:fill="auto"/>
            <w:vAlign w:val="center"/>
          </w:tcPr>
          <w:p w14:paraId="665DE451" w14:textId="77777777" w:rsidR="005A7959" w:rsidRPr="00F10893" w:rsidRDefault="005A7959" w:rsidP="005A7959">
            <w:pPr>
              <w:spacing w:before="0"/>
              <w:jc w:val="center"/>
              <w:rPr>
                <w:rFonts w:ascii="Arial Narrow" w:hAnsi="Arial Narrow" w:cs="Calibri"/>
                <w:i/>
                <w:iCs/>
                <w:sz w:val="20"/>
                <w:lang w:val="en-AU"/>
              </w:rPr>
            </w:pPr>
            <w:r w:rsidRPr="00F10893">
              <w:rPr>
                <w:rFonts w:ascii="Arial Narrow" w:hAnsi="Arial Narrow" w:cs="Calibri"/>
                <w:i/>
                <w:iCs/>
                <w:sz w:val="20"/>
                <w:lang w:val="en-AU"/>
              </w:rPr>
              <w:t>NR</w:t>
            </w:r>
          </w:p>
        </w:tc>
        <w:tc>
          <w:tcPr>
            <w:tcW w:w="625" w:type="pct"/>
            <w:tcBorders>
              <w:bottom w:val="single" w:sz="4" w:space="0" w:color="auto"/>
            </w:tcBorders>
            <w:shd w:val="clear" w:color="auto" w:fill="auto"/>
            <w:vAlign w:val="center"/>
          </w:tcPr>
          <w:p w14:paraId="3B0CE5A5" w14:textId="77777777" w:rsidR="005A7959" w:rsidRPr="00F10893" w:rsidRDefault="005A7959" w:rsidP="005A7959">
            <w:pPr>
              <w:autoSpaceDE w:val="0"/>
              <w:autoSpaceDN w:val="0"/>
              <w:adjustRightInd w:val="0"/>
              <w:spacing w:before="0"/>
              <w:contextualSpacing/>
              <w:jc w:val="center"/>
              <w:rPr>
                <w:rFonts w:ascii="Arial Narrow" w:hAnsi="Arial Narrow" w:cs="Calibri"/>
                <w:i/>
                <w:iCs/>
                <w:sz w:val="20"/>
                <w:lang w:val="en-AU"/>
              </w:rPr>
            </w:pPr>
            <w:r w:rsidRPr="00F10893">
              <w:rPr>
                <w:rFonts w:ascii="Arial Narrow" w:hAnsi="Arial Narrow" w:cs="Calibri"/>
                <w:i/>
                <w:iCs/>
                <w:sz w:val="20"/>
                <w:lang w:val="en-AU"/>
              </w:rPr>
              <w:t>NR</w:t>
            </w:r>
          </w:p>
        </w:tc>
      </w:tr>
      <w:tr w:rsidR="002C7D60" w:rsidRPr="00F10893" w14:paraId="5707F405" w14:textId="77777777" w:rsidTr="006A14D1">
        <w:tc>
          <w:tcPr>
            <w:tcW w:w="5000" w:type="pct"/>
            <w:gridSpan w:val="8"/>
            <w:tcBorders>
              <w:bottom w:val="single" w:sz="4" w:space="0" w:color="auto"/>
            </w:tcBorders>
            <w:shd w:val="clear" w:color="auto" w:fill="auto"/>
            <w:vAlign w:val="center"/>
          </w:tcPr>
          <w:p w14:paraId="726CE7DD" w14:textId="491D7D98" w:rsidR="002C7D60" w:rsidRPr="00F10893" w:rsidRDefault="002C7D60" w:rsidP="002C7D60">
            <w:pPr>
              <w:autoSpaceDE w:val="0"/>
              <w:autoSpaceDN w:val="0"/>
              <w:adjustRightInd w:val="0"/>
              <w:spacing w:before="0"/>
              <w:contextualSpacing/>
              <w:jc w:val="left"/>
              <w:rPr>
                <w:rFonts w:ascii="Arial Narrow" w:hAnsi="Arial Narrow" w:cs="Calibri"/>
                <w:sz w:val="20"/>
                <w:lang w:val="en-AU"/>
              </w:rPr>
            </w:pPr>
            <w:r w:rsidRPr="00F10893">
              <w:rPr>
                <w:rFonts w:ascii="Arial Narrow" w:hAnsi="Arial Narrow" w:cs="Calibri"/>
                <w:b/>
                <w:color w:val="000000"/>
                <w:sz w:val="20"/>
                <w:lang w:val="en-AU"/>
              </w:rPr>
              <w:t>OS – FRα- expression groups (≥75%, using PS2+ scoring) (post-hoc)</w:t>
            </w:r>
          </w:p>
        </w:tc>
      </w:tr>
      <w:tr w:rsidR="005A7959" w:rsidRPr="00F10893" w14:paraId="7B91A524" w14:textId="77777777" w:rsidTr="006A14D1">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53774" w14:textId="77777777" w:rsidR="005A7959" w:rsidRPr="00F10893" w:rsidRDefault="005A7959" w:rsidP="005A7959">
            <w:pPr>
              <w:spacing w:before="0"/>
              <w:rPr>
                <w:rFonts w:ascii="Arial Narrow" w:hAnsi="Arial Narrow" w:cs="Calibri"/>
                <w:sz w:val="20"/>
                <w:lang w:val="en-AU"/>
              </w:rPr>
            </w:pPr>
            <w:r w:rsidRPr="00F10893">
              <w:rPr>
                <w:rFonts w:ascii="Arial Narrow" w:hAnsi="Arial Narrow"/>
                <w:sz w:val="20"/>
                <w:lang w:val="en-AU"/>
              </w:rPr>
              <w:t>FRα-high</w:t>
            </w:r>
          </w:p>
        </w:tc>
        <w:tc>
          <w:tcPr>
            <w:tcW w:w="625" w:type="pct"/>
            <w:shd w:val="clear" w:color="auto" w:fill="auto"/>
            <w:vAlign w:val="center"/>
          </w:tcPr>
          <w:p w14:paraId="4D0D2166"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34/82 </w:t>
            </w:r>
          </w:p>
          <w:p w14:paraId="0BC7321B"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(41%)</w:t>
            </w:r>
          </w:p>
        </w:tc>
        <w:tc>
          <w:tcPr>
            <w:tcW w:w="625" w:type="pct"/>
            <w:shd w:val="clear" w:color="auto" w:fill="auto"/>
            <w:vAlign w:val="center"/>
          </w:tcPr>
          <w:p w14:paraId="73D9E66F"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16.43 </w:t>
            </w:r>
          </w:p>
          <w:p w14:paraId="096A2C1C"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(11.27, -)</w:t>
            </w:r>
          </w:p>
        </w:tc>
        <w:tc>
          <w:tcPr>
            <w:tcW w:w="625" w:type="pct"/>
            <w:shd w:val="clear" w:color="auto" w:fill="auto"/>
            <w:vAlign w:val="center"/>
          </w:tcPr>
          <w:p w14:paraId="492AE458"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17/34 </w:t>
            </w:r>
          </w:p>
          <w:p w14:paraId="0D86EA53"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(50%)</w:t>
            </w:r>
          </w:p>
        </w:tc>
        <w:tc>
          <w:tcPr>
            <w:tcW w:w="625" w:type="pct"/>
            <w:shd w:val="clear" w:color="auto" w:fill="auto"/>
            <w:vAlign w:val="center"/>
          </w:tcPr>
          <w:p w14:paraId="0BD82A4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13.47 </w:t>
            </w:r>
          </w:p>
          <w:p w14:paraId="7EDA9B23"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(6.11, -)</w:t>
            </w:r>
          </w:p>
        </w:tc>
        <w:tc>
          <w:tcPr>
            <w:tcW w:w="625" w:type="pct"/>
            <w:shd w:val="clear" w:color="auto" w:fill="auto"/>
            <w:vAlign w:val="center"/>
          </w:tcPr>
          <w:p w14:paraId="237E9A82"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3.0</w:t>
            </w:r>
          </w:p>
        </w:tc>
        <w:tc>
          <w:tcPr>
            <w:tcW w:w="625" w:type="pct"/>
            <w:shd w:val="clear" w:color="auto" w:fill="auto"/>
            <w:vAlign w:val="center"/>
          </w:tcPr>
          <w:p w14:paraId="4AFA2C64"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0.187</w:t>
            </w:r>
          </w:p>
        </w:tc>
        <w:tc>
          <w:tcPr>
            <w:tcW w:w="625" w:type="pct"/>
            <w:shd w:val="clear" w:color="auto" w:fill="auto"/>
            <w:vAlign w:val="center"/>
          </w:tcPr>
          <w:p w14:paraId="7A85D6E2"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sz w:val="20"/>
                <w:lang w:val="en-AU"/>
              </w:rPr>
              <w:t xml:space="preserve">0.675 </w:t>
            </w:r>
            <w:r w:rsidRPr="00F10893">
              <w:rPr>
                <w:rFonts w:ascii="Arial Narrow" w:hAnsi="Arial Narrow"/>
                <w:sz w:val="20"/>
                <w:lang w:val="en-AU"/>
              </w:rPr>
              <w:br/>
              <w:t>(0.375, 1.214)</w:t>
            </w:r>
          </w:p>
        </w:tc>
      </w:tr>
      <w:tr w:rsidR="005A7959" w:rsidRPr="00F10893" w14:paraId="0372EA6A" w14:textId="77777777" w:rsidTr="006A14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D795ED3" w14:textId="77777777" w:rsidR="005A7959" w:rsidRPr="00F10893" w:rsidRDefault="005A7959" w:rsidP="005A7959">
            <w:pPr>
              <w:spacing w:before="0"/>
              <w:rPr>
                <w:rFonts w:ascii="Arial Narrow" w:hAnsi="Arial Narrow"/>
                <w:sz w:val="20"/>
                <w:lang w:val="en-AU"/>
              </w:rPr>
            </w:pPr>
            <w:r w:rsidRPr="00F10893">
              <w:rPr>
                <w:rFonts w:ascii="Arial Narrow" w:hAnsi="Arial Narrow"/>
                <w:sz w:val="20"/>
                <w:lang w:val="en-AU"/>
              </w:rPr>
              <w:t>FRα-medium</w:t>
            </w:r>
          </w:p>
        </w:tc>
        <w:tc>
          <w:tcPr>
            <w:tcW w:w="625" w:type="pct"/>
            <w:shd w:val="clear" w:color="auto" w:fill="auto"/>
            <w:vAlign w:val="center"/>
          </w:tcPr>
          <w:p w14:paraId="54378B29"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27/69 </w:t>
            </w:r>
          </w:p>
          <w:p w14:paraId="71E27ACF"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(39%)</w:t>
            </w:r>
          </w:p>
        </w:tc>
        <w:tc>
          <w:tcPr>
            <w:tcW w:w="625" w:type="pct"/>
            <w:shd w:val="clear" w:color="auto" w:fill="auto"/>
            <w:vAlign w:val="center"/>
          </w:tcPr>
          <w:p w14:paraId="188E4C04"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14.23 </w:t>
            </w:r>
          </w:p>
          <w:p w14:paraId="2606EFD3"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(12.16, -) </w:t>
            </w:r>
          </w:p>
        </w:tc>
        <w:tc>
          <w:tcPr>
            <w:tcW w:w="625" w:type="pct"/>
            <w:shd w:val="clear" w:color="auto" w:fill="auto"/>
            <w:vAlign w:val="center"/>
          </w:tcPr>
          <w:p w14:paraId="732B383B"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13/34 </w:t>
            </w:r>
          </w:p>
          <w:p w14:paraId="5C1933AE"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(38%)</w:t>
            </w:r>
          </w:p>
        </w:tc>
        <w:tc>
          <w:tcPr>
            <w:tcW w:w="625" w:type="pct"/>
            <w:shd w:val="clear" w:color="auto" w:fill="auto"/>
            <w:vAlign w:val="center"/>
          </w:tcPr>
          <w:p w14:paraId="4DE08AF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NC </w:t>
            </w:r>
          </w:p>
          <w:p w14:paraId="3A4080D2"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(11.76, -)</w:t>
            </w:r>
          </w:p>
        </w:tc>
        <w:tc>
          <w:tcPr>
            <w:tcW w:w="625" w:type="pct"/>
            <w:shd w:val="clear" w:color="auto" w:fill="auto"/>
            <w:vAlign w:val="center"/>
          </w:tcPr>
          <w:p w14:paraId="579AD69F"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NC</w:t>
            </w:r>
          </w:p>
        </w:tc>
        <w:tc>
          <w:tcPr>
            <w:tcW w:w="625" w:type="pct"/>
            <w:shd w:val="clear" w:color="auto" w:fill="auto"/>
            <w:vAlign w:val="center"/>
          </w:tcPr>
          <w:p w14:paraId="6A2885E6"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0.7637</w:t>
            </w:r>
          </w:p>
        </w:tc>
        <w:tc>
          <w:tcPr>
            <w:tcW w:w="625" w:type="pct"/>
            <w:shd w:val="clear" w:color="auto" w:fill="auto"/>
            <w:vAlign w:val="center"/>
          </w:tcPr>
          <w:p w14:paraId="2FA5B73A"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sz w:val="20"/>
                <w:lang w:val="en-AU"/>
              </w:rPr>
              <w:t xml:space="preserve">1.108 </w:t>
            </w:r>
            <w:r w:rsidRPr="00F10893">
              <w:rPr>
                <w:rFonts w:ascii="Arial Narrow" w:hAnsi="Arial Narrow"/>
                <w:sz w:val="20"/>
                <w:lang w:val="en-AU"/>
              </w:rPr>
              <w:br/>
              <w:t>(0.569, 2.156)</w:t>
            </w:r>
          </w:p>
        </w:tc>
      </w:tr>
      <w:tr w:rsidR="005A7959" w:rsidRPr="00F10893" w14:paraId="6BDD0C69" w14:textId="77777777" w:rsidTr="006A14D1">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A979CC7" w14:textId="77777777" w:rsidR="005A7959" w:rsidRPr="00F10893" w:rsidRDefault="005A7959" w:rsidP="005A7959">
            <w:pPr>
              <w:spacing w:before="0"/>
              <w:rPr>
                <w:rFonts w:ascii="Arial Narrow" w:hAnsi="Arial Narrow"/>
                <w:sz w:val="20"/>
                <w:lang w:val="en-AU"/>
              </w:rPr>
            </w:pPr>
            <w:r w:rsidRPr="00F10893">
              <w:rPr>
                <w:rFonts w:ascii="Arial Narrow" w:hAnsi="Arial Narrow"/>
                <w:sz w:val="20"/>
                <w:lang w:val="en-AU"/>
              </w:rPr>
              <w:t>FRα-low</w:t>
            </w:r>
          </w:p>
        </w:tc>
        <w:tc>
          <w:tcPr>
            <w:tcW w:w="625" w:type="pct"/>
            <w:shd w:val="clear" w:color="auto" w:fill="auto"/>
            <w:vAlign w:val="center"/>
          </w:tcPr>
          <w:p w14:paraId="556667F1"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30/76 </w:t>
            </w:r>
          </w:p>
          <w:p w14:paraId="54AE66BC"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(39%)</w:t>
            </w:r>
          </w:p>
        </w:tc>
        <w:tc>
          <w:tcPr>
            <w:tcW w:w="625" w:type="pct"/>
            <w:shd w:val="clear" w:color="auto" w:fill="auto"/>
            <w:vAlign w:val="center"/>
          </w:tcPr>
          <w:p w14:paraId="41A8208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16.99 </w:t>
            </w:r>
          </w:p>
          <w:p w14:paraId="69F39F0C"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(12.25, -)</w:t>
            </w:r>
          </w:p>
        </w:tc>
        <w:tc>
          <w:tcPr>
            <w:tcW w:w="625" w:type="pct"/>
            <w:tcBorders>
              <w:bottom w:val="single" w:sz="4" w:space="0" w:color="auto"/>
            </w:tcBorders>
            <w:shd w:val="clear" w:color="auto" w:fill="auto"/>
            <w:vAlign w:val="center"/>
          </w:tcPr>
          <w:p w14:paraId="42297350"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18/38 </w:t>
            </w:r>
          </w:p>
          <w:p w14:paraId="4B39A9BD"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(47%)</w:t>
            </w:r>
          </w:p>
        </w:tc>
        <w:tc>
          <w:tcPr>
            <w:tcW w:w="625" w:type="pct"/>
            <w:tcBorders>
              <w:bottom w:val="single" w:sz="4" w:space="0" w:color="auto"/>
            </w:tcBorders>
            <w:shd w:val="clear" w:color="auto" w:fill="auto"/>
            <w:vAlign w:val="center"/>
          </w:tcPr>
          <w:p w14:paraId="7E31A42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 xml:space="preserve">11.43 </w:t>
            </w:r>
          </w:p>
          <w:p w14:paraId="51736CF8"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(8.28, -)</w:t>
            </w:r>
          </w:p>
        </w:tc>
        <w:tc>
          <w:tcPr>
            <w:tcW w:w="625" w:type="pct"/>
            <w:shd w:val="clear" w:color="auto" w:fill="auto"/>
            <w:vAlign w:val="center"/>
          </w:tcPr>
          <w:p w14:paraId="54284939"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5.6</w:t>
            </w:r>
          </w:p>
        </w:tc>
        <w:tc>
          <w:tcPr>
            <w:tcW w:w="625" w:type="pct"/>
            <w:shd w:val="clear" w:color="auto" w:fill="auto"/>
            <w:vAlign w:val="center"/>
          </w:tcPr>
          <w:p w14:paraId="288DF576"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cs="Calibri"/>
                <w:sz w:val="20"/>
                <w:lang w:val="en-AU"/>
              </w:rPr>
              <w:t>0.2357</w:t>
            </w:r>
          </w:p>
        </w:tc>
        <w:tc>
          <w:tcPr>
            <w:tcW w:w="625" w:type="pct"/>
            <w:tcBorders>
              <w:bottom w:val="single" w:sz="4" w:space="0" w:color="auto"/>
            </w:tcBorders>
            <w:shd w:val="clear" w:color="auto" w:fill="auto"/>
            <w:vAlign w:val="center"/>
          </w:tcPr>
          <w:p w14:paraId="690E7CF7" w14:textId="77777777" w:rsidR="005A7959" w:rsidRPr="00F10893" w:rsidRDefault="005A7959" w:rsidP="005A7959">
            <w:pPr>
              <w:spacing w:before="0"/>
              <w:jc w:val="center"/>
              <w:rPr>
                <w:rFonts w:ascii="Arial Narrow" w:hAnsi="Arial Narrow" w:cs="Calibri"/>
                <w:sz w:val="20"/>
                <w:lang w:val="en-AU"/>
              </w:rPr>
            </w:pPr>
            <w:r w:rsidRPr="00F10893">
              <w:rPr>
                <w:rFonts w:ascii="Arial Narrow" w:hAnsi="Arial Narrow"/>
                <w:sz w:val="20"/>
                <w:lang w:val="en-AU"/>
              </w:rPr>
              <w:t xml:space="preserve">0.702 </w:t>
            </w:r>
            <w:r w:rsidRPr="00F10893">
              <w:rPr>
                <w:rFonts w:ascii="Arial Narrow" w:hAnsi="Arial Narrow"/>
                <w:sz w:val="20"/>
                <w:lang w:val="en-AU"/>
              </w:rPr>
              <w:br/>
              <w:t>(0.390, 1.263)</w:t>
            </w:r>
          </w:p>
        </w:tc>
      </w:tr>
    </w:tbl>
    <w:p w14:paraId="1A31FB94" w14:textId="3F676EC2"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Source: compiled during the evaluation from</w:t>
      </w:r>
      <w:r w:rsidR="006A14D1" w:rsidRPr="00F10893">
        <w:rPr>
          <w:rFonts w:ascii="Arial Narrow" w:eastAsia="Times New Roman" w:hAnsi="Arial Narrow" w:cs="Arial"/>
          <w:snapToGrid w:val="0"/>
          <w:sz w:val="18"/>
          <w:lang w:eastAsia="en-AU"/>
        </w:rPr>
        <w:t xml:space="preserve"> the below sources</w:t>
      </w:r>
      <w:r w:rsidRPr="00F10893">
        <w:rPr>
          <w:rFonts w:ascii="Arial Narrow" w:eastAsia="Times New Roman" w:hAnsi="Arial Narrow" w:cs="Arial"/>
          <w:snapToGrid w:val="0"/>
          <w:sz w:val="18"/>
          <w:lang w:eastAsia="en-AU"/>
        </w:rPr>
        <w:t>:</w:t>
      </w:r>
    </w:p>
    <w:p w14:paraId="0A8D11BE"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9 Primary and secondary endpoint results for the ITT population and the FRα- high population, p18 of submission Appendix A; </w:t>
      </w:r>
    </w:p>
    <w:p w14:paraId="60EE699B"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10 Post hoc analysis of FORWARD I: primary and secondary endpoints results for the FRα- high, FRα- medium and FRα- low population, p19 of submission Appendix A; </w:t>
      </w:r>
    </w:p>
    <w:p w14:paraId="3556595E"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25: Overall Survival – ITT Population, pp106-107, FORWARD-I CSR, </w:t>
      </w:r>
    </w:p>
    <w:p w14:paraId="4CAF40DE"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26: Overall Survival – FRα-high Population, pp109-110, FORWARD-I CSR. </w:t>
      </w:r>
    </w:p>
    <w:p w14:paraId="7A5856B1"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Table 1: Overall Survival – ITT Population, pp2917-2919, FORWARD-I CSR addendum; </w:t>
      </w:r>
    </w:p>
    <w:p w14:paraId="2A02C089"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2: Overall Survival – FRα-high Population, pp2920-2921, FORWARD-I CSR addendum.</w:t>
      </w:r>
    </w:p>
    <w:p w14:paraId="46A1018A"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14.2.3.3: Overall Survival - FR A Medium Level ITT Population, p712, FORWARD-I CSR</w:t>
      </w:r>
    </w:p>
    <w:p w14:paraId="29C4E6B2"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Slide 9, 12 FORWARD I 10X SCORING COMPARED WITH EXPLORATORY PS2+ SCORING, Moore et al, (2019). </w:t>
      </w:r>
    </w:p>
    <w:p w14:paraId="01D31329"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Table 65, Table 66 and Table 67, pp1-6 of Corrected Attachment 2.7 to the submission.</w:t>
      </w:r>
    </w:p>
    <w:p w14:paraId="1992ACDE" w14:textId="289B93A9"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BICR=  blinded independent central review; CI= confidence interval; CSR= clinical study report; FRα= folate receptor alpha; HR= hazard ratio; ICC= investigator’s choice of chemotherapy; ITT= intention to treat analysis; MIRV= mirvetuximab soravtansine; mo= months; NC= not calculated; NR= not reported (in the FORWARD-I CSR); OS= overall survival; PFS= progression-free survival.</w:t>
      </w:r>
    </w:p>
    <w:p w14:paraId="0EB44A2A" w14:textId="093D45AD" w:rsidR="00AC53F1" w:rsidRPr="00F10893" w:rsidRDefault="00AC53F1" w:rsidP="00AC53F1">
      <w:pPr>
        <w:pStyle w:val="TableFigureFooter"/>
        <w:rPr>
          <w:i/>
          <w:iCs/>
        </w:rPr>
      </w:pPr>
      <w:r w:rsidRPr="00F10893">
        <w:rPr>
          <w:i/>
          <w:iCs/>
        </w:rPr>
        <w:t xml:space="preserve">Note: the conference presentation (Moore 2019) (slides 13-14) which presented the FORWARD-I post hoc analysis did not match the submission OS values for the HRs or the K-M plot and appeared to have been </w:t>
      </w:r>
      <w:r w:rsidR="007E5C5D" w:rsidRPr="00F10893">
        <w:rPr>
          <w:i/>
          <w:iCs/>
        </w:rPr>
        <w:t>results</w:t>
      </w:r>
      <w:r w:rsidRPr="00F10893">
        <w:rPr>
          <w:i/>
          <w:iCs/>
        </w:rPr>
        <w:t xml:space="preserve"> from a different data cutoff.</w:t>
      </w:r>
    </w:p>
    <w:p w14:paraId="2AFE7122" w14:textId="294FC20A" w:rsidR="005A7959" w:rsidRPr="00F02286" w:rsidRDefault="00502264" w:rsidP="005A7959">
      <w:pPr>
        <w:tabs>
          <w:tab w:val="left" w:pos="284"/>
        </w:tabs>
        <w:spacing w:before="0" w:after="0"/>
        <w:jc w:val="left"/>
        <w:rPr>
          <w:rFonts w:ascii="Arial Narrow" w:eastAsia="Times New Roman" w:hAnsi="Arial Narrow" w:cs="Arial"/>
          <w:i/>
          <w:iCs/>
          <w:snapToGrid w:val="0"/>
          <w:sz w:val="18"/>
          <w:lang w:eastAsia="en-AU"/>
        </w:rPr>
      </w:pPr>
      <w:r w:rsidRPr="00F10893">
        <w:rPr>
          <w:rFonts w:ascii="Arial Narrow" w:eastAsia="Times New Roman" w:hAnsi="Arial Narrow" w:cs="Arial"/>
          <w:i/>
          <w:iCs/>
          <w:snapToGrid w:val="0"/>
          <w:sz w:val="18"/>
          <w:lang w:eastAsia="en-AU"/>
        </w:rPr>
        <w:t>Values in italics were extracted from the CSRs during the evaluation.</w:t>
      </w:r>
    </w:p>
    <w:p w14:paraId="7E46DD78" w14:textId="68100E92"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t xml:space="preserve">The difference in OS for MIRV versus ICC for the pre-specified FRα-high expression group was not statistically significant for the three analyses presented. For the re-scored FRα-high expression group, the median OS was 16.4 months in the MIRV arm versus </w:t>
      </w:r>
      <w:r w:rsidR="007B5883" w:rsidRPr="000B0472">
        <w:rPr>
          <w:rFonts w:ascii="Franklin Gothic Book" w:hAnsi="Franklin Gothic Book"/>
          <w:sz w:val="22"/>
          <w:szCs w:val="20"/>
        </w:rPr>
        <w:t>13.5</w:t>
      </w:r>
      <w:r w:rsidRPr="000B0472">
        <w:rPr>
          <w:rFonts w:ascii="Franklin Gothic Book" w:hAnsi="Franklin Gothic Book"/>
          <w:sz w:val="22"/>
          <w:szCs w:val="20"/>
        </w:rPr>
        <w:t xml:space="preserve"> months in the ICC arm, but the results were not statistically significant (HR=0.675, p=0.187).</w:t>
      </w:r>
    </w:p>
    <w:p w14:paraId="7FAB46AA" w14:textId="42AF3B49" w:rsidR="005A7959" w:rsidRPr="000B0472" w:rsidRDefault="005A7959" w:rsidP="005A7959">
      <w:pPr>
        <w:rPr>
          <w:rFonts w:ascii="Franklin Gothic Book" w:hAnsi="Franklin Gothic Book"/>
          <w:sz w:val="22"/>
          <w:szCs w:val="20"/>
        </w:rPr>
      </w:pPr>
      <w:r w:rsidRPr="000B0472">
        <w:rPr>
          <w:rFonts w:ascii="Franklin Gothic Book" w:hAnsi="Franklin Gothic Book"/>
          <w:sz w:val="22"/>
          <w:szCs w:val="20"/>
        </w:rPr>
        <w:lastRenderedPageBreak/>
        <w:t xml:space="preserve">The predictive value of FRα level on the primary endpoint of PFS from FORWARD-I was examined by comparing outcomes for the pre-specified FRα-high and FRα-medium subgroups </w:t>
      </w:r>
      <w:r w:rsidR="00C8183E" w:rsidRPr="000B0472">
        <w:rPr>
          <w:rFonts w:ascii="Franklin Gothic Book" w:hAnsi="Franklin Gothic Book"/>
          <w:sz w:val="22"/>
          <w:szCs w:val="20"/>
        </w:rPr>
        <w:t>(</w:t>
      </w:r>
      <w:r w:rsidR="009B153E">
        <w:rPr>
          <w:rFonts w:ascii="Franklin Gothic Book" w:hAnsi="Franklin Gothic Book"/>
          <w:sz w:val="22"/>
          <w:szCs w:val="20"/>
        </w:rPr>
        <w:fldChar w:fldCharType="begin"/>
      </w:r>
      <w:r w:rsidR="009B153E">
        <w:rPr>
          <w:rFonts w:ascii="Franklin Gothic Book" w:hAnsi="Franklin Gothic Book"/>
          <w:sz w:val="22"/>
          <w:szCs w:val="20"/>
        </w:rPr>
        <w:instrText xml:space="preserve"> REF _Ref198566541 \h  \* MERGEFORMAT </w:instrText>
      </w:r>
      <w:r w:rsidR="009B153E">
        <w:rPr>
          <w:rFonts w:ascii="Franklin Gothic Book" w:hAnsi="Franklin Gothic Book"/>
          <w:sz w:val="22"/>
          <w:szCs w:val="20"/>
        </w:rPr>
      </w:r>
      <w:r w:rsidR="009B153E">
        <w:rPr>
          <w:rFonts w:ascii="Franklin Gothic Book" w:hAnsi="Franklin Gothic Book"/>
          <w:sz w:val="22"/>
          <w:szCs w:val="20"/>
        </w:rPr>
        <w:fldChar w:fldCharType="separate"/>
      </w:r>
      <w:r w:rsidR="009B153E" w:rsidRPr="009B153E">
        <w:rPr>
          <w:rFonts w:ascii="Franklin Gothic Book" w:hAnsi="Franklin Gothic Book"/>
          <w:sz w:val="22"/>
          <w:szCs w:val="20"/>
        </w:rPr>
        <w:t>Table 19</w:t>
      </w:r>
      <w:r w:rsidR="009B153E">
        <w:rPr>
          <w:rFonts w:ascii="Franklin Gothic Book" w:hAnsi="Franklin Gothic Book"/>
          <w:sz w:val="22"/>
          <w:szCs w:val="20"/>
        </w:rPr>
        <w:fldChar w:fldCharType="end"/>
      </w:r>
      <w:r w:rsidR="00DB6EE6" w:rsidRPr="000B0472">
        <w:rPr>
          <w:rFonts w:ascii="Franklin Gothic Book" w:hAnsi="Franklin Gothic Book"/>
          <w:sz w:val="22"/>
          <w:szCs w:val="20"/>
        </w:rPr>
        <w:fldChar w:fldCharType="begin"/>
      </w:r>
      <w:r w:rsidR="00DB6EE6" w:rsidRPr="000B0472">
        <w:rPr>
          <w:rFonts w:ascii="Franklin Gothic Book" w:hAnsi="Franklin Gothic Book"/>
          <w:sz w:val="22"/>
          <w:szCs w:val="20"/>
        </w:rPr>
        <w:instrText xml:space="preserve"> REF _Ref198566541 \h  \* MERGEFORMAT </w:instrText>
      </w:r>
      <w:r w:rsidR="00DB6EE6" w:rsidRPr="000B0472">
        <w:rPr>
          <w:rFonts w:ascii="Franklin Gothic Book" w:hAnsi="Franklin Gothic Book"/>
          <w:sz w:val="22"/>
          <w:szCs w:val="20"/>
        </w:rPr>
      </w:r>
      <w:r w:rsidR="00DB6EE6" w:rsidRPr="000B0472">
        <w:rPr>
          <w:rFonts w:ascii="Franklin Gothic Book" w:hAnsi="Franklin Gothic Book"/>
          <w:sz w:val="22"/>
          <w:szCs w:val="20"/>
        </w:rPr>
        <w:fldChar w:fldCharType="separate"/>
      </w:r>
      <w:r w:rsidR="00DB6EE6" w:rsidRPr="000B0472">
        <w:rPr>
          <w:rFonts w:ascii="Franklin Gothic Book" w:hAnsi="Franklin Gothic Book"/>
          <w:sz w:val="22"/>
          <w:szCs w:val="20"/>
        </w:rPr>
        <w:fldChar w:fldCharType="end"/>
      </w:r>
      <w:r w:rsidR="00C8183E" w:rsidRPr="000B0472">
        <w:rPr>
          <w:rFonts w:ascii="Franklin Gothic Book" w:hAnsi="Franklin Gothic Book"/>
          <w:sz w:val="22"/>
          <w:szCs w:val="20"/>
        </w:rPr>
        <w:t>)</w:t>
      </w:r>
      <w:r w:rsidRPr="000B0472">
        <w:rPr>
          <w:rFonts w:ascii="Franklin Gothic Book" w:hAnsi="Franklin Gothic Book"/>
          <w:sz w:val="22"/>
          <w:szCs w:val="20"/>
        </w:rPr>
        <w:t>.</w:t>
      </w:r>
    </w:p>
    <w:p w14:paraId="68C2F48C" w14:textId="4931158C" w:rsidR="005A7959" w:rsidRPr="00F10893" w:rsidRDefault="005E37CF" w:rsidP="005A7959">
      <w:pPr>
        <w:keepNext/>
        <w:tabs>
          <w:tab w:val="left" w:pos="1418"/>
        </w:tabs>
        <w:spacing w:before="0" w:after="0" w:line="259" w:lineRule="auto"/>
        <w:ind w:left="1418" w:hanging="1418"/>
        <w:contextualSpacing/>
        <w:jc w:val="left"/>
        <w:rPr>
          <w:rFonts w:ascii="Arial Narrow" w:hAnsi="Arial Narrow"/>
          <w:b/>
          <w:iCs/>
          <w:sz w:val="20"/>
          <w:szCs w:val="18"/>
        </w:rPr>
      </w:pPr>
      <w:bookmarkStart w:id="44" w:name="_Ref198566541"/>
      <w:bookmarkStart w:id="45" w:name="_Ref196312023"/>
      <w:r>
        <w:rPr>
          <w:rFonts w:ascii="Arial Narrow" w:hAnsi="Arial Narrow"/>
          <w:b/>
          <w:iCs/>
          <w:sz w:val="20"/>
          <w:szCs w:val="18"/>
        </w:rPr>
        <w:t>Table</w:t>
      </w:r>
      <w:r w:rsidR="00DB6EE6"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19</w:t>
      </w:r>
      <w:r>
        <w:rPr>
          <w:rFonts w:ascii="Arial Narrow" w:hAnsi="Arial Narrow"/>
          <w:b/>
          <w:iCs/>
          <w:sz w:val="20"/>
          <w:szCs w:val="18"/>
        </w:rPr>
        <w:fldChar w:fldCharType="end"/>
      </w:r>
      <w:bookmarkEnd w:id="44"/>
      <w:r w:rsidR="00DB6EE6" w:rsidRPr="00F10893">
        <w:rPr>
          <w:rFonts w:ascii="Arial Narrow" w:hAnsi="Arial Narrow"/>
          <w:b/>
          <w:iCs/>
          <w:sz w:val="20"/>
          <w:szCs w:val="18"/>
        </w:rPr>
        <w:t xml:space="preserve">: </w:t>
      </w:r>
      <w:r w:rsidR="005A7959" w:rsidRPr="00F10893">
        <w:rPr>
          <w:rFonts w:ascii="Arial Narrow" w:hAnsi="Arial Narrow"/>
          <w:b/>
          <w:iCs/>
          <w:sz w:val="20"/>
          <w:szCs w:val="18"/>
        </w:rPr>
        <w:t>Predictive value of FRα level on PFS per BICR – ITT Population</w:t>
      </w:r>
      <w:bookmarkEnd w:id="45"/>
      <w:r w:rsidR="005A7959" w:rsidRPr="00F10893">
        <w:rPr>
          <w:rFonts w:ascii="Arial Narrow" w:hAnsi="Arial Narrow"/>
          <w:b/>
          <w:iCs/>
          <w:sz w:val="20"/>
          <w:szCs w:val="18"/>
        </w:rPr>
        <w:t xml:space="preserve"> (December 2019 data)</w:t>
      </w:r>
    </w:p>
    <w:tbl>
      <w:tblPr>
        <w:tblStyle w:val="ACE"/>
        <w:tblW w:w="5000" w:type="pct"/>
        <w:tblCellMar>
          <w:left w:w="28" w:type="dxa"/>
          <w:right w:w="28" w:type="dxa"/>
        </w:tblCellMar>
        <w:tblLook w:val="04A0" w:firstRow="1" w:lastRow="0" w:firstColumn="1" w:lastColumn="0" w:noHBand="0" w:noVBand="1"/>
      </w:tblPr>
      <w:tblGrid>
        <w:gridCol w:w="1468"/>
        <w:gridCol w:w="853"/>
        <w:gridCol w:w="1147"/>
        <w:gridCol w:w="1318"/>
        <w:gridCol w:w="750"/>
        <w:gridCol w:w="1145"/>
        <w:gridCol w:w="1322"/>
        <w:gridCol w:w="1013"/>
      </w:tblGrid>
      <w:tr w:rsidR="00631C87" w:rsidRPr="00F10893" w14:paraId="25161B66" w14:textId="77777777" w:rsidTr="00631C87">
        <w:trPr>
          <w:cnfStyle w:val="100000000000" w:firstRow="1" w:lastRow="0" w:firstColumn="0" w:lastColumn="0" w:oddVBand="0" w:evenVBand="0" w:oddHBand="0" w:evenHBand="0" w:firstRowFirstColumn="0" w:firstRowLastColumn="0" w:lastRowFirstColumn="0" w:lastRowLastColumn="0"/>
          <w:tblHeader/>
        </w:trPr>
        <w:tc>
          <w:tcPr>
            <w:tcW w:w="814" w:type="pct"/>
            <w:tcBorders>
              <w:top w:val="single" w:sz="4" w:space="0" w:color="auto"/>
              <w:bottom w:val="single" w:sz="4" w:space="0" w:color="auto"/>
              <w:right w:val="single" w:sz="4" w:space="0" w:color="auto"/>
            </w:tcBorders>
            <w:shd w:val="clear" w:color="auto" w:fill="auto"/>
          </w:tcPr>
          <w:p w14:paraId="1A2C8464" w14:textId="77777777" w:rsidR="00631C87" w:rsidRPr="00F10893" w:rsidRDefault="00631C87" w:rsidP="005A7959">
            <w:pPr>
              <w:spacing w:before="0"/>
              <w:jc w:val="left"/>
              <w:rPr>
                <w:rFonts w:ascii="Arial Narrow" w:hAnsi="Arial Narrow" w:cs="Calibri"/>
                <w:bCs/>
                <w:sz w:val="20"/>
                <w:szCs w:val="18"/>
                <w:lang w:val="en-AU"/>
              </w:rPr>
            </w:pPr>
          </w:p>
        </w:tc>
        <w:tc>
          <w:tcPr>
            <w:tcW w:w="1840" w:type="pct"/>
            <w:gridSpan w:val="3"/>
            <w:tcBorders>
              <w:top w:val="single" w:sz="4" w:space="0" w:color="auto"/>
              <w:left w:val="single" w:sz="4" w:space="0" w:color="auto"/>
              <w:bottom w:val="single" w:sz="4" w:space="0" w:color="auto"/>
              <w:right w:val="single" w:sz="4" w:space="0" w:color="auto"/>
            </w:tcBorders>
            <w:shd w:val="clear" w:color="auto" w:fill="auto"/>
          </w:tcPr>
          <w:p w14:paraId="38DFA886" w14:textId="77777777" w:rsidR="00631C87" w:rsidRPr="00F10893" w:rsidRDefault="00631C87" w:rsidP="005A7959">
            <w:pPr>
              <w:spacing w:before="0"/>
              <w:jc w:val="left"/>
              <w:rPr>
                <w:rFonts w:ascii="Arial Narrow" w:hAnsi="Arial Narrow" w:cs="Calibri"/>
                <w:bCs/>
                <w:kern w:val="24"/>
                <w:sz w:val="20"/>
                <w:szCs w:val="18"/>
                <w:lang w:val="en-AU"/>
              </w:rPr>
            </w:pPr>
            <w:r w:rsidRPr="00F10893">
              <w:rPr>
                <w:rFonts w:ascii="Arial Narrow" w:hAnsi="Arial Narrow" w:cs="Calibri"/>
                <w:bCs/>
                <w:kern w:val="24"/>
                <w:sz w:val="20"/>
                <w:szCs w:val="18"/>
                <w:lang w:val="en-AU"/>
              </w:rPr>
              <w:t>MIRV</w:t>
            </w:r>
          </w:p>
        </w:tc>
        <w:tc>
          <w:tcPr>
            <w:tcW w:w="1784" w:type="pct"/>
            <w:gridSpan w:val="3"/>
            <w:tcBorders>
              <w:top w:val="single" w:sz="4" w:space="0" w:color="auto"/>
              <w:left w:val="single" w:sz="4" w:space="0" w:color="auto"/>
              <w:bottom w:val="single" w:sz="4" w:space="0" w:color="auto"/>
              <w:right w:val="single" w:sz="4" w:space="0" w:color="auto"/>
            </w:tcBorders>
            <w:shd w:val="clear" w:color="auto" w:fill="auto"/>
          </w:tcPr>
          <w:p w14:paraId="7750FF5B" w14:textId="77777777" w:rsidR="00631C87" w:rsidRPr="00F10893" w:rsidRDefault="00631C87" w:rsidP="005A7959">
            <w:pPr>
              <w:spacing w:before="0"/>
              <w:jc w:val="left"/>
              <w:rPr>
                <w:rFonts w:ascii="Arial Narrow" w:hAnsi="Arial Narrow" w:cs="Calibri"/>
                <w:bCs/>
                <w:sz w:val="20"/>
                <w:szCs w:val="18"/>
                <w:lang w:val="en-AU"/>
              </w:rPr>
            </w:pPr>
            <w:r w:rsidRPr="00F10893">
              <w:rPr>
                <w:rFonts w:ascii="Arial Narrow" w:hAnsi="Arial Narrow" w:cs="Calibri"/>
                <w:bCs/>
                <w:sz w:val="20"/>
                <w:szCs w:val="18"/>
                <w:lang w:val="en-AU"/>
              </w:rPr>
              <w:t>ICC</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4AE9F885" w14:textId="77777777" w:rsidR="00631C87" w:rsidRPr="00F10893" w:rsidRDefault="00631C87" w:rsidP="005A7959">
            <w:pPr>
              <w:spacing w:before="0"/>
              <w:jc w:val="left"/>
              <w:rPr>
                <w:rFonts w:ascii="Arial Narrow" w:hAnsi="Arial Narrow" w:cs="Calibri"/>
                <w:b w:val="0"/>
                <w:sz w:val="20"/>
                <w:szCs w:val="18"/>
                <w:lang w:val="en-AU"/>
              </w:rPr>
            </w:pPr>
          </w:p>
        </w:tc>
      </w:tr>
      <w:tr w:rsidR="00631C87" w:rsidRPr="00F10893" w14:paraId="5C9BB56F" w14:textId="77777777" w:rsidTr="00631C87">
        <w:trPr>
          <w:cnfStyle w:val="100000000000" w:firstRow="1" w:lastRow="0" w:firstColumn="0" w:lastColumn="0" w:oddVBand="0" w:evenVBand="0" w:oddHBand="0" w:evenHBand="0" w:firstRowFirstColumn="0" w:firstRowLastColumn="0" w:lastRowFirstColumn="0" w:lastRowLastColumn="0"/>
          <w:tblHeader/>
        </w:trPr>
        <w:tc>
          <w:tcPr>
            <w:tcW w:w="814" w:type="pct"/>
            <w:tcBorders>
              <w:top w:val="single" w:sz="4" w:space="0" w:color="auto"/>
              <w:bottom w:val="single" w:sz="4" w:space="0" w:color="auto"/>
              <w:right w:val="single" w:sz="4" w:space="0" w:color="auto"/>
            </w:tcBorders>
            <w:shd w:val="clear" w:color="auto" w:fill="auto"/>
          </w:tcPr>
          <w:p w14:paraId="5C25EC33"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Type of Analysis FRα Level</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5E339B1"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9291AFB" w14:textId="77777777" w:rsidR="00631C87" w:rsidRPr="00F10893" w:rsidRDefault="00631C87" w:rsidP="005A7959">
            <w:pPr>
              <w:spacing w:before="0"/>
              <w:jc w:val="left"/>
              <w:rPr>
                <w:rFonts w:ascii="Arial Narrow" w:eastAsia="Times New Roman" w:hAnsi="Arial Narrow" w:cs="Times New Roman"/>
                <w:sz w:val="20"/>
                <w:szCs w:val="18"/>
                <w:lang w:val="en-AU"/>
              </w:rPr>
            </w:pPr>
            <w:r w:rsidRPr="00F10893">
              <w:rPr>
                <w:rFonts w:ascii="Arial Narrow" w:eastAsia="Times New Roman" w:hAnsi="Arial Narrow" w:cs="Times New Roman"/>
                <w:sz w:val="20"/>
                <w:szCs w:val="18"/>
                <w:lang w:val="en-AU"/>
              </w:rPr>
              <w:t>Events (%)</w:t>
            </w: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68FD0DA9"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Median (95% CI) (Months)</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F01FD9C"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N</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A6B351F"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Events (%)</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1DE1ABDF"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Median (95% CI) (Months)</w:t>
            </w:r>
          </w:p>
        </w:tc>
        <w:tc>
          <w:tcPr>
            <w:tcW w:w="562" w:type="pct"/>
            <w:tcBorders>
              <w:top w:val="single" w:sz="4" w:space="0" w:color="auto"/>
              <w:left w:val="single" w:sz="4" w:space="0" w:color="auto"/>
              <w:bottom w:val="single" w:sz="4" w:space="0" w:color="auto"/>
              <w:right w:val="single" w:sz="4" w:space="0" w:color="auto"/>
            </w:tcBorders>
            <w:shd w:val="clear" w:color="auto" w:fill="auto"/>
          </w:tcPr>
          <w:p w14:paraId="758B5A08" w14:textId="77777777" w:rsidR="00631C87" w:rsidRPr="00F10893" w:rsidRDefault="00631C87" w:rsidP="005A7959">
            <w:pPr>
              <w:spacing w:before="0"/>
              <w:jc w:val="left"/>
              <w:rPr>
                <w:rFonts w:ascii="Arial Narrow" w:hAnsi="Arial Narrow"/>
                <w:sz w:val="20"/>
                <w:szCs w:val="18"/>
                <w:lang w:val="en-AU"/>
              </w:rPr>
            </w:pPr>
            <w:r w:rsidRPr="00F10893">
              <w:rPr>
                <w:rFonts w:ascii="Arial Narrow" w:hAnsi="Arial Narrow"/>
                <w:sz w:val="20"/>
                <w:szCs w:val="18"/>
                <w:lang w:val="en-AU"/>
              </w:rPr>
              <w:t>HR (95% CI)</w:t>
            </w:r>
          </w:p>
        </w:tc>
      </w:tr>
      <w:tr w:rsidR="00631C87" w:rsidRPr="00F10893" w14:paraId="21A9249D" w14:textId="77777777" w:rsidTr="00631C87">
        <w:tc>
          <w:tcPr>
            <w:tcW w:w="814" w:type="pct"/>
            <w:hideMark/>
          </w:tcPr>
          <w:p w14:paraId="5C8C543D" w14:textId="77777777" w:rsidR="00631C87" w:rsidRPr="00F10893" w:rsidRDefault="00631C87" w:rsidP="005A7959">
            <w:pPr>
              <w:keepNext/>
              <w:spacing w:before="0"/>
              <w:rPr>
                <w:rFonts w:ascii="Arial Narrow" w:hAnsi="Arial Narrow" w:cs="Calibri"/>
                <w:sz w:val="20"/>
                <w:lang w:val="en-AU"/>
              </w:rPr>
            </w:pPr>
            <w:r w:rsidRPr="00F10893">
              <w:rPr>
                <w:rFonts w:ascii="Arial Narrow" w:hAnsi="Arial Narrow" w:cs="Calibri"/>
                <w:sz w:val="20"/>
                <w:lang w:val="en-AU"/>
              </w:rPr>
              <w:t>FRα-high</w:t>
            </w:r>
            <w:r w:rsidRPr="00F10893">
              <w:rPr>
                <w:rFonts w:ascii="Arial Narrow" w:hAnsi="Arial Narrow" w:cs="Calibri"/>
                <w:sz w:val="20"/>
                <w:vertAlign w:val="superscript"/>
                <w:lang w:val="en-AU"/>
              </w:rPr>
              <w:t>a</w:t>
            </w:r>
          </w:p>
        </w:tc>
        <w:tc>
          <w:tcPr>
            <w:tcW w:w="473" w:type="pct"/>
          </w:tcPr>
          <w:p w14:paraId="0E889E1A"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147</w:t>
            </w:r>
          </w:p>
        </w:tc>
        <w:tc>
          <w:tcPr>
            <w:tcW w:w="636" w:type="pct"/>
          </w:tcPr>
          <w:p w14:paraId="2A25FB2D"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 xml:space="preserve">93 (63) </w:t>
            </w:r>
          </w:p>
        </w:tc>
        <w:tc>
          <w:tcPr>
            <w:tcW w:w="731" w:type="pct"/>
          </w:tcPr>
          <w:p w14:paraId="0E21BBE0"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4.8 (4.11, 5.68)</w:t>
            </w:r>
          </w:p>
        </w:tc>
        <w:tc>
          <w:tcPr>
            <w:tcW w:w="416" w:type="pct"/>
          </w:tcPr>
          <w:p w14:paraId="3F3141A3"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71</w:t>
            </w:r>
          </w:p>
        </w:tc>
        <w:tc>
          <w:tcPr>
            <w:tcW w:w="635" w:type="pct"/>
          </w:tcPr>
          <w:p w14:paraId="5FAFEC12"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 xml:space="preserve">45 (63) </w:t>
            </w:r>
          </w:p>
        </w:tc>
        <w:tc>
          <w:tcPr>
            <w:tcW w:w="733" w:type="pct"/>
          </w:tcPr>
          <w:p w14:paraId="7B0050EB"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3.3 (1.97, 5.59)</w:t>
            </w:r>
          </w:p>
        </w:tc>
        <w:tc>
          <w:tcPr>
            <w:tcW w:w="562" w:type="pct"/>
          </w:tcPr>
          <w:p w14:paraId="562D342A"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0.69</w:t>
            </w:r>
            <w:r w:rsidRPr="00F10893">
              <w:rPr>
                <w:rFonts w:ascii="Arial Narrow" w:hAnsi="Arial Narrow" w:cs="Calibri"/>
                <w:sz w:val="20"/>
                <w:lang w:val="en-AU"/>
              </w:rPr>
              <w:br/>
              <w:t>(0.48, 0.98)</w:t>
            </w:r>
          </w:p>
        </w:tc>
      </w:tr>
      <w:tr w:rsidR="00631C87" w:rsidRPr="00F10893" w14:paraId="1C725FCE" w14:textId="77777777" w:rsidTr="00631C87">
        <w:tc>
          <w:tcPr>
            <w:tcW w:w="814" w:type="pct"/>
          </w:tcPr>
          <w:p w14:paraId="70EE54F4" w14:textId="77777777" w:rsidR="00631C87" w:rsidRPr="00F10893" w:rsidRDefault="00631C87" w:rsidP="005A7959">
            <w:pPr>
              <w:keepNext/>
              <w:spacing w:before="0"/>
              <w:rPr>
                <w:rFonts w:ascii="Arial Narrow" w:hAnsi="Arial Narrow"/>
                <w:sz w:val="20"/>
                <w:lang w:val="en-AU"/>
              </w:rPr>
            </w:pPr>
            <w:r w:rsidRPr="00F10893">
              <w:rPr>
                <w:rFonts w:ascii="Arial Narrow" w:hAnsi="Arial Narrow"/>
                <w:sz w:val="20"/>
                <w:lang w:val="en-AU"/>
              </w:rPr>
              <w:t>FRα-medium</w:t>
            </w:r>
            <w:r w:rsidRPr="00F10893">
              <w:rPr>
                <w:rFonts w:ascii="Arial Narrow" w:hAnsi="Arial Narrow"/>
                <w:sz w:val="20"/>
                <w:vertAlign w:val="superscript"/>
                <w:lang w:val="en-AU"/>
              </w:rPr>
              <w:t>a</w:t>
            </w:r>
          </w:p>
        </w:tc>
        <w:tc>
          <w:tcPr>
            <w:tcW w:w="473" w:type="pct"/>
            <w:tcBorders>
              <w:bottom w:val="single" w:sz="4" w:space="0" w:color="auto"/>
            </w:tcBorders>
          </w:tcPr>
          <w:p w14:paraId="023DFE25"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101</w:t>
            </w:r>
          </w:p>
        </w:tc>
        <w:tc>
          <w:tcPr>
            <w:tcW w:w="636" w:type="pct"/>
            <w:tcBorders>
              <w:bottom w:val="single" w:sz="4" w:space="0" w:color="auto"/>
            </w:tcBorders>
          </w:tcPr>
          <w:p w14:paraId="1F4B7B54"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81 (80)</w:t>
            </w:r>
          </w:p>
        </w:tc>
        <w:tc>
          <w:tcPr>
            <w:tcW w:w="731" w:type="pct"/>
            <w:tcBorders>
              <w:bottom w:val="single" w:sz="4" w:space="0" w:color="auto"/>
            </w:tcBorders>
          </w:tcPr>
          <w:p w14:paraId="2DC70D9A"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2.9 (2.76, 4.14)</w:t>
            </w:r>
          </w:p>
        </w:tc>
        <w:tc>
          <w:tcPr>
            <w:tcW w:w="416" w:type="pct"/>
            <w:tcBorders>
              <w:bottom w:val="single" w:sz="4" w:space="0" w:color="auto"/>
            </w:tcBorders>
          </w:tcPr>
          <w:p w14:paraId="48618D62"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46</w:t>
            </w:r>
          </w:p>
        </w:tc>
        <w:tc>
          <w:tcPr>
            <w:tcW w:w="635" w:type="pct"/>
            <w:tcBorders>
              <w:bottom w:val="single" w:sz="4" w:space="0" w:color="auto"/>
            </w:tcBorders>
          </w:tcPr>
          <w:p w14:paraId="6179CA88"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25 (54)</w:t>
            </w:r>
          </w:p>
        </w:tc>
        <w:tc>
          <w:tcPr>
            <w:tcW w:w="733" w:type="pct"/>
            <w:tcBorders>
              <w:bottom w:val="single" w:sz="4" w:space="0" w:color="auto"/>
            </w:tcBorders>
          </w:tcPr>
          <w:p w14:paraId="185BACC2" w14:textId="77777777"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5.6 (2.73, 8.34)</w:t>
            </w:r>
          </w:p>
        </w:tc>
        <w:tc>
          <w:tcPr>
            <w:tcW w:w="562" w:type="pct"/>
          </w:tcPr>
          <w:p w14:paraId="0FFF50CB" w14:textId="737C8C23" w:rsidR="00631C87" w:rsidRPr="00F10893" w:rsidRDefault="00631C87" w:rsidP="005A7959">
            <w:pPr>
              <w:keepNext/>
              <w:spacing w:before="0"/>
              <w:jc w:val="center"/>
              <w:rPr>
                <w:rFonts w:ascii="Arial Narrow" w:hAnsi="Arial Narrow" w:cs="Calibri"/>
                <w:sz w:val="20"/>
                <w:lang w:val="en-AU"/>
              </w:rPr>
            </w:pPr>
            <w:r w:rsidRPr="00F10893">
              <w:rPr>
                <w:rFonts w:ascii="Arial Narrow" w:hAnsi="Arial Narrow" w:cs="Calibri"/>
                <w:sz w:val="20"/>
                <w:lang w:val="en-AU"/>
              </w:rPr>
              <w:t>1.56</w:t>
            </w:r>
            <w:r w:rsidRPr="00F10893">
              <w:rPr>
                <w:rFonts w:ascii="Arial Narrow" w:hAnsi="Arial Narrow" w:cs="Calibri"/>
                <w:sz w:val="20"/>
                <w:lang w:val="en-AU"/>
              </w:rPr>
              <w:br/>
              <w:t>(0.99, 2.45)</w:t>
            </w:r>
          </w:p>
        </w:tc>
      </w:tr>
      <w:tr w:rsidR="00557849" w:rsidRPr="00F10893" w14:paraId="3B31FC02" w14:textId="77777777" w:rsidTr="00557849">
        <w:tc>
          <w:tcPr>
            <w:tcW w:w="814" w:type="pct"/>
          </w:tcPr>
          <w:p w14:paraId="69B4A175" w14:textId="3AAB6EA8" w:rsidR="00557849" w:rsidRPr="00F10893" w:rsidRDefault="00557849" w:rsidP="005A7959">
            <w:pPr>
              <w:keepNext/>
              <w:spacing w:before="0"/>
              <w:rPr>
                <w:rFonts w:ascii="Arial Narrow" w:hAnsi="Arial Narrow"/>
                <w:sz w:val="20"/>
                <w:lang w:val="en-AU"/>
              </w:rPr>
            </w:pPr>
            <w:r w:rsidRPr="00F10893">
              <w:rPr>
                <w:rFonts w:ascii="Arial Narrow" w:hAnsi="Arial Narrow"/>
                <w:sz w:val="20"/>
                <w:lang w:val="en-AU"/>
              </w:rPr>
              <w:t>Interaction</w:t>
            </w:r>
            <w:r w:rsidRPr="00F10893">
              <w:rPr>
                <w:rFonts w:ascii="Arial Narrow" w:hAnsi="Arial Narrow"/>
                <w:sz w:val="20"/>
                <w:vertAlign w:val="superscript"/>
                <w:lang w:val="en-AU"/>
              </w:rPr>
              <w:t>b</w:t>
            </w:r>
          </w:p>
        </w:tc>
        <w:tc>
          <w:tcPr>
            <w:tcW w:w="3624" w:type="pct"/>
            <w:gridSpan w:val="6"/>
            <w:tcBorders>
              <w:bottom w:val="single" w:sz="4" w:space="0" w:color="auto"/>
            </w:tcBorders>
          </w:tcPr>
          <w:p w14:paraId="02D934C9" w14:textId="77777777" w:rsidR="00557849" w:rsidRPr="00F10893" w:rsidRDefault="00557849" w:rsidP="005A7959">
            <w:pPr>
              <w:keepNext/>
              <w:spacing w:before="0"/>
              <w:jc w:val="center"/>
              <w:rPr>
                <w:rFonts w:ascii="Arial Narrow" w:hAnsi="Arial Narrow" w:cs="Calibri"/>
                <w:sz w:val="20"/>
                <w:lang w:val="en-AU"/>
              </w:rPr>
            </w:pPr>
          </w:p>
        </w:tc>
        <w:tc>
          <w:tcPr>
            <w:tcW w:w="562" w:type="pct"/>
          </w:tcPr>
          <w:p w14:paraId="665B8998" w14:textId="077EBDE7" w:rsidR="00557849" w:rsidRPr="00F10893" w:rsidRDefault="00557849" w:rsidP="00557849">
            <w:pPr>
              <w:keepNext/>
              <w:spacing w:before="0"/>
              <w:ind w:left="-144" w:right="-144"/>
              <w:jc w:val="center"/>
              <w:rPr>
                <w:rFonts w:ascii="Arial Narrow" w:hAnsi="Arial Narrow" w:cs="Calibri"/>
                <w:b/>
                <w:sz w:val="20"/>
                <w:lang w:val="en-AU"/>
              </w:rPr>
            </w:pPr>
            <w:r w:rsidRPr="00F10893">
              <w:rPr>
                <w:rFonts w:ascii="Arial Narrow" w:hAnsi="Arial Narrow" w:cs="Calibri"/>
                <w:b/>
                <w:sz w:val="20"/>
                <w:lang w:val="en-AU"/>
              </w:rPr>
              <w:t>0.4</w:t>
            </w:r>
          </w:p>
          <w:p w14:paraId="60BA66E1" w14:textId="77777777" w:rsidR="00557849" w:rsidRPr="00F10893" w:rsidRDefault="00557849" w:rsidP="00557849">
            <w:pPr>
              <w:keepNext/>
              <w:spacing w:before="0"/>
              <w:ind w:left="-144" w:right="-144"/>
              <w:jc w:val="center"/>
              <w:rPr>
                <w:rFonts w:ascii="Arial Narrow" w:hAnsi="Arial Narrow" w:cs="Calibri"/>
                <w:b/>
                <w:sz w:val="20"/>
                <w:lang w:val="en-AU"/>
              </w:rPr>
            </w:pPr>
            <w:r w:rsidRPr="00F10893">
              <w:rPr>
                <w:rFonts w:ascii="Arial Narrow" w:hAnsi="Arial Narrow" w:cs="Calibri"/>
                <w:b/>
                <w:sz w:val="20"/>
                <w:lang w:val="en-AU"/>
              </w:rPr>
              <w:t>(0.24, 0.76)</w:t>
            </w:r>
          </w:p>
          <w:p w14:paraId="61CAC69A" w14:textId="6A09BDB2" w:rsidR="00557849" w:rsidRPr="00F10893" w:rsidRDefault="00557849" w:rsidP="00557849">
            <w:pPr>
              <w:keepNext/>
              <w:spacing w:before="0"/>
              <w:ind w:left="-144" w:right="-144"/>
              <w:jc w:val="center"/>
              <w:rPr>
                <w:rFonts w:ascii="Arial Narrow" w:hAnsi="Arial Narrow" w:cs="Calibri"/>
                <w:sz w:val="20"/>
                <w:lang w:val="en-AU"/>
              </w:rPr>
            </w:pPr>
            <w:r w:rsidRPr="00F10893">
              <w:rPr>
                <w:rFonts w:ascii="Arial Narrow" w:hAnsi="Arial Narrow" w:cs="Calibri"/>
                <w:b/>
                <w:sz w:val="20"/>
                <w:lang w:val="en-AU"/>
              </w:rPr>
              <w:t>p=0.004</w:t>
            </w:r>
          </w:p>
        </w:tc>
      </w:tr>
    </w:tbl>
    <w:p w14:paraId="667DADF3"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Source: Table 32: Predictive Value of FRα Level on Progression-free Survival per BIRC – ITT Population, p117, FORWARD-I CSR. </w:t>
      </w:r>
    </w:p>
    <w:p w14:paraId="7E872415" w14:textId="13E7E6A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BICR= blinded independent central review; CI= confidence interval; FRα= folate receptor alpha; HR= hazard ratio; ICC= investigator’s choice of chemotherapy; ITT= intent to treat; MIRV= mirvetuximab soravtansine; </w:t>
      </w:r>
      <w:r w:rsidR="00E56B64" w:rsidRPr="00F10893">
        <w:rPr>
          <w:rFonts w:ascii="Arial Narrow" w:eastAsia="Times New Roman" w:hAnsi="Arial Narrow" w:cs="Arial"/>
          <w:snapToGrid w:val="0"/>
          <w:sz w:val="18"/>
          <w:lang w:eastAsia="en-AU"/>
        </w:rPr>
        <w:t xml:space="preserve">N=number of subjects; </w:t>
      </w:r>
      <w:r w:rsidRPr="00F10893">
        <w:rPr>
          <w:rFonts w:ascii="Arial Narrow" w:eastAsia="Times New Roman" w:hAnsi="Arial Narrow" w:cs="Arial"/>
          <w:snapToGrid w:val="0"/>
          <w:sz w:val="18"/>
          <w:lang w:eastAsia="en-AU"/>
        </w:rPr>
        <w:t>PFS= progression-free survival.</w:t>
      </w:r>
    </w:p>
    <w:p w14:paraId="21802D8C"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a</w:t>
      </w:r>
      <w:r w:rsidRPr="00F10893">
        <w:rPr>
          <w:rFonts w:ascii="Arial Narrow" w:eastAsia="Times New Roman" w:hAnsi="Arial Narrow" w:cs="Arial"/>
          <w:snapToGrid w:val="0"/>
          <w:sz w:val="18"/>
          <w:lang w:eastAsia="en-AU"/>
        </w:rPr>
        <w:t xml:space="preserve"> Hazard ratio is MIRV to ICC within each subgroup (high or medium). A hazard ratio &lt; 1 indicates a reduction in hazard rate in favour of MIRV.</w:t>
      </w:r>
    </w:p>
    <w:p w14:paraId="4D600756" w14:textId="77777777" w:rsidR="005A7959" w:rsidRPr="00F10893" w:rsidRDefault="005A7959" w:rsidP="005A7959">
      <w:pPr>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vertAlign w:val="superscript"/>
          <w:lang w:eastAsia="en-AU"/>
        </w:rPr>
        <w:t>b</w:t>
      </w:r>
      <w:r w:rsidRPr="00F10893">
        <w:rPr>
          <w:rFonts w:ascii="Arial Narrow" w:eastAsia="Times New Roman" w:hAnsi="Arial Narrow" w:cs="Arial"/>
          <w:snapToGrid w:val="0"/>
          <w:sz w:val="18"/>
          <w:lang w:eastAsia="en-AU"/>
        </w:rPr>
        <w:t xml:space="preserve"> Hazard ratio is for interaction between treatment group and FRα subgroup.</w:t>
      </w:r>
    </w:p>
    <w:p w14:paraId="39992F57" w14:textId="77777777" w:rsidR="003D3E6A" w:rsidRPr="000B0472" w:rsidRDefault="003D3E6A" w:rsidP="000B0472">
      <w:pPr>
        <w:pStyle w:val="Heading4"/>
        <w:tabs>
          <w:tab w:val="left" w:pos="851"/>
        </w:tabs>
        <w:spacing w:before="360" w:after="200" w:line="240" w:lineRule="auto"/>
        <w:rPr>
          <w:rFonts w:ascii="Franklin Gothic Medium" w:hAnsi="Franklin Gothic Medium"/>
          <w:b w:val="0"/>
          <w:i/>
          <w:color w:val="auto"/>
          <w:szCs w:val="24"/>
        </w:rPr>
      </w:pPr>
      <w:r w:rsidRPr="000B0472">
        <w:rPr>
          <w:rFonts w:ascii="Franklin Gothic Medium" w:hAnsi="Franklin Gothic Medium"/>
          <w:b w:val="0"/>
          <w:i/>
          <w:color w:val="auto"/>
          <w:szCs w:val="24"/>
        </w:rPr>
        <w:t>Change in management in practice</w:t>
      </w:r>
    </w:p>
    <w:p w14:paraId="7FCCCE25" w14:textId="05F48740" w:rsidR="005A7959" w:rsidRPr="005F1012" w:rsidRDefault="005A7959" w:rsidP="005A7959">
      <w:pPr>
        <w:rPr>
          <w:rFonts w:ascii="Franklin Gothic Book" w:hAnsi="Franklin Gothic Book"/>
          <w:sz w:val="22"/>
          <w:highlight w:val="lightGray"/>
        </w:rPr>
      </w:pPr>
      <w:r w:rsidRPr="005F1012">
        <w:rPr>
          <w:rFonts w:ascii="Franklin Gothic Book" w:hAnsi="Franklin Gothic Book"/>
          <w:sz w:val="22"/>
        </w:rPr>
        <w:t>The submission did not present any clinical evidence to inform change in clinical management. FRα expression testing and treatment options targeting this biomarker are new to the EOC treatment algorithm. The published literature regarding use in practice is limited to clinical trial results. The MIRV clinical trials enrolled only biomarker positive patients which limits examination of FRα negative patients. Overall, the commentary considered that no definitive conclusions could be drawn regarding the likely change in management once FRα testing becomes available.</w:t>
      </w:r>
    </w:p>
    <w:p w14:paraId="3E352568" w14:textId="77777777" w:rsidR="00606F1F" w:rsidRPr="000B0472" w:rsidRDefault="00EE5014" w:rsidP="000B0472">
      <w:pPr>
        <w:pStyle w:val="Heading4"/>
        <w:tabs>
          <w:tab w:val="left" w:pos="851"/>
        </w:tabs>
        <w:spacing w:before="360" w:after="200" w:line="240" w:lineRule="auto"/>
        <w:rPr>
          <w:rFonts w:ascii="Franklin Gothic Medium" w:hAnsi="Franklin Gothic Medium"/>
          <w:b w:val="0"/>
          <w:i/>
          <w:color w:val="auto"/>
          <w:szCs w:val="24"/>
        </w:rPr>
      </w:pPr>
      <w:r w:rsidRPr="000B0472">
        <w:rPr>
          <w:rFonts w:ascii="Franklin Gothic Medium" w:hAnsi="Franklin Gothic Medium"/>
          <w:b w:val="0"/>
          <w:i/>
          <w:color w:val="auto"/>
          <w:szCs w:val="24"/>
        </w:rPr>
        <w:t>Claim of codependence</w:t>
      </w:r>
    </w:p>
    <w:p w14:paraId="35D83FA0" w14:textId="461069CE" w:rsidR="00B3588D" w:rsidRPr="00225130" w:rsidRDefault="00B3588D" w:rsidP="00B3588D">
      <w:pPr>
        <w:rPr>
          <w:rFonts w:ascii="Franklin Gothic Book" w:hAnsi="Franklin Gothic Book"/>
          <w:sz w:val="22"/>
        </w:rPr>
      </w:pPr>
      <w:r w:rsidRPr="00225130">
        <w:rPr>
          <w:rFonts w:ascii="Franklin Gothic Book" w:hAnsi="Franklin Gothic Book"/>
          <w:sz w:val="22"/>
        </w:rPr>
        <w:t xml:space="preserve">The commentary noted that the FORWARD-I trial results showed a difference in outcomes between the whole trial population and the FRα-high (≥75% using the PS2+ scoring method i.e. ≥75% of viable tumour cells with moderate [2+] or strong [3+] staining) subgroup, however the clearest difference was observed on comparison of the FRα-high and FRα-medium (from 50% to &lt;75%, using the PS2+ method) subgroups. For PFS, the prespecified analyses gave HRs for FRα-high of 0.693 (95% CI 0.480, 1.000) (p=0.049) versus 1.560 (95% CI 0.976, 2.492) (p=0.061) for FRα-medium </w:t>
      </w:r>
      <w:r w:rsidR="00B901BF" w:rsidRPr="00225130">
        <w:rPr>
          <w:rFonts w:ascii="Franklin Gothic Book" w:hAnsi="Franklin Gothic Book"/>
          <w:sz w:val="22"/>
        </w:rPr>
        <w:fldChar w:fldCharType="begin"/>
      </w:r>
      <w:r w:rsidR="00B901BF" w:rsidRPr="00225130">
        <w:rPr>
          <w:rFonts w:ascii="Franklin Gothic Book" w:hAnsi="Franklin Gothic Book"/>
          <w:sz w:val="22"/>
        </w:rPr>
        <w:instrText xml:space="preserve"> REF _Ref198715263 \h </w:instrText>
      </w:r>
      <w:r w:rsidR="00225130">
        <w:rPr>
          <w:rFonts w:ascii="Franklin Gothic Book" w:hAnsi="Franklin Gothic Book"/>
          <w:sz w:val="22"/>
        </w:rPr>
        <w:instrText xml:space="preserve"> \* MERGEFORMAT </w:instrText>
      </w:r>
      <w:r w:rsidR="00B901BF" w:rsidRPr="00225130">
        <w:rPr>
          <w:rFonts w:ascii="Franklin Gothic Book" w:hAnsi="Franklin Gothic Book"/>
          <w:sz w:val="22"/>
        </w:rPr>
      </w:r>
      <w:r w:rsidR="00B901BF" w:rsidRPr="00225130">
        <w:rPr>
          <w:rFonts w:ascii="Franklin Gothic Book" w:hAnsi="Franklin Gothic Book"/>
          <w:sz w:val="22"/>
        </w:rPr>
        <w:fldChar w:fldCharType="separate"/>
      </w:r>
      <w:r w:rsidR="00B901BF" w:rsidRPr="00225130">
        <w:rPr>
          <w:rFonts w:ascii="Franklin Gothic Book" w:hAnsi="Franklin Gothic Book"/>
          <w:sz w:val="22"/>
        </w:rPr>
        <w:t>Table 17</w:t>
      </w:r>
      <w:r w:rsidR="00B901BF" w:rsidRPr="00225130">
        <w:rPr>
          <w:rFonts w:ascii="Franklin Gothic Book" w:hAnsi="Franklin Gothic Book"/>
          <w:sz w:val="22"/>
        </w:rPr>
        <w:fldChar w:fldCharType="end"/>
      </w:r>
      <w:r w:rsidRPr="00225130">
        <w:rPr>
          <w:rFonts w:ascii="Franklin Gothic Book" w:hAnsi="Franklin Gothic Book"/>
          <w:sz w:val="22"/>
        </w:rPr>
        <w:t>. The HR for the FRα-high group, though not statistically significant, was described in the CSR as ‘a clinically meaningful advantage’. The FRα-medium group, in comparison, indicated patients on MIRV did worse than those receiving ICC. Values for OS were similar (</w:t>
      </w:r>
      <w:r w:rsidR="0031791D" w:rsidRPr="00225130">
        <w:rPr>
          <w:rFonts w:ascii="Franklin Gothic Book" w:hAnsi="Franklin Gothic Book"/>
          <w:sz w:val="22"/>
        </w:rPr>
        <w:fldChar w:fldCharType="begin"/>
      </w:r>
      <w:r w:rsidR="0031791D" w:rsidRPr="00225130">
        <w:rPr>
          <w:rFonts w:ascii="Franklin Gothic Book" w:hAnsi="Franklin Gothic Book"/>
          <w:sz w:val="22"/>
        </w:rPr>
        <w:instrText xml:space="preserve"> REF _Ref198566517 \h  \* MERGEFORMAT </w:instrText>
      </w:r>
      <w:r w:rsidR="0031791D" w:rsidRPr="00225130">
        <w:rPr>
          <w:rFonts w:ascii="Franklin Gothic Book" w:hAnsi="Franklin Gothic Book"/>
          <w:sz w:val="22"/>
        </w:rPr>
      </w:r>
      <w:r w:rsidR="0031791D" w:rsidRPr="00225130">
        <w:rPr>
          <w:rFonts w:ascii="Franklin Gothic Book" w:hAnsi="Franklin Gothic Book"/>
          <w:sz w:val="22"/>
        </w:rPr>
        <w:fldChar w:fldCharType="separate"/>
      </w:r>
      <w:r w:rsidR="0031791D" w:rsidRPr="00225130">
        <w:rPr>
          <w:rFonts w:ascii="Franklin Gothic Book" w:hAnsi="Franklin Gothic Book"/>
          <w:sz w:val="22"/>
        </w:rPr>
        <w:t>Table 1</w:t>
      </w:r>
      <w:bookmarkStart w:id="46" w:name="_Hlt205881809"/>
      <w:bookmarkStart w:id="47" w:name="_Hlt205881810"/>
      <w:r w:rsidR="0031791D" w:rsidRPr="00225130">
        <w:rPr>
          <w:rFonts w:ascii="Franklin Gothic Book" w:hAnsi="Franklin Gothic Book"/>
          <w:sz w:val="22"/>
        </w:rPr>
        <w:t>8</w:t>
      </w:r>
      <w:bookmarkEnd w:id="46"/>
      <w:bookmarkEnd w:id="47"/>
      <w:r w:rsidR="0031791D" w:rsidRPr="00225130">
        <w:rPr>
          <w:rFonts w:ascii="Franklin Gothic Book" w:hAnsi="Franklin Gothic Book"/>
          <w:sz w:val="22"/>
        </w:rPr>
        <w:fldChar w:fldCharType="end"/>
      </w:r>
      <w:r w:rsidRPr="00225130">
        <w:rPr>
          <w:rFonts w:ascii="Franklin Gothic Book" w:hAnsi="Franklin Gothic Book"/>
          <w:sz w:val="22"/>
        </w:rPr>
        <w:t>). A test for interaction based on a comparison of the PFS results was statistically significant (p-value = 0.004) (</w:t>
      </w:r>
      <w:r w:rsidR="006219BA" w:rsidRPr="00225130">
        <w:rPr>
          <w:rFonts w:ascii="Franklin Gothic Book" w:hAnsi="Franklin Gothic Book"/>
          <w:sz w:val="22"/>
        </w:rPr>
        <w:fldChar w:fldCharType="begin"/>
      </w:r>
      <w:r w:rsidR="006219BA" w:rsidRPr="00225130">
        <w:rPr>
          <w:rFonts w:ascii="Franklin Gothic Book" w:hAnsi="Franklin Gothic Book"/>
          <w:sz w:val="22"/>
        </w:rPr>
        <w:instrText xml:space="preserve"> REF _Ref198566541 \h </w:instrText>
      </w:r>
      <w:r w:rsidR="009B153E" w:rsidRPr="00225130">
        <w:rPr>
          <w:rFonts w:ascii="Franklin Gothic Book" w:hAnsi="Franklin Gothic Book"/>
          <w:sz w:val="22"/>
        </w:rPr>
        <w:instrText xml:space="preserve"> \* MERGEFORMAT </w:instrText>
      </w:r>
      <w:r w:rsidR="006219BA" w:rsidRPr="00225130">
        <w:rPr>
          <w:rFonts w:ascii="Franklin Gothic Book" w:hAnsi="Franklin Gothic Book"/>
          <w:sz w:val="22"/>
        </w:rPr>
      </w:r>
      <w:r w:rsidR="006219BA" w:rsidRPr="00225130">
        <w:rPr>
          <w:rFonts w:ascii="Franklin Gothic Book" w:hAnsi="Franklin Gothic Book"/>
          <w:sz w:val="22"/>
        </w:rPr>
        <w:fldChar w:fldCharType="separate"/>
      </w:r>
      <w:r w:rsidR="006219BA" w:rsidRPr="00225130">
        <w:rPr>
          <w:rFonts w:ascii="Franklin Gothic Book" w:hAnsi="Franklin Gothic Book"/>
          <w:sz w:val="22"/>
        </w:rPr>
        <w:t>Table 19</w:t>
      </w:r>
      <w:r w:rsidR="006219BA" w:rsidRPr="00225130">
        <w:rPr>
          <w:rFonts w:ascii="Franklin Gothic Book" w:hAnsi="Franklin Gothic Book"/>
          <w:sz w:val="22"/>
        </w:rPr>
        <w:fldChar w:fldCharType="end"/>
      </w:r>
      <w:r w:rsidRPr="00225130">
        <w:rPr>
          <w:rFonts w:ascii="Franklin Gothic Book" w:hAnsi="Franklin Gothic Book"/>
          <w:sz w:val="22"/>
        </w:rPr>
        <w:t>). The FRα-high and FRα-medium groups would have each contained patients of similar performance status and prognosis, thus it was considered likely that this treatment effect was related to the FRα expression level. Given the lack of treatment response to MIRV in the FRα-medium subgroup (and the absence of data from patients either unselected for or lacking FRα tumour expression) the evaluation considered this group as a test negative population. This appeared to support the predictive validity of FRα expression as a biomarker as long as the expression level is high using the PS2+ scoring criteria. The ESCs considered FRα expression is critical to identifying patients likely to benefit from MIRV, given the potential for patients without high FRα expression to have worse survival outcomes when treated with MIRV compared to ICC, and in the context of specific safety concerns for MIRV.</w:t>
      </w:r>
    </w:p>
    <w:p w14:paraId="440DAE92" w14:textId="77777777" w:rsidR="00B3588D" w:rsidRPr="00225130" w:rsidRDefault="00B3588D" w:rsidP="00B3588D">
      <w:pPr>
        <w:rPr>
          <w:rFonts w:ascii="Franklin Gothic Book" w:hAnsi="Franklin Gothic Book"/>
          <w:sz w:val="22"/>
        </w:rPr>
      </w:pPr>
      <w:r w:rsidRPr="00225130">
        <w:rPr>
          <w:rFonts w:ascii="Franklin Gothic Book" w:hAnsi="Franklin Gothic Book"/>
          <w:sz w:val="22"/>
        </w:rPr>
        <w:t xml:space="preserve">The commentary considered that the numerical threshold chosen to define high FRα expression was less well supported. The FRα biomarker is an expression-based biomarker based on an endogenous gene rather than an oncogene or a variant-based biomarker. The commentary noted that the submission presented no exploration of the choice of expression ranges used for the low, </w:t>
      </w:r>
      <w:r w:rsidRPr="00225130">
        <w:rPr>
          <w:rFonts w:ascii="Franklin Gothic Book" w:hAnsi="Franklin Gothic Book"/>
          <w:sz w:val="22"/>
        </w:rPr>
        <w:lastRenderedPageBreak/>
        <w:t xml:space="preserve">medium and high FRα expression groups for the post hoc analysis. Only limited data from the FRα-medium subgroup were provided in the submission. No analysis employing (for example) a hierarchical summary receiver operating characteristic (HSROC) curve was presented in the submission (comparing true positive rate versus false positive rate to identify a cutoff value; as indicated in the MSAC Guidelines for such circumstances). </w:t>
      </w:r>
    </w:p>
    <w:p w14:paraId="5BEF01E3" w14:textId="77777777" w:rsidR="00B3588D" w:rsidRPr="00225130" w:rsidRDefault="00B3588D" w:rsidP="00B3588D">
      <w:pPr>
        <w:rPr>
          <w:rFonts w:ascii="Franklin Gothic Book" w:hAnsi="Franklin Gothic Book"/>
          <w:sz w:val="22"/>
        </w:rPr>
      </w:pPr>
      <w:r w:rsidRPr="00225130">
        <w:rPr>
          <w:rFonts w:ascii="Franklin Gothic Book" w:hAnsi="Franklin Gothic Book"/>
          <w:sz w:val="22"/>
        </w:rPr>
        <w:t>The commentary also considered that the chosen threshold of ≥75% FRα expression was based on an assumption that FRα levels remained constant over the EOC disease course which may not be reasonable based on re-testing of archival tissue and testing of fresh biopsy (Martin et al, 2017). The ESCs noted there was limited evidence demonstrating the stability of FRα in archived formalin-fixed paraffin-embedded (FFPE) tissue blocks or tissue microarrays (TMAs) and the stability of FRα expression in disease progression or treatment. However, the ESCs noted recently reported data at a conference</w:t>
      </w:r>
      <w:r w:rsidRPr="007B409C">
        <w:rPr>
          <w:rFonts w:ascii="Franklin Gothic Book" w:hAnsi="Franklin Gothic Book"/>
          <w:sz w:val="22"/>
          <w:vertAlign w:val="superscript"/>
        </w:rPr>
        <w:footnoteReference w:id="11"/>
      </w:r>
      <w:r w:rsidRPr="00225130">
        <w:rPr>
          <w:rFonts w:ascii="Franklin Gothic Book" w:hAnsi="Franklin Gothic Book"/>
          <w:sz w:val="22"/>
        </w:rPr>
        <w:t xml:space="preserve"> that showed high consistency (86%) of FRα IHC status across biopsies taken at different times. The ESCs suggested further research was needed to determine the reliability of archival tissue versus fresh biopsies for FRα IHC testing.</w:t>
      </w:r>
    </w:p>
    <w:p w14:paraId="068B8366" w14:textId="12027391" w:rsidR="00001DE9" w:rsidRPr="00A36EC0" w:rsidRDefault="00EE501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48" w:name="_Toc198721992"/>
      <w:r w:rsidRPr="00A36EC0">
        <w:rPr>
          <w:rFonts w:ascii="Franklin Gothic Medium" w:hAnsi="Franklin Gothic Medium"/>
          <w:b w:val="0"/>
          <w:snapToGrid/>
          <w:color w:val="000000" w:themeColor="text1"/>
          <w:sz w:val="32"/>
          <w:szCs w:val="26"/>
        </w:rPr>
        <w:t xml:space="preserve">Economic </w:t>
      </w:r>
      <w:r w:rsidR="00331A16" w:rsidRPr="00A36EC0">
        <w:rPr>
          <w:rFonts w:ascii="Franklin Gothic Medium" w:hAnsi="Franklin Gothic Medium"/>
          <w:b w:val="0"/>
          <w:snapToGrid/>
          <w:color w:val="000000" w:themeColor="text1"/>
          <w:sz w:val="32"/>
          <w:szCs w:val="26"/>
        </w:rPr>
        <w:t>e</w:t>
      </w:r>
      <w:r w:rsidRPr="00A36EC0">
        <w:rPr>
          <w:rFonts w:ascii="Franklin Gothic Medium" w:hAnsi="Franklin Gothic Medium"/>
          <w:b w:val="0"/>
          <w:snapToGrid/>
          <w:color w:val="000000" w:themeColor="text1"/>
          <w:sz w:val="32"/>
          <w:szCs w:val="26"/>
        </w:rPr>
        <w:t>valuation</w:t>
      </w:r>
      <w:bookmarkEnd w:id="48"/>
    </w:p>
    <w:p w14:paraId="51E85895" w14:textId="5386857B" w:rsidR="00606F1F" w:rsidRPr="00A36EC0" w:rsidRDefault="00606F1F" w:rsidP="00606F1F">
      <w:pPr>
        <w:rPr>
          <w:rFonts w:ascii="Franklin Gothic Book" w:hAnsi="Franklin Gothic Book"/>
          <w:sz w:val="22"/>
        </w:rPr>
      </w:pPr>
      <w:r w:rsidRPr="00A36EC0">
        <w:rPr>
          <w:rFonts w:ascii="Franklin Gothic Book" w:hAnsi="Franklin Gothic Book"/>
          <w:sz w:val="22"/>
        </w:rPr>
        <w:t xml:space="preserve">The submission presented a modelled economic evaluation comparing MIRV to a mixed comparator (weighted 50:50) of ICC (based on direct evidence from MIRASOL) and BEVA + ICC (based on the indirect treatment comparison using evidence from MIRASOL and AURELIA) in a population of patients with PROC who have received at least one prior systemic treatment regimen and have high (≥ 75% of tumour cells) </w:t>
      </w:r>
      <w:r w:rsidRPr="00A36EC0">
        <w:rPr>
          <w:rFonts w:ascii="Franklin Gothic Book" w:hAnsi="Franklin Gothic Book" w:cs="Calibri"/>
          <w:sz w:val="22"/>
        </w:rPr>
        <w:t>FRα expression</w:t>
      </w:r>
      <w:r w:rsidRPr="00A36EC0">
        <w:rPr>
          <w:rFonts w:ascii="Franklin Gothic Book" w:hAnsi="Franklin Gothic Book"/>
          <w:sz w:val="22"/>
        </w:rPr>
        <w:t xml:space="preserve">. The type of economic evaluation was a cost-utility analysis. </w:t>
      </w:r>
    </w:p>
    <w:p w14:paraId="4F272834" w14:textId="43BD5A29" w:rsidR="001B49DC" w:rsidRPr="00F10893" w:rsidRDefault="005E37CF" w:rsidP="00166A73">
      <w:pPr>
        <w:pStyle w:val="TableFigureHeading"/>
        <w:keepLines/>
      </w:pPr>
      <w:r>
        <w:t>Table</w:t>
      </w:r>
      <w:r w:rsidR="009716A9" w:rsidRPr="00F10893">
        <w:t xml:space="preserve"> </w:t>
      </w:r>
      <w:r>
        <w:fldChar w:fldCharType="begin"/>
      </w:r>
      <w:r>
        <w:instrText xml:space="preserve"> SEQ Table \* ARABIC </w:instrText>
      </w:r>
      <w:r>
        <w:fldChar w:fldCharType="separate"/>
      </w:r>
      <w:r>
        <w:rPr>
          <w:noProof/>
        </w:rPr>
        <w:t>20</w:t>
      </w:r>
      <w:r>
        <w:rPr>
          <w:noProof/>
        </w:rPr>
        <w:fldChar w:fldCharType="end"/>
      </w:r>
      <w:r w:rsidR="009716A9" w:rsidRPr="00F10893">
        <w:t xml:space="preserve">: </w:t>
      </w:r>
      <w:r w:rsidR="001B49DC" w:rsidRPr="00F10893">
        <w:t>Summary of model structure, key inputs and rationale for economic evaluation</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23"/>
        <w:gridCol w:w="7660"/>
      </w:tblGrid>
      <w:tr w:rsidR="001B49DC" w:rsidRPr="00F10893" w14:paraId="71243F14" w14:textId="77777777" w:rsidTr="00166A73">
        <w:trPr>
          <w:cantSplit/>
          <w:tblHeader/>
        </w:trPr>
        <w:tc>
          <w:tcPr>
            <w:tcW w:w="0" w:type="auto"/>
          </w:tcPr>
          <w:p w14:paraId="7E3B87BF" w14:textId="77777777" w:rsidR="001B49DC" w:rsidRPr="00F10893" w:rsidRDefault="001B49DC" w:rsidP="00166A73">
            <w:pPr>
              <w:keepNext/>
              <w:keepLines/>
              <w:spacing w:before="0" w:after="0"/>
              <w:jc w:val="left"/>
              <w:rPr>
                <w:rFonts w:ascii="Arial Narrow" w:eastAsiaTheme="majorEastAsia" w:hAnsi="Arial Narrow" w:cs="Times New Roman"/>
                <w:b/>
                <w:sz w:val="20"/>
                <w:szCs w:val="20"/>
                <w:lang w:eastAsia="en-AU"/>
              </w:rPr>
            </w:pPr>
            <w:r w:rsidRPr="00F10893">
              <w:rPr>
                <w:rFonts w:ascii="Arial Narrow" w:eastAsiaTheme="majorEastAsia" w:hAnsi="Arial Narrow" w:cs="Times New Roman"/>
                <w:b/>
                <w:sz w:val="20"/>
                <w:szCs w:val="20"/>
                <w:lang w:eastAsia="en-AU"/>
              </w:rPr>
              <w:t>Component</w:t>
            </w:r>
          </w:p>
        </w:tc>
        <w:tc>
          <w:tcPr>
            <w:tcW w:w="0" w:type="auto"/>
          </w:tcPr>
          <w:p w14:paraId="4CD3B71A" w14:textId="77777777" w:rsidR="001B49DC" w:rsidRPr="00F10893" w:rsidRDefault="001B49DC" w:rsidP="00166A73">
            <w:pPr>
              <w:keepNext/>
              <w:keepLines/>
              <w:spacing w:before="0" w:after="0"/>
              <w:jc w:val="left"/>
              <w:rPr>
                <w:rFonts w:ascii="Arial Narrow" w:eastAsiaTheme="majorEastAsia" w:hAnsi="Arial Narrow" w:cs="Times New Roman"/>
                <w:b/>
                <w:sz w:val="20"/>
                <w:szCs w:val="24"/>
                <w:lang w:eastAsia="en-AU"/>
              </w:rPr>
            </w:pPr>
            <w:r w:rsidRPr="00F10893">
              <w:rPr>
                <w:rFonts w:ascii="Arial Narrow" w:eastAsiaTheme="majorEastAsia" w:hAnsi="Arial Narrow" w:cs="Times New Roman"/>
                <w:b/>
                <w:sz w:val="20"/>
                <w:szCs w:val="24"/>
                <w:lang w:eastAsia="en-AU"/>
              </w:rPr>
              <w:t>Summary</w:t>
            </w:r>
          </w:p>
        </w:tc>
      </w:tr>
      <w:tr w:rsidR="001B49DC" w:rsidRPr="00F10893" w14:paraId="22B033BF" w14:textId="77777777" w:rsidTr="00166A73">
        <w:trPr>
          <w:cantSplit/>
        </w:trPr>
        <w:tc>
          <w:tcPr>
            <w:tcW w:w="0" w:type="auto"/>
          </w:tcPr>
          <w:p w14:paraId="1694CBEB" w14:textId="77777777" w:rsidR="001B49DC" w:rsidRPr="00F10893" w:rsidRDefault="001B49DC" w:rsidP="00166A73">
            <w:pPr>
              <w:keepNext/>
              <w:keepLines/>
              <w:widowControl w:val="0"/>
              <w:spacing w:before="0" w:after="0"/>
              <w:jc w:val="left"/>
              <w:rPr>
                <w:rFonts w:ascii="Arial Narrow" w:hAnsi="Arial Narrow"/>
                <w:sz w:val="20"/>
              </w:rPr>
            </w:pPr>
            <w:r w:rsidRPr="00F10893">
              <w:rPr>
                <w:rFonts w:ascii="Arial Narrow" w:hAnsi="Arial Narrow"/>
                <w:sz w:val="20"/>
              </w:rPr>
              <w:t>Comparison modelled</w:t>
            </w:r>
          </w:p>
        </w:tc>
        <w:tc>
          <w:tcPr>
            <w:tcW w:w="0" w:type="auto"/>
          </w:tcPr>
          <w:p w14:paraId="655FAE57" w14:textId="55BE5F30" w:rsidR="001B49DC" w:rsidRPr="00F10893" w:rsidRDefault="001B49DC" w:rsidP="00166A73">
            <w:pPr>
              <w:keepNext/>
              <w:keepLines/>
              <w:tabs>
                <w:tab w:val="left" w:pos="284"/>
              </w:tabs>
              <w:spacing w:before="0" w:after="0"/>
              <w:jc w:val="left"/>
              <w:rPr>
                <w:rFonts w:ascii="Arial Narrow" w:eastAsia="Times New Roman" w:hAnsi="Arial Narrow" w:cs="Arial"/>
                <w:snapToGrid w:val="0"/>
                <w:color w:val="3366FF"/>
                <w:sz w:val="20"/>
                <w:szCs w:val="20"/>
                <w:lang w:eastAsia="en-AU"/>
              </w:rPr>
            </w:pPr>
            <w:r w:rsidRPr="00F10893">
              <w:rPr>
                <w:rFonts w:ascii="Arial Narrow" w:eastAsia="Times New Roman" w:hAnsi="Arial Narrow" w:cs="Arial"/>
                <w:snapToGrid w:val="0"/>
                <w:sz w:val="20"/>
                <w:szCs w:val="20"/>
                <w:lang w:eastAsia="en-AU"/>
              </w:rPr>
              <w:t>MIRV vs mixed comparator ICC (50%) and BEVA + ICC (50%) in patients with high FR</w:t>
            </w:r>
            <w:r w:rsidRPr="00F10893">
              <w:rPr>
                <w:rFonts w:ascii="Arial Narrow" w:eastAsia="Times New Roman" w:hAnsi="Arial Narrow" w:cs="Calibri"/>
                <w:snapToGrid w:val="0"/>
                <w:sz w:val="20"/>
                <w:szCs w:val="20"/>
                <w:lang w:eastAsia="en-AU"/>
              </w:rPr>
              <w:t xml:space="preserve">α expression </w:t>
            </w:r>
            <w:r w:rsidRPr="00F10893">
              <w:rPr>
                <w:rFonts w:ascii="Arial Narrow" w:eastAsia="Times New Roman" w:hAnsi="Arial Narrow" w:cs="Arial"/>
                <w:snapToGrid w:val="0"/>
                <w:sz w:val="20"/>
                <w:szCs w:val="20"/>
                <w:lang w:eastAsia="en-AU"/>
              </w:rPr>
              <w:t xml:space="preserve">(≥ 75% of tumour cells). </w:t>
            </w:r>
            <w:r w:rsidRPr="004E5E07">
              <w:rPr>
                <w:rFonts w:ascii="Arial Narrow" w:eastAsia="Times New Roman" w:hAnsi="Arial Narrow" w:cs="Arial"/>
                <w:snapToGrid w:val="0"/>
                <w:sz w:val="20"/>
                <w:szCs w:val="20"/>
                <w:lang w:eastAsia="en-AU"/>
              </w:rPr>
              <w:t xml:space="preserve">The </w:t>
            </w:r>
            <w:r w:rsidR="004E5E07" w:rsidRPr="004E5E07">
              <w:rPr>
                <w:rFonts w:ascii="Arial Narrow" w:eastAsia="Times New Roman" w:hAnsi="Arial Narrow" w:cs="Arial"/>
                <w:snapToGrid w:val="0"/>
                <w:sz w:val="20"/>
                <w:szCs w:val="20"/>
                <w:lang w:eastAsia="en-AU"/>
              </w:rPr>
              <w:t xml:space="preserve">commentary noted that </w:t>
            </w:r>
            <w:r w:rsidRPr="004E5E07">
              <w:rPr>
                <w:rFonts w:ascii="Arial Narrow" w:eastAsia="Times New Roman" w:hAnsi="Arial Narrow" w:cs="Arial"/>
                <w:snapToGrid w:val="0"/>
                <w:sz w:val="20"/>
                <w:szCs w:val="20"/>
                <w:lang w:eastAsia="en-AU"/>
              </w:rPr>
              <w:t>submission did not include any test outcomes in the economic model; this was not consistent with PBAC guidelines which state that, for a co-dependent technology, the model structure should capture patients at the point of testing such that the incremental benefits and costs are included for those who are both positive and negative for the test.</w:t>
            </w:r>
            <w:r w:rsidRPr="00F10893">
              <w:rPr>
                <w:rFonts w:ascii="Arial Narrow" w:eastAsia="Times New Roman" w:hAnsi="Arial Narrow" w:cs="Arial"/>
                <w:i/>
                <w:iCs/>
                <w:snapToGrid w:val="0"/>
                <w:sz w:val="20"/>
                <w:szCs w:val="20"/>
                <w:lang w:eastAsia="en-AU"/>
              </w:rPr>
              <w:t xml:space="preserve"> </w:t>
            </w:r>
          </w:p>
        </w:tc>
      </w:tr>
      <w:tr w:rsidR="001B49DC" w:rsidRPr="00F10893" w14:paraId="6E16C1FF" w14:textId="77777777" w:rsidTr="00166A73">
        <w:trPr>
          <w:cantSplit/>
        </w:trPr>
        <w:tc>
          <w:tcPr>
            <w:tcW w:w="0" w:type="auto"/>
          </w:tcPr>
          <w:p w14:paraId="5CBDEEB1" w14:textId="77777777" w:rsidR="001B49DC" w:rsidRPr="00F10893" w:rsidRDefault="001B49DC" w:rsidP="00166A73">
            <w:pPr>
              <w:keepNext/>
              <w:keepLines/>
              <w:widowControl w:val="0"/>
              <w:spacing w:before="0" w:after="0"/>
              <w:jc w:val="left"/>
              <w:rPr>
                <w:rFonts w:ascii="Arial Narrow" w:hAnsi="Arial Narrow"/>
                <w:sz w:val="20"/>
              </w:rPr>
            </w:pPr>
            <w:r w:rsidRPr="00F10893">
              <w:rPr>
                <w:rFonts w:ascii="Arial Narrow" w:hAnsi="Arial Narrow"/>
                <w:sz w:val="20"/>
              </w:rPr>
              <w:t>Time horizon</w:t>
            </w:r>
          </w:p>
        </w:tc>
        <w:tc>
          <w:tcPr>
            <w:tcW w:w="0" w:type="auto"/>
          </w:tcPr>
          <w:p w14:paraId="7D7AE100" w14:textId="4DD311AC" w:rsidR="001B49DC" w:rsidRPr="00F10893" w:rsidRDefault="001B49DC" w:rsidP="00166A73">
            <w:pPr>
              <w:keepNext/>
              <w:keepLines/>
              <w:widowControl w:val="0"/>
              <w:spacing w:before="0" w:after="0"/>
              <w:jc w:val="left"/>
              <w:rPr>
                <w:rFonts w:ascii="Arial Narrow" w:hAnsi="Arial Narrow"/>
                <w:sz w:val="20"/>
                <w:szCs w:val="20"/>
              </w:rPr>
            </w:pPr>
            <w:r w:rsidRPr="0B583D24">
              <w:rPr>
                <w:rFonts w:ascii="Arial Narrow" w:hAnsi="Arial Narrow"/>
                <w:sz w:val="20"/>
                <w:szCs w:val="20"/>
              </w:rPr>
              <w:t xml:space="preserve">10 years in the model base case vs 13.1 months in the MIRASOL trial and 13.0 months in the BEVA + ICC arm in the AURELIA trial (median follow-up). </w:t>
            </w:r>
            <w:r w:rsidR="006C0F5F">
              <w:rPr>
                <w:rFonts w:ascii="Arial Narrow" w:hAnsi="Arial Narrow"/>
                <w:sz w:val="20"/>
                <w:szCs w:val="20"/>
              </w:rPr>
              <w:t xml:space="preserve">The commentary considered that </w:t>
            </w:r>
            <w:r w:rsidR="006C0F5F" w:rsidRPr="006C0F5F">
              <w:rPr>
                <w:rFonts w:ascii="Arial Narrow" w:hAnsi="Arial Narrow"/>
                <w:iCs/>
                <w:sz w:val="20"/>
                <w:szCs w:val="20"/>
              </w:rPr>
              <w:t>t</w:t>
            </w:r>
            <w:r w:rsidRPr="006C0F5F">
              <w:rPr>
                <w:rFonts w:ascii="Arial Narrow" w:hAnsi="Arial Narrow"/>
                <w:iCs/>
                <w:sz w:val="20"/>
                <w:szCs w:val="20"/>
              </w:rPr>
              <w:t>his</w:t>
            </w:r>
            <w:r w:rsidRPr="006C0F5F">
              <w:rPr>
                <w:rFonts w:ascii="Arial Narrow" w:hAnsi="Arial Narrow"/>
                <w:sz w:val="20"/>
                <w:szCs w:val="20"/>
              </w:rPr>
              <w:t xml:space="preserve"> was consistent with previous PBAC considerations for treatments for ovarian cancer. However, patients with platinum-resistant ovarian cancer have a </w:t>
            </w:r>
            <w:r w:rsidR="143EAA7D" w:rsidRPr="006C0F5F">
              <w:rPr>
                <w:rFonts w:ascii="Arial Narrow" w:hAnsi="Arial Narrow"/>
                <w:sz w:val="20"/>
                <w:szCs w:val="20"/>
              </w:rPr>
              <w:t>worse</w:t>
            </w:r>
            <w:r w:rsidRPr="006C0F5F">
              <w:rPr>
                <w:rFonts w:ascii="Arial Narrow" w:hAnsi="Arial Narrow"/>
                <w:sz w:val="20"/>
                <w:szCs w:val="20"/>
              </w:rPr>
              <w:t>-prognosis than those who are platinum-sensitive – as such, a 7.5-year time horizon (explored in a sensitivity analysis) may be a more appropriate estimate.</w:t>
            </w:r>
          </w:p>
        </w:tc>
      </w:tr>
      <w:tr w:rsidR="001B49DC" w:rsidRPr="00F10893" w14:paraId="63A8E46D" w14:textId="77777777" w:rsidTr="00166A73">
        <w:trPr>
          <w:cantSplit/>
          <w:trHeight w:val="182"/>
        </w:trPr>
        <w:tc>
          <w:tcPr>
            <w:tcW w:w="0" w:type="auto"/>
          </w:tcPr>
          <w:p w14:paraId="7A1D3D5B"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Outcomes</w:t>
            </w:r>
          </w:p>
        </w:tc>
        <w:tc>
          <w:tcPr>
            <w:tcW w:w="0" w:type="auto"/>
          </w:tcPr>
          <w:p w14:paraId="4EC7D7A6" w14:textId="77777777" w:rsidR="001B49DC" w:rsidRPr="00F10893" w:rsidRDefault="001B49DC">
            <w:pPr>
              <w:widowControl w:val="0"/>
              <w:spacing w:before="0" w:after="0"/>
              <w:jc w:val="left"/>
              <w:rPr>
                <w:rFonts w:ascii="Arial Narrow" w:hAnsi="Arial Narrow"/>
                <w:i/>
                <w:sz w:val="20"/>
              </w:rPr>
            </w:pPr>
            <w:r w:rsidRPr="00F10893">
              <w:rPr>
                <w:rFonts w:ascii="Arial Narrow" w:hAnsi="Arial Narrow"/>
                <w:sz w:val="20"/>
              </w:rPr>
              <w:t xml:space="preserve">LYG, QALYs. </w:t>
            </w:r>
            <w:r w:rsidRPr="00F10893">
              <w:rPr>
                <w:rFonts w:ascii="Arial Narrow" w:hAnsi="Arial Narrow"/>
                <w:i/>
                <w:iCs/>
                <w:sz w:val="20"/>
              </w:rPr>
              <w:t>This was appropriate</w:t>
            </w:r>
          </w:p>
        </w:tc>
      </w:tr>
      <w:tr w:rsidR="001B49DC" w:rsidRPr="00F10893" w14:paraId="394D36B0" w14:textId="77777777" w:rsidTr="00166A73">
        <w:trPr>
          <w:cantSplit/>
        </w:trPr>
        <w:tc>
          <w:tcPr>
            <w:tcW w:w="0" w:type="auto"/>
          </w:tcPr>
          <w:p w14:paraId="615023BB"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Methods used to generate results</w:t>
            </w:r>
          </w:p>
        </w:tc>
        <w:tc>
          <w:tcPr>
            <w:tcW w:w="0" w:type="auto"/>
          </w:tcPr>
          <w:p w14:paraId="5A77999E" w14:textId="3559E23B"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 xml:space="preserve">Partition survival analysis. Results reported on the basis of average expected costs and consequences per patient. </w:t>
            </w:r>
            <w:r w:rsidR="006C0F5F">
              <w:rPr>
                <w:rFonts w:ascii="Arial Narrow" w:hAnsi="Arial Narrow"/>
                <w:sz w:val="20"/>
                <w:szCs w:val="20"/>
              </w:rPr>
              <w:t xml:space="preserve">The commentary considered that </w:t>
            </w:r>
            <w:r w:rsidR="006C0F5F" w:rsidRPr="006C0F5F">
              <w:rPr>
                <w:rFonts w:ascii="Arial Narrow" w:hAnsi="Arial Narrow"/>
                <w:sz w:val="20"/>
              </w:rPr>
              <w:t>t</w:t>
            </w:r>
            <w:r w:rsidRPr="006C0F5F">
              <w:rPr>
                <w:rFonts w:ascii="Arial Narrow" w:hAnsi="Arial Narrow"/>
                <w:sz w:val="20"/>
              </w:rPr>
              <w:t>his was consistent with economic evaluations in the literature for similar patient populations.</w:t>
            </w:r>
          </w:p>
        </w:tc>
      </w:tr>
      <w:tr w:rsidR="001B49DC" w:rsidRPr="00F10893" w14:paraId="6140085E" w14:textId="77777777" w:rsidTr="00166A73">
        <w:trPr>
          <w:cantSplit/>
        </w:trPr>
        <w:tc>
          <w:tcPr>
            <w:tcW w:w="0" w:type="auto"/>
          </w:tcPr>
          <w:p w14:paraId="6237D42E"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Health states</w:t>
            </w:r>
          </w:p>
        </w:tc>
        <w:tc>
          <w:tcPr>
            <w:tcW w:w="0" w:type="auto"/>
          </w:tcPr>
          <w:p w14:paraId="12D3C52D" w14:textId="5448B6BE"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Pre</w:t>
            </w:r>
            <w:r w:rsidRPr="00F10893">
              <w:rPr>
                <w:rFonts w:ascii="Arial Narrow" w:hAnsi="Arial Narrow"/>
                <w:sz w:val="20"/>
              </w:rPr>
              <w:noBreakHyphen/>
              <w:t>progression, Post</w:t>
            </w:r>
            <w:r w:rsidRPr="00F10893">
              <w:rPr>
                <w:rFonts w:ascii="Arial Narrow" w:hAnsi="Arial Narrow"/>
                <w:sz w:val="20"/>
              </w:rPr>
              <w:noBreakHyphen/>
              <w:t xml:space="preserve">progression and Death. </w:t>
            </w:r>
            <w:r w:rsidR="006C0F5F">
              <w:rPr>
                <w:rFonts w:ascii="Arial Narrow" w:hAnsi="Arial Narrow"/>
                <w:sz w:val="20"/>
                <w:szCs w:val="20"/>
              </w:rPr>
              <w:t xml:space="preserve">The commentary considered that </w:t>
            </w:r>
            <w:r w:rsidR="006C0F5F" w:rsidRPr="006C0F5F">
              <w:rPr>
                <w:rFonts w:ascii="Arial Narrow" w:hAnsi="Arial Narrow"/>
                <w:sz w:val="20"/>
                <w:szCs w:val="20"/>
              </w:rPr>
              <w:t>t</w:t>
            </w:r>
            <w:r w:rsidRPr="006C0F5F">
              <w:rPr>
                <w:rFonts w:ascii="Arial Narrow" w:hAnsi="Arial Narrow"/>
                <w:sz w:val="20"/>
              </w:rPr>
              <w:t>his was consistent with economic evaluations in the literature for similar patient populations.</w:t>
            </w:r>
          </w:p>
        </w:tc>
      </w:tr>
      <w:tr w:rsidR="001B49DC" w:rsidRPr="00F10893" w14:paraId="6A9A50CC" w14:textId="77777777" w:rsidTr="00166A73">
        <w:trPr>
          <w:cantSplit/>
        </w:trPr>
        <w:tc>
          <w:tcPr>
            <w:tcW w:w="0" w:type="auto"/>
          </w:tcPr>
          <w:p w14:paraId="708DE0C0"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Cycle length</w:t>
            </w:r>
          </w:p>
        </w:tc>
        <w:tc>
          <w:tcPr>
            <w:tcW w:w="0" w:type="auto"/>
          </w:tcPr>
          <w:p w14:paraId="0DF42774" w14:textId="0497718A"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 xml:space="preserve">1 week. A </w:t>
            </w:r>
            <w:r w:rsidRPr="00F10893">
              <w:rPr>
                <w:rFonts w:ascii="Arial Narrow" w:hAnsi="Arial Narrow"/>
                <w:sz w:val="20"/>
                <w:szCs w:val="20"/>
              </w:rPr>
              <w:t>half</w:t>
            </w:r>
            <w:r w:rsidRPr="00F10893">
              <w:rPr>
                <w:rFonts w:ascii="Arial Narrow" w:hAnsi="Arial Narrow"/>
                <w:sz w:val="20"/>
                <w:szCs w:val="20"/>
              </w:rPr>
              <w:noBreakHyphen/>
              <w:t>cycle correction was applied to account for any transitions or events that occurred midcycle.</w:t>
            </w:r>
            <w:r>
              <w:rPr>
                <w:rFonts w:ascii="Arial Narrow" w:hAnsi="Arial Narrow"/>
                <w:sz w:val="20"/>
                <w:szCs w:val="20"/>
              </w:rPr>
              <w:t xml:space="preserve"> </w:t>
            </w:r>
            <w:r w:rsidR="006C0F5F">
              <w:rPr>
                <w:rFonts w:ascii="Arial Narrow" w:hAnsi="Arial Narrow"/>
                <w:sz w:val="20"/>
                <w:szCs w:val="20"/>
              </w:rPr>
              <w:t>The commentary considered that</w:t>
            </w:r>
            <w:r w:rsidRPr="00F10893">
              <w:rPr>
                <w:rFonts w:ascii="Arial Narrow" w:hAnsi="Arial Narrow"/>
                <w:i/>
                <w:iCs/>
                <w:sz w:val="20"/>
                <w:szCs w:val="20"/>
              </w:rPr>
              <w:t xml:space="preserve"> </w:t>
            </w:r>
            <w:r w:rsidR="006C0F5F" w:rsidRPr="006C0F5F">
              <w:rPr>
                <w:rFonts w:ascii="Arial Narrow" w:hAnsi="Arial Narrow"/>
                <w:sz w:val="20"/>
                <w:szCs w:val="20"/>
              </w:rPr>
              <w:t>t</w:t>
            </w:r>
            <w:r w:rsidRPr="006C0F5F">
              <w:rPr>
                <w:rFonts w:ascii="Arial Narrow" w:hAnsi="Arial Narrow"/>
                <w:sz w:val="20"/>
                <w:szCs w:val="20"/>
              </w:rPr>
              <w:t>his was appropriate.</w:t>
            </w:r>
          </w:p>
        </w:tc>
      </w:tr>
      <w:tr w:rsidR="001B49DC" w:rsidRPr="00F10893" w14:paraId="60499A7B" w14:textId="77777777" w:rsidTr="00166A73">
        <w:trPr>
          <w:cantSplit/>
        </w:trPr>
        <w:tc>
          <w:tcPr>
            <w:tcW w:w="0" w:type="auto"/>
          </w:tcPr>
          <w:p w14:paraId="3D1AA323"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Test parameters</w:t>
            </w:r>
          </w:p>
        </w:tc>
        <w:tc>
          <w:tcPr>
            <w:tcW w:w="0" w:type="auto"/>
          </w:tcPr>
          <w:p w14:paraId="41F14750" w14:textId="40EB7ECB" w:rsidR="001B49DC" w:rsidRPr="00F10893" w:rsidRDefault="001B49DC">
            <w:pPr>
              <w:widowControl w:val="0"/>
              <w:spacing w:before="0" w:after="0"/>
              <w:jc w:val="left"/>
              <w:rPr>
                <w:rFonts w:ascii="Arial Narrow" w:hAnsi="Arial Narrow" w:cstheme="minorHAnsi"/>
                <w:i/>
                <w:sz w:val="20"/>
                <w:szCs w:val="20"/>
              </w:rPr>
            </w:pPr>
            <w:r w:rsidRPr="00F10893">
              <w:rPr>
                <w:rFonts w:ascii="Arial Narrow" w:hAnsi="Arial Narrow"/>
                <w:sz w:val="20"/>
              </w:rPr>
              <w:t>The submission stated that as there is no reference standard for FR</w:t>
            </w:r>
            <w:r w:rsidRPr="00F10893">
              <w:rPr>
                <w:rFonts w:ascii="Arial Narrow" w:hAnsi="Arial Narrow" w:cs="Calibri"/>
                <w:sz w:val="20"/>
              </w:rPr>
              <w:t>α</w:t>
            </w:r>
            <w:r w:rsidRPr="00F10893">
              <w:rPr>
                <w:rFonts w:ascii="Arial Narrow" w:hAnsi="Arial Narrow"/>
                <w:sz w:val="20"/>
              </w:rPr>
              <w:t xml:space="preserve"> expression testing, outcomes of sensitivity and specificity and the flow-on outcomes of positive and negative predictive values are not applicable for inclusion in the model. </w:t>
            </w:r>
            <w:r w:rsidR="006C0F5F">
              <w:rPr>
                <w:rFonts w:ascii="Arial Narrow" w:hAnsi="Arial Narrow"/>
                <w:sz w:val="20"/>
                <w:szCs w:val="20"/>
              </w:rPr>
              <w:t xml:space="preserve">The commentary considered that  </w:t>
            </w:r>
            <w:r w:rsidR="006C0F5F" w:rsidRPr="006C0F5F">
              <w:rPr>
                <w:rFonts w:ascii="Arial Narrow" w:hAnsi="Arial Narrow"/>
                <w:sz w:val="20"/>
                <w:szCs w:val="20"/>
              </w:rPr>
              <w:t>t</w:t>
            </w:r>
            <w:r w:rsidRPr="006C0F5F">
              <w:rPr>
                <w:rFonts w:ascii="Arial Narrow" w:hAnsi="Arial Narrow"/>
                <w:sz w:val="20"/>
                <w:szCs w:val="20"/>
              </w:rPr>
              <w:t>his was consistent with the ratified PICO which stated that “</w:t>
            </w:r>
            <w:r w:rsidRPr="006C0F5F">
              <w:rPr>
                <w:rFonts w:ascii="Arial Narrow" w:hAnsi="Arial Narrow" w:cstheme="minorHAnsi"/>
                <w:sz w:val="20"/>
                <w:szCs w:val="20"/>
              </w:rPr>
              <w:t>PASC agreed with the nominated outcomes for the test with the exception of ‘sensitivity and specificity’ (and by extension, the positive and negative predictive values and likelihood ratios) on the basis there is no reference standard to compare the specified test against” (p. 22, 1787 Ratified PICO Confirmation, December 2024 PASC meeting).</w:t>
            </w:r>
          </w:p>
        </w:tc>
      </w:tr>
      <w:tr w:rsidR="001B49DC" w:rsidRPr="00F10893" w14:paraId="24C23AC3" w14:textId="77777777" w:rsidTr="00166A73">
        <w:trPr>
          <w:cantSplit/>
        </w:trPr>
        <w:tc>
          <w:tcPr>
            <w:tcW w:w="0" w:type="auto"/>
          </w:tcPr>
          <w:p w14:paraId="02B85966"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lastRenderedPageBreak/>
              <w:t xml:space="preserve">Allocation to health states </w:t>
            </w:r>
          </w:p>
        </w:tc>
        <w:tc>
          <w:tcPr>
            <w:tcW w:w="0" w:type="auto"/>
          </w:tcPr>
          <w:p w14:paraId="754A4311" w14:textId="3D24E9BE" w:rsidR="001B49DC" w:rsidRPr="006C0F5F" w:rsidRDefault="001B49DC">
            <w:pPr>
              <w:widowControl w:val="0"/>
              <w:spacing w:before="0" w:after="0"/>
              <w:rPr>
                <w:rFonts w:ascii="Arial Narrow" w:hAnsi="Arial Narrow"/>
                <w:sz w:val="20"/>
              </w:rPr>
            </w:pPr>
            <w:r w:rsidRPr="00F10893">
              <w:rPr>
                <w:rFonts w:ascii="Arial Narrow" w:hAnsi="Arial Narrow"/>
                <w:sz w:val="20"/>
              </w:rPr>
              <w:t>MIRV and ICC: The transitioning of patients is based on independent parametric survival models fitted to PFS and OS data reported in the MIRV and chemotherapy arms of MIRASOL</w:t>
            </w:r>
            <w:r w:rsidR="006C0F5F">
              <w:rPr>
                <w:rFonts w:ascii="Arial Narrow" w:hAnsi="Arial Narrow"/>
                <w:sz w:val="20"/>
              </w:rPr>
              <w:t xml:space="preserve">. </w:t>
            </w:r>
            <w:r w:rsidR="006C0F5F">
              <w:rPr>
                <w:rFonts w:ascii="Arial Narrow" w:hAnsi="Arial Narrow"/>
                <w:sz w:val="20"/>
                <w:szCs w:val="20"/>
              </w:rPr>
              <w:t xml:space="preserve">The commentary considered </w:t>
            </w:r>
            <w:r w:rsidR="006C0F5F" w:rsidRPr="006C0F5F">
              <w:rPr>
                <w:rFonts w:ascii="Arial Narrow" w:hAnsi="Arial Narrow"/>
                <w:sz w:val="20"/>
                <w:szCs w:val="20"/>
              </w:rPr>
              <w:t xml:space="preserve">that </w:t>
            </w:r>
            <w:r w:rsidR="006C0F5F" w:rsidRPr="006C0F5F">
              <w:rPr>
                <w:rFonts w:ascii="Arial Narrow" w:hAnsi="Arial Narrow"/>
                <w:sz w:val="20"/>
              </w:rPr>
              <w:t>t</w:t>
            </w:r>
            <w:r w:rsidRPr="006C0F5F">
              <w:rPr>
                <w:rFonts w:ascii="Arial Narrow" w:hAnsi="Arial Narrow"/>
                <w:sz w:val="20"/>
              </w:rPr>
              <w:t>his was appropriate</w:t>
            </w:r>
            <w:r w:rsidR="006C0F5F">
              <w:rPr>
                <w:rFonts w:ascii="Arial Narrow" w:hAnsi="Arial Narrow"/>
                <w:sz w:val="20"/>
              </w:rPr>
              <w:t>.</w:t>
            </w:r>
          </w:p>
          <w:p w14:paraId="3CFBD90A" w14:textId="1FF6B172" w:rsidR="001B49DC" w:rsidRPr="00F10893" w:rsidRDefault="001B49DC">
            <w:pPr>
              <w:widowControl w:val="0"/>
              <w:spacing w:before="0" w:after="0"/>
              <w:jc w:val="left"/>
              <w:rPr>
                <w:rFonts w:ascii="Arial Narrow" w:hAnsi="Arial Narrow"/>
                <w:i/>
                <w:sz w:val="20"/>
              </w:rPr>
            </w:pPr>
            <w:r w:rsidRPr="00F10893">
              <w:rPr>
                <w:rFonts w:ascii="Arial Narrow" w:hAnsi="Arial Narrow"/>
                <w:sz w:val="20"/>
              </w:rPr>
              <w:t xml:space="preserve">BEVA + ICC: The transitioning of patients is based on hazard ratios (derived from the MAIC for MIRV vs BEVA + ICC) applied to the PFS and OS parametric survival models for MIRV (derived from the MIRASOL trial as described above). </w:t>
            </w:r>
            <w:r w:rsidR="006C0F5F">
              <w:rPr>
                <w:rFonts w:ascii="Arial Narrow" w:hAnsi="Arial Narrow"/>
                <w:sz w:val="20"/>
                <w:szCs w:val="20"/>
              </w:rPr>
              <w:t xml:space="preserve">The commentary noted that </w:t>
            </w:r>
            <w:r w:rsidR="006C0F5F" w:rsidRPr="006C0F5F">
              <w:rPr>
                <w:rFonts w:ascii="Arial Narrow" w:hAnsi="Arial Narrow"/>
                <w:sz w:val="20"/>
              </w:rPr>
              <w:t>t</w:t>
            </w:r>
            <w:r w:rsidRPr="006C0F5F">
              <w:rPr>
                <w:rFonts w:ascii="Arial Narrow" w:hAnsi="Arial Narrow"/>
                <w:sz w:val="20"/>
              </w:rPr>
              <w:t xml:space="preserve">here are concerns regarding the validity of the MAIC due to issues with the exchangeability of the trials used in the comparison to support the proposed clinical claim of superiority. </w:t>
            </w:r>
            <w:r w:rsidRPr="006C0F5F" w:rsidDel="003C716F">
              <w:rPr>
                <w:rFonts w:ascii="Arial Narrow" w:hAnsi="Arial Narrow"/>
                <w:sz w:val="20"/>
              </w:rPr>
              <w:t xml:space="preserve"> </w:t>
            </w:r>
          </w:p>
        </w:tc>
      </w:tr>
      <w:tr w:rsidR="001B49DC" w:rsidRPr="00F10893" w14:paraId="76251A57" w14:textId="77777777" w:rsidTr="00166A73">
        <w:trPr>
          <w:cantSplit/>
        </w:trPr>
        <w:tc>
          <w:tcPr>
            <w:tcW w:w="0" w:type="auto"/>
          </w:tcPr>
          <w:p w14:paraId="4A55146B"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Extrapolation method</w:t>
            </w:r>
          </w:p>
        </w:tc>
        <w:tc>
          <w:tcPr>
            <w:tcW w:w="0" w:type="auto"/>
          </w:tcPr>
          <w:p w14:paraId="3CFD34F2"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 xml:space="preserve">MIRV and ICC: independent parametric models fitted to each treatment arm with Log-logistic selected in base case for OS (and Log-normal for PFS) for MIRV and Weibull selected in base case for OS (and Log-normal for PFS) for ICC, based on goodness of fit (AIC/BIC) and visual inspection. </w:t>
            </w:r>
          </w:p>
          <w:p w14:paraId="58E50D37"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BEVA + ICC: OS and PFS curves are based on the application of HRs derived from the MAIC of MIRV vs BEVA + ICC</w:t>
            </w:r>
          </w:p>
          <w:p w14:paraId="6638E6FF" w14:textId="77777777" w:rsidR="001B49DC" w:rsidRPr="00F10893" w:rsidRDefault="001B49DC">
            <w:pPr>
              <w:widowControl w:val="0"/>
              <w:spacing w:before="0" w:after="0"/>
              <w:jc w:val="left"/>
              <w:rPr>
                <w:rFonts w:ascii="Arial Narrow" w:hAnsi="Arial Narrow"/>
                <w:sz w:val="20"/>
              </w:rPr>
            </w:pPr>
          </w:p>
          <w:p w14:paraId="3002B3AF"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 xml:space="preserve">For OS and PFS, convergence was not assumed to occur within the modelled time horizon. </w:t>
            </w:r>
          </w:p>
          <w:p w14:paraId="72B3FB64" w14:textId="77777777" w:rsidR="001B49DC" w:rsidRPr="00F10893" w:rsidRDefault="001B49DC">
            <w:pPr>
              <w:widowControl w:val="0"/>
              <w:spacing w:before="0" w:after="0"/>
              <w:jc w:val="left"/>
              <w:rPr>
                <w:rFonts w:ascii="Arial Narrow" w:hAnsi="Arial Narrow"/>
                <w:sz w:val="20"/>
              </w:rPr>
            </w:pPr>
          </w:p>
          <w:p w14:paraId="7DC01BB8"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88% of QALYs, 93% of LYG and 18% of incremental costs (vs ICC) and 85% of QALYs, 88% of LYG and 14% of incremental costs (vs BEVA + ICC) occur in the extrapolated period.</w:t>
            </w:r>
          </w:p>
          <w:p w14:paraId="4DF44D5E" w14:textId="77777777" w:rsidR="001B49DC" w:rsidRPr="00F10893" w:rsidRDefault="001B49DC">
            <w:pPr>
              <w:widowControl w:val="0"/>
              <w:spacing w:before="0" w:after="0"/>
              <w:jc w:val="left"/>
              <w:rPr>
                <w:rFonts w:ascii="Arial Narrow" w:hAnsi="Arial Narrow"/>
                <w:sz w:val="20"/>
              </w:rPr>
            </w:pPr>
          </w:p>
          <w:p w14:paraId="3048DBCD" w14:textId="334017C3" w:rsidR="001B49DC" w:rsidRPr="00F10893" w:rsidRDefault="006C0F5F">
            <w:pPr>
              <w:widowControl w:val="0"/>
              <w:spacing w:before="0" w:after="0"/>
              <w:jc w:val="left"/>
              <w:rPr>
                <w:rFonts w:ascii="Arial Narrow" w:hAnsi="Arial Narrow"/>
                <w:sz w:val="20"/>
              </w:rPr>
            </w:pPr>
            <w:r>
              <w:rPr>
                <w:rFonts w:ascii="Arial Narrow" w:hAnsi="Arial Narrow"/>
                <w:sz w:val="20"/>
                <w:szCs w:val="20"/>
              </w:rPr>
              <w:t xml:space="preserve">The commentary noted that </w:t>
            </w:r>
            <w:r w:rsidRPr="006C0F5F">
              <w:rPr>
                <w:rFonts w:ascii="Arial Narrow" w:hAnsi="Arial Narrow"/>
                <w:sz w:val="20"/>
                <w:szCs w:val="20"/>
              </w:rPr>
              <w:t>t</w:t>
            </w:r>
            <w:r w:rsidR="001B49DC" w:rsidRPr="006C0F5F">
              <w:rPr>
                <w:rFonts w:ascii="Arial Narrow" w:hAnsi="Arial Narrow"/>
                <w:bCs/>
                <w:sz w:val="20"/>
              </w:rPr>
              <w:t>he</w:t>
            </w:r>
            <w:r w:rsidR="001B49DC" w:rsidRPr="006C0F5F">
              <w:rPr>
                <w:rFonts w:ascii="Arial Narrow" w:hAnsi="Arial Narrow"/>
                <w:sz w:val="20"/>
              </w:rPr>
              <w:t xml:space="preserve"> choice of parametric survival models for the base case were reasonable, except for the Log-logistic model for OS for MIRV, which ranked second best fit per AIC/BIC statistics but was deemed by the submission to be a better fit over the observed period (based on visual assessment) than the gamma survival model (best fit based on AIC/BIC statistics). Use of the Log-logistic model resulted in an estimated 4% of patients in the MIRV arm remaining alive at the end of the model time-horizon (10 years), while use of the gamma model results in no patients remaining alive after approximately 7.8 years; given the poor prognosis of patients with PROC, the use of the gamma model would be a more appropriate (conservative) choice.</w:t>
            </w:r>
          </w:p>
        </w:tc>
      </w:tr>
      <w:tr w:rsidR="001B49DC" w:rsidRPr="00F10893" w14:paraId="29271F2E" w14:textId="77777777" w:rsidTr="00166A73">
        <w:trPr>
          <w:cantSplit/>
        </w:trPr>
        <w:tc>
          <w:tcPr>
            <w:tcW w:w="0" w:type="auto"/>
          </w:tcPr>
          <w:p w14:paraId="087077C4" w14:textId="77777777" w:rsidR="001B49DC" w:rsidRPr="00F10893" w:rsidRDefault="001B49DC">
            <w:pPr>
              <w:widowControl w:val="0"/>
              <w:spacing w:before="0" w:after="0"/>
              <w:jc w:val="left"/>
              <w:rPr>
                <w:rFonts w:ascii="Arial Narrow" w:hAnsi="Arial Narrow"/>
                <w:sz w:val="20"/>
              </w:rPr>
            </w:pPr>
            <w:r w:rsidRPr="00F10893">
              <w:rPr>
                <w:rFonts w:ascii="Arial Narrow" w:hAnsi="Arial Narrow"/>
                <w:sz w:val="20"/>
              </w:rPr>
              <w:t>Health related quality of life</w:t>
            </w:r>
          </w:p>
        </w:tc>
        <w:tc>
          <w:tcPr>
            <w:tcW w:w="0" w:type="auto"/>
          </w:tcPr>
          <w:p w14:paraId="5DAF4CEE" w14:textId="3CDC5F38" w:rsidR="001B49DC" w:rsidRPr="00F10893" w:rsidRDefault="001B49DC">
            <w:pPr>
              <w:widowControl w:val="0"/>
              <w:spacing w:before="0" w:after="0"/>
              <w:jc w:val="left"/>
              <w:rPr>
                <w:rFonts w:ascii="Arial Narrow" w:hAnsi="Arial Narrow"/>
                <w:i/>
                <w:sz w:val="20"/>
                <w:szCs w:val="20"/>
              </w:rPr>
            </w:pPr>
            <w:r w:rsidRPr="00F10893">
              <w:rPr>
                <w:rFonts w:ascii="Arial Narrow" w:hAnsi="Arial Narrow"/>
                <w:sz w:val="20"/>
                <w:szCs w:val="20"/>
              </w:rPr>
              <w:t xml:space="preserve">Treatment-dependent utility values for the pre-progression (MIRV = 0.753, ICC = 0.736) and post-progression (MIRV = 0.681, ICC = 0.629) health states, derived from EQ-5D-5L data (UK value set) from the MIRASOL trial. Utility values for the BEVA + ICC arm assumed to be the same as ICC from MIRASOL. Pooled utility values for the pre-progression (=0.747) and post-progression (=0.657) health states were explored in a sensitivity analysis. </w:t>
            </w:r>
            <w:r w:rsidR="006C0F5F">
              <w:rPr>
                <w:rFonts w:ascii="Arial Narrow" w:hAnsi="Arial Narrow"/>
                <w:sz w:val="20"/>
                <w:szCs w:val="20"/>
              </w:rPr>
              <w:t xml:space="preserve">The commentary noted that </w:t>
            </w:r>
            <w:r w:rsidR="006C0F5F" w:rsidRPr="006C0F5F">
              <w:rPr>
                <w:rFonts w:ascii="Arial Narrow" w:hAnsi="Arial Narrow"/>
                <w:iCs/>
                <w:sz w:val="20"/>
                <w:szCs w:val="20"/>
              </w:rPr>
              <w:t>u</w:t>
            </w:r>
            <w:r w:rsidRPr="006C0F5F">
              <w:rPr>
                <w:rFonts w:ascii="Arial Narrow" w:hAnsi="Arial Narrow"/>
                <w:iCs/>
                <w:sz w:val="20"/>
                <w:szCs w:val="20"/>
              </w:rPr>
              <w:t>tility</w:t>
            </w:r>
            <w:r w:rsidRPr="006C0F5F">
              <w:rPr>
                <w:rFonts w:ascii="Arial Narrow" w:hAnsi="Arial Narrow"/>
                <w:sz w:val="20"/>
                <w:szCs w:val="20"/>
              </w:rPr>
              <w:t xml:space="preserve"> values applied in the economic model could not be verified by the evaluation. Further, given </w:t>
            </w:r>
            <w:r w:rsidRPr="006C0F5F">
              <w:rPr>
                <w:rFonts w:ascii="Arial Narrow" w:hAnsi="Arial Narrow" w:cs="Calibri"/>
                <w:sz w:val="20"/>
                <w:szCs w:val="20"/>
              </w:rPr>
              <w:t xml:space="preserve">there was </w:t>
            </w:r>
            <w:r w:rsidRPr="006C0F5F">
              <w:rPr>
                <w:rFonts w:ascii="Arial Narrow" w:hAnsi="Arial Narrow"/>
                <w:sz w:val="20"/>
                <w:szCs w:val="20"/>
              </w:rPr>
              <w:t>declining EQ-5D-5L completion rates through the MIRASOL trial (67%/58% at week 8/9 and 27.8%/16.8% at week 24 for MIRV and ICC respectively), the use of a pooled utility value for the post-progression health state would be more appropriate.</w:t>
            </w:r>
            <w:r w:rsidRPr="00F10893">
              <w:rPr>
                <w:rFonts w:ascii="Arial Narrow" w:hAnsi="Arial Narrow"/>
                <w:i/>
                <w:iCs/>
                <w:sz w:val="20"/>
                <w:szCs w:val="20"/>
              </w:rPr>
              <w:t xml:space="preserve"> </w:t>
            </w:r>
          </w:p>
        </w:tc>
      </w:tr>
    </w:tbl>
    <w:p w14:paraId="61905DF2" w14:textId="77777777" w:rsidR="001B49DC" w:rsidRPr="00F10893" w:rsidRDefault="001B49DC" w:rsidP="001B49DC">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Table 3.1-1, pp162-163 and Table 3.5-2, p186 of the submission.</w:t>
      </w:r>
    </w:p>
    <w:p w14:paraId="3DFD7F32" w14:textId="0F898D43" w:rsidR="001B49DC" w:rsidRPr="00F10893" w:rsidRDefault="001B49DC" w:rsidP="001B49DC">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AIC= Akaike Information Criterion; BEVA= bevacizumab; BIC=Bayesian Information Criterion; EQ-5D-5L= EuroQoL 5-Dimension 5-Level; FR</w:t>
      </w:r>
      <w:r w:rsidRPr="00F10893">
        <w:rPr>
          <w:rFonts w:ascii="Arial Narrow" w:eastAsia="Times New Roman" w:hAnsi="Arial Narrow" w:cs="Calibri"/>
          <w:snapToGrid w:val="0"/>
          <w:sz w:val="18"/>
          <w:szCs w:val="20"/>
        </w:rPr>
        <w:t>α= Folate receptor alpha;</w:t>
      </w:r>
      <w:r w:rsidRPr="00F10893">
        <w:rPr>
          <w:rFonts w:ascii="Arial Narrow" w:eastAsia="Times New Roman" w:hAnsi="Arial Narrow" w:cs="Arial"/>
          <w:snapToGrid w:val="0"/>
          <w:sz w:val="18"/>
          <w:szCs w:val="20"/>
        </w:rPr>
        <w:t xml:space="preserve"> HR= hazard ratio; ICC= investigators choice of chemotherapy; LYG= life years gained; MAIC= matching-adjusted indirect comparison; MIRV= mirvetuximab soravtansine; OS= overall survival; PBAC= Pharmaceutical Benefit Advisory Committee;  PASC=PICO Confirmation Advisory Sub-Committee; PFS= progression-free survival; PROC= platinum-resistant ovarian cancer; QALY= quality-adjusted life years.</w:t>
      </w:r>
    </w:p>
    <w:p w14:paraId="7A5591A6" w14:textId="2CED61A5" w:rsidR="00606F1F" w:rsidRPr="00A36EC0" w:rsidRDefault="00606F1F" w:rsidP="00606F1F">
      <w:pPr>
        <w:rPr>
          <w:rFonts w:ascii="Franklin Gothic Book" w:hAnsi="Franklin Gothic Book"/>
          <w:sz w:val="22"/>
        </w:rPr>
      </w:pPr>
      <w:r w:rsidRPr="00A36EC0">
        <w:rPr>
          <w:rFonts w:ascii="Franklin Gothic Book" w:hAnsi="Franklin Gothic Book"/>
          <w:sz w:val="22"/>
        </w:rPr>
        <w:t>The economic model was structured as a partition survival model comprising of three discrete health states: pre-progression, post-progression and death. However, the model structure did not incorporate any FRα expression testing parameters. The submission justified the exclusion of test variables by stating that there is no reference standard for FR</w:t>
      </w:r>
      <w:r w:rsidRPr="00A36EC0">
        <w:rPr>
          <w:rFonts w:ascii="Franklin Gothic Book" w:hAnsi="Franklin Gothic Book" w:cs="Calibri"/>
          <w:sz w:val="22"/>
        </w:rPr>
        <w:t>α</w:t>
      </w:r>
      <w:r w:rsidRPr="00A36EC0">
        <w:rPr>
          <w:rFonts w:ascii="Franklin Gothic Book" w:hAnsi="Franklin Gothic Book"/>
          <w:sz w:val="22"/>
        </w:rPr>
        <w:t xml:space="preserve"> expression testing, therefore outcomes of sensitivity and specificity and the flow-on outcomes of positive and negative predictive values are not applicable. The submission stated that this was consistent with the ratified PICO which outlined that “PASC agreed with the nominated outcomes for the test, with the exception of ‘sensitivity and specificity’ (and by extension, the positive and negative predictive values and likelihood ratios) on the basis there is no reference standard to compare the specified test against”</w:t>
      </w:r>
      <w:r w:rsidRPr="00A36EC0">
        <w:rPr>
          <w:rFonts w:ascii="Franklin Gothic Book" w:hAnsi="Franklin Gothic Book"/>
          <w:i/>
          <w:sz w:val="22"/>
        </w:rPr>
        <w:t xml:space="preserve"> </w:t>
      </w:r>
      <w:r w:rsidRPr="00A36EC0">
        <w:rPr>
          <w:rFonts w:ascii="Franklin Gothic Book" w:hAnsi="Franklin Gothic Book"/>
          <w:sz w:val="22"/>
        </w:rPr>
        <w:t xml:space="preserve">(p. 22, 1787 Ratified PICO Confirmation, December 2024 PASC meeting). However, the commentary considered this was not consistent with MSAC guidelines which state that, for a codependent technology, the model structure should capture patients at the point of testing such that the incremental benefits and costs are included for those who are both positive and negative for the test. </w:t>
      </w:r>
    </w:p>
    <w:p w14:paraId="3FC19467" w14:textId="78FA61CA" w:rsidR="00606F1F" w:rsidRPr="00A36EC0" w:rsidRDefault="00606F1F" w:rsidP="00606F1F">
      <w:pPr>
        <w:rPr>
          <w:rFonts w:ascii="Franklin Gothic Book" w:hAnsi="Franklin Gothic Book"/>
          <w:sz w:val="22"/>
        </w:rPr>
      </w:pPr>
      <w:r w:rsidRPr="00A36EC0">
        <w:rPr>
          <w:rFonts w:ascii="Franklin Gothic Book" w:hAnsi="Franklin Gothic Book"/>
          <w:sz w:val="22"/>
        </w:rPr>
        <w:lastRenderedPageBreak/>
        <w:t xml:space="preserve">The use of the model input population from the MIRASOL trial (which consisted of patients with high </w:t>
      </w:r>
      <w:r w:rsidRPr="00A36EC0">
        <w:rPr>
          <w:rFonts w:ascii="Franklin Gothic Book" w:hAnsi="Franklin Gothic Book" w:cs="Calibri"/>
          <w:sz w:val="22"/>
        </w:rPr>
        <w:t>FRα expression only)</w:t>
      </w:r>
      <w:r w:rsidRPr="00A36EC0">
        <w:rPr>
          <w:rFonts w:ascii="Franklin Gothic Book" w:hAnsi="Franklin Gothic Book"/>
          <w:sz w:val="22"/>
        </w:rPr>
        <w:t xml:space="preserve"> limits the </w:t>
      </w:r>
      <w:r w:rsidR="00BD1E8D" w:rsidRPr="00A36EC0">
        <w:rPr>
          <w:rFonts w:ascii="Franklin Gothic Book" w:hAnsi="Franklin Gothic Book"/>
          <w:sz w:val="22"/>
        </w:rPr>
        <w:t xml:space="preserve">feasibility of conducting </w:t>
      </w:r>
      <w:r w:rsidRPr="00A36EC0">
        <w:rPr>
          <w:rFonts w:ascii="Franklin Gothic Book" w:hAnsi="Franklin Gothic Book"/>
          <w:sz w:val="22"/>
        </w:rPr>
        <w:t>scenario analysis excluding the biomarker test (assessing the net clinical benefit of providing MIRV to PROC patients both with and without the biomarker). However, the commentary considered that the submission could have used sub-group data from the FORWARD-I trial presented as supportive evidence to address this.</w:t>
      </w:r>
    </w:p>
    <w:p w14:paraId="0066FA14" w14:textId="06AD583C" w:rsidR="00606F1F" w:rsidRPr="00A36EC0" w:rsidRDefault="00606F1F" w:rsidP="00606F1F">
      <w:pPr>
        <w:rPr>
          <w:rFonts w:ascii="Franklin Gothic Book" w:hAnsi="Franklin Gothic Book"/>
          <w:sz w:val="22"/>
        </w:rPr>
      </w:pPr>
      <w:r w:rsidRPr="00A36EC0">
        <w:rPr>
          <w:rFonts w:ascii="Franklin Gothic Book" w:hAnsi="Franklin Gothic Book"/>
          <w:sz w:val="22"/>
        </w:rPr>
        <w:t>The model did include costs related to two scenarios for FRα expression testing: at primary diagnosis of high grade ovarian, fallopian tube or primary peritoneal cancer (base case) and at platinum resistance (sensitivity analysis). Testing costs were based on the number of tests required to identify one patient with high FRα expression and a proposed testing fee of $125. Additionally, for the testing scenario at platinum resistance, the costs of archival block retrieval ($85, MBS item 72860) and rebiopsy (average cost of $50.51, based on an estimated 10% of patients receiving a rebiopsy) were applied per patient (</w:t>
      </w:r>
      <w:r w:rsidR="00115536">
        <w:rPr>
          <w:rFonts w:ascii="Franklin Gothic Book" w:hAnsi="Franklin Gothic Book"/>
          <w:sz w:val="22"/>
        </w:rPr>
        <w:fldChar w:fldCharType="begin"/>
      </w:r>
      <w:r w:rsidR="00115536">
        <w:rPr>
          <w:rFonts w:ascii="Franklin Gothic Book" w:hAnsi="Franklin Gothic Book"/>
          <w:sz w:val="22"/>
        </w:rPr>
        <w:instrText xml:space="preserve"> REF _Ref198566682 \h  \* MERGEFORMAT </w:instrText>
      </w:r>
      <w:r w:rsidR="00115536">
        <w:rPr>
          <w:rFonts w:ascii="Franklin Gothic Book" w:hAnsi="Franklin Gothic Book"/>
          <w:sz w:val="22"/>
        </w:rPr>
      </w:r>
      <w:r w:rsidR="00115536">
        <w:rPr>
          <w:rFonts w:ascii="Franklin Gothic Book" w:hAnsi="Franklin Gothic Book"/>
          <w:sz w:val="22"/>
        </w:rPr>
        <w:fldChar w:fldCharType="separate"/>
      </w:r>
      <w:r w:rsidR="00115536" w:rsidRPr="00115536">
        <w:rPr>
          <w:rFonts w:ascii="Franklin Gothic Book" w:hAnsi="Franklin Gothic Book"/>
          <w:sz w:val="22"/>
        </w:rPr>
        <w:t>Table 21</w:t>
      </w:r>
      <w:r w:rsidR="00115536">
        <w:rPr>
          <w:rFonts w:ascii="Franklin Gothic Book" w:hAnsi="Franklin Gothic Book"/>
          <w:sz w:val="22"/>
        </w:rPr>
        <w:fldChar w:fldCharType="end"/>
      </w:r>
      <w:r w:rsidR="009716A9" w:rsidRPr="00A36EC0">
        <w:rPr>
          <w:rFonts w:ascii="Franklin Gothic Book" w:hAnsi="Franklin Gothic Book"/>
          <w:sz w:val="22"/>
        </w:rPr>
        <w:fldChar w:fldCharType="begin"/>
      </w:r>
      <w:r w:rsidR="009716A9" w:rsidRPr="00A36EC0">
        <w:rPr>
          <w:rFonts w:ascii="Franklin Gothic Book" w:hAnsi="Franklin Gothic Book"/>
          <w:sz w:val="22"/>
        </w:rPr>
        <w:instrText xml:space="preserve"> REF _Ref198566682 \h  \* MERGEFORMAT </w:instrText>
      </w:r>
      <w:r w:rsidR="009716A9" w:rsidRPr="00A36EC0">
        <w:rPr>
          <w:rFonts w:ascii="Franklin Gothic Book" w:hAnsi="Franklin Gothic Book"/>
          <w:sz w:val="22"/>
        </w:rPr>
      </w:r>
      <w:r w:rsidR="009716A9" w:rsidRPr="00A36EC0">
        <w:rPr>
          <w:rFonts w:ascii="Franklin Gothic Book" w:hAnsi="Franklin Gothic Book"/>
          <w:sz w:val="22"/>
        </w:rPr>
        <w:fldChar w:fldCharType="separate"/>
      </w:r>
      <w:r w:rsidR="009716A9" w:rsidRPr="00A36EC0">
        <w:rPr>
          <w:rFonts w:ascii="Franklin Gothic Book" w:hAnsi="Franklin Gothic Book"/>
          <w:sz w:val="22"/>
        </w:rPr>
        <w:fldChar w:fldCharType="end"/>
      </w:r>
      <w:r w:rsidRPr="00A36EC0">
        <w:rPr>
          <w:rFonts w:ascii="Franklin Gothic Book" w:hAnsi="Franklin Gothic Book"/>
          <w:sz w:val="22"/>
        </w:rPr>
        <w:t xml:space="preserve">). </w:t>
      </w:r>
    </w:p>
    <w:p w14:paraId="09948FC2" w14:textId="2285AE0F" w:rsidR="00606F1F" w:rsidRPr="00F10893" w:rsidRDefault="009716A9" w:rsidP="00166A73">
      <w:pPr>
        <w:keepNext/>
        <w:keepLines/>
        <w:tabs>
          <w:tab w:val="left" w:pos="1418"/>
        </w:tabs>
        <w:spacing w:before="0" w:after="0" w:line="259" w:lineRule="auto"/>
        <w:ind w:left="1418" w:hanging="1418"/>
        <w:contextualSpacing/>
        <w:jc w:val="left"/>
        <w:rPr>
          <w:rFonts w:ascii="Arial Narrow" w:hAnsi="Arial Narrow"/>
          <w:b/>
          <w:iCs/>
          <w:sz w:val="20"/>
          <w:szCs w:val="18"/>
        </w:rPr>
      </w:pPr>
      <w:r w:rsidRPr="00F10893">
        <w:rPr>
          <w:rFonts w:ascii="Arial Narrow" w:hAnsi="Arial Narrow"/>
          <w:b/>
          <w:iCs/>
          <w:sz w:val="20"/>
          <w:szCs w:val="18"/>
        </w:rPr>
        <w:t xml:space="preserve"> </w:t>
      </w:r>
      <w:bookmarkStart w:id="49" w:name="_Ref198566682"/>
      <w:r w:rsidR="005E37CF">
        <w:rPr>
          <w:rFonts w:ascii="Arial Narrow" w:hAnsi="Arial Narrow"/>
          <w:b/>
          <w:iCs/>
          <w:sz w:val="20"/>
          <w:szCs w:val="18"/>
        </w:rPr>
        <w:t>Table</w:t>
      </w:r>
      <w:r w:rsidRPr="00F10893">
        <w:rPr>
          <w:rFonts w:ascii="Arial Narrow" w:hAnsi="Arial Narrow"/>
          <w:b/>
          <w:iCs/>
          <w:sz w:val="20"/>
          <w:szCs w:val="18"/>
        </w:rPr>
        <w:t xml:space="preserve"> </w:t>
      </w:r>
      <w:r w:rsidR="005E37CF">
        <w:rPr>
          <w:rFonts w:ascii="Arial Narrow" w:hAnsi="Arial Narrow"/>
          <w:b/>
          <w:iCs/>
          <w:sz w:val="20"/>
          <w:szCs w:val="18"/>
        </w:rPr>
        <w:fldChar w:fldCharType="begin"/>
      </w:r>
      <w:r w:rsidR="005E37CF">
        <w:rPr>
          <w:rFonts w:ascii="Arial Narrow" w:hAnsi="Arial Narrow"/>
          <w:b/>
          <w:iCs/>
          <w:sz w:val="20"/>
          <w:szCs w:val="18"/>
        </w:rPr>
        <w:instrText xml:space="preserve"> SEQ Table \* ARABIC </w:instrText>
      </w:r>
      <w:r w:rsidR="005E37CF">
        <w:rPr>
          <w:rFonts w:ascii="Arial Narrow" w:hAnsi="Arial Narrow"/>
          <w:b/>
          <w:iCs/>
          <w:sz w:val="20"/>
          <w:szCs w:val="18"/>
        </w:rPr>
        <w:fldChar w:fldCharType="separate"/>
      </w:r>
      <w:r w:rsidR="005E37CF">
        <w:rPr>
          <w:rFonts w:ascii="Arial Narrow" w:hAnsi="Arial Narrow"/>
          <w:b/>
          <w:iCs/>
          <w:noProof/>
          <w:sz w:val="20"/>
          <w:szCs w:val="18"/>
        </w:rPr>
        <w:t>21</w:t>
      </w:r>
      <w:r w:rsidR="005E37CF">
        <w:rPr>
          <w:rFonts w:ascii="Arial Narrow" w:hAnsi="Arial Narrow"/>
          <w:b/>
          <w:iCs/>
          <w:sz w:val="20"/>
          <w:szCs w:val="18"/>
        </w:rPr>
        <w:fldChar w:fldCharType="end"/>
      </w:r>
      <w:bookmarkEnd w:id="49"/>
      <w:r w:rsidRPr="00F10893">
        <w:rPr>
          <w:rFonts w:ascii="Arial Narrow" w:hAnsi="Arial Narrow"/>
          <w:b/>
          <w:iCs/>
          <w:sz w:val="20"/>
          <w:szCs w:val="18"/>
        </w:rPr>
        <w:t xml:space="preserve">: </w:t>
      </w:r>
      <w:r w:rsidR="00FE50ED" w:rsidRPr="00F10893">
        <w:rPr>
          <w:rFonts w:ascii="Arial Narrow" w:hAnsi="Arial Narrow"/>
          <w:b/>
          <w:iCs/>
          <w:sz w:val="20"/>
          <w:szCs w:val="18"/>
        </w:rPr>
        <w:t>Test</w:t>
      </w:r>
      <w:r w:rsidR="00606F1F" w:rsidRPr="00F10893">
        <w:rPr>
          <w:rFonts w:ascii="Arial Narrow" w:hAnsi="Arial Narrow"/>
          <w:b/>
          <w:iCs/>
          <w:sz w:val="20"/>
          <w:szCs w:val="18"/>
        </w:rPr>
        <w:t xml:space="preserve"> costs per patient applied in the economic model</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2977"/>
        <w:gridCol w:w="1791"/>
      </w:tblGrid>
      <w:tr w:rsidR="00C81DDB" w:rsidRPr="00F10893" w14:paraId="0DCE3655" w14:textId="77777777" w:rsidTr="00A81D83">
        <w:trPr>
          <w:cnfStyle w:val="100000000000" w:firstRow="1" w:lastRow="0" w:firstColumn="0" w:lastColumn="0" w:oddVBand="0" w:evenVBand="0" w:oddHBand="0" w:evenHBand="0" w:firstRowFirstColumn="0" w:firstRowLastColumn="0" w:lastRowFirstColumn="0" w:lastRowLastColumn="0"/>
          <w:trHeight w:val="206"/>
          <w:jc w:val="center"/>
        </w:trPr>
        <w:tc>
          <w:tcPr>
            <w:tcW w:w="4248" w:type="dxa"/>
            <w:gridSpan w:val="2"/>
          </w:tcPr>
          <w:p w14:paraId="235BCBB0" w14:textId="77777777" w:rsidR="00606F1F" w:rsidRPr="00F10893" w:rsidRDefault="00606F1F" w:rsidP="00166A73">
            <w:pPr>
              <w:keepNext/>
              <w:keepLines/>
              <w:spacing w:before="0"/>
              <w:jc w:val="left"/>
              <w:rPr>
                <w:rFonts w:ascii="Arial Narrow" w:hAnsi="Arial Narrow" w:cstheme="minorHAnsi"/>
                <w:b w:val="0"/>
                <w:sz w:val="20"/>
                <w:szCs w:val="20"/>
                <w:lang w:val="en-AU"/>
              </w:rPr>
            </w:pPr>
            <w:r w:rsidRPr="00F10893">
              <w:rPr>
                <w:rFonts w:ascii="Arial Narrow" w:hAnsi="Arial Narrow" w:cstheme="minorHAnsi"/>
                <w:sz w:val="20"/>
                <w:szCs w:val="20"/>
                <w:lang w:val="en-AU"/>
              </w:rPr>
              <w:t xml:space="preserve">Testing scenario: at primary diagnosis </w:t>
            </w:r>
          </w:p>
          <w:p w14:paraId="13A1E85C" w14:textId="77777777" w:rsidR="00606F1F" w:rsidRPr="00F10893" w:rsidRDefault="00606F1F" w:rsidP="00166A73">
            <w:pPr>
              <w:keepNext/>
              <w:keepLines/>
              <w:spacing w:before="0"/>
              <w:jc w:val="left"/>
              <w:rPr>
                <w:rFonts w:ascii="Arial Narrow" w:hAnsi="Arial Narrow" w:cstheme="minorHAnsi"/>
                <w:sz w:val="20"/>
                <w:szCs w:val="20"/>
                <w:lang w:val="en-AU"/>
              </w:rPr>
            </w:pPr>
            <w:r w:rsidRPr="00F10893">
              <w:rPr>
                <w:rFonts w:ascii="Arial Narrow" w:hAnsi="Arial Narrow" w:cstheme="minorHAnsi"/>
                <w:sz w:val="20"/>
                <w:szCs w:val="20"/>
                <w:lang w:val="en-AU"/>
              </w:rPr>
              <w:t>(base case)</w:t>
            </w:r>
          </w:p>
        </w:tc>
        <w:tc>
          <w:tcPr>
            <w:tcW w:w="4768" w:type="dxa"/>
            <w:gridSpan w:val="2"/>
          </w:tcPr>
          <w:p w14:paraId="455BDC50" w14:textId="77777777" w:rsidR="00606F1F" w:rsidRPr="00F10893" w:rsidRDefault="00606F1F" w:rsidP="00166A73">
            <w:pPr>
              <w:keepNext/>
              <w:keepLines/>
              <w:spacing w:before="0"/>
              <w:jc w:val="left"/>
              <w:rPr>
                <w:rFonts w:ascii="Arial Narrow" w:hAnsi="Arial Narrow" w:cstheme="minorHAnsi"/>
                <w:b w:val="0"/>
                <w:sz w:val="20"/>
                <w:szCs w:val="20"/>
                <w:lang w:val="en-AU"/>
              </w:rPr>
            </w:pPr>
            <w:r w:rsidRPr="00F10893">
              <w:rPr>
                <w:rFonts w:ascii="Arial Narrow" w:hAnsi="Arial Narrow" w:cstheme="minorHAnsi"/>
                <w:sz w:val="20"/>
                <w:szCs w:val="20"/>
                <w:lang w:val="en-AU"/>
              </w:rPr>
              <w:t xml:space="preserve">Testing scenario: at platinum resistance </w:t>
            </w:r>
          </w:p>
          <w:p w14:paraId="701FC4CF" w14:textId="77777777" w:rsidR="00606F1F" w:rsidRPr="00F10893" w:rsidRDefault="00606F1F" w:rsidP="00166A73">
            <w:pPr>
              <w:keepNext/>
              <w:keepLines/>
              <w:spacing w:before="0"/>
              <w:jc w:val="left"/>
              <w:rPr>
                <w:rFonts w:ascii="Arial Narrow" w:hAnsi="Arial Narrow" w:cstheme="minorHAnsi"/>
                <w:sz w:val="20"/>
                <w:szCs w:val="20"/>
                <w:lang w:val="en-AU"/>
              </w:rPr>
            </w:pPr>
            <w:r w:rsidRPr="00F10893">
              <w:rPr>
                <w:rFonts w:ascii="Arial Narrow" w:hAnsi="Arial Narrow" w:cstheme="minorHAnsi"/>
                <w:sz w:val="20"/>
                <w:szCs w:val="20"/>
                <w:lang w:val="en-AU"/>
              </w:rPr>
              <w:t>(sensitivity analysis)</w:t>
            </w:r>
          </w:p>
        </w:tc>
      </w:tr>
      <w:tr w:rsidR="00606F1F" w:rsidRPr="00F10893" w14:paraId="3751B4EF" w14:textId="77777777" w:rsidTr="00A81D83">
        <w:trPr>
          <w:jc w:val="center"/>
        </w:trPr>
        <w:tc>
          <w:tcPr>
            <w:tcW w:w="3114" w:type="dxa"/>
          </w:tcPr>
          <w:p w14:paraId="3B071B8B"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Incident cases high grade ovarian cancer, serous carcinomas of the fallopian tube and primary peritoneal cancer (projected calendar year 2026)</w:t>
            </w:r>
          </w:p>
        </w:tc>
        <w:tc>
          <w:tcPr>
            <w:tcW w:w="1134" w:type="dxa"/>
            <w:vAlign w:val="center"/>
          </w:tcPr>
          <w:p w14:paraId="1AB873F9" w14:textId="560232EC" w:rsidR="00606F1F" w:rsidRPr="00FC6520" w:rsidRDefault="00D873A0" w:rsidP="00166A73">
            <w:pPr>
              <w:keepNext/>
              <w:keepLines/>
              <w:spacing w:before="0"/>
              <w:jc w:val="center"/>
              <w:rPr>
                <w:rFonts w:ascii="Arial Narrow" w:hAnsi="Arial Narrow" w:cstheme="minorHAnsi"/>
                <w:sz w:val="20"/>
                <w:szCs w:val="20"/>
                <w:highlight w:val="yellow"/>
                <w:vertAlign w:val="superscript"/>
                <w:lang w:val="en-AU"/>
              </w:rPr>
            </w:pPr>
            <w:r>
              <w:rPr>
                <w:rFonts w:ascii="Arial Narrow" w:hAnsi="Arial Narrow" w:cs="Calibri"/>
                <w:sz w:val="20"/>
                <w:szCs w:val="20"/>
                <w:lang w:val="en-AU"/>
              </w:rPr>
              <w:t>redacted</w:t>
            </w:r>
            <w:r w:rsidR="00FC6520" w:rsidRPr="00FC6520">
              <w:rPr>
                <w:rFonts w:ascii="Arial Narrow" w:hAnsi="Arial Narrow" w:cs="Calibri"/>
                <w:sz w:val="20"/>
                <w:szCs w:val="20"/>
                <w:vertAlign w:val="superscript"/>
                <w:lang w:val="en-AU"/>
              </w:rPr>
              <w:t>1</w:t>
            </w:r>
          </w:p>
        </w:tc>
        <w:tc>
          <w:tcPr>
            <w:tcW w:w="2977" w:type="dxa"/>
            <w:vAlign w:val="bottom"/>
          </w:tcPr>
          <w:p w14:paraId="3145CE15"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Patients with platinum-resistant high grade epithelial ovarian, fallopian tube, or primary peritoneal cancer (projected calendar year 2026)</w:t>
            </w:r>
          </w:p>
        </w:tc>
        <w:tc>
          <w:tcPr>
            <w:tcW w:w="1791" w:type="dxa"/>
            <w:vAlign w:val="center"/>
          </w:tcPr>
          <w:p w14:paraId="5DFFBF10" w14:textId="1C52597D" w:rsidR="00606F1F" w:rsidRPr="00FC6520" w:rsidRDefault="00D873A0" w:rsidP="00166A73">
            <w:pPr>
              <w:keepNext/>
              <w:keepLines/>
              <w:spacing w:before="0"/>
              <w:jc w:val="center"/>
              <w:rPr>
                <w:rFonts w:ascii="Arial Narrow" w:hAnsi="Arial Narrow" w:cstheme="minorHAnsi"/>
                <w:sz w:val="20"/>
                <w:szCs w:val="20"/>
                <w:highlight w:val="yellow"/>
                <w:vertAlign w:val="superscript"/>
                <w:lang w:val="en-AU"/>
              </w:rPr>
            </w:pPr>
            <w:r>
              <w:rPr>
                <w:rFonts w:ascii="Arial Narrow" w:hAnsi="Arial Narrow" w:cs="Calibri"/>
                <w:sz w:val="20"/>
                <w:szCs w:val="20"/>
                <w:lang w:val="en-AU"/>
              </w:rPr>
              <w:t>redacted</w:t>
            </w:r>
            <w:r w:rsidR="00FC6520" w:rsidRPr="00FC6520">
              <w:rPr>
                <w:rFonts w:ascii="Arial Narrow" w:hAnsi="Arial Narrow" w:cs="Calibri"/>
                <w:sz w:val="20"/>
                <w:szCs w:val="20"/>
                <w:vertAlign w:val="superscript"/>
                <w:lang w:val="en-AU"/>
              </w:rPr>
              <w:t>1</w:t>
            </w:r>
          </w:p>
        </w:tc>
      </w:tr>
      <w:tr w:rsidR="00606F1F" w:rsidRPr="00F10893" w14:paraId="7D5BF2C7" w14:textId="77777777" w:rsidTr="00A81D83">
        <w:trPr>
          <w:jc w:val="center"/>
        </w:trPr>
        <w:tc>
          <w:tcPr>
            <w:tcW w:w="3114" w:type="dxa"/>
          </w:tcPr>
          <w:p w14:paraId="549712C9"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 xml:space="preserve">% cases with FRα testing requested (test uptake rate) </w:t>
            </w:r>
          </w:p>
        </w:tc>
        <w:tc>
          <w:tcPr>
            <w:tcW w:w="1134" w:type="dxa"/>
            <w:vAlign w:val="center"/>
          </w:tcPr>
          <w:p w14:paraId="42B87A51" w14:textId="1E3FBFB1" w:rsidR="00606F1F" w:rsidRPr="006A7CED" w:rsidRDefault="00090411" w:rsidP="00166A73">
            <w:pPr>
              <w:keepNext/>
              <w:keepLines/>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606F1F" w:rsidRPr="0019667F">
              <w:rPr>
                <w:rFonts w:ascii="Arial Narrow" w:hAnsi="Arial Narrow" w:cs="Calibri"/>
                <w:sz w:val="20"/>
                <w:szCs w:val="20"/>
                <w:lang w:val="en-AU"/>
              </w:rPr>
              <w:t>%</w:t>
            </w:r>
          </w:p>
        </w:tc>
        <w:tc>
          <w:tcPr>
            <w:tcW w:w="2977" w:type="dxa"/>
            <w:vAlign w:val="bottom"/>
          </w:tcPr>
          <w:p w14:paraId="3A395256"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 xml:space="preserve">% cases with FRα testing requested (test uptake rate) </w:t>
            </w:r>
          </w:p>
        </w:tc>
        <w:tc>
          <w:tcPr>
            <w:tcW w:w="1791" w:type="dxa"/>
            <w:vAlign w:val="center"/>
          </w:tcPr>
          <w:p w14:paraId="44189013" w14:textId="0EA9B462" w:rsidR="00606F1F" w:rsidRPr="006A7CED" w:rsidRDefault="00090411" w:rsidP="00166A73">
            <w:pPr>
              <w:keepNext/>
              <w:keepLines/>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606F1F" w:rsidRPr="00D873A0">
              <w:rPr>
                <w:rFonts w:ascii="Arial Narrow" w:hAnsi="Arial Narrow" w:cs="Calibri"/>
                <w:sz w:val="20"/>
                <w:szCs w:val="20"/>
                <w:lang w:val="en-AU"/>
              </w:rPr>
              <w:t>%</w:t>
            </w:r>
          </w:p>
        </w:tc>
      </w:tr>
      <w:tr w:rsidR="00606F1F" w:rsidRPr="00F10893" w14:paraId="5EE8AC08" w14:textId="77777777" w:rsidTr="00A81D83">
        <w:trPr>
          <w:jc w:val="center"/>
        </w:trPr>
        <w:tc>
          <w:tcPr>
            <w:tcW w:w="3114" w:type="dxa"/>
          </w:tcPr>
          <w:p w14:paraId="4B7DC03E"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Number FRα</w:t>
            </w:r>
            <w:r w:rsidRPr="00F10893">
              <w:rPr>
                <w:rFonts w:ascii="Arial Narrow" w:hAnsi="Arial Narrow" w:cs="Arial"/>
                <w:sz w:val="20"/>
                <w:szCs w:val="20"/>
                <w:lang w:val="en-AU"/>
              </w:rPr>
              <w:t xml:space="preserve"> tests requested</w:t>
            </w:r>
          </w:p>
        </w:tc>
        <w:tc>
          <w:tcPr>
            <w:tcW w:w="1134" w:type="dxa"/>
            <w:vAlign w:val="center"/>
          </w:tcPr>
          <w:p w14:paraId="3244DF6B" w14:textId="1DDCDBAE" w:rsidR="00606F1F" w:rsidRPr="006A7CED" w:rsidRDefault="00D873A0" w:rsidP="00166A73">
            <w:pPr>
              <w:keepNext/>
              <w:keepLines/>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E2781B" w:rsidRPr="00FC6520">
              <w:rPr>
                <w:rFonts w:ascii="Arial Narrow" w:hAnsi="Arial Narrow" w:cs="Calibri"/>
                <w:sz w:val="20"/>
                <w:szCs w:val="20"/>
                <w:vertAlign w:val="superscript"/>
                <w:lang w:val="en-AU"/>
              </w:rPr>
              <w:t>1</w:t>
            </w:r>
          </w:p>
        </w:tc>
        <w:tc>
          <w:tcPr>
            <w:tcW w:w="2977" w:type="dxa"/>
            <w:vAlign w:val="bottom"/>
          </w:tcPr>
          <w:p w14:paraId="173BDDFF" w14:textId="77777777" w:rsidR="00606F1F" w:rsidRPr="00F10893" w:rsidRDefault="00606F1F" w:rsidP="00166A73">
            <w:pPr>
              <w:keepNext/>
              <w:keepLines/>
              <w:spacing w:before="0"/>
              <w:rPr>
                <w:rFonts w:ascii="Arial Narrow" w:hAnsi="Arial Narrow" w:cstheme="minorHAnsi"/>
                <w:sz w:val="20"/>
                <w:szCs w:val="20"/>
                <w:lang w:val="en-AU"/>
              </w:rPr>
            </w:pPr>
            <w:r w:rsidRPr="00F10893">
              <w:rPr>
                <w:rFonts w:ascii="Arial Narrow" w:hAnsi="Arial Narrow" w:cs="Calibri"/>
                <w:sz w:val="20"/>
                <w:szCs w:val="20"/>
                <w:lang w:val="en-AU"/>
              </w:rPr>
              <w:t>Number FRα tests requested</w:t>
            </w:r>
          </w:p>
        </w:tc>
        <w:tc>
          <w:tcPr>
            <w:tcW w:w="1791" w:type="dxa"/>
            <w:vAlign w:val="center"/>
          </w:tcPr>
          <w:p w14:paraId="6EC0361B" w14:textId="232A5F66" w:rsidR="00606F1F" w:rsidRPr="006A7CED" w:rsidRDefault="00D873A0" w:rsidP="00166A73">
            <w:pPr>
              <w:keepNext/>
              <w:keepLines/>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E2781B" w:rsidRPr="00FC6520">
              <w:rPr>
                <w:rFonts w:ascii="Arial Narrow" w:hAnsi="Arial Narrow" w:cs="Calibri"/>
                <w:sz w:val="20"/>
                <w:szCs w:val="20"/>
                <w:vertAlign w:val="superscript"/>
                <w:lang w:val="en-AU"/>
              </w:rPr>
              <w:t>1</w:t>
            </w:r>
          </w:p>
        </w:tc>
      </w:tr>
      <w:tr w:rsidR="008854E5" w:rsidRPr="00F10893" w14:paraId="595BFD43" w14:textId="77777777" w:rsidTr="00A81D83">
        <w:trPr>
          <w:jc w:val="center"/>
        </w:trPr>
        <w:tc>
          <w:tcPr>
            <w:tcW w:w="3114" w:type="dxa"/>
          </w:tcPr>
          <w:p w14:paraId="0264BD7A" w14:textId="13718237" w:rsidR="008854E5" w:rsidRPr="00BB3B47" w:rsidRDefault="008854E5" w:rsidP="00166A73">
            <w:pPr>
              <w:keepNext/>
              <w:keepLines/>
              <w:spacing w:before="0"/>
              <w:rPr>
                <w:rFonts w:ascii="Arial Narrow" w:hAnsi="Arial Narrow" w:cs="Calibri"/>
                <w:color w:val="388600"/>
                <w:sz w:val="20"/>
                <w:szCs w:val="20"/>
              </w:rPr>
            </w:pPr>
            <w:r w:rsidRPr="00243AEB">
              <w:rPr>
                <w:rFonts w:ascii="Arial Narrow" w:hAnsi="Arial Narrow" w:cs="Calibri"/>
                <w:color w:val="538135" w:themeColor="accent6" w:themeShade="BF"/>
                <w:sz w:val="20"/>
                <w:szCs w:val="20"/>
              </w:rPr>
              <w:t xml:space="preserve">Revised number </w:t>
            </w:r>
            <w:r w:rsidRPr="00243AEB">
              <w:rPr>
                <w:rFonts w:ascii="Arial Narrow" w:hAnsi="Arial Narrow" w:cs="Calibri"/>
                <w:color w:val="538135" w:themeColor="accent6" w:themeShade="BF"/>
                <w:sz w:val="20"/>
                <w:szCs w:val="20"/>
                <w:lang w:val="en-AU"/>
              </w:rPr>
              <w:t>FRα</w:t>
            </w:r>
            <w:r w:rsidRPr="00243AEB">
              <w:rPr>
                <w:rFonts w:ascii="Arial Narrow" w:hAnsi="Arial Narrow" w:cs="Arial"/>
                <w:color w:val="538135" w:themeColor="accent6" w:themeShade="BF"/>
                <w:sz w:val="20"/>
                <w:szCs w:val="20"/>
                <w:lang w:val="en-AU"/>
              </w:rPr>
              <w:t xml:space="preserve"> tests requested </w:t>
            </w:r>
          </w:p>
        </w:tc>
        <w:tc>
          <w:tcPr>
            <w:tcW w:w="1134" w:type="dxa"/>
            <w:vAlign w:val="center"/>
          </w:tcPr>
          <w:p w14:paraId="6DC5997B" w14:textId="63B07855" w:rsidR="008854E5" w:rsidRPr="006A7CED" w:rsidRDefault="00D873A0" w:rsidP="00166A73">
            <w:pPr>
              <w:keepNext/>
              <w:keepLines/>
              <w:spacing w:before="0"/>
              <w:jc w:val="center"/>
              <w:rPr>
                <w:rFonts w:ascii="Arial Narrow" w:hAnsi="Arial Narrow" w:cs="Calibri"/>
                <w:color w:val="006100"/>
                <w:sz w:val="20"/>
                <w:szCs w:val="20"/>
                <w:highlight w:val="yellow"/>
              </w:rPr>
            </w:pPr>
            <w:r w:rsidRPr="00863120">
              <w:rPr>
                <w:rFonts w:ascii="Arial Narrow" w:hAnsi="Arial Narrow" w:cs="Calibri"/>
                <w:color w:val="538135" w:themeColor="accent6" w:themeShade="BF"/>
                <w:sz w:val="20"/>
                <w:szCs w:val="20"/>
                <w:lang w:val="en-AU"/>
              </w:rPr>
              <w:t>redacted</w:t>
            </w:r>
            <w:r w:rsidR="00E2781B" w:rsidRPr="00863120">
              <w:rPr>
                <w:rFonts w:ascii="Arial Narrow" w:hAnsi="Arial Narrow" w:cs="Calibri"/>
                <w:color w:val="538135" w:themeColor="accent6" w:themeShade="BF"/>
                <w:sz w:val="20"/>
                <w:szCs w:val="20"/>
                <w:vertAlign w:val="superscript"/>
                <w:lang w:val="en-AU"/>
              </w:rPr>
              <w:t>1</w:t>
            </w:r>
          </w:p>
        </w:tc>
        <w:tc>
          <w:tcPr>
            <w:tcW w:w="2977" w:type="dxa"/>
            <w:vAlign w:val="bottom"/>
          </w:tcPr>
          <w:p w14:paraId="509DEB50" w14:textId="73075487" w:rsidR="008854E5" w:rsidRPr="00E75BEA" w:rsidRDefault="00A81D83" w:rsidP="00166A73">
            <w:pPr>
              <w:keepNext/>
              <w:keepLines/>
              <w:spacing w:before="0"/>
              <w:rPr>
                <w:rFonts w:ascii="Arial Narrow" w:hAnsi="Arial Narrow" w:cs="Calibri"/>
                <w:color w:val="538135" w:themeColor="accent6" w:themeShade="BF"/>
                <w:sz w:val="20"/>
                <w:szCs w:val="20"/>
              </w:rPr>
            </w:pPr>
            <w:r w:rsidRPr="00E75BEA">
              <w:rPr>
                <w:rFonts w:ascii="Arial Narrow" w:hAnsi="Arial Narrow" w:cs="Calibri"/>
                <w:color w:val="538135" w:themeColor="accent6" w:themeShade="BF"/>
                <w:sz w:val="20"/>
                <w:szCs w:val="20"/>
              </w:rPr>
              <w:t xml:space="preserve">Revised number </w:t>
            </w:r>
            <w:r w:rsidRPr="00E75BEA">
              <w:rPr>
                <w:rFonts w:ascii="Arial Narrow" w:hAnsi="Arial Narrow" w:cs="Calibri"/>
                <w:color w:val="538135" w:themeColor="accent6" w:themeShade="BF"/>
                <w:sz w:val="20"/>
                <w:szCs w:val="20"/>
                <w:lang w:val="en-AU"/>
              </w:rPr>
              <w:t>FRα</w:t>
            </w:r>
            <w:r w:rsidRPr="00E75BEA">
              <w:rPr>
                <w:rFonts w:ascii="Arial Narrow" w:hAnsi="Arial Narrow" w:cs="Arial"/>
                <w:color w:val="538135" w:themeColor="accent6" w:themeShade="BF"/>
                <w:sz w:val="20"/>
                <w:szCs w:val="20"/>
                <w:lang w:val="en-AU"/>
              </w:rPr>
              <w:t xml:space="preserve"> tests requested</w:t>
            </w:r>
          </w:p>
        </w:tc>
        <w:tc>
          <w:tcPr>
            <w:tcW w:w="1791" w:type="dxa"/>
            <w:vAlign w:val="center"/>
          </w:tcPr>
          <w:p w14:paraId="55592E8F" w14:textId="577C07E4" w:rsidR="008854E5" w:rsidRPr="006A7CED" w:rsidRDefault="00D873A0" w:rsidP="00166A73">
            <w:pPr>
              <w:keepNext/>
              <w:keepLines/>
              <w:spacing w:before="0"/>
              <w:jc w:val="center"/>
              <w:rPr>
                <w:rFonts w:ascii="Arial Narrow" w:hAnsi="Arial Narrow" w:cs="Calibri"/>
                <w:color w:val="006100"/>
                <w:sz w:val="20"/>
                <w:szCs w:val="20"/>
                <w:highlight w:val="yellow"/>
              </w:rPr>
            </w:pPr>
            <w:r w:rsidRPr="00E75BEA">
              <w:rPr>
                <w:rFonts w:ascii="Arial Narrow" w:hAnsi="Arial Narrow" w:cs="Calibri"/>
                <w:color w:val="538135" w:themeColor="accent6" w:themeShade="BF"/>
                <w:sz w:val="20"/>
                <w:szCs w:val="20"/>
                <w:lang w:val="en-AU"/>
              </w:rPr>
              <w:t>redacted</w:t>
            </w:r>
            <w:r w:rsidR="00E2781B" w:rsidRPr="00E75BEA">
              <w:rPr>
                <w:rFonts w:ascii="Arial Narrow" w:hAnsi="Arial Narrow" w:cs="Calibri"/>
                <w:color w:val="538135" w:themeColor="accent6" w:themeShade="BF"/>
                <w:sz w:val="20"/>
                <w:szCs w:val="20"/>
                <w:vertAlign w:val="superscript"/>
                <w:lang w:val="en-AU"/>
              </w:rPr>
              <w:t>1</w:t>
            </w:r>
          </w:p>
        </w:tc>
      </w:tr>
      <w:tr w:rsidR="00606F1F" w:rsidRPr="00F10893" w14:paraId="18B04AFF" w14:textId="77777777" w:rsidTr="00A81D83">
        <w:trPr>
          <w:jc w:val="center"/>
        </w:trPr>
        <w:tc>
          <w:tcPr>
            <w:tcW w:w="3114" w:type="dxa"/>
            <w:vAlign w:val="center"/>
          </w:tcPr>
          <w:p w14:paraId="1F1CA36C" w14:textId="77777777" w:rsidR="00606F1F" w:rsidRPr="00F10893" w:rsidRDefault="00606F1F" w:rsidP="00606F1F">
            <w:pPr>
              <w:spacing w:before="0"/>
              <w:rPr>
                <w:rFonts w:ascii="Arial Narrow" w:hAnsi="Arial Narrow" w:cstheme="minorHAnsi"/>
                <w:sz w:val="20"/>
                <w:szCs w:val="20"/>
                <w:lang w:val="en-AU"/>
              </w:rPr>
            </w:pPr>
            <w:r w:rsidRPr="00F10893">
              <w:rPr>
                <w:rFonts w:ascii="Arial Narrow" w:hAnsi="Arial Narrow" w:cs="Calibri"/>
                <w:sz w:val="20"/>
                <w:szCs w:val="20"/>
                <w:lang w:val="en-AU"/>
              </w:rPr>
              <w:t>Patients treated with MIRV</w:t>
            </w:r>
            <w:r w:rsidRPr="00F10893">
              <w:rPr>
                <w:rFonts w:ascii="Arial Narrow" w:hAnsi="Arial Narrow" w:cs="Calibri"/>
                <w:sz w:val="20"/>
                <w:szCs w:val="20"/>
                <w:vertAlign w:val="superscript"/>
                <w:lang w:val="en-AU"/>
              </w:rPr>
              <w:t>a</w:t>
            </w:r>
            <w:r w:rsidRPr="00F10893">
              <w:rPr>
                <w:rFonts w:ascii="Arial Narrow" w:hAnsi="Arial Narrow" w:cs="Calibri"/>
                <w:sz w:val="20"/>
                <w:szCs w:val="20"/>
                <w:lang w:val="en-AU"/>
              </w:rPr>
              <w:t xml:space="preserve"> </w:t>
            </w:r>
          </w:p>
        </w:tc>
        <w:tc>
          <w:tcPr>
            <w:tcW w:w="1134" w:type="dxa"/>
            <w:vAlign w:val="center"/>
          </w:tcPr>
          <w:p w14:paraId="28B62B05" w14:textId="735C0264" w:rsidR="00606F1F" w:rsidRPr="006A7CED" w:rsidRDefault="00D873A0" w:rsidP="00606F1F">
            <w:pPr>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CF3D93" w:rsidRPr="00AE3CF3">
              <w:rPr>
                <w:rFonts w:ascii="Arial Narrow" w:hAnsi="Arial Narrow"/>
                <w:sz w:val="20"/>
                <w:szCs w:val="18"/>
                <w:vertAlign w:val="superscript"/>
              </w:rPr>
              <w:t>2</w:t>
            </w:r>
          </w:p>
        </w:tc>
        <w:tc>
          <w:tcPr>
            <w:tcW w:w="2977" w:type="dxa"/>
            <w:vAlign w:val="center"/>
          </w:tcPr>
          <w:p w14:paraId="6F9D2EEA" w14:textId="77777777" w:rsidR="00606F1F" w:rsidRPr="00F10893" w:rsidRDefault="00606F1F" w:rsidP="00606F1F">
            <w:pPr>
              <w:spacing w:before="0"/>
              <w:rPr>
                <w:rFonts w:ascii="Arial Narrow" w:hAnsi="Arial Narrow" w:cstheme="minorHAnsi"/>
                <w:sz w:val="20"/>
                <w:szCs w:val="20"/>
                <w:vertAlign w:val="superscript"/>
                <w:lang w:val="en-AU"/>
              </w:rPr>
            </w:pPr>
            <w:r w:rsidRPr="00F10893">
              <w:rPr>
                <w:rFonts w:ascii="Arial Narrow" w:hAnsi="Arial Narrow" w:cs="Calibri"/>
                <w:sz w:val="20"/>
                <w:szCs w:val="20"/>
                <w:lang w:val="en-AU"/>
              </w:rPr>
              <w:t>Patients treated with MIRV</w:t>
            </w:r>
            <w:r w:rsidRPr="00F10893">
              <w:rPr>
                <w:rFonts w:ascii="Arial Narrow" w:hAnsi="Arial Narrow" w:cs="Calibri"/>
                <w:sz w:val="20"/>
                <w:szCs w:val="20"/>
                <w:vertAlign w:val="superscript"/>
                <w:lang w:val="en-AU"/>
              </w:rPr>
              <w:t>a</w:t>
            </w:r>
          </w:p>
        </w:tc>
        <w:tc>
          <w:tcPr>
            <w:tcW w:w="1791" w:type="dxa"/>
            <w:vAlign w:val="center"/>
          </w:tcPr>
          <w:p w14:paraId="7C1DA783" w14:textId="170CF7F4" w:rsidR="00606F1F" w:rsidRPr="006A7CED" w:rsidRDefault="00D873A0" w:rsidP="00606F1F">
            <w:pPr>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r w:rsidR="00AE3CF3" w:rsidRPr="00AE3CF3">
              <w:rPr>
                <w:rFonts w:ascii="Arial Narrow" w:hAnsi="Arial Narrow"/>
                <w:sz w:val="20"/>
                <w:szCs w:val="18"/>
                <w:vertAlign w:val="superscript"/>
              </w:rPr>
              <w:t>2</w:t>
            </w:r>
          </w:p>
        </w:tc>
      </w:tr>
      <w:tr w:rsidR="00A81D83" w:rsidRPr="00F10893" w14:paraId="4C7EF0B6" w14:textId="77777777" w:rsidTr="00A81D83">
        <w:trPr>
          <w:jc w:val="center"/>
        </w:trPr>
        <w:tc>
          <w:tcPr>
            <w:tcW w:w="3114" w:type="dxa"/>
            <w:vAlign w:val="center"/>
          </w:tcPr>
          <w:p w14:paraId="14BFEB0C" w14:textId="4B7B01CA" w:rsidR="00A81D83" w:rsidRPr="00BB3B47" w:rsidRDefault="00A81D83" w:rsidP="00606F1F">
            <w:pPr>
              <w:spacing w:before="0"/>
              <w:rPr>
                <w:rFonts w:ascii="Arial Narrow" w:hAnsi="Arial Narrow" w:cs="Calibri"/>
                <w:color w:val="388600"/>
                <w:sz w:val="20"/>
                <w:szCs w:val="20"/>
              </w:rPr>
            </w:pPr>
            <w:r w:rsidRPr="00E75BEA">
              <w:rPr>
                <w:rFonts w:ascii="Arial Narrow" w:hAnsi="Arial Narrow" w:cs="Calibri"/>
                <w:color w:val="538135" w:themeColor="accent6" w:themeShade="BF"/>
                <w:sz w:val="20"/>
                <w:szCs w:val="20"/>
              </w:rPr>
              <w:t>Revised patients treated with MIRV</w:t>
            </w:r>
          </w:p>
        </w:tc>
        <w:tc>
          <w:tcPr>
            <w:tcW w:w="1134" w:type="dxa"/>
            <w:vAlign w:val="center"/>
          </w:tcPr>
          <w:p w14:paraId="21A8DCF7" w14:textId="42DF7951" w:rsidR="00A81D83" w:rsidRPr="006A7CED" w:rsidRDefault="00D873A0" w:rsidP="00606F1F">
            <w:pPr>
              <w:spacing w:before="0"/>
              <w:jc w:val="center"/>
              <w:rPr>
                <w:rFonts w:ascii="Arial Narrow" w:hAnsi="Arial Narrow" w:cs="Calibri"/>
                <w:color w:val="006100"/>
                <w:sz w:val="20"/>
                <w:szCs w:val="20"/>
                <w:highlight w:val="yellow"/>
              </w:rPr>
            </w:pPr>
            <w:r w:rsidRPr="00863120">
              <w:rPr>
                <w:rFonts w:ascii="Arial Narrow" w:hAnsi="Arial Narrow" w:cs="Calibri"/>
                <w:color w:val="538135" w:themeColor="accent6" w:themeShade="BF"/>
                <w:sz w:val="20"/>
                <w:szCs w:val="20"/>
                <w:lang w:val="en-AU"/>
              </w:rPr>
              <w:t>redacted</w:t>
            </w:r>
            <w:r w:rsidR="00AE3CF3" w:rsidRPr="00863120">
              <w:rPr>
                <w:rFonts w:ascii="Arial Narrow" w:hAnsi="Arial Narrow"/>
                <w:color w:val="538135" w:themeColor="accent6" w:themeShade="BF"/>
                <w:sz w:val="20"/>
                <w:szCs w:val="18"/>
                <w:vertAlign w:val="superscript"/>
              </w:rPr>
              <w:t>2</w:t>
            </w:r>
          </w:p>
        </w:tc>
        <w:tc>
          <w:tcPr>
            <w:tcW w:w="2977" w:type="dxa"/>
            <w:vAlign w:val="center"/>
          </w:tcPr>
          <w:p w14:paraId="6631ACA5" w14:textId="07F3345E" w:rsidR="00A81D83" w:rsidRPr="00BB3B47" w:rsidRDefault="00A81D83" w:rsidP="00606F1F">
            <w:pPr>
              <w:spacing w:before="0"/>
              <w:rPr>
                <w:rFonts w:ascii="Arial Narrow" w:hAnsi="Arial Narrow" w:cs="Calibri"/>
                <w:color w:val="006100"/>
                <w:sz w:val="20"/>
                <w:szCs w:val="20"/>
              </w:rPr>
            </w:pPr>
            <w:r w:rsidRPr="00BB3B47">
              <w:rPr>
                <w:rFonts w:ascii="Arial Narrow" w:hAnsi="Arial Narrow" w:cs="Calibri"/>
                <w:color w:val="006100"/>
                <w:sz w:val="20"/>
                <w:szCs w:val="20"/>
              </w:rPr>
              <w:t>Revised patients treated with MIRV</w:t>
            </w:r>
          </w:p>
        </w:tc>
        <w:tc>
          <w:tcPr>
            <w:tcW w:w="1791" w:type="dxa"/>
            <w:vAlign w:val="center"/>
          </w:tcPr>
          <w:p w14:paraId="1AB929A2" w14:textId="6E8F4058" w:rsidR="00A81D83" w:rsidRPr="006A7CED" w:rsidRDefault="00D873A0" w:rsidP="00606F1F">
            <w:pPr>
              <w:spacing w:before="0"/>
              <w:jc w:val="center"/>
              <w:rPr>
                <w:rFonts w:ascii="Arial Narrow" w:hAnsi="Arial Narrow" w:cs="Calibri"/>
                <w:color w:val="006100"/>
                <w:sz w:val="20"/>
                <w:szCs w:val="20"/>
                <w:highlight w:val="yellow"/>
              </w:rPr>
            </w:pPr>
            <w:r w:rsidRPr="00863120">
              <w:rPr>
                <w:rFonts w:ascii="Arial Narrow" w:hAnsi="Arial Narrow" w:cs="Calibri"/>
                <w:color w:val="538135" w:themeColor="accent6" w:themeShade="BF"/>
                <w:sz w:val="20"/>
                <w:szCs w:val="20"/>
                <w:lang w:val="en-AU"/>
              </w:rPr>
              <w:t>redacted</w:t>
            </w:r>
            <w:r w:rsidR="00AE3CF3" w:rsidRPr="00863120">
              <w:rPr>
                <w:rFonts w:ascii="Arial Narrow" w:hAnsi="Arial Narrow"/>
                <w:color w:val="538135" w:themeColor="accent6" w:themeShade="BF"/>
                <w:sz w:val="20"/>
                <w:szCs w:val="18"/>
                <w:vertAlign w:val="superscript"/>
              </w:rPr>
              <w:t>2</w:t>
            </w:r>
          </w:p>
        </w:tc>
      </w:tr>
      <w:tr w:rsidR="00606F1F" w:rsidRPr="00F10893" w14:paraId="2AFCB28E" w14:textId="77777777" w:rsidTr="00A81D83">
        <w:trPr>
          <w:jc w:val="center"/>
        </w:trPr>
        <w:tc>
          <w:tcPr>
            <w:tcW w:w="3114" w:type="dxa"/>
          </w:tcPr>
          <w:p w14:paraId="3E39DC99" w14:textId="77777777" w:rsidR="00606F1F" w:rsidRPr="00F10893" w:rsidRDefault="00606F1F" w:rsidP="00606F1F">
            <w:pPr>
              <w:spacing w:before="0"/>
              <w:rPr>
                <w:rFonts w:ascii="Arial Narrow" w:hAnsi="Arial Narrow" w:cstheme="minorHAnsi"/>
                <w:sz w:val="20"/>
                <w:szCs w:val="20"/>
                <w:lang w:val="en-AU"/>
              </w:rPr>
            </w:pPr>
            <w:r w:rsidRPr="00F10893">
              <w:rPr>
                <w:rFonts w:ascii="Arial Narrow" w:hAnsi="Arial Narrow" w:cs="Calibri"/>
                <w:sz w:val="20"/>
                <w:szCs w:val="20"/>
                <w:lang w:val="en-AU"/>
              </w:rPr>
              <w:t>FRα</w:t>
            </w:r>
            <w:r w:rsidRPr="00F10893">
              <w:rPr>
                <w:rFonts w:ascii="Arial Narrow" w:hAnsi="Arial Narrow" w:cs="Arial"/>
                <w:sz w:val="20"/>
                <w:szCs w:val="20"/>
                <w:lang w:val="en-AU"/>
              </w:rPr>
              <w:t xml:space="preserve"> tests required to identify 1 patient (</w:t>
            </w:r>
            <w:r w:rsidRPr="00F10893">
              <w:rPr>
                <w:rFonts w:ascii="Arial Narrow" w:hAnsi="Arial Narrow" w:cs="Calibri"/>
                <w:sz w:val="20"/>
                <w:szCs w:val="20"/>
                <w:lang w:val="en-AU"/>
              </w:rPr>
              <w:t>Number FRα</w:t>
            </w:r>
            <w:r w:rsidRPr="00F10893">
              <w:rPr>
                <w:rFonts w:ascii="Arial Narrow" w:hAnsi="Arial Narrow" w:cs="Arial"/>
                <w:sz w:val="20"/>
                <w:szCs w:val="20"/>
                <w:lang w:val="en-AU"/>
              </w:rPr>
              <w:t xml:space="preserve"> tests requested ÷ Patients treated with MIRV)</w:t>
            </w:r>
          </w:p>
        </w:tc>
        <w:tc>
          <w:tcPr>
            <w:tcW w:w="1134" w:type="dxa"/>
            <w:vAlign w:val="center"/>
          </w:tcPr>
          <w:p w14:paraId="4CD0A9C1" w14:textId="08A4701A" w:rsidR="00606F1F" w:rsidRPr="006A7CED" w:rsidRDefault="00D873A0" w:rsidP="00606F1F">
            <w:pPr>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p>
        </w:tc>
        <w:tc>
          <w:tcPr>
            <w:tcW w:w="2977" w:type="dxa"/>
            <w:vAlign w:val="bottom"/>
          </w:tcPr>
          <w:p w14:paraId="7C0D3896" w14:textId="77777777" w:rsidR="00606F1F" w:rsidRPr="00F10893" w:rsidRDefault="00606F1F" w:rsidP="00606F1F">
            <w:pPr>
              <w:spacing w:before="0"/>
              <w:rPr>
                <w:rFonts w:ascii="Arial Narrow" w:hAnsi="Arial Narrow" w:cstheme="minorHAnsi"/>
                <w:sz w:val="20"/>
                <w:szCs w:val="20"/>
                <w:lang w:val="en-AU"/>
              </w:rPr>
            </w:pPr>
            <w:r w:rsidRPr="00F10893">
              <w:rPr>
                <w:rFonts w:ascii="Arial Narrow" w:hAnsi="Arial Narrow" w:cs="Calibri"/>
                <w:sz w:val="20"/>
                <w:szCs w:val="20"/>
                <w:lang w:val="en-AU"/>
              </w:rPr>
              <w:t xml:space="preserve">FRα tests required to identify 1 patient </w:t>
            </w:r>
            <w:r w:rsidRPr="00F10893">
              <w:rPr>
                <w:rFonts w:ascii="Arial Narrow" w:hAnsi="Arial Narrow" w:cs="Arial"/>
                <w:sz w:val="20"/>
                <w:szCs w:val="20"/>
                <w:lang w:val="en-AU"/>
              </w:rPr>
              <w:t>(</w:t>
            </w:r>
            <w:r w:rsidRPr="00F10893">
              <w:rPr>
                <w:rFonts w:ascii="Arial Narrow" w:hAnsi="Arial Narrow" w:cs="Calibri"/>
                <w:sz w:val="20"/>
                <w:szCs w:val="20"/>
                <w:lang w:val="en-AU"/>
              </w:rPr>
              <w:t>Number FRα</w:t>
            </w:r>
            <w:r w:rsidRPr="00F10893">
              <w:rPr>
                <w:rFonts w:ascii="Arial Narrow" w:hAnsi="Arial Narrow" w:cs="Arial"/>
                <w:sz w:val="20"/>
                <w:szCs w:val="20"/>
                <w:lang w:val="en-AU"/>
              </w:rPr>
              <w:t xml:space="preserve"> tests requested ÷ Patients treated with MIRV)</w:t>
            </w:r>
          </w:p>
        </w:tc>
        <w:tc>
          <w:tcPr>
            <w:tcW w:w="1791" w:type="dxa"/>
            <w:vAlign w:val="center"/>
          </w:tcPr>
          <w:p w14:paraId="2240CCC7" w14:textId="276D39F0" w:rsidR="00606F1F" w:rsidRPr="006A7CED" w:rsidRDefault="00D873A0" w:rsidP="00606F1F">
            <w:pPr>
              <w:spacing w:before="0"/>
              <w:jc w:val="center"/>
              <w:rPr>
                <w:rFonts w:ascii="Arial Narrow" w:hAnsi="Arial Narrow" w:cstheme="minorHAnsi"/>
                <w:sz w:val="20"/>
                <w:szCs w:val="20"/>
                <w:highlight w:val="yellow"/>
                <w:lang w:val="en-AU"/>
              </w:rPr>
            </w:pPr>
            <w:r>
              <w:rPr>
                <w:rFonts w:ascii="Arial Narrow" w:hAnsi="Arial Narrow" w:cs="Calibri"/>
                <w:sz w:val="20"/>
                <w:szCs w:val="20"/>
                <w:lang w:val="en-AU"/>
              </w:rPr>
              <w:t>redacted</w:t>
            </w:r>
          </w:p>
        </w:tc>
      </w:tr>
      <w:tr w:rsidR="00606F1F" w:rsidRPr="00F10893" w14:paraId="6212F63B" w14:textId="77777777" w:rsidTr="00A81D83">
        <w:trPr>
          <w:trHeight w:val="302"/>
          <w:jc w:val="center"/>
        </w:trPr>
        <w:tc>
          <w:tcPr>
            <w:tcW w:w="3114" w:type="dxa"/>
          </w:tcPr>
          <w:p w14:paraId="3B5AB745" w14:textId="77777777" w:rsidR="00606F1F" w:rsidRPr="00F10893" w:rsidRDefault="00606F1F" w:rsidP="00606F1F">
            <w:pPr>
              <w:spacing w:before="0"/>
              <w:rPr>
                <w:rFonts w:ascii="Arial Narrow" w:hAnsi="Arial Narrow" w:cstheme="minorHAnsi"/>
                <w:sz w:val="20"/>
                <w:szCs w:val="20"/>
                <w:lang w:val="en-AU"/>
              </w:rPr>
            </w:pPr>
            <w:r w:rsidRPr="00F10893">
              <w:rPr>
                <w:rFonts w:ascii="Arial Narrow" w:hAnsi="Arial Narrow" w:cs="Calibri"/>
                <w:b/>
                <w:sz w:val="20"/>
                <w:szCs w:val="20"/>
                <w:lang w:val="en-AU"/>
              </w:rPr>
              <w:t>Total cost to detect one patient with FRα</w:t>
            </w:r>
            <w:r w:rsidRPr="00F10893">
              <w:rPr>
                <w:rFonts w:ascii="Arial Narrow" w:hAnsi="Arial Narrow" w:cs="Calibri"/>
                <w:sz w:val="20"/>
                <w:szCs w:val="20"/>
                <w:lang w:val="en-AU"/>
              </w:rPr>
              <w:t xml:space="preserve"> </w:t>
            </w:r>
            <w:r w:rsidRPr="00F10893">
              <w:rPr>
                <w:rFonts w:ascii="Arial Narrow" w:hAnsi="Arial Narrow" w:cs="Calibri"/>
                <w:b/>
                <w:sz w:val="20"/>
                <w:szCs w:val="20"/>
                <w:lang w:val="en-AU"/>
              </w:rPr>
              <w:t>high expression</w:t>
            </w:r>
          </w:p>
        </w:tc>
        <w:tc>
          <w:tcPr>
            <w:tcW w:w="1134" w:type="dxa"/>
            <w:vAlign w:val="center"/>
          </w:tcPr>
          <w:p w14:paraId="2235A90F" w14:textId="568A5009" w:rsidR="00606F1F" w:rsidRPr="00F10893" w:rsidRDefault="00606F1F" w:rsidP="00606F1F">
            <w:pPr>
              <w:spacing w:before="0"/>
              <w:jc w:val="center"/>
              <w:rPr>
                <w:rFonts w:ascii="Arial Narrow" w:hAnsi="Arial Narrow" w:cs="Calibri"/>
                <w:b/>
                <w:sz w:val="20"/>
                <w:szCs w:val="20"/>
                <w:lang w:val="en-AU"/>
              </w:rPr>
            </w:pPr>
            <w:r w:rsidRPr="00D873A0">
              <w:rPr>
                <w:rFonts w:ascii="Arial Narrow" w:hAnsi="Arial Narrow" w:cs="Calibri"/>
                <w:b/>
                <w:sz w:val="20"/>
                <w:szCs w:val="20"/>
                <w:lang w:val="en-AU"/>
              </w:rPr>
              <w:t>$</w:t>
            </w:r>
            <w:r w:rsidR="00D873A0" w:rsidRPr="00EC0683">
              <w:rPr>
                <w:rFonts w:ascii="Arial Narrow" w:hAnsi="Arial Narrow" w:cs="Calibri"/>
                <w:b/>
                <w:bCs/>
                <w:sz w:val="20"/>
                <w:szCs w:val="20"/>
                <w:lang w:val="en-AU"/>
              </w:rPr>
              <w:t>redacted</w:t>
            </w:r>
          </w:p>
          <w:p w14:paraId="7FA379DD" w14:textId="0B998234" w:rsidR="00606F1F" w:rsidRPr="00F10893" w:rsidRDefault="00606F1F" w:rsidP="00606F1F">
            <w:pPr>
              <w:spacing w:before="0"/>
              <w:jc w:val="center"/>
              <w:rPr>
                <w:rFonts w:ascii="Arial Narrow" w:hAnsi="Arial Narrow" w:cstheme="minorHAnsi"/>
                <w:sz w:val="20"/>
                <w:szCs w:val="20"/>
                <w:lang w:val="en-AU"/>
              </w:rPr>
            </w:pPr>
            <w:r w:rsidRPr="00F10893">
              <w:rPr>
                <w:rFonts w:ascii="Arial Narrow" w:hAnsi="Arial Narrow" w:cs="Calibri"/>
                <w:b/>
                <w:sz w:val="20"/>
                <w:szCs w:val="20"/>
                <w:lang w:val="en-AU"/>
              </w:rPr>
              <w:t>(</w:t>
            </w:r>
            <w:r w:rsidR="00D873A0" w:rsidRPr="00EC0683">
              <w:rPr>
                <w:rFonts w:ascii="Arial Narrow" w:hAnsi="Arial Narrow" w:cs="Calibri"/>
                <w:b/>
                <w:bCs/>
                <w:sz w:val="20"/>
                <w:szCs w:val="20"/>
                <w:lang w:val="en-AU"/>
              </w:rPr>
              <w:t>redacted</w:t>
            </w:r>
            <w:r w:rsidR="00DF0815">
              <w:rPr>
                <w:rFonts w:ascii="Arial Narrow" w:hAnsi="Arial Narrow" w:cs="Calibri"/>
                <w:b/>
                <w:bCs/>
                <w:sz w:val="20"/>
                <w:szCs w:val="20"/>
                <w:lang w:val="en-AU"/>
              </w:rPr>
              <w:t xml:space="preserve"> </w:t>
            </w:r>
            <w:r w:rsidRPr="00F10893">
              <w:rPr>
                <w:rFonts w:ascii="Arial Narrow" w:hAnsi="Arial Narrow" w:cs="Calibri"/>
                <w:b/>
                <w:sz w:val="20"/>
                <w:szCs w:val="20"/>
                <w:lang w:val="en-AU"/>
              </w:rPr>
              <w:t>x $125)</w:t>
            </w:r>
          </w:p>
        </w:tc>
        <w:tc>
          <w:tcPr>
            <w:tcW w:w="2977" w:type="dxa"/>
          </w:tcPr>
          <w:p w14:paraId="3D87162F" w14:textId="77777777" w:rsidR="00606F1F" w:rsidRPr="00F10893" w:rsidRDefault="00606F1F" w:rsidP="00606F1F">
            <w:pPr>
              <w:spacing w:before="0"/>
              <w:rPr>
                <w:rFonts w:ascii="Arial Narrow" w:hAnsi="Arial Narrow" w:cstheme="minorHAnsi"/>
                <w:sz w:val="20"/>
                <w:szCs w:val="20"/>
                <w:lang w:val="en-AU"/>
              </w:rPr>
            </w:pPr>
            <w:r w:rsidRPr="00F10893">
              <w:rPr>
                <w:rFonts w:ascii="Arial Narrow" w:hAnsi="Arial Narrow" w:cs="Calibri"/>
                <w:b/>
                <w:sz w:val="20"/>
                <w:szCs w:val="20"/>
                <w:lang w:val="en-AU"/>
              </w:rPr>
              <w:t>Total cost to detect one patient with FRα</w:t>
            </w:r>
            <w:r w:rsidRPr="00F10893" w:rsidDel="00780FC7">
              <w:rPr>
                <w:rFonts w:ascii="Arial Narrow" w:hAnsi="Arial Narrow" w:cs="Calibri"/>
                <w:b/>
                <w:sz w:val="20"/>
                <w:szCs w:val="20"/>
                <w:lang w:val="en-AU"/>
              </w:rPr>
              <w:t xml:space="preserve"> </w:t>
            </w:r>
            <w:r w:rsidRPr="00F10893">
              <w:rPr>
                <w:rFonts w:ascii="Arial Narrow" w:hAnsi="Arial Narrow" w:cs="Calibri"/>
                <w:b/>
                <w:sz w:val="20"/>
                <w:szCs w:val="20"/>
                <w:lang w:val="en-AU"/>
              </w:rPr>
              <w:t>high expression</w:t>
            </w:r>
          </w:p>
        </w:tc>
        <w:tc>
          <w:tcPr>
            <w:tcW w:w="1791" w:type="dxa"/>
            <w:vAlign w:val="center"/>
          </w:tcPr>
          <w:p w14:paraId="026AEF81" w14:textId="6D28E424" w:rsidR="00606F1F" w:rsidRPr="00F10893" w:rsidRDefault="00606F1F" w:rsidP="00606F1F">
            <w:pPr>
              <w:spacing w:before="0"/>
              <w:jc w:val="center"/>
              <w:rPr>
                <w:rFonts w:ascii="Arial Narrow" w:hAnsi="Arial Narrow" w:cs="Calibri"/>
                <w:b/>
                <w:sz w:val="20"/>
                <w:szCs w:val="20"/>
                <w:lang w:val="en-AU"/>
              </w:rPr>
            </w:pPr>
            <w:r w:rsidRPr="00F10893">
              <w:rPr>
                <w:rFonts w:ascii="Arial Narrow" w:hAnsi="Arial Narrow" w:cs="Calibri"/>
                <w:b/>
                <w:sz w:val="20"/>
                <w:szCs w:val="20"/>
                <w:lang w:val="en-AU"/>
              </w:rPr>
              <w:t>$</w:t>
            </w:r>
            <w:r w:rsidR="00D873A0" w:rsidRPr="00EC0683">
              <w:rPr>
                <w:rFonts w:ascii="Arial Narrow" w:hAnsi="Arial Narrow" w:cs="Calibri"/>
                <w:b/>
                <w:bCs/>
                <w:sz w:val="20"/>
                <w:szCs w:val="20"/>
                <w:lang w:val="en-AU"/>
              </w:rPr>
              <w:t>redacted</w:t>
            </w:r>
          </w:p>
          <w:p w14:paraId="5B72E6F4" w14:textId="2D3350E8" w:rsidR="00606F1F" w:rsidRPr="00F10893" w:rsidRDefault="00606F1F" w:rsidP="00606F1F">
            <w:pPr>
              <w:spacing w:before="0"/>
              <w:jc w:val="center"/>
              <w:rPr>
                <w:rFonts w:ascii="Arial Narrow" w:hAnsi="Arial Narrow" w:cstheme="minorHAnsi"/>
                <w:sz w:val="20"/>
                <w:szCs w:val="20"/>
                <w:lang w:val="en-AU"/>
              </w:rPr>
            </w:pPr>
            <w:r w:rsidRPr="00F10893" w:rsidDel="00A132DC">
              <w:rPr>
                <w:rFonts w:ascii="Arial Narrow" w:hAnsi="Arial Narrow" w:cs="Calibri"/>
                <w:b/>
                <w:sz w:val="20"/>
                <w:szCs w:val="20"/>
                <w:lang w:val="en-AU"/>
              </w:rPr>
              <w:t>(</w:t>
            </w:r>
            <w:r w:rsidR="00D873A0" w:rsidRPr="00EC0683">
              <w:rPr>
                <w:rFonts w:ascii="Arial Narrow" w:hAnsi="Arial Narrow" w:cs="Calibri"/>
                <w:b/>
                <w:bCs/>
                <w:sz w:val="20"/>
                <w:szCs w:val="20"/>
                <w:lang w:val="en-AU"/>
              </w:rPr>
              <w:t>redacted</w:t>
            </w:r>
            <w:r w:rsidR="00DF0815" w:rsidRPr="00DF0815">
              <w:rPr>
                <w:rFonts w:ascii="Arial Narrow" w:hAnsi="Arial Narrow" w:cs="Calibri"/>
                <w:b/>
                <w:bCs/>
                <w:sz w:val="20"/>
                <w:szCs w:val="20"/>
                <w:lang w:val="en-AU"/>
              </w:rPr>
              <w:t xml:space="preserve"> </w:t>
            </w:r>
            <w:r w:rsidRPr="00F10893">
              <w:rPr>
                <w:rFonts w:ascii="Arial Narrow" w:hAnsi="Arial Narrow" w:cs="Calibri"/>
                <w:b/>
                <w:sz w:val="20"/>
                <w:szCs w:val="20"/>
                <w:lang w:val="en-AU"/>
              </w:rPr>
              <w:t>x</w:t>
            </w:r>
            <w:r w:rsidR="00DF0815">
              <w:rPr>
                <w:rFonts w:ascii="Arial Narrow" w:hAnsi="Arial Narrow" w:cs="Calibri"/>
                <w:b/>
                <w:sz w:val="20"/>
                <w:szCs w:val="20"/>
                <w:lang w:val="en-AU"/>
              </w:rPr>
              <w:t xml:space="preserve"> </w:t>
            </w:r>
            <w:r w:rsidRPr="00F10893">
              <w:rPr>
                <w:rFonts w:ascii="Arial Narrow" w:hAnsi="Arial Narrow" w:cs="Calibri"/>
                <w:b/>
                <w:sz w:val="20"/>
                <w:szCs w:val="20"/>
                <w:lang w:val="en-AU"/>
              </w:rPr>
              <w:t>$125+$85+$50.51</w:t>
            </w:r>
            <w:r w:rsidR="00AF61A6">
              <w:rPr>
                <w:rFonts w:ascii="Arial Narrow" w:hAnsi="Arial Narrow" w:cs="Calibri"/>
                <w:b/>
                <w:sz w:val="20"/>
                <w:szCs w:val="20"/>
                <w:lang w:val="en-AU"/>
              </w:rPr>
              <w:t>)</w:t>
            </w:r>
          </w:p>
        </w:tc>
      </w:tr>
    </w:tbl>
    <w:p w14:paraId="0C7D333E" w14:textId="77777777" w:rsidR="00606F1F" w:rsidRPr="00F10893" w:rsidRDefault="00606F1F" w:rsidP="00606F1F">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Excel sheet ‘Other Medical Costs’ from economic workbook</w:t>
      </w:r>
    </w:p>
    <w:p w14:paraId="3A238407" w14:textId="5B06D0D6" w:rsidR="00606F1F" w:rsidRPr="00F10893" w:rsidRDefault="00606F1F" w:rsidP="00606F1F">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FRα = folate receptor alpha; MIRV = </w:t>
      </w:r>
      <w:r w:rsidR="00C006E3" w:rsidRPr="00F10893">
        <w:rPr>
          <w:rFonts w:ascii="Arial Narrow" w:eastAsia="Times New Roman" w:hAnsi="Arial Narrow" w:cs="Arial"/>
          <w:snapToGrid w:val="0"/>
          <w:sz w:val="18"/>
          <w:szCs w:val="20"/>
        </w:rPr>
        <w:t>mirvetuximab</w:t>
      </w:r>
      <w:r w:rsidRPr="00F10893">
        <w:rPr>
          <w:rFonts w:ascii="Arial Narrow" w:eastAsia="Times New Roman" w:hAnsi="Arial Narrow" w:cs="Arial"/>
          <w:snapToGrid w:val="0"/>
          <w:sz w:val="18"/>
          <w:szCs w:val="20"/>
        </w:rPr>
        <w:t xml:space="preserve"> soravtansine.</w:t>
      </w:r>
    </w:p>
    <w:p w14:paraId="7F8CC459" w14:textId="2B6E13BC" w:rsidR="00606F1F" w:rsidRPr="00F10893" w:rsidRDefault="00606F1F" w:rsidP="001445FE">
      <w:pPr>
        <w:pStyle w:val="TableFigureFooter"/>
        <w:rPr>
          <w:szCs w:val="20"/>
        </w:rPr>
      </w:pPr>
      <w:r w:rsidRPr="00F10893">
        <w:rPr>
          <w:sz w:val="20"/>
          <w:szCs w:val="20"/>
          <w:vertAlign w:val="superscript"/>
        </w:rPr>
        <w:t xml:space="preserve">a </w:t>
      </w:r>
      <w:r w:rsidR="00246C3D" w:rsidRPr="00F10893">
        <w:t xml:space="preserve">: </w:t>
      </w:r>
      <w:r w:rsidR="001445FE" w:rsidRPr="00F10893">
        <w:t xml:space="preserve">Estimation of number of </w:t>
      </w:r>
      <w:r w:rsidR="002025F9">
        <w:t xml:space="preserve">treated </w:t>
      </w:r>
      <w:r w:rsidR="001445FE" w:rsidRPr="00F10893">
        <w:t xml:space="preserve">patients </w:t>
      </w:r>
      <w:r w:rsidR="001445FE">
        <w:t>d</w:t>
      </w:r>
      <w:r w:rsidR="00246C3D" w:rsidRPr="00F10893">
        <w:t>eveloped</w:t>
      </w:r>
      <w:r w:rsidR="00246C3D" w:rsidRPr="0080230C">
        <w:rPr>
          <w:szCs w:val="18"/>
        </w:rPr>
        <w:t xml:space="preserve"> during </w:t>
      </w:r>
      <w:r w:rsidR="00246C3D" w:rsidRPr="00F10893">
        <w:t xml:space="preserve">the evaluation </w:t>
      </w:r>
      <w:r w:rsidR="0080230C" w:rsidRPr="0080230C">
        <w:rPr>
          <w:szCs w:val="18"/>
        </w:rPr>
        <w:t>using data from Tables 4.2-1 – 4.2-6, p207-210 of the submission</w:t>
      </w:r>
      <w:r w:rsidR="001445FE">
        <w:rPr>
          <w:szCs w:val="18"/>
        </w:rPr>
        <w:t xml:space="preserve"> </w:t>
      </w:r>
    </w:p>
    <w:p w14:paraId="1E54AF44" w14:textId="102BEB80" w:rsidR="0053555B" w:rsidRPr="00E75BEA" w:rsidRDefault="0053555B" w:rsidP="00606F1F">
      <w:pPr>
        <w:widowControl w:val="0"/>
        <w:spacing w:before="0" w:after="0"/>
        <w:contextualSpacing/>
        <w:rPr>
          <w:rFonts w:ascii="Arial Narrow" w:eastAsia="Times New Roman" w:hAnsi="Arial Narrow" w:cs="Arial"/>
          <w:snapToGrid w:val="0"/>
          <w:color w:val="538135" w:themeColor="accent6" w:themeShade="BF"/>
          <w:sz w:val="18"/>
          <w:szCs w:val="20"/>
        </w:rPr>
      </w:pPr>
      <w:r w:rsidRPr="00E75BEA">
        <w:rPr>
          <w:rFonts w:ascii="Arial Narrow" w:eastAsia="Times New Roman" w:hAnsi="Arial Narrow" w:cs="Arial"/>
          <w:snapToGrid w:val="0"/>
          <w:color w:val="538135" w:themeColor="accent6" w:themeShade="BF"/>
          <w:sz w:val="18"/>
          <w:szCs w:val="20"/>
        </w:rPr>
        <w:t xml:space="preserve">Green font indicates </w:t>
      </w:r>
      <w:r w:rsidR="00142F7A" w:rsidRPr="00E75BEA">
        <w:rPr>
          <w:rFonts w:ascii="Arial Narrow" w:eastAsia="Times New Roman" w:hAnsi="Arial Narrow" w:cs="Arial"/>
          <w:snapToGrid w:val="0"/>
          <w:color w:val="538135" w:themeColor="accent6" w:themeShade="BF"/>
          <w:sz w:val="18"/>
          <w:szCs w:val="20"/>
        </w:rPr>
        <w:t>update</w:t>
      </w:r>
      <w:r w:rsidR="00612295" w:rsidRPr="00E75BEA">
        <w:rPr>
          <w:rFonts w:ascii="Arial Narrow" w:eastAsia="Times New Roman" w:hAnsi="Arial Narrow" w:cs="Arial"/>
          <w:snapToGrid w:val="0"/>
          <w:color w:val="538135" w:themeColor="accent6" w:themeShade="BF"/>
          <w:sz w:val="18"/>
          <w:szCs w:val="20"/>
        </w:rPr>
        <w:t xml:space="preserve">s </w:t>
      </w:r>
      <w:r w:rsidRPr="00E75BEA">
        <w:rPr>
          <w:rFonts w:ascii="Arial Narrow" w:eastAsia="Times New Roman" w:hAnsi="Arial Narrow" w:cs="Arial"/>
          <w:snapToGrid w:val="0"/>
          <w:color w:val="538135" w:themeColor="accent6" w:themeShade="BF"/>
          <w:sz w:val="18"/>
          <w:szCs w:val="20"/>
        </w:rPr>
        <w:t xml:space="preserve">by </w:t>
      </w:r>
      <w:r w:rsidR="00142F7A" w:rsidRPr="00E75BEA">
        <w:rPr>
          <w:rFonts w:ascii="Arial Narrow" w:eastAsia="Times New Roman" w:hAnsi="Arial Narrow" w:cs="Arial"/>
          <w:snapToGrid w:val="0"/>
          <w:color w:val="538135" w:themeColor="accent6" w:themeShade="BF"/>
          <w:sz w:val="18"/>
          <w:szCs w:val="20"/>
        </w:rPr>
        <w:t xml:space="preserve">the applicant </w:t>
      </w:r>
      <w:r w:rsidR="007E697A" w:rsidRPr="00E75BEA">
        <w:rPr>
          <w:rFonts w:ascii="Arial Narrow" w:eastAsia="Times New Roman" w:hAnsi="Arial Narrow" w:cs="Arial"/>
          <w:snapToGrid w:val="0"/>
          <w:color w:val="538135" w:themeColor="accent6" w:themeShade="BF"/>
          <w:sz w:val="18"/>
          <w:szCs w:val="20"/>
        </w:rPr>
        <w:t xml:space="preserve">based on DUSC advice </w:t>
      </w:r>
      <w:r w:rsidR="00746E02" w:rsidRPr="00E75BEA">
        <w:rPr>
          <w:rFonts w:ascii="Arial Narrow" w:eastAsia="Times New Roman" w:hAnsi="Arial Narrow" w:cs="Arial"/>
          <w:snapToGrid w:val="0"/>
          <w:color w:val="538135" w:themeColor="accent6" w:themeShade="BF"/>
          <w:sz w:val="18"/>
          <w:szCs w:val="20"/>
        </w:rPr>
        <w:t>where</w:t>
      </w:r>
      <w:r w:rsidR="00AF61A6" w:rsidRPr="00E75BEA">
        <w:rPr>
          <w:rFonts w:ascii="Arial Narrow" w:eastAsia="Times New Roman" w:hAnsi="Arial Narrow" w:cs="Arial"/>
          <w:snapToGrid w:val="0"/>
          <w:color w:val="538135" w:themeColor="accent6" w:themeShade="BF"/>
          <w:sz w:val="18"/>
          <w:szCs w:val="20"/>
        </w:rPr>
        <w:t xml:space="preserve"> 63% of </w:t>
      </w:r>
      <w:r w:rsidR="00D0078B" w:rsidRPr="00E75BEA">
        <w:rPr>
          <w:rFonts w:ascii="Arial Narrow" w:eastAsia="Times New Roman" w:hAnsi="Arial Narrow" w:cs="Arial"/>
          <w:snapToGrid w:val="0"/>
          <w:color w:val="538135" w:themeColor="accent6" w:themeShade="BF"/>
          <w:sz w:val="18"/>
          <w:szCs w:val="20"/>
        </w:rPr>
        <w:t>ovarian</w:t>
      </w:r>
      <w:r w:rsidR="00AF61A6" w:rsidRPr="00E75BEA">
        <w:rPr>
          <w:rFonts w:ascii="Arial Narrow" w:eastAsia="Times New Roman" w:hAnsi="Arial Narrow" w:cs="Arial"/>
          <w:snapToGrid w:val="0"/>
          <w:color w:val="538135" w:themeColor="accent6" w:themeShade="BF"/>
          <w:sz w:val="18"/>
          <w:szCs w:val="20"/>
        </w:rPr>
        <w:t xml:space="preserve"> </w:t>
      </w:r>
      <w:r w:rsidR="00D0078B" w:rsidRPr="00E75BEA">
        <w:rPr>
          <w:rFonts w:ascii="Arial Narrow" w:eastAsia="Times New Roman" w:hAnsi="Arial Narrow" w:cs="Arial"/>
          <w:snapToGrid w:val="0"/>
          <w:color w:val="538135" w:themeColor="accent6" w:themeShade="BF"/>
          <w:sz w:val="18"/>
          <w:szCs w:val="20"/>
        </w:rPr>
        <w:t>cancers</w:t>
      </w:r>
      <w:r w:rsidR="00AF61A6" w:rsidRPr="00E75BEA">
        <w:rPr>
          <w:rFonts w:ascii="Arial Narrow" w:eastAsia="Times New Roman" w:hAnsi="Arial Narrow" w:cs="Arial"/>
          <w:snapToGrid w:val="0"/>
          <w:color w:val="538135" w:themeColor="accent6" w:themeShade="BF"/>
          <w:sz w:val="18"/>
          <w:szCs w:val="20"/>
        </w:rPr>
        <w:t xml:space="preserve"> are</w:t>
      </w:r>
      <w:r w:rsidR="00746E02" w:rsidRPr="00E75BEA">
        <w:rPr>
          <w:rFonts w:ascii="Arial Narrow" w:eastAsia="Times New Roman" w:hAnsi="Arial Narrow" w:cs="Arial"/>
          <w:snapToGrid w:val="0"/>
          <w:color w:val="538135" w:themeColor="accent6" w:themeShade="BF"/>
          <w:sz w:val="18"/>
          <w:szCs w:val="20"/>
        </w:rPr>
        <w:t xml:space="preserve"> assumed to be</w:t>
      </w:r>
      <w:r w:rsidR="00AF61A6" w:rsidRPr="00E75BEA">
        <w:rPr>
          <w:rFonts w:ascii="Arial Narrow" w:eastAsia="Times New Roman" w:hAnsi="Arial Narrow" w:cs="Arial"/>
          <w:snapToGrid w:val="0"/>
          <w:color w:val="538135" w:themeColor="accent6" w:themeShade="BF"/>
          <w:sz w:val="18"/>
          <w:szCs w:val="20"/>
        </w:rPr>
        <w:t xml:space="preserve"> high-grade epithelial</w:t>
      </w:r>
      <w:r w:rsidR="00142F7A" w:rsidRPr="00E75BEA">
        <w:rPr>
          <w:rFonts w:ascii="Arial Narrow" w:eastAsia="Times New Roman" w:hAnsi="Arial Narrow" w:cs="Arial"/>
          <w:snapToGrid w:val="0"/>
          <w:color w:val="538135" w:themeColor="accent6" w:themeShade="BF"/>
          <w:sz w:val="18"/>
          <w:szCs w:val="20"/>
        </w:rPr>
        <w:t xml:space="preserve">. </w:t>
      </w:r>
    </w:p>
    <w:p w14:paraId="747D12C3" w14:textId="77777777" w:rsidR="00B10A5F" w:rsidRDefault="00B10A5F" w:rsidP="00B10A5F">
      <w:pPr>
        <w:pStyle w:val="TableFigureFooter"/>
      </w:pPr>
      <w:r w:rsidRPr="006853EB">
        <w:t>The redacted values correspond to the following ranges:</w:t>
      </w:r>
      <w:r>
        <w:t xml:space="preserve"> </w:t>
      </w:r>
    </w:p>
    <w:p w14:paraId="7D45A644" w14:textId="24B38E47" w:rsidR="00B10A5F" w:rsidRDefault="00B10A5F" w:rsidP="00B10A5F">
      <w:pPr>
        <w:pStyle w:val="TableFigureFooter"/>
      </w:pPr>
      <w:r w:rsidRPr="00B10A5F">
        <w:rPr>
          <w:vertAlign w:val="superscript"/>
        </w:rPr>
        <w:t>1</w:t>
      </w:r>
      <w:r w:rsidRPr="00737598">
        <w:t>500 to &lt; 5,000</w:t>
      </w:r>
      <w:r>
        <w:t xml:space="preserve"> </w:t>
      </w:r>
    </w:p>
    <w:p w14:paraId="74088067" w14:textId="77777777" w:rsidR="00B10A5F" w:rsidRPr="00F277AE" w:rsidRDefault="00B10A5F" w:rsidP="00B10A5F">
      <w:pPr>
        <w:pStyle w:val="TableFigureFooter"/>
      </w:pPr>
      <w:r w:rsidRPr="00B10A5F">
        <w:rPr>
          <w:vertAlign w:val="superscript"/>
        </w:rPr>
        <w:t>2</w:t>
      </w:r>
      <w:r>
        <w:t xml:space="preserve"> &lt;500</w:t>
      </w:r>
    </w:p>
    <w:p w14:paraId="1A01A076" w14:textId="77777777" w:rsidR="00B10A5F" w:rsidRPr="00F10893" w:rsidRDefault="00B10A5F" w:rsidP="00606F1F">
      <w:pPr>
        <w:widowControl w:val="0"/>
        <w:spacing w:before="0" w:after="0"/>
        <w:contextualSpacing/>
        <w:rPr>
          <w:rFonts w:ascii="Arial Narrow" w:eastAsia="Times New Roman" w:hAnsi="Arial Narrow" w:cs="Arial"/>
          <w:snapToGrid w:val="0"/>
          <w:sz w:val="18"/>
          <w:szCs w:val="20"/>
        </w:rPr>
      </w:pPr>
    </w:p>
    <w:p w14:paraId="5655994B" w14:textId="66E7EA2C" w:rsidR="00606F1F" w:rsidRPr="00A36EC0" w:rsidRDefault="00606F1F" w:rsidP="00606F1F">
      <w:pPr>
        <w:rPr>
          <w:rFonts w:ascii="Franklin Gothic Book" w:hAnsi="Franklin Gothic Book"/>
          <w:sz w:val="22"/>
        </w:rPr>
      </w:pPr>
      <w:r w:rsidRPr="00A36EC0">
        <w:rPr>
          <w:rFonts w:ascii="Franklin Gothic Book" w:hAnsi="Franklin Gothic Book"/>
          <w:sz w:val="22"/>
        </w:rPr>
        <w:t xml:space="preserve">In the MIRASOL trial, FRα expression was undertaken using the Ventana FOLR1 (FOLR1-2.1) Assay at three central laboratories; the submission stated that this means that different laboratories and different readers were involved in the assessment of FRα expression </w:t>
      </w:r>
      <w:r w:rsidR="006E7F91" w:rsidRPr="00A36EC0">
        <w:rPr>
          <w:rFonts w:ascii="Franklin Gothic Book" w:hAnsi="Franklin Gothic Book"/>
          <w:sz w:val="22"/>
        </w:rPr>
        <w:t xml:space="preserve">levels </w:t>
      </w:r>
      <w:r w:rsidRPr="00A36EC0">
        <w:rPr>
          <w:rFonts w:ascii="Franklin Gothic Book" w:hAnsi="Franklin Gothic Book"/>
          <w:sz w:val="22"/>
        </w:rPr>
        <w:t xml:space="preserve">used to determine patient eligibility to enrol in MIRASOL. As such, the submission stated that uncertainty resulting from inter-reader agreement being less than 100% is inherently accounted for in the economic evaluation. Additionally, the submission stated that the Ventana FOLR1 (FOLR1-2.1) Assay is anticipated to be the only TGA-approved FRα test to be approved for use in Australia. As such, the submission stated that uncertainty regarding potential differences in inter-assay performance are not applicable. The commentary considered that, although these claims </w:t>
      </w:r>
      <w:r w:rsidR="00FD67D9" w:rsidRPr="00A36EC0">
        <w:rPr>
          <w:rFonts w:ascii="Franklin Gothic Book" w:hAnsi="Franklin Gothic Book"/>
          <w:sz w:val="22"/>
        </w:rPr>
        <w:t>may be</w:t>
      </w:r>
      <w:r w:rsidRPr="00A36EC0">
        <w:rPr>
          <w:rFonts w:ascii="Franklin Gothic Book" w:hAnsi="Franklin Gothic Book"/>
          <w:sz w:val="22"/>
        </w:rPr>
        <w:t xml:space="preserve"> reasonable, the limitations of the model structure meant that the impacts of false positive and false negative tests (described under Adverse events from changes to management) are not captured within the economic model.  </w:t>
      </w:r>
    </w:p>
    <w:p w14:paraId="2CE6C1F7" w14:textId="15C053E0" w:rsidR="008764D5" w:rsidRPr="00115536" w:rsidRDefault="00606F1F" w:rsidP="00606F1F">
      <w:pPr>
        <w:rPr>
          <w:rFonts w:ascii="Franklin Gothic Book" w:hAnsi="Franklin Gothic Book"/>
          <w:sz w:val="22"/>
        </w:rPr>
      </w:pPr>
      <w:r w:rsidRPr="00A36EC0">
        <w:rPr>
          <w:rFonts w:ascii="Franklin Gothic Book" w:hAnsi="Franklin Gothic Book"/>
          <w:sz w:val="22"/>
        </w:rPr>
        <w:t xml:space="preserve">A summary of the results of the base case economic evaluation (and the scenario analysis where </w:t>
      </w:r>
      <w:r w:rsidRPr="00A36EC0">
        <w:rPr>
          <w:rFonts w:ascii="Franklin Gothic Book" w:hAnsi="Franklin Gothic Book" w:cstheme="minorHAnsi"/>
          <w:sz w:val="22"/>
        </w:rPr>
        <w:t xml:space="preserve">FRα testing is undertaken at platinum resistance) is presented </w:t>
      </w:r>
      <w:r w:rsidRPr="00115536">
        <w:rPr>
          <w:rFonts w:ascii="Franklin Gothic Book" w:hAnsi="Franklin Gothic Book"/>
          <w:sz w:val="22"/>
        </w:rPr>
        <w:t>in</w:t>
      </w:r>
      <w:r w:rsidR="00115536" w:rsidRPr="00115536">
        <w:rPr>
          <w:rFonts w:ascii="Franklin Gothic Book" w:hAnsi="Franklin Gothic Book"/>
          <w:sz w:val="22"/>
        </w:rPr>
        <w:t xml:space="preserve"> </w:t>
      </w:r>
      <w:r w:rsidR="00115536" w:rsidRPr="00115536">
        <w:rPr>
          <w:rFonts w:ascii="Franklin Gothic Book" w:hAnsi="Franklin Gothic Book"/>
          <w:sz w:val="22"/>
        </w:rPr>
        <w:fldChar w:fldCharType="begin"/>
      </w:r>
      <w:r w:rsidR="00115536" w:rsidRPr="00115536">
        <w:rPr>
          <w:rFonts w:ascii="Franklin Gothic Book" w:hAnsi="Franklin Gothic Book"/>
          <w:sz w:val="22"/>
        </w:rPr>
        <w:instrText xml:space="preserve"> REF _Ref198566729 \h </w:instrText>
      </w:r>
      <w:r w:rsidR="00115536">
        <w:rPr>
          <w:rFonts w:ascii="Franklin Gothic Book" w:hAnsi="Franklin Gothic Book"/>
          <w:sz w:val="22"/>
        </w:rPr>
        <w:instrText xml:space="preserve"> \* MERGEFORMAT </w:instrText>
      </w:r>
      <w:r w:rsidR="00115536" w:rsidRPr="00115536">
        <w:rPr>
          <w:rFonts w:ascii="Franklin Gothic Book" w:hAnsi="Franklin Gothic Book"/>
          <w:sz w:val="22"/>
        </w:rPr>
      </w:r>
      <w:r w:rsidR="00115536" w:rsidRPr="00115536">
        <w:rPr>
          <w:rFonts w:ascii="Franklin Gothic Book" w:hAnsi="Franklin Gothic Book"/>
          <w:sz w:val="22"/>
        </w:rPr>
        <w:fldChar w:fldCharType="separate"/>
      </w:r>
      <w:r w:rsidR="00115536" w:rsidRPr="00115536">
        <w:rPr>
          <w:rFonts w:ascii="Franklin Gothic Book" w:hAnsi="Franklin Gothic Book"/>
          <w:sz w:val="22"/>
        </w:rPr>
        <w:t>Table 22</w:t>
      </w:r>
      <w:r w:rsidR="00115536" w:rsidRPr="00115536">
        <w:rPr>
          <w:rFonts w:ascii="Franklin Gothic Book" w:hAnsi="Franklin Gothic Book"/>
          <w:sz w:val="22"/>
        </w:rPr>
        <w:fldChar w:fldCharType="end"/>
      </w:r>
      <w:r w:rsidR="009716A9" w:rsidRPr="00115536">
        <w:rPr>
          <w:rFonts w:ascii="Franklin Gothic Book" w:hAnsi="Franklin Gothic Book"/>
          <w:sz w:val="22"/>
        </w:rPr>
        <w:t xml:space="preserve"> </w:t>
      </w:r>
      <w:r w:rsidR="009716A9" w:rsidRPr="00115536">
        <w:rPr>
          <w:rFonts w:ascii="Franklin Gothic Book" w:hAnsi="Franklin Gothic Book"/>
          <w:sz w:val="22"/>
        </w:rPr>
        <w:fldChar w:fldCharType="begin"/>
      </w:r>
      <w:r w:rsidR="009716A9" w:rsidRPr="009A75BE">
        <w:rPr>
          <w:rFonts w:ascii="Franklin Gothic Book" w:hAnsi="Franklin Gothic Book"/>
          <w:sz w:val="22"/>
        </w:rPr>
        <w:instrText xml:space="preserve"> REF _Ref198566729 \h  \* MERGEFORMAT </w:instrText>
      </w:r>
      <w:r w:rsidR="009716A9" w:rsidRPr="00115536">
        <w:rPr>
          <w:rFonts w:ascii="Franklin Gothic Book" w:hAnsi="Franklin Gothic Book"/>
          <w:sz w:val="22"/>
        </w:rPr>
      </w:r>
      <w:r w:rsidR="009716A9" w:rsidRPr="00115536">
        <w:rPr>
          <w:rFonts w:ascii="Franklin Gothic Book" w:hAnsi="Franklin Gothic Book"/>
          <w:sz w:val="22"/>
        </w:rPr>
        <w:fldChar w:fldCharType="separate"/>
      </w:r>
      <w:r w:rsidR="009716A9" w:rsidRPr="00115536">
        <w:rPr>
          <w:rFonts w:ascii="Franklin Gothic Book" w:hAnsi="Franklin Gothic Book"/>
          <w:sz w:val="22"/>
        </w:rPr>
        <w:fldChar w:fldCharType="end"/>
      </w:r>
      <w:r w:rsidRPr="00115536">
        <w:rPr>
          <w:rFonts w:ascii="Franklin Gothic Book" w:hAnsi="Franklin Gothic Book"/>
          <w:sz w:val="22"/>
        </w:rPr>
        <w:t>.</w:t>
      </w:r>
    </w:p>
    <w:p w14:paraId="2BABF3E7" w14:textId="4EC2A34A" w:rsidR="00606F1F" w:rsidRPr="00F10893" w:rsidRDefault="005E37CF" w:rsidP="00F02286">
      <w:pPr>
        <w:keepNext/>
        <w:keepLines/>
        <w:tabs>
          <w:tab w:val="left" w:pos="1418"/>
        </w:tabs>
        <w:spacing w:before="0" w:after="0" w:line="259" w:lineRule="auto"/>
        <w:ind w:left="1418" w:hanging="1418"/>
        <w:contextualSpacing/>
        <w:jc w:val="left"/>
        <w:rPr>
          <w:rFonts w:ascii="Arial Narrow" w:hAnsi="Arial Narrow"/>
          <w:b/>
          <w:iCs/>
          <w:sz w:val="20"/>
          <w:szCs w:val="18"/>
        </w:rPr>
      </w:pPr>
      <w:bookmarkStart w:id="50" w:name="_Ref198566729"/>
      <w:r>
        <w:rPr>
          <w:rFonts w:ascii="Arial Narrow" w:hAnsi="Arial Narrow"/>
          <w:b/>
          <w:iCs/>
          <w:sz w:val="20"/>
          <w:szCs w:val="18"/>
        </w:rPr>
        <w:lastRenderedPageBreak/>
        <w:t>Table</w:t>
      </w:r>
      <w:r w:rsidR="009716A9"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22</w:t>
      </w:r>
      <w:r>
        <w:rPr>
          <w:rFonts w:ascii="Arial Narrow" w:hAnsi="Arial Narrow"/>
          <w:b/>
          <w:iCs/>
          <w:sz w:val="20"/>
          <w:szCs w:val="18"/>
        </w:rPr>
        <w:fldChar w:fldCharType="end"/>
      </w:r>
      <w:bookmarkEnd w:id="50"/>
      <w:r w:rsidR="009716A9" w:rsidRPr="00F10893">
        <w:rPr>
          <w:rFonts w:ascii="Arial Narrow" w:hAnsi="Arial Narrow"/>
          <w:b/>
          <w:iCs/>
          <w:sz w:val="20"/>
          <w:szCs w:val="18"/>
        </w:rPr>
        <w:t xml:space="preserve">: </w:t>
      </w:r>
      <w:r w:rsidR="00606F1F" w:rsidRPr="00F10893">
        <w:rPr>
          <w:rFonts w:ascii="Arial Narrow" w:hAnsi="Arial Narrow"/>
          <w:b/>
          <w:iCs/>
          <w:sz w:val="20"/>
          <w:szCs w:val="18"/>
        </w:rPr>
        <w:t>Summary of economic evaluation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16"/>
        <w:gridCol w:w="727"/>
        <w:gridCol w:w="1190"/>
        <w:gridCol w:w="1078"/>
        <w:gridCol w:w="1134"/>
        <w:gridCol w:w="992"/>
        <w:gridCol w:w="1083"/>
      </w:tblGrid>
      <w:tr w:rsidR="00CB4209" w:rsidRPr="00F10893" w14:paraId="66D852D4" w14:textId="77777777" w:rsidTr="007A2347">
        <w:trPr>
          <w:trHeight w:val="631"/>
          <w:tblHeader/>
        </w:trPr>
        <w:tc>
          <w:tcPr>
            <w:tcW w:w="1696" w:type="dxa"/>
            <w:vMerge w:val="restart"/>
          </w:tcPr>
          <w:p w14:paraId="7EB8B038" w14:textId="77777777" w:rsidR="00606F1F" w:rsidRPr="00F10893" w:rsidRDefault="00606F1F" w:rsidP="00F02286">
            <w:pPr>
              <w:keepNext/>
              <w:keepLines/>
              <w:spacing w:before="0" w:after="0"/>
              <w:jc w:val="left"/>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Analyses</w:t>
            </w:r>
          </w:p>
        </w:tc>
        <w:tc>
          <w:tcPr>
            <w:tcW w:w="3033" w:type="dxa"/>
            <w:gridSpan w:val="3"/>
          </w:tcPr>
          <w:p w14:paraId="0E4D433E"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MIRV vs ICC</w:t>
            </w:r>
          </w:p>
        </w:tc>
        <w:tc>
          <w:tcPr>
            <w:tcW w:w="3204" w:type="dxa"/>
            <w:gridSpan w:val="3"/>
          </w:tcPr>
          <w:p w14:paraId="45194E68"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MIRV vs BEVA + ICC</w:t>
            </w:r>
          </w:p>
        </w:tc>
        <w:tc>
          <w:tcPr>
            <w:tcW w:w="1083" w:type="dxa"/>
          </w:tcPr>
          <w:p w14:paraId="76E1BE0D"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Weighted ICER</w:t>
            </w:r>
          </w:p>
          <w:p w14:paraId="4D44E37F"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p>
        </w:tc>
      </w:tr>
      <w:tr w:rsidR="008844D3" w:rsidRPr="00F10893" w14:paraId="63D294DF" w14:textId="77777777" w:rsidTr="007A2347">
        <w:trPr>
          <w:trHeight w:val="146"/>
          <w:tblHeader/>
        </w:trPr>
        <w:tc>
          <w:tcPr>
            <w:tcW w:w="1696" w:type="dxa"/>
            <w:vMerge/>
          </w:tcPr>
          <w:p w14:paraId="13EE8B1A" w14:textId="77777777" w:rsidR="00606F1F" w:rsidRPr="00F10893" w:rsidRDefault="00606F1F" w:rsidP="00F02286">
            <w:pPr>
              <w:keepNext/>
              <w:keepLines/>
              <w:spacing w:before="0" w:after="0"/>
              <w:jc w:val="left"/>
              <w:rPr>
                <w:rFonts w:ascii="Arial Narrow" w:eastAsiaTheme="majorEastAsia" w:hAnsi="Arial Narrow" w:cs="Times New Roman"/>
                <w:b/>
                <w:sz w:val="18"/>
                <w:szCs w:val="18"/>
                <w:lang w:eastAsia="en-AU"/>
              </w:rPr>
            </w:pPr>
          </w:p>
        </w:tc>
        <w:tc>
          <w:tcPr>
            <w:tcW w:w="1116" w:type="dxa"/>
          </w:tcPr>
          <w:p w14:paraId="415B1021"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Incremental cost</w:t>
            </w:r>
          </w:p>
        </w:tc>
        <w:tc>
          <w:tcPr>
            <w:tcW w:w="727" w:type="dxa"/>
          </w:tcPr>
          <w:p w14:paraId="5D8697DB"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Incremental QALY</w:t>
            </w:r>
          </w:p>
        </w:tc>
        <w:tc>
          <w:tcPr>
            <w:tcW w:w="1190" w:type="dxa"/>
          </w:tcPr>
          <w:p w14:paraId="0F7C8C8C"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ICER</w:t>
            </w:r>
          </w:p>
          <w:p w14:paraId="38287E1F"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p>
        </w:tc>
        <w:tc>
          <w:tcPr>
            <w:tcW w:w="1078" w:type="dxa"/>
          </w:tcPr>
          <w:p w14:paraId="047B4C00"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Incremental cost</w:t>
            </w:r>
          </w:p>
        </w:tc>
        <w:tc>
          <w:tcPr>
            <w:tcW w:w="1134" w:type="dxa"/>
          </w:tcPr>
          <w:p w14:paraId="091F3C39"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Incremental QALY</w:t>
            </w:r>
          </w:p>
        </w:tc>
        <w:tc>
          <w:tcPr>
            <w:tcW w:w="992" w:type="dxa"/>
          </w:tcPr>
          <w:p w14:paraId="0E560E3B"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r w:rsidRPr="00F10893">
              <w:rPr>
                <w:rFonts w:ascii="Arial Narrow" w:eastAsiaTheme="majorEastAsia" w:hAnsi="Arial Narrow" w:cs="Times New Roman"/>
                <w:b/>
                <w:sz w:val="18"/>
                <w:szCs w:val="18"/>
                <w:lang w:eastAsia="en-AU"/>
              </w:rPr>
              <w:t>ICER</w:t>
            </w:r>
          </w:p>
        </w:tc>
        <w:tc>
          <w:tcPr>
            <w:tcW w:w="1083" w:type="dxa"/>
          </w:tcPr>
          <w:p w14:paraId="166CB7C4" w14:textId="77777777" w:rsidR="00606F1F" w:rsidRPr="00F10893" w:rsidRDefault="00606F1F" w:rsidP="00F02286">
            <w:pPr>
              <w:keepNext/>
              <w:keepLines/>
              <w:spacing w:before="0" w:after="0"/>
              <w:jc w:val="center"/>
              <w:rPr>
                <w:rFonts w:ascii="Arial Narrow" w:eastAsiaTheme="majorEastAsia" w:hAnsi="Arial Narrow" w:cs="Times New Roman"/>
                <w:b/>
                <w:sz w:val="18"/>
                <w:szCs w:val="18"/>
                <w:lang w:eastAsia="en-AU"/>
              </w:rPr>
            </w:pPr>
          </w:p>
        </w:tc>
      </w:tr>
      <w:tr w:rsidR="008844D3" w:rsidRPr="00F10893" w14:paraId="001457A6" w14:textId="77777777" w:rsidTr="007A2347">
        <w:trPr>
          <w:trHeight w:val="631"/>
        </w:trPr>
        <w:tc>
          <w:tcPr>
            <w:tcW w:w="1696" w:type="dxa"/>
          </w:tcPr>
          <w:p w14:paraId="20A61178" w14:textId="77777777" w:rsidR="00606F1F" w:rsidRPr="00F10893" w:rsidRDefault="00606F1F" w:rsidP="00F02286">
            <w:pPr>
              <w:keepNext/>
              <w:keepLines/>
              <w:widowControl w:val="0"/>
              <w:spacing w:before="0" w:after="0"/>
              <w:jc w:val="left"/>
              <w:rPr>
                <w:rFonts w:ascii="Arial Narrow" w:hAnsi="Arial Narrow"/>
                <w:b/>
                <w:sz w:val="18"/>
                <w:szCs w:val="18"/>
              </w:rPr>
            </w:pPr>
            <w:r w:rsidRPr="00F10893">
              <w:rPr>
                <w:rFonts w:ascii="Arial Narrow" w:hAnsi="Arial Narrow"/>
                <w:b/>
                <w:sz w:val="18"/>
                <w:szCs w:val="18"/>
              </w:rPr>
              <w:t>Base case</w:t>
            </w:r>
          </w:p>
        </w:tc>
        <w:tc>
          <w:tcPr>
            <w:tcW w:w="1116" w:type="dxa"/>
          </w:tcPr>
          <w:p w14:paraId="1DF8F5FF" w14:textId="3FB05AAF" w:rsidR="00606F1F" w:rsidRPr="00923769" w:rsidRDefault="00606F1F" w:rsidP="00F02286">
            <w:pPr>
              <w:keepNext/>
              <w:keepLines/>
              <w:widowControl w:val="0"/>
              <w:spacing w:before="0" w:after="0"/>
              <w:jc w:val="center"/>
              <w:rPr>
                <w:rFonts w:ascii="Arial Narrow" w:hAnsi="Arial Narrow"/>
                <w:b/>
                <w:sz w:val="18"/>
                <w:szCs w:val="18"/>
                <w:highlight w:val="yellow"/>
              </w:rPr>
            </w:pPr>
            <w:r w:rsidRPr="004A04A1">
              <w:rPr>
                <w:rFonts w:ascii="Arial Narrow" w:hAnsi="Arial Narrow"/>
                <w:b/>
                <w:sz w:val="18"/>
                <w:szCs w:val="18"/>
              </w:rPr>
              <w:t>$</w:t>
            </w:r>
            <w:r w:rsidR="00572B06" w:rsidRPr="00CB4209">
              <w:rPr>
                <w:rFonts w:ascii="Arial Narrow" w:hAnsi="Arial Narrow" w:cs="Calibri"/>
                <w:b/>
                <w:bCs/>
                <w:sz w:val="18"/>
                <w:szCs w:val="18"/>
              </w:rPr>
              <w:t>redacted</w:t>
            </w:r>
          </w:p>
        </w:tc>
        <w:tc>
          <w:tcPr>
            <w:tcW w:w="727" w:type="dxa"/>
          </w:tcPr>
          <w:p w14:paraId="73020376" w14:textId="77777777" w:rsidR="00606F1F" w:rsidRPr="00F10893" w:rsidRDefault="00606F1F" w:rsidP="00F02286">
            <w:pPr>
              <w:keepNext/>
              <w:keepLines/>
              <w:widowControl w:val="0"/>
              <w:spacing w:before="0" w:after="0"/>
              <w:jc w:val="center"/>
              <w:rPr>
                <w:rFonts w:ascii="Arial Narrow" w:hAnsi="Arial Narrow"/>
                <w:b/>
                <w:sz w:val="18"/>
                <w:szCs w:val="18"/>
              </w:rPr>
            </w:pPr>
            <w:r w:rsidRPr="00F10893">
              <w:rPr>
                <w:rFonts w:ascii="Arial Narrow" w:hAnsi="Arial Narrow"/>
                <w:b/>
                <w:sz w:val="18"/>
                <w:szCs w:val="18"/>
              </w:rPr>
              <w:t>0.68</w:t>
            </w:r>
          </w:p>
        </w:tc>
        <w:tc>
          <w:tcPr>
            <w:tcW w:w="1190" w:type="dxa"/>
          </w:tcPr>
          <w:p w14:paraId="2F4BBF2D" w14:textId="1385F75F" w:rsidR="00606F1F" w:rsidRPr="00CB4209" w:rsidRDefault="00606F1F" w:rsidP="00F02286">
            <w:pPr>
              <w:keepNext/>
              <w:keepLines/>
              <w:widowControl w:val="0"/>
              <w:spacing w:before="0" w:after="0"/>
              <w:jc w:val="center"/>
              <w:rPr>
                <w:rFonts w:ascii="Arial Narrow" w:hAnsi="Arial Narrow"/>
                <w:b/>
                <w:sz w:val="18"/>
                <w:szCs w:val="18"/>
              </w:rPr>
            </w:pPr>
            <w:r w:rsidRPr="00CB4209">
              <w:rPr>
                <w:rFonts w:ascii="Arial Narrow" w:hAnsi="Arial Narrow"/>
                <w:b/>
                <w:sz w:val="18"/>
                <w:szCs w:val="18"/>
              </w:rPr>
              <w:t>$</w:t>
            </w:r>
            <w:r w:rsidR="00572B06" w:rsidRPr="00CB4209">
              <w:rPr>
                <w:rFonts w:ascii="Arial Narrow" w:hAnsi="Arial Narrow" w:cs="Calibri"/>
                <w:b/>
                <w:sz w:val="18"/>
                <w:szCs w:val="18"/>
              </w:rPr>
              <w:t>redacte</w:t>
            </w:r>
            <w:r w:rsidR="00EF794B" w:rsidRPr="00CB4209">
              <w:rPr>
                <w:rFonts w:ascii="Arial Narrow" w:hAnsi="Arial Narrow" w:cs="Calibri"/>
                <w:b/>
                <w:sz w:val="18"/>
                <w:szCs w:val="18"/>
              </w:rPr>
              <w:t>d</w:t>
            </w:r>
            <w:r w:rsidR="0026436B" w:rsidRPr="00CB4209">
              <w:rPr>
                <w:rFonts w:ascii="Arial Narrow" w:eastAsia="Times New Roman" w:hAnsi="Arial Narrow" w:cs="Arial"/>
                <w:b/>
                <w:snapToGrid w:val="0"/>
                <w:sz w:val="18"/>
                <w:vertAlign w:val="superscript"/>
                <w:lang w:eastAsia="en-AU"/>
              </w:rPr>
              <w:t>1</w:t>
            </w:r>
          </w:p>
        </w:tc>
        <w:tc>
          <w:tcPr>
            <w:tcW w:w="1078" w:type="dxa"/>
          </w:tcPr>
          <w:p w14:paraId="07F1FE30" w14:textId="7C1B8E3F" w:rsidR="00606F1F" w:rsidRPr="00CB4209" w:rsidRDefault="00606F1F" w:rsidP="00F02286">
            <w:pPr>
              <w:keepNext/>
              <w:keepLines/>
              <w:widowControl w:val="0"/>
              <w:spacing w:before="0" w:after="0"/>
              <w:jc w:val="center"/>
              <w:rPr>
                <w:rFonts w:ascii="Arial Narrow" w:hAnsi="Arial Narrow"/>
                <w:b/>
                <w:sz w:val="18"/>
                <w:szCs w:val="18"/>
              </w:rPr>
            </w:pPr>
            <w:r w:rsidRPr="00CB4209">
              <w:rPr>
                <w:rFonts w:ascii="Arial Narrow" w:hAnsi="Arial Narrow"/>
                <w:b/>
                <w:sz w:val="18"/>
                <w:szCs w:val="18"/>
              </w:rPr>
              <w:t>$</w:t>
            </w:r>
            <w:r w:rsidR="00572B06" w:rsidRPr="00CB4209">
              <w:rPr>
                <w:rFonts w:ascii="Arial Narrow" w:hAnsi="Arial Narrow" w:cs="Calibri"/>
                <w:b/>
                <w:sz w:val="18"/>
                <w:szCs w:val="18"/>
              </w:rPr>
              <w:t>redacted</w:t>
            </w:r>
          </w:p>
        </w:tc>
        <w:tc>
          <w:tcPr>
            <w:tcW w:w="1134" w:type="dxa"/>
          </w:tcPr>
          <w:p w14:paraId="69B12CEF" w14:textId="77777777" w:rsidR="00606F1F" w:rsidRPr="00CB4209" w:rsidRDefault="00606F1F" w:rsidP="00F02286">
            <w:pPr>
              <w:keepNext/>
              <w:keepLines/>
              <w:widowControl w:val="0"/>
              <w:spacing w:before="0" w:after="0"/>
              <w:jc w:val="center"/>
              <w:rPr>
                <w:rFonts w:ascii="Arial Narrow" w:hAnsi="Arial Narrow"/>
                <w:b/>
                <w:sz w:val="18"/>
                <w:szCs w:val="18"/>
              </w:rPr>
            </w:pPr>
            <w:r w:rsidRPr="00CB4209">
              <w:rPr>
                <w:rFonts w:ascii="Arial Narrow" w:hAnsi="Arial Narrow"/>
                <w:b/>
                <w:sz w:val="18"/>
                <w:szCs w:val="18"/>
              </w:rPr>
              <w:t>0.60</w:t>
            </w:r>
          </w:p>
        </w:tc>
        <w:tc>
          <w:tcPr>
            <w:tcW w:w="992" w:type="dxa"/>
          </w:tcPr>
          <w:p w14:paraId="4D15C130" w14:textId="1E617B2D" w:rsidR="00606F1F" w:rsidRPr="00CB4209" w:rsidRDefault="00606F1F" w:rsidP="00F02286">
            <w:pPr>
              <w:keepNext/>
              <w:keepLines/>
              <w:widowControl w:val="0"/>
              <w:spacing w:before="0" w:after="0"/>
              <w:jc w:val="center"/>
              <w:rPr>
                <w:rFonts w:ascii="Arial Narrow" w:hAnsi="Arial Narrow"/>
                <w:b/>
                <w:sz w:val="18"/>
                <w:szCs w:val="18"/>
              </w:rPr>
            </w:pPr>
            <w:r w:rsidRPr="00CB4209">
              <w:rPr>
                <w:rFonts w:ascii="Arial Narrow" w:hAnsi="Arial Narrow"/>
                <w:b/>
                <w:sz w:val="18"/>
                <w:szCs w:val="18"/>
              </w:rPr>
              <w:t>$</w:t>
            </w:r>
            <w:r w:rsidR="00572B06" w:rsidRPr="00CB4209">
              <w:rPr>
                <w:rFonts w:ascii="Arial Narrow" w:hAnsi="Arial Narrow" w:cs="Calibri"/>
                <w:b/>
                <w:sz w:val="18"/>
                <w:szCs w:val="18"/>
              </w:rPr>
              <w:t>redacted</w:t>
            </w:r>
            <w:r w:rsidR="0026436B" w:rsidRPr="00CB4209">
              <w:rPr>
                <w:rFonts w:ascii="Arial Narrow" w:eastAsia="Times New Roman" w:hAnsi="Arial Narrow" w:cs="Arial"/>
                <w:b/>
                <w:snapToGrid w:val="0"/>
                <w:sz w:val="18"/>
                <w:vertAlign w:val="superscript"/>
                <w:lang w:eastAsia="en-AU"/>
              </w:rPr>
              <w:t>1</w:t>
            </w:r>
          </w:p>
        </w:tc>
        <w:tc>
          <w:tcPr>
            <w:tcW w:w="1083" w:type="dxa"/>
          </w:tcPr>
          <w:p w14:paraId="56A12BA6" w14:textId="6E209488" w:rsidR="00606F1F" w:rsidRPr="00CB4209" w:rsidRDefault="00606F1F" w:rsidP="00F02286">
            <w:pPr>
              <w:keepNext/>
              <w:keepLines/>
              <w:widowControl w:val="0"/>
              <w:spacing w:before="0" w:after="0"/>
              <w:jc w:val="center"/>
              <w:rPr>
                <w:rFonts w:ascii="Arial Narrow" w:hAnsi="Arial Narrow"/>
                <w:b/>
                <w:sz w:val="18"/>
                <w:szCs w:val="18"/>
              </w:rPr>
            </w:pPr>
            <w:r w:rsidRPr="00CB4209">
              <w:rPr>
                <w:rFonts w:ascii="Arial Narrow" w:hAnsi="Arial Narrow"/>
                <w:b/>
                <w:sz w:val="18"/>
                <w:szCs w:val="18"/>
              </w:rPr>
              <w:t>$</w:t>
            </w:r>
            <w:r w:rsidR="00572B06" w:rsidRPr="00CB4209">
              <w:rPr>
                <w:rFonts w:ascii="Arial Narrow" w:hAnsi="Arial Narrow" w:cs="Calibri"/>
                <w:b/>
                <w:sz w:val="18"/>
                <w:szCs w:val="18"/>
              </w:rPr>
              <w:t>redacted</w:t>
            </w:r>
            <w:r w:rsidR="0026436B" w:rsidRPr="00CB4209">
              <w:rPr>
                <w:rFonts w:ascii="Arial Narrow" w:eastAsia="Times New Roman" w:hAnsi="Arial Narrow" w:cs="Arial"/>
                <w:b/>
                <w:snapToGrid w:val="0"/>
                <w:sz w:val="18"/>
                <w:vertAlign w:val="superscript"/>
                <w:lang w:eastAsia="en-AU"/>
              </w:rPr>
              <w:t>1</w:t>
            </w:r>
          </w:p>
        </w:tc>
      </w:tr>
      <w:tr w:rsidR="00606F1F" w:rsidRPr="00F10893" w14:paraId="09B9961E" w14:textId="77777777" w:rsidTr="008844D3">
        <w:trPr>
          <w:trHeight w:val="213"/>
        </w:trPr>
        <w:tc>
          <w:tcPr>
            <w:tcW w:w="9016" w:type="dxa"/>
            <w:gridSpan w:val="8"/>
            <w:tcBorders>
              <w:bottom w:val="nil"/>
            </w:tcBorders>
          </w:tcPr>
          <w:p w14:paraId="277334B4" w14:textId="77777777" w:rsidR="00606F1F" w:rsidRPr="00F10893" w:rsidRDefault="00606F1F" w:rsidP="00F02286">
            <w:pPr>
              <w:keepNext/>
              <w:keepLines/>
              <w:widowControl w:val="0"/>
              <w:spacing w:before="0" w:after="0"/>
              <w:jc w:val="left"/>
              <w:rPr>
                <w:rFonts w:ascii="Arial Narrow" w:hAnsi="Arial Narrow"/>
                <w:sz w:val="18"/>
                <w:szCs w:val="18"/>
              </w:rPr>
            </w:pPr>
            <w:r w:rsidRPr="00F10893">
              <w:rPr>
                <w:rFonts w:ascii="Arial Narrow" w:hAnsi="Arial Narrow"/>
                <w:b/>
                <w:bCs/>
                <w:sz w:val="18"/>
                <w:szCs w:val="18"/>
              </w:rPr>
              <w:t>Univariate analyses</w:t>
            </w:r>
          </w:p>
        </w:tc>
      </w:tr>
      <w:tr w:rsidR="008844D3" w:rsidRPr="00F10893" w14:paraId="78339372" w14:textId="77777777" w:rsidTr="007A2347">
        <w:trPr>
          <w:trHeight w:val="844"/>
        </w:trPr>
        <w:tc>
          <w:tcPr>
            <w:tcW w:w="1696" w:type="dxa"/>
            <w:tcBorders>
              <w:bottom w:val="nil"/>
            </w:tcBorders>
          </w:tcPr>
          <w:p w14:paraId="2FC0AAE8" w14:textId="77777777" w:rsidR="00606F1F" w:rsidRPr="00F10893" w:rsidRDefault="00606F1F" w:rsidP="00F02286">
            <w:pPr>
              <w:keepNext/>
              <w:keepLines/>
              <w:widowControl w:val="0"/>
              <w:spacing w:before="0" w:after="0"/>
              <w:jc w:val="left"/>
              <w:rPr>
                <w:rFonts w:ascii="Arial Narrow" w:hAnsi="Arial Narrow"/>
                <w:sz w:val="18"/>
                <w:szCs w:val="18"/>
              </w:rPr>
            </w:pPr>
            <w:r w:rsidRPr="00F10893">
              <w:rPr>
                <w:rFonts w:ascii="Arial Narrow" w:hAnsi="Arial Narrow" w:cstheme="minorHAnsi"/>
                <w:sz w:val="18"/>
                <w:szCs w:val="18"/>
              </w:rPr>
              <w:t>FRα testing population (base case = at primary diagnosis)</w:t>
            </w:r>
          </w:p>
        </w:tc>
        <w:tc>
          <w:tcPr>
            <w:tcW w:w="1116" w:type="dxa"/>
            <w:tcBorders>
              <w:bottom w:val="nil"/>
            </w:tcBorders>
          </w:tcPr>
          <w:p w14:paraId="0D694DFE"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727" w:type="dxa"/>
            <w:tcBorders>
              <w:bottom w:val="nil"/>
            </w:tcBorders>
          </w:tcPr>
          <w:p w14:paraId="1BE1B63C"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1190" w:type="dxa"/>
            <w:tcBorders>
              <w:bottom w:val="nil"/>
            </w:tcBorders>
          </w:tcPr>
          <w:p w14:paraId="3D18CEAC"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1078" w:type="dxa"/>
            <w:tcBorders>
              <w:bottom w:val="nil"/>
            </w:tcBorders>
          </w:tcPr>
          <w:p w14:paraId="7BBD8322"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1134" w:type="dxa"/>
            <w:tcBorders>
              <w:bottom w:val="nil"/>
            </w:tcBorders>
          </w:tcPr>
          <w:p w14:paraId="305CA9B6"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992" w:type="dxa"/>
            <w:tcBorders>
              <w:bottom w:val="nil"/>
            </w:tcBorders>
          </w:tcPr>
          <w:p w14:paraId="6DE7766B" w14:textId="77777777" w:rsidR="00606F1F" w:rsidRPr="00F10893" w:rsidRDefault="00606F1F" w:rsidP="00F02286">
            <w:pPr>
              <w:keepNext/>
              <w:keepLines/>
              <w:widowControl w:val="0"/>
              <w:spacing w:before="0" w:after="0"/>
              <w:jc w:val="center"/>
              <w:rPr>
                <w:rFonts w:ascii="Arial Narrow" w:hAnsi="Arial Narrow"/>
                <w:bCs/>
                <w:sz w:val="18"/>
                <w:szCs w:val="18"/>
              </w:rPr>
            </w:pPr>
          </w:p>
        </w:tc>
        <w:tc>
          <w:tcPr>
            <w:tcW w:w="1083" w:type="dxa"/>
            <w:tcBorders>
              <w:bottom w:val="nil"/>
            </w:tcBorders>
          </w:tcPr>
          <w:p w14:paraId="63B6D5C3" w14:textId="77777777" w:rsidR="00606F1F" w:rsidRPr="00F10893" w:rsidRDefault="00606F1F" w:rsidP="00F02286">
            <w:pPr>
              <w:keepNext/>
              <w:keepLines/>
              <w:widowControl w:val="0"/>
              <w:spacing w:before="0" w:after="0"/>
              <w:jc w:val="center"/>
              <w:rPr>
                <w:rFonts w:ascii="Arial Narrow" w:hAnsi="Arial Narrow"/>
                <w:sz w:val="18"/>
                <w:szCs w:val="18"/>
              </w:rPr>
            </w:pPr>
          </w:p>
        </w:tc>
      </w:tr>
      <w:tr w:rsidR="008844D3" w:rsidRPr="00F10893" w14:paraId="7AB0CA53" w14:textId="77777777" w:rsidTr="007A2347">
        <w:trPr>
          <w:trHeight w:val="641"/>
        </w:trPr>
        <w:tc>
          <w:tcPr>
            <w:tcW w:w="1696" w:type="dxa"/>
            <w:tcBorders>
              <w:top w:val="nil"/>
            </w:tcBorders>
          </w:tcPr>
          <w:p w14:paraId="6DAC750C" w14:textId="77777777" w:rsidR="00606F1F" w:rsidRPr="00F10893" w:rsidRDefault="00606F1F" w:rsidP="00F02286">
            <w:pPr>
              <w:keepNext/>
              <w:keepLines/>
              <w:widowControl w:val="0"/>
              <w:numPr>
                <w:ilvl w:val="0"/>
                <w:numId w:val="15"/>
              </w:numPr>
              <w:spacing w:before="0" w:after="0"/>
              <w:jc w:val="left"/>
              <w:rPr>
                <w:rFonts w:ascii="Arial Narrow" w:hAnsi="Arial Narrow"/>
                <w:sz w:val="18"/>
                <w:szCs w:val="18"/>
              </w:rPr>
            </w:pPr>
            <w:r w:rsidRPr="00F10893">
              <w:rPr>
                <w:rFonts w:ascii="Arial Narrow" w:hAnsi="Arial Narrow"/>
                <w:sz w:val="18"/>
                <w:szCs w:val="18"/>
              </w:rPr>
              <w:t>At platinum resistance</w:t>
            </w:r>
          </w:p>
        </w:tc>
        <w:tc>
          <w:tcPr>
            <w:tcW w:w="1116" w:type="dxa"/>
            <w:tcBorders>
              <w:top w:val="nil"/>
            </w:tcBorders>
          </w:tcPr>
          <w:p w14:paraId="0C133849" w14:textId="5863875F" w:rsidR="00606F1F" w:rsidRPr="00F10893" w:rsidRDefault="00606F1F" w:rsidP="00F02286">
            <w:pPr>
              <w:keepNext/>
              <w:keepLines/>
              <w:widowControl w:val="0"/>
              <w:spacing w:before="0" w:after="0"/>
              <w:jc w:val="center"/>
              <w:rPr>
                <w:rFonts w:ascii="Arial Narrow" w:hAnsi="Arial Narrow"/>
                <w:bCs/>
                <w:sz w:val="18"/>
                <w:szCs w:val="18"/>
              </w:rPr>
            </w:pPr>
            <w:r w:rsidRPr="004A04A1">
              <w:rPr>
                <w:rFonts w:ascii="Arial Narrow" w:hAnsi="Arial Narrow"/>
                <w:bCs/>
                <w:sz w:val="18"/>
                <w:szCs w:val="18"/>
              </w:rPr>
              <w:t>$</w:t>
            </w:r>
            <w:r w:rsidR="00572B06" w:rsidRPr="00572B06">
              <w:rPr>
                <w:rFonts w:ascii="Arial Narrow" w:hAnsi="Arial Narrow" w:cs="Calibri"/>
                <w:sz w:val="18"/>
                <w:szCs w:val="18"/>
              </w:rPr>
              <w:t>redacted</w:t>
            </w:r>
          </w:p>
        </w:tc>
        <w:tc>
          <w:tcPr>
            <w:tcW w:w="727" w:type="dxa"/>
            <w:tcBorders>
              <w:top w:val="nil"/>
            </w:tcBorders>
          </w:tcPr>
          <w:p w14:paraId="586303C9" w14:textId="77777777" w:rsidR="00606F1F" w:rsidRPr="00F10893" w:rsidRDefault="00606F1F" w:rsidP="00F02286">
            <w:pPr>
              <w:keepNext/>
              <w:keepLines/>
              <w:widowControl w:val="0"/>
              <w:spacing w:before="0" w:after="0"/>
              <w:jc w:val="center"/>
              <w:rPr>
                <w:rFonts w:ascii="Arial Narrow" w:hAnsi="Arial Narrow"/>
                <w:bCs/>
                <w:sz w:val="18"/>
                <w:szCs w:val="18"/>
              </w:rPr>
            </w:pPr>
            <w:r w:rsidRPr="00F10893">
              <w:rPr>
                <w:rFonts w:ascii="Arial Narrow" w:hAnsi="Arial Narrow"/>
                <w:bCs/>
                <w:sz w:val="18"/>
                <w:szCs w:val="18"/>
              </w:rPr>
              <w:t>0.68</w:t>
            </w:r>
          </w:p>
        </w:tc>
        <w:tc>
          <w:tcPr>
            <w:tcW w:w="1190" w:type="dxa"/>
            <w:tcBorders>
              <w:top w:val="nil"/>
            </w:tcBorders>
          </w:tcPr>
          <w:p w14:paraId="699529DB" w14:textId="0E1CA093" w:rsidR="00606F1F" w:rsidRPr="00F10893" w:rsidRDefault="00606F1F" w:rsidP="00F02286">
            <w:pPr>
              <w:keepNext/>
              <w:keepLines/>
              <w:widowControl w:val="0"/>
              <w:spacing w:before="0" w:after="0"/>
              <w:jc w:val="center"/>
              <w:rPr>
                <w:rFonts w:ascii="Arial Narrow" w:hAnsi="Arial Narrow"/>
                <w:bCs/>
                <w:sz w:val="18"/>
                <w:szCs w:val="18"/>
              </w:rPr>
            </w:pPr>
            <w:r w:rsidRPr="004A04A1">
              <w:rPr>
                <w:rFonts w:ascii="Arial Narrow" w:hAnsi="Arial Narrow"/>
                <w:bCs/>
                <w:sz w:val="18"/>
                <w:szCs w:val="18"/>
              </w:rPr>
              <w:t>$</w:t>
            </w:r>
            <w:r w:rsidR="00572B06" w:rsidRPr="00572B06">
              <w:rPr>
                <w:rFonts w:ascii="Arial Narrow" w:hAnsi="Arial Narrow" w:cs="Calibri"/>
                <w:sz w:val="18"/>
                <w:szCs w:val="18"/>
              </w:rPr>
              <w:t>redacted</w:t>
            </w:r>
            <w:r w:rsidR="0026436B">
              <w:rPr>
                <w:rFonts w:ascii="Arial Narrow" w:eastAsia="Times New Roman" w:hAnsi="Arial Narrow" w:cs="Arial"/>
                <w:snapToGrid w:val="0"/>
                <w:sz w:val="18"/>
                <w:vertAlign w:val="superscript"/>
                <w:lang w:eastAsia="en-AU"/>
              </w:rPr>
              <w:t>1</w:t>
            </w:r>
          </w:p>
        </w:tc>
        <w:tc>
          <w:tcPr>
            <w:tcW w:w="1078" w:type="dxa"/>
            <w:tcBorders>
              <w:top w:val="nil"/>
            </w:tcBorders>
          </w:tcPr>
          <w:p w14:paraId="1A73AFB8" w14:textId="3446E3D1" w:rsidR="00606F1F" w:rsidRPr="00F10893" w:rsidRDefault="00606F1F" w:rsidP="00F02286">
            <w:pPr>
              <w:keepNext/>
              <w:keepLines/>
              <w:widowControl w:val="0"/>
              <w:spacing w:before="0" w:after="0"/>
              <w:jc w:val="center"/>
              <w:rPr>
                <w:rFonts w:ascii="Arial Narrow" w:hAnsi="Arial Narrow"/>
                <w:bCs/>
                <w:sz w:val="18"/>
                <w:szCs w:val="18"/>
              </w:rPr>
            </w:pPr>
            <w:r w:rsidRPr="004A04A1">
              <w:rPr>
                <w:rFonts w:ascii="Arial Narrow" w:hAnsi="Arial Narrow"/>
                <w:bCs/>
                <w:sz w:val="18"/>
                <w:szCs w:val="18"/>
              </w:rPr>
              <w:t>$</w:t>
            </w:r>
            <w:r w:rsidR="00572B06" w:rsidRPr="00572B06">
              <w:rPr>
                <w:rFonts w:ascii="Arial Narrow" w:hAnsi="Arial Narrow" w:cs="Calibri"/>
                <w:sz w:val="18"/>
                <w:szCs w:val="18"/>
              </w:rPr>
              <w:t>redacted</w:t>
            </w:r>
          </w:p>
        </w:tc>
        <w:tc>
          <w:tcPr>
            <w:tcW w:w="1134" w:type="dxa"/>
            <w:tcBorders>
              <w:top w:val="nil"/>
            </w:tcBorders>
          </w:tcPr>
          <w:p w14:paraId="6328F4AB" w14:textId="77777777" w:rsidR="00606F1F" w:rsidRPr="00F10893" w:rsidRDefault="00606F1F" w:rsidP="00F02286">
            <w:pPr>
              <w:keepNext/>
              <w:keepLines/>
              <w:widowControl w:val="0"/>
              <w:spacing w:before="0" w:after="0"/>
              <w:jc w:val="center"/>
              <w:rPr>
                <w:rFonts w:ascii="Arial Narrow" w:hAnsi="Arial Narrow"/>
                <w:bCs/>
                <w:sz w:val="18"/>
                <w:szCs w:val="18"/>
              </w:rPr>
            </w:pPr>
            <w:r w:rsidRPr="00F10893">
              <w:rPr>
                <w:rFonts w:ascii="Arial Narrow" w:hAnsi="Arial Narrow"/>
                <w:bCs/>
                <w:sz w:val="18"/>
                <w:szCs w:val="18"/>
              </w:rPr>
              <w:t>0.60</w:t>
            </w:r>
          </w:p>
        </w:tc>
        <w:tc>
          <w:tcPr>
            <w:tcW w:w="992" w:type="dxa"/>
            <w:tcBorders>
              <w:top w:val="nil"/>
            </w:tcBorders>
          </w:tcPr>
          <w:p w14:paraId="353F2142" w14:textId="3AEF424C" w:rsidR="00606F1F" w:rsidRPr="00F10893" w:rsidRDefault="00606F1F" w:rsidP="00F02286">
            <w:pPr>
              <w:keepNext/>
              <w:keepLines/>
              <w:widowControl w:val="0"/>
              <w:spacing w:before="0" w:after="0"/>
              <w:jc w:val="center"/>
              <w:rPr>
                <w:rFonts w:ascii="Arial Narrow" w:hAnsi="Arial Narrow"/>
                <w:bCs/>
                <w:sz w:val="18"/>
                <w:szCs w:val="18"/>
              </w:rPr>
            </w:pPr>
            <w:r w:rsidRPr="004A04A1">
              <w:rPr>
                <w:rFonts w:ascii="Arial Narrow" w:hAnsi="Arial Narrow"/>
                <w:bCs/>
                <w:sz w:val="18"/>
                <w:szCs w:val="18"/>
              </w:rPr>
              <w:t>$</w:t>
            </w:r>
            <w:r w:rsidR="00572B06" w:rsidRPr="00572B06">
              <w:rPr>
                <w:rFonts w:ascii="Arial Narrow" w:hAnsi="Arial Narrow" w:cs="Calibri"/>
                <w:sz w:val="18"/>
                <w:szCs w:val="18"/>
              </w:rPr>
              <w:t>redacted</w:t>
            </w:r>
            <w:r w:rsidR="0026436B">
              <w:rPr>
                <w:rFonts w:ascii="Arial Narrow" w:eastAsia="Times New Roman" w:hAnsi="Arial Narrow" w:cs="Arial"/>
                <w:snapToGrid w:val="0"/>
                <w:sz w:val="18"/>
                <w:vertAlign w:val="superscript"/>
                <w:lang w:eastAsia="en-AU"/>
              </w:rPr>
              <w:t>1</w:t>
            </w:r>
          </w:p>
        </w:tc>
        <w:tc>
          <w:tcPr>
            <w:tcW w:w="1083" w:type="dxa"/>
            <w:tcBorders>
              <w:top w:val="nil"/>
            </w:tcBorders>
          </w:tcPr>
          <w:p w14:paraId="51EBB259" w14:textId="2560EBC5" w:rsidR="00606F1F" w:rsidRPr="00923769" w:rsidRDefault="00606F1F" w:rsidP="00F02286">
            <w:pPr>
              <w:keepNext/>
              <w:keepLines/>
              <w:widowControl w:val="0"/>
              <w:spacing w:before="0" w:after="0"/>
              <w:jc w:val="center"/>
              <w:rPr>
                <w:rFonts w:ascii="Arial Narrow" w:hAnsi="Arial Narrow" w:cstheme="minorHAnsi"/>
                <w:sz w:val="18"/>
                <w:szCs w:val="18"/>
                <w:highlight w:val="yellow"/>
              </w:rPr>
            </w:pPr>
            <w:r w:rsidRPr="004A04A1">
              <w:rPr>
                <w:rFonts w:ascii="Arial Narrow" w:hAnsi="Arial Narrow" w:cstheme="minorHAnsi"/>
                <w:sz w:val="18"/>
                <w:szCs w:val="18"/>
              </w:rPr>
              <w:t>$</w:t>
            </w:r>
            <w:r w:rsidR="00572B06" w:rsidRPr="00572B06">
              <w:rPr>
                <w:rFonts w:ascii="Arial Narrow" w:hAnsi="Arial Narrow" w:cs="Calibri"/>
                <w:sz w:val="18"/>
                <w:szCs w:val="18"/>
              </w:rPr>
              <w:t>redacted</w:t>
            </w:r>
            <w:r w:rsidR="0026436B">
              <w:rPr>
                <w:rFonts w:ascii="Arial Narrow" w:eastAsia="Times New Roman" w:hAnsi="Arial Narrow" w:cs="Arial"/>
                <w:snapToGrid w:val="0"/>
                <w:sz w:val="18"/>
                <w:vertAlign w:val="superscript"/>
                <w:lang w:eastAsia="en-AU"/>
              </w:rPr>
              <w:t>1</w:t>
            </w:r>
          </w:p>
          <w:p w14:paraId="5A25E436" w14:textId="7C528E8F" w:rsidR="00606F1F" w:rsidRPr="00F10893" w:rsidRDefault="00606F1F" w:rsidP="00F02286">
            <w:pPr>
              <w:keepNext/>
              <w:keepLines/>
              <w:widowControl w:val="0"/>
              <w:spacing w:before="0" w:after="0"/>
              <w:jc w:val="center"/>
              <w:rPr>
                <w:rFonts w:ascii="Arial Narrow" w:hAnsi="Arial Narrow"/>
                <w:sz w:val="18"/>
                <w:szCs w:val="18"/>
              </w:rPr>
            </w:pPr>
            <w:r w:rsidRPr="00546C20">
              <w:rPr>
                <w:rFonts w:ascii="Arial Narrow" w:hAnsi="Arial Narrow" w:cstheme="minorHAnsi"/>
                <w:sz w:val="18"/>
                <w:szCs w:val="18"/>
              </w:rPr>
              <w:t>(</w:t>
            </w:r>
            <w:r w:rsidR="00572B06" w:rsidRPr="00572B06">
              <w:rPr>
                <w:rFonts w:ascii="Arial Narrow" w:hAnsi="Arial Narrow" w:cs="Calibri"/>
                <w:sz w:val="18"/>
                <w:szCs w:val="18"/>
              </w:rPr>
              <w:t>redacted</w:t>
            </w:r>
            <w:r w:rsidRPr="00546C20">
              <w:rPr>
                <w:rFonts w:ascii="Arial Narrow" w:hAnsi="Arial Narrow" w:cstheme="minorHAnsi"/>
                <w:sz w:val="18"/>
                <w:szCs w:val="18"/>
              </w:rPr>
              <w:t>%)</w:t>
            </w:r>
          </w:p>
        </w:tc>
      </w:tr>
    </w:tbl>
    <w:p w14:paraId="6B4EC2C4" w14:textId="77777777" w:rsidR="00606F1F" w:rsidRPr="00F10893" w:rsidRDefault="00606F1F" w:rsidP="00F02286">
      <w:pPr>
        <w:keepNext/>
        <w:keepLines/>
        <w:widowControl w:val="0"/>
        <w:spacing w:before="0" w:after="0"/>
        <w:contextualSpacing/>
        <w:rPr>
          <w:rFonts w:ascii="Arial Narrow" w:eastAsia="Times New Roman" w:hAnsi="Arial Narrow" w:cs="Arial"/>
          <w:snapToGrid w:val="0"/>
          <w:sz w:val="20"/>
          <w:szCs w:val="20"/>
        </w:rPr>
      </w:pPr>
      <w:r w:rsidRPr="00F10893">
        <w:rPr>
          <w:rFonts w:ascii="Arial Narrow" w:eastAsia="Times New Roman" w:hAnsi="Arial Narrow" w:cs="Arial"/>
          <w:snapToGrid w:val="0"/>
          <w:sz w:val="18"/>
          <w:szCs w:val="20"/>
        </w:rPr>
        <w:t>Source: Table 3.9-1, p200 and Table 3.9-2, p201 of the submission.</w:t>
      </w:r>
    </w:p>
    <w:p w14:paraId="67B6BC02" w14:textId="0BF12DEF" w:rsidR="00606F1F" w:rsidRDefault="00606F1F" w:rsidP="00AA0DCE">
      <w:pPr>
        <w:keepNext/>
        <w:keepLines/>
        <w:tabs>
          <w:tab w:val="left" w:pos="284"/>
        </w:tabs>
        <w:spacing w:before="0" w:after="0"/>
        <w:jc w:val="left"/>
        <w:rPr>
          <w:rFonts w:ascii="Arial Narrow" w:eastAsia="Times New Roman" w:hAnsi="Arial Narrow" w:cs="Arial"/>
          <w:snapToGrid w:val="0"/>
          <w:sz w:val="18"/>
          <w:lang w:eastAsia="en-AU"/>
        </w:rPr>
      </w:pPr>
      <w:r w:rsidRPr="00F10893">
        <w:rPr>
          <w:rFonts w:ascii="Arial Narrow" w:eastAsia="Times New Roman" w:hAnsi="Arial Narrow" w:cs="Arial"/>
          <w:snapToGrid w:val="0"/>
          <w:sz w:val="18"/>
          <w:lang w:eastAsia="en-AU"/>
        </w:rPr>
        <w:t xml:space="preserve">BEVA = bevacizumab; </w:t>
      </w:r>
      <w:r w:rsidRPr="00F10893">
        <w:rPr>
          <w:rFonts w:ascii="Arial Narrow" w:eastAsia="Times New Roman" w:hAnsi="Arial Narrow" w:cstheme="minorHAnsi"/>
          <w:snapToGrid w:val="0"/>
          <w:sz w:val="18"/>
          <w:szCs w:val="18"/>
          <w:lang w:eastAsia="en-AU"/>
        </w:rPr>
        <w:t>FRα</w:t>
      </w:r>
      <w:r w:rsidRPr="00F10893">
        <w:rPr>
          <w:rFonts w:ascii="Arial Narrow" w:eastAsia="Times New Roman" w:hAnsi="Arial Narrow" w:cs="Arial"/>
          <w:snapToGrid w:val="0"/>
          <w:sz w:val="18"/>
          <w:lang w:eastAsia="en-AU"/>
        </w:rPr>
        <w:t xml:space="preserve"> = folate receptor alpha; ICC = investigators choice of chemotherapy; ICER = incremental cost effectiveness ratio; MIRV = </w:t>
      </w:r>
      <w:r w:rsidR="00C006E3" w:rsidRPr="00F10893">
        <w:rPr>
          <w:rFonts w:ascii="Arial Narrow" w:eastAsia="Times New Roman" w:hAnsi="Arial Narrow" w:cs="Arial"/>
          <w:snapToGrid w:val="0"/>
          <w:sz w:val="18"/>
          <w:lang w:eastAsia="en-AU"/>
        </w:rPr>
        <w:t>mirvetuximab</w:t>
      </w:r>
      <w:r w:rsidRPr="00F10893">
        <w:rPr>
          <w:rFonts w:ascii="Arial Narrow" w:eastAsia="Times New Roman" w:hAnsi="Arial Narrow" w:cs="Arial"/>
          <w:snapToGrid w:val="0"/>
          <w:sz w:val="18"/>
          <w:lang w:eastAsia="en-AU"/>
        </w:rPr>
        <w:t xml:space="preserve"> soravtansine; QALY = quality adjusted life year.</w:t>
      </w:r>
    </w:p>
    <w:p w14:paraId="06FD674E" w14:textId="215FDED8" w:rsidR="00AA0DCE" w:rsidRDefault="00AA0DCE" w:rsidP="00AA0DCE">
      <w:pPr>
        <w:pStyle w:val="TableFigureFooter"/>
      </w:pPr>
      <w:r>
        <w:t>The redacted values correspond to the following ranges:</w:t>
      </w:r>
    </w:p>
    <w:p w14:paraId="4C7BF861" w14:textId="555295B6" w:rsidR="006C5C34" w:rsidRDefault="0026436B" w:rsidP="00AA0DCE">
      <w:pPr>
        <w:keepNext/>
        <w:keepLines/>
        <w:tabs>
          <w:tab w:val="left" w:pos="284"/>
        </w:tabs>
        <w:spacing w:before="0" w:after="0"/>
        <w:jc w:val="left"/>
        <w:rPr>
          <w:rFonts w:ascii="Arial Narrow" w:eastAsia="Times New Roman" w:hAnsi="Arial Narrow" w:cs="Arial"/>
          <w:snapToGrid w:val="0"/>
          <w:sz w:val="18"/>
          <w:lang w:eastAsia="en-AU"/>
        </w:rPr>
      </w:pPr>
      <w:r>
        <w:rPr>
          <w:rFonts w:ascii="Arial Narrow" w:eastAsia="Times New Roman" w:hAnsi="Arial Narrow" w:cs="Arial"/>
          <w:snapToGrid w:val="0"/>
          <w:sz w:val="18"/>
          <w:vertAlign w:val="superscript"/>
          <w:lang w:eastAsia="en-AU"/>
        </w:rPr>
        <w:t>1</w:t>
      </w:r>
      <w:r w:rsidR="00112A19" w:rsidRPr="00112A19">
        <w:rPr>
          <w:rFonts w:ascii="Arial Narrow" w:eastAsia="Times New Roman" w:hAnsi="Arial Narrow" w:cs="Arial"/>
          <w:snapToGrid w:val="0"/>
          <w:sz w:val="18"/>
          <w:lang w:eastAsia="en-AU"/>
        </w:rPr>
        <w:t>$75,000 to &lt; $95,000</w:t>
      </w:r>
    </w:p>
    <w:p w14:paraId="77828002" w14:textId="77777777" w:rsidR="00232D56" w:rsidRPr="00F10893" w:rsidRDefault="00232D56" w:rsidP="00AA0DCE">
      <w:pPr>
        <w:keepNext/>
        <w:keepLines/>
        <w:tabs>
          <w:tab w:val="left" w:pos="284"/>
        </w:tabs>
        <w:spacing w:before="0" w:after="0"/>
        <w:jc w:val="left"/>
        <w:rPr>
          <w:rFonts w:ascii="Arial Narrow" w:eastAsia="Times New Roman" w:hAnsi="Arial Narrow" w:cs="Arial"/>
          <w:snapToGrid w:val="0"/>
          <w:sz w:val="18"/>
          <w:lang w:eastAsia="en-AU"/>
        </w:rPr>
      </w:pPr>
    </w:p>
    <w:p w14:paraId="68578EF6" w14:textId="47FEC37F" w:rsidR="00606F1F" w:rsidRPr="00A36EC0" w:rsidRDefault="00606F1F" w:rsidP="00606F1F">
      <w:pPr>
        <w:spacing w:before="0" w:after="240"/>
        <w:rPr>
          <w:rFonts w:ascii="Franklin Gothic Book" w:hAnsi="Franklin Gothic Book" w:cstheme="minorHAnsi"/>
          <w:sz w:val="22"/>
        </w:rPr>
      </w:pPr>
      <w:r w:rsidRPr="00A36EC0">
        <w:rPr>
          <w:rFonts w:ascii="Franklin Gothic Book" w:hAnsi="Franklin Gothic Book" w:cstheme="minorHAnsi"/>
          <w:sz w:val="22"/>
        </w:rPr>
        <w:t xml:space="preserve">The commentary assessed the impact of timing of FRα testing and concluded that there was a negligible impact on the incremental cost effectiveness ratio (ICER) whether FRα testing occurs at primary diagnosis or at platinum resistance. </w:t>
      </w:r>
    </w:p>
    <w:p w14:paraId="02146556" w14:textId="29C7D461" w:rsidR="00606F1F" w:rsidRPr="00A36EC0" w:rsidRDefault="001960AF" w:rsidP="00606F1F">
      <w:pPr>
        <w:spacing w:before="0" w:after="240"/>
        <w:rPr>
          <w:rFonts w:ascii="Franklin Gothic Book" w:hAnsi="Franklin Gothic Book" w:cstheme="minorHAnsi"/>
          <w:sz w:val="22"/>
        </w:rPr>
      </w:pPr>
      <w:r w:rsidRPr="00A36EC0">
        <w:rPr>
          <w:rFonts w:ascii="Franklin Gothic Book" w:hAnsi="Franklin Gothic Book" w:cstheme="minorHAnsi"/>
          <w:iCs/>
          <w:sz w:val="22"/>
        </w:rPr>
        <w:t>The commentary noted that d</w:t>
      </w:r>
      <w:r w:rsidR="00606F1F" w:rsidRPr="00A36EC0">
        <w:rPr>
          <w:rFonts w:ascii="Franklin Gothic Book" w:hAnsi="Franklin Gothic Book" w:cstheme="minorHAnsi"/>
          <w:iCs/>
          <w:sz w:val="22"/>
        </w:rPr>
        <w:t>ue</w:t>
      </w:r>
      <w:r w:rsidR="00606F1F" w:rsidRPr="00A36EC0">
        <w:rPr>
          <w:rFonts w:ascii="Franklin Gothic Book" w:hAnsi="Franklin Gothic Book" w:cstheme="minorHAnsi"/>
          <w:sz w:val="22"/>
        </w:rPr>
        <w:t xml:space="preserve"> to limitations of the model structure as described above, no further sensitivity analyses relevant for MSAC consideration could be assessed during the evaluation.</w:t>
      </w:r>
    </w:p>
    <w:p w14:paraId="2948932C" w14:textId="77777777" w:rsidR="00EE5014" w:rsidRPr="00A36EC0" w:rsidRDefault="00EE5014"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bookmarkStart w:id="51" w:name="_Toc198721993"/>
      <w:r w:rsidRPr="00A36EC0">
        <w:rPr>
          <w:rFonts w:ascii="Franklin Gothic Medium" w:hAnsi="Franklin Gothic Medium"/>
          <w:b w:val="0"/>
          <w:snapToGrid/>
          <w:color w:val="000000" w:themeColor="text1"/>
          <w:sz w:val="32"/>
          <w:szCs w:val="26"/>
        </w:rPr>
        <w:t>Financial/budgetary impacts</w:t>
      </w:r>
      <w:bookmarkEnd w:id="51"/>
    </w:p>
    <w:p w14:paraId="5C96960A" w14:textId="722B541E" w:rsidR="008B5B98" w:rsidRPr="00A36EC0" w:rsidRDefault="00606F1F" w:rsidP="008B5B98">
      <w:pPr>
        <w:rPr>
          <w:rFonts w:ascii="Franklin Gothic Book" w:hAnsi="Franklin Gothic Book"/>
          <w:sz w:val="22"/>
        </w:rPr>
      </w:pPr>
      <w:r w:rsidRPr="00A36EC0">
        <w:rPr>
          <w:rFonts w:ascii="Franklin Gothic Book" w:hAnsi="Franklin Gothic Book" w:cstheme="minorHAnsi"/>
          <w:sz w:val="22"/>
        </w:rPr>
        <w:t xml:space="preserve">The submission used an epidemiological approach to estimate the expected cost to the MBS of listing the test. </w:t>
      </w:r>
      <w:r w:rsidRPr="00A36EC0">
        <w:rPr>
          <w:rFonts w:ascii="Franklin Gothic Book" w:hAnsi="Franklin Gothic Book"/>
          <w:sz w:val="22"/>
        </w:rPr>
        <w:t>Consistent with the economic evaluation, the submission considered two contexts for FR</w:t>
      </w:r>
      <w:r w:rsidRPr="00A36EC0">
        <w:rPr>
          <w:rFonts w:ascii="Franklin Gothic Book" w:hAnsi="Franklin Gothic Book" w:cs="Calibri"/>
          <w:sz w:val="22"/>
        </w:rPr>
        <w:t>α</w:t>
      </w:r>
      <w:r w:rsidRPr="00A36EC0">
        <w:rPr>
          <w:rFonts w:ascii="Franklin Gothic Book" w:hAnsi="Franklin Gothic Book"/>
          <w:sz w:val="22"/>
        </w:rPr>
        <w:t xml:space="preserve"> expression testing: At primary diagnosis (base case) and at development of platinum-resistance (scenario analysis). In both scenarios, testing was a one-off event (no re-testing is considered). </w:t>
      </w:r>
      <w:r w:rsidR="001960AF" w:rsidRPr="00A36EC0">
        <w:rPr>
          <w:rFonts w:ascii="Franklin Gothic Book" w:hAnsi="Franklin Gothic Book"/>
          <w:sz w:val="22"/>
        </w:rPr>
        <w:t xml:space="preserve">The commentary noted that </w:t>
      </w:r>
      <w:r w:rsidR="001960AF" w:rsidRPr="00A36EC0">
        <w:rPr>
          <w:rFonts w:ascii="Franklin Gothic Book" w:hAnsi="Franklin Gothic Book" w:cstheme="minorHAnsi"/>
          <w:sz w:val="22"/>
        </w:rPr>
        <w:t>a</w:t>
      </w:r>
      <w:r w:rsidR="008B5B98" w:rsidRPr="00A36EC0">
        <w:rPr>
          <w:rFonts w:ascii="Franklin Gothic Book" w:hAnsi="Franklin Gothic Book" w:cstheme="minorHAnsi"/>
          <w:sz w:val="22"/>
        </w:rPr>
        <w:t xml:space="preserve">s discussed in Section 5, there is uncertainty </w:t>
      </w:r>
      <w:r w:rsidR="008B5B98" w:rsidRPr="00A36EC0">
        <w:rPr>
          <w:rFonts w:ascii="Franklin Gothic Book" w:hAnsi="Franklin Gothic Book"/>
          <w:sz w:val="22"/>
        </w:rPr>
        <w:t xml:space="preserve">relating to the stability of the biomarker over time. </w:t>
      </w:r>
      <w:r w:rsidR="008B5B98" w:rsidRPr="00A36EC0">
        <w:rPr>
          <w:rFonts w:ascii="Franklin Gothic Book" w:hAnsi="Franklin Gothic Book" w:cstheme="minorHAnsi"/>
          <w:sz w:val="22"/>
        </w:rPr>
        <w:t xml:space="preserve">  </w:t>
      </w:r>
    </w:p>
    <w:p w14:paraId="560FD657" w14:textId="0633F086" w:rsidR="0060423E" w:rsidRPr="00A36EC0" w:rsidRDefault="00606F1F" w:rsidP="0060423E">
      <w:pPr>
        <w:rPr>
          <w:rFonts w:ascii="Franklin Gothic Book" w:hAnsi="Franklin Gothic Book"/>
          <w:sz w:val="22"/>
        </w:rPr>
      </w:pPr>
      <w:r w:rsidRPr="00A36EC0">
        <w:rPr>
          <w:rFonts w:ascii="Franklin Gothic Book" w:hAnsi="Franklin Gothic Book"/>
          <w:sz w:val="22"/>
        </w:rPr>
        <w:t xml:space="preserve">The estimated number of tests at primary diagnosis was based on projected incident cases of high-grade epithelial ovarian, fallopian tube or primary peritoneal cancer (sourced from a linear extrapolation of </w:t>
      </w:r>
      <w:r w:rsidR="003C56C4" w:rsidRPr="00A36EC0">
        <w:rPr>
          <w:rFonts w:ascii="Franklin Gothic Book" w:hAnsi="Franklin Gothic Book"/>
          <w:sz w:val="22"/>
        </w:rPr>
        <w:t>Australian Institute of Health and Welfare</w:t>
      </w:r>
      <w:r w:rsidRPr="00A36EC0">
        <w:rPr>
          <w:rFonts w:ascii="Franklin Gothic Book" w:hAnsi="Franklin Gothic Book"/>
          <w:sz w:val="22"/>
        </w:rPr>
        <w:t xml:space="preserve"> </w:t>
      </w:r>
      <w:r w:rsidR="003C56C4" w:rsidRPr="00A36EC0">
        <w:rPr>
          <w:rFonts w:ascii="Franklin Gothic Book" w:hAnsi="Franklin Gothic Book"/>
          <w:sz w:val="22"/>
        </w:rPr>
        <w:t>[</w:t>
      </w:r>
      <w:r w:rsidRPr="00A36EC0">
        <w:rPr>
          <w:rFonts w:ascii="Franklin Gothic Book" w:hAnsi="Franklin Gothic Book"/>
          <w:sz w:val="22"/>
        </w:rPr>
        <w:t>AIHW</w:t>
      </w:r>
      <w:r w:rsidR="003C56C4" w:rsidRPr="00A36EC0">
        <w:rPr>
          <w:rFonts w:ascii="Franklin Gothic Book" w:hAnsi="Franklin Gothic Book"/>
          <w:sz w:val="22"/>
        </w:rPr>
        <w:t>]</w:t>
      </w:r>
      <w:r w:rsidRPr="00A36EC0">
        <w:rPr>
          <w:rFonts w:ascii="Franklin Gothic Book" w:hAnsi="Franklin Gothic Book"/>
          <w:sz w:val="22"/>
        </w:rPr>
        <w:t xml:space="preserve"> incidence data from 2020-2024) and assumptions of a </w:t>
      </w:r>
      <w:r w:rsidR="00DC4451">
        <w:rPr>
          <w:rFonts w:ascii="Franklin Gothic Book" w:hAnsi="Franklin Gothic Book"/>
          <w:b/>
          <w:bCs/>
          <w:sz w:val="22"/>
        </w:rPr>
        <w:t>redacted</w:t>
      </w:r>
      <w:r w:rsidRPr="00A36EC0">
        <w:rPr>
          <w:rFonts w:ascii="Franklin Gothic Book" w:hAnsi="Franklin Gothic Book"/>
          <w:sz w:val="22"/>
        </w:rPr>
        <w:t>% test uptake rate (see</w:t>
      </w:r>
      <w:r w:rsidR="009716A9" w:rsidRPr="00A36EC0">
        <w:rPr>
          <w:rFonts w:ascii="Franklin Gothic Book" w:hAnsi="Franklin Gothic Book"/>
          <w:sz w:val="22"/>
        </w:rPr>
        <w:t xml:space="preserve"> </w:t>
      </w:r>
      <w:r w:rsidR="0098285A">
        <w:rPr>
          <w:rFonts w:ascii="Franklin Gothic Book" w:hAnsi="Franklin Gothic Book"/>
          <w:sz w:val="22"/>
        </w:rPr>
        <w:fldChar w:fldCharType="begin"/>
      </w:r>
      <w:r w:rsidR="0098285A">
        <w:rPr>
          <w:rFonts w:ascii="Franklin Gothic Book" w:hAnsi="Franklin Gothic Book"/>
          <w:sz w:val="22"/>
        </w:rPr>
        <w:instrText xml:space="preserve"> REF _Ref198566772 \h  \* MERGEFORMAT </w:instrText>
      </w:r>
      <w:r w:rsidR="0098285A">
        <w:rPr>
          <w:rFonts w:ascii="Franklin Gothic Book" w:hAnsi="Franklin Gothic Book"/>
          <w:sz w:val="22"/>
        </w:rPr>
      </w:r>
      <w:r w:rsidR="0098285A">
        <w:rPr>
          <w:rFonts w:ascii="Franklin Gothic Book" w:hAnsi="Franklin Gothic Book"/>
          <w:sz w:val="22"/>
        </w:rPr>
        <w:fldChar w:fldCharType="separate"/>
      </w:r>
      <w:r w:rsidR="0098285A" w:rsidRPr="0098285A">
        <w:rPr>
          <w:rFonts w:ascii="Franklin Gothic Book" w:hAnsi="Franklin Gothic Book"/>
          <w:sz w:val="22"/>
        </w:rPr>
        <w:t>Table 23</w:t>
      </w:r>
      <w:r w:rsidR="0098285A">
        <w:rPr>
          <w:rFonts w:ascii="Franklin Gothic Book" w:hAnsi="Franklin Gothic Book"/>
          <w:sz w:val="22"/>
        </w:rPr>
        <w:fldChar w:fldCharType="end"/>
      </w:r>
      <w:r w:rsidR="009716A9" w:rsidRPr="00A36EC0">
        <w:rPr>
          <w:rFonts w:ascii="Franklin Gothic Book" w:hAnsi="Franklin Gothic Book"/>
          <w:sz w:val="22"/>
        </w:rPr>
        <w:fldChar w:fldCharType="begin"/>
      </w:r>
      <w:r w:rsidR="009716A9" w:rsidRPr="00A36EC0">
        <w:rPr>
          <w:rFonts w:ascii="Franklin Gothic Book" w:hAnsi="Franklin Gothic Book"/>
          <w:sz w:val="22"/>
        </w:rPr>
        <w:instrText xml:space="preserve"> REF _Ref198566772 \h  \* MERGEFORMAT </w:instrText>
      </w:r>
      <w:r w:rsidR="009716A9" w:rsidRPr="00A36EC0">
        <w:rPr>
          <w:rFonts w:ascii="Franklin Gothic Book" w:hAnsi="Franklin Gothic Book"/>
          <w:sz w:val="22"/>
        </w:rPr>
      </w:r>
      <w:r w:rsidR="009716A9" w:rsidRPr="00A36EC0">
        <w:rPr>
          <w:rFonts w:ascii="Franklin Gothic Book" w:hAnsi="Franklin Gothic Book"/>
          <w:sz w:val="22"/>
        </w:rPr>
        <w:fldChar w:fldCharType="separate"/>
      </w:r>
      <w:r w:rsidR="009716A9" w:rsidRPr="00A36EC0">
        <w:rPr>
          <w:rFonts w:ascii="Franklin Gothic Book" w:hAnsi="Franklin Gothic Book"/>
          <w:sz w:val="22"/>
        </w:rPr>
        <w:fldChar w:fldCharType="end"/>
      </w:r>
      <w:r w:rsidRPr="00A36EC0">
        <w:rPr>
          <w:rFonts w:ascii="Franklin Gothic Book" w:hAnsi="Franklin Gothic Book"/>
          <w:sz w:val="22"/>
        </w:rPr>
        <w:t xml:space="preserve">). </w:t>
      </w:r>
    </w:p>
    <w:p w14:paraId="65E715FF" w14:textId="67B6270D" w:rsidR="00606F1F" w:rsidRPr="00F10893" w:rsidDel="00B2138A" w:rsidRDefault="005E37CF" w:rsidP="00854AF6">
      <w:pPr>
        <w:keepNext/>
        <w:keepLines/>
        <w:tabs>
          <w:tab w:val="left" w:pos="1418"/>
        </w:tabs>
        <w:spacing w:before="0" w:after="0" w:line="259" w:lineRule="auto"/>
        <w:ind w:left="1418" w:hanging="1418"/>
        <w:contextualSpacing/>
        <w:jc w:val="left"/>
        <w:rPr>
          <w:rFonts w:ascii="Arial Narrow" w:hAnsi="Arial Narrow"/>
          <w:b/>
          <w:iCs/>
          <w:sz w:val="20"/>
          <w:szCs w:val="18"/>
        </w:rPr>
      </w:pPr>
      <w:bookmarkStart w:id="52" w:name="_Ref198566772"/>
      <w:r>
        <w:rPr>
          <w:rFonts w:ascii="Arial Narrow" w:hAnsi="Arial Narrow"/>
          <w:b/>
          <w:iCs/>
          <w:sz w:val="20"/>
          <w:szCs w:val="18"/>
        </w:rPr>
        <w:lastRenderedPageBreak/>
        <w:t>Table</w:t>
      </w:r>
      <w:r w:rsidR="009716A9"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23</w:t>
      </w:r>
      <w:r>
        <w:rPr>
          <w:rFonts w:ascii="Arial Narrow" w:hAnsi="Arial Narrow"/>
          <w:b/>
          <w:iCs/>
          <w:sz w:val="20"/>
          <w:szCs w:val="18"/>
        </w:rPr>
        <w:fldChar w:fldCharType="end"/>
      </w:r>
      <w:bookmarkEnd w:id="52"/>
      <w:r w:rsidR="009716A9" w:rsidRPr="00F10893">
        <w:rPr>
          <w:rFonts w:ascii="Arial Narrow" w:hAnsi="Arial Narrow"/>
          <w:b/>
          <w:iCs/>
          <w:sz w:val="20"/>
          <w:szCs w:val="18"/>
        </w:rPr>
        <w:t xml:space="preserve">: </w:t>
      </w:r>
      <w:r w:rsidR="00606F1F" w:rsidRPr="00F10893" w:rsidDel="00B2138A">
        <w:rPr>
          <w:rFonts w:ascii="Arial Narrow" w:hAnsi="Arial Narrow"/>
          <w:b/>
          <w:iCs/>
          <w:sz w:val="20"/>
          <w:szCs w:val="18"/>
        </w:rPr>
        <w:t>Estimat</w:t>
      </w:r>
      <w:r w:rsidR="00606F1F" w:rsidRPr="00F10893">
        <w:rPr>
          <w:rFonts w:ascii="Arial Narrow" w:hAnsi="Arial Narrow"/>
          <w:b/>
          <w:iCs/>
          <w:sz w:val="20"/>
          <w:szCs w:val="18"/>
        </w:rPr>
        <w:t>ed number of patients tested (primary diagnosis)</w:t>
      </w:r>
    </w:p>
    <w:tbl>
      <w:tblPr>
        <w:tblStyle w:val="TableGrid"/>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2069"/>
        <w:gridCol w:w="709"/>
        <w:gridCol w:w="992"/>
        <w:gridCol w:w="992"/>
        <w:gridCol w:w="993"/>
        <w:gridCol w:w="992"/>
        <w:gridCol w:w="992"/>
        <w:gridCol w:w="992"/>
      </w:tblGrid>
      <w:tr w:rsidR="003B26EE" w:rsidRPr="00094DFB" w:rsidDel="00B2138A" w14:paraId="53723618" w14:textId="77777777" w:rsidTr="004A49B1">
        <w:trPr>
          <w:cnfStyle w:val="100000000000" w:firstRow="1" w:lastRow="0" w:firstColumn="0" w:lastColumn="0" w:oddVBand="0" w:evenVBand="0" w:oddHBand="0" w:evenHBand="0" w:firstRowFirstColumn="0" w:firstRowLastColumn="0" w:lastRowFirstColumn="0" w:lastRowLastColumn="0"/>
          <w:jc w:val="center"/>
        </w:trPr>
        <w:tc>
          <w:tcPr>
            <w:tcW w:w="336" w:type="dxa"/>
          </w:tcPr>
          <w:p w14:paraId="6D43CAF3" w14:textId="77777777" w:rsidR="00606F1F" w:rsidRPr="00094DFB" w:rsidDel="00B2138A" w:rsidRDefault="00606F1F" w:rsidP="008A0025">
            <w:pPr>
              <w:keepNext/>
              <w:keepLines/>
              <w:spacing w:before="0"/>
              <w:jc w:val="center"/>
              <w:rPr>
                <w:rFonts w:ascii="Arial Narrow" w:eastAsiaTheme="majorEastAsia" w:hAnsi="Arial Narrow" w:cs="Times New Roman"/>
                <w:b w:val="0"/>
                <w:sz w:val="20"/>
                <w:szCs w:val="24"/>
                <w:lang w:val="en-AU" w:eastAsia="en-AU"/>
              </w:rPr>
            </w:pPr>
          </w:p>
        </w:tc>
        <w:tc>
          <w:tcPr>
            <w:tcW w:w="2069" w:type="dxa"/>
          </w:tcPr>
          <w:p w14:paraId="5CCDBB05" w14:textId="77777777" w:rsidR="00606F1F" w:rsidRPr="00094DFB" w:rsidDel="00B2138A" w:rsidRDefault="00606F1F" w:rsidP="008A0025">
            <w:pPr>
              <w:keepNext/>
              <w:keepLines/>
              <w:spacing w:before="0"/>
              <w:jc w:val="center"/>
              <w:rPr>
                <w:rFonts w:ascii="Arial Narrow" w:eastAsiaTheme="majorEastAsia" w:hAnsi="Arial Narrow" w:cs="Times New Roman"/>
                <w:b w:val="0"/>
                <w:sz w:val="20"/>
                <w:szCs w:val="24"/>
                <w:lang w:val="en-AU" w:eastAsia="en-AU"/>
              </w:rPr>
            </w:pPr>
          </w:p>
        </w:tc>
        <w:tc>
          <w:tcPr>
            <w:tcW w:w="709" w:type="dxa"/>
          </w:tcPr>
          <w:p w14:paraId="5B8C9AA3" w14:textId="77777777" w:rsidR="00606F1F" w:rsidRPr="00094DFB" w:rsidDel="00B2138A" w:rsidRDefault="00606F1F" w:rsidP="008A0025">
            <w:pPr>
              <w:keepNext/>
              <w:keepLines/>
              <w:spacing w:before="0"/>
              <w:jc w:val="center"/>
              <w:rPr>
                <w:rFonts w:ascii="Arial Narrow" w:eastAsiaTheme="majorEastAsia" w:hAnsi="Arial Narrow" w:cs="Times New Roman"/>
                <w:b w:val="0"/>
                <w:sz w:val="20"/>
                <w:szCs w:val="24"/>
                <w:lang w:val="en-AU" w:eastAsia="en-AU"/>
              </w:rPr>
            </w:pPr>
          </w:p>
        </w:tc>
        <w:tc>
          <w:tcPr>
            <w:tcW w:w="992" w:type="dxa"/>
            <w:vAlign w:val="center"/>
          </w:tcPr>
          <w:p w14:paraId="3C1547AA"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1</w:t>
            </w:r>
          </w:p>
          <w:p w14:paraId="176B268B"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2025</w:t>
            </w:r>
          </w:p>
        </w:tc>
        <w:tc>
          <w:tcPr>
            <w:tcW w:w="992" w:type="dxa"/>
            <w:vAlign w:val="center"/>
          </w:tcPr>
          <w:p w14:paraId="04B2578D"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2</w:t>
            </w:r>
          </w:p>
          <w:p w14:paraId="48D5606A"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2026</w:t>
            </w:r>
          </w:p>
        </w:tc>
        <w:tc>
          <w:tcPr>
            <w:tcW w:w="993" w:type="dxa"/>
            <w:vAlign w:val="center"/>
          </w:tcPr>
          <w:p w14:paraId="3CE09215"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3</w:t>
            </w:r>
          </w:p>
          <w:p w14:paraId="0E5105BA"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2027</w:t>
            </w:r>
          </w:p>
        </w:tc>
        <w:tc>
          <w:tcPr>
            <w:tcW w:w="992" w:type="dxa"/>
            <w:vAlign w:val="center"/>
          </w:tcPr>
          <w:p w14:paraId="555558BB"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4</w:t>
            </w:r>
          </w:p>
          <w:p w14:paraId="4639E58F"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2028</w:t>
            </w:r>
          </w:p>
        </w:tc>
        <w:tc>
          <w:tcPr>
            <w:tcW w:w="992" w:type="dxa"/>
            <w:vAlign w:val="center"/>
          </w:tcPr>
          <w:p w14:paraId="362880CE"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5</w:t>
            </w:r>
          </w:p>
          <w:p w14:paraId="4AE24137"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2029</w:t>
            </w:r>
          </w:p>
        </w:tc>
        <w:tc>
          <w:tcPr>
            <w:tcW w:w="992" w:type="dxa"/>
            <w:vAlign w:val="center"/>
          </w:tcPr>
          <w:p w14:paraId="64ECC7C6" w14:textId="77777777" w:rsidR="00606F1F" w:rsidRPr="00094DFB"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6</w:t>
            </w:r>
          </w:p>
          <w:p w14:paraId="6AB8ED3D" w14:textId="77777777" w:rsidR="00606F1F" w:rsidRPr="00094DFB" w:rsidDel="00B2138A" w:rsidRDefault="00606F1F" w:rsidP="008A0025">
            <w:pPr>
              <w:keepNext/>
              <w:keepLines/>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2030</w:t>
            </w:r>
          </w:p>
        </w:tc>
      </w:tr>
      <w:tr w:rsidR="00094DFB" w:rsidRPr="00094DFB" w:rsidDel="00B2138A" w14:paraId="6C95B7F5" w14:textId="77777777" w:rsidTr="004A49B1">
        <w:trPr>
          <w:jc w:val="center"/>
        </w:trPr>
        <w:tc>
          <w:tcPr>
            <w:tcW w:w="336" w:type="dxa"/>
          </w:tcPr>
          <w:p w14:paraId="5F921700" w14:textId="77777777" w:rsidR="00606F1F" w:rsidRPr="00094DFB" w:rsidDel="00B2138A" w:rsidRDefault="00606F1F" w:rsidP="008A0025">
            <w:pPr>
              <w:keepNext/>
              <w:keepLines/>
              <w:widowControl w:val="0"/>
              <w:spacing w:before="0"/>
              <w:jc w:val="left"/>
              <w:rPr>
                <w:rFonts w:ascii="Arial Narrow" w:hAnsi="Arial Narrow"/>
                <w:sz w:val="20"/>
                <w:lang w:val="en-AU"/>
              </w:rPr>
            </w:pPr>
            <w:r w:rsidRPr="00094DFB" w:rsidDel="00B2138A">
              <w:rPr>
                <w:rFonts w:ascii="Arial Narrow" w:hAnsi="Arial Narrow"/>
                <w:sz w:val="20"/>
                <w:lang w:val="en-AU"/>
              </w:rPr>
              <w:t>A</w:t>
            </w:r>
          </w:p>
        </w:tc>
        <w:tc>
          <w:tcPr>
            <w:tcW w:w="2069" w:type="dxa"/>
          </w:tcPr>
          <w:p w14:paraId="02894481" w14:textId="77777777" w:rsidR="00606F1F" w:rsidRPr="00094DFB" w:rsidDel="00B2138A" w:rsidRDefault="00606F1F" w:rsidP="008A0025">
            <w:pPr>
              <w:keepNext/>
              <w:keepLines/>
              <w:widowControl w:val="0"/>
              <w:spacing w:before="0"/>
              <w:jc w:val="left"/>
              <w:rPr>
                <w:rFonts w:ascii="Arial Narrow" w:hAnsi="Arial Narrow"/>
                <w:sz w:val="20"/>
                <w:lang w:val="en-AU"/>
              </w:rPr>
            </w:pPr>
            <w:r w:rsidRPr="00094DFB">
              <w:rPr>
                <w:rFonts w:ascii="Arial Narrow" w:hAnsi="Arial Narrow"/>
                <w:sz w:val="20"/>
                <w:szCs w:val="20"/>
                <w:lang w:val="en-AU"/>
              </w:rPr>
              <w:t>Total incident cases epithelial ovarian, fallopian tube or primary peritoneal cancer</w:t>
            </w:r>
          </w:p>
        </w:tc>
        <w:tc>
          <w:tcPr>
            <w:tcW w:w="709" w:type="dxa"/>
          </w:tcPr>
          <w:p w14:paraId="6715B2BF" w14:textId="77777777" w:rsidR="00606F1F" w:rsidRPr="00094DFB" w:rsidRDefault="00606F1F" w:rsidP="008A0025">
            <w:pPr>
              <w:keepNext/>
              <w:keepLines/>
              <w:widowControl w:val="0"/>
              <w:spacing w:before="0"/>
              <w:jc w:val="center"/>
              <w:rPr>
                <w:rFonts w:ascii="Arial Narrow" w:hAnsi="Arial Narrow"/>
                <w:sz w:val="20"/>
                <w:szCs w:val="20"/>
                <w:lang w:val="en-AU"/>
              </w:rPr>
            </w:pPr>
          </w:p>
        </w:tc>
        <w:tc>
          <w:tcPr>
            <w:tcW w:w="992" w:type="dxa"/>
            <w:vAlign w:val="center"/>
          </w:tcPr>
          <w:p w14:paraId="467737D5" w14:textId="1BC81B04" w:rsidR="00606F1F" w:rsidRPr="002E3B8D" w:rsidRDefault="007D2402"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66A5CD2E" w14:textId="19874911" w:rsidR="00606F1F" w:rsidRPr="002E3B8D" w:rsidRDefault="007D2402"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3" w:type="dxa"/>
            <w:vAlign w:val="center"/>
          </w:tcPr>
          <w:p w14:paraId="01BD3FA5" w14:textId="17B3BA7F" w:rsidR="00606F1F" w:rsidRPr="002E3B8D" w:rsidRDefault="007D2402"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lang w:val="en-AU"/>
              </w:rPr>
              <w:t>1</w:t>
            </w:r>
          </w:p>
        </w:tc>
        <w:tc>
          <w:tcPr>
            <w:tcW w:w="992" w:type="dxa"/>
            <w:vAlign w:val="center"/>
          </w:tcPr>
          <w:p w14:paraId="543F5FED" w14:textId="3ECDC6D8" w:rsidR="00606F1F" w:rsidRPr="002E3B8D" w:rsidRDefault="007D2402"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1E4FEFC7" w14:textId="775224F5"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7BAE6641" w14:textId="2560B8B3"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lang w:val="en-AU"/>
              </w:rPr>
              <w:t>1</w:t>
            </w:r>
          </w:p>
        </w:tc>
      </w:tr>
      <w:tr w:rsidR="00094DFB" w:rsidRPr="00094DFB" w:rsidDel="00B2138A" w14:paraId="4D90A2AE" w14:textId="77777777" w:rsidTr="004A49B1">
        <w:trPr>
          <w:jc w:val="center"/>
        </w:trPr>
        <w:tc>
          <w:tcPr>
            <w:tcW w:w="336" w:type="dxa"/>
          </w:tcPr>
          <w:p w14:paraId="46BF2505" w14:textId="77777777" w:rsidR="00606F1F" w:rsidRPr="00094DFB" w:rsidDel="00B2138A" w:rsidRDefault="00606F1F" w:rsidP="008A0025">
            <w:pPr>
              <w:keepNext/>
              <w:keepLines/>
              <w:widowControl w:val="0"/>
              <w:spacing w:before="0"/>
              <w:jc w:val="left"/>
              <w:rPr>
                <w:rFonts w:ascii="Arial Narrow" w:hAnsi="Arial Narrow"/>
                <w:sz w:val="20"/>
                <w:lang w:val="en-AU"/>
              </w:rPr>
            </w:pPr>
            <w:r w:rsidRPr="00094DFB" w:rsidDel="00B2138A">
              <w:rPr>
                <w:rFonts w:ascii="Arial Narrow" w:hAnsi="Arial Narrow"/>
                <w:sz w:val="20"/>
                <w:lang w:val="en-AU"/>
              </w:rPr>
              <w:t>B</w:t>
            </w:r>
          </w:p>
        </w:tc>
        <w:tc>
          <w:tcPr>
            <w:tcW w:w="2069" w:type="dxa"/>
          </w:tcPr>
          <w:p w14:paraId="2DFC03C3" w14:textId="77777777" w:rsidR="00606F1F" w:rsidRPr="00094DFB" w:rsidDel="00B2138A" w:rsidRDefault="00606F1F" w:rsidP="008A0025">
            <w:pPr>
              <w:keepNext/>
              <w:keepLines/>
              <w:widowControl w:val="0"/>
              <w:spacing w:before="0"/>
              <w:jc w:val="left"/>
              <w:rPr>
                <w:rFonts w:ascii="Arial Narrow" w:hAnsi="Arial Narrow"/>
                <w:sz w:val="20"/>
                <w:lang w:val="en-AU"/>
              </w:rPr>
            </w:pPr>
            <w:r w:rsidRPr="00094DFB">
              <w:rPr>
                <w:rFonts w:ascii="Arial Narrow" w:hAnsi="Arial Narrow"/>
                <w:sz w:val="20"/>
                <w:szCs w:val="20"/>
                <w:lang w:val="en-AU"/>
              </w:rPr>
              <w:t>% cases high-grade epithelial</w:t>
            </w:r>
          </w:p>
        </w:tc>
        <w:tc>
          <w:tcPr>
            <w:tcW w:w="709" w:type="dxa"/>
          </w:tcPr>
          <w:p w14:paraId="38292C9A" w14:textId="77777777" w:rsidR="00606F1F" w:rsidRPr="00094DFB" w:rsidRDefault="00606F1F" w:rsidP="008A0025">
            <w:pPr>
              <w:keepNext/>
              <w:keepLines/>
              <w:widowControl w:val="0"/>
              <w:spacing w:before="0"/>
              <w:jc w:val="center"/>
              <w:rPr>
                <w:rFonts w:ascii="Arial Narrow" w:hAnsi="Arial Narrow"/>
                <w:sz w:val="20"/>
                <w:szCs w:val="20"/>
                <w:lang w:val="en-AU"/>
              </w:rPr>
            </w:pPr>
          </w:p>
        </w:tc>
        <w:tc>
          <w:tcPr>
            <w:tcW w:w="992" w:type="dxa"/>
          </w:tcPr>
          <w:p w14:paraId="1EA0E4D7"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c>
          <w:tcPr>
            <w:tcW w:w="992" w:type="dxa"/>
          </w:tcPr>
          <w:p w14:paraId="1D77DE3B"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c>
          <w:tcPr>
            <w:tcW w:w="993" w:type="dxa"/>
          </w:tcPr>
          <w:p w14:paraId="1A9533E9"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c>
          <w:tcPr>
            <w:tcW w:w="992" w:type="dxa"/>
          </w:tcPr>
          <w:p w14:paraId="68F52724"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c>
          <w:tcPr>
            <w:tcW w:w="992" w:type="dxa"/>
          </w:tcPr>
          <w:p w14:paraId="1FEB8472"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c>
          <w:tcPr>
            <w:tcW w:w="992" w:type="dxa"/>
          </w:tcPr>
          <w:p w14:paraId="2944C043" w14:textId="77777777" w:rsidR="00606F1F" w:rsidRPr="003B26EE" w:rsidRDefault="00606F1F" w:rsidP="008A0025">
            <w:pPr>
              <w:keepNext/>
              <w:keepLines/>
              <w:widowControl w:val="0"/>
              <w:spacing w:before="0"/>
              <w:jc w:val="center"/>
              <w:rPr>
                <w:rFonts w:ascii="Arial Narrow" w:hAnsi="Arial Narrow"/>
                <w:sz w:val="20"/>
                <w:lang w:val="en-AU"/>
              </w:rPr>
            </w:pPr>
            <w:r w:rsidRPr="003B26EE">
              <w:rPr>
                <w:rFonts w:ascii="Arial Narrow" w:hAnsi="Arial Narrow"/>
                <w:sz w:val="20"/>
                <w:szCs w:val="20"/>
                <w:lang w:val="en-AU"/>
              </w:rPr>
              <w:t>90%</w:t>
            </w:r>
          </w:p>
        </w:tc>
      </w:tr>
      <w:tr w:rsidR="00094DFB" w:rsidRPr="00094DFB" w:rsidDel="00B2138A" w14:paraId="4B4F61B2" w14:textId="77777777" w:rsidTr="004A49B1">
        <w:trPr>
          <w:jc w:val="center"/>
        </w:trPr>
        <w:tc>
          <w:tcPr>
            <w:tcW w:w="336" w:type="dxa"/>
          </w:tcPr>
          <w:p w14:paraId="7989EAF1" w14:textId="77777777" w:rsidR="007F7BD2" w:rsidRPr="00094DFB" w:rsidDel="00B2138A" w:rsidRDefault="007F7BD2" w:rsidP="008A0025">
            <w:pPr>
              <w:keepNext/>
              <w:keepLines/>
              <w:widowControl w:val="0"/>
              <w:spacing w:before="0"/>
              <w:jc w:val="left"/>
              <w:rPr>
                <w:rFonts w:ascii="Arial Narrow" w:hAnsi="Arial Narrow"/>
                <w:sz w:val="20"/>
              </w:rPr>
            </w:pPr>
          </w:p>
        </w:tc>
        <w:tc>
          <w:tcPr>
            <w:tcW w:w="2069" w:type="dxa"/>
          </w:tcPr>
          <w:p w14:paraId="3B070D79" w14:textId="06ABAE70" w:rsidR="007F7BD2" w:rsidRPr="00094DFB" w:rsidRDefault="007F7BD2" w:rsidP="008A0025">
            <w:pPr>
              <w:keepNext/>
              <w:keepLines/>
              <w:widowControl w:val="0"/>
              <w:spacing w:before="0"/>
              <w:jc w:val="left"/>
              <w:rPr>
                <w:rFonts w:ascii="Arial Narrow" w:hAnsi="Arial Narrow"/>
                <w:sz w:val="20"/>
                <w:szCs w:val="20"/>
              </w:rPr>
            </w:pPr>
            <w:r w:rsidRPr="00094DFB">
              <w:rPr>
                <w:rFonts w:ascii="Arial Narrow" w:hAnsi="Arial Narrow"/>
                <w:sz w:val="20"/>
                <w:szCs w:val="20"/>
              </w:rPr>
              <w:t>Revised % cases high-grade epithelial</w:t>
            </w:r>
          </w:p>
        </w:tc>
        <w:tc>
          <w:tcPr>
            <w:tcW w:w="709" w:type="dxa"/>
          </w:tcPr>
          <w:p w14:paraId="189CA06B" w14:textId="77777777" w:rsidR="007F7BD2" w:rsidRPr="00094DFB" w:rsidRDefault="007F7BD2" w:rsidP="008A0025">
            <w:pPr>
              <w:keepNext/>
              <w:keepLines/>
              <w:widowControl w:val="0"/>
              <w:spacing w:before="0"/>
              <w:jc w:val="center"/>
              <w:rPr>
                <w:rFonts w:ascii="Arial Narrow" w:hAnsi="Arial Narrow"/>
                <w:sz w:val="20"/>
                <w:szCs w:val="20"/>
              </w:rPr>
            </w:pPr>
          </w:p>
        </w:tc>
        <w:tc>
          <w:tcPr>
            <w:tcW w:w="992" w:type="dxa"/>
          </w:tcPr>
          <w:p w14:paraId="4BC2EAF5" w14:textId="5AE4382A"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c>
          <w:tcPr>
            <w:tcW w:w="992" w:type="dxa"/>
          </w:tcPr>
          <w:p w14:paraId="0FBC9ACA" w14:textId="4A53F342"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c>
          <w:tcPr>
            <w:tcW w:w="993" w:type="dxa"/>
          </w:tcPr>
          <w:p w14:paraId="518AEC6E" w14:textId="1398FA99"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c>
          <w:tcPr>
            <w:tcW w:w="992" w:type="dxa"/>
          </w:tcPr>
          <w:p w14:paraId="599D28E0" w14:textId="3B5C0370"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c>
          <w:tcPr>
            <w:tcW w:w="992" w:type="dxa"/>
          </w:tcPr>
          <w:p w14:paraId="7D360F4F" w14:textId="05D48615"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c>
          <w:tcPr>
            <w:tcW w:w="992" w:type="dxa"/>
          </w:tcPr>
          <w:p w14:paraId="1DF64628" w14:textId="5972CA77" w:rsidR="007F7BD2" w:rsidRPr="003B26EE" w:rsidRDefault="005B4DCC" w:rsidP="008A0025">
            <w:pPr>
              <w:keepNext/>
              <w:keepLines/>
              <w:widowControl w:val="0"/>
              <w:spacing w:before="0"/>
              <w:jc w:val="center"/>
              <w:rPr>
                <w:rFonts w:ascii="Arial Narrow" w:hAnsi="Arial Narrow"/>
                <w:sz w:val="20"/>
                <w:szCs w:val="20"/>
              </w:rPr>
            </w:pPr>
            <w:r w:rsidRPr="003B26EE">
              <w:rPr>
                <w:rFonts w:ascii="Arial Narrow" w:hAnsi="Arial Narrow"/>
                <w:sz w:val="20"/>
                <w:szCs w:val="20"/>
              </w:rPr>
              <w:t>63%</w:t>
            </w:r>
          </w:p>
        </w:tc>
      </w:tr>
      <w:tr w:rsidR="00094DFB" w:rsidRPr="00094DFB" w:rsidDel="00B2138A" w14:paraId="049213D6" w14:textId="77777777" w:rsidTr="004A49B1">
        <w:trPr>
          <w:jc w:val="center"/>
        </w:trPr>
        <w:tc>
          <w:tcPr>
            <w:tcW w:w="336" w:type="dxa"/>
          </w:tcPr>
          <w:p w14:paraId="40BDCCF8" w14:textId="77777777" w:rsidR="00606F1F" w:rsidRPr="00094DFB" w:rsidDel="00B2138A" w:rsidRDefault="00606F1F" w:rsidP="008A0025">
            <w:pPr>
              <w:keepNext/>
              <w:keepLines/>
              <w:widowControl w:val="0"/>
              <w:spacing w:before="0"/>
              <w:jc w:val="left"/>
              <w:rPr>
                <w:rFonts w:ascii="Arial Narrow" w:hAnsi="Arial Narrow"/>
                <w:sz w:val="20"/>
                <w:lang w:val="en-AU"/>
              </w:rPr>
            </w:pPr>
            <w:r w:rsidRPr="00094DFB">
              <w:rPr>
                <w:rFonts w:ascii="Arial Narrow" w:hAnsi="Arial Narrow"/>
                <w:sz w:val="20"/>
                <w:lang w:val="en-AU"/>
              </w:rPr>
              <w:t>C</w:t>
            </w:r>
          </w:p>
        </w:tc>
        <w:tc>
          <w:tcPr>
            <w:tcW w:w="2069" w:type="dxa"/>
          </w:tcPr>
          <w:p w14:paraId="4C6D252D" w14:textId="77777777" w:rsidR="00606F1F" w:rsidRPr="00094DFB" w:rsidRDefault="00606F1F" w:rsidP="008A0025">
            <w:pPr>
              <w:keepNext/>
              <w:keepLines/>
              <w:widowControl w:val="0"/>
              <w:spacing w:before="0"/>
              <w:jc w:val="left"/>
              <w:rPr>
                <w:rFonts w:ascii="Arial Narrow" w:hAnsi="Arial Narrow"/>
                <w:sz w:val="20"/>
                <w:szCs w:val="20"/>
                <w:lang w:val="en-AU"/>
              </w:rPr>
            </w:pPr>
            <w:r w:rsidRPr="00094DFB">
              <w:rPr>
                <w:rFonts w:ascii="Arial Narrow" w:hAnsi="Arial Narrow"/>
                <w:sz w:val="20"/>
                <w:szCs w:val="20"/>
                <w:lang w:val="en-AU"/>
              </w:rPr>
              <w:t>Total incident cases high-grade epithelial ovarian, fallopian tube or primary peritoneal cancer</w:t>
            </w:r>
          </w:p>
        </w:tc>
        <w:tc>
          <w:tcPr>
            <w:tcW w:w="709" w:type="dxa"/>
            <w:vAlign w:val="center"/>
          </w:tcPr>
          <w:p w14:paraId="12381C72" w14:textId="77777777" w:rsidR="00606F1F" w:rsidRPr="00094DFB" w:rsidRDefault="00606F1F" w:rsidP="008A0025">
            <w:pPr>
              <w:keepNext/>
              <w:keepLines/>
              <w:widowControl w:val="0"/>
              <w:spacing w:before="0"/>
              <w:jc w:val="center"/>
              <w:rPr>
                <w:rFonts w:ascii="Arial Narrow" w:hAnsi="Arial Narrow"/>
                <w:sz w:val="20"/>
                <w:szCs w:val="20"/>
                <w:lang w:val="en-AU"/>
              </w:rPr>
            </w:pPr>
            <w:r w:rsidRPr="00094DFB">
              <w:rPr>
                <w:rFonts w:ascii="Arial Narrow" w:hAnsi="Arial Narrow"/>
                <w:sz w:val="20"/>
                <w:szCs w:val="20"/>
                <w:lang w:val="en-AU"/>
              </w:rPr>
              <w:t>A x B</w:t>
            </w:r>
          </w:p>
        </w:tc>
        <w:tc>
          <w:tcPr>
            <w:tcW w:w="992" w:type="dxa"/>
            <w:vAlign w:val="center"/>
          </w:tcPr>
          <w:p w14:paraId="0DA806E0" w14:textId="64750F7E"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021C8177" w14:textId="2A0CBBD4"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3" w:type="dxa"/>
            <w:vAlign w:val="center"/>
          </w:tcPr>
          <w:p w14:paraId="1A9F6DA7" w14:textId="04E58A46"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713E54B8" w14:textId="2A2A90B2"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7F44F866" w14:textId="4A27120F"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13FA4E14" w14:textId="2B1BECBF" w:rsidR="00606F1F" w:rsidRPr="002E3B8D" w:rsidRDefault="00CD7F10" w:rsidP="008A0025">
            <w:pPr>
              <w:keepNext/>
              <w:keepLines/>
              <w:widowControl w:val="0"/>
              <w:spacing w:before="0"/>
              <w:jc w:val="center"/>
              <w:rPr>
                <w:rFonts w:ascii="Arial Narrow" w:hAnsi="Arial Narrow"/>
                <w:sz w:val="19"/>
                <w:szCs w:val="19"/>
                <w:lang w:val="en-AU"/>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r>
      <w:tr w:rsidR="00094DFB" w:rsidRPr="00094DFB" w:rsidDel="00B2138A" w14:paraId="13CFFF17" w14:textId="77777777" w:rsidTr="004A49B1">
        <w:trPr>
          <w:jc w:val="center"/>
        </w:trPr>
        <w:tc>
          <w:tcPr>
            <w:tcW w:w="336" w:type="dxa"/>
          </w:tcPr>
          <w:p w14:paraId="19DF82B6" w14:textId="77777777" w:rsidR="00A045EA" w:rsidRPr="00094DFB" w:rsidRDefault="00A045EA" w:rsidP="008A0025">
            <w:pPr>
              <w:keepNext/>
              <w:keepLines/>
              <w:widowControl w:val="0"/>
              <w:spacing w:before="0"/>
              <w:jc w:val="left"/>
              <w:rPr>
                <w:rFonts w:ascii="Arial Narrow" w:hAnsi="Arial Narrow"/>
                <w:sz w:val="20"/>
              </w:rPr>
            </w:pPr>
          </w:p>
        </w:tc>
        <w:tc>
          <w:tcPr>
            <w:tcW w:w="2069" w:type="dxa"/>
          </w:tcPr>
          <w:p w14:paraId="2EA64401" w14:textId="661AD13C" w:rsidR="00A045EA" w:rsidRPr="00094DFB" w:rsidRDefault="00A045EA" w:rsidP="008A0025">
            <w:pPr>
              <w:keepNext/>
              <w:keepLines/>
              <w:widowControl w:val="0"/>
              <w:spacing w:before="0"/>
              <w:jc w:val="left"/>
              <w:rPr>
                <w:rFonts w:ascii="Arial Narrow" w:hAnsi="Arial Narrow"/>
                <w:sz w:val="20"/>
                <w:szCs w:val="20"/>
              </w:rPr>
            </w:pPr>
            <w:r w:rsidRPr="00094DFB">
              <w:rPr>
                <w:rFonts w:ascii="Arial Narrow" w:hAnsi="Arial Narrow"/>
                <w:sz w:val="20"/>
                <w:szCs w:val="20"/>
              </w:rPr>
              <w:t>Revised t</w:t>
            </w:r>
            <w:r w:rsidRPr="00094DFB">
              <w:rPr>
                <w:rFonts w:ascii="Arial Narrow" w:hAnsi="Arial Narrow"/>
                <w:sz w:val="20"/>
                <w:szCs w:val="20"/>
                <w:lang w:val="en-AU"/>
              </w:rPr>
              <w:t>otal incident cases high-grade epithelial ovarian, fallopian tube or primary peritoneal cancer</w:t>
            </w:r>
          </w:p>
        </w:tc>
        <w:tc>
          <w:tcPr>
            <w:tcW w:w="709" w:type="dxa"/>
            <w:vAlign w:val="center"/>
          </w:tcPr>
          <w:p w14:paraId="3B8BA392" w14:textId="77777777" w:rsidR="00A045EA" w:rsidRPr="00094DFB" w:rsidRDefault="00A045EA" w:rsidP="008A0025">
            <w:pPr>
              <w:keepNext/>
              <w:keepLines/>
              <w:widowControl w:val="0"/>
              <w:spacing w:before="0"/>
              <w:jc w:val="center"/>
              <w:rPr>
                <w:rFonts w:ascii="Arial Narrow" w:hAnsi="Arial Narrow"/>
                <w:sz w:val="20"/>
                <w:szCs w:val="20"/>
              </w:rPr>
            </w:pPr>
          </w:p>
        </w:tc>
        <w:tc>
          <w:tcPr>
            <w:tcW w:w="992" w:type="dxa"/>
            <w:vAlign w:val="center"/>
          </w:tcPr>
          <w:p w14:paraId="770EDD45" w14:textId="2AF4475D"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104B99FA" w14:textId="78E6D00D"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3" w:type="dxa"/>
            <w:vAlign w:val="center"/>
          </w:tcPr>
          <w:p w14:paraId="3F5ED3AD" w14:textId="2D7E8265"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33EB751B" w14:textId="37FEF135"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232D56" w:rsidRPr="002E3B8D">
              <w:rPr>
                <w:rFonts w:ascii="Arial Narrow" w:hAnsi="Arial Narrow"/>
                <w:sz w:val="19"/>
                <w:szCs w:val="19"/>
                <w:vertAlign w:val="superscript"/>
              </w:rPr>
              <w:t>1</w:t>
            </w:r>
          </w:p>
        </w:tc>
        <w:tc>
          <w:tcPr>
            <w:tcW w:w="992" w:type="dxa"/>
            <w:vAlign w:val="center"/>
          </w:tcPr>
          <w:p w14:paraId="6AF85DCE" w14:textId="06653C0F"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BF4D33" w:rsidRPr="002E3B8D">
              <w:rPr>
                <w:rFonts w:ascii="Arial Narrow" w:hAnsi="Arial Narrow"/>
                <w:sz w:val="19"/>
                <w:szCs w:val="19"/>
                <w:vertAlign w:val="superscript"/>
              </w:rPr>
              <w:t>1</w:t>
            </w:r>
          </w:p>
        </w:tc>
        <w:tc>
          <w:tcPr>
            <w:tcW w:w="992" w:type="dxa"/>
            <w:vAlign w:val="center"/>
          </w:tcPr>
          <w:p w14:paraId="55338F3C" w14:textId="2CBD0E02" w:rsidR="00A045EA" w:rsidRPr="002E3B8D" w:rsidRDefault="00CD7F10" w:rsidP="008A0025">
            <w:pPr>
              <w:keepNext/>
              <w:keepLines/>
              <w:widowControl w:val="0"/>
              <w:spacing w:before="0"/>
              <w:jc w:val="center"/>
              <w:rPr>
                <w:rFonts w:ascii="Arial Narrow" w:hAnsi="Arial Narrow"/>
                <w:sz w:val="19"/>
                <w:szCs w:val="19"/>
                <w:highlight w:val="yellow"/>
              </w:rPr>
            </w:pPr>
            <w:r w:rsidRPr="002E3B8D">
              <w:rPr>
                <w:rFonts w:ascii="Arial Narrow" w:hAnsi="Arial Narrow" w:cs="Calibri"/>
                <w:sz w:val="19"/>
                <w:szCs w:val="19"/>
                <w:lang w:val="en-AU"/>
              </w:rPr>
              <w:t>redacted</w:t>
            </w:r>
            <w:r w:rsidR="00BF4D33" w:rsidRPr="002E3B8D">
              <w:rPr>
                <w:rFonts w:ascii="Arial Narrow" w:hAnsi="Arial Narrow"/>
                <w:sz w:val="19"/>
                <w:szCs w:val="19"/>
                <w:vertAlign w:val="superscript"/>
              </w:rPr>
              <w:t>1</w:t>
            </w:r>
          </w:p>
        </w:tc>
      </w:tr>
      <w:tr w:rsidR="00094DFB" w:rsidRPr="00094DFB" w:rsidDel="00B2138A" w14:paraId="5264739A" w14:textId="77777777" w:rsidTr="004A49B1">
        <w:trPr>
          <w:jc w:val="center"/>
        </w:trPr>
        <w:tc>
          <w:tcPr>
            <w:tcW w:w="336" w:type="dxa"/>
          </w:tcPr>
          <w:p w14:paraId="730F9F8D" w14:textId="77777777" w:rsidR="00606F1F" w:rsidRPr="00094DFB" w:rsidRDefault="00606F1F" w:rsidP="008A0025">
            <w:pPr>
              <w:keepNext/>
              <w:keepLines/>
              <w:widowControl w:val="0"/>
              <w:spacing w:before="0"/>
              <w:jc w:val="left"/>
              <w:rPr>
                <w:rFonts w:ascii="Arial Narrow" w:hAnsi="Arial Narrow"/>
                <w:sz w:val="20"/>
                <w:lang w:val="en-AU"/>
              </w:rPr>
            </w:pPr>
            <w:r w:rsidRPr="00094DFB">
              <w:rPr>
                <w:rFonts w:ascii="Arial Narrow" w:hAnsi="Arial Narrow"/>
                <w:sz w:val="20"/>
                <w:lang w:val="en-AU"/>
              </w:rPr>
              <w:t>D</w:t>
            </w:r>
          </w:p>
        </w:tc>
        <w:tc>
          <w:tcPr>
            <w:tcW w:w="2069" w:type="dxa"/>
          </w:tcPr>
          <w:p w14:paraId="3968E7DF" w14:textId="77777777" w:rsidR="00606F1F" w:rsidRPr="00094DFB" w:rsidRDefault="00606F1F" w:rsidP="008A0025">
            <w:pPr>
              <w:keepNext/>
              <w:keepLines/>
              <w:widowControl w:val="0"/>
              <w:spacing w:before="0"/>
              <w:jc w:val="center"/>
              <w:rPr>
                <w:rFonts w:ascii="Arial Narrow" w:hAnsi="Arial Narrow"/>
                <w:sz w:val="20"/>
                <w:szCs w:val="20"/>
                <w:lang w:val="en-AU"/>
              </w:rPr>
            </w:pPr>
            <w:r w:rsidRPr="00094DFB">
              <w:rPr>
                <w:rFonts w:ascii="Arial Narrow" w:hAnsi="Arial Narrow"/>
                <w:sz w:val="20"/>
                <w:lang w:val="en-AU"/>
              </w:rPr>
              <w:t>Test uptake rate</w:t>
            </w:r>
          </w:p>
        </w:tc>
        <w:tc>
          <w:tcPr>
            <w:tcW w:w="709" w:type="dxa"/>
            <w:vAlign w:val="center"/>
          </w:tcPr>
          <w:p w14:paraId="08943566" w14:textId="77777777" w:rsidR="00606F1F" w:rsidRPr="00094DFB" w:rsidRDefault="00606F1F" w:rsidP="008A0025">
            <w:pPr>
              <w:keepNext/>
              <w:keepLines/>
              <w:widowControl w:val="0"/>
              <w:spacing w:before="0"/>
              <w:jc w:val="center"/>
              <w:rPr>
                <w:rFonts w:ascii="Arial Narrow" w:hAnsi="Arial Narrow"/>
                <w:sz w:val="20"/>
                <w:szCs w:val="20"/>
                <w:lang w:val="en-AU"/>
              </w:rPr>
            </w:pPr>
          </w:p>
        </w:tc>
        <w:tc>
          <w:tcPr>
            <w:tcW w:w="992" w:type="dxa"/>
            <w:vAlign w:val="center"/>
          </w:tcPr>
          <w:p w14:paraId="38D1464C" w14:textId="6BCF1B72"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c>
          <w:tcPr>
            <w:tcW w:w="992" w:type="dxa"/>
            <w:vAlign w:val="center"/>
          </w:tcPr>
          <w:p w14:paraId="4F82ACF2" w14:textId="035CD184"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c>
          <w:tcPr>
            <w:tcW w:w="993" w:type="dxa"/>
            <w:vAlign w:val="center"/>
          </w:tcPr>
          <w:p w14:paraId="6331A9DC" w14:textId="1ADE540D"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c>
          <w:tcPr>
            <w:tcW w:w="992" w:type="dxa"/>
            <w:vAlign w:val="center"/>
          </w:tcPr>
          <w:p w14:paraId="034E56FC" w14:textId="5E4B38CF"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c>
          <w:tcPr>
            <w:tcW w:w="992" w:type="dxa"/>
            <w:vAlign w:val="center"/>
          </w:tcPr>
          <w:p w14:paraId="6F6BB0E6" w14:textId="06CF3EFC"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c>
          <w:tcPr>
            <w:tcW w:w="992" w:type="dxa"/>
            <w:vAlign w:val="center"/>
          </w:tcPr>
          <w:p w14:paraId="116E5FF8" w14:textId="57AFFE98" w:rsidR="00606F1F" w:rsidRPr="00BD4BE9" w:rsidRDefault="004A49B1" w:rsidP="008A0025">
            <w:pPr>
              <w:keepNext/>
              <w:keepLines/>
              <w:widowControl w:val="0"/>
              <w:spacing w:before="0"/>
              <w:jc w:val="center"/>
              <w:rPr>
                <w:rFonts w:ascii="Arial Narrow" w:hAnsi="Arial Narrow"/>
                <w:sz w:val="20"/>
                <w:szCs w:val="20"/>
                <w:highlight w:val="yellow"/>
                <w:lang w:val="en-AU"/>
              </w:rPr>
            </w:pPr>
            <w:r w:rsidRPr="002E3B8D">
              <w:rPr>
                <w:rFonts w:ascii="Arial Narrow" w:hAnsi="Arial Narrow" w:cs="Calibri"/>
                <w:sz w:val="19"/>
                <w:szCs w:val="19"/>
                <w:lang w:val="en-AU"/>
              </w:rPr>
              <w:t>redacted</w:t>
            </w:r>
            <w:r w:rsidR="00606F1F" w:rsidRPr="004A49B1">
              <w:rPr>
                <w:rFonts w:ascii="Arial Narrow" w:hAnsi="Arial Narrow"/>
                <w:sz w:val="20"/>
                <w:lang w:val="en-AU"/>
              </w:rPr>
              <w:t>%</w:t>
            </w:r>
          </w:p>
        </w:tc>
      </w:tr>
      <w:tr w:rsidR="00094DFB" w:rsidRPr="00094DFB" w:rsidDel="00B2138A" w14:paraId="4F40395B" w14:textId="77777777" w:rsidTr="004A49B1">
        <w:trPr>
          <w:jc w:val="center"/>
        </w:trPr>
        <w:tc>
          <w:tcPr>
            <w:tcW w:w="336" w:type="dxa"/>
          </w:tcPr>
          <w:p w14:paraId="72B3B1DC" w14:textId="77777777" w:rsidR="00606F1F" w:rsidRPr="00094DFB" w:rsidRDefault="00606F1F" w:rsidP="008A0025">
            <w:pPr>
              <w:keepNext/>
              <w:keepLines/>
              <w:widowControl w:val="0"/>
              <w:spacing w:before="0"/>
              <w:jc w:val="left"/>
              <w:rPr>
                <w:rFonts w:ascii="Arial Narrow" w:hAnsi="Arial Narrow"/>
                <w:b/>
                <w:sz w:val="20"/>
                <w:lang w:val="en-AU"/>
              </w:rPr>
            </w:pPr>
            <w:r w:rsidRPr="00094DFB">
              <w:rPr>
                <w:rFonts w:ascii="Arial Narrow" w:hAnsi="Arial Narrow"/>
                <w:b/>
                <w:sz w:val="20"/>
                <w:lang w:val="en-AU"/>
              </w:rPr>
              <w:t>E</w:t>
            </w:r>
          </w:p>
        </w:tc>
        <w:tc>
          <w:tcPr>
            <w:tcW w:w="2069" w:type="dxa"/>
          </w:tcPr>
          <w:p w14:paraId="72BB39BB" w14:textId="77777777" w:rsidR="00606F1F" w:rsidRPr="00094DFB" w:rsidRDefault="00606F1F" w:rsidP="008A0025">
            <w:pPr>
              <w:keepNext/>
              <w:keepLines/>
              <w:widowControl w:val="0"/>
              <w:spacing w:before="0"/>
              <w:jc w:val="left"/>
              <w:rPr>
                <w:rFonts w:ascii="Arial Narrow" w:hAnsi="Arial Narrow"/>
                <w:b/>
                <w:sz w:val="20"/>
                <w:lang w:val="en-AU"/>
              </w:rPr>
            </w:pPr>
            <w:r w:rsidRPr="00094DFB" w:rsidDel="00B2138A">
              <w:rPr>
                <w:rFonts w:ascii="Arial Narrow" w:hAnsi="Arial Narrow"/>
                <w:b/>
                <w:sz w:val="20"/>
                <w:lang w:val="en-AU"/>
              </w:rPr>
              <w:t xml:space="preserve">Predicted number of patients </w:t>
            </w:r>
            <w:r w:rsidRPr="00094DFB">
              <w:rPr>
                <w:rFonts w:ascii="Arial Narrow" w:hAnsi="Arial Narrow"/>
                <w:b/>
                <w:sz w:val="20"/>
                <w:lang w:val="en-AU"/>
              </w:rPr>
              <w:t>tested (testing at primary diagnosis)</w:t>
            </w:r>
          </w:p>
        </w:tc>
        <w:tc>
          <w:tcPr>
            <w:tcW w:w="709" w:type="dxa"/>
            <w:vAlign w:val="center"/>
          </w:tcPr>
          <w:p w14:paraId="13A2C208" w14:textId="77777777" w:rsidR="00606F1F" w:rsidRPr="00094DFB" w:rsidRDefault="00606F1F" w:rsidP="008A0025">
            <w:pPr>
              <w:keepNext/>
              <w:keepLines/>
              <w:widowControl w:val="0"/>
              <w:spacing w:before="0"/>
              <w:jc w:val="center"/>
              <w:rPr>
                <w:rFonts w:ascii="Arial Narrow" w:hAnsi="Arial Narrow"/>
                <w:b/>
                <w:sz w:val="20"/>
                <w:szCs w:val="20"/>
                <w:lang w:val="en-AU"/>
              </w:rPr>
            </w:pPr>
            <w:r w:rsidRPr="00094DFB">
              <w:rPr>
                <w:rFonts w:ascii="Arial Narrow" w:hAnsi="Arial Narrow"/>
                <w:b/>
                <w:sz w:val="20"/>
                <w:lang w:val="en-AU"/>
              </w:rPr>
              <w:t>C x D</w:t>
            </w:r>
          </w:p>
        </w:tc>
        <w:tc>
          <w:tcPr>
            <w:tcW w:w="992" w:type="dxa"/>
            <w:vAlign w:val="center"/>
          </w:tcPr>
          <w:p w14:paraId="65FA7390" w14:textId="0E10544B"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5430402A" w14:textId="39911898"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3" w:type="dxa"/>
            <w:vAlign w:val="center"/>
          </w:tcPr>
          <w:p w14:paraId="5A1A77D4" w14:textId="7BBDF848"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4473E16C" w14:textId="1DC5116E"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2C9BCB2C" w14:textId="591D6368"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6FCE0FC7" w14:textId="41C042A5" w:rsidR="00606F1F" w:rsidRPr="002E3B8D" w:rsidRDefault="00CD7F10" w:rsidP="008A0025">
            <w:pPr>
              <w:keepNext/>
              <w:keepLines/>
              <w:widowControl w:val="0"/>
              <w:spacing w:before="0"/>
              <w:jc w:val="center"/>
              <w:rPr>
                <w:rFonts w:ascii="Arial Narrow" w:hAnsi="Arial Narrow"/>
                <w:b/>
                <w:bCs/>
                <w:sz w:val="19"/>
                <w:szCs w:val="19"/>
                <w:highlight w:val="yellow"/>
                <w:lang w:val="en-AU"/>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r>
      <w:tr w:rsidR="00094DFB" w:rsidRPr="00094DFB" w:rsidDel="00B2138A" w14:paraId="23B64CF0" w14:textId="77777777" w:rsidTr="004A49B1">
        <w:trPr>
          <w:jc w:val="center"/>
        </w:trPr>
        <w:tc>
          <w:tcPr>
            <w:tcW w:w="336" w:type="dxa"/>
          </w:tcPr>
          <w:p w14:paraId="33EA9BF7" w14:textId="77777777" w:rsidR="000E0CB4" w:rsidRPr="00094DFB" w:rsidRDefault="000E0CB4" w:rsidP="008A0025">
            <w:pPr>
              <w:keepNext/>
              <w:keepLines/>
              <w:widowControl w:val="0"/>
              <w:spacing w:before="0"/>
              <w:jc w:val="left"/>
              <w:rPr>
                <w:rFonts w:ascii="Arial Narrow" w:hAnsi="Arial Narrow"/>
                <w:b/>
                <w:sz w:val="20"/>
              </w:rPr>
            </w:pPr>
          </w:p>
        </w:tc>
        <w:tc>
          <w:tcPr>
            <w:tcW w:w="2069" w:type="dxa"/>
          </w:tcPr>
          <w:p w14:paraId="4A6E21DB" w14:textId="6C8F5F77" w:rsidR="000E0CB4" w:rsidRPr="00094DFB" w:rsidDel="00B2138A" w:rsidRDefault="000E0CB4" w:rsidP="008A0025">
            <w:pPr>
              <w:keepNext/>
              <w:keepLines/>
              <w:widowControl w:val="0"/>
              <w:spacing w:before="0"/>
              <w:jc w:val="left"/>
              <w:rPr>
                <w:rFonts w:ascii="Arial Narrow" w:hAnsi="Arial Narrow"/>
                <w:b/>
                <w:sz w:val="20"/>
              </w:rPr>
            </w:pPr>
            <w:r w:rsidRPr="00094DFB">
              <w:rPr>
                <w:rFonts w:ascii="Arial Narrow" w:hAnsi="Arial Narrow"/>
                <w:b/>
                <w:sz w:val="20"/>
              </w:rPr>
              <w:t>Revised predicted number of patients tested (at primary diagnosis)</w:t>
            </w:r>
          </w:p>
        </w:tc>
        <w:tc>
          <w:tcPr>
            <w:tcW w:w="709" w:type="dxa"/>
            <w:vAlign w:val="center"/>
          </w:tcPr>
          <w:p w14:paraId="7E15A133" w14:textId="77777777" w:rsidR="000E0CB4" w:rsidRPr="00094DFB" w:rsidRDefault="000E0CB4" w:rsidP="008A0025">
            <w:pPr>
              <w:keepNext/>
              <w:keepLines/>
              <w:widowControl w:val="0"/>
              <w:spacing w:before="0"/>
              <w:jc w:val="center"/>
              <w:rPr>
                <w:rFonts w:ascii="Arial Narrow" w:hAnsi="Arial Narrow"/>
                <w:b/>
                <w:sz w:val="20"/>
              </w:rPr>
            </w:pPr>
          </w:p>
        </w:tc>
        <w:tc>
          <w:tcPr>
            <w:tcW w:w="992" w:type="dxa"/>
            <w:vAlign w:val="center"/>
          </w:tcPr>
          <w:p w14:paraId="1ED62F25" w14:textId="5C8469FB"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19DB5D9C" w14:textId="3626A840"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3" w:type="dxa"/>
            <w:vAlign w:val="center"/>
          </w:tcPr>
          <w:p w14:paraId="0FA2E1DF" w14:textId="2B4E50D3"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76BFE453" w14:textId="1439EBBE"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3AA74CD2" w14:textId="1197DC84"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c>
          <w:tcPr>
            <w:tcW w:w="992" w:type="dxa"/>
            <w:vAlign w:val="center"/>
          </w:tcPr>
          <w:p w14:paraId="3F3AFA1E" w14:textId="5AF8EB71" w:rsidR="000E0CB4" w:rsidRPr="002E3B8D" w:rsidRDefault="00CD7F10" w:rsidP="008A0025">
            <w:pPr>
              <w:keepNext/>
              <w:keepLines/>
              <w:widowControl w:val="0"/>
              <w:spacing w:before="0"/>
              <w:jc w:val="center"/>
              <w:rPr>
                <w:rFonts w:ascii="Arial Narrow" w:hAnsi="Arial Narrow"/>
                <w:b/>
                <w:bCs/>
                <w:sz w:val="19"/>
                <w:szCs w:val="19"/>
                <w:highlight w:val="yellow"/>
              </w:rPr>
            </w:pPr>
            <w:r w:rsidRPr="002E3B8D">
              <w:rPr>
                <w:rFonts w:ascii="Arial Narrow" w:hAnsi="Arial Narrow" w:cs="Calibri"/>
                <w:b/>
                <w:bCs/>
                <w:sz w:val="19"/>
                <w:szCs w:val="19"/>
                <w:lang w:val="en-AU"/>
              </w:rPr>
              <w:t>redacted</w:t>
            </w:r>
            <w:r w:rsidR="00BF4D33" w:rsidRPr="002E3B8D">
              <w:rPr>
                <w:rFonts w:ascii="Arial Narrow" w:hAnsi="Arial Narrow"/>
                <w:b/>
                <w:bCs/>
                <w:sz w:val="19"/>
                <w:szCs w:val="19"/>
                <w:vertAlign w:val="superscript"/>
              </w:rPr>
              <w:t>1</w:t>
            </w:r>
          </w:p>
        </w:tc>
      </w:tr>
    </w:tbl>
    <w:p w14:paraId="6DE53FD5" w14:textId="77777777" w:rsidR="00606F1F" w:rsidRPr="00F10893" w:rsidRDefault="00606F1F" w:rsidP="00854AF6">
      <w:pPr>
        <w:keepNext/>
        <w:keepLines/>
        <w:widowControl w:val="0"/>
        <w:spacing w:before="0" w:after="12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Adapted from Table 4.2-2, p208 of the submission</w:t>
      </w:r>
    </w:p>
    <w:p w14:paraId="7B96D738" w14:textId="1A6D2917" w:rsidR="00A5227E" w:rsidRDefault="00094DFB" w:rsidP="008A0025">
      <w:pPr>
        <w:keepNext/>
        <w:keepLines/>
        <w:spacing w:before="0" w:after="0"/>
        <w:rPr>
          <w:rFonts w:ascii="Arial Narrow" w:eastAsia="Times New Roman" w:hAnsi="Arial Narrow" w:cs="Arial"/>
          <w:snapToGrid w:val="0"/>
          <w:sz w:val="18"/>
          <w:szCs w:val="20"/>
        </w:rPr>
      </w:pPr>
      <w:r w:rsidRPr="00094DFB">
        <w:rPr>
          <w:rFonts w:ascii="Arial Narrow" w:eastAsia="Times New Roman" w:hAnsi="Arial Narrow" w:cs="Arial"/>
          <w:snapToGrid w:val="0"/>
          <w:sz w:val="18"/>
          <w:szCs w:val="20"/>
        </w:rPr>
        <w:t xml:space="preserve">Revised values calculated by the </w:t>
      </w:r>
      <w:r w:rsidR="002E690F">
        <w:rPr>
          <w:rFonts w:ascii="Arial Narrow" w:eastAsia="Times New Roman" w:hAnsi="Arial Narrow" w:cs="Arial"/>
          <w:snapToGrid w:val="0"/>
          <w:sz w:val="18"/>
          <w:szCs w:val="20"/>
        </w:rPr>
        <w:t>d</w:t>
      </w:r>
      <w:r w:rsidR="002E690F" w:rsidRPr="00094DFB">
        <w:rPr>
          <w:rFonts w:ascii="Arial Narrow" w:eastAsia="Times New Roman" w:hAnsi="Arial Narrow" w:cs="Arial"/>
          <w:snapToGrid w:val="0"/>
          <w:sz w:val="18"/>
          <w:szCs w:val="20"/>
        </w:rPr>
        <w:t xml:space="preserve">epartment </w:t>
      </w:r>
      <w:r w:rsidR="001D5666" w:rsidRPr="00094DFB">
        <w:rPr>
          <w:rFonts w:ascii="Arial Narrow" w:eastAsia="Times New Roman" w:hAnsi="Arial Narrow" w:cs="Arial"/>
          <w:snapToGrid w:val="0"/>
          <w:sz w:val="18"/>
          <w:szCs w:val="20"/>
        </w:rPr>
        <w:t>with assumption of 63% of ovarian cancers are high-grade epithelial</w:t>
      </w:r>
      <w:r w:rsidR="00060232" w:rsidRPr="00094DFB">
        <w:rPr>
          <w:rFonts w:ascii="Arial Narrow" w:eastAsia="Times New Roman" w:hAnsi="Arial Narrow" w:cs="Arial"/>
          <w:snapToGrid w:val="0"/>
          <w:sz w:val="18"/>
          <w:szCs w:val="20"/>
        </w:rPr>
        <w:t>.</w:t>
      </w:r>
    </w:p>
    <w:p w14:paraId="3680837D" w14:textId="77777777" w:rsidR="00232D56" w:rsidRDefault="00232D56" w:rsidP="00854AF6">
      <w:pPr>
        <w:pStyle w:val="TableFigureFooter"/>
        <w:keepNext/>
        <w:keepLines/>
      </w:pPr>
      <w:r w:rsidRPr="006853EB">
        <w:t>The redacted values correspond to the following ranges:</w:t>
      </w:r>
      <w:r>
        <w:t xml:space="preserve"> </w:t>
      </w:r>
    </w:p>
    <w:p w14:paraId="7B411C83" w14:textId="77777777" w:rsidR="00232D56" w:rsidRDefault="00232D56" w:rsidP="00854AF6">
      <w:pPr>
        <w:pStyle w:val="TableFigureFooter"/>
        <w:keepNext/>
        <w:keepLines/>
      </w:pPr>
      <w:r w:rsidRPr="00B10A5F">
        <w:rPr>
          <w:vertAlign w:val="superscript"/>
        </w:rPr>
        <w:t>1</w:t>
      </w:r>
      <w:r>
        <w:t xml:space="preserve"> </w:t>
      </w:r>
      <w:r w:rsidRPr="00737598">
        <w:t>500 to &lt; 5,000</w:t>
      </w:r>
      <w:r>
        <w:t xml:space="preserve"> </w:t>
      </w:r>
    </w:p>
    <w:p w14:paraId="0ECEBE2D" w14:textId="68CE256E" w:rsidR="00606F1F" w:rsidRPr="00F02286" w:rsidRDefault="00606F1F" w:rsidP="000A117F">
      <w:pPr>
        <w:rPr>
          <w:rFonts w:ascii="Franklin Gothic Book" w:hAnsi="Franklin Gothic Book"/>
          <w:sz w:val="22"/>
        </w:rPr>
      </w:pPr>
      <w:r w:rsidRPr="00F02286">
        <w:rPr>
          <w:rFonts w:ascii="Franklin Gothic Book" w:hAnsi="Franklin Gothic Book"/>
          <w:sz w:val="22"/>
        </w:rPr>
        <w:t xml:space="preserve">The estimated number of tests at platinum resistance was based on the number of incident cases of high-grade epithelial ovarian, fallopian tube or primary peritoneal cancer that are estimated to develop platinum-resistance following second-, third- or fourth line therapy (using proportions sourced from the literature) and assumptions of a </w:t>
      </w:r>
      <w:r w:rsidR="00DC4451" w:rsidRPr="00DC4451">
        <w:rPr>
          <w:rFonts w:ascii="Franklin Gothic Book" w:hAnsi="Franklin Gothic Book"/>
          <w:b/>
          <w:bCs/>
          <w:sz w:val="22"/>
        </w:rPr>
        <w:t>redacted</w:t>
      </w:r>
      <w:r w:rsidRPr="00F02286">
        <w:rPr>
          <w:rFonts w:ascii="Franklin Gothic Book" w:hAnsi="Franklin Gothic Book"/>
          <w:sz w:val="22"/>
        </w:rPr>
        <w:t>% test uptake rate.</w:t>
      </w:r>
    </w:p>
    <w:p w14:paraId="2C627820" w14:textId="106AFFA2" w:rsidR="00606F1F" w:rsidRPr="00A36EC0" w:rsidRDefault="00493F7D" w:rsidP="00C3369C">
      <w:pPr>
        <w:rPr>
          <w:rFonts w:ascii="Franklin Gothic Book" w:hAnsi="Franklin Gothic Book" w:cstheme="minorHAnsi"/>
          <w:sz w:val="22"/>
        </w:rPr>
      </w:pPr>
      <w:r>
        <w:rPr>
          <w:rFonts w:ascii="Franklin Gothic Book" w:hAnsi="Franklin Gothic Book"/>
          <w:sz w:val="22"/>
          <w:szCs w:val="20"/>
        </w:rPr>
        <w:t>The commentary noted, a</w:t>
      </w:r>
      <w:r w:rsidR="00606F1F" w:rsidRPr="00A36EC0">
        <w:rPr>
          <w:rFonts w:ascii="Franklin Gothic Book" w:hAnsi="Franklin Gothic Book"/>
          <w:sz w:val="22"/>
          <w:szCs w:val="20"/>
        </w:rPr>
        <w:t>s this approach accounts for patients from the incident patient pool developing platinum-resistance at multiple lines of therapy, the submission did not consider prevalent patients with platinum-resistance separately.</w:t>
      </w:r>
      <w:r w:rsidR="00B36DF5">
        <w:rPr>
          <w:rFonts w:ascii="Franklin Gothic Book" w:hAnsi="Franklin Gothic Book"/>
          <w:sz w:val="22"/>
          <w:szCs w:val="20"/>
        </w:rPr>
        <w:t xml:space="preserve"> </w:t>
      </w:r>
      <w:r w:rsidR="00606F1F" w:rsidRPr="00A36EC0">
        <w:rPr>
          <w:rFonts w:ascii="Franklin Gothic Book" w:hAnsi="Franklin Gothic Book"/>
          <w:sz w:val="22"/>
          <w:szCs w:val="20"/>
        </w:rPr>
        <w:t>The commentary considered that the m</w:t>
      </w:r>
      <w:r w:rsidR="00606F1F" w:rsidRPr="00A36EC0">
        <w:rPr>
          <w:rFonts w:ascii="Franklin Gothic Book" w:hAnsi="Franklin Gothic Book" w:cstheme="minorHAnsi"/>
          <w:sz w:val="22"/>
        </w:rPr>
        <w:t xml:space="preserve">ethods used by the submission result in an assumption that 138.6% of incident high grade epithelial ovarian cancer cases are expected to progress to subsequent treatments (F + I + L in </w:t>
      </w:r>
      <w:r w:rsidR="00522933" w:rsidRPr="00A36EC0">
        <w:rPr>
          <w:rFonts w:ascii="Franklin Gothic Book" w:hAnsi="Franklin Gothic Book" w:cstheme="minorHAnsi"/>
          <w:sz w:val="22"/>
        </w:rPr>
        <w:fldChar w:fldCharType="begin"/>
      </w:r>
      <w:r w:rsidR="00522933" w:rsidRPr="00A36EC0">
        <w:rPr>
          <w:rFonts w:ascii="Franklin Gothic Book" w:hAnsi="Franklin Gothic Book" w:cstheme="minorHAnsi"/>
          <w:sz w:val="22"/>
        </w:rPr>
        <w:instrText xml:space="preserve"> REF _Ref198641050 \h </w:instrText>
      </w:r>
      <w:r w:rsidR="00BD2C11" w:rsidRPr="00A36EC0">
        <w:rPr>
          <w:rFonts w:ascii="Franklin Gothic Book" w:hAnsi="Franklin Gothic Book" w:cstheme="minorHAnsi"/>
          <w:sz w:val="22"/>
        </w:rPr>
        <w:instrText xml:space="preserve"> \* MERGEFORMAT </w:instrText>
      </w:r>
      <w:r w:rsidR="00522933" w:rsidRPr="00A36EC0">
        <w:rPr>
          <w:rFonts w:ascii="Franklin Gothic Book" w:hAnsi="Franklin Gothic Book" w:cstheme="minorHAnsi"/>
          <w:sz w:val="22"/>
        </w:rPr>
      </w:r>
      <w:r w:rsidR="00522933" w:rsidRPr="00A36EC0">
        <w:rPr>
          <w:rFonts w:ascii="Franklin Gothic Book" w:hAnsi="Franklin Gothic Book" w:cstheme="minorHAnsi"/>
          <w:sz w:val="22"/>
        </w:rPr>
        <w:fldChar w:fldCharType="separate"/>
      </w:r>
      <w:r w:rsidR="00522933" w:rsidRPr="00A36EC0">
        <w:rPr>
          <w:rFonts w:ascii="Franklin Gothic Book" w:hAnsi="Franklin Gothic Book" w:cstheme="minorHAnsi"/>
          <w:sz w:val="22"/>
        </w:rPr>
        <w:fldChar w:fldCharType="end"/>
      </w:r>
      <w:r w:rsidR="00522933" w:rsidRPr="00A36EC0">
        <w:rPr>
          <w:rFonts w:ascii="Franklin Gothic Book" w:hAnsi="Franklin Gothic Book" w:cstheme="minorHAnsi"/>
          <w:sz w:val="22"/>
        </w:rPr>
        <w:t xml:space="preserve"> </w:t>
      </w:r>
      <w:r w:rsidR="002854C1" w:rsidRPr="003E244E">
        <w:rPr>
          <w:rFonts w:ascii="Franklin Gothic Book" w:hAnsi="Franklin Gothic Book"/>
          <w:sz w:val="22"/>
          <w:szCs w:val="20"/>
        </w:rPr>
        <w:fldChar w:fldCharType="begin"/>
      </w:r>
      <w:r w:rsidR="002854C1" w:rsidRPr="003E244E">
        <w:rPr>
          <w:rFonts w:ascii="Franklin Gothic Book" w:hAnsi="Franklin Gothic Book"/>
          <w:sz w:val="22"/>
          <w:szCs w:val="20"/>
        </w:rPr>
        <w:instrText xml:space="preserve"> REF _Ref198641050 \h </w:instrText>
      </w:r>
      <w:r w:rsidR="003E244E">
        <w:rPr>
          <w:rFonts w:ascii="Franklin Gothic Book" w:hAnsi="Franklin Gothic Book"/>
          <w:sz w:val="22"/>
          <w:szCs w:val="20"/>
        </w:rPr>
        <w:instrText xml:space="preserve"> \* MERGEFORMAT </w:instrText>
      </w:r>
      <w:r w:rsidR="002854C1" w:rsidRPr="003E244E">
        <w:rPr>
          <w:rFonts w:ascii="Franklin Gothic Book" w:hAnsi="Franklin Gothic Book"/>
          <w:sz w:val="22"/>
          <w:szCs w:val="20"/>
        </w:rPr>
      </w:r>
      <w:r w:rsidR="002854C1" w:rsidRPr="003E244E">
        <w:rPr>
          <w:rFonts w:ascii="Franklin Gothic Book" w:hAnsi="Franklin Gothic Book"/>
          <w:sz w:val="22"/>
          <w:szCs w:val="20"/>
        </w:rPr>
        <w:fldChar w:fldCharType="separate"/>
      </w:r>
      <w:r w:rsidR="002854C1" w:rsidRPr="003E244E">
        <w:rPr>
          <w:rFonts w:ascii="Franklin Gothic Book" w:hAnsi="Franklin Gothic Book"/>
          <w:sz w:val="22"/>
          <w:szCs w:val="20"/>
        </w:rPr>
        <w:t>Table 24</w:t>
      </w:r>
      <w:r w:rsidR="002854C1" w:rsidRPr="003E244E">
        <w:rPr>
          <w:rFonts w:ascii="Franklin Gothic Book" w:hAnsi="Franklin Gothic Book"/>
          <w:sz w:val="22"/>
          <w:szCs w:val="20"/>
        </w:rPr>
        <w:fldChar w:fldCharType="end"/>
      </w:r>
      <w:r w:rsidR="002854C1" w:rsidRPr="003E244E">
        <w:rPr>
          <w:rFonts w:ascii="Franklin Gothic Book" w:hAnsi="Franklin Gothic Book"/>
          <w:sz w:val="22"/>
          <w:szCs w:val="20"/>
        </w:rPr>
        <w:t xml:space="preserve"> </w:t>
      </w:r>
      <w:r w:rsidR="00606F1F" w:rsidRPr="003E244E">
        <w:rPr>
          <w:rFonts w:ascii="Franklin Gothic Book" w:hAnsi="Franklin Gothic Book"/>
          <w:sz w:val="22"/>
          <w:szCs w:val="20"/>
        </w:rPr>
        <w:t>bel</w:t>
      </w:r>
      <w:r w:rsidR="00606F1F" w:rsidRPr="00A36EC0">
        <w:rPr>
          <w:rFonts w:ascii="Franklin Gothic Book" w:hAnsi="Franklin Gothic Book" w:cstheme="minorHAnsi"/>
          <w:sz w:val="22"/>
        </w:rPr>
        <w:t>ow). This approach was considered unreasonable as it may have double counted the incidence patients or underestimated the prevalent patients. As such, the predicted number of patients tested at platinum resistance is uncertain.</w:t>
      </w:r>
    </w:p>
    <w:p w14:paraId="58A72ACE" w14:textId="10A24FD9" w:rsidR="00606F1F" w:rsidRPr="00F10893" w:rsidDel="00B2138A" w:rsidRDefault="005E37CF" w:rsidP="00522933">
      <w:pPr>
        <w:pStyle w:val="Caption"/>
      </w:pPr>
      <w:bookmarkStart w:id="53" w:name="_Ref198641050"/>
      <w:r>
        <w:t>Table</w:t>
      </w:r>
      <w:r w:rsidR="009716A9" w:rsidRPr="00F10893">
        <w:t xml:space="preserve"> </w:t>
      </w:r>
      <w:r>
        <w:fldChar w:fldCharType="begin"/>
      </w:r>
      <w:r>
        <w:instrText xml:space="preserve"> SEQ Table \* ARABIC </w:instrText>
      </w:r>
      <w:r>
        <w:fldChar w:fldCharType="separate"/>
      </w:r>
      <w:r>
        <w:rPr>
          <w:noProof/>
        </w:rPr>
        <w:t>24</w:t>
      </w:r>
      <w:r>
        <w:rPr>
          <w:noProof/>
        </w:rPr>
        <w:fldChar w:fldCharType="end"/>
      </w:r>
      <w:bookmarkEnd w:id="53"/>
      <w:r w:rsidR="009716A9" w:rsidRPr="00F10893">
        <w:t xml:space="preserve">: </w:t>
      </w:r>
      <w:r w:rsidR="00606F1F" w:rsidRPr="00F10893" w:rsidDel="00B2138A">
        <w:t>Estimat</w:t>
      </w:r>
      <w:r w:rsidR="00606F1F" w:rsidRPr="00F10893">
        <w:t>ed number of tested patients (platinum resistance)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2052"/>
        <w:gridCol w:w="709"/>
        <w:gridCol w:w="992"/>
        <w:gridCol w:w="992"/>
        <w:gridCol w:w="993"/>
        <w:gridCol w:w="992"/>
        <w:gridCol w:w="992"/>
        <w:gridCol w:w="941"/>
      </w:tblGrid>
      <w:tr w:rsidR="003B26EE" w:rsidRPr="00094DFB" w:rsidDel="00B2138A" w14:paraId="3E651372" w14:textId="77777777" w:rsidTr="003B26EE">
        <w:trPr>
          <w:cnfStyle w:val="100000000000" w:firstRow="1" w:lastRow="0" w:firstColumn="0" w:lastColumn="0" w:oddVBand="0" w:evenVBand="0" w:oddHBand="0" w:evenHBand="0" w:firstRowFirstColumn="0" w:firstRowLastColumn="0" w:lastRowFirstColumn="0" w:lastRowLastColumn="0"/>
          <w:jc w:val="center"/>
        </w:trPr>
        <w:tc>
          <w:tcPr>
            <w:tcW w:w="353" w:type="dxa"/>
          </w:tcPr>
          <w:p w14:paraId="2022101B" w14:textId="77777777" w:rsidR="00606F1F" w:rsidRPr="00094DFB" w:rsidDel="00B2138A" w:rsidRDefault="00606F1F" w:rsidP="00606F1F">
            <w:pPr>
              <w:keepNext/>
              <w:spacing w:before="0"/>
              <w:jc w:val="center"/>
              <w:rPr>
                <w:rFonts w:ascii="Arial Narrow" w:eastAsiaTheme="majorEastAsia" w:hAnsi="Arial Narrow" w:cs="Times New Roman"/>
                <w:b w:val="0"/>
                <w:sz w:val="20"/>
                <w:szCs w:val="24"/>
                <w:lang w:val="en-AU" w:eastAsia="en-AU"/>
              </w:rPr>
            </w:pPr>
          </w:p>
        </w:tc>
        <w:tc>
          <w:tcPr>
            <w:tcW w:w="2052" w:type="dxa"/>
          </w:tcPr>
          <w:p w14:paraId="55D0AB88" w14:textId="77777777" w:rsidR="00606F1F" w:rsidRPr="00094DFB" w:rsidDel="00B2138A" w:rsidRDefault="00606F1F" w:rsidP="00606F1F">
            <w:pPr>
              <w:keepNext/>
              <w:spacing w:before="0"/>
              <w:jc w:val="left"/>
              <w:rPr>
                <w:rFonts w:ascii="Arial Narrow" w:eastAsiaTheme="majorEastAsia" w:hAnsi="Arial Narrow" w:cs="Times New Roman"/>
                <w:b w:val="0"/>
                <w:sz w:val="20"/>
                <w:szCs w:val="24"/>
                <w:lang w:val="en-AU" w:eastAsia="en-AU"/>
              </w:rPr>
            </w:pPr>
          </w:p>
        </w:tc>
        <w:tc>
          <w:tcPr>
            <w:tcW w:w="709" w:type="dxa"/>
          </w:tcPr>
          <w:p w14:paraId="41516470" w14:textId="77777777" w:rsidR="00606F1F" w:rsidRPr="00094DFB" w:rsidDel="00B2138A" w:rsidRDefault="00606F1F" w:rsidP="00606F1F">
            <w:pPr>
              <w:keepNext/>
              <w:spacing w:before="0"/>
              <w:jc w:val="left"/>
              <w:rPr>
                <w:rFonts w:ascii="Arial Narrow" w:eastAsiaTheme="majorEastAsia" w:hAnsi="Arial Narrow" w:cs="Times New Roman"/>
                <w:b w:val="0"/>
                <w:sz w:val="20"/>
                <w:szCs w:val="24"/>
                <w:lang w:val="en-AU" w:eastAsia="en-AU"/>
              </w:rPr>
            </w:pPr>
          </w:p>
        </w:tc>
        <w:tc>
          <w:tcPr>
            <w:tcW w:w="992" w:type="dxa"/>
            <w:vAlign w:val="center"/>
          </w:tcPr>
          <w:p w14:paraId="6A86E2F8"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1</w:t>
            </w:r>
          </w:p>
          <w:p w14:paraId="53BE2C78"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2025</w:t>
            </w:r>
          </w:p>
        </w:tc>
        <w:tc>
          <w:tcPr>
            <w:tcW w:w="992" w:type="dxa"/>
            <w:vAlign w:val="center"/>
          </w:tcPr>
          <w:p w14:paraId="41BCD268"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2</w:t>
            </w:r>
          </w:p>
          <w:p w14:paraId="03E0BF52"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2026</w:t>
            </w:r>
          </w:p>
        </w:tc>
        <w:tc>
          <w:tcPr>
            <w:tcW w:w="993" w:type="dxa"/>
            <w:vAlign w:val="center"/>
          </w:tcPr>
          <w:p w14:paraId="6018509A"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3</w:t>
            </w:r>
          </w:p>
          <w:p w14:paraId="1FD91D68"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2027</w:t>
            </w:r>
          </w:p>
        </w:tc>
        <w:tc>
          <w:tcPr>
            <w:tcW w:w="992" w:type="dxa"/>
            <w:vAlign w:val="center"/>
          </w:tcPr>
          <w:p w14:paraId="6749E31D"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4</w:t>
            </w:r>
          </w:p>
          <w:p w14:paraId="189AC28E"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2028</w:t>
            </w:r>
          </w:p>
        </w:tc>
        <w:tc>
          <w:tcPr>
            <w:tcW w:w="992" w:type="dxa"/>
            <w:vAlign w:val="center"/>
          </w:tcPr>
          <w:p w14:paraId="04266E19"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5</w:t>
            </w:r>
          </w:p>
          <w:p w14:paraId="515A6483"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2029</w:t>
            </w:r>
          </w:p>
        </w:tc>
        <w:tc>
          <w:tcPr>
            <w:tcW w:w="941" w:type="dxa"/>
            <w:vAlign w:val="center"/>
          </w:tcPr>
          <w:p w14:paraId="13CECE9C" w14:textId="77777777" w:rsidR="00606F1F" w:rsidRPr="00094DFB" w:rsidRDefault="00606F1F" w:rsidP="00FF7666">
            <w:pPr>
              <w:keepNext/>
              <w:spacing w:before="0"/>
              <w:jc w:val="center"/>
              <w:rPr>
                <w:rFonts w:ascii="Arial Narrow" w:eastAsiaTheme="majorEastAsia" w:hAnsi="Arial Narrow" w:cs="Times New Roman"/>
                <w:sz w:val="20"/>
                <w:szCs w:val="24"/>
                <w:lang w:val="en-AU" w:eastAsia="en-AU"/>
              </w:rPr>
            </w:pPr>
            <w:r w:rsidRPr="00094DFB" w:rsidDel="00B2138A">
              <w:rPr>
                <w:rFonts w:ascii="Arial Narrow" w:eastAsiaTheme="majorEastAsia" w:hAnsi="Arial Narrow" w:cs="Times New Roman"/>
                <w:sz w:val="20"/>
                <w:szCs w:val="24"/>
                <w:lang w:val="en-AU" w:eastAsia="en-AU"/>
              </w:rPr>
              <w:t>Year 6</w:t>
            </w:r>
          </w:p>
          <w:p w14:paraId="7FD8E20D" w14:textId="77777777" w:rsidR="00606F1F" w:rsidRPr="00094DFB" w:rsidDel="00B2138A" w:rsidRDefault="00606F1F" w:rsidP="00FF7666">
            <w:pPr>
              <w:keepNext/>
              <w:spacing w:before="0"/>
              <w:jc w:val="center"/>
              <w:rPr>
                <w:rFonts w:ascii="Arial Narrow" w:eastAsiaTheme="majorEastAsia" w:hAnsi="Arial Narrow" w:cs="Times New Roman"/>
                <w:sz w:val="20"/>
                <w:szCs w:val="24"/>
                <w:lang w:val="en-AU" w:eastAsia="en-AU"/>
              </w:rPr>
            </w:pPr>
            <w:r w:rsidRPr="00094DFB">
              <w:rPr>
                <w:rFonts w:ascii="Arial Narrow" w:eastAsiaTheme="majorEastAsia" w:hAnsi="Arial Narrow" w:cs="Times New Roman"/>
                <w:sz w:val="20"/>
                <w:szCs w:val="24"/>
                <w:lang w:val="en-AU" w:eastAsia="en-AU"/>
              </w:rPr>
              <w:t>2030</w:t>
            </w:r>
          </w:p>
        </w:tc>
      </w:tr>
      <w:tr w:rsidR="003B26EE" w:rsidRPr="00094DFB" w:rsidDel="00B2138A" w14:paraId="09D1A4F7" w14:textId="77777777" w:rsidTr="003B26EE">
        <w:trPr>
          <w:jc w:val="center"/>
        </w:trPr>
        <w:tc>
          <w:tcPr>
            <w:tcW w:w="353" w:type="dxa"/>
          </w:tcPr>
          <w:p w14:paraId="6EEDEA6C" w14:textId="03821456" w:rsidR="007530C0" w:rsidRPr="00094DFB" w:rsidRDefault="007530C0" w:rsidP="007530C0">
            <w:pPr>
              <w:widowControl w:val="0"/>
              <w:spacing w:before="0"/>
              <w:jc w:val="left"/>
              <w:rPr>
                <w:rFonts w:ascii="Arial Narrow" w:hAnsi="Arial Narrow"/>
                <w:sz w:val="20"/>
                <w:lang w:val="en-AU"/>
              </w:rPr>
            </w:pPr>
            <w:r w:rsidRPr="00094DFB">
              <w:rPr>
                <w:rFonts w:ascii="Arial Narrow" w:hAnsi="Arial Narrow"/>
                <w:sz w:val="20"/>
                <w:lang w:val="en-AU"/>
              </w:rPr>
              <w:t>C</w:t>
            </w:r>
          </w:p>
        </w:tc>
        <w:tc>
          <w:tcPr>
            <w:tcW w:w="2052" w:type="dxa"/>
          </w:tcPr>
          <w:p w14:paraId="38472B98" w14:textId="001AFDA0" w:rsidR="007530C0" w:rsidRPr="00094DFB" w:rsidRDefault="007530C0" w:rsidP="007530C0">
            <w:pPr>
              <w:widowControl w:val="0"/>
              <w:spacing w:before="0"/>
              <w:jc w:val="left"/>
              <w:rPr>
                <w:rFonts w:ascii="Arial Narrow" w:hAnsi="Arial Narrow"/>
                <w:sz w:val="20"/>
                <w:szCs w:val="20"/>
                <w:lang w:val="en-AU"/>
              </w:rPr>
            </w:pPr>
            <w:r w:rsidRPr="00094DFB">
              <w:rPr>
                <w:rFonts w:ascii="Arial Narrow" w:hAnsi="Arial Narrow"/>
                <w:sz w:val="20"/>
                <w:szCs w:val="20"/>
                <w:lang w:val="en-AU"/>
              </w:rPr>
              <w:t>Total incident cases high-grade epithelial ovarian, fallopian tube or primary peritoneal cancer</w:t>
            </w:r>
          </w:p>
        </w:tc>
        <w:tc>
          <w:tcPr>
            <w:tcW w:w="709" w:type="dxa"/>
            <w:vAlign w:val="center"/>
          </w:tcPr>
          <w:p w14:paraId="1D603186" w14:textId="3A6B17A3" w:rsidR="007530C0" w:rsidRPr="00094DFB" w:rsidRDefault="007530C0" w:rsidP="007530C0">
            <w:pPr>
              <w:widowControl w:val="0"/>
              <w:spacing w:before="0"/>
              <w:jc w:val="center"/>
              <w:rPr>
                <w:rFonts w:ascii="Arial Narrow" w:hAnsi="Arial Narrow"/>
                <w:sz w:val="20"/>
                <w:szCs w:val="20"/>
                <w:lang w:val="en-AU"/>
              </w:rPr>
            </w:pPr>
          </w:p>
        </w:tc>
        <w:tc>
          <w:tcPr>
            <w:tcW w:w="992" w:type="dxa"/>
            <w:vAlign w:val="center"/>
          </w:tcPr>
          <w:p w14:paraId="0E58AA37" w14:textId="477ED124"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7A86ACDC" w14:textId="570C11BE"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3" w:type="dxa"/>
            <w:vAlign w:val="center"/>
          </w:tcPr>
          <w:p w14:paraId="1BA26C8F" w14:textId="0BA52FFC"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412B6E82" w14:textId="266B9795"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3A3B52C9" w14:textId="6EDBA373"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41" w:type="dxa"/>
            <w:vAlign w:val="center"/>
          </w:tcPr>
          <w:p w14:paraId="10E3AF88" w14:textId="3CBD66C4" w:rsidR="007530C0" w:rsidRPr="003B26EE" w:rsidRDefault="006B009D" w:rsidP="007530C0">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r>
      <w:tr w:rsidR="003B26EE" w:rsidRPr="00094DFB" w:rsidDel="00B2138A" w14:paraId="3A51AC91" w14:textId="77777777" w:rsidTr="003B26EE">
        <w:trPr>
          <w:jc w:val="center"/>
        </w:trPr>
        <w:tc>
          <w:tcPr>
            <w:tcW w:w="353" w:type="dxa"/>
          </w:tcPr>
          <w:p w14:paraId="3F091198" w14:textId="77777777" w:rsidR="00C3090E" w:rsidRPr="00094DFB" w:rsidRDefault="00C3090E" w:rsidP="00C3090E">
            <w:pPr>
              <w:widowControl w:val="0"/>
              <w:spacing w:before="0"/>
              <w:jc w:val="left"/>
              <w:rPr>
                <w:rFonts w:ascii="Arial Narrow" w:hAnsi="Arial Narrow"/>
                <w:sz w:val="20"/>
              </w:rPr>
            </w:pPr>
          </w:p>
        </w:tc>
        <w:tc>
          <w:tcPr>
            <w:tcW w:w="2052" w:type="dxa"/>
          </w:tcPr>
          <w:p w14:paraId="59F4B8C7" w14:textId="60A2D4A8" w:rsidR="00C3090E" w:rsidRPr="00094DFB" w:rsidRDefault="00C3090E" w:rsidP="00C3090E">
            <w:pPr>
              <w:widowControl w:val="0"/>
              <w:spacing w:before="0"/>
              <w:jc w:val="left"/>
              <w:rPr>
                <w:rFonts w:ascii="Arial Narrow" w:hAnsi="Arial Narrow"/>
                <w:sz w:val="20"/>
                <w:szCs w:val="20"/>
              </w:rPr>
            </w:pPr>
            <w:r w:rsidRPr="00094DFB">
              <w:rPr>
                <w:rFonts w:ascii="Arial Narrow" w:hAnsi="Arial Narrow"/>
                <w:sz w:val="20"/>
                <w:szCs w:val="20"/>
              </w:rPr>
              <w:t>Revised t</w:t>
            </w:r>
            <w:r w:rsidRPr="00094DFB">
              <w:rPr>
                <w:rFonts w:ascii="Arial Narrow" w:hAnsi="Arial Narrow"/>
                <w:sz w:val="20"/>
                <w:szCs w:val="20"/>
                <w:lang w:val="en-AU"/>
              </w:rPr>
              <w:t>otal incident cases high-grade epithelial ovarian, fallopian tube or primary peritoneal cancer</w:t>
            </w:r>
          </w:p>
        </w:tc>
        <w:tc>
          <w:tcPr>
            <w:tcW w:w="709" w:type="dxa"/>
            <w:vAlign w:val="center"/>
          </w:tcPr>
          <w:p w14:paraId="1C618BDA" w14:textId="77777777" w:rsidR="00C3090E" w:rsidRPr="00094DFB" w:rsidRDefault="00C3090E" w:rsidP="00C3090E">
            <w:pPr>
              <w:widowControl w:val="0"/>
              <w:spacing w:before="0"/>
              <w:jc w:val="center"/>
              <w:rPr>
                <w:rFonts w:ascii="Arial Narrow" w:hAnsi="Arial Narrow"/>
                <w:sz w:val="20"/>
                <w:szCs w:val="20"/>
              </w:rPr>
            </w:pPr>
          </w:p>
        </w:tc>
        <w:tc>
          <w:tcPr>
            <w:tcW w:w="992" w:type="dxa"/>
            <w:vAlign w:val="center"/>
          </w:tcPr>
          <w:p w14:paraId="653EF0B3" w14:textId="5D963A64"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3AA5004F" w14:textId="406043CB"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3" w:type="dxa"/>
            <w:vAlign w:val="center"/>
          </w:tcPr>
          <w:p w14:paraId="6709A526" w14:textId="7EC08832"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78118376" w14:textId="1F99A177"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92" w:type="dxa"/>
            <w:vAlign w:val="center"/>
          </w:tcPr>
          <w:p w14:paraId="52ED2BD8" w14:textId="590E155D"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c>
          <w:tcPr>
            <w:tcW w:w="941" w:type="dxa"/>
            <w:vAlign w:val="center"/>
          </w:tcPr>
          <w:p w14:paraId="6FB7DF8C" w14:textId="6B11649D" w:rsidR="00C3090E" w:rsidRPr="003B26EE" w:rsidRDefault="006B009D" w:rsidP="00C3090E">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1F0678" w:rsidRPr="003B26EE">
              <w:rPr>
                <w:rFonts w:ascii="Arial Narrow" w:hAnsi="Arial Narrow"/>
                <w:sz w:val="19"/>
                <w:szCs w:val="19"/>
                <w:vertAlign w:val="superscript"/>
              </w:rPr>
              <w:t>1</w:t>
            </w:r>
          </w:p>
        </w:tc>
      </w:tr>
      <w:tr w:rsidR="003B26EE" w:rsidRPr="00094DFB" w:rsidDel="00B2138A" w14:paraId="17D60803" w14:textId="77777777" w:rsidTr="003B26EE">
        <w:trPr>
          <w:jc w:val="center"/>
        </w:trPr>
        <w:tc>
          <w:tcPr>
            <w:tcW w:w="353" w:type="dxa"/>
          </w:tcPr>
          <w:p w14:paraId="46A7C6AB"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lastRenderedPageBreak/>
              <w:t>F</w:t>
            </w:r>
          </w:p>
        </w:tc>
        <w:tc>
          <w:tcPr>
            <w:tcW w:w="2052" w:type="dxa"/>
          </w:tcPr>
          <w:p w14:paraId="2D7D6830"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szCs w:val="20"/>
                <w:lang w:val="en-AU"/>
              </w:rPr>
              <w:t>% cases advanced staged ovarian cancer initiating second-line treatment</w:t>
            </w:r>
          </w:p>
        </w:tc>
        <w:tc>
          <w:tcPr>
            <w:tcW w:w="709" w:type="dxa"/>
            <w:vAlign w:val="center"/>
          </w:tcPr>
          <w:p w14:paraId="3F12B9A7"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4C6908B2"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c>
          <w:tcPr>
            <w:tcW w:w="992" w:type="dxa"/>
            <w:vAlign w:val="center"/>
          </w:tcPr>
          <w:p w14:paraId="747F6403"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c>
          <w:tcPr>
            <w:tcW w:w="993" w:type="dxa"/>
            <w:vAlign w:val="center"/>
          </w:tcPr>
          <w:p w14:paraId="562CAEA4"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c>
          <w:tcPr>
            <w:tcW w:w="992" w:type="dxa"/>
            <w:vAlign w:val="center"/>
          </w:tcPr>
          <w:p w14:paraId="0B34A49F"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c>
          <w:tcPr>
            <w:tcW w:w="992" w:type="dxa"/>
            <w:vAlign w:val="center"/>
          </w:tcPr>
          <w:p w14:paraId="7D9C0F78"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c>
          <w:tcPr>
            <w:tcW w:w="941" w:type="dxa"/>
            <w:vAlign w:val="center"/>
          </w:tcPr>
          <w:p w14:paraId="670A7922"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64.1%</w:t>
            </w:r>
          </w:p>
        </w:tc>
      </w:tr>
      <w:tr w:rsidR="003B26EE" w:rsidRPr="00094DFB" w:rsidDel="00B2138A" w14:paraId="0F1139D5" w14:textId="77777777" w:rsidTr="003B26EE">
        <w:trPr>
          <w:jc w:val="center"/>
        </w:trPr>
        <w:tc>
          <w:tcPr>
            <w:tcW w:w="353" w:type="dxa"/>
          </w:tcPr>
          <w:p w14:paraId="08FE1BD5"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G</w:t>
            </w:r>
          </w:p>
        </w:tc>
        <w:tc>
          <w:tcPr>
            <w:tcW w:w="2052" w:type="dxa"/>
          </w:tcPr>
          <w:p w14:paraId="177E6B76"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szCs w:val="20"/>
                <w:lang w:val="en-AU"/>
              </w:rPr>
              <w:t>% second-line treated with non-platinum treatment (platinum-resistant)</w:t>
            </w:r>
          </w:p>
        </w:tc>
        <w:tc>
          <w:tcPr>
            <w:tcW w:w="709" w:type="dxa"/>
            <w:vAlign w:val="center"/>
          </w:tcPr>
          <w:p w14:paraId="67ED405E"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13CB4053"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c>
          <w:tcPr>
            <w:tcW w:w="992" w:type="dxa"/>
            <w:vAlign w:val="center"/>
          </w:tcPr>
          <w:p w14:paraId="776F7263"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c>
          <w:tcPr>
            <w:tcW w:w="993" w:type="dxa"/>
            <w:vAlign w:val="center"/>
          </w:tcPr>
          <w:p w14:paraId="09842FB0"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c>
          <w:tcPr>
            <w:tcW w:w="992" w:type="dxa"/>
            <w:vAlign w:val="center"/>
          </w:tcPr>
          <w:p w14:paraId="2F261FD2"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c>
          <w:tcPr>
            <w:tcW w:w="992" w:type="dxa"/>
            <w:vAlign w:val="center"/>
          </w:tcPr>
          <w:p w14:paraId="649F8D8F"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c>
          <w:tcPr>
            <w:tcW w:w="941" w:type="dxa"/>
            <w:vAlign w:val="center"/>
          </w:tcPr>
          <w:p w14:paraId="580691B9"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szCs w:val="20"/>
                <w:lang w:val="en-AU"/>
              </w:rPr>
              <w:t>37%</w:t>
            </w:r>
          </w:p>
        </w:tc>
      </w:tr>
      <w:tr w:rsidR="003B26EE" w:rsidRPr="00094DFB" w:rsidDel="00B2138A" w14:paraId="4FFC183F" w14:textId="77777777" w:rsidTr="003B26EE">
        <w:trPr>
          <w:jc w:val="center"/>
        </w:trPr>
        <w:tc>
          <w:tcPr>
            <w:tcW w:w="353" w:type="dxa"/>
          </w:tcPr>
          <w:p w14:paraId="22E448C4"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H</w:t>
            </w:r>
          </w:p>
        </w:tc>
        <w:tc>
          <w:tcPr>
            <w:tcW w:w="2052" w:type="dxa"/>
          </w:tcPr>
          <w:p w14:paraId="2AC85D5F"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szCs w:val="20"/>
                <w:lang w:val="en-AU"/>
              </w:rPr>
              <w:t>Patients with platinum-resistance at second-line</w:t>
            </w:r>
          </w:p>
        </w:tc>
        <w:tc>
          <w:tcPr>
            <w:tcW w:w="709" w:type="dxa"/>
            <w:vAlign w:val="center"/>
          </w:tcPr>
          <w:p w14:paraId="63B2DB01" w14:textId="0CFDFF9F"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C x F x G</w:t>
            </w:r>
          </w:p>
        </w:tc>
        <w:tc>
          <w:tcPr>
            <w:tcW w:w="992" w:type="dxa"/>
            <w:vAlign w:val="center"/>
          </w:tcPr>
          <w:p w14:paraId="5F8898DE" w14:textId="63348F1F" w:rsidR="00606F1F" w:rsidRPr="003B26EE" w:rsidRDefault="006B009D"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165D5EE2" w14:textId="6CC6B97C" w:rsidR="00606F1F" w:rsidRPr="003B26EE" w:rsidRDefault="006B009D"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3" w:type="dxa"/>
            <w:vAlign w:val="center"/>
          </w:tcPr>
          <w:p w14:paraId="170DBC9A" w14:textId="494A2204" w:rsidR="00606F1F" w:rsidRPr="003B26EE" w:rsidRDefault="006B009D"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050911C7" w14:textId="3C07D875"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47FBAAC0" w14:textId="1407D4A7"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41" w:type="dxa"/>
            <w:vAlign w:val="center"/>
          </w:tcPr>
          <w:p w14:paraId="1CD26F14" w14:textId="0B75BD79"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r>
      <w:tr w:rsidR="003B26EE" w:rsidRPr="00094DFB" w:rsidDel="00B2138A" w14:paraId="09B2E833" w14:textId="77777777" w:rsidTr="003B26EE">
        <w:trPr>
          <w:jc w:val="center"/>
        </w:trPr>
        <w:tc>
          <w:tcPr>
            <w:tcW w:w="353" w:type="dxa"/>
          </w:tcPr>
          <w:p w14:paraId="3DE629E6" w14:textId="77777777" w:rsidR="00AF61A6" w:rsidRPr="00094DFB" w:rsidRDefault="00AF61A6" w:rsidP="00AF61A6">
            <w:pPr>
              <w:widowControl w:val="0"/>
              <w:spacing w:before="0"/>
              <w:jc w:val="left"/>
              <w:rPr>
                <w:rFonts w:ascii="Arial Narrow" w:hAnsi="Arial Narrow"/>
                <w:sz w:val="20"/>
              </w:rPr>
            </w:pPr>
          </w:p>
        </w:tc>
        <w:tc>
          <w:tcPr>
            <w:tcW w:w="2052" w:type="dxa"/>
          </w:tcPr>
          <w:p w14:paraId="41E220A1" w14:textId="22A48636" w:rsidR="00AF61A6" w:rsidRPr="00094DFB" w:rsidRDefault="00AF61A6" w:rsidP="00AF61A6">
            <w:pPr>
              <w:widowControl w:val="0"/>
              <w:spacing w:before="0"/>
              <w:jc w:val="left"/>
              <w:rPr>
                <w:rFonts w:ascii="Arial Narrow" w:hAnsi="Arial Narrow"/>
                <w:sz w:val="20"/>
                <w:szCs w:val="20"/>
              </w:rPr>
            </w:pPr>
            <w:r w:rsidRPr="00094DFB">
              <w:rPr>
                <w:rFonts w:ascii="Arial Narrow" w:hAnsi="Arial Narrow"/>
                <w:sz w:val="20"/>
                <w:szCs w:val="20"/>
              </w:rPr>
              <w:t>Revised patients with platinum-resistance at second-line</w:t>
            </w:r>
          </w:p>
        </w:tc>
        <w:tc>
          <w:tcPr>
            <w:tcW w:w="709" w:type="dxa"/>
            <w:vAlign w:val="center"/>
          </w:tcPr>
          <w:p w14:paraId="1B0A87F9" w14:textId="77777777" w:rsidR="00AF61A6" w:rsidRPr="00094DFB" w:rsidRDefault="00AF61A6" w:rsidP="00AF61A6">
            <w:pPr>
              <w:widowControl w:val="0"/>
              <w:spacing w:before="0"/>
              <w:jc w:val="center"/>
              <w:rPr>
                <w:rFonts w:ascii="Arial Narrow" w:hAnsi="Arial Narrow"/>
                <w:sz w:val="20"/>
                <w:szCs w:val="20"/>
              </w:rPr>
            </w:pPr>
          </w:p>
        </w:tc>
        <w:tc>
          <w:tcPr>
            <w:tcW w:w="992" w:type="dxa"/>
          </w:tcPr>
          <w:p w14:paraId="7E0F19DE" w14:textId="3EF28447"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tcPr>
          <w:p w14:paraId="2460659E" w14:textId="78C96FE8"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3" w:type="dxa"/>
          </w:tcPr>
          <w:p w14:paraId="21271D91" w14:textId="62D7087F"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tcPr>
          <w:p w14:paraId="74A5FBDE" w14:textId="6E6DDBA8"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tcPr>
          <w:p w14:paraId="1EBC7CB2" w14:textId="0790AEFA"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41" w:type="dxa"/>
          </w:tcPr>
          <w:p w14:paraId="400874AF" w14:textId="54955282" w:rsidR="00AF61A6" w:rsidRPr="003B26EE" w:rsidRDefault="003B26EE" w:rsidP="00AF61A6">
            <w:pPr>
              <w:widowControl w:val="0"/>
              <w:spacing w:before="0"/>
              <w:jc w:val="center"/>
              <w:rPr>
                <w:rFonts w:ascii="Arial Narrow" w:hAnsi="Arial Narrow"/>
                <w:sz w:val="19"/>
                <w:szCs w:val="19"/>
                <w:highlight w:val="yellow"/>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r>
      <w:tr w:rsidR="003B26EE" w:rsidRPr="00094DFB" w:rsidDel="00B2138A" w14:paraId="71CFE048" w14:textId="77777777" w:rsidTr="003B26EE">
        <w:trPr>
          <w:jc w:val="center"/>
        </w:trPr>
        <w:tc>
          <w:tcPr>
            <w:tcW w:w="353" w:type="dxa"/>
          </w:tcPr>
          <w:p w14:paraId="153B1BC1"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I</w:t>
            </w:r>
          </w:p>
        </w:tc>
        <w:tc>
          <w:tcPr>
            <w:tcW w:w="2052" w:type="dxa"/>
          </w:tcPr>
          <w:p w14:paraId="17A4800D"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 cases advanced staged ovarian cancer initiating third-line treatment</w:t>
            </w:r>
          </w:p>
        </w:tc>
        <w:tc>
          <w:tcPr>
            <w:tcW w:w="709" w:type="dxa"/>
            <w:vAlign w:val="center"/>
          </w:tcPr>
          <w:p w14:paraId="1CD12A66"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1F543CF6"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c>
          <w:tcPr>
            <w:tcW w:w="992" w:type="dxa"/>
            <w:vAlign w:val="center"/>
          </w:tcPr>
          <w:p w14:paraId="7DB35BCA"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c>
          <w:tcPr>
            <w:tcW w:w="993" w:type="dxa"/>
            <w:vAlign w:val="center"/>
          </w:tcPr>
          <w:p w14:paraId="64D55DF3"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c>
          <w:tcPr>
            <w:tcW w:w="992" w:type="dxa"/>
            <w:vAlign w:val="center"/>
          </w:tcPr>
          <w:p w14:paraId="68821FFF"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c>
          <w:tcPr>
            <w:tcW w:w="992" w:type="dxa"/>
            <w:vAlign w:val="center"/>
          </w:tcPr>
          <w:p w14:paraId="631268FA"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c>
          <w:tcPr>
            <w:tcW w:w="941" w:type="dxa"/>
            <w:vAlign w:val="center"/>
          </w:tcPr>
          <w:p w14:paraId="54523BE0"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44.6%</w:t>
            </w:r>
          </w:p>
        </w:tc>
      </w:tr>
      <w:tr w:rsidR="003B26EE" w:rsidRPr="00094DFB" w:rsidDel="00B2138A" w14:paraId="76D9D2E7" w14:textId="77777777" w:rsidTr="003B26EE">
        <w:trPr>
          <w:jc w:val="center"/>
        </w:trPr>
        <w:tc>
          <w:tcPr>
            <w:tcW w:w="353" w:type="dxa"/>
          </w:tcPr>
          <w:p w14:paraId="4EDC172D"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J</w:t>
            </w:r>
          </w:p>
        </w:tc>
        <w:tc>
          <w:tcPr>
            <w:tcW w:w="2052" w:type="dxa"/>
          </w:tcPr>
          <w:p w14:paraId="6C71FE46"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 third-line treated with non-platinum treatment (platinum-resistant)</w:t>
            </w:r>
          </w:p>
        </w:tc>
        <w:tc>
          <w:tcPr>
            <w:tcW w:w="709" w:type="dxa"/>
            <w:vAlign w:val="center"/>
          </w:tcPr>
          <w:p w14:paraId="6C34B6F7"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3D5C2588"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c>
          <w:tcPr>
            <w:tcW w:w="992" w:type="dxa"/>
            <w:vAlign w:val="center"/>
          </w:tcPr>
          <w:p w14:paraId="1318995E"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c>
          <w:tcPr>
            <w:tcW w:w="993" w:type="dxa"/>
            <w:vAlign w:val="center"/>
          </w:tcPr>
          <w:p w14:paraId="31C05F26"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c>
          <w:tcPr>
            <w:tcW w:w="992" w:type="dxa"/>
            <w:vAlign w:val="center"/>
          </w:tcPr>
          <w:p w14:paraId="3C0F10E4"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c>
          <w:tcPr>
            <w:tcW w:w="992" w:type="dxa"/>
            <w:vAlign w:val="center"/>
          </w:tcPr>
          <w:p w14:paraId="2907DDBC"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c>
          <w:tcPr>
            <w:tcW w:w="941" w:type="dxa"/>
            <w:vAlign w:val="center"/>
          </w:tcPr>
          <w:p w14:paraId="2DD24625"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49.0%</w:t>
            </w:r>
          </w:p>
        </w:tc>
      </w:tr>
      <w:tr w:rsidR="003B26EE" w:rsidRPr="00094DFB" w:rsidDel="00B2138A" w14:paraId="1EA47423" w14:textId="77777777" w:rsidTr="003B26EE">
        <w:trPr>
          <w:jc w:val="center"/>
        </w:trPr>
        <w:tc>
          <w:tcPr>
            <w:tcW w:w="353" w:type="dxa"/>
          </w:tcPr>
          <w:p w14:paraId="1D7CE37A"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K</w:t>
            </w:r>
          </w:p>
        </w:tc>
        <w:tc>
          <w:tcPr>
            <w:tcW w:w="2052" w:type="dxa"/>
          </w:tcPr>
          <w:p w14:paraId="5B2F8706"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Patients with platinum-resistance at third-line</w:t>
            </w:r>
          </w:p>
        </w:tc>
        <w:tc>
          <w:tcPr>
            <w:tcW w:w="709" w:type="dxa"/>
            <w:vAlign w:val="center"/>
          </w:tcPr>
          <w:p w14:paraId="495BEADD"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C x I x J</w:t>
            </w:r>
          </w:p>
        </w:tc>
        <w:tc>
          <w:tcPr>
            <w:tcW w:w="992" w:type="dxa"/>
            <w:vAlign w:val="center"/>
          </w:tcPr>
          <w:p w14:paraId="664DF986" w14:textId="7F8B2D13"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586A7055" w14:textId="194D28AB"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3" w:type="dxa"/>
            <w:vAlign w:val="center"/>
          </w:tcPr>
          <w:p w14:paraId="066440E1" w14:textId="401DD7DA"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4F199C9A" w14:textId="53EE94B8"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92" w:type="dxa"/>
            <w:vAlign w:val="center"/>
          </w:tcPr>
          <w:p w14:paraId="2499A7DF" w14:textId="02CC3E79"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c>
          <w:tcPr>
            <w:tcW w:w="941" w:type="dxa"/>
            <w:vAlign w:val="center"/>
          </w:tcPr>
          <w:p w14:paraId="35C9ED61" w14:textId="70856373" w:rsidR="00606F1F" w:rsidRPr="003B26EE" w:rsidRDefault="003B26EE" w:rsidP="00606F1F">
            <w:pPr>
              <w:widowControl w:val="0"/>
              <w:spacing w:before="0"/>
              <w:jc w:val="center"/>
              <w:rPr>
                <w:rFonts w:ascii="Arial Narrow" w:hAnsi="Arial Narrow"/>
                <w:sz w:val="19"/>
                <w:szCs w:val="19"/>
                <w:highlight w:val="yellow"/>
                <w:lang w:val="en-AU"/>
              </w:rPr>
            </w:pPr>
            <w:r w:rsidRPr="003B26EE">
              <w:rPr>
                <w:rFonts w:ascii="Arial Narrow" w:hAnsi="Arial Narrow"/>
                <w:sz w:val="19"/>
                <w:szCs w:val="19"/>
                <w:lang w:val="en-AU"/>
              </w:rPr>
              <w:t>redacted</w:t>
            </w:r>
            <w:r w:rsidR="000B14C3" w:rsidRPr="003B26EE">
              <w:rPr>
                <w:rFonts w:ascii="Arial Narrow" w:hAnsi="Arial Narrow"/>
                <w:sz w:val="19"/>
                <w:szCs w:val="19"/>
                <w:vertAlign w:val="superscript"/>
                <w:lang w:val="en-AU"/>
              </w:rPr>
              <w:t>2</w:t>
            </w:r>
          </w:p>
        </w:tc>
      </w:tr>
      <w:tr w:rsidR="003B26EE" w:rsidRPr="00094DFB" w:rsidDel="00B2138A" w14:paraId="7D54A467" w14:textId="77777777" w:rsidTr="003B26EE">
        <w:trPr>
          <w:jc w:val="center"/>
        </w:trPr>
        <w:tc>
          <w:tcPr>
            <w:tcW w:w="353" w:type="dxa"/>
          </w:tcPr>
          <w:p w14:paraId="34D084C2" w14:textId="77777777" w:rsidR="00AF61A6" w:rsidRPr="00094DFB" w:rsidRDefault="00AF61A6" w:rsidP="00AF61A6">
            <w:pPr>
              <w:widowControl w:val="0"/>
              <w:spacing w:before="0"/>
              <w:jc w:val="left"/>
              <w:rPr>
                <w:rFonts w:ascii="Arial Narrow" w:hAnsi="Arial Narrow"/>
                <w:sz w:val="20"/>
              </w:rPr>
            </w:pPr>
          </w:p>
        </w:tc>
        <w:tc>
          <w:tcPr>
            <w:tcW w:w="2052" w:type="dxa"/>
          </w:tcPr>
          <w:p w14:paraId="3E81DB98" w14:textId="0E499E6B" w:rsidR="00AF61A6" w:rsidRPr="00094DFB" w:rsidRDefault="00AF61A6" w:rsidP="00AF61A6">
            <w:pPr>
              <w:widowControl w:val="0"/>
              <w:spacing w:before="0"/>
              <w:jc w:val="left"/>
              <w:rPr>
                <w:rFonts w:ascii="Arial Narrow" w:hAnsi="Arial Narrow"/>
                <w:sz w:val="20"/>
                <w:szCs w:val="20"/>
              </w:rPr>
            </w:pPr>
            <w:r w:rsidRPr="00094DFB">
              <w:rPr>
                <w:rFonts w:ascii="Arial Narrow" w:hAnsi="Arial Narrow"/>
                <w:sz w:val="20"/>
                <w:szCs w:val="20"/>
              </w:rPr>
              <w:t>Revised patients with platinum-resistance at third-line</w:t>
            </w:r>
          </w:p>
        </w:tc>
        <w:tc>
          <w:tcPr>
            <w:tcW w:w="709" w:type="dxa"/>
            <w:vAlign w:val="center"/>
          </w:tcPr>
          <w:p w14:paraId="16D23D3F" w14:textId="77777777" w:rsidR="00AF61A6" w:rsidRPr="00094DFB" w:rsidRDefault="00AF61A6" w:rsidP="00AF61A6">
            <w:pPr>
              <w:widowControl w:val="0"/>
              <w:spacing w:before="0"/>
              <w:jc w:val="center"/>
              <w:rPr>
                <w:rFonts w:ascii="Arial Narrow" w:hAnsi="Arial Narrow"/>
                <w:sz w:val="20"/>
                <w:szCs w:val="20"/>
              </w:rPr>
            </w:pPr>
          </w:p>
        </w:tc>
        <w:tc>
          <w:tcPr>
            <w:tcW w:w="992" w:type="dxa"/>
          </w:tcPr>
          <w:p w14:paraId="1A846A5D" w14:textId="48451529"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tcPr>
          <w:p w14:paraId="64F12868" w14:textId="1D49A355"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3" w:type="dxa"/>
          </w:tcPr>
          <w:p w14:paraId="12A80795" w14:textId="2D0BBAC3"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tcPr>
          <w:p w14:paraId="5337A4E3" w14:textId="36089E3C"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tcPr>
          <w:p w14:paraId="18BD766D" w14:textId="03AB4402"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41" w:type="dxa"/>
          </w:tcPr>
          <w:p w14:paraId="377504E5" w14:textId="5C5CBCE5"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r>
      <w:tr w:rsidR="003B26EE" w:rsidRPr="00094DFB" w:rsidDel="00B2138A" w14:paraId="4BB2DFE4" w14:textId="77777777" w:rsidTr="003B26EE">
        <w:trPr>
          <w:jc w:val="center"/>
        </w:trPr>
        <w:tc>
          <w:tcPr>
            <w:tcW w:w="353" w:type="dxa"/>
          </w:tcPr>
          <w:p w14:paraId="26082AA6"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L</w:t>
            </w:r>
          </w:p>
        </w:tc>
        <w:tc>
          <w:tcPr>
            <w:tcW w:w="2052" w:type="dxa"/>
          </w:tcPr>
          <w:p w14:paraId="2258E42B"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 cases advanced staged ovarian cancer initiating fourth-line treatment</w:t>
            </w:r>
          </w:p>
        </w:tc>
        <w:tc>
          <w:tcPr>
            <w:tcW w:w="709" w:type="dxa"/>
            <w:vAlign w:val="center"/>
          </w:tcPr>
          <w:p w14:paraId="4736127F"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007079EB"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c>
          <w:tcPr>
            <w:tcW w:w="992" w:type="dxa"/>
            <w:vAlign w:val="center"/>
          </w:tcPr>
          <w:p w14:paraId="7601CF6F"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c>
          <w:tcPr>
            <w:tcW w:w="993" w:type="dxa"/>
            <w:vAlign w:val="center"/>
          </w:tcPr>
          <w:p w14:paraId="3E7FD5D4"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c>
          <w:tcPr>
            <w:tcW w:w="992" w:type="dxa"/>
            <w:vAlign w:val="center"/>
          </w:tcPr>
          <w:p w14:paraId="493AF8D0"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c>
          <w:tcPr>
            <w:tcW w:w="992" w:type="dxa"/>
            <w:vAlign w:val="center"/>
          </w:tcPr>
          <w:p w14:paraId="76681262"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c>
          <w:tcPr>
            <w:tcW w:w="941" w:type="dxa"/>
            <w:vAlign w:val="center"/>
          </w:tcPr>
          <w:p w14:paraId="11963D1B"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29.9%</w:t>
            </w:r>
          </w:p>
        </w:tc>
      </w:tr>
      <w:tr w:rsidR="003B26EE" w:rsidRPr="00094DFB" w:rsidDel="00B2138A" w14:paraId="2F62EB3E" w14:textId="77777777" w:rsidTr="003B26EE">
        <w:trPr>
          <w:jc w:val="center"/>
        </w:trPr>
        <w:tc>
          <w:tcPr>
            <w:tcW w:w="353" w:type="dxa"/>
          </w:tcPr>
          <w:p w14:paraId="284418AD"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M</w:t>
            </w:r>
          </w:p>
        </w:tc>
        <w:tc>
          <w:tcPr>
            <w:tcW w:w="2052" w:type="dxa"/>
          </w:tcPr>
          <w:p w14:paraId="57737F6F"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 fourth-line treated with non-platinum treatment (platinum-resistant)</w:t>
            </w:r>
          </w:p>
        </w:tc>
        <w:tc>
          <w:tcPr>
            <w:tcW w:w="709" w:type="dxa"/>
            <w:vAlign w:val="center"/>
          </w:tcPr>
          <w:p w14:paraId="04ECB652" w14:textId="77777777" w:rsidR="00606F1F" w:rsidRPr="00094DFB" w:rsidRDefault="00606F1F" w:rsidP="00606F1F">
            <w:pPr>
              <w:widowControl w:val="0"/>
              <w:spacing w:before="0"/>
              <w:jc w:val="center"/>
              <w:rPr>
                <w:rFonts w:ascii="Arial Narrow" w:hAnsi="Arial Narrow"/>
                <w:sz w:val="20"/>
                <w:szCs w:val="20"/>
                <w:lang w:val="en-AU"/>
              </w:rPr>
            </w:pPr>
          </w:p>
        </w:tc>
        <w:tc>
          <w:tcPr>
            <w:tcW w:w="992" w:type="dxa"/>
            <w:vAlign w:val="center"/>
          </w:tcPr>
          <w:p w14:paraId="081B17F9"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c>
          <w:tcPr>
            <w:tcW w:w="992" w:type="dxa"/>
            <w:vAlign w:val="center"/>
          </w:tcPr>
          <w:p w14:paraId="12735712"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c>
          <w:tcPr>
            <w:tcW w:w="993" w:type="dxa"/>
            <w:vAlign w:val="center"/>
          </w:tcPr>
          <w:p w14:paraId="6DDFF613"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c>
          <w:tcPr>
            <w:tcW w:w="992" w:type="dxa"/>
            <w:vAlign w:val="center"/>
          </w:tcPr>
          <w:p w14:paraId="43F01B02"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c>
          <w:tcPr>
            <w:tcW w:w="992" w:type="dxa"/>
            <w:vAlign w:val="center"/>
          </w:tcPr>
          <w:p w14:paraId="6D48E8FA"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c>
          <w:tcPr>
            <w:tcW w:w="941" w:type="dxa"/>
            <w:vAlign w:val="center"/>
          </w:tcPr>
          <w:p w14:paraId="211EA314"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57.0%</w:t>
            </w:r>
          </w:p>
        </w:tc>
      </w:tr>
      <w:tr w:rsidR="003B26EE" w:rsidRPr="00094DFB" w:rsidDel="00B2138A" w14:paraId="6A4E4F85" w14:textId="77777777" w:rsidTr="003B26EE">
        <w:trPr>
          <w:jc w:val="center"/>
        </w:trPr>
        <w:tc>
          <w:tcPr>
            <w:tcW w:w="353" w:type="dxa"/>
          </w:tcPr>
          <w:p w14:paraId="00E76D1D" w14:textId="77777777" w:rsidR="00606F1F" w:rsidRPr="00094DFB"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N</w:t>
            </w:r>
          </w:p>
        </w:tc>
        <w:tc>
          <w:tcPr>
            <w:tcW w:w="2052" w:type="dxa"/>
          </w:tcPr>
          <w:p w14:paraId="49519EDE" w14:textId="77777777" w:rsidR="00606F1F" w:rsidRPr="00094DFB" w:rsidRDefault="00606F1F" w:rsidP="00606F1F">
            <w:pPr>
              <w:widowControl w:val="0"/>
              <w:spacing w:before="0"/>
              <w:jc w:val="left"/>
              <w:rPr>
                <w:rFonts w:ascii="Arial Narrow" w:hAnsi="Arial Narrow"/>
                <w:sz w:val="20"/>
                <w:szCs w:val="20"/>
                <w:lang w:val="en-AU"/>
              </w:rPr>
            </w:pPr>
            <w:r w:rsidRPr="00094DFB">
              <w:rPr>
                <w:rFonts w:ascii="Arial Narrow" w:hAnsi="Arial Narrow"/>
                <w:sz w:val="20"/>
                <w:szCs w:val="20"/>
                <w:lang w:val="en-AU"/>
              </w:rPr>
              <w:t>Patients with platinum-resistance at fourth-line</w:t>
            </w:r>
          </w:p>
        </w:tc>
        <w:tc>
          <w:tcPr>
            <w:tcW w:w="709" w:type="dxa"/>
            <w:vAlign w:val="center"/>
          </w:tcPr>
          <w:p w14:paraId="5B48805E" w14:textId="77777777" w:rsidR="00606F1F" w:rsidRPr="00094DFB" w:rsidRDefault="00606F1F" w:rsidP="00606F1F">
            <w:pPr>
              <w:widowControl w:val="0"/>
              <w:spacing w:before="0"/>
              <w:jc w:val="center"/>
              <w:rPr>
                <w:rFonts w:ascii="Arial Narrow" w:hAnsi="Arial Narrow"/>
                <w:sz w:val="20"/>
                <w:szCs w:val="20"/>
                <w:lang w:val="en-AU"/>
              </w:rPr>
            </w:pPr>
            <w:r w:rsidRPr="00094DFB">
              <w:rPr>
                <w:rFonts w:ascii="Arial Narrow" w:hAnsi="Arial Narrow"/>
                <w:sz w:val="20"/>
                <w:szCs w:val="20"/>
                <w:lang w:val="en-AU"/>
              </w:rPr>
              <w:t>C x L x M</w:t>
            </w:r>
          </w:p>
        </w:tc>
        <w:tc>
          <w:tcPr>
            <w:tcW w:w="992" w:type="dxa"/>
            <w:vAlign w:val="center"/>
          </w:tcPr>
          <w:p w14:paraId="077173AA" w14:textId="6CC7718F"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266EE83F" w14:textId="3A5C6905"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3" w:type="dxa"/>
            <w:vAlign w:val="center"/>
          </w:tcPr>
          <w:p w14:paraId="07D0882A" w14:textId="0635B837"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66046D7A" w14:textId="55E8CFD3"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52E8C054" w14:textId="5F79B42E"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41" w:type="dxa"/>
            <w:vAlign w:val="center"/>
          </w:tcPr>
          <w:p w14:paraId="46273CA5" w14:textId="5B024371" w:rsidR="00606F1F" w:rsidRPr="00DF41C1" w:rsidRDefault="003B26EE" w:rsidP="00606F1F">
            <w:pPr>
              <w:widowControl w:val="0"/>
              <w:spacing w:before="0"/>
              <w:jc w:val="center"/>
              <w:rPr>
                <w:rFonts w:ascii="Arial Narrow" w:hAnsi="Arial Narrow"/>
                <w:sz w:val="20"/>
                <w:szCs w:val="20"/>
                <w:highlight w:val="yellow"/>
                <w:lang w:val="en-AU"/>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r>
      <w:tr w:rsidR="003B26EE" w:rsidRPr="00094DFB" w:rsidDel="00B2138A" w14:paraId="0D2A7D4F" w14:textId="77777777" w:rsidTr="003B26EE">
        <w:trPr>
          <w:jc w:val="center"/>
        </w:trPr>
        <w:tc>
          <w:tcPr>
            <w:tcW w:w="353" w:type="dxa"/>
          </w:tcPr>
          <w:p w14:paraId="6EF7CE72" w14:textId="77777777" w:rsidR="00AF61A6" w:rsidRPr="00094DFB" w:rsidRDefault="00AF61A6" w:rsidP="00AF61A6">
            <w:pPr>
              <w:widowControl w:val="0"/>
              <w:spacing w:before="0"/>
              <w:jc w:val="left"/>
              <w:rPr>
                <w:rFonts w:ascii="Arial Narrow" w:hAnsi="Arial Narrow"/>
                <w:sz w:val="20"/>
              </w:rPr>
            </w:pPr>
          </w:p>
        </w:tc>
        <w:tc>
          <w:tcPr>
            <w:tcW w:w="2052" w:type="dxa"/>
          </w:tcPr>
          <w:p w14:paraId="33B7CC39" w14:textId="00E23420" w:rsidR="00AF61A6" w:rsidRPr="00094DFB" w:rsidRDefault="00AF61A6" w:rsidP="00AF61A6">
            <w:pPr>
              <w:widowControl w:val="0"/>
              <w:spacing w:before="0"/>
              <w:jc w:val="left"/>
              <w:rPr>
                <w:rFonts w:ascii="Arial Narrow" w:hAnsi="Arial Narrow"/>
                <w:sz w:val="20"/>
                <w:szCs w:val="20"/>
              </w:rPr>
            </w:pPr>
            <w:r w:rsidRPr="00094DFB">
              <w:rPr>
                <w:rFonts w:ascii="Arial Narrow" w:hAnsi="Arial Narrow"/>
                <w:sz w:val="20"/>
                <w:szCs w:val="20"/>
              </w:rPr>
              <w:t xml:space="preserve">Revised patients with platinum-resistance at </w:t>
            </w:r>
            <w:r w:rsidR="00882277" w:rsidRPr="00094DFB">
              <w:rPr>
                <w:rFonts w:ascii="Arial Narrow" w:hAnsi="Arial Narrow"/>
                <w:sz w:val="20"/>
                <w:szCs w:val="20"/>
              </w:rPr>
              <w:t>fo</w:t>
            </w:r>
            <w:r w:rsidR="00882277">
              <w:rPr>
                <w:rFonts w:ascii="Arial Narrow" w:hAnsi="Arial Narrow"/>
                <w:sz w:val="20"/>
                <w:szCs w:val="20"/>
              </w:rPr>
              <w:t>urth</w:t>
            </w:r>
            <w:r w:rsidRPr="00094DFB">
              <w:rPr>
                <w:rFonts w:ascii="Arial Narrow" w:hAnsi="Arial Narrow"/>
                <w:sz w:val="20"/>
                <w:szCs w:val="20"/>
              </w:rPr>
              <w:t>-line</w:t>
            </w:r>
          </w:p>
        </w:tc>
        <w:tc>
          <w:tcPr>
            <w:tcW w:w="709" w:type="dxa"/>
            <w:vAlign w:val="center"/>
          </w:tcPr>
          <w:p w14:paraId="2D227442" w14:textId="77777777" w:rsidR="00AF61A6" w:rsidRPr="00094DFB" w:rsidRDefault="00AF61A6" w:rsidP="00AF61A6">
            <w:pPr>
              <w:widowControl w:val="0"/>
              <w:spacing w:before="0"/>
              <w:jc w:val="center"/>
              <w:rPr>
                <w:rFonts w:ascii="Arial Narrow" w:hAnsi="Arial Narrow"/>
                <w:sz w:val="20"/>
                <w:szCs w:val="20"/>
              </w:rPr>
            </w:pPr>
          </w:p>
        </w:tc>
        <w:tc>
          <w:tcPr>
            <w:tcW w:w="992" w:type="dxa"/>
            <w:vAlign w:val="center"/>
          </w:tcPr>
          <w:p w14:paraId="1DD2E1BE" w14:textId="00F65C96"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3E2B00BA" w14:textId="064A9960"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3" w:type="dxa"/>
            <w:vAlign w:val="center"/>
          </w:tcPr>
          <w:p w14:paraId="12C7BD15" w14:textId="76EA9D4C"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13AD9C7C" w14:textId="21A15EA0"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92" w:type="dxa"/>
            <w:vAlign w:val="center"/>
          </w:tcPr>
          <w:p w14:paraId="0658E9F6" w14:textId="46B7DDCA"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c>
          <w:tcPr>
            <w:tcW w:w="941" w:type="dxa"/>
            <w:vAlign w:val="center"/>
          </w:tcPr>
          <w:p w14:paraId="1C143C97" w14:textId="16C47B08" w:rsidR="00AF61A6" w:rsidRPr="00DF41C1" w:rsidRDefault="003B26EE" w:rsidP="000B14C3">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0B14C3" w:rsidRPr="000B14C3">
              <w:rPr>
                <w:rFonts w:ascii="Arial Narrow" w:hAnsi="Arial Narrow"/>
                <w:sz w:val="20"/>
                <w:szCs w:val="20"/>
                <w:vertAlign w:val="superscript"/>
                <w:lang w:val="en-AU"/>
              </w:rPr>
              <w:t>2</w:t>
            </w:r>
          </w:p>
        </w:tc>
      </w:tr>
      <w:tr w:rsidR="003B26EE" w:rsidRPr="00094DFB" w:rsidDel="00B2138A" w14:paraId="7E8DD0E7" w14:textId="77777777" w:rsidTr="003B26EE">
        <w:trPr>
          <w:jc w:val="center"/>
        </w:trPr>
        <w:tc>
          <w:tcPr>
            <w:tcW w:w="353" w:type="dxa"/>
          </w:tcPr>
          <w:p w14:paraId="594D8964"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lang w:val="en-AU"/>
              </w:rPr>
              <w:t>O</w:t>
            </w:r>
          </w:p>
        </w:tc>
        <w:tc>
          <w:tcPr>
            <w:tcW w:w="2052" w:type="dxa"/>
          </w:tcPr>
          <w:p w14:paraId="0E9CA6A2" w14:textId="77777777" w:rsidR="00606F1F" w:rsidRPr="00094DFB" w:rsidDel="00B2138A" w:rsidRDefault="00606F1F" w:rsidP="00606F1F">
            <w:pPr>
              <w:widowControl w:val="0"/>
              <w:spacing w:before="0"/>
              <w:jc w:val="left"/>
              <w:rPr>
                <w:rFonts w:ascii="Arial Narrow" w:hAnsi="Arial Narrow"/>
                <w:sz w:val="20"/>
                <w:lang w:val="en-AU"/>
              </w:rPr>
            </w:pPr>
            <w:r w:rsidRPr="00094DFB">
              <w:rPr>
                <w:rFonts w:ascii="Arial Narrow" w:hAnsi="Arial Narrow"/>
                <w:sz w:val="20"/>
                <w:szCs w:val="20"/>
                <w:lang w:val="en-AU"/>
              </w:rPr>
              <w:t>Total patients with platinum-resistant high-grade epithelial ovarian, fallopian tube or primary peritoneal cancer</w:t>
            </w:r>
          </w:p>
        </w:tc>
        <w:tc>
          <w:tcPr>
            <w:tcW w:w="709" w:type="dxa"/>
            <w:vAlign w:val="center"/>
          </w:tcPr>
          <w:p w14:paraId="2AB15E82" w14:textId="77777777" w:rsidR="00606F1F" w:rsidRPr="00094DFB" w:rsidRDefault="00606F1F" w:rsidP="00606F1F">
            <w:pPr>
              <w:widowControl w:val="0"/>
              <w:spacing w:before="0"/>
              <w:jc w:val="center"/>
              <w:rPr>
                <w:rFonts w:ascii="Arial Narrow" w:hAnsi="Arial Narrow"/>
                <w:sz w:val="20"/>
                <w:lang w:val="en-AU"/>
              </w:rPr>
            </w:pPr>
            <w:r w:rsidRPr="00094DFB">
              <w:rPr>
                <w:rFonts w:ascii="Arial Narrow" w:hAnsi="Arial Narrow"/>
                <w:sz w:val="20"/>
                <w:lang w:val="en-AU"/>
              </w:rPr>
              <w:t>H + K + N</w:t>
            </w:r>
          </w:p>
        </w:tc>
        <w:tc>
          <w:tcPr>
            <w:tcW w:w="992" w:type="dxa"/>
            <w:vAlign w:val="center"/>
          </w:tcPr>
          <w:p w14:paraId="718369E8" w14:textId="0AB0A3EC"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5982CA76" w14:textId="358D492F"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3" w:type="dxa"/>
            <w:vAlign w:val="center"/>
          </w:tcPr>
          <w:p w14:paraId="099E0157" w14:textId="083D6F9D"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0DA60C5F" w14:textId="37EF7DDA"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363560F8" w14:textId="79BBE74A"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41" w:type="dxa"/>
            <w:vAlign w:val="center"/>
          </w:tcPr>
          <w:p w14:paraId="38D5D65F" w14:textId="38A4EC95" w:rsidR="00606F1F" w:rsidRPr="00DF41C1" w:rsidRDefault="003B26EE" w:rsidP="00606F1F">
            <w:pPr>
              <w:widowControl w:val="0"/>
              <w:spacing w:before="0"/>
              <w:jc w:val="center"/>
              <w:rPr>
                <w:rFonts w:ascii="Arial Narrow" w:hAnsi="Arial Narrow"/>
                <w:sz w:val="20"/>
                <w:highlight w:val="yellow"/>
                <w:lang w:val="en-AU"/>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r>
      <w:tr w:rsidR="003B26EE" w:rsidRPr="00094DFB" w:rsidDel="00B2138A" w14:paraId="39E352F3" w14:textId="77777777" w:rsidTr="003B26EE">
        <w:trPr>
          <w:jc w:val="center"/>
        </w:trPr>
        <w:tc>
          <w:tcPr>
            <w:tcW w:w="353" w:type="dxa"/>
          </w:tcPr>
          <w:p w14:paraId="472B5E23" w14:textId="77777777" w:rsidR="00AF61A6" w:rsidRPr="00094DFB" w:rsidRDefault="00AF61A6" w:rsidP="00AF61A6">
            <w:pPr>
              <w:widowControl w:val="0"/>
              <w:spacing w:before="0"/>
              <w:jc w:val="left"/>
              <w:rPr>
                <w:rFonts w:ascii="Arial Narrow" w:hAnsi="Arial Narrow"/>
                <w:sz w:val="20"/>
              </w:rPr>
            </w:pPr>
          </w:p>
        </w:tc>
        <w:tc>
          <w:tcPr>
            <w:tcW w:w="2052" w:type="dxa"/>
          </w:tcPr>
          <w:p w14:paraId="65C731E4" w14:textId="321E00EA" w:rsidR="00AF61A6" w:rsidRPr="00094DFB" w:rsidRDefault="00AF61A6" w:rsidP="00AF61A6">
            <w:pPr>
              <w:widowControl w:val="0"/>
              <w:spacing w:before="0"/>
              <w:jc w:val="left"/>
              <w:rPr>
                <w:rFonts w:ascii="Arial Narrow" w:hAnsi="Arial Narrow"/>
                <w:sz w:val="20"/>
                <w:szCs w:val="20"/>
              </w:rPr>
            </w:pPr>
            <w:r w:rsidRPr="00094DFB">
              <w:rPr>
                <w:rFonts w:ascii="Arial Narrow" w:hAnsi="Arial Narrow"/>
                <w:sz w:val="20"/>
                <w:szCs w:val="20"/>
                <w:lang w:val="en-AU"/>
              </w:rPr>
              <w:t>Revised total patients with platinum-resistant high-grade epithelial ovarian, fallopian tube or primary peritoneal cancer</w:t>
            </w:r>
          </w:p>
        </w:tc>
        <w:tc>
          <w:tcPr>
            <w:tcW w:w="709" w:type="dxa"/>
            <w:vAlign w:val="center"/>
          </w:tcPr>
          <w:p w14:paraId="25D1D51E" w14:textId="77777777" w:rsidR="00AF61A6" w:rsidRPr="00094DFB" w:rsidRDefault="00AF61A6" w:rsidP="00AF61A6">
            <w:pPr>
              <w:widowControl w:val="0"/>
              <w:spacing w:before="0"/>
              <w:jc w:val="center"/>
              <w:rPr>
                <w:rFonts w:ascii="Arial Narrow" w:hAnsi="Arial Narrow"/>
                <w:sz w:val="20"/>
              </w:rPr>
            </w:pPr>
          </w:p>
        </w:tc>
        <w:tc>
          <w:tcPr>
            <w:tcW w:w="992" w:type="dxa"/>
            <w:vAlign w:val="center"/>
          </w:tcPr>
          <w:p w14:paraId="7DE998D7" w14:textId="2A14DCC8"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0599721C" w14:textId="7D66B786"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3" w:type="dxa"/>
            <w:vAlign w:val="center"/>
          </w:tcPr>
          <w:p w14:paraId="6ABB5557" w14:textId="689B8BD5"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2FC5DB26" w14:textId="325069D5"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547513E6" w14:textId="51F8E918"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c>
          <w:tcPr>
            <w:tcW w:w="941" w:type="dxa"/>
            <w:vAlign w:val="center"/>
          </w:tcPr>
          <w:p w14:paraId="2A894941" w14:textId="551319F4" w:rsidR="00AF61A6" w:rsidRPr="00DF41C1" w:rsidRDefault="003B26EE" w:rsidP="00AF61A6">
            <w:pPr>
              <w:widowControl w:val="0"/>
              <w:spacing w:before="0"/>
              <w:jc w:val="center"/>
              <w:rPr>
                <w:rFonts w:ascii="Arial Narrow" w:hAnsi="Arial Narrow"/>
                <w:sz w:val="20"/>
                <w:szCs w:val="20"/>
                <w:highlight w:val="yellow"/>
              </w:rPr>
            </w:pPr>
            <w:r w:rsidRPr="003B26EE">
              <w:rPr>
                <w:rFonts w:ascii="Arial Narrow" w:hAnsi="Arial Narrow"/>
                <w:sz w:val="19"/>
                <w:szCs w:val="19"/>
                <w:lang w:val="en-AU"/>
              </w:rPr>
              <w:t>redacted</w:t>
            </w:r>
            <w:r w:rsidR="00AD67F4" w:rsidRPr="00232D56">
              <w:rPr>
                <w:rFonts w:ascii="Arial Narrow" w:hAnsi="Arial Narrow"/>
                <w:sz w:val="20"/>
                <w:szCs w:val="18"/>
                <w:vertAlign w:val="superscript"/>
              </w:rPr>
              <w:t>1</w:t>
            </w:r>
          </w:p>
        </w:tc>
      </w:tr>
      <w:tr w:rsidR="003B26EE" w:rsidRPr="00094DFB" w:rsidDel="00B2138A" w14:paraId="4596D378" w14:textId="77777777" w:rsidTr="003B26EE">
        <w:trPr>
          <w:jc w:val="center"/>
        </w:trPr>
        <w:tc>
          <w:tcPr>
            <w:tcW w:w="353" w:type="dxa"/>
          </w:tcPr>
          <w:p w14:paraId="21941851" w14:textId="77777777" w:rsidR="00606F1F" w:rsidRPr="00094DFB" w:rsidRDefault="00606F1F" w:rsidP="00606F1F">
            <w:pPr>
              <w:widowControl w:val="0"/>
              <w:spacing w:before="0"/>
              <w:jc w:val="left"/>
              <w:rPr>
                <w:rFonts w:ascii="Arial Narrow" w:hAnsi="Arial Narrow"/>
                <w:b/>
                <w:sz w:val="20"/>
                <w:lang w:val="en-AU"/>
              </w:rPr>
            </w:pPr>
            <w:r w:rsidRPr="00094DFB">
              <w:rPr>
                <w:rFonts w:ascii="Arial Narrow" w:hAnsi="Arial Narrow"/>
                <w:b/>
                <w:sz w:val="20"/>
                <w:lang w:val="en-AU"/>
              </w:rPr>
              <w:t>P</w:t>
            </w:r>
          </w:p>
        </w:tc>
        <w:tc>
          <w:tcPr>
            <w:tcW w:w="2052" w:type="dxa"/>
          </w:tcPr>
          <w:p w14:paraId="4975B291" w14:textId="77777777" w:rsidR="00606F1F" w:rsidRPr="00094DFB" w:rsidRDefault="00606F1F" w:rsidP="00606F1F">
            <w:pPr>
              <w:widowControl w:val="0"/>
              <w:spacing w:before="0"/>
              <w:jc w:val="left"/>
              <w:rPr>
                <w:rFonts w:ascii="Arial Narrow" w:hAnsi="Arial Narrow"/>
                <w:b/>
                <w:sz w:val="20"/>
                <w:szCs w:val="20"/>
                <w:lang w:val="en-AU"/>
              </w:rPr>
            </w:pPr>
            <w:r w:rsidRPr="00094DFB" w:rsidDel="00B2138A">
              <w:rPr>
                <w:rFonts w:ascii="Arial Narrow" w:hAnsi="Arial Narrow"/>
                <w:b/>
                <w:sz w:val="20"/>
                <w:lang w:val="en-AU"/>
              </w:rPr>
              <w:t xml:space="preserve">Predicted number of patients </w:t>
            </w:r>
            <w:r w:rsidRPr="00094DFB">
              <w:rPr>
                <w:rFonts w:ascii="Arial Narrow" w:hAnsi="Arial Narrow"/>
                <w:b/>
                <w:sz w:val="20"/>
                <w:lang w:val="en-AU"/>
              </w:rPr>
              <w:t>tested (testing at platinum resistance)</w:t>
            </w:r>
          </w:p>
        </w:tc>
        <w:tc>
          <w:tcPr>
            <w:tcW w:w="709" w:type="dxa"/>
            <w:vAlign w:val="center"/>
          </w:tcPr>
          <w:p w14:paraId="43504808" w14:textId="77777777" w:rsidR="00606F1F" w:rsidRPr="00094DFB" w:rsidRDefault="00606F1F" w:rsidP="00606F1F">
            <w:pPr>
              <w:widowControl w:val="0"/>
              <w:spacing w:before="0"/>
              <w:jc w:val="center"/>
              <w:rPr>
                <w:rFonts w:ascii="Arial Narrow" w:hAnsi="Arial Narrow"/>
                <w:b/>
                <w:sz w:val="20"/>
                <w:lang w:val="en-AU"/>
              </w:rPr>
            </w:pPr>
            <w:r w:rsidRPr="00094DFB">
              <w:rPr>
                <w:rFonts w:ascii="Arial Narrow" w:hAnsi="Arial Narrow"/>
                <w:b/>
                <w:sz w:val="20"/>
                <w:lang w:val="en-AU"/>
              </w:rPr>
              <w:t>O x D</w:t>
            </w:r>
          </w:p>
        </w:tc>
        <w:tc>
          <w:tcPr>
            <w:tcW w:w="992" w:type="dxa"/>
            <w:vAlign w:val="center"/>
          </w:tcPr>
          <w:p w14:paraId="79E82F33" w14:textId="58D7967B"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5B679EA1" w14:textId="61B4DBA7"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D67F4" w:rsidRPr="00232D56">
              <w:rPr>
                <w:rFonts w:ascii="Arial Narrow" w:hAnsi="Arial Narrow"/>
                <w:sz w:val="20"/>
                <w:szCs w:val="18"/>
                <w:vertAlign w:val="superscript"/>
              </w:rPr>
              <w:t>1</w:t>
            </w:r>
          </w:p>
        </w:tc>
        <w:tc>
          <w:tcPr>
            <w:tcW w:w="993" w:type="dxa"/>
            <w:vAlign w:val="center"/>
          </w:tcPr>
          <w:p w14:paraId="313D5DEE" w14:textId="725B6FE1"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1A494C54" w14:textId="38DFFF41"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D67F4" w:rsidRPr="00232D56">
              <w:rPr>
                <w:rFonts w:ascii="Arial Narrow" w:hAnsi="Arial Narrow"/>
                <w:sz w:val="20"/>
                <w:szCs w:val="18"/>
                <w:vertAlign w:val="superscript"/>
              </w:rPr>
              <w:t>1</w:t>
            </w:r>
          </w:p>
        </w:tc>
        <w:tc>
          <w:tcPr>
            <w:tcW w:w="992" w:type="dxa"/>
            <w:vAlign w:val="center"/>
          </w:tcPr>
          <w:p w14:paraId="0901F654" w14:textId="0450257A"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41" w:type="dxa"/>
            <w:vAlign w:val="center"/>
          </w:tcPr>
          <w:p w14:paraId="2B53B6C1" w14:textId="11BA6A07" w:rsidR="00606F1F" w:rsidRPr="00DF41C1" w:rsidRDefault="003B26EE" w:rsidP="00606F1F">
            <w:pPr>
              <w:widowControl w:val="0"/>
              <w:spacing w:before="0"/>
              <w:jc w:val="center"/>
              <w:rPr>
                <w:rFonts w:ascii="Arial Narrow" w:hAnsi="Arial Narrow"/>
                <w:b/>
                <w:sz w:val="20"/>
                <w:szCs w:val="20"/>
                <w:highlight w:val="yellow"/>
                <w:lang w:val="en-AU"/>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r>
      <w:tr w:rsidR="003B26EE" w:rsidRPr="00094DFB" w:rsidDel="00B2138A" w14:paraId="4638FE81" w14:textId="77777777" w:rsidTr="003B26EE">
        <w:trPr>
          <w:jc w:val="center"/>
        </w:trPr>
        <w:tc>
          <w:tcPr>
            <w:tcW w:w="353" w:type="dxa"/>
          </w:tcPr>
          <w:p w14:paraId="1ADDF338" w14:textId="77777777" w:rsidR="00AF61A6" w:rsidRPr="00094DFB" w:rsidRDefault="00AF61A6" w:rsidP="00AF61A6">
            <w:pPr>
              <w:widowControl w:val="0"/>
              <w:spacing w:before="0"/>
              <w:jc w:val="left"/>
              <w:rPr>
                <w:rFonts w:ascii="Arial Narrow" w:hAnsi="Arial Narrow"/>
                <w:b/>
                <w:sz w:val="20"/>
              </w:rPr>
            </w:pPr>
          </w:p>
        </w:tc>
        <w:tc>
          <w:tcPr>
            <w:tcW w:w="2052" w:type="dxa"/>
          </w:tcPr>
          <w:p w14:paraId="4FC87EAA" w14:textId="596690CA" w:rsidR="00AF61A6" w:rsidRPr="00094DFB" w:rsidDel="00B2138A" w:rsidRDefault="00AF61A6" w:rsidP="00AF61A6">
            <w:pPr>
              <w:widowControl w:val="0"/>
              <w:spacing w:before="0"/>
              <w:jc w:val="left"/>
              <w:rPr>
                <w:rFonts w:ascii="Arial Narrow" w:hAnsi="Arial Narrow"/>
                <w:b/>
                <w:sz w:val="20"/>
              </w:rPr>
            </w:pPr>
            <w:r w:rsidRPr="00094DFB">
              <w:rPr>
                <w:rFonts w:ascii="Arial Narrow" w:hAnsi="Arial Narrow"/>
                <w:b/>
                <w:sz w:val="20"/>
                <w:lang w:val="en-AU"/>
              </w:rPr>
              <w:t>Revised p</w:t>
            </w:r>
            <w:r w:rsidRPr="00094DFB" w:rsidDel="00B2138A">
              <w:rPr>
                <w:rFonts w:ascii="Arial Narrow" w:hAnsi="Arial Narrow"/>
                <w:b/>
                <w:sz w:val="20"/>
                <w:lang w:val="en-AU"/>
              </w:rPr>
              <w:t xml:space="preserve">redicted number of patients </w:t>
            </w:r>
            <w:r w:rsidRPr="00094DFB">
              <w:rPr>
                <w:rFonts w:ascii="Arial Narrow" w:hAnsi="Arial Narrow"/>
                <w:b/>
                <w:sz w:val="20"/>
                <w:lang w:val="en-AU"/>
              </w:rPr>
              <w:t>tested (testing at platinum resistance)</w:t>
            </w:r>
          </w:p>
        </w:tc>
        <w:tc>
          <w:tcPr>
            <w:tcW w:w="709" w:type="dxa"/>
            <w:vAlign w:val="center"/>
          </w:tcPr>
          <w:p w14:paraId="59B018FF" w14:textId="77777777" w:rsidR="00AF61A6" w:rsidRPr="00094DFB" w:rsidRDefault="00AF61A6" w:rsidP="00AF61A6">
            <w:pPr>
              <w:widowControl w:val="0"/>
              <w:spacing w:before="0"/>
              <w:jc w:val="center"/>
              <w:rPr>
                <w:rFonts w:ascii="Arial Narrow" w:hAnsi="Arial Narrow"/>
                <w:b/>
                <w:sz w:val="20"/>
              </w:rPr>
            </w:pPr>
          </w:p>
        </w:tc>
        <w:tc>
          <w:tcPr>
            <w:tcW w:w="992" w:type="dxa"/>
            <w:vAlign w:val="center"/>
          </w:tcPr>
          <w:p w14:paraId="53BBD54A" w14:textId="37824491"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92" w:type="dxa"/>
            <w:vAlign w:val="center"/>
          </w:tcPr>
          <w:p w14:paraId="67F24BE0" w14:textId="1B8D4718"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93" w:type="dxa"/>
            <w:vAlign w:val="center"/>
          </w:tcPr>
          <w:p w14:paraId="5555C1F7" w14:textId="15ED2416"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92" w:type="dxa"/>
            <w:vAlign w:val="center"/>
          </w:tcPr>
          <w:p w14:paraId="55FF08A8" w14:textId="458E1498"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92" w:type="dxa"/>
            <w:vAlign w:val="center"/>
          </w:tcPr>
          <w:p w14:paraId="33FBEC66" w14:textId="76B8D253"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c>
          <w:tcPr>
            <w:tcW w:w="941" w:type="dxa"/>
            <w:vAlign w:val="center"/>
          </w:tcPr>
          <w:p w14:paraId="62A8D6F3" w14:textId="2B69A274" w:rsidR="00AF61A6" w:rsidRPr="00DF41C1" w:rsidRDefault="003B26EE" w:rsidP="00AF61A6">
            <w:pPr>
              <w:widowControl w:val="0"/>
              <w:spacing w:before="0"/>
              <w:jc w:val="center"/>
              <w:rPr>
                <w:rFonts w:ascii="Arial Narrow" w:hAnsi="Arial Narrow"/>
                <w:b/>
                <w:sz w:val="20"/>
                <w:szCs w:val="20"/>
                <w:highlight w:val="yellow"/>
              </w:rPr>
            </w:pPr>
            <w:r w:rsidRPr="003B26EE">
              <w:rPr>
                <w:rFonts w:ascii="Arial Narrow" w:hAnsi="Arial Narrow"/>
                <w:b/>
                <w:bCs/>
                <w:sz w:val="19"/>
                <w:szCs w:val="19"/>
                <w:lang w:val="en-AU"/>
              </w:rPr>
              <w:t>redacted</w:t>
            </w:r>
            <w:r w:rsidR="00A70650" w:rsidRPr="00232D56">
              <w:rPr>
                <w:rFonts w:ascii="Arial Narrow" w:hAnsi="Arial Narrow"/>
                <w:sz w:val="20"/>
                <w:szCs w:val="18"/>
                <w:vertAlign w:val="superscript"/>
              </w:rPr>
              <w:t>1</w:t>
            </w:r>
          </w:p>
        </w:tc>
      </w:tr>
    </w:tbl>
    <w:p w14:paraId="463B75C4" w14:textId="77777777" w:rsidR="00606F1F" w:rsidRPr="00F10893" w:rsidRDefault="00606F1F" w:rsidP="00606F1F">
      <w:pPr>
        <w:widowControl w:val="0"/>
        <w:spacing w:before="0" w:after="120"/>
        <w:contextualSpacing/>
        <w:rPr>
          <w:rFonts w:eastAsia="Times New Roman" w:cstheme="minorHAnsi"/>
          <w:snapToGrid w:val="0"/>
          <w:szCs w:val="24"/>
        </w:rPr>
      </w:pPr>
      <w:r w:rsidRPr="00F10893">
        <w:rPr>
          <w:rFonts w:ascii="Arial Narrow" w:eastAsia="Times New Roman" w:hAnsi="Arial Narrow" w:cs="Arial"/>
          <w:snapToGrid w:val="0"/>
          <w:sz w:val="18"/>
          <w:szCs w:val="20"/>
        </w:rPr>
        <w:t>Source: Adapted from Table 4.2-2, p208 of the submission</w:t>
      </w:r>
    </w:p>
    <w:p w14:paraId="4F8619AD" w14:textId="0E8A0FFD" w:rsidR="006413B4" w:rsidRDefault="00094DFB" w:rsidP="00F1645C">
      <w:pPr>
        <w:spacing w:before="0" w:after="0"/>
        <w:rPr>
          <w:rFonts w:ascii="Arial Narrow" w:eastAsia="Times New Roman" w:hAnsi="Arial Narrow" w:cs="Arial"/>
          <w:snapToGrid w:val="0"/>
          <w:sz w:val="18"/>
          <w:szCs w:val="20"/>
        </w:rPr>
      </w:pPr>
      <w:r w:rsidRPr="005C16F6">
        <w:rPr>
          <w:rFonts w:ascii="Arial Narrow" w:eastAsia="Times New Roman" w:hAnsi="Arial Narrow" w:cs="Arial"/>
          <w:snapToGrid w:val="0"/>
          <w:sz w:val="18"/>
          <w:szCs w:val="20"/>
        </w:rPr>
        <w:t xml:space="preserve">Revised values calculated by the </w:t>
      </w:r>
      <w:r w:rsidR="00F1645C">
        <w:rPr>
          <w:rFonts w:ascii="Arial Narrow" w:eastAsia="Times New Roman" w:hAnsi="Arial Narrow" w:cs="Arial"/>
          <w:snapToGrid w:val="0"/>
          <w:sz w:val="18"/>
          <w:szCs w:val="20"/>
        </w:rPr>
        <w:t>d</w:t>
      </w:r>
      <w:r w:rsidR="00F1645C" w:rsidRPr="005C16F6">
        <w:rPr>
          <w:rFonts w:ascii="Arial Narrow" w:eastAsia="Times New Roman" w:hAnsi="Arial Narrow" w:cs="Arial"/>
          <w:snapToGrid w:val="0"/>
          <w:sz w:val="18"/>
          <w:szCs w:val="20"/>
        </w:rPr>
        <w:t xml:space="preserve">epartment </w:t>
      </w:r>
      <w:r w:rsidR="00167719" w:rsidRPr="00094DFB">
        <w:rPr>
          <w:rFonts w:ascii="Arial Narrow" w:eastAsia="Times New Roman" w:hAnsi="Arial Narrow" w:cs="Arial"/>
          <w:snapToGrid w:val="0"/>
          <w:sz w:val="18"/>
          <w:szCs w:val="20"/>
        </w:rPr>
        <w:t>with assumption of 63% of ovarian cancers are high-grade epithelial</w:t>
      </w:r>
      <w:r w:rsidR="006413B4" w:rsidRPr="00094DFB">
        <w:rPr>
          <w:rFonts w:ascii="Arial Narrow" w:eastAsia="Times New Roman" w:hAnsi="Arial Narrow" w:cs="Arial"/>
          <w:snapToGrid w:val="0"/>
          <w:sz w:val="18"/>
          <w:szCs w:val="20"/>
        </w:rPr>
        <w:t>.</w:t>
      </w:r>
    </w:p>
    <w:p w14:paraId="494BFBF7" w14:textId="77777777" w:rsidR="00F1645C" w:rsidRPr="00F1645C" w:rsidRDefault="00F1645C" w:rsidP="00F1645C">
      <w:pPr>
        <w:pStyle w:val="TableFigureFooter"/>
        <w:rPr>
          <w:szCs w:val="18"/>
        </w:rPr>
      </w:pPr>
      <w:r w:rsidRPr="00F1645C">
        <w:rPr>
          <w:szCs w:val="18"/>
        </w:rPr>
        <w:t xml:space="preserve">The redacted values correspond to the following ranges: </w:t>
      </w:r>
    </w:p>
    <w:p w14:paraId="030E2094" w14:textId="77777777" w:rsidR="00F1645C" w:rsidRPr="00F1645C" w:rsidRDefault="00F1645C" w:rsidP="00F1645C">
      <w:pPr>
        <w:pStyle w:val="TableFigureFooter"/>
        <w:rPr>
          <w:szCs w:val="18"/>
        </w:rPr>
      </w:pPr>
      <w:r w:rsidRPr="00F1645C">
        <w:rPr>
          <w:szCs w:val="18"/>
          <w:vertAlign w:val="superscript"/>
        </w:rPr>
        <w:t>1</w:t>
      </w:r>
      <w:r w:rsidRPr="00F1645C">
        <w:rPr>
          <w:szCs w:val="18"/>
        </w:rPr>
        <w:t xml:space="preserve"> 500 to &lt; 5,000 </w:t>
      </w:r>
    </w:p>
    <w:p w14:paraId="0A12E81D" w14:textId="50048C2E" w:rsidR="00F1645C" w:rsidRPr="00F1645C" w:rsidRDefault="00F1645C" w:rsidP="00F1645C">
      <w:pPr>
        <w:spacing w:before="0" w:after="0"/>
        <w:rPr>
          <w:rFonts w:ascii="Arial Narrow" w:hAnsi="Arial Narrow" w:cstheme="minorHAnsi"/>
          <w:sz w:val="18"/>
          <w:szCs w:val="18"/>
        </w:rPr>
      </w:pPr>
      <w:r w:rsidRPr="00F1645C">
        <w:rPr>
          <w:rFonts w:ascii="Arial Narrow" w:hAnsi="Arial Narrow"/>
          <w:sz w:val="18"/>
          <w:szCs w:val="18"/>
          <w:vertAlign w:val="superscript"/>
        </w:rPr>
        <w:t>2</w:t>
      </w:r>
      <w:r w:rsidRPr="00F1645C">
        <w:rPr>
          <w:rFonts w:ascii="Arial Narrow" w:hAnsi="Arial Narrow"/>
          <w:sz w:val="18"/>
          <w:szCs w:val="18"/>
        </w:rPr>
        <w:t xml:space="preserve"> &lt;500</w:t>
      </w:r>
    </w:p>
    <w:p w14:paraId="0D1181F5" w14:textId="03604702" w:rsidR="00FA15DB" w:rsidRPr="00A36EC0" w:rsidRDefault="00606F1F" w:rsidP="00FA15DB">
      <w:pPr>
        <w:pStyle w:val="TableFooter"/>
        <w:rPr>
          <w:rFonts w:ascii="Franklin Gothic Book" w:hAnsi="Franklin Gothic Book"/>
          <w:sz w:val="22"/>
          <w:szCs w:val="22"/>
        </w:rPr>
      </w:pPr>
      <w:r w:rsidRPr="00A36EC0">
        <w:rPr>
          <w:rStyle w:val="3-BodyTextChar"/>
          <w:rFonts w:ascii="Franklin Gothic Book" w:hAnsi="Franklin Gothic Book" w:cstheme="minorHAnsi"/>
          <w:sz w:val="22"/>
          <w:szCs w:val="22"/>
        </w:rPr>
        <w:lastRenderedPageBreak/>
        <w:t xml:space="preserve">The estimated net costs of FRα expression testing (based on a proposed test cost of $125 and a patient co-payment of 80%) for both the base case (primary diagnosis) and scenario analysis (at platinum resistance) is presented in </w:t>
      </w:r>
      <w:r w:rsidR="0066308C">
        <w:rPr>
          <w:rStyle w:val="3-BodyTextChar"/>
          <w:rFonts w:ascii="Franklin Gothic Book" w:hAnsi="Franklin Gothic Book" w:cstheme="minorHAnsi"/>
          <w:sz w:val="22"/>
          <w:szCs w:val="22"/>
        </w:rPr>
        <w:fldChar w:fldCharType="begin"/>
      </w:r>
      <w:r w:rsidR="0066308C">
        <w:rPr>
          <w:rStyle w:val="3-BodyTextChar"/>
          <w:rFonts w:ascii="Franklin Gothic Book" w:hAnsi="Franklin Gothic Book" w:cstheme="minorHAnsi"/>
          <w:sz w:val="22"/>
          <w:szCs w:val="22"/>
        </w:rPr>
        <w:instrText xml:space="preserve"> REF _Ref198566845 \h  \* MERGEFORMAT </w:instrText>
      </w:r>
      <w:r w:rsidR="0066308C">
        <w:rPr>
          <w:rStyle w:val="3-BodyTextChar"/>
          <w:rFonts w:ascii="Franklin Gothic Book" w:hAnsi="Franklin Gothic Book" w:cstheme="minorHAnsi"/>
          <w:sz w:val="22"/>
          <w:szCs w:val="22"/>
        </w:rPr>
      </w:r>
      <w:r w:rsidR="0066308C">
        <w:rPr>
          <w:rStyle w:val="3-BodyTextChar"/>
          <w:rFonts w:ascii="Franklin Gothic Book" w:hAnsi="Franklin Gothic Book" w:cstheme="minorHAnsi"/>
          <w:sz w:val="22"/>
          <w:szCs w:val="22"/>
        </w:rPr>
        <w:fldChar w:fldCharType="separate"/>
      </w:r>
      <w:r w:rsidR="0066308C" w:rsidRPr="0066308C">
        <w:rPr>
          <w:rStyle w:val="3-BodyTextChar"/>
          <w:rFonts w:ascii="Franklin Gothic Book" w:hAnsi="Franklin Gothic Book" w:cstheme="minorHAnsi"/>
          <w:sz w:val="22"/>
          <w:szCs w:val="22"/>
        </w:rPr>
        <w:t>Table 25</w:t>
      </w:r>
      <w:r w:rsidR="0066308C">
        <w:rPr>
          <w:rStyle w:val="3-BodyTextChar"/>
          <w:rFonts w:ascii="Franklin Gothic Book" w:hAnsi="Franklin Gothic Book" w:cstheme="minorHAnsi"/>
          <w:sz w:val="22"/>
          <w:szCs w:val="22"/>
        </w:rPr>
        <w:fldChar w:fldCharType="end"/>
      </w:r>
      <w:r w:rsidR="009716A9" w:rsidRPr="00A36EC0">
        <w:rPr>
          <w:rStyle w:val="3-BodyTextChar"/>
          <w:rFonts w:ascii="Franklin Gothic Book" w:hAnsi="Franklin Gothic Book" w:cstheme="minorHAnsi"/>
          <w:sz w:val="22"/>
          <w:szCs w:val="22"/>
        </w:rPr>
        <w:fldChar w:fldCharType="begin"/>
      </w:r>
      <w:r w:rsidR="009716A9" w:rsidRPr="00A36EC0">
        <w:rPr>
          <w:rStyle w:val="3-BodyTextChar"/>
          <w:rFonts w:ascii="Franklin Gothic Book" w:hAnsi="Franklin Gothic Book" w:cstheme="minorHAnsi"/>
          <w:sz w:val="22"/>
          <w:szCs w:val="22"/>
        </w:rPr>
        <w:instrText xml:space="preserve"> REF _Ref198566845 \h  \* MERGEFORMAT </w:instrText>
      </w:r>
      <w:r w:rsidR="009716A9" w:rsidRPr="00A36EC0">
        <w:rPr>
          <w:rStyle w:val="3-BodyTextChar"/>
          <w:rFonts w:ascii="Franklin Gothic Book" w:hAnsi="Franklin Gothic Book" w:cstheme="minorHAnsi"/>
          <w:sz w:val="22"/>
          <w:szCs w:val="22"/>
        </w:rPr>
      </w:r>
      <w:r w:rsidR="009716A9" w:rsidRPr="00A36EC0">
        <w:rPr>
          <w:rStyle w:val="3-BodyTextChar"/>
          <w:rFonts w:ascii="Franklin Gothic Book" w:hAnsi="Franklin Gothic Book" w:cstheme="minorHAnsi"/>
          <w:sz w:val="22"/>
          <w:szCs w:val="22"/>
        </w:rPr>
        <w:fldChar w:fldCharType="separate"/>
      </w:r>
      <w:r w:rsidR="009716A9" w:rsidRPr="00A36EC0">
        <w:rPr>
          <w:rStyle w:val="3-BodyTextChar"/>
          <w:rFonts w:ascii="Franklin Gothic Book" w:hAnsi="Franklin Gothic Book" w:cstheme="minorHAnsi"/>
          <w:sz w:val="22"/>
          <w:szCs w:val="22"/>
        </w:rPr>
        <w:fldChar w:fldCharType="end"/>
      </w:r>
      <w:r w:rsidRPr="00A36EC0">
        <w:rPr>
          <w:rStyle w:val="3-BodyTextChar"/>
          <w:rFonts w:ascii="Franklin Gothic Book" w:hAnsi="Franklin Gothic Book" w:cstheme="minorHAnsi"/>
          <w:sz w:val="22"/>
          <w:szCs w:val="22"/>
        </w:rPr>
        <w:t>. Costs applied for the scenario analysis include additional MBS costs for archival block retrieval (all tested patients) and re-biopsy rate (applied to 10% of patients) calculated from estimates from registry data and clinical expert advice.</w:t>
      </w:r>
      <w:r w:rsidR="00FA15DB" w:rsidRPr="00A36EC0">
        <w:rPr>
          <w:rFonts w:ascii="Franklin Gothic Book" w:hAnsi="Franklin Gothic Book" w:cstheme="minorHAnsi"/>
          <w:sz w:val="22"/>
          <w:szCs w:val="22"/>
        </w:rPr>
        <w:t xml:space="preserve"> However, </w:t>
      </w:r>
      <w:r w:rsidR="001960AF" w:rsidRPr="00A36EC0">
        <w:rPr>
          <w:rFonts w:ascii="Franklin Gothic Book" w:hAnsi="Franklin Gothic Book" w:cstheme="minorHAnsi"/>
          <w:sz w:val="22"/>
          <w:szCs w:val="22"/>
        </w:rPr>
        <w:t>the commentary noted that</w:t>
      </w:r>
      <w:r w:rsidR="00FA15DB" w:rsidRPr="00A36EC0">
        <w:rPr>
          <w:rFonts w:ascii="Franklin Gothic Book" w:hAnsi="Franklin Gothic Book" w:cstheme="minorHAnsi"/>
          <w:sz w:val="22"/>
          <w:szCs w:val="22"/>
        </w:rPr>
        <w:t xml:space="preserve"> this was incorrectly applied by the submission (with the estimated number of re-biopsy procedures accounting to a 3.4 % re</w:t>
      </w:r>
      <w:r w:rsidR="001F4280" w:rsidRPr="00A36EC0">
        <w:rPr>
          <w:rFonts w:ascii="Franklin Gothic Book" w:hAnsi="Franklin Gothic Book" w:cstheme="minorHAnsi"/>
          <w:sz w:val="22"/>
          <w:szCs w:val="22"/>
        </w:rPr>
        <w:t>-</w:t>
      </w:r>
      <w:r w:rsidR="00FA15DB" w:rsidRPr="00A36EC0">
        <w:rPr>
          <w:rFonts w:ascii="Franklin Gothic Book" w:hAnsi="Franklin Gothic Book" w:cstheme="minorHAnsi"/>
          <w:sz w:val="22"/>
          <w:szCs w:val="22"/>
        </w:rPr>
        <w:t>biopsy rate). This has been corrected by the evaluation</w:t>
      </w:r>
      <w:r w:rsidR="009A1927" w:rsidRPr="00A36EC0">
        <w:rPr>
          <w:rFonts w:ascii="Franklin Gothic Book" w:hAnsi="Franklin Gothic Book" w:cstheme="minorHAnsi"/>
          <w:sz w:val="22"/>
          <w:szCs w:val="22"/>
        </w:rPr>
        <w:t xml:space="preserve"> in the table below</w:t>
      </w:r>
      <w:r w:rsidR="00FA15DB" w:rsidRPr="00A36EC0">
        <w:rPr>
          <w:rFonts w:ascii="Franklin Gothic Book" w:hAnsi="Franklin Gothic Book" w:cstheme="minorHAnsi"/>
          <w:sz w:val="22"/>
          <w:szCs w:val="22"/>
        </w:rPr>
        <w:t>.</w:t>
      </w:r>
    </w:p>
    <w:p w14:paraId="456AAE7A" w14:textId="19C39B9D" w:rsidR="00606F1F" w:rsidRPr="00F10893" w:rsidRDefault="005E37CF" w:rsidP="00F02286">
      <w:pPr>
        <w:keepNext/>
        <w:keepLines/>
        <w:tabs>
          <w:tab w:val="left" w:pos="1418"/>
        </w:tabs>
        <w:spacing w:after="0" w:line="259" w:lineRule="auto"/>
        <w:ind w:left="1418" w:hanging="1418"/>
        <w:contextualSpacing/>
        <w:jc w:val="left"/>
        <w:rPr>
          <w:rFonts w:ascii="Arial Narrow" w:hAnsi="Arial Narrow"/>
          <w:b/>
          <w:iCs/>
          <w:sz w:val="20"/>
          <w:szCs w:val="18"/>
        </w:rPr>
      </w:pPr>
      <w:bookmarkStart w:id="54" w:name="_Ref198566845"/>
      <w:r>
        <w:rPr>
          <w:rFonts w:ascii="Arial Narrow" w:hAnsi="Arial Narrow"/>
          <w:b/>
          <w:iCs/>
          <w:sz w:val="20"/>
          <w:szCs w:val="18"/>
        </w:rPr>
        <w:t>Table</w:t>
      </w:r>
      <w:r w:rsidR="009716A9" w:rsidRPr="00F10893">
        <w:rPr>
          <w:rFonts w:ascii="Arial Narrow" w:hAnsi="Arial Narrow"/>
          <w:b/>
          <w:iCs/>
          <w:sz w:val="20"/>
          <w:szCs w:val="18"/>
        </w:rPr>
        <w:t xml:space="preserve"> </w:t>
      </w:r>
      <w:r>
        <w:rPr>
          <w:rFonts w:ascii="Arial Narrow" w:hAnsi="Arial Narrow"/>
          <w:b/>
          <w:iCs/>
          <w:sz w:val="20"/>
          <w:szCs w:val="18"/>
        </w:rPr>
        <w:fldChar w:fldCharType="begin"/>
      </w:r>
      <w:r>
        <w:rPr>
          <w:rFonts w:ascii="Arial Narrow" w:hAnsi="Arial Narrow"/>
          <w:b/>
          <w:iCs/>
          <w:sz w:val="20"/>
          <w:szCs w:val="18"/>
        </w:rPr>
        <w:instrText xml:space="preserve"> SEQ Table \* ARABIC </w:instrText>
      </w:r>
      <w:r>
        <w:rPr>
          <w:rFonts w:ascii="Arial Narrow" w:hAnsi="Arial Narrow"/>
          <w:b/>
          <w:iCs/>
          <w:sz w:val="20"/>
          <w:szCs w:val="18"/>
        </w:rPr>
        <w:fldChar w:fldCharType="separate"/>
      </w:r>
      <w:r>
        <w:rPr>
          <w:rFonts w:ascii="Arial Narrow" w:hAnsi="Arial Narrow"/>
          <w:b/>
          <w:iCs/>
          <w:noProof/>
          <w:sz w:val="20"/>
          <w:szCs w:val="18"/>
        </w:rPr>
        <w:t>25</w:t>
      </w:r>
      <w:r>
        <w:rPr>
          <w:rFonts w:ascii="Arial Narrow" w:hAnsi="Arial Narrow"/>
          <w:b/>
          <w:iCs/>
          <w:sz w:val="20"/>
          <w:szCs w:val="18"/>
        </w:rPr>
        <w:fldChar w:fldCharType="end"/>
      </w:r>
      <w:bookmarkEnd w:id="54"/>
      <w:r w:rsidR="009716A9" w:rsidRPr="00F10893">
        <w:rPr>
          <w:rFonts w:ascii="Arial Narrow" w:hAnsi="Arial Narrow"/>
          <w:b/>
          <w:iCs/>
          <w:sz w:val="20"/>
          <w:szCs w:val="18"/>
        </w:rPr>
        <w:t xml:space="preserve">: </w:t>
      </w:r>
      <w:r w:rsidR="00606F1F" w:rsidRPr="00F10893">
        <w:rPr>
          <w:rFonts w:ascii="Arial Narrow" w:hAnsi="Arial Narrow"/>
          <w:b/>
          <w:iCs/>
          <w:sz w:val="20"/>
          <w:szCs w:val="18"/>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24"/>
        <w:gridCol w:w="849"/>
        <w:gridCol w:w="851"/>
        <w:gridCol w:w="849"/>
        <w:gridCol w:w="853"/>
        <w:gridCol w:w="849"/>
        <w:gridCol w:w="863"/>
      </w:tblGrid>
      <w:tr w:rsidR="00606F1F" w:rsidRPr="00F10893" w14:paraId="18411260" w14:textId="77777777" w:rsidTr="00126945">
        <w:trPr>
          <w:tblHeader/>
          <w:jc w:val="center"/>
        </w:trPr>
        <w:tc>
          <w:tcPr>
            <w:tcW w:w="2139" w:type="pct"/>
            <w:vAlign w:val="center"/>
          </w:tcPr>
          <w:p w14:paraId="28B46918" w14:textId="77777777" w:rsidR="00606F1F" w:rsidRPr="00F10893" w:rsidRDefault="00606F1F" w:rsidP="00166A73">
            <w:pPr>
              <w:keepNext/>
              <w:keepLines/>
              <w:widowControl w:val="0"/>
              <w:spacing w:before="0" w:after="0"/>
              <w:jc w:val="left"/>
              <w:rPr>
                <w:rFonts w:ascii="Arial Narrow" w:hAnsi="Arial Narrow"/>
                <w:b/>
                <w:sz w:val="20"/>
              </w:rPr>
            </w:pPr>
          </w:p>
        </w:tc>
        <w:tc>
          <w:tcPr>
            <w:tcW w:w="475" w:type="pct"/>
            <w:vAlign w:val="center"/>
          </w:tcPr>
          <w:p w14:paraId="2C309157"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1</w:t>
            </w:r>
          </w:p>
          <w:p w14:paraId="5E44855B"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2025</w:t>
            </w:r>
          </w:p>
        </w:tc>
        <w:tc>
          <w:tcPr>
            <w:tcW w:w="476" w:type="pct"/>
            <w:vAlign w:val="center"/>
          </w:tcPr>
          <w:p w14:paraId="05BCCA3B"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2</w:t>
            </w:r>
          </w:p>
          <w:p w14:paraId="36A6E890"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2026</w:t>
            </w:r>
          </w:p>
        </w:tc>
        <w:tc>
          <w:tcPr>
            <w:tcW w:w="475" w:type="pct"/>
            <w:vAlign w:val="center"/>
          </w:tcPr>
          <w:p w14:paraId="3C34BFD1"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3</w:t>
            </w:r>
          </w:p>
          <w:p w14:paraId="4EAF9728"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2027</w:t>
            </w:r>
          </w:p>
        </w:tc>
        <w:tc>
          <w:tcPr>
            <w:tcW w:w="477" w:type="pct"/>
            <w:vAlign w:val="center"/>
          </w:tcPr>
          <w:p w14:paraId="4146B864"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4</w:t>
            </w:r>
          </w:p>
          <w:p w14:paraId="511CAC85"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2028</w:t>
            </w:r>
          </w:p>
        </w:tc>
        <w:tc>
          <w:tcPr>
            <w:tcW w:w="475" w:type="pct"/>
            <w:vAlign w:val="center"/>
          </w:tcPr>
          <w:p w14:paraId="54133C23"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5</w:t>
            </w:r>
          </w:p>
          <w:p w14:paraId="00F6F20C"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2029</w:t>
            </w:r>
          </w:p>
        </w:tc>
        <w:tc>
          <w:tcPr>
            <w:tcW w:w="483" w:type="pct"/>
            <w:vAlign w:val="center"/>
          </w:tcPr>
          <w:p w14:paraId="1CB055FB" w14:textId="77777777" w:rsidR="00606F1F" w:rsidRPr="00F10893" w:rsidRDefault="00606F1F" w:rsidP="00166A73">
            <w:pPr>
              <w:keepNext/>
              <w:keepLines/>
              <w:spacing w:before="0" w:after="0"/>
              <w:jc w:val="center"/>
              <w:rPr>
                <w:rFonts w:ascii="Arial Narrow" w:eastAsiaTheme="majorEastAsia" w:hAnsi="Arial Narrow" w:cs="Times New Roman"/>
                <w:sz w:val="20"/>
                <w:szCs w:val="24"/>
                <w:lang w:eastAsia="en-AU"/>
              </w:rPr>
            </w:pPr>
            <w:r w:rsidRPr="00F10893">
              <w:rPr>
                <w:rFonts w:ascii="Arial Narrow" w:eastAsiaTheme="majorEastAsia" w:hAnsi="Arial Narrow" w:cs="Times New Roman"/>
                <w:b/>
                <w:sz w:val="20"/>
                <w:szCs w:val="24"/>
                <w:lang w:eastAsia="en-AU"/>
              </w:rPr>
              <w:t>Year 6</w:t>
            </w:r>
          </w:p>
          <w:p w14:paraId="33DF4AB0" w14:textId="77777777" w:rsidR="00606F1F" w:rsidRPr="00F10893" w:rsidRDefault="00606F1F" w:rsidP="00166A73">
            <w:pPr>
              <w:keepNext/>
              <w:keepLines/>
              <w:widowControl w:val="0"/>
              <w:spacing w:before="0" w:after="0"/>
              <w:jc w:val="center"/>
              <w:rPr>
                <w:rFonts w:ascii="Arial Narrow" w:hAnsi="Arial Narrow"/>
                <w:b/>
                <w:sz w:val="20"/>
              </w:rPr>
            </w:pPr>
            <w:r w:rsidRPr="00F10893">
              <w:rPr>
                <w:rFonts w:ascii="Arial Narrow" w:hAnsi="Arial Narrow"/>
                <w:b/>
                <w:sz w:val="20"/>
              </w:rPr>
              <w:t>2030</w:t>
            </w:r>
          </w:p>
        </w:tc>
      </w:tr>
      <w:tr w:rsidR="00606F1F" w:rsidRPr="00F10893" w14:paraId="7F695DD7" w14:textId="77777777" w:rsidTr="00126945">
        <w:trPr>
          <w:jc w:val="center"/>
        </w:trPr>
        <w:tc>
          <w:tcPr>
            <w:tcW w:w="5000" w:type="pct"/>
            <w:gridSpan w:val="7"/>
            <w:vAlign w:val="center"/>
          </w:tcPr>
          <w:p w14:paraId="136AB333" w14:textId="77777777" w:rsidR="00606F1F" w:rsidRPr="00F10893" w:rsidRDefault="00606F1F" w:rsidP="00166A73">
            <w:pPr>
              <w:keepNext/>
              <w:keepLines/>
              <w:widowControl w:val="0"/>
              <w:spacing w:before="0" w:after="0"/>
              <w:jc w:val="left"/>
              <w:rPr>
                <w:rFonts w:ascii="Arial Narrow" w:hAnsi="Arial Narrow"/>
                <w:b/>
                <w:sz w:val="20"/>
              </w:rPr>
            </w:pPr>
            <w:r w:rsidRPr="00F10893">
              <w:rPr>
                <w:rFonts w:ascii="Arial Narrow" w:hAnsi="Arial Narrow"/>
                <w:b/>
                <w:sz w:val="20"/>
              </w:rPr>
              <w:t xml:space="preserve">Estimated extent of use of </w:t>
            </w:r>
            <w:r w:rsidRPr="00F10893">
              <w:rPr>
                <w:rFonts w:ascii="Arial Narrow" w:hAnsi="Arial Narrow"/>
                <w:b/>
                <w:sz w:val="20"/>
                <w:lang w:bidi="en-US"/>
              </w:rPr>
              <w:t>FR</w:t>
            </w:r>
            <w:r w:rsidRPr="00F10893">
              <w:rPr>
                <w:rFonts w:ascii="Arial Narrow" w:hAnsi="Arial Narrow"/>
                <w:b/>
                <w:bCs/>
                <w:sz w:val="20"/>
                <w:lang w:bidi="en-US"/>
              </w:rPr>
              <w:t>α</w:t>
            </w:r>
            <w:r w:rsidRPr="00F10893">
              <w:rPr>
                <w:rFonts w:ascii="Arial Narrow" w:hAnsi="Arial Narrow"/>
                <w:b/>
                <w:sz w:val="20"/>
                <w:lang w:bidi="en-US"/>
              </w:rPr>
              <w:t xml:space="preserve"> expression testing</w:t>
            </w:r>
          </w:p>
        </w:tc>
      </w:tr>
      <w:tr w:rsidR="000861DF" w:rsidRPr="00F10893" w14:paraId="5CD09291" w14:textId="77777777" w:rsidTr="00825A90">
        <w:trPr>
          <w:jc w:val="center"/>
        </w:trPr>
        <w:tc>
          <w:tcPr>
            <w:tcW w:w="2139" w:type="pct"/>
            <w:vAlign w:val="center"/>
          </w:tcPr>
          <w:p w14:paraId="0841ED0B" w14:textId="77777777" w:rsidR="000861DF" w:rsidRPr="00F10893" w:rsidRDefault="000861DF" w:rsidP="000861DF">
            <w:pPr>
              <w:keepNext/>
              <w:keepLines/>
              <w:widowControl w:val="0"/>
              <w:spacing w:before="0" w:after="0"/>
              <w:jc w:val="left"/>
              <w:rPr>
                <w:rFonts w:ascii="Arial Narrow" w:hAnsi="Arial Narrow"/>
                <w:sz w:val="20"/>
              </w:rPr>
            </w:pPr>
            <w:r w:rsidRPr="00F10893">
              <w:rPr>
                <w:rFonts w:ascii="Arial Narrow" w:hAnsi="Arial Narrow"/>
                <w:sz w:val="20"/>
              </w:rPr>
              <w:t>Number of patients tested (at primary diagnosis)</w:t>
            </w:r>
          </w:p>
        </w:tc>
        <w:tc>
          <w:tcPr>
            <w:tcW w:w="475" w:type="pct"/>
            <w:vAlign w:val="center"/>
          </w:tcPr>
          <w:p w14:paraId="642F7877" w14:textId="61941A33"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6" w:type="pct"/>
          </w:tcPr>
          <w:p w14:paraId="0C2D5349" w14:textId="5A13B148"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5" w:type="pct"/>
          </w:tcPr>
          <w:p w14:paraId="41E0DA22" w14:textId="46FBB9DC"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7" w:type="pct"/>
          </w:tcPr>
          <w:p w14:paraId="6A1D102F" w14:textId="63A66625"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5" w:type="pct"/>
          </w:tcPr>
          <w:p w14:paraId="7802C000" w14:textId="60F13233"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83" w:type="pct"/>
          </w:tcPr>
          <w:p w14:paraId="1C8CB38B" w14:textId="7CFA93B5"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r>
      <w:tr w:rsidR="000861DF" w:rsidRPr="00F10893" w14:paraId="32D5BD44" w14:textId="77777777" w:rsidTr="00825A90">
        <w:trPr>
          <w:jc w:val="center"/>
        </w:trPr>
        <w:tc>
          <w:tcPr>
            <w:tcW w:w="2139" w:type="pct"/>
            <w:vAlign w:val="center"/>
          </w:tcPr>
          <w:p w14:paraId="4893B1EC" w14:textId="77777777" w:rsidR="000861DF" w:rsidRPr="00F10893" w:rsidRDefault="000861DF" w:rsidP="000861DF">
            <w:pPr>
              <w:keepNext/>
              <w:keepLines/>
              <w:widowControl w:val="0"/>
              <w:spacing w:before="0" w:after="0"/>
              <w:jc w:val="left"/>
              <w:rPr>
                <w:rFonts w:ascii="Arial Narrow" w:hAnsi="Arial Narrow"/>
                <w:sz w:val="20"/>
              </w:rPr>
            </w:pPr>
            <w:r w:rsidRPr="00F10893">
              <w:rPr>
                <w:rFonts w:ascii="Arial Narrow" w:hAnsi="Arial Narrow"/>
                <w:sz w:val="20"/>
              </w:rPr>
              <w:t>Number of patients tested (at platinum resistance)</w:t>
            </w:r>
          </w:p>
        </w:tc>
        <w:tc>
          <w:tcPr>
            <w:tcW w:w="475" w:type="pct"/>
          </w:tcPr>
          <w:p w14:paraId="651D7E21" w14:textId="34018370"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6" w:type="pct"/>
          </w:tcPr>
          <w:p w14:paraId="377C9832" w14:textId="391C1CC1"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5" w:type="pct"/>
          </w:tcPr>
          <w:p w14:paraId="41E798B2" w14:textId="0687F361"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7" w:type="pct"/>
          </w:tcPr>
          <w:p w14:paraId="6CD9B908" w14:textId="28908CDB"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75" w:type="pct"/>
          </w:tcPr>
          <w:p w14:paraId="779C55F9" w14:textId="4C788560"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c>
          <w:tcPr>
            <w:tcW w:w="483" w:type="pct"/>
          </w:tcPr>
          <w:p w14:paraId="439B2B37" w14:textId="46A18938" w:rsidR="000861DF" w:rsidRPr="00DB1914" w:rsidRDefault="000861DF" w:rsidP="000861DF">
            <w:pPr>
              <w:keepNext/>
              <w:keepLines/>
              <w:widowControl w:val="0"/>
              <w:tabs>
                <w:tab w:val="decimal" w:pos="396"/>
              </w:tabs>
              <w:spacing w:before="0" w:after="0"/>
              <w:jc w:val="center"/>
              <w:rPr>
                <w:rFonts w:ascii="Arial Narrow" w:hAnsi="Arial Narrow"/>
                <w:iCs/>
                <w:sz w:val="19"/>
                <w:szCs w:val="19"/>
                <w:highlight w:val="yellow"/>
              </w:rPr>
            </w:pPr>
            <w:r w:rsidRPr="00DB1914">
              <w:rPr>
                <w:rFonts w:ascii="Arial Narrow" w:hAnsi="Arial Narrow"/>
                <w:iCs/>
                <w:sz w:val="19"/>
                <w:szCs w:val="19"/>
              </w:rPr>
              <w:t>redacted</w:t>
            </w:r>
            <w:r w:rsidRPr="00DB1914">
              <w:rPr>
                <w:rFonts w:ascii="Arial Narrow" w:eastAsia="Times New Roman" w:hAnsi="Arial Narrow" w:cs="Arial"/>
                <w:iCs/>
                <w:snapToGrid w:val="0"/>
                <w:sz w:val="19"/>
                <w:szCs w:val="19"/>
                <w:vertAlign w:val="superscript"/>
              </w:rPr>
              <w:t>1</w:t>
            </w:r>
          </w:p>
        </w:tc>
      </w:tr>
      <w:tr w:rsidR="00C95654" w:rsidRPr="00F10893" w14:paraId="68377162" w14:textId="77777777" w:rsidTr="00825A90">
        <w:trPr>
          <w:jc w:val="center"/>
        </w:trPr>
        <w:tc>
          <w:tcPr>
            <w:tcW w:w="2139" w:type="pct"/>
            <w:vAlign w:val="center"/>
          </w:tcPr>
          <w:p w14:paraId="4CCA9CD7" w14:textId="074421C6" w:rsidR="00C95654" w:rsidRPr="00F10893" w:rsidRDefault="00C95654" w:rsidP="00C95654">
            <w:pPr>
              <w:keepNext/>
              <w:keepLines/>
              <w:widowControl w:val="0"/>
              <w:spacing w:before="0" w:after="0"/>
              <w:jc w:val="left"/>
              <w:rPr>
                <w:rFonts w:ascii="Arial Narrow" w:hAnsi="Arial Narrow"/>
                <w:sz w:val="20"/>
              </w:rPr>
            </w:pPr>
            <w:r w:rsidRPr="00F10893">
              <w:rPr>
                <w:rFonts w:ascii="Arial Narrow" w:hAnsi="Arial Narrow"/>
                <w:sz w:val="20"/>
              </w:rPr>
              <w:t xml:space="preserve">Predicted number of patients with </w:t>
            </w:r>
            <w:r w:rsidRPr="00F10893">
              <w:rPr>
                <w:rFonts w:ascii="Arial Narrow" w:hAnsi="Arial Narrow"/>
                <w:sz w:val="20"/>
                <w:szCs w:val="20"/>
              </w:rPr>
              <w:t xml:space="preserve">FRα-high tumour cell expression and platinum-resistance </w:t>
            </w:r>
            <w:r w:rsidRPr="00F10893">
              <w:rPr>
                <w:rFonts w:ascii="Arial Narrow" w:hAnsi="Arial Narrow"/>
                <w:sz w:val="20"/>
              </w:rPr>
              <w:t>(eligible for treatment with MIRV)</w:t>
            </w:r>
          </w:p>
        </w:tc>
        <w:tc>
          <w:tcPr>
            <w:tcW w:w="475" w:type="pct"/>
            <w:vAlign w:val="center"/>
          </w:tcPr>
          <w:p w14:paraId="13EFB45B" w14:textId="06551B1F"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c>
          <w:tcPr>
            <w:tcW w:w="476" w:type="pct"/>
            <w:vAlign w:val="center"/>
          </w:tcPr>
          <w:p w14:paraId="6DE6CF23" w14:textId="09FE2C03"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c>
          <w:tcPr>
            <w:tcW w:w="475" w:type="pct"/>
            <w:vAlign w:val="center"/>
          </w:tcPr>
          <w:p w14:paraId="4AA567E0" w14:textId="76EB27F5"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c>
          <w:tcPr>
            <w:tcW w:w="477" w:type="pct"/>
            <w:vAlign w:val="center"/>
          </w:tcPr>
          <w:p w14:paraId="468EE773" w14:textId="3668DD09"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c>
          <w:tcPr>
            <w:tcW w:w="475" w:type="pct"/>
            <w:vAlign w:val="center"/>
          </w:tcPr>
          <w:p w14:paraId="7351EFE8" w14:textId="6FF485FF"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c>
          <w:tcPr>
            <w:tcW w:w="483" w:type="pct"/>
            <w:vAlign w:val="center"/>
          </w:tcPr>
          <w:p w14:paraId="296D7BE9" w14:textId="12C57EC7" w:rsidR="00C95654" w:rsidRPr="00DB1914" w:rsidRDefault="00C95654" w:rsidP="000745AA">
            <w:pPr>
              <w:keepNext/>
              <w:keepLines/>
              <w:widowControl w:val="0"/>
              <w:tabs>
                <w:tab w:val="decimal" w:pos="396"/>
              </w:tabs>
              <w:spacing w:before="0" w:after="0"/>
              <w:jc w:val="center"/>
              <w:rPr>
                <w:rFonts w:ascii="Arial Narrow" w:hAnsi="Arial Narrow"/>
                <w:sz w:val="19"/>
                <w:szCs w:val="19"/>
                <w:highlight w:val="yellow"/>
              </w:rPr>
            </w:pPr>
            <w:r w:rsidRPr="00DB1914">
              <w:rPr>
                <w:rFonts w:ascii="Arial Narrow" w:hAnsi="Arial Narrow"/>
                <w:sz w:val="19"/>
                <w:szCs w:val="19"/>
              </w:rPr>
              <w:t>redacted</w:t>
            </w:r>
            <w:r w:rsidRPr="00DB1914">
              <w:rPr>
                <w:rFonts w:ascii="Arial Narrow" w:eastAsia="Times New Roman" w:hAnsi="Arial Narrow" w:cs="Arial"/>
                <w:snapToGrid w:val="0"/>
                <w:sz w:val="19"/>
                <w:szCs w:val="19"/>
                <w:vertAlign w:val="superscript"/>
              </w:rPr>
              <w:t>2</w:t>
            </w:r>
          </w:p>
        </w:tc>
      </w:tr>
      <w:tr w:rsidR="00606F1F" w:rsidRPr="00F10893" w14:paraId="1F71304C" w14:textId="77777777" w:rsidTr="00126945">
        <w:trPr>
          <w:jc w:val="center"/>
        </w:trPr>
        <w:tc>
          <w:tcPr>
            <w:tcW w:w="5000" w:type="pct"/>
            <w:gridSpan w:val="7"/>
            <w:vAlign w:val="center"/>
          </w:tcPr>
          <w:p w14:paraId="3205B157" w14:textId="77777777" w:rsidR="00606F1F" w:rsidRPr="00F10893" w:rsidRDefault="00606F1F" w:rsidP="00166A73">
            <w:pPr>
              <w:keepNext/>
              <w:keepLines/>
              <w:widowControl w:val="0"/>
              <w:spacing w:before="0" w:after="0"/>
              <w:jc w:val="left"/>
              <w:rPr>
                <w:rFonts w:ascii="Arial Narrow" w:hAnsi="Arial Narrow"/>
                <w:b/>
                <w:bCs/>
                <w:color w:val="000000"/>
                <w:sz w:val="20"/>
              </w:rPr>
            </w:pPr>
            <w:r w:rsidRPr="00F10893">
              <w:rPr>
                <w:rFonts w:ascii="Arial Narrow" w:hAnsi="Arial Narrow"/>
                <w:b/>
                <w:sz w:val="20"/>
              </w:rPr>
              <w:t xml:space="preserve">Estimated financial implications of the </w:t>
            </w:r>
            <w:r w:rsidRPr="00F10893">
              <w:rPr>
                <w:rFonts w:ascii="Arial Narrow" w:hAnsi="Arial Narrow"/>
                <w:b/>
                <w:sz w:val="20"/>
                <w:lang w:bidi="en-US"/>
              </w:rPr>
              <w:t>FR</w:t>
            </w:r>
            <w:r w:rsidRPr="00F10893">
              <w:rPr>
                <w:rFonts w:ascii="Arial Narrow" w:hAnsi="Arial Narrow"/>
                <w:b/>
                <w:bCs/>
                <w:sz w:val="20"/>
                <w:lang w:bidi="en-US"/>
              </w:rPr>
              <w:t>α</w:t>
            </w:r>
            <w:r w:rsidRPr="00F10893">
              <w:rPr>
                <w:rFonts w:ascii="Arial Narrow" w:hAnsi="Arial Narrow"/>
                <w:b/>
                <w:sz w:val="20"/>
                <w:lang w:bidi="en-US"/>
              </w:rPr>
              <w:t xml:space="preserve"> expression testing</w:t>
            </w:r>
            <w:r w:rsidRPr="00F10893">
              <w:rPr>
                <w:rFonts w:ascii="Arial Narrow" w:hAnsi="Arial Narrow"/>
                <w:b/>
                <w:sz w:val="20"/>
              </w:rPr>
              <w:t xml:space="preserve"> to the MBS (testing at primary diagnosis)</w:t>
            </w:r>
          </w:p>
        </w:tc>
      </w:tr>
      <w:tr w:rsidR="007712E2" w:rsidRPr="00F10893" w14:paraId="2A02A087" w14:textId="77777777" w:rsidTr="00825A90">
        <w:trPr>
          <w:jc w:val="center"/>
        </w:trPr>
        <w:tc>
          <w:tcPr>
            <w:tcW w:w="2139" w:type="pct"/>
            <w:vAlign w:val="center"/>
          </w:tcPr>
          <w:p w14:paraId="54569758" w14:textId="5E526506" w:rsidR="007712E2" w:rsidRPr="00F10893" w:rsidRDefault="007712E2" w:rsidP="007712E2">
            <w:pPr>
              <w:keepNext/>
              <w:keepLines/>
              <w:widowControl w:val="0"/>
              <w:spacing w:before="0" w:after="0"/>
              <w:jc w:val="left"/>
              <w:rPr>
                <w:rFonts w:ascii="Arial Narrow" w:hAnsi="Arial Narrow"/>
                <w:sz w:val="20"/>
              </w:rPr>
            </w:pPr>
            <w:r w:rsidRPr="00F10893">
              <w:rPr>
                <w:rFonts w:ascii="Arial Narrow" w:hAnsi="Arial Narrow"/>
                <w:sz w:val="20"/>
              </w:rPr>
              <w:t xml:space="preserve">Cost to MBS </w:t>
            </w:r>
            <w:r>
              <w:rPr>
                <w:rFonts w:ascii="Arial Narrow" w:hAnsi="Arial Narrow"/>
                <w:sz w:val="20"/>
              </w:rPr>
              <w:t>($)</w:t>
            </w:r>
          </w:p>
        </w:tc>
        <w:tc>
          <w:tcPr>
            <w:tcW w:w="475" w:type="pct"/>
            <w:vAlign w:val="center"/>
          </w:tcPr>
          <w:p w14:paraId="18F8EC9A" w14:textId="5DD8C60B"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20999D6C" w14:textId="60328AFB"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40390B08" w14:textId="4A2CAF5D"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7" w:type="pct"/>
            <w:vAlign w:val="center"/>
          </w:tcPr>
          <w:p w14:paraId="676900BB" w14:textId="3BD856F3"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424DE312" w14:textId="28B39E3B"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83" w:type="pct"/>
            <w:vAlign w:val="center"/>
          </w:tcPr>
          <w:p w14:paraId="410CFAE9" w14:textId="1903571C"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r>
      <w:tr w:rsidR="00D266E8" w:rsidRPr="00F10893" w14:paraId="1E605152" w14:textId="77777777" w:rsidTr="00825A90">
        <w:trPr>
          <w:jc w:val="center"/>
        </w:trPr>
        <w:tc>
          <w:tcPr>
            <w:tcW w:w="2139" w:type="pct"/>
            <w:vAlign w:val="center"/>
          </w:tcPr>
          <w:p w14:paraId="41D51364" w14:textId="78E27D3F" w:rsidR="00D266E8" w:rsidRPr="00F10893" w:rsidRDefault="00D266E8" w:rsidP="00D266E8">
            <w:pPr>
              <w:keepNext/>
              <w:keepLines/>
              <w:widowControl w:val="0"/>
              <w:spacing w:before="0" w:after="0"/>
              <w:jc w:val="left"/>
              <w:rPr>
                <w:rFonts w:ascii="Arial Narrow" w:hAnsi="Arial Narrow"/>
                <w:sz w:val="20"/>
              </w:rPr>
            </w:pPr>
            <w:r w:rsidRPr="00F10893">
              <w:rPr>
                <w:rFonts w:ascii="Arial Narrow" w:hAnsi="Arial Narrow"/>
                <w:sz w:val="20"/>
              </w:rPr>
              <w:t>Copayments (80%)</w:t>
            </w:r>
            <w:r>
              <w:rPr>
                <w:rFonts w:ascii="Arial Narrow" w:hAnsi="Arial Narrow"/>
                <w:sz w:val="20"/>
              </w:rPr>
              <w:t xml:space="preserve"> ($)</w:t>
            </w:r>
          </w:p>
        </w:tc>
        <w:tc>
          <w:tcPr>
            <w:tcW w:w="475" w:type="pct"/>
            <w:vAlign w:val="center"/>
          </w:tcPr>
          <w:p w14:paraId="2655AD95" w14:textId="78435967"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r w:rsidRPr="00DB1914">
              <w:rPr>
                <w:rFonts w:ascii="Arial Narrow" w:hAnsi="Arial Narrow" w:cs="Arial"/>
                <w:color w:val="000000"/>
                <w:sz w:val="19"/>
                <w:szCs w:val="19"/>
              </w:rPr>
              <w:t xml:space="preserve"> </w:t>
            </w:r>
          </w:p>
        </w:tc>
        <w:tc>
          <w:tcPr>
            <w:tcW w:w="476" w:type="pct"/>
          </w:tcPr>
          <w:p w14:paraId="3FF10731" w14:textId="4AC9B46F"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tcPr>
          <w:p w14:paraId="1CADC961" w14:textId="371BF572"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7" w:type="pct"/>
          </w:tcPr>
          <w:p w14:paraId="52135B44" w14:textId="46A3D833"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tcPr>
          <w:p w14:paraId="4BA10F0D" w14:textId="16AA08CD"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83" w:type="pct"/>
          </w:tcPr>
          <w:p w14:paraId="7CCB4D45" w14:textId="14206602" w:rsidR="00D266E8" w:rsidRPr="00DB1914" w:rsidRDefault="00D266E8" w:rsidP="00D266E8">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r>
      <w:tr w:rsidR="007712E2" w:rsidRPr="00F10893" w14:paraId="2F78B5EA" w14:textId="77777777" w:rsidTr="00825A90">
        <w:trPr>
          <w:jc w:val="center"/>
        </w:trPr>
        <w:tc>
          <w:tcPr>
            <w:tcW w:w="2139" w:type="pct"/>
            <w:vAlign w:val="center"/>
          </w:tcPr>
          <w:p w14:paraId="701C7700" w14:textId="0B940082" w:rsidR="007712E2" w:rsidRPr="00F10893" w:rsidRDefault="007712E2" w:rsidP="007712E2">
            <w:pPr>
              <w:keepNext/>
              <w:keepLines/>
              <w:widowControl w:val="0"/>
              <w:spacing w:before="0" w:after="0"/>
              <w:jc w:val="left"/>
              <w:rPr>
                <w:rFonts w:ascii="Arial Narrow" w:hAnsi="Arial Narrow"/>
                <w:sz w:val="20"/>
              </w:rPr>
            </w:pPr>
            <w:r w:rsidRPr="00F10893">
              <w:rPr>
                <w:rFonts w:ascii="Arial Narrow" w:hAnsi="Arial Narrow"/>
                <w:sz w:val="20"/>
              </w:rPr>
              <w:t>Cost to the MBS less copayments (80%)</w:t>
            </w:r>
            <w:r>
              <w:rPr>
                <w:rFonts w:ascii="Arial Narrow" w:hAnsi="Arial Narrow"/>
                <w:sz w:val="20"/>
              </w:rPr>
              <w:t xml:space="preserve"> ($)</w:t>
            </w:r>
          </w:p>
        </w:tc>
        <w:tc>
          <w:tcPr>
            <w:tcW w:w="475" w:type="pct"/>
            <w:vAlign w:val="center"/>
          </w:tcPr>
          <w:p w14:paraId="0F0E2E65" w14:textId="32C78D51"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tcPr>
          <w:p w14:paraId="2E1681AE" w14:textId="0DCA5D04"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tcPr>
          <w:p w14:paraId="3079B166" w14:textId="06F89034"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7" w:type="pct"/>
          </w:tcPr>
          <w:p w14:paraId="479770F1" w14:textId="6923ED86"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tcPr>
          <w:p w14:paraId="17D4B40E" w14:textId="42342CFC"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83" w:type="pct"/>
          </w:tcPr>
          <w:p w14:paraId="560C4325" w14:textId="53A0F83D" w:rsidR="007712E2" w:rsidRPr="00DB1914" w:rsidRDefault="007712E2" w:rsidP="007712E2">
            <w:pPr>
              <w:keepNext/>
              <w:keepLines/>
              <w:widowControl w:val="0"/>
              <w:spacing w:before="0" w:after="0"/>
              <w:jc w:val="center"/>
              <w:rPr>
                <w:rFonts w:ascii="Arial Narrow" w:hAnsi="Arial Narrow"/>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r>
      <w:tr w:rsidR="00E97DB0" w:rsidRPr="00F10893" w14:paraId="5342AC6B" w14:textId="77777777" w:rsidTr="00825A90">
        <w:trPr>
          <w:jc w:val="center"/>
        </w:trPr>
        <w:tc>
          <w:tcPr>
            <w:tcW w:w="2139" w:type="pct"/>
            <w:vAlign w:val="center"/>
          </w:tcPr>
          <w:p w14:paraId="38EEA153" w14:textId="5EA081A8" w:rsidR="00E97DB0" w:rsidRPr="00F10893" w:rsidRDefault="00E97DB0" w:rsidP="00E97DB0">
            <w:pPr>
              <w:keepNext/>
              <w:keepLines/>
              <w:widowControl w:val="0"/>
              <w:spacing w:before="0" w:after="0"/>
              <w:jc w:val="left"/>
              <w:rPr>
                <w:rFonts w:ascii="Arial Narrow" w:hAnsi="Arial Narrow"/>
                <w:sz w:val="20"/>
              </w:rPr>
            </w:pPr>
            <w:r w:rsidRPr="00F10893">
              <w:rPr>
                <w:rFonts w:ascii="Arial Narrow" w:hAnsi="Arial Narrow"/>
                <w:sz w:val="20"/>
              </w:rPr>
              <w:t>Cost to MBS less copayments (85% copayment applied)</w:t>
            </w:r>
            <w:r>
              <w:rPr>
                <w:rFonts w:ascii="Arial Narrow" w:hAnsi="Arial Narrow"/>
                <w:sz w:val="20"/>
              </w:rPr>
              <w:t xml:space="preserve"> ($)</w:t>
            </w:r>
          </w:p>
        </w:tc>
        <w:tc>
          <w:tcPr>
            <w:tcW w:w="475" w:type="pct"/>
            <w:vAlign w:val="center"/>
          </w:tcPr>
          <w:p w14:paraId="35AFB250" w14:textId="616022E3"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305873A4" w14:textId="4027396E"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4C59267B" w14:textId="3BD2F812"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1326169A" w14:textId="27838C7A"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373DC439" w14:textId="7CB0F829"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579D93F9" w14:textId="2C2D46EA" w:rsidR="00E97DB0" w:rsidRPr="00DB1914" w:rsidRDefault="00E97DB0" w:rsidP="00F552D3">
            <w:pPr>
              <w:keepNext/>
              <w:keepLines/>
              <w:widowControl w:val="0"/>
              <w:spacing w:before="0" w:after="0"/>
              <w:jc w:val="center"/>
              <w:rPr>
                <w:rFonts w:ascii="Arial Narrow" w:hAnsi="Arial Narrow"/>
                <w:i/>
                <w:iCs/>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606F1F" w:rsidRPr="00F10893" w14:paraId="02F860B4" w14:textId="77777777" w:rsidTr="00F552D3">
        <w:trPr>
          <w:jc w:val="center"/>
        </w:trPr>
        <w:tc>
          <w:tcPr>
            <w:tcW w:w="5000" w:type="pct"/>
            <w:gridSpan w:val="7"/>
            <w:vAlign w:val="center"/>
          </w:tcPr>
          <w:p w14:paraId="44E792D2" w14:textId="77777777" w:rsidR="00606F1F" w:rsidRPr="00F552D3" w:rsidRDefault="00606F1F" w:rsidP="00166A73">
            <w:pPr>
              <w:keepNext/>
              <w:keepLines/>
              <w:widowControl w:val="0"/>
              <w:spacing w:before="0" w:after="0"/>
              <w:jc w:val="left"/>
              <w:rPr>
                <w:rFonts w:ascii="Arial Narrow" w:hAnsi="Arial Narrow"/>
                <w:b/>
                <w:sz w:val="20"/>
              </w:rPr>
            </w:pPr>
            <w:r w:rsidRPr="00F552D3">
              <w:rPr>
                <w:rFonts w:ascii="Arial Narrow" w:hAnsi="Arial Narrow"/>
                <w:b/>
                <w:sz w:val="20"/>
              </w:rPr>
              <w:t xml:space="preserve">Estimated financial implications of the </w:t>
            </w:r>
            <w:r w:rsidRPr="00F552D3">
              <w:rPr>
                <w:rFonts w:ascii="Arial Narrow" w:hAnsi="Arial Narrow"/>
                <w:b/>
                <w:sz w:val="20"/>
                <w:lang w:bidi="en-US"/>
              </w:rPr>
              <w:t>FR</w:t>
            </w:r>
            <w:r w:rsidRPr="00F552D3">
              <w:rPr>
                <w:rFonts w:ascii="Arial Narrow" w:hAnsi="Arial Narrow"/>
                <w:b/>
                <w:bCs/>
                <w:sz w:val="20"/>
                <w:lang w:bidi="en-US"/>
              </w:rPr>
              <w:t>α</w:t>
            </w:r>
            <w:r w:rsidRPr="00F552D3">
              <w:rPr>
                <w:rFonts w:ascii="Arial Narrow" w:hAnsi="Arial Narrow"/>
                <w:b/>
                <w:sz w:val="20"/>
                <w:lang w:bidi="en-US"/>
              </w:rPr>
              <w:t xml:space="preserve"> expression testing</w:t>
            </w:r>
            <w:r w:rsidRPr="00F552D3">
              <w:rPr>
                <w:rFonts w:ascii="Arial Narrow" w:hAnsi="Arial Narrow"/>
                <w:b/>
                <w:sz w:val="20"/>
              </w:rPr>
              <w:t xml:space="preserve"> to the MBS (testing at platinum resistance)</w:t>
            </w:r>
          </w:p>
        </w:tc>
      </w:tr>
      <w:tr w:rsidR="007712E2" w:rsidRPr="00F10893" w14:paraId="5E9664D2" w14:textId="77777777" w:rsidTr="00825A90">
        <w:trPr>
          <w:jc w:val="center"/>
        </w:trPr>
        <w:tc>
          <w:tcPr>
            <w:tcW w:w="2139" w:type="pct"/>
          </w:tcPr>
          <w:p w14:paraId="5A0B9C49" w14:textId="179B0FDA" w:rsidR="007712E2" w:rsidRPr="00F10893" w:rsidRDefault="007712E2" w:rsidP="007712E2">
            <w:pPr>
              <w:keepNext/>
              <w:keepLines/>
              <w:widowControl w:val="0"/>
              <w:spacing w:before="0" w:after="0"/>
              <w:jc w:val="left"/>
              <w:rPr>
                <w:rFonts w:ascii="Arial Narrow" w:hAnsi="Arial Narrow"/>
                <w:sz w:val="20"/>
              </w:rPr>
            </w:pPr>
            <w:r w:rsidRPr="00F10893">
              <w:rPr>
                <w:rFonts w:ascii="Arial Narrow" w:hAnsi="Arial Narrow"/>
                <w:sz w:val="20"/>
                <w:szCs w:val="18"/>
              </w:rPr>
              <w:t>Cost to MBS (FRα expression testing)</w:t>
            </w:r>
            <w:r>
              <w:rPr>
                <w:rFonts w:ascii="Arial Narrow" w:hAnsi="Arial Narrow"/>
                <w:sz w:val="20"/>
              </w:rPr>
              <w:t xml:space="preserve"> ($)</w:t>
            </w:r>
          </w:p>
        </w:tc>
        <w:tc>
          <w:tcPr>
            <w:tcW w:w="475" w:type="pct"/>
            <w:vAlign w:val="center"/>
          </w:tcPr>
          <w:p w14:paraId="0A777CF5" w14:textId="1EFFD36F"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25016DB7" w14:textId="575F14ED"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42DACD7D" w14:textId="75B2AC80"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7" w:type="pct"/>
            <w:vAlign w:val="center"/>
          </w:tcPr>
          <w:p w14:paraId="5F09FD3D" w14:textId="6290939F"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1D44FC48" w14:textId="5F7C34F8"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83" w:type="pct"/>
            <w:vAlign w:val="center"/>
          </w:tcPr>
          <w:p w14:paraId="7A8F17F1" w14:textId="3B08F1C0" w:rsidR="007712E2" w:rsidRPr="00DB1914" w:rsidRDefault="007712E2"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r>
      <w:tr w:rsidR="00D266E8" w:rsidRPr="00F10893" w14:paraId="3BD24BE0" w14:textId="77777777" w:rsidTr="00825A90">
        <w:trPr>
          <w:jc w:val="center"/>
        </w:trPr>
        <w:tc>
          <w:tcPr>
            <w:tcW w:w="2139" w:type="pct"/>
            <w:vAlign w:val="center"/>
          </w:tcPr>
          <w:p w14:paraId="4AA6B843" w14:textId="2C20E904" w:rsidR="00D266E8" w:rsidRPr="00F10893" w:rsidRDefault="00D266E8" w:rsidP="00D266E8">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Patient copayment (80%)</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78F7B25C" w14:textId="009685D6"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51827353" w14:textId="29990729"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vAlign w:val="center"/>
          </w:tcPr>
          <w:p w14:paraId="148F1364" w14:textId="6EB46E02"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7" w:type="pct"/>
            <w:vAlign w:val="center"/>
          </w:tcPr>
          <w:p w14:paraId="4FE7ADCE" w14:textId="1AED3E53"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vAlign w:val="center"/>
          </w:tcPr>
          <w:p w14:paraId="0603A6CF" w14:textId="1A7CAE20"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83" w:type="pct"/>
            <w:vAlign w:val="center"/>
          </w:tcPr>
          <w:p w14:paraId="5523070C" w14:textId="3C30CF67" w:rsidR="00D266E8" w:rsidRPr="00DB1914" w:rsidRDefault="00D266E8" w:rsidP="00DB1914">
            <w:pPr>
              <w:keepNext/>
              <w:keepLines/>
              <w:widowControl w:val="0"/>
              <w:spacing w:before="0" w:after="0"/>
              <w:jc w:val="center"/>
              <w:rPr>
                <w:rFonts w:ascii="Arial Narrow" w:hAnsi="Arial Narrow" w:cs="Arial"/>
                <w:i/>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r>
      <w:tr w:rsidR="000861DF" w:rsidRPr="00F10893" w14:paraId="1A4CECC4" w14:textId="77777777" w:rsidTr="00DB1914">
        <w:trPr>
          <w:jc w:val="center"/>
        </w:trPr>
        <w:tc>
          <w:tcPr>
            <w:tcW w:w="2139" w:type="pct"/>
            <w:vAlign w:val="center"/>
          </w:tcPr>
          <w:p w14:paraId="4603669F" w14:textId="4CADE274" w:rsidR="000861DF" w:rsidRPr="00F10893" w:rsidRDefault="000861DF" w:rsidP="000861DF">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Cost to MBS (archival block retrieval*)</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0B84C45F" w14:textId="60B81FE9"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7F6E257C" w14:textId="12AD0C48"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3FA0EFFF" w14:textId="13BCE972"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7" w:type="pct"/>
            <w:vAlign w:val="center"/>
          </w:tcPr>
          <w:p w14:paraId="1C23DD7C" w14:textId="5154723C"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75" w:type="pct"/>
            <w:vAlign w:val="center"/>
          </w:tcPr>
          <w:p w14:paraId="26F49B57" w14:textId="2FAF4E00"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c>
          <w:tcPr>
            <w:tcW w:w="483" w:type="pct"/>
            <w:vAlign w:val="center"/>
          </w:tcPr>
          <w:p w14:paraId="10F8226A" w14:textId="7350268C" w:rsidR="000861DF" w:rsidRPr="00DB1914" w:rsidRDefault="000861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eastAsia="Times New Roman" w:hAnsi="Arial Narrow" w:cs="Arial"/>
                <w:snapToGrid w:val="0"/>
                <w:sz w:val="19"/>
                <w:szCs w:val="19"/>
                <w:vertAlign w:val="superscript"/>
              </w:rPr>
              <w:t>3</w:t>
            </w:r>
          </w:p>
        </w:tc>
      </w:tr>
      <w:tr w:rsidR="00D266E8" w:rsidRPr="00F10893" w14:paraId="3DEBB89A" w14:textId="77777777" w:rsidTr="00825A90">
        <w:trPr>
          <w:jc w:val="center"/>
        </w:trPr>
        <w:tc>
          <w:tcPr>
            <w:tcW w:w="2139" w:type="pct"/>
            <w:vAlign w:val="center"/>
          </w:tcPr>
          <w:p w14:paraId="1423CDC8" w14:textId="1CB66A26" w:rsidR="00D266E8" w:rsidRPr="00F10893" w:rsidRDefault="00D266E8" w:rsidP="00D266E8">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Patient copayment (80%)</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3C9A3C6F" w14:textId="0D698D65"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040D52CF" w14:textId="25620966"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vAlign w:val="center"/>
          </w:tcPr>
          <w:p w14:paraId="0E2E7292" w14:textId="3D0F6040"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7" w:type="pct"/>
            <w:vAlign w:val="center"/>
          </w:tcPr>
          <w:p w14:paraId="26EDF454" w14:textId="11EC5B0F"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75" w:type="pct"/>
            <w:vAlign w:val="center"/>
          </w:tcPr>
          <w:p w14:paraId="11C2F137" w14:textId="336DFFD4"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c>
          <w:tcPr>
            <w:tcW w:w="483" w:type="pct"/>
            <w:vAlign w:val="center"/>
          </w:tcPr>
          <w:p w14:paraId="7EAC9561" w14:textId="1DFC3665"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color w:val="000000"/>
                <w:sz w:val="19"/>
                <w:szCs w:val="19"/>
              </w:rPr>
              <w:t>redacted</w:t>
            </w:r>
            <w:r w:rsidRPr="00DB1914">
              <w:rPr>
                <w:rFonts w:ascii="Arial Narrow" w:hAnsi="Arial Narrow" w:cs="Arial"/>
                <w:color w:val="000000"/>
                <w:sz w:val="19"/>
                <w:szCs w:val="19"/>
                <w:vertAlign w:val="superscript"/>
              </w:rPr>
              <w:t>4</w:t>
            </w:r>
          </w:p>
        </w:tc>
      </w:tr>
      <w:tr w:rsidR="005866DF" w:rsidRPr="00F10893" w14:paraId="27616D94" w14:textId="77777777" w:rsidTr="00825A90">
        <w:trPr>
          <w:jc w:val="center"/>
        </w:trPr>
        <w:tc>
          <w:tcPr>
            <w:tcW w:w="2139" w:type="pct"/>
            <w:vAlign w:val="center"/>
          </w:tcPr>
          <w:p w14:paraId="1715CA48" w14:textId="58E5759E" w:rsidR="005866DF" w:rsidRPr="00F10893" w:rsidRDefault="005866DF" w:rsidP="005866DF">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Cost to MBS (re-biopsy procedure*)</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39FDF9EF" w14:textId="6FBF7404"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5F6A0E21" w14:textId="1ED2A78E"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02ACECB2" w14:textId="1272ADDB"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3F0120F0" w14:textId="54847809"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29595A7A" w14:textId="78FDC410"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63F0C925" w14:textId="3A578F00" w:rsidR="005866DF" w:rsidRPr="00DB1914" w:rsidRDefault="005866DF"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D266E8" w:rsidRPr="00F10893" w14:paraId="743E1AEC" w14:textId="77777777" w:rsidTr="00825A90">
        <w:trPr>
          <w:jc w:val="center"/>
        </w:trPr>
        <w:tc>
          <w:tcPr>
            <w:tcW w:w="2139" w:type="pct"/>
            <w:vAlign w:val="center"/>
          </w:tcPr>
          <w:p w14:paraId="7D33CD79" w14:textId="75CEF8DA" w:rsidR="00D266E8" w:rsidRPr="00F10893" w:rsidRDefault="00D266E8" w:rsidP="00D266E8">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Patient copayment (80%)</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475E8821" w14:textId="4C15D023"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1099267E" w14:textId="7BDEA015"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5E6674B5" w14:textId="26B04FE0"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7" w:type="pct"/>
            <w:vAlign w:val="center"/>
          </w:tcPr>
          <w:p w14:paraId="1B9821CB" w14:textId="54F4FCCC"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36551AA6" w14:textId="5592EF55"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83" w:type="pct"/>
            <w:vAlign w:val="center"/>
          </w:tcPr>
          <w:p w14:paraId="79EC2B17" w14:textId="00F465D3" w:rsidR="00D266E8" w:rsidRPr="00DB1914" w:rsidRDefault="00D266E8"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r>
      <w:tr w:rsidR="007712E2" w:rsidRPr="00F10893" w14:paraId="340C6C3E" w14:textId="77777777" w:rsidTr="00825A90">
        <w:trPr>
          <w:jc w:val="center"/>
        </w:trPr>
        <w:tc>
          <w:tcPr>
            <w:tcW w:w="2139" w:type="pct"/>
            <w:vAlign w:val="center"/>
          </w:tcPr>
          <w:p w14:paraId="0D9BBC75" w14:textId="5BD95DD4" w:rsidR="007712E2" w:rsidRPr="00F10893" w:rsidRDefault="007712E2" w:rsidP="007712E2">
            <w:pPr>
              <w:keepNext/>
              <w:keepLines/>
              <w:widowControl w:val="0"/>
              <w:spacing w:before="0" w:after="0"/>
              <w:jc w:val="left"/>
              <w:rPr>
                <w:rFonts w:ascii="Arial Narrow" w:hAnsi="Arial Narrow"/>
                <w:sz w:val="20"/>
              </w:rPr>
            </w:pPr>
            <w:r w:rsidRPr="00F10893">
              <w:rPr>
                <w:rFonts w:ascii="Arial Narrow" w:hAnsi="Arial Narrow" w:cs="Arial"/>
                <w:color w:val="000000"/>
                <w:sz w:val="20"/>
                <w:szCs w:val="16"/>
              </w:rPr>
              <w:t>Cost to MBS (pre-anaesthesia consultation*)</w:t>
            </w:r>
            <w:r w:rsidR="000745AA">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2A999D90" w14:textId="3AF3103E"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623E549C" w14:textId="19C2E408"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0C40C076" w14:textId="64B2CD1D"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2B2435E7" w14:textId="3A73B2F1"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273499E3" w14:textId="03A4A67D"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2800716F" w14:textId="5E93C234" w:rsidR="007712E2" w:rsidRPr="00DB1914" w:rsidRDefault="007712E2" w:rsidP="00DB1914">
            <w:pPr>
              <w:keepNext/>
              <w:keepLines/>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D266E8" w:rsidRPr="00F10893" w14:paraId="4732D9BF" w14:textId="77777777" w:rsidTr="00825A90">
        <w:trPr>
          <w:jc w:val="center"/>
        </w:trPr>
        <w:tc>
          <w:tcPr>
            <w:tcW w:w="2139" w:type="pct"/>
            <w:vAlign w:val="center"/>
          </w:tcPr>
          <w:p w14:paraId="5BA153D9" w14:textId="7E3DC0DD" w:rsidR="00D266E8" w:rsidRPr="00F10893" w:rsidRDefault="00D266E8" w:rsidP="00D266E8">
            <w:pPr>
              <w:widowControl w:val="0"/>
              <w:spacing w:before="0" w:after="0"/>
              <w:jc w:val="left"/>
              <w:rPr>
                <w:rFonts w:ascii="Arial Narrow" w:hAnsi="Arial Narrow"/>
                <w:sz w:val="20"/>
              </w:rPr>
            </w:pPr>
            <w:r w:rsidRPr="00F10893">
              <w:rPr>
                <w:rFonts w:ascii="Arial Narrow" w:hAnsi="Arial Narrow" w:cs="Arial"/>
                <w:color w:val="000000"/>
                <w:sz w:val="20"/>
                <w:szCs w:val="16"/>
              </w:rPr>
              <w:t>Patient copayment (80%)</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571A970E" w14:textId="658E38F4"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3221CB27" w14:textId="1C2BD058"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557B738E" w14:textId="57E4826E"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7" w:type="pct"/>
            <w:vAlign w:val="center"/>
          </w:tcPr>
          <w:p w14:paraId="7C0CE6FF" w14:textId="746C9438"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1606D1BB" w14:textId="047F1585"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83" w:type="pct"/>
            <w:vAlign w:val="center"/>
          </w:tcPr>
          <w:p w14:paraId="1EA8A79C" w14:textId="1A693575"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r>
      <w:tr w:rsidR="007712E2" w:rsidRPr="00F10893" w14:paraId="21E13684" w14:textId="77777777" w:rsidTr="00825A90">
        <w:trPr>
          <w:jc w:val="center"/>
        </w:trPr>
        <w:tc>
          <w:tcPr>
            <w:tcW w:w="2139" w:type="pct"/>
            <w:vAlign w:val="center"/>
          </w:tcPr>
          <w:p w14:paraId="57D52D6F" w14:textId="1FC09D63" w:rsidR="007712E2" w:rsidRPr="00F10893" w:rsidRDefault="007712E2" w:rsidP="007712E2">
            <w:pPr>
              <w:widowControl w:val="0"/>
              <w:spacing w:before="0" w:after="0"/>
              <w:jc w:val="left"/>
              <w:rPr>
                <w:rFonts w:ascii="Arial Narrow" w:hAnsi="Arial Narrow"/>
                <w:sz w:val="20"/>
              </w:rPr>
            </w:pPr>
            <w:r w:rsidRPr="00F10893">
              <w:rPr>
                <w:rFonts w:ascii="Arial Narrow" w:hAnsi="Arial Narrow" w:cs="Arial"/>
                <w:color w:val="000000"/>
                <w:sz w:val="20"/>
                <w:szCs w:val="16"/>
              </w:rPr>
              <w:t>Cost to MBS (anaesthesia services*)</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283CF2D6" w14:textId="51348E70"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453CCAB7" w14:textId="68493CB8"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4839B98E" w14:textId="5CAB5D79"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699045B7" w14:textId="352DC3BF"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5ECF621C" w14:textId="37BB5998"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54F3A3D6" w14:textId="2968E294" w:rsidR="007712E2" w:rsidRPr="00DB1914" w:rsidRDefault="007712E2"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D266E8" w:rsidRPr="00F10893" w14:paraId="2064B118" w14:textId="77777777" w:rsidTr="00825A90">
        <w:trPr>
          <w:jc w:val="center"/>
        </w:trPr>
        <w:tc>
          <w:tcPr>
            <w:tcW w:w="2139" w:type="pct"/>
            <w:vAlign w:val="center"/>
          </w:tcPr>
          <w:p w14:paraId="57F51D66" w14:textId="0676F487" w:rsidR="00D266E8" w:rsidRPr="00F10893" w:rsidRDefault="00D266E8" w:rsidP="00D266E8">
            <w:pPr>
              <w:widowControl w:val="0"/>
              <w:spacing w:before="0" w:after="0"/>
              <w:jc w:val="left"/>
              <w:rPr>
                <w:rFonts w:ascii="Arial Narrow" w:hAnsi="Arial Narrow"/>
                <w:sz w:val="20"/>
              </w:rPr>
            </w:pPr>
            <w:r w:rsidRPr="00F10893">
              <w:rPr>
                <w:rFonts w:ascii="Arial Narrow" w:hAnsi="Arial Narrow" w:cs="Arial"/>
                <w:color w:val="000000"/>
                <w:sz w:val="20"/>
                <w:szCs w:val="16"/>
              </w:rPr>
              <w:t>Patient copayment (80%)</w:t>
            </w:r>
            <w:r>
              <w:rPr>
                <w:rFonts w:ascii="Arial Narrow" w:hAnsi="Arial Narrow" w:cs="Arial"/>
                <w:color w:val="000000"/>
                <w:sz w:val="20"/>
                <w:szCs w:val="16"/>
              </w:rPr>
              <w:t xml:space="preserve"> </w:t>
            </w:r>
            <w:r>
              <w:rPr>
                <w:rFonts w:ascii="Arial Narrow" w:hAnsi="Arial Narrow"/>
                <w:sz w:val="20"/>
              </w:rPr>
              <w:t>($)</w:t>
            </w:r>
          </w:p>
        </w:tc>
        <w:tc>
          <w:tcPr>
            <w:tcW w:w="475" w:type="pct"/>
            <w:vAlign w:val="center"/>
          </w:tcPr>
          <w:p w14:paraId="7175BBC7" w14:textId="37C910BF"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4CB1A672" w14:textId="37944614"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564B45A5" w14:textId="4E514D2C"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7" w:type="pct"/>
            <w:vAlign w:val="center"/>
          </w:tcPr>
          <w:p w14:paraId="20BBA9CE" w14:textId="200A7E02"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5A6DF5A9" w14:textId="4D90D137"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83" w:type="pct"/>
            <w:vAlign w:val="center"/>
          </w:tcPr>
          <w:p w14:paraId="47764C94" w14:textId="47B7178D" w:rsidR="00D266E8" w:rsidRPr="00DB1914" w:rsidRDefault="00D266E8" w:rsidP="00DB1914">
            <w:pPr>
              <w:widowControl w:val="0"/>
              <w:spacing w:before="0" w:after="0"/>
              <w:jc w:val="center"/>
              <w:rPr>
                <w:rFonts w:ascii="Arial Narrow" w:hAnsi="Arial Narrow" w:cs="Arial"/>
                <w:i/>
                <w:iCs/>
                <w:color w:val="000000"/>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r>
      <w:tr w:rsidR="007712E2" w:rsidRPr="00F10893" w14:paraId="01396AFF" w14:textId="77777777" w:rsidTr="00825A90">
        <w:trPr>
          <w:jc w:val="center"/>
        </w:trPr>
        <w:tc>
          <w:tcPr>
            <w:tcW w:w="2139" w:type="pct"/>
            <w:vAlign w:val="center"/>
          </w:tcPr>
          <w:p w14:paraId="0DA287C6" w14:textId="4241F6FD" w:rsidR="007712E2" w:rsidRPr="00F10893" w:rsidRDefault="007712E2" w:rsidP="007712E2">
            <w:pPr>
              <w:widowControl w:val="0"/>
              <w:spacing w:before="0" w:after="0"/>
              <w:jc w:val="left"/>
              <w:rPr>
                <w:rFonts w:ascii="Arial Narrow" w:hAnsi="Arial Narrow"/>
                <w:sz w:val="20"/>
              </w:rPr>
            </w:pPr>
            <w:r w:rsidRPr="00F10893">
              <w:rPr>
                <w:rFonts w:ascii="Arial Narrow" w:hAnsi="Arial Narrow"/>
                <w:sz w:val="20"/>
              </w:rPr>
              <w:t xml:space="preserve">Total Cost to MBS </w:t>
            </w:r>
            <w:r>
              <w:rPr>
                <w:rFonts w:ascii="Arial Narrow" w:hAnsi="Arial Narrow"/>
                <w:sz w:val="20"/>
              </w:rPr>
              <w:t>($)</w:t>
            </w:r>
          </w:p>
        </w:tc>
        <w:tc>
          <w:tcPr>
            <w:tcW w:w="475" w:type="pct"/>
            <w:vAlign w:val="center"/>
          </w:tcPr>
          <w:p w14:paraId="2F3F7B1E" w14:textId="560F5DA1"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3163039E" w14:textId="2687C86D"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3E8E9672" w14:textId="4220B665"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7F2E6947" w14:textId="7C020E64"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3289CF24" w14:textId="75EEFA07"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6BDC65C7" w14:textId="6BFAC75E"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F552D3" w:rsidRPr="00F10893" w14:paraId="26E986FC" w14:textId="77777777" w:rsidTr="00825A90">
        <w:trPr>
          <w:jc w:val="center"/>
        </w:trPr>
        <w:tc>
          <w:tcPr>
            <w:tcW w:w="2139" w:type="pct"/>
            <w:vAlign w:val="center"/>
          </w:tcPr>
          <w:p w14:paraId="12CA7B1A" w14:textId="4716BB95" w:rsidR="00F552D3" w:rsidRPr="00F10893" w:rsidRDefault="00F552D3" w:rsidP="00F552D3">
            <w:pPr>
              <w:widowControl w:val="0"/>
              <w:spacing w:before="0" w:after="0"/>
              <w:jc w:val="left"/>
              <w:rPr>
                <w:rFonts w:ascii="Arial Narrow" w:hAnsi="Arial Narrow"/>
                <w:sz w:val="20"/>
              </w:rPr>
            </w:pPr>
            <w:r w:rsidRPr="00F10893">
              <w:rPr>
                <w:rFonts w:ascii="Arial Narrow" w:hAnsi="Arial Narrow"/>
                <w:sz w:val="20"/>
              </w:rPr>
              <w:t>Total Copayments (80%)</w:t>
            </w:r>
            <w:r>
              <w:rPr>
                <w:rFonts w:ascii="Arial Narrow" w:hAnsi="Arial Narrow"/>
                <w:sz w:val="20"/>
              </w:rPr>
              <w:t xml:space="preserve"> ($)</w:t>
            </w:r>
          </w:p>
        </w:tc>
        <w:tc>
          <w:tcPr>
            <w:tcW w:w="475" w:type="pct"/>
            <w:vAlign w:val="center"/>
          </w:tcPr>
          <w:p w14:paraId="7CE14C57" w14:textId="0EBF3F7D"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6" w:type="pct"/>
            <w:vAlign w:val="center"/>
          </w:tcPr>
          <w:p w14:paraId="6A3A9E46" w14:textId="59F345E5"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65D6E4FB" w14:textId="64CD57D4"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7" w:type="pct"/>
            <w:vAlign w:val="center"/>
          </w:tcPr>
          <w:p w14:paraId="001B4D33" w14:textId="34AF4099"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75" w:type="pct"/>
            <w:vAlign w:val="center"/>
          </w:tcPr>
          <w:p w14:paraId="326D531A" w14:textId="424E0C97"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c>
          <w:tcPr>
            <w:tcW w:w="483" w:type="pct"/>
            <w:vAlign w:val="center"/>
          </w:tcPr>
          <w:p w14:paraId="2719E16B" w14:textId="4745E2FC" w:rsidR="00F552D3" w:rsidRPr="00DB1914" w:rsidRDefault="00F552D3"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hAnsi="Arial Narrow" w:cs="Arial"/>
                <w:i/>
                <w:iCs/>
                <w:color w:val="000000"/>
                <w:sz w:val="19"/>
                <w:szCs w:val="19"/>
                <w:vertAlign w:val="superscript"/>
              </w:rPr>
              <w:t>4</w:t>
            </w:r>
          </w:p>
        </w:tc>
      </w:tr>
      <w:tr w:rsidR="007712E2" w:rsidRPr="00F10893" w14:paraId="3B813B57" w14:textId="77777777" w:rsidTr="00825A90">
        <w:trPr>
          <w:jc w:val="center"/>
        </w:trPr>
        <w:tc>
          <w:tcPr>
            <w:tcW w:w="2139" w:type="pct"/>
            <w:vAlign w:val="center"/>
          </w:tcPr>
          <w:p w14:paraId="67EC4577" w14:textId="63195077" w:rsidR="007712E2" w:rsidRPr="00F10893" w:rsidRDefault="007712E2" w:rsidP="007712E2">
            <w:pPr>
              <w:widowControl w:val="0"/>
              <w:spacing w:before="0" w:after="0"/>
              <w:jc w:val="left"/>
              <w:rPr>
                <w:rFonts w:ascii="Arial Narrow" w:hAnsi="Arial Narrow"/>
                <w:sz w:val="20"/>
              </w:rPr>
            </w:pPr>
            <w:r w:rsidRPr="00F10893">
              <w:rPr>
                <w:rFonts w:ascii="Arial Narrow" w:hAnsi="Arial Narrow"/>
                <w:sz w:val="20"/>
              </w:rPr>
              <w:t>Net Cost to MBS less copayments (80%)</w:t>
            </w:r>
            <w:r>
              <w:rPr>
                <w:rFonts w:ascii="Arial Narrow" w:hAnsi="Arial Narrow"/>
                <w:sz w:val="20"/>
              </w:rPr>
              <w:t xml:space="preserve"> ($)</w:t>
            </w:r>
          </w:p>
        </w:tc>
        <w:tc>
          <w:tcPr>
            <w:tcW w:w="475" w:type="pct"/>
            <w:vAlign w:val="center"/>
          </w:tcPr>
          <w:p w14:paraId="6E31D0DA" w14:textId="5F21A720"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0826273F" w14:textId="29155EB4"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3ABC4CAA" w14:textId="33DEDE55"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64D5F91C" w14:textId="08042C8A"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7FC2A1D3" w14:textId="232D4C74"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68C7291D" w14:textId="1BDAB8F6"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7712E2" w:rsidRPr="00F10893" w14:paraId="7B3ABB49" w14:textId="77777777" w:rsidTr="00825A90">
        <w:trPr>
          <w:jc w:val="center"/>
        </w:trPr>
        <w:tc>
          <w:tcPr>
            <w:tcW w:w="2139" w:type="pct"/>
            <w:vAlign w:val="center"/>
          </w:tcPr>
          <w:p w14:paraId="7009C566" w14:textId="074A99CC" w:rsidR="007712E2" w:rsidRPr="00F10893" w:rsidRDefault="007712E2" w:rsidP="007712E2">
            <w:pPr>
              <w:widowControl w:val="0"/>
              <w:spacing w:before="0" w:after="0"/>
              <w:jc w:val="left"/>
              <w:rPr>
                <w:rFonts w:ascii="Arial Narrow" w:hAnsi="Arial Narrow"/>
                <w:sz w:val="20"/>
              </w:rPr>
            </w:pPr>
            <w:r w:rsidRPr="00F10893">
              <w:rPr>
                <w:rFonts w:ascii="Arial Narrow" w:hAnsi="Arial Narrow"/>
                <w:sz w:val="20"/>
              </w:rPr>
              <w:t>Net Cost to MBS less copayments (85% copayment applied)</w:t>
            </w:r>
            <w:r>
              <w:rPr>
                <w:rFonts w:ascii="Arial Narrow" w:hAnsi="Arial Narrow"/>
                <w:sz w:val="20"/>
              </w:rPr>
              <w:t xml:space="preserve"> ($)</w:t>
            </w:r>
          </w:p>
        </w:tc>
        <w:tc>
          <w:tcPr>
            <w:tcW w:w="475" w:type="pct"/>
            <w:vAlign w:val="center"/>
          </w:tcPr>
          <w:p w14:paraId="41E6DA1B" w14:textId="30F67F66"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6" w:type="pct"/>
            <w:vAlign w:val="center"/>
          </w:tcPr>
          <w:p w14:paraId="504A27FB" w14:textId="7B823136"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47ECB0C9" w14:textId="4CA6D78F"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7" w:type="pct"/>
            <w:vAlign w:val="center"/>
          </w:tcPr>
          <w:p w14:paraId="5E46D85F" w14:textId="37A85501"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75" w:type="pct"/>
            <w:vAlign w:val="center"/>
          </w:tcPr>
          <w:p w14:paraId="5EE7AE0B" w14:textId="4FD1C8DA"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c>
          <w:tcPr>
            <w:tcW w:w="483" w:type="pct"/>
            <w:vAlign w:val="center"/>
          </w:tcPr>
          <w:p w14:paraId="790CCDA9" w14:textId="3E132398" w:rsidR="007712E2" w:rsidRPr="00DB1914" w:rsidRDefault="007712E2" w:rsidP="00DB1914">
            <w:pPr>
              <w:widowControl w:val="0"/>
              <w:spacing w:before="0" w:after="0"/>
              <w:jc w:val="center"/>
              <w:rPr>
                <w:rFonts w:ascii="Arial Narrow" w:hAnsi="Arial Narrow"/>
                <w:i/>
                <w:sz w:val="19"/>
                <w:szCs w:val="19"/>
              </w:rPr>
            </w:pPr>
            <w:r w:rsidRPr="00DB1914">
              <w:rPr>
                <w:rFonts w:ascii="Arial Narrow" w:hAnsi="Arial Narrow" w:cs="Arial"/>
                <w:i/>
                <w:iCs/>
                <w:color w:val="000000"/>
                <w:sz w:val="19"/>
                <w:szCs w:val="19"/>
              </w:rPr>
              <w:t>redacted</w:t>
            </w:r>
            <w:r w:rsidRPr="00DB1914">
              <w:rPr>
                <w:rFonts w:ascii="Arial Narrow" w:eastAsia="Times New Roman" w:hAnsi="Arial Narrow" w:cs="Arial"/>
                <w:i/>
                <w:iCs/>
                <w:snapToGrid w:val="0"/>
                <w:sz w:val="19"/>
                <w:szCs w:val="19"/>
                <w:vertAlign w:val="superscript"/>
              </w:rPr>
              <w:t>3</w:t>
            </w:r>
          </w:p>
        </w:tc>
      </w:tr>
      <w:tr w:rsidR="00D266E8" w:rsidRPr="00F10893" w14:paraId="074722C0" w14:textId="77777777" w:rsidTr="00825A90">
        <w:trPr>
          <w:jc w:val="center"/>
        </w:trPr>
        <w:tc>
          <w:tcPr>
            <w:tcW w:w="2139" w:type="pct"/>
          </w:tcPr>
          <w:p w14:paraId="711852C4" w14:textId="557D9322" w:rsidR="00D266E8" w:rsidRPr="00F10893" w:rsidRDefault="00D266E8" w:rsidP="00D266E8">
            <w:pPr>
              <w:widowControl w:val="0"/>
              <w:spacing w:before="0" w:after="0"/>
              <w:jc w:val="left"/>
              <w:rPr>
                <w:rFonts w:ascii="Arial Narrow" w:hAnsi="Arial Narrow"/>
                <w:b/>
                <w:bCs/>
                <w:sz w:val="20"/>
              </w:rPr>
            </w:pPr>
            <w:r w:rsidRPr="00F10893">
              <w:rPr>
                <w:rFonts w:ascii="Arial Narrow" w:hAnsi="Arial Narrow"/>
                <w:b/>
                <w:bCs/>
                <w:sz w:val="20"/>
              </w:rPr>
              <w:t>Difference in costs (testing at primary diagnosis – testing at platinum resistance) (80% copayment applied)</w:t>
            </w:r>
            <w:r>
              <w:rPr>
                <w:rFonts w:ascii="Arial Narrow" w:hAnsi="Arial Narrow"/>
                <w:b/>
                <w:bCs/>
                <w:sz w:val="20"/>
              </w:rPr>
              <w:t xml:space="preserve"> </w:t>
            </w:r>
            <w:r>
              <w:rPr>
                <w:rFonts w:ascii="Arial Narrow" w:hAnsi="Arial Narrow"/>
                <w:sz w:val="20"/>
              </w:rPr>
              <w:t>($)</w:t>
            </w:r>
          </w:p>
        </w:tc>
        <w:tc>
          <w:tcPr>
            <w:tcW w:w="475" w:type="pct"/>
            <w:vAlign w:val="center"/>
          </w:tcPr>
          <w:p w14:paraId="4D2C11CD" w14:textId="7F49543C"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6" w:type="pct"/>
            <w:vAlign w:val="center"/>
          </w:tcPr>
          <w:p w14:paraId="2EB3D531" w14:textId="3B316FB8"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5" w:type="pct"/>
            <w:vAlign w:val="center"/>
          </w:tcPr>
          <w:p w14:paraId="44068BF9" w14:textId="7297AB4D"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7" w:type="pct"/>
            <w:vAlign w:val="center"/>
          </w:tcPr>
          <w:p w14:paraId="4A349AC2" w14:textId="3F93916C"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5" w:type="pct"/>
            <w:vAlign w:val="center"/>
          </w:tcPr>
          <w:p w14:paraId="5F21F35E" w14:textId="1B3EBE2B"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83" w:type="pct"/>
            <w:vAlign w:val="center"/>
          </w:tcPr>
          <w:p w14:paraId="348256C2" w14:textId="51123A9B" w:rsidR="00D266E8" w:rsidRPr="00DB1914" w:rsidRDefault="00D266E8" w:rsidP="00DB1914">
            <w:pPr>
              <w:widowControl w:val="0"/>
              <w:spacing w:before="0" w:after="0"/>
              <w:jc w:val="center"/>
              <w:rPr>
                <w:rFonts w:ascii="Arial Narrow" w:hAnsi="Arial Narrow" w:cs="Arial"/>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r>
      <w:tr w:rsidR="00D266E8" w:rsidRPr="00F10893" w14:paraId="2D0A039A" w14:textId="77777777" w:rsidTr="00825A90">
        <w:trPr>
          <w:jc w:val="center"/>
        </w:trPr>
        <w:tc>
          <w:tcPr>
            <w:tcW w:w="2139" w:type="pct"/>
          </w:tcPr>
          <w:p w14:paraId="0BBA9E3B" w14:textId="66373201" w:rsidR="00D266E8" w:rsidRPr="00F10893" w:rsidRDefault="00D266E8" w:rsidP="00D266E8">
            <w:pPr>
              <w:widowControl w:val="0"/>
              <w:spacing w:before="0" w:after="0"/>
              <w:jc w:val="left"/>
              <w:rPr>
                <w:rFonts w:ascii="Arial Narrow" w:hAnsi="Arial Narrow"/>
                <w:b/>
                <w:bCs/>
                <w:sz w:val="20"/>
              </w:rPr>
            </w:pPr>
            <w:r w:rsidRPr="00F10893">
              <w:rPr>
                <w:rFonts w:ascii="Arial Narrow" w:hAnsi="Arial Narrow"/>
                <w:b/>
                <w:bCs/>
                <w:sz w:val="20"/>
              </w:rPr>
              <w:t>Difference in costs (85% copayment applied)</w:t>
            </w:r>
            <w:r>
              <w:rPr>
                <w:rFonts w:ascii="Arial Narrow" w:hAnsi="Arial Narrow"/>
                <w:b/>
                <w:bCs/>
                <w:sz w:val="20"/>
              </w:rPr>
              <w:t xml:space="preserve"> </w:t>
            </w:r>
            <w:r>
              <w:rPr>
                <w:rFonts w:ascii="Arial Narrow" w:hAnsi="Arial Narrow"/>
                <w:sz w:val="20"/>
              </w:rPr>
              <w:t>($)</w:t>
            </w:r>
          </w:p>
        </w:tc>
        <w:tc>
          <w:tcPr>
            <w:tcW w:w="475" w:type="pct"/>
            <w:vAlign w:val="center"/>
          </w:tcPr>
          <w:p w14:paraId="11550298" w14:textId="435F34FC"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6" w:type="pct"/>
            <w:vAlign w:val="center"/>
          </w:tcPr>
          <w:p w14:paraId="05514DCD" w14:textId="368077DF"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5" w:type="pct"/>
            <w:vAlign w:val="center"/>
          </w:tcPr>
          <w:p w14:paraId="1B225704" w14:textId="7983750F"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7" w:type="pct"/>
            <w:vAlign w:val="center"/>
          </w:tcPr>
          <w:p w14:paraId="0F70E802" w14:textId="432EB27D"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75" w:type="pct"/>
            <w:vAlign w:val="center"/>
          </w:tcPr>
          <w:p w14:paraId="79814700" w14:textId="718250EE"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c>
          <w:tcPr>
            <w:tcW w:w="483" w:type="pct"/>
            <w:vAlign w:val="center"/>
          </w:tcPr>
          <w:p w14:paraId="6F8DC6A1" w14:textId="2F67AD67" w:rsidR="00D266E8" w:rsidRPr="00DB1914" w:rsidRDefault="00D266E8" w:rsidP="00DB1914">
            <w:pPr>
              <w:widowControl w:val="0"/>
              <w:spacing w:before="0" w:after="0"/>
              <w:jc w:val="center"/>
              <w:rPr>
                <w:rFonts w:ascii="Arial Narrow" w:hAnsi="Arial Narrow"/>
                <w:b/>
                <w:bCs/>
                <w:i/>
                <w:sz w:val="19"/>
                <w:szCs w:val="19"/>
              </w:rPr>
            </w:pPr>
            <w:r w:rsidRPr="00DB1914">
              <w:rPr>
                <w:rFonts w:ascii="Arial Narrow" w:hAnsi="Arial Narrow" w:cs="Arial"/>
                <w:b/>
                <w:bCs/>
                <w:i/>
                <w:iCs/>
                <w:color w:val="000000"/>
                <w:sz w:val="19"/>
                <w:szCs w:val="19"/>
              </w:rPr>
              <w:t>redacted</w:t>
            </w:r>
            <w:r w:rsidRPr="00DB1914">
              <w:rPr>
                <w:rFonts w:ascii="Arial Narrow" w:hAnsi="Arial Narrow" w:cs="Arial"/>
                <w:b/>
                <w:bCs/>
                <w:i/>
                <w:iCs/>
                <w:color w:val="000000"/>
                <w:sz w:val="19"/>
                <w:szCs w:val="19"/>
                <w:vertAlign w:val="superscript"/>
              </w:rPr>
              <w:t>4</w:t>
            </w:r>
          </w:p>
        </w:tc>
      </w:tr>
    </w:tbl>
    <w:p w14:paraId="4F0CE429" w14:textId="0CF1123A" w:rsidR="00606F1F" w:rsidRPr="00F10893" w:rsidRDefault="00606F1F" w:rsidP="00606F1F">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Source: Developed during the evaluation using data from Tables 4.5-3 &amp; 4.5-4, p223-224</w:t>
      </w:r>
      <w:r w:rsidRPr="00F10893" w:rsidDel="0015247C">
        <w:rPr>
          <w:rFonts w:ascii="Arial Narrow" w:eastAsia="Times New Roman" w:hAnsi="Arial Narrow" w:cs="Arial"/>
          <w:snapToGrid w:val="0"/>
          <w:sz w:val="18"/>
          <w:szCs w:val="20"/>
        </w:rPr>
        <w:t xml:space="preserve"> of the submission</w:t>
      </w:r>
      <w:r w:rsidRPr="00F10893">
        <w:rPr>
          <w:rFonts w:ascii="Arial Narrow" w:eastAsia="Times New Roman" w:hAnsi="Arial Narrow" w:cs="Arial"/>
          <w:snapToGrid w:val="0"/>
          <w:sz w:val="18"/>
          <w:szCs w:val="20"/>
        </w:rPr>
        <w:t xml:space="preserve"> and sheet ‘7.Net changes – MBS’ from the financial workbook. </w:t>
      </w:r>
    </w:p>
    <w:p w14:paraId="3C99CC84" w14:textId="2178AC55" w:rsidR="00606F1F" w:rsidRPr="00F10893" w:rsidRDefault="00606F1F" w:rsidP="00606F1F">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 xml:space="preserve">FRα =Folate receptor alpha; MBS = Medicare Benefits Schedule; MIRV = </w:t>
      </w:r>
      <w:r w:rsidR="00C006E3" w:rsidRPr="00F10893">
        <w:rPr>
          <w:rFonts w:ascii="Arial Narrow" w:eastAsia="Times New Roman" w:hAnsi="Arial Narrow" w:cs="Arial"/>
          <w:snapToGrid w:val="0"/>
          <w:sz w:val="18"/>
          <w:szCs w:val="20"/>
        </w:rPr>
        <w:t>mirvetuximab</w:t>
      </w:r>
      <w:r w:rsidRPr="00F10893">
        <w:rPr>
          <w:rFonts w:ascii="Arial Narrow" w:eastAsia="Times New Roman" w:hAnsi="Arial Narrow" w:cs="Arial"/>
          <w:snapToGrid w:val="0"/>
          <w:sz w:val="18"/>
          <w:szCs w:val="20"/>
        </w:rPr>
        <w:t xml:space="preserve"> soravtansine.</w:t>
      </w:r>
    </w:p>
    <w:p w14:paraId="3CBFC996" w14:textId="3FA65EC8" w:rsidR="007E1733" w:rsidRPr="00F10893" w:rsidRDefault="006E2831" w:rsidP="00606F1F">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w:t>
      </w:r>
      <w:r w:rsidR="007E1733" w:rsidRPr="00F10893">
        <w:rPr>
          <w:rFonts w:ascii="Arial Narrow" w:eastAsia="Times New Roman" w:hAnsi="Arial Narrow" w:cs="Arial"/>
          <w:snapToGrid w:val="0"/>
          <w:sz w:val="18"/>
          <w:szCs w:val="20"/>
        </w:rPr>
        <w:t xml:space="preserve">Archival block retrieval </w:t>
      </w:r>
      <w:r w:rsidR="005528F6" w:rsidRPr="00F10893">
        <w:rPr>
          <w:rFonts w:ascii="Arial Narrow" w:eastAsia="Times New Roman" w:hAnsi="Arial Narrow" w:cs="Arial"/>
          <w:snapToGrid w:val="0"/>
          <w:sz w:val="18"/>
          <w:szCs w:val="20"/>
        </w:rPr>
        <w:t>fee</w:t>
      </w:r>
      <w:r w:rsidR="007E1733" w:rsidRPr="00F10893">
        <w:rPr>
          <w:rFonts w:ascii="Arial Narrow" w:eastAsia="Times New Roman" w:hAnsi="Arial Narrow" w:cs="Arial"/>
          <w:snapToGrid w:val="0"/>
          <w:sz w:val="18"/>
          <w:szCs w:val="20"/>
        </w:rPr>
        <w:t xml:space="preserve"> </w:t>
      </w:r>
      <w:r w:rsidR="00A2770A" w:rsidRPr="00F10893">
        <w:rPr>
          <w:rFonts w:ascii="Arial Narrow" w:eastAsia="Times New Roman" w:hAnsi="Arial Narrow" w:cs="Arial"/>
          <w:snapToGrid w:val="0"/>
          <w:sz w:val="18"/>
          <w:szCs w:val="20"/>
        </w:rPr>
        <w:t>$85.00 (MBS item 72860), rebiopsy</w:t>
      </w:r>
      <w:r w:rsidR="00E12C22" w:rsidRPr="00F10893">
        <w:rPr>
          <w:rFonts w:ascii="Arial Narrow" w:eastAsia="Times New Roman" w:hAnsi="Arial Narrow" w:cs="Arial"/>
          <w:snapToGrid w:val="0"/>
          <w:sz w:val="18"/>
          <w:szCs w:val="20"/>
        </w:rPr>
        <w:t xml:space="preserve"> procedure</w:t>
      </w:r>
      <w:r w:rsidR="00A2770A" w:rsidRPr="00F10893">
        <w:rPr>
          <w:rFonts w:ascii="Arial Narrow" w:eastAsia="Times New Roman" w:hAnsi="Arial Narrow" w:cs="Arial"/>
          <w:snapToGrid w:val="0"/>
          <w:sz w:val="18"/>
          <w:szCs w:val="20"/>
        </w:rPr>
        <w:t xml:space="preserve"> </w:t>
      </w:r>
      <w:r w:rsidR="000C1CD0" w:rsidRPr="00F10893">
        <w:rPr>
          <w:rFonts w:ascii="Arial Narrow" w:eastAsia="Times New Roman" w:hAnsi="Arial Narrow" w:cs="Arial"/>
          <w:snapToGrid w:val="0"/>
          <w:sz w:val="18"/>
          <w:szCs w:val="20"/>
        </w:rPr>
        <w:t xml:space="preserve">(diagnostic percutaneous aspiration biopsy) </w:t>
      </w:r>
      <w:r w:rsidR="005528F6" w:rsidRPr="00F10893">
        <w:rPr>
          <w:rFonts w:ascii="Arial Narrow" w:eastAsia="Times New Roman" w:hAnsi="Arial Narrow" w:cs="Arial"/>
          <w:snapToGrid w:val="0"/>
          <w:sz w:val="18"/>
          <w:szCs w:val="20"/>
        </w:rPr>
        <w:t>fee</w:t>
      </w:r>
      <w:r w:rsidR="004C142A" w:rsidRPr="00F10893">
        <w:rPr>
          <w:rFonts w:ascii="Arial Narrow" w:eastAsia="Times New Roman" w:hAnsi="Arial Narrow" w:cs="Arial"/>
          <w:snapToGrid w:val="0"/>
          <w:sz w:val="18"/>
          <w:szCs w:val="20"/>
        </w:rPr>
        <w:t xml:space="preserve"> $</w:t>
      </w:r>
      <w:r w:rsidR="007A1F13" w:rsidRPr="00F10893">
        <w:rPr>
          <w:rFonts w:ascii="Arial Narrow" w:eastAsia="Times New Roman" w:hAnsi="Arial Narrow" w:cs="Arial"/>
          <w:snapToGrid w:val="0"/>
          <w:sz w:val="18"/>
          <w:szCs w:val="20"/>
        </w:rPr>
        <w:t xml:space="preserve">215.80 (MBS item </w:t>
      </w:r>
      <w:r w:rsidR="007929BB" w:rsidRPr="00F10893">
        <w:rPr>
          <w:rFonts w:ascii="Arial Narrow" w:eastAsia="Times New Roman" w:hAnsi="Arial Narrow" w:cs="Arial"/>
          <w:snapToGrid w:val="0"/>
          <w:sz w:val="18"/>
          <w:szCs w:val="20"/>
        </w:rPr>
        <w:t>30094)</w:t>
      </w:r>
      <w:r w:rsidR="00AA1CF2" w:rsidRPr="00F10893">
        <w:rPr>
          <w:rFonts w:ascii="Arial Narrow" w:eastAsia="Times New Roman" w:hAnsi="Arial Narrow" w:cs="Arial"/>
          <w:snapToGrid w:val="0"/>
          <w:sz w:val="18"/>
          <w:szCs w:val="20"/>
        </w:rPr>
        <w:t xml:space="preserve">, pre-anaesthesia consultation </w:t>
      </w:r>
      <w:r w:rsidR="005528F6" w:rsidRPr="00F10893">
        <w:rPr>
          <w:rFonts w:ascii="Arial Narrow" w:eastAsia="Times New Roman" w:hAnsi="Arial Narrow" w:cs="Arial"/>
          <w:snapToGrid w:val="0"/>
          <w:sz w:val="18"/>
          <w:szCs w:val="20"/>
        </w:rPr>
        <w:t>fee</w:t>
      </w:r>
      <w:r w:rsidR="00AA1CF2" w:rsidRPr="00F10893">
        <w:rPr>
          <w:rFonts w:ascii="Arial Narrow" w:eastAsia="Times New Roman" w:hAnsi="Arial Narrow" w:cs="Arial"/>
          <w:snapToGrid w:val="0"/>
          <w:sz w:val="18"/>
          <w:szCs w:val="20"/>
        </w:rPr>
        <w:t xml:space="preserve"> $49.75 (MBS item 17610) and anaesthesia </w:t>
      </w:r>
      <w:r w:rsidR="008B222D" w:rsidRPr="00F10893">
        <w:rPr>
          <w:rFonts w:ascii="Arial Narrow" w:eastAsia="Times New Roman" w:hAnsi="Arial Narrow" w:cs="Arial"/>
          <w:snapToGrid w:val="0"/>
          <w:sz w:val="18"/>
          <w:szCs w:val="20"/>
        </w:rPr>
        <w:t xml:space="preserve">service </w:t>
      </w:r>
      <w:r w:rsidR="005528F6" w:rsidRPr="00F10893">
        <w:rPr>
          <w:rFonts w:ascii="Arial Narrow" w:eastAsia="Times New Roman" w:hAnsi="Arial Narrow" w:cs="Arial"/>
          <w:snapToGrid w:val="0"/>
          <w:sz w:val="18"/>
          <w:szCs w:val="20"/>
        </w:rPr>
        <w:t>fee</w:t>
      </w:r>
      <w:r w:rsidR="00AA1CF2" w:rsidRPr="00F10893">
        <w:rPr>
          <w:rFonts w:ascii="Arial Narrow" w:eastAsia="Times New Roman" w:hAnsi="Arial Narrow" w:cs="Arial"/>
          <w:snapToGrid w:val="0"/>
          <w:sz w:val="18"/>
          <w:szCs w:val="20"/>
        </w:rPr>
        <w:t xml:space="preserve"> </w:t>
      </w:r>
      <w:r w:rsidR="008B222D" w:rsidRPr="00F10893">
        <w:rPr>
          <w:rFonts w:ascii="Arial Narrow" w:eastAsia="Times New Roman" w:hAnsi="Arial Narrow" w:cs="Arial"/>
          <w:snapToGrid w:val="0"/>
          <w:sz w:val="18"/>
          <w:szCs w:val="20"/>
        </w:rPr>
        <w:t>$</w:t>
      </w:r>
      <w:r w:rsidR="00AA1CF2" w:rsidRPr="00F10893">
        <w:rPr>
          <w:rFonts w:ascii="Arial Narrow" w:eastAsia="Times New Roman" w:hAnsi="Arial Narrow" w:cs="Arial"/>
          <w:snapToGrid w:val="0"/>
          <w:sz w:val="18"/>
          <w:szCs w:val="20"/>
        </w:rPr>
        <w:t>216.35</w:t>
      </w:r>
      <w:r w:rsidR="008B222D" w:rsidRPr="00F10893">
        <w:rPr>
          <w:rFonts w:ascii="Arial Narrow" w:eastAsia="Times New Roman" w:hAnsi="Arial Narrow" w:cs="Arial"/>
          <w:snapToGrid w:val="0"/>
          <w:sz w:val="18"/>
          <w:szCs w:val="20"/>
        </w:rPr>
        <w:t xml:space="preserve"> (MBS item 18216)</w:t>
      </w:r>
    </w:p>
    <w:p w14:paraId="321B4EB1" w14:textId="52D01715" w:rsidR="00126945" w:rsidRDefault="00126945" w:rsidP="00606F1F">
      <w:pPr>
        <w:widowControl w:val="0"/>
        <w:spacing w:before="0" w:after="0"/>
        <w:contextualSpacing/>
        <w:rPr>
          <w:rFonts w:ascii="Arial Narrow" w:eastAsia="Times New Roman" w:hAnsi="Arial Narrow" w:cs="Arial"/>
          <w:i/>
          <w:iCs/>
          <w:snapToGrid w:val="0"/>
          <w:sz w:val="18"/>
          <w:szCs w:val="20"/>
        </w:rPr>
      </w:pPr>
      <w:r w:rsidRPr="00F10893">
        <w:rPr>
          <w:rFonts w:ascii="Arial Narrow" w:eastAsia="Times New Roman" w:hAnsi="Arial Narrow" w:cs="Arial"/>
          <w:i/>
          <w:iCs/>
          <w:snapToGrid w:val="0"/>
          <w:sz w:val="18"/>
          <w:szCs w:val="20"/>
        </w:rPr>
        <w:t>Note: Values in italics reflect those corrected during the evaluation</w:t>
      </w:r>
    </w:p>
    <w:p w14:paraId="089B5EE7" w14:textId="77777777" w:rsidR="001A069E" w:rsidRPr="007E588B" w:rsidRDefault="001A069E" w:rsidP="001A069E">
      <w:pPr>
        <w:spacing w:before="0" w:after="0"/>
        <w:contextualSpacing/>
        <w:rPr>
          <w:rFonts w:ascii="Arial Narrow" w:eastAsia="Times New Roman" w:hAnsi="Arial Narrow" w:cs="Arial"/>
          <w:snapToGrid w:val="0"/>
          <w:sz w:val="18"/>
          <w:szCs w:val="20"/>
        </w:rPr>
      </w:pPr>
      <w:r w:rsidRPr="007E588B">
        <w:rPr>
          <w:rFonts w:ascii="Arial Narrow" w:eastAsia="Times New Roman" w:hAnsi="Arial Narrow" w:cs="Arial"/>
          <w:snapToGrid w:val="0"/>
          <w:sz w:val="18"/>
          <w:szCs w:val="20"/>
        </w:rPr>
        <w:t xml:space="preserve">The redacted values correspond to the following ranges: </w:t>
      </w:r>
    </w:p>
    <w:p w14:paraId="4B94705A" w14:textId="77777777" w:rsidR="001A069E" w:rsidRPr="007E588B" w:rsidRDefault="001A069E" w:rsidP="001A069E">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1</w:t>
      </w:r>
      <w:r w:rsidRPr="007E588B">
        <w:rPr>
          <w:rFonts w:ascii="Arial Narrow" w:eastAsia="Times New Roman" w:hAnsi="Arial Narrow" w:cs="Arial"/>
          <w:snapToGrid w:val="0"/>
          <w:sz w:val="18"/>
          <w:szCs w:val="20"/>
        </w:rPr>
        <w:t xml:space="preserve"> 500 to &lt; 5,000 </w:t>
      </w:r>
    </w:p>
    <w:p w14:paraId="18A6FB86" w14:textId="77777777" w:rsidR="001A069E" w:rsidRDefault="001A069E" w:rsidP="001A069E">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2</w:t>
      </w:r>
      <w:r w:rsidRPr="007E588B">
        <w:rPr>
          <w:rFonts w:ascii="Arial Narrow" w:eastAsia="Times New Roman" w:hAnsi="Arial Narrow" w:cs="Arial"/>
          <w:snapToGrid w:val="0"/>
          <w:sz w:val="18"/>
          <w:szCs w:val="20"/>
        </w:rPr>
        <w:t xml:space="preserve"> &lt;500</w:t>
      </w:r>
      <w:r>
        <w:rPr>
          <w:rFonts w:ascii="Arial Narrow" w:eastAsia="Times New Roman" w:hAnsi="Arial Narrow" w:cs="Arial"/>
          <w:snapToGrid w:val="0"/>
          <w:sz w:val="18"/>
          <w:szCs w:val="20"/>
        </w:rPr>
        <w:t xml:space="preserve"> </w:t>
      </w:r>
    </w:p>
    <w:p w14:paraId="590BFA73" w14:textId="77777777" w:rsidR="001A069E" w:rsidRDefault="001A069E" w:rsidP="001A069E">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3</w:t>
      </w:r>
      <w:r>
        <w:rPr>
          <w:rFonts w:ascii="Arial Narrow" w:eastAsia="Times New Roman" w:hAnsi="Arial Narrow" w:cs="Arial"/>
          <w:snapToGrid w:val="0"/>
          <w:sz w:val="18"/>
          <w:szCs w:val="20"/>
        </w:rPr>
        <w:t xml:space="preserve"> </w:t>
      </w:r>
      <w:r w:rsidRPr="00694C3B">
        <w:rPr>
          <w:rFonts w:ascii="Arial Narrow" w:eastAsia="Times New Roman" w:hAnsi="Arial Narrow" w:cs="Arial"/>
          <w:snapToGrid w:val="0"/>
          <w:sz w:val="18"/>
          <w:szCs w:val="20"/>
        </w:rPr>
        <w:t>$0 to &lt; $10 million</w:t>
      </w:r>
      <w:r>
        <w:rPr>
          <w:rFonts w:ascii="Arial Narrow" w:eastAsia="Times New Roman" w:hAnsi="Arial Narrow" w:cs="Arial"/>
          <w:snapToGrid w:val="0"/>
          <w:sz w:val="18"/>
          <w:szCs w:val="20"/>
        </w:rPr>
        <w:t xml:space="preserve"> </w:t>
      </w:r>
    </w:p>
    <w:p w14:paraId="17641236" w14:textId="37741479" w:rsidR="001A069E" w:rsidRPr="00F10893" w:rsidRDefault="008864A3" w:rsidP="001A069E">
      <w:pPr>
        <w:widowControl w:val="0"/>
        <w:spacing w:before="0" w:after="0"/>
        <w:contextualSpacing/>
        <w:rPr>
          <w:rFonts w:ascii="Arial Narrow" w:eastAsia="Times New Roman" w:hAnsi="Arial Narrow" w:cs="Arial"/>
          <w:i/>
          <w:snapToGrid w:val="0"/>
          <w:sz w:val="18"/>
          <w:szCs w:val="20"/>
        </w:rPr>
      </w:pPr>
      <w:r>
        <w:rPr>
          <w:rFonts w:ascii="Arial Narrow" w:eastAsia="Times New Roman" w:hAnsi="Arial Narrow" w:cs="Arial"/>
          <w:snapToGrid w:val="0"/>
          <w:sz w:val="18"/>
          <w:szCs w:val="20"/>
          <w:vertAlign w:val="superscript"/>
        </w:rPr>
        <w:t xml:space="preserve"> </w:t>
      </w:r>
      <w:r w:rsidR="0058637F">
        <w:rPr>
          <w:rFonts w:ascii="Arial Narrow" w:eastAsia="Times New Roman" w:hAnsi="Arial Narrow" w:cs="Arial"/>
          <w:snapToGrid w:val="0"/>
          <w:sz w:val="18"/>
          <w:szCs w:val="20"/>
          <w:vertAlign w:val="superscript"/>
        </w:rPr>
        <w:t xml:space="preserve">4 </w:t>
      </w:r>
      <w:r w:rsidR="001A069E" w:rsidRPr="001D0D38">
        <w:rPr>
          <w:rFonts w:ascii="Arial Narrow" w:eastAsia="Times New Roman" w:hAnsi="Arial Narrow" w:cs="Arial"/>
          <w:snapToGrid w:val="0"/>
          <w:sz w:val="18"/>
          <w:szCs w:val="20"/>
        </w:rPr>
        <w:t>net cost saving</w:t>
      </w:r>
    </w:p>
    <w:p w14:paraId="691CC743" w14:textId="329F1327" w:rsidR="00FA15DB" w:rsidRPr="00AF2825" w:rsidRDefault="00606F1F" w:rsidP="00F02286">
      <w:pPr>
        <w:pStyle w:val="TableFooter"/>
        <w:spacing w:before="240"/>
        <w:rPr>
          <w:rFonts w:ascii="Franklin Gothic Book" w:hAnsi="Franklin Gothic Book" w:cstheme="minorHAnsi"/>
          <w:sz w:val="22"/>
          <w:szCs w:val="22"/>
        </w:rPr>
      </w:pPr>
      <w:r w:rsidRPr="00AF2825">
        <w:rPr>
          <w:rFonts w:ascii="Franklin Gothic Book" w:hAnsi="Franklin Gothic Book" w:cstheme="minorHAnsi"/>
          <w:sz w:val="22"/>
          <w:szCs w:val="22"/>
        </w:rPr>
        <w:t xml:space="preserve">If FRα expression testing is undertaken at primary diagnosis, it was estimated to cost the MBS </w:t>
      </w:r>
      <w:r w:rsidR="00560181">
        <w:rPr>
          <w:rFonts w:ascii="Franklin Gothic Book" w:hAnsi="Franklin Gothic Book" w:cstheme="minorHAnsi"/>
          <w:sz w:val="22"/>
          <w:szCs w:val="22"/>
        </w:rPr>
        <w:br/>
      </w:r>
      <w:r w:rsidRPr="00C75C21">
        <w:rPr>
          <w:rFonts w:ascii="Franklin Gothic Book" w:hAnsi="Franklin Gothic Book" w:cstheme="minorHAnsi"/>
          <w:b/>
          <w:bCs/>
          <w:sz w:val="22"/>
          <w:szCs w:val="22"/>
        </w:rPr>
        <w:t>$</w:t>
      </w:r>
      <w:r w:rsidR="0058637F" w:rsidRPr="00C75C21">
        <w:rPr>
          <w:rFonts w:ascii="Franklin Gothic Book" w:hAnsi="Franklin Gothic Book" w:cstheme="minorHAnsi"/>
          <w:b/>
          <w:bCs/>
          <w:sz w:val="22"/>
          <w:szCs w:val="22"/>
        </w:rPr>
        <w:t>0 to &lt; $10 million</w:t>
      </w:r>
      <w:r w:rsidRPr="00AF2825">
        <w:rPr>
          <w:rFonts w:ascii="Franklin Gothic Book" w:hAnsi="Franklin Gothic Book" w:cstheme="minorHAnsi"/>
          <w:sz w:val="22"/>
          <w:szCs w:val="22"/>
        </w:rPr>
        <w:t xml:space="preserve"> over 6 years</w:t>
      </w:r>
      <w:r w:rsidR="00FA15DB" w:rsidRPr="00AF2825">
        <w:rPr>
          <w:rFonts w:ascii="Franklin Gothic Book" w:hAnsi="Franklin Gothic Book" w:cstheme="minorHAnsi"/>
          <w:sz w:val="22"/>
          <w:szCs w:val="22"/>
        </w:rPr>
        <w:t xml:space="preserve"> </w:t>
      </w:r>
      <w:r w:rsidR="00FA15DB" w:rsidRPr="00C75C21">
        <w:rPr>
          <w:rFonts w:ascii="Franklin Gothic Book" w:hAnsi="Franklin Gothic Book" w:cstheme="minorHAnsi"/>
          <w:b/>
          <w:bCs/>
          <w:sz w:val="22"/>
          <w:szCs w:val="22"/>
        </w:rPr>
        <w:t>(</w:t>
      </w:r>
      <w:r w:rsidR="0058637F" w:rsidRPr="00C75C21">
        <w:rPr>
          <w:rFonts w:ascii="Franklin Gothic Book" w:hAnsi="Franklin Gothic Book" w:cstheme="minorHAnsi"/>
          <w:b/>
          <w:bCs/>
          <w:sz w:val="22"/>
          <w:szCs w:val="22"/>
        </w:rPr>
        <w:t>$0 to &lt; $10 million</w:t>
      </w:r>
      <w:r w:rsidR="0058637F">
        <w:rPr>
          <w:rFonts w:ascii="Franklin Gothic Book" w:hAnsi="Franklin Gothic Book" w:cstheme="minorHAnsi"/>
          <w:sz w:val="22"/>
          <w:szCs w:val="22"/>
        </w:rPr>
        <w:t xml:space="preserve"> </w:t>
      </w:r>
      <w:r w:rsidR="00FA15DB" w:rsidRPr="00AF2825">
        <w:rPr>
          <w:rFonts w:ascii="Franklin Gothic Book" w:hAnsi="Franklin Gothic Book" w:cstheme="minorHAnsi"/>
          <w:sz w:val="22"/>
          <w:szCs w:val="22"/>
        </w:rPr>
        <w:t>when using 85% copayment),</w:t>
      </w:r>
      <w:r w:rsidRPr="00AF2825">
        <w:rPr>
          <w:rFonts w:ascii="Franklin Gothic Book" w:hAnsi="Franklin Gothic Book" w:cstheme="minorHAnsi"/>
          <w:sz w:val="22"/>
          <w:szCs w:val="22"/>
        </w:rPr>
        <w:t xml:space="preserve"> compared to a cost of </w:t>
      </w:r>
      <w:r w:rsidR="0058637F" w:rsidRPr="00C75C21">
        <w:rPr>
          <w:rFonts w:ascii="Franklin Gothic Book" w:hAnsi="Franklin Gothic Book" w:cstheme="minorHAnsi"/>
          <w:b/>
          <w:bCs/>
          <w:sz w:val="22"/>
          <w:szCs w:val="22"/>
        </w:rPr>
        <w:t>$0 to &lt; $10 million</w:t>
      </w:r>
      <w:r w:rsidR="0058637F" w:rsidRPr="00AF2825" w:rsidDel="0058637F">
        <w:rPr>
          <w:rFonts w:ascii="Franklin Gothic Book" w:hAnsi="Franklin Gothic Book" w:cstheme="minorHAnsi"/>
          <w:sz w:val="22"/>
          <w:szCs w:val="22"/>
        </w:rPr>
        <w:t xml:space="preserve"> </w:t>
      </w:r>
      <w:r w:rsidRPr="00AF2825">
        <w:rPr>
          <w:rFonts w:ascii="Franklin Gothic Book" w:hAnsi="Franklin Gothic Book" w:cstheme="minorHAnsi"/>
          <w:sz w:val="22"/>
          <w:szCs w:val="22"/>
        </w:rPr>
        <w:t xml:space="preserve">over 6 years </w:t>
      </w:r>
      <w:r w:rsidR="0058637F" w:rsidRPr="00C75C21">
        <w:rPr>
          <w:rFonts w:ascii="Franklin Gothic Book" w:hAnsi="Franklin Gothic Book" w:cstheme="minorHAnsi"/>
          <w:b/>
          <w:bCs/>
          <w:sz w:val="22"/>
          <w:szCs w:val="22"/>
        </w:rPr>
        <w:t>($0 to &lt; $10 million</w:t>
      </w:r>
      <w:r w:rsidR="0058637F" w:rsidRPr="00AF2825" w:rsidDel="0058637F">
        <w:rPr>
          <w:rFonts w:ascii="Franklin Gothic Book" w:hAnsi="Franklin Gothic Book" w:cstheme="minorHAnsi"/>
          <w:sz w:val="22"/>
          <w:szCs w:val="22"/>
        </w:rPr>
        <w:t xml:space="preserve"> </w:t>
      </w:r>
      <w:r w:rsidR="00FA15DB" w:rsidRPr="00AF2825">
        <w:rPr>
          <w:rFonts w:ascii="Franklin Gothic Book" w:hAnsi="Franklin Gothic Book" w:cstheme="minorHAnsi"/>
          <w:sz w:val="22"/>
          <w:szCs w:val="22"/>
        </w:rPr>
        <w:t xml:space="preserve">with 85% copayment) </w:t>
      </w:r>
      <w:r w:rsidRPr="00AF2825">
        <w:rPr>
          <w:rFonts w:ascii="Franklin Gothic Book" w:hAnsi="Franklin Gothic Book" w:cstheme="minorHAnsi"/>
          <w:sz w:val="22"/>
          <w:szCs w:val="22"/>
        </w:rPr>
        <w:t xml:space="preserve">if testing is undertaken at platinum resistance (a difference of </w:t>
      </w:r>
      <w:r w:rsidR="0058637F" w:rsidRPr="00C75C21">
        <w:rPr>
          <w:rFonts w:ascii="Franklin Gothic Book" w:hAnsi="Franklin Gothic Book" w:cstheme="minorHAnsi"/>
          <w:b/>
          <w:bCs/>
          <w:sz w:val="22"/>
          <w:szCs w:val="22"/>
        </w:rPr>
        <w:t>$0 to &lt; $10 million</w:t>
      </w:r>
      <w:r w:rsidR="0058637F" w:rsidRPr="00AF2825" w:rsidDel="0058637F">
        <w:rPr>
          <w:rFonts w:ascii="Franklin Gothic Book" w:hAnsi="Franklin Gothic Book" w:cstheme="minorHAnsi"/>
          <w:sz w:val="22"/>
          <w:szCs w:val="22"/>
        </w:rPr>
        <w:t xml:space="preserve"> </w:t>
      </w:r>
      <w:r w:rsidR="00FA15DB" w:rsidRPr="00AF2825">
        <w:rPr>
          <w:rFonts w:ascii="Franklin Gothic Book" w:hAnsi="Franklin Gothic Book" w:cstheme="minorHAnsi"/>
          <w:sz w:val="22"/>
          <w:szCs w:val="22"/>
        </w:rPr>
        <w:t xml:space="preserve">[or </w:t>
      </w:r>
      <w:r w:rsidR="0058637F" w:rsidRPr="00C75C21">
        <w:rPr>
          <w:rFonts w:ascii="Franklin Gothic Book" w:hAnsi="Franklin Gothic Book" w:cstheme="minorHAnsi"/>
          <w:b/>
          <w:bCs/>
          <w:sz w:val="22"/>
          <w:szCs w:val="22"/>
        </w:rPr>
        <w:t>$0 to &lt; $10 million</w:t>
      </w:r>
      <w:r w:rsidR="0058637F">
        <w:rPr>
          <w:rFonts w:ascii="Franklin Gothic Book" w:hAnsi="Franklin Gothic Book" w:cstheme="minorHAnsi"/>
          <w:sz w:val="22"/>
          <w:szCs w:val="22"/>
        </w:rPr>
        <w:t xml:space="preserve"> </w:t>
      </w:r>
      <w:r w:rsidR="00FA15DB" w:rsidRPr="00AF2825">
        <w:rPr>
          <w:rFonts w:ascii="Franklin Gothic Book" w:hAnsi="Franklin Gothic Book" w:cstheme="minorHAnsi"/>
          <w:sz w:val="22"/>
          <w:szCs w:val="22"/>
        </w:rPr>
        <w:t xml:space="preserve">with </w:t>
      </w:r>
      <w:r w:rsidR="00FA15DB" w:rsidRPr="00AF2825">
        <w:rPr>
          <w:rFonts w:ascii="Franklin Gothic Book" w:hAnsi="Franklin Gothic Book" w:cstheme="minorHAnsi"/>
          <w:sz w:val="22"/>
          <w:szCs w:val="22"/>
        </w:rPr>
        <w:lastRenderedPageBreak/>
        <w:t>85% copayment]).</w:t>
      </w:r>
    </w:p>
    <w:p w14:paraId="1D2680C7" w14:textId="32CB85F4" w:rsidR="00B735E7" w:rsidRPr="00AF2825" w:rsidRDefault="00B735E7" w:rsidP="00F02286">
      <w:pPr>
        <w:spacing w:after="120" w:line="276" w:lineRule="auto"/>
        <w:rPr>
          <w:rFonts w:ascii="Franklin Gothic Book" w:hAnsi="Franklin Gothic Book"/>
          <w:sz w:val="22"/>
          <w:szCs w:val="20"/>
        </w:rPr>
      </w:pPr>
      <w:r w:rsidRPr="00AF2825">
        <w:rPr>
          <w:rFonts w:ascii="Franklin Gothic Book" w:hAnsi="Franklin Gothic Book"/>
          <w:sz w:val="22"/>
          <w:szCs w:val="20"/>
        </w:rPr>
        <w:t xml:space="preserve">The net financial implications for the health budget over 6 years is presented </w:t>
      </w:r>
      <w:r w:rsidRPr="009C77DB">
        <w:rPr>
          <w:rFonts w:ascii="Franklin Gothic Book" w:eastAsia="Times New Roman" w:hAnsi="Franklin Gothic Book"/>
        </w:rPr>
        <w:t xml:space="preserve">in </w:t>
      </w:r>
      <w:r w:rsidR="00650F8D" w:rsidRPr="009C77DB">
        <w:rPr>
          <w:rFonts w:ascii="Franklin Gothic Book" w:eastAsia="Times New Roman" w:hAnsi="Franklin Gothic Book"/>
        </w:rPr>
        <w:t xml:space="preserve">the </w:t>
      </w:r>
      <w:r w:rsidR="00225391" w:rsidRPr="00AF2825">
        <w:rPr>
          <w:rFonts w:ascii="Franklin Gothic Book" w:eastAsia="Times New Roman" w:hAnsi="Franklin Gothic Book"/>
        </w:rPr>
        <w:fldChar w:fldCharType="begin"/>
      </w:r>
      <w:r w:rsidR="00225391" w:rsidRPr="009C77DB">
        <w:rPr>
          <w:rFonts w:ascii="Franklin Gothic Book" w:eastAsia="Times New Roman" w:hAnsi="Franklin Gothic Book"/>
        </w:rPr>
        <w:instrText xml:space="preserve"> REF _Ref198715637 \h </w:instrText>
      </w:r>
      <w:r w:rsidR="00AF2825" w:rsidRPr="009C77DB">
        <w:rPr>
          <w:rFonts w:ascii="Franklin Gothic Book" w:eastAsia="Times New Roman" w:hAnsi="Franklin Gothic Book"/>
        </w:rPr>
        <w:instrText xml:space="preserve"> \* MERGEFORMAT </w:instrText>
      </w:r>
      <w:r w:rsidR="00225391" w:rsidRPr="00AF2825">
        <w:rPr>
          <w:rFonts w:ascii="Franklin Gothic Book" w:eastAsia="Times New Roman" w:hAnsi="Franklin Gothic Book"/>
        </w:rPr>
      </w:r>
      <w:r w:rsidR="00225391" w:rsidRPr="00AF2825">
        <w:rPr>
          <w:rFonts w:ascii="Franklin Gothic Book" w:eastAsia="Times New Roman" w:hAnsi="Franklin Gothic Book"/>
        </w:rPr>
        <w:fldChar w:fldCharType="separate"/>
      </w:r>
      <w:r w:rsidR="00862476" w:rsidRPr="009C77DB">
        <w:rPr>
          <w:rFonts w:ascii="Franklin Gothic Book" w:eastAsia="Times New Roman" w:hAnsi="Franklin Gothic Book"/>
        </w:rPr>
        <w:t>Table</w:t>
      </w:r>
      <w:r w:rsidR="00862476" w:rsidRPr="00862476">
        <w:rPr>
          <w:rFonts w:ascii="Franklin Gothic Book" w:hAnsi="Franklin Gothic Book"/>
          <w:sz w:val="22"/>
          <w:szCs w:val="20"/>
        </w:rPr>
        <w:t xml:space="preserve"> </w:t>
      </w:r>
      <w:r w:rsidR="00862476" w:rsidRPr="009C77DB">
        <w:rPr>
          <w:rFonts w:ascii="Franklin Gothic Book" w:eastAsia="Times New Roman" w:hAnsi="Franklin Gothic Book" w:cstheme="minorHAnsi"/>
          <w:snapToGrid w:val="0"/>
          <w:sz w:val="22"/>
        </w:rPr>
        <w:t>26</w:t>
      </w:r>
      <w:r w:rsidR="00225391" w:rsidRPr="00AF2825">
        <w:rPr>
          <w:rFonts w:ascii="Franklin Gothic Book" w:hAnsi="Franklin Gothic Book"/>
          <w:sz w:val="22"/>
          <w:szCs w:val="20"/>
        </w:rPr>
        <w:fldChar w:fldCharType="end"/>
      </w:r>
      <w:r w:rsidRPr="00AF2825">
        <w:rPr>
          <w:rFonts w:ascii="Franklin Gothic Book" w:hAnsi="Franklin Gothic Book"/>
          <w:sz w:val="22"/>
          <w:szCs w:val="20"/>
        </w:rPr>
        <w:t>.</w:t>
      </w:r>
    </w:p>
    <w:p w14:paraId="5571208A" w14:textId="7D6C5733" w:rsidR="00460335" w:rsidRDefault="005E37CF" w:rsidP="00AE121F">
      <w:pPr>
        <w:pStyle w:val="TableFigureHeading"/>
        <w:keepLines/>
      </w:pPr>
      <w:bookmarkStart w:id="55" w:name="_Ref198715637"/>
      <w:r>
        <w:t>Table</w:t>
      </w:r>
      <w:r w:rsidR="00460335">
        <w:t xml:space="preserve"> </w:t>
      </w:r>
      <w:r>
        <w:fldChar w:fldCharType="begin"/>
      </w:r>
      <w:r>
        <w:instrText xml:space="preserve"> SEQ Table \* ARABIC </w:instrText>
      </w:r>
      <w:r>
        <w:fldChar w:fldCharType="separate"/>
      </w:r>
      <w:r>
        <w:rPr>
          <w:noProof/>
        </w:rPr>
        <w:t>26</w:t>
      </w:r>
      <w:r>
        <w:rPr>
          <w:noProof/>
        </w:rPr>
        <w:fldChar w:fldCharType="end"/>
      </w:r>
      <w:bookmarkEnd w:id="55"/>
      <w:r w:rsidR="00460335">
        <w:t xml:space="preserve">: </w:t>
      </w:r>
      <w:r w:rsidR="00460335" w:rsidRPr="00B704E6">
        <w:t>Net financial implications for the health budget (effective price)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123"/>
        <w:gridCol w:w="1124"/>
        <w:gridCol w:w="1123"/>
        <w:gridCol w:w="1124"/>
        <w:gridCol w:w="1123"/>
        <w:gridCol w:w="1124"/>
      </w:tblGrid>
      <w:tr w:rsidR="0024380E" w:rsidRPr="00F10893" w14:paraId="27B56595" w14:textId="77777777" w:rsidTr="0010408C">
        <w:trPr>
          <w:cnfStyle w:val="100000000000" w:firstRow="1" w:lastRow="0" w:firstColumn="0" w:lastColumn="0" w:oddVBand="0" w:evenVBand="0" w:oddHBand="0" w:evenHBand="0" w:firstRowFirstColumn="0" w:firstRowLastColumn="0" w:lastRowFirstColumn="0" w:lastRowLastColumn="0"/>
        </w:trPr>
        <w:tc>
          <w:tcPr>
            <w:tcW w:w="2275" w:type="dxa"/>
          </w:tcPr>
          <w:p w14:paraId="1E08CF35" w14:textId="77777777" w:rsidR="00B735E7" w:rsidRPr="00F10893" w:rsidRDefault="00B735E7" w:rsidP="00AE121F">
            <w:pPr>
              <w:pStyle w:val="TableText"/>
              <w:keepNext/>
              <w:keepLines/>
              <w:rPr>
                <w:b w:val="0"/>
                <w:lang w:val="en-AU"/>
              </w:rPr>
            </w:pPr>
          </w:p>
        </w:tc>
        <w:tc>
          <w:tcPr>
            <w:tcW w:w="1123" w:type="dxa"/>
            <w:tcMar>
              <w:left w:w="60" w:type="dxa"/>
              <w:right w:w="60" w:type="dxa"/>
            </w:tcMar>
            <w:vAlign w:val="center"/>
          </w:tcPr>
          <w:p w14:paraId="5301EF55" w14:textId="77777777" w:rsidR="00B735E7" w:rsidRPr="00F10893" w:rsidRDefault="00B735E7" w:rsidP="0010408C">
            <w:pPr>
              <w:pStyle w:val="TableText"/>
              <w:keepNext/>
              <w:keepLines/>
              <w:jc w:val="center"/>
              <w:rPr>
                <w:szCs w:val="20"/>
                <w:lang w:val="en-AU"/>
              </w:rPr>
            </w:pPr>
            <w:r w:rsidRPr="00F10893">
              <w:rPr>
                <w:szCs w:val="20"/>
                <w:lang w:val="en-AU"/>
              </w:rPr>
              <w:t>Year 1</w:t>
            </w:r>
          </w:p>
          <w:p w14:paraId="0C4769DF" w14:textId="77777777" w:rsidR="00B735E7" w:rsidRPr="00F10893" w:rsidRDefault="00B735E7" w:rsidP="0010408C">
            <w:pPr>
              <w:pStyle w:val="TableText"/>
              <w:keepNext/>
              <w:keepLines/>
              <w:jc w:val="center"/>
              <w:rPr>
                <w:b w:val="0"/>
                <w:lang w:val="en-AU"/>
              </w:rPr>
            </w:pPr>
            <w:r w:rsidRPr="00F10893">
              <w:rPr>
                <w:szCs w:val="20"/>
                <w:lang w:val="en-AU"/>
              </w:rPr>
              <w:t>2025</w:t>
            </w:r>
          </w:p>
        </w:tc>
        <w:tc>
          <w:tcPr>
            <w:tcW w:w="1124" w:type="dxa"/>
            <w:tcMar>
              <w:left w:w="60" w:type="dxa"/>
              <w:right w:w="60" w:type="dxa"/>
            </w:tcMar>
            <w:vAlign w:val="center"/>
          </w:tcPr>
          <w:p w14:paraId="2AB54942" w14:textId="77777777" w:rsidR="00B735E7" w:rsidRPr="00F10893" w:rsidRDefault="00B735E7" w:rsidP="0010408C">
            <w:pPr>
              <w:pStyle w:val="TableText"/>
              <w:keepNext/>
              <w:keepLines/>
              <w:jc w:val="center"/>
              <w:rPr>
                <w:szCs w:val="20"/>
                <w:lang w:val="en-AU"/>
              </w:rPr>
            </w:pPr>
            <w:r w:rsidRPr="00F10893">
              <w:rPr>
                <w:szCs w:val="20"/>
                <w:lang w:val="en-AU"/>
              </w:rPr>
              <w:t>Year 2</w:t>
            </w:r>
          </w:p>
          <w:p w14:paraId="07C83A21" w14:textId="77777777" w:rsidR="00B735E7" w:rsidRPr="00F10893" w:rsidRDefault="00B735E7" w:rsidP="0010408C">
            <w:pPr>
              <w:pStyle w:val="TableText"/>
              <w:keepNext/>
              <w:keepLines/>
              <w:jc w:val="center"/>
              <w:rPr>
                <w:b w:val="0"/>
                <w:lang w:val="en-AU"/>
              </w:rPr>
            </w:pPr>
            <w:r w:rsidRPr="00F10893">
              <w:rPr>
                <w:szCs w:val="20"/>
                <w:lang w:val="en-AU"/>
              </w:rPr>
              <w:t>2026</w:t>
            </w:r>
          </w:p>
        </w:tc>
        <w:tc>
          <w:tcPr>
            <w:tcW w:w="1123" w:type="dxa"/>
            <w:tcMar>
              <w:left w:w="60" w:type="dxa"/>
              <w:right w:w="60" w:type="dxa"/>
            </w:tcMar>
            <w:vAlign w:val="center"/>
          </w:tcPr>
          <w:p w14:paraId="276AAC9A" w14:textId="77777777" w:rsidR="00B735E7" w:rsidRPr="00F10893" w:rsidRDefault="00B735E7" w:rsidP="0010408C">
            <w:pPr>
              <w:pStyle w:val="TableText"/>
              <w:keepNext/>
              <w:keepLines/>
              <w:jc w:val="center"/>
              <w:rPr>
                <w:b w:val="0"/>
                <w:szCs w:val="20"/>
                <w:lang w:val="en-AU"/>
              </w:rPr>
            </w:pPr>
            <w:r w:rsidRPr="00F10893">
              <w:rPr>
                <w:szCs w:val="20"/>
                <w:lang w:val="en-AU"/>
              </w:rPr>
              <w:t>Year 3</w:t>
            </w:r>
          </w:p>
          <w:p w14:paraId="426C54A8" w14:textId="77777777" w:rsidR="00B735E7" w:rsidRPr="00F10893" w:rsidRDefault="00B735E7" w:rsidP="0010408C">
            <w:pPr>
              <w:pStyle w:val="TableText"/>
              <w:keepNext/>
              <w:keepLines/>
              <w:jc w:val="center"/>
              <w:rPr>
                <w:b w:val="0"/>
                <w:lang w:val="en-AU"/>
              </w:rPr>
            </w:pPr>
            <w:r w:rsidRPr="00F10893">
              <w:rPr>
                <w:szCs w:val="20"/>
                <w:lang w:val="en-AU"/>
              </w:rPr>
              <w:t>2027</w:t>
            </w:r>
          </w:p>
        </w:tc>
        <w:tc>
          <w:tcPr>
            <w:tcW w:w="1124" w:type="dxa"/>
            <w:tcMar>
              <w:left w:w="60" w:type="dxa"/>
              <w:right w:w="60" w:type="dxa"/>
            </w:tcMar>
            <w:vAlign w:val="center"/>
          </w:tcPr>
          <w:p w14:paraId="50F87A29" w14:textId="77777777" w:rsidR="00B735E7" w:rsidRPr="00F10893" w:rsidRDefault="00B735E7" w:rsidP="0010408C">
            <w:pPr>
              <w:pStyle w:val="TableText"/>
              <w:keepNext/>
              <w:keepLines/>
              <w:jc w:val="center"/>
              <w:rPr>
                <w:b w:val="0"/>
                <w:szCs w:val="20"/>
                <w:lang w:val="en-AU"/>
              </w:rPr>
            </w:pPr>
            <w:r w:rsidRPr="00F10893">
              <w:rPr>
                <w:szCs w:val="20"/>
                <w:lang w:val="en-AU"/>
              </w:rPr>
              <w:t>Year 4</w:t>
            </w:r>
          </w:p>
          <w:p w14:paraId="67735B85" w14:textId="77777777" w:rsidR="00B735E7" w:rsidRPr="00F10893" w:rsidRDefault="00B735E7" w:rsidP="0010408C">
            <w:pPr>
              <w:pStyle w:val="TableText"/>
              <w:keepNext/>
              <w:keepLines/>
              <w:jc w:val="center"/>
              <w:rPr>
                <w:b w:val="0"/>
                <w:lang w:val="en-AU"/>
              </w:rPr>
            </w:pPr>
            <w:r w:rsidRPr="00F10893">
              <w:rPr>
                <w:szCs w:val="20"/>
                <w:lang w:val="en-AU"/>
              </w:rPr>
              <w:t>2028</w:t>
            </w:r>
          </w:p>
        </w:tc>
        <w:tc>
          <w:tcPr>
            <w:tcW w:w="1123" w:type="dxa"/>
            <w:tcMar>
              <w:left w:w="60" w:type="dxa"/>
              <w:right w:w="60" w:type="dxa"/>
            </w:tcMar>
            <w:vAlign w:val="center"/>
          </w:tcPr>
          <w:p w14:paraId="4F8AFB58" w14:textId="77777777" w:rsidR="00B735E7" w:rsidRPr="00F10893" w:rsidRDefault="00B735E7" w:rsidP="0010408C">
            <w:pPr>
              <w:pStyle w:val="TableText"/>
              <w:keepNext/>
              <w:keepLines/>
              <w:jc w:val="center"/>
              <w:rPr>
                <w:b w:val="0"/>
                <w:szCs w:val="20"/>
                <w:lang w:val="en-AU"/>
              </w:rPr>
            </w:pPr>
            <w:r w:rsidRPr="00F10893">
              <w:rPr>
                <w:szCs w:val="20"/>
                <w:lang w:val="en-AU"/>
              </w:rPr>
              <w:t>Year 5</w:t>
            </w:r>
          </w:p>
          <w:p w14:paraId="21D94CBE" w14:textId="77777777" w:rsidR="00B735E7" w:rsidRPr="00F10893" w:rsidRDefault="00B735E7" w:rsidP="0010408C">
            <w:pPr>
              <w:pStyle w:val="TableText"/>
              <w:keepNext/>
              <w:keepLines/>
              <w:jc w:val="center"/>
              <w:rPr>
                <w:b w:val="0"/>
                <w:lang w:val="en-AU"/>
              </w:rPr>
            </w:pPr>
            <w:r w:rsidRPr="00F10893">
              <w:rPr>
                <w:szCs w:val="20"/>
                <w:lang w:val="en-AU"/>
              </w:rPr>
              <w:t>2029</w:t>
            </w:r>
          </w:p>
        </w:tc>
        <w:tc>
          <w:tcPr>
            <w:tcW w:w="1124" w:type="dxa"/>
            <w:tcMar>
              <w:left w:w="60" w:type="dxa"/>
              <w:right w:w="60" w:type="dxa"/>
            </w:tcMar>
            <w:vAlign w:val="center"/>
          </w:tcPr>
          <w:p w14:paraId="2861CC79" w14:textId="77777777" w:rsidR="00B735E7" w:rsidRPr="00F10893" w:rsidRDefault="00B735E7" w:rsidP="0010408C">
            <w:pPr>
              <w:pStyle w:val="TableText"/>
              <w:keepNext/>
              <w:keepLines/>
              <w:jc w:val="center"/>
              <w:rPr>
                <w:b w:val="0"/>
                <w:szCs w:val="20"/>
                <w:lang w:val="en-AU"/>
              </w:rPr>
            </w:pPr>
            <w:r w:rsidRPr="00F10893">
              <w:rPr>
                <w:szCs w:val="20"/>
                <w:lang w:val="en-AU"/>
              </w:rPr>
              <w:t>Year 6</w:t>
            </w:r>
          </w:p>
          <w:p w14:paraId="4AEE0151" w14:textId="77777777" w:rsidR="00B735E7" w:rsidRPr="00F10893" w:rsidRDefault="00B735E7" w:rsidP="0010408C">
            <w:pPr>
              <w:pStyle w:val="TableText"/>
              <w:keepNext/>
              <w:keepLines/>
              <w:jc w:val="center"/>
              <w:rPr>
                <w:b w:val="0"/>
                <w:lang w:val="en-AU"/>
              </w:rPr>
            </w:pPr>
            <w:r w:rsidRPr="00F10893">
              <w:rPr>
                <w:szCs w:val="20"/>
                <w:lang w:val="en-AU"/>
              </w:rPr>
              <w:t>2030</w:t>
            </w:r>
          </w:p>
        </w:tc>
      </w:tr>
      <w:tr w:rsidR="001B03DC" w:rsidRPr="00F10893" w14:paraId="67B174A9" w14:textId="77777777" w:rsidTr="00825A90">
        <w:tc>
          <w:tcPr>
            <w:tcW w:w="0" w:type="dxa"/>
          </w:tcPr>
          <w:p w14:paraId="7506C0D8" w14:textId="77777777" w:rsidR="001B03DC" w:rsidRPr="00F10893" w:rsidRDefault="001B03DC" w:rsidP="001B03DC">
            <w:pPr>
              <w:pStyle w:val="TableText"/>
              <w:keepNext/>
              <w:keepLines/>
              <w:rPr>
                <w:lang w:val="en-AU"/>
              </w:rPr>
            </w:pPr>
            <w:r w:rsidRPr="00F10893">
              <w:rPr>
                <w:lang w:val="en-AU"/>
              </w:rPr>
              <w:t>Net cost to PBS/RPBS</w:t>
            </w:r>
          </w:p>
        </w:tc>
        <w:tc>
          <w:tcPr>
            <w:tcW w:w="0" w:type="dxa"/>
            <w:tcMar>
              <w:left w:w="60" w:type="dxa"/>
              <w:right w:w="60" w:type="dxa"/>
            </w:tcMar>
            <w:vAlign w:val="center"/>
          </w:tcPr>
          <w:p w14:paraId="1F2115C2" w14:textId="588A1A41" w:rsidR="001B03DC" w:rsidRPr="009C3812" w:rsidRDefault="001B03DC" w:rsidP="001B03DC">
            <w:pPr>
              <w:pStyle w:val="TableText"/>
              <w:keepNext/>
              <w:keepLines/>
              <w:jc w:val="center"/>
              <w:rPr>
                <w:highlight w:val="yellow"/>
                <w:lang w:val="en-AU"/>
              </w:rPr>
            </w:pPr>
            <w:r w:rsidRPr="001B03DC">
              <w:rPr>
                <w:iCs/>
                <w:sz w:val="19"/>
                <w:szCs w:val="19"/>
              </w:rPr>
              <w:t>redacted</w:t>
            </w:r>
            <w:r w:rsidRPr="001B03DC">
              <w:rPr>
                <w:vertAlign w:val="superscript"/>
                <w:lang w:val="en-AU"/>
              </w:rPr>
              <w:t>2</w:t>
            </w:r>
          </w:p>
        </w:tc>
        <w:tc>
          <w:tcPr>
            <w:tcW w:w="0" w:type="dxa"/>
            <w:tcMar>
              <w:left w:w="60" w:type="dxa"/>
              <w:right w:w="60" w:type="dxa"/>
            </w:tcMar>
          </w:tcPr>
          <w:p w14:paraId="534C6D8C" w14:textId="451E0B7A" w:rsidR="001B03DC" w:rsidRPr="009C3812" w:rsidRDefault="001B03DC" w:rsidP="001B03DC">
            <w:pPr>
              <w:pStyle w:val="TableText"/>
              <w:keepNext/>
              <w:keepLines/>
              <w:jc w:val="center"/>
              <w:rPr>
                <w:highlight w:val="yellow"/>
                <w:lang w:val="en-AU"/>
              </w:rPr>
            </w:pPr>
            <w:r w:rsidRPr="00993E2B">
              <w:rPr>
                <w:iCs/>
                <w:sz w:val="19"/>
                <w:szCs w:val="19"/>
              </w:rPr>
              <w:t>redacted</w:t>
            </w:r>
            <w:r w:rsidRPr="00993E2B">
              <w:rPr>
                <w:vertAlign w:val="superscript"/>
                <w:lang w:val="en-AU"/>
              </w:rPr>
              <w:t>2</w:t>
            </w:r>
          </w:p>
        </w:tc>
        <w:tc>
          <w:tcPr>
            <w:tcW w:w="0" w:type="dxa"/>
            <w:tcMar>
              <w:left w:w="60" w:type="dxa"/>
              <w:right w:w="60" w:type="dxa"/>
            </w:tcMar>
          </w:tcPr>
          <w:p w14:paraId="361364EF" w14:textId="2CAB1552" w:rsidR="001B03DC" w:rsidRPr="009C3812" w:rsidRDefault="001B03DC" w:rsidP="001B03DC">
            <w:pPr>
              <w:pStyle w:val="TableText"/>
              <w:keepNext/>
              <w:keepLines/>
              <w:jc w:val="center"/>
              <w:rPr>
                <w:highlight w:val="yellow"/>
                <w:lang w:val="en-AU"/>
              </w:rPr>
            </w:pPr>
            <w:r w:rsidRPr="00993E2B">
              <w:rPr>
                <w:iCs/>
                <w:sz w:val="19"/>
                <w:szCs w:val="19"/>
              </w:rPr>
              <w:t>redacted</w:t>
            </w:r>
            <w:r w:rsidRPr="00993E2B">
              <w:rPr>
                <w:vertAlign w:val="superscript"/>
                <w:lang w:val="en-AU"/>
              </w:rPr>
              <w:t>2</w:t>
            </w:r>
          </w:p>
        </w:tc>
        <w:tc>
          <w:tcPr>
            <w:tcW w:w="0" w:type="dxa"/>
            <w:tcMar>
              <w:left w:w="60" w:type="dxa"/>
              <w:right w:w="60" w:type="dxa"/>
            </w:tcMar>
          </w:tcPr>
          <w:p w14:paraId="2113ECD5" w14:textId="3A5DC800" w:rsidR="001B03DC" w:rsidRPr="009C3812" w:rsidRDefault="001B03DC" w:rsidP="001B03DC">
            <w:pPr>
              <w:pStyle w:val="TableText"/>
              <w:keepNext/>
              <w:keepLines/>
              <w:jc w:val="center"/>
              <w:rPr>
                <w:highlight w:val="yellow"/>
                <w:lang w:val="en-AU"/>
              </w:rPr>
            </w:pPr>
            <w:r w:rsidRPr="00993E2B">
              <w:rPr>
                <w:iCs/>
                <w:sz w:val="19"/>
                <w:szCs w:val="19"/>
              </w:rPr>
              <w:t>redacted</w:t>
            </w:r>
            <w:r w:rsidRPr="00993E2B">
              <w:rPr>
                <w:vertAlign w:val="superscript"/>
                <w:lang w:val="en-AU"/>
              </w:rPr>
              <w:t>2</w:t>
            </w:r>
          </w:p>
        </w:tc>
        <w:tc>
          <w:tcPr>
            <w:tcW w:w="0" w:type="dxa"/>
            <w:tcMar>
              <w:left w:w="60" w:type="dxa"/>
              <w:right w:w="60" w:type="dxa"/>
            </w:tcMar>
          </w:tcPr>
          <w:p w14:paraId="14717036" w14:textId="3ACE8057" w:rsidR="001B03DC" w:rsidRPr="009C3812" w:rsidRDefault="001B03DC" w:rsidP="001B03DC">
            <w:pPr>
              <w:pStyle w:val="TableText"/>
              <w:keepNext/>
              <w:keepLines/>
              <w:jc w:val="center"/>
              <w:rPr>
                <w:highlight w:val="yellow"/>
                <w:lang w:val="en-AU"/>
              </w:rPr>
            </w:pPr>
            <w:r w:rsidRPr="00993E2B">
              <w:rPr>
                <w:iCs/>
                <w:sz w:val="19"/>
                <w:szCs w:val="19"/>
              </w:rPr>
              <w:t>redacted</w:t>
            </w:r>
            <w:r w:rsidRPr="00993E2B">
              <w:rPr>
                <w:vertAlign w:val="superscript"/>
                <w:lang w:val="en-AU"/>
              </w:rPr>
              <w:t>2</w:t>
            </w:r>
          </w:p>
        </w:tc>
        <w:tc>
          <w:tcPr>
            <w:tcW w:w="0" w:type="dxa"/>
            <w:tcMar>
              <w:left w:w="60" w:type="dxa"/>
              <w:right w:w="60" w:type="dxa"/>
            </w:tcMar>
          </w:tcPr>
          <w:p w14:paraId="5EEA905F" w14:textId="1F1E695E" w:rsidR="001B03DC" w:rsidRPr="009C3812" w:rsidRDefault="001B03DC" w:rsidP="001B03DC">
            <w:pPr>
              <w:pStyle w:val="TableText"/>
              <w:keepNext/>
              <w:keepLines/>
              <w:jc w:val="center"/>
              <w:rPr>
                <w:highlight w:val="yellow"/>
                <w:lang w:val="en-AU"/>
              </w:rPr>
            </w:pPr>
            <w:r w:rsidRPr="00993E2B">
              <w:rPr>
                <w:iCs/>
                <w:sz w:val="19"/>
                <w:szCs w:val="19"/>
              </w:rPr>
              <w:t>redacted</w:t>
            </w:r>
            <w:r w:rsidRPr="00993E2B">
              <w:rPr>
                <w:vertAlign w:val="superscript"/>
                <w:lang w:val="en-AU"/>
              </w:rPr>
              <w:t>2</w:t>
            </w:r>
          </w:p>
        </w:tc>
      </w:tr>
      <w:tr w:rsidR="00B735E7" w:rsidRPr="00F10893" w14:paraId="059C9F1E" w14:textId="77777777">
        <w:tc>
          <w:tcPr>
            <w:tcW w:w="2275" w:type="dxa"/>
          </w:tcPr>
          <w:p w14:paraId="1DD563AB" w14:textId="77777777" w:rsidR="00B735E7" w:rsidRPr="00F10893" w:rsidRDefault="00B735E7" w:rsidP="00AE121F">
            <w:pPr>
              <w:pStyle w:val="TableText"/>
              <w:keepNext/>
              <w:keepLines/>
              <w:rPr>
                <w:lang w:val="en-AU"/>
              </w:rPr>
            </w:pPr>
            <w:r w:rsidRPr="00F10893">
              <w:rPr>
                <w:lang w:val="en-AU"/>
              </w:rPr>
              <w:t xml:space="preserve">Net cost to MBS - </w:t>
            </w:r>
            <w:r w:rsidRPr="00F10893">
              <w:rPr>
                <w:rFonts w:cs="Calibri"/>
                <w:szCs w:val="20"/>
                <w:lang w:val="en-AU"/>
              </w:rPr>
              <w:t>FRα expression testing at primary diagnosis</w:t>
            </w:r>
          </w:p>
        </w:tc>
        <w:tc>
          <w:tcPr>
            <w:tcW w:w="1123" w:type="dxa"/>
            <w:tcMar>
              <w:left w:w="60" w:type="dxa"/>
              <w:right w:w="60" w:type="dxa"/>
            </w:tcMar>
            <w:vAlign w:val="center"/>
          </w:tcPr>
          <w:p w14:paraId="1E5D5CA8" w14:textId="27E478BF" w:rsidR="00B735E7" w:rsidRPr="00D97679" w:rsidRDefault="00740EE6" w:rsidP="00AE121F">
            <w:pPr>
              <w:pStyle w:val="TableText"/>
              <w:keepNext/>
              <w:keepLines/>
              <w:jc w:val="center"/>
              <w:rPr>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1124" w:type="dxa"/>
            <w:tcMar>
              <w:left w:w="60" w:type="dxa"/>
              <w:right w:w="60" w:type="dxa"/>
            </w:tcMar>
            <w:vAlign w:val="center"/>
          </w:tcPr>
          <w:p w14:paraId="7EB86215" w14:textId="02F8FCD9" w:rsidR="00B735E7" w:rsidRPr="00D97679" w:rsidRDefault="00740EE6" w:rsidP="00AE121F">
            <w:pPr>
              <w:pStyle w:val="TableText"/>
              <w:keepNext/>
              <w:keepLines/>
              <w:jc w:val="center"/>
              <w:rPr>
                <w:highlight w:val="yellow"/>
                <w:lang w:val="en-AU"/>
              </w:rPr>
            </w:pPr>
            <w:r w:rsidRPr="00DB1914">
              <w:rPr>
                <w:iCs/>
                <w:sz w:val="19"/>
                <w:szCs w:val="19"/>
              </w:rPr>
              <w:t>redacted</w:t>
            </w:r>
            <w:r w:rsidRPr="00DB1914">
              <w:rPr>
                <w:rFonts w:eastAsia="Times New Roman" w:cs="Arial"/>
                <w:iCs/>
                <w:snapToGrid w:val="0"/>
                <w:sz w:val="19"/>
                <w:szCs w:val="19"/>
                <w:vertAlign w:val="superscript"/>
              </w:rPr>
              <w:t>1</w:t>
            </w:r>
          </w:p>
        </w:tc>
        <w:tc>
          <w:tcPr>
            <w:tcW w:w="1123" w:type="dxa"/>
            <w:tcMar>
              <w:left w:w="60" w:type="dxa"/>
              <w:right w:w="60" w:type="dxa"/>
            </w:tcMar>
            <w:vAlign w:val="center"/>
          </w:tcPr>
          <w:p w14:paraId="0297C3A8" w14:textId="2508D2EC" w:rsidR="00B735E7" w:rsidRPr="00D97679" w:rsidRDefault="00740EE6" w:rsidP="00AE121F">
            <w:pPr>
              <w:pStyle w:val="TableText"/>
              <w:keepNext/>
              <w:keepLines/>
              <w:jc w:val="center"/>
              <w:rPr>
                <w:highlight w:val="yellow"/>
                <w:lang w:val="en-AU"/>
              </w:rPr>
            </w:pPr>
            <w:r w:rsidRPr="00DB1914">
              <w:rPr>
                <w:iCs/>
                <w:sz w:val="19"/>
                <w:szCs w:val="19"/>
              </w:rPr>
              <w:t>redacted</w:t>
            </w:r>
            <w:r w:rsidRPr="00DB1914">
              <w:rPr>
                <w:rFonts w:eastAsia="Times New Roman" w:cs="Arial"/>
                <w:iCs/>
                <w:snapToGrid w:val="0"/>
                <w:sz w:val="19"/>
                <w:szCs w:val="19"/>
                <w:vertAlign w:val="superscript"/>
              </w:rPr>
              <w:t>1</w:t>
            </w:r>
          </w:p>
        </w:tc>
        <w:tc>
          <w:tcPr>
            <w:tcW w:w="1124" w:type="dxa"/>
            <w:tcMar>
              <w:left w:w="60" w:type="dxa"/>
              <w:right w:w="60" w:type="dxa"/>
            </w:tcMar>
            <w:vAlign w:val="center"/>
          </w:tcPr>
          <w:p w14:paraId="1339B99C" w14:textId="5E906327" w:rsidR="00B735E7" w:rsidRPr="00D97679" w:rsidRDefault="00740EE6" w:rsidP="00AE121F">
            <w:pPr>
              <w:pStyle w:val="TableText"/>
              <w:keepNext/>
              <w:keepLines/>
              <w:jc w:val="center"/>
              <w:rPr>
                <w:highlight w:val="yellow"/>
                <w:lang w:val="en-AU"/>
              </w:rPr>
            </w:pPr>
            <w:r w:rsidRPr="00DB1914">
              <w:rPr>
                <w:iCs/>
                <w:sz w:val="19"/>
                <w:szCs w:val="19"/>
              </w:rPr>
              <w:t>redacted</w:t>
            </w:r>
            <w:r w:rsidRPr="00DB1914">
              <w:rPr>
                <w:rFonts w:eastAsia="Times New Roman" w:cs="Arial"/>
                <w:iCs/>
                <w:snapToGrid w:val="0"/>
                <w:sz w:val="19"/>
                <w:szCs w:val="19"/>
                <w:vertAlign w:val="superscript"/>
              </w:rPr>
              <w:t>1</w:t>
            </w:r>
          </w:p>
        </w:tc>
        <w:tc>
          <w:tcPr>
            <w:tcW w:w="1123" w:type="dxa"/>
            <w:tcMar>
              <w:left w:w="60" w:type="dxa"/>
              <w:right w:w="60" w:type="dxa"/>
            </w:tcMar>
            <w:vAlign w:val="center"/>
          </w:tcPr>
          <w:p w14:paraId="28924448" w14:textId="6438C195" w:rsidR="00B735E7" w:rsidRPr="00D97679" w:rsidRDefault="00740EE6" w:rsidP="00AE121F">
            <w:pPr>
              <w:pStyle w:val="TableText"/>
              <w:keepNext/>
              <w:keepLines/>
              <w:jc w:val="center"/>
              <w:rPr>
                <w:highlight w:val="yellow"/>
                <w:lang w:val="en-AU"/>
              </w:rPr>
            </w:pPr>
            <w:r w:rsidRPr="00DB1914">
              <w:rPr>
                <w:iCs/>
                <w:sz w:val="19"/>
                <w:szCs w:val="19"/>
              </w:rPr>
              <w:t>redacted</w:t>
            </w:r>
            <w:r w:rsidRPr="00DB1914">
              <w:rPr>
                <w:rFonts w:eastAsia="Times New Roman" w:cs="Arial"/>
                <w:iCs/>
                <w:snapToGrid w:val="0"/>
                <w:sz w:val="19"/>
                <w:szCs w:val="19"/>
                <w:vertAlign w:val="superscript"/>
              </w:rPr>
              <w:t>1</w:t>
            </w:r>
          </w:p>
        </w:tc>
        <w:tc>
          <w:tcPr>
            <w:tcW w:w="1124" w:type="dxa"/>
            <w:tcMar>
              <w:left w:w="60" w:type="dxa"/>
              <w:right w:w="60" w:type="dxa"/>
            </w:tcMar>
            <w:vAlign w:val="center"/>
          </w:tcPr>
          <w:p w14:paraId="0E5247E4" w14:textId="706758FA" w:rsidR="00B735E7" w:rsidRPr="00D97679" w:rsidRDefault="00740EE6" w:rsidP="00AE121F">
            <w:pPr>
              <w:pStyle w:val="TableText"/>
              <w:keepNext/>
              <w:keepLines/>
              <w:jc w:val="center"/>
              <w:rPr>
                <w:highlight w:val="yellow"/>
                <w:lang w:val="en-AU"/>
              </w:rPr>
            </w:pPr>
            <w:r w:rsidRPr="00DB1914">
              <w:rPr>
                <w:iCs/>
                <w:sz w:val="19"/>
                <w:szCs w:val="19"/>
              </w:rPr>
              <w:t>redacted</w:t>
            </w:r>
            <w:r w:rsidRPr="00DB1914">
              <w:rPr>
                <w:rFonts w:eastAsia="Times New Roman" w:cs="Arial"/>
                <w:iCs/>
                <w:snapToGrid w:val="0"/>
                <w:sz w:val="19"/>
                <w:szCs w:val="19"/>
                <w:vertAlign w:val="superscript"/>
              </w:rPr>
              <w:t>1</w:t>
            </w:r>
          </w:p>
        </w:tc>
      </w:tr>
      <w:tr w:rsidR="00740EE6" w:rsidRPr="00F10893" w14:paraId="012EF9FA" w14:textId="77777777" w:rsidTr="00825A90">
        <w:tc>
          <w:tcPr>
            <w:tcW w:w="0" w:type="dxa"/>
          </w:tcPr>
          <w:p w14:paraId="6490F898" w14:textId="77777777" w:rsidR="00740EE6" w:rsidRPr="00F10893" w:rsidRDefault="00740EE6" w:rsidP="00740EE6">
            <w:pPr>
              <w:pStyle w:val="TableText"/>
              <w:keepNext/>
              <w:keepLines/>
              <w:rPr>
                <w:lang w:val="en-AU"/>
              </w:rPr>
            </w:pPr>
            <w:r w:rsidRPr="00F10893">
              <w:rPr>
                <w:lang w:val="en-AU"/>
              </w:rPr>
              <w:t xml:space="preserve">Net cost to MBS - </w:t>
            </w:r>
            <w:r w:rsidRPr="00F10893">
              <w:rPr>
                <w:rFonts w:cs="Calibri"/>
                <w:szCs w:val="20"/>
                <w:lang w:val="en-AU"/>
              </w:rPr>
              <w:t>FRα expression testing at platinum resistance</w:t>
            </w:r>
          </w:p>
        </w:tc>
        <w:tc>
          <w:tcPr>
            <w:tcW w:w="0" w:type="dxa"/>
            <w:tcMar>
              <w:left w:w="60" w:type="dxa"/>
              <w:right w:w="60" w:type="dxa"/>
            </w:tcMar>
          </w:tcPr>
          <w:p w14:paraId="289DCFFD" w14:textId="47CD6595"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0" w:type="dxa"/>
            <w:tcMar>
              <w:left w:w="60" w:type="dxa"/>
              <w:right w:w="60" w:type="dxa"/>
            </w:tcMar>
          </w:tcPr>
          <w:p w14:paraId="4940DE8C" w14:textId="2DBEDB39"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0" w:type="dxa"/>
            <w:tcMar>
              <w:left w:w="60" w:type="dxa"/>
              <w:right w:w="60" w:type="dxa"/>
            </w:tcMar>
          </w:tcPr>
          <w:p w14:paraId="58A67F31" w14:textId="0DECE83C"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0" w:type="dxa"/>
            <w:tcMar>
              <w:left w:w="60" w:type="dxa"/>
              <w:right w:w="60" w:type="dxa"/>
            </w:tcMar>
          </w:tcPr>
          <w:p w14:paraId="066A6EF2" w14:textId="5496070F"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0" w:type="dxa"/>
            <w:tcMar>
              <w:left w:w="60" w:type="dxa"/>
              <w:right w:w="60" w:type="dxa"/>
            </w:tcMar>
          </w:tcPr>
          <w:p w14:paraId="3C2EDBDB" w14:textId="1A99AC4F"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c>
          <w:tcPr>
            <w:tcW w:w="0" w:type="dxa"/>
            <w:tcMar>
              <w:left w:w="60" w:type="dxa"/>
              <w:right w:w="60" w:type="dxa"/>
            </w:tcMar>
          </w:tcPr>
          <w:p w14:paraId="6CB54543" w14:textId="14740EB8" w:rsidR="00740EE6" w:rsidRPr="00740EE6" w:rsidRDefault="00740EE6" w:rsidP="00740EE6">
            <w:pPr>
              <w:pStyle w:val="TableText"/>
              <w:keepNext/>
              <w:keepLines/>
              <w:jc w:val="center"/>
              <w:rPr>
                <w:i/>
                <w:highlight w:val="yellow"/>
                <w:lang w:val="en-AU"/>
              </w:rPr>
            </w:pPr>
            <w:r w:rsidRPr="00740EE6">
              <w:rPr>
                <w:i/>
                <w:sz w:val="19"/>
                <w:szCs w:val="19"/>
              </w:rPr>
              <w:t>redacted</w:t>
            </w:r>
            <w:r w:rsidRPr="00740EE6">
              <w:rPr>
                <w:rFonts w:eastAsia="Times New Roman" w:cs="Arial"/>
                <w:i/>
                <w:snapToGrid w:val="0"/>
                <w:sz w:val="19"/>
                <w:szCs w:val="19"/>
                <w:vertAlign w:val="superscript"/>
              </w:rPr>
              <w:t>1</w:t>
            </w:r>
          </w:p>
        </w:tc>
      </w:tr>
      <w:tr w:rsidR="001B03DC" w:rsidRPr="00F10893" w14:paraId="76783557" w14:textId="77777777" w:rsidTr="00825A90">
        <w:tc>
          <w:tcPr>
            <w:tcW w:w="0" w:type="dxa"/>
          </w:tcPr>
          <w:p w14:paraId="0238AF2F" w14:textId="77777777" w:rsidR="001B03DC" w:rsidRPr="00F10893" w:rsidRDefault="001B03DC" w:rsidP="001B03DC">
            <w:pPr>
              <w:pStyle w:val="TableText"/>
              <w:keepNext/>
              <w:keepLines/>
              <w:rPr>
                <w:b/>
                <w:lang w:val="en-AU"/>
              </w:rPr>
            </w:pPr>
            <w:r w:rsidRPr="00F10893">
              <w:rPr>
                <w:b/>
                <w:lang w:val="en-AU"/>
              </w:rPr>
              <w:t xml:space="preserve">Overall net cost to health budget - </w:t>
            </w:r>
            <w:r w:rsidRPr="00F10893">
              <w:rPr>
                <w:rFonts w:cs="Calibri"/>
                <w:b/>
                <w:szCs w:val="20"/>
                <w:lang w:val="en-AU"/>
              </w:rPr>
              <w:t>FRα expression testing at primary diagnosis</w:t>
            </w:r>
          </w:p>
        </w:tc>
        <w:tc>
          <w:tcPr>
            <w:tcW w:w="0" w:type="dxa"/>
            <w:tcMar>
              <w:left w:w="60" w:type="dxa"/>
              <w:right w:w="60" w:type="dxa"/>
            </w:tcMar>
          </w:tcPr>
          <w:p w14:paraId="53A55CDD" w14:textId="43656F47"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09E877DE" w14:textId="256AC6BE"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364B4841" w14:textId="0C573999"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011FBFD5" w14:textId="09495C81"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3A0EF62B" w14:textId="5E6E83FF"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6B069467" w14:textId="50CAC43F"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r>
      <w:tr w:rsidR="001B03DC" w:rsidRPr="00F10893" w14:paraId="06B1CF92" w14:textId="77777777" w:rsidTr="00825A90">
        <w:tc>
          <w:tcPr>
            <w:tcW w:w="0" w:type="dxa"/>
          </w:tcPr>
          <w:p w14:paraId="7CA3499B" w14:textId="77777777" w:rsidR="001B03DC" w:rsidRPr="00F10893" w:rsidRDefault="001B03DC" w:rsidP="001B03DC">
            <w:pPr>
              <w:pStyle w:val="TableText"/>
              <w:keepNext/>
              <w:keepLines/>
              <w:rPr>
                <w:b/>
                <w:lang w:val="en-AU"/>
              </w:rPr>
            </w:pPr>
            <w:r w:rsidRPr="00F10893">
              <w:rPr>
                <w:b/>
                <w:lang w:val="en-AU"/>
              </w:rPr>
              <w:t xml:space="preserve">Overall net cost to health budget - </w:t>
            </w:r>
            <w:r w:rsidRPr="00F10893">
              <w:rPr>
                <w:rFonts w:cs="Calibri"/>
                <w:b/>
                <w:szCs w:val="20"/>
                <w:lang w:val="en-AU"/>
              </w:rPr>
              <w:t>FRα expression testing at platinum resistance</w:t>
            </w:r>
          </w:p>
        </w:tc>
        <w:tc>
          <w:tcPr>
            <w:tcW w:w="0" w:type="dxa"/>
            <w:tcMar>
              <w:left w:w="60" w:type="dxa"/>
              <w:right w:w="60" w:type="dxa"/>
            </w:tcMar>
          </w:tcPr>
          <w:p w14:paraId="1F4BBB04" w14:textId="0DD79356"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37525E19" w14:textId="223BF3AE"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6DF0B028" w14:textId="71001ED8"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45A2EEE2" w14:textId="2CAC2CFF"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16B333CA" w14:textId="6446F519"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c>
          <w:tcPr>
            <w:tcW w:w="0" w:type="dxa"/>
            <w:tcMar>
              <w:left w:w="60" w:type="dxa"/>
              <w:right w:w="60" w:type="dxa"/>
            </w:tcMar>
          </w:tcPr>
          <w:p w14:paraId="73D67E22" w14:textId="11359E58" w:rsidR="001B03DC" w:rsidRPr="001B03DC" w:rsidRDefault="001B03DC" w:rsidP="001B03DC">
            <w:pPr>
              <w:pStyle w:val="TableText"/>
              <w:keepNext/>
              <w:keepLines/>
              <w:jc w:val="center"/>
              <w:rPr>
                <w:b/>
                <w:bCs/>
                <w:i/>
                <w:highlight w:val="yellow"/>
                <w:lang w:val="en-AU"/>
              </w:rPr>
            </w:pPr>
            <w:r w:rsidRPr="001B03DC">
              <w:rPr>
                <w:b/>
                <w:bCs/>
                <w:i/>
                <w:sz w:val="19"/>
                <w:szCs w:val="19"/>
              </w:rPr>
              <w:t>redacted</w:t>
            </w:r>
            <w:r w:rsidRPr="001B03DC">
              <w:rPr>
                <w:b/>
                <w:bCs/>
                <w:i/>
                <w:vertAlign w:val="superscript"/>
                <w:lang w:val="en-AU"/>
              </w:rPr>
              <w:t>2</w:t>
            </w:r>
          </w:p>
        </w:tc>
      </w:tr>
    </w:tbl>
    <w:p w14:paraId="6E74D932" w14:textId="77777777" w:rsidR="00B735E7" w:rsidRPr="00F10893" w:rsidRDefault="00B735E7" w:rsidP="00AE121F">
      <w:pPr>
        <w:pStyle w:val="TableFooter"/>
        <w:keepNext/>
        <w:keepLines/>
      </w:pPr>
      <w:r w:rsidRPr="00F10893">
        <w:t>Source: Adapted from Table 4.5-5, p225 of the submission.</w:t>
      </w:r>
    </w:p>
    <w:p w14:paraId="13BD461B" w14:textId="77777777" w:rsidR="00B735E7" w:rsidRPr="00F10893" w:rsidRDefault="00B735E7" w:rsidP="00AE121F">
      <w:pPr>
        <w:pStyle w:val="TableFooter"/>
        <w:keepNext/>
        <w:keepLines/>
      </w:pPr>
      <w:r w:rsidRPr="00F10893">
        <w:t>FRα=folate receptor alpha; MBS = Medicare Benefits Schedule; PBS = Pharmaceutical Benefits Scheme; RPBS = Repatriation Schedule of Pharmaceutical Benefits</w:t>
      </w:r>
    </w:p>
    <w:p w14:paraId="667FF0C5" w14:textId="77A35DD5" w:rsidR="00B735E7" w:rsidRDefault="00B735E7" w:rsidP="00286068">
      <w:pPr>
        <w:pStyle w:val="TableFooter"/>
        <w:contextualSpacing w:val="0"/>
        <w:rPr>
          <w:i/>
          <w:iCs/>
        </w:rPr>
      </w:pPr>
      <w:r w:rsidRPr="00F10893">
        <w:rPr>
          <w:i/>
          <w:iCs/>
        </w:rPr>
        <w:t>Note: Values in italics represent those corrected during the evaluation</w:t>
      </w:r>
    </w:p>
    <w:p w14:paraId="5E6770C6" w14:textId="77777777" w:rsidR="00286068" w:rsidRPr="007E588B" w:rsidRDefault="00286068" w:rsidP="00286068">
      <w:pPr>
        <w:spacing w:before="0" w:after="0"/>
        <w:contextualSpacing/>
        <w:rPr>
          <w:rFonts w:ascii="Arial Narrow" w:eastAsia="Times New Roman" w:hAnsi="Arial Narrow" w:cs="Arial"/>
          <w:snapToGrid w:val="0"/>
          <w:sz w:val="18"/>
          <w:szCs w:val="20"/>
        </w:rPr>
      </w:pPr>
      <w:r w:rsidRPr="007E588B">
        <w:rPr>
          <w:rFonts w:ascii="Arial Narrow" w:eastAsia="Times New Roman" w:hAnsi="Arial Narrow" w:cs="Arial"/>
          <w:snapToGrid w:val="0"/>
          <w:sz w:val="18"/>
          <w:szCs w:val="20"/>
        </w:rPr>
        <w:t xml:space="preserve">The redacted values correspond to the following ranges: </w:t>
      </w:r>
    </w:p>
    <w:p w14:paraId="02447F3D" w14:textId="77777777" w:rsidR="00740EE6" w:rsidRDefault="00286068" w:rsidP="00740EE6">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1</w:t>
      </w:r>
      <w:r w:rsidRPr="007E588B">
        <w:rPr>
          <w:rFonts w:ascii="Arial Narrow" w:eastAsia="Times New Roman" w:hAnsi="Arial Narrow" w:cs="Arial"/>
          <w:snapToGrid w:val="0"/>
          <w:sz w:val="18"/>
          <w:szCs w:val="20"/>
        </w:rPr>
        <w:t xml:space="preserve"> </w:t>
      </w:r>
      <w:r w:rsidR="00740EE6" w:rsidRPr="00694C3B">
        <w:rPr>
          <w:rFonts w:ascii="Arial Narrow" w:eastAsia="Times New Roman" w:hAnsi="Arial Narrow" w:cs="Arial"/>
          <w:snapToGrid w:val="0"/>
          <w:sz w:val="18"/>
          <w:szCs w:val="20"/>
        </w:rPr>
        <w:t>$0 to &lt; $10 million</w:t>
      </w:r>
      <w:r w:rsidR="00740EE6">
        <w:rPr>
          <w:rFonts w:ascii="Arial Narrow" w:eastAsia="Times New Roman" w:hAnsi="Arial Narrow" w:cs="Arial"/>
          <w:snapToGrid w:val="0"/>
          <w:sz w:val="18"/>
          <w:szCs w:val="20"/>
        </w:rPr>
        <w:t xml:space="preserve"> </w:t>
      </w:r>
    </w:p>
    <w:p w14:paraId="415E3731" w14:textId="16595E33" w:rsidR="00286068" w:rsidRPr="007E588B" w:rsidRDefault="00740EE6" w:rsidP="008A0025">
      <w:pPr>
        <w:spacing w:before="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2</w:t>
      </w:r>
      <w:r>
        <w:rPr>
          <w:rFonts w:ascii="Arial Narrow" w:eastAsia="Times New Roman" w:hAnsi="Arial Narrow" w:cs="Arial"/>
          <w:snapToGrid w:val="0"/>
          <w:sz w:val="18"/>
          <w:szCs w:val="20"/>
        </w:rPr>
        <w:t xml:space="preserve"> </w:t>
      </w:r>
      <w:r w:rsidRPr="00A369F2">
        <w:rPr>
          <w:rFonts w:ascii="Arial Narrow" w:eastAsia="Times New Roman" w:hAnsi="Arial Narrow" w:cs="Arial"/>
          <w:snapToGrid w:val="0"/>
          <w:sz w:val="18"/>
          <w:szCs w:val="20"/>
        </w:rPr>
        <w:t>$20 million to &lt; $30 million</w:t>
      </w:r>
      <w:r>
        <w:rPr>
          <w:rFonts w:ascii="Arial Narrow" w:eastAsia="Times New Roman" w:hAnsi="Arial Narrow" w:cs="Arial"/>
          <w:snapToGrid w:val="0"/>
          <w:sz w:val="18"/>
          <w:szCs w:val="20"/>
        </w:rPr>
        <w:t xml:space="preserve"> </w:t>
      </w:r>
    </w:p>
    <w:p w14:paraId="5544AC54" w14:textId="4C831968" w:rsidR="00B735E7" w:rsidRPr="00761FB2" w:rsidRDefault="00B735E7" w:rsidP="008A0025">
      <w:pPr>
        <w:pStyle w:val="TableFooter"/>
        <w:spacing w:before="240"/>
        <w:rPr>
          <w:rFonts w:ascii="Franklin Gothic Book" w:hAnsi="Franklin Gothic Book" w:cstheme="minorHAnsi"/>
          <w:sz w:val="22"/>
          <w:szCs w:val="22"/>
        </w:rPr>
      </w:pPr>
      <w:r w:rsidRPr="00761FB2">
        <w:rPr>
          <w:rFonts w:ascii="Franklin Gothic Book" w:hAnsi="Franklin Gothic Book" w:cstheme="minorHAnsi"/>
          <w:sz w:val="22"/>
          <w:szCs w:val="22"/>
        </w:rPr>
        <w:t xml:space="preserve">The estimated net cost to the health budget over 6 years was </w:t>
      </w:r>
      <w:r w:rsidR="00B5190B" w:rsidRPr="00C75C21">
        <w:rPr>
          <w:rFonts w:ascii="Franklin Gothic Book" w:hAnsi="Franklin Gothic Book" w:cstheme="minorHAnsi"/>
          <w:b/>
          <w:bCs/>
          <w:sz w:val="22"/>
          <w:szCs w:val="22"/>
        </w:rPr>
        <w:t>$100 million to &lt; $200 million</w:t>
      </w:r>
      <w:r w:rsidR="00B5190B" w:rsidRPr="001C33E9" w:rsidDel="00B5190B">
        <w:rPr>
          <w:rFonts w:ascii="Franklin Gothic Book" w:hAnsi="Franklin Gothic Book" w:cstheme="minorHAnsi"/>
          <w:sz w:val="22"/>
          <w:szCs w:val="22"/>
        </w:rPr>
        <w:t xml:space="preserve"> </w:t>
      </w:r>
      <w:r w:rsidRPr="001C33E9">
        <w:rPr>
          <w:rFonts w:ascii="Franklin Gothic Book" w:hAnsi="Franklin Gothic Book" w:cstheme="minorHAnsi"/>
          <w:sz w:val="22"/>
          <w:szCs w:val="22"/>
        </w:rPr>
        <w:t>(f</w:t>
      </w:r>
      <w:r w:rsidRPr="00761FB2">
        <w:rPr>
          <w:rFonts w:ascii="Franklin Gothic Book" w:hAnsi="Franklin Gothic Book" w:cstheme="minorHAnsi"/>
          <w:sz w:val="22"/>
          <w:szCs w:val="22"/>
        </w:rPr>
        <w:t xml:space="preserve">or </w:t>
      </w:r>
      <w:r w:rsidRPr="00761FB2">
        <w:rPr>
          <w:rFonts w:ascii="Franklin Gothic Book" w:hAnsi="Franklin Gothic Book" w:cs="Calibri"/>
          <w:sz w:val="22"/>
          <w:szCs w:val="22"/>
        </w:rPr>
        <w:t xml:space="preserve">FRα expression testing at primary diagnosis) and </w:t>
      </w:r>
      <w:r w:rsidR="00B5190B" w:rsidRPr="00C75C21">
        <w:rPr>
          <w:rFonts w:ascii="Franklin Gothic Book" w:hAnsi="Franklin Gothic Book" w:cs="Calibri"/>
          <w:b/>
          <w:bCs/>
          <w:sz w:val="22"/>
          <w:szCs w:val="22"/>
        </w:rPr>
        <w:t>$100 million to &lt; $200 million</w:t>
      </w:r>
      <w:r w:rsidR="00B5190B" w:rsidRPr="001C33E9" w:rsidDel="00B5190B">
        <w:rPr>
          <w:rFonts w:ascii="Franklin Gothic Book" w:hAnsi="Franklin Gothic Book" w:cs="Calibri"/>
          <w:sz w:val="22"/>
          <w:szCs w:val="22"/>
        </w:rPr>
        <w:t xml:space="preserve"> </w:t>
      </w:r>
      <w:r w:rsidRPr="001C33E9">
        <w:rPr>
          <w:rFonts w:ascii="Franklin Gothic Book" w:hAnsi="Franklin Gothic Book" w:cstheme="minorHAnsi"/>
          <w:sz w:val="22"/>
          <w:szCs w:val="22"/>
        </w:rPr>
        <w:t>(</w:t>
      </w:r>
      <w:r w:rsidRPr="00761FB2">
        <w:rPr>
          <w:rFonts w:ascii="Franklin Gothic Book" w:hAnsi="Franklin Gothic Book" w:cstheme="minorHAnsi"/>
          <w:sz w:val="22"/>
          <w:szCs w:val="22"/>
        </w:rPr>
        <w:t xml:space="preserve">for </w:t>
      </w:r>
      <w:r w:rsidRPr="00761FB2">
        <w:rPr>
          <w:rFonts w:ascii="Franklin Gothic Book" w:hAnsi="Franklin Gothic Book" w:cs="Calibri"/>
          <w:sz w:val="22"/>
          <w:szCs w:val="22"/>
        </w:rPr>
        <w:t xml:space="preserve">FRα expression testing at platinum resistance – an increase of </w:t>
      </w:r>
      <w:r w:rsidR="00A55723" w:rsidRPr="00C75C21">
        <w:rPr>
          <w:rFonts w:ascii="Franklin Gothic Book" w:hAnsi="Franklin Gothic Book" w:cs="Calibri"/>
          <w:b/>
          <w:bCs/>
          <w:sz w:val="22"/>
          <w:szCs w:val="22"/>
        </w:rPr>
        <w:t>$0 to &lt; $10 million</w:t>
      </w:r>
      <w:r w:rsidR="00A55723" w:rsidRPr="00A55723">
        <w:rPr>
          <w:rFonts w:ascii="Franklin Gothic Book" w:hAnsi="Franklin Gothic Book" w:cs="Calibri"/>
          <w:sz w:val="22"/>
          <w:szCs w:val="22"/>
        </w:rPr>
        <w:t xml:space="preserve"> </w:t>
      </w:r>
      <w:r w:rsidRPr="00761FB2">
        <w:rPr>
          <w:rFonts w:ascii="Franklin Gothic Book" w:hAnsi="Franklin Gothic Book" w:cs="Calibri"/>
          <w:sz w:val="22"/>
          <w:szCs w:val="22"/>
        </w:rPr>
        <w:t>over 6 years).</w:t>
      </w:r>
    </w:p>
    <w:p w14:paraId="528BDF64" w14:textId="0F072D1D" w:rsidR="00297FB2" w:rsidRDefault="00AF61A6" w:rsidP="00801F60">
      <w:pPr>
        <w:rPr>
          <w:rFonts w:ascii="Franklin Gothic Book" w:hAnsi="Franklin Gothic Book"/>
          <w:sz w:val="22"/>
          <w:szCs w:val="20"/>
        </w:rPr>
      </w:pPr>
      <w:r>
        <w:rPr>
          <w:rFonts w:ascii="Franklin Gothic Book" w:hAnsi="Franklin Gothic Book" w:cstheme="minorHAnsi"/>
          <w:sz w:val="22"/>
        </w:rPr>
        <w:t>T</w:t>
      </w:r>
      <w:r w:rsidRPr="00AF61A6">
        <w:rPr>
          <w:rFonts w:ascii="Franklin Gothic Book" w:hAnsi="Franklin Gothic Book" w:cstheme="minorHAnsi"/>
          <w:sz w:val="22"/>
        </w:rPr>
        <w:t xml:space="preserve">he Drug Utilisation Sub-Committee (DUSC) advised the submission overestimated patient prevalence by assuming that 90% of all ovarian cancers are high-grade epithelial. DUSC clarified that approximately 70% of these are serous, resulting in a revised estimate of 63%. </w:t>
      </w:r>
      <w:r w:rsidR="0009399C">
        <w:rPr>
          <w:rFonts w:ascii="Franklin Gothic Book" w:hAnsi="Franklin Gothic Book" w:cstheme="minorHAnsi"/>
          <w:sz w:val="22"/>
        </w:rPr>
        <w:t>The department calculated the e</w:t>
      </w:r>
      <w:r w:rsidR="009622AE" w:rsidRPr="009622AE">
        <w:rPr>
          <w:rFonts w:ascii="Franklin Gothic Book" w:hAnsi="Franklin Gothic Book" w:cstheme="minorHAnsi"/>
          <w:sz w:val="22"/>
        </w:rPr>
        <w:t>stimated use</w:t>
      </w:r>
      <w:r w:rsidR="00F1536E">
        <w:rPr>
          <w:rFonts w:ascii="Franklin Gothic Book" w:hAnsi="Franklin Gothic Book" w:cstheme="minorHAnsi"/>
          <w:sz w:val="22"/>
        </w:rPr>
        <w:t xml:space="preserve"> and</w:t>
      </w:r>
      <w:r w:rsidR="009622AE" w:rsidRPr="009622AE">
        <w:rPr>
          <w:rFonts w:ascii="Franklin Gothic Book" w:hAnsi="Franklin Gothic Book" w:cstheme="minorHAnsi"/>
          <w:sz w:val="22"/>
        </w:rPr>
        <w:t xml:space="preserve"> financial implications</w:t>
      </w:r>
      <w:r w:rsidR="009622AE">
        <w:rPr>
          <w:rFonts w:ascii="Franklin Gothic Book" w:hAnsi="Franklin Gothic Book" w:cstheme="minorHAnsi"/>
          <w:sz w:val="22"/>
        </w:rPr>
        <w:t xml:space="preserve"> </w:t>
      </w:r>
      <w:r w:rsidR="0009399C">
        <w:rPr>
          <w:rFonts w:ascii="Franklin Gothic Book" w:hAnsi="Franklin Gothic Book" w:cstheme="minorHAnsi"/>
          <w:sz w:val="22"/>
        </w:rPr>
        <w:t>presented in</w:t>
      </w:r>
      <w:r w:rsidR="0048678F" w:rsidRPr="00AF61A6">
        <w:rPr>
          <w:rFonts w:ascii="Franklin Gothic Book" w:hAnsi="Franklin Gothic Book" w:cstheme="minorHAnsi"/>
          <w:sz w:val="22"/>
        </w:rPr>
        <w:t xml:space="preserve"> </w:t>
      </w:r>
      <w:r w:rsidR="00BB147C" w:rsidRPr="003B386D">
        <w:rPr>
          <w:rFonts w:ascii="Franklin Gothic Book" w:hAnsi="Franklin Gothic Book" w:cstheme="minorHAnsi"/>
          <w:sz w:val="22"/>
        </w:rPr>
        <w:fldChar w:fldCharType="begin"/>
      </w:r>
      <w:r w:rsidR="00BB147C" w:rsidRPr="003B386D">
        <w:rPr>
          <w:rFonts w:ascii="Franklin Gothic Book" w:hAnsi="Franklin Gothic Book" w:cstheme="minorHAnsi"/>
          <w:sz w:val="22"/>
        </w:rPr>
        <w:instrText xml:space="preserve"> REF _Ref206051687 \h </w:instrText>
      </w:r>
      <w:r w:rsidR="003B386D" w:rsidRPr="003B386D">
        <w:rPr>
          <w:rFonts w:ascii="Franklin Gothic Book" w:hAnsi="Franklin Gothic Book" w:cstheme="minorHAnsi"/>
          <w:sz w:val="22"/>
        </w:rPr>
        <w:instrText xml:space="preserve"> \* MERGEFORMAT </w:instrText>
      </w:r>
      <w:r w:rsidR="00BB147C" w:rsidRPr="003B386D">
        <w:rPr>
          <w:rFonts w:ascii="Franklin Gothic Book" w:hAnsi="Franklin Gothic Book" w:cstheme="minorHAnsi"/>
          <w:sz w:val="22"/>
        </w:rPr>
      </w:r>
      <w:r w:rsidR="00BB147C" w:rsidRPr="003B386D">
        <w:rPr>
          <w:rFonts w:ascii="Franklin Gothic Book" w:hAnsi="Franklin Gothic Book" w:cstheme="minorHAnsi"/>
          <w:sz w:val="22"/>
        </w:rPr>
        <w:fldChar w:fldCharType="separate"/>
      </w:r>
      <w:r w:rsidR="00BB147C" w:rsidRPr="003B386D">
        <w:rPr>
          <w:rFonts w:ascii="Franklin Gothic Book" w:hAnsi="Franklin Gothic Book"/>
          <w:sz w:val="22"/>
        </w:rPr>
        <w:t xml:space="preserve">Table </w:t>
      </w:r>
      <w:r w:rsidR="00BB147C" w:rsidRPr="003B386D">
        <w:rPr>
          <w:rFonts w:ascii="Franklin Gothic Book" w:hAnsi="Franklin Gothic Book"/>
          <w:noProof/>
          <w:sz w:val="22"/>
        </w:rPr>
        <w:t>27</w:t>
      </w:r>
      <w:r w:rsidR="00BB147C" w:rsidRPr="003B386D">
        <w:rPr>
          <w:rFonts w:ascii="Franklin Gothic Book" w:hAnsi="Franklin Gothic Book" w:cstheme="minorHAnsi"/>
          <w:sz w:val="22"/>
        </w:rPr>
        <w:fldChar w:fldCharType="end"/>
      </w:r>
      <w:r w:rsidR="00F1536E" w:rsidRPr="003B386D">
        <w:rPr>
          <w:rFonts w:ascii="Franklin Gothic Book" w:hAnsi="Franklin Gothic Book" w:cstheme="minorHAnsi"/>
          <w:sz w:val="22"/>
        </w:rPr>
        <w:t xml:space="preserve"> (with proposed </w:t>
      </w:r>
      <w:r w:rsidR="00043D11" w:rsidRPr="003B386D">
        <w:rPr>
          <w:rFonts w:ascii="Franklin Gothic Book" w:hAnsi="Franklin Gothic Book" w:cstheme="minorHAnsi"/>
          <w:sz w:val="22"/>
        </w:rPr>
        <w:t>schedule fee</w:t>
      </w:r>
      <w:r w:rsidR="00F1536E" w:rsidRPr="003B386D">
        <w:rPr>
          <w:rFonts w:ascii="Franklin Gothic Book" w:hAnsi="Franklin Gothic Book" w:cstheme="minorHAnsi"/>
          <w:sz w:val="22"/>
        </w:rPr>
        <w:t xml:space="preserve"> at $125</w:t>
      </w:r>
      <w:r w:rsidR="00297FB2" w:rsidRPr="003B386D">
        <w:rPr>
          <w:rFonts w:ascii="Franklin Gothic Book" w:hAnsi="Franklin Gothic Book" w:cstheme="minorHAnsi"/>
          <w:sz w:val="22"/>
        </w:rPr>
        <w:t>) and</w:t>
      </w:r>
      <w:r w:rsidR="00F1536E" w:rsidRPr="003B386D">
        <w:rPr>
          <w:rFonts w:ascii="Franklin Gothic Book" w:hAnsi="Franklin Gothic Book" w:cstheme="minorHAnsi"/>
          <w:sz w:val="22"/>
        </w:rPr>
        <w:t xml:space="preserve"> in </w:t>
      </w:r>
      <w:r w:rsidR="00BB411C" w:rsidRPr="003B386D">
        <w:rPr>
          <w:rFonts w:ascii="Franklin Gothic Book" w:hAnsi="Franklin Gothic Book" w:cstheme="minorHAnsi"/>
          <w:sz w:val="22"/>
        </w:rPr>
        <w:fldChar w:fldCharType="begin"/>
      </w:r>
      <w:r w:rsidR="00BB411C" w:rsidRPr="003B386D">
        <w:rPr>
          <w:rFonts w:ascii="Franklin Gothic Book" w:hAnsi="Franklin Gothic Book" w:cstheme="minorHAnsi"/>
          <w:sz w:val="22"/>
        </w:rPr>
        <w:instrText xml:space="preserve"> REF _Ref205898151 \h </w:instrText>
      </w:r>
      <w:r w:rsidR="003B386D" w:rsidRPr="003B386D">
        <w:rPr>
          <w:rFonts w:ascii="Franklin Gothic Book" w:hAnsi="Franklin Gothic Book" w:cstheme="minorHAnsi"/>
          <w:sz w:val="22"/>
        </w:rPr>
        <w:instrText xml:space="preserve"> \* MERGEFORMAT </w:instrText>
      </w:r>
      <w:r w:rsidR="00BB411C" w:rsidRPr="003B386D">
        <w:rPr>
          <w:rFonts w:ascii="Franklin Gothic Book" w:hAnsi="Franklin Gothic Book" w:cstheme="minorHAnsi"/>
          <w:sz w:val="22"/>
        </w:rPr>
      </w:r>
      <w:r w:rsidR="00BB411C" w:rsidRPr="003B386D">
        <w:rPr>
          <w:rFonts w:ascii="Franklin Gothic Book" w:hAnsi="Franklin Gothic Book" w:cstheme="minorHAnsi"/>
          <w:sz w:val="22"/>
        </w:rPr>
        <w:fldChar w:fldCharType="separate"/>
      </w:r>
      <w:r w:rsidR="00BB411C" w:rsidRPr="003B386D">
        <w:rPr>
          <w:rFonts w:ascii="Franklin Gothic Book" w:hAnsi="Franklin Gothic Book"/>
          <w:sz w:val="22"/>
        </w:rPr>
        <w:t xml:space="preserve">Table </w:t>
      </w:r>
      <w:r w:rsidR="00BB411C" w:rsidRPr="003B386D">
        <w:rPr>
          <w:rFonts w:ascii="Franklin Gothic Book" w:hAnsi="Franklin Gothic Book"/>
          <w:noProof/>
          <w:sz w:val="22"/>
        </w:rPr>
        <w:t>28</w:t>
      </w:r>
      <w:r w:rsidR="00BB411C" w:rsidRPr="003B386D">
        <w:rPr>
          <w:rFonts w:ascii="Franklin Gothic Book" w:hAnsi="Franklin Gothic Book" w:cstheme="minorHAnsi"/>
          <w:sz w:val="22"/>
        </w:rPr>
        <w:fldChar w:fldCharType="end"/>
      </w:r>
      <w:r w:rsidR="00F1536E" w:rsidRPr="003B386D">
        <w:rPr>
          <w:rFonts w:ascii="Franklin Gothic Book" w:hAnsi="Franklin Gothic Book" w:cstheme="minorHAnsi"/>
          <w:sz w:val="22"/>
        </w:rPr>
        <w:t xml:space="preserve"> (with</w:t>
      </w:r>
      <w:r w:rsidR="00F1536E" w:rsidRPr="00AF61A6">
        <w:rPr>
          <w:rFonts w:ascii="Franklin Gothic Book" w:hAnsi="Franklin Gothic Book" w:cstheme="minorHAnsi"/>
          <w:sz w:val="22"/>
        </w:rPr>
        <w:t xml:space="preserve"> advised </w:t>
      </w:r>
      <w:r w:rsidR="00043D11" w:rsidRPr="00AF61A6">
        <w:rPr>
          <w:rFonts w:ascii="Franklin Gothic Book" w:hAnsi="Franklin Gothic Book" w:cstheme="minorHAnsi"/>
          <w:sz w:val="22"/>
        </w:rPr>
        <w:t>schedule fee</w:t>
      </w:r>
      <w:r w:rsidR="00F1536E" w:rsidRPr="00AF61A6">
        <w:rPr>
          <w:rFonts w:ascii="Franklin Gothic Book" w:hAnsi="Franklin Gothic Book" w:cstheme="minorHAnsi"/>
          <w:sz w:val="22"/>
        </w:rPr>
        <w:t xml:space="preserve"> </w:t>
      </w:r>
      <w:r w:rsidR="007F22C8">
        <w:rPr>
          <w:rFonts w:ascii="Franklin Gothic Book" w:hAnsi="Franklin Gothic Book" w:cstheme="minorHAnsi"/>
          <w:sz w:val="22"/>
        </w:rPr>
        <w:t>of</w:t>
      </w:r>
      <w:r w:rsidR="00F1536E" w:rsidRPr="00AF61A6">
        <w:rPr>
          <w:rFonts w:ascii="Franklin Gothic Book" w:hAnsi="Franklin Gothic Book" w:cstheme="minorHAnsi"/>
          <w:sz w:val="22"/>
        </w:rPr>
        <w:t xml:space="preserve"> $112). </w:t>
      </w:r>
    </w:p>
    <w:p w14:paraId="0435A176" w14:textId="02EECB59" w:rsidR="000A03D7" w:rsidRDefault="00862476" w:rsidP="00736611">
      <w:pPr>
        <w:pStyle w:val="In-tableHeading"/>
        <w:rPr>
          <w:iCs/>
          <w:szCs w:val="18"/>
        </w:rPr>
      </w:pPr>
      <w:bookmarkStart w:id="56" w:name="_Ref206051687"/>
      <w:bookmarkStart w:id="57" w:name="_Ref205898568"/>
      <w:r>
        <w:t xml:space="preserve">Table </w:t>
      </w:r>
      <w:r>
        <w:fldChar w:fldCharType="begin"/>
      </w:r>
      <w:r>
        <w:instrText xml:space="preserve"> SEQ Table \* ARABIC </w:instrText>
      </w:r>
      <w:r>
        <w:fldChar w:fldCharType="separate"/>
      </w:r>
      <w:r>
        <w:rPr>
          <w:noProof/>
        </w:rPr>
        <w:t>27</w:t>
      </w:r>
      <w:r>
        <w:fldChar w:fldCharType="end"/>
      </w:r>
      <w:bookmarkEnd w:id="56"/>
      <w:r w:rsidR="000A03D7" w:rsidRPr="00F10893">
        <w:t xml:space="preserve">: </w:t>
      </w:r>
      <w:r w:rsidR="000A03D7">
        <w:t xml:space="preserve">Revised </w:t>
      </w:r>
      <w:r w:rsidR="000A03D7" w:rsidRPr="003F22F2">
        <w:t>estimated use and financial implications with</w:t>
      </w:r>
      <w:r w:rsidR="000A03D7">
        <w:t xml:space="preserve"> proposed schedule fee at $125 (calculated by </w:t>
      </w:r>
      <w:r w:rsidR="00736611">
        <w:t>the d</w:t>
      </w:r>
      <w:r w:rsidR="000A03D7">
        <w:t>epartment)</w:t>
      </w:r>
    </w:p>
    <w:tbl>
      <w:tblPr>
        <w:tblW w:w="0" w:type="auto"/>
        <w:tblInd w:w="-5" w:type="dxa"/>
        <w:tblLayout w:type="fixed"/>
        <w:tblLook w:val="04A0" w:firstRow="1" w:lastRow="0" w:firstColumn="1" w:lastColumn="0" w:noHBand="0" w:noVBand="1"/>
      </w:tblPr>
      <w:tblGrid>
        <w:gridCol w:w="3114"/>
        <w:gridCol w:w="992"/>
        <w:gridCol w:w="992"/>
        <w:gridCol w:w="993"/>
        <w:gridCol w:w="992"/>
        <w:gridCol w:w="992"/>
        <w:gridCol w:w="936"/>
      </w:tblGrid>
      <w:tr w:rsidR="00C1182A" w:rsidRPr="005E1208" w14:paraId="44688527" w14:textId="77777777" w:rsidTr="00AF318D">
        <w:trPr>
          <w:trHeight w:val="719"/>
        </w:trPr>
        <w:tc>
          <w:tcPr>
            <w:tcW w:w="3114" w:type="dxa"/>
            <w:tcBorders>
              <w:top w:val="single" w:sz="8" w:space="0" w:color="auto"/>
              <w:left w:val="single" w:sz="8" w:space="0" w:color="auto"/>
              <w:bottom w:val="single" w:sz="8" w:space="0" w:color="000000"/>
              <w:right w:val="single" w:sz="8" w:space="0" w:color="auto"/>
            </w:tcBorders>
            <w:vAlign w:val="center"/>
            <w:hideMark/>
          </w:tcPr>
          <w:p w14:paraId="187FEAE2" w14:textId="77777777" w:rsidR="007504C9" w:rsidRPr="005E1208" w:rsidRDefault="007504C9" w:rsidP="007504C9">
            <w:pPr>
              <w:spacing w:before="0" w:after="0"/>
              <w:jc w:val="left"/>
              <w:rPr>
                <w:rFonts w:ascii="Arial Narrow" w:eastAsia="Times New Roman" w:hAnsi="Arial Narrow" w:cs="Times New Roman"/>
                <w:b/>
                <w:bCs/>
                <w:color w:val="000000"/>
                <w:sz w:val="20"/>
                <w:szCs w:val="20"/>
                <w:lang w:eastAsia="en-AU"/>
              </w:rPr>
            </w:pPr>
          </w:p>
        </w:tc>
        <w:tc>
          <w:tcPr>
            <w:tcW w:w="992" w:type="dxa"/>
            <w:tcBorders>
              <w:top w:val="single" w:sz="8" w:space="0" w:color="auto"/>
              <w:left w:val="nil"/>
              <w:right w:val="single" w:sz="8" w:space="0" w:color="auto"/>
            </w:tcBorders>
            <w:vAlign w:val="center"/>
            <w:hideMark/>
          </w:tcPr>
          <w:p w14:paraId="7E7617F0"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1</w:t>
            </w:r>
          </w:p>
          <w:p w14:paraId="7E62B0B9" w14:textId="138143A2"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2025</w:t>
            </w:r>
          </w:p>
        </w:tc>
        <w:tc>
          <w:tcPr>
            <w:tcW w:w="992" w:type="dxa"/>
            <w:tcBorders>
              <w:top w:val="single" w:sz="8" w:space="0" w:color="auto"/>
              <w:left w:val="nil"/>
              <w:right w:val="single" w:sz="8" w:space="0" w:color="auto"/>
            </w:tcBorders>
            <w:vAlign w:val="center"/>
            <w:hideMark/>
          </w:tcPr>
          <w:p w14:paraId="6F6CC441"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2</w:t>
            </w:r>
          </w:p>
          <w:p w14:paraId="2B229422" w14:textId="3AB1E70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2026</w:t>
            </w:r>
          </w:p>
        </w:tc>
        <w:tc>
          <w:tcPr>
            <w:tcW w:w="993" w:type="dxa"/>
            <w:tcBorders>
              <w:top w:val="single" w:sz="8" w:space="0" w:color="auto"/>
              <w:left w:val="nil"/>
              <w:right w:val="single" w:sz="8" w:space="0" w:color="auto"/>
            </w:tcBorders>
            <w:vAlign w:val="center"/>
            <w:hideMark/>
          </w:tcPr>
          <w:p w14:paraId="5C953B5D"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3</w:t>
            </w:r>
          </w:p>
          <w:p w14:paraId="6899979E" w14:textId="64135133"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2027</w:t>
            </w:r>
          </w:p>
        </w:tc>
        <w:tc>
          <w:tcPr>
            <w:tcW w:w="992" w:type="dxa"/>
            <w:tcBorders>
              <w:top w:val="single" w:sz="8" w:space="0" w:color="auto"/>
              <w:left w:val="nil"/>
              <w:right w:val="single" w:sz="8" w:space="0" w:color="auto"/>
            </w:tcBorders>
            <w:vAlign w:val="center"/>
            <w:hideMark/>
          </w:tcPr>
          <w:p w14:paraId="17A12292"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4</w:t>
            </w:r>
          </w:p>
          <w:p w14:paraId="675A7C3C" w14:textId="1BB80C0A"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2028</w:t>
            </w:r>
          </w:p>
        </w:tc>
        <w:tc>
          <w:tcPr>
            <w:tcW w:w="992" w:type="dxa"/>
            <w:tcBorders>
              <w:top w:val="single" w:sz="8" w:space="0" w:color="auto"/>
              <w:left w:val="nil"/>
              <w:right w:val="single" w:sz="8" w:space="0" w:color="auto"/>
            </w:tcBorders>
            <w:vAlign w:val="center"/>
            <w:hideMark/>
          </w:tcPr>
          <w:p w14:paraId="3E59CB1C"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5</w:t>
            </w:r>
          </w:p>
          <w:p w14:paraId="155D02F5" w14:textId="15D1C82B"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2029</w:t>
            </w:r>
          </w:p>
        </w:tc>
        <w:tc>
          <w:tcPr>
            <w:tcW w:w="936" w:type="dxa"/>
            <w:tcBorders>
              <w:top w:val="single" w:sz="8" w:space="0" w:color="auto"/>
              <w:left w:val="nil"/>
              <w:right w:val="single" w:sz="8" w:space="0" w:color="auto"/>
            </w:tcBorders>
            <w:vAlign w:val="center"/>
            <w:hideMark/>
          </w:tcPr>
          <w:p w14:paraId="1BFDB53F" w14:textId="77777777"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Year 6</w:t>
            </w:r>
          </w:p>
          <w:p w14:paraId="2C473FD4" w14:textId="6F1EF5D8" w:rsidR="007504C9" w:rsidRPr="005E1208" w:rsidRDefault="007504C9" w:rsidP="007504C9">
            <w:pPr>
              <w:spacing w:before="0" w:after="0" w:line="276" w:lineRule="auto"/>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2030</w:t>
            </w:r>
          </w:p>
        </w:tc>
      </w:tr>
      <w:tr w:rsidR="000A03D7" w:rsidRPr="005E1208" w14:paraId="4DAE67DB" w14:textId="77777777" w:rsidTr="00C1182A">
        <w:trPr>
          <w:trHeight w:val="315"/>
        </w:trPr>
        <w:tc>
          <w:tcPr>
            <w:tcW w:w="9011" w:type="dxa"/>
            <w:gridSpan w:val="7"/>
            <w:tcBorders>
              <w:top w:val="single" w:sz="8" w:space="0" w:color="auto"/>
              <w:left w:val="single" w:sz="8" w:space="0" w:color="auto"/>
              <w:bottom w:val="single" w:sz="8" w:space="0" w:color="auto"/>
              <w:right w:val="single" w:sz="8" w:space="0" w:color="000000"/>
            </w:tcBorders>
            <w:vAlign w:val="center"/>
            <w:hideMark/>
          </w:tcPr>
          <w:p w14:paraId="02C4A9B0" w14:textId="77777777" w:rsidR="000A03D7" w:rsidRPr="005E1208" w:rsidRDefault="000A03D7" w:rsidP="0004013F">
            <w:pPr>
              <w:spacing w:before="0" w:after="0"/>
              <w:jc w:val="center"/>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Base case: Testing at primary diagnosis (proposed schedule fee =$125)</w:t>
            </w:r>
          </w:p>
        </w:tc>
      </w:tr>
      <w:tr w:rsidR="00C1182A" w:rsidRPr="005E1208" w14:paraId="42E7FD30"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6D308C4" w14:textId="77777777" w:rsidR="00EF775D" w:rsidRPr="005E1208" w:rsidRDefault="00EF775D" w:rsidP="00EF775D">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test numbers (A)</w:t>
            </w:r>
          </w:p>
        </w:tc>
        <w:tc>
          <w:tcPr>
            <w:tcW w:w="992" w:type="dxa"/>
            <w:tcBorders>
              <w:top w:val="nil"/>
              <w:left w:val="nil"/>
              <w:bottom w:val="single" w:sz="8" w:space="0" w:color="auto"/>
              <w:right w:val="single" w:sz="8" w:space="0" w:color="auto"/>
            </w:tcBorders>
            <w:vAlign w:val="center"/>
            <w:hideMark/>
          </w:tcPr>
          <w:p w14:paraId="59040744" w14:textId="5C727C3A" w:rsidR="00EF775D" w:rsidRPr="000C1B45" w:rsidRDefault="00EF775D" w:rsidP="00EF775D">
            <w:pPr>
              <w:spacing w:before="0" w:after="0"/>
              <w:jc w:val="center"/>
              <w:rPr>
                <w:rFonts w:ascii="Arial Narrow" w:eastAsia="Times New Roman" w:hAnsi="Arial Narrow" w:cs="Times New Roman"/>
                <w:color w:val="000000"/>
                <w:sz w:val="19"/>
                <w:szCs w:val="19"/>
                <w:highlight w:val="yellow"/>
                <w:lang w:eastAsia="en-AU"/>
              </w:rPr>
            </w:pPr>
            <w:r w:rsidRPr="000C1B45">
              <w:rPr>
                <w:rFonts w:ascii="Arial Narrow" w:eastAsia="Times New Roman" w:hAnsi="Arial Narrow" w:cs="Times New Roman"/>
                <w:color w:val="000000"/>
                <w:sz w:val="19"/>
                <w:szCs w:val="19"/>
                <w:lang w:eastAsia="en-AU"/>
              </w:rPr>
              <w:t>redacted</w:t>
            </w:r>
            <w:r w:rsidRPr="00EF775D">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vAlign w:val="center"/>
            <w:hideMark/>
          </w:tcPr>
          <w:p w14:paraId="0A97A129" w14:textId="2F14A7EB" w:rsidR="00EF775D" w:rsidRPr="00D97679" w:rsidRDefault="00EF775D" w:rsidP="00EF775D">
            <w:pPr>
              <w:spacing w:before="0" w:after="0"/>
              <w:jc w:val="center"/>
              <w:rPr>
                <w:rFonts w:ascii="Arial Narrow" w:eastAsia="Times New Roman" w:hAnsi="Arial Narrow" w:cs="Times New Roman"/>
                <w:color w:val="000000"/>
                <w:sz w:val="20"/>
                <w:szCs w:val="20"/>
                <w:highlight w:val="yellow"/>
                <w:lang w:eastAsia="en-AU"/>
              </w:rPr>
            </w:pPr>
            <w:r w:rsidRPr="008E6A6F">
              <w:rPr>
                <w:rFonts w:ascii="Arial Narrow" w:eastAsia="Times New Roman" w:hAnsi="Arial Narrow" w:cs="Times New Roman"/>
                <w:color w:val="000000"/>
                <w:sz w:val="19"/>
                <w:szCs w:val="19"/>
                <w:lang w:eastAsia="en-AU"/>
              </w:rPr>
              <w:t>redacted</w:t>
            </w:r>
            <w:r w:rsidRPr="008E6A6F">
              <w:rPr>
                <w:rFonts w:ascii="Arial Narrow" w:eastAsia="Times New Roman" w:hAnsi="Arial Narrow" w:cs="Times New Roman"/>
                <w:color w:val="000000"/>
                <w:sz w:val="19"/>
                <w:szCs w:val="19"/>
                <w:vertAlign w:val="superscript"/>
                <w:lang w:eastAsia="en-AU"/>
              </w:rPr>
              <w:t>1</w:t>
            </w:r>
          </w:p>
        </w:tc>
        <w:tc>
          <w:tcPr>
            <w:tcW w:w="993" w:type="dxa"/>
            <w:tcBorders>
              <w:top w:val="nil"/>
              <w:left w:val="nil"/>
              <w:bottom w:val="single" w:sz="8" w:space="0" w:color="auto"/>
              <w:right w:val="single" w:sz="8" w:space="0" w:color="auto"/>
            </w:tcBorders>
            <w:vAlign w:val="center"/>
            <w:hideMark/>
          </w:tcPr>
          <w:p w14:paraId="760E531F" w14:textId="467ABCF6" w:rsidR="00EF775D" w:rsidRPr="00D97679" w:rsidRDefault="00EF775D" w:rsidP="00EF775D">
            <w:pPr>
              <w:spacing w:before="0" w:after="0"/>
              <w:jc w:val="center"/>
              <w:rPr>
                <w:rFonts w:ascii="Arial Narrow" w:eastAsia="Times New Roman" w:hAnsi="Arial Narrow" w:cs="Times New Roman"/>
                <w:color w:val="000000"/>
                <w:sz w:val="20"/>
                <w:szCs w:val="20"/>
                <w:highlight w:val="yellow"/>
                <w:lang w:eastAsia="en-AU"/>
              </w:rPr>
            </w:pPr>
            <w:r w:rsidRPr="008E6A6F">
              <w:rPr>
                <w:rFonts w:ascii="Arial Narrow" w:eastAsia="Times New Roman" w:hAnsi="Arial Narrow" w:cs="Times New Roman"/>
                <w:color w:val="000000"/>
                <w:sz w:val="19"/>
                <w:szCs w:val="19"/>
                <w:lang w:eastAsia="en-AU"/>
              </w:rPr>
              <w:t>redacted</w:t>
            </w:r>
            <w:r w:rsidRPr="008E6A6F">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vAlign w:val="center"/>
            <w:hideMark/>
          </w:tcPr>
          <w:p w14:paraId="1E97B311" w14:textId="6DAFF3FE" w:rsidR="00EF775D" w:rsidRPr="00D97679" w:rsidRDefault="00EF775D" w:rsidP="00EF775D">
            <w:pPr>
              <w:spacing w:before="0" w:after="0"/>
              <w:jc w:val="center"/>
              <w:rPr>
                <w:rFonts w:ascii="Arial Narrow" w:eastAsia="Times New Roman" w:hAnsi="Arial Narrow" w:cs="Times New Roman"/>
                <w:color w:val="000000"/>
                <w:sz w:val="20"/>
                <w:szCs w:val="20"/>
                <w:highlight w:val="yellow"/>
                <w:lang w:eastAsia="en-AU"/>
              </w:rPr>
            </w:pPr>
            <w:r w:rsidRPr="008E6A6F">
              <w:rPr>
                <w:rFonts w:ascii="Arial Narrow" w:eastAsia="Times New Roman" w:hAnsi="Arial Narrow" w:cs="Times New Roman"/>
                <w:color w:val="000000"/>
                <w:sz w:val="19"/>
                <w:szCs w:val="19"/>
                <w:lang w:eastAsia="en-AU"/>
              </w:rPr>
              <w:t>redacted</w:t>
            </w:r>
            <w:r w:rsidRPr="008E6A6F">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vAlign w:val="center"/>
            <w:hideMark/>
          </w:tcPr>
          <w:p w14:paraId="3CBD4EBF" w14:textId="1230542F" w:rsidR="00EF775D" w:rsidRPr="00D97679" w:rsidRDefault="00EF775D" w:rsidP="00EF775D">
            <w:pPr>
              <w:spacing w:before="0" w:after="0"/>
              <w:jc w:val="center"/>
              <w:rPr>
                <w:rFonts w:ascii="Arial Narrow" w:eastAsia="Times New Roman" w:hAnsi="Arial Narrow" w:cs="Times New Roman"/>
                <w:color w:val="000000"/>
                <w:sz w:val="20"/>
                <w:szCs w:val="20"/>
                <w:highlight w:val="yellow"/>
                <w:lang w:eastAsia="en-AU"/>
              </w:rPr>
            </w:pPr>
            <w:r w:rsidRPr="008E6A6F">
              <w:rPr>
                <w:rFonts w:ascii="Arial Narrow" w:eastAsia="Times New Roman" w:hAnsi="Arial Narrow" w:cs="Times New Roman"/>
                <w:color w:val="000000"/>
                <w:sz w:val="19"/>
                <w:szCs w:val="19"/>
                <w:lang w:eastAsia="en-AU"/>
              </w:rPr>
              <w:t>redacted</w:t>
            </w:r>
            <w:r w:rsidRPr="008E6A6F">
              <w:rPr>
                <w:rFonts w:ascii="Arial Narrow" w:eastAsia="Times New Roman" w:hAnsi="Arial Narrow" w:cs="Times New Roman"/>
                <w:color w:val="000000"/>
                <w:sz w:val="19"/>
                <w:szCs w:val="19"/>
                <w:vertAlign w:val="superscript"/>
                <w:lang w:eastAsia="en-AU"/>
              </w:rPr>
              <w:t>1</w:t>
            </w:r>
          </w:p>
        </w:tc>
        <w:tc>
          <w:tcPr>
            <w:tcW w:w="936" w:type="dxa"/>
            <w:tcBorders>
              <w:top w:val="nil"/>
              <w:left w:val="nil"/>
              <w:bottom w:val="single" w:sz="8" w:space="0" w:color="auto"/>
              <w:right w:val="single" w:sz="8" w:space="0" w:color="auto"/>
            </w:tcBorders>
            <w:vAlign w:val="center"/>
            <w:hideMark/>
          </w:tcPr>
          <w:p w14:paraId="4582B85F" w14:textId="631A3AC1" w:rsidR="00EF775D" w:rsidRPr="00D97679" w:rsidRDefault="00EF775D" w:rsidP="00EF775D">
            <w:pPr>
              <w:spacing w:before="0" w:after="0"/>
              <w:jc w:val="center"/>
              <w:rPr>
                <w:rFonts w:ascii="Arial Narrow" w:eastAsia="Times New Roman" w:hAnsi="Arial Narrow" w:cs="Times New Roman"/>
                <w:color w:val="000000"/>
                <w:sz w:val="20"/>
                <w:szCs w:val="20"/>
                <w:highlight w:val="yellow"/>
                <w:lang w:eastAsia="en-AU"/>
              </w:rPr>
            </w:pPr>
            <w:r w:rsidRPr="008E6A6F">
              <w:rPr>
                <w:rFonts w:ascii="Arial Narrow" w:eastAsia="Times New Roman" w:hAnsi="Arial Narrow" w:cs="Times New Roman"/>
                <w:color w:val="000000"/>
                <w:sz w:val="19"/>
                <w:szCs w:val="19"/>
                <w:lang w:eastAsia="en-AU"/>
              </w:rPr>
              <w:t>redacted</w:t>
            </w:r>
            <w:r w:rsidRPr="008E6A6F">
              <w:rPr>
                <w:rFonts w:ascii="Arial Narrow" w:eastAsia="Times New Roman" w:hAnsi="Arial Narrow" w:cs="Times New Roman"/>
                <w:color w:val="000000"/>
                <w:sz w:val="19"/>
                <w:szCs w:val="19"/>
                <w:vertAlign w:val="superscript"/>
                <w:lang w:eastAsia="en-AU"/>
              </w:rPr>
              <w:t>1</w:t>
            </w:r>
          </w:p>
        </w:tc>
      </w:tr>
      <w:tr w:rsidR="00C1182A" w:rsidRPr="005E1208" w14:paraId="5B6BE59A"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8E8EAC2" w14:textId="77777777" w:rsidR="00D55894" w:rsidRPr="005E1208" w:rsidRDefault="00D55894" w:rsidP="00D55894">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of testing to MBS (A*$125)</w:t>
            </w:r>
          </w:p>
        </w:tc>
        <w:tc>
          <w:tcPr>
            <w:tcW w:w="992" w:type="dxa"/>
            <w:tcBorders>
              <w:top w:val="nil"/>
              <w:left w:val="nil"/>
              <w:bottom w:val="single" w:sz="4" w:space="0" w:color="auto"/>
              <w:right w:val="single" w:sz="8" w:space="0" w:color="auto"/>
            </w:tcBorders>
            <w:vAlign w:val="bottom"/>
            <w:hideMark/>
          </w:tcPr>
          <w:p w14:paraId="7A8309E3" w14:textId="004CFA59" w:rsidR="00D55894" w:rsidRPr="00D97679" w:rsidRDefault="00D55894" w:rsidP="00D55894">
            <w:pPr>
              <w:spacing w:before="0" w:after="0"/>
              <w:jc w:val="center"/>
              <w:rPr>
                <w:rFonts w:ascii="Arial Narrow" w:eastAsia="Times New Roman" w:hAnsi="Arial Narrow" w:cs="Times New Roman"/>
                <w:color w:val="000000"/>
                <w:sz w:val="20"/>
                <w:szCs w:val="20"/>
                <w:highlight w:val="yellow"/>
                <w:lang w:eastAsia="en-AU"/>
              </w:rPr>
            </w:pPr>
            <w:r w:rsidRPr="000C1B45">
              <w:rPr>
                <w:rFonts w:ascii="Arial Narrow" w:eastAsia="Times New Roman" w:hAnsi="Arial Narrow" w:cs="Times New Roman"/>
                <w:color w:val="000000"/>
                <w:sz w:val="19"/>
                <w:szCs w:val="19"/>
                <w:lang w:eastAsia="en-AU"/>
              </w:rPr>
              <w:t xml:space="preserve"> redacted</w:t>
            </w:r>
            <w:r>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4" w:space="0" w:color="auto"/>
              <w:right w:val="single" w:sz="8" w:space="0" w:color="auto"/>
            </w:tcBorders>
            <w:vAlign w:val="center"/>
            <w:hideMark/>
          </w:tcPr>
          <w:p w14:paraId="101F3B82" w14:textId="242CE1F4" w:rsidR="00D55894" w:rsidRPr="00D97679" w:rsidRDefault="00D55894" w:rsidP="003D7D9D">
            <w:pPr>
              <w:spacing w:before="0" w:after="0"/>
              <w:jc w:val="center"/>
              <w:rPr>
                <w:rFonts w:ascii="Arial Narrow" w:eastAsia="Times New Roman" w:hAnsi="Arial Narrow" w:cs="Times New Roman"/>
                <w:color w:val="000000"/>
                <w:sz w:val="20"/>
                <w:szCs w:val="20"/>
                <w:highlight w:val="yellow"/>
                <w:lang w:eastAsia="en-AU"/>
              </w:rPr>
            </w:pPr>
            <w:r w:rsidRPr="00E632A1">
              <w:rPr>
                <w:rFonts w:ascii="Arial Narrow" w:eastAsia="Times New Roman" w:hAnsi="Arial Narrow" w:cs="Times New Roman"/>
                <w:color w:val="000000"/>
                <w:sz w:val="19"/>
                <w:szCs w:val="19"/>
                <w:lang w:eastAsia="en-AU"/>
              </w:rPr>
              <w:t>redacted</w:t>
            </w:r>
            <w:r w:rsidRPr="00E632A1">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4" w:space="0" w:color="auto"/>
              <w:right w:val="single" w:sz="8" w:space="0" w:color="auto"/>
            </w:tcBorders>
            <w:vAlign w:val="center"/>
            <w:hideMark/>
          </w:tcPr>
          <w:p w14:paraId="193AAF63" w14:textId="68E51B44" w:rsidR="00D55894" w:rsidRPr="00D97679" w:rsidRDefault="00D55894" w:rsidP="003D7D9D">
            <w:pPr>
              <w:spacing w:before="0" w:after="0"/>
              <w:jc w:val="center"/>
              <w:rPr>
                <w:rFonts w:ascii="Arial Narrow" w:eastAsia="Times New Roman" w:hAnsi="Arial Narrow" w:cs="Times New Roman"/>
                <w:color w:val="000000"/>
                <w:sz w:val="20"/>
                <w:szCs w:val="20"/>
                <w:highlight w:val="yellow"/>
                <w:lang w:eastAsia="en-AU"/>
              </w:rPr>
            </w:pPr>
            <w:r w:rsidRPr="00E632A1">
              <w:rPr>
                <w:rFonts w:ascii="Arial Narrow" w:eastAsia="Times New Roman" w:hAnsi="Arial Narrow" w:cs="Times New Roman"/>
                <w:color w:val="000000"/>
                <w:sz w:val="19"/>
                <w:szCs w:val="19"/>
                <w:lang w:eastAsia="en-AU"/>
              </w:rPr>
              <w:t>redacted</w:t>
            </w:r>
            <w:r w:rsidRPr="00E632A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4" w:space="0" w:color="auto"/>
              <w:right w:val="single" w:sz="8" w:space="0" w:color="auto"/>
            </w:tcBorders>
            <w:vAlign w:val="center"/>
            <w:hideMark/>
          </w:tcPr>
          <w:p w14:paraId="7B67358A" w14:textId="3853EED3" w:rsidR="00D55894" w:rsidRPr="00D97679" w:rsidRDefault="00D55894" w:rsidP="003D7D9D">
            <w:pPr>
              <w:spacing w:before="0" w:after="0"/>
              <w:jc w:val="center"/>
              <w:rPr>
                <w:rFonts w:ascii="Arial Narrow" w:eastAsia="Times New Roman" w:hAnsi="Arial Narrow" w:cs="Times New Roman"/>
                <w:color w:val="000000"/>
                <w:sz w:val="20"/>
                <w:szCs w:val="20"/>
                <w:highlight w:val="yellow"/>
                <w:lang w:eastAsia="en-AU"/>
              </w:rPr>
            </w:pPr>
            <w:r w:rsidRPr="00E632A1">
              <w:rPr>
                <w:rFonts w:ascii="Arial Narrow" w:eastAsia="Times New Roman" w:hAnsi="Arial Narrow" w:cs="Times New Roman"/>
                <w:color w:val="000000"/>
                <w:sz w:val="19"/>
                <w:szCs w:val="19"/>
                <w:lang w:eastAsia="en-AU"/>
              </w:rPr>
              <w:t>redacted</w:t>
            </w:r>
            <w:r w:rsidRPr="00E632A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4" w:space="0" w:color="auto"/>
              <w:right w:val="single" w:sz="8" w:space="0" w:color="auto"/>
            </w:tcBorders>
            <w:vAlign w:val="center"/>
            <w:hideMark/>
          </w:tcPr>
          <w:p w14:paraId="417DE166" w14:textId="06FDD671" w:rsidR="00D55894" w:rsidRPr="00D97679" w:rsidRDefault="00D55894" w:rsidP="003D7D9D">
            <w:pPr>
              <w:spacing w:before="0" w:after="0"/>
              <w:jc w:val="center"/>
              <w:rPr>
                <w:rFonts w:ascii="Arial Narrow" w:eastAsia="Times New Roman" w:hAnsi="Arial Narrow" w:cs="Times New Roman"/>
                <w:color w:val="000000"/>
                <w:sz w:val="20"/>
                <w:szCs w:val="20"/>
                <w:highlight w:val="yellow"/>
                <w:lang w:eastAsia="en-AU"/>
              </w:rPr>
            </w:pPr>
            <w:r w:rsidRPr="00E632A1">
              <w:rPr>
                <w:rFonts w:ascii="Arial Narrow" w:eastAsia="Times New Roman" w:hAnsi="Arial Narrow" w:cs="Times New Roman"/>
                <w:color w:val="000000"/>
                <w:sz w:val="19"/>
                <w:szCs w:val="19"/>
                <w:lang w:eastAsia="en-AU"/>
              </w:rPr>
              <w:t>redacted</w:t>
            </w:r>
            <w:r w:rsidRPr="00E632A1">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4" w:space="0" w:color="auto"/>
              <w:right w:val="single" w:sz="8" w:space="0" w:color="auto"/>
            </w:tcBorders>
            <w:vAlign w:val="center"/>
            <w:hideMark/>
          </w:tcPr>
          <w:p w14:paraId="153CE00C" w14:textId="531872F5" w:rsidR="00D55894" w:rsidRPr="00D97679" w:rsidRDefault="00D55894" w:rsidP="003D7D9D">
            <w:pPr>
              <w:spacing w:before="0" w:after="0"/>
              <w:jc w:val="center"/>
              <w:rPr>
                <w:rFonts w:ascii="Arial Narrow" w:eastAsia="Times New Roman" w:hAnsi="Arial Narrow" w:cs="Times New Roman"/>
                <w:color w:val="000000"/>
                <w:sz w:val="20"/>
                <w:szCs w:val="20"/>
                <w:highlight w:val="yellow"/>
                <w:lang w:eastAsia="en-AU"/>
              </w:rPr>
            </w:pPr>
            <w:r w:rsidRPr="00E632A1">
              <w:rPr>
                <w:rFonts w:ascii="Arial Narrow" w:eastAsia="Times New Roman" w:hAnsi="Arial Narrow" w:cs="Times New Roman"/>
                <w:color w:val="000000"/>
                <w:sz w:val="19"/>
                <w:szCs w:val="19"/>
                <w:lang w:eastAsia="en-AU"/>
              </w:rPr>
              <w:t>redacted</w:t>
            </w:r>
            <w:r w:rsidRPr="00E632A1">
              <w:rPr>
                <w:rFonts w:ascii="Arial Narrow" w:eastAsia="Times New Roman" w:hAnsi="Arial Narrow" w:cs="Times New Roman"/>
                <w:color w:val="000000"/>
                <w:sz w:val="19"/>
                <w:szCs w:val="19"/>
                <w:vertAlign w:val="superscript"/>
                <w:lang w:eastAsia="en-AU"/>
              </w:rPr>
              <w:t>3</w:t>
            </w:r>
          </w:p>
        </w:tc>
      </w:tr>
      <w:tr w:rsidR="00C1182A" w:rsidRPr="005E1208" w14:paraId="011BF830"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5543C74" w14:textId="1DFBCEBB"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Patient copayment (A x $125 x 20%)</w:t>
            </w:r>
          </w:p>
        </w:tc>
        <w:tc>
          <w:tcPr>
            <w:tcW w:w="992" w:type="dxa"/>
            <w:tcBorders>
              <w:top w:val="nil"/>
              <w:left w:val="nil"/>
              <w:bottom w:val="single" w:sz="8" w:space="0" w:color="auto"/>
              <w:right w:val="single" w:sz="8" w:space="0" w:color="auto"/>
            </w:tcBorders>
            <w:hideMark/>
          </w:tcPr>
          <w:p w14:paraId="1BA0237B" w14:textId="6BFF0CE6"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697DEA64" w14:textId="329EC2F9"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1E95EDD3" w14:textId="0FAAA832"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78D175EA" w14:textId="2103428F"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16A5900A" w14:textId="151D2ADD"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68939730" w14:textId="1B021BA2"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70427">
              <w:rPr>
                <w:rFonts w:ascii="Arial Narrow" w:eastAsia="Times New Roman" w:hAnsi="Arial Narrow" w:cs="Times New Roman"/>
                <w:color w:val="000000"/>
                <w:sz w:val="19"/>
                <w:szCs w:val="19"/>
                <w:lang w:eastAsia="en-AU"/>
              </w:rPr>
              <w:t>redacted</w:t>
            </w:r>
            <w:r w:rsidRPr="00E70427">
              <w:rPr>
                <w:rFonts w:ascii="Arial Narrow" w:eastAsia="Times New Roman" w:hAnsi="Arial Narrow" w:cs="Times New Roman"/>
                <w:color w:val="000000"/>
                <w:sz w:val="19"/>
                <w:szCs w:val="19"/>
                <w:vertAlign w:val="superscript"/>
                <w:lang w:eastAsia="en-AU"/>
              </w:rPr>
              <w:t>4</w:t>
            </w:r>
          </w:p>
        </w:tc>
      </w:tr>
      <w:tr w:rsidR="00C1182A" w:rsidRPr="005E1208" w14:paraId="048E69F4"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290D048F" w14:textId="77777777" w:rsidR="003D7D9D" w:rsidRPr="005E1208" w:rsidRDefault="003D7D9D" w:rsidP="003D7D9D">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Net cost to MBS (80% co-payment) (B = A x $125 x 80%)</w:t>
            </w:r>
          </w:p>
        </w:tc>
        <w:tc>
          <w:tcPr>
            <w:tcW w:w="992" w:type="dxa"/>
            <w:tcBorders>
              <w:top w:val="nil"/>
              <w:left w:val="nil"/>
              <w:bottom w:val="nil"/>
              <w:right w:val="single" w:sz="8" w:space="0" w:color="auto"/>
            </w:tcBorders>
            <w:hideMark/>
          </w:tcPr>
          <w:p w14:paraId="7374A17D" w14:textId="3AEAC3EF"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nil"/>
              <w:right w:val="single" w:sz="8" w:space="0" w:color="auto"/>
            </w:tcBorders>
            <w:hideMark/>
          </w:tcPr>
          <w:p w14:paraId="5C641EF3" w14:textId="5B6B767F"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3" w:type="dxa"/>
            <w:tcBorders>
              <w:top w:val="nil"/>
              <w:left w:val="nil"/>
              <w:bottom w:val="nil"/>
              <w:right w:val="single" w:sz="8" w:space="0" w:color="auto"/>
            </w:tcBorders>
            <w:hideMark/>
          </w:tcPr>
          <w:p w14:paraId="08042D1E" w14:textId="44ADDBB3"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nil"/>
              <w:right w:val="single" w:sz="8" w:space="0" w:color="auto"/>
            </w:tcBorders>
            <w:hideMark/>
          </w:tcPr>
          <w:p w14:paraId="23438D66" w14:textId="5CD23BA4"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nil"/>
              <w:right w:val="single" w:sz="8" w:space="0" w:color="auto"/>
            </w:tcBorders>
            <w:hideMark/>
          </w:tcPr>
          <w:p w14:paraId="7194500D" w14:textId="0846E5B6"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36" w:type="dxa"/>
            <w:tcBorders>
              <w:top w:val="nil"/>
              <w:left w:val="nil"/>
              <w:bottom w:val="nil"/>
              <w:right w:val="single" w:sz="8" w:space="0" w:color="auto"/>
            </w:tcBorders>
            <w:hideMark/>
          </w:tcPr>
          <w:p w14:paraId="61D0064C" w14:textId="22E73682"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r>
      <w:tr w:rsidR="00C1182A" w:rsidRPr="005E1208" w14:paraId="56FE6BCA" w14:textId="77777777" w:rsidTr="00AF318D">
        <w:trPr>
          <w:trHeight w:val="315"/>
        </w:trPr>
        <w:tc>
          <w:tcPr>
            <w:tcW w:w="3114" w:type="dxa"/>
            <w:tcBorders>
              <w:top w:val="nil"/>
              <w:left w:val="single" w:sz="8" w:space="0" w:color="auto"/>
              <w:bottom w:val="single" w:sz="8" w:space="0" w:color="auto"/>
              <w:right w:val="nil"/>
            </w:tcBorders>
            <w:vAlign w:val="center"/>
            <w:hideMark/>
          </w:tcPr>
          <w:p w14:paraId="66836F09" w14:textId="77777777" w:rsidR="003D7D9D" w:rsidRPr="005E1208" w:rsidRDefault="003D7D9D" w:rsidP="003D7D9D">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Net cost to MBS (85% co-payment) (C = A x $125 x 85%)</w:t>
            </w:r>
          </w:p>
        </w:tc>
        <w:tc>
          <w:tcPr>
            <w:tcW w:w="992" w:type="dxa"/>
            <w:tcBorders>
              <w:top w:val="single" w:sz="8" w:space="0" w:color="auto"/>
              <w:left w:val="single" w:sz="8" w:space="0" w:color="auto"/>
              <w:bottom w:val="single" w:sz="8" w:space="0" w:color="auto"/>
              <w:right w:val="single" w:sz="8" w:space="0" w:color="auto"/>
            </w:tcBorders>
            <w:noWrap/>
            <w:hideMark/>
          </w:tcPr>
          <w:p w14:paraId="5B478B5A" w14:textId="1B22E655"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single" w:sz="8" w:space="0" w:color="auto"/>
              <w:left w:val="nil"/>
              <w:bottom w:val="single" w:sz="8" w:space="0" w:color="auto"/>
              <w:right w:val="single" w:sz="8" w:space="0" w:color="auto"/>
            </w:tcBorders>
            <w:noWrap/>
            <w:hideMark/>
          </w:tcPr>
          <w:p w14:paraId="62B9E8CA" w14:textId="24EAFAD6"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3" w:type="dxa"/>
            <w:tcBorders>
              <w:top w:val="single" w:sz="8" w:space="0" w:color="auto"/>
              <w:left w:val="nil"/>
              <w:bottom w:val="single" w:sz="8" w:space="0" w:color="auto"/>
              <w:right w:val="single" w:sz="8" w:space="0" w:color="auto"/>
            </w:tcBorders>
            <w:noWrap/>
            <w:hideMark/>
          </w:tcPr>
          <w:p w14:paraId="11247935" w14:textId="65A5A0CF"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single" w:sz="8" w:space="0" w:color="auto"/>
              <w:left w:val="nil"/>
              <w:bottom w:val="single" w:sz="8" w:space="0" w:color="auto"/>
              <w:right w:val="single" w:sz="8" w:space="0" w:color="auto"/>
            </w:tcBorders>
            <w:noWrap/>
            <w:hideMark/>
          </w:tcPr>
          <w:p w14:paraId="3F4AA857" w14:textId="1E170077"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92" w:type="dxa"/>
            <w:tcBorders>
              <w:top w:val="single" w:sz="8" w:space="0" w:color="auto"/>
              <w:left w:val="nil"/>
              <w:bottom w:val="single" w:sz="8" w:space="0" w:color="auto"/>
              <w:right w:val="single" w:sz="8" w:space="0" w:color="auto"/>
            </w:tcBorders>
            <w:noWrap/>
            <w:hideMark/>
          </w:tcPr>
          <w:p w14:paraId="2E28F363" w14:textId="737991D8"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36" w:type="dxa"/>
            <w:tcBorders>
              <w:top w:val="single" w:sz="8" w:space="0" w:color="auto"/>
              <w:left w:val="nil"/>
              <w:bottom w:val="single" w:sz="8" w:space="0" w:color="auto"/>
              <w:right w:val="single" w:sz="8" w:space="0" w:color="auto"/>
            </w:tcBorders>
            <w:noWrap/>
            <w:hideMark/>
          </w:tcPr>
          <w:p w14:paraId="740DF860" w14:textId="19DD09A7" w:rsidR="003D7D9D" w:rsidRPr="008D3C0C" w:rsidRDefault="003D7D9D" w:rsidP="003D7D9D">
            <w:pPr>
              <w:spacing w:before="0" w:after="0"/>
              <w:jc w:val="center"/>
              <w:rPr>
                <w:rFonts w:ascii="Arial Narrow" w:eastAsia="Times New Roman" w:hAnsi="Arial Narrow" w:cs="Times New Roman"/>
                <w:b/>
                <w:bCs/>
                <w:sz w:val="20"/>
                <w:szCs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r>
      <w:tr w:rsidR="000A03D7" w:rsidRPr="005E1208" w14:paraId="5C5371C0" w14:textId="77777777" w:rsidTr="00C1182A">
        <w:trPr>
          <w:trHeight w:val="315"/>
        </w:trPr>
        <w:tc>
          <w:tcPr>
            <w:tcW w:w="9011" w:type="dxa"/>
            <w:gridSpan w:val="7"/>
            <w:tcBorders>
              <w:top w:val="single" w:sz="8" w:space="0" w:color="auto"/>
              <w:left w:val="single" w:sz="8" w:space="0" w:color="auto"/>
              <w:bottom w:val="single" w:sz="8" w:space="0" w:color="auto"/>
              <w:right w:val="single" w:sz="8" w:space="0" w:color="000000"/>
            </w:tcBorders>
            <w:vAlign w:val="center"/>
            <w:hideMark/>
          </w:tcPr>
          <w:p w14:paraId="797A1A64" w14:textId="77777777" w:rsidR="000A03D7" w:rsidRPr="00BB16A7" w:rsidRDefault="000A03D7" w:rsidP="0004013F">
            <w:pPr>
              <w:spacing w:before="0" w:after="0"/>
              <w:jc w:val="center"/>
              <w:rPr>
                <w:rFonts w:ascii="Arial Narrow" w:eastAsia="Times New Roman" w:hAnsi="Arial Narrow" w:cs="Times New Roman"/>
                <w:b/>
                <w:bCs/>
                <w:sz w:val="20"/>
                <w:szCs w:val="20"/>
                <w:lang w:eastAsia="en-AU"/>
              </w:rPr>
            </w:pPr>
            <w:r w:rsidRPr="00BB16A7">
              <w:rPr>
                <w:rFonts w:ascii="Arial Narrow" w:eastAsia="Times New Roman" w:hAnsi="Arial Narrow" w:cs="Times New Roman"/>
                <w:b/>
                <w:bCs/>
                <w:sz w:val="20"/>
                <w:szCs w:val="20"/>
                <w:lang w:eastAsia="en-AU"/>
              </w:rPr>
              <w:t>Scenario: Testing at platinum-resistance</w:t>
            </w:r>
          </w:p>
        </w:tc>
      </w:tr>
      <w:tr w:rsidR="000A03D7" w:rsidRPr="005E1208" w14:paraId="114246B3" w14:textId="77777777" w:rsidTr="00C1182A">
        <w:trPr>
          <w:trHeight w:val="315"/>
        </w:trPr>
        <w:tc>
          <w:tcPr>
            <w:tcW w:w="9011" w:type="dxa"/>
            <w:gridSpan w:val="7"/>
            <w:tcBorders>
              <w:top w:val="single" w:sz="8" w:space="0" w:color="auto"/>
              <w:left w:val="single" w:sz="8" w:space="0" w:color="auto"/>
              <w:bottom w:val="single" w:sz="8" w:space="0" w:color="auto"/>
              <w:right w:val="single" w:sz="8" w:space="0" w:color="000000"/>
            </w:tcBorders>
            <w:vAlign w:val="center"/>
            <w:hideMark/>
          </w:tcPr>
          <w:p w14:paraId="083FC3AC" w14:textId="77777777" w:rsidR="000A03D7" w:rsidRPr="00BB16A7" w:rsidRDefault="000A03D7" w:rsidP="0004013F">
            <w:pPr>
              <w:spacing w:before="0" w:after="0"/>
              <w:jc w:val="left"/>
              <w:rPr>
                <w:rFonts w:ascii="Arial Narrow" w:eastAsia="Times New Roman" w:hAnsi="Arial Narrow" w:cs="Times New Roman"/>
                <w:b/>
                <w:bCs/>
                <w:sz w:val="20"/>
                <w:szCs w:val="20"/>
                <w:lang w:eastAsia="en-AU"/>
              </w:rPr>
            </w:pPr>
            <w:r w:rsidRPr="00BB16A7">
              <w:rPr>
                <w:rFonts w:ascii="Arial Narrow" w:eastAsia="Times New Roman" w:hAnsi="Arial Narrow" w:cs="Times New Roman"/>
                <w:b/>
                <w:bCs/>
                <w:sz w:val="20"/>
                <w:szCs w:val="20"/>
                <w:lang w:eastAsia="en-AU"/>
              </w:rPr>
              <w:t>FRα expression testing (proposed schedule fee =$125)</w:t>
            </w:r>
          </w:p>
        </w:tc>
      </w:tr>
      <w:tr w:rsidR="00C1182A" w:rsidRPr="005E1208" w14:paraId="2976E551"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69EF0C2" w14:textId="77777777" w:rsidR="00A402D7" w:rsidRPr="005E1208" w:rsidRDefault="00A402D7" w:rsidP="00A402D7">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services (D)</w:t>
            </w:r>
          </w:p>
        </w:tc>
        <w:tc>
          <w:tcPr>
            <w:tcW w:w="992" w:type="dxa"/>
            <w:tcBorders>
              <w:top w:val="nil"/>
              <w:left w:val="nil"/>
              <w:bottom w:val="single" w:sz="8" w:space="0" w:color="auto"/>
              <w:right w:val="single" w:sz="8" w:space="0" w:color="auto"/>
            </w:tcBorders>
            <w:hideMark/>
          </w:tcPr>
          <w:p w14:paraId="0A871101" w14:textId="4FC7FAA6"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7AA4149F" w14:textId="45E787DF"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c>
          <w:tcPr>
            <w:tcW w:w="993" w:type="dxa"/>
            <w:tcBorders>
              <w:top w:val="nil"/>
              <w:left w:val="nil"/>
              <w:bottom w:val="single" w:sz="8" w:space="0" w:color="auto"/>
              <w:right w:val="single" w:sz="8" w:space="0" w:color="auto"/>
            </w:tcBorders>
            <w:hideMark/>
          </w:tcPr>
          <w:p w14:paraId="03B81FFC" w14:textId="5E54607C"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49AFC2B7" w14:textId="66065328"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76CDBAD9" w14:textId="1BB104C5"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c>
          <w:tcPr>
            <w:tcW w:w="936" w:type="dxa"/>
            <w:tcBorders>
              <w:top w:val="nil"/>
              <w:left w:val="nil"/>
              <w:bottom w:val="single" w:sz="8" w:space="0" w:color="auto"/>
              <w:right w:val="single" w:sz="8" w:space="0" w:color="auto"/>
            </w:tcBorders>
            <w:hideMark/>
          </w:tcPr>
          <w:p w14:paraId="4D8604E7" w14:textId="7110A7DF"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823D3D">
              <w:rPr>
                <w:rFonts w:ascii="Arial Narrow" w:eastAsia="Times New Roman" w:hAnsi="Arial Narrow" w:cs="Times New Roman"/>
                <w:color w:val="000000"/>
                <w:sz w:val="19"/>
                <w:szCs w:val="19"/>
                <w:lang w:eastAsia="en-AU"/>
              </w:rPr>
              <w:t>redacted</w:t>
            </w:r>
            <w:r w:rsidRPr="00823D3D">
              <w:rPr>
                <w:rFonts w:ascii="Arial Narrow" w:eastAsia="Times New Roman" w:hAnsi="Arial Narrow" w:cs="Times New Roman"/>
                <w:color w:val="000000"/>
                <w:sz w:val="19"/>
                <w:szCs w:val="19"/>
                <w:vertAlign w:val="superscript"/>
                <w:lang w:eastAsia="en-AU"/>
              </w:rPr>
              <w:t>1</w:t>
            </w:r>
          </w:p>
        </w:tc>
      </w:tr>
      <w:tr w:rsidR="00C1182A" w:rsidRPr="005E1208" w14:paraId="1DFD86D2"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1480E45" w14:textId="77777777" w:rsidR="003D7D9D" w:rsidRPr="005E1208" w:rsidRDefault="003D7D9D" w:rsidP="003D7D9D">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to MBS (E = D x $125)</w:t>
            </w:r>
          </w:p>
        </w:tc>
        <w:tc>
          <w:tcPr>
            <w:tcW w:w="992" w:type="dxa"/>
            <w:tcBorders>
              <w:top w:val="nil"/>
              <w:left w:val="nil"/>
              <w:bottom w:val="single" w:sz="8" w:space="0" w:color="auto"/>
              <w:right w:val="single" w:sz="8" w:space="0" w:color="auto"/>
            </w:tcBorders>
            <w:hideMark/>
          </w:tcPr>
          <w:p w14:paraId="54584F99" w14:textId="2704F998"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5AF274F3" w14:textId="04E7FF22"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227D7C59" w14:textId="533376B2"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31835A7" w14:textId="785D5F1B"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12CF20E9" w14:textId="311683D9"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2F2E4AEF" w14:textId="47CCEB2E"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424FB6">
              <w:rPr>
                <w:rFonts w:ascii="Arial Narrow" w:eastAsia="Times New Roman" w:hAnsi="Arial Narrow" w:cs="Times New Roman"/>
                <w:color w:val="000000"/>
                <w:sz w:val="19"/>
                <w:szCs w:val="19"/>
                <w:lang w:eastAsia="en-AU"/>
              </w:rPr>
              <w:t>redacted</w:t>
            </w:r>
            <w:r w:rsidRPr="00424FB6">
              <w:rPr>
                <w:rFonts w:ascii="Arial Narrow" w:eastAsia="Times New Roman" w:hAnsi="Arial Narrow" w:cs="Times New Roman"/>
                <w:color w:val="000000"/>
                <w:sz w:val="19"/>
                <w:szCs w:val="19"/>
                <w:vertAlign w:val="superscript"/>
                <w:lang w:eastAsia="en-AU"/>
              </w:rPr>
              <w:t>3</w:t>
            </w:r>
          </w:p>
        </w:tc>
      </w:tr>
      <w:tr w:rsidR="00C1182A" w:rsidRPr="005E1208" w14:paraId="49FBA71C"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2229F185"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lastRenderedPageBreak/>
              <w:t>Patient copayment (F = -E x 20%)</w:t>
            </w:r>
          </w:p>
        </w:tc>
        <w:tc>
          <w:tcPr>
            <w:tcW w:w="992" w:type="dxa"/>
            <w:tcBorders>
              <w:top w:val="nil"/>
              <w:left w:val="nil"/>
              <w:bottom w:val="single" w:sz="8" w:space="0" w:color="auto"/>
              <w:right w:val="single" w:sz="8" w:space="0" w:color="auto"/>
            </w:tcBorders>
            <w:hideMark/>
          </w:tcPr>
          <w:p w14:paraId="3E233CE1" w14:textId="1B672B4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68E35B1A" w14:textId="5FF3843A"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752AECB4" w14:textId="1C248B93"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0AC7A3B0" w14:textId="410B4C76"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27DF58CD" w14:textId="69811E56"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3E5E7D59" w14:textId="1975B06C"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134C5D">
              <w:rPr>
                <w:rFonts w:ascii="Arial Narrow" w:eastAsia="Times New Roman" w:hAnsi="Arial Narrow" w:cs="Times New Roman"/>
                <w:color w:val="000000"/>
                <w:sz w:val="19"/>
                <w:szCs w:val="19"/>
                <w:lang w:eastAsia="en-AU"/>
              </w:rPr>
              <w:t>redacted</w:t>
            </w:r>
            <w:r w:rsidRPr="00134C5D">
              <w:rPr>
                <w:rFonts w:ascii="Arial Narrow" w:eastAsia="Times New Roman" w:hAnsi="Arial Narrow" w:cs="Times New Roman"/>
                <w:color w:val="000000"/>
                <w:sz w:val="19"/>
                <w:szCs w:val="19"/>
                <w:vertAlign w:val="superscript"/>
                <w:lang w:eastAsia="en-AU"/>
              </w:rPr>
              <w:t>4</w:t>
            </w:r>
          </w:p>
        </w:tc>
      </w:tr>
      <w:tr w:rsidR="00C1182A" w:rsidRPr="005E1208" w14:paraId="701CC903"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646A69A" w14:textId="77777777" w:rsidR="003D7D9D" w:rsidRPr="005E1208" w:rsidRDefault="003D7D9D" w:rsidP="003D7D9D">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Net cost to MBS (G = E x 80%)</w:t>
            </w:r>
          </w:p>
        </w:tc>
        <w:tc>
          <w:tcPr>
            <w:tcW w:w="992" w:type="dxa"/>
            <w:tcBorders>
              <w:top w:val="nil"/>
              <w:left w:val="nil"/>
              <w:bottom w:val="single" w:sz="8" w:space="0" w:color="auto"/>
              <w:right w:val="single" w:sz="8" w:space="0" w:color="auto"/>
            </w:tcBorders>
            <w:hideMark/>
          </w:tcPr>
          <w:p w14:paraId="6F723C15" w14:textId="52FDD748"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C77DF2D" w14:textId="6F38B9E6"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6DB98A66" w14:textId="6E40971A"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1FF6F15" w14:textId="3EF1A5AD"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F552E34" w14:textId="576DA09C"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41DA55DD" w14:textId="23B75472" w:rsidR="003D7D9D" w:rsidRPr="00D97679" w:rsidRDefault="003D7D9D" w:rsidP="003D7D9D">
            <w:pPr>
              <w:spacing w:before="0" w:after="0"/>
              <w:jc w:val="center"/>
              <w:rPr>
                <w:rFonts w:ascii="Arial Narrow" w:eastAsia="Times New Roman" w:hAnsi="Arial Narrow" w:cs="Times New Roman"/>
                <w:color w:val="000000"/>
                <w:sz w:val="20"/>
                <w:szCs w:val="20"/>
                <w:highlight w:val="yellow"/>
                <w:lang w:eastAsia="en-AU"/>
              </w:rPr>
            </w:pPr>
            <w:r w:rsidRPr="00C60BC1">
              <w:rPr>
                <w:rFonts w:ascii="Arial Narrow" w:eastAsia="Times New Roman" w:hAnsi="Arial Narrow" w:cs="Times New Roman"/>
                <w:color w:val="000000"/>
                <w:sz w:val="19"/>
                <w:szCs w:val="19"/>
                <w:lang w:eastAsia="en-AU"/>
              </w:rPr>
              <w:t>redacted</w:t>
            </w:r>
            <w:r w:rsidRPr="00C60BC1">
              <w:rPr>
                <w:rFonts w:ascii="Arial Narrow" w:eastAsia="Times New Roman" w:hAnsi="Arial Narrow" w:cs="Times New Roman"/>
                <w:color w:val="000000"/>
                <w:sz w:val="19"/>
                <w:szCs w:val="19"/>
                <w:vertAlign w:val="superscript"/>
                <w:lang w:eastAsia="en-AU"/>
              </w:rPr>
              <w:t>3</w:t>
            </w:r>
          </w:p>
        </w:tc>
      </w:tr>
      <w:tr w:rsidR="008E4309" w:rsidRPr="005E1208" w14:paraId="40A9FD80"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1B586E1B" w14:textId="77777777" w:rsidR="000A03D7" w:rsidRPr="005E1208" w:rsidRDefault="000A03D7" w:rsidP="0004013F">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Archival block retrieval</w:t>
            </w:r>
          </w:p>
        </w:tc>
        <w:tc>
          <w:tcPr>
            <w:tcW w:w="5897" w:type="dxa"/>
            <w:gridSpan w:val="6"/>
            <w:tcBorders>
              <w:top w:val="single" w:sz="8" w:space="0" w:color="auto"/>
              <w:left w:val="nil"/>
              <w:bottom w:val="single" w:sz="8" w:space="0" w:color="auto"/>
              <w:right w:val="single" w:sz="8" w:space="0" w:color="000000"/>
            </w:tcBorders>
            <w:vAlign w:val="center"/>
            <w:hideMark/>
          </w:tcPr>
          <w:p w14:paraId="2A84B895" w14:textId="77A17CB9" w:rsidR="000A03D7" w:rsidRPr="005E1208" w:rsidRDefault="005E1E8F" w:rsidP="0004013F">
            <w:pPr>
              <w:spacing w:before="0" w:after="0"/>
              <w:jc w:val="center"/>
              <w:rPr>
                <w:rFonts w:ascii="Arial Narrow" w:eastAsia="Times New Roman" w:hAnsi="Arial Narrow" w:cs="Times New Roman"/>
                <w:color w:val="000000"/>
                <w:sz w:val="20"/>
                <w:szCs w:val="20"/>
                <w:lang w:eastAsia="en-AU"/>
              </w:rPr>
            </w:pPr>
            <w:r>
              <w:rPr>
                <w:rFonts w:ascii="Arial Narrow" w:eastAsia="Times New Roman" w:hAnsi="Arial Narrow" w:cs="Times New Roman"/>
                <w:color w:val="000000"/>
                <w:sz w:val="20"/>
                <w:szCs w:val="20"/>
                <w:lang w:eastAsia="en-AU"/>
              </w:rPr>
              <w:t xml:space="preserve">MBS </w:t>
            </w:r>
            <w:r w:rsidR="000A03D7" w:rsidRPr="005E1208">
              <w:rPr>
                <w:rFonts w:ascii="Arial Narrow" w:eastAsia="Times New Roman" w:hAnsi="Arial Narrow" w:cs="Times New Roman"/>
                <w:color w:val="000000"/>
                <w:sz w:val="20"/>
                <w:szCs w:val="20"/>
                <w:lang w:eastAsia="en-AU"/>
              </w:rPr>
              <w:t>item 72860 (schedule fee = $85)</w:t>
            </w:r>
          </w:p>
        </w:tc>
      </w:tr>
      <w:tr w:rsidR="00C1182A" w:rsidRPr="005E1208" w14:paraId="6838563C"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46EFB61" w14:textId="77777777" w:rsidR="00A402D7" w:rsidRPr="005E1208" w:rsidRDefault="00A402D7" w:rsidP="00A402D7">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services (D)</w:t>
            </w:r>
          </w:p>
        </w:tc>
        <w:tc>
          <w:tcPr>
            <w:tcW w:w="992" w:type="dxa"/>
            <w:tcBorders>
              <w:top w:val="nil"/>
              <w:left w:val="nil"/>
              <w:bottom w:val="single" w:sz="8" w:space="0" w:color="auto"/>
              <w:right w:val="single" w:sz="8" w:space="0" w:color="auto"/>
            </w:tcBorders>
            <w:hideMark/>
          </w:tcPr>
          <w:p w14:paraId="40AE96F3" w14:textId="4B2F4FBD"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04E1B289" w14:textId="7112D395"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c>
          <w:tcPr>
            <w:tcW w:w="993" w:type="dxa"/>
            <w:tcBorders>
              <w:top w:val="nil"/>
              <w:left w:val="nil"/>
              <w:bottom w:val="single" w:sz="8" w:space="0" w:color="auto"/>
              <w:right w:val="single" w:sz="8" w:space="0" w:color="auto"/>
            </w:tcBorders>
            <w:hideMark/>
          </w:tcPr>
          <w:p w14:paraId="618AE578" w14:textId="7A4BF7BB"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2892132C" w14:textId="4F6BC3D5"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c>
          <w:tcPr>
            <w:tcW w:w="992" w:type="dxa"/>
            <w:tcBorders>
              <w:top w:val="nil"/>
              <w:left w:val="nil"/>
              <w:bottom w:val="single" w:sz="8" w:space="0" w:color="auto"/>
              <w:right w:val="single" w:sz="8" w:space="0" w:color="auto"/>
            </w:tcBorders>
            <w:hideMark/>
          </w:tcPr>
          <w:p w14:paraId="06F64C04" w14:textId="7444A8CE"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c>
          <w:tcPr>
            <w:tcW w:w="936" w:type="dxa"/>
            <w:tcBorders>
              <w:top w:val="nil"/>
              <w:left w:val="nil"/>
              <w:bottom w:val="single" w:sz="8" w:space="0" w:color="auto"/>
              <w:right w:val="single" w:sz="8" w:space="0" w:color="auto"/>
            </w:tcBorders>
            <w:hideMark/>
          </w:tcPr>
          <w:p w14:paraId="31CEDE71" w14:textId="090CCC4B" w:rsidR="00A402D7" w:rsidRPr="00D97679" w:rsidRDefault="00A402D7" w:rsidP="00A402D7">
            <w:pPr>
              <w:spacing w:before="0" w:after="0"/>
              <w:jc w:val="center"/>
              <w:rPr>
                <w:rFonts w:ascii="Arial Narrow" w:eastAsia="Times New Roman" w:hAnsi="Arial Narrow" w:cs="Times New Roman"/>
                <w:color w:val="000000"/>
                <w:sz w:val="20"/>
                <w:szCs w:val="20"/>
                <w:highlight w:val="yellow"/>
                <w:lang w:eastAsia="en-AU"/>
              </w:rPr>
            </w:pPr>
            <w:r w:rsidRPr="00793C41">
              <w:rPr>
                <w:rFonts w:ascii="Arial Narrow" w:eastAsia="Times New Roman" w:hAnsi="Arial Narrow" w:cs="Times New Roman"/>
                <w:color w:val="000000"/>
                <w:sz w:val="19"/>
                <w:szCs w:val="19"/>
                <w:lang w:eastAsia="en-AU"/>
              </w:rPr>
              <w:t>redacted</w:t>
            </w:r>
            <w:r w:rsidRPr="00793C41">
              <w:rPr>
                <w:rFonts w:ascii="Arial Narrow" w:eastAsia="Times New Roman" w:hAnsi="Arial Narrow" w:cs="Times New Roman"/>
                <w:color w:val="000000"/>
                <w:sz w:val="19"/>
                <w:szCs w:val="19"/>
                <w:vertAlign w:val="superscript"/>
                <w:lang w:eastAsia="en-AU"/>
              </w:rPr>
              <w:t>1</w:t>
            </w:r>
          </w:p>
        </w:tc>
      </w:tr>
      <w:tr w:rsidR="00C1182A" w:rsidRPr="005E1208" w14:paraId="70F9A554"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54513D0C" w14:textId="77777777" w:rsidR="003D7D9D" w:rsidRPr="005E1208" w:rsidRDefault="003D7D9D" w:rsidP="003D7D9D">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to MBS (H = D x $85)</w:t>
            </w:r>
          </w:p>
        </w:tc>
        <w:tc>
          <w:tcPr>
            <w:tcW w:w="992" w:type="dxa"/>
            <w:tcBorders>
              <w:top w:val="nil"/>
              <w:left w:val="nil"/>
              <w:bottom w:val="single" w:sz="8" w:space="0" w:color="auto"/>
              <w:right w:val="single" w:sz="8" w:space="0" w:color="auto"/>
            </w:tcBorders>
            <w:hideMark/>
          </w:tcPr>
          <w:p w14:paraId="4B9FDBDC" w14:textId="4B060AA0"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EC27358" w14:textId="41D26A80"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14CFCA71" w14:textId="404C8A31"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29611DE" w14:textId="535E3D89"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523829B2" w14:textId="616B9266"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4FA46669" w14:textId="76DC46E4" w:rsidR="003D7D9D" w:rsidRPr="003D7D9D" w:rsidRDefault="003D7D9D" w:rsidP="003D7D9D">
            <w:pPr>
              <w:spacing w:before="0" w:after="0"/>
              <w:jc w:val="center"/>
              <w:rPr>
                <w:rFonts w:ascii="Arial Narrow" w:eastAsia="Times New Roman" w:hAnsi="Arial Narrow" w:cs="Times New Roman"/>
                <w:b/>
                <w:bCs/>
                <w:color w:val="000000"/>
                <w:sz w:val="20"/>
                <w:szCs w:val="20"/>
                <w:highlight w:val="yellow"/>
                <w:lang w:eastAsia="en-AU"/>
              </w:rPr>
            </w:pPr>
            <w:r w:rsidRPr="00CA0CCA">
              <w:rPr>
                <w:rFonts w:ascii="Arial Narrow" w:eastAsia="Times New Roman" w:hAnsi="Arial Narrow" w:cs="Times New Roman"/>
                <w:color w:val="000000"/>
                <w:sz w:val="19"/>
                <w:szCs w:val="19"/>
                <w:lang w:eastAsia="en-AU"/>
              </w:rPr>
              <w:t>redacted</w:t>
            </w:r>
            <w:r w:rsidRPr="00CA0CCA">
              <w:rPr>
                <w:rFonts w:ascii="Arial Narrow" w:eastAsia="Times New Roman" w:hAnsi="Arial Narrow" w:cs="Times New Roman"/>
                <w:color w:val="000000"/>
                <w:sz w:val="19"/>
                <w:szCs w:val="19"/>
                <w:vertAlign w:val="superscript"/>
                <w:lang w:eastAsia="en-AU"/>
              </w:rPr>
              <w:t>3</w:t>
            </w:r>
          </w:p>
        </w:tc>
      </w:tr>
      <w:tr w:rsidR="00C1182A" w:rsidRPr="005E1208" w14:paraId="5A8BAE45"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44889E4"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Patient copayment (I = -H x 20%)</w:t>
            </w:r>
          </w:p>
        </w:tc>
        <w:tc>
          <w:tcPr>
            <w:tcW w:w="992" w:type="dxa"/>
            <w:tcBorders>
              <w:top w:val="nil"/>
              <w:left w:val="nil"/>
              <w:bottom w:val="single" w:sz="8" w:space="0" w:color="auto"/>
              <w:right w:val="single" w:sz="8" w:space="0" w:color="auto"/>
            </w:tcBorders>
            <w:hideMark/>
          </w:tcPr>
          <w:p w14:paraId="5DDECBC3" w14:textId="7B9891FC"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473BF32C" w14:textId="272565D0"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61ECB813" w14:textId="60BF9A60"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515E899E" w14:textId="31924F75"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32D24EA3" w14:textId="54FF1BA3"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491F8DB1" w14:textId="59D417C7"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F80203">
              <w:rPr>
                <w:rFonts w:ascii="Arial Narrow" w:eastAsia="Times New Roman" w:hAnsi="Arial Narrow" w:cs="Times New Roman"/>
                <w:color w:val="000000"/>
                <w:sz w:val="19"/>
                <w:szCs w:val="19"/>
                <w:lang w:eastAsia="en-AU"/>
              </w:rPr>
              <w:t>redacted</w:t>
            </w:r>
            <w:r w:rsidRPr="00F80203">
              <w:rPr>
                <w:rFonts w:ascii="Arial Narrow" w:eastAsia="Times New Roman" w:hAnsi="Arial Narrow" w:cs="Times New Roman"/>
                <w:color w:val="000000"/>
                <w:sz w:val="19"/>
                <w:szCs w:val="19"/>
                <w:vertAlign w:val="superscript"/>
                <w:lang w:eastAsia="en-AU"/>
              </w:rPr>
              <w:t>4</w:t>
            </w:r>
          </w:p>
        </w:tc>
      </w:tr>
      <w:tr w:rsidR="00C1182A" w:rsidRPr="005E1208" w14:paraId="262745CB" w14:textId="77777777" w:rsidTr="00AF318D">
        <w:trPr>
          <w:trHeight w:val="349"/>
        </w:trPr>
        <w:tc>
          <w:tcPr>
            <w:tcW w:w="3114" w:type="dxa"/>
            <w:tcBorders>
              <w:top w:val="nil"/>
              <w:left w:val="single" w:sz="8" w:space="0" w:color="auto"/>
              <w:bottom w:val="single" w:sz="8" w:space="0" w:color="auto"/>
              <w:right w:val="single" w:sz="8" w:space="0" w:color="auto"/>
            </w:tcBorders>
            <w:vAlign w:val="center"/>
            <w:hideMark/>
          </w:tcPr>
          <w:p w14:paraId="3BA96748" w14:textId="77777777" w:rsidR="003D7D9D" w:rsidRPr="005E1208" w:rsidRDefault="003D7D9D" w:rsidP="003D7D9D">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Net cost to MBS (J = H x 80%)</w:t>
            </w:r>
          </w:p>
        </w:tc>
        <w:tc>
          <w:tcPr>
            <w:tcW w:w="992" w:type="dxa"/>
            <w:tcBorders>
              <w:top w:val="nil"/>
              <w:left w:val="nil"/>
              <w:bottom w:val="single" w:sz="8" w:space="0" w:color="auto"/>
              <w:right w:val="single" w:sz="8" w:space="0" w:color="auto"/>
            </w:tcBorders>
            <w:hideMark/>
          </w:tcPr>
          <w:p w14:paraId="6CEC034E" w14:textId="38A105C9"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547B27C" w14:textId="1467B75B"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1A970F4C" w14:textId="69F1CE89"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0329EB1" w14:textId="7C8D4B9C"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20FEBC1A" w14:textId="539AAAD0"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6782F614" w14:textId="6F97D33D" w:rsidR="003D7D9D" w:rsidRPr="00D97679" w:rsidRDefault="003D7D9D" w:rsidP="003D7D9D">
            <w:pPr>
              <w:spacing w:before="0" w:after="0"/>
              <w:jc w:val="center"/>
              <w:rPr>
                <w:rFonts w:ascii="Arial Narrow" w:eastAsia="Times New Roman" w:hAnsi="Arial Narrow" w:cs="Times New Roman"/>
                <w:sz w:val="20"/>
                <w:szCs w:val="20"/>
                <w:highlight w:val="yellow"/>
                <w:lang w:eastAsia="en-AU"/>
              </w:rPr>
            </w:pPr>
            <w:r w:rsidRPr="00F006C9">
              <w:rPr>
                <w:rFonts w:ascii="Arial Narrow" w:eastAsia="Times New Roman" w:hAnsi="Arial Narrow" w:cs="Times New Roman"/>
                <w:color w:val="000000"/>
                <w:sz w:val="19"/>
                <w:szCs w:val="19"/>
                <w:lang w:eastAsia="en-AU"/>
              </w:rPr>
              <w:t>redacted</w:t>
            </w:r>
            <w:r w:rsidRPr="00F006C9">
              <w:rPr>
                <w:rFonts w:ascii="Arial Narrow" w:eastAsia="Times New Roman" w:hAnsi="Arial Narrow" w:cs="Times New Roman"/>
                <w:color w:val="000000"/>
                <w:sz w:val="19"/>
                <w:szCs w:val="19"/>
                <w:vertAlign w:val="superscript"/>
                <w:lang w:eastAsia="en-AU"/>
              </w:rPr>
              <w:t>3</w:t>
            </w:r>
          </w:p>
        </w:tc>
      </w:tr>
      <w:tr w:rsidR="003D5F2C" w:rsidRPr="005E1208" w14:paraId="6DACCEDE"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4BAD3F22" w14:textId="77777777" w:rsidR="000A03D7" w:rsidRPr="005E1208" w:rsidRDefault="000A03D7" w:rsidP="0004013F">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 xml:space="preserve"> Re-biopsy procedure</w:t>
            </w:r>
          </w:p>
        </w:tc>
        <w:tc>
          <w:tcPr>
            <w:tcW w:w="5897" w:type="dxa"/>
            <w:gridSpan w:val="6"/>
            <w:tcBorders>
              <w:top w:val="single" w:sz="8" w:space="0" w:color="auto"/>
              <w:left w:val="nil"/>
              <w:bottom w:val="single" w:sz="8" w:space="0" w:color="auto"/>
              <w:right w:val="single" w:sz="8" w:space="0" w:color="000000"/>
            </w:tcBorders>
            <w:noWrap/>
            <w:vAlign w:val="bottom"/>
            <w:hideMark/>
          </w:tcPr>
          <w:p w14:paraId="505BD2A4" w14:textId="79781845" w:rsidR="000A03D7" w:rsidRPr="007504C9" w:rsidRDefault="005E1E8F" w:rsidP="0004013F">
            <w:pPr>
              <w:spacing w:before="0" w:after="0"/>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 xml:space="preserve">MBS </w:t>
            </w:r>
            <w:r w:rsidR="000A03D7" w:rsidRPr="007504C9">
              <w:rPr>
                <w:rFonts w:ascii="Arial Narrow" w:eastAsia="Times New Roman" w:hAnsi="Arial Narrow" w:cs="Times New Roman"/>
                <w:sz w:val="20"/>
                <w:szCs w:val="20"/>
                <w:lang w:eastAsia="en-AU"/>
              </w:rPr>
              <w:t>item 30094 (schedule fee = $215.80)</w:t>
            </w:r>
          </w:p>
        </w:tc>
      </w:tr>
      <w:tr w:rsidR="00C1182A" w:rsidRPr="005E1208" w14:paraId="20491D98"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19890D11" w14:textId="77777777" w:rsidR="00A402D7" w:rsidRPr="005E1208" w:rsidRDefault="00A402D7" w:rsidP="00A402D7">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services (K =10% x A)</w:t>
            </w:r>
          </w:p>
        </w:tc>
        <w:tc>
          <w:tcPr>
            <w:tcW w:w="992" w:type="dxa"/>
            <w:tcBorders>
              <w:top w:val="nil"/>
              <w:left w:val="nil"/>
              <w:bottom w:val="single" w:sz="8" w:space="0" w:color="auto"/>
              <w:right w:val="single" w:sz="8" w:space="0" w:color="auto"/>
            </w:tcBorders>
            <w:hideMark/>
          </w:tcPr>
          <w:p w14:paraId="39C706BD" w14:textId="2E8FB7A8"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235A5807" w14:textId="5A858278"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c>
          <w:tcPr>
            <w:tcW w:w="993" w:type="dxa"/>
            <w:tcBorders>
              <w:top w:val="nil"/>
              <w:left w:val="nil"/>
              <w:bottom w:val="single" w:sz="8" w:space="0" w:color="auto"/>
              <w:right w:val="single" w:sz="8" w:space="0" w:color="auto"/>
            </w:tcBorders>
            <w:hideMark/>
          </w:tcPr>
          <w:p w14:paraId="5BEFD670" w14:textId="4EEB18A6"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1B0274FC" w14:textId="2C1D7717"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484EA969" w14:textId="016E7E95"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c>
          <w:tcPr>
            <w:tcW w:w="936" w:type="dxa"/>
            <w:tcBorders>
              <w:top w:val="nil"/>
              <w:left w:val="nil"/>
              <w:bottom w:val="single" w:sz="8" w:space="0" w:color="auto"/>
              <w:right w:val="single" w:sz="8" w:space="0" w:color="auto"/>
            </w:tcBorders>
            <w:hideMark/>
          </w:tcPr>
          <w:p w14:paraId="0CC5EE06" w14:textId="06FAC9B6"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7D4E86">
              <w:rPr>
                <w:rFonts w:ascii="Arial Narrow" w:eastAsia="Times New Roman" w:hAnsi="Arial Narrow" w:cs="Times New Roman"/>
                <w:color w:val="000000"/>
                <w:sz w:val="19"/>
                <w:szCs w:val="19"/>
                <w:lang w:eastAsia="en-AU"/>
              </w:rPr>
              <w:t>redacted</w:t>
            </w:r>
            <w:r w:rsidRPr="007D4E86">
              <w:rPr>
                <w:rFonts w:ascii="Arial Narrow" w:eastAsia="Times New Roman" w:hAnsi="Arial Narrow" w:cs="Times New Roman"/>
                <w:color w:val="000000"/>
                <w:sz w:val="19"/>
                <w:szCs w:val="19"/>
                <w:vertAlign w:val="superscript"/>
                <w:lang w:eastAsia="en-AU"/>
              </w:rPr>
              <w:t>2</w:t>
            </w:r>
          </w:p>
        </w:tc>
      </w:tr>
      <w:tr w:rsidR="00C1182A" w:rsidRPr="005E1208" w14:paraId="5E1A537A"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00119A6"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to MBS (L = K x $215.80)</w:t>
            </w:r>
          </w:p>
        </w:tc>
        <w:tc>
          <w:tcPr>
            <w:tcW w:w="992" w:type="dxa"/>
            <w:tcBorders>
              <w:top w:val="nil"/>
              <w:left w:val="nil"/>
              <w:bottom w:val="single" w:sz="8" w:space="0" w:color="auto"/>
              <w:right w:val="single" w:sz="8" w:space="0" w:color="auto"/>
            </w:tcBorders>
            <w:hideMark/>
          </w:tcPr>
          <w:p w14:paraId="3541CF72" w14:textId="5E190BB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8C00F99" w14:textId="01E2F3C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3B23297D" w14:textId="7AAE494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EFB7022" w14:textId="0B3DB636"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1F09AC62" w14:textId="5983ED70"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5126F1E2" w14:textId="3538C7E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3C1225">
              <w:rPr>
                <w:rFonts w:ascii="Arial Narrow" w:eastAsia="Times New Roman" w:hAnsi="Arial Narrow" w:cs="Times New Roman"/>
                <w:color w:val="000000"/>
                <w:sz w:val="19"/>
                <w:szCs w:val="19"/>
                <w:lang w:eastAsia="en-AU"/>
              </w:rPr>
              <w:t>redacted</w:t>
            </w:r>
            <w:r w:rsidRPr="003C1225">
              <w:rPr>
                <w:rFonts w:ascii="Arial Narrow" w:eastAsia="Times New Roman" w:hAnsi="Arial Narrow" w:cs="Times New Roman"/>
                <w:color w:val="000000"/>
                <w:sz w:val="19"/>
                <w:szCs w:val="19"/>
                <w:vertAlign w:val="superscript"/>
                <w:lang w:eastAsia="en-AU"/>
              </w:rPr>
              <w:t>3</w:t>
            </w:r>
          </w:p>
        </w:tc>
      </w:tr>
      <w:tr w:rsidR="00C1182A" w:rsidRPr="005E1208" w14:paraId="63EA9CC5"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3014A22"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Patient copayment (M = -L x 20%)</w:t>
            </w:r>
          </w:p>
        </w:tc>
        <w:tc>
          <w:tcPr>
            <w:tcW w:w="992" w:type="dxa"/>
            <w:tcBorders>
              <w:top w:val="nil"/>
              <w:left w:val="nil"/>
              <w:bottom w:val="single" w:sz="8" w:space="0" w:color="auto"/>
              <w:right w:val="single" w:sz="8" w:space="0" w:color="auto"/>
            </w:tcBorders>
            <w:hideMark/>
          </w:tcPr>
          <w:p w14:paraId="5385D9E2" w14:textId="5E594660"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5104A3A5" w14:textId="21EDB4D5"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3A06C40A" w14:textId="373F0EB2"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309B77F8" w14:textId="092388CD"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575631BF" w14:textId="3343D48D"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20BF3F42" w14:textId="4C3DE1EA"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DE57BD">
              <w:rPr>
                <w:rFonts w:ascii="Arial Narrow" w:eastAsia="Times New Roman" w:hAnsi="Arial Narrow" w:cs="Times New Roman"/>
                <w:color w:val="000000"/>
                <w:sz w:val="19"/>
                <w:szCs w:val="19"/>
                <w:lang w:eastAsia="en-AU"/>
              </w:rPr>
              <w:t>redacted</w:t>
            </w:r>
            <w:r w:rsidRPr="00DE57BD">
              <w:rPr>
                <w:rFonts w:ascii="Arial Narrow" w:eastAsia="Times New Roman" w:hAnsi="Arial Narrow" w:cs="Times New Roman"/>
                <w:color w:val="000000"/>
                <w:sz w:val="19"/>
                <w:szCs w:val="19"/>
                <w:vertAlign w:val="superscript"/>
                <w:lang w:eastAsia="en-AU"/>
              </w:rPr>
              <w:t>4</w:t>
            </w:r>
          </w:p>
        </w:tc>
      </w:tr>
      <w:tr w:rsidR="00C1182A" w:rsidRPr="005E1208" w14:paraId="505AC6C8"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A8D0A95" w14:textId="77777777" w:rsidR="00725668" w:rsidRPr="005E1208" w:rsidRDefault="00725668" w:rsidP="00725668">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Net cost to MBS (N = L x 80%)</w:t>
            </w:r>
          </w:p>
        </w:tc>
        <w:tc>
          <w:tcPr>
            <w:tcW w:w="992" w:type="dxa"/>
            <w:tcBorders>
              <w:top w:val="nil"/>
              <w:left w:val="nil"/>
              <w:bottom w:val="single" w:sz="8" w:space="0" w:color="auto"/>
              <w:right w:val="single" w:sz="8" w:space="0" w:color="auto"/>
            </w:tcBorders>
            <w:hideMark/>
          </w:tcPr>
          <w:p w14:paraId="4FDBC7E0" w14:textId="7D10ACCA"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D8FBCBC" w14:textId="03C1B8F9"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4E484267" w14:textId="39E1D80A"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528358C" w14:textId="2829B839"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29B0451" w14:textId="638D2C36"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000163B5" w14:textId="39E5F4BA" w:rsidR="00725668" w:rsidRPr="00D97679" w:rsidRDefault="00725668" w:rsidP="00725668">
            <w:pPr>
              <w:spacing w:before="0" w:after="0"/>
              <w:jc w:val="center"/>
              <w:rPr>
                <w:rFonts w:ascii="Arial Narrow" w:eastAsia="Times New Roman" w:hAnsi="Arial Narrow" w:cs="Times New Roman"/>
                <w:sz w:val="20"/>
                <w:szCs w:val="20"/>
                <w:highlight w:val="yellow"/>
                <w:lang w:eastAsia="en-AU"/>
              </w:rPr>
            </w:pPr>
            <w:r w:rsidRPr="006701A1">
              <w:rPr>
                <w:rFonts w:ascii="Arial Narrow" w:eastAsia="Times New Roman" w:hAnsi="Arial Narrow" w:cs="Times New Roman"/>
                <w:color w:val="000000"/>
                <w:sz w:val="19"/>
                <w:szCs w:val="19"/>
                <w:lang w:eastAsia="en-AU"/>
              </w:rPr>
              <w:t>redacted</w:t>
            </w:r>
            <w:r w:rsidRPr="006701A1">
              <w:rPr>
                <w:rFonts w:ascii="Arial Narrow" w:eastAsia="Times New Roman" w:hAnsi="Arial Narrow" w:cs="Times New Roman"/>
                <w:color w:val="000000"/>
                <w:sz w:val="19"/>
                <w:szCs w:val="19"/>
                <w:vertAlign w:val="superscript"/>
                <w:lang w:eastAsia="en-AU"/>
              </w:rPr>
              <w:t>3</w:t>
            </w:r>
          </w:p>
        </w:tc>
      </w:tr>
      <w:tr w:rsidR="008E4309" w:rsidRPr="005E1208" w14:paraId="32EFA580"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4588D10E" w14:textId="77777777" w:rsidR="000A03D7" w:rsidRPr="005E1208" w:rsidRDefault="000A03D7" w:rsidP="0004013F">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Pre-anaesthesia consultation</w:t>
            </w:r>
          </w:p>
        </w:tc>
        <w:tc>
          <w:tcPr>
            <w:tcW w:w="5897" w:type="dxa"/>
            <w:gridSpan w:val="6"/>
            <w:tcBorders>
              <w:top w:val="single" w:sz="8" w:space="0" w:color="auto"/>
              <w:left w:val="nil"/>
              <w:bottom w:val="single" w:sz="8" w:space="0" w:color="auto"/>
              <w:right w:val="single" w:sz="8" w:space="0" w:color="000000"/>
            </w:tcBorders>
            <w:vAlign w:val="center"/>
            <w:hideMark/>
          </w:tcPr>
          <w:p w14:paraId="2CC8EB17" w14:textId="66546024" w:rsidR="000A03D7" w:rsidRPr="00BB16A7" w:rsidRDefault="005E1E8F" w:rsidP="0004013F">
            <w:pPr>
              <w:spacing w:before="0" w:after="0"/>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 xml:space="preserve">MBS </w:t>
            </w:r>
            <w:r w:rsidR="000A03D7" w:rsidRPr="00BB16A7">
              <w:rPr>
                <w:rFonts w:ascii="Arial Narrow" w:eastAsia="Times New Roman" w:hAnsi="Arial Narrow" w:cs="Times New Roman"/>
                <w:sz w:val="20"/>
                <w:szCs w:val="20"/>
                <w:lang w:eastAsia="en-AU"/>
              </w:rPr>
              <w:t>item 17610 (schedule fee = $49.75)</w:t>
            </w:r>
          </w:p>
        </w:tc>
      </w:tr>
      <w:tr w:rsidR="00C1182A" w:rsidRPr="005E1208" w14:paraId="0605663D"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2EACF8AB" w14:textId="77777777" w:rsidR="00A402D7" w:rsidRPr="005E1208" w:rsidRDefault="00A402D7" w:rsidP="00A402D7">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services (K =10% x A)</w:t>
            </w:r>
          </w:p>
        </w:tc>
        <w:tc>
          <w:tcPr>
            <w:tcW w:w="992" w:type="dxa"/>
            <w:tcBorders>
              <w:top w:val="nil"/>
              <w:left w:val="nil"/>
              <w:bottom w:val="single" w:sz="8" w:space="0" w:color="auto"/>
              <w:right w:val="single" w:sz="8" w:space="0" w:color="auto"/>
            </w:tcBorders>
            <w:vAlign w:val="center"/>
            <w:hideMark/>
          </w:tcPr>
          <w:p w14:paraId="3CCC7171" w14:textId="45EA46A2"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Pr>
                <w:rFonts w:ascii="Arial Narrow" w:eastAsia="Times New Roman" w:hAnsi="Arial Narrow" w:cs="Times New Roman"/>
                <w:color w:val="000000"/>
                <w:sz w:val="19"/>
                <w:szCs w:val="19"/>
                <w:lang w:eastAsia="en-AU"/>
              </w:rPr>
              <w:t>r</w:t>
            </w:r>
            <w:r w:rsidRPr="000C1B45">
              <w:rPr>
                <w:rFonts w:ascii="Arial Narrow" w:eastAsia="Times New Roman" w:hAnsi="Arial Narrow" w:cs="Times New Roman"/>
                <w:color w:val="000000"/>
                <w:sz w:val="19"/>
                <w:szCs w:val="19"/>
                <w:lang w:eastAsia="en-AU"/>
              </w:rPr>
              <w:t>edacted</w:t>
            </w:r>
            <w:r>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0A28D42C" w14:textId="47A47E22"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B353E7">
              <w:rPr>
                <w:rFonts w:ascii="Arial Narrow" w:eastAsia="Times New Roman" w:hAnsi="Arial Narrow" w:cs="Times New Roman"/>
                <w:color w:val="000000"/>
                <w:sz w:val="19"/>
                <w:szCs w:val="19"/>
                <w:lang w:eastAsia="en-AU"/>
              </w:rPr>
              <w:t>redacted</w:t>
            </w:r>
            <w:r w:rsidRPr="00B353E7">
              <w:rPr>
                <w:rFonts w:ascii="Arial Narrow" w:eastAsia="Times New Roman" w:hAnsi="Arial Narrow" w:cs="Times New Roman"/>
                <w:color w:val="000000"/>
                <w:sz w:val="19"/>
                <w:szCs w:val="19"/>
                <w:vertAlign w:val="superscript"/>
                <w:lang w:eastAsia="en-AU"/>
              </w:rPr>
              <w:t>2</w:t>
            </w:r>
          </w:p>
        </w:tc>
        <w:tc>
          <w:tcPr>
            <w:tcW w:w="993" w:type="dxa"/>
            <w:tcBorders>
              <w:top w:val="nil"/>
              <w:left w:val="nil"/>
              <w:bottom w:val="single" w:sz="8" w:space="0" w:color="auto"/>
              <w:right w:val="single" w:sz="8" w:space="0" w:color="auto"/>
            </w:tcBorders>
            <w:hideMark/>
          </w:tcPr>
          <w:p w14:paraId="5B604079" w14:textId="0C87AA8F"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B353E7">
              <w:rPr>
                <w:rFonts w:ascii="Arial Narrow" w:eastAsia="Times New Roman" w:hAnsi="Arial Narrow" w:cs="Times New Roman"/>
                <w:color w:val="000000"/>
                <w:sz w:val="19"/>
                <w:szCs w:val="19"/>
                <w:lang w:eastAsia="en-AU"/>
              </w:rPr>
              <w:t>redacted</w:t>
            </w:r>
            <w:r w:rsidRPr="00B353E7">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16964D68" w14:textId="4BA6D902"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B353E7">
              <w:rPr>
                <w:rFonts w:ascii="Arial Narrow" w:eastAsia="Times New Roman" w:hAnsi="Arial Narrow" w:cs="Times New Roman"/>
                <w:color w:val="000000"/>
                <w:sz w:val="19"/>
                <w:szCs w:val="19"/>
                <w:lang w:eastAsia="en-AU"/>
              </w:rPr>
              <w:t>redacted</w:t>
            </w:r>
            <w:r w:rsidRPr="00B353E7">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1F245464" w14:textId="5AE0103F"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B353E7">
              <w:rPr>
                <w:rFonts w:ascii="Arial Narrow" w:eastAsia="Times New Roman" w:hAnsi="Arial Narrow" w:cs="Times New Roman"/>
                <w:color w:val="000000"/>
                <w:sz w:val="19"/>
                <w:szCs w:val="19"/>
                <w:lang w:eastAsia="en-AU"/>
              </w:rPr>
              <w:t>redacted</w:t>
            </w:r>
            <w:r w:rsidRPr="00B353E7">
              <w:rPr>
                <w:rFonts w:ascii="Arial Narrow" w:eastAsia="Times New Roman" w:hAnsi="Arial Narrow" w:cs="Times New Roman"/>
                <w:color w:val="000000"/>
                <w:sz w:val="19"/>
                <w:szCs w:val="19"/>
                <w:vertAlign w:val="superscript"/>
                <w:lang w:eastAsia="en-AU"/>
              </w:rPr>
              <w:t>2</w:t>
            </w:r>
          </w:p>
        </w:tc>
        <w:tc>
          <w:tcPr>
            <w:tcW w:w="936" w:type="dxa"/>
            <w:tcBorders>
              <w:top w:val="nil"/>
              <w:left w:val="nil"/>
              <w:bottom w:val="single" w:sz="8" w:space="0" w:color="auto"/>
              <w:right w:val="single" w:sz="8" w:space="0" w:color="auto"/>
            </w:tcBorders>
            <w:hideMark/>
          </w:tcPr>
          <w:p w14:paraId="4FC6505A" w14:textId="60DC17A7" w:rsidR="00A402D7" w:rsidRPr="00D97679" w:rsidRDefault="00A402D7" w:rsidP="00A402D7">
            <w:pPr>
              <w:spacing w:before="0" w:after="0"/>
              <w:jc w:val="center"/>
              <w:rPr>
                <w:rFonts w:ascii="Arial Narrow" w:eastAsia="Times New Roman" w:hAnsi="Arial Narrow" w:cs="Times New Roman"/>
                <w:sz w:val="20"/>
                <w:szCs w:val="20"/>
                <w:highlight w:val="yellow"/>
                <w:lang w:eastAsia="en-AU"/>
              </w:rPr>
            </w:pPr>
            <w:r w:rsidRPr="00B353E7">
              <w:rPr>
                <w:rFonts w:ascii="Arial Narrow" w:eastAsia="Times New Roman" w:hAnsi="Arial Narrow" w:cs="Times New Roman"/>
                <w:color w:val="000000"/>
                <w:sz w:val="19"/>
                <w:szCs w:val="19"/>
                <w:lang w:eastAsia="en-AU"/>
              </w:rPr>
              <w:t>redacted</w:t>
            </w:r>
            <w:r w:rsidRPr="00B353E7">
              <w:rPr>
                <w:rFonts w:ascii="Arial Narrow" w:eastAsia="Times New Roman" w:hAnsi="Arial Narrow" w:cs="Times New Roman"/>
                <w:color w:val="000000"/>
                <w:sz w:val="19"/>
                <w:szCs w:val="19"/>
                <w:vertAlign w:val="superscript"/>
                <w:lang w:eastAsia="en-AU"/>
              </w:rPr>
              <w:t>2</w:t>
            </w:r>
          </w:p>
        </w:tc>
      </w:tr>
      <w:tr w:rsidR="00C1182A" w:rsidRPr="005E1208" w14:paraId="5B64C874"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182FE7F6"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to MBS (O= K x $49.75)</w:t>
            </w:r>
          </w:p>
        </w:tc>
        <w:tc>
          <w:tcPr>
            <w:tcW w:w="992" w:type="dxa"/>
            <w:tcBorders>
              <w:top w:val="nil"/>
              <w:left w:val="nil"/>
              <w:bottom w:val="single" w:sz="8" w:space="0" w:color="auto"/>
              <w:right w:val="single" w:sz="8" w:space="0" w:color="auto"/>
            </w:tcBorders>
            <w:hideMark/>
          </w:tcPr>
          <w:p w14:paraId="00E28BE2" w14:textId="7684488B"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E1D0378" w14:textId="4BDFE565"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0A1AC613" w14:textId="677038EB"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02D7DB6" w14:textId="5744786B"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2C3C9728" w14:textId="78CC9408"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2B7FA835" w14:textId="5B57FE13"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EC45C7">
              <w:rPr>
                <w:rFonts w:ascii="Arial Narrow" w:eastAsia="Times New Roman" w:hAnsi="Arial Narrow" w:cs="Times New Roman"/>
                <w:color w:val="000000"/>
                <w:sz w:val="19"/>
                <w:szCs w:val="19"/>
                <w:vertAlign w:val="superscript"/>
                <w:lang w:eastAsia="en-AU"/>
              </w:rPr>
              <w:t>3</w:t>
            </w:r>
          </w:p>
        </w:tc>
      </w:tr>
      <w:tr w:rsidR="00C1182A" w:rsidRPr="005E1208" w14:paraId="42632F19"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446AE3C1" w14:textId="77777777" w:rsidR="00B34040" w:rsidRPr="005E1208" w:rsidRDefault="00B34040" w:rsidP="00B34040">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Patient copayment (P = -O x 20%)</w:t>
            </w:r>
          </w:p>
        </w:tc>
        <w:tc>
          <w:tcPr>
            <w:tcW w:w="992" w:type="dxa"/>
            <w:tcBorders>
              <w:top w:val="nil"/>
              <w:left w:val="nil"/>
              <w:bottom w:val="single" w:sz="8" w:space="0" w:color="auto"/>
              <w:right w:val="single" w:sz="8" w:space="0" w:color="auto"/>
            </w:tcBorders>
            <w:hideMark/>
          </w:tcPr>
          <w:p w14:paraId="53B0463E" w14:textId="59BB12D1"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2C839E47" w14:textId="78CDB5B0"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505BD6E5" w14:textId="06C01202"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6E4FE582" w14:textId="117F8DF4"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0A248FA9" w14:textId="65757818"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37A7FB5F" w14:textId="668D223C" w:rsidR="00B34040" w:rsidRPr="00D97679" w:rsidRDefault="00B34040" w:rsidP="00B34040">
            <w:pPr>
              <w:spacing w:before="0" w:after="0"/>
              <w:jc w:val="center"/>
              <w:rPr>
                <w:rFonts w:ascii="Arial Narrow" w:eastAsia="Times New Roman" w:hAnsi="Arial Narrow" w:cs="Times New Roman"/>
                <w:sz w:val="20"/>
                <w:szCs w:val="20"/>
                <w:highlight w:val="yellow"/>
                <w:lang w:eastAsia="en-AU"/>
              </w:rPr>
            </w:pPr>
            <w:r w:rsidRPr="00EE4A84">
              <w:rPr>
                <w:rFonts w:ascii="Arial Narrow" w:eastAsia="Times New Roman" w:hAnsi="Arial Narrow" w:cs="Times New Roman"/>
                <w:color w:val="000000"/>
                <w:sz w:val="19"/>
                <w:szCs w:val="19"/>
                <w:lang w:eastAsia="en-AU"/>
              </w:rPr>
              <w:t>redacted</w:t>
            </w:r>
            <w:r w:rsidRPr="00EE4A84">
              <w:rPr>
                <w:rFonts w:ascii="Arial Narrow" w:eastAsia="Times New Roman" w:hAnsi="Arial Narrow" w:cs="Times New Roman"/>
                <w:color w:val="000000"/>
                <w:sz w:val="19"/>
                <w:szCs w:val="19"/>
                <w:vertAlign w:val="superscript"/>
                <w:lang w:eastAsia="en-AU"/>
              </w:rPr>
              <w:t>4</w:t>
            </w:r>
          </w:p>
        </w:tc>
      </w:tr>
      <w:tr w:rsidR="00C1182A" w:rsidRPr="005E1208" w14:paraId="2F80B812"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7212A5C6" w14:textId="77777777" w:rsidR="007E15F8" w:rsidRPr="005E1208" w:rsidRDefault="007E15F8" w:rsidP="007E15F8">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Net cost to MBS (Q = O x 80%)</w:t>
            </w:r>
          </w:p>
        </w:tc>
        <w:tc>
          <w:tcPr>
            <w:tcW w:w="992" w:type="dxa"/>
            <w:tcBorders>
              <w:top w:val="nil"/>
              <w:left w:val="nil"/>
              <w:bottom w:val="single" w:sz="8" w:space="0" w:color="auto"/>
              <w:right w:val="single" w:sz="8" w:space="0" w:color="auto"/>
            </w:tcBorders>
            <w:hideMark/>
          </w:tcPr>
          <w:p w14:paraId="506E9903" w14:textId="4F6738C1"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DF0DA23" w14:textId="45F91F9A"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5BED4695" w14:textId="013E2879"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8B9A21D" w14:textId="48A34F0C"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48D0029" w14:textId="3C1C55D4"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704C05A0" w14:textId="26157C7C"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383FE9">
              <w:rPr>
                <w:rFonts w:ascii="Arial Narrow" w:eastAsia="Times New Roman" w:hAnsi="Arial Narrow" w:cs="Times New Roman"/>
                <w:color w:val="000000"/>
                <w:sz w:val="19"/>
                <w:szCs w:val="19"/>
                <w:lang w:eastAsia="en-AU"/>
              </w:rPr>
              <w:t>redacted</w:t>
            </w:r>
            <w:r w:rsidRPr="00383FE9">
              <w:rPr>
                <w:rFonts w:ascii="Arial Narrow" w:eastAsia="Times New Roman" w:hAnsi="Arial Narrow" w:cs="Times New Roman"/>
                <w:color w:val="000000"/>
                <w:sz w:val="19"/>
                <w:szCs w:val="19"/>
                <w:vertAlign w:val="superscript"/>
                <w:lang w:eastAsia="en-AU"/>
              </w:rPr>
              <w:t>3</w:t>
            </w:r>
          </w:p>
        </w:tc>
      </w:tr>
      <w:tr w:rsidR="008E4309" w:rsidRPr="005E1208" w14:paraId="75B7240F"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78226892" w14:textId="77777777" w:rsidR="000A03D7" w:rsidRPr="005E1208" w:rsidRDefault="000A03D7" w:rsidP="0004013F">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Anaesthesia</w:t>
            </w:r>
          </w:p>
        </w:tc>
        <w:tc>
          <w:tcPr>
            <w:tcW w:w="5897" w:type="dxa"/>
            <w:gridSpan w:val="6"/>
            <w:tcBorders>
              <w:top w:val="single" w:sz="8" w:space="0" w:color="auto"/>
              <w:left w:val="nil"/>
              <w:bottom w:val="single" w:sz="8" w:space="0" w:color="auto"/>
              <w:right w:val="single" w:sz="8" w:space="0" w:color="000000"/>
            </w:tcBorders>
            <w:vAlign w:val="center"/>
            <w:hideMark/>
          </w:tcPr>
          <w:p w14:paraId="5B12A7AB" w14:textId="515AE8C5" w:rsidR="000A03D7" w:rsidRPr="00BB16A7" w:rsidRDefault="005E1E8F" w:rsidP="0004013F">
            <w:pPr>
              <w:spacing w:before="0" w:after="0"/>
              <w:jc w:val="center"/>
              <w:rPr>
                <w:rFonts w:ascii="Arial Narrow" w:eastAsia="Times New Roman" w:hAnsi="Arial Narrow" w:cs="Times New Roman"/>
                <w:sz w:val="20"/>
                <w:szCs w:val="20"/>
                <w:lang w:eastAsia="en-AU"/>
              </w:rPr>
            </w:pPr>
            <w:r>
              <w:rPr>
                <w:rFonts w:ascii="Arial Narrow" w:eastAsia="Times New Roman" w:hAnsi="Arial Narrow" w:cs="Times New Roman"/>
                <w:sz w:val="20"/>
                <w:szCs w:val="20"/>
                <w:lang w:eastAsia="en-AU"/>
              </w:rPr>
              <w:t xml:space="preserve">MBS </w:t>
            </w:r>
            <w:r w:rsidR="000A03D7" w:rsidRPr="00BB16A7">
              <w:rPr>
                <w:rFonts w:ascii="Arial Narrow" w:eastAsia="Times New Roman" w:hAnsi="Arial Narrow" w:cs="Times New Roman"/>
                <w:sz w:val="20"/>
                <w:szCs w:val="20"/>
                <w:lang w:eastAsia="en-AU"/>
              </w:rPr>
              <w:t>item 18216 (schedule fee= $216.35)</w:t>
            </w:r>
          </w:p>
        </w:tc>
      </w:tr>
      <w:tr w:rsidR="00C1182A" w:rsidRPr="005E1208" w14:paraId="72BD4E04"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0DEF4498" w14:textId="77777777" w:rsidR="001C244C" w:rsidRPr="005E1208" w:rsidRDefault="001C244C" w:rsidP="001C244C">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services (K =10% x A)</w:t>
            </w:r>
          </w:p>
        </w:tc>
        <w:tc>
          <w:tcPr>
            <w:tcW w:w="992" w:type="dxa"/>
            <w:tcBorders>
              <w:top w:val="nil"/>
              <w:left w:val="nil"/>
              <w:bottom w:val="single" w:sz="8" w:space="0" w:color="auto"/>
              <w:right w:val="single" w:sz="8" w:space="0" w:color="auto"/>
            </w:tcBorders>
            <w:vAlign w:val="center"/>
            <w:hideMark/>
          </w:tcPr>
          <w:p w14:paraId="2F27397C" w14:textId="21556C0D"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EC45C7">
              <w:rPr>
                <w:rFonts w:ascii="Arial Narrow" w:eastAsia="Times New Roman" w:hAnsi="Arial Narrow" w:cs="Times New Roman"/>
                <w:color w:val="000000"/>
                <w:sz w:val="19"/>
                <w:szCs w:val="19"/>
                <w:lang w:eastAsia="en-AU"/>
              </w:rPr>
              <w:t>redacted</w:t>
            </w:r>
            <w:r w:rsidRPr="001C244C">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0ED521B7" w14:textId="651F01BE"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B5126B">
              <w:rPr>
                <w:rFonts w:ascii="Arial Narrow" w:eastAsia="Times New Roman" w:hAnsi="Arial Narrow" w:cs="Times New Roman"/>
                <w:color w:val="000000"/>
                <w:sz w:val="19"/>
                <w:szCs w:val="19"/>
                <w:lang w:eastAsia="en-AU"/>
              </w:rPr>
              <w:t>redacted</w:t>
            </w:r>
            <w:r w:rsidRPr="00B5126B">
              <w:rPr>
                <w:rFonts w:ascii="Arial Narrow" w:eastAsia="Times New Roman" w:hAnsi="Arial Narrow" w:cs="Times New Roman"/>
                <w:color w:val="000000"/>
                <w:sz w:val="19"/>
                <w:szCs w:val="19"/>
                <w:vertAlign w:val="superscript"/>
                <w:lang w:eastAsia="en-AU"/>
              </w:rPr>
              <w:t>2</w:t>
            </w:r>
          </w:p>
        </w:tc>
        <w:tc>
          <w:tcPr>
            <w:tcW w:w="993" w:type="dxa"/>
            <w:tcBorders>
              <w:top w:val="nil"/>
              <w:left w:val="nil"/>
              <w:bottom w:val="single" w:sz="8" w:space="0" w:color="auto"/>
              <w:right w:val="single" w:sz="8" w:space="0" w:color="auto"/>
            </w:tcBorders>
            <w:hideMark/>
          </w:tcPr>
          <w:p w14:paraId="217B30E4" w14:textId="7192B9C0"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B5126B">
              <w:rPr>
                <w:rFonts w:ascii="Arial Narrow" w:eastAsia="Times New Roman" w:hAnsi="Arial Narrow" w:cs="Times New Roman"/>
                <w:color w:val="000000"/>
                <w:sz w:val="19"/>
                <w:szCs w:val="19"/>
                <w:lang w:eastAsia="en-AU"/>
              </w:rPr>
              <w:t>redacted</w:t>
            </w:r>
            <w:r w:rsidRPr="00B5126B">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0E0F5247" w14:textId="24ECF1E3"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B5126B">
              <w:rPr>
                <w:rFonts w:ascii="Arial Narrow" w:eastAsia="Times New Roman" w:hAnsi="Arial Narrow" w:cs="Times New Roman"/>
                <w:color w:val="000000"/>
                <w:sz w:val="19"/>
                <w:szCs w:val="19"/>
                <w:lang w:eastAsia="en-AU"/>
              </w:rPr>
              <w:t>redacted</w:t>
            </w:r>
            <w:r w:rsidRPr="00B5126B">
              <w:rPr>
                <w:rFonts w:ascii="Arial Narrow" w:eastAsia="Times New Roman" w:hAnsi="Arial Narrow" w:cs="Times New Roman"/>
                <w:color w:val="000000"/>
                <w:sz w:val="19"/>
                <w:szCs w:val="19"/>
                <w:vertAlign w:val="superscript"/>
                <w:lang w:eastAsia="en-AU"/>
              </w:rPr>
              <w:t>2</w:t>
            </w:r>
          </w:p>
        </w:tc>
        <w:tc>
          <w:tcPr>
            <w:tcW w:w="992" w:type="dxa"/>
            <w:tcBorders>
              <w:top w:val="nil"/>
              <w:left w:val="nil"/>
              <w:bottom w:val="single" w:sz="8" w:space="0" w:color="auto"/>
              <w:right w:val="single" w:sz="8" w:space="0" w:color="auto"/>
            </w:tcBorders>
            <w:hideMark/>
          </w:tcPr>
          <w:p w14:paraId="7CD43126" w14:textId="3108641D"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B5126B">
              <w:rPr>
                <w:rFonts w:ascii="Arial Narrow" w:eastAsia="Times New Roman" w:hAnsi="Arial Narrow" w:cs="Times New Roman"/>
                <w:color w:val="000000"/>
                <w:sz w:val="19"/>
                <w:szCs w:val="19"/>
                <w:lang w:eastAsia="en-AU"/>
              </w:rPr>
              <w:t>redacted</w:t>
            </w:r>
            <w:r w:rsidRPr="00B5126B">
              <w:rPr>
                <w:rFonts w:ascii="Arial Narrow" w:eastAsia="Times New Roman" w:hAnsi="Arial Narrow" w:cs="Times New Roman"/>
                <w:color w:val="000000"/>
                <w:sz w:val="19"/>
                <w:szCs w:val="19"/>
                <w:vertAlign w:val="superscript"/>
                <w:lang w:eastAsia="en-AU"/>
              </w:rPr>
              <w:t>2</w:t>
            </w:r>
          </w:p>
        </w:tc>
        <w:tc>
          <w:tcPr>
            <w:tcW w:w="936" w:type="dxa"/>
            <w:tcBorders>
              <w:top w:val="nil"/>
              <w:left w:val="nil"/>
              <w:bottom w:val="single" w:sz="8" w:space="0" w:color="auto"/>
              <w:right w:val="single" w:sz="8" w:space="0" w:color="auto"/>
            </w:tcBorders>
            <w:hideMark/>
          </w:tcPr>
          <w:p w14:paraId="736E8A52" w14:textId="29F56D6D" w:rsidR="001C244C" w:rsidRPr="00D97679" w:rsidRDefault="001C244C" w:rsidP="001C244C">
            <w:pPr>
              <w:spacing w:before="0" w:after="0"/>
              <w:jc w:val="center"/>
              <w:rPr>
                <w:rFonts w:ascii="Arial Narrow" w:eastAsia="Times New Roman" w:hAnsi="Arial Narrow" w:cs="Times New Roman"/>
                <w:sz w:val="20"/>
                <w:szCs w:val="20"/>
                <w:highlight w:val="yellow"/>
                <w:lang w:eastAsia="en-AU"/>
              </w:rPr>
            </w:pPr>
            <w:r w:rsidRPr="00B5126B">
              <w:rPr>
                <w:rFonts w:ascii="Arial Narrow" w:eastAsia="Times New Roman" w:hAnsi="Arial Narrow" w:cs="Times New Roman"/>
                <w:color w:val="000000"/>
                <w:sz w:val="19"/>
                <w:szCs w:val="19"/>
                <w:lang w:eastAsia="en-AU"/>
              </w:rPr>
              <w:t>redacted</w:t>
            </w:r>
            <w:r w:rsidRPr="00B5126B">
              <w:rPr>
                <w:rFonts w:ascii="Arial Narrow" w:eastAsia="Times New Roman" w:hAnsi="Arial Narrow" w:cs="Times New Roman"/>
                <w:color w:val="000000"/>
                <w:sz w:val="19"/>
                <w:szCs w:val="19"/>
                <w:vertAlign w:val="superscript"/>
                <w:lang w:eastAsia="en-AU"/>
              </w:rPr>
              <w:t>2</w:t>
            </w:r>
          </w:p>
        </w:tc>
      </w:tr>
      <w:tr w:rsidR="00C1182A" w:rsidRPr="005E1208" w14:paraId="79D71759"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6366F4C0" w14:textId="77777777" w:rsidR="007E15F8" w:rsidRPr="005E1208" w:rsidRDefault="007E15F8" w:rsidP="007E15F8">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Cost to MBS (R= K x $216.35)</w:t>
            </w:r>
          </w:p>
        </w:tc>
        <w:tc>
          <w:tcPr>
            <w:tcW w:w="992" w:type="dxa"/>
            <w:tcBorders>
              <w:top w:val="nil"/>
              <w:left w:val="nil"/>
              <w:bottom w:val="single" w:sz="8" w:space="0" w:color="auto"/>
              <w:right w:val="single" w:sz="8" w:space="0" w:color="auto"/>
            </w:tcBorders>
            <w:hideMark/>
          </w:tcPr>
          <w:p w14:paraId="7FC848FB" w14:textId="4773AD9D"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1A4C037" w14:textId="3BD830A9"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686EE1B5" w14:textId="6FCF87F4"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0D5D3E5" w14:textId="079F7D33"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262EA453" w14:textId="0C92D430"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6662DD77" w14:textId="77E2F3ED"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149AC">
              <w:rPr>
                <w:rFonts w:ascii="Arial Narrow" w:eastAsia="Times New Roman" w:hAnsi="Arial Narrow" w:cs="Times New Roman"/>
                <w:color w:val="000000"/>
                <w:sz w:val="19"/>
                <w:szCs w:val="19"/>
                <w:lang w:eastAsia="en-AU"/>
              </w:rPr>
              <w:t>redacted</w:t>
            </w:r>
            <w:r w:rsidRPr="008149AC">
              <w:rPr>
                <w:rFonts w:ascii="Arial Narrow" w:eastAsia="Times New Roman" w:hAnsi="Arial Narrow" w:cs="Times New Roman"/>
                <w:color w:val="000000"/>
                <w:sz w:val="19"/>
                <w:szCs w:val="19"/>
                <w:vertAlign w:val="superscript"/>
                <w:lang w:eastAsia="en-AU"/>
              </w:rPr>
              <w:t>3</w:t>
            </w:r>
          </w:p>
        </w:tc>
      </w:tr>
      <w:tr w:rsidR="00C1182A" w:rsidRPr="005E1208" w14:paraId="0041C1DA"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4BA7B641" w14:textId="77777777" w:rsidR="008C4B64" w:rsidRPr="005E1208" w:rsidRDefault="008C4B64" w:rsidP="008C4B64">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Patient copayment (S = -R x 20%)</w:t>
            </w:r>
          </w:p>
        </w:tc>
        <w:tc>
          <w:tcPr>
            <w:tcW w:w="992" w:type="dxa"/>
            <w:tcBorders>
              <w:top w:val="nil"/>
              <w:left w:val="nil"/>
              <w:bottom w:val="single" w:sz="8" w:space="0" w:color="auto"/>
              <w:right w:val="single" w:sz="8" w:space="0" w:color="auto"/>
            </w:tcBorders>
            <w:hideMark/>
          </w:tcPr>
          <w:p w14:paraId="7C07BE71" w14:textId="58B4B7AB"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5021E54B" w14:textId="27F6FC9B"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3F664BFB" w14:textId="494585D9"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527DBEF0" w14:textId="0B2CB0E0"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3D12E676" w14:textId="4C8A2916"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19201E94" w14:textId="6B57152B"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D1648F">
              <w:rPr>
                <w:rFonts w:ascii="Arial Narrow" w:eastAsia="Times New Roman" w:hAnsi="Arial Narrow" w:cs="Times New Roman"/>
                <w:color w:val="000000"/>
                <w:sz w:val="19"/>
                <w:szCs w:val="19"/>
                <w:lang w:eastAsia="en-AU"/>
              </w:rPr>
              <w:t>redacted</w:t>
            </w:r>
            <w:r w:rsidRPr="00D1648F">
              <w:rPr>
                <w:rFonts w:ascii="Arial Narrow" w:eastAsia="Times New Roman" w:hAnsi="Arial Narrow" w:cs="Times New Roman"/>
                <w:color w:val="000000"/>
                <w:sz w:val="19"/>
                <w:szCs w:val="19"/>
                <w:vertAlign w:val="superscript"/>
                <w:lang w:eastAsia="en-AU"/>
              </w:rPr>
              <w:t>4</w:t>
            </w:r>
          </w:p>
        </w:tc>
      </w:tr>
      <w:tr w:rsidR="00C1182A" w:rsidRPr="005E1208" w14:paraId="22F8597D" w14:textId="77777777" w:rsidTr="00AF318D">
        <w:trPr>
          <w:trHeight w:val="499"/>
        </w:trPr>
        <w:tc>
          <w:tcPr>
            <w:tcW w:w="3114" w:type="dxa"/>
            <w:tcBorders>
              <w:top w:val="nil"/>
              <w:left w:val="single" w:sz="8" w:space="0" w:color="auto"/>
              <w:bottom w:val="single" w:sz="8" w:space="0" w:color="auto"/>
              <w:right w:val="single" w:sz="8" w:space="0" w:color="auto"/>
            </w:tcBorders>
            <w:vAlign w:val="center"/>
            <w:hideMark/>
          </w:tcPr>
          <w:p w14:paraId="75B67081" w14:textId="77777777" w:rsidR="007E15F8" w:rsidRPr="005E1208" w:rsidRDefault="007E15F8" w:rsidP="007E15F8">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Net cost to MBS (T = R x 80%)</w:t>
            </w:r>
          </w:p>
        </w:tc>
        <w:tc>
          <w:tcPr>
            <w:tcW w:w="992" w:type="dxa"/>
            <w:tcBorders>
              <w:top w:val="nil"/>
              <w:left w:val="nil"/>
              <w:bottom w:val="single" w:sz="8" w:space="0" w:color="auto"/>
              <w:right w:val="single" w:sz="8" w:space="0" w:color="auto"/>
            </w:tcBorders>
            <w:hideMark/>
          </w:tcPr>
          <w:p w14:paraId="7306FA6D" w14:textId="06D40D35"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6DC20FAC" w14:textId="100B6407"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48E01EDD" w14:textId="200915BF"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590CD4FB" w14:textId="1793F284"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5C539313" w14:textId="21CB7949"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0D3E1D57" w14:textId="15F8BC5D" w:rsidR="007E15F8" w:rsidRPr="00D97679" w:rsidRDefault="007E15F8" w:rsidP="007E15F8">
            <w:pPr>
              <w:spacing w:before="0" w:after="0"/>
              <w:jc w:val="center"/>
              <w:rPr>
                <w:rFonts w:ascii="Arial Narrow" w:eastAsia="Times New Roman" w:hAnsi="Arial Narrow" w:cs="Times New Roman"/>
                <w:sz w:val="20"/>
                <w:szCs w:val="20"/>
                <w:highlight w:val="yellow"/>
                <w:lang w:eastAsia="en-AU"/>
              </w:rPr>
            </w:pPr>
            <w:r w:rsidRPr="00894E4A">
              <w:rPr>
                <w:rFonts w:ascii="Arial Narrow" w:eastAsia="Times New Roman" w:hAnsi="Arial Narrow" w:cs="Times New Roman"/>
                <w:color w:val="000000"/>
                <w:sz w:val="19"/>
                <w:szCs w:val="19"/>
                <w:lang w:eastAsia="en-AU"/>
              </w:rPr>
              <w:t>redacted</w:t>
            </w:r>
            <w:r w:rsidRPr="00894E4A">
              <w:rPr>
                <w:rFonts w:ascii="Arial Narrow" w:eastAsia="Times New Roman" w:hAnsi="Arial Narrow" w:cs="Times New Roman"/>
                <w:color w:val="000000"/>
                <w:sz w:val="19"/>
                <w:szCs w:val="19"/>
                <w:vertAlign w:val="superscript"/>
                <w:lang w:eastAsia="en-AU"/>
              </w:rPr>
              <w:t>3</w:t>
            </w:r>
          </w:p>
        </w:tc>
      </w:tr>
      <w:tr w:rsidR="00C1182A" w:rsidRPr="005E1208" w14:paraId="759A0D57"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2C8DE3CF" w14:textId="77777777" w:rsidR="007E15F8" w:rsidRPr="005E1208" w:rsidRDefault="007E15F8" w:rsidP="007E15F8">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Total cost to MBS (U=E+H+L+O+R)</w:t>
            </w:r>
          </w:p>
        </w:tc>
        <w:tc>
          <w:tcPr>
            <w:tcW w:w="992" w:type="dxa"/>
            <w:tcBorders>
              <w:top w:val="nil"/>
              <w:left w:val="nil"/>
              <w:bottom w:val="single" w:sz="8" w:space="0" w:color="auto"/>
              <w:right w:val="single" w:sz="8" w:space="0" w:color="auto"/>
            </w:tcBorders>
            <w:hideMark/>
          </w:tcPr>
          <w:p w14:paraId="5A69360B" w14:textId="025F0345"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114B2688" w14:textId="120D2C7C"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0B11DD6A" w14:textId="1E70504B"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767F337" w14:textId="55C4FD0D"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79EA584C" w14:textId="012CB138"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2E4A5B37" w14:textId="2A976E7D" w:rsidR="007E15F8" w:rsidRPr="007E15F8" w:rsidRDefault="007E15F8" w:rsidP="007E15F8">
            <w:pPr>
              <w:spacing w:before="0" w:after="0"/>
              <w:jc w:val="center"/>
              <w:rPr>
                <w:rFonts w:ascii="Arial Narrow" w:eastAsia="Times New Roman" w:hAnsi="Arial Narrow" w:cs="Times New Roman"/>
                <w:b/>
                <w:bCs/>
                <w:sz w:val="20"/>
                <w:szCs w:val="20"/>
                <w:highlight w:val="yellow"/>
                <w:lang w:eastAsia="en-AU"/>
              </w:rPr>
            </w:pPr>
            <w:r w:rsidRPr="007E15F8">
              <w:rPr>
                <w:rFonts w:ascii="Arial Narrow" w:eastAsia="Times New Roman" w:hAnsi="Arial Narrow" w:cs="Times New Roman"/>
                <w:b/>
                <w:bCs/>
                <w:color w:val="000000"/>
                <w:sz w:val="19"/>
                <w:szCs w:val="19"/>
                <w:lang w:eastAsia="en-AU"/>
              </w:rPr>
              <w:t>redacted</w:t>
            </w:r>
            <w:r w:rsidRPr="007E15F8">
              <w:rPr>
                <w:rFonts w:ascii="Arial Narrow" w:eastAsia="Times New Roman" w:hAnsi="Arial Narrow" w:cs="Times New Roman"/>
                <w:b/>
                <w:bCs/>
                <w:color w:val="000000"/>
                <w:sz w:val="19"/>
                <w:szCs w:val="19"/>
                <w:vertAlign w:val="superscript"/>
                <w:lang w:eastAsia="en-AU"/>
              </w:rPr>
              <w:t>3</w:t>
            </w:r>
          </w:p>
        </w:tc>
      </w:tr>
      <w:tr w:rsidR="00C1182A" w:rsidRPr="005E1208" w14:paraId="7C88AB8A"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31FEC3EF" w14:textId="77777777" w:rsidR="008C4B64" w:rsidRPr="005E1208" w:rsidRDefault="008C4B64" w:rsidP="008C4B64">
            <w:pPr>
              <w:spacing w:before="0" w:after="0"/>
              <w:jc w:val="left"/>
              <w:rPr>
                <w:rFonts w:ascii="Arial Narrow" w:eastAsia="Times New Roman" w:hAnsi="Arial Narrow" w:cs="Times New Roman"/>
                <w:color w:val="000000"/>
                <w:sz w:val="20"/>
                <w:szCs w:val="20"/>
                <w:lang w:eastAsia="en-AU"/>
              </w:rPr>
            </w:pPr>
            <w:r w:rsidRPr="005E1208">
              <w:rPr>
                <w:rFonts w:ascii="Arial Narrow" w:eastAsia="Times New Roman" w:hAnsi="Arial Narrow" w:cs="Times New Roman"/>
                <w:color w:val="000000"/>
                <w:sz w:val="20"/>
                <w:szCs w:val="20"/>
                <w:lang w:eastAsia="en-AU"/>
              </w:rPr>
              <w:t>Total copayments (V=F+I+M+P+S)</w:t>
            </w:r>
          </w:p>
        </w:tc>
        <w:tc>
          <w:tcPr>
            <w:tcW w:w="992" w:type="dxa"/>
            <w:tcBorders>
              <w:top w:val="nil"/>
              <w:left w:val="nil"/>
              <w:bottom w:val="single" w:sz="8" w:space="0" w:color="auto"/>
              <w:right w:val="single" w:sz="8" w:space="0" w:color="auto"/>
            </w:tcBorders>
            <w:hideMark/>
          </w:tcPr>
          <w:p w14:paraId="15AF6F15" w14:textId="0E766D48"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06454882" w14:textId="704B2727"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2AFB4878" w14:textId="0E29EA03"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0517E1A3" w14:textId="79032112"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0037ECFB" w14:textId="0818A149"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7C8B0696" w14:textId="33F016CE" w:rsidR="008C4B64" w:rsidRPr="00D97679" w:rsidRDefault="008C4B64" w:rsidP="008C4B64">
            <w:pPr>
              <w:spacing w:before="0" w:after="0"/>
              <w:jc w:val="center"/>
              <w:rPr>
                <w:rFonts w:ascii="Arial Narrow" w:eastAsia="Times New Roman" w:hAnsi="Arial Narrow" w:cs="Times New Roman"/>
                <w:sz w:val="20"/>
                <w:szCs w:val="20"/>
                <w:highlight w:val="yellow"/>
                <w:lang w:eastAsia="en-AU"/>
              </w:rPr>
            </w:pPr>
            <w:r w:rsidRPr="000D06CC">
              <w:rPr>
                <w:rFonts w:ascii="Arial Narrow" w:eastAsia="Times New Roman" w:hAnsi="Arial Narrow" w:cs="Times New Roman"/>
                <w:color w:val="000000"/>
                <w:sz w:val="19"/>
                <w:szCs w:val="19"/>
                <w:lang w:eastAsia="en-AU"/>
              </w:rPr>
              <w:t>redacted</w:t>
            </w:r>
            <w:r w:rsidRPr="000D06CC">
              <w:rPr>
                <w:rFonts w:ascii="Arial Narrow" w:eastAsia="Times New Roman" w:hAnsi="Arial Narrow" w:cs="Times New Roman"/>
                <w:color w:val="000000"/>
                <w:sz w:val="19"/>
                <w:szCs w:val="19"/>
                <w:vertAlign w:val="superscript"/>
                <w:lang w:eastAsia="en-AU"/>
              </w:rPr>
              <w:t>4</w:t>
            </w:r>
          </w:p>
        </w:tc>
      </w:tr>
      <w:tr w:rsidR="00C1182A" w:rsidRPr="005E1208" w14:paraId="71E546FF"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2229CFE3" w14:textId="77777777" w:rsidR="007E15F8" w:rsidRPr="005E1208" w:rsidRDefault="007E15F8" w:rsidP="007E15F8">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Net cost to MBS (80% co-payment) (X = U+V)</w:t>
            </w:r>
          </w:p>
        </w:tc>
        <w:tc>
          <w:tcPr>
            <w:tcW w:w="992" w:type="dxa"/>
            <w:tcBorders>
              <w:top w:val="nil"/>
              <w:left w:val="nil"/>
              <w:bottom w:val="single" w:sz="8" w:space="0" w:color="auto"/>
              <w:right w:val="single" w:sz="8" w:space="0" w:color="auto"/>
            </w:tcBorders>
            <w:hideMark/>
          </w:tcPr>
          <w:p w14:paraId="3918E998" w14:textId="1CA7B9E6"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0BC6338E" w14:textId="699376F5"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4DB47F10" w14:textId="59477D01"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207B76A9" w14:textId="26936DB3"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3B83EFCF" w14:textId="00E439CF"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4F93BDCD" w14:textId="4E8A5C24"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r>
      <w:tr w:rsidR="00C1182A" w:rsidRPr="005E1208" w14:paraId="0B600880"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03E1A990" w14:textId="77777777" w:rsidR="007E15F8" w:rsidRPr="005E1208" w:rsidRDefault="007E15F8" w:rsidP="007E15F8">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Net cost to MBS (85% co-payment) (Y = U x 85%)</w:t>
            </w:r>
          </w:p>
        </w:tc>
        <w:tc>
          <w:tcPr>
            <w:tcW w:w="992" w:type="dxa"/>
            <w:tcBorders>
              <w:top w:val="nil"/>
              <w:left w:val="nil"/>
              <w:bottom w:val="single" w:sz="8" w:space="0" w:color="auto"/>
              <w:right w:val="single" w:sz="8" w:space="0" w:color="auto"/>
            </w:tcBorders>
            <w:hideMark/>
          </w:tcPr>
          <w:p w14:paraId="0332B5C9" w14:textId="2CFDB5C9"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4B748389" w14:textId="1C33A3C2"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3" w:type="dxa"/>
            <w:tcBorders>
              <w:top w:val="nil"/>
              <w:left w:val="nil"/>
              <w:bottom w:val="single" w:sz="8" w:space="0" w:color="auto"/>
              <w:right w:val="single" w:sz="8" w:space="0" w:color="auto"/>
            </w:tcBorders>
            <w:hideMark/>
          </w:tcPr>
          <w:p w14:paraId="4FE6FC5B" w14:textId="041E04C0"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6B6C1AE1" w14:textId="0EA8E0DE"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92" w:type="dxa"/>
            <w:tcBorders>
              <w:top w:val="nil"/>
              <w:left w:val="nil"/>
              <w:bottom w:val="single" w:sz="8" w:space="0" w:color="auto"/>
              <w:right w:val="single" w:sz="8" w:space="0" w:color="auto"/>
            </w:tcBorders>
            <w:hideMark/>
          </w:tcPr>
          <w:p w14:paraId="2D501231" w14:textId="7FC75114"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c>
          <w:tcPr>
            <w:tcW w:w="936" w:type="dxa"/>
            <w:tcBorders>
              <w:top w:val="nil"/>
              <w:left w:val="nil"/>
              <w:bottom w:val="single" w:sz="8" w:space="0" w:color="auto"/>
              <w:right w:val="single" w:sz="8" w:space="0" w:color="auto"/>
            </w:tcBorders>
            <w:hideMark/>
          </w:tcPr>
          <w:p w14:paraId="73D69D5E" w14:textId="1C7E6175" w:rsidR="007E15F8" w:rsidRPr="00202C6A" w:rsidRDefault="007E15F8" w:rsidP="007E15F8">
            <w:pPr>
              <w:spacing w:before="0" w:after="0"/>
              <w:jc w:val="center"/>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3</w:t>
            </w:r>
          </w:p>
        </w:tc>
      </w:tr>
      <w:tr w:rsidR="00C1182A" w:rsidRPr="005E1208" w14:paraId="231B5AB8"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7E32D8F5" w14:textId="77777777" w:rsidR="00202C6A" w:rsidRPr="005E1208" w:rsidRDefault="00202C6A" w:rsidP="00202C6A">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Difference 80% co-payment (Base case - Scenario) (B-X)</w:t>
            </w:r>
          </w:p>
        </w:tc>
        <w:tc>
          <w:tcPr>
            <w:tcW w:w="992" w:type="dxa"/>
            <w:tcBorders>
              <w:top w:val="nil"/>
              <w:left w:val="nil"/>
              <w:bottom w:val="single" w:sz="8" w:space="0" w:color="auto"/>
              <w:right w:val="single" w:sz="8" w:space="0" w:color="auto"/>
            </w:tcBorders>
            <w:vAlign w:val="center"/>
            <w:hideMark/>
          </w:tcPr>
          <w:p w14:paraId="7FBA33A0" w14:textId="376D7C47"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255B6E73" w14:textId="7E458129"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3" w:type="dxa"/>
            <w:tcBorders>
              <w:top w:val="nil"/>
              <w:left w:val="nil"/>
              <w:bottom w:val="single" w:sz="8" w:space="0" w:color="auto"/>
              <w:right w:val="single" w:sz="8" w:space="0" w:color="auto"/>
            </w:tcBorders>
            <w:hideMark/>
          </w:tcPr>
          <w:p w14:paraId="3FA8E5DA" w14:textId="4B790C23"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4D86BF40" w14:textId="7DD3797F"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hideMark/>
          </w:tcPr>
          <w:p w14:paraId="4563D909" w14:textId="34E8F4B9"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36" w:type="dxa"/>
            <w:tcBorders>
              <w:top w:val="nil"/>
              <w:left w:val="nil"/>
              <w:bottom w:val="single" w:sz="8" w:space="0" w:color="auto"/>
              <w:right w:val="single" w:sz="8" w:space="0" w:color="auto"/>
            </w:tcBorders>
            <w:hideMark/>
          </w:tcPr>
          <w:p w14:paraId="2289FF7E" w14:textId="68013326"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r>
      <w:tr w:rsidR="00C1182A" w:rsidRPr="005E1208" w14:paraId="57325295" w14:textId="77777777" w:rsidTr="00AF318D">
        <w:trPr>
          <w:trHeight w:val="315"/>
        </w:trPr>
        <w:tc>
          <w:tcPr>
            <w:tcW w:w="3114" w:type="dxa"/>
            <w:tcBorders>
              <w:top w:val="nil"/>
              <w:left w:val="single" w:sz="8" w:space="0" w:color="auto"/>
              <w:bottom w:val="single" w:sz="8" w:space="0" w:color="auto"/>
              <w:right w:val="single" w:sz="8" w:space="0" w:color="auto"/>
            </w:tcBorders>
            <w:vAlign w:val="center"/>
            <w:hideMark/>
          </w:tcPr>
          <w:p w14:paraId="6B74056E" w14:textId="77777777" w:rsidR="00202C6A" w:rsidRPr="005E1208" w:rsidRDefault="00202C6A" w:rsidP="00202C6A">
            <w:pPr>
              <w:spacing w:before="0" w:after="0"/>
              <w:jc w:val="left"/>
              <w:rPr>
                <w:rFonts w:ascii="Arial Narrow" w:eastAsia="Times New Roman" w:hAnsi="Arial Narrow" w:cs="Times New Roman"/>
                <w:b/>
                <w:bCs/>
                <w:color w:val="000000"/>
                <w:sz w:val="20"/>
                <w:szCs w:val="20"/>
                <w:lang w:eastAsia="en-AU"/>
              </w:rPr>
            </w:pPr>
            <w:r w:rsidRPr="005E1208">
              <w:rPr>
                <w:rFonts w:ascii="Arial Narrow" w:eastAsia="Times New Roman" w:hAnsi="Arial Narrow" w:cs="Times New Roman"/>
                <w:b/>
                <w:bCs/>
                <w:color w:val="000000"/>
                <w:sz w:val="20"/>
                <w:szCs w:val="20"/>
                <w:lang w:eastAsia="en-AU"/>
              </w:rPr>
              <w:t>Difference 85% copayment (Base case - Scenario) (C-Y)</w:t>
            </w:r>
          </w:p>
        </w:tc>
        <w:tc>
          <w:tcPr>
            <w:tcW w:w="992" w:type="dxa"/>
            <w:tcBorders>
              <w:top w:val="nil"/>
              <w:left w:val="nil"/>
              <w:bottom w:val="single" w:sz="8" w:space="0" w:color="auto"/>
              <w:right w:val="single" w:sz="8" w:space="0" w:color="auto"/>
            </w:tcBorders>
            <w:noWrap/>
            <w:hideMark/>
          </w:tcPr>
          <w:p w14:paraId="5D013CD4" w14:textId="11141FC2"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hideMark/>
          </w:tcPr>
          <w:p w14:paraId="13877233" w14:textId="4C131EFB"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3" w:type="dxa"/>
            <w:tcBorders>
              <w:top w:val="nil"/>
              <w:left w:val="nil"/>
              <w:bottom w:val="single" w:sz="8" w:space="0" w:color="auto"/>
              <w:right w:val="single" w:sz="8" w:space="0" w:color="auto"/>
            </w:tcBorders>
            <w:noWrap/>
            <w:hideMark/>
          </w:tcPr>
          <w:p w14:paraId="4E34D88E" w14:textId="1498644B"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hideMark/>
          </w:tcPr>
          <w:p w14:paraId="5C64AB1B" w14:textId="354C544F"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hideMark/>
          </w:tcPr>
          <w:p w14:paraId="1D051DC0" w14:textId="4C4B23FB"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36" w:type="dxa"/>
            <w:tcBorders>
              <w:top w:val="nil"/>
              <w:left w:val="nil"/>
              <w:bottom w:val="single" w:sz="8" w:space="0" w:color="auto"/>
              <w:right w:val="single" w:sz="8" w:space="0" w:color="auto"/>
            </w:tcBorders>
            <w:noWrap/>
            <w:hideMark/>
          </w:tcPr>
          <w:p w14:paraId="68531AA6" w14:textId="79B02062" w:rsidR="00202C6A" w:rsidRPr="00202C6A" w:rsidRDefault="00202C6A" w:rsidP="00202C6A">
            <w:pPr>
              <w:spacing w:before="0" w:after="0"/>
              <w:jc w:val="right"/>
              <w:rPr>
                <w:rFonts w:ascii="Arial Narrow" w:eastAsia="Times New Roman" w:hAnsi="Arial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r>
      <w:tr w:rsidR="00C1182A" w:rsidRPr="005E1208" w14:paraId="49CA65A0" w14:textId="77777777" w:rsidTr="00AF318D">
        <w:trPr>
          <w:trHeight w:val="315"/>
        </w:trPr>
        <w:tc>
          <w:tcPr>
            <w:tcW w:w="3114" w:type="dxa"/>
            <w:tcBorders>
              <w:top w:val="nil"/>
              <w:left w:val="single" w:sz="8" w:space="0" w:color="auto"/>
              <w:bottom w:val="single" w:sz="8" w:space="0" w:color="auto"/>
              <w:right w:val="single" w:sz="8" w:space="0" w:color="auto"/>
            </w:tcBorders>
            <w:vAlign w:val="center"/>
          </w:tcPr>
          <w:p w14:paraId="4096F6C5" w14:textId="77777777" w:rsidR="00202C6A" w:rsidRPr="005E1208" w:rsidRDefault="00202C6A" w:rsidP="00202C6A">
            <w:pPr>
              <w:spacing w:before="0" w:after="0"/>
              <w:jc w:val="left"/>
              <w:rPr>
                <w:rFonts w:ascii="Arial Narrow" w:eastAsia="Times New Roman" w:hAnsi="Arial Narrow" w:cs="Times New Roman"/>
                <w:b/>
                <w:bCs/>
                <w:color w:val="000000"/>
                <w:sz w:val="20"/>
                <w:szCs w:val="20"/>
                <w:lang w:eastAsia="en-AU"/>
              </w:rPr>
            </w:pPr>
            <w:r w:rsidRPr="002A0446">
              <w:rPr>
                <w:rFonts w:ascii="Arial Narrow" w:hAnsi="Arial Narrow"/>
                <w:b/>
                <w:bCs/>
                <w:sz w:val="20"/>
              </w:rPr>
              <w:t>Difference in costs (85% copayment applied)</w:t>
            </w:r>
          </w:p>
        </w:tc>
        <w:tc>
          <w:tcPr>
            <w:tcW w:w="992" w:type="dxa"/>
            <w:tcBorders>
              <w:top w:val="nil"/>
              <w:left w:val="nil"/>
              <w:bottom w:val="single" w:sz="8" w:space="0" w:color="auto"/>
              <w:right w:val="single" w:sz="8" w:space="0" w:color="auto"/>
            </w:tcBorders>
            <w:noWrap/>
          </w:tcPr>
          <w:p w14:paraId="7A85B8D5" w14:textId="74D74563"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tcPr>
          <w:p w14:paraId="7710B857" w14:textId="018DD57D"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3" w:type="dxa"/>
            <w:tcBorders>
              <w:top w:val="nil"/>
              <w:left w:val="nil"/>
              <w:bottom w:val="single" w:sz="8" w:space="0" w:color="auto"/>
              <w:right w:val="single" w:sz="8" w:space="0" w:color="auto"/>
            </w:tcBorders>
            <w:noWrap/>
          </w:tcPr>
          <w:p w14:paraId="577CD046" w14:textId="3943CCE4"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tcPr>
          <w:p w14:paraId="6A4EF235" w14:textId="79180E4F"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92" w:type="dxa"/>
            <w:tcBorders>
              <w:top w:val="nil"/>
              <w:left w:val="nil"/>
              <w:bottom w:val="single" w:sz="8" w:space="0" w:color="auto"/>
              <w:right w:val="single" w:sz="8" w:space="0" w:color="auto"/>
            </w:tcBorders>
            <w:noWrap/>
          </w:tcPr>
          <w:p w14:paraId="71AEC0DB" w14:textId="2AE9DCF2"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c>
          <w:tcPr>
            <w:tcW w:w="936" w:type="dxa"/>
            <w:tcBorders>
              <w:top w:val="nil"/>
              <w:left w:val="nil"/>
              <w:bottom w:val="single" w:sz="8" w:space="0" w:color="auto"/>
              <w:right w:val="single" w:sz="8" w:space="0" w:color="auto"/>
            </w:tcBorders>
            <w:noWrap/>
          </w:tcPr>
          <w:p w14:paraId="58297716" w14:textId="68CDE749" w:rsidR="00202C6A" w:rsidRPr="00202C6A" w:rsidRDefault="00202C6A" w:rsidP="00202C6A">
            <w:pPr>
              <w:spacing w:before="0" w:after="0"/>
              <w:jc w:val="right"/>
              <w:rPr>
                <w:rFonts w:ascii="Aptos Narrow" w:eastAsia="Times New Roman" w:hAnsi="Aptos Narrow" w:cs="Times New Roman"/>
                <w:b/>
                <w:bCs/>
                <w:sz w:val="20"/>
                <w:szCs w:val="20"/>
                <w:highlight w:val="yellow"/>
                <w:lang w:eastAsia="en-AU"/>
              </w:rPr>
            </w:pPr>
            <w:r w:rsidRPr="00202C6A">
              <w:rPr>
                <w:rFonts w:ascii="Arial Narrow" w:eastAsia="Times New Roman" w:hAnsi="Arial Narrow" w:cs="Times New Roman"/>
                <w:b/>
                <w:bCs/>
                <w:color w:val="000000"/>
                <w:sz w:val="19"/>
                <w:szCs w:val="19"/>
                <w:lang w:eastAsia="en-AU"/>
              </w:rPr>
              <w:t>redacted</w:t>
            </w:r>
            <w:r w:rsidRPr="00202C6A">
              <w:rPr>
                <w:rFonts w:ascii="Arial Narrow" w:eastAsia="Times New Roman" w:hAnsi="Arial Narrow" w:cs="Times New Roman"/>
                <w:b/>
                <w:bCs/>
                <w:color w:val="000000"/>
                <w:sz w:val="19"/>
                <w:szCs w:val="19"/>
                <w:vertAlign w:val="superscript"/>
                <w:lang w:eastAsia="en-AU"/>
              </w:rPr>
              <w:t>4</w:t>
            </w:r>
          </w:p>
        </w:tc>
      </w:tr>
    </w:tbl>
    <w:p w14:paraId="74A994C5" w14:textId="77777777" w:rsidR="000A03D7" w:rsidRPr="00F10893" w:rsidRDefault="000A03D7" w:rsidP="000A03D7">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FRα =Folate receptor alpha; MBS = Medicare Benefits Schedule; MIRV = mirvetuximab soravtansine.</w:t>
      </w:r>
    </w:p>
    <w:p w14:paraId="269802BE" w14:textId="77777777" w:rsidR="007A1453" w:rsidRDefault="000A03D7" w:rsidP="007A1453">
      <w:pPr>
        <w:widowControl w:val="0"/>
        <w:spacing w:before="0" w:after="0"/>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*Archival block retrieval fee $85.00 (MBS item 72860), rebiopsy procedure (diagnostic percutaneous aspiration biopsy) fee $215.80 (MBS item 30094), pre-anaesthesia consultation fee $49.75 (MBS item 17610) and anaesthesia service fee $216.35 (MBS item 18216)</w:t>
      </w:r>
    </w:p>
    <w:p w14:paraId="57C98210" w14:textId="4A2272B9" w:rsidR="007A1453" w:rsidRPr="007E588B" w:rsidRDefault="007A1453" w:rsidP="007A1453">
      <w:pPr>
        <w:widowControl w:val="0"/>
        <w:spacing w:before="0" w:after="0"/>
        <w:rPr>
          <w:rFonts w:ascii="Arial Narrow" w:eastAsia="Times New Roman" w:hAnsi="Arial Narrow" w:cs="Arial"/>
          <w:snapToGrid w:val="0"/>
          <w:sz w:val="18"/>
          <w:szCs w:val="20"/>
        </w:rPr>
      </w:pPr>
      <w:r w:rsidRPr="007E588B">
        <w:rPr>
          <w:rFonts w:ascii="Arial Narrow" w:eastAsia="Times New Roman" w:hAnsi="Arial Narrow" w:cs="Arial"/>
          <w:snapToGrid w:val="0"/>
          <w:sz w:val="18"/>
          <w:szCs w:val="20"/>
        </w:rPr>
        <w:t xml:space="preserve">The redacted values correspond to the following ranges: </w:t>
      </w:r>
    </w:p>
    <w:p w14:paraId="688F9154" w14:textId="77777777" w:rsidR="007A1453" w:rsidRPr="007E588B" w:rsidRDefault="007A1453" w:rsidP="007A1453">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1</w:t>
      </w:r>
      <w:r w:rsidRPr="007E588B">
        <w:rPr>
          <w:rFonts w:ascii="Arial Narrow" w:eastAsia="Times New Roman" w:hAnsi="Arial Narrow" w:cs="Arial"/>
          <w:snapToGrid w:val="0"/>
          <w:sz w:val="18"/>
          <w:szCs w:val="20"/>
        </w:rPr>
        <w:t xml:space="preserve"> 500 to &lt; 5,000 </w:t>
      </w:r>
    </w:p>
    <w:p w14:paraId="66C72479" w14:textId="77777777" w:rsidR="007A1453" w:rsidRDefault="007A1453" w:rsidP="007A1453">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2</w:t>
      </w:r>
      <w:r w:rsidRPr="007E588B">
        <w:rPr>
          <w:rFonts w:ascii="Arial Narrow" w:eastAsia="Times New Roman" w:hAnsi="Arial Narrow" w:cs="Arial"/>
          <w:snapToGrid w:val="0"/>
          <w:sz w:val="18"/>
          <w:szCs w:val="20"/>
        </w:rPr>
        <w:t xml:space="preserve"> &lt;500</w:t>
      </w:r>
      <w:r>
        <w:rPr>
          <w:rFonts w:ascii="Arial Narrow" w:eastAsia="Times New Roman" w:hAnsi="Arial Narrow" w:cs="Arial"/>
          <w:snapToGrid w:val="0"/>
          <w:sz w:val="18"/>
          <w:szCs w:val="20"/>
        </w:rPr>
        <w:t xml:space="preserve"> </w:t>
      </w:r>
    </w:p>
    <w:p w14:paraId="00CF1173" w14:textId="77777777" w:rsidR="007A1453" w:rsidRDefault="007A1453" w:rsidP="007A1453">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3</w:t>
      </w:r>
      <w:r>
        <w:rPr>
          <w:rFonts w:ascii="Arial Narrow" w:eastAsia="Times New Roman" w:hAnsi="Arial Narrow" w:cs="Arial"/>
          <w:snapToGrid w:val="0"/>
          <w:sz w:val="18"/>
          <w:szCs w:val="20"/>
        </w:rPr>
        <w:t xml:space="preserve"> </w:t>
      </w:r>
      <w:r w:rsidRPr="00694C3B">
        <w:rPr>
          <w:rFonts w:ascii="Arial Narrow" w:eastAsia="Times New Roman" w:hAnsi="Arial Narrow" w:cs="Arial"/>
          <w:snapToGrid w:val="0"/>
          <w:sz w:val="18"/>
          <w:szCs w:val="20"/>
        </w:rPr>
        <w:t>$0 to &lt; $10 million</w:t>
      </w:r>
      <w:r>
        <w:rPr>
          <w:rFonts w:ascii="Arial Narrow" w:eastAsia="Times New Roman" w:hAnsi="Arial Narrow" w:cs="Arial"/>
          <w:snapToGrid w:val="0"/>
          <w:sz w:val="18"/>
          <w:szCs w:val="20"/>
        </w:rPr>
        <w:t xml:space="preserve"> </w:t>
      </w:r>
    </w:p>
    <w:p w14:paraId="4E59B4D0" w14:textId="30696756" w:rsidR="00635514" w:rsidRPr="00635514" w:rsidRDefault="007A1453" w:rsidP="00635514">
      <w:pPr>
        <w:widowControl w:val="0"/>
        <w:spacing w:before="0" w:after="0"/>
        <w:contextualSpacing/>
        <w:rPr>
          <w:rFonts w:ascii="Arial Narrow" w:eastAsia="Times New Roman" w:hAnsi="Arial Narrow" w:cs="Arial"/>
          <w:i/>
          <w:snapToGrid w:val="0"/>
          <w:sz w:val="18"/>
          <w:szCs w:val="20"/>
        </w:rPr>
      </w:pPr>
      <w:r>
        <w:rPr>
          <w:rFonts w:ascii="Arial Narrow" w:eastAsia="Times New Roman" w:hAnsi="Arial Narrow" w:cs="Arial"/>
          <w:snapToGrid w:val="0"/>
          <w:sz w:val="18"/>
          <w:szCs w:val="20"/>
          <w:vertAlign w:val="superscript"/>
        </w:rPr>
        <w:t xml:space="preserve"> 4 </w:t>
      </w:r>
      <w:r w:rsidRPr="001D0D38">
        <w:rPr>
          <w:rFonts w:ascii="Arial Narrow" w:eastAsia="Times New Roman" w:hAnsi="Arial Narrow" w:cs="Arial"/>
          <w:snapToGrid w:val="0"/>
          <w:sz w:val="18"/>
          <w:szCs w:val="20"/>
        </w:rPr>
        <w:t>net cost saving</w:t>
      </w:r>
      <w:bookmarkStart w:id="58" w:name="_Ref205898151"/>
      <w:r w:rsidR="00635514">
        <w:br w:type="page"/>
      </w:r>
    </w:p>
    <w:p w14:paraId="3A712A1A" w14:textId="45DD1ACB" w:rsidR="000A03D7" w:rsidRDefault="000A03D7" w:rsidP="00736611">
      <w:pPr>
        <w:pStyle w:val="In-tableHeading"/>
        <w:rPr>
          <w:iCs/>
          <w:szCs w:val="18"/>
        </w:rPr>
      </w:pPr>
      <w:r>
        <w:lastRenderedPageBreak/>
        <w:t xml:space="preserve">Table </w:t>
      </w:r>
      <w:r>
        <w:fldChar w:fldCharType="begin"/>
      </w:r>
      <w:r>
        <w:instrText xml:space="preserve"> SEQ Table \* ARABIC </w:instrText>
      </w:r>
      <w:r>
        <w:fldChar w:fldCharType="separate"/>
      </w:r>
      <w:r w:rsidR="00862476">
        <w:rPr>
          <w:noProof/>
        </w:rPr>
        <w:t>28</w:t>
      </w:r>
      <w:r>
        <w:fldChar w:fldCharType="end"/>
      </w:r>
      <w:bookmarkEnd w:id="58"/>
      <w:r>
        <w:t xml:space="preserve">: Revised </w:t>
      </w:r>
      <w:r w:rsidRPr="00736611">
        <w:t>estimated use and financial implications</w:t>
      </w:r>
      <w:r>
        <w:t xml:space="preserve"> with advised testing cost at $112 (calculated by </w:t>
      </w:r>
      <w:r w:rsidR="00736611">
        <w:t xml:space="preserve">the </w:t>
      </w:r>
      <w:r>
        <w:t>department)</w:t>
      </w:r>
    </w:p>
    <w:tbl>
      <w:tblPr>
        <w:tblStyle w:val="LashStyleTable1"/>
        <w:tblW w:w="0" w:type="auto"/>
        <w:tblLook w:val="04A0" w:firstRow="1" w:lastRow="0" w:firstColumn="1" w:lastColumn="0" w:noHBand="0" w:noVBand="1"/>
      </w:tblPr>
      <w:tblGrid>
        <w:gridCol w:w="3267"/>
        <w:gridCol w:w="923"/>
        <w:gridCol w:w="921"/>
        <w:gridCol w:w="975"/>
        <w:gridCol w:w="878"/>
        <w:gridCol w:w="210"/>
        <w:gridCol w:w="921"/>
        <w:gridCol w:w="921"/>
      </w:tblGrid>
      <w:tr w:rsidR="00930618" w:rsidRPr="00F1536E" w14:paraId="0791C451" w14:textId="77777777" w:rsidTr="008B3BA8">
        <w:trPr>
          <w:trHeight w:val="625"/>
        </w:trPr>
        <w:tc>
          <w:tcPr>
            <w:tcW w:w="3269" w:type="dxa"/>
            <w:hideMark/>
          </w:tcPr>
          <w:p w14:paraId="2268F2C0" w14:textId="77777777" w:rsidR="00930618" w:rsidRPr="00F1536E" w:rsidRDefault="00930618" w:rsidP="0004013F">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 </w:t>
            </w:r>
          </w:p>
        </w:tc>
        <w:tc>
          <w:tcPr>
            <w:tcW w:w="924" w:type="dxa"/>
            <w:hideMark/>
          </w:tcPr>
          <w:p w14:paraId="6F846629"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1</w:t>
            </w:r>
          </w:p>
          <w:p w14:paraId="2F357848" w14:textId="455017BF"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2025</w:t>
            </w:r>
          </w:p>
        </w:tc>
        <w:tc>
          <w:tcPr>
            <w:tcW w:w="920" w:type="dxa"/>
            <w:hideMark/>
          </w:tcPr>
          <w:p w14:paraId="047A9D83"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2</w:t>
            </w:r>
          </w:p>
          <w:p w14:paraId="31543567" w14:textId="6EF94F4D"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2026</w:t>
            </w:r>
          </w:p>
        </w:tc>
        <w:tc>
          <w:tcPr>
            <w:tcW w:w="975" w:type="dxa"/>
            <w:hideMark/>
          </w:tcPr>
          <w:p w14:paraId="1FAE6E11"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3</w:t>
            </w:r>
          </w:p>
          <w:p w14:paraId="069182B1" w14:textId="01C13C40"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2027</w:t>
            </w:r>
          </w:p>
        </w:tc>
        <w:tc>
          <w:tcPr>
            <w:tcW w:w="1088" w:type="dxa"/>
            <w:gridSpan w:val="2"/>
            <w:hideMark/>
          </w:tcPr>
          <w:p w14:paraId="1B6B6E19"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4</w:t>
            </w:r>
          </w:p>
          <w:p w14:paraId="174F84B7" w14:textId="036B6318"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2028</w:t>
            </w:r>
          </w:p>
        </w:tc>
        <w:tc>
          <w:tcPr>
            <w:tcW w:w="0" w:type="auto"/>
            <w:hideMark/>
          </w:tcPr>
          <w:p w14:paraId="2F36084E"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5</w:t>
            </w:r>
          </w:p>
          <w:p w14:paraId="60A30DBC" w14:textId="46E95AB9"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2029</w:t>
            </w:r>
          </w:p>
        </w:tc>
        <w:tc>
          <w:tcPr>
            <w:tcW w:w="0" w:type="auto"/>
            <w:hideMark/>
          </w:tcPr>
          <w:p w14:paraId="67BB9FAE" w14:textId="77777777"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Year 6</w:t>
            </w:r>
          </w:p>
          <w:p w14:paraId="6A52DA68" w14:textId="23E9D5D1" w:rsidR="00930618" w:rsidRPr="00F1536E" w:rsidRDefault="00930618"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2030</w:t>
            </w:r>
          </w:p>
        </w:tc>
      </w:tr>
      <w:tr w:rsidR="000A03D7" w:rsidRPr="00F1536E" w14:paraId="25B8D604" w14:textId="77777777" w:rsidTr="00E6388D">
        <w:trPr>
          <w:trHeight w:val="315"/>
        </w:trPr>
        <w:tc>
          <w:tcPr>
            <w:tcW w:w="0" w:type="auto"/>
            <w:gridSpan w:val="8"/>
            <w:hideMark/>
          </w:tcPr>
          <w:p w14:paraId="797C042B" w14:textId="77777777" w:rsidR="000A03D7" w:rsidRPr="00F1536E" w:rsidRDefault="000A03D7" w:rsidP="0004013F">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Base case: Testing at primary diagnosis (</w:t>
            </w:r>
            <w:r w:rsidRPr="00043D11">
              <w:rPr>
                <w:rFonts w:ascii="Arial Narrow" w:eastAsia="Times New Roman" w:hAnsi="Arial Narrow" w:cs="Times New Roman"/>
                <w:b/>
                <w:color w:val="000000"/>
                <w:sz w:val="20"/>
                <w:lang w:eastAsia="en-AU"/>
              </w:rPr>
              <w:t>advised</w:t>
            </w:r>
            <w:r w:rsidRPr="00F1536E">
              <w:rPr>
                <w:rFonts w:ascii="Arial Narrow" w:eastAsia="Times New Roman" w:hAnsi="Arial Narrow" w:cs="Times New Roman"/>
                <w:b/>
                <w:color w:val="000000"/>
                <w:sz w:val="20"/>
                <w:lang w:eastAsia="en-AU"/>
              </w:rPr>
              <w:t xml:space="preserve"> schedule fee =</w:t>
            </w:r>
            <w:r w:rsidRPr="00043D11">
              <w:rPr>
                <w:rFonts w:ascii="Arial Narrow" w:eastAsia="Times New Roman" w:hAnsi="Arial Narrow" w:cs="Times New Roman"/>
                <w:b/>
                <w:color w:val="000000"/>
                <w:sz w:val="20"/>
                <w:lang w:eastAsia="en-AU"/>
              </w:rPr>
              <w:t xml:space="preserve"> </w:t>
            </w:r>
            <w:r w:rsidRPr="00F1536E">
              <w:rPr>
                <w:rFonts w:ascii="Arial Narrow" w:eastAsia="Times New Roman" w:hAnsi="Arial Narrow" w:cs="Times New Roman"/>
                <w:b/>
                <w:color w:val="000000"/>
                <w:sz w:val="20"/>
                <w:lang w:eastAsia="en-AU"/>
              </w:rPr>
              <w:t>$</w:t>
            </w:r>
            <w:r w:rsidRPr="00043D11">
              <w:rPr>
                <w:rFonts w:ascii="Arial Narrow" w:eastAsia="Times New Roman" w:hAnsi="Arial Narrow" w:cs="Times New Roman"/>
                <w:b/>
                <w:color w:val="000000"/>
                <w:sz w:val="20"/>
                <w:lang w:eastAsia="en-AU"/>
              </w:rPr>
              <w:t>1</w:t>
            </w:r>
            <w:r w:rsidRPr="00F1536E">
              <w:rPr>
                <w:rFonts w:ascii="Arial Narrow" w:eastAsia="Times New Roman" w:hAnsi="Arial Narrow" w:cs="Times New Roman"/>
                <w:b/>
                <w:color w:val="000000"/>
                <w:sz w:val="20"/>
                <w:lang w:eastAsia="en-AU"/>
              </w:rPr>
              <w:t>1</w:t>
            </w:r>
            <w:r w:rsidRPr="00043D11">
              <w:rPr>
                <w:rFonts w:ascii="Arial Narrow" w:eastAsia="Times New Roman" w:hAnsi="Arial Narrow" w:cs="Times New Roman"/>
                <w:b/>
                <w:color w:val="000000"/>
                <w:sz w:val="20"/>
                <w:lang w:eastAsia="en-AU"/>
              </w:rPr>
              <w:t>2</w:t>
            </w:r>
            <w:r w:rsidRPr="00F1536E">
              <w:rPr>
                <w:rFonts w:ascii="Arial Narrow" w:eastAsia="Times New Roman" w:hAnsi="Arial Narrow" w:cs="Times New Roman"/>
                <w:b/>
                <w:color w:val="000000"/>
                <w:sz w:val="20"/>
                <w:lang w:eastAsia="en-AU"/>
              </w:rPr>
              <w:t>)</w:t>
            </w:r>
          </w:p>
        </w:tc>
      </w:tr>
      <w:tr w:rsidR="00E6388D" w:rsidRPr="00F1536E" w14:paraId="0806EEC9" w14:textId="77777777" w:rsidTr="008B3BA8">
        <w:trPr>
          <w:trHeight w:val="315"/>
        </w:trPr>
        <w:tc>
          <w:tcPr>
            <w:tcW w:w="3269" w:type="dxa"/>
            <w:hideMark/>
          </w:tcPr>
          <w:p w14:paraId="3EF71C9D"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test numbers (A)</w:t>
            </w:r>
          </w:p>
        </w:tc>
        <w:tc>
          <w:tcPr>
            <w:tcW w:w="924" w:type="dxa"/>
            <w:vAlign w:val="center"/>
            <w:hideMark/>
          </w:tcPr>
          <w:p w14:paraId="29117F9D" w14:textId="3E2EBE47"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920" w:type="dxa"/>
            <w:vAlign w:val="center"/>
            <w:hideMark/>
          </w:tcPr>
          <w:p w14:paraId="1F5975F1" w14:textId="22466CB5"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975" w:type="dxa"/>
            <w:vAlign w:val="center"/>
            <w:hideMark/>
          </w:tcPr>
          <w:p w14:paraId="460E521A" w14:textId="02C5171A"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1088" w:type="dxa"/>
            <w:gridSpan w:val="2"/>
            <w:vAlign w:val="center"/>
            <w:hideMark/>
          </w:tcPr>
          <w:p w14:paraId="2E708816" w14:textId="5E13EE86"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2E218943" w14:textId="3DB27FB8"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579B9DF0" w14:textId="03DA9C0D" w:rsidR="00E6388D" w:rsidRPr="00D97679" w:rsidRDefault="00E6388D" w:rsidP="00C746D4">
            <w:pPr>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r>
      <w:tr w:rsidR="00E6388D" w:rsidRPr="00F1536E" w14:paraId="444370D3" w14:textId="77777777" w:rsidTr="008B3BA8">
        <w:trPr>
          <w:trHeight w:val="315"/>
        </w:trPr>
        <w:tc>
          <w:tcPr>
            <w:tcW w:w="3269" w:type="dxa"/>
            <w:hideMark/>
          </w:tcPr>
          <w:p w14:paraId="0D034C65"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of testing to MBS (A*$112)</w:t>
            </w:r>
          </w:p>
        </w:tc>
        <w:tc>
          <w:tcPr>
            <w:tcW w:w="924" w:type="dxa"/>
            <w:vAlign w:val="center"/>
            <w:hideMark/>
          </w:tcPr>
          <w:p w14:paraId="52967B15" w14:textId="74A148E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71FCBDE7" w14:textId="6A76D03C"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080E28A1" w14:textId="6B1F739F"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c>
          <w:tcPr>
            <w:tcW w:w="853" w:type="dxa"/>
            <w:vAlign w:val="center"/>
            <w:hideMark/>
          </w:tcPr>
          <w:p w14:paraId="22395692" w14:textId="30A39532"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c>
          <w:tcPr>
            <w:tcW w:w="1155" w:type="dxa"/>
            <w:gridSpan w:val="2"/>
            <w:vAlign w:val="center"/>
            <w:hideMark/>
          </w:tcPr>
          <w:p w14:paraId="0CBAEDB8" w14:textId="0E9F7183"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7A3E54AD" w14:textId="15D279F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7B662F">
              <w:rPr>
                <w:rFonts w:ascii="Arial Narrow" w:eastAsia="Times New Roman" w:hAnsi="Arial Narrow" w:cs="Times New Roman"/>
                <w:color w:val="000000"/>
                <w:sz w:val="19"/>
                <w:szCs w:val="19"/>
                <w:lang w:eastAsia="en-AU"/>
              </w:rPr>
              <w:t>redacted</w:t>
            </w:r>
            <w:r w:rsidRPr="007B662F">
              <w:rPr>
                <w:rFonts w:ascii="Arial Narrow" w:eastAsia="Times New Roman" w:hAnsi="Arial Narrow" w:cs="Times New Roman"/>
                <w:color w:val="000000"/>
                <w:sz w:val="19"/>
                <w:szCs w:val="19"/>
                <w:vertAlign w:val="superscript"/>
                <w:lang w:eastAsia="en-AU"/>
              </w:rPr>
              <w:t>3</w:t>
            </w:r>
          </w:p>
        </w:tc>
      </w:tr>
      <w:tr w:rsidR="00C746D4" w:rsidRPr="00F1536E" w14:paraId="5B462435" w14:textId="77777777" w:rsidTr="008B3BA8">
        <w:trPr>
          <w:trHeight w:val="315"/>
        </w:trPr>
        <w:tc>
          <w:tcPr>
            <w:tcW w:w="3269" w:type="dxa"/>
            <w:hideMark/>
          </w:tcPr>
          <w:p w14:paraId="6A4C31C8"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(A x $112 x 20%)</w:t>
            </w:r>
          </w:p>
        </w:tc>
        <w:tc>
          <w:tcPr>
            <w:tcW w:w="924" w:type="dxa"/>
            <w:vAlign w:val="center"/>
            <w:hideMark/>
          </w:tcPr>
          <w:p w14:paraId="081EAB6A" w14:textId="469DEE98"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1BA2A840" w14:textId="33D70C58"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4A1D4F34" w14:textId="5C015E9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61746152" w14:textId="3B979449"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48C6620D" w14:textId="412099E6"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7DAC6FB3" w14:textId="1ABCDD2E"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A1F10">
              <w:rPr>
                <w:rFonts w:ascii="Arial Narrow" w:eastAsia="Times New Roman" w:hAnsi="Arial Narrow" w:cs="Times New Roman"/>
                <w:color w:val="000000"/>
                <w:sz w:val="19"/>
                <w:szCs w:val="19"/>
                <w:lang w:eastAsia="en-AU"/>
              </w:rPr>
              <w:t>redacted</w:t>
            </w:r>
            <w:r w:rsidRPr="00FA1F10">
              <w:rPr>
                <w:rFonts w:ascii="Arial Narrow" w:eastAsia="Times New Roman" w:hAnsi="Arial Narrow" w:cs="Times New Roman"/>
                <w:color w:val="000000"/>
                <w:sz w:val="19"/>
                <w:szCs w:val="19"/>
                <w:vertAlign w:val="superscript"/>
                <w:lang w:eastAsia="en-AU"/>
              </w:rPr>
              <w:t>4</w:t>
            </w:r>
          </w:p>
        </w:tc>
      </w:tr>
      <w:tr w:rsidR="00E6388D" w:rsidRPr="00F1536E" w14:paraId="63215B10" w14:textId="77777777" w:rsidTr="008B3BA8">
        <w:trPr>
          <w:trHeight w:val="315"/>
        </w:trPr>
        <w:tc>
          <w:tcPr>
            <w:tcW w:w="3269" w:type="dxa"/>
            <w:hideMark/>
          </w:tcPr>
          <w:p w14:paraId="2CE7DA99" w14:textId="77777777" w:rsidR="00E6388D" w:rsidRPr="00F1536E" w:rsidRDefault="00E6388D" w:rsidP="00E6388D">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Net cost to MBS (80% co-payment) (B = A x$112 x 80%)</w:t>
            </w:r>
          </w:p>
        </w:tc>
        <w:tc>
          <w:tcPr>
            <w:tcW w:w="924" w:type="dxa"/>
            <w:vAlign w:val="center"/>
            <w:hideMark/>
          </w:tcPr>
          <w:p w14:paraId="55B9F526" w14:textId="5A7DF245"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20" w:type="dxa"/>
            <w:vAlign w:val="center"/>
            <w:hideMark/>
          </w:tcPr>
          <w:p w14:paraId="59FE9D47" w14:textId="2CC422A0"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75" w:type="dxa"/>
            <w:vAlign w:val="center"/>
            <w:hideMark/>
          </w:tcPr>
          <w:p w14:paraId="17E48AE8" w14:textId="7B711AA1"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1088" w:type="dxa"/>
            <w:gridSpan w:val="2"/>
            <w:vAlign w:val="center"/>
            <w:hideMark/>
          </w:tcPr>
          <w:p w14:paraId="35B19F27" w14:textId="3D178FC5"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7A336FD5" w14:textId="4BF34704"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22564853" w14:textId="4EF8451C"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r>
      <w:tr w:rsidR="00E6388D" w:rsidRPr="00F1536E" w14:paraId="42851708" w14:textId="77777777" w:rsidTr="008B3BA8">
        <w:trPr>
          <w:trHeight w:val="315"/>
        </w:trPr>
        <w:tc>
          <w:tcPr>
            <w:tcW w:w="3269" w:type="dxa"/>
            <w:noWrap/>
            <w:hideMark/>
          </w:tcPr>
          <w:p w14:paraId="11AF5686" w14:textId="77777777" w:rsidR="00E6388D" w:rsidRPr="00AB3DC4" w:rsidRDefault="00E6388D" w:rsidP="00E6388D">
            <w:pPr>
              <w:spacing w:before="0"/>
              <w:jc w:val="left"/>
              <w:rPr>
                <w:rFonts w:ascii="Arial Narrow" w:eastAsia="Times New Roman" w:hAnsi="Arial Narrow" w:cs="Times New Roman"/>
                <w:color w:val="000000"/>
                <w:sz w:val="18"/>
                <w:szCs w:val="18"/>
                <w:lang w:eastAsia="en-AU"/>
              </w:rPr>
            </w:pPr>
            <w:r w:rsidRPr="00AB3DC4">
              <w:rPr>
                <w:rFonts w:ascii="Arial Narrow" w:eastAsia="Times New Roman" w:hAnsi="Arial Narrow" w:cs="Times New Roman"/>
                <w:color w:val="000000"/>
                <w:sz w:val="18"/>
                <w:szCs w:val="18"/>
                <w:lang w:eastAsia="en-AU"/>
              </w:rPr>
              <w:t>Net cost to MBS (85% co-payment) (C = A x$112 x 85%)</w:t>
            </w:r>
          </w:p>
        </w:tc>
        <w:tc>
          <w:tcPr>
            <w:tcW w:w="924" w:type="dxa"/>
            <w:noWrap/>
            <w:vAlign w:val="center"/>
            <w:hideMark/>
          </w:tcPr>
          <w:p w14:paraId="0E9700C4" w14:textId="25802927"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c>
          <w:tcPr>
            <w:tcW w:w="920" w:type="dxa"/>
            <w:noWrap/>
            <w:vAlign w:val="center"/>
            <w:hideMark/>
          </w:tcPr>
          <w:p w14:paraId="52050784" w14:textId="40B778D0"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c>
          <w:tcPr>
            <w:tcW w:w="975" w:type="dxa"/>
            <w:noWrap/>
            <w:vAlign w:val="center"/>
            <w:hideMark/>
          </w:tcPr>
          <w:p w14:paraId="25FE2227" w14:textId="59A28D84"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c>
          <w:tcPr>
            <w:tcW w:w="1088" w:type="dxa"/>
            <w:gridSpan w:val="2"/>
            <w:noWrap/>
            <w:vAlign w:val="center"/>
            <w:hideMark/>
          </w:tcPr>
          <w:p w14:paraId="21710BC9" w14:textId="4C1BE582"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c>
          <w:tcPr>
            <w:tcW w:w="0" w:type="auto"/>
            <w:noWrap/>
            <w:vAlign w:val="center"/>
            <w:hideMark/>
          </w:tcPr>
          <w:p w14:paraId="08DDDACA" w14:textId="65407CEC"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c>
          <w:tcPr>
            <w:tcW w:w="0" w:type="auto"/>
            <w:noWrap/>
            <w:vAlign w:val="center"/>
            <w:hideMark/>
          </w:tcPr>
          <w:p w14:paraId="421F36C6" w14:textId="76055B9F" w:rsidR="00E6388D" w:rsidRPr="00D97679" w:rsidRDefault="00E6388D" w:rsidP="00C746D4">
            <w:pPr>
              <w:spacing w:before="0"/>
              <w:jc w:val="center"/>
              <w:rPr>
                <w:rFonts w:ascii="Arial Narrow" w:eastAsia="Times New Roman" w:hAnsi="Arial Narrow" w:cs="Times New Roman"/>
                <w:b/>
                <w:bCs/>
                <w:sz w:val="18"/>
                <w:szCs w:val="18"/>
                <w:highlight w:val="yellow"/>
                <w:lang w:eastAsia="en-AU"/>
              </w:rPr>
            </w:pPr>
            <w:r w:rsidRPr="00435019">
              <w:rPr>
                <w:rFonts w:ascii="Arial Narrow" w:eastAsia="Times New Roman" w:hAnsi="Arial Narrow" w:cs="Times New Roman"/>
                <w:color w:val="000000"/>
                <w:sz w:val="19"/>
                <w:szCs w:val="19"/>
                <w:lang w:eastAsia="en-AU"/>
              </w:rPr>
              <w:t>redacted</w:t>
            </w:r>
            <w:r w:rsidRPr="00435019">
              <w:rPr>
                <w:rFonts w:ascii="Arial Narrow" w:eastAsia="Times New Roman" w:hAnsi="Arial Narrow" w:cs="Times New Roman"/>
                <w:color w:val="000000"/>
                <w:sz w:val="19"/>
                <w:szCs w:val="19"/>
                <w:vertAlign w:val="superscript"/>
                <w:lang w:eastAsia="en-AU"/>
              </w:rPr>
              <w:t>3</w:t>
            </w:r>
          </w:p>
        </w:tc>
      </w:tr>
      <w:tr w:rsidR="000A03D7" w:rsidRPr="00F1536E" w14:paraId="29FEC223" w14:textId="77777777" w:rsidTr="00C746D4">
        <w:trPr>
          <w:trHeight w:val="315"/>
        </w:trPr>
        <w:tc>
          <w:tcPr>
            <w:tcW w:w="0" w:type="auto"/>
            <w:gridSpan w:val="8"/>
            <w:vAlign w:val="center"/>
            <w:hideMark/>
          </w:tcPr>
          <w:p w14:paraId="06D1643A" w14:textId="77777777" w:rsidR="000A03D7" w:rsidRPr="00F1536E" w:rsidRDefault="000A03D7" w:rsidP="00C746D4">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Scenario: Testing at platinum-resistance</w:t>
            </w:r>
          </w:p>
        </w:tc>
      </w:tr>
      <w:tr w:rsidR="000A03D7" w:rsidRPr="00F1536E" w14:paraId="6CBBC0CC" w14:textId="77777777" w:rsidTr="00C746D4">
        <w:trPr>
          <w:trHeight w:val="349"/>
        </w:trPr>
        <w:tc>
          <w:tcPr>
            <w:tcW w:w="0" w:type="auto"/>
            <w:gridSpan w:val="8"/>
            <w:vAlign w:val="center"/>
            <w:hideMark/>
          </w:tcPr>
          <w:p w14:paraId="2D6A93FB" w14:textId="77777777" w:rsidR="000A03D7" w:rsidRPr="00F1536E" w:rsidRDefault="000A03D7" w:rsidP="00C746D4">
            <w:pPr>
              <w:spacing w:before="0"/>
              <w:jc w:val="center"/>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FRα expression testing (proposed schedule fee =$1</w:t>
            </w:r>
            <w:r w:rsidRPr="00043D11">
              <w:rPr>
                <w:rFonts w:ascii="Arial Narrow" w:eastAsia="Times New Roman" w:hAnsi="Arial Narrow" w:cs="Times New Roman"/>
                <w:b/>
                <w:color w:val="000000"/>
                <w:sz w:val="20"/>
                <w:lang w:eastAsia="en-AU"/>
              </w:rPr>
              <w:t>1</w:t>
            </w:r>
            <w:r w:rsidRPr="00F1536E">
              <w:rPr>
                <w:rFonts w:ascii="Arial Narrow" w:eastAsia="Times New Roman" w:hAnsi="Arial Narrow" w:cs="Times New Roman"/>
                <w:b/>
                <w:color w:val="000000"/>
                <w:sz w:val="20"/>
                <w:lang w:eastAsia="en-AU"/>
              </w:rPr>
              <w:t>2)</w:t>
            </w:r>
          </w:p>
        </w:tc>
      </w:tr>
      <w:tr w:rsidR="00C746D4" w:rsidRPr="00F1536E" w14:paraId="6F15445B" w14:textId="77777777" w:rsidTr="008B3BA8">
        <w:trPr>
          <w:trHeight w:val="315"/>
        </w:trPr>
        <w:tc>
          <w:tcPr>
            <w:tcW w:w="3269" w:type="dxa"/>
            <w:hideMark/>
          </w:tcPr>
          <w:p w14:paraId="79E05049"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services (D)</w:t>
            </w:r>
          </w:p>
        </w:tc>
        <w:tc>
          <w:tcPr>
            <w:tcW w:w="924" w:type="dxa"/>
            <w:vAlign w:val="center"/>
            <w:hideMark/>
          </w:tcPr>
          <w:p w14:paraId="2D74FC3A" w14:textId="4698E68F"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c>
          <w:tcPr>
            <w:tcW w:w="920" w:type="dxa"/>
            <w:vAlign w:val="center"/>
            <w:hideMark/>
          </w:tcPr>
          <w:p w14:paraId="7BFD12B6" w14:textId="72D1E944"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c>
          <w:tcPr>
            <w:tcW w:w="975" w:type="dxa"/>
            <w:vAlign w:val="center"/>
            <w:hideMark/>
          </w:tcPr>
          <w:p w14:paraId="36C3C18F" w14:textId="79EED66D"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c>
          <w:tcPr>
            <w:tcW w:w="1088" w:type="dxa"/>
            <w:gridSpan w:val="2"/>
            <w:vAlign w:val="center"/>
            <w:hideMark/>
          </w:tcPr>
          <w:p w14:paraId="0EE56517" w14:textId="5AA51632"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1163EA8A" w14:textId="0A516D16"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4129790A" w14:textId="70D28E33" w:rsidR="00C746D4" w:rsidRPr="00D97679" w:rsidRDefault="00C746D4" w:rsidP="00C746D4">
            <w:pPr>
              <w:spacing w:before="0"/>
              <w:jc w:val="center"/>
              <w:rPr>
                <w:rFonts w:ascii="Arial Narrow" w:eastAsia="Times New Roman" w:hAnsi="Arial Narrow" w:cs="Times New Roman"/>
                <w:color w:val="000000"/>
                <w:sz w:val="20"/>
                <w:highlight w:val="yellow"/>
                <w:lang w:eastAsia="en-AU"/>
              </w:rPr>
            </w:pPr>
            <w:r w:rsidRPr="00E72D1E">
              <w:rPr>
                <w:rFonts w:ascii="Arial Narrow" w:eastAsia="Times New Roman" w:hAnsi="Arial Narrow" w:cs="Times New Roman"/>
                <w:color w:val="000000"/>
                <w:sz w:val="19"/>
                <w:szCs w:val="19"/>
                <w:lang w:eastAsia="en-AU"/>
              </w:rPr>
              <w:t>redacted</w:t>
            </w:r>
            <w:r w:rsidRPr="00E72D1E">
              <w:rPr>
                <w:rFonts w:ascii="Arial Narrow" w:eastAsia="Times New Roman" w:hAnsi="Arial Narrow" w:cs="Times New Roman"/>
                <w:color w:val="000000"/>
                <w:sz w:val="19"/>
                <w:szCs w:val="19"/>
                <w:vertAlign w:val="superscript"/>
                <w:lang w:eastAsia="en-AU"/>
              </w:rPr>
              <w:t>1</w:t>
            </w:r>
          </w:p>
        </w:tc>
      </w:tr>
      <w:tr w:rsidR="00E6388D" w:rsidRPr="00F1536E" w14:paraId="55CFC7F8" w14:textId="77777777" w:rsidTr="008B3BA8">
        <w:trPr>
          <w:trHeight w:val="315"/>
        </w:trPr>
        <w:tc>
          <w:tcPr>
            <w:tcW w:w="3269" w:type="dxa"/>
            <w:hideMark/>
          </w:tcPr>
          <w:p w14:paraId="1DEC3B17"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to MBS (E = D x$112)</w:t>
            </w:r>
          </w:p>
        </w:tc>
        <w:tc>
          <w:tcPr>
            <w:tcW w:w="924" w:type="dxa"/>
            <w:vAlign w:val="center"/>
            <w:hideMark/>
          </w:tcPr>
          <w:p w14:paraId="0AA3A7B7" w14:textId="58A636FB"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4365E076" w14:textId="7B983025"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3660E58F" w14:textId="187BEA0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3E537EDC" w14:textId="64CE3901"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24368495" w14:textId="566DBE1E"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5A89069E" w14:textId="4B236E2C" w:rsidR="00E6388D" w:rsidRPr="00D97679" w:rsidRDefault="00E6388D" w:rsidP="00C746D4">
            <w:pPr>
              <w:spacing w:before="0"/>
              <w:jc w:val="center"/>
              <w:rPr>
                <w:rFonts w:ascii="Arial Narrow" w:eastAsia="Times New Roman" w:hAnsi="Arial Narrow" w:cs="Times New Roman"/>
                <w:sz w:val="20"/>
                <w:highlight w:val="yellow"/>
                <w:lang w:eastAsia="en-AU"/>
              </w:rPr>
            </w:pPr>
            <w:r w:rsidRPr="001C035C">
              <w:rPr>
                <w:rFonts w:ascii="Arial Narrow" w:eastAsia="Times New Roman" w:hAnsi="Arial Narrow" w:cs="Times New Roman"/>
                <w:color w:val="000000"/>
                <w:sz w:val="19"/>
                <w:szCs w:val="19"/>
                <w:lang w:eastAsia="en-AU"/>
              </w:rPr>
              <w:t>redacted</w:t>
            </w:r>
            <w:r w:rsidRPr="001C035C">
              <w:rPr>
                <w:rFonts w:ascii="Arial Narrow" w:eastAsia="Times New Roman" w:hAnsi="Arial Narrow" w:cs="Times New Roman"/>
                <w:color w:val="000000"/>
                <w:sz w:val="19"/>
                <w:szCs w:val="19"/>
                <w:vertAlign w:val="superscript"/>
                <w:lang w:eastAsia="en-AU"/>
              </w:rPr>
              <w:t>3</w:t>
            </w:r>
          </w:p>
        </w:tc>
      </w:tr>
      <w:tr w:rsidR="00C746D4" w:rsidRPr="00F1536E" w14:paraId="5684A13E" w14:textId="77777777" w:rsidTr="008B3BA8">
        <w:trPr>
          <w:trHeight w:val="315"/>
        </w:trPr>
        <w:tc>
          <w:tcPr>
            <w:tcW w:w="3269" w:type="dxa"/>
            <w:hideMark/>
          </w:tcPr>
          <w:p w14:paraId="1F375681"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(F = -E x 20%)</w:t>
            </w:r>
          </w:p>
        </w:tc>
        <w:tc>
          <w:tcPr>
            <w:tcW w:w="924" w:type="dxa"/>
            <w:vAlign w:val="center"/>
            <w:hideMark/>
          </w:tcPr>
          <w:p w14:paraId="28FE4B70" w14:textId="29466FB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3EA0C07C" w14:textId="0E37ADC0"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380522C0" w14:textId="0911471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3812E117" w14:textId="76E0000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4751F1D1" w14:textId="0A6D4CB5"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2DB6BD30" w14:textId="1E247886"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77373">
              <w:rPr>
                <w:rFonts w:ascii="Arial Narrow" w:eastAsia="Times New Roman" w:hAnsi="Arial Narrow" w:cs="Times New Roman"/>
                <w:color w:val="000000"/>
                <w:sz w:val="19"/>
                <w:szCs w:val="19"/>
                <w:lang w:eastAsia="en-AU"/>
              </w:rPr>
              <w:t>redacted</w:t>
            </w:r>
            <w:r w:rsidRPr="00977373">
              <w:rPr>
                <w:rFonts w:ascii="Arial Narrow" w:eastAsia="Times New Roman" w:hAnsi="Arial Narrow" w:cs="Times New Roman"/>
                <w:color w:val="000000"/>
                <w:sz w:val="19"/>
                <w:szCs w:val="19"/>
                <w:vertAlign w:val="superscript"/>
                <w:lang w:eastAsia="en-AU"/>
              </w:rPr>
              <w:t>4</w:t>
            </w:r>
          </w:p>
        </w:tc>
      </w:tr>
      <w:tr w:rsidR="00E6388D" w:rsidRPr="00F1536E" w14:paraId="691F0C6D" w14:textId="77777777" w:rsidTr="008B3BA8">
        <w:trPr>
          <w:trHeight w:val="315"/>
        </w:trPr>
        <w:tc>
          <w:tcPr>
            <w:tcW w:w="3269" w:type="dxa"/>
            <w:hideMark/>
          </w:tcPr>
          <w:p w14:paraId="392ABA50"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Net cost to MBS (G = E x 80%)</w:t>
            </w:r>
          </w:p>
        </w:tc>
        <w:tc>
          <w:tcPr>
            <w:tcW w:w="924" w:type="dxa"/>
            <w:vAlign w:val="center"/>
            <w:hideMark/>
          </w:tcPr>
          <w:p w14:paraId="373A7364" w14:textId="78306C11"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5869A57C" w14:textId="74AEBBA3"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67FE5DF0" w14:textId="6E6158F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24669C80" w14:textId="279F0C92"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0F8EABF3" w14:textId="1BB1F4DD"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6F674DC2" w14:textId="150B8221"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958E4">
              <w:rPr>
                <w:rFonts w:ascii="Arial Narrow" w:eastAsia="Times New Roman" w:hAnsi="Arial Narrow" w:cs="Times New Roman"/>
                <w:color w:val="000000"/>
                <w:sz w:val="19"/>
                <w:szCs w:val="19"/>
                <w:lang w:eastAsia="en-AU"/>
              </w:rPr>
              <w:t>redacted</w:t>
            </w:r>
            <w:r w:rsidRPr="006958E4">
              <w:rPr>
                <w:rFonts w:ascii="Arial Narrow" w:eastAsia="Times New Roman" w:hAnsi="Arial Narrow" w:cs="Times New Roman"/>
                <w:color w:val="000000"/>
                <w:sz w:val="19"/>
                <w:szCs w:val="19"/>
                <w:vertAlign w:val="superscript"/>
                <w:lang w:eastAsia="en-AU"/>
              </w:rPr>
              <w:t>3</w:t>
            </w:r>
          </w:p>
        </w:tc>
      </w:tr>
      <w:tr w:rsidR="000A03D7" w:rsidRPr="00F1536E" w14:paraId="7C93F1EA" w14:textId="77777777" w:rsidTr="008B3BA8">
        <w:trPr>
          <w:trHeight w:val="315"/>
        </w:trPr>
        <w:tc>
          <w:tcPr>
            <w:tcW w:w="3269" w:type="dxa"/>
            <w:hideMark/>
          </w:tcPr>
          <w:p w14:paraId="672CA2AA" w14:textId="77777777" w:rsidR="000A03D7" w:rsidRPr="00F1536E" w:rsidRDefault="000A03D7" w:rsidP="0004013F">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Archival block retrieval</w:t>
            </w:r>
          </w:p>
        </w:tc>
        <w:tc>
          <w:tcPr>
            <w:tcW w:w="5747" w:type="dxa"/>
            <w:gridSpan w:val="7"/>
            <w:vAlign w:val="center"/>
            <w:hideMark/>
          </w:tcPr>
          <w:p w14:paraId="36693145" w14:textId="31D5CDE9" w:rsidR="000A03D7" w:rsidRPr="00BB16A7" w:rsidRDefault="005E1E8F" w:rsidP="00C746D4">
            <w:pPr>
              <w:spacing w:before="0"/>
              <w:jc w:val="center"/>
              <w:rPr>
                <w:rFonts w:ascii="Arial Narrow" w:eastAsia="Times New Roman" w:hAnsi="Arial Narrow" w:cs="Times New Roman"/>
                <w:sz w:val="20"/>
                <w:lang w:eastAsia="en-AU"/>
              </w:rPr>
            </w:pPr>
            <w:r>
              <w:rPr>
                <w:rFonts w:ascii="Arial Narrow" w:eastAsia="Times New Roman" w:hAnsi="Arial Narrow" w:cs="Times New Roman"/>
                <w:sz w:val="20"/>
                <w:lang w:eastAsia="en-AU"/>
              </w:rPr>
              <w:t xml:space="preserve">MBS </w:t>
            </w:r>
            <w:r w:rsidR="000A03D7" w:rsidRPr="00BB16A7">
              <w:rPr>
                <w:rFonts w:ascii="Arial Narrow" w:eastAsia="Times New Roman" w:hAnsi="Arial Narrow" w:cs="Times New Roman"/>
                <w:sz w:val="20"/>
                <w:lang w:eastAsia="en-AU"/>
              </w:rPr>
              <w:t>item 72860 (schedule fee = $85)</w:t>
            </w:r>
          </w:p>
        </w:tc>
      </w:tr>
      <w:tr w:rsidR="00C746D4" w:rsidRPr="00F1536E" w14:paraId="4FA912ED" w14:textId="77777777" w:rsidTr="008B3BA8">
        <w:trPr>
          <w:trHeight w:val="315"/>
        </w:trPr>
        <w:tc>
          <w:tcPr>
            <w:tcW w:w="3269" w:type="dxa"/>
            <w:hideMark/>
          </w:tcPr>
          <w:p w14:paraId="52B493A5"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services (D)</w:t>
            </w:r>
          </w:p>
        </w:tc>
        <w:tc>
          <w:tcPr>
            <w:tcW w:w="924" w:type="dxa"/>
            <w:vAlign w:val="center"/>
            <w:hideMark/>
          </w:tcPr>
          <w:p w14:paraId="749101AC" w14:textId="758BD62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c>
          <w:tcPr>
            <w:tcW w:w="920" w:type="dxa"/>
            <w:vAlign w:val="center"/>
            <w:hideMark/>
          </w:tcPr>
          <w:p w14:paraId="79FA106D" w14:textId="10A439F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c>
          <w:tcPr>
            <w:tcW w:w="975" w:type="dxa"/>
            <w:vAlign w:val="center"/>
            <w:hideMark/>
          </w:tcPr>
          <w:p w14:paraId="09552A00" w14:textId="074F9205"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c>
          <w:tcPr>
            <w:tcW w:w="1088" w:type="dxa"/>
            <w:gridSpan w:val="2"/>
            <w:vAlign w:val="center"/>
            <w:hideMark/>
          </w:tcPr>
          <w:p w14:paraId="2338F3FB" w14:textId="12A17787"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5AF49D94" w14:textId="577321E0"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c>
          <w:tcPr>
            <w:tcW w:w="0" w:type="auto"/>
            <w:vAlign w:val="center"/>
            <w:hideMark/>
          </w:tcPr>
          <w:p w14:paraId="754E15D9" w14:textId="76E7722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9327C">
              <w:rPr>
                <w:rFonts w:ascii="Arial Narrow" w:eastAsia="Times New Roman" w:hAnsi="Arial Narrow" w:cs="Times New Roman"/>
                <w:color w:val="000000"/>
                <w:sz w:val="19"/>
                <w:szCs w:val="19"/>
                <w:lang w:eastAsia="en-AU"/>
              </w:rPr>
              <w:t>redacted</w:t>
            </w:r>
            <w:r w:rsidRPr="0099327C">
              <w:rPr>
                <w:rFonts w:ascii="Arial Narrow" w:eastAsia="Times New Roman" w:hAnsi="Arial Narrow" w:cs="Times New Roman"/>
                <w:color w:val="000000"/>
                <w:sz w:val="19"/>
                <w:szCs w:val="19"/>
                <w:vertAlign w:val="superscript"/>
                <w:lang w:eastAsia="en-AU"/>
              </w:rPr>
              <w:t>1</w:t>
            </w:r>
          </w:p>
        </w:tc>
      </w:tr>
      <w:tr w:rsidR="00E6388D" w:rsidRPr="00F1536E" w14:paraId="51BC3902" w14:textId="77777777" w:rsidTr="008B3BA8">
        <w:trPr>
          <w:trHeight w:val="315"/>
        </w:trPr>
        <w:tc>
          <w:tcPr>
            <w:tcW w:w="3269" w:type="dxa"/>
            <w:hideMark/>
          </w:tcPr>
          <w:p w14:paraId="2447F9EC"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to MBS (H = D x $85)</w:t>
            </w:r>
          </w:p>
        </w:tc>
        <w:tc>
          <w:tcPr>
            <w:tcW w:w="924" w:type="dxa"/>
            <w:vAlign w:val="center"/>
            <w:hideMark/>
          </w:tcPr>
          <w:p w14:paraId="784B94D1" w14:textId="28142674"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06991E13" w14:textId="2813FE9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3B237407" w14:textId="221AC784"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5A270210" w14:textId="7864D290"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258711A1" w14:textId="4EEEE6AE"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49BC23F5" w14:textId="3E149187" w:rsidR="00E6388D" w:rsidRPr="00D97679" w:rsidRDefault="00E6388D" w:rsidP="00C746D4">
            <w:pPr>
              <w:spacing w:before="0"/>
              <w:jc w:val="center"/>
              <w:rPr>
                <w:rFonts w:ascii="Arial Narrow" w:eastAsia="Times New Roman" w:hAnsi="Arial Narrow" w:cs="Times New Roman"/>
                <w:sz w:val="20"/>
                <w:highlight w:val="yellow"/>
                <w:lang w:eastAsia="en-AU"/>
              </w:rPr>
            </w:pPr>
            <w:r w:rsidRPr="0093775A">
              <w:rPr>
                <w:rFonts w:ascii="Arial Narrow" w:eastAsia="Times New Roman" w:hAnsi="Arial Narrow" w:cs="Times New Roman"/>
                <w:color w:val="000000"/>
                <w:sz w:val="19"/>
                <w:szCs w:val="19"/>
                <w:lang w:eastAsia="en-AU"/>
              </w:rPr>
              <w:t>redacted</w:t>
            </w:r>
            <w:r w:rsidRPr="0093775A">
              <w:rPr>
                <w:rFonts w:ascii="Arial Narrow" w:eastAsia="Times New Roman" w:hAnsi="Arial Narrow" w:cs="Times New Roman"/>
                <w:color w:val="000000"/>
                <w:sz w:val="19"/>
                <w:szCs w:val="19"/>
                <w:vertAlign w:val="superscript"/>
                <w:lang w:eastAsia="en-AU"/>
              </w:rPr>
              <w:t>3</w:t>
            </w:r>
          </w:p>
        </w:tc>
      </w:tr>
      <w:tr w:rsidR="00C746D4" w:rsidRPr="00F1536E" w14:paraId="7C53572A" w14:textId="77777777" w:rsidTr="008B3BA8">
        <w:trPr>
          <w:trHeight w:val="315"/>
        </w:trPr>
        <w:tc>
          <w:tcPr>
            <w:tcW w:w="3269" w:type="dxa"/>
            <w:hideMark/>
          </w:tcPr>
          <w:p w14:paraId="3CE3D4BF"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(I = -H x 20%)</w:t>
            </w:r>
          </w:p>
        </w:tc>
        <w:tc>
          <w:tcPr>
            <w:tcW w:w="924" w:type="dxa"/>
            <w:vAlign w:val="center"/>
            <w:hideMark/>
          </w:tcPr>
          <w:p w14:paraId="0B65871F" w14:textId="361FCC99"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50FD5AAC" w14:textId="7CF8DA47"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228C4AFC" w14:textId="71DAC7AE"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7B25587F" w14:textId="712B620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62C0EDC1" w14:textId="285BD40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1E6DFB6D" w14:textId="65E2AAC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8B5647">
              <w:rPr>
                <w:rFonts w:ascii="Arial Narrow" w:eastAsia="Times New Roman" w:hAnsi="Arial Narrow" w:cs="Times New Roman"/>
                <w:color w:val="000000"/>
                <w:sz w:val="19"/>
                <w:szCs w:val="19"/>
                <w:lang w:eastAsia="en-AU"/>
              </w:rPr>
              <w:t>redacted</w:t>
            </w:r>
            <w:r w:rsidRPr="008B5647">
              <w:rPr>
                <w:rFonts w:ascii="Arial Narrow" w:eastAsia="Times New Roman" w:hAnsi="Arial Narrow" w:cs="Times New Roman"/>
                <w:color w:val="000000"/>
                <w:sz w:val="19"/>
                <w:szCs w:val="19"/>
                <w:vertAlign w:val="superscript"/>
                <w:lang w:eastAsia="en-AU"/>
              </w:rPr>
              <w:t>4</w:t>
            </w:r>
          </w:p>
        </w:tc>
      </w:tr>
      <w:tr w:rsidR="00E6388D" w:rsidRPr="00F1536E" w14:paraId="1AF956A1" w14:textId="77777777" w:rsidTr="008B3BA8">
        <w:trPr>
          <w:trHeight w:val="315"/>
        </w:trPr>
        <w:tc>
          <w:tcPr>
            <w:tcW w:w="3269" w:type="dxa"/>
            <w:hideMark/>
          </w:tcPr>
          <w:p w14:paraId="2443ECE8"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Net cost to MBS (J = H x 80%)</w:t>
            </w:r>
          </w:p>
        </w:tc>
        <w:tc>
          <w:tcPr>
            <w:tcW w:w="924" w:type="dxa"/>
            <w:vAlign w:val="center"/>
            <w:hideMark/>
          </w:tcPr>
          <w:p w14:paraId="5CE4437E" w14:textId="43BF372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3BFE0FFE" w14:textId="19B4250B"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1CB8473C" w14:textId="2EFDE83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649198F8" w14:textId="5DC28249"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40A64992" w14:textId="0A0D117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466139F5" w14:textId="32641876" w:rsidR="00E6388D" w:rsidRPr="00D97679" w:rsidRDefault="00E6388D" w:rsidP="00C746D4">
            <w:pPr>
              <w:spacing w:before="0"/>
              <w:jc w:val="center"/>
              <w:rPr>
                <w:rFonts w:ascii="Arial Narrow" w:eastAsia="Times New Roman" w:hAnsi="Arial Narrow" w:cs="Times New Roman"/>
                <w:sz w:val="20"/>
                <w:highlight w:val="yellow"/>
                <w:lang w:eastAsia="en-AU"/>
              </w:rPr>
            </w:pPr>
            <w:r w:rsidRPr="008C6D20">
              <w:rPr>
                <w:rFonts w:ascii="Arial Narrow" w:eastAsia="Times New Roman" w:hAnsi="Arial Narrow" w:cs="Times New Roman"/>
                <w:color w:val="000000"/>
                <w:sz w:val="19"/>
                <w:szCs w:val="19"/>
                <w:lang w:eastAsia="en-AU"/>
              </w:rPr>
              <w:t>redacted</w:t>
            </w:r>
            <w:r w:rsidRPr="008C6D20">
              <w:rPr>
                <w:rFonts w:ascii="Arial Narrow" w:eastAsia="Times New Roman" w:hAnsi="Arial Narrow" w:cs="Times New Roman"/>
                <w:color w:val="000000"/>
                <w:sz w:val="19"/>
                <w:szCs w:val="19"/>
                <w:vertAlign w:val="superscript"/>
                <w:lang w:eastAsia="en-AU"/>
              </w:rPr>
              <w:t>3</w:t>
            </w:r>
          </w:p>
        </w:tc>
      </w:tr>
      <w:tr w:rsidR="000A03D7" w:rsidRPr="00F1536E" w14:paraId="2F6A863D" w14:textId="77777777" w:rsidTr="008B3BA8">
        <w:trPr>
          <w:trHeight w:val="315"/>
        </w:trPr>
        <w:tc>
          <w:tcPr>
            <w:tcW w:w="3269" w:type="dxa"/>
            <w:hideMark/>
          </w:tcPr>
          <w:p w14:paraId="6A7D242B" w14:textId="77777777" w:rsidR="000A03D7" w:rsidRPr="00F1536E" w:rsidRDefault="000A03D7" w:rsidP="0004013F">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 xml:space="preserve"> Re-biopsy procedure</w:t>
            </w:r>
          </w:p>
        </w:tc>
        <w:tc>
          <w:tcPr>
            <w:tcW w:w="5747" w:type="dxa"/>
            <w:gridSpan w:val="7"/>
            <w:noWrap/>
            <w:vAlign w:val="center"/>
            <w:hideMark/>
          </w:tcPr>
          <w:p w14:paraId="5DE182FA" w14:textId="01AA32B0" w:rsidR="000A03D7" w:rsidRPr="005E1E8F" w:rsidRDefault="005E1E8F" w:rsidP="00C746D4">
            <w:pPr>
              <w:spacing w:before="0"/>
              <w:jc w:val="center"/>
              <w:rPr>
                <w:rFonts w:ascii="Arial Narrow" w:eastAsia="Times New Roman" w:hAnsi="Arial Narrow" w:cs="Times New Roman"/>
                <w:sz w:val="22"/>
                <w:lang w:eastAsia="en-AU"/>
              </w:rPr>
            </w:pPr>
            <w:r>
              <w:rPr>
                <w:rFonts w:ascii="Arial Narrow" w:eastAsia="Times New Roman" w:hAnsi="Arial Narrow" w:cs="Times New Roman"/>
                <w:sz w:val="20"/>
                <w:szCs w:val="18"/>
                <w:lang w:eastAsia="en-AU"/>
              </w:rPr>
              <w:t xml:space="preserve">MBS </w:t>
            </w:r>
            <w:r w:rsidR="000A03D7" w:rsidRPr="005E1E8F">
              <w:rPr>
                <w:rFonts w:ascii="Arial Narrow" w:eastAsia="Times New Roman" w:hAnsi="Arial Narrow" w:cs="Times New Roman"/>
                <w:sz w:val="20"/>
                <w:szCs w:val="18"/>
                <w:lang w:eastAsia="en-AU"/>
              </w:rPr>
              <w:t>item 30094 (schedule fee = $215.80)</w:t>
            </w:r>
          </w:p>
        </w:tc>
      </w:tr>
      <w:tr w:rsidR="00C746D4" w:rsidRPr="00F1536E" w14:paraId="33685A61" w14:textId="77777777" w:rsidTr="008B3BA8">
        <w:trPr>
          <w:trHeight w:val="315"/>
        </w:trPr>
        <w:tc>
          <w:tcPr>
            <w:tcW w:w="3269" w:type="dxa"/>
            <w:hideMark/>
          </w:tcPr>
          <w:p w14:paraId="24ACAEB3"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services (K =10% x A)</w:t>
            </w:r>
          </w:p>
        </w:tc>
        <w:tc>
          <w:tcPr>
            <w:tcW w:w="924" w:type="dxa"/>
            <w:vAlign w:val="center"/>
            <w:hideMark/>
          </w:tcPr>
          <w:p w14:paraId="0FB6C905" w14:textId="450B47F9"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c>
          <w:tcPr>
            <w:tcW w:w="920" w:type="dxa"/>
            <w:vAlign w:val="center"/>
            <w:hideMark/>
          </w:tcPr>
          <w:p w14:paraId="724A7CEF" w14:textId="5CD504E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c>
          <w:tcPr>
            <w:tcW w:w="975" w:type="dxa"/>
            <w:vAlign w:val="center"/>
            <w:hideMark/>
          </w:tcPr>
          <w:p w14:paraId="2EA7DEE7" w14:textId="73291B6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c>
          <w:tcPr>
            <w:tcW w:w="1088" w:type="dxa"/>
            <w:gridSpan w:val="2"/>
            <w:vAlign w:val="center"/>
            <w:hideMark/>
          </w:tcPr>
          <w:p w14:paraId="791F03FA" w14:textId="0B0C4ACF"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35E899A3" w14:textId="719E9055"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375AD9F5" w14:textId="6B14025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FF2EC9">
              <w:rPr>
                <w:rFonts w:ascii="Arial Narrow" w:eastAsia="Times New Roman" w:hAnsi="Arial Narrow" w:cs="Times New Roman"/>
                <w:color w:val="000000"/>
                <w:sz w:val="19"/>
                <w:szCs w:val="19"/>
                <w:lang w:eastAsia="en-AU"/>
              </w:rPr>
              <w:t>redacted</w:t>
            </w:r>
            <w:r w:rsidRPr="00FF2EC9">
              <w:rPr>
                <w:rFonts w:ascii="Arial Narrow" w:eastAsia="Times New Roman" w:hAnsi="Arial Narrow" w:cs="Times New Roman"/>
                <w:color w:val="000000"/>
                <w:sz w:val="19"/>
                <w:szCs w:val="19"/>
                <w:vertAlign w:val="superscript"/>
                <w:lang w:eastAsia="en-AU"/>
              </w:rPr>
              <w:t>2</w:t>
            </w:r>
          </w:p>
        </w:tc>
      </w:tr>
      <w:tr w:rsidR="00E6388D" w:rsidRPr="00F1536E" w14:paraId="5FD21A6C" w14:textId="77777777" w:rsidTr="008B3BA8">
        <w:trPr>
          <w:trHeight w:val="315"/>
        </w:trPr>
        <w:tc>
          <w:tcPr>
            <w:tcW w:w="3269" w:type="dxa"/>
            <w:hideMark/>
          </w:tcPr>
          <w:p w14:paraId="456014ED" w14:textId="0B3D1D2E"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to MBS</w:t>
            </w:r>
            <w:r w:rsidRPr="00F1536E" w:rsidDel="00DD4A18">
              <w:rPr>
                <w:rFonts w:ascii="Arial Narrow" w:eastAsia="Times New Roman" w:hAnsi="Arial Narrow" w:cs="Times New Roman"/>
                <w:color w:val="000000"/>
                <w:sz w:val="20"/>
                <w:lang w:eastAsia="en-AU"/>
              </w:rPr>
              <w:t xml:space="preserve"> </w:t>
            </w:r>
            <w:r w:rsidRPr="00F1536E">
              <w:rPr>
                <w:rFonts w:ascii="Arial Narrow" w:eastAsia="Times New Roman" w:hAnsi="Arial Narrow" w:cs="Times New Roman"/>
                <w:color w:val="000000"/>
                <w:sz w:val="20"/>
                <w:lang w:eastAsia="en-AU"/>
              </w:rPr>
              <w:t>(L = K x $215.80)</w:t>
            </w:r>
          </w:p>
        </w:tc>
        <w:tc>
          <w:tcPr>
            <w:tcW w:w="924" w:type="dxa"/>
            <w:vAlign w:val="center"/>
            <w:hideMark/>
          </w:tcPr>
          <w:p w14:paraId="120FB233" w14:textId="79ABA2CB"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7F3409CB" w14:textId="48912D12"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0A68A497" w14:textId="047AF7F7"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6B7EE16F" w14:textId="7C876BD5"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7D9B6272" w14:textId="7240D7E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4D1CAAD2" w14:textId="3CA830DB" w:rsidR="00E6388D" w:rsidRPr="00D97679" w:rsidRDefault="00E6388D" w:rsidP="00C746D4">
            <w:pPr>
              <w:spacing w:before="0"/>
              <w:jc w:val="center"/>
              <w:rPr>
                <w:rFonts w:ascii="Arial Narrow" w:eastAsia="Times New Roman" w:hAnsi="Arial Narrow" w:cs="Times New Roman"/>
                <w:sz w:val="20"/>
                <w:highlight w:val="yellow"/>
                <w:lang w:eastAsia="en-AU"/>
              </w:rPr>
            </w:pPr>
            <w:r w:rsidRPr="00B96E9B">
              <w:rPr>
                <w:rFonts w:ascii="Arial Narrow" w:eastAsia="Times New Roman" w:hAnsi="Arial Narrow" w:cs="Times New Roman"/>
                <w:color w:val="000000"/>
                <w:sz w:val="19"/>
                <w:szCs w:val="19"/>
                <w:lang w:eastAsia="en-AU"/>
              </w:rPr>
              <w:t>redacted</w:t>
            </w:r>
            <w:r w:rsidRPr="00B96E9B">
              <w:rPr>
                <w:rFonts w:ascii="Arial Narrow" w:eastAsia="Times New Roman" w:hAnsi="Arial Narrow" w:cs="Times New Roman"/>
                <w:color w:val="000000"/>
                <w:sz w:val="19"/>
                <w:szCs w:val="19"/>
                <w:vertAlign w:val="superscript"/>
                <w:lang w:eastAsia="en-AU"/>
              </w:rPr>
              <w:t>3</w:t>
            </w:r>
          </w:p>
        </w:tc>
      </w:tr>
      <w:tr w:rsidR="00E6388D" w:rsidRPr="00F1536E" w14:paraId="6F19AC31" w14:textId="77777777" w:rsidTr="008B3BA8">
        <w:trPr>
          <w:trHeight w:val="315"/>
        </w:trPr>
        <w:tc>
          <w:tcPr>
            <w:tcW w:w="3269" w:type="dxa"/>
            <w:hideMark/>
          </w:tcPr>
          <w:p w14:paraId="1A4C7CCD"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(M = -L x 20%)</w:t>
            </w:r>
          </w:p>
        </w:tc>
        <w:tc>
          <w:tcPr>
            <w:tcW w:w="924" w:type="dxa"/>
            <w:vAlign w:val="center"/>
            <w:hideMark/>
          </w:tcPr>
          <w:p w14:paraId="035C769B" w14:textId="1B671D59"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0D3EB948" w14:textId="5DDDA65D"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3A56AFA3" w14:textId="1B441F1F"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2A9CC7B3" w14:textId="1F6A99DE"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5BA5DC71" w14:textId="579D9690"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0506C0A8" w14:textId="53A60600" w:rsidR="00E6388D" w:rsidRPr="00D97679" w:rsidRDefault="00E6388D" w:rsidP="00C746D4">
            <w:pPr>
              <w:spacing w:before="0"/>
              <w:jc w:val="center"/>
              <w:rPr>
                <w:rFonts w:ascii="Arial Narrow" w:eastAsia="Times New Roman" w:hAnsi="Arial Narrow" w:cs="Times New Roman"/>
                <w:sz w:val="20"/>
                <w:highlight w:val="yellow"/>
                <w:lang w:eastAsia="en-AU"/>
              </w:rPr>
            </w:pPr>
            <w:r w:rsidRPr="002A056E">
              <w:rPr>
                <w:rFonts w:ascii="Arial Narrow" w:eastAsia="Times New Roman" w:hAnsi="Arial Narrow" w:cs="Times New Roman"/>
                <w:color w:val="000000"/>
                <w:sz w:val="19"/>
                <w:szCs w:val="19"/>
                <w:lang w:eastAsia="en-AU"/>
              </w:rPr>
              <w:t>redacted</w:t>
            </w:r>
            <w:r w:rsidRPr="002A056E">
              <w:rPr>
                <w:rFonts w:ascii="Arial Narrow" w:eastAsia="Times New Roman" w:hAnsi="Arial Narrow" w:cs="Times New Roman"/>
                <w:color w:val="000000"/>
                <w:sz w:val="19"/>
                <w:szCs w:val="19"/>
                <w:vertAlign w:val="superscript"/>
                <w:lang w:eastAsia="en-AU"/>
              </w:rPr>
              <w:t>4</w:t>
            </w:r>
          </w:p>
        </w:tc>
      </w:tr>
      <w:tr w:rsidR="00E6388D" w:rsidRPr="00F1536E" w14:paraId="571BEDE4" w14:textId="77777777" w:rsidTr="008B3BA8">
        <w:trPr>
          <w:trHeight w:val="315"/>
        </w:trPr>
        <w:tc>
          <w:tcPr>
            <w:tcW w:w="3269" w:type="dxa"/>
            <w:hideMark/>
          </w:tcPr>
          <w:p w14:paraId="46EFD8B9"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Net cost to MBS (N = L x 80%)</w:t>
            </w:r>
          </w:p>
        </w:tc>
        <w:tc>
          <w:tcPr>
            <w:tcW w:w="924" w:type="dxa"/>
            <w:vAlign w:val="center"/>
            <w:hideMark/>
          </w:tcPr>
          <w:p w14:paraId="7A5A1409" w14:textId="23411939"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6CBF8D82" w14:textId="137176C7"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0BA4B854" w14:textId="02E66652"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49402AFC" w14:textId="5BF009D7"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3DBDCF6D" w14:textId="22B663D6"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35CB662F" w14:textId="4A20D45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D832AF">
              <w:rPr>
                <w:rFonts w:ascii="Arial Narrow" w:eastAsia="Times New Roman" w:hAnsi="Arial Narrow" w:cs="Times New Roman"/>
                <w:color w:val="000000"/>
                <w:sz w:val="19"/>
                <w:szCs w:val="19"/>
                <w:lang w:eastAsia="en-AU"/>
              </w:rPr>
              <w:t>redacted</w:t>
            </w:r>
            <w:r w:rsidRPr="00D832AF">
              <w:rPr>
                <w:rFonts w:ascii="Arial Narrow" w:eastAsia="Times New Roman" w:hAnsi="Arial Narrow" w:cs="Times New Roman"/>
                <w:color w:val="000000"/>
                <w:sz w:val="19"/>
                <w:szCs w:val="19"/>
                <w:vertAlign w:val="superscript"/>
                <w:lang w:eastAsia="en-AU"/>
              </w:rPr>
              <w:t>3</w:t>
            </w:r>
          </w:p>
        </w:tc>
      </w:tr>
      <w:tr w:rsidR="000A03D7" w:rsidRPr="00F1536E" w14:paraId="3164CC96" w14:textId="77777777" w:rsidTr="008B3BA8">
        <w:trPr>
          <w:trHeight w:val="499"/>
        </w:trPr>
        <w:tc>
          <w:tcPr>
            <w:tcW w:w="3269" w:type="dxa"/>
            <w:hideMark/>
          </w:tcPr>
          <w:p w14:paraId="65823558" w14:textId="77777777" w:rsidR="000A03D7" w:rsidRPr="00F1536E" w:rsidRDefault="000A03D7" w:rsidP="0004013F">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Pre-anaesthesia consultation</w:t>
            </w:r>
          </w:p>
        </w:tc>
        <w:tc>
          <w:tcPr>
            <w:tcW w:w="5747" w:type="dxa"/>
            <w:gridSpan w:val="7"/>
            <w:vAlign w:val="center"/>
            <w:hideMark/>
          </w:tcPr>
          <w:p w14:paraId="4F4551ED" w14:textId="64CFC044" w:rsidR="000A03D7" w:rsidRPr="00BB16A7" w:rsidRDefault="005E1E8F" w:rsidP="00C746D4">
            <w:pPr>
              <w:spacing w:before="0"/>
              <w:jc w:val="center"/>
              <w:rPr>
                <w:rFonts w:ascii="Arial Narrow" w:eastAsia="Times New Roman" w:hAnsi="Arial Narrow" w:cs="Times New Roman"/>
                <w:sz w:val="20"/>
                <w:lang w:eastAsia="en-AU"/>
              </w:rPr>
            </w:pPr>
            <w:r>
              <w:rPr>
                <w:rFonts w:ascii="Arial Narrow" w:eastAsia="Times New Roman" w:hAnsi="Arial Narrow" w:cs="Times New Roman"/>
                <w:sz w:val="20"/>
                <w:lang w:eastAsia="en-AU"/>
              </w:rPr>
              <w:t xml:space="preserve">MBS </w:t>
            </w:r>
            <w:r w:rsidR="000A03D7" w:rsidRPr="00BB16A7">
              <w:rPr>
                <w:rFonts w:ascii="Arial Narrow" w:eastAsia="Times New Roman" w:hAnsi="Arial Narrow" w:cs="Times New Roman"/>
                <w:sz w:val="20"/>
                <w:lang w:eastAsia="en-AU"/>
              </w:rPr>
              <w:t>item 17610 (schedule fee = $49.75)</w:t>
            </w:r>
          </w:p>
        </w:tc>
      </w:tr>
      <w:tr w:rsidR="00C746D4" w:rsidRPr="00F1536E" w14:paraId="31F6EB32" w14:textId="77777777" w:rsidTr="008B3BA8">
        <w:trPr>
          <w:trHeight w:val="315"/>
        </w:trPr>
        <w:tc>
          <w:tcPr>
            <w:tcW w:w="3269" w:type="dxa"/>
            <w:hideMark/>
          </w:tcPr>
          <w:p w14:paraId="03096805"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services (K =10% x A)</w:t>
            </w:r>
          </w:p>
        </w:tc>
        <w:tc>
          <w:tcPr>
            <w:tcW w:w="924" w:type="dxa"/>
            <w:vAlign w:val="center"/>
            <w:hideMark/>
          </w:tcPr>
          <w:p w14:paraId="1AE82CE9" w14:textId="687F185F"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c>
          <w:tcPr>
            <w:tcW w:w="920" w:type="dxa"/>
            <w:vAlign w:val="center"/>
            <w:hideMark/>
          </w:tcPr>
          <w:p w14:paraId="580F96C0" w14:textId="6ED6DDA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c>
          <w:tcPr>
            <w:tcW w:w="975" w:type="dxa"/>
            <w:vAlign w:val="center"/>
            <w:hideMark/>
          </w:tcPr>
          <w:p w14:paraId="691725C1" w14:textId="440189F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c>
          <w:tcPr>
            <w:tcW w:w="1088" w:type="dxa"/>
            <w:gridSpan w:val="2"/>
            <w:vAlign w:val="center"/>
            <w:hideMark/>
          </w:tcPr>
          <w:p w14:paraId="38104D6E" w14:textId="0A176563"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64775983" w14:textId="3E993C77"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51B1EDA6" w14:textId="17B16F3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C72291">
              <w:rPr>
                <w:rFonts w:ascii="Arial Narrow" w:eastAsia="Times New Roman" w:hAnsi="Arial Narrow" w:cs="Times New Roman"/>
                <w:color w:val="000000"/>
                <w:sz w:val="19"/>
                <w:szCs w:val="19"/>
                <w:lang w:eastAsia="en-AU"/>
              </w:rPr>
              <w:t>redacted</w:t>
            </w:r>
            <w:r w:rsidRPr="00C72291">
              <w:rPr>
                <w:rFonts w:ascii="Arial Narrow" w:eastAsia="Times New Roman" w:hAnsi="Arial Narrow" w:cs="Times New Roman"/>
                <w:color w:val="000000"/>
                <w:sz w:val="19"/>
                <w:szCs w:val="19"/>
                <w:vertAlign w:val="superscript"/>
                <w:lang w:eastAsia="en-AU"/>
              </w:rPr>
              <w:t>2</w:t>
            </w:r>
          </w:p>
        </w:tc>
      </w:tr>
      <w:tr w:rsidR="00E6388D" w:rsidRPr="00F1536E" w14:paraId="7A0C55AF" w14:textId="77777777" w:rsidTr="008B3BA8">
        <w:trPr>
          <w:trHeight w:val="315"/>
        </w:trPr>
        <w:tc>
          <w:tcPr>
            <w:tcW w:w="3269" w:type="dxa"/>
            <w:hideMark/>
          </w:tcPr>
          <w:p w14:paraId="68A9BA99" w14:textId="42951499"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to MBS</w:t>
            </w:r>
            <w:r w:rsidRPr="00F1536E" w:rsidDel="00DD4A18">
              <w:rPr>
                <w:rFonts w:ascii="Arial Narrow" w:eastAsia="Times New Roman" w:hAnsi="Arial Narrow" w:cs="Times New Roman"/>
                <w:color w:val="000000"/>
                <w:sz w:val="20"/>
                <w:lang w:eastAsia="en-AU"/>
              </w:rPr>
              <w:t xml:space="preserve"> </w:t>
            </w:r>
            <w:r w:rsidRPr="00F1536E">
              <w:rPr>
                <w:rFonts w:ascii="Arial Narrow" w:eastAsia="Times New Roman" w:hAnsi="Arial Narrow" w:cs="Times New Roman"/>
                <w:color w:val="000000"/>
                <w:sz w:val="20"/>
                <w:lang w:eastAsia="en-AU"/>
              </w:rPr>
              <w:t>(O= K x $49.75)</w:t>
            </w:r>
          </w:p>
        </w:tc>
        <w:tc>
          <w:tcPr>
            <w:tcW w:w="924" w:type="dxa"/>
            <w:vAlign w:val="center"/>
            <w:hideMark/>
          </w:tcPr>
          <w:p w14:paraId="52686CD4" w14:textId="0D0507A6"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0B23D46A" w14:textId="15031D49"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7898A059" w14:textId="338732E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124C7F3B" w14:textId="64B91A17"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1BB9A884" w14:textId="2C2AD174"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3C829EA1" w14:textId="01B2149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5E1E05">
              <w:rPr>
                <w:rFonts w:ascii="Arial Narrow" w:eastAsia="Times New Roman" w:hAnsi="Arial Narrow" w:cs="Times New Roman"/>
                <w:color w:val="000000"/>
                <w:sz w:val="19"/>
                <w:szCs w:val="19"/>
                <w:lang w:eastAsia="en-AU"/>
              </w:rPr>
              <w:t>redacted</w:t>
            </w:r>
            <w:r w:rsidRPr="005E1E05">
              <w:rPr>
                <w:rFonts w:ascii="Arial Narrow" w:eastAsia="Times New Roman" w:hAnsi="Arial Narrow" w:cs="Times New Roman"/>
                <w:color w:val="000000"/>
                <w:sz w:val="19"/>
                <w:szCs w:val="19"/>
                <w:vertAlign w:val="superscript"/>
                <w:lang w:eastAsia="en-AU"/>
              </w:rPr>
              <w:t>3</w:t>
            </w:r>
          </w:p>
        </w:tc>
      </w:tr>
      <w:tr w:rsidR="00C746D4" w:rsidRPr="00F1536E" w14:paraId="46C6C1F6" w14:textId="77777777" w:rsidTr="008B3BA8">
        <w:trPr>
          <w:trHeight w:val="315"/>
        </w:trPr>
        <w:tc>
          <w:tcPr>
            <w:tcW w:w="3269" w:type="dxa"/>
            <w:hideMark/>
          </w:tcPr>
          <w:p w14:paraId="46401A8D"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(P = -O x 20%)</w:t>
            </w:r>
          </w:p>
        </w:tc>
        <w:tc>
          <w:tcPr>
            <w:tcW w:w="924" w:type="dxa"/>
            <w:vAlign w:val="center"/>
            <w:hideMark/>
          </w:tcPr>
          <w:p w14:paraId="2447765B" w14:textId="27CD1A09"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64944072" w14:textId="026C86B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267948E1" w14:textId="1878005B"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15EDB60F" w14:textId="4EB2648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5B6E1A84" w14:textId="2CC83643"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29FC1538" w14:textId="17D6754B" w:rsidR="00C746D4" w:rsidRPr="00D97679" w:rsidRDefault="00C746D4" w:rsidP="00C746D4">
            <w:pPr>
              <w:spacing w:before="0"/>
              <w:jc w:val="center"/>
              <w:rPr>
                <w:rFonts w:ascii="Arial Narrow" w:eastAsia="Times New Roman" w:hAnsi="Arial Narrow" w:cs="Times New Roman"/>
                <w:sz w:val="20"/>
                <w:highlight w:val="yellow"/>
                <w:lang w:eastAsia="en-AU"/>
              </w:rPr>
            </w:pPr>
            <w:r w:rsidRPr="00965BD8">
              <w:rPr>
                <w:rFonts w:ascii="Arial Narrow" w:eastAsia="Times New Roman" w:hAnsi="Arial Narrow" w:cs="Times New Roman"/>
                <w:color w:val="000000"/>
                <w:sz w:val="19"/>
                <w:szCs w:val="19"/>
                <w:lang w:eastAsia="en-AU"/>
              </w:rPr>
              <w:t>redacted</w:t>
            </w:r>
            <w:r w:rsidRPr="00965BD8">
              <w:rPr>
                <w:rFonts w:ascii="Arial Narrow" w:eastAsia="Times New Roman" w:hAnsi="Arial Narrow" w:cs="Times New Roman"/>
                <w:color w:val="000000"/>
                <w:sz w:val="19"/>
                <w:szCs w:val="19"/>
                <w:vertAlign w:val="superscript"/>
                <w:lang w:eastAsia="en-AU"/>
              </w:rPr>
              <w:t>4</w:t>
            </w:r>
          </w:p>
        </w:tc>
      </w:tr>
      <w:tr w:rsidR="00E6388D" w:rsidRPr="00F1536E" w14:paraId="683DB3D4" w14:textId="77777777" w:rsidTr="008B3BA8">
        <w:trPr>
          <w:trHeight w:val="315"/>
        </w:trPr>
        <w:tc>
          <w:tcPr>
            <w:tcW w:w="3269" w:type="dxa"/>
            <w:hideMark/>
          </w:tcPr>
          <w:p w14:paraId="520BD22F"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Net cost to MBS (Q = O x 80%)</w:t>
            </w:r>
          </w:p>
        </w:tc>
        <w:tc>
          <w:tcPr>
            <w:tcW w:w="924" w:type="dxa"/>
            <w:vAlign w:val="center"/>
            <w:hideMark/>
          </w:tcPr>
          <w:p w14:paraId="2A8B2A6B" w14:textId="195E86A1"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37E72071" w14:textId="5A5F93CC"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38D45329" w14:textId="1FB5D3A0"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44872A01" w14:textId="1D8464C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1063479A" w14:textId="7B1B4DAE"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4BBE8D40" w14:textId="6180042B" w:rsidR="00E6388D" w:rsidRPr="00D97679" w:rsidRDefault="00E6388D" w:rsidP="00C746D4">
            <w:pPr>
              <w:spacing w:before="0"/>
              <w:jc w:val="center"/>
              <w:rPr>
                <w:rFonts w:ascii="Arial Narrow" w:eastAsia="Times New Roman" w:hAnsi="Arial Narrow" w:cs="Times New Roman"/>
                <w:sz w:val="20"/>
                <w:highlight w:val="yellow"/>
                <w:lang w:eastAsia="en-AU"/>
              </w:rPr>
            </w:pPr>
            <w:r w:rsidRPr="00ED0900">
              <w:rPr>
                <w:rFonts w:ascii="Arial Narrow" w:eastAsia="Times New Roman" w:hAnsi="Arial Narrow" w:cs="Times New Roman"/>
                <w:color w:val="000000"/>
                <w:sz w:val="19"/>
                <w:szCs w:val="19"/>
                <w:lang w:eastAsia="en-AU"/>
              </w:rPr>
              <w:t>redacted</w:t>
            </w:r>
            <w:r w:rsidRPr="00ED0900">
              <w:rPr>
                <w:rFonts w:ascii="Arial Narrow" w:eastAsia="Times New Roman" w:hAnsi="Arial Narrow" w:cs="Times New Roman"/>
                <w:color w:val="000000"/>
                <w:sz w:val="19"/>
                <w:szCs w:val="19"/>
                <w:vertAlign w:val="superscript"/>
                <w:lang w:eastAsia="en-AU"/>
              </w:rPr>
              <w:t>3</w:t>
            </w:r>
          </w:p>
        </w:tc>
      </w:tr>
      <w:tr w:rsidR="000A03D7" w:rsidRPr="00F1536E" w14:paraId="7DF94068" w14:textId="77777777" w:rsidTr="008B3BA8">
        <w:trPr>
          <w:trHeight w:val="315"/>
        </w:trPr>
        <w:tc>
          <w:tcPr>
            <w:tcW w:w="3269" w:type="dxa"/>
            <w:hideMark/>
          </w:tcPr>
          <w:p w14:paraId="2228B538" w14:textId="77777777" w:rsidR="000A03D7" w:rsidRPr="00F1536E" w:rsidRDefault="000A03D7" w:rsidP="0004013F">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Anaesthesia</w:t>
            </w:r>
          </w:p>
        </w:tc>
        <w:tc>
          <w:tcPr>
            <w:tcW w:w="5747" w:type="dxa"/>
            <w:gridSpan w:val="7"/>
            <w:vAlign w:val="center"/>
            <w:hideMark/>
          </w:tcPr>
          <w:p w14:paraId="0EBCD9B9" w14:textId="7E673F03" w:rsidR="000A03D7" w:rsidRPr="00BB16A7" w:rsidRDefault="005E1E8F" w:rsidP="00C746D4">
            <w:pPr>
              <w:spacing w:before="0"/>
              <w:jc w:val="center"/>
              <w:rPr>
                <w:rFonts w:ascii="Arial Narrow" w:eastAsia="Times New Roman" w:hAnsi="Arial Narrow" w:cs="Times New Roman"/>
                <w:sz w:val="20"/>
                <w:lang w:eastAsia="en-AU"/>
              </w:rPr>
            </w:pPr>
            <w:r>
              <w:rPr>
                <w:rFonts w:ascii="Arial Narrow" w:eastAsia="Times New Roman" w:hAnsi="Arial Narrow" w:cs="Times New Roman"/>
                <w:sz w:val="20"/>
                <w:lang w:eastAsia="en-AU"/>
              </w:rPr>
              <w:t xml:space="preserve">MBS </w:t>
            </w:r>
            <w:r w:rsidR="000A03D7" w:rsidRPr="00BB16A7">
              <w:rPr>
                <w:rFonts w:ascii="Arial Narrow" w:eastAsia="Times New Roman" w:hAnsi="Arial Narrow" w:cs="Times New Roman"/>
                <w:sz w:val="20"/>
                <w:lang w:eastAsia="en-AU"/>
              </w:rPr>
              <w:t>item 18216 (schedule fee= $216.35)</w:t>
            </w:r>
          </w:p>
        </w:tc>
      </w:tr>
      <w:tr w:rsidR="00C746D4" w:rsidRPr="00F1536E" w14:paraId="5AF93913" w14:textId="77777777" w:rsidTr="008B3BA8">
        <w:trPr>
          <w:trHeight w:val="315"/>
        </w:trPr>
        <w:tc>
          <w:tcPr>
            <w:tcW w:w="3269" w:type="dxa"/>
            <w:hideMark/>
          </w:tcPr>
          <w:p w14:paraId="5E28CA71"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services (K =10% x A)</w:t>
            </w:r>
          </w:p>
        </w:tc>
        <w:tc>
          <w:tcPr>
            <w:tcW w:w="924" w:type="dxa"/>
            <w:vAlign w:val="center"/>
            <w:hideMark/>
          </w:tcPr>
          <w:p w14:paraId="5DEB4A35" w14:textId="072CDE7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c>
          <w:tcPr>
            <w:tcW w:w="920" w:type="dxa"/>
            <w:vAlign w:val="center"/>
            <w:hideMark/>
          </w:tcPr>
          <w:p w14:paraId="268AC872" w14:textId="5F5FEDFF"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c>
          <w:tcPr>
            <w:tcW w:w="975" w:type="dxa"/>
            <w:vAlign w:val="center"/>
            <w:hideMark/>
          </w:tcPr>
          <w:p w14:paraId="35387430" w14:textId="7E3A3D41"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c>
          <w:tcPr>
            <w:tcW w:w="1088" w:type="dxa"/>
            <w:gridSpan w:val="2"/>
            <w:vAlign w:val="center"/>
            <w:hideMark/>
          </w:tcPr>
          <w:p w14:paraId="51CE26CF" w14:textId="1B4CDCDA"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6CB3B714" w14:textId="6EC162F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c>
          <w:tcPr>
            <w:tcW w:w="0" w:type="auto"/>
            <w:vAlign w:val="center"/>
            <w:hideMark/>
          </w:tcPr>
          <w:p w14:paraId="458358FA" w14:textId="0BFDD042" w:rsidR="00C746D4" w:rsidRPr="00D97679" w:rsidRDefault="00C746D4" w:rsidP="00C746D4">
            <w:pPr>
              <w:spacing w:before="0"/>
              <w:jc w:val="center"/>
              <w:rPr>
                <w:rFonts w:ascii="Arial Narrow" w:eastAsia="Times New Roman" w:hAnsi="Arial Narrow" w:cs="Times New Roman"/>
                <w:sz w:val="20"/>
                <w:highlight w:val="yellow"/>
                <w:lang w:eastAsia="en-AU"/>
              </w:rPr>
            </w:pPr>
            <w:r w:rsidRPr="00551FE2">
              <w:rPr>
                <w:rFonts w:ascii="Arial Narrow" w:eastAsia="Times New Roman" w:hAnsi="Arial Narrow" w:cs="Times New Roman"/>
                <w:color w:val="000000"/>
                <w:sz w:val="19"/>
                <w:szCs w:val="19"/>
                <w:lang w:eastAsia="en-AU"/>
              </w:rPr>
              <w:t>redacted</w:t>
            </w:r>
            <w:r w:rsidRPr="00551FE2">
              <w:rPr>
                <w:rFonts w:ascii="Arial Narrow" w:eastAsia="Times New Roman" w:hAnsi="Arial Narrow" w:cs="Times New Roman"/>
                <w:color w:val="000000"/>
                <w:sz w:val="19"/>
                <w:szCs w:val="19"/>
                <w:vertAlign w:val="superscript"/>
                <w:lang w:eastAsia="en-AU"/>
              </w:rPr>
              <w:t>2</w:t>
            </w:r>
          </w:p>
        </w:tc>
      </w:tr>
      <w:tr w:rsidR="00E6388D" w:rsidRPr="00F1536E" w14:paraId="6BB2A8F6" w14:textId="77777777" w:rsidTr="008B3BA8">
        <w:trPr>
          <w:trHeight w:val="315"/>
        </w:trPr>
        <w:tc>
          <w:tcPr>
            <w:tcW w:w="3269" w:type="dxa"/>
            <w:hideMark/>
          </w:tcPr>
          <w:p w14:paraId="260F67F8" w14:textId="6C4415D5"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Cost to MBS</w:t>
            </w:r>
            <w:r w:rsidRPr="00F1536E" w:rsidDel="00DD4A18">
              <w:rPr>
                <w:rFonts w:ascii="Arial Narrow" w:eastAsia="Times New Roman" w:hAnsi="Arial Narrow" w:cs="Times New Roman"/>
                <w:color w:val="000000"/>
                <w:sz w:val="20"/>
                <w:lang w:eastAsia="en-AU"/>
              </w:rPr>
              <w:t xml:space="preserve"> </w:t>
            </w:r>
            <w:r w:rsidRPr="00F1536E">
              <w:rPr>
                <w:rFonts w:ascii="Arial Narrow" w:eastAsia="Times New Roman" w:hAnsi="Arial Narrow" w:cs="Times New Roman"/>
                <w:color w:val="000000"/>
                <w:sz w:val="20"/>
                <w:lang w:eastAsia="en-AU"/>
              </w:rPr>
              <w:t>(R= K x $216.35)</w:t>
            </w:r>
          </w:p>
        </w:tc>
        <w:tc>
          <w:tcPr>
            <w:tcW w:w="924" w:type="dxa"/>
            <w:vAlign w:val="center"/>
            <w:hideMark/>
          </w:tcPr>
          <w:p w14:paraId="3814554F" w14:textId="232B2EA6"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7F1984B9" w14:textId="4AA95266"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1105A2EC" w14:textId="5CCAE074"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2047F900" w14:textId="6E11B454"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0428307F" w14:textId="383FF3D3"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14D93428" w14:textId="0879C27E" w:rsidR="00E6388D" w:rsidRPr="00D97679" w:rsidRDefault="00E6388D" w:rsidP="00C746D4">
            <w:pPr>
              <w:spacing w:before="0"/>
              <w:jc w:val="center"/>
              <w:rPr>
                <w:rFonts w:ascii="Arial Narrow" w:eastAsia="Times New Roman" w:hAnsi="Arial Narrow" w:cs="Times New Roman"/>
                <w:sz w:val="20"/>
                <w:highlight w:val="yellow"/>
                <w:lang w:eastAsia="en-AU"/>
              </w:rPr>
            </w:pPr>
            <w:r w:rsidRPr="00A978A3">
              <w:rPr>
                <w:rFonts w:ascii="Arial Narrow" w:eastAsia="Times New Roman" w:hAnsi="Arial Narrow" w:cs="Times New Roman"/>
                <w:color w:val="000000"/>
                <w:sz w:val="19"/>
                <w:szCs w:val="19"/>
                <w:lang w:eastAsia="en-AU"/>
              </w:rPr>
              <w:t>redacted</w:t>
            </w:r>
            <w:r w:rsidRPr="00A978A3">
              <w:rPr>
                <w:rFonts w:ascii="Arial Narrow" w:eastAsia="Times New Roman" w:hAnsi="Arial Narrow" w:cs="Times New Roman"/>
                <w:color w:val="000000"/>
                <w:sz w:val="19"/>
                <w:szCs w:val="19"/>
                <w:vertAlign w:val="superscript"/>
                <w:lang w:eastAsia="en-AU"/>
              </w:rPr>
              <w:t>3</w:t>
            </w:r>
          </w:p>
        </w:tc>
      </w:tr>
      <w:tr w:rsidR="00C746D4" w:rsidRPr="00F1536E" w14:paraId="4ECEF6F7" w14:textId="77777777" w:rsidTr="008B3BA8">
        <w:trPr>
          <w:trHeight w:val="315"/>
        </w:trPr>
        <w:tc>
          <w:tcPr>
            <w:tcW w:w="3269" w:type="dxa"/>
            <w:hideMark/>
          </w:tcPr>
          <w:p w14:paraId="4008DBAE"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Patient copayment (S = -R x 20%)</w:t>
            </w:r>
          </w:p>
        </w:tc>
        <w:tc>
          <w:tcPr>
            <w:tcW w:w="924" w:type="dxa"/>
            <w:vAlign w:val="center"/>
            <w:hideMark/>
          </w:tcPr>
          <w:p w14:paraId="2EE074DC" w14:textId="42271146"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73EFDCCF" w14:textId="6FCE786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53F6D694" w14:textId="5EEEF12C"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3F92BC77" w14:textId="0FA6FD54"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7B54ECC1" w14:textId="145138EA"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040BABEB" w14:textId="0B0121BB"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00268">
              <w:rPr>
                <w:rFonts w:ascii="Arial Narrow" w:eastAsia="Times New Roman" w:hAnsi="Arial Narrow" w:cs="Times New Roman"/>
                <w:color w:val="000000"/>
                <w:sz w:val="19"/>
                <w:szCs w:val="19"/>
                <w:lang w:eastAsia="en-AU"/>
              </w:rPr>
              <w:t>redacted</w:t>
            </w:r>
            <w:r w:rsidRPr="00D00268">
              <w:rPr>
                <w:rFonts w:ascii="Arial Narrow" w:eastAsia="Times New Roman" w:hAnsi="Arial Narrow" w:cs="Times New Roman"/>
                <w:color w:val="000000"/>
                <w:sz w:val="19"/>
                <w:szCs w:val="19"/>
                <w:vertAlign w:val="superscript"/>
                <w:lang w:eastAsia="en-AU"/>
              </w:rPr>
              <w:t>4</w:t>
            </w:r>
          </w:p>
        </w:tc>
      </w:tr>
      <w:tr w:rsidR="00E6388D" w:rsidRPr="00F1536E" w14:paraId="2EF41BD4" w14:textId="77777777" w:rsidTr="008B3BA8">
        <w:trPr>
          <w:trHeight w:val="315"/>
        </w:trPr>
        <w:tc>
          <w:tcPr>
            <w:tcW w:w="3269" w:type="dxa"/>
            <w:hideMark/>
          </w:tcPr>
          <w:p w14:paraId="74E53C17" w14:textId="77777777" w:rsidR="00E6388D" w:rsidRPr="00F1536E" w:rsidRDefault="00E6388D" w:rsidP="00E6388D">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Net cost to MBS (T = R x 80%)</w:t>
            </w:r>
          </w:p>
        </w:tc>
        <w:tc>
          <w:tcPr>
            <w:tcW w:w="924" w:type="dxa"/>
            <w:vAlign w:val="center"/>
            <w:hideMark/>
          </w:tcPr>
          <w:p w14:paraId="193F40CF" w14:textId="4577C9A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c>
          <w:tcPr>
            <w:tcW w:w="920" w:type="dxa"/>
            <w:vAlign w:val="center"/>
            <w:hideMark/>
          </w:tcPr>
          <w:p w14:paraId="2AA601D1" w14:textId="1F806A95"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c>
          <w:tcPr>
            <w:tcW w:w="975" w:type="dxa"/>
            <w:vAlign w:val="center"/>
            <w:hideMark/>
          </w:tcPr>
          <w:p w14:paraId="3DA086BE" w14:textId="1C859838"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c>
          <w:tcPr>
            <w:tcW w:w="1088" w:type="dxa"/>
            <w:gridSpan w:val="2"/>
            <w:vAlign w:val="center"/>
            <w:hideMark/>
          </w:tcPr>
          <w:p w14:paraId="525DFC5E" w14:textId="4C2D57C3"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7AA777B7" w14:textId="028CAF42"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c>
          <w:tcPr>
            <w:tcW w:w="0" w:type="auto"/>
            <w:vAlign w:val="center"/>
            <w:hideMark/>
          </w:tcPr>
          <w:p w14:paraId="05A891F5" w14:textId="6A2C1B2A" w:rsidR="00E6388D" w:rsidRPr="00D97679" w:rsidRDefault="00E6388D" w:rsidP="00C746D4">
            <w:pPr>
              <w:spacing w:before="0"/>
              <w:jc w:val="center"/>
              <w:rPr>
                <w:rFonts w:ascii="Arial Narrow" w:eastAsia="Times New Roman" w:hAnsi="Arial Narrow" w:cs="Times New Roman"/>
                <w:sz w:val="20"/>
                <w:highlight w:val="yellow"/>
                <w:lang w:eastAsia="en-AU"/>
              </w:rPr>
            </w:pPr>
            <w:r w:rsidRPr="006D37FD">
              <w:rPr>
                <w:rFonts w:ascii="Arial Narrow" w:eastAsia="Times New Roman" w:hAnsi="Arial Narrow" w:cs="Times New Roman"/>
                <w:color w:val="000000"/>
                <w:sz w:val="19"/>
                <w:szCs w:val="19"/>
                <w:lang w:eastAsia="en-AU"/>
              </w:rPr>
              <w:t>redacted</w:t>
            </w:r>
            <w:r w:rsidRPr="006D37FD">
              <w:rPr>
                <w:rFonts w:ascii="Arial Narrow" w:eastAsia="Times New Roman" w:hAnsi="Arial Narrow" w:cs="Times New Roman"/>
                <w:color w:val="000000"/>
                <w:sz w:val="19"/>
                <w:szCs w:val="19"/>
                <w:vertAlign w:val="superscript"/>
                <w:lang w:eastAsia="en-AU"/>
              </w:rPr>
              <w:t>3</w:t>
            </w:r>
          </w:p>
        </w:tc>
      </w:tr>
      <w:tr w:rsidR="00E6388D" w:rsidRPr="00F1536E" w14:paraId="7D2C610D" w14:textId="77777777" w:rsidTr="008B3BA8">
        <w:trPr>
          <w:trHeight w:val="315"/>
        </w:trPr>
        <w:tc>
          <w:tcPr>
            <w:tcW w:w="3269" w:type="dxa"/>
            <w:hideMark/>
          </w:tcPr>
          <w:p w14:paraId="65DC53DA" w14:textId="77777777" w:rsidR="00E6388D" w:rsidRPr="00F1536E" w:rsidRDefault="00E6388D" w:rsidP="00E6388D">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Total cost to MBS (U=E+H+L+O+R)</w:t>
            </w:r>
          </w:p>
        </w:tc>
        <w:tc>
          <w:tcPr>
            <w:tcW w:w="924" w:type="dxa"/>
            <w:vAlign w:val="center"/>
            <w:hideMark/>
          </w:tcPr>
          <w:p w14:paraId="5089C91B" w14:textId="391B1033"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20" w:type="dxa"/>
            <w:vAlign w:val="center"/>
            <w:hideMark/>
          </w:tcPr>
          <w:p w14:paraId="50F4F4C3" w14:textId="5E493B42"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975" w:type="dxa"/>
            <w:vAlign w:val="center"/>
            <w:hideMark/>
          </w:tcPr>
          <w:p w14:paraId="605EC284" w14:textId="3A733ECD"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1088" w:type="dxa"/>
            <w:gridSpan w:val="2"/>
            <w:vAlign w:val="center"/>
            <w:hideMark/>
          </w:tcPr>
          <w:p w14:paraId="2E592E73" w14:textId="723D008F"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2E57CC38" w14:textId="294B4FBB"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79423D08" w14:textId="493E946C" w:rsidR="00E6388D" w:rsidRPr="008D3C0C" w:rsidRDefault="00E6388D" w:rsidP="00C746D4">
            <w:pPr>
              <w:spacing w:before="0"/>
              <w:jc w:val="center"/>
              <w:rPr>
                <w:rFonts w:ascii="Arial Narrow" w:eastAsia="Times New Roman" w:hAnsi="Arial Narrow" w:cs="Times New Roman"/>
                <w:b/>
                <w:bCs/>
                <w:sz w:val="20"/>
                <w:highlight w:val="yellow"/>
                <w:lang w:eastAsia="en-AU"/>
              </w:rPr>
            </w:pPr>
            <w:r w:rsidRPr="008D3C0C">
              <w:rPr>
                <w:rFonts w:ascii="Arial Narrow" w:eastAsia="Times New Roman" w:hAnsi="Arial Narrow" w:cs="Times New Roman"/>
                <w:b/>
                <w:bCs/>
                <w:color w:val="000000"/>
                <w:sz w:val="19"/>
                <w:szCs w:val="19"/>
                <w:lang w:eastAsia="en-AU"/>
              </w:rPr>
              <w:t>redacted</w:t>
            </w:r>
            <w:r w:rsidRPr="008D3C0C">
              <w:rPr>
                <w:rFonts w:ascii="Arial Narrow" w:eastAsia="Times New Roman" w:hAnsi="Arial Narrow" w:cs="Times New Roman"/>
                <w:b/>
                <w:bCs/>
                <w:color w:val="000000"/>
                <w:sz w:val="19"/>
                <w:szCs w:val="19"/>
                <w:vertAlign w:val="superscript"/>
                <w:lang w:eastAsia="en-AU"/>
              </w:rPr>
              <w:t>3</w:t>
            </w:r>
          </w:p>
        </w:tc>
      </w:tr>
      <w:tr w:rsidR="00C746D4" w:rsidRPr="00F1536E" w14:paraId="133AC645" w14:textId="77777777" w:rsidTr="008B3BA8">
        <w:trPr>
          <w:trHeight w:val="315"/>
        </w:trPr>
        <w:tc>
          <w:tcPr>
            <w:tcW w:w="3269" w:type="dxa"/>
            <w:hideMark/>
          </w:tcPr>
          <w:p w14:paraId="2A942763" w14:textId="77777777" w:rsidR="00C746D4" w:rsidRPr="00F1536E" w:rsidRDefault="00C746D4" w:rsidP="00C746D4">
            <w:pPr>
              <w:spacing w:before="0"/>
              <w:jc w:val="left"/>
              <w:rPr>
                <w:rFonts w:ascii="Arial Narrow" w:eastAsia="Times New Roman" w:hAnsi="Arial Narrow" w:cs="Times New Roman"/>
                <w:color w:val="000000"/>
                <w:sz w:val="20"/>
                <w:lang w:eastAsia="en-AU"/>
              </w:rPr>
            </w:pPr>
            <w:r w:rsidRPr="00F1536E">
              <w:rPr>
                <w:rFonts w:ascii="Arial Narrow" w:eastAsia="Times New Roman" w:hAnsi="Arial Narrow" w:cs="Times New Roman"/>
                <w:color w:val="000000"/>
                <w:sz w:val="20"/>
                <w:lang w:eastAsia="en-AU"/>
              </w:rPr>
              <w:t>Total copayments (V=F+I+M+P+S)</w:t>
            </w:r>
          </w:p>
        </w:tc>
        <w:tc>
          <w:tcPr>
            <w:tcW w:w="924" w:type="dxa"/>
            <w:vAlign w:val="center"/>
            <w:hideMark/>
          </w:tcPr>
          <w:p w14:paraId="10B7B797" w14:textId="00D0C4C3"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c>
          <w:tcPr>
            <w:tcW w:w="920" w:type="dxa"/>
            <w:vAlign w:val="center"/>
            <w:hideMark/>
          </w:tcPr>
          <w:p w14:paraId="730ADF4A" w14:textId="641911E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c>
          <w:tcPr>
            <w:tcW w:w="975" w:type="dxa"/>
            <w:vAlign w:val="center"/>
            <w:hideMark/>
          </w:tcPr>
          <w:p w14:paraId="03250602" w14:textId="30D1ADEE"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c>
          <w:tcPr>
            <w:tcW w:w="1088" w:type="dxa"/>
            <w:gridSpan w:val="2"/>
            <w:vAlign w:val="center"/>
            <w:hideMark/>
          </w:tcPr>
          <w:p w14:paraId="3E643266" w14:textId="770A59ED"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24EE4B53" w14:textId="6328CA76"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c>
          <w:tcPr>
            <w:tcW w:w="0" w:type="auto"/>
            <w:vAlign w:val="center"/>
            <w:hideMark/>
          </w:tcPr>
          <w:p w14:paraId="64CC7895" w14:textId="2EEC0A54" w:rsidR="00C746D4" w:rsidRPr="00D97679" w:rsidRDefault="00C746D4" w:rsidP="00C746D4">
            <w:pPr>
              <w:spacing w:before="0"/>
              <w:jc w:val="center"/>
              <w:rPr>
                <w:rFonts w:ascii="Arial Narrow" w:eastAsia="Times New Roman" w:hAnsi="Arial Narrow" w:cs="Times New Roman"/>
                <w:sz w:val="20"/>
                <w:highlight w:val="yellow"/>
                <w:lang w:eastAsia="en-AU"/>
              </w:rPr>
            </w:pPr>
            <w:r w:rsidRPr="00D33121">
              <w:rPr>
                <w:rFonts w:ascii="Arial Narrow" w:eastAsia="Times New Roman" w:hAnsi="Arial Narrow" w:cs="Times New Roman"/>
                <w:color w:val="000000"/>
                <w:sz w:val="19"/>
                <w:szCs w:val="19"/>
                <w:lang w:eastAsia="en-AU"/>
              </w:rPr>
              <w:t>redacted</w:t>
            </w:r>
            <w:r w:rsidRPr="00D33121">
              <w:rPr>
                <w:rFonts w:ascii="Arial Narrow" w:eastAsia="Times New Roman" w:hAnsi="Arial Narrow" w:cs="Times New Roman"/>
                <w:color w:val="000000"/>
                <w:sz w:val="19"/>
                <w:szCs w:val="19"/>
                <w:vertAlign w:val="superscript"/>
                <w:lang w:eastAsia="en-AU"/>
              </w:rPr>
              <w:t>4</w:t>
            </w:r>
          </w:p>
        </w:tc>
      </w:tr>
      <w:tr w:rsidR="00E6388D" w:rsidRPr="00F1536E" w14:paraId="5D082C87" w14:textId="77777777" w:rsidTr="008B3BA8">
        <w:trPr>
          <w:trHeight w:val="315"/>
        </w:trPr>
        <w:tc>
          <w:tcPr>
            <w:tcW w:w="3269" w:type="dxa"/>
            <w:hideMark/>
          </w:tcPr>
          <w:p w14:paraId="50D50C3F" w14:textId="77777777" w:rsidR="00E6388D" w:rsidRPr="00F1536E" w:rsidRDefault="00E6388D" w:rsidP="00E6388D">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Net cost to MBS (80% co-payment) (X = U+V)</w:t>
            </w:r>
          </w:p>
        </w:tc>
        <w:tc>
          <w:tcPr>
            <w:tcW w:w="924" w:type="dxa"/>
            <w:vAlign w:val="center"/>
            <w:hideMark/>
          </w:tcPr>
          <w:p w14:paraId="1843BC28" w14:textId="3054FCDA"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920" w:type="dxa"/>
            <w:vAlign w:val="center"/>
            <w:hideMark/>
          </w:tcPr>
          <w:p w14:paraId="79961A40" w14:textId="477503D9"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975" w:type="dxa"/>
            <w:vAlign w:val="center"/>
            <w:hideMark/>
          </w:tcPr>
          <w:p w14:paraId="0E7A13A5" w14:textId="6F216EB3"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1088" w:type="dxa"/>
            <w:gridSpan w:val="2"/>
            <w:vAlign w:val="center"/>
            <w:hideMark/>
          </w:tcPr>
          <w:p w14:paraId="7C50674C" w14:textId="70A0C52E"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3397BDF4" w14:textId="62B9752A"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5F5F107B" w14:textId="7FD0A50B"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r>
      <w:tr w:rsidR="00E6388D" w:rsidRPr="00F1536E" w14:paraId="6E4CECB7" w14:textId="77777777" w:rsidTr="008B3BA8">
        <w:trPr>
          <w:trHeight w:val="315"/>
        </w:trPr>
        <w:tc>
          <w:tcPr>
            <w:tcW w:w="3269" w:type="dxa"/>
            <w:hideMark/>
          </w:tcPr>
          <w:p w14:paraId="1DA11BD3" w14:textId="77777777" w:rsidR="00E6388D" w:rsidRPr="00F1536E" w:rsidRDefault="00E6388D" w:rsidP="00E6388D">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t>Net cost to MBS (85% co-payment) (Y = U x 85%)</w:t>
            </w:r>
          </w:p>
        </w:tc>
        <w:tc>
          <w:tcPr>
            <w:tcW w:w="924" w:type="dxa"/>
            <w:vAlign w:val="center"/>
            <w:hideMark/>
          </w:tcPr>
          <w:p w14:paraId="48B52CE4" w14:textId="0258A092"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920" w:type="dxa"/>
            <w:vAlign w:val="center"/>
            <w:hideMark/>
          </w:tcPr>
          <w:p w14:paraId="69880C5B" w14:textId="1D14A109"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975" w:type="dxa"/>
            <w:vAlign w:val="center"/>
            <w:hideMark/>
          </w:tcPr>
          <w:p w14:paraId="234EDD9F" w14:textId="3B729F41"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1088" w:type="dxa"/>
            <w:gridSpan w:val="2"/>
            <w:vAlign w:val="center"/>
            <w:hideMark/>
          </w:tcPr>
          <w:p w14:paraId="2398D915" w14:textId="375447F2"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39CCB692" w14:textId="3758E5C2"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c>
          <w:tcPr>
            <w:tcW w:w="0" w:type="auto"/>
            <w:vAlign w:val="center"/>
            <w:hideMark/>
          </w:tcPr>
          <w:p w14:paraId="7D84E4DD" w14:textId="68730AF5"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3</w:t>
            </w:r>
          </w:p>
        </w:tc>
      </w:tr>
      <w:tr w:rsidR="00E6388D" w:rsidRPr="00F1536E" w14:paraId="74026757" w14:textId="77777777" w:rsidTr="008B3BA8">
        <w:trPr>
          <w:trHeight w:val="315"/>
        </w:trPr>
        <w:tc>
          <w:tcPr>
            <w:tcW w:w="3269" w:type="dxa"/>
            <w:hideMark/>
          </w:tcPr>
          <w:p w14:paraId="18222131" w14:textId="77777777" w:rsidR="00E6388D" w:rsidRPr="00F1536E" w:rsidRDefault="00E6388D" w:rsidP="00E6388D">
            <w:pPr>
              <w:spacing w:before="0"/>
              <w:jc w:val="left"/>
              <w:rPr>
                <w:rFonts w:ascii="Arial Narrow" w:eastAsia="Times New Roman" w:hAnsi="Arial Narrow" w:cs="Times New Roman"/>
                <w:b/>
                <w:color w:val="000000"/>
                <w:sz w:val="20"/>
                <w:lang w:eastAsia="en-AU"/>
              </w:rPr>
            </w:pPr>
            <w:r w:rsidRPr="00F1536E">
              <w:rPr>
                <w:rFonts w:ascii="Arial Narrow" w:eastAsia="Times New Roman" w:hAnsi="Arial Narrow" w:cs="Times New Roman"/>
                <w:b/>
                <w:color w:val="000000"/>
                <w:sz w:val="20"/>
                <w:lang w:eastAsia="en-AU"/>
              </w:rPr>
              <w:lastRenderedPageBreak/>
              <w:t>Difference 80% co-payment (Base case - Scenario) (B-X)</w:t>
            </w:r>
          </w:p>
        </w:tc>
        <w:tc>
          <w:tcPr>
            <w:tcW w:w="924" w:type="dxa"/>
            <w:vAlign w:val="center"/>
            <w:hideMark/>
          </w:tcPr>
          <w:p w14:paraId="70602040" w14:textId="20783DC9"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920" w:type="dxa"/>
            <w:vAlign w:val="center"/>
            <w:hideMark/>
          </w:tcPr>
          <w:p w14:paraId="32C23415" w14:textId="3FE70742"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975" w:type="dxa"/>
            <w:vAlign w:val="center"/>
            <w:hideMark/>
          </w:tcPr>
          <w:p w14:paraId="5F54D4C8" w14:textId="1D0E5482"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1088" w:type="dxa"/>
            <w:gridSpan w:val="2"/>
            <w:vAlign w:val="center"/>
            <w:hideMark/>
          </w:tcPr>
          <w:p w14:paraId="5473DD9D" w14:textId="49CCB76C"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0" w:type="auto"/>
            <w:vAlign w:val="center"/>
            <w:hideMark/>
          </w:tcPr>
          <w:p w14:paraId="7C09AB85" w14:textId="4DA58CEA"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0" w:type="auto"/>
            <w:vAlign w:val="center"/>
            <w:hideMark/>
          </w:tcPr>
          <w:p w14:paraId="1A060534" w14:textId="631BCF50"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r>
      <w:tr w:rsidR="00E6388D" w:rsidRPr="00F1536E" w14:paraId="3A6CBE4E" w14:textId="77777777" w:rsidTr="008B3BA8">
        <w:trPr>
          <w:trHeight w:val="315"/>
        </w:trPr>
        <w:tc>
          <w:tcPr>
            <w:tcW w:w="3269" w:type="dxa"/>
            <w:hideMark/>
          </w:tcPr>
          <w:p w14:paraId="1B437170" w14:textId="77777777" w:rsidR="00E6388D" w:rsidRPr="00922D79" w:rsidRDefault="00E6388D" w:rsidP="00E6388D">
            <w:pPr>
              <w:spacing w:before="0"/>
              <w:jc w:val="left"/>
              <w:rPr>
                <w:rFonts w:ascii="Arial Narrow" w:eastAsia="Times New Roman" w:hAnsi="Arial Narrow" w:cs="Times New Roman"/>
                <w:b/>
                <w:color w:val="000000"/>
                <w:sz w:val="20"/>
                <w:lang w:eastAsia="en-AU"/>
              </w:rPr>
            </w:pPr>
            <w:r w:rsidRPr="00922D79">
              <w:rPr>
                <w:rFonts w:ascii="Arial Narrow" w:eastAsia="Times New Roman" w:hAnsi="Arial Narrow" w:cs="Times New Roman"/>
                <w:b/>
                <w:color w:val="000000"/>
                <w:sz w:val="20"/>
                <w:lang w:eastAsia="en-AU"/>
              </w:rPr>
              <w:t>Difference 85% copayment (Base case - Scenario) (C-Y)</w:t>
            </w:r>
          </w:p>
        </w:tc>
        <w:tc>
          <w:tcPr>
            <w:tcW w:w="924" w:type="dxa"/>
            <w:noWrap/>
            <w:vAlign w:val="center"/>
            <w:hideMark/>
          </w:tcPr>
          <w:p w14:paraId="0563A0D8" w14:textId="3CED15E4"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920" w:type="dxa"/>
            <w:noWrap/>
            <w:vAlign w:val="center"/>
            <w:hideMark/>
          </w:tcPr>
          <w:p w14:paraId="5A1E3910" w14:textId="6E6D9FE5"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975" w:type="dxa"/>
            <w:noWrap/>
            <w:vAlign w:val="center"/>
            <w:hideMark/>
          </w:tcPr>
          <w:p w14:paraId="547FF64D" w14:textId="7E9C0CBF"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1088" w:type="dxa"/>
            <w:gridSpan w:val="2"/>
            <w:noWrap/>
            <w:vAlign w:val="center"/>
            <w:hideMark/>
          </w:tcPr>
          <w:p w14:paraId="4C18B97F" w14:textId="43A205A1"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0" w:type="auto"/>
            <w:noWrap/>
            <w:vAlign w:val="center"/>
            <w:hideMark/>
          </w:tcPr>
          <w:p w14:paraId="6B910896" w14:textId="39BED046"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c>
          <w:tcPr>
            <w:tcW w:w="0" w:type="auto"/>
            <w:noWrap/>
            <w:vAlign w:val="center"/>
            <w:hideMark/>
          </w:tcPr>
          <w:p w14:paraId="36035F53" w14:textId="6848DEA6" w:rsidR="00E6388D" w:rsidRPr="00E6388D" w:rsidRDefault="00E6388D" w:rsidP="00C746D4">
            <w:pPr>
              <w:spacing w:before="0"/>
              <w:jc w:val="center"/>
              <w:rPr>
                <w:rFonts w:ascii="Arial Narrow" w:eastAsia="Times New Roman" w:hAnsi="Arial Narrow" w:cs="Times New Roman"/>
                <w:b/>
                <w:bCs/>
                <w:sz w:val="20"/>
                <w:highlight w:val="yellow"/>
                <w:lang w:eastAsia="en-AU"/>
              </w:rPr>
            </w:pPr>
            <w:r w:rsidRPr="00E6388D">
              <w:rPr>
                <w:rFonts w:ascii="Arial Narrow" w:eastAsia="Times New Roman" w:hAnsi="Arial Narrow" w:cs="Times New Roman"/>
                <w:b/>
                <w:bCs/>
                <w:color w:val="000000"/>
                <w:sz w:val="19"/>
                <w:szCs w:val="19"/>
                <w:lang w:eastAsia="en-AU"/>
              </w:rPr>
              <w:t>redacted</w:t>
            </w:r>
            <w:r w:rsidRPr="00E6388D">
              <w:rPr>
                <w:rFonts w:ascii="Arial Narrow" w:eastAsia="Times New Roman" w:hAnsi="Arial Narrow" w:cs="Times New Roman"/>
                <w:b/>
                <w:bCs/>
                <w:color w:val="000000"/>
                <w:sz w:val="19"/>
                <w:szCs w:val="19"/>
                <w:vertAlign w:val="superscript"/>
                <w:lang w:eastAsia="en-AU"/>
              </w:rPr>
              <w:t>4</w:t>
            </w:r>
          </w:p>
        </w:tc>
      </w:tr>
    </w:tbl>
    <w:p w14:paraId="78CD974A" w14:textId="08074842" w:rsidR="000A03D7" w:rsidRPr="00F10893" w:rsidRDefault="004D1AA2" w:rsidP="000A03D7">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rPr>
        <w:t xml:space="preserve">Abbreviations: </w:t>
      </w:r>
      <w:r w:rsidR="000A03D7" w:rsidRPr="00F10893">
        <w:rPr>
          <w:rFonts w:ascii="Arial Narrow" w:eastAsia="Times New Roman" w:hAnsi="Arial Narrow" w:cs="Arial"/>
          <w:snapToGrid w:val="0"/>
          <w:sz w:val="18"/>
          <w:szCs w:val="20"/>
        </w:rPr>
        <w:t>FRα =Folate receptor alpha; MBS = Medicare Benefits Schedule; MIRV = mirvetuximab soravtansine.</w:t>
      </w:r>
    </w:p>
    <w:p w14:paraId="0231F3BD" w14:textId="77777777" w:rsidR="000A03D7" w:rsidRDefault="000A03D7" w:rsidP="000A03D7">
      <w:pPr>
        <w:widowControl w:val="0"/>
        <w:spacing w:before="0" w:after="0"/>
        <w:contextualSpacing/>
        <w:rPr>
          <w:rFonts w:ascii="Arial Narrow" w:eastAsia="Times New Roman" w:hAnsi="Arial Narrow" w:cs="Arial"/>
          <w:snapToGrid w:val="0"/>
          <w:sz w:val="18"/>
          <w:szCs w:val="20"/>
        </w:rPr>
      </w:pPr>
      <w:r w:rsidRPr="00F10893">
        <w:rPr>
          <w:rFonts w:ascii="Arial Narrow" w:eastAsia="Times New Roman" w:hAnsi="Arial Narrow" w:cs="Arial"/>
          <w:snapToGrid w:val="0"/>
          <w:sz w:val="18"/>
          <w:szCs w:val="20"/>
        </w:rPr>
        <w:t>*Archival block retrieval fee $85.00 (MBS item 72860), rebiopsy procedure (diagnostic percutaneous aspiration biopsy) fee $215.80 (MBS item 30094), pre-anaesthesia consultation fee $49.75 (MBS item 17610) and anaesthesia service fee $216.35 (MBS item 18216)</w:t>
      </w:r>
    </w:p>
    <w:p w14:paraId="2D87C9A4" w14:textId="77777777" w:rsidR="00521A0D" w:rsidRPr="007E588B" w:rsidRDefault="00521A0D" w:rsidP="00521A0D">
      <w:pPr>
        <w:widowControl w:val="0"/>
        <w:spacing w:before="0" w:after="0"/>
        <w:rPr>
          <w:rFonts w:ascii="Arial Narrow" w:eastAsia="Times New Roman" w:hAnsi="Arial Narrow" w:cs="Arial"/>
          <w:snapToGrid w:val="0"/>
          <w:sz w:val="18"/>
          <w:szCs w:val="20"/>
        </w:rPr>
      </w:pPr>
      <w:r w:rsidRPr="007E588B">
        <w:rPr>
          <w:rFonts w:ascii="Arial Narrow" w:eastAsia="Times New Roman" w:hAnsi="Arial Narrow" w:cs="Arial"/>
          <w:snapToGrid w:val="0"/>
          <w:sz w:val="18"/>
          <w:szCs w:val="20"/>
        </w:rPr>
        <w:t xml:space="preserve">The redacted values correspond to the following ranges: </w:t>
      </w:r>
    </w:p>
    <w:p w14:paraId="4D4F5558" w14:textId="77777777" w:rsidR="00521A0D" w:rsidRPr="007E588B" w:rsidRDefault="00521A0D" w:rsidP="00521A0D">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1</w:t>
      </w:r>
      <w:r w:rsidRPr="007E588B">
        <w:rPr>
          <w:rFonts w:ascii="Arial Narrow" w:eastAsia="Times New Roman" w:hAnsi="Arial Narrow" w:cs="Arial"/>
          <w:snapToGrid w:val="0"/>
          <w:sz w:val="18"/>
          <w:szCs w:val="20"/>
        </w:rPr>
        <w:t xml:space="preserve"> 500 to &lt; 5,000 </w:t>
      </w:r>
    </w:p>
    <w:p w14:paraId="7789F6B8" w14:textId="77777777" w:rsidR="00521A0D" w:rsidRDefault="00521A0D" w:rsidP="00521A0D">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2</w:t>
      </w:r>
      <w:r w:rsidRPr="007E588B">
        <w:rPr>
          <w:rFonts w:ascii="Arial Narrow" w:eastAsia="Times New Roman" w:hAnsi="Arial Narrow" w:cs="Arial"/>
          <w:snapToGrid w:val="0"/>
          <w:sz w:val="18"/>
          <w:szCs w:val="20"/>
        </w:rPr>
        <w:t xml:space="preserve"> &lt;500</w:t>
      </w:r>
      <w:r>
        <w:rPr>
          <w:rFonts w:ascii="Arial Narrow" w:eastAsia="Times New Roman" w:hAnsi="Arial Narrow" w:cs="Arial"/>
          <w:snapToGrid w:val="0"/>
          <w:sz w:val="18"/>
          <w:szCs w:val="20"/>
        </w:rPr>
        <w:t xml:space="preserve"> </w:t>
      </w:r>
    </w:p>
    <w:p w14:paraId="02CAE450" w14:textId="77777777" w:rsidR="00521A0D" w:rsidRDefault="00521A0D" w:rsidP="00521A0D">
      <w:pPr>
        <w:spacing w:before="0" w:after="0"/>
        <w:contextualSpacing/>
        <w:rPr>
          <w:rFonts w:ascii="Arial Narrow" w:eastAsia="Times New Roman" w:hAnsi="Arial Narrow" w:cs="Arial"/>
          <w:snapToGrid w:val="0"/>
          <w:sz w:val="18"/>
          <w:szCs w:val="20"/>
        </w:rPr>
      </w:pPr>
      <w:r w:rsidRPr="00BF4CAF">
        <w:rPr>
          <w:rFonts w:ascii="Arial Narrow" w:eastAsia="Times New Roman" w:hAnsi="Arial Narrow" w:cs="Arial"/>
          <w:snapToGrid w:val="0"/>
          <w:sz w:val="18"/>
          <w:szCs w:val="20"/>
          <w:vertAlign w:val="superscript"/>
        </w:rPr>
        <w:t>3</w:t>
      </w:r>
      <w:r>
        <w:rPr>
          <w:rFonts w:ascii="Arial Narrow" w:eastAsia="Times New Roman" w:hAnsi="Arial Narrow" w:cs="Arial"/>
          <w:snapToGrid w:val="0"/>
          <w:sz w:val="18"/>
          <w:szCs w:val="20"/>
        </w:rPr>
        <w:t xml:space="preserve"> </w:t>
      </w:r>
      <w:r w:rsidRPr="00694C3B">
        <w:rPr>
          <w:rFonts w:ascii="Arial Narrow" w:eastAsia="Times New Roman" w:hAnsi="Arial Narrow" w:cs="Arial"/>
          <w:snapToGrid w:val="0"/>
          <w:sz w:val="18"/>
          <w:szCs w:val="20"/>
        </w:rPr>
        <w:t>$0 to &lt; $10 million</w:t>
      </w:r>
      <w:r>
        <w:rPr>
          <w:rFonts w:ascii="Arial Narrow" w:eastAsia="Times New Roman" w:hAnsi="Arial Narrow" w:cs="Arial"/>
          <w:snapToGrid w:val="0"/>
          <w:sz w:val="18"/>
          <w:szCs w:val="20"/>
        </w:rPr>
        <w:t xml:space="preserve"> </w:t>
      </w:r>
    </w:p>
    <w:p w14:paraId="71B86737" w14:textId="3CA58118" w:rsidR="00521A0D" w:rsidRDefault="00521A0D" w:rsidP="00521A0D">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 xml:space="preserve"> 4 </w:t>
      </w:r>
      <w:r w:rsidRPr="001D0D38">
        <w:rPr>
          <w:rFonts w:ascii="Arial Narrow" w:eastAsia="Times New Roman" w:hAnsi="Arial Narrow" w:cs="Arial"/>
          <w:snapToGrid w:val="0"/>
          <w:sz w:val="18"/>
          <w:szCs w:val="20"/>
        </w:rPr>
        <w:t>net cost saving</w:t>
      </w:r>
    </w:p>
    <w:p w14:paraId="79C52332" w14:textId="77777777" w:rsidR="0004013F" w:rsidRDefault="0004013F" w:rsidP="0004013F">
      <w:pPr>
        <w:rPr>
          <w:rFonts w:ascii="Franklin Gothic Book" w:hAnsi="Franklin Gothic Book"/>
          <w:sz w:val="22"/>
          <w:szCs w:val="20"/>
        </w:rPr>
      </w:pPr>
      <w:r w:rsidRPr="00AF61A6">
        <w:rPr>
          <w:rFonts w:ascii="Franklin Gothic Book" w:hAnsi="Franklin Gothic Book" w:cstheme="minorHAnsi"/>
          <w:sz w:val="22"/>
        </w:rPr>
        <w:t>Consequently, t</w:t>
      </w:r>
      <w:r w:rsidRPr="00AF2825">
        <w:rPr>
          <w:rFonts w:ascii="Franklin Gothic Book" w:hAnsi="Franklin Gothic Book"/>
          <w:sz w:val="22"/>
          <w:szCs w:val="20"/>
        </w:rPr>
        <w:t xml:space="preserve">he </w:t>
      </w:r>
      <w:r>
        <w:rPr>
          <w:rFonts w:ascii="Franklin Gothic Book" w:hAnsi="Franklin Gothic Book"/>
          <w:sz w:val="22"/>
          <w:szCs w:val="20"/>
        </w:rPr>
        <w:t xml:space="preserve">revised </w:t>
      </w:r>
      <w:r w:rsidRPr="00AF2825">
        <w:rPr>
          <w:rFonts w:ascii="Franklin Gothic Book" w:hAnsi="Franklin Gothic Book"/>
          <w:sz w:val="22"/>
          <w:szCs w:val="20"/>
        </w:rPr>
        <w:t>net financial implications for the health budget over 6 years</w:t>
      </w:r>
      <w:r>
        <w:rPr>
          <w:rFonts w:ascii="Franklin Gothic Book" w:hAnsi="Franklin Gothic Book"/>
          <w:sz w:val="22"/>
          <w:szCs w:val="20"/>
        </w:rPr>
        <w:t xml:space="preserve"> of different scenarios were also calculated (</w:t>
      </w:r>
      <w:r w:rsidRPr="00AF61A6">
        <w:rPr>
          <w:rFonts w:ascii="Franklin Gothic Book" w:hAnsi="Franklin Gothic Book" w:cstheme="minorHAnsi"/>
          <w:sz w:val="22"/>
        </w:rPr>
        <w:fldChar w:fldCharType="begin"/>
      </w:r>
      <w:r w:rsidRPr="00AF61A6">
        <w:rPr>
          <w:rFonts w:ascii="Franklin Gothic Book" w:hAnsi="Franklin Gothic Book" w:cstheme="minorHAnsi"/>
          <w:sz w:val="22"/>
        </w:rPr>
        <w:instrText xml:space="preserve"> REF _Ref205898568 \h </w:instrText>
      </w:r>
      <w:r>
        <w:rPr>
          <w:rFonts w:ascii="Franklin Gothic Book" w:hAnsi="Franklin Gothic Book" w:cstheme="minorHAnsi"/>
          <w:sz w:val="22"/>
        </w:rPr>
        <w:instrText xml:space="preserve"> \* MERGEFORMAT </w:instrText>
      </w:r>
      <w:r w:rsidRPr="00AF61A6">
        <w:rPr>
          <w:rFonts w:ascii="Franklin Gothic Book" w:hAnsi="Franklin Gothic Book" w:cstheme="minorHAnsi"/>
          <w:sz w:val="22"/>
        </w:rPr>
      </w:r>
      <w:r w:rsidRPr="00AF61A6">
        <w:rPr>
          <w:rFonts w:ascii="Franklin Gothic Book" w:hAnsi="Franklin Gothic Book" w:cstheme="minorHAnsi"/>
          <w:sz w:val="22"/>
        </w:rPr>
        <w:fldChar w:fldCharType="separate"/>
      </w:r>
      <w:r w:rsidRPr="00AF61A6">
        <w:rPr>
          <w:rFonts w:ascii="Franklin Gothic Book" w:hAnsi="Franklin Gothic Book" w:cstheme="minorHAnsi"/>
          <w:sz w:val="22"/>
        </w:rPr>
        <w:t>Table 29</w:t>
      </w:r>
      <w:r w:rsidRPr="00AF61A6">
        <w:rPr>
          <w:rFonts w:ascii="Franklin Gothic Book" w:hAnsi="Franklin Gothic Book" w:cstheme="minorHAnsi"/>
          <w:sz w:val="22"/>
        </w:rPr>
        <w:fldChar w:fldCharType="end"/>
      </w:r>
      <w:r>
        <w:rPr>
          <w:rFonts w:ascii="Franklin Gothic Book" w:hAnsi="Franklin Gothic Book" w:cstheme="minorHAnsi"/>
          <w:sz w:val="22"/>
        </w:rPr>
        <w:t>)</w:t>
      </w:r>
      <w:r>
        <w:rPr>
          <w:rFonts w:ascii="Franklin Gothic Book" w:hAnsi="Franklin Gothic Book"/>
          <w:sz w:val="22"/>
          <w:szCs w:val="20"/>
        </w:rPr>
        <w:t>.</w:t>
      </w:r>
    </w:p>
    <w:p w14:paraId="31236182" w14:textId="19E05B5D" w:rsidR="00627A15" w:rsidRPr="00627A15" w:rsidRDefault="00EA1C8B" w:rsidP="00F02286">
      <w:pPr>
        <w:pStyle w:val="Caption"/>
        <w:keepLines/>
      </w:pPr>
      <w:r>
        <w:t xml:space="preserve">Table </w:t>
      </w:r>
      <w:r w:rsidR="00862476">
        <w:fldChar w:fldCharType="begin"/>
      </w:r>
      <w:r w:rsidR="00862476">
        <w:instrText xml:space="preserve"> SEQ Table \* ARABIC </w:instrText>
      </w:r>
      <w:r w:rsidR="00862476">
        <w:fldChar w:fldCharType="separate"/>
      </w:r>
      <w:r w:rsidR="00862476">
        <w:rPr>
          <w:noProof/>
        </w:rPr>
        <w:t>29</w:t>
      </w:r>
      <w:r w:rsidR="00862476">
        <w:rPr>
          <w:noProof/>
        </w:rPr>
        <w:fldChar w:fldCharType="end"/>
      </w:r>
      <w:bookmarkEnd w:id="57"/>
      <w:r>
        <w:t xml:space="preserve">: </w:t>
      </w:r>
      <w:r w:rsidR="0088476E" w:rsidRPr="0088476E">
        <w:t>Financial impact and net cost analysis for 6 years (2025 to 2030) under different scenarios</w:t>
      </w:r>
    </w:p>
    <w:tbl>
      <w:tblPr>
        <w:tblStyle w:val="LashStyleTable1"/>
        <w:tblW w:w="0" w:type="auto"/>
        <w:tblLayout w:type="fixed"/>
        <w:tblLook w:val="04A0" w:firstRow="1" w:lastRow="0" w:firstColumn="1" w:lastColumn="0" w:noHBand="0" w:noVBand="1"/>
      </w:tblPr>
      <w:tblGrid>
        <w:gridCol w:w="2547"/>
        <w:gridCol w:w="1417"/>
        <w:gridCol w:w="1276"/>
        <w:gridCol w:w="1134"/>
        <w:gridCol w:w="1134"/>
        <w:gridCol w:w="1508"/>
      </w:tblGrid>
      <w:tr w:rsidR="00AF61A6" w:rsidRPr="00627A15" w14:paraId="24B5D70C" w14:textId="77777777" w:rsidTr="00695DA2">
        <w:trPr>
          <w:trHeight w:val="300"/>
        </w:trPr>
        <w:tc>
          <w:tcPr>
            <w:tcW w:w="2547" w:type="dxa"/>
            <w:noWrap/>
            <w:hideMark/>
          </w:tcPr>
          <w:p w14:paraId="5D157BEC" w14:textId="77777777" w:rsidR="00627A15" w:rsidRPr="00627A15" w:rsidRDefault="00627A15" w:rsidP="00F02286">
            <w:pPr>
              <w:keepNext/>
              <w:keepLines/>
              <w:spacing w:before="0"/>
              <w:jc w:val="left"/>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Scenarios</w:t>
            </w:r>
          </w:p>
        </w:tc>
        <w:tc>
          <w:tcPr>
            <w:tcW w:w="1417" w:type="dxa"/>
            <w:noWrap/>
            <w:hideMark/>
          </w:tcPr>
          <w:p w14:paraId="1C3FFEB4" w14:textId="77777777" w:rsidR="00627A15" w:rsidRPr="00627A15" w:rsidRDefault="00627A15" w:rsidP="00F02286">
            <w:pPr>
              <w:keepNext/>
              <w:keepLines/>
              <w:spacing w:before="0"/>
              <w:jc w:val="left"/>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 </w:t>
            </w:r>
          </w:p>
        </w:tc>
        <w:tc>
          <w:tcPr>
            <w:tcW w:w="1276" w:type="dxa"/>
            <w:noWrap/>
            <w:hideMark/>
          </w:tcPr>
          <w:p w14:paraId="5E1AFD6E" w14:textId="15BBDC13" w:rsidR="00627A15" w:rsidRPr="00627A15" w:rsidRDefault="00627A15" w:rsidP="00F02286">
            <w:pPr>
              <w:keepNext/>
              <w:keepLines/>
              <w:spacing w:before="0"/>
              <w:jc w:val="center"/>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Submission</w:t>
            </w:r>
          </w:p>
        </w:tc>
        <w:tc>
          <w:tcPr>
            <w:tcW w:w="1134" w:type="dxa"/>
            <w:noWrap/>
            <w:hideMark/>
          </w:tcPr>
          <w:p w14:paraId="4C794E16" w14:textId="77777777" w:rsidR="00627A15" w:rsidRPr="00627A15" w:rsidRDefault="00627A15" w:rsidP="00F02286">
            <w:pPr>
              <w:keepNext/>
              <w:keepLines/>
              <w:spacing w:before="0"/>
              <w:jc w:val="center"/>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DUSC advice</w:t>
            </w:r>
          </w:p>
        </w:tc>
        <w:tc>
          <w:tcPr>
            <w:tcW w:w="1134" w:type="dxa"/>
            <w:noWrap/>
            <w:hideMark/>
          </w:tcPr>
          <w:p w14:paraId="64B575C3" w14:textId="77777777" w:rsidR="00627A15" w:rsidRPr="00627A15" w:rsidRDefault="00627A15" w:rsidP="00F02286">
            <w:pPr>
              <w:keepNext/>
              <w:keepLines/>
              <w:spacing w:before="0"/>
              <w:jc w:val="center"/>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Pre-MSAC response</w:t>
            </w:r>
          </w:p>
        </w:tc>
        <w:tc>
          <w:tcPr>
            <w:tcW w:w="1508" w:type="dxa"/>
            <w:noWrap/>
            <w:hideMark/>
          </w:tcPr>
          <w:p w14:paraId="20739687" w14:textId="77777777" w:rsidR="00627A15" w:rsidRPr="00627A15" w:rsidRDefault="00627A15" w:rsidP="00F02286">
            <w:pPr>
              <w:keepNext/>
              <w:keepLines/>
              <w:spacing w:before="0"/>
              <w:jc w:val="center"/>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DUSC advice +ESC advice</w:t>
            </w:r>
          </w:p>
        </w:tc>
      </w:tr>
      <w:tr w:rsidR="00AF61A6" w:rsidRPr="00627A15" w14:paraId="290A325C" w14:textId="77777777" w:rsidTr="00695DA2">
        <w:trPr>
          <w:trHeight w:val="300"/>
        </w:trPr>
        <w:tc>
          <w:tcPr>
            <w:tcW w:w="2547" w:type="dxa"/>
            <w:noWrap/>
            <w:hideMark/>
          </w:tcPr>
          <w:p w14:paraId="51D71AB4" w14:textId="77777777" w:rsidR="00627A15" w:rsidRPr="00627A15" w:rsidRDefault="00627A15" w:rsidP="00F02286">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FR alpha testing cost</w:t>
            </w:r>
          </w:p>
        </w:tc>
        <w:tc>
          <w:tcPr>
            <w:tcW w:w="1417" w:type="dxa"/>
            <w:noWrap/>
            <w:hideMark/>
          </w:tcPr>
          <w:p w14:paraId="44283D70" w14:textId="77777777" w:rsidR="00627A15" w:rsidRPr="00627A15" w:rsidRDefault="00627A15" w:rsidP="00F02286">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w:t>
            </w:r>
          </w:p>
        </w:tc>
        <w:tc>
          <w:tcPr>
            <w:tcW w:w="1276" w:type="dxa"/>
            <w:noWrap/>
            <w:hideMark/>
          </w:tcPr>
          <w:p w14:paraId="56C9C78E" w14:textId="77777777" w:rsidR="00627A15" w:rsidRPr="00627A15" w:rsidRDefault="00627A15" w:rsidP="00F02286">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$125</w:t>
            </w:r>
          </w:p>
        </w:tc>
        <w:tc>
          <w:tcPr>
            <w:tcW w:w="1134" w:type="dxa"/>
            <w:noWrap/>
            <w:hideMark/>
          </w:tcPr>
          <w:p w14:paraId="15F97292" w14:textId="77777777" w:rsidR="00627A15" w:rsidRPr="00627A15" w:rsidRDefault="00627A15" w:rsidP="00F02286">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N/A</w:t>
            </w:r>
          </w:p>
        </w:tc>
        <w:tc>
          <w:tcPr>
            <w:tcW w:w="1134" w:type="dxa"/>
            <w:noWrap/>
            <w:hideMark/>
          </w:tcPr>
          <w:p w14:paraId="1DAD18AB" w14:textId="77777777" w:rsidR="00627A15" w:rsidRPr="00627A15" w:rsidRDefault="00627A15" w:rsidP="00F02286">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$125</w:t>
            </w:r>
          </w:p>
        </w:tc>
        <w:tc>
          <w:tcPr>
            <w:tcW w:w="1508" w:type="dxa"/>
            <w:noWrap/>
            <w:hideMark/>
          </w:tcPr>
          <w:p w14:paraId="1498127E" w14:textId="77777777" w:rsidR="00627A15" w:rsidRPr="00627A15" w:rsidRDefault="00627A15" w:rsidP="00F02286">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$112</w:t>
            </w:r>
          </w:p>
        </w:tc>
      </w:tr>
      <w:tr w:rsidR="002C5915" w:rsidRPr="00627A15" w14:paraId="7F530D3F" w14:textId="77777777" w:rsidTr="00695DA2">
        <w:trPr>
          <w:trHeight w:val="300"/>
        </w:trPr>
        <w:tc>
          <w:tcPr>
            <w:tcW w:w="2547" w:type="dxa"/>
            <w:vMerge w:val="restart"/>
            <w:noWrap/>
            <w:hideMark/>
          </w:tcPr>
          <w:p w14:paraId="073AAAF3" w14:textId="77777777" w:rsidR="002C5915" w:rsidRPr="00627A15" w:rsidRDefault="002C5915" w:rsidP="002C5915">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Number of patients tested</w:t>
            </w:r>
          </w:p>
        </w:tc>
        <w:tc>
          <w:tcPr>
            <w:tcW w:w="1417" w:type="dxa"/>
            <w:noWrap/>
            <w:hideMark/>
          </w:tcPr>
          <w:p w14:paraId="70BCD03E" w14:textId="77777777" w:rsidR="002C5915" w:rsidRPr="00627A15" w:rsidRDefault="002C5915" w:rsidP="002C5915">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primary diagnosis</w:t>
            </w:r>
          </w:p>
        </w:tc>
        <w:tc>
          <w:tcPr>
            <w:tcW w:w="1276" w:type="dxa"/>
            <w:noWrap/>
            <w:hideMark/>
          </w:tcPr>
          <w:p w14:paraId="168DBB8F" w14:textId="1E48A3EF" w:rsidR="002C5915" w:rsidRPr="00D97679" w:rsidRDefault="002C5915" w:rsidP="002C5915">
            <w:pPr>
              <w:keepNext/>
              <w:keepLines/>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sidRPr="00E21EC1">
              <w:rPr>
                <w:rFonts w:ascii="Arial Narrow" w:eastAsia="Times New Roman" w:hAnsi="Arial Narrow" w:cs="Times New Roman"/>
                <w:color w:val="000000"/>
                <w:sz w:val="19"/>
                <w:szCs w:val="19"/>
                <w:vertAlign w:val="superscript"/>
                <w:lang w:eastAsia="en-AU"/>
              </w:rPr>
              <w:t>1</w:t>
            </w:r>
          </w:p>
        </w:tc>
        <w:tc>
          <w:tcPr>
            <w:tcW w:w="1134" w:type="dxa"/>
            <w:noWrap/>
            <w:hideMark/>
          </w:tcPr>
          <w:p w14:paraId="5661191E" w14:textId="63C5D4AE" w:rsidR="002C5915" w:rsidRPr="00D97679" w:rsidRDefault="002C5915" w:rsidP="002C5915">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2</w:t>
            </w:r>
          </w:p>
        </w:tc>
        <w:tc>
          <w:tcPr>
            <w:tcW w:w="1134" w:type="dxa"/>
            <w:noWrap/>
            <w:hideMark/>
          </w:tcPr>
          <w:p w14:paraId="660D6844" w14:textId="377D06DB" w:rsidR="002C5915" w:rsidRPr="00D97679" w:rsidRDefault="002C5915" w:rsidP="002C5915">
            <w:pPr>
              <w:keepNext/>
              <w:keepLines/>
              <w:spacing w:before="0"/>
              <w:jc w:val="center"/>
              <w:rPr>
                <w:rFonts w:ascii="Arial Narrow" w:eastAsia="Times New Roman" w:hAnsi="Arial Narrow" w:cs="Times New Roman"/>
                <w:sz w:val="20"/>
                <w:highlight w:val="yellow"/>
                <w:lang w:eastAsia="en-AU"/>
              </w:rPr>
            </w:pPr>
            <w:r w:rsidRPr="00EF7EA3">
              <w:rPr>
                <w:rFonts w:ascii="Arial Narrow" w:eastAsia="Times New Roman" w:hAnsi="Arial Narrow" w:cs="Times New Roman"/>
                <w:color w:val="000000"/>
                <w:sz w:val="19"/>
                <w:szCs w:val="19"/>
                <w:lang w:eastAsia="en-AU"/>
              </w:rPr>
              <w:t>redacted</w:t>
            </w:r>
            <w:r w:rsidRPr="00EF7EA3">
              <w:rPr>
                <w:rFonts w:ascii="Arial Narrow" w:eastAsia="Times New Roman" w:hAnsi="Arial Narrow" w:cs="Times New Roman"/>
                <w:color w:val="000000"/>
                <w:sz w:val="19"/>
                <w:szCs w:val="19"/>
                <w:vertAlign w:val="superscript"/>
                <w:lang w:eastAsia="en-AU"/>
              </w:rPr>
              <w:t>2</w:t>
            </w:r>
          </w:p>
        </w:tc>
        <w:tc>
          <w:tcPr>
            <w:tcW w:w="1508" w:type="dxa"/>
            <w:noWrap/>
            <w:hideMark/>
          </w:tcPr>
          <w:p w14:paraId="2B65E6C6" w14:textId="527CCBC3" w:rsidR="002C5915" w:rsidRPr="00D97679" w:rsidRDefault="002C5915" w:rsidP="002C5915">
            <w:pPr>
              <w:keepNext/>
              <w:keepLines/>
              <w:spacing w:before="0"/>
              <w:jc w:val="center"/>
              <w:rPr>
                <w:rFonts w:ascii="Arial Narrow" w:eastAsia="Times New Roman" w:hAnsi="Arial Narrow" w:cs="Times New Roman"/>
                <w:sz w:val="20"/>
                <w:highlight w:val="yellow"/>
                <w:lang w:eastAsia="en-AU"/>
              </w:rPr>
            </w:pPr>
            <w:r w:rsidRPr="00EF7EA3">
              <w:rPr>
                <w:rFonts w:ascii="Arial Narrow" w:eastAsia="Times New Roman" w:hAnsi="Arial Narrow" w:cs="Times New Roman"/>
                <w:color w:val="000000"/>
                <w:sz w:val="19"/>
                <w:szCs w:val="19"/>
                <w:lang w:eastAsia="en-AU"/>
              </w:rPr>
              <w:t>redacted</w:t>
            </w:r>
            <w:r w:rsidRPr="00EF7EA3">
              <w:rPr>
                <w:rFonts w:ascii="Arial Narrow" w:eastAsia="Times New Roman" w:hAnsi="Arial Narrow" w:cs="Times New Roman"/>
                <w:color w:val="000000"/>
                <w:sz w:val="19"/>
                <w:szCs w:val="19"/>
                <w:vertAlign w:val="superscript"/>
                <w:lang w:eastAsia="en-AU"/>
              </w:rPr>
              <w:t>2</w:t>
            </w:r>
          </w:p>
        </w:tc>
      </w:tr>
      <w:tr w:rsidR="007B424F" w:rsidRPr="00627A15" w14:paraId="246D21AA" w14:textId="77777777" w:rsidTr="00695DA2">
        <w:trPr>
          <w:trHeight w:val="300"/>
        </w:trPr>
        <w:tc>
          <w:tcPr>
            <w:tcW w:w="2547" w:type="dxa"/>
            <w:vMerge/>
            <w:hideMark/>
          </w:tcPr>
          <w:p w14:paraId="3030297E" w14:textId="77777777" w:rsidR="007B424F" w:rsidRPr="00627A15" w:rsidRDefault="007B424F" w:rsidP="007B424F">
            <w:pPr>
              <w:keepNext/>
              <w:keepLines/>
              <w:spacing w:before="0"/>
              <w:jc w:val="left"/>
              <w:rPr>
                <w:rFonts w:ascii="Arial Narrow" w:eastAsia="Times New Roman" w:hAnsi="Arial Narrow" w:cs="Times New Roman"/>
                <w:color w:val="000000"/>
                <w:sz w:val="20"/>
                <w:lang w:eastAsia="en-AU"/>
              </w:rPr>
            </w:pPr>
          </w:p>
        </w:tc>
        <w:tc>
          <w:tcPr>
            <w:tcW w:w="1417" w:type="dxa"/>
            <w:noWrap/>
            <w:hideMark/>
          </w:tcPr>
          <w:p w14:paraId="42B48723" w14:textId="77777777" w:rsidR="007B424F" w:rsidRPr="00627A15" w:rsidRDefault="007B424F" w:rsidP="007B424F">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platinum resistance</w:t>
            </w:r>
          </w:p>
        </w:tc>
        <w:tc>
          <w:tcPr>
            <w:tcW w:w="1276" w:type="dxa"/>
            <w:noWrap/>
            <w:hideMark/>
          </w:tcPr>
          <w:p w14:paraId="22B124AE" w14:textId="18A1C744" w:rsidR="007B424F" w:rsidRPr="00D97679" w:rsidRDefault="007B424F" w:rsidP="007B424F">
            <w:pPr>
              <w:keepNext/>
              <w:keepLines/>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2</w:t>
            </w:r>
          </w:p>
        </w:tc>
        <w:tc>
          <w:tcPr>
            <w:tcW w:w="1134" w:type="dxa"/>
            <w:noWrap/>
            <w:hideMark/>
          </w:tcPr>
          <w:p w14:paraId="00D8EE52" w14:textId="116643DD" w:rsidR="007B424F" w:rsidRPr="00D97679" w:rsidRDefault="007B424F" w:rsidP="007B424F">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3</w:t>
            </w:r>
          </w:p>
        </w:tc>
        <w:tc>
          <w:tcPr>
            <w:tcW w:w="1134" w:type="dxa"/>
            <w:noWrap/>
            <w:hideMark/>
          </w:tcPr>
          <w:p w14:paraId="1D3B81BA" w14:textId="1B4625B1" w:rsidR="007B424F" w:rsidRPr="00D97679" w:rsidRDefault="007B424F" w:rsidP="007B424F">
            <w:pPr>
              <w:keepNext/>
              <w:keepLines/>
              <w:spacing w:before="0"/>
              <w:jc w:val="center"/>
              <w:rPr>
                <w:rFonts w:ascii="Arial Narrow" w:eastAsia="Times New Roman" w:hAnsi="Arial Narrow" w:cs="Times New Roman"/>
                <w:sz w:val="20"/>
                <w:highlight w:val="yellow"/>
                <w:lang w:eastAsia="en-AU"/>
              </w:rPr>
            </w:pPr>
            <w:r w:rsidRPr="00A5383B">
              <w:rPr>
                <w:rFonts w:ascii="Arial Narrow" w:eastAsia="Times New Roman" w:hAnsi="Arial Narrow" w:cs="Times New Roman"/>
                <w:color w:val="000000"/>
                <w:sz w:val="19"/>
                <w:szCs w:val="19"/>
                <w:lang w:eastAsia="en-AU"/>
              </w:rPr>
              <w:t>redacted</w:t>
            </w:r>
            <w:r w:rsidRPr="00A5383B">
              <w:rPr>
                <w:rFonts w:ascii="Arial Narrow" w:eastAsia="Times New Roman" w:hAnsi="Arial Narrow" w:cs="Times New Roman"/>
                <w:color w:val="000000"/>
                <w:sz w:val="19"/>
                <w:szCs w:val="19"/>
                <w:vertAlign w:val="superscript"/>
                <w:lang w:eastAsia="en-AU"/>
              </w:rPr>
              <w:t>3</w:t>
            </w:r>
          </w:p>
        </w:tc>
        <w:tc>
          <w:tcPr>
            <w:tcW w:w="1508" w:type="dxa"/>
            <w:noWrap/>
            <w:hideMark/>
          </w:tcPr>
          <w:p w14:paraId="0EEC906B" w14:textId="6D20B7D0" w:rsidR="007B424F" w:rsidRPr="00D97679" w:rsidRDefault="007B424F" w:rsidP="007B424F">
            <w:pPr>
              <w:keepNext/>
              <w:keepLines/>
              <w:spacing w:before="0"/>
              <w:jc w:val="center"/>
              <w:rPr>
                <w:rFonts w:ascii="Arial Narrow" w:eastAsia="Times New Roman" w:hAnsi="Arial Narrow" w:cs="Times New Roman"/>
                <w:sz w:val="20"/>
                <w:highlight w:val="yellow"/>
                <w:lang w:eastAsia="en-AU"/>
              </w:rPr>
            </w:pPr>
            <w:r w:rsidRPr="00A5383B">
              <w:rPr>
                <w:rFonts w:ascii="Arial Narrow" w:eastAsia="Times New Roman" w:hAnsi="Arial Narrow" w:cs="Times New Roman"/>
                <w:color w:val="000000"/>
                <w:sz w:val="19"/>
                <w:szCs w:val="19"/>
                <w:lang w:eastAsia="en-AU"/>
              </w:rPr>
              <w:t>redacted</w:t>
            </w:r>
            <w:r w:rsidRPr="00A5383B">
              <w:rPr>
                <w:rFonts w:ascii="Arial Narrow" w:eastAsia="Times New Roman" w:hAnsi="Arial Narrow" w:cs="Times New Roman"/>
                <w:color w:val="000000"/>
                <w:sz w:val="19"/>
                <w:szCs w:val="19"/>
                <w:vertAlign w:val="superscript"/>
                <w:lang w:eastAsia="en-AU"/>
              </w:rPr>
              <w:t>3</w:t>
            </w:r>
          </w:p>
        </w:tc>
      </w:tr>
      <w:tr w:rsidR="00AF61A6" w:rsidRPr="00627A15" w14:paraId="5CC908C8" w14:textId="77777777" w:rsidTr="00695DA2">
        <w:trPr>
          <w:trHeight w:val="300"/>
        </w:trPr>
        <w:tc>
          <w:tcPr>
            <w:tcW w:w="2547" w:type="dxa"/>
            <w:noWrap/>
            <w:hideMark/>
          </w:tcPr>
          <w:p w14:paraId="09B14F37" w14:textId="77777777" w:rsidR="00627A15" w:rsidRPr="00627A15" w:rsidRDefault="00627A15" w:rsidP="00F02286">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xml:space="preserve">Net cost to PBS (PBS/RPBS) </w:t>
            </w:r>
          </w:p>
        </w:tc>
        <w:tc>
          <w:tcPr>
            <w:tcW w:w="1417" w:type="dxa"/>
            <w:noWrap/>
            <w:hideMark/>
          </w:tcPr>
          <w:p w14:paraId="7238A1A5" w14:textId="77777777" w:rsidR="00627A15" w:rsidRPr="00627A15" w:rsidRDefault="00627A15" w:rsidP="00F02286">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w:t>
            </w:r>
          </w:p>
        </w:tc>
        <w:tc>
          <w:tcPr>
            <w:tcW w:w="1276" w:type="dxa"/>
            <w:noWrap/>
            <w:hideMark/>
          </w:tcPr>
          <w:p w14:paraId="019E2308" w14:textId="1B388F77" w:rsidR="00627A15" w:rsidRPr="008E264C" w:rsidRDefault="007B424F" w:rsidP="00F02286">
            <w:pPr>
              <w:keepNext/>
              <w:keepLines/>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4</w:t>
            </w:r>
          </w:p>
        </w:tc>
        <w:tc>
          <w:tcPr>
            <w:tcW w:w="1134" w:type="dxa"/>
            <w:noWrap/>
            <w:hideMark/>
          </w:tcPr>
          <w:p w14:paraId="2AB28AF4" w14:textId="63E48718" w:rsidR="00627A15" w:rsidRPr="008E264C" w:rsidRDefault="007B424F" w:rsidP="00F02286">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4</w:t>
            </w:r>
          </w:p>
        </w:tc>
        <w:tc>
          <w:tcPr>
            <w:tcW w:w="1134" w:type="dxa"/>
            <w:noWrap/>
            <w:hideMark/>
          </w:tcPr>
          <w:p w14:paraId="1E896A17" w14:textId="511F8CC4" w:rsidR="00627A15" w:rsidRPr="008E264C" w:rsidRDefault="00695000" w:rsidP="00F02286">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5</w:t>
            </w:r>
          </w:p>
        </w:tc>
        <w:tc>
          <w:tcPr>
            <w:tcW w:w="1508" w:type="dxa"/>
            <w:noWrap/>
            <w:hideMark/>
          </w:tcPr>
          <w:p w14:paraId="18B7C338" w14:textId="42682E5E" w:rsidR="00627A15" w:rsidRPr="008E264C" w:rsidRDefault="007D245F" w:rsidP="00F02286">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4</w:t>
            </w:r>
          </w:p>
        </w:tc>
      </w:tr>
      <w:tr w:rsidR="00FE09EB" w:rsidRPr="00627A15" w14:paraId="000941F2" w14:textId="77777777" w:rsidTr="00695DA2">
        <w:trPr>
          <w:trHeight w:val="300"/>
        </w:trPr>
        <w:tc>
          <w:tcPr>
            <w:tcW w:w="2547" w:type="dxa"/>
            <w:vMerge w:val="restart"/>
            <w:noWrap/>
            <w:hideMark/>
          </w:tcPr>
          <w:p w14:paraId="2762C327" w14:textId="77777777" w:rsidR="00627A15" w:rsidRPr="00627A15" w:rsidRDefault="00627A15" w:rsidP="00F02286">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xml:space="preserve">Net cost to the MBS </w:t>
            </w:r>
          </w:p>
        </w:tc>
        <w:tc>
          <w:tcPr>
            <w:tcW w:w="1417" w:type="dxa"/>
            <w:noWrap/>
            <w:hideMark/>
          </w:tcPr>
          <w:p w14:paraId="12E56CE9" w14:textId="77777777" w:rsidR="00627A15" w:rsidRPr="00627A15" w:rsidRDefault="00627A15" w:rsidP="00F02286">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primary diagnosis</w:t>
            </w:r>
          </w:p>
        </w:tc>
        <w:tc>
          <w:tcPr>
            <w:tcW w:w="1276" w:type="dxa"/>
            <w:noWrap/>
            <w:hideMark/>
          </w:tcPr>
          <w:p w14:paraId="068FF3E6" w14:textId="5443008E" w:rsidR="00627A15" w:rsidRPr="00D97679" w:rsidRDefault="00DD7240" w:rsidP="00F02286">
            <w:pPr>
              <w:keepNext/>
              <w:keepLines/>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6</w:t>
            </w:r>
          </w:p>
        </w:tc>
        <w:tc>
          <w:tcPr>
            <w:tcW w:w="1134" w:type="dxa"/>
            <w:noWrap/>
            <w:hideMark/>
          </w:tcPr>
          <w:p w14:paraId="5B8C7C72" w14:textId="77777777" w:rsidR="00627A15" w:rsidRPr="00E44D5B" w:rsidRDefault="00627A15" w:rsidP="00F02286">
            <w:pPr>
              <w:keepNext/>
              <w:keepLines/>
              <w:spacing w:before="0"/>
              <w:jc w:val="center"/>
              <w:rPr>
                <w:rFonts w:ascii="Arial Narrow" w:eastAsia="Times New Roman" w:hAnsi="Arial Narrow" w:cs="Times New Roman"/>
                <w:sz w:val="20"/>
                <w:lang w:eastAsia="en-AU"/>
              </w:rPr>
            </w:pPr>
            <w:r w:rsidRPr="00E44D5B">
              <w:rPr>
                <w:rFonts w:ascii="Arial Narrow" w:eastAsia="Times New Roman" w:hAnsi="Arial Narrow" w:cs="Times New Roman"/>
                <w:sz w:val="20"/>
                <w:lang w:eastAsia="en-AU"/>
              </w:rPr>
              <w:t>N/A</w:t>
            </w:r>
          </w:p>
        </w:tc>
        <w:tc>
          <w:tcPr>
            <w:tcW w:w="1134" w:type="dxa"/>
            <w:noWrap/>
            <w:hideMark/>
          </w:tcPr>
          <w:p w14:paraId="378EFC9A" w14:textId="2979215A" w:rsidR="00627A15" w:rsidRPr="00D97679" w:rsidRDefault="00DD7240" w:rsidP="00F02286">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6</w:t>
            </w:r>
          </w:p>
        </w:tc>
        <w:tc>
          <w:tcPr>
            <w:tcW w:w="1508" w:type="dxa"/>
            <w:noWrap/>
            <w:hideMark/>
          </w:tcPr>
          <w:p w14:paraId="037D7BF6" w14:textId="27014467" w:rsidR="00627A15" w:rsidRPr="00D97679" w:rsidRDefault="00DD7240" w:rsidP="00F02286">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6</w:t>
            </w:r>
          </w:p>
        </w:tc>
      </w:tr>
      <w:tr w:rsidR="00DD7240" w:rsidRPr="00627A15" w14:paraId="2C16F080" w14:textId="77777777" w:rsidTr="00695DA2">
        <w:trPr>
          <w:trHeight w:val="300"/>
        </w:trPr>
        <w:tc>
          <w:tcPr>
            <w:tcW w:w="2547" w:type="dxa"/>
            <w:vMerge/>
            <w:hideMark/>
          </w:tcPr>
          <w:p w14:paraId="7E338F84" w14:textId="77777777" w:rsidR="00DD7240" w:rsidRPr="00627A15" w:rsidRDefault="00DD7240" w:rsidP="00DD7240">
            <w:pPr>
              <w:keepNext/>
              <w:keepLines/>
              <w:spacing w:before="0"/>
              <w:jc w:val="left"/>
              <w:rPr>
                <w:rFonts w:ascii="Arial Narrow" w:eastAsia="Times New Roman" w:hAnsi="Arial Narrow" w:cs="Times New Roman"/>
                <w:color w:val="000000"/>
                <w:sz w:val="20"/>
                <w:lang w:eastAsia="en-AU"/>
              </w:rPr>
            </w:pPr>
          </w:p>
        </w:tc>
        <w:tc>
          <w:tcPr>
            <w:tcW w:w="1417" w:type="dxa"/>
            <w:noWrap/>
            <w:hideMark/>
          </w:tcPr>
          <w:p w14:paraId="1B15BA69" w14:textId="77777777" w:rsidR="00DD7240" w:rsidRPr="00627A15" w:rsidRDefault="00DD7240" w:rsidP="00DD7240">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platinum resistance</w:t>
            </w:r>
          </w:p>
        </w:tc>
        <w:tc>
          <w:tcPr>
            <w:tcW w:w="1276" w:type="dxa"/>
            <w:noWrap/>
            <w:hideMark/>
          </w:tcPr>
          <w:p w14:paraId="2B9D0E36" w14:textId="6D32BA86" w:rsidR="00DD7240" w:rsidRPr="00D97679" w:rsidRDefault="00DD7240" w:rsidP="00DD7240">
            <w:pPr>
              <w:keepNext/>
              <w:keepLines/>
              <w:spacing w:before="0"/>
              <w:jc w:val="center"/>
              <w:rPr>
                <w:rFonts w:ascii="Arial Narrow" w:eastAsia="Times New Roman" w:hAnsi="Arial Narrow" w:cs="Times New Roman"/>
                <w:color w:val="000000"/>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6</w:t>
            </w:r>
          </w:p>
        </w:tc>
        <w:tc>
          <w:tcPr>
            <w:tcW w:w="1134" w:type="dxa"/>
            <w:noWrap/>
            <w:hideMark/>
          </w:tcPr>
          <w:p w14:paraId="4336ECB5" w14:textId="77777777" w:rsidR="00DD7240" w:rsidRPr="00E44D5B" w:rsidRDefault="00DD7240" w:rsidP="00DD7240">
            <w:pPr>
              <w:keepNext/>
              <w:keepLines/>
              <w:spacing w:before="0"/>
              <w:jc w:val="center"/>
              <w:rPr>
                <w:rFonts w:ascii="Arial Narrow" w:eastAsia="Times New Roman" w:hAnsi="Arial Narrow" w:cs="Times New Roman"/>
                <w:sz w:val="20"/>
                <w:lang w:eastAsia="en-AU"/>
              </w:rPr>
            </w:pPr>
            <w:r w:rsidRPr="00E44D5B">
              <w:rPr>
                <w:rFonts w:ascii="Arial Narrow" w:eastAsia="Times New Roman" w:hAnsi="Arial Narrow" w:cs="Times New Roman"/>
                <w:sz w:val="20"/>
                <w:lang w:eastAsia="en-AU"/>
              </w:rPr>
              <w:t>N/A</w:t>
            </w:r>
          </w:p>
        </w:tc>
        <w:tc>
          <w:tcPr>
            <w:tcW w:w="1134" w:type="dxa"/>
            <w:noWrap/>
            <w:hideMark/>
          </w:tcPr>
          <w:p w14:paraId="2D23B359" w14:textId="4E2A9C64" w:rsidR="00DD7240" w:rsidRPr="00D97679" w:rsidRDefault="00DD7240" w:rsidP="00DD7240">
            <w:pPr>
              <w:keepNext/>
              <w:keepLines/>
              <w:spacing w:before="0"/>
              <w:jc w:val="center"/>
              <w:rPr>
                <w:rFonts w:ascii="Arial Narrow" w:eastAsia="Times New Roman" w:hAnsi="Arial Narrow" w:cs="Times New Roman"/>
                <w:sz w:val="20"/>
                <w:highlight w:val="yellow"/>
                <w:lang w:eastAsia="en-AU"/>
              </w:rPr>
            </w:pPr>
            <w:r w:rsidRPr="00D823B8">
              <w:rPr>
                <w:rFonts w:ascii="Arial Narrow" w:eastAsia="Times New Roman" w:hAnsi="Arial Narrow" w:cs="Times New Roman"/>
                <w:color w:val="000000"/>
                <w:sz w:val="19"/>
                <w:szCs w:val="19"/>
                <w:lang w:eastAsia="en-AU"/>
              </w:rPr>
              <w:t>redacted</w:t>
            </w:r>
            <w:r w:rsidRPr="00D823B8">
              <w:rPr>
                <w:rFonts w:ascii="Arial Narrow" w:eastAsia="Times New Roman" w:hAnsi="Arial Narrow" w:cs="Times New Roman"/>
                <w:color w:val="000000"/>
                <w:sz w:val="19"/>
                <w:szCs w:val="19"/>
                <w:vertAlign w:val="superscript"/>
                <w:lang w:eastAsia="en-AU"/>
              </w:rPr>
              <w:t>6</w:t>
            </w:r>
          </w:p>
        </w:tc>
        <w:tc>
          <w:tcPr>
            <w:tcW w:w="1508" w:type="dxa"/>
            <w:noWrap/>
            <w:hideMark/>
          </w:tcPr>
          <w:p w14:paraId="4DA41DC5" w14:textId="53BE8FF4" w:rsidR="00DD7240" w:rsidRPr="00D97679" w:rsidRDefault="00DD7240" w:rsidP="00DD7240">
            <w:pPr>
              <w:keepNext/>
              <w:keepLines/>
              <w:spacing w:before="0"/>
              <w:jc w:val="center"/>
              <w:rPr>
                <w:rFonts w:ascii="Arial Narrow" w:eastAsia="Times New Roman" w:hAnsi="Arial Narrow" w:cs="Times New Roman"/>
                <w:sz w:val="20"/>
                <w:highlight w:val="yellow"/>
                <w:lang w:eastAsia="en-AU"/>
              </w:rPr>
            </w:pPr>
            <w:r w:rsidRPr="00D823B8">
              <w:rPr>
                <w:rFonts w:ascii="Arial Narrow" w:eastAsia="Times New Roman" w:hAnsi="Arial Narrow" w:cs="Times New Roman"/>
                <w:color w:val="000000"/>
                <w:sz w:val="19"/>
                <w:szCs w:val="19"/>
                <w:lang w:eastAsia="en-AU"/>
              </w:rPr>
              <w:t>redacted</w:t>
            </w:r>
            <w:r w:rsidRPr="00D823B8">
              <w:rPr>
                <w:rFonts w:ascii="Arial Narrow" w:eastAsia="Times New Roman" w:hAnsi="Arial Narrow" w:cs="Times New Roman"/>
                <w:color w:val="000000"/>
                <w:sz w:val="19"/>
                <w:szCs w:val="19"/>
                <w:vertAlign w:val="superscript"/>
                <w:lang w:eastAsia="en-AU"/>
              </w:rPr>
              <w:t>6</w:t>
            </w:r>
          </w:p>
        </w:tc>
      </w:tr>
      <w:tr w:rsidR="00B56687" w:rsidRPr="00627A15" w14:paraId="145BBFB9" w14:textId="77777777" w:rsidTr="00695DA2">
        <w:trPr>
          <w:trHeight w:val="300"/>
        </w:trPr>
        <w:tc>
          <w:tcPr>
            <w:tcW w:w="2547" w:type="dxa"/>
            <w:vMerge w:val="restart"/>
            <w:hideMark/>
          </w:tcPr>
          <w:p w14:paraId="0715217D" w14:textId="77777777" w:rsidR="00B56687" w:rsidRPr="00627A15" w:rsidRDefault="00B56687" w:rsidP="00B56687">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xml:space="preserve">Overall cost to health system (PBS/RPBS/MBS) </w:t>
            </w:r>
          </w:p>
        </w:tc>
        <w:tc>
          <w:tcPr>
            <w:tcW w:w="1417" w:type="dxa"/>
            <w:noWrap/>
            <w:hideMark/>
          </w:tcPr>
          <w:p w14:paraId="50B27AB9" w14:textId="77777777" w:rsidR="00B56687" w:rsidRPr="00627A15" w:rsidRDefault="00B56687" w:rsidP="00B56687">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primary diagnosis</w:t>
            </w:r>
          </w:p>
        </w:tc>
        <w:tc>
          <w:tcPr>
            <w:tcW w:w="1276" w:type="dxa"/>
            <w:noWrap/>
            <w:hideMark/>
          </w:tcPr>
          <w:p w14:paraId="6A1ADB87" w14:textId="230C448A" w:rsidR="00B56687" w:rsidRPr="00627A15" w:rsidRDefault="00B56687" w:rsidP="00B56687">
            <w:pPr>
              <w:keepNext/>
              <w:keepLines/>
              <w:spacing w:before="0"/>
              <w:jc w:val="center"/>
              <w:rPr>
                <w:rFonts w:ascii="Arial Narrow" w:eastAsia="Times New Roman" w:hAnsi="Arial Narrow" w:cs="Times New Roman"/>
                <w:color w:val="000000"/>
                <w:sz w:val="20"/>
                <w:lang w:eastAsia="en-AU"/>
              </w:rPr>
            </w:pPr>
          </w:p>
        </w:tc>
        <w:tc>
          <w:tcPr>
            <w:tcW w:w="1134" w:type="dxa"/>
            <w:noWrap/>
            <w:hideMark/>
          </w:tcPr>
          <w:p w14:paraId="2364BF75" w14:textId="50A5657F" w:rsidR="00B56687" w:rsidRPr="00165333" w:rsidRDefault="00B56687" w:rsidP="00B56687">
            <w:pPr>
              <w:keepNext/>
              <w:keepLines/>
              <w:spacing w:before="0"/>
              <w:jc w:val="center"/>
              <w:rPr>
                <w:rFonts w:ascii="Arial Narrow" w:eastAsia="Times New Roman" w:hAnsi="Arial Narrow" w:cs="Times New Roman"/>
                <w:sz w:val="20"/>
                <w:highlight w:val="yellow"/>
                <w:lang w:eastAsia="en-AU"/>
              </w:rPr>
            </w:pPr>
            <w:r w:rsidRPr="00B36098">
              <w:rPr>
                <w:rFonts w:ascii="Arial Narrow" w:eastAsia="Times New Roman" w:hAnsi="Arial Narrow" w:cs="Times New Roman"/>
                <w:color w:val="000000"/>
                <w:sz w:val="19"/>
                <w:szCs w:val="19"/>
                <w:lang w:eastAsia="en-AU"/>
              </w:rPr>
              <w:t>redacted</w:t>
            </w:r>
            <w:r w:rsidRPr="00B36098">
              <w:rPr>
                <w:rFonts w:ascii="Arial Narrow" w:eastAsia="Times New Roman" w:hAnsi="Arial Narrow" w:cs="Times New Roman"/>
                <w:color w:val="000000"/>
                <w:sz w:val="19"/>
                <w:szCs w:val="19"/>
                <w:vertAlign w:val="superscript"/>
                <w:lang w:eastAsia="en-AU"/>
              </w:rPr>
              <w:t>4</w:t>
            </w:r>
          </w:p>
        </w:tc>
        <w:tc>
          <w:tcPr>
            <w:tcW w:w="1134" w:type="dxa"/>
            <w:noWrap/>
            <w:hideMark/>
          </w:tcPr>
          <w:p w14:paraId="6B11B72E" w14:textId="74339B84" w:rsidR="00B56687" w:rsidRPr="00D97679" w:rsidRDefault="00B56687" w:rsidP="00B56687">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5</w:t>
            </w:r>
          </w:p>
        </w:tc>
        <w:tc>
          <w:tcPr>
            <w:tcW w:w="1508" w:type="dxa"/>
            <w:noWrap/>
            <w:hideMark/>
          </w:tcPr>
          <w:p w14:paraId="21AD4B16" w14:textId="7AE203BF" w:rsidR="00B56687" w:rsidRPr="00D97679" w:rsidRDefault="00B56687" w:rsidP="00B56687">
            <w:pPr>
              <w:keepNext/>
              <w:keepLines/>
              <w:spacing w:before="0"/>
              <w:jc w:val="center"/>
              <w:rPr>
                <w:rFonts w:ascii="Arial Narrow" w:eastAsia="Times New Roman" w:hAnsi="Arial Narrow" w:cs="Times New Roman"/>
                <w:sz w:val="20"/>
                <w:highlight w:val="yellow"/>
                <w:lang w:eastAsia="en-AU"/>
              </w:rPr>
            </w:pPr>
            <w:r w:rsidRPr="00442E68">
              <w:rPr>
                <w:rFonts w:ascii="Arial Narrow" w:eastAsia="Times New Roman" w:hAnsi="Arial Narrow" w:cs="Times New Roman"/>
                <w:color w:val="000000"/>
                <w:sz w:val="19"/>
                <w:szCs w:val="19"/>
                <w:lang w:eastAsia="en-AU"/>
              </w:rPr>
              <w:t>redacted</w:t>
            </w:r>
            <w:r w:rsidRPr="00442E68">
              <w:rPr>
                <w:rFonts w:ascii="Arial Narrow" w:eastAsia="Times New Roman" w:hAnsi="Arial Narrow" w:cs="Times New Roman"/>
                <w:color w:val="000000"/>
                <w:sz w:val="19"/>
                <w:szCs w:val="19"/>
                <w:vertAlign w:val="superscript"/>
                <w:lang w:eastAsia="en-AU"/>
              </w:rPr>
              <w:t>4</w:t>
            </w:r>
          </w:p>
        </w:tc>
      </w:tr>
      <w:tr w:rsidR="00B56687" w:rsidRPr="00627A15" w14:paraId="6989A7B6" w14:textId="77777777" w:rsidTr="00695DA2">
        <w:trPr>
          <w:trHeight w:val="300"/>
        </w:trPr>
        <w:tc>
          <w:tcPr>
            <w:tcW w:w="2547" w:type="dxa"/>
            <w:vMerge/>
            <w:hideMark/>
          </w:tcPr>
          <w:p w14:paraId="27E67FDE" w14:textId="77777777" w:rsidR="00B56687" w:rsidRPr="00627A15" w:rsidRDefault="00B56687" w:rsidP="00B56687">
            <w:pPr>
              <w:keepNext/>
              <w:keepLines/>
              <w:spacing w:before="0"/>
              <w:jc w:val="left"/>
              <w:rPr>
                <w:rFonts w:ascii="Arial Narrow" w:eastAsia="Times New Roman" w:hAnsi="Arial Narrow" w:cs="Times New Roman"/>
                <w:color w:val="000000"/>
                <w:sz w:val="20"/>
                <w:lang w:eastAsia="en-AU"/>
              </w:rPr>
            </w:pPr>
          </w:p>
        </w:tc>
        <w:tc>
          <w:tcPr>
            <w:tcW w:w="1417" w:type="dxa"/>
            <w:noWrap/>
            <w:hideMark/>
          </w:tcPr>
          <w:p w14:paraId="50C43CB1" w14:textId="77777777" w:rsidR="00B56687" w:rsidRPr="00627A15" w:rsidRDefault="00B56687" w:rsidP="00B56687">
            <w:pPr>
              <w:keepNext/>
              <w:keepLines/>
              <w:spacing w:before="0"/>
              <w:jc w:val="center"/>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at platinum resistance</w:t>
            </w:r>
          </w:p>
        </w:tc>
        <w:tc>
          <w:tcPr>
            <w:tcW w:w="1276" w:type="dxa"/>
            <w:noWrap/>
            <w:hideMark/>
          </w:tcPr>
          <w:p w14:paraId="1359325D" w14:textId="28AE14DC" w:rsidR="00B56687" w:rsidRPr="00627A15" w:rsidRDefault="00B56687" w:rsidP="00B56687">
            <w:pPr>
              <w:keepNext/>
              <w:keepLines/>
              <w:spacing w:before="0"/>
              <w:jc w:val="center"/>
              <w:rPr>
                <w:rFonts w:ascii="Arial Narrow" w:eastAsia="Times New Roman" w:hAnsi="Arial Narrow" w:cs="Times New Roman"/>
                <w:color w:val="000000"/>
                <w:sz w:val="20"/>
                <w:lang w:eastAsia="en-AU"/>
              </w:rPr>
            </w:pPr>
          </w:p>
        </w:tc>
        <w:tc>
          <w:tcPr>
            <w:tcW w:w="1134" w:type="dxa"/>
            <w:noWrap/>
            <w:hideMark/>
          </w:tcPr>
          <w:p w14:paraId="5FEDC804" w14:textId="4BB6ACB3" w:rsidR="00B56687" w:rsidRPr="00165333" w:rsidRDefault="00B56687" w:rsidP="00B56687">
            <w:pPr>
              <w:keepNext/>
              <w:keepLines/>
              <w:spacing w:before="0"/>
              <w:jc w:val="center"/>
              <w:rPr>
                <w:rFonts w:ascii="Arial Narrow" w:eastAsia="Times New Roman" w:hAnsi="Arial Narrow" w:cs="Times New Roman"/>
                <w:sz w:val="20"/>
                <w:highlight w:val="yellow"/>
                <w:lang w:eastAsia="en-AU"/>
              </w:rPr>
            </w:pPr>
            <w:r w:rsidRPr="00B36098">
              <w:rPr>
                <w:rFonts w:ascii="Arial Narrow" w:eastAsia="Times New Roman" w:hAnsi="Arial Narrow" w:cs="Times New Roman"/>
                <w:color w:val="000000"/>
                <w:sz w:val="19"/>
                <w:szCs w:val="19"/>
                <w:lang w:eastAsia="en-AU"/>
              </w:rPr>
              <w:t>redacted</w:t>
            </w:r>
            <w:r w:rsidRPr="00B36098">
              <w:rPr>
                <w:rFonts w:ascii="Arial Narrow" w:eastAsia="Times New Roman" w:hAnsi="Arial Narrow" w:cs="Times New Roman"/>
                <w:color w:val="000000"/>
                <w:sz w:val="19"/>
                <w:szCs w:val="19"/>
                <w:vertAlign w:val="superscript"/>
                <w:lang w:eastAsia="en-AU"/>
              </w:rPr>
              <w:t>4</w:t>
            </w:r>
          </w:p>
        </w:tc>
        <w:tc>
          <w:tcPr>
            <w:tcW w:w="1134" w:type="dxa"/>
            <w:noWrap/>
            <w:hideMark/>
          </w:tcPr>
          <w:p w14:paraId="401F1E11" w14:textId="7E74AABB" w:rsidR="00B56687" w:rsidRPr="00165333" w:rsidRDefault="00B56687" w:rsidP="00B56687">
            <w:pPr>
              <w:keepNext/>
              <w:keepLines/>
              <w:spacing w:before="0"/>
              <w:jc w:val="center"/>
              <w:rPr>
                <w:rFonts w:ascii="Arial Narrow" w:eastAsia="Times New Roman" w:hAnsi="Arial Narrow" w:cs="Times New Roman"/>
                <w:sz w:val="20"/>
                <w:highlight w:val="yellow"/>
                <w:lang w:eastAsia="en-AU"/>
              </w:rPr>
            </w:pPr>
            <w:r w:rsidRPr="00E21EC1">
              <w:rPr>
                <w:rFonts w:ascii="Arial Narrow" w:eastAsia="Times New Roman" w:hAnsi="Arial Narrow" w:cs="Times New Roman"/>
                <w:color w:val="000000"/>
                <w:sz w:val="19"/>
                <w:szCs w:val="19"/>
                <w:lang w:eastAsia="en-AU"/>
              </w:rPr>
              <w:t>redacted</w:t>
            </w:r>
            <w:r>
              <w:rPr>
                <w:rFonts w:ascii="Arial Narrow" w:eastAsia="Times New Roman" w:hAnsi="Arial Narrow" w:cs="Times New Roman"/>
                <w:color w:val="000000"/>
                <w:sz w:val="19"/>
                <w:szCs w:val="19"/>
                <w:vertAlign w:val="superscript"/>
                <w:lang w:eastAsia="en-AU"/>
              </w:rPr>
              <w:t>5</w:t>
            </w:r>
          </w:p>
        </w:tc>
        <w:tc>
          <w:tcPr>
            <w:tcW w:w="1508" w:type="dxa"/>
            <w:noWrap/>
            <w:hideMark/>
          </w:tcPr>
          <w:p w14:paraId="04D13923" w14:textId="5CC6D3AC" w:rsidR="00B56687" w:rsidRPr="00165333" w:rsidRDefault="00B56687" w:rsidP="00B56687">
            <w:pPr>
              <w:keepNext/>
              <w:keepLines/>
              <w:spacing w:before="0"/>
              <w:jc w:val="center"/>
              <w:rPr>
                <w:rFonts w:ascii="Arial Narrow" w:eastAsia="Times New Roman" w:hAnsi="Arial Narrow" w:cs="Times New Roman"/>
                <w:sz w:val="20"/>
                <w:highlight w:val="yellow"/>
                <w:lang w:eastAsia="en-AU"/>
              </w:rPr>
            </w:pPr>
            <w:r w:rsidRPr="00442E68">
              <w:rPr>
                <w:rFonts w:ascii="Arial Narrow" w:eastAsia="Times New Roman" w:hAnsi="Arial Narrow" w:cs="Times New Roman"/>
                <w:color w:val="000000"/>
                <w:sz w:val="19"/>
                <w:szCs w:val="19"/>
                <w:lang w:eastAsia="en-AU"/>
              </w:rPr>
              <w:t>redacted</w:t>
            </w:r>
            <w:r w:rsidRPr="00442E68">
              <w:rPr>
                <w:rFonts w:ascii="Arial Narrow" w:eastAsia="Times New Roman" w:hAnsi="Arial Narrow" w:cs="Times New Roman"/>
                <w:color w:val="000000"/>
                <w:sz w:val="19"/>
                <w:szCs w:val="19"/>
                <w:vertAlign w:val="superscript"/>
                <w:lang w:eastAsia="en-AU"/>
              </w:rPr>
              <w:t>4</w:t>
            </w:r>
          </w:p>
        </w:tc>
      </w:tr>
      <w:tr w:rsidR="00B56687" w:rsidRPr="00627A15" w14:paraId="04F82B81" w14:textId="77777777" w:rsidTr="00695DA2">
        <w:trPr>
          <w:trHeight w:val="780"/>
        </w:trPr>
        <w:tc>
          <w:tcPr>
            <w:tcW w:w="2547" w:type="dxa"/>
            <w:hideMark/>
          </w:tcPr>
          <w:p w14:paraId="60F3F391" w14:textId="77777777" w:rsidR="00B56687" w:rsidRPr="00627A15" w:rsidRDefault="00B56687" w:rsidP="00B56687">
            <w:pPr>
              <w:keepNext/>
              <w:keepLines/>
              <w:spacing w:before="0"/>
              <w:jc w:val="left"/>
              <w:rPr>
                <w:rFonts w:ascii="Arial Narrow" w:eastAsia="Times New Roman" w:hAnsi="Arial Narrow" w:cs="Times New Roman"/>
                <w:b/>
                <w:color w:val="000000"/>
                <w:sz w:val="20"/>
                <w:lang w:eastAsia="en-AU"/>
              </w:rPr>
            </w:pPr>
            <w:r w:rsidRPr="00627A15">
              <w:rPr>
                <w:rFonts w:ascii="Arial Narrow" w:eastAsia="Times New Roman" w:hAnsi="Arial Narrow" w:cs="Times New Roman"/>
                <w:b/>
                <w:color w:val="000000"/>
                <w:sz w:val="20"/>
                <w:lang w:eastAsia="en-AU"/>
              </w:rPr>
              <w:t>Difference in net cost to MBS between testing at primary diagnosis and at platinum resistance</w:t>
            </w:r>
          </w:p>
        </w:tc>
        <w:tc>
          <w:tcPr>
            <w:tcW w:w="1417" w:type="dxa"/>
            <w:hideMark/>
          </w:tcPr>
          <w:p w14:paraId="09D3E496" w14:textId="77777777" w:rsidR="00B56687" w:rsidRPr="00627A15" w:rsidRDefault="00B56687" w:rsidP="00B56687">
            <w:pPr>
              <w:keepNext/>
              <w:keepLines/>
              <w:spacing w:before="0"/>
              <w:jc w:val="left"/>
              <w:rPr>
                <w:rFonts w:ascii="Arial Narrow" w:eastAsia="Times New Roman" w:hAnsi="Arial Narrow" w:cs="Times New Roman"/>
                <w:color w:val="000000"/>
                <w:sz w:val="20"/>
                <w:lang w:eastAsia="en-AU"/>
              </w:rPr>
            </w:pPr>
            <w:r w:rsidRPr="00627A15">
              <w:rPr>
                <w:rFonts w:ascii="Arial Narrow" w:eastAsia="Times New Roman" w:hAnsi="Arial Narrow" w:cs="Times New Roman"/>
                <w:color w:val="000000"/>
                <w:sz w:val="20"/>
                <w:lang w:eastAsia="en-AU"/>
              </w:rPr>
              <w:t> </w:t>
            </w:r>
          </w:p>
        </w:tc>
        <w:tc>
          <w:tcPr>
            <w:tcW w:w="1276" w:type="dxa"/>
            <w:noWrap/>
            <w:hideMark/>
          </w:tcPr>
          <w:p w14:paraId="20F4F8FB" w14:textId="396314A3" w:rsidR="00B56687" w:rsidRPr="00627A15" w:rsidRDefault="00B56687" w:rsidP="00B56687">
            <w:pPr>
              <w:keepNext/>
              <w:keepLines/>
              <w:spacing w:before="0"/>
              <w:jc w:val="center"/>
              <w:rPr>
                <w:rFonts w:ascii="Arial Narrow" w:eastAsia="Times New Roman" w:hAnsi="Arial Narrow" w:cs="Times New Roman"/>
                <w:color w:val="000000"/>
                <w:sz w:val="20"/>
                <w:lang w:eastAsia="en-AU"/>
              </w:rPr>
            </w:pPr>
          </w:p>
        </w:tc>
        <w:tc>
          <w:tcPr>
            <w:tcW w:w="1134" w:type="dxa"/>
            <w:noWrap/>
            <w:hideMark/>
          </w:tcPr>
          <w:p w14:paraId="71006848" w14:textId="52B3648B" w:rsidR="00B56687" w:rsidRPr="00B56687" w:rsidRDefault="00B56687" w:rsidP="00B56687">
            <w:pPr>
              <w:keepNext/>
              <w:keepLines/>
              <w:spacing w:before="0"/>
              <w:jc w:val="center"/>
              <w:rPr>
                <w:rFonts w:ascii="Arial Narrow" w:eastAsia="Times New Roman" w:hAnsi="Arial Narrow" w:cs="Times New Roman"/>
                <w:b/>
                <w:bCs/>
                <w:sz w:val="20"/>
                <w:highlight w:val="yellow"/>
                <w:lang w:eastAsia="en-AU"/>
              </w:rPr>
            </w:pPr>
            <w:r w:rsidRPr="00B56687">
              <w:rPr>
                <w:rFonts w:ascii="Arial Narrow" w:eastAsia="Times New Roman" w:hAnsi="Arial Narrow" w:cs="Times New Roman"/>
                <w:b/>
                <w:bCs/>
                <w:color w:val="000000"/>
                <w:sz w:val="19"/>
                <w:szCs w:val="19"/>
                <w:lang w:eastAsia="en-AU"/>
              </w:rPr>
              <w:t>redacted</w:t>
            </w:r>
            <w:r w:rsidRPr="00B56687">
              <w:rPr>
                <w:rFonts w:ascii="Arial Narrow" w:eastAsia="Times New Roman" w:hAnsi="Arial Narrow" w:cs="Times New Roman"/>
                <w:b/>
                <w:bCs/>
                <w:color w:val="000000"/>
                <w:sz w:val="19"/>
                <w:szCs w:val="19"/>
                <w:vertAlign w:val="superscript"/>
                <w:lang w:eastAsia="en-AU"/>
              </w:rPr>
              <w:t>7</w:t>
            </w:r>
          </w:p>
        </w:tc>
        <w:tc>
          <w:tcPr>
            <w:tcW w:w="1134" w:type="dxa"/>
            <w:noWrap/>
            <w:hideMark/>
          </w:tcPr>
          <w:p w14:paraId="37AD8DB7" w14:textId="47251A63" w:rsidR="00B56687" w:rsidRPr="00B56687" w:rsidRDefault="00B56687" w:rsidP="00B56687">
            <w:pPr>
              <w:keepNext/>
              <w:keepLines/>
              <w:spacing w:before="0"/>
              <w:jc w:val="center"/>
              <w:rPr>
                <w:rFonts w:ascii="Arial Narrow" w:eastAsia="Times New Roman" w:hAnsi="Arial Narrow" w:cs="Times New Roman"/>
                <w:b/>
                <w:bCs/>
                <w:sz w:val="20"/>
                <w:highlight w:val="yellow"/>
                <w:lang w:eastAsia="en-AU"/>
              </w:rPr>
            </w:pPr>
            <w:r w:rsidRPr="00B56687">
              <w:rPr>
                <w:rFonts w:ascii="Arial Narrow" w:eastAsia="Times New Roman" w:hAnsi="Arial Narrow" w:cs="Times New Roman"/>
                <w:b/>
                <w:bCs/>
                <w:color w:val="000000"/>
                <w:sz w:val="19"/>
                <w:szCs w:val="19"/>
                <w:lang w:eastAsia="en-AU"/>
              </w:rPr>
              <w:t>redacted</w:t>
            </w:r>
            <w:r w:rsidRPr="00B56687">
              <w:rPr>
                <w:rFonts w:ascii="Arial Narrow" w:eastAsia="Times New Roman" w:hAnsi="Arial Narrow" w:cs="Times New Roman"/>
                <w:b/>
                <w:bCs/>
                <w:color w:val="000000"/>
                <w:sz w:val="19"/>
                <w:szCs w:val="19"/>
                <w:vertAlign w:val="superscript"/>
                <w:lang w:eastAsia="en-AU"/>
              </w:rPr>
              <w:t>7</w:t>
            </w:r>
          </w:p>
        </w:tc>
        <w:tc>
          <w:tcPr>
            <w:tcW w:w="1508" w:type="dxa"/>
            <w:noWrap/>
            <w:hideMark/>
          </w:tcPr>
          <w:p w14:paraId="18226D31" w14:textId="75722566" w:rsidR="00B56687" w:rsidRPr="00B56687" w:rsidRDefault="00B56687" w:rsidP="00B56687">
            <w:pPr>
              <w:keepNext/>
              <w:keepLines/>
              <w:spacing w:before="0"/>
              <w:jc w:val="center"/>
              <w:rPr>
                <w:rFonts w:ascii="Arial Narrow" w:eastAsia="Times New Roman" w:hAnsi="Arial Narrow" w:cs="Times New Roman"/>
                <w:b/>
                <w:bCs/>
                <w:sz w:val="20"/>
                <w:highlight w:val="yellow"/>
                <w:lang w:eastAsia="en-AU"/>
              </w:rPr>
            </w:pPr>
            <w:r w:rsidRPr="00B56687">
              <w:rPr>
                <w:rFonts w:ascii="Arial Narrow" w:eastAsia="Times New Roman" w:hAnsi="Arial Narrow" w:cs="Times New Roman"/>
                <w:b/>
                <w:bCs/>
                <w:color w:val="000000"/>
                <w:sz w:val="19"/>
                <w:szCs w:val="19"/>
                <w:lang w:eastAsia="en-AU"/>
              </w:rPr>
              <w:t>redacted</w:t>
            </w:r>
            <w:r w:rsidRPr="00B56687">
              <w:rPr>
                <w:rFonts w:ascii="Arial Narrow" w:eastAsia="Times New Roman" w:hAnsi="Arial Narrow" w:cs="Times New Roman"/>
                <w:b/>
                <w:bCs/>
                <w:color w:val="000000"/>
                <w:sz w:val="19"/>
                <w:szCs w:val="19"/>
                <w:vertAlign w:val="superscript"/>
                <w:lang w:eastAsia="en-AU"/>
              </w:rPr>
              <w:t>7</w:t>
            </w:r>
          </w:p>
        </w:tc>
      </w:tr>
    </w:tbl>
    <w:p w14:paraId="44178110" w14:textId="3F9E7EBE" w:rsidR="00A10A22" w:rsidRPr="00F10893" w:rsidRDefault="00E11AC2" w:rsidP="00F02286">
      <w:pPr>
        <w:pStyle w:val="TableFooter"/>
        <w:keepNext/>
        <w:keepLines/>
      </w:pPr>
      <w:r w:rsidRPr="00E11AC2">
        <w:rPr>
          <w:sz w:val="20"/>
        </w:rPr>
        <w:t>Abbreviations</w:t>
      </w:r>
      <w:r w:rsidR="00715C73">
        <w:rPr>
          <w:sz w:val="20"/>
        </w:rPr>
        <w:t xml:space="preserve">: </w:t>
      </w:r>
      <w:r w:rsidR="00963EE9">
        <w:rPr>
          <w:sz w:val="20"/>
        </w:rPr>
        <w:t>DUSC</w:t>
      </w:r>
      <w:r w:rsidR="0036172F">
        <w:rPr>
          <w:sz w:val="20"/>
        </w:rPr>
        <w:t xml:space="preserve">= Drug Utilisation </w:t>
      </w:r>
      <w:r w:rsidR="00643F98">
        <w:rPr>
          <w:sz w:val="20"/>
        </w:rPr>
        <w:t>Sub</w:t>
      </w:r>
      <w:r w:rsidR="0070379D">
        <w:rPr>
          <w:sz w:val="20"/>
        </w:rPr>
        <w:t>-</w:t>
      </w:r>
      <w:r w:rsidR="00643F98">
        <w:rPr>
          <w:sz w:val="20"/>
        </w:rPr>
        <w:t>Committee, ESC= Evaluation Sub</w:t>
      </w:r>
      <w:r w:rsidR="0070379D">
        <w:rPr>
          <w:sz w:val="20"/>
        </w:rPr>
        <w:t>-</w:t>
      </w:r>
      <w:r w:rsidR="00643F98">
        <w:rPr>
          <w:sz w:val="20"/>
        </w:rPr>
        <w:t xml:space="preserve">Committee, </w:t>
      </w:r>
      <w:r w:rsidR="00A10A22" w:rsidRPr="00F10893">
        <w:t xml:space="preserve">FRα=folate receptor alpha; MBS = Medicare Benefits Schedule; </w:t>
      </w:r>
      <w:r w:rsidR="00643F98">
        <w:t xml:space="preserve">MSAC= Medical </w:t>
      </w:r>
      <w:r w:rsidR="005D187F">
        <w:t>Service Advisory Com</w:t>
      </w:r>
      <w:r w:rsidR="00770D86">
        <w:t xml:space="preserve">mittee, </w:t>
      </w:r>
      <w:r w:rsidR="00A10A22" w:rsidRPr="00F10893">
        <w:t>PBS = Pharmaceutical Benefits Scheme; RPBS = Repatriation Schedule of Pharmaceutical Benefits</w:t>
      </w:r>
    </w:p>
    <w:p w14:paraId="7CC5B73F" w14:textId="77777777" w:rsidR="005F3821" w:rsidRDefault="00550238"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rPr>
        <w:t xml:space="preserve">Source: Calculated by the department </w:t>
      </w:r>
      <w:r w:rsidRPr="00F10893">
        <w:rPr>
          <w:rFonts w:ascii="Arial Narrow" w:eastAsia="Times New Roman" w:hAnsi="Arial Narrow" w:cs="Arial"/>
          <w:snapToGrid w:val="0"/>
          <w:sz w:val="18"/>
          <w:szCs w:val="20"/>
        </w:rPr>
        <w:t>using data from Table</w:t>
      </w:r>
      <w:r>
        <w:rPr>
          <w:rFonts w:ascii="Arial Narrow" w:eastAsia="Times New Roman" w:hAnsi="Arial Narrow" w:cs="Arial"/>
          <w:snapToGrid w:val="0"/>
          <w:sz w:val="18"/>
          <w:szCs w:val="20"/>
        </w:rPr>
        <w:t xml:space="preserve"> 2</w:t>
      </w:r>
      <w:r w:rsidR="00130D51">
        <w:rPr>
          <w:rFonts w:ascii="Arial Narrow" w:eastAsia="Times New Roman" w:hAnsi="Arial Narrow" w:cs="Arial"/>
          <w:snapToGrid w:val="0"/>
          <w:sz w:val="18"/>
          <w:szCs w:val="20"/>
        </w:rPr>
        <w:t>5 to</w:t>
      </w:r>
      <w:r w:rsidR="00985CDF">
        <w:rPr>
          <w:rFonts w:ascii="Arial Narrow" w:eastAsia="Times New Roman" w:hAnsi="Arial Narrow" w:cs="Arial"/>
          <w:snapToGrid w:val="0"/>
          <w:sz w:val="18"/>
          <w:szCs w:val="20"/>
        </w:rPr>
        <w:t xml:space="preserve"> </w:t>
      </w:r>
      <w:r>
        <w:rPr>
          <w:rFonts w:ascii="Arial Narrow" w:eastAsia="Times New Roman" w:hAnsi="Arial Narrow" w:cs="Arial"/>
          <w:snapToGrid w:val="0"/>
          <w:sz w:val="18"/>
          <w:szCs w:val="20"/>
        </w:rPr>
        <w:t>Table 28</w:t>
      </w:r>
      <w:r w:rsidR="00804D43">
        <w:rPr>
          <w:rFonts w:ascii="Arial Narrow" w:eastAsia="Times New Roman" w:hAnsi="Arial Narrow" w:cs="Arial"/>
          <w:snapToGrid w:val="0"/>
          <w:sz w:val="18"/>
          <w:szCs w:val="20"/>
        </w:rPr>
        <w:t>,</w:t>
      </w:r>
      <w:r w:rsidR="00F72952">
        <w:rPr>
          <w:rFonts w:ascii="Arial Narrow" w:eastAsia="Times New Roman" w:hAnsi="Arial Narrow" w:cs="Arial"/>
          <w:snapToGrid w:val="0"/>
          <w:sz w:val="18"/>
          <w:szCs w:val="20"/>
        </w:rPr>
        <w:t xml:space="preserve"> </w:t>
      </w:r>
      <w:r w:rsidR="003C2711">
        <w:rPr>
          <w:rFonts w:ascii="Arial Narrow" w:eastAsia="Times New Roman" w:hAnsi="Arial Narrow" w:cs="Arial"/>
          <w:snapToGrid w:val="0"/>
          <w:sz w:val="18"/>
          <w:szCs w:val="20"/>
        </w:rPr>
        <w:t>DUSC advice</w:t>
      </w:r>
      <w:r w:rsidR="00804D43">
        <w:rPr>
          <w:rFonts w:ascii="Arial Narrow" w:eastAsia="Times New Roman" w:hAnsi="Arial Narrow" w:cs="Arial"/>
          <w:snapToGrid w:val="0"/>
          <w:sz w:val="18"/>
          <w:szCs w:val="20"/>
        </w:rPr>
        <w:t xml:space="preserve"> and pre-MSAC response from the applicant (</w:t>
      </w:r>
      <w:r w:rsidR="00ED45CF">
        <w:rPr>
          <w:rFonts w:ascii="Arial Narrow" w:eastAsia="Times New Roman" w:hAnsi="Arial Narrow" w:cs="Arial"/>
          <w:snapToGrid w:val="0"/>
          <w:sz w:val="18"/>
          <w:szCs w:val="20"/>
        </w:rPr>
        <w:t>sheet ‘</w:t>
      </w:r>
      <w:r w:rsidR="008532B9" w:rsidRPr="008532B9">
        <w:rPr>
          <w:rFonts w:ascii="Arial Narrow" w:eastAsia="Times New Roman" w:hAnsi="Arial Narrow" w:cs="Arial"/>
          <w:snapToGrid w:val="0"/>
          <w:sz w:val="18"/>
          <w:szCs w:val="20"/>
        </w:rPr>
        <w:t>3b. Impact - proposed (pub)</w:t>
      </w:r>
      <w:r w:rsidR="008532B9">
        <w:rPr>
          <w:rFonts w:ascii="Arial Narrow" w:eastAsia="Times New Roman" w:hAnsi="Arial Narrow" w:cs="Arial"/>
          <w:snapToGrid w:val="0"/>
          <w:sz w:val="18"/>
          <w:szCs w:val="20"/>
        </w:rPr>
        <w:t xml:space="preserve">’ in </w:t>
      </w:r>
      <w:r w:rsidR="009C5870" w:rsidRPr="009C5870">
        <w:rPr>
          <w:rFonts w:ascii="Arial Narrow" w:eastAsia="Times New Roman" w:hAnsi="Arial Narrow" w:cs="Arial"/>
          <w:snapToGrid w:val="0"/>
          <w:sz w:val="18"/>
          <w:szCs w:val="20"/>
        </w:rPr>
        <w:t>Mirvetuximab Section 4 Workbook_Pre-PBAC update</w:t>
      </w:r>
      <w:r w:rsidR="009C5870">
        <w:rPr>
          <w:rFonts w:ascii="Arial Narrow" w:eastAsia="Times New Roman" w:hAnsi="Arial Narrow" w:cs="Arial"/>
          <w:snapToGrid w:val="0"/>
          <w:sz w:val="18"/>
          <w:szCs w:val="20"/>
        </w:rPr>
        <w:t>)</w:t>
      </w:r>
      <w:r w:rsidRPr="00F10893">
        <w:rPr>
          <w:rFonts w:ascii="Arial Narrow" w:eastAsia="Times New Roman" w:hAnsi="Arial Narrow" w:cs="Arial"/>
          <w:snapToGrid w:val="0"/>
          <w:sz w:val="18"/>
          <w:szCs w:val="20"/>
        </w:rPr>
        <w:t xml:space="preserve">. </w:t>
      </w:r>
      <w:bookmarkStart w:id="59" w:name="_Toc145678765"/>
      <w:bookmarkStart w:id="60" w:name="_Toc150172410"/>
      <w:bookmarkStart w:id="61" w:name="_Toc153462785"/>
    </w:p>
    <w:p w14:paraId="70F55BC3" w14:textId="77777777" w:rsidR="005009C8" w:rsidRPr="007E588B" w:rsidRDefault="005009C8" w:rsidP="005009C8">
      <w:pPr>
        <w:widowControl w:val="0"/>
        <w:spacing w:before="0" w:after="0"/>
        <w:rPr>
          <w:rFonts w:ascii="Arial Narrow" w:eastAsia="Times New Roman" w:hAnsi="Arial Narrow" w:cs="Arial"/>
          <w:snapToGrid w:val="0"/>
          <w:sz w:val="18"/>
          <w:szCs w:val="20"/>
        </w:rPr>
      </w:pPr>
      <w:r w:rsidRPr="007E588B">
        <w:rPr>
          <w:rFonts w:ascii="Arial Narrow" w:eastAsia="Times New Roman" w:hAnsi="Arial Narrow" w:cs="Arial"/>
          <w:snapToGrid w:val="0"/>
          <w:sz w:val="18"/>
          <w:szCs w:val="20"/>
        </w:rPr>
        <w:t xml:space="preserve">The redacted values correspond to the following ranges: </w:t>
      </w:r>
    </w:p>
    <w:p w14:paraId="7DEA6A00" w14:textId="383CCA62" w:rsidR="00845C86"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1</w:t>
      </w:r>
      <w:r w:rsidR="00845C86">
        <w:rPr>
          <w:rFonts w:ascii="Arial Narrow" w:eastAsia="Times New Roman" w:hAnsi="Arial Narrow" w:cs="Arial"/>
          <w:snapToGrid w:val="0"/>
          <w:sz w:val="18"/>
          <w:szCs w:val="20"/>
        </w:rPr>
        <w:t>1</w:t>
      </w:r>
      <w:r w:rsidR="00845C86" w:rsidRPr="00845C86">
        <w:rPr>
          <w:rFonts w:ascii="Arial Narrow" w:eastAsia="Times New Roman" w:hAnsi="Arial Narrow" w:cs="Arial"/>
          <w:snapToGrid w:val="0"/>
          <w:sz w:val="18"/>
          <w:szCs w:val="20"/>
        </w:rPr>
        <w:t>0,000 to &lt; </w:t>
      </w:r>
      <w:r w:rsidR="00845C86">
        <w:rPr>
          <w:rFonts w:ascii="Arial Narrow" w:eastAsia="Times New Roman" w:hAnsi="Arial Narrow" w:cs="Arial"/>
          <w:snapToGrid w:val="0"/>
          <w:sz w:val="18"/>
          <w:szCs w:val="20"/>
        </w:rPr>
        <w:t>2</w:t>
      </w:r>
      <w:r w:rsidR="00845C86" w:rsidRPr="00845C86">
        <w:rPr>
          <w:rFonts w:ascii="Arial Narrow" w:eastAsia="Times New Roman" w:hAnsi="Arial Narrow" w:cs="Arial"/>
          <w:snapToGrid w:val="0"/>
          <w:sz w:val="18"/>
          <w:szCs w:val="20"/>
        </w:rPr>
        <w:t>0,000</w:t>
      </w:r>
    </w:p>
    <w:p w14:paraId="4201BC70" w14:textId="35A2FD1C" w:rsidR="005009C8"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2</w:t>
      </w:r>
      <w:r w:rsidR="00845C86" w:rsidRPr="00845C86">
        <w:rPr>
          <w:rFonts w:ascii="Arial Narrow" w:eastAsia="Times New Roman" w:hAnsi="Arial Narrow" w:cs="Arial"/>
          <w:snapToGrid w:val="0"/>
          <w:sz w:val="18"/>
          <w:szCs w:val="20"/>
        </w:rPr>
        <w:t>5,000 to &lt; 10,000</w:t>
      </w:r>
    </w:p>
    <w:p w14:paraId="1B1BB5AF" w14:textId="38928856" w:rsidR="00845C86"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3</w:t>
      </w:r>
      <w:r w:rsidR="00845C86" w:rsidRPr="00845C86">
        <w:rPr>
          <w:rFonts w:ascii="Arial Narrow" w:eastAsia="Times New Roman" w:hAnsi="Arial Narrow" w:cs="Arial"/>
          <w:snapToGrid w:val="0"/>
          <w:sz w:val="18"/>
          <w:szCs w:val="20"/>
        </w:rPr>
        <w:t>500 to &lt; 5,000</w:t>
      </w:r>
    </w:p>
    <w:p w14:paraId="4FA94D92" w14:textId="27A53CC7" w:rsidR="00BA773A"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4</w:t>
      </w:r>
      <w:r w:rsidR="00BA773A" w:rsidRPr="00BA773A">
        <w:rPr>
          <w:rFonts w:ascii="Arial Narrow" w:eastAsia="Times New Roman" w:hAnsi="Arial Narrow" w:cs="Arial"/>
          <w:snapToGrid w:val="0"/>
          <w:sz w:val="18"/>
          <w:szCs w:val="20"/>
        </w:rPr>
        <w:t>$100 million to &lt; $200 million</w:t>
      </w:r>
    </w:p>
    <w:p w14:paraId="6182CB6A" w14:textId="51ABB4CC" w:rsidR="00D60F83"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5</w:t>
      </w:r>
      <w:r w:rsidR="00D60F83" w:rsidRPr="00D60F83">
        <w:rPr>
          <w:rFonts w:ascii="Arial Narrow" w:eastAsia="Times New Roman" w:hAnsi="Arial Narrow" w:cs="Arial"/>
          <w:snapToGrid w:val="0"/>
          <w:sz w:val="18"/>
          <w:szCs w:val="20"/>
        </w:rPr>
        <w:t>$</w:t>
      </w:r>
      <w:r w:rsidR="00525C1D">
        <w:rPr>
          <w:rFonts w:ascii="Arial Narrow" w:eastAsia="Times New Roman" w:hAnsi="Arial Narrow" w:cs="Arial"/>
          <w:snapToGrid w:val="0"/>
          <w:sz w:val="18"/>
          <w:szCs w:val="20"/>
        </w:rPr>
        <w:t>8</w:t>
      </w:r>
      <w:r w:rsidR="00D60F83" w:rsidRPr="00D60F83">
        <w:rPr>
          <w:rFonts w:ascii="Arial Narrow" w:eastAsia="Times New Roman" w:hAnsi="Arial Narrow" w:cs="Arial"/>
          <w:snapToGrid w:val="0"/>
          <w:sz w:val="18"/>
          <w:szCs w:val="20"/>
        </w:rPr>
        <w:t>0 million to &lt; $</w:t>
      </w:r>
      <w:r w:rsidR="00525C1D">
        <w:rPr>
          <w:rFonts w:ascii="Arial Narrow" w:eastAsia="Times New Roman" w:hAnsi="Arial Narrow" w:cs="Arial"/>
          <w:snapToGrid w:val="0"/>
          <w:sz w:val="18"/>
          <w:szCs w:val="20"/>
        </w:rPr>
        <w:t>9</w:t>
      </w:r>
      <w:r w:rsidR="00D60F83" w:rsidRPr="00D60F83">
        <w:rPr>
          <w:rFonts w:ascii="Arial Narrow" w:eastAsia="Times New Roman" w:hAnsi="Arial Narrow" w:cs="Arial"/>
          <w:snapToGrid w:val="0"/>
          <w:sz w:val="18"/>
          <w:szCs w:val="20"/>
        </w:rPr>
        <w:t>0 million</w:t>
      </w:r>
    </w:p>
    <w:p w14:paraId="0799254A" w14:textId="17925B38" w:rsidR="006E3816"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6</w:t>
      </w:r>
      <w:r w:rsidRPr="006E3816">
        <w:rPr>
          <w:rFonts w:ascii="Arial Narrow" w:eastAsia="Times New Roman" w:hAnsi="Arial Narrow" w:cs="Arial"/>
          <w:snapToGrid w:val="0"/>
          <w:sz w:val="18"/>
          <w:szCs w:val="20"/>
        </w:rPr>
        <w:t>$0 to &lt; $10 million</w:t>
      </w:r>
    </w:p>
    <w:p w14:paraId="0CCD511D" w14:textId="04120BFC" w:rsidR="006E3816" w:rsidRDefault="006E3816" w:rsidP="005F3821">
      <w:pPr>
        <w:widowControl w:val="0"/>
        <w:spacing w:before="0" w:after="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vertAlign w:val="superscript"/>
        </w:rPr>
        <w:t>7</w:t>
      </w:r>
      <w:r w:rsidRPr="001D0D38">
        <w:rPr>
          <w:rFonts w:ascii="Arial Narrow" w:eastAsia="Times New Roman" w:hAnsi="Arial Narrow" w:cs="Arial"/>
          <w:snapToGrid w:val="0"/>
          <w:sz w:val="18"/>
          <w:szCs w:val="20"/>
        </w:rPr>
        <w:t>net cost saving</w:t>
      </w:r>
    </w:p>
    <w:p w14:paraId="122285BF" w14:textId="4813E0DA" w:rsidR="00FD72E5" w:rsidRPr="00BE47E4" w:rsidRDefault="00FD72E5" w:rsidP="00BE47E4">
      <w:pPr>
        <w:pStyle w:val="Heading2"/>
        <w:numPr>
          <w:ilvl w:val="0"/>
          <w:numId w:val="18"/>
        </w:numPr>
        <w:spacing w:after="240"/>
        <w:ind w:hanging="720"/>
        <w:rPr>
          <w:rFonts w:ascii="Franklin Gothic Medium" w:hAnsi="Franklin Gothic Medium"/>
          <w:b w:val="0"/>
          <w:snapToGrid/>
          <w:color w:val="000000" w:themeColor="text1"/>
          <w:sz w:val="32"/>
          <w:szCs w:val="26"/>
        </w:rPr>
      </w:pPr>
      <w:r>
        <w:rPr>
          <w:rFonts w:ascii="Franklin Gothic Medium" w:hAnsi="Franklin Gothic Medium"/>
          <w:b w:val="0"/>
          <w:snapToGrid/>
          <w:color w:val="000000" w:themeColor="text1"/>
          <w:sz w:val="32"/>
          <w:szCs w:val="26"/>
        </w:rPr>
        <w:lastRenderedPageBreak/>
        <w:t>Key issues from ESC to MSAC</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9016"/>
      </w:tblGrid>
      <w:tr w:rsidR="00683061" w:rsidRPr="00515E4C" w14:paraId="2539C2D1" w14:textId="77777777" w:rsidTr="00FF2438">
        <w:trPr>
          <w:cnfStyle w:val="100000000000" w:firstRow="1" w:lastRow="0" w:firstColumn="0" w:lastColumn="0" w:oddVBand="0" w:evenVBand="0" w:oddHBand="0" w:evenHBand="0" w:firstRowFirstColumn="0" w:firstRowLastColumn="0" w:lastRowFirstColumn="0" w:lastRowLastColumn="0"/>
        </w:trPr>
        <w:tc>
          <w:tcPr>
            <w:tcW w:w="9016" w:type="dxa"/>
          </w:tcPr>
          <w:p w14:paraId="54917F1F" w14:textId="77777777" w:rsidR="004619B0" w:rsidRPr="00ED59D9" w:rsidRDefault="004619B0" w:rsidP="00515E4C">
            <w:pPr>
              <w:keepNext/>
              <w:keepLines/>
              <w:rPr>
                <w:rFonts w:ascii="Franklin Gothic Book" w:hAnsi="Franklin Gothic Book"/>
              </w:rPr>
            </w:pPr>
            <w:bookmarkStart w:id="62" w:name="_Toc22897637"/>
            <w:bookmarkStart w:id="63" w:name="_Toc22898843"/>
            <w:r w:rsidRPr="00ED59D9">
              <w:rPr>
                <w:rFonts w:ascii="Franklin Gothic Book" w:hAnsi="Franklin Gothic Book"/>
              </w:rPr>
              <w:t>Main issues for MSAC consideration</w:t>
            </w:r>
            <w:bookmarkEnd w:id="62"/>
            <w:bookmarkEnd w:id="63"/>
            <w:r w:rsidRPr="00ED59D9">
              <w:rPr>
                <w:rFonts w:ascii="Franklin Gothic Book" w:hAnsi="Franklin Gothic Book"/>
              </w:rPr>
              <w:t xml:space="preserve"> </w:t>
            </w:r>
          </w:p>
          <w:p w14:paraId="3C71EF89" w14:textId="77777777" w:rsidR="00321DEB" w:rsidRPr="00515E4C" w:rsidRDefault="00321DEB">
            <w:pPr>
              <w:pStyle w:val="MainBodyBulletPoint"/>
              <w:ind w:left="0" w:firstLine="0"/>
              <w:jc w:val="both"/>
              <w:rPr>
                <w:rFonts w:ascii="Franklin Gothic Book" w:hAnsi="Franklin Gothic Book"/>
                <w:sz w:val="22"/>
                <w:szCs w:val="20"/>
                <w:lang w:val="en-AU"/>
              </w:rPr>
            </w:pPr>
            <w:r w:rsidRPr="00515E4C">
              <w:rPr>
                <w:rFonts w:ascii="Franklin Gothic Book" w:hAnsi="Franklin Gothic Book"/>
                <w:sz w:val="22"/>
                <w:szCs w:val="20"/>
                <w:lang w:val="en-AU"/>
              </w:rPr>
              <w:t>Clinical issues</w:t>
            </w:r>
          </w:p>
          <w:p w14:paraId="79FF2851" w14:textId="77777777" w:rsidR="00321DEB" w:rsidRPr="00515E4C" w:rsidRDefault="00321DEB" w:rsidP="00AE70BD">
            <w:pPr>
              <w:pStyle w:val="MainBodyBulletPoint"/>
              <w:numPr>
                <w:ilvl w:val="0"/>
                <w:numId w:val="17"/>
              </w:numPr>
              <w:jc w:val="both"/>
              <w:rPr>
                <w:rStyle w:val="InstructionalTextChar"/>
                <w:rFonts w:ascii="Franklin Gothic Book" w:hAnsi="Franklin Gothic Book"/>
                <w:b w:val="0"/>
                <w:color w:val="auto"/>
                <w:sz w:val="22"/>
                <w:szCs w:val="20"/>
                <w:lang w:val="en-AU"/>
              </w:rPr>
            </w:pPr>
            <w:r w:rsidRPr="00515E4C">
              <w:rPr>
                <w:rStyle w:val="InstructionalTextChar"/>
                <w:rFonts w:ascii="Franklin Gothic Book" w:hAnsi="Franklin Gothic Book"/>
                <w:b w:val="0"/>
                <w:bCs/>
                <w:iCs/>
                <w:color w:val="auto"/>
                <w:sz w:val="22"/>
                <w:szCs w:val="20"/>
                <w:lang w:val="en-AU"/>
              </w:rPr>
              <w:t xml:space="preserve">Consider </w:t>
            </w:r>
            <w:r w:rsidRPr="00515E4C">
              <w:rPr>
                <w:rStyle w:val="InstructionalTextChar"/>
                <w:rFonts w:ascii="Franklin Gothic Book" w:hAnsi="Franklin Gothic Book"/>
                <w:b w:val="0"/>
                <w:iCs/>
                <w:color w:val="auto"/>
                <w:sz w:val="22"/>
                <w:szCs w:val="20"/>
                <w:lang w:val="en-AU"/>
              </w:rPr>
              <w:t xml:space="preserve">a single MBS item </w:t>
            </w:r>
            <w:r w:rsidRPr="00515E4C">
              <w:rPr>
                <w:rStyle w:val="InstructionalTextChar"/>
                <w:rFonts w:ascii="Franklin Gothic Book" w:hAnsi="Franklin Gothic Book"/>
                <w:b w:val="0"/>
                <w:bCs/>
                <w:iCs/>
                <w:color w:val="auto"/>
                <w:sz w:val="22"/>
                <w:szCs w:val="20"/>
              </w:rPr>
              <w:t>by</w:t>
            </w:r>
            <w:r w:rsidRPr="00515E4C">
              <w:rPr>
                <w:rStyle w:val="InstructionalTextChar"/>
                <w:rFonts w:ascii="Franklin Gothic Book" w:hAnsi="Franklin Gothic Book"/>
                <w:b w:val="0"/>
                <w:bCs/>
                <w:iCs/>
                <w:color w:val="auto"/>
                <w:sz w:val="22"/>
                <w:szCs w:val="20"/>
                <w:lang w:val="en-AU"/>
              </w:rPr>
              <w:t xml:space="preserve"> </w:t>
            </w:r>
            <w:r w:rsidRPr="00515E4C">
              <w:rPr>
                <w:rStyle w:val="InstructionalTextChar"/>
                <w:rFonts w:ascii="Franklin Gothic Book" w:hAnsi="Franklin Gothic Book"/>
                <w:b w:val="0"/>
                <w:iCs/>
                <w:color w:val="auto"/>
                <w:sz w:val="22"/>
                <w:szCs w:val="20"/>
                <w:lang w:val="en-AU"/>
              </w:rPr>
              <w:t xml:space="preserve">removing wording specifying testing at platinum resistance and testing at time of primary diagnosis, as this approach would allow for both reflexive testing at </w:t>
            </w:r>
            <w:r w:rsidRPr="00515E4C">
              <w:rPr>
                <w:rStyle w:val="InstructionalTextChar"/>
                <w:rFonts w:ascii="Franklin Gothic Book" w:hAnsi="Franklin Gothic Book"/>
                <w:b w:val="0"/>
                <w:bCs/>
                <w:iCs/>
                <w:color w:val="auto"/>
                <w:sz w:val="22"/>
                <w:szCs w:val="20"/>
              </w:rPr>
              <w:t>diagnosi</w:t>
            </w:r>
            <w:r w:rsidRPr="00515E4C">
              <w:rPr>
                <w:rStyle w:val="InstructionalTextChar"/>
                <w:rFonts w:ascii="Franklin Gothic Book" w:hAnsi="Franklin Gothic Book"/>
                <w:color w:val="auto"/>
                <w:sz w:val="22"/>
                <w:szCs w:val="20"/>
              </w:rPr>
              <w:t>s</w:t>
            </w:r>
            <w:r w:rsidRPr="00515E4C">
              <w:rPr>
                <w:rStyle w:val="InstructionalTextChar"/>
                <w:rFonts w:ascii="Franklin Gothic Book" w:hAnsi="Franklin Gothic Book"/>
                <w:b w:val="0"/>
                <w:iCs/>
                <w:color w:val="auto"/>
                <w:sz w:val="22"/>
                <w:szCs w:val="20"/>
                <w:lang w:val="en-AU"/>
              </w:rPr>
              <w:t xml:space="preserve"> and repeat testing post-treatment if required, particularly given the uncertainty around stability of FRα expression after treatment. </w:t>
            </w:r>
          </w:p>
          <w:p w14:paraId="4CBAAB8D" w14:textId="77777777" w:rsidR="00321DEB" w:rsidRPr="00515E4C" w:rsidRDefault="00321DEB" w:rsidP="00AE70BD">
            <w:pPr>
              <w:pStyle w:val="MainBodyBulletPoint"/>
              <w:numPr>
                <w:ilvl w:val="0"/>
                <w:numId w:val="17"/>
              </w:numPr>
              <w:jc w:val="both"/>
              <w:rPr>
                <w:rStyle w:val="InstructionalTextChar"/>
                <w:rFonts w:ascii="Franklin Gothic Book" w:hAnsi="Franklin Gothic Book"/>
                <w:b w:val="0"/>
                <w:iCs/>
                <w:color w:val="auto"/>
                <w:sz w:val="22"/>
                <w:szCs w:val="20"/>
                <w:lang w:val="en-AU"/>
              </w:rPr>
            </w:pPr>
            <w:r w:rsidRPr="00515E4C">
              <w:rPr>
                <w:rStyle w:val="InstructionalTextChar"/>
                <w:rFonts w:ascii="Franklin Gothic Book" w:hAnsi="Franklin Gothic Book"/>
                <w:b w:val="0"/>
                <w:iCs/>
                <w:color w:val="auto"/>
                <w:sz w:val="22"/>
                <w:szCs w:val="20"/>
                <w:lang w:val="en-AU"/>
              </w:rPr>
              <w:t>The proportion of non-serous ovarian cancers with high FRα expression is low, therefore excluding the term ‘serous’ in t</w:t>
            </w:r>
            <w:r w:rsidRPr="00515E4C">
              <w:rPr>
                <w:rStyle w:val="InstructionalTextChar"/>
                <w:rFonts w:ascii="Franklin Gothic Book" w:hAnsi="Franklin Gothic Book"/>
                <w:b w:val="0"/>
                <w:iCs/>
                <w:color w:val="auto"/>
                <w:sz w:val="22"/>
                <w:szCs w:val="20"/>
              </w:rPr>
              <w:t>he</w:t>
            </w:r>
            <w:r w:rsidRPr="00515E4C">
              <w:rPr>
                <w:rStyle w:val="InstructionalTextChar"/>
                <w:rFonts w:ascii="Franklin Gothic Book" w:hAnsi="Franklin Gothic Book"/>
                <w:iCs/>
                <w:sz w:val="22"/>
                <w:szCs w:val="20"/>
              </w:rPr>
              <w:t xml:space="preserve"> </w:t>
            </w:r>
            <w:r w:rsidRPr="00515E4C">
              <w:rPr>
                <w:rStyle w:val="InstructionalTextChar"/>
                <w:rFonts w:ascii="Franklin Gothic Book" w:hAnsi="Franklin Gothic Book"/>
                <w:b w:val="0"/>
                <w:iCs/>
                <w:color w:val="auto"/>
                <w:sz w:val="22"/>
                <w:szCs w:val="20"/>
                <w:lang w:val="en-AU"/>
              </w:rPr>
              <w:t>population description would likely have minimal impact and potentially future proof the MBS item descriptor. However, the ESCs advised that it would be preferable for the MBS test population to align with treatment eligibility for the PBS-recommended population</w:t>
            </w:r>
            <w:r w:rsidRPr="00515E4C">
              <w:rPr>
                <w:rFonts w:ascii="Franklin Gothic Book" w:hAnsi="Franklin Gothic Book"/>
                <w:b w:val="0"/>
                <w:iCs/>
                <w:sz w:val="22"/>
                <w:szCs w:val="20"/>
                <w:lang w:val="en-AU"/>
              </w:rPr>
              <w:t xml:space="preserve">.  </w:t>
            </w:r>
          </w:p>
          <w:p w14:paraId="30543171" w14:textId="77777777" w:rsidR="00321DEB" w:rsidRPr="00515E4C" w:rsidRDefault="00321DEB">
            <w:pPr>
              <w:pStyle w:val="MainBodyBulletPoint"/>
              <w:ind w:left="0" w:firstLine="0"/>
              <w:jc w:val="both"/>
              <w:rPr>
                <w:rFonts w:ascii="Franklin Gothic Book" w:hAnsi="Franklin Gothic Book"/>
                <w:iCs/>
                <w:sz w:val="22"/>
                <w:szCs w:val="20"/>
                <w:lang w:val="en-AU"/>
              </w:rPr>
            </w:pPr>
            <w:r w:rsidRPr="00515E4C">
              <w:rPr>
                <w:rFonts w:ascii="Franklin Gothic Book" w:hAnsi="Franklin Gothic Book"/>
                <w:sz w:val="22"/>
                <w:szCs w:val="20"/>
                <w:lang w:val="en-AU"/>
              </w:rPr>
              <w:t>Economic issues</w:t>
            </w:r>
          </w:p>
          <w:p w14:paraId="28F98123" w14:textId="77777777" w:rsidR="00321DEB" w:rsidRPr="00515E4C" w:rsidRDefault="00321DEB" w:rsidP="00AE70BD">
            <w:pPr>
              <w:pStyle w:val="MainBodyBulletPoint"/>
              <w:numPr>
                <w:ilvl w:val="0"/>
                <w:numId w:val="17"/>
              </w:numPr>
              <w:jc w:val="both"/>
              <w:rPr>
                <w:rFonts w:ascii="Franklin Gothic Book" w:hAnsi="Franklin Gothic Book"/>
                <w:b w:val="0"/>
                <w:iCs/>
                <w:sz w:val="22"/>
                <w:szCs w:val="20"/>
                <w:lang w:val="en-AU"/>
              </w:rPr>
            </w:pPr>
            <w:r w:rsidRPr="00515E4C">
              <w:rPr>
                <w:rFonts w:ascii="Franklin Gothic Book" w:hAnsi="Franklin Gothic Book"/>
                <w:b w:val="0"/>
                <w:iCs/>
                <w:sz w:val="22"/>
                <w:szCs w:val="20"/>
                <w:lang w:val="en-AU"/>
              </w:rPr>
              <w:t>The use of the model input population from the MIRASOL trial limited the ability to conduct a scenario analysis excluding the biomarker test (assessing the net clinical benefit of providing MIRV to platinum-resistant ovarian cancer (PROC) patients both with and without the biomarker). However, the submission could have used sub-group data from the FORWARD-I trial (presented as supportive evidence) to address this.</w:t>
            </w:r>
          </w:p>
          <w:p w14:paraId="06DBE154" w14:textId="77777777" w:rsidR="00321DEB" w:rsidRPr="00515E4C" w:rsidRDefault="00321DEB">
            <w:pPr>
              <w:pStyle w:val="MainBodyBulletPoint"/>
              <w:ind w:left="0" w:firstLine="0"/>
              <w:jc w:val="both"/>
              <w:rPr>
                <w:rFonts w:ascii="Franklin Gothic Book" w:hAnsi="Franklin Gothic Book"/>
                <w:sz w:val="22"/>
                <w:szCs w:val="20"/>
                <w:lang w:val="en-AU"/>
              </w:rPr>
            </w:pPr>
            <w:r w:rsidRPr="00515E4C">
              <w:rPr>
                <w:rFonts w:ascii="Franklin Gothic Book" w:hAnsi="Franklin Gothic Book"/>
                <w:sz w:val="22"/>
                <w:szCs w:val="20"/>
                <w:lang w:val="en-AU"/>
              </w:rPr>
              <w:t>Financial issues</w:t>
            </w:r>
          </w:p>
          <w:p w14:paraId="3C5FFD2D" w14:textId="011C77D7" w:rsidR="00321DEB" w:rsidRPr="00515E4C" w:rsidRDefault="00321DEB" w:rsidP="007A66C8">
            <w:pPr>
              <w:pStyle w:val="MainBodyBulletPoint"/>
              <w:numPr>
                <w:ilvl w:val="0"/>
                <w:numId w:val="17"/>
              </w:numPr>
              <w:jc w:val="both"/>
              <w:rPr>
                <w:rFonts w:ascii="Franklin Gothic Book" w:hAnsi="Franklin Gothic Book"/>
                <w:b w:val="0"/>
                <w:iCs/>
                <w:sz w:val="22"/>
                <w:szCs w:val="20"/>
                <w:lang w:val="en-AU"/>
              </w:rPr>
            </w:pPr>
            <w:r w:rsidRPr="00515E4C">
              <w:rPr>
                <w:rFonts w:ascii="Franklin Gothic Book" w:hAnsi="Franklin Gothic Book"/>
                <w:b w:val="0"/>
                <w:iCs/>
                <w:sz w:val="22"/>
                <w:szCs w:val="20"/>
                <w:lang w:val="en-AU"/>
              </w:rPr>
              <w:t>The submission considered two contexts for FRα expression testing: At primary diagnosis (base case) and at development of platinum-resistance (scenario analysis). The methods used by the submission for the scenario of testing at platinum resistance may have double counted incident patients or underestimated prevalent patients. As such, the predicted number of patients tested at platinum resistance (and associated costs to the MBS</w:t>
            </w:r>
            <w:r w:rsidR="3E2B5DA3" w:rsidRPr="007A66C8">
              <w:rPr>
                <w:rFonts w:ascii="Franklin Gothic Book" w:hAnsi="Franklin Gothic Book"/>
                <w:b w:val="0"/>
                <w:iCs/>
                <w:sz w:val="22"/>
                <w:szCs w:val="20"/>
                <w:lang w:val="en-AU"/>
              </w:rPr>
              <w:t xml:space="preserve"> </w:t>
            </w:r>
            <w:r w:rsidRPr="00515E4C">
              <w:rPr>
                <w:rFonts w:ascii="Franklin Gothic Book" w:hAnsi="Franklin Gothic Book"/>
                <w:b w:val="0"/>
                <w:iCs/>
                <w:sz w:val="22"/>
                <w:szCs w:val="20"/>
                <w:lang w:val="en-AU"/>
              </w:rPr>
              <w:t>is uncertain.</w:t>
            </w:r>
          </w:p>
          <w:p w14:paraId="61DD60A0" w14:textId="77777777" w:rsidR="00321DEB" w:rsidRPr="00515E4C" w:rsidRDefault="00321DEB">
            <w:pPr>
              <w:pStyle w:val="MainBodyBulletPoint"/>
              <w:ind w:left="0" w:firstLine="0"/>
              <w:jc w:val="both"/>
              <w:rPr>
                <w:rFonts w:ascii="Franklin Gothic Book" w:hAnsi="Franklin Gothic Book"/>
                <w:bCs/>
                <w:sz w:val="22"/>
                <w:szCs w:val="20"/>
              </w:rPr>
            </w:pPr>
            <w:r w:rsidRPr="00515E4C">
              <w:rPr>
                <w:rFonts w:ascii="Franklin Gothic Book" w:hAnsi="Franklin Gothic Book"/>
                <w:sz w:val="22"/>
                <w:szCs w:val="20"/>
              </w:rPr>
              <w:t>Other issues</w:t>
            </w:r>
          </w:p>
          <w:p w14:paraId="04D0C401" w14:textId="0B62F127" w:rsidR="00321DEB" w:rsidRPr="00515E4C" w:rsidRDefault="00321DEB" w:rsidP="00AE70BD">
            <w:pPr>
              <w:pStyle w:val="MainBodyBulletPoint"/>
              <w:numPr>
                <w:ilvl w:val="0"/>
                <w:numId w:val="17"/>
              </w:numPr>
              <w:jc w:val="both"/>
              <w:rPr>
                <w:rStyle w:val="InstructionalTextChar"/>
                <w:rFonts w:ascii="Franklin Gothic Book" w:hAnsi="Franklin Gothic Book"/>
                <w:iCs/>
                <w:color w:val="auto"/>
                <w:sz w:val="22"/>
                <w:szCs w:val="20"/>
                <w:lang w:val="en-AU"/>
              </w:rPr>
            </w:pPr>
            <w:r w:rsidRPr="00515E4C">
              <w:rPr>
                <w:rStyle w:val="InstructionalTextChar"/>
                <w:rFonts w:ascii="Franklin Gothic Book" w:hAnsi="Franklin Gothic Book"/>
                <w:b w:val="0"/>
                <w:bCs/>
                <w:color w:val="auto"/>
                <w:sz w:val="22"/>
                <w:szCs w:val="20"/>
              </w:rPr>
              <w:t>T</w:t>
            </w:r>
            <w:r w:rsidRPr="00515E4C">
              <w:rPr>
                <w:rStyle w:val="InstructionalTextChar"/>
                <w:rFonts w:ascii="Franklin Gothic Book" w:hAnsi="Franklin Gothic Book"/>
                <w:b w:val="0"/>
                <w:iCs/>
                <w:color w:val="auto"/>
                <w:sz w:val="22"/>
                <w:szCs w:val="20"/>
                <w:lang w:val="en-AU"/>
              </w:rPr>
              <w:t xml:space="preserve">he proposed MBS fee of $125.00 </w:t>
            </w:r>
            <w:r w:rsidRPr="00515E4C">
              <w:rPr>
                <w:rStyle w:val="InstructionalTextChar"/>
                <w:rFonts w:ascii="Franklin Gothic Book" w:hAnsi="Franklin Gothic Book"/>
                <w:b w:val="0"/>
                <w:bCs/>
                <w:color w:val="auto"/>
                <w:sz w:val="22"/>
                <w:szCs w:val="20"/>
              </w:rPr>
              <w:t>i</w:t>
            </w:r>
            <w:r w:rsidRPr="00515E4C">
              <w:rPr>
                <w:rStyle w:val="InstructionalTextChar"/>
                <w:rFonts w:ascii="Franklin Gothic Book" w:hAnsi="Franklin Gothic Book"/>
                <w:b w:val="0"/>
                <w:iCs/>
                <w:color w:val="auto"/>
                <w:sz w:val="22"/>
                <w:szCs w:val="20"/>
                <w:lang w:val="en-AU"/>
              </w:rPr>
              <w:t>s high and a fee of $</w:t>
            </w:r>
            <w:r w:rsidRPr="00AF61A6">
              <w:rPr>
                <w:rStyle w:val="InstructionalTextChar"/>
                <w:rFonts w:ascii="Franklin Gothic Book" w:hAnsi="Franklin Gothic Book"/>
                <w:b w:val="0"/>
                <w:color w:val="auto"/>
                <w:sz w:val="22"/>
                <w:szCs w:val="20"/>
                <w:lang w:val="en-AU"/>
              </w:rPr>
              <w:t>112.00</w:t>
            </w:r>
            <w:r w:rsidRPr="00515E4C">
              <w:rPr>
                <w:rStyle w:val="InstructionalTextChar"/>
                <w:rFonts w:ascii="Franklin Gothic Book" w:hAnsi="Franklin Gothic Book"/>
                <w:b w:val="0"/>
                <w:iCs/>
                <w:color w:val="auto"/>
                <w:sz w:val="22"/>
                <w:szCs w:val="20"/>
                <w:lang w:val="en-AU"/>
              </w:rPr>
              <w:t xml:space="preserve"> would align with the fee for comparable tests on the MBS</w:t>
            </w:r>
            <w:r w:rsidRPr="00515E4C">
              <w:rPr>
                <w:rStyle w:val="InstructionalTextChar"/>
                <w:rFonts w:ascii="Franklin Gothic Book" w:hAnsi="Franklin Gothic Book"/>
                <w:color w:val="auto"/>
                <w:sz w:val="22"/>
                <w:szCs w:val="20"/>
              </w:rPr>
              <w:t>.</w:t>
            </w:r>
          </w:p>
          <w:p w14:paraId="57FC00BA" w14:textId="77777777" w:rsidR="00321DEB" w:rsidRPr="00515E4C" w:rsidRDefault="00321DEB" w:rsidP="00AE70BD">
            <w:pPr>
              <w:pStyle w:val="MainBodyBulletPoint"/>
              <w:numPr>
                <w:ilvl w:val="0"/>
                <w:numId w:val="17"/>
              </w:numPr>
              <w:jc w:val="both"/>
              <w:rPr>
                <w:rStyle w:val="InstructionalTextChar"/>
                <w:rFonts w:ascii="Franklin Gothic Book" w:hAnsi="Franklin Gothic Book"/>
                <w:b w:val="0"/>
                <w:bCs/>
                <w:iCs/>
                <w:color w:val="auto"/>
                <w:sz w:val="22"/>
                <w:szCs w:val="20"/>
                <w:lang w:val="en-AU"/>
              </w:rPr>
            </w:pPr>
            <w:r w:rsidRPr="00515E4C">
              <w:rPr>
                <w:rStyle w:val="InstructionalTextChar"/>
                <w:rFonts w:ascii="Franklin Gothic Book" w:hAnsi="Franklin Gothic Book"/>
                <w:b w:val="0"/>
                <w:bCs/>
                <w:iCs/>
                <w:color w:val="auto"/>
                <w:sz w:val="22"/>
                <w:szCs w:val="20"/>
                <w:lang w:val="en-AU"/>
              </w:rPr>
              <w:t xml:space="preserve">FRα expression by IHC is not a routine biomarker test offered by pathology laboratories in Australia for EOC patients. Laboratories do not have the necessary National Association of Testing Authorities (NATA) accreditation and a QAP for IHC testing of FRα expression has not yet been implemented by the Royal College of Pathologists Australasia (RCPA) (April 2025). </w:t>
            </w:r>
            <w:r w:rsidRPr="00515E4C">
              <w:rPr>
                <w:rStyle w:val="InstructionalTextChar"/>
                <w:rFonts w:ascii="Franklin Gothic Book" w:hAnsi="Franklin Gothic Book"/>
                <w:b w:val="0"/>
                <w:bCs/>
                <w:color w:val="auto"/>
                <w:sz w:val="22"/>
                <w:szCs w:val="20"/>
              </w:rPr>
              <w:t>N</w:t>
            </w:r>
            <w:r w:rsidRPr="00515E4C">
              <w:rPr>
                <w:rStyle w:val="InstructionalTextChar"/>
                <w:rFonts w:ascii="Franklin Gothic Book" w:hAnsi="Franklin Gothic Book"/>
                <w:b w:val="0"/>
                <w:bCs/>
                <w:iCs/>
                <w:color w:val="auto"/>
                <w:sz w:val="22"/>
                <w:szCs w:val="20"/>
                <w:lang w:val="en-AU"/>
              </w:rPr>
              <w:t>o External Quality Assurance Program (EQAP) for FOLR1 testing is available through internationally accredited bodies such as EMQN, UK NEQAS, US CLIA or CAP.</w:t>
            </w:r>
          </w:p>
          <w:p w14:paraId="79B4B968" w14:textId="77777777" w:rsidR="00321DEB" w:rsidRPr="00515E4C" w:rsidRDefault="00321DEB" w:rsidP="00AE70BD">
            <w:pPr>
              <w:pStyle w:val="MainBodyBulletPoint"/>
              <w:numPr>
                <w:ilvl w:val="0"/>
                <w:numId w:val="17"/>
              </w:numPr>
              <w:jc w:val="both"/>
              <w:rPr>
                <w:rFonts w:ascii="Franklin Gothic Book" w:hAnsi="Franklin Gothic Book"/>
                <w:b w:val="0"/>
                <w:bCs/>
                <w:iCs/>
                <w:sz w:val="22"/>
                <w:szCs w:val="20"/>
                <w:lang w:val="en-AU"/>
              </w:rPr>
            </w:pPr>
            <w:r w:rsidRPr="00515E4C">
              <w:rPr>
                <w:rStyle w:val="InstructionalTextChar"/>
                <w:rFonts w:ascii="Franklin Gothic Book" w:hAnsi="Franklin Gothic Book"/>
                <w:b w:val="0"/>
                <w:color w:val="auto"/>
                <w:sz w:val="22"/>
                <w:szCs w:val="20"/>
                <w:lang w:val="en-AU"/>
              </w:rPr>
              <w:t>The proposed test, Ventana FOLR1 assay is not listed on the Australian Register of Therapeutic Goods</w:t>
            </w:r>
            <w:r w:rsidRPr="00515E4C">
              <w:rPr>
                <w:rStyle w:val="InstructionalTextChar"/>
                <w:rFonts w:ascii="Franklin Gothic Book" w:hAnsi="Franklin Gothic Book"/>
                <w:b w:val="0"/>
                <w:iCs/>
                <w:color w:val="auto"/>
                <w:sz w:val="22"/>
                <w:szCs w:val="20"/>
                <w:lang w:val="en-AU"/>
              </w:rPr>
              <w:t xml:space="preserve"> (ARTG).</w:t>
            </w:r>
            <w:r w:rsidRPr="00515E4C">
              <w:rPr>
                <w:rStyle w:val="InstructionalTextChar"/>
                <w:rFonts w:ascii="Franklin Gothic Book" w:hAnsi="Franklin Gothic Book"/>
                <w:sz w:val="22"/>
                <w:szCs w:val="20"/>
              </w:rPr>
              <w:t xml:space="preserve"> </w:t>
            </w:r>
            <w:r w:rsidRPr="00515E4C">
              <w:rPr>
                <w:rStyle w:val="InstructionalTextChar"/>
                <w:rFonts w:ascii="Franklin Gothic Book" w:hAnsi="Franklin Gothic Book"/>
                <w:b w:val="0"/>
                <w:bCs/>
                <w:color w:val="auto"/>
                <w:sz w:val="22"/>
                <w:szCs w:val="20"/>
              </w:rPr>
              <w:t>The applicant updated in their pre-ESC response that the assessment of the</w:t>
            </w:r>
            <w:r w:rsidRPr="00515E4C">
              <w:rPr>
                <w:rStyle w:val="InstructionalTextChar"/>
                <w:rFonts w:ascii="Franklin Gothic Book" w:hAnsi="Franklin Gothic Book"/>
                <w:bCs/>
                <w:sz w:val="22"/>
                <w:szCs w:val="20"/>
              </w:rPr>
              <w:t xml:space="preserve"> </w:t>
            </w:r>
            <w:r w:rsidRPr="00515E4C">
              <w:rPr>
                <w:rStyle w:val="InstructionalTextChar"/>
                <w:rFonts w:ascii="Franklin Gothic Book" w:hAnsi="Franklin Gothic Book"/>
                <w:b w:val="0"/>
                <w:bCs/>
                <w:color w:val="auto"/>
                <w:sz w:val="22"/>
                <w:szCs w:val="20"/>
              </w:rPr>
              <w:t xml:space="preserve">Ventana FOLR1 RxDx assay was under a mutual stop clock with </w:t>
            </w:r>
            <w:r w:rsidRPr="00515E4C">
              <w:rPr>
                <w:rStyle w:val="InstructionalTextChar"/>
                <w:rFonts w:ascii="Franklin Gothic Book" w:hAnsi="Franklin Gothic Book"/>
                <w:b w:val="0"/>
                <w:bCs/>
                <w:iCs/>
                <w:color w:val="auto"/>
                <w:sz w:val="22"/>
                <w:szCs w:val="20"/>
              </w:rPr>
              <w:t>Therapeutic Goods Administration (</w:t>
            </w:r>
            <w:r w:rsidRPr="00515E4C">
              <w:rPr>
                <w:rStyle w:val="InstructionalTextChar"/>
                <w:rFonts w:ascii="Franklin Gothic Book" w:hAnsi="Franklin Gothic Book"/>
                <w:b w:val="0"/>
                <w:bCs/>
                <w:color w:val="auto"/>
                <w:sz w:val="22"/>
                <w:szCs w:val="20"/>
              </w:rPr>
              <w:t>TGA</w:t>
            </w:r>
            <w:r w:rsidRPr="00515E4C">
              <w:rPr>
                <w:rStyle w:val="InstructionalTextChar"/>
                <w:rFonts w:ascii="Franklin Gothic Book" w:hAnsi="Franklin Gothic Book"/>
                <w:b w:val="0"/>
                <w:bCs/>
                <w:iCs/>
                <w:color w:val="auto"/>
                <w:sz w:val="22"/>
                <w:szCs w:val="20"/>
              </w:rPr>
              <w:t>)</w:t>
            </w:r>
            <w:r w:rsidRPr="00515E4C">
              <w:rPr>
                <w:rStyle w:val="InstructionalTextChar"/>
                <w:rFonts w:ascii="Franklin Gothic Book" w:hAnsi="Franklin Gothic Book"/>
                <w:b w:val="0"/>
                <w:bCs/>
                <w:color w:val="auto"/>
                <w:sz w:val="22"/>
                <w:szCs w:val="20"/>
              </w:rPr>
              <w:t xml:space="preserve"> until assessment of MIRV was closer to a decision by the TGA, expected in </w:t>
            </w:r>
            <w:r w:rsidRPr="00515E4C">
              <w:rPr>
                <w:rStyle w:val="InstructionalTextChar"/>
                <w:rFonts w:ascii="Franklin Gothic Book" w:hAnsi="Franklin Gothic Book"/>
                <w:b w:val="0"/>
                <w:color w:val="auto"/>
                <w:sz w:val="22"/>
                <w:szCs w:val="20"/>
              </w:rPr>
              <w:t>November 2025</w:t>
            </w:r>
            <w:r w:rsidRPr="00515E4C">
              <w:rPr>
                <w:rStyle w:val="InstructionalTextChar"/>
                <w:rFonts w:ascii="Franklin Gothic Book" w:hAnsi="Franklin Gothic Book"/>
                <w:b w:val="0"/>
                <w:bCs/>
                <w:color w:val="auto"/>
                <w:sz w:val="22"/>
                <w:szCs w:val="20"/>
              </w:rPr>
              <w:t xml:space="preserve">. </w:t>
            </w:r>
            <w:r w:rsidRPr="00515E4C">
              <w:rPr>
                <w:rStyle w:val="InstructionalTextChar"/>
                <w:rFonts w:ascii="Franklin Gothic Book" w:hAnsi="Franklin Gothic Book"/>
                <w:b w:val="0"/>
                <w:bCs/>
                <w:iCs/>
                <w:color w:val="auto"/>
                <w:sz w:val="22"/>
                <w:szCs w:val="20"/>
                <w:lang w:val="en-AU"/>
              </w:rPr>
              <w:t xml:space="preserve"> </w:t>
            </w:r>
          </w:p>
        </w:tc>
      </w:tr>
    </w:tbl>
    <w:p w14:paraId="251FA265" w14:textId="77777777" w:rsidR="00321DEB" w:rsidRPr="00FF2438" w:rsidRDefault="00321DEB" w:rsidP="00061A8D">
      <w:pPr>
        <w:rPr>
          <w:rFonts w:ascii="Franklin Gothic Book" w:hAnsi="Franklin Gothic Book"/>
          <w:szCs w:val="24"/>
        </w:rPr>
      </w:pPr>
      <w:r w:rsidRPr="00061A8D">
        <w:rPr>
          <w:rFonts w:ascii="Franklin Gothic Book" w:hAnsi="Franklin Gothic Book"/>
          <w:b/>
          <w:bCs/>
        </w:rPr>
        <w:t>ESCs discussion</w:t>
      </w:r>
    </w:p>
    <w:p w14:paraId="49A5C034"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Joint MSAC Evaluation Subcommittee/PBAC Economics Sub Committee (hereafter referred to as the ESCs) noted that this integrated codependent application sought Medicare Benefits Schedule (MBS) listing of an immunohistochemistry (IHC) test of folate receptor alpha (FRα) in patients with platinum resistant ovarian cancer (PROC) to determine eligibility for treatment with Pharmaceutical Benefits Scheme (PBS) subsidised mirvetuximab soravtansine (MIRV).</w:t>
      </w:r>
    </w:p>
    <w:p w14:paraId="76CB579D"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lastRenderedPageBreak/>
        <w:t xml:space="preserve">The ESCs noted and welcomed public consultation feedback from 2 organisations. The ESCs noted feedback was supportive of the test. The ESCs noted feedback from Rare Cancers Australia raised that the ability to identify suitable treatments based on FRα status provides patients with a greater sense of agency and clearer, more personalised treatment pathways. The ESCs noted Ovarian Cancer Australia stressed the burden of platinum-resistant cancer on patients and that testing would enable access to MIRV, reducing reliance on chemotherapy, and supporting efficient resource use. The ESCs further noted comments from Ovarian Cancer Australia that without access to new therapies, patients rely on clinical trials, self-funding costly tests and medications, or enduring multiple lines of chemotherapy with significant side effects and limited benefit. Ovarian Cancer Australia also raised the importance of timely testing at appropriate treatment stages to avoid missed opportunities, noting that tumour testing at recurrence is not yet standard practice. </w:t>
      </w:r>
    </w:p>
    <w:p w14:paraId="71ED223C"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that the commercial VENTANA FOLR1 (FOLR1-2.1) RxDx Assay</w:t>
      </w:r>
      <w:r w:rsidRPr="00FF2438" w:rsidDel="007A1609">
        <w:rPr>
          <w:rFonts w:ascii="Franklin Gothic Book" w:hAnsi="Franklin Gothic Book"/>
          <w:sz w:val="22"/>
        </w:rPr>
        <w:t xml:space="preserve"> </w:t>
      </w:r>
      <w:r w:rsidRPr="00FF2438">
        <w:rPr>
          <w:rFonts w:ascii="Franklin Gothic Book" w:hAnsi="Franklin Gothic Book"/>
          <w:sz w:val="22"/>
        </w:rPr>
        <w:t xml:space="preserve">had received regulatory approval from the U.S. Food and Drug Administration (FDA) and CE (Conformité Européene, or European Conformity) marking in the European Union. However, it has not yet been approved by the Therapeutic Goods Administration (TGA) in Australia or listed on the Australian Register of Therapeutic Goods (ARTG). The ESCs further noted that the assessment of Ventana FOLR1 RxDx assay was under a mutual stop clock with TGA until assessment of MIRV was closer to a decision by the TGA and the consideration of the test will be in parallel with the decision of MIRV. The ESCs noted that at the time of consideration, no External Quality Assurance Program (EQAP) for Ventana FOLR1 testing was available through international programs such as the European Molecular Genetics Quality Network (EMQN), United Kingdom National External Quality Assessment Service (UK NEQAS), United States Clinical Laboratory Improvement Amendments (US CLIA) or College of American Pathologists (CAP). Furthermore, the ESCs noted that no diagnostic laboratories in Australia are currently offering Ventana FOLR1 testing. The ESCs acknowledged the applicant’s pre-ESC response, which provided a rationale for the use of a globally approved platform (Ventana FOLR1 RxDx) for FRα IHC testing. Additionally, the ESCs noted the applicant stated that it was liaising with the Royal College of Pathologists of Australasia (RCPA) to establish a Quality Assurance Program (QAP). </w:t>
      </w:r>
    </w:p>
    <w:p w14:paraId="31474FE8" w14:textId="4C450716"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the population, intervention, comparator, outcomes (PICO) and the clinical management algorithm. The ESCs noted that key trials excluded patients with non-serous histology and platinum-refractory disease (progression at &lt;3 months). The ESCs noted the proportion of non-serous ovarian cancers with high FR</w:t>
      </w:r>
      <w:r w:rsidRPr="00FF2438">
        <w:rPr>
          <w:rFonts w:ascii="Franklin Gothic Book" w:hAnsi="Franklin Gothic Book"/>
          <w:sz w:val="22"/>
          <w:lang w:val="el-GR"/>
        </w:rPr>
        <w:t>α</w:t>
      </w:r>
      <w:r w:rsidRPr="00FF2438">
        <w:rPr>
          <w:rFonts w:ascii="Franklin Gothic Book" w:hAnsi="Franklin Gothic Book"/>
          <w:sz w:val="22"/>
        </w:rPr>
        <w:t xml:space="preserve"> expression is low, therefore excluding the term ‘serous’ in the population description would likely have minimal impact and would potentially future proof the MBS item descriptor. However, the ESCs also emphasised that the codependent FR</w:t>
      </w:r>
      <w:r w:rsidRPr="00FF2438">
        <w:rPr>
          <w:rFonts w:ascii="Franklin Gothic Book" w:hAnsi="Franklin Gothic Book" w:cstheme="minorHAnsi"/>
          <w:sz w:val="22"/>
        </w:rPr>
        <w:t>α</w:t>
      </w:r>
      <w:r w:rsidRPr="00FF2438">
        <w:rPr>
          <w:rFonts w:ascii="Franklin Gothic Book" w:hAnsi="Franklin Gothic Book"/>
          <w:sz w:val="22"/>
        </w:rPr>
        <w:t xml:space="preserve"> IHC test should identify patients most likely to benefit from accessing the relevant treatment on the PBS. Therefore, the ESCs advised that it would be preferable for the MBS test population to align with treatment eligibility for the PBS-recommended population. </w:t>
      </w:r>
    </w:p>
    <w:p w14:paraId="17D157B7" w14:textId="60DC8EBD" w:rsidR="00321DEB" w:rsidRPr="00FF2438" w:rsidRDefault="00321DEB" w:rsidP="00321DEB">
      <w:pPr>
        <w:rPr>
          <w:rFonts w:ascii="Franklin Gothic Book" w:hAnsi="Franklin Gothic Book"/>
          <w:sz w:val="22"/>
        </w:rPr>
      </w:pPr>
      <w:r w:rsidRPr="00FF2438">
        <w:rPr>
          <w:rFonts w:ascii="Franklin Gothic Book" w:hAnsi="Franklin Gothic Book"/>
          <w:sz w:val="22"/>
        </w:rPr>
        <w:t>The ESCs considered that the testing should not be limited to the platinum resistance stage because the ESCs considered FR</w:t>
      </w:r>
      <w:r w:rsidRPr="00FF2438">
        <w:rPr>
          <w:rFonts w:ascii="Franklin Gothic Book" w:hAnsi="Franklin Gothic Book" w:cstheme="minorHAnsi"/>
          <w:sz w:val="22"/>
        </w:rPr>
        <w:t>α</w:t>
      </w:r>
      <w:r w:rsidRPr="00FF2438">
        <w:rPr>
          <w:rFonts w:ascii="Franklin Gothic Book" w:hAnsi="Franklin Gothic Book"/>
          <w:sz w:val="22"/>
        </w:rPr>
        <w:t xml:space="preserve"> expression appeared to remain stable. The ESCs </w:t>
      </w:r>
      <w:r w:rsidRPr="00FF2438" w:rsidDel="00C81DDB">
        <w:rPr>
          <w:rFonts w:ascii="Franklin Gothic Book" w:hAnsi="Franklin Gothic Book"/>
          <w:sz w:val="22"/>
        </w:rPr>
        <w:t>noted</w:t>
      </w:r>
      <w:r w:rsidR="00C81DDB" w:rsidRPr="00FF2438">
        <w:rPr>
          <w:rFonts w:ascii="Franklin Gothic Book" w:hAnsi="Franklin Gothic Book"/>
          <w:sz w:val="22"/>
        </w:rPr>
        <w:t xml:space="preserve"> </w:t>
      </w:r>
      <w:r w:rsidR="00C81DDB" w:rsidRPr="00FF2438" w:rsidDel="00A11CAA">
        <w:rPr>
          <w:rFonts w:ascii="Franklin Gothic Book" w:hAnsi="Franklin Gothic Book"/>
          <w:sz w:val="22"/>
        </w:rPr>
        <w:t>platinum</w:t>
      </w:r>
      <w:r w:rsidRPr="00FF2438" w:rsidDel="00A11CAA">
        <w:rPr>
          <w:rFonts w:ascii="Franklin Gothic Book" w:hAnsi="Franklin Gothic Book"/>
          <w:sz w:val="22"/>
        </w:rPr>
        <w:t xml:space="preserve"> resistance</w:t>
      </w:r>
      <w:r w:rsidRPr="00FF2438">
        <w:rPr>
          <w:rFonts w:ascii="Franklin Gothic Book" w:hAnsi="Franklin Gothic Book"/>
          <w:sz w:val="22"/>
        </w:rPr>
        <w:t xml:space="preserve"> </w:t>
      </w:r>
      <w:r w:rsidRPr="00FF2438" w:rsidDel="007A4B70">
        <w:rPr>
          <w:rFonts w:ascii="Franklin Gothic Book" w:hAnsi="Franklin Gothic Book"/>
          <w:sz w:val="22"/>
        </w:rPr>
        <w:t xml:space="preserve">would be </w:t>
      </w:r>
      <w:r w:rsidRPr="00FF2438">
        <w:rPr>
          <w:rFonts w:ascii="Franklin Gothic Book" w:hAnsi="Franklin Gothic Book"/>
          <w:sz w:val="22"/>
        </w:rPr>
        <w:t>included in the PBS restriction for the drug. The ESCs agreed the MBS item descriptor should be restricted to be requested by specialist or consultant physicians and that it should be pathologist determinable. The ESCs suggested considering a single MBS item descriptor (</w:t>
      </w:r>
      <w:r w:rsidR="006E5CF2">
        <w:rPr>
          <w:rFonts w:ascii="Franklin Gothic Book" w:hAnsi="Franklin Gothic Book"/>
          <w:sz w:val="22"/>
        </w:rPr>
        <w:fldChar w:fldCharType="begin"/>
      </w:r>
      <w:r w:rsidR="006E5CF2">
        <w:rPr>
          <w:rFonts w:ascii="Franklin Gothic Book" w:hAnsi="Franklin Gothic Book"/>
          <w:sz w:val="22"/>
        </w:rPr>
        <w:instrText xml:space="preserve"> REF _Ref201751278 \h  \* MERGEFORMAT </w:instrText>
      </w:r>
      <w:r w:rsidR="006E5CF2">
        <w:rPr>
          <w:rFonts w:ascii="Franklin Gothic Book" w:hAnsi="Franklin Gothic Book"/>
          <w:sz w:val="22"/>
        </w:rPr>
      </w:r>
      <w:r w:rsidR="006E5CF2">
        <w:rPr>
          <w:rFonts w:ascii="Franklin Gothic Book" w:hAnsi="Franklin Gothic Book"/>
          <w:sz w:val="22"/>
        </w:rPr>
        <w:fldChar w:fldCharType="separate"/>
      </w:r>
      <w:r w:rsidR="006E5CF2" w:rsidRPr="006E5CF2">
        <w:rPr>
          <w:rFonts w:ascii="Franklin Gothic Book" w:hAnsi="Franklin Gothic Book"/>
          <w:sz w:val="22"/>
        </w:rPr>
        <w:t>Table 30</w:t>
      </w:r>
      <w:r w:rsidR="006E5CF2">
        <w:rPr>
          <w:rFonts w:ascii="Franklin Gothic Book" w:hAnsi="Franklin Gothic Book"/>
          <w:sz w:val="22"/>
        </w:rPr>
        <w:fldChar w:fldCharType="end"/>
      </w:r>
      <w:r w:rsidRPr="00FF2438" w:rsidDel="00286D2F">
        <w:rPr>
          <w:rFonts w:ascii="Franklin Gothic Book" w:hAnsi="Franklin Gothic Book"/>
          <w:sz w:val="22"/>
        </w:rPr>
        <w:fldChar w:fldCharType="begin"/>
      </w:r>
      <w:r w:rsidRPr="00FF2438" w:rsidDel="00286D2F">
        <w:rPr>
          <w:rFonts w:ascii="Franklin Gothic Book" w:hAnsi="Franklin Gothic Book"/>
          <w:sz w:val="22"/>
        </w:rPr>
        <w:fldChar w:fldCharType="separate"/>
      </w:r>
      <w:r w:rsidR="0068665D" w:rsidRPr="0068665D" w:rsidDel="00286D2F">
        <w:rPr>
          <w:rFonts w:ascii="Franklin Gothic Book" w:hAnsi="Franklin Gothic Book"/>
          <w:sz w:val="22"/>
        </w:rPr>
        <w:t xml:space="preserve">Table </w:t>
      </w:r>
      <w:r w:rsidR="000A692D" w:rsidRPr="000A692D">
        <w:rPr>
          <w:rFonts w:ascii="Franklin Gothic Book" w:hAnsi="Franklin Gothic Book"/>
          <w:sz w:val="22"/>
        </w:rPr>
        <w:t>30</w:t>
      </w:r>
      <w:r w:rsidRPr="00FF2438" w:rsidDel="00286D2F">
        <w:rPr>
          <w:rFonts w:ascii="Franklin Gothic Book" w:hAnsi="Franklin Gothic Book"/>
          <w:sz w:val="22"/>
        </w:rPr>
        <w:fldChar w:fldCharType="end"/>
      </w:r>
      <w:r w:rsidRPr="00FF2438">
        <w:rPr>
          <w:rFonts w:ascii="Franklin Gothic Book" w:hAnsi="Franklin Gothic Book"/>
          <w:sz w:val="22"/>
        </w:rPr>
        <w:t>) by removing wording specifying testing at platinum resistance and testing at time of primary diagnosis, as this approach would allow for both reflexive testing at diagnosis and repeat testing post-treatment if clinically necessary, particularly given the uncertainty around the stability of FRα expression after treatment. The ESCs also noted that delaying testing until resistance or non-response could significantly delay access to treatment for high-risk patients.</w:t>
      </w:r>
    </w:p>
    <w:p w14:paraId="551ED88D"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considered that the proposed MBS fee of $125.00 was high and a fee of $</w:t>
      </w:r>
      <w:r w:rsidRPr="00AF61A6">
        <w:rPr>
          <w:rFonts w:ascii="Franklin Gothic Book" w:hAnsi="Franklin Gothic Book"/>
          <w:sz w:val="22"/>
        </w:rPr>
        <w:t>112.00</w:t>
      </w:r>
      <w:r w:rsidRPr="00FF2438">
        <w:rPr>
          <w:rFonts w:ascii="Franklin Gothic Book" w:hAnsi="Franklin Gothic Book"/>
          <w:sz w:val="22"/>
        </w:rPr>
        <w:t xml:space="preserve"> would be appropriate as it would align with the fee for comparable tests on the MBS that use a similar methodology in processing, staining and scoring of such specimens. </w:t>
      </w:r>
    </w:p>
    <w:p w14:paraId="1B668798"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 xml:space="preserve">The ESCs noted that the Ventana platform is commonly used in Australian laboratories and it demonstrated robust analytical performance including high sensitivity, specificity, and </w:t>
      </w:r>
      <w:r w:rsidRPr="00FF2438">
        <w:rPr>
          <w:rFonts w:ascii="Franklin Gothic Book" w:hAnsi="Franklin Gothic Book"/>
          <w:sz w:val="22"/>
        </w:rPr>
        <w:lastRenderedPageBreak/>
        <w:t xml:space="preserve">reproducibility across reagent lots, instruments, days, laboratory sites, and readers if the test is carried out by pathologists trained in semi-quantitative IHC interpretation. The ESCs noted that the inherent subjectivity of semi-quantitative IHC remains a limitation. The ESCs noted good concordance of the test with positive predictive value (PPV) of 96.4% (submission) or 85.1% (assessor adjusted) and negative predictive value (NPV) of 97.92% (submission) or 97.15% (assessor adjusted). The ESCs considered the test failure rate at 1.6% was low. </w:t>
      </w:r>
    </w:p>
    <w:p w14:paraId="476C9B0D" w14:textId="70BE4738" w:rsidR="00321DEB" w:rsidRPr="00FF2438" w:rsidRDefault="00321DEB" w:rsidP="00321DEB">
      <w:pPr>
        <w:rPr>
          <w:rFonts w:ascii="Franklin Gothic Book" w:hAnsi="Franklin Gothic Book"/>
          <w:sz w:val="22"/>
        </w:rPr>
      </w:pPr>
      <w:r w:rsidRPr="00FF2438">
        <w:rPr>
          <w:rFonts w:ascii="Franklin Gothic Book" w:hAnsi="Franklin Gothic Book"/>
          <w:sz w:val="22"/>
        </w:rPr>
        <w:t>The ESCs acknowledged the VENTANA FOLR1 (FOLR1-2.1) RxDx Assay Instruction for Use (IFU)</w:t>
      </w:r>
      <w:r w:rsidRPr="00FF2438">
        <w:rPr>
          <w:rStyle w:val="FootnoteReference"/>
          <w:rFonts w:ascii="Franklin Gothic Book" w:hAnsi="Franklin Gothic Book"/>
          <w:sz w:val="22"/>
        </w:rPr>
        <w:footnoteReference w:id="12"/>
      </w:r>
      <w:r w:rsidRPr="00FF2438">
        <w:rPr>
          <w:rFonts w:ascii="Franklin Gothic Book" w:hAnsi="Franklin Gothic Book"/>
          <w:sz w:val="22"/>
        </w:rPr>
        <w:t xml:space="preserve"> recommends re-reading of the slide by a second pathologist and agreed </w:t>
      </w:r>
      <w:r w:rsidRPr="00FF2438" w:rsidDel="00C81DDB">
        <w:rPr>
          <w:rFonts w:ascii="Franklin Gothic Book" w:hAnsi="Franklin Gothic Book"/>
          <w:sz w:val="22"/>
        </w:rPr>
        <w:t xml:space="preserve">with </w:t>
      </w:r>
      <w:r w:rsidR="00C81DDB" w:rsidRPr="00FF2438">
        <w:rPr>
          <w:rFonts w:ascii="Franklin Gothic Book" w:hAnsi="Franklin Gothic Book"/>
          <w:sz w:val="22"/>
        </w:rPr>
        <w:t>the</w:t>
      </w:r>
      <w:r w:rsidRPr="00FF2438">
        <w:rPr>
          <w:rFonts w:ascii="Franklin Gothic Book" w:hAnsi="Franklin Gothic Book"/>
          <w:sz w:val="22"/>
        </w:rPr>
        <w:t xml:space="preserve"> applicant’s pre-ESC response that borderline results should be reviewed by a second pathologist. However, the ESCs suggested a local validation is required to assess inter-laboratory reproducibility, concordance, and overall reliability of the FRα IHC assay within Australian pathology laboratories. </w:t>
      </w:r>
    </w:p>
    <w:p w14:paraId="2C850A7B"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limited evidence in demonstrating the stability of FRα in archived formalin-fixed paraffin-embedded (FFPE) tissue blocks or tissue microarrays (TMAs) and the stability of FRα expression in disease progression or treatment. However, the ESCs noted recently reported data at a conference</w:t>
      </w:r>
      <w:r w:rsidRPr="00FF2438">
        <w:rPr>
          <w:rStyle w:val="FootnoteReference"/>
          <w:rFonts w:ascii="Franklin Gothic Book" w:hAnsi="Franklin Gothic Book"/>
          <w:sz w:val="22"/>
        </w:rPr>
        <w:footnoteReference w:id="13"/>
      </w:r>
      <w:r w:rsidRPr="00FF2438">
        <w:rPr>
          <w:rFonts w:ascii="Franklin Gothic Book" w:hAnsi="Franklin Gothic Book"/>
          <w:sz w:val="22"/>
        </w:rPr>
        <w:t xml:space="preserve"> showed high consistency (86%) of FRα IHC status across biopsies taken at different times. The ESCs suggested f</w:t>
      </w:r>
      <w:r w:rsidRPr="00FF2438">
        <w:rPr>
          <w:rFonts w:ascii="Franklin Gothic Book" w:hAnsi="Franklin Gothic Book"/>
          <w:color w:val="000000" w:themeColor="text1"/>
          <w:sz w:val="22"/>
        </w:rPr>
        <w:t>urther research was needed to determine the reliability of archival tissue versus fresh biopsies for FRα IHC testing.</w:t>
      </w:r>
    </w:p>
    <w:p w14:paraId="06EFD279"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that the cut-off threshold for high FRα expression (≥75%, PS2+) was selected based on trial data which showed minimal or no response to MIRV in patients with low or medium FRα expression. The ESCs acknowledged the applicant’s selection of threshold for high FRα expression was supported by multiple clinical trials, including MIRASOL, SORAYA, and FORWARD-I. However, the ESCs considered there was a high risk of bias in the selection of the binary cut-off threshold due to a retrospective design, subjectivity inherent in IHC testing, and lack of blinding in the trial. The ESCs therefore</w:t>
      </w:r>
      <w:r w:rsidRPr="00FF2438" w:rsidDel="001138EE">
        <w:rPr>
          <w:rFonts w:ascii="Franklin Gothic Book" w:hAnsi="Franklin Gothic Book"/>
          <w:sz w:val="22"/>
        </w:rPr>
        <w:t xml:space="preserve"> </w:t>
      </w:r>
      <w:r w:rsidRPr="00FF2438">
        <w:rPr>
          <w:rFonts w:ascii="Franklin Gothic Book" w:hAnsi="Franklin Gothic Book"/>
          <w:sz w:val="22"/>
        </w:rPr>
        <w:t>considered future studies may explore alternative thresholds and continuous scoring models to refine patient selection.</w:t>
      </w:r>
    </w:p>
    <w:p w14:paraId="396A31DE"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considered that there was no consistent evidence to support FRα expression as a prognostic marker for survival outcomes (overall survival [OS] or progress-free survival [PFS]). Therefore, FRα expression alone is not considered to have prognostic value. The ESCs acknowledged the applicant’s claim of codependency and biomarker validity. The applicant stated that there is a strong biological rationale and clinical trial evidence supports FRα as a predictive biomarker for MIRV efficacy. The ESCs noted the applicant also argued that although FRα is not a variant-based biomarker, its expression-based predictive value is well-supported by the evidence.</w:t>
      </w:r>
    </w:p>
    <w:p w14:paraId="3A07D72F"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the clinical claims that FRα expression status testing and MIRV results in superior health outcomes compared to no testing and standard of care therapy (non-platinum chemotherapy). The ESCs noted the submission presented direct evidence from the MIRASOL trial comparing MIRV to investigator’s choice chemotherapy (ICC) in the target population—patients with FRα-high expression epithelial ovarian cancer (EOC) who are platinum-resistant. In addition, the submission used a linked evidence approach to support the use of the MIRV and FRα-high expression test combination.  This approach included additional studies of the biomarker and test performance.</w:t>
      </w:r>
    </w:p>
    <w:p w14:paraId="59D6EF21"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Regarding the clinical effectiveness, the ESCs acknowledged the predictive value of FRα expression testing, noting it is associated with clinically meaningful treatment benefits from MIRV treatment in patients with a high FRα expression (≥75%, PS2+). The ESCs agreed that positive health outcomes in FRα-high patients are expected but noted</w:t>
      </w:r>
      <w:r w:rsidRPr="00FF2438" w:rsidDel="004918AE">
        <w:rPr>
          <w:rFonts w:ascii="Franklin Gothic Book" w:hAnsi="Franklin Gothic Book"/>
          <w:sz w:val="22"/>
        </w:rPr>
        <w:t xml:space="preserve"> </w:t>
      </w:r>
      <w:r w:rsidRPr="00FF2438">
        <w:rPr>
          <w:rFonts w:ascii="Franklin Gothic Book" w:hAnsi="Franklin Gothic Book"/>
          <w:sz w:val="22"/>
        </w:rPr>
        <w:t xml:space="preserve">patients with medium FRα expression had worse outcomes on MIRV compared with ICC, indicating no benefit in this subgroup. </w:t>
      </w:r>
      <w:r w:rsidRPr="00FF2438">
        <w:rPr>
          <w:rFonts w:ascii="Franklin Gothic Book" w:hAnsi="Franklin Gothic Book"/>
          <w:color w:val="000000" w:themeColor="text1"/>
          <w:sz w:val="22"/>
        </w:rPr>
        <w:t>The ESCs further noted the submission did not present evidence for FR</w:t>
      </w:r>
      <w:r w:rsidRPr="00FF2438">
        <w:rPr>
          <w:rFonts w:ascii="Franklin Gothic Book" w:hAnsi="Franklin Gothic Book" w:cstheme="minorHAnsi"/>
          <w:color w:val="000000" w:themeColor="text1"/>
          <w:sz w:val="22"/>
        </w:rPr>
        <w:t>α</w:t>
      </w:r>
      <w:r w:rsidRPr="00FF2438">
        <w:rPr>
          <w:rFonts w:ascii="Franklin Gothic Book" w:hAnsi="Franklin Gothic Book"/>
          <w:color w:val="000000" w:themeColor="text1"/>
          <w:sz w:val="22"/>
        </w:rPr>
        <w:t xml:space="preserve"> negative patients.</w:t>
      </w:r>
    </w:p>
    <w:p w14:paraId="25A0A2A7"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lastRenderedPageBreak/>
        <w:t>The ESCs considered the evidence was broadly applicable to the intended target population and clinical setting in Australia. This was especially relevant for patients with platinum-resistant high-grade serous epithelial ovarian cancer (EOC) exhibiting a high FRα expression, aligning with the proposed use of the FR</w:t>
      </w:r>
      <w:r w:rsidRPr="00FF2438">
        <w:rPr>
          <w:rFonts w:ascii="Franklin Gothic Book" w:hAnsi="Franklin Gothic Book" w:cstheme="minorHAnsi"/>
          <w:sz w:val="22"/>
        </w:rPr>
        <w:t>α</w:t>
      </w:r>
      <w:r w:rsidRPr="00FF2438">
        <w:rPr>
          <w:rFonts w:ascii="Franklin Gothic Book" w:hAnsi="Franklin Gothic Book"/>
          <w:sz w:val="22"/>
        </w:rPr>
        <w:t xml:space="preserve"> test and MIRV treatment.</w:t>
      </w:r>
    </w:p>
    <w:p w14:paraId="1E8C9618"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 xml:space="preserve">The ESCs noted, at the time, FRα testing was not performed in standard clinical practice. While FRα IHC testing did not pose any additional safety concerns, a positive test result would bring a change in clinical management for a patient by introducing an additional treatment option for patients who experience resistance or no-response to existing therapies. </w:t>
      </w:r>
    </w:p>
    <w:p w14:paraId="1266DDC1"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Regarding the safety of the test, the ESCs noted that FRα IHC testing is considered low risk, particularly when performed reflexively at diagnosis or using archived diagnostic tissue. The ESCs noted that testing reflexively at diagnosis will reduce treatment delays.</w:t>
      </w:r>
      <w:r w:rsidRPr="00FF2438" w:rsidDel="00B94634">
        <w:rPr>
          <w:rFonts w:ascii="Franklin Gothic Book" w:hAnsi="Franklin Gothic Book"/>
          <w:sz w:val="22"/>
        </w:rPr>
        <w:t xml:space="preserve"> </w:t>
      </w:r>
      <w:r w:rsidRPr="00FF2438">
        <w:rPr>
          <w:rFonts w:ascii="Franklin Gothic Book" w:hAnsi="Franklin Gothic Book"/>
          <w:sz w:val="22"/>
        </w:rPr>
        <w:t xml:space="preserve">The ESCs agreed with the applicant’s pre-ESC response that the inherent risks of rebiopsy procedures are manageable and most patients would not require a rebiopsy. </w:t>
      </w:r>
    </w:p>
    <w:p w14:paraId="0F55F016"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that the economic model did not incorporate diagnostic test performance parameters beyond the inclusion of testing costs. Therefore, the negative clinical and economic outcomes of false positive (FP) or false negative (FN) results were not assessed in the model. Furthermore, the ESCs noted that, based on the evaluation’s estimates testing 100 patients in the Australian target population would result in approximately 15FN and 3FP. The ESCs considered that patients receiving false positive results may be exposed to MIRV treatment without deriving benefit and may potentially experience worse outcomes than if they had received standard non-platinum chemotherapy.</w:t>
      </w:r>
      <w:r w:rsidRPr="00FF2438">
        <w:rPr>
          <w:rFonts w:ascii="Franklin Gothic Book" w:hAnsi="Franklin Gothic Book" w:cs="Segoe UI"/>
          <w:color w:val="424242"/>
          <w:sz w:val="22"/>
          <w:shd w:val="clear" w:color="auto" w:fill="FAFAFA"/>
        </w:rPr>
        <w:t xml:space="preserve"> </w:t>
      </w:r>
      <w:r w:rsidRPr="00FF2438">
        <w:rPr>
          <w:rFonts w:ascii="Franklin Gothic Book" w:hAnsi="Franklin Gothic Book"/>
          <w:sz w:val="22"/>
        </w:rPr>
        <w:t xml:space="preserve">The ESCs considered the applicant’s pre-ESC response regarding the inaccuracies associated with false negatives and false positives were already captured within the clinical trials was appropriate. However, the ESCs highlighted that although the targeted population in the Australian setting is the same as in the clinical trial, test accuracy in the Australian setting might be different as no local validation data were available.  </w:t>
      </w:r>
    </w:p>
    <w:p w14:paraId="6EE82D98"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 xml:space="preserve">The ESCs noted the use of the MIRASOL trial population in the economic evaluation limited the ability to model a scenario analysis to include the biomarker negative population for assessing the net clinical benefit of providing MIRV to platinum-resistant ovarian cancer (PROC) patients both with and without the biomarker. The </w:t>
      </w:r>
      <w:r w:rsidRPr="00FF2438" w:rsidDel="00D10FAF">
        <w:rPr>
          <w:rFonts w:ascii="Franklin Gothic Book" w:hAnsi="Franklin Gothic Book"/>
          <w:sz w:val="22"/>
        </w:rPr>
        <w:t>ESCs</w:t>
      </w:r>
      <w:r w:rsidRPr="00FF2438">
        <w:rPr>
          <w:rFonts w:ascii="Franklin Gothic Book" w:hAnsi="Franklin Gothic Book"/>
          <w:sz w:val="22"/>
        </w:rPr>
        <w:t xml:space="preserve"> agreed with the commentary that the submission could have used sub-group data from the FORWARD-I trial as supportive evidence to address this issue</w:t>
      </w:r>
      <w:r w:rsidRPr="00FF2438" w:rsidDel="008E1307">
        <w:rPr>
          <w:rFonts w:ascii="Franklin Gothic Book" w:hAnsi="Franklin Gothic Book"/>
          <w:sz w:val="22"/>
        </w:rPr>
        <w:t>.</w:t>
      </w:r>
      <w:r w:rsidRPr="00FF2438">
        <w:rPr>
          <w:rFonts w:ascii="Franklin Gothic Book" w:hAnsi="Franklin Gothic Book"/>
          <w:sz w:val="22"/>
        </w:rPr>
        <w:t xml:space="preserve"> </w:t>
      </w:r>
    </w:p>
    <w:p w14:paraId="5C2A037F"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 xml:space="preserve">The ESCs noted that the economic model included costs related to two scenarios for FRα expression testing, one at primary diagnosis of high grade ovarian, fallopian tube or primary peritoneal cancer (base case), and one at platinum resistance (sensitivity analysis). Test costs were based on the number of tests required to identify one patient with high FRα expression and the </w:t>
      </w:r>
      <w:r w:rsidRPr="00FF2438">
        <w:rPr>
          <w:rFonts w:ascii="Franklin Gothic Book" w:eastAsia="Calibri" w:hAnsi="Franklin Gothic Book" w:cs="Calibri"/>
          <w:sz w:val="22"/>
        </w:rPr>
        <w:t>applicant</w:t>
      </w:r>
      <w:r w:rsidRPr="00FF2438">
        <w:rPr>
          <w:rFonts w:ascii="Franklin Gothic Book" w:hAnsi="Franklin Gothic Book"/>
          <w:sz w:val="22"/>
        </w:rPr>
        <w:t xml:space="preserve"> proposed testing fee of $125. </w:t>
      </w:r>
    </w:p>
    <w:p w14:paraId="52D512E6"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The ESCs noted that the additional cost of archival block retrieval ($85, MBS item 72860</w:t>
      </w:r>
      <w:r w:rsidRPr="00FF2438">
        <w:rPr>
          <w:rStyle w:val="FootnoteReference"/>
          <w:rFonts w:ascii="Franklin Gothic Book" w:hAnsi="Franklin Gothic Book"/>
          <w:sz w:val="22"/>
        </w:rPr>
        <w:footnoteReference w:id="14"/>
      </w:r>
      <w:r w:rsidRPr="00FF2438">
        <w:rPr>
          <w:rFonts w:ascii="Franklin Gothic Book" w:hAnsi="Franklin Gothic Book"/>
          <w:sz w:val="22"/>
        </w:rPr>
        <w:t xml:space="preserve">) and rebiopsy (average cost of $50.51, based on an estimated 10% of patients receiving a rebiopsy) were applied per patient for the testing scenario at platinum resistance. Although these additional costs had minimal impact (&lt;1%) on the incremental cost-effectiveness ratio (ICER), there was a slight increase in overall financial costs due to the additional MBS items required to support testing. </w:t>
      </w:r>
    </w:p>
    <w:p w14:paraId="5342F3BF" w14:textId="77777777" w:rsidR="00321DEB" w:rsidRPr="00FF2438" w:rsidRDefault="00321DEB" w:rsidP="00321DEB">
      <w:pPr>
        <w:rPr>
          <w:rFonts w:ascii="Franklin Gothic Book" w:hAnsi="Franklin Gothic Book"/>
          <w:sz w:val="22"/>
        </w:rPr>
      </w:pPr>
      <w:r w:rsidRPr="00FF2438">
        <w:rPr>
          <w:rFonts w:ascii="Franklin Gothic Book" w:hAnsi="Franklin Gothic Book"/>
          <w:sz w:val="22"/>
        </w:rPr>
        <w:t xml:space="preserve">The ESCs noted the overall net costs to the health budget for FRα expression testing at diagnosis and at platinum resistance. The ESCs noted that the </w:t>
      </w:r>
      <w:r w:rsidRPr="00FF2438">
        <w:rPr>
          <w:rFonts w:ascii="Franklin Gothic Book" w:hAnsi="Franklin Gothic Book"/>
          <w:sz w:val="22"/>
          <w:lang w:val="en-GB"/>
        </w:rPr>
        <w:t>methods used by the submission resulted in an assumption that 138.6% of incident high grade epithelial ovarian cancer cases were expected to progress to subsequent treatments. However, the ESCs considered t</w:t>
      </w:r>
      <w:r w:rsidRPr="00FF2438">
        <w:rPr>
          <w:rFonts w:ascii="Franklin Gothic Book" w:hAnsi="Franklin Gothic Book"/>
          <w:sz w:val="22"/>
        </w:rPr>
        <w:t xml:space="preserve">his approach was unreasonable as it may have double counted the incidence patients or underestimated the prevalent patients. Furthermore, the ESCs noted that the estimated proportions of patients </w:t>
      </w:r>
      <w:r w:rsidRPr="00FF2438">
        <w:rPr>
          <w:rFonts w:ascii="Franklin Gothic Book" w:hAnsi="Franklin Gothic Book"/>
          <w:sz w:val="22"/>
        </w:rPr>
        <w:lastRenderedPageBreak/>
        <w:t>developing platinum resistance may include patients who are platinum refractory. Since there was no clinical evidence presented for the benefit of MIRV for this patient population, the inclusion of these patients would impose a risk of leakage. Therefore, the ESCs considered the predicted number of patients tested at platinum resistance was uncertain leading to uncertainty around the financial impact of the test.</w:t>
      </w:r>
    </w:p>
    <w:p w14:paraId="4A8DB955" w14:textId="313F140F" w:rsidR="00321DEB" w:rsidRDefault="005E37CF" w:rsidP="00321DEB">
      <w:pPr>
        <w:widowControl w:val="0"/>
        <w:spacing w:before="0" w:after="0"/>
        <w:jc w:val="left"/>
        <w:rPr>
          <w:rFonts w:ascii="Arial Narrow" w:hAnsi="Arial Narrow"/>
          <w:b/>
          <w:bCs/>
          <w:sz w:val="20"/>
          <w:szCs w:val="18"/>
        </w:rPr>
      </w:pPr>
      <w:bookmarkStart w:id="64" w:name="_Ref201751278"/>
      <w:r>
        <w:rPr>
          <w:rFonts w:ascii="Arial Narrow" w:hAnsi="Arial Narrow"/>
          <w:b/>
          <w:bCs/>
          <w:sz w:val="20"/>
          <w:szCs w:val="18"/>
        </w:rPr>
        <w:t>Table</w:t>
      </w:r>
      <w:r w:rsidR="00321DEB" w:rsidRPr="006F45C9">
        <w:rPr>
          <w:rFonts w:ascii="Arial Narrow" w:hAnsi="Arial Narrow"/>
          <w:b/>
          <w:bCs/>
          <w:sz w:val="20"/>
          <w:szCs w:val="18"/>
        </w:rPr>
        <w:t xml:space="preserve"> </w:t>
      </w:r>
      <w:r>
        <w:rPr>
          <w:rFonts w:ascii="Arial Narrow" w:hAnsi="Arial Narrow"/>
          <w:b/>
          <w:bCs/>
          <w:sz w:val="20"/>
          <w:szCs w:val="18"/>
        </w:rPr>
        <w:fldChar w:fldCharType="begin"/>
      </w:r>
      <w:r>
        <w:rPr>
          <w:rFonts w:ascii="Arial Narrow" w:hAnsi="Arial Narrow"/>
          <w:b/>
          <w:bCs/>
          <w:sz w:val="20"/>
          <w:szCs w:val="18"/>
        </w:rPr>
        <w:instrText xml:space="preserve"> SEQ Table \* ARABIC </w:instrText>
      </w:r>
      <w:r>
        <w:rPr>
          <w:rFonts w:ascii="Arial Narrow" w:hAnsi="Arial Narrow"/>
          <w:b/>
          <w:bCs/>
          <w:sz w:val="20"/>
          <w:szCs w:val="18"/>
        </w:rPr>
        <w:fldChar w:fldCharType="separate"/>
      </w:r>
      <w:r w:rsidR="00862476">
        <w:rPr>
          <w:rFonts w:ascii="Arial Narrow" w:hAnsi="Arial Narrow"/>
          <w:b/>
          <w:bCs/>
          <w:noProof/>
          <w:sz w:val="20"/>
          <w:szCs w:val="18"/>
        </w:rPr>
        <w:t>30</w:t>
      </w:r>
      <w:r>
        <w:rPr>
          <w:rFonts w:ascii="Arial Narrow" w:hAnsi="Arial Narrow"/>
          <w:b/>
          <w:bCs/>
          <w:sz w:val="20"/>
          <w:szCs w:val="18"/>
        </w:rPr>
        <w:fldChar w:fldCharType="end"/>
      </w:r>
      <w:bookmarkEnd w:id="64"/>
      <w:r w:rsidR="00321DEB">
        <w:rPr>
          <w:rFonts w:ascii="Arial Narrow" w:hAnsi="Arial Narrow"/>
          <w:b/>
          <w:bCs/>
          <w:sz w:val="20"/>
          <w:szCs w:val="18"/>
        </w:rPr>
        <w:t xml:space="preserve"> MBS item descriptor suggested by the Evaluation Sub-Committees (ESCs)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21DEB" w:rsidRPr="00F10893" w14:paraId="72033E78" w14:textId="77777777">
        <w:trPr>
          <w:trHeight w:val="351"/>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CEA4" w14:textId="77777777" w:rsidR="00321DEB" w:rsidRPr="00F10893" w:rsidRDefault="00321DEB">
            <w:pPr>
              <w:widowControl w:val="0"/>
              <w:spacing w:before="0" w:after="0"/>
              <w:jc w:val="left"/>
              <w:rPr>
                <w:rFonts w:ascii="Arial Narrow" w:hAnsi="Arial Narrow"/>
                <w:sz w:val="20"/>
              </w:rPr>
            </w:pPr>
            <w:r w:rsidRPr="00F10893">
              <w:rPr>
                <w:rFonts w:ascii="Arial Narrow" w:hAnsi="Arial Narrow"/>
                <w:sz w:val="20"/>
              </w:rPr>
              <w:t>Category 6 – Pathology Services</w:t>
            </w:r>
          </w:p>
        </w:tc>
      </w:tr>
      <w:tr w:rsidR="00321DEB" w:rsidRPr="00F10893" w14:paraId="1C565D6F" w14:textId="7777777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7A15" w14:textId="77777777" w:rsidR="00321DEB" w:rsidRPr="00F10893" w:rsidRDefault="00321DEB">
            <w:pPr>
              <w:widowControl w:val="0"/>
              <w:spacing w:before="0" w:after="0"/>
              <w:jc w:val="left"/>
              <w:rPr>
                <w:rFonts w:ascii="Arial Narrow" w:hAnsi="Arial Narrow"/>
                <w:sz w:val="20"/>
              </w:rPr>
            </w:pPr>
            <w:r w:rsidRPr="00F10893">
              <w:rPr>
                <w:rFonts w:ascii="Arial Narrow" w:hAnsi="Arial Narrow"/>
                <w:sz w:val="20"/>
              </w:rPr>
              <w:t>MBS item XXXX</w:t>
            </w:r>
          </w:p>
          <w:p w14:paraId="38D82E1A" w14:textId="77777777" w:rsidR="00321DEB" w:rsidRDefault="00321DEB">
            <w:pPr>
              <w:widowControl w:val="0"/>
              <w:spacing w:before="0" w:after="0"/>
              <w:jc w:val="left"/>
              <w:rPr>
                <w:rFonts w:ascii="Arial Narrow" w:hAnsi="Arial Narrow"/>
                <w:sz w:val="20"/>
                <w:lang w:val="en-US"/>
              </w:rPr>
            </w:pPr>
          </w:p>
          <w:p w14:paraId="586D774F" w14:textId="77777777" w:rsidR="00321DEB" w:rsidRPr="00684C04" w:rsidRDefault="00321DEB">
            <w:pPr>
              <w:widowControl w:val="0"/>
              <w:spacing w:before="0" w:after="0"/>
              <w:jc w:val="left"/>
              <w:rPr>
                <w:rFonts w:ascii="Arial Narrow" w:hAnsi="Arial Narrow"/>
                <w:sz w:val="20"/>
              </w:rPr>
            </w:pPr>
            <w:r w:rsidRPr="00684C04">
              <w:rPr>
                <w:rFonts w:ascii="Arial Narrow" w:hAnsi="Arial Narrow"/>
                <w:sz w:val="20"/>
                <w:lang w:val="en-US"/>
              </w:rPr>
              <w:t>A test of tumour tissue using immunohistochemistry for the detection of membrane FRα tumour expression status, requested by a specialist or consultant physician,</w:t>
            </w:r>
            <w:r w:rsidRPr="00684C04">
              <w:rPr>
                <w:rFonts w:ascii="Arial Narrow" w:hAnsi="Arial Narrow"/>
                <w:b/>
                <w:bCs/>
                <w:sz w:val="20"/>
                <w:lang w:val="en-US"/>
              </w:rPr>
              <w:t xml:space="preserve"> </w:t>
            </w:r>
            <w:r w:rsidRPr="006F45C9">
              <w:rPr>
                <w:rFonts w:ascii="Arial Narrow" w:hAnsi="Arial Narrow"/>
                <w:sz w:val="20"/>
                <w:lang w:val="en-US"/>
              </w:rPr>
              <w:t>if the test is</w:t>
            </w:r>
            <w:r w:rsidRPr="00684C04">
              <w:rPr>
                <w:rFonts w:ascii="Arial Narrow" w:hAnsi="Arial Narrow"/>
                <w:b/>
                <w:bCs/>
                <w:sz w:val="20"/>
                <w:lang w:val="en-US"/>
              </w:rPr>
              <w:t>:</w:t>
            </w:r>
          </w:p>
          <w:p w14:paraId="7A86EB29" w14:textId="77777777" w:rsidR="00321DEB" w:rsidRPr="00684C04" w:rsidRDefault="00321DEB" w:rsidP="00AE70BD">
            <w:pPr>
              <w:widowControl w:val="0"/>
              <w:numPr>
                <w:ilvl w:val="0"/>
                <w:numId w:val="16"/>
              </w:numPr>
              <w:spacing w:before="0" w:after="0"/>
              <w:jc w:val="left"/>
              <w:rPr>
                <w:rFonts w:ascii="Arial Narrow" w:hAnsi="Arial Narrow"/>
                <w:sz w:val="20"/>
              </w:rPr>
            </w:pPr>
            <w:r w:rsidRPr="00684C04">
              <w:rPr>
                <w:rFonts w:ascii="Arial Narrow" w:hAnsi="Arial Narrow"/>
                <w:sz w:val="20"/>
                <w:lang w:val="en-US"/>
              </w:rPr>
              <w:t>in a patient with</w:t>
            </w:r>
            <w:r w:rsidRPr="00684C04">
              <w:rPr>
                <w:rFonts w:ascii="Arial Narrow" w:hAnsi="Arial Narrow"/>
                <w:b/>
                <w:bCs/>
                <w:sz w:val="20"/>
                <w:lang w:val="en-US"/>
              </w:rPr>
              <w:t xml:space="preserve"> </w:t>
            </w:r>
            <w:r w:rsidRPr="00684C04">
              <w:rPr>
                <w:rFonts w:ascii="Arial Narrow" w:hAnsi="Arial Narrow"/>
                <w:sz w:val="20"/>
                <w:lang w:val="en-US"/>
              </w:rPr>
              <w:t xml:space="preserve">high-grade </w:t>
            </w:r>
            <w:r w:rsidRPr="00A12D02">
              <w:rPr>
                <w:rFonts w:ascii="Arial Narrow" w:hAnsi="Arial Narrow"/>
                <w:sz w:val="20"/>
                <w:lang w:val="en-US"/>
              </w:rPr>
              <w:t>serous</w:t>
            </w:r>
            <w:r>
              <w:rPr>
                <w:rFonts w:ascii="Arial Narrow" w:hAnsi="Arial Narrow"/>
                <w:sz w:val="20"/>
                <w:lang w:val="en-US"/>
              </w:rPr>
              <w:t xml:space="preserve"> </w:t>
            </w:r>
            <w:r w:rsidRPr="00684C04">
              <w:rPr>
                <w:rFonts w:ascii="Arial Narrow" w:hAnsi="Arial Narrow"/>
                <w:sz w:val="20"/>
                <w:lang w:val="en-US"/>
              </w:rPr>
              <w:t>epithelial ovarian, fallopian tube or primary peritoneal, high-grade endometrioid, or undifferentiated epithelial ovarian cancer</w:t>
            </w:r>
            <w:r w:rsidRPr="00684C04">
              <w:rPr>
                <w:rFonts w:ascii="Arial Narrow" w:hAnsi="Arial Narrow"/>
                <w:b/>
                <w:bCs/>
                <w:sz w:val="20"/>
                <w:lang w:val="en-US"/>
              </w:rPr>
              <w:t xml:space="preserve">; </w:t>
            </w:r>
            <w:r w:rsidRPr="006F45C9">
              <w:rPr>
                <w:rFonts w:ascii="Arial Narrow" w:hAnsi="Arial Narrow"/>
                <w:sz w:val="20"/>
                <w:lang w:val="en-US"/>
              </w:rPr>
              <w:t>and</w:t>
            </w:r>
          </w:p>
          <w:p w14:paraId="24F87F74" w14:textId="77777777" w:rsidR="00321DEB" w:rsidRPr="006F45C9" w:rsidRDefault="00321DEB" w:rsidP="00AE70BD">
            <w:pPr>
              <w:widowControl w:val="0"/>
              <w:numPr>
                <w:ilvl w:val="0"/>
                <w:numId w:val="16"/>
              </w:numPr>
              <w:spacing w:before="0" w:after="0"/>
              <w:jc w:val="left"/>
              <w:rPr>
                <w:rFonts w:ascii="Arial Narrow" w:hAnsi="Arial Narrow"/>
                <w:sz w:val="20"/>
              </w:rPr>
            </w:pPr>
            <w:r w:rsidRPr="006F45C9">
              <w:rPr>
                <w:rFonts w:ascii="Arial Narrow" w:hAnsi="Arial Narrow"/>
                <w:sz w:val="20"/>
                <w:lang w:val="en-US"/>
              </w:rPr>
              <w:t xml:space="preserve">to determine eligibility </w:t>
            </w:r>
            <w:r w:rsidRPr="00684C04">
              <w:rPr>
                <w:rFonts w:ascii="Arial Narrow" w:hAnsi="Arial Narrow"/>
                <w:sz w:val="20"/>
                <w:lang w:val="en-US"/>
              </w:rPr>
              <w:t>for a relevant treatment under the Pharmaceutical Benefits Scheme.</w:t>
            </w:r>
          </w:p>
          <w:p w14:paraId="6C3E4CD8" w14:textId="77777777" w:rsidR="00321DEB" w:rsidRPr="00684C04" w:rsidRDefault="00321DEB">
            <w:pPr>
              <w:widowControl w:val="0"/>
              <w:spacing w:before="0" w:after="0"/>
              <w:ind w:left="720"/>
              <w:jc w:val="left"/>
              <w:rPr>
                <w:rFonts w:ascii="Arial Narrow" w:hAnsi="Arial Narrow"/>
                <w:sz w:val="20"/>
              </w:rPr>
            </w:pPr>
          </w:p>
          <w:p w14:paraId="2D16F427" w14:textId="77777777" w:rsidR="00321DEB" w:rsidRPr="00684C04" w:rsidRDefault="00321DEB">
            <w:pPr>
              <w:widowControl w:val="0"/>
              <w:spacing w:before="0" w:after="0"/>
              <w:jc w:val="left"/>
              <w:rPr>
                <w:rFonts w:ascii="Arial Narrow" w:hAnsi="Arial Narrow"/>
                <w:sz w:val="20"/>
              </w:rPr>
            </w:pPr>
            <w:r w:rsidRPr="00684C04">
              <w:rPr>
                <w:rFonts w:ascii="Arial Narrow" w:hAnsi="Arial Narrow"/>
                <w:sz w:val="20"/>
                <w:lang w:val="en-US"/>
              </w:rPr>
              <w:t>(See PN.1.2 of explanatory notes to this Category)</w:t>
            </w:r>
          </w:p>
          <w:p w14:paraId="64A15568" w14:textId="77777777" w:rsidR="00321DEB" w:rsidRPr="00F10893" w:rsidRDefault="00321DEB">
            <w:pPr>
              <w:widowControl w:val="0"/>
              <w:spacing w:before="0" w:after="0"/>
              <w:jc w:val="left"/>
              <w:rPr>
                <w:rFonts w:ascii="Arial Narrow" w:hAnsi="Arial Narrow"/>
                <w:sz w:val="20"/>
                <w:szCs w:val="20"/>
                <w:lang w:eastAsia="ja-JP"/>
              </w:rPr>
            </w:pPr>
          </w:p>
        </w:tc>
      </w:tr>
      <w:tr w:rsidR="00321DEB" w:rsidRPr="00F10893" w14:paraId="39C8F805" w14:textId="7777777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B3F52" w14:textId="77777777" w:rsidR="00321DEB" w:rsidRPr="00F10893" w:rsidRDefault="00321DEB">
            <w:pPr>
              <w:widowControl w:val="0"/>
              <w:spacing w:before="0" w:after="0"/>
              <w:jc w:val="left"/>
              <w:rPr>
                <w:rFonts w:ascii="Arial Narrow" w:hAnsi="Arial Narrow"/>
                <w:sz w:val="20"/>
                <w:szCs w:val="20"/>
              </w:rPr>
            </w:pPr>
            <w:r w:rsidRPr="00F10893">
              <w:rPr>
                <w:rFonts w:ascii="Arial Narrow" w:hAnsi="Arial Narrow"/>
                <w:sz w:val="20"/>
              </w:rPr>
              <w:t>Fee: $</w:t>
            </w:r>
            <w:r w:rsidRPr="00AF61A6">
              <w:rPr>
                <w:rFonts w:ascii="Arial Narrow" w:hAnsi="Arial Narrow"/>
                <w:sz w:val="20"/>
              </w:rPr>
              <w:t>112.00</w:t>
            </w:r>
            <w:r w:rsidRPr="00F10893">
              <w:rPr>
                <w:rFonts w:ascii="Arial Narrow" w:hAnsi="Arial Narrow"/>
                <w:sz w:val="20"/>
              </w:rPr>
              <w:t xml:space="preserve"> Benefit: 75% = $</w:t>
            </w:r>
            <w:r w:rsidRPr="00AF61A6">
              <w:rPr>
                <w:rFonts w:ascii="Arial Narrow" w:hAnsi="Arial Narrow"/>
                <w:sz w:val="20"/>
              </w:rPr>
              <w:t>84.00</w:t>
            </w:r>
            <w:r w:rsidRPr="00F10893">
              <w:rPr>
                <w:rFonts w:ascii="Arial Narrow" w:hAnsi="Arial Narrow"/>
                <w:sz w:val="20"/>
              </w:rPr>
              <w:t>; 85% = $</w:t>
            </w:r>
            <w:r w:rsidRPr="00AF61A6">
              <w:rPr>
                <w:rFonts w:ascii="Arial Narrow" w:hAnsi="Arial Narrow"/>
                <w:sz w:val="20"/>
              </w:rPr>
              <w:t>95.20</w:t>
            </w:r>
          </w:p>
        </w:tc>
      </w:tr>
    </w:tbl>
    <w:p w14:paraId="6DDF9960" w14:textId="77777777" w:rsidR="00321DEB" w:rsidRDefault="00321DEB" w:rsidP="00321DEB">
      <w:pPr>
        <w:spacing w:before="0"/>
        <w:rPr>
          <w:rFonts w:ascii="Arial Narrow" w:hAnsi="Arial Narrow"/>
          <w:sz w:val="20"/>
          <w:szCs w:val="18"/>
        </w:rPr>
      </w:pPr>
      <w:r w:rsidRPr="006F45C9">
        <w:rPr>
          <w:rFonts w:ascii="Arial Narrow" w:hAnsi="Arial Narrow"/>
          <w:sz w:val="20"/>
          <w:szCs w:val="18"/>
        </w:rPr>
        <w:t xml:space="preserve">Abbreviations: </w:t>
      </w:r>
      <w:r>
        <w:rPr>
          <w:rFonts w:ascii="Arial Narrow" w:hAnsi="Arial Narrow"/>
          <w:sz w:val="20"/>
          <w:szCs w:val="18"/>
        </w:rPr>
        <w:t>FRα = folate receptor alpha</w:t>
      </w:r>
    </w:p>
    <w:p w14:paraId="4E577F25" w14:textId="77777777" w:rsidR="00E63ED9" w:rsidRDefault="00E63ED9"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r w:rsidRPr="003A793E">
        <w:rPr>
          <w:rFonts w:ascii="Franklin Gothic Medium" w:hAnsi="Franklin Gothic Medium"/>
          <w:b w:val="0"/>
          <w:snapToGrid/>
          <w:color w:val="000000" w:themeColor="text1"/>
          <w:sz w:val="32"/>
          <w:szCs w:val="26"/>
        </w:rPr>
        <w:t>Applicant comments on MSAC’s Public Summary Document</w:t>
      </w:r>
    </w:p>
    <w:p w14:paraId="7B9DB9D6" w14:textId="6FC94CC2" w:rsidR="00B7254B" w:rsidRPr="006B009D" w:rsidRDefault="000A0DE1" w:rsidP="00B7254B">
      <w:pPr>
        <w:spacing w:after="240"/>
        <w:rPr>
          <w:rFonts w:ascii="Franklin Gothic Book" w:hAnsi="Franklin Gothic Book"/>
          <w:sz w:val="22"/>
          <w:szCs w:val="20"/>
        </w:rPr>
      </w:pPr>
      <w:r w:rsidRPr="006B009D">
        <w:rPr>
          <w:rFonts w:ascii="Franklin Gothic Book" w:hAnsi="Franklin Gothic Book"/>
          <w:sz w:val="22"/>
          <w:szCs w:val="20"/>
        </w:rPr>
        <w:t>AbbVie welcomes MSAC’s acknowledgement of the significant unmet need faced by patients with platinum-resistant ovarian cancer, and its commitment to supporting timely access to innovative therapies. We remain dedicated to working collaboratively with government stakeholders, clinicians, and the patient community to ensure prompt access to this much-needed new treatment option</w:t>
      </w:r>
      <w:r w:rsidR="00B7254B" w:rsidRPr="006B009D">
        <w:rPr>
          <w:rFonts w:ascii="Franklin Gothic Book" w:hAnsi="Franklin Gothic Book"/>
          <w:sz w:val="22"/>
          <w:szCs w:val="20"/>
        </w:rPr>
        <w:t>.</w:t>
      </w:r>
    </w:p>
    <w:p w14:paraId="0BAC7C21" w14:textId="77777777" w:rsidR="00E63ED9" w:rsidRPr="003A793E" w:rsidRDefault="00E63ED9" w:rsidP="00AE70BD">
      <w:pPr>
        <w:pStyle w:val="Heading2"/>
        <w:numPr>
          <w:ilvl w:val="0"/>
          <w:numId w:val="18"/>
        </w:numPr>
        <w:spacing w:after="240"/>
        <w:ind w:hanging="720"/>
        <w:rPr>
          <w:rFonts w:ascii="Franklin Gothic Medium" w:hAnsi="Franklin Gothic Medium"/>
          <w:b w:val="0"/>
          <w:i/>
          <w:snapToGrid/>
          <w:color w:val="000000" w:themeColor="text1"/>
          <w:sz w:val="32"/>
          <w:szCs w:val="26"/>
        </w:rPr>
      </w:pPr>
      <w:r w:rsidRPr="003A793E">
        <w:rPr>
          <w:rFonts w:ascii="Franklin Gothic Medium" w:hAnsi="Franklin Gothic Medium"/>
          <w:b w:val="0"/>
          <w:snapToGrid/>
          <w:color w:val="000000" w:themeColor="text1"/>
          <w:sz w:val="32"/>
          <w:szCs w:val="26"/>
        </w:rPr>
        <w:t>Further information on MSAC</w:t>
      </w:r>
    </w:p>
    <w:p w14:paraId="0EF3FC45" w14:textId="7B052CD7" w:rsidR="00787BDA" w:rsidRPr="009F2A75" w:rsidRDefault="00E63ED9" w:rsidP="009F2A75">
      <w:pPr>
        <w:pStyle w:val="BodyText"/>
        <w:rPr>
          <w:rFonts w:ascii="Franklin Gothic Book" w:hAnsi="Franklin Gothic Book"/>
          <w:b/>
          <w:bCs/>
          <w:i/>
          <w:iCs/>
          <w:sz w:val="22"/>
        </w:rPr>
      </w:pPr>
      <w:r w:rsidRPr="00F309FA">
        <w:rPr>
          <w:rFonts w:ascii="Franklin Gothic Book" w:hAnsi="Franklin Gothic Book"/>
          <w:bCs/>
          <w:iCs/>
          <w:sz w:val="22"/>
        </w:rPr>
        <w:t xml:space="preserve">MSAC Terms of Reference and other information are available on the MSAC Website: </w:t>
      </w:r>
      <w:hyperlink r:id="rId9" w:tooltip="Link to the MSAC website" w:history="1">
        <w:r w:rsidRPr="000D2098">
          <w:rPr>
            <w:rStyle w:val="Hyperlink"/>
            <w:rFonts w:ascii="Franklin Gothic Book" w:hAnsi="Franklin Gothic Book"/>
            <w:iCs/>
            <w:color w:val="007BB8"/>
            <w:sz w:val="22"/>
          </w:rPr>
          <w:t>visit the MSAC website</w:t>
        </w:r>
      </w:hyperlink>
      <w:bookmarkEnd w:id="59"/>
      <w:bookmarkEnd w:id="60"/>
      <w:bookmarkEnd w:id="61"/>
    </w:p>
    <w:sectPr w:rsidR="00787BDA" w:rsidRPr="009F2A75" w:rsidSect="005B02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90C0" w14:textId="77777777" w:rsidR="00757057" w:rsidRPr="00F10893" w:rsidRDefault="00757057" w:rsidP="00BA3306">
      <w:pPr>
        <w:spacing w:before="0" w:after="0"/>
      </w:pPr>
      <w:r w:rsidRPr="00F10893">
        <w:separator/>
      </w:r>
    </w:p>
    <w:p w14:paraId="7C06E313" w14:textId="77777777" w:rsidR="00757057" w:rsidRPr="00F10893" w:rsidRDefault="00757057"/>
  </w:endnote>
  <w:endnote w:type="continuationSeparator" w:id="0">
    <w:p w14:paraId="1AE311C5" w14:textId="77777777" w:rsidR="00757057" w:rsidRPr="00F10893" w:rsidRDefault="00757057" w:rsidP="00BA3306">
      <w:pPr>
        <w:spacing w:before="0" w:after="0"/>
      </w:pPr>
      <w:r w:rsidRPr="00F10893">
        <w:continuationSeparator/>
      </w:r>
    </w:p>
    <w:p w14:paraId="142D6F90" w14:textId="77777777" w:rsidR="00757057" w:rsidRPr="00F10893" w:rsidRDefault="00757057"/>
  </w:endnote>
  <w:endnote w:type="continuationNotice" w:id="1">
    <w:p w14:paraId="3FF352A0" w14:textId="77777777" w:rsidR="00757057" w:rsidRPr="00F10893" w:rsidRDefault="007570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Roboto-Light">
    <w:altName w:val="Arial"/>
    <w:panose1 w:val="00000000000000000000"/>
    <w:charset w:val="00"/>
    <w:family w:val="roman"/>
    <w:notTrueType/>
    <w:pitch w:val="default"/>
  </w:font>
  <w:font w:name="Franklin Gothi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8560" w14:textId="1FE0CB07" w:rsidR="003035C8" w:rsidRDefault="009E52A1">
    <w:pPr>
      <w:pStyle w:val="Footer"/>
    </w:pPr>
    <w:r>
      <w:rPr>
        <w:noProof/>
      </w:rPr>
      <mc:AlternateContent>
        <mc:Choice Requires="wps">
          <w:drawing>
            <wp:anchor distT="0" distB="0" distL="0" distR="0" simplePos="0" relativeHeight="251663365" behindDoc="0" locked="0" layoutInCell="1" allowOverlap="1" wp14:anchorId="0DD98D2F" wp14:editId="5A22C847">
              <wp:simplePos x="635" y="635"/>
              <wp:positionH relativeFrom="page">
                <wp:align>center</wp:align>
              </wp:positionH>
              <wp:positionV relativeFrom="page">
                <wp:align>bottom</wp:align>
              </wp:positionV>
              <wp:extent cx="551815" cy="452755"/>
              <wp:effectExtent l="0" t="0" r="635" b="0"/>
              <wp:wrapNone/>
              <wp:docPr id="18768636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172623" w14:textId="631ED52B"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98D2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10172623" w14:textId="631ED52B"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8299" w14:textId="1C323282" w:rsidR="00335644" w:rsidRPr="00F10893" w:rsidRDefault="009E52A1" w:rsidP="00DF14FA">
    <w:pPr>
      <w:pStyle w:val="Footer"/>
      <w:jc w:val="right"/>
    </w:pPr>
    <w:r>
      <w:rPr>
        <w:noProof/>
      </w:rPr>
      <mc:AlternateContent>
        <mc:Choice Requires="wps">
          <w:drawing>
            <wp:anchor distT="0" distB="0" distL="0" distR="0" simplePos="0" relativeHeight="251664389" behindDoc="0" locked="0" layoutInCell="1" allowOverlap="1" wp14:anchorId="4CC8539B" wp14:editId="0B8ED4A6">
              <wp:simplePos x="914400" y="10058400"/>
              <wp:positionH relativeFrom="page">
                <wp:align>center</wp:align>
              </wp:positionH>
              <wp:positionV relativeFrom="page">
                <wp:align>bottom</wp:align>
              </wp:positionV>
              <wp:extent cx="551815" cy="452755"/>
              <wp:effectExtent l="0" t="0" r="635" b="0"/>
              <wp:wrapNone/>
              <wp:docPr id="6480567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36F5A2" w14:textId="077A4955"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8539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7036F5A2" w14:textId="077A4955"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r w:rsidR="00DF14FA">
      <w:fldChar w:fldCharType="begin"/>
    </w:r>
    <w:r w:rsidR="00DF14FA">
      <w:instrText xml:space="preserve"> PAGE   \* MERGEFORMAT </w:instrText>
    </w:r>
    <w:r w:rsidR="00DF14FA">
      <w:fldChar w:fldCharType="separate"/>
    </w:r>
    <w:r w:rsidR="00DF14FA">
      <w:rPr>
        <w:noProof/>
      </w:rPr>
      <w:t>1</w:t>
    </w:r>
    <w:r w:rsidR="00DF14F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537E" w14:textId="713EB04F" w:rsidR="003035C8" w:rsidRDefault="009E52A1">
    <w:pPr>
      <w:pStyle w:val="Footer"/>
    </w:pPr>
    <w:r>
      <w:rPr>
        <w:noProof/>
      </w:rPr>
      <mc:AlternateContent>
        <mc:Choice Requires="wps">
          <w:drawing>
            <wp:anchor distT="0" distB="0" distL="0" distR="0" simplePos="0" relativeHeight="251662341" behindDoc="0" locked="0" layoutInCell="1" allowOverlap="1" wp14:anchorId="0CFEAFD4" wp14:editId="68B67ED7">
              <wp:simplePos x="635" y="635"/>
              <wp:positionH relativeFrom="page">
                <wp:align>center</wp:align>
              </wp:positionH>
              <wp:positionV relativeFrom="page">
                <wp:align>bottom</wp:align>
              </wp:positionV>
              <wp:extent cx="551815" cy="452755"/>
              <wp:effectExtent l="0" t="0" r="635" b="0"/>
              <wp:wrapNone/>
              <wp:docPr id="17280219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5BBCCA" w14:textId="5D66818D"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EAFD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5F5BBCCA" w14:textId="5D66818D"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4C9E" w14:textId="77777777" w:rsidR="00757057" w:rsidRPr="00F10893" w:rsidRDefault="00757057" w:rsidP="00BA3306">
      <w:pPr>
        <w:spacing w:before="0" w:after="0"/>
      </w:pPr>
      <w:r w:rsidRPr="00F10893">
        <w:separator/>
      </w:r>
    </w:p>
    <w:p w14:paraId="26D9FDC6" w14:textId="77777777" w:rsidR="00757057" w:rsidRPr="00F10893" w:rsidRDefault="00757057"/>
  </w:footnote>
  <w:footnote w:type="continuationSeparator" w:id="0">
    <w:p w14:paraId="7D1A6F6F" w14:textId="77777777" w:rsidR="00757057" w:rsidRPr="00F10893" w:rsidRDefault="00757057" w:rsidP="00BA3306">
      <w:pPr>
        <w:spacing w:before="0" w:after="0"/>
      </w:pPr>
      <w:r w:rsidRPr="00F10893">
        <w:continuationSeparator/>
      </w:r>
    </w:p>
    <w:p w14:paraId="7A31EE68" w14:textId="77777777" w:rsidR="00757057" w:rsidRPr="00F10893" w:rsidRDefault="00757057"/>
  </w:footnote>
  <w:footnote w:type="continuationNotice" w:id="1">
    <w:p w14:paraId="0FEAB356" w14:textId="77777777" w:rsidR="00757057" w:rsidRPr="00F10893" w:rsidRDefault="00757057">
      <w:pPr>
        <w:spacing w:before="0" w:after="0"/>
      </w:pPr>
    </w:p>
  </w:footnote>
  <w:footnote w:id="2">
    <w:p w14:paraId="5FE54D82" w14:textId="2266BBA3" w:rsidR="00874CE8" w:rsidRDefault="00874CE8" w:rsidP="004348B5">
      <w:pPr>
        <w:pStyle w:val="FootnoteText"/>
        <w:jc w:val="left"/>
      </w:pPr>
      <w:r>
        <w:rPr>
          <w:rStyle w:val="FootnoteReference"/>
        </w:rPr>
        <w:footnoteRef/>
      </w:r>
      <w:r>
        <w:t xml:space="preserve"> </w:t>
      </w:r>
      <w:hyperlink r:id="rId1" w:history="1">
        <w:r w:rsidRPr="00BB3B47">
          <w:rPr>
            <w:rStyle w:val="Hyperlink"/>
            <w:color w:val="007BB8"/>
          </w:rPr>
          <w:t>https://www.canceraustralia.gov.au/publications-and-resources/position-statements/testing-ovarian-cancer-asymptomatic-women/background</w:t>
        </w:r>
      </w:hyperlink>
    </w:p>
  </w:footnote>
  <w:footnote w:id="3">
    <w:p w14:paraId="6120F19A" w14:textId="2E90012C" w:rsidR="00AC5EAC" w:rsidRDefault="00AC5EAC">
      <w:pPr>
        <w:pStyle w:val="FootnoteText"/>
      </w:pPr>
      <w:r>
        <w:rPr>
          <w:rStyle w:val="FootnoteReference"/>
        </w:rPr>
        <w:footnoteRef/>
      </w:r>
      <w:r>
        <w:t xml:space="preserve"> </w:t>
      </w:r>
      <w:r w:rsidR="00EB0B90" w:rsidRPr="00EB0B90">
        <w:t xml:space="preserve">Matulonis UA, </w:t>
      </w:r>
      <w:r w:rsidR="00EB0B90">
        <w:t>et al</w:t>
      </w:r>
      <w:r w:rsidR="00EB0B90" w:rsidRPr="00EB0B90">
        <w:t xml:space="preserve">. Efficacy and Safety of Mirvetuximab Soravtansine in Patients With Platinum-Resistant Ovarian Cancer With High Folate Receptor Alpha Expression: Results From the SORAYA Study. </w:t>
      </w:r>
      <w:r w:rsidR="00EB0B90" w:rsidRPr="00B41107">
        <w:rPr>
          <w:i/>
          <w:iCs/>
        </w:rPr>
        <w:t>J Clin Oncol.</w:t>
      </w:r>
      <w:r w:rsidR="00EB0B90" w:rsidRPr="00EB0B90">
        <w:t xml:space="preserve"> 2023 May 1;41(13):2436-2445. doi: 10.1200/JCO.22.01900.</w:t>
      </w:r>
    </w:p>
  </w:footnote>
  <w:footnote w:id="4">
    <w:p w14:paraId="2733D1D6" w14:textId="0D6EE6BB" w:rsidR="002A4881" w:rsidRDefault="002A4881">
      <w:pPr>
        <w:pStyle w:val="FootnoteText"/>
      </w:pPr>
      <w:r>
        <w:rPr>
          <w:rStyle w:val="FootnoteReference"/>
        </w:rPr>
        <w:footnoteRef/>
      </w:r>
      <w:r>
        <w:t xml:space="preserve"> </w:t>
      </w:r>
      <w:hyperlink r:id="rId2" w:history="1">
        <w:r w:rsidRPr="00BB3B47">
          <w:rPr>
            <w:rStyle w:val="Hyperlink"/>
            <w:color w:val="007BB8"/>
          </w:rPr>
          <w:t>https://www.msac.gov.au/applications/1767</w:t>
        </w:r>
      </w:hyperlink>
    </w:p>
  </w:footnote>
  <w:footnote w:id="5">
    <w:p w14:paraId="4B242AFF" w14:textId="3F2034F9" w:rsidR="00BF50C6" w:rsidRDefault="00BF50C6">
      <w:pPr>
        <w:pStyle w:val="FootnoteText"/>
      </w:pPr>
      <w:r>
        <w:rPr>
          <w:rStyle w:val="FootnoteReference"/>
        </w:rPr>
        <w:footnoteRef/>
      </w:r>
      <w:r>
        <w:t xml:space="preserve"> </w:t>
      </w:r>
      <w:r>
        <w:rPr>
          <w:rFonts w:ascii="Roboto-Light" w:hAnsi="Roboto-Light" w:cs="Roboto-Light"/>
          <w:color w:val="000005"/>
          <w:sz w:val="16"/>
          <w:szCs w:val="16"/>
        </w:rPr>
        <w:t>Quantium analysis of CaSP data as of 23 Jan 2025</w:t>
      </w:r>
    </w:p>
  </w:footnote>
  <w:footnote w:id="6">
    <w:p w14:paraId="11774336" w14:textId="1E825A1A" w:rsidR="00E517FA" w:rsidRPr="00F10893" w:rsidRDefault="00E517FA" w:rsidP="00E517FA">
      <w:pPr>
        <w:pStyle w:val="FootnoteText"/>
      </w:pPr>
      <w:r w:rsidRPr="00F10893">
        <w:rPr>
          <w:rStyle w:val="FootnoteReference"/>
        </w:rPr>
        <w:footnoteRef/>
      </w:r>
      <w:r w:rsidRPr="00F10893">
        <w:t xml:space="preserve"> Franklin WA, </w:t>
      </w:r>
      <w:r w:rsidR="00744E61">
        <w:t>et al</w:t>
      </w:r>
      <w:r w:rsidRPr="00F10893">
        <w:t xml:space="preserve">. New anti‐lung‐cancer antibody cluster 12 reacts with human folate receptors present on adenocarcinoma. </w:t>
      </w:r>
      <w:r w:rsidRPr="000E3E1E">
        <w:rPr>
          <w:i/>
          <w:iCs/>
        </w:rPr>
        <w:t>Inter J</w:t>
      </w:r>
      <w:r w:rsidR="00B41107">
        <w:rPr>
          <w:i/>
          <w:iCs/>
        </w:rPr>
        <w:t xml:space="preserve"> </w:t>
      </w:r>
      <w:r w:rsidRPr="000E3E1E">
        <w:rPr>
          <w:i/>
          <w:iCs/>
        </w:rPr>
        <w:t>Cancer</w:t>
      </w:r>
      <w:r w:rsidRPr="00F10893">
        <w:t>. 1994;57(S8):89-95.</w:t>
      </w:r>
    </w:p>
  </w:footnote>
  <w:footnote w:id="7">
    <w:p w14:paraId="275A34FA" w14:textId="14C88786" w:rsidR="00E517FA" w:rsidRPr="00F10893" w:rsidRDefault="00E517FA" w:rsidP="00E517FA">
      <w:pPr>
        <w:pStyle w:val="FootnoteText"/>
      </w:pPr>
      <w:r w:rsidRPr="00F10893">
        <w:rPr>
          <w:rStyle w:val="FootnoteReference"/>
        </w:rPr>
        <w:footnoteRef/>
      </w:r>
      <w:r w:rsidRPr="00F10893">
        <w:t xml:space="preserve"> Bagnoli M, </w:t>
      </w:r>
      <w:r w:rsidR="000E3E1E">
        <w:t>et al</w:t>
      </w:r>
      <w:r w:rsidRPr="00F10893">
        <w:t xml:space="preserve">. A step further in understanding the biology of the folate receptor in ovarian carcinoma. </w:t>
      </w:r>
      <w:r w:rsidRPr="000E3E1E">
        <w:rPr>
          <w:i/>
          <w:iCs/>
        </w:rPr>
        <w:t xml:space="preserve">Gynecol </w:t>
      </w:r>
      <w:r w:rsidR="001D6114">
        <w:rPr>
          <w:i/>
          <w:iCs/>
        </w:rPr>
        <w:t>O</w:t>
      </w:r>
      <w:r w:rsidRPr="000E3E1E">
        <w:rPr>
          <w:i/>
          <w:iCs/>
        </w:rPr>
        <w:t>ncol.</w:t>
      </w:r>
      <w:r w:rsidRPr="00F10893">
        <w:t xml:space="preserve"> 2003 Jan 1;88(1):S140-4.</w:t>
      </w:r>
    </w:p>
  </w:footnote>
  <w:footnote w:id="8">
    <w:p w14:paraId="4AAF23CD" w14:textId="23AAF670" w:rsidR="00E517FA" w:rsidRPr="00F10893" w:rsidRDefault="00E517FA" w:rsidP="00E517FA">
      <w:pPr>
        <w:pStyle w:val="FootnoteText"/>
      </w:pPr>
      <w:r w:rsidRPr="00F10893">
        <w:rPr>
          <w:rStyle w:val="FootnoteReference"/>
        </w:rPr>
        <w:footnoteRef/>
      </w:r>
      <w:r w:rsidRPr="00F10893">
        <w:t xml:space="preserve"> Franklin WA, </w:t>
      </w:r>
      <w:r w:rsidR="000E3E1E">
        <w:t>et al</w:t>
      </w:r>
      <w:r w:rsidRPr="00F10893">
        <w:t xml:space="preserve">. New anti‐lung‐cancer antibody cluster 12 reacts with human folate receptors present on adenocarcinoma. </w:t>
      </w:r>
      <w:r w:rsidRPr="000E3E1E">
        <w:rPr>
          <w:i/>
          <w:iCs/>
        </w:rPr>
        <w:t xml:space="preserve">Int </w:t>
      </w:r>
      <w:r w:rsidR="00B579BD">
        <w:rPr>
          <w:i/>
          <w:iCs/>
        </w:rPr>
        <w:t xml:space="preserve">J </w:t>
      </w:r>
      <w:r w:rsidRPr="000E3E1E">
        <w:rPr>
          <w:i/>
          <w:iCs/>
        </w:rPr>
        <w:t>Cancer</w:t>
      </w:r>
      <w:r w:rsidRPr="00F10893">
        <w:t>. 1994;57(S8):89-95.</w:t>
      </w:r>
    </w:p>
  </w:footnote>
  <w:footnote w:id="9">
    <w:p w14:paraId="622973FE" w14:textId="3D4F4EEF" w:rsidR="00CA5BB3" w:rsidRPr="00F10893" w:rsidRDefault="00CA5BB3" w:rsidP="00CA5BB3">
      <w:pPr>
        <w:pStyle w:val="FootnoteText"/>
      </w:pPr>
      <w:r w:rsidRPr="00F10893">
        <w:rPr>
          <w:rStyle w:val="FootnoteReference"/>
        </w:rPr>
        <w:footnoteRef/>
      </w:r>
      <w:r w:rsidRPr="00F10893">
        <w:t xml:space="preserve"> Verschuere H, </w:t>
      </w:r>
      <w:r w:rsidR="000E3E1E">
        <w:t>et al</w:t>
      </w:r>
      <w:r w:rsidRPr="00F10893">
        <w:t xml:space="preserve">. Safety and efficiency of performing transvaginal ultrasound-guided tru-cut biopsy for pelvic masses. </w:t>
      </w:r>
      <w:r w:rsidRPr="000E3E1E">
        <w:rPr>
          <w:i/>
          <w:iCs/>
        </w:rPr>
        <w:t xml:space="preserve">Gynecol </w:t>
      </w:r>
      <w:r w:rsidR="003A6DBE">
        <w:rPr>
          <w:i/>
          <w:iCs/>
        </w:rPr>
        <w:t>O</w:t>
      </w:r>
      <w:r w:rsidRPr="000E3E1E">
        <w:rPr>
          <w:i/>
          <w:iCs/>
        </w:rPr>
        <w:t>ncol</w:t>
      </w:r>
      <w:r w:rsidRPr="00F10893">
        <w:t>. 2021 Jun 1;161(3):845-51.</w:t>
      </w:r>
    </w:p>
  </w:footnote>
  <w:footnote w:id="10">
    <w:p w14:paraId="6B53C1E5" w14:textId="52294DD1" w:rsidR="00CA5BB3" w:rsidRPr="00F10893" w:rsidRDefault="00CA5BB3" w:rsidP="00CA5BB3">
      <w:pPr>
        <w:pStyle w:val="FootnoteText"/>
      </w:pPr>
      <w:r w:rsidRPr="00F10893">
        <w:rPr>
          <w:rStyle w:val="FootnoteReference"/>
        </w:rPr>
        <w:footnoteRef/>
      </w:r>
      <w:r w:rsidRPr="00F10893">
        <w:t xml:space="preserve"> Goranova T</w:t>
      </w:r>
      <w:r w:rsidR="000E3E1E">
        <w:t>et al</w:t>
      </w:r>
      <w:r w:rsidRPr="00F10893">
        <w:t xml:space="preserve">. Safety and utility of image-guided research biopsies in relapsed high-grade serous ovarian carcinoma—experience of the BriTROC consortium. </w:t>
      </w:r>
      <w:r w:rsidRPr="000E3E1E">
        <w:rPr>
          <w:i/>
          <w:iCs/>
        </w:rPr>
        <w:t xml:space="preserve">Br </w:t>
      </w:r>
      <w:r w:rsidR="00260143" w:rsidRPr="000E3E1E">
        <w:rPr>
          <w:i/>
          <w:iCs/>
        </w:rPr>
        <w:t>J</w:t>
      </w:r>
      <w:r w:rsidR="008A2319">
        <w:rPr>
          <w:i/>
          <w:iCs/>
        </w:rPr>
        <w:t xml:space="preserve"> C</w:t>
      </w:r>
      <w:r w:rsidRPr="000E3E1E">
        <w:rPr>
          <w:i/>
          <w:iCs/>
        </w:rPr>
        <w:t>ancer</w:t>
      </w:r>
      <w:r w:rsidRPr="00F10893">
        <w:t>. 2017 May;116(10):1294-301.</w:t>
      </w:r>
    </w:p>
  </w:footnote>
  <w:footnote w:id="11">
    <w:p w14:paraId="5194AFB7" w14:textId="54328DA0" w:rsidR="00B3588D" w:rsidRDefault="00B3588D" w:rsidP="00B3588D">
      <w:pPr>
        <w:pStyle w:val="FootnoteText"/>
      </w:pPr>
      <w:r w:rsidRPr="00B17740">
        <w:rPr>
          <w:rStyle w:val="FootnoteReference"/>
        </w:rPr>
        <w:footnoteRef/>
      </w:r>
      <w:r w:rsidRPr="00B17740">
        <w:t xml:space="preserve"> </w:t>
      </w:r>
      <w:hyperlink r:id="rId3" w:history="1">
        <w:r w:rsidRPr="00BB3B47">
          <w:rPr>
            <w:rStyle w:val="Hyperlink"/>
            <w:color w:val="007BB8"/>
          </w:rPr>
          <w:t>https://meetings.asco.org/abstracts-presentations/253565</w:t>
        </w:r>
      </w:hyperlink>
      <w:r w:rsidRPr="00B067C4">
        <w:t xml:space="preserve"> </w:t>
      </w:r>
    </w:p>
  </w:footnote>
  <w:footnote w:id="12">
    <w:p w14:paraId="03DA0D5C" w14:textId="3A5818C0" w:rsidR="00321DEB" w:rsidRDefault="00321DEB" w:rsidP="00321DEB">
      <w:pPr>
        <w:pStyle w:val="FootnoteText"/>
      </w:pPr>
      <w:r>
        <w:rPr>
          <w:rStyle w:val="FootnoteReference"/>
        </w:rPr>
        <w:footnoteRef/>
      </w:r>
      <w:r>
        <w:t xml:space="preserve"> </w:t>
      </w:r>
      <w:hyperlink r:id="rId4" w:history="1">
        <w:r w:rsidRPr="00BB3B47">
          <w:rPr>
            <w:rStyle w:val="Hyperlink"/>
            <w:color w:val="007BB8"/>
          </w:rPr>
          <w:t>https://elabdoc-prod.roche.com/eLD/api/downloads/625da298-2641-ee11-2091-005056a71a5d?countryIsoCode=XG</w:t>
        </w:r>
      </w:hyperlink>
    </w:p>
  </w:footnote>
  <w:footnote w:id="13">
    <w:p w14:paraId="166B3115" w14:textId="0864CB7B" w:rsidR="00321DEB" w:rsidRDefault="00321DEB" w:rsidP="00321DEB">
      <w:pPr>
        <w:pStyle w:val="FootnoteText"/>
      </w:pPr>
      <w:r w:rsidRPr="00B17740">
        <w:rPr>
          <w:rStyle w:val="FootnoteReference"/>
        </w:rPr>
        <w:footnoteRef/>
      </w:r>
      <w:r w:rsidRPr="00B17740">
        <w:t xml:space="preserve"> </w:t>
      </w:r>
      <w:hyperlink r:id="rId5" w:history="1">
        <w:r w:rsidRPr="00BB3B47">
          <w:rPr>
            <w:rStyle w:val="Hyperlink"/>
            <w:color w:val="007BB8"/>
          </w:rPr>
          <w:t>https://meetings.asco.org/abstracts-presentations/253565</w:t>
        </w:r>
      </w:hyperlink>
      <w:r w:rsidRPr="00B067C4">
        <w:t xml:space="preserve"> </w:t>
      </w:r>
    </w:p>
  </w:footnote>
  <w:footnote w:id="14">
    <w:p w14:paraId="2946C042" w14:textId="77777777" w:rsidR="00321DEB" w:rsidRDefault="00321DEB" w:rsidP="00321DEB">
      <w:pPr>
        <w:pStyle w:val="FootnoteText"/>
      </w:pPr>
      <w:r>
        <w:rPr>
          <w:rStyle w:val="FootnoteReference"/>
        </w:rPr>
        <w:footnoteRef/>
      </w:r>
      <w:r>
        <w:t xml:space="preserve"> </w:t>
      </w:r>
      <w:hyperlink r:id="rId6" w:history="1">
        <w:r w:rsidRPr="00BB3B47">
          <w:rPr>
            <w:rStyle w:val="Hyperlink"/>
            <w:color w:val="007BB8"/>
          </w:rPr>
          <w:t>https://www9.health.gov.au/mbs/search.cfm?q=72860&amp;Submit=&amp;sopt=S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41E7" w14:textId="4E6BA3A9" w:rsidR="003035C8" w:rsidRDefault="009E52A1">
    <w:pPr>
      <w:pStyle w:val="Header"/>
    </w:pPr>
    <w:r>
      <w:rPr>
        <w:noProof/>
      </w:rPr>
      <mc:AlternateContent>
        <mc:Choice Requires="wps">
          <w:drawing>
            <wp:anchor distT="0" distB="0" distL="0" distR="0" simplePos="0" relativeHeight="251660293" behindDoc="0" locked="0" layoutInCell="1" allowOverlap="1" wp14:anchorId="12725ADF" wp14:editId="70BE0E8B">
              <wp:simplePos x="635" y="635"/>
              <wp:positionH relativeFrom="page">
                <wp:align>center</wp:align>
              </wp:positionH>
              <wp:positionV relativeFrom="page">
                <wp:align>top</wp:align>
              </wp:positionV>
              <wp:extent cx="551815" cy="452755"/>
              <wp:effectExtent l="0" t="0" r="635" b="4445"/>
              <wp:wrapNone/>
              <wp:docPr id="17205103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207D7A6" w14:textId="61E8E76D"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25AD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fill o:detectmouseclick="t"/>
              <v:textbox style="mso-fit-shape-to-text:t" inset="0,15pt,0,0">
                <w:txbxContent>
                  <w:p w14:paraId="6207D7A6" w14:textId="61E8E76D"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C884" w14:textId="42B80F5D" w:rsidR="003035C8" w:rsidRDefault="009E52A1">
    <w:pPr>
      <w:pStyle w:val="Header"/>
    </w:pPr>
    <w:r>
      <w:rPr>
        <w:noProof/>
      </w:rPr>
      <mc:AlternateContent>
        <mc:Choice Requires="wps">
          <w:drawing>
            <wp:anchor distT="0" distB="0" distL="0" distR="0" simplePos="0" relativeHeight="251661317" behindDoc="0" locked="0" layoutInCell="1" allowOverlap="1" wp14:anchorId="2A3243BE" wp14:editId="1E15CFF8">
              <wp:simplePos x="914400" y="447675"/>
              <wp:positionH relativeFrom="page">
                <wp:align>center</wp:align>
              </wp:positionH>
              <wp:positionV relativeFrom="page">
                <wp:align>top</wp:align>
              </wp:positionV>
              <wp:extent cx="551815" cy="452755"/>
              <wp:effectExtent l="0" t="0" r="635" b="4445"/>
              <wp:wrapNone/>
              <wp:docPr id="17567039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9921C" w14:textId="19B72DFE"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243B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5589921C" w14:textId="19B72DFE"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6590" w14:textId="1D651552" w:rsidR="003035C8" w:rsidRDefault="009E52A1">
    <w:pPr>
      <w:pStyle w:val="Header"/>
    </w:pPr>
    <w:r>
      <w:rPr>
        <w:noProof/>
      </w:rPr>
      <mc:AlternateContent>
        <mc:Choice Requires="wps">
          <w:drawing>
            <wp:anchor distT="0" distB="0" distL="0" distR="0" simplePos="0" relativeHeight="251659269" behindDoc="0" locked="0" layoutInCell="1" allowOverlap="1" wp14:anchorId="49EFB318" wp14:editId="337FA4DC">
              <wp:simplePos x="635" y="635"/>
              <wp:positionH relativeFrom="page">
                <wp:align>center</wp:align>
              </wp:positionH>
              <wp:positionV relativeFrom="page">
                <wp:align>top</wp:align>
              </wp:positionV>
              <wp:extent cx="551815" cy="452755"/>
              <wp:effectExtent l="0" t="0" r="635" b="4445"/>
              <wp:wrapNone/>
              <wp:docPr id="12487944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0301DE" w14:textId="326B8B4C"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FB31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740301DE" w14:textId="326B8B4C" w:rsidR="009E52A1" w:rsidRPr="009E52A1" w:rsidRDefault="009E52A1" w:rsidP="009E52A1">
                    <w:pPr>
                      <w:spacing w:after="0"/>
                      <w:rPr>
                        <w:rFonts w:ascii="Calibri" w:eastAsia="Calibri" w:hAnsi="Calibri" w:cs="Calibri"/>
                        <w:noProof/>
                        <w:color w:val="FF0000"/>
                        <w:szCs w:val="24"/>
                      </w:rPr>
                    </w:pPr>
                    <w:r w:rsidRPr="009E52A1">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A29"/>
    <w:multiLevelType w:val="hybridMultilevel"/>
    <w:tmpl w:val="0946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8A073C"/>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4097176"/>
    <w:multiLevelType w:val="hybridMultilevel"/>
    <w:tmpl w:val="7A5229FA"/>
    <w:lvl w:ilvl="0" w:tplc="D75EB9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0B17D9"/>
    <w:multiLevelType w:val="multilevel"/>
    <w:tmpl w:val="1F6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44E3B"/>
    <w:multiLevelType w:val="hybridMultilevel"/>
    <w:tmpl w:val="5E28A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617AC2"/>
    <w:multiLevelType w:val="multilevel"/>
    <w:tmpl w:val="92846974"/>
    <w:styleLink w:val="Style2"/>
    <w:lvl w:ilvl="0">
      <w:start w:val="1"/>
      <w:numFmt w:val="bulle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968B0"/>
    <w:multiLevelType w:val="hybridMultilevel"/>
    <w:tmpl w:val="C7767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47AEC"/>
    <w:multiLevelType w:val="hybridMultilevel"/>
    <w:tmpl w:val="E66C3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F575CC"/>
    <w:multiLevelType w:val="hybridMultilevel"/>
    <w:tmpl w:val="E144755A"/>
    <w:styleLink w:val="MSACESBulletpoin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95682D"/>
    <w:multiLevelType w:val="hybridMultilevel"/>
    <w:tmpl w:val="8BB88956"/>
    <w:styleLink w:val="Style5"/>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575DCD"/>
    <w:multiLevelType w:val="hybridMultilevel"/>
    <w:tmpl w:val="8278A116"/>
    <w:lvl w:ilvl="0" w:tplc="4D3C722C">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E1661A"/>
    <w:multiLevelType w:val="hybridMultilevel"/>
    <w:tmpl w:val="4F7A590A"/>
    <w:lvl w:ilvl="0" w:tplc="43544F26">
      <w:start w:val="1"/>
      <w:numFmt w:val="bullet"/>
      <w:lvlText w:val=""/>
      <w:lvlJc w:val="left"/>
      <w:pPr>
        <w:ind w:left="720" w:hanging="360"/>
      </w:pPr>
      <w:rPr>
        <w:rFonts w:ascii="Symbol" w:hAnsi="Symbol" w:hint="default"/>
      </w:rPr>
    </w:lvl>
    <w:lvl w:ilvl="1" w:tplc="DFD4631C">
      <w:start w:val="1"/>
      <w:numFmt w:val="bullet"/>
      <w:lvlText w:val="o"/>
      <w:lvlJc w:val="left"/>
      <w:pPr>
        <w:ind w:left="1440" w:hanging="360"/>
      </w:pPr>
      <w:rPr>
        <w:rFonts w:ascii="Courier New" w:hAnsi="Courier New" w:hint="default"/>
      </w:rPr>
    </w:lvl>
    <w:lvl w:ilvl="2" w:tplc="97AE5664">
      <w:start w:val="1"/>
      <w:numFmt w:val="bullet"/>
      <w:lvlText w:val=""/>
      <w:lvlJc w:val="left"/>
      <w:pPr>
        <w:ind w:left="2160" w:hanging="360"/>
      </w:pPr>
      <w:rPr>
        <w:rFonts w:ascii="Wingdings" w:hAnsi="Wingdings" w:hint="default"/>
      </w:rPr>
    </w:lvl>
    <w:lvl w:ilvl="3" w:tplc="9AA08E4A">
      <w:start w:val="1"/>
      <w:numFmt w:val="bullet"/>
      <w:lvlText w:val=""/>
      <w:lvlJc w:val="left"/>
      <w:pPr>
        <w:ind w:left="2880" w:hanging="360"/>
      </w:pPr>
      <w:rPr>
        <w:rFonts w:ascii="Symbol" w:hAnsi="Symbol" w:hint="default"/>
      </w:rPr>
    </w:lvl>
    <w:lvl w:ilvl="4" w:tplc="0F92C506">
      <w:start w:val="1"/>
      <w:numFmt w:val="bullet"/>
      <w:lvlText w:val="o"/>
      <w:lvlJc w:val="left"/>
      <w:pPr>
        <w:ind w:left="3600" w:hanging="360"/>
      </w:pPr>
      <w:rPr>
        <w:rFonts w:ascii="Courier New" w:hAnsi="Courier New" w:hint="default"/>
      </w:rPr>
    </w:lvl>
    <w:lvl w:ilvl="5" w:tplc="0FB4C4C8">
      <w:start w:val="1"/>
      <w:numFmt w:val="bullet"/>
      <w:lvlText w:val=""/>
      <w:lvlJc w:val="left"/>
      <w:pPr>
        <w:ind w:left="4320" w:hanging="360"/>
      </w:pPr>
      <w:rPr>
        <w:rFonts w:ascii="Wingdings" w:hAnsi="Wingdings" w:hint="default"/>
      </w:rPr>
    </w:lvl>
    <w:lvl w:ilvl="6" w:tplc="E930982E">
      <w:start w:val="1"/>
      <w:numFmt w:val="bullet"/>
      <w:lvlText w:val=""/>
      <w:lvlJc w:val="left"/>
      <w:pPr>
        <w:ind w:left="5040" w:hanging="360"/>
      </w:pPr>
      <w:rPr>
        <w:rFonts w:ascii="Symbol" w:hAnsi="Symbol" w:hint="default"/>
      </w:rPr>
    </w:lvl>
    <w:lvl w:ilvl="7" w:tplc="A112A204">
      <w:start w:val="1"/>
      <w:numFmt w:val="bullet"/>
      <w:lvlText w:val="o"/>
      <w:lvlJc w:val="left"/>
      <w:pPr>
        <w:ind w:left="5760" w:hanging="360"/>
      </w:pPr>
      <w:rPr>
        <w:rFonts w:ascii="Courier New" w:hAnsi="Courier New" w:hint="default"/>
      </w:rPr>
    </w:lvl>
    <w:lvl w:ilvl="8" w:tplc="19869792">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AC1142"/>
    <w:multiLevelType w:val="multilevel"/>
    <w:tmpl w:val="6EFE96F0"/>
    <w:styleLink w:val="Headings"/>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EA83A90"/>
    <w:multiLevelType w:val="hybridMultilevel"/>
    <w:tmpl w:val="E33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456899"/>
    <w:multiLevelType w:val="multilevel"/>
    <w:tmpl w:val="92846974"/>
    <w:lvl w:ilvl="0">
      <w:start w:val="1"/>
      <w:numFmt w:val="bulle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AA0DCE"/>
    <w:multiLevelType w:val="hybridMultilevel"/>
    <w:tmpl w:val="9A9AA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CF5D49"/>
    <w:multiLevelType w:val="hybridMultilevel"/>
    <w:tmpl w:val="28BC0FCE"/>
    <w:styleLink w:val="Style4"/>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5D31655"/>
    <w:multiLevelType w:val="hybridMultilevel"/>
    <w:tmpl w:val="C5E22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8521E1"/>
    <w:multiLevelType w:val="hybridMultilevel"/>
    <w:tmpl w:val="C5FC0134"/>
    <w:lvl w:ilvl="0" w:tplc="80BC2D60">
      <w:start w:val="1"/>
      <w:numFmt w:val="bullet"/>
      <w:lvlText w:val=""/>
      <w:lvlJc w:val="left"/>
      <w:pPr>
        <w:tabs>
          <w:tab w:val="num" w:pos="720"/>
        </w:tabs>
        <w:ind w:left="720" w:hanging="360"/>
      </w:pPr>
      <w:rPr>
        <w:rFonts w:ascii="Symbol" w:hAnsi="Symbol" w:hint="default"/>
      </w:rPr>
    </w:lvl>
    <w:lvl w:ilvl="1" w:tplc="25C20594" w:tentative="1">
      <w:start w:val="1"/>
      <w:numFmt w:val="bullet"/>
      <w:lvlText w:val=""/>
      <w:lvlJc w:val="left"/>
      <w:pPr>
        <w:tabs>
          <w:tab w:val="num" w:pos="1440"/>
        </w:tabs>
        <w:ind w:left="1440" w:hanging="360"/>
      </w:pPr>
      <w:rPr>
        <w:rFonts w:ascii="Symbol" w:hAnsi="Symbol" w:hint="default"/>
      </w:rPr>
    </w:lvl>
    <w:lvl w:ilvl="2" w:tplc="7878F876" w:tentative="1">
      <w:start w:val="1"/>
      <w:numFmt w:val="bullet"/>
      <w:lvlText w:val=""/>
      <w:lvlJc w:val="left"/>
      <w:pPr>
        <w:tabs>
          <w:tab w:val="num" w:pos="2160"/>
        </w:tabs>
        <w:ind w:left="2160" w:hanging="360"/>
      </w:pPr>
      <w:rPr>
        <w:rFonts w:ascii="Symbol" w:hAnsi="Symbol" w:hint="default"/>
      </w:rPr>
    </w:lvl>
    <w:lvl w:ilvl="3" w:tplc="5510AFC6" w:tentative="1">
      <w:start w:val="1"/>
      <w:numFmt w:val="bullet"/>
      <w:lvlText w:val=""/>
      <w:lvlJc w:val="left"/>
      <w:pPr>
        <w:tabs>
          <w:tab w:val="num" w:pos="2880"/>
        </w:tabs>
        <w:ind w:left="2880" w:hanging="360"/>
      </w:pPr>
      <w:rPr>
        <w:rFonts w:ascii="Symbol" w:hAnsi="Symbol" w:hint="default"/>
      </w:rPr>
    </w:lvl>
    <w:lvl w:ilvl="4" w:tplc="CCEE4210" w:tentative="1">
      <w:start w:val="1"/>
      <w:numFmt w:val="bullet"/>
      <w:lvlText w:val=""/>
      <w:lvlJc w:val="left"/>
      <w:pPr>
        <w:tabs>
          <w:tab w:val="num" w:pos="3600"/>
        </w:tabs>
        <w:ind w:left="3600" w:hanging="360"/>
      </w:pPr>
      <w:rPr>
        <w:rFonts w:ascii="Symbol" w:hAnsi="Symbol" w:hint="default"/>
      </w:rPr>
    </w:lvl>
    <w:lvl w:ilvl="5" w:tplc="E2B4CA72" w:tentative="1">
      <w:start w:val="1"/>
      <w:numFmt w:val="bullet"/>
      <w:lvlText w:val=""/>
      <w:lvlJc w:val="left"/>
      <w:pPr>
        <w:tabs>
          <w:tab w:val="num" w:pos="4320"/>
        </w:tabs>
        <w:ind w:left="4320" w:hanging="360"/>
      </w:pPr>
      <w:rPr>
        <w:rFonts w:ascii="Symbol" w:hAnsi="Symbol" w:hint="default"/>
      </w:rPr>
    </w:lvl>
    <w:lvl w:ilvl="6" w:tplc="35FE9BA6" w:tentative="1">
      <w:start w:val="1"/>
      <w:numFmt w:val="bullet"/>
      <w:lvlText w:val=""/>
      <w:lvlJc w:val="left"/>
      <w:pPr>
        <w:tabs>
          <w:tab w:val="num" w:pos="5040"/>
        </w:tabs>
        <w:ind w:left="5040" w:hanging="360"/>
      </w:pPr>
      <w:rPr>
        <w:rFonts w:ascii="Symbol" w:hAnsi="Symbol" w:hint="default"/>
      </w:rPr>
    </w:lvl>
    <w:lvl w:ilvl="7" w:tplc="C4E078B2" w:tentative="1">
      <w:start w:val="1"/>
      <w:numFmt w:val="bullet"/>
      <w:lvlText w:val=""/>
      <w:lvlJc w:val="left"/>
      <w:pPr>
        <w:tabs>
          <w:tab w:val="num" w:pos="5760"/>
        </w:tabs>
        <w:ind w:left="5760" w:hanging="360"/>
      </w:pPr>
      <w:rPr>
        <w:rFonts w:ascii="Symbol" w:hAnsi="Symbol" w:hint="default"/>
      </w:rPr>
    </w:lvl>
    <w:lvl w:ilvl="8" w:tplc="E4DEDC8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84D033C"/>
    <w:multiLevelType w:val="multilevel"/>
    <w:tmpl w:val="6AAE3028"/>
    <w:styleLink w:val="Style3"/>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300DB1"/>
    <w:multiLevelType w:val="hybridMultilevel"/>
    <w:tmpl w:val="5700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459259">
    <w:abstractNumId w:val="16"/>
  </w:num>
  <w:num w:numId="2" w16cid:durableId="2030789033">
    <w:abstractNumId w:val="9"/>
  </w:num>
  <w:num w:numId="3" w16cid:durableId="2098357730">
    <w:abstractNumId w:val="23"/>
  </w:num>
  <w:num w:numId="4" w16cid:durableId="1831209707">
    <w:abstractNumId w:val="5"/>
  </w:num>
  <w:num w:numId="5" w16cid:durableId="1213539042">
    <w:abstractNumId w:val="10"/>
  </w:num>
  <w:num w:numId="6" w16cid:durableId="1119836982">
    <w:abstractNumId w:val="18"/>
  </w:num>
  <w:num w:numId="7" w16cid:durableId="376708755">
    <w:abstractNumId w:val="1"/>
  </w:num>
  <w:num w:numId="8" w16cid:durableId="772284066">
    <w:abstractNumId w:val="20"/>
  </w:num>
  <w:num w:numId="9" w16cid:durableId="1716932451">
    <w:abstractNumId w:val="7"/>
  </w:num>
  <w:num w:numId="10" w16cid:durableId="210267045">
    <w:abstractNumId w:val="14"/>
  </w:num>
  <w:num w:numId="11" w16cid:durableId="769735574">
    <w:abstractNumId w:val="11"/>
  </w:num>
  <w:num w:numId="12" w16cid:durableId="1488401800">
    <w:abstractNumId w:val="21"/>
  </w:num>
  <w:num w:numId="13" w16cid:durableId="1966888798">
    <w:abstractNumId w:val="0"/>
  </w:num>
  <w:num w:numId="14" w16cid:durableId="827944166">
    <w:abstractNumId w:val="6"/>
  </w:num>
  <w:num w:numId="15" w16cid:durableId="1327897293">
    <w:abstractNumId w:val="19"/>
  </w:num>
  <w:num w:numId="16" w16cid:durableId="897931955">
    <w:abstractNumId w:val="22"/>
  </w:num>
  <w:num w:numId="17" w16cid:durableId="340089244">
    <w:abstractNumId w:val="4"/>
  </w:num>
  <w:num w:numId="18" w16cid:durableId="1127896430">
    <w:abstractNumId w:val="12"/>
  </w:num>
  <w:num w:numId="19" w16cid:durableId="1695569454">
    <w:abstractNumId w:val="3"/>
  </w:num>
  <w:num w:numId="20" w16cid:durableId="1656687994">
    <w:abstractNumId w:val="13"/>
  </w:num>
  <w:num w:numId="21" w16cid:durableId="998770964">
    <w:abstractNumId w:val="2"/>
  </w:num>
  <w:num w:numId="22" w16cid:durableId="184904280">
    <w:abstractNumId w:val="8"/>
  </w:num>
  <w:num w:numId="23" w16cid:durableId="908927443">
    <w:abstractNumId w:val="15"/>
  </w:num>
  <w:num w:numId="24" w16cid:durableId="854655078">
    <w:abstractNumId w:val="24"/>
  </w:num>
  <w:num w:numId="25" w16cid:durableId="186177914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2"/>
    <w:rsid w:val="00000141"/>
    <w:rsid w:val="0000042C"/>
    <w:rsid w:val="000006D8"/>
    <w:rsid w:val="00000D2F"/>
    <w:rsid w:val="00000DA7"/>
    <w:rsid w:val="0000136B"/>
    <w:rsid w:val="00001437"/>
    <w:rsid w:val="000014FE"/>
    <w:rsid w:val="0000180D"/>
    <w:rsid w:val="000019BB"/>
    <w:rsid w:val="00001A39"/>
    <w:rsid w:val="00001A4E"/>
    <w:rsid w:val="00001AB4"/>
    <w:rsid w:val="00001B70"/>
    <w:rsid w:val="00001C59"/>
    <w:rsid w:val="00001D06"/>
    <w:rsid w:val="00001D58"/>
    <w:rsid w:val="00001DE9"/>
    <w:rsid w:val="00001FE6"/>
    <w:rsid w:val="00002266"/>
    <w:rsid w:val="000024A2"/>
    <w:rsid w:val="0000276A"/>
    <w:rsid w:val="00002954"/>
    <w:rsid w:val="00002C93"/>
    <w:rsid w:val="00003822"/>
    <w:rsid w:val="000038C1"/>
    <w:rsid w:val="00003E76"/>
    <w:rsid w:val="000040E0"/>
    <w:rsid w:val="00004307"/>
    <w:rsid w:val="000044D5"/>
    <w:rsid w:val="0000459E"/>
    <w:rsid w:val="000046F4"/>
    <w:rsid w:val="000048CF"/>
    <w:rsid w:val="00004B97"/>
    <w:rsid w:val="00004FEB"/>
    <w:rsid w:val="0000546C"/>
    <w:rsid w:val="000057AB"/>
    <w:rsid w:val="00005823"/>
    <w:rsid w:val="0000594B"/>
    <w:rsid w:val="000059AC"/>
    <w:rsid w:val="00005B8B"/>
    <w:rsid w:val="00005E9E"/>
    <w:rsid w:val="00005F05"/>
    <w:rsid w:val="0000609D"/>
    <w:rsid w:val="000060BC"/>
    <w:rsid w:val="000062E0"/>
    <w:rsid w:val="0000667F"/>
    <w:rsid w:val="00006B3C"/>
    <w:rsid w:val="00006D47"/>
    <w:rsid w:val="00006FB1"/>
    <w:rsid w:val="00007392"/>
    <w:rsid w:val="000077A0"/>
    <w:rsid w:val="0000796A"/>
    <w:rsid w:val="00007EEA"/>
    <w:rsid w:val="00010033"/>
    <w:rsid w:val="0001007D"/>
    <w:rsid w:val="000101B2"/>
    <w:rsid w:val="000102EF"/>
    <w:rsid w:val="0001061C"/>
    <w:rsid w:val="0001066F"/>
    <w:rsid w:val="0001077D"/>
    <w:rsid w:val="00010799"/>
    <w:rsid w:val="000107EE"/>
    <w:rsid w:val="00010C1D"/>
    <w:rsid w:val="00011263"/>
    <w:rsid w:val="000113F8"/>
    <w:rsid w:val="000116B7"/>
    <w:rsid w:val="00011BFD"/>
    <w:rsid w:val="00011F86"/>
    <w:rsid w:val="0001220C"/>
    <w:rsid w:val="000125E7"/>
    <w:rsid w:val="0001281E"/>
    <w:rsid w:val="000129B6"/>
    <w:rsid w:val="00012E9B"/>
    <w:rsid w:val="000130E8"/>
    <w:rsid w:val="000131C9"/>
    <w:rsid w:val="00013222"/>
    <w:rsid w:val="0001330D"/>
    <w:rsid w:val="000136F4"/>
    <w:rsid w:val="0001387F"/>
    <w:rsid w:val="00013A6E"/>
    <w:rsid w:val="00013B55"/>
    <w:rsid w:val="00013B8D"/>
    <w:rsid w:val="00013C01"/>
    <w:rsid w:val="00013C5A"/>
    <w:rsid w:val="00013D2E"/>
    <w:rsid w:val="00013E19"/>
    <w:rsid w:val="000142C1"/>
    <w:rsid w:val="00014607"/>
    <w:rsid w:val="0001481D"/>
    <w:rsid w:val="00014AFE"/>
    <w:rsid w:val="00014D42"/>
    <w:rsid w:val="00015111"/>
    <w:rsid w:val="00015191"/>
    <w:rsid w:val="00015290"/>
    <w:rsid w:val="0001548D"/>
    <w:rsid w:val="00015634"/>
    <w:rsid w:val="00015C53"/>
    <w:rsid w:val="00015C70"/>
    <w:rsid w:val="00015D9E"/>
    <w:rsid w:val="000162F0"/>
    <w:rsid w:val="000163B7"/>
    <w:rsid w:val="00016583"/>
    <w:rsid w:val="00016757"/>
    <w:rsid w:val="00016804"/>
    <w:rsid w:val="00016AA5"/>
    <w:rsid w:val="00016B57"/>
    <w:rsid w:val="000170C1"/>
    <w:rsid w:val="000170E1"/>
    <w:rsid w:val="000171BC"/>
    <w:rsid w:val="000172A6"/>
    <w:rsid w:val="000175CF"/>
    <w:rsid w:val="00017D8C"/>
    <w:rsid w:val="000201ED"/>
    <w:rsid w:val="000202B9"/>
    <w:rsid w:val="00020382"/>
    <w:rsid w:val="0002046C"/>
    <w:rsid w:val="000204C6"/>
    <w:rsid w:val="00020500"/>
    <w:rsid w:val="0002064D"/>
    <w:rsid w:val="000208F3"/>
    <w:rsid w:val="0002095B"/>
    <w:rsid w:val="00020987"/>
    <w:rsid w:val="00020AC2"/>
    <w:rsid w:val="00020C3B"/>
    <w:rsid w:val="00020D6C"/>
    <w:rsid w:val="00020ECB"/>
    <w:rsid w:val="00020F71"/>
    <w:rsid w:val="0002151A"/>
    <w:rsid w:val="000215AA"/>
    <w:rsid w:val="000219F6"/>
    <w:rsid w:val="0002217E"/>
    <w:rsid w:val="000223DF"/>
    <w:rsid w:val="0002251F"/>
    <w:rsid w:val="00022808"/>
    <w:rsid w:val="00022DEA"/>
    <w:rsid w:val="00023139"/>
    <w:rsid w:val="000231DA"/>
    <w:rsid w:val="000234E5"/>
    <w:rsid w:val="000239BE"/>
    <w:rsid w:val="00023FB1"/>
    <w:rsid w:val="00024559"/>
    <w:rsid w:val="00024561"/>
    <w:rsid w:val="0002473A"/>
    <w:rsid w:val="0002473E"/>
    <w:rsid w:val="00024BF8"/>
    <w:rsid w:val="00024F80"/>
    <w:rsid w:val="0002501A"/>
    <w:rsid w:val="0002561B"/>
    <w:rsid w:val="000259BF"/>
    <w:rsid w:val="00025A80"/>
    <w:rsid w:val="00025B1B"/>
    <w:rsid w:val="00025FBA"/>
    <w:rsid w:val="0002649C"/>
    <w:rsid w:val="00026551"/>
    <w:rsid w:val="000265CD"/>
    <w:rsid w:val="000267F7"/>
    <w:rsid w:val="00026ACC"/>
    <w:rsid w:val="00027A46"/>
    <w:rsid w:val="00027DF6"/>
    <w:rsid w:val="000300F6"/>
    <w:rsid w:val="00030147"/>
    <w:rsid w:val="00030372"/>
    <w:rsid w:val="000303DA"/>
    <w:rsid w:val="00030785"/>
    <w:rsid w:val="00030C26"/>
    <w:rsid w:val="00030D9F"/>
    <w:rsid w:val="0003112C"/>
    <w:rsid w:val="0003151E"/>
    <w:rsid w:val="000317C9"/>
    <w:rsid w:val="00031944"/>
    <w:rsid w:val="000319B6"/>
    <w:rsid w:val="000319E5"/>
    <w:rsid w:val="00031A0B"/>
    <w:rsid w:val="00031B5D"/>
    <w:rsid w:val="00031B66"/>
    <w:rsid w:val="0003209F"/>
    <w:rsid w:val="00032348"/>
    <w:rsid w:val="00032364"/>
    <w:rsid w:val="000324D0"/>
    <w:rsid w:val="00032552"/>
    <w:rsid w:val="00032562"/>
    <w:rsid w:val="00032876"/>
    <w:rsid w:val="00032CBA"/>
    <w:rsid w:val="00032DD7"/>
    <w:rsid w:val="00032E50"/>
    <w:rsid w:val="0003300E"/>
    <w:rsid w:val="000330E9"/>
    <w:rsid w:val="0003336F"/>
    <w:rsid w:val="00033427"/>
    <w:rsid w:val="00033771"/>
    <w:rsid w:val="00033CE1"/>
    <w:rsid w:val="000342E4"/>
    <w:rsid w:val="00034404"/>
    <w:rsid w:val="0003483B"/>
    <w:rsid w:val="00034949"/>
    <w:rsid w:val="0003497C"/>
    <w:rsid w:val="00034AD0"/>
    <w:rsid w:val="00034DBB"/>
    <w:rsid w:val="000350DD"/>
    <w:rsid w:val="00035165"/>
    <w:rsid w:val="00035391"/>
    <w:rsid w:val="00035402"/>
    <w:rsid w:val="000356E5"/>
    <w:rsid w:val="0003576C"/>
    <w:rsid w:val="0003580F"/>
    <w:rsid w:val="00035922"/>
    <w:rsid w:val="000359BA"/>
    <w:rsid w:val="00035A14"/>
    <w:rsid w:val="00035E66"/>
    <w:rsid w:val="000362A8"/>
    <w:rsid w:val="00036B77"/>
    <w:rsid w:val="00036D3D"/>
    <w:rsid w:val="00036DC8"/>
    <w:rsid w:val="00036E51"/>
    <w:rsid w:val="00036E6A"/>
    <w:rsid w:val="00036EDC"/>
    <w:rsid w:val="00037303"/>
    <w:rsid w:val="00037315"/>
    <w:rsid w:val="000373DD"/>
    <w:rsid w:val="000374A5"/>
    <w:rsid w:val="000374E1"/>
    <w:rsid w:val="00037943"/>
    <w:rsid w:val="00037988"/>
    <w:rsid w:val="00037D64"/>
    <w:rsid w:val="00037F80"/>
    <w:rsid w:val="00037FC0"/>
    <w:rsid w:val="0004013F"/>
    <w:rsid w:val="0004034F"/>
    <w:rsid w:val="0004035C"/>
    <w:rsid w:val="00040603"/>
    <w:rsid w:val="000406DB"/>
    <w:rsid w:val="0004072C"/>
    <w:rsid w:val="0004080F"/>
    <w:rsid w:val="0004089F"/>
    <w:rsid w:val="00040DC6"/>
    <w:rsid w:val="00041350"/>
    <w:rsid w:val="00041501"/>
    <w:rsid w:val="0004169A"/>
    <w:rsid w:val="000417F6"/>
    <w:rsid w:val="00041A03"/>
    <w:rsid w:val="00041E0E"/>
    <w:rsid w:val="00041EE1"/>
    <w:rsid w:val="00042277"/>
    <w:rsid w:val="00042AD8"/>
    <w:rsid w:val="00042ADB"/>
    <w:rsid w:val="00042CD1"/>
    <w:rsid w:val="00042CF0"/>
    <w:rsid w:val="00042EFC"/>
    <w:rsid w:val="000439A3"/>
    <w:rsid w:val="00043CA9"/>
    <w:rsid w:val="00043D11"/>
    <w:rsid w:val="00043FD0"/>
    <w:rsid w:val="0004441D"/>
    <w:rsid w:val="000444CE"/>
    <w:rsid w:val="0004457F"/>
    <w:rsid w:val="000445E3"/>
    <w:rsid w:val="000446CA"/>
    <w:rsid w:val="000449EB"/>
    <w:rsid w:val="00044B44"/>
    <w:rsid w:val="00044D3C"/>
    <w:rsid w:val="00044E8D"/>
    <w:rsid w:val="00044F4B"/>
    <w:rsid w:val="00045006"/>
    <w:rsid w:val="00045089"/>
    <w:rsid w:val="000456BF"/>
    <w:rsid w:val="000458BE"/>
    <w:rsid w:val="00045D81"/>
    <w:rsid w:val="0004600A"/>
    <w:rsid w:val="000461CF"/>
    <w:rsid w:val="00046501"/>
    <w:rsid w:val="00046915"/>
    <w:rsid w:val="00046B5C"/>
    <w:rsid w:val="00046EE7"/>
    <w:rsid w:val="00046F62"/>
    <w:rsid w:val="0004706D"/>
    <w:rsid w:val="000472C5"/>
    <w:rsid w:val="00047352"/>
    <w:rsid w:val="0004758F"/>
    <w:rsid w:val="00047867"/>
    <w:rsid w:val="000479FA"/>
    <w:rsid w:val="00047AE0"/>
    <w:rsid w:val="0005019F"/>
    <w:rsid w:val="0005029D"/>
    <w:rsid w:val="000503C3"/>
    <w:rsid w:val="0005046C"/>
    <w:rsid w:val="0005065C"/>
    <w:rsid w:val="00050982"/>
    <w:rsid w:val="00050ACF"/>
    <w:rsid w:val="00050B41"/>
    <w:rsid w:val="00050E21"/>
    <w:rsid w:val="00050F49"/>
    <w:rsid w:val="0005142B"/>
    <w:rsid w:val="00051450"/>
    <w:rsid w:val="000514A9"/>
    <w:rsid w:val="0005164A"/>
    <w:rsid w:val="0005165A"/>
    <w:rsid w:val="0005165F"/>
    <w:rsid w:val="000518C1"/>
    <w:rsid w:val="00051C0C"/>
    <w:rsid w:val="00052029"/>
    <w:rsid w:val="0005210D"/>
    <w:rsid w:val="000521AA"/>
    <w:rsid w:val="000522BD"/>
    <w:rsid w:val="000522EE"/>
    <w:rsid w:val="00052673"/>
    <w:rsid w:val="0005288F"/>
    <w:rsid w:val="00052BCD"/>
    <w:rsid w:val="00052D42"/>
    <w:rsid w:val="00052D98"/>
    <w:rsid w:val="00053108"/>
    <w:rsid w:val="0005323D"/>
    <w:rsid w:val="00053242"/>
    <w:rsid w:val="0005364C"/>
    <w:rsid w:val="00053A99"/>
    <w:rsid w:val="00053B70"/>
    <w:rsid w:val="00053B8E"/>
    <w:rsid w:val="00053B9B"/>
    <w:rsid w:val="00053C1F"/>
    <w:rsid w:val="00054171"/>
    <w:rsid w:val="00054BAE"/>
    <w:rsid w:val="00054C7D"/>
    <w:rsid w:val="00054C97"/>
    <w:rsid w:val="00054DE7"/>
    <w:rsid w:val="00054FB7"/>
    <w:rsid w:val="00054FF2"/>
    <w:rsid w:val="00055237"/>
    <w:rsid w:val="0005531A"/>
    <w:rsid w:val="00055465"/>
    <w:rsid w:val="00055515"/>
    <w:rsid w:val="00055553"/>
    <w:rsid w:val="000556C9"/>
    <w:rsid w:val="000556EB"/>
    <w:rsid w:val="00055747"/>
    <w:rsid w:val="00055AF4"/>
    <w:rsid w:val="00055CFB"/>
    <w:rsid w:val="00055D4C"/>
    <w:rsid w:val="00055DCD"/>
    <w:rsid w:val="00055EF1"/>
    <w:rsid w:val="000560A5"/>
    <w:rsid w:val="000564E7"/>
    <w:rsid w:val="00056574"/>
    <w:rsid w:val="0005699F"/>
    <w:rsid w:val="0005705A"/>
    <w:rsid w:val="00057274"/>
    <w:rsid w:val="0005741E"/>
    <w:rsid w:val="00057515"/>
    <w:rsid w:val="000578D9"/>
    <w:rsid w:val="000578DD"/>
    <w:rsid w:val="00057AE6"/>
    <w:rsid w:val="00057E1F"/>
    <w:rsid w:val="00057E53"/>
    <w:rsid w:val="00057ED8"/>
    <w:rsid w:val="00057F71"/>
    <w:rsid w:val="00060232"/>
    <w:rsid w:val="00060254"/>
    <w:rsid w:val="00060854"/>
    <w:rsid w:val="00060AED"/>
    <w:rsid w:val="00060C39"/>
    <w:rsid w:val="00060D24"/>
    <w:rsid w:val="00060E8E"/>
    <w:rsid w:val="000617E7"/>
    <w:rsid w:val="00061A8D"/>
    <w:rsid w:val="00061DFE"/>
    <w:rsid w:val="00062018"/>
    <w:rsid w:val="00062067"/>
    <w:rsid w:val="00062104"/>
    <w:rsid w:val="00062318"/>
    <w:rsid w:val="000623B7"/>
    <w:rsid w:val="000624E9"/>
    <w:rsid w:val="00062830"/>
    <w:rsid w:val="0006287B"/>
    <w:rsid w:val="00062AAA"/>
    <w:rsid w:val="00062BE1"/>
    <w:rsid w:val="00062DDA"/>
    <w:rsid w:val="00062EFD"/>
    <w:rsid w:val="000633A4"/>
    <w:rsid w:val="00063637"/>
    <w:rsid w:val="00063D52"/>
    <w:rsid w:val="00063DBF"/>
    <w:rsid w:val="00064156"/>
    <w:rsid w:val="000642A9"/>
    <w:rsid w:val="00064384"/>
    <w:rsid w:val="000643FA"/>
    <w:rsid w:val="0006442F"/>
    <w:rsid w:val="00064A78"/>
    <w:rsid w:val="00064D04"/>
    <w:rsid w:val="000657A0"/>
    <w:rsid w:val="0006597C"/>
    <w:rsid w:val="000659DA"/>
    <w:rsid w:val="00065AB4"/>
    <w:rsid w:val="00065C62"/>
    <w:rsid w:val="00065C74"/>
    <w:rsid w:val="00065CDE"/>
    <w:rsid w:val="00065F4A"/>
    <w:rsid w:val="000661AA"/>
    <w:rsid w:val="0006643B"/>
    <w:rsid w:val="00066561"/>
    <w:rsid w:val="00066C60"/>
    <w:rsid w:val="00066D2C"/>
    <w:rsid w:val="0006752C"/>
    <w:rsid w:val="00067667"/>
    <w:rsid w:val="000676B2"/>
    <w:rsid w:val="000676E5"/>
    <w:rsid w:val="00067738"/>
    <w:rsid w:val="00067743"/>
    <w:rsid w:val="000677DE"/>
    <w:rsid w:val="000677FA"/>
    <w:rsid w:val="0006783B"/>
    <w:rsid w:val="000701BE"/>
    <w:rsid w:val="0007033E"/>
    <w:rsid w:val="00070377"/>
    <w:rsid w:val="000703FB"/>
    <w:rsid w:val="0007063B"/>
    <w:rsid w:val="000708AA"/>
    <w:rsid w:val="000709B8"/>
    <w:rsid w:val="00070C70"/>
    <w:rsid w:val="00070CB7"/>
    <w:rsid w:val="00070D4E"/>
    <w:rsid w:val="00070D75"/>
    <w:rsid w:val="00070E5A"/>
    <w:rsid w:val="00070F2E"/>
    <w:rsid w:val="00071B7E"/>
    <w:rsid w:val="00072074"/>
    <w:rsid w:val="000721FB"/>
    <w:rsid w:val="000728C3"/>
    <w:rsid w:val="00072E31"/>
    <w:rsid w:val="00073155"/>
    <w:rsid w:val="000735B4"/>
    <w:rsid w:val="00073A2C"/>
    <w:rsid w:val="000745AA"/>
    <w:rsid w:val="00074722"/>
    <w:rsid w:val="0007481B"/>
    <w:rsid w:val="00074A38"/>
    <w:rsid w:val="00074C9A"/>
    <w:rsid w:val="00074F02"/>
    <w:rsid w:val="00075009"/>
    <w:rsid w:val="0007530D"/>
    <w:rsid w:val="000753E6"/>
    <w:rsid w:val="0007550D"/>
    <w:rsid w:val="000755A5"/>
    <w:rsid w:val="0007561C"/>
    <w:rsid w:val="00075A36"/>
    <w:rsid w:val="00075A40"/>
    <w:rsid w:val="00075B17"/>
    <w:rsid w:val="00075B1F"/>
    <w:rsid w:val="00075C55"/>
    <w:rsid w:val="00075F2D"/>
    <w:rsid w:val="00076697"/>
    <w:rsid w:val="000766D9"/>
    <w:rsid w:val="00076A1B"/>
    <w:rsid w:val="00076B6D"/>
    <w:rsid w:val="00076CD7"/>
    <w:rsid w:val="00076D9F"/>
    <w:rsid w:val="00076E38"/>
    <w:rsid w:val="00076EDA"/>
    <w:rsid w:val="00076F7C"/>
    <w:rsid w:val="00076FD4"/>
    <w:rsid w:val="00077209"/>
    <w:rsid w:val="000772D9"/>
    <w:rsid w:val="00077E3B"/>
    <w:rsid w:val="00077F1E"/>
    <w:rsid w:val="00080172"/>
    <w:rsid w:val="000802B4"/>
    <w:rsid w:val="000805D1"/>
    <w:rsid w:val="000806A8"/>
    <w:rsid w:val="0008073E"/>
    <w:rsid w:val="00080813"/>
    <w:rsid w:val="0008081E"/>
    <w:rsid w:val="00080AD4"/>
    <w:rsid w:val="00080AE2"/>
    <w:rsid w:val="00080D0A"/>
    <w:rsid w:val="00080DD3"/>
    <w:rsid w:val="00080F09"/>
    <w:rsid w:val="00080F75"/>
    <w:rsid w:val="00080FF3"/>
    <w:rsid w:val="0008145C"/>
    <w:rsid w:val="0008160A"/>
    <w:rsid w:val="00081630"/>
    <w:rsid w:val="00081699"/>
    <w:rsid w:val="000816DF"/>
    <w:rsid w:val="000819B3"/>
    <w:rsid w:val="00081E24"/>
    <w:rsid w:val="00081F8F"/>
    <w:rsid w:val="00081FD8"/>
    <w:rsid w:val="00082052"/>
    <w:rsid w:val="00082314"/>
    <w:rsid w:val="00082422"/>
    <w:rsid w:val="000825EF"/>
    <w:rsid w:val="00082868"/>
    <w:rsid w:val="000829F7"/>
    <w:rsid w:val="00082B6A"/>
    <w:rsid w:val="00082B98"/>
    <w:rsid w:val="00082BF6"/>
    <w:rsid w:val="00082C4A"/>
    <w:rsid w:val="00083434"/>
    <w:rsid w:val="0008357C"/>
    <w:rsid w:val="0008362B"/>
    <w:rsid w:val="00083896"/>
    <w:rsid w:val="00083B74"/>
    <w:rsid w:val="0008407E"/>
    <w:rsid w:val="00084157"/>
    <w:rsid w:val="00084169"/>
    <w:rsid w:val="0008417E"/>
    <w:rsid w:val="000842DF"/>
    <w:rsid w:val="00084788"/>
    <w:rsid w:val="000847FE"/>
    <w:rsid w:val="00084A4B"/>
    <w:rsid w:val="00084A91"/>
    <w:rsid w:val="00084B18"/>
    <w:rsid w:val="00084BC6"/>
    <w:rsid w:val="0008507B"/>
    <w:rsid w:val="00085274"/>
    <w:rsid w:val="000855E3"/>
    <w:rsid w:val="0008563F"/>
    <w:rsid w:val="00085CEA"/>
    <w:rsid w:val="00085E44"/>
    <w:rsid w:val="00086133"/>
    <w:rsid w:val="000861DF"/>
    <w:rsid w:val="00086221"/>
    <w:rsid w:val="000863AE"/>
    <w:rsid w:val="00086850"/>
    <w:rsid w:val="00086881"/>
    <w:rsid w:val="000868B3"/>
    <w:rsid w:val="00086916"/>
    <w:rsid w:val="00086BFB"/>
    <w:rsid w:val="00086DFC"/>
    <w:rsid w:val="00086F3B"/>
    <w:rsid w:val="00086FEE"/>
    <w:rsid w:val="00087082"/>
    <w:rsid w:val="00087258"/>
    <w:rsid w:val="000875CD"/>
    <w:rsid w:val="00087F22"/>
    <w:rsid w:val="00090074"/>
    <w:rsid w:val="000900D5"/>
    <w:rsid w:val="00090188"/>
    <w:rsid w:val="000901E7"/>
    <w:rsid w:val="00090279"/>
    <w:rsid w:val="000903CA"/>
    <w:rsid w:val="00090411"/>
    <w:rsid w:val="000904C7"/>
    <w:rsid w:val="000904D2"/>
    <w:rsid w:val="00090629"/>
    <w:rsid w:val="000906BE"/>
    <w:rsid w:val="00090711"/>
    <w:rsid w:val="000909A8"/>
    <w:rsid w:val="00090D95"/>
    <w:rsid w:val="00090DD4"/>
    <w:rsid w:val="00091131"/>
    <w:rsid w:val="0009119C"/>
    <w:rsid w:val="00091688"/>
    <w:rsid w:val="0009181F"/>
    <w:rsid w:val="00091ADE"/>
    <w:rsid w:val="00091CBA"/>
    <w:rsid w:val="00091CC9"/>
    <w:rsid w:val="00091D3C"/>
    <w:rsid w:val="0009213D"/>
    <w:rsid w:val="00092465"/>
    <w:rsid w:val="00092509"/>
    <w:rsid w:val="0009269D"/>
    <w:rsid w:val="00092727"/>
    <w:rsid w:val="0009280E"/>
    <w:rsid w:val="00092915"/>
    <w:rsid w:val="00092945"/>
    <w:rsid w:val="00092B5B"/>
    <w:rsid w:val="00092C7F"/>
    <w:rsid w:val="00092DD7"/>
    <w:rsid w:val="00092E58"/>
    <w:rsid w:val="00092EA7"/>
    <w:rsid w:val="00093628"/>
    <w:rsid w:val="0009399C"/>
    <w:rsid w:val="00093D56"/>
    <w:rsid w:val="00093E92"/>
    <w:rsid w:val="00093F2F"/>
    <w:rsid w:val="000945B3"/>
    <w:rsid w:val="00094CDE"/>
    <w:rsid w:val="00094DFB"/>
    <w:rsid w:val="00094EBD"/>
    <w:rsid w:val="0009533A"/>
    <w:rsid w:val="00095341"/>
    <w:rsid w:val="00095EB7"/>
    <w:rsid w:val="000960AD"/>
    <w:rsid w:val="00096595"/>
    <w:rsid w:val="0009688E"/>
    <w:rsid w:val="00096BCD"/>
    <w:rsid w:val="00097043"/>
    <w:rsid w:val="00097141"/>
    <w:rsid w:val="00097399"/>
    <w:rsid w:val="0009739E"/>
    <w:rsid w:val="0009759A"/>
    <w:rsid w:val="0009771F"/>
    <w:rsid w:val="00097EE5"/>
    <w:rsid w:val="000A027E"/>
    <w:rsid w:val="000A03D7"/>
    <w:rsid w:val="000A050C"/>
    <w:rsid w:val="000A05C4"/>
    <w:rsid w:val="000A0AFB"/>
    <w:rsid w:val="000A0D48"/>
    <w:rsid w:val="000A0DE1"/>
    <w:rsid w:val="000A0F4F"/>
    <w:rsid w:val="000A117F"/>
    <w:rsid w:val="000A161F"/>
    <w:rsid w:val="000A1844"/>
    <w:rsid w:val="000A18F1"/>
    <w:rsid w:val="000A19A8"/>
    <w:rsid w:val="000A1BB3"/>
    <w:rsid w:val="000A1F7B"/>
    <w:rsid w:val="000A2267"/>
    <w:rsid w:val="000A232E"/>
    <w:rsid w:val="000A253B"/>
    <w:rsid w:val="000A2694"/>
    <w:rsid w:val="000A2714"/>
    <w:rsid w:val="000A27E5"/>
    <w:rsid w:val="000A2DC7"/>
    <w:rsid w:val="000A2EF1"/>
    <w:rsid w:val="000A2F25"/>
    <w:rsid w:val="000A3053"/>
    <w:rsid w:val="000A313D"/>
    <w:rsid w:val="000A3399"/>
    <w:rsid w:val="000A3413"/>
    <w:rsid w:val="000A3439"/>
    <w:rsid w:val="000A345F"/>
    <w:rsid w:val="000A3681"/>
    <w:rsid w:val="000A369E"/>
    <w:rsid w:val="000A36A5"/>
    <w:rsid w:val="000A375D"/>
    <w:rsid w:val="000A3A11"/>
    <w:rsid w:val="000A3AF6"/>
    <w:rsid w:val="000A3B48"/>
    <w:rsid w:val="000A3C7C"/>
    <w:rsid w:val="000A3C85"/>
    <w:rsid w:val="000A3D99"/>
    <w:rsid w:val="000A3EAD"/>
    <w:rsid w:val="000A3F4C"/>
    <w:rsid w:val="000A4109"/>
    <w:rsid w:val="000A41A2"/>
    <w:rsid w:val="000A42E6"/>
    <w:rsid w:val="000A4553"/>
    <w:rsid w:val="000A4AF8"/>
    <w:rsid w:val="000A4E1F"/>
    <w:rsid w:val="000A50DF"/>
    <w:rsid w:val="000A516B"/>
    <w:rsid w:val="000A51B1"/>
    <w:rsid w:val="000A52D8"/>
    <w:rsid w:val="000A53B6"/>
    <w:rsid w:val="000A5D44"/>
    <w:rsid w:val="000A5E13"/>
    <w:rsid w:val="000A612B"/>
    <w:rsid w:val="000A6609"/>
    <w:rsid w:val="000A6708"/>
    <w:rsid w:val="000A692D"/>
    <w:rsid w:val="000A6ABF"/>
    <w:rsid w:val="000A6B21"/>
    <w:rsid w:val="000A6DFA"/>
    <w:rsid w:val="000A6F8A"/>
    <w:rsid w:val="000A6FBD"/>
    <w:rsid w:val="000A7200"/>
    <w:rsid w:val="000A7333"/>
    <w:rsid w:val="000A738B"/>
    <w:rsid w:val="000A74CD"/>
    <w:rsid w:val="000A7A0C"/>
    <w:rsid w:val="000A7B68"/>
    <w:rsid w:val="000A7BB1"/>
    <w:rsid w:val="000A7EA5"/>
    <w:rsid w:val="000B0472"/>
    <w:rsid w:val="000B0766"/>
    <w:rsid w:val="000B0B88"/>
    <w:rsid w:val="000B0F8D"/>
    <w:rsid w:val="000B10C6"/>
    <w:rsid w:val="000B111E"/>
    <w:rsid w:val="000B1138"/>
    <w:rsid w:val="000B12EB"/>
    <w:rsid w:val="000B1405"/>
    <w:rsid w:val="000B140F"/>
    <w:rsid w:val="000B14C3"/>
    <w:rsid w:val="000B14E8"/>
    <w:rsid w:val="000B159D"/>
    <w:rsid w:val="000B168F"/>
    <w:rsid w:val="000B16D8"/>
    <w:rsid w:val="000B17B2"/>
    <w:rsid w:val="000B194B"/>
    <w:rsid w:val="000B19BB"/>
    <w:rsid w:val="000B1A93"/>
    <w:rsid w:val="000B1B64"/>
    <w:rsid w:val="000B206B"/>
    <w:rsid w:val="000B20D1"/>
    <w:rsid w:val="000B2168"/>
    <w:rsid w:val="000B21D2"/>
    <w:rsid w:val="000B2254"/>
    <w:rsid w:val="000B22D5"/>
    <w:rsid w:val="000B2480"/>
    <w:rsid w:val="000B24B1"/>
    <w:rsid w:val="000B24F2"/>
    <w:rsid w:val="000B2742"/>
    <w:rsid w:val="000B2BB8"/>
    <w:rsid w:val="000B2BE3"/>
    <w:rsid w:val="000B2F0E"/>
    <w:rsid w:val="000B32B2"/>
    <w:rsid w:val="000B3492"/>
    <w:rsid w:val="000B35EA"/>
    <w:rsid w:val="000B3659"/>
    <w:rsid w:val="000B376F"/>
    <w:rsid w:val="000B3777"/>
    <w:rsid w:val="000B388B"/>
    <w:rsid w:val="000B3C3D"/>
    <w:rsid w:val="000B4005"/>
    <w:rsid w:val="000B4064"/>
    <w:rsid w:val="000B44AC"/>
    <w:rsid w:val="000B4518"/>
    <w:rsid w:val="000B4681"/>
    <w:rsid w:val="000B47BF"/>
    <w:rsid w:val="000B47F0"/>
    <w:rsid w:val="000B499E"/>
    <w:rsid w:val="000B4F1B"/>
    <w:rsid w:val="000B4FAD"/>
    <w:rsid w:val="000B5175"/>
    <w:rsid w:val="000B5180"/>
    <w:rsid w:val="000B5404"/>
    <w:rsid w:val="000B5589"/>
    <w:rsid w:val="000B568D"/>
    <w:rsid w:val="000B56CD"/>
    <w:rsid w:val="000B5811"/>
    <w:rsid w:val="000B5AE9"/>
    <w:rsid w:val="000B61BA"/>
    <w:rsid w:val="000B636B"/>
    <w:rsid w:val="000B67AF"/>
    <w:rsid w:val="000B693B"/>
    <w:rsid w:val="000B6B69"/>
    <w:rsid w:val="000B6BC5"/>
    <w:rsid w:val="000B6D3A"/>
    <w:rsid w:val="000B6F36"/>
    <w:rsid w:val="000B71E1"/>
    <w:rsid w:val="000B724A"/>
    <w:rsid w:val="000B73F3"/>
    <w:rsid w:val="000B74A6"/>
    <w:rsid w:val="000B769B"/>
    <w:rsid w:val="000B79CE"/>
    <w:rsid w:val="000B7A09"/>
    <w:rsid w:val="000B7A4D"/>
    <w:rsid w:val="000B7A75"/>
    <w:rsid w:val="000B7AE9"/>
    <w:rsid w:val="000B7AED"/>
    <w:rsid w:val="000C0142"/>
    <w:rsid w:val="000C03C3"/>
    <w:rsid w:val="000C03CD"/>
    <w:rsid w:val="000C05C6"/>
    <w:rsid w:val="000C07C1"/>
    <w:rsid w:val="000C0987"/>
    <w:rsid w:val="000C0CB8"/>
    <w:rsid w:val="000C0F62"/>
    <w:rsid w:val="000C10D5"/>
    <w:rsid w:val="000C10F6"/>
    <w:rsid w:val="000C11CC"/>
    <w:rsid w:val="000C17CD"/>
    <w:rsid w:val="000C185F"/>
    <w:rsid w:val="000C1B45"/>
    <w:rsid w:val="000C1CD0"/>
    <w:rsid w:val="000C1E0A"/>
    <w:rsid w:val="000C1FE4"/>
    <w:rsid w:val="000C2625"/>
    <w:rsid w:val="000C264C"/>
    <w:rsid w:val="000C2658"/>
    <w:rsid w:val="000C29E7"/>
    <w:rsid w:val="000C2ACF"/>
    <w:rsid w:val="000C2B8C"/>
    <w:rsid w:val="000C2DA9"/>
    <w:rsid w:val="000C2E08"/>
    <w:rsid w:val="000C34EC"/>
    <w:rsid w:val="000C35E1"/>
    <w:rsid w:val="000C3638"/>
    <w:rsid w:val="000C3650"/>
    <w:rsid w:val="000C3719"/>
    <w:rsid w:val="000C375A"/>
    <w:rsid w:val="000C3860"/>
    <w:rsid w:val="000C3ACD"/>
    <w:rsid w:val="000C3D99"/>
    <w:rsid w:val="000C3DD4"/>
    <w:rsid w:val="000C45FF"/>
    <w:rsid w:val="000C4CD6"/>
    <w:rsid w:val="000C4DDC"/>
    <w:rsid w:val="000C5B52"/>
    <w:rsid w:val="000C5D7B"/>
    <w:rsid w:val="000C5EE4"/>
    <w:rsid w:val="000C5EF8"/>
    <w:rsid w:val="000C668E"/>
    <w:rsid w:val="000C6777"/>
    <w:rsid w:val="000C68F7"/>
    <w:rsid w:val="000C6A40"/>
    <w:rsid w:val="000C6ABB"/>
    <w:rsid w:val="000C6D18"/>
    <w:rsid w:val="000C6D67"/>
    <w:rsid w:val="000C71CA"/>
    <w:rsid w:val="000C72B3"/>
    <w:rsid w:val="000C7305"/>
    <w:rsid w:val="000C7654"/>
    <w:rsid w:val="000C7883"/>
    <w:rsid w:val="000C793A"/>
    <w:rsid w:val="000C7B1E"/>
    <w:rsid w:val="000C7F42"/>
    <w:rsid w:val="000D0023"/>
    <w:rsid w:val="000D01AA"/>
    <w:rsid w:val="000D0218"/>
    <w:rsid w:val="000D0480"/>
    <w:rsid w:val="000D0722"/>
    <w:rsid w:val="000D0749"/>
    <w:rsid w:val="000D07A4"/>
    <w:rsid w:val="000D085A"/>
    <w:rsid w:val="000D0A81"/>
    <w:rsid w:val="000D122A"/>
    <w:rsid w:val="000D161B"/>
    <w:rsid w:val="000D169F"/>
    <w:rsid w:val="000D1808"/>
    <w:rsid w:val="000D18A0"/>
    <w:rsid w:val="000D1988"/>
    <w:rsid w:val="000D199E"/>
    <w:rsid w:val="000D19F0"/>
    <w:rsid w:val="000D1AB4"/>
    <w:rsid w:val="000D1D6E"/>
    <w:rsid w:val="000D2138"/>
    <w:rsid w:val="000D2189"/>
    <w:rsid w:val="000D21B1"/>
    <w:rsid w:val="000D2465"/>
    <w:rsid w:val="000D266B"/>
    <w:rsid w:val="000D26D4"/>
    <w:rsid w:val="000D2F5C"/>
    <w:rsid w:val="000D31D0"/>
    <w:rsid w:val="000D321F"/>
    <w:rsid w:val="000D32C8"/>
    <w:rsid w:val="000D34C8"/>
    <w:rsid w:val="000D35B4"/>
    <w:rsid w:val="000D381F"/>
    <w:rsid w:val="000D3854"/>
    <w:rsid w:val="000D39EF"/>
    <w:rsid w:val="000D3B0F"/>
    <w:rsid w:val="000D3BCF"/>
    <w:rsid w:val="000D3C55"/>
    <w:rsid w:val="000D3C9B"/>
    <w:rsid w:val="000D3CC2"/>
    <w:rsid w:val="000D3D97"/>
    <w:rsid w:val="000D3DBE"/>
    <w:rsid w:val="000D4080"/>
    <w:rsid w:val="000D43BC"/>
    <w:rsid w:val="000D4628"/>
    <w:rsid w:val="000D46EF"/>
    <w:rsid w:val="000D4705"/>
    <w:rsid w:val="000D4793"/>
    <w:rsid w:val="000D4895"/>
    <w:rsid w:val="000D48E9"/>
    <w:rsid w:val="000D4AD8"/>
    <w:rsid w:val="000D4D0B"/>
    <w:rsid w:val="000D510F"/>
    <w:rsid w:val="000D517F"/>
    <w:rsid w:val="000D5198"/>
    <w:rsid w:val="000D51D6"/>
    <w:rsid w:val="000D5375"/>
    <w:rsid w:val="000D593F"/>
    <w:rsid w:val="000D6381"/>
    <w:rsid w:val="000D65D3"/>
    <w:rsid w:val="000D6651"/>
    <w:rsid w:val="000D6726"/>
    <w:rsid w:val="000D68F0"/>
    <w:rsid w:val="000D6AC7"/>
    <w:rsid w:val="000D7093"/>
    <w:rsid w:val="000D70A6"/>
    <w:rsid w:val="000D746C"/>
    <w:rsid w:val="000D7979"/>
    <w:rsid w:val="000D79E5"/>
    <w:rsid w:val="000D7A42"/>
    <w:rsid w:val="000D7A9C"/>
    <w:rsid w:val="000D7BA2"/>
    <w:rsid w:val="000D7FF6"/>
    <w:rsid w:val="000E00E1"/>
    <w:rsid w:val="000E0135"/>
    <w:rsid w:val="000E0181"/>
    <w:rsid w:val="000E01E8"/>
    <w:rsid w:val="000E0414"/>
    <w:rsid w:val="000E04CE"/>
    <w:rsid w:val="000E0545"/>
    <w:rsid w:val="000E06C6"/>
    <w:rsid w:val="000E0799"/>
    <w:rsid w:val="000E07AE"/>
    <w:rsid w:val="000E07CD"/>
    <w:rsid w:val="000E0833"/>
    <w:rsid w:val="000E09B0"/>
    <w:rsid w:val="000E0AC7"/>
    <w:rsid w:val="000E0B79"/>
    <w:rsid w:val="000E0CB4"/>
    <w:rsid w:val="000E0CF4"/>
    <w:rsid w:val="000E0E6C"/>
    <w:rsid w:val="000E0EEC"/>
    <w:rsid w:val="000E1069"/>
    <w:rsid w:val="000E1401"/>
    <w:rsid w:val="000E15B5"/>
    <w:rsid w:val="000E17CB"/>
    <w:rsid w:val="000E1A4B"/>
    <w:rsid w:val="000E1CF2"/>
    <w:rsid w:val="000E21D0"/>
    <w:rsid w:val="000E287A"/>
    <w:rsid w:val="000E28B5"/>
    <w:rsid w:val="000E29AB"/>
    <w:rsid w:val="000E2C3F"/>
    <w:rsid w:val="000E2C9A"/>
    <w:rsid w:val="000E2F02"/>
    <w:rsid w:val="000E3155"/>
    <w:rsid w:val="000E322B"/>
    <w:rsid w:val="000E3279"/>
    <w:rsid w:val="000E3585"/>
    <w:rsid w:val="000E383F"/>
    <w:rsid w:val="000E3CEE"/>
    <w:rsid w:val="000E3E1E"/>
    <w:rsid w:val="000E3EC4"/>
    <w:rsid w:val="000E4089"/>
    <w:rsid w:val="000E41CB"/>
    <w:rsid w:val="000E4342"/>
    <w:rsid w:val="000E4430"/>
    <w:rsid w:val="000E485C"/>
    <w:rsid w:val="000E4A22"/>
    <w:rsid w:val="000E4A45"/>
    <w:rsid w:val="000E4A69"/>
    <w:rsid w:val="000E4B90"/>
    <w:rsid w:val="000E4C20"/>
    <w:rsid w:val="000E5281"/>
    <w:rsid w:val="000E5AC8"/>
    <w:rsid w:val="000E5ED3"/>
    <w:rsid w:val="000E5F82"/>
    <w:rsid w:val="000E5FDB"/>
    <w:rsid w:val="000E608E"/>
    <w:rsid w:val="000E6243"/>
    <w:rsid w:val="000E64AF"/>
    <w:rsid w:val="000E66DD"/>
    <w:rsid w:val="000E697E"/>
    <w:rsid w:val="000E6E11"/>
    <w:rsid w:val="000E6F0C"/>
    <w:rsid w:val="000E6FC5"/>
    <w:rsid w:val="000E7019"/>
    <w:rsid w:val="000E7029"/>
    <w:rsid w:val="000E7085"/>
    <w:rsid w:val="000E732F"/>
    <w:rsid w:val="000E7A9F"/>
    <w:rsid w:val="000E7CB6"/>
    <w:rsid w:val="000F030E"/>
    <w:rsid w:val="000F0549"/>
    <w:rsid w:val="000F07C8"/>
    <w:rsid w:val="000F08AD"/>
    <w:rsid w:val="000F08F6"/>
    <w:rsid w:val="000F0DCC"/>
    <w:rsid w:val="000F12BC"/>
    <w:rsid w:val="000F12F3"/>
    <w:rsid w:val="000F16A5"/>
    <w:rsid w:val="000F17E3"/>
    <w:rsid w:val="000F1A5A"/>
    <w:rsid w:val="000F1B54"/>
    <w:rsid w:val="000F1C86"/>
    <w:rsid w:val="000F22D7"/>
    <w:rsid w:val="000F243A"/>
    <w:rsid w:val="000F2534"/>
    <w:rsid w:val="000F2E38"/>
    <w:rsid w:val="000F2FA8"/>
    <w:rsid w:val="000F313A"/>
    <w:rsid w:val="000F3505"/>
    <w:rsid w:val="000F3652"/>
    <w:rsid w:val="000F3CC8"/>
    <w:rsid w:val="000F48B7"/>
    <w:rsid w:val="000F49F4"/>
    <w:rsid w:val="000F5323"/>
    <w:rsid w:val="000F5325"/>
    <w:rsid w:val="000F5329"/>
    <w:rsid w:val="000F5349"/>
    <w:rsid w:val="000F540A"/>
    <w:rsid w:val="000F59AA"/>
    <w:rsid w:val="000F5B7E"/>
    <w:rsid w:val="000F5B89"/>
    <w:rsid w:val="000F5C18"/>
    <w:rsid w:val="000F5D28"/>
    <w:rsid w:val="000F63DE"/>
    <w:rsid w:val="000F664C"/>
    <w:rsid w:val="000F67C7"/>
    <w:rsid w:val="000F68F8"/>
    <w:rsid w:val="000F6B3C"/>
    <w:rsid w:val="000F6BCA"/>
    <w:rsid w:val="000F6C4A"/>
    <w:rsid w:val="000F6D04"/>
    <w:rsid w:val="000F7116"/>
    <w:rsid w:val="000F76E2"/>
    <w:rsid w:val="000F7B0C"/>
    <w:rsid w:val="000F7D8E"/>
    <w:rsid w:val="000F7E47"/>
    <w:rsid w:val="0010002A"/>
    <w:rsid w:val="001001A3"/>
    <w:rsid w:val="00100343"/>
    <w:rsid w:val="0010041D"/>
    <w:rsid w:val="00100429"/>
    <w:rsid w:val="00100441"/>
    <w:rsid w:val="001007BF"/>
    <w:rsid w:val="00100802"/>
    <w:rsid w:val="0010086D"/>
    <w:rsid w:val="00100B04"/>
    <w:rsid w:val="00100D09"/>
    <w:rsid w:val="0010143F"/>
    <w:rsid w:val="001018A8"/>
    <w:rsid w:val="0010190A"/>
    <w:rsid w:val="00101FBD"/>
    <w:rsid w:val="00102787"/>
    <w:rsid w:val="00102993"/>
    <w:rsid w:val="00102B10"/>
    <w:rsid w:val="00102BEE"/>
    <w:rsid w:val="0010309D"/>
    <w:rsid w:val="001031BA"/>
    <w:rsid w:val="00103264"/>
    <w:rsid w:val="00103368"/>
    <w:rsid w:val="00103411"/>
    <w:rsid w:val="00103771"/>
    <w:rsid w:val="00103AAF"/>
    <w:rsid w:val="00103B20"/>
    <w:rsid w:val="00103BB8"/>
    <w:rsid w:val="00103D4F"/>
    <w:rsid w:val="00103E3F"/>
    <w:rsid w:val="00103E52"/>
    <w:rsid w:val="0010408C"/>
    <w:rsid w:val="001040CB"/>
    <w:rsid w:val="00104264"/>
    <w:rsid w:val="001042FE"/>
    <w:rsid w:val="001048EB"/>
    <w:rsid w:val="00104A1D"/>
    <w:rsid w:val="00104E03"/>
    <w:rsid w:val="00104FBE"/>
    <w:rsid w:val="00104FE4"/>
    <w:rsid w:val="001054F7"/>
    <w:rsid w:val="00105895"/>
    <w:rsid w:val="0010594E"/>
    <w:rsid w:val="001059D6"/>
    <w:rsid w:val="00105A48"/>
    <w:rsid w:val="00105D1A"/>
    <w:rsid w:val="00106191"/>
    <w:rsid w:val="001063F0"/>
    <w:rsid w:val="00106411"/>
    <w:rsid w:val="0010659B"/>
    <w:rsid w:val="00106888"/>
    <w:rsid w:val="001069A7"/>
    <w:rsid w:val="001069CF"/>
    <w:rsid w:val="00106F69"/>
    <w:rsid w:val="00107448"/>
    <w:rsid w:val="00107541"/>
    <w:rsid w:val="00107C3D"/>
    <w:rsid w:val="00107C94"/>
    <w:rsid w:val="00107E4E"/>
    <w:rsid w:val="001104C2"/>
    <w:rsid w:val="001106E3"/>
    <w:rsid w:val="00110A2F"/>
    <w:rsid w:val="00110DA6"/>
    <w:rsid w:val="00110DBB"/>
    <w:rsid w:val="00110ECD"/>
    <w:rsid w:val="00111126"/>
    <w:rsid w:val="001111D0"/>
    <w:rsid w:val="001112DA"/>
    <w:rsid w:val="0011144D"/>
    <w:rsid w:val="0011157D"/>
    <w:rsid w:val="00111667"/>
    <w:rsid w:val="0011173D"/>
    <w:rsid w:val="00111951"/>
    <w:rsid w:val="00111D40"/>
    <w:rsid w:val="00111D9F"/>
    <w:rsid w:val="00111F96"/>
    <w:rsid w:val="0011204F"/>
    <w:rsid w:val="001120B5"/>
    <w:rsid w:val="00112238"/>
    <w:rsid w:val="001125E5"/>
    <w:rsid w:val="00112863"/>
    <w:rsid w:val="001129BB"/>
    <w:rsid w:val="00112A19"/>
    <w:rsid w:val="00112A94"/>
    <w:rsid w:val="00112E6E"/>
    <w:rsid w:val="00112F1A"/>
    <w:rsid w:val="00113216"/>
    <w:rsid w:val="001132D5"/>
    <w:rsid w:val="00113390"/>
    <w:rsid w:val="00113408"/>
    <w:rsid w:val="001136A7"/>
    <w:rsid w:val="001138EE"/>
    <w:rsid w:val="001139E8"/>
    <w:rsid w:val="00113B7B"/>
    <w:rsid w:val="00113B9A"/>
    <w:rsid w:val="00113C4A"/>
    <w:rsid w:val="00113D4A"/>
    <w:rsid w:val="00113E58"/>
    <w:rsid w:val="00113E97"/>
    <w:rsid w:val="00113E9B"/>
    <w:rsid w:val="001147D5"/>
    <w:rsid w:val="001147FF"/>
    <w:rsid w:val="00115124"/>
    <w:rsid w:val="00115536"/>
    <w:rsid w:val="00115588"/>
    <w:rsid w:val="001158E8"/>
    <w:rsid w:val="00115B2B"/>
    <w:rsid w:val="00115D20"/>
    <w:rsid w:val="00115D55"/>
    <w:rsid w:val="00116114"/>
    <w:rsid w:val="00116262"/>
    <w:rsid w:val="00116362"/>
    <w:rsid w:val="001163AD"/>
    <w:rsid w:val="001166AA"/>
    <w:rsid w:val="001166BF"/>
    <w:rsid w:val="00116DE1"/>
    <w:rsid w:val="00116FEE"/>
    <w:rsid w:val="001172AF"/>
    <w:rsid w:val="00117306"/>
    <w:rsid w:val="00117E4D"/>
    <w:rsid w:val="001200DA"/>
    <w:rsid w:val="001201BE"/>
    <w:rsid w:val="001207EC"/>
    <w:rsid w:val="00120966"/>
    <w:rsid w:val="00120BD6"/>
    <w:rsid w:val="00120F68"/>
    <w:rsid w:val="00121609"/>
    <w:rsid w:val="00121AAE"/>
    <w:rsid w:val="00121C9C"/>
    <w:rsid w:val="001221C9"/>
    <w:rsid w:val="001225FA"/>
    <w:rsid w:val="00122841"/>
    <w:rsid w:val="00122869"/>
    <w:rsid w:val="00122A1D"/>
    <w:rsid w:val="00122A30"/>
    <w:rsid w:val="00122BDD"/>
    <w:rsid w:val="00122C04"/>
    <w:rsid w:val="00123702"/>
    <w:rsid w:val="00123795"/>
    <w:rsid w:val="001237AD"/>
    <w:rsid w:val="00123A54"/>
    <w:rsid w:val="00123A64"/>
    <w:rsid w:val="00123BFA"/>
    <w:rsid w:val="00123D80"/>
    <w:rsid w:val="00123E81"/>
    <w:rsid w:val="001240E8"/>
    <w:rsid w:val="001245C8"/>
    <w:rsid w:val="0012467D"/>
    <w:rsid w:val="001246B8"/>
    <w:rsid w:val="0012508B"/>
    <w:rsid w:val="0012523C"/>
    <w:rsid w:val="0012534A"/>
    <w:rsid w:val="0012553A"/>
    <w:rsid w:val="00125673"/>
    <w:rsid w:val="0012573B"/>
    <w:rsid w:val="0012585A"/>
    <w:rsid w:val="00125B89"/>
    <w:rsid w:val="0012617D"/>
    <w:rsid w:val="0012645A"/>
    <w:rsid w:val="001264D1"/>
    <w:rsid w:val="00126524"/>
    <w:rsid w:val="00126945"/>
    <w:rsid w:val="00126E34"/>
    <w:rsid w:val="0012701F"/>
    <w:rsid w:val="00127471"/>
    <w:rsid w:val="0012751D"/>
    <w:rsid w:val="001277A7"/>
    <w:rsid w:val="001278E2"/>
    <w:rsid w:val="001279AE"/>
    <w:rsid w:val="00127AF3"/>
    <w:rsid w:val="00127EC6"/>
    <w:rsid w:val="00130293"/>
    <w:rsid w:val="0013040C"/>
    <w:rsid w:val="00130522"/>
    <w:rsid w:val="00130879"/>
    <w:rsid w:val="00130949"/>
    <w:rsid w:val="00130A8B"/>
    <w:rsid w:val="00130D48"/>
    <w:rsid w:val="00130D51"/>
    <w:rsid w:val="00130E68"/>
    <w:rsid w:val="00131172"/>
    <w:rsid w:val="001316BF"/>
    <w:rsid w:val="00131AED"/>
    <w:rsid w:val="00131DFA"/>
    <w:rsid w:val="00131FC6"/>
    <w:rsid w:val="00132014"/>
    <w:rsid w:val="001320CB"/>
    <w:rsid w:val="001321BE"/>
    <w:rsid w:val="001323D6"/>
    <w:rsid w:val="00132402"/>
    <w:rsid w:val="00132403"/>
    <w:rsid w:val="001324C3"/>
    <w:rsid w:val="001328C6"/>
    <w:rsid w:val="001329DD"/>
    <w:rsid w:val="00132A82"/>
    <w:rsid w:val="00132CD7"/>
    <w:rsid w:val="00132D82"/>
    <w:rsid w:val="001331F0"/>
    <w:rsid w:val="001335EE"/>
    <w:rsid w:val="0013385A"/>
    <w:rsid w:val="00133B1C"/>
    <w:rsid w:val="00133B4E"/>
    <w:rsid w:val="00134087"/>
    <w:rsid w:val="001340AD"/>
    <w:rsid w:val="00134156"/>
    <w:rsid w:val="00134157"/>
    <w:rsid w:val="00134240"/>
    <w:rsid w:val="0013428F"/>
    <w:rsid w:val="001343ED"/>
    <w:rsid w:val="001346AC"/>
    <w:rsid w:val="00134730"/>
    <w:rsid w:val="0013481E"/>
    <w:rsid w:val="00134B76"/>
    <w:rsid w:val="00134DEF"/>
    <w:rsid w:val="00134F2A"/>
    <w:rsid w:val="00135050"/>
    <w:rsid w:val="001352D4"/>
    <w:rsid w:val="00135344"/>
    <w:rsid w:val="00135852"/>
    <w:rsid w:val="00135861"/>
    <w:rsid w:val="00135AB8"/>
    <w:rsid w:val="00136399"/>
    <w:rsid w:val="0013672D"/>
    <w:rsid w:val="00136C15"/>
    <w:rsid w:val="00136C98"/>
    <w:rsid w:val="00136E76"/>
    <w:rsid w:val="00136F0F"/>
    <w:rsid w:val="00137030"/>
    <w:rsid w:val="00137A43"/>
    <w:rsid w:val="00137CE4"/>
    <w:rsid w:val="00137EF5"/>
    <w:rsid w:val="0014037F"/>
    <w:rsid w:val="001405D2"/>
    <w:rsid w:val="00140A20"/>
    <w:rsid w:val="00140E44"/>
    <w:rsid w:val="001411A5"/>
    <w:rsid w:val="001412DE"/>
    <w:rsid w:val="001416A1"/>
    <w:rsid w:val="00141819"/>
    <w:rsid w:val="00141B19"/>
    <w:rsid w:val="00141B8C"/>
    <w:rsid w:val="00141E39"/>
    <w:rsid w:val="00141E7A"/>
    <w:rsid w:val="00141EFB"/>
    <w:rsid w:val="00141F65"/>
    <w:rsid w:val="00142634"/>
    <w:rsid w:val="001427CC"/>
    <w:rsid w:val="00142B2F"/>
    <w:rsid w:val="00142F7A"/>
    <w:rsid w:val="0014313D"/>
    <w:rsid w:val="001435B9"/>
    <w:rsid w:val="001436C3"/>
    <w:rsid w:val="001437CE"/>
    <w:rsid w:val="00143947"/>
    <w:rsid w:val="001439FD"/>
    <w:rsid w:val="00143A6D"/>
    <w:rsid w:val="00143BFC"/>
    <w:rsid w:val="00143C08"/>
    <w:rsid w:val="00143F54"/>
    <w:rsid w:val="0014418A"/>
    <w:rsid w:val="0014434E"/>
    <w:rsid w:val="0014442A"/>
    <w:rsid w:val="001445FE"/>
    <w:rsid w:val="001447A2"/>
    <w:rsid w:val="00144A1D"/>
    <w:rsid w:val="00144ECB"/>
    <w:rsid w:val="001456CD"/>
    <w:rsid w:val="00145733"/>
    <w:rsid w:val="00145A98"/>
    <w:rsid w:val="00145AAB"/>
    <w:rsid w:val="00145CC0"/>
    <w:rsid w:val="00146114"/>
    <w:rsid w:val="001462D0"/>
    <w:rsid w:val="001463F7"/>
    <w:rsid w:val="001468C6"/>
    <w:rsid w:val="00146C47"/>
    <w:rsid w:val="00146E2C"/>
    <w:rsid w:val="00146F3C"/>
    <w:rsid w:val="00147155"/>
    <w:rsid w:val="0014775A"/>
    <w:rsid w:val="00147C23"/>
    <w:rsid w:val="0015038B"/>
    <w:rsid w:val="00150798"/>
    <w:rsid w:val="0015082C"/>
    <w:rsid w:val="00150968"/>
    <w:rsid w:val="00150B04"/>
    <w:rsid w:val="00150CFB"/>
    <w:rsid w:val="00150D38"/>
    <w:rsid w:val="00150D51"/>
    <w:rsid w:val="00150E0A"/>
    <w:rsid w:val="00150E8B"/>
    <w:rsid w:val="00151282"/>
    <w:rsid w:val="00151367"/>
    <w:rsid w:val="0015150F"/>
    <w:rsid w:val="0015159A"/>
    <w:rsid w:val="001517DD"/>
    <w:rsid w:val="00152028"/>
    <w:rsid w:val="0015243A"/>
    <w:rsid w:val="0015247C"/>
    <w:rsid w:val="001524AC"/>
    <w:rsid w:val="0015252D"/>
    <w:rsid w:val="00152635"/>
    <w:rsid w:val="00152739"/>
    <w:rsid w:val="00152E2C"/>
    <w:rsid w:val="001536C5"/>
    <w:rsid w:val="00153738"/>
    <w:rsid w:val="00153816"/>
    <w:rsid w:val="00153A0D"/>
    <w:rsid w:val="00153A2E"/>
    <w:rsid w:val="00153A3C"/>
    <w:rsid w:val="00153BEE"/>
    <w:rsid w:val="00153D4E"/>
    <w:rsid w:val="00153DD5"/>
    <w:rsid w:val="00153E0E"/>
    <w:rsid w:val="00153E2F"/>
    <w:rsid w:val="001541D0"/>
    <w:rsid w:val="0015435F"/>
    <w:rsid w:val="001544A2"/>
    <w:rsid w:val="001544AA"/>
    <w:rsid w:val="00154735"/>
    <w:rsid w:val="0015483B"/>
    <w:rsid w:val="00154AA2"/>
    <w:rsid w:val="00154CA4"/>
    <w:rsid w:val="00154D2F"/>
    <w:rsid w:val="00154F73"/>
    <w:rsid w:val="0015503A"/>
    <w:rsid w:val="001550DF"/>
    <w:rsid w:val="001557F0"/>
    <w:rsid w:val="00155D95"/>
    <w:rsid w:val="001561B0"/>
    <w:rsid w:val="001563C1"/>
    <w:rsid w:val="00156589"/>
    <w:rsid w:val="001566C6"/>
    <w:rsid w:val="00156855"/>
    <w:rsid w:val="00156B2C"/>
    <w:rsid w:val="00156C73"/>
    <w:rsid w:val="00156F8A"/>
    <w:rsid w:val="00156FF9"/>
    <w:rsid w:val="0015702F"/>
    <w:rsid w:val="0015706C"/>
    <w:rsid w:val="00157105"/>
    <w:rsid w:val="001572A2"/>
    <w:rsid w:val="0015758F"/>
    <w:rsid w:val="00157636"/>
    <w:rsid w:val="00157711"/>
    <w:rsid w:val="001577CE"/>
    <w:rsid w:val="00157F16"/>
    <w:rsid w:val="00160084"/>
    <w:rsid w:val="001600C0"/>
    <w:rsid w:val="00160135"/>
    <w:rsid w:val="00160736"/>
    <w:rsid w:val="00160935"/>
    <w:rsid w:val="001609A4"/>
    <w:rsid w:val="00160B61"/>
    <w:rsid w:val="00160C4A"/>
    <w:rsid w:val="00160DB0"/>
    <w:rsid w:val="00160EE9"/>
    <w:rsid w:val="00160F61"/>
    <w:rsid w:val="001613EF"/>
    <w:rsid w:val="00161534"/>
    <w:rsid w:val="0016199C"/>
    <w:rsid w:val="00161A0C"/>
    <w:rsid w:val="00161A5D"/>
    <w:rsid w:val="00161A60"/>
    <w:rsid w:val="00161C1D"/>
    <w:rsid w:val="00161D47"/>
    <w:rsid w:val="00161EB9"/>
    <w:rsid w:val="001621B8"/>
    <w:rsid w:val="00162321"/>
    <w:rsid w:val="001623D3"/>
    <w:rsid w:val="001627AA"/>
    <w:rsid w:val="001628F1"/>
    <w:rsid w:val="00163345"/>
    <w:rsid w:val="00163395"/>
    <w:rsid w:val="00163439"/>
    <w:rsid w:val="00163570"/>
    <w:rsid w:val="00163598"/>
    <w:rsid w:val="00163682"/>
    <w:rsid w:val="001636DE"/>
    <w:rsid w:val="00163982"/>
    <w:rsid w:val="00163E77"/>
    <w:rsid w:val="001646B4"/>
    <w:rsid w:val="00164B6B"/>
    <w:rsid w:val="00164F03"/>
    <w:rsid w:val="001651C6"/>
    <w:rsid w:val="001652A3"/>
    <w:rsid w:val="001652DD"/>
    <w:rsid w:val="00165333"/>
    <w:rsid w:val="001653E5"/>
    <w:rsid w:val="001656AF"/>
    <w:rsid w:val="001656C0"/>
    <w:rsid w:val="00165A49"/>
    <w:rsid w:val="00166337"/>
    <w:rsid w:val="00166739"/>
    <w:rsid w:val="001667A9"/>
    <w:rsid w:val="00166A73"/>
    <w:rsid w:val="00166B70"/>
    <w:rsid w:val="00166CA0"/>
    <w:rsid w:val="00167096"/>
    <w:rsid w:val="001675AA"/>
    <w:rsid w:val="00167719"/>
    <w:rsid w:val="00167C7D"/>
    <w:rsid w:val="00167E65"/>
    <w:rsid w:val="00170015"/>
    <w:rsid w:val="001701AB"/>
    <w:rsid w:val="00170232"/>
    <w:rsid w:val="0017041C"/>
    <w:rsid w:val="0017087C"/>
    <w:rsid w:val="001709D4"/>
    <w:rsid w:val="00170A15"/>
    <w:rsid w:val="00170B51"/>
    <w:rsid w:val="00170C80"/>
    <w:rsid w:val="00170E17"/>
    <w:rsid w:val="00170ED7"/>
    <w:rsid w:val="0017100C"/>
    <w:rsid w:val="0017106E"/>
    <w:rsid w:val="001710D7"/>
    <w:rsid w:val="0017121F"/>
    <w:rsid w:val="001717AA"/>
    <w:rsid w:val="00171918"/>
    <w:rsid w:val="00171BD9"/>
    <w:rsid w:val="00171E71"/>
    <w:rsid w:val="00171E99"/>
    <w:rsid w:val="001721B7"/>
    <w:rsid w:val="00172454"/>
    <w:rsid w:val="00172835"/>
    <w:rsid w:val="00172AC4"/>
    <w:rsid w:val="00172CB4"/>
    <w:rsid w:val="00172E47"/>
    <w:rsid w:val="0017303B"/>
    <w:rsid w:val="00173435"/>
    <w:rsid w:val="00173468"/>
    <w:rsid w:val="001734A9"/>
    <w:rsid w:val="00173577"/>
    <w:rsid w:val="00173771"/>
    <w:rsid w:val="001738D7"/>
    <w:rsid w:val="00173E55"/>
    <w:rsid w:val="00174058"/>
    <w:rsid w:val="001742D8"/>
    <w:rsid w:val="001747F0"/>
    <w:rsid w:val="001752DB"/>
    <w:rsid w:val="0017556C"/>
    <w:rsid w:val="0017564E"/>
    <w:rsid w:val="00175AC8"/>
    <w:rsid w:val="00175C05"/>
    <w:rsid w:val="00175F31"/>
    <w:rsid w:val="00175FEF"/>
    <w:rsid w:val="0017600E"/>
    <w:rsid w:val="001760A7"/>
    <w:rsid w:val="001763B5"/>
    <w:rsid w:val="00176648"/>
    <w:rsid w:val="00176658"/>
    <w:rsid w:val="001767C3"/>
    <w:rsid w:val="00176AA5"/>
    <w:rsid w:val="00176B45"/>
    <w:rsid w:val="00176BB1"/>
    <w:rsid w:val="00176E31"/>
    <w:rsid w:val="001770A7"/>
    <w:rsid w:val="001770E4"/>
    <w:rsid w:val="0017720E"/>
    <w:rsid w:val="001772CC"/>
    <w:rsid w:val="0017735D"/>
    <w:rsid w:val="0017752A"/>
    <w:rsid w:val="001777D7"/>
    <w:rsid w:val="00177893"/>
    <w:rsid w:val="001778D5"/>
    <w:rsid w:val="00177940"/>
    <w:rsid w:val="00177AE3"/>
    <w:rsid w:val="00177BAB"/>
    <w:rsid w:val="00177EC3"/>
    <w:rsid w:val="001800DF"/>
    <w:rsid w:val="00180217"/>
    <w:rsid w:val="001803D3"/>
    <w:rsid w:val="0018070A"/>
    <w:rsid w:val="00180843"/>
    <w:rsid w:val="00180B01"/>
    <w:rsid w:val="00180F3B"/>
    <w:rsid w:val="00180F8D"/>
    <w:rsid w:val="00180FB9"/>
    <w:rsid w:val="0018141A"/>
    <w:rsid w:val="00181A11"/>
    <w:rsid w:val="00181C24"/>
    <w:rsid w:val="00181F4B"/>
    <w:rsid w:val="00182226"/>
    <w:rsid w:val="0018235F"/>
    <w:rsid w:val="0018253F"/>
    <w:rsid w:val="0018289A"/>
    <w:rsid w:val="00182D7D"/>
    <w:rsid w:val="001832EF"/>
    <w:rsid w:val="001834B9"/>
    <w:rsid w:val="0018373E"/>
    <w:rsid w:val="001839C0"/>
    <w:rsid w:val="00183A87"/>
    <w:rsid w:val="00184221"/>
    <w:rsid w:val="0018443E"/>
    <w:rsid w:val="001846A2"/>
    <w:rsid w:val="00184FAF"/>
    <w:rsid w:val="001850C7"/>
    <w:rsid w:val="0018527F"/>
    <w:rsid w:val="001852F5"/>
    <w:rsid w:val="0018573E"/>
    <w:rsid w:val="00185C26"/>
    <w:rsid w:val="00185C35"/>
    <w:rsid w:val="00185DF0"/>
    <w:rsid w:val="00185DF2"/>
    <w:rsid w:val="00185FA8"/>
    <w:rsid w:val="001861A2"/>
    <w:rsid w:val="00186307"/>
    <w:rsid w:val="001863E7"/>
    <w:rsid w:val="001863F7"/>
    <w:rsid w:val="0018640C"/>
    <w:rsid w:val="00186440"/>
    <w:rsid w:val="00186825"/>
    <w:rsid w:val="00186EBC"/>
    <w:rsid w:val="00186FC7"/>
    <w:rsid w:val="00187001"/>
    <w:rsid w:val="00187186"/>
    <w:rsid w:val="001872EA"/>
    <w:rsid w:val="001875AF"/>
    <w:rsid w:val="00187C73"/>
    <w:rsid w:val="00187D95"/>
    <w:rsid w:val="00187EC8"/>
    <w:rsid w:val="00190473"/>
    <w:rsid w:val="001904F0"/>
    <w:rsid w:val="00190652"/>
    <w:rsid w:val="001908B0"/>
    <w:rsid w:val="00190F41"/>
    <w:rsid w:val="0019102D"/>
    <w:rsid w:val="0019157D"/>
    <w:rsid w:val="001916C0"/>
    <w:rsid w:val="00191742"/>
    <w:rsid w:val="00191995"/>
    <w:rsid w:val="00191B1A"/>
    <w:rsid w:val="00191D01"/>
    <w:rsid w:val="00191EE9"/>
    <w:rsid w:val="00191F88"/>
    <w:rsid w:val="001921D7"/>
    <w:rsid w:val="0019229E"/>
    <w:rsid w:val="00192591"/>
    <w:rsid w:val="00192722"/>
    <w:rsid w:val="00192733"/>
    <w:rsid w:val="00192FF8"/>
    <w:rsid w:val="001936FD"/>
    <w:rsid w:val="0019396A"/>
    <w:rsid w:val="001942B5"/>
    <w:rsid w:val="00194366"/>
    <w:rsid w:val="00194508"/>
    <w:rsid w:val="0019493B"/>
    <w:rsid w:val="00194A97"/>
    <w:rsid w:val="00194F36"/>
    <w:rsid w:val="0019507E"/>
    <w:rsid w:val="001951AF"/>
    <w:rsid w:val="001952BB"/>
    <w:rsid w:val="001953F9"/>
    <w:rsid w:val="00195648"/>
    <w:rsid w:val="0019589E"/>
    <w:rsid w:val="00195989"/>
    <w:rsid w:val="00195A8C"/>
    <w:rsid w:val="00195B66"/>
    <w:rsid w:val="00195B81"/>
    <w:rsid w:val="00195C85"/>
    <w:rsid w:val="00195CB8"/>
    <w:rsid w:val="00195CB9"/>
    <w:rsid w:val="00195DA4"/>
    <w:rsid w:val="001960AF"/>
    <w:rsid w:val="001960C0"/>
    <w:rsid w:val="001962A7"/>
    <w:rsid w:val="0019667F"/>
    <w:rsid w:val="00196895"/>
    <w:rsid w:val="00196BB5"/>
    <w:rsid w:val="00196D3D"/>
    <w:rsid w:val="00197248"/>
    <w:rsid w:val="00197264"/>
    <w:rsid w:val="00197589"/>
    <w:rsid w:val="0019764B"/>
    <w:rsid w:val="00197D31"/>
    <w:rsid w:val="00197EBE"/>
    <w:rsid w:val="00197F2E"/>
    <w:rsid w:val="001A004C"/>
    <w:rsid w:val="001A0142"/>
    <w:rsid w:val="001A02DE"/>
    <w:rsid w:val="001A05DD"/>
    <w:rsid w:val="001A069E"/>
    <w:rsid w:val="001A09DC"/>
    <w:rsid w:val="001A0E17"/>
    <w:rsid w:val="001A10D7"/>
    <w:rsid w:val="001A1553"/>
    <w:rsid w:val="001A15AE"/>
    <w:rsid w:val="001A1665"/>
    <w:rsid w:val="001A18ED"/>
    <w:rsid w:val="001A1A5B"/>
    <w:rsid w:val="001A1F2D"/>
    <w:rsid w:val="001A1F9A"/>
    <w:rsid w:val="001A2003"/>
    <w:rsid w:val="001A2054"/>
    <w:rsid w:val="001A20DC"/>
    <w:rsid w:val="001A21C1"/>
    <w:rsid w:val="001A22C0"/>
    <w:rsid w:val="001A238A"/>
    <w:rsid w:val="001A2441"/>
    <w:rsid w:val="001A2485"/>
    <w:rsid w:val="001A25B2"/>
    <w:rsid w:val="001A2656"/>
    <w:rsid w:val="001A27D6"/>
    <w:rsid w:val="001A29B0"/>
    <w:rsid w:val="001A2D31"/>
    <w:rsid w:val="001A2E38"/>
    <w:rsid w:val="001A2F62"/>
    <w:rsid w:val="001A3230"/>
    <w:rsid w:val="001A344D"/>
    <w:rsid w:val="001A364F"/>
    <w:rsid w:val="001A385A"/>
    <w:rsid w:val="001A3959"/>
    <w:rsid w:val="001A3B73"/>
    <w:rsid w:val="001A3DC9"/>
    <w:rsid w:val="001A4166"/>
    <w:rsid w:val="001A44F2"/>
    <w:rsid w:val="001A45BD"/>
    <w:rsid w:val="001A45F2"/>
    <w:rsid w:val="001A4668"/>
    <w:rsid w:val="001A471D"/>
    <w:rsid w:val="001A4997"/>
    <w:rsid w:val="001A4BA0"/>
    <w:rsid w:val="001A4F07"/>
    <w:rsid w:val="001A4F4C"/>
    <w:rsid w:val="001A51E3"/>
    <w:rsid w:val="001A5C97"/>
    <w:rsid w:val="001A5E3C"/>
    <w:rsid w:val="001A61C7"/>
    <w:rsid w:val="001A646D"/>
    <w:rsid w:val="001A6A4A"/>
    <w:rsid w:val="001A6B54"/>
    <w:rsid w:val="001A6C90"/>
    <w:rsid w:val="001A6C97"/>
    <w:rsid w:val="001A6E23"/>
    <w:rsid w:val="001A6F19"/>
    <w:rsid w:val="001A6F72"/>
    <w:rsid w:val="001A79CF"/>
    <w:rsid w:val="001A7A97"/>
    <w:rsid w:val="001B00CE"/>
    <w:rsid w:val="001B00E2"/>
    <w:rsid w:val="001B0253"/>
    <w:rsid w:val="001B0350"/>
    <w:rsid w:val="001B03DC"/>
    <w:rsid w:val="001B0450"/>
    <w:rsid w:val="001B072F"/>
    <w:rsid w:val="001B0D41"/>
    <w:rsid w:val="001B12A9"/>
    <w:rsid w:val="001B140A"/>
    <w:rsid w:val="001B1629"/>
    <w:rsid w:val="001B1718"/>
    <w:rsid w:val="001B17B7"/>
    <w:rsid w:val="001B1912"/>
    <w:rsid w:val="001B1F0A"/>
    <w:rsid w:val="001B1F53"/>
    <w:rsid w:val="001B1FB3"/>
    <w:rsid w:val="001B203A"/>
    <w:rsid w:val="001B2086"/>
    <w:rsid w:val="001B2175"/>
    <w:rsid w:val="001B21AA"/>
    <w:rsid w:val="001B23BC"/>
    <w:rsid w:val="001B2407"/>
    <w:rsid w:val="001B2429"/>
    <w:rsid w:val="001B26BB"/>
    <w:rsid w:val="001B300A"/>
    <w:rsid w:val="001B33F6"/>
    <w:rsid w:val="001B384C"/>
    <w:rsid w:val="001B3E1D"/>
    <w:rsid w:val="001B3FF1"/>
    <w:rsid w:val="001B41E8"/>
    <w:rsid w:val="001B42C3"/>
    <w:rsid w:val="001B45EE"/>
    <w:rsid w:val="001B48DF"/>
    <w:rsid w:val="001B49DC"/>
    <w:rsid w:val="001B4CF8"/>
    <w:rsid w:val="001B4D1D"/>
    <w:rsid w:val="001B4DC3"/>
    <w:rsid w:val="001B4E83"/>
    <w:rsid w:val="001B5B6B"/>
    <w:rsid w:val="001B5D05"/>
    <w:rsid w:val="001B5D72"/>
    <w:rsid w:val="001B5E0F"/>
    <w:rsid w:val="001B5E50"/>
    <w:rsid w:val="001B5E52"/>
    <w:rsid w:val="001B6149"/>
    <w:rsid w:val="001B6389"/>
    <w:rsid w:val="001B6653"/>
    <w:rsid w:val="001B7B56"/>
    <w:rsid w:val="001C0040"/>
    <w:rsid w:val="001C04CC"/>
    <w:rsid w:val="001C051E"/>
    <w:rsid w:val="001C06AA"/>
    <w:rsid w:val="001C0DA1"/>
    <w:rsid w:val="001C0DFC"/>
    <w:rsid w:val="001C134F"/>
    <w:rsid w:val="001C1687"/>
    <w:rsid w:val="001C1931"/>
    <w:rsid w:val="001C1CB6"/>
    <w:rsid w:val="001C1D29"/>
    <w:rsid w:val="001C1D90"/>
    <w:rsid w:val="001C2192"/>
    <w:rsid w:val="001C244C"/>
    <w:rsid w:val="001C299D"/>
    <w:rsid w:val="001C2AA7"/>
    <w:rsid w:val="001C2E05"/>
    <w:rsid w:val="001C2EB8"/>
    <w:rsid w:val="001C3154"/>
    <w:rsid w:val="001C31B6"/>
    <w:rsid w:val="001C3249"/>
    <w:rsid w:val="001C33E9"/>
    <w:rsid w:val="001C34DE"/>
    <w:rsid w:val="001C374F"/>
    <w:rsid w:val="001C394D"/>
    <w:rsid w:val="001C3AD4"/>
    <w:rsid w:val="001C3CBA"/>
    <w:rsid w:val="001C3D41"/>
    <w:rsid w:val="001C3F2D"/>
    <w:rsid w:val="001C3FE8"/>
    <w:rsid w:val="001C401B"/>
    <w:rsid w:val="001C40A1"/>
    <w:rsid w:val="001C411D"/>
    <w:rsid w:val="001C41CB"/>
    <w:rsid w:val="001C4276"/>
    <w:rsid w:val="001C42FF"/>
    <w:rsid w:val="001C4647"/>
    <w:rsid w:val="001C49C0"/>
    <w:rsid w:val="001C4A7D"/>
    <w:rsid w:val="001C4B55"/>
    <w:rsid w:val="001C4C57"/>
    <w:rsid w:val="001C53BA"/>
    <w:rsid w:val="001C56AE"/>
    <w:rsid w:val="001C58A4"/>
    <w:rsid w:val="001C5A2B"/>
    <w:rsid w:val="001C5AFB"/>
    <w:rsid w:val="001C5C05"/>
    <w:rsid w:val="001C6718"/>
    <w:rsid w:val="001C69D7"/>
    <w:rsid w:val="001C6AA0"/>
    <w:rsid w:val="001C6BE0"/>
    <w:rsid w:val="001C6C61"/>
    <w:rsid w:val="001C6DED"/>
    <w:rsid w:val="001C6DFE"/>
    <w:rsid w:val="001C7016"/>
    <w:rsid w:val="001C7497"/>
    <w:rsid w:val="001C75DA"/>
    <w:rsid w:val="001C767F"/>
    <w:rsid w:val="001C7802"/>
    <w:rsid w:val="001C796E"/>
    <w:rsid w:val="001C7B26"/>
    <w:rsid w:val="001C7BA3"/>
    <w:rsid w:val="001C7D17"/>
    <w:rsid w:val="001C7D1B"/>
    <w:rsid w:val="001C7EA4"/>
    <w:rsid w:val="001C7F3F"/>
    <w:rsid w:val="001D0111"/>
    <w:rsid w:val="001D04C6"/>
    <w:rsid w:val="001D0864"/>
    <w:rsid w:val="001D0A52"/>
    <w:rsid w:val="001D0FEC"/>
    <w:rsid w:val="001D1002"/>
    <w:rsid w:val="001D115A"/>
    <w:rsid w:val="001D12BA"/>
    <w:rsid w:val="001D12BF"/>
    <w:rsid w:val="001D133C"/>
    <w:rsid w:val="001D1448"/>
    <w:rsid w:val="001D18E0"/>
    <w:rsid w:val="001D1A4C"/>
    <w:rsid w:val="001D1E86"/>
    <w:rsid w:val="001D23FD"/>
    <w:rsid w:val="001D2408"/>
    <w:rsid w:val="001D259F"/>
    <w:rsid w:val="001D26E9"/>
    <w:rsid w:val="001D2AB4"/>
    <w:rsid w:val="001D2D7D"/>
    <w:rsid w:val="001D2E7E"/>
    <w:rsid w:val="001D32C7"/>
    <w:rsid w:val="001D34E3"/>
    <w:rsid w:val="001D35AC"/>
    <w:rsid w:val="001D3634"/>
    <w:rsid w:val="001D3ABE"/>
    <w:rsid w:val="001D3AC3"/>
    <w:rsid w:val="001D4133"/>
    <w:rsid w:val="001D454B"/>
    <w:rsid w:val="001D493C"/>
    <w:rsid w:val="001D4F93"/>
    <w:rsid w:val="001D54B4"/>
    <w:rsid w:val="001D5583"/>
    <w:rsid w:val="001D5666"/>
    <w:rsid w:val="001D5A50"/>
    <w:rsid w:val="001D5B6E"/>
    <w:rsid w:val="001D5D47"/>
    <w:rsid w:val="001D5DE3"/>
    <w:rsid w:val="001D5F13"/>
    <w:rsid w:val="001D5FCF"/>
    <w:rsid w:val="001D60F0"/>
    <w:rsid w:val="001D6114"/>
    <w:rsid w:val="001D64B4"/>
    <w:rsid w:val="001D65EE"/>
    <w:rsid w:val="001D6651"/>
    <w:rsid w:val="001D6D71"/>
    <w:rsid w:val="001D6F1D"/>
    <w:rsid w:val="001D719A"/>
    <w:rsid w:val="001D76A3"/>
    <w:rsid w:val="001D7709"/>
    <w:rsid w:val="001D7CF1"/>
    <w:rsid w:val="001D7D6C"/>
    <w:rsid w:val="001D7F14"/>
    <w:rsid w:val="001E06E8"/>
    <w:rsid w:val="001E0994"/>
    <w:rsid w:val="001E0B0B"/>
    <w:rsid w:val="001E0B0D"/>
    <w:rsid w:val="001E0B61"/>
    <w:rsid w:val="001E0C2B"/>
    <w:rsid w:val="001E1039"/>
    <w:rsid w:val="001E11A6"/>
    <w:rsid w:val="001E13A7"/>
    <w:rsid w:val="001E1517"/>
    <w:rsid w:val="001E1546"/>
    <w:rsid w:val="001E16C6"/>
    <w:rsid w:val="001E1827"/>
    <w:rsid w:val="001E1B5B"/>
    <w:rsid w:val="001E1B7A"/>
    <w:rsid w:val="001E1C65"/>
    <w:rsid w:val="001E1DAD"/>
    <w:rsid w:val="001E213B"/>
    <w:rsid w:val="001E2278"/>
    <w:rsid w:val="001E2340"/>
    <w:rsid w:val="001E2526"/>
    <w:rsid w:val="001E25C1"/>
    <w:rsid w:val="001E25EC"/>
    <w:rsid w:val="001E2862"/>
    <w:rsid w:val="001E29AE"/>
    <w:rsid w:val="001E2E49"/>
    <w:rsid w:val="001E2ED8"/>
    <w:rsid w:val="001E324C"/>
    <w:rsid w:val="001E324D"/>
    <w:rsid w:val="001E3457"/>
    <w:rsid w:val="001E3BC7"/>
    <w:rsid w:val="001E3D5D"/>
    <w:rsid w:val="001E4027"/>
    <w:rsid w:val="001E40A3"/>
    <w:rsid w:val="001E4226"/>
    <w:rsid w:val="001E4366"/>
    <w:rsid w:val="001E4564"/>
    <w:rsid w:val="001E46E4"/>
    <w:rsid w:val="001E46EB"/>
    <w:rsid w:val="001E481D"/>
    <w:rsid w:val="001E4C5C"/>
    <w:rsid w:val="001E4E98"/>
    <w:rsid w:val="001E4FF2"/>
    <w:rsid w:val="001E5137"/>
    <w:rsid w:val="001E517C"/>
    <w:rsid w:val="001E543C"/>
    <w:rsid w:val="001E55EF"/>
    <w:rsid w:val="001E57BE"/>
    <w:rsid w:val="001E5896"/>
    <w:rsid w:val="001E58B2"/>
    <w:rsid w:val="001E58B3"/>
    <w:rsid w:val="001E5918"/>
    <w:rsid w:val="001E59E3"/>
    <w:rsid w:val="001E5A6F"/>
    <w:rsid w:val="001E5B1F"/>
    <w:rsid w:val="001E5B44"/>
    <w:rsid w:val="001E5D63"/>
    <w:rsid w:val="001E5E22"/>
    <w:rsid w:val="001E609F"/>
    <w:rsid w:val="001E65DD"/>
    <w:rsid w:val="001E665E"/>
    <w:rsid w:val="001E6CE6"/>
    <w:rsid w:val="001E6F99"/>
    <w:rsid w:val="001E737D"/>
    <w:rsid w:val="001E74F5"/>
    <w:rsid w:val="001E7C29"/>
    <w:rsid w:val="001E7C2C"/>
    <w:rsid w:val="001E7EAA"/>
    <w:rsid w:val="001E7FA6"/>
    <w:rsid w:val="001F0678"/>
    <w:rsid w:val="001F073C"/>
    <w:rsid w:val="001F0967"/>
    <w:rsid w:val="001F096E"/>
    <w:rsid w:val="001F0B82"/>
    <w:rsid w:val="001F0D0A"/>
    <w:rsid w:val="001F1126"/>
    <w:rsid w:val="001F12FD"/>
    <w:rsid w:val="001F162C"/>
    <w:rsid w:val="001F1740"/>
    <w:rsid w:val="001F1F4C"/>
    <w:rsid w:val="001F2131"/>
    <w:rsid w:val="001F21E6"/>
    <w:rsid w:val="001F23E0"/>
    <w:rsid w:val="001F241C"/>
    <w:rsid w:val="001F25AA"/>
    <w:rsid w:val="001F282D"/>
    <w:rsid w:val="001F2912"/>
    <w:rsid w:val="001F2A23"/>
    <w:rsid w:val="001F2B49"/>
    <w:rsid w:val="001F2BFD"/>
    <w:rsid w:val="001F2F10"/>
    <w:rsid w:val="001F2F47"/>
    <w:rsid w:val="001F32CB"/>
    <w:rsid w:val="001F3507"/>
    <w:rsid w:val="001F3765"/>
    <w:rsid w:val="001F3849"/>
    <w:rsid w:val="001F3C4B"/>
    <w:rsid w:val="001F3F5B"/>
    <w:rsid w:val="001F4280"/>
    <w:rsid w:val="001F461E"/>
    <w:rsid w:val="001F4812"/>
    <w:rsid w:val="001F4EA6"/>
    <w:rsid w:val="001F4FB1"/>
    <w:rsid w:val="001F5016"/>
    <w:rsid w:val="001F50EA"/>
    <w:rsid w:val="001F514D"/>
    <w:rsid w:val="001F51F7"/>
    <w:rsid w:val="001F5395"/>
    <w:rsid w:val="001F53D1"/>
    <w:rsid w:val="001F542E"/>
    <w:rsid w:val="001F5ABF"/>
    <w:rsid w:val="001F5C10"/>
    <w:rsid w:val="001F5C5B"/>
    <w:rsid w:val="001F5D23"/>
    <w:rsid w:val="001F5FF4"/>
    <w:rsid w:val="001F63EE"/>
    <w:rsid w:val="001F63F3"/>
    <w:rsid w:val="001F6426"/>
    <w:rsid w:val="001F647E"/>
    <w:rsid w:val="001F6896"/>
    <w:rsid w:val="001F68D2"/>
    <w:rsid w:val="001F70BC"/>
    <w:rsid w:val="001F7225"/>
    <w:rsid w:val="001F7555"/>
    <w:rsid w:val="001F7578"/>
    <w:rsid w:val="001F75D6"/>
    <w:rsid w:val="001F7814"/>
    <w:rsid w:val="001F7844"/>
    <w:rsid w:val="001F7911"/>
    <w:rsid w:val="00200296"/>
    <w:rsid w:val="00200347"/>
    <w:rsid w:val="00200486"/>
    <w:rsid w:val="002006AB"/>
    <w:rsid w:val="00200EE9"/>
    <w:rsid w:val="00201066"/>
    <w:rsid w:val="002016EC"/>
    <w:rsid w:val="0020179D"/>
    <w:rsid w:val="00201ADB"/>
    <w:rsid w:val="00201CBA"/>
    <w:rsid w:val="00201EBC"/>
    <w:rsid w:val="0020209D"/>
    <w:rsid w:val="002020CD"/>
    <w:rsid w:val="002025F9"/>
    <w:rsid w:val="00202B2F"/>
    <w:rsid w:val="00202C6A"/>
    <w:rsid w:val="0020327F"/>
    <w:rsid w:val="002033BE"/>
    <w:rsid w:val="002034E6"/>
    <w:rsid w:val="00203532"/>
    <w:rsid w:val="0020366C"/>
    <w:rsid w:val="0020374A"/>
    <w:rsid w:val="002037A2"/>
    <w:rsid w:val="00203836"/>
    <w:rsid w:val="002038BC"/>
    <w:rsid w:val="00203AB9"/>
    <w:rsid w:val="00203C51"/>
    <w:rsid w:val="00203D8B"/>
    <w:rsid w:val="00203DC2"/>
    <w:rsid w:val="00203DCA"/>
    <w:rsid w:val="0020417F"/>
    <w:rsid w:val="002041E9"/>
    <w:rsid w:val="0020476A"/>
    <w:rsid w:val="0020487C"/>
    <w:rsid w:val="00204B6C"/>
    <w:rsid w:val="00204D5B"/>
    <w:rsid w:val="002050BD"/>
    <w:rsid w:val="002051C6"/>
    <w:rsid w:val="00205554"/>
    <w:rsid w:val="002058CF"/>
    <w:rsid w:val="002058E5"/>
    <w:rsid w:val="00205F76"/>
    <w:rsid w:val="002060B4"/>
    <w:rsid w:val="0020618E"/>
    <w:rsid w:val="002062C1"/>
    <w:rsid w:val="00206346"/>
    <w:rsid w:val="002065D3"/>
    <w:rsid w:val="00206718"/>
    <w:rsid w:val="00206986"/>
    <w:rsid w:val="00206A6F"/>
    <w:rsid w:val="00206D92"/>
    <w:rsid w:val="00206E55"/>
    <w:rsid w:val="00207502"/>
    <w:rsid w:val="00207798"/>
    <w:rsid w:val="002077D2"/>
    <w:rsid w:val="0020787E"/>
    <w:rsid w:val="002078DB"/>
    <w:rsid w:val="00207BE6"/>
    <w:rsid w:val="00207E0C"/>
    <w:rsid w:val="00207EAF"/>
    <w:rsid w:val="00210169"/>
    <w:rsid w:val="0021082E"/>
    <w:rsid w:val="00210AAA"/>
    <w:rsid w:val="00210B26"/>
    <w:rsid w:val="00210C9A"/>
    <w:rsid w:val="00210EBD"/>
    <w:rsid w:val="00210FAA"/>
    <w:rsid w:val="0021102C"/>
    <w:rsid w:val="002112DE"/>
    <w:rsid w:val="00211340"/>
    <w:rsid w:val="00211570"/>
    <w:rsid w:val="0021182E"/>
    <w:rsid w:val="00211899"/>
    <w:rsid w:val="00211C09"/>
    <w:rsid w:val="00211E1D"/>
    <w:rsid w:val="00211F51"/>
    <w:rsid w:val="00212129"/>
    <w:rsid w:val="00212463"/>
    <w:rsid w:val="002126F0"/>
    <w:rsid w:val="00212795"/>
    <w:rsid w:val="00212798"/>
    <w:rsid w:val="002128FB"/>
    <w:rsid w:val="00212EAA"/>
    <w:rsid w:val="00213003"/>
    <w:rsid w:val="0021306B"/>
    <w:rsid w:val="00213267"/>
    <w:rsid w:val="00213288"/>
    <w:rsid w:val="0021345A"/>
    <w:rsid w:val="002134EC"/>
    <w:rsid w:val="00213660"/>
    <w:rsid w:val="0021396C"/>
    <w:rsid w:val="00213A08"/>
    <w:rsid w:val="00213B11"/>
    <w:rsid w:val="0021405E"/>
    <w:rsid w:val="00214438"/>
    <w:rsid w:val="002146CD"/>
    <w:rsid w:val="00214750"/>
    <w:rsid w:val="00214CFF"/>
    <w:rsid w:val="00214F00"/>
    <w:rsid w:val="00215029"/>
    <w:rsid w:val="002153BF"/>
    <w:rsid w:val="002155F9"/>
    <w:rsid w:val="00215787"/>
    <w:rsid w:val="002158FA"/>
    <w:rsid w:val="0021598D"/>
    <w:rsid w:val="002159EE"/>
    <w:rsid w:val="00215B26"/>
    <w:rsid w:val="00215BC0"/>
    <w:rsid w:val="00215C63"/>
    <w:rsid w:val="00215FEA"/>
    <w:rsid w:val="002161E4"/>
    <w:rsid w:val="0021633C"/>
    <w:rsid w:val="00216479"/>
    <w:rsid w:val="00216700"/>
    <w:rsid w:val="00216816"/>
    <w:rsid w:val="002169C6"/>
    <w:rsid w:val="00216A53"/>
    <w:rsid w:val="00216B8C"/>
    <w:rsid w:val="002172F8"/>
    <w:rsid w:val="0021736F"/>
    <w:rsid w:val="0021761D"/>
    <w:rsid w:val="002177C5"/>
    <w:rsid w:val="002177E2"/>
    <w:rsid w:val="00217B53"/>
    <w:rsid w:val="00217ED3"/>
    <w:rsid w:val="002204A9"/>
    <w:rsid w:val="002205EB"/>
    <w:rsid w:val="00220D48"/>
    <w:rsid w:val="00220E56"/>
    <w:rsid w:val="00220FE5"/>
    <w:rsid w:val="0022112C"/>
    <w:rsid w:val="002212AA"/>
    <w:rsid w:val="0022187F"/>
    <w:rsid w:val="0022194F"/>
    <w:rsid w:val="00221D8B"/>
    <w:rsid w:val="00221ED8"/>
    <w:rsid w:val="00221FBB"/>
    <w:rsid w:val="00222071"/>
    <w:rsid w:val="0022222A"/>
    <w:rsid w:val="00222259"/>
    <w:rsid w:val="0022254D"/>
    <w:rsid w:val="00222C06"/>
    <w:rsid w:val="00222EB2"/>
    <w:rsid w:val="0022335A"/>
    <w:rsid w:val="00223464"/>
    <w:rsid w:val="002234A6"/>
    <w:rsid w:val="002234AB"/>
    <w:rsid w:val="00223AAF"/>
    <w:rsid w:val="00223AEB"/>
    <w:rsid w:val="00223B44"/>
    <w:rsid w:val="00223D85"/>
    <w:rsid w:val="0022407C"/>
    <w:rsid w:val="00224135"/>
    <w:rsid w:val="002241EA"/>
    <w:rsid w:val="002242F3"/>
    <w:rsid w:val="0022443B"/>
    <w:rsid w:val="002245CB"/>
    <w:rsid w:val="002245F0"/>
    <w:rsid w:val="00224B32"/>
    <w:rsid w:val="00224E47"/>
    <w:rsid w:val="00224E84"/>
    <w:rsid w:val="00224FCA"/>
    <w:rsid w:val="002250C2"/>
    <w:rsid w:val="00225130"/>
    <w:rsid w:val="00225183"/>
    <w:rsid w:val="00225292"/>
    <w:rsid w:val="00225391"/>
    <w:rsid w:val="002255A3"/>
    <w:rsid w:val="00225774"/>
    <w:rsid w:val="0022584A"/>
    <w:rsid w:val="0022589F"/>
    <w:rsid w:val="00225FCB"/>
    <w:rsid w:val="00226018"/>
    <w:rsid w:val="002265F7"/>
    <w:rsid w:val="00226A1D"/>
    <w:rsid w:val="00226A8E"/>
    <w:rsid w:val="00226E0F"/>
    <w:rsid w:val="00226F09"/>
    <w:rsid w:val="002270A5"/>
    <w:rsid w:val="00227212"/>
    <w:rsid w:val="002276FA"/>
    <w:rsid w:val="00227797"/>
    <w:rsid w:val="0022783E"/>
    <w:rsid w:val="00227D10"/>
    <w:rsid w:val="00227D6D"/>
    <w:rsid w:val="00227DFD"/>
    <w:rsid w:val="00230170"/>
    <w:rsid w:val="002303BB"/>
    <w:rsid w:val="0023041B"/>
    <w:rsid w:val="00230420"/>
    <w:rsid w:val="00230425"/>
    <w:rsid w:val="00230455"/>
    <w:rsid w:val="00230533"/>
    <w:rsid w:val="002307AF"/>
    <w:rsid w:val="00230E4C"/>
    <w:rsid w:val="00230F1D"/>
    <w:rsid w:val="0023122B"/>
    <w:rsid w:val="002314E6"/>
    <w:rsid w:val="0023195C"/>
    <w:rsid w:val="00231AD6"/>
    <w:rsid w:val="00231D99"/>
    <w:rsid w:val="002324A4"/>
    <w:rsid w:val="0023274C"/>
    <w:rsid w:val="00232807"/>
    <w:rsid w:val="00232940"/>
    <w:rsid w:val="00232B21"/>
    <w:rsid w:val="00232BA1"/>
    <w:rsid w:val="00232D56"/>
    <w:rsid w:val="00232DDA"/>
    <w:rsid w:val="00232E65"/>
    <w:rsid w:val="00232F62"/>
    <w:rsid w:val="002331AD"/>
    <w:rsid w:val="00233296"/>
    <w:rsid w:val="002333F3"/>
    <w:rsid w:val="00233480"/>
    <w:rsid w:val="00233714"/>
    <w:rsid w:val="002339B0"/>
    <w:rsid w:val="00233B8E"/>
    <w:rsid w:val="00233BFA"/>
    <w:rsid w:val="00234259"/>
    <w:rsid w:val="002343A9"/>
    <w:rsid w:val="0023448C"/>
    <w:rsid w:val="002345B0"/>
    <w:rsid w:val="002346AC"/>
    <w:rsid w:val="0023478B"/>
    <w:rsid w:val="00234C37"/>
    <w:rsid w:val="00234CB0"/>
    <w:rsid w:val="00234CC5"/>
    <w:rsid w:val="00234D4D"/>
    <w:rsid w:val="00234E67"/>
    <w:rsid w:val="00235040"/>
    <w:rsid w:val="00235309"/>
    <w:rsid w:val="0023555A"/>
    <w:rsid w:val="00235742"/>
    <w:rsid w:val="002358F2"/>
    <w:rsid w:val="00235A92"/>
    <w:rsid w:val="00235D07"/>
    <w:rsid w:val="00235D58"/>
    <w:rsid w:val="00235DEA"/>
    <w:rsid w:val="00236041"/>
    <w:rsid w:val="00236156"/>
    <w:rsid w:val="002367B3"/>
    <w:rsid w:val="00236856"/>
    <w:rsid w:val="00236D31"/>
    <w:rsid w:val="00237148"/>
    <w:rsid w:val="002371B6"/>
    <w:rsid w:val="00237339"/>
    <w:rsid w:val="002377F3"/>
    <w:rsid w:val="00237966"/>
    <w:rsid w:val="00237AFF"/>
    <w:rsid w:val="002402CA"/>
    <w:rsid w:val="002405F8"/>
    <w:rsid w:val="00240B85"/>
    <w:rsid w:val="00240BA5"/>
    <w:rsid w:val="00240D84"/>
    <w:rsid w:val="00240DED"/>
    <w:rsid w:val="00240E95"/>
    <w:rsid w:val="00241076"/>
    <w:rsid w:val="002412C5"/>
    <w:rsid w:val="0024137B"/>
    <w:rsid w:val="0024159B"/>
    <w:rsid w:val="00241716"/>
    <w:rsid w:val="002419BE"/>
    <w:rsid w:val="00241AF7"/>
    <w:rsid w:val="00241C1C"/>
    <w:rsid w:val="00241C83"/>
    <w:rsid w:val="00241F93"/>
    <w:rsid w:val="00241FB7"/>
    <w:rsid w:val="002425EA"/>
    <w:rsid w:val="00242674"/>
    <w:rsid w:val="00242B77"/>
    <w:rsid w:val="00242C18"/>
    <w:rsid w:val="00242EA0"/>
    <w:rsid w:val="00242EB4"/>
    <w:rsid w:val="0024312B"/>
    <w:rsid w:val="00243198"/>
    <w:rsid w:val="002435AF"/>
    <w:rsid w:val="00243685"/>
    <w:rsid w:val="0024380E"/>
    <w:rsid w:val="00243AD6"/>
    <w:rsid w:val="00243AEB"/>
    <w:rsid w:val="00243BFC"/>
    <w:rsid w:val="00243E2D"/>
    <w:rsid w:val="00243ED3"/>
    <w:rsid w:val="00243F24"/>
    <w:rsid w:val="00244189"/>
    <w:rsid w:val="002441BF"/>
    <w:rsid w:val="0024459C"/>
    <w:rsid w:val="0024466E"/>
    <w:rsid w:val="002446B2"/>
    <w:rsid w:val="002447C4"/>
    <w:rsid w:val="0024486F"/>
    <w:rsid w:val="00244CC2"/>
    <w:rsid w:val="00244D16"/>
    <w:rsid w:val="00244D2A"/>
    <w:rsid w:val="002451C6"/>
    <w:rsid w:val="002451E4"/>
    <w:rsid w:val="00245467"/>
    <w:rsid w:val="002456A1"/>
    <w:rsid w:val="00245750"/>
    <w:rsid w:val="00245A03"/>
    <w:rsid w:val="00245A3A"/>
    <w:rsid w:val="00245AD1"/>
    <w:rsid w:val="00245AD9"/>
    <w:rsid w:val="00245BB1"/>
    <w:rsid w:val="00245BD4"/>
    <w:rsid w:val="00245E7D"/>
    <w:rsid w:val="00245EF3"/>
    <w:rsid w:val="00245FDB"/>
    <w:rsid w:val="00246034"/>
    <w:rsid w:val="002463B8"/>
    <w:rsid w:val="00246446"/>
    <w:rsid w:val="00246747"/>
    <w:rsid w:val="00246880"/>
    <w:rsid w:val="00246BDF"/>
    <w:rsid w:val="00246C3D"/>
    <w:rsid w:val="00246D09"/>
    <w:rsid w:val="00246F73"/>
    <w:rsid w:val="002470B6"/>
    <w:rsid w:val="002470BB"/>
    <w:rsid w:val="00247248"/>
    <w:rsid w:val="00247496"/>
    <w:rsid w:val="00247AD1"/>
    <w:rsid w:val="00247ADE"/>
    <w:rsid w:val="00247F1E"/>
    <w:rsid w:val="002500EC"/>
    <w:rsid w:val="002503D2"/>
    <w:rsid w:val="0025075A"/>
    <w:rsid w:val="002509D2"/>
    <w:rsid w:val="002509D5"/>
    <w:rsid w:val="00250B02"/>
    <w:rsid w:val="00250BB8"/>
    <w:rsid w:val="00250D89"/>
    <w:rsid w:val="00250E5D"/>
    <w:rsid w:val="002510C4"/>
    <w:rsid w:val="00251250"/>
    <w:rsid w:val="00251441"/>
    <w:rsid w:val="00251544"/>
    <w:rsid w:val="002515C6"/>
    <w:rsid w:val="00251B36"/>
    <w:rsid w:val="00251B37"/>
    <w:rsid w:val="00251C8B"/>
    <w:rsid w:val="00251D74"/>
    <w:rsid w:val="0025237B"/>
    <w:rsid w:val="00252D18"/>
    <w:rsid w:val="00252D1E"/>
    <w:rsid w:val="00252D61"/>
    <w:rsid w:val="0025308D"/>
    <w:rsid w:val="002530E7"/>
    <w:rsid w:val="002532B4"/>
    <w:rsid w:val="002532E9"/>
    <w:rsid w:val="0025347C"/>
    <w:rsid w:val="00253521"/>
    <w:rsid w:val="00253552"/>
    <w:rsid w:val="00253806"/>
    <w:rsid w:val="00253A4B"/>
    <w:rsid w:val="00253C44"/>
    <w:rsid w:val="00253EA5"/>
    <w:rsid w:val="00253EC9"/>
    <w:rsid w:val="00253FC3"/>
    <w:rsid w:val="0025430D"/>
    <w:rsid w:val="00254502"/>
    <w:rsid w:val="00254519"/>
    <w:rsid w:val="00254636"/>
    <w:rsid w:val="00254637"/>
    <w:rsid w:val="0025487C"/>
    <w:rsid w:val="00254AE2"/>
    <w:rsid w:val="00254B39"/>
    <w:rsid w:val="00254C54"/>
    <w:rsid w:val="00254EEB"/>
    <w:rsid w:val="002552CB"/>
    <w:rsid w:val="0025564A"/>
    <w:rsid w:val="0025581C"/>
    <w:rsid w:val="002558F2"/>
    <w:rsid w:val="00255A7F"/>
    <w:rsid w:val="00255A90"/>
    <w:rsid w:val="00255B26"/>
    <w:rsid w:val="00255B47"/>
    <w:rsid w:val="00255C30"/>
    <w:rsid w:val="00255D33"/>
    <w:rsid w:val="00255F30"/>
    <w:rsid w:val="0025613F"/>
    <w:rsid w:val="002567D9"/>
    <w:rsid w:val="00256894"/>
    <w:rsid w:val="00256941"/>
    <w:rsid w:val="00256973"/>
    <w:rsid w:val="00256A15"/>
    <w:rsid w:val="00256A30"/>
    <w:rsid w:val="002570DB"/>
    <w:rsid w:val="00257195"/>
    <w:rsid w:val="00257C43"/>
    <w:rsid w:val="00257D7F"/>
    <w:rsid w:val="00257F91"/>
    <w:rsid w:val="00260143"/>
    <w:rsid w:val="00260182"/>
    <w:rsid w:val="002601E1"/>
    <w:rsid w:val="002604F5"/>
    <w:rsid w:val="002609A0"/>
    <w:rsid w:val="00260B04"/>
    <w:rsid w:val="00260E2D"/>
    <w:rsid w:val="002610AD"/>
    <w:rsid w:val="0026124B"/>
    <w:rsid w:val="00261292"/>
    <w:rsid w:val="00261567"/>
    <w:rsid w:val="00261573"/>
    <w:rsid w:val="0026178B"/>
    <w:rsid w:val="00261AC0"/>
    <w:rsid w:val="00261DC6"/>
    <w:rsid w:val="00261DE3"/>
    <w:rsid w:val="00261ED5"/>
    <w:rsid w:val="00262238"/>
    <w:rsid w:val="002622B6"/>
    <w:rsid w:val="002623A1"/>
    <w:rsid w:val="002625C9"/>
    <w:rsid w:val="002625FB"/>
    <w:rsid w:val="002628F6"/>
    <w:rsid w:val="002629AB"/>
    <w:rsid w:val="00262C13"/>
    <w:rsid w:val="00262C96"/>
    <w:rsid w:val="00262F12"/>
    <w:rsid w:val="00262FDE"/>
    <w:rsid w:val="00263164"/>
    <w:rsid w:val="00263192"/>
    <w:rsid w:val="0026327B"/>
    <w:rsid w:val="002632BB"/>
    <w:rsid w:val="00263522"/>
    <w:rsid w:val="0026393E"/>
    <w:rsid w:val="00263A45"/>
    <w:rsid w:val="00263C2D"/>
    <w:rsid w:val="00263DA6"/>
    <w:rsid w:val="00263F8E"/>
    <w:rsid w:val="00264173"/>
    <w:rsid w:val="0026436B"/>
    <w:rsid w:val="00264623"/>
    <w:rsid w:val="00264773"/>
    <w:rsid w:val="00264B61"/>
    <w:rsid w:val="00264D98"/>
    <w:rsid w:val="00264E52"/>
    <w:rsid w:val="00265050"/>
    <w:rsid w:val="0026515C"/>
    <w:rsid w:val="0026548D"/>
    <w:rsid w:val="002654CF"/>
    <w:rsid w:val="002655F3"/>
    <w:rsid w:val="00265998"/>
    <w:rsid w:val="002659AB"/>
    <w:rsid w:val="00265AEF"/>
    <w:rsid w:val="00265B25"/>
    <w:rsid w:val="002661DA"/>
    <w:rsid w:val="00266542"/>
    <w:rsid w:val="00266C5C"/>
    <w:rsid w:val="00266D4C"/>
    <w:rsid w:val="00267120"/>
    <w:rsid w:val="00267503"/>
    <w:rsid w:val="0026775E"/>
    <w:rsid w:val="002700CD"/>
    <w:rsid w:val="00270362"/>
    <w:rsid w:val="00270587"/>
    <w:rsid w:val="00270760"/>
    <w:rsid w:val="002707A1"/>
    <w:rsid w:val="0027081F"/>
    <w:rsid w:val="00270835"/>
    <w:rsid w:val="00270BBC"/>
    <w:rsid w:val="00270D1A"/>
    <w:rsid w:val="00271508"/>
    <w:rsid w:val="0027170A"/>
    <w:rsid w:val="00271797"/>
    <w:rsid w:val="0027185F"/>
    <w:rsid w:val="00271A45"/>
    <w:rsid w:val="00271BF6"/>
    <w:rsid w:val="00271F1E"/>
    <w:rsid w:val="002722F5"/>
    <w:rsid w:val="0027245B"/>
    <w:rsid w:val="0027295A"/>
    <w:rsid w:val="00272FC8"/>
    <w:rsid w:val="0027308A"/>
    <w:rsid w:val="0027331C"/>
    <w:rsid w:val="002733F0"/>
    <w:rsid w:val="002739DF"/>
    <w:rsid w:val="00273DBF"/>
    <w:rsid w:val="00274017"/>
    <w:rsid w:val="00274197"/>
    <w:rsid w:val="002747C4"/>
    <w:rsid w:val="00274B1B"/>
    <w:rsid w:val="00274D20"/>
    <w:rsid w:val="00274ED7"/>
    <w:rsid w:val="0027540E"/>
    <w:rsid w:val="00275428"/>
    <w:rsid w:val="0027569D"/>
    <w:rsid w:val="0027575E"/>
    <w:rsid w:val="002758FE"/>
    <w:rsid w:val="00275CC8"/>
    <w:rsid w:val="00275D37"/>
    <w:rsid w:val="00275D8E"/>
    <w:rsid w:val="00276020"/>
    <w:rsid w:val="00276052"/>
    <w:rsid w:val="0027640E"/>
    <w:rsid w:val="002764AD"/>
    <w:rsid w:val="00276701"/>
    <w:rsid w:val="002767E6"/>
    <w:rsid w:val="00276902"/>
    <w:rsid w:val="00276C8A"/>
    <w:rsid w:val="00276C8F"/>
    <w:rsid w:val="00276F74"/>
    <w:rsid w:val="00276FF1"/>
    <w:rsid w:val="0027706D"/>
    <w:rsid w:val="00277489"/>
    <w:rsid w:val="00277678"/>
    <w:rsid w:val="00277D40"/>
    <w:rsid w:val="00277FAE"/>
    <w:rsid w:val="002800D2"/>
    <w:rsid w:val="002801F4"/>
    <w:rsid w:val="00280346"/>
    <w:rsid w:val="00280396"/>
    <w:rsid w:val="002803EA"/>
    <w:rsid w:val="00280528"/>
    <w:rsid w:val="00280630"/>
    <w:rsid w:val="00280AE3"/>
    <w:rsid w:val="00280B5B"/>
    <w:rsid w:val="00280D8D"/>
    <w:rsid w:val="00280DAE"/>
    <w:rsid w:val="00280EEC"/>
    <w:rsid w:val="00281290"/>
    <w:rsid w:val="00281501"/>
    <w:rsid w:val="00281708"/>
    <w:rsid w:val="002818A9"/>
    <w:rsid w:val="002818EF"/>
    <w:rsid w:val="002819B3"/>
    <w:rsid w:val="00281DCF"/>
    <w:rsid w:val="00281ECA"/>
    <w:rsid w:val="00282491"/>
    <w:rsid w:val="00282525"/>
    <w:rsid w:val="002825FE"/>
    <w:rsid w:val="00282602"/>
    <w:rsid w:val="00282659"/>
    <w:rsid w:val="00282826"/>
    <w:rsid w:val="0028286C"/>
    <w:rsid w:val="002828BA"/>
    <w:rsid w:val="00282A0E"/>
    <w:rsid w:val="00282B78"/>
    <w:rsid w:val="00282CED"/>
    <w:rsid w:val="00282FC7"/>
    <w:rsid w:val="002832A1"/>
    <w:rsid w:val="0028350A"/>
    <w:rsid w:val="002836DF"/>
    <w:rsid w:val="0028376C"/>
    <w:rsid w:val="00283772"/>
    <w:rsid w:val="002837C4"/>
    <w:rsid w:val="00283B83"/>
    <w:rsid w:val="00283C0B"/>
    <w:rsid w:val="00283C30"/>
    <w:rsid w:val="0028427B"/>
    <w:rsid w:val="0028433A"/>
    <w:rsid w:val="00284447"/>
    <w:rsid w:val="00284960"/>
    <w:rsid w:val="00284AD0"/>
    <w:rsid w:val="00284C31"/>
    <w:rsid w:val="00285067"/>
    <w:rsid w:val="00285123"/>
    <w:rsid w:val="00285273"/>
    <w:rsid w:val="002854C1"/>
    <w:rsid w:val="002856CC"/>
    <w:rsid w:val="00285796"/>
    <w:rsid w:val="002857F1"/>
    <w:rsid w:val="00285ACB"/>
    <w:rsid w:val="00285CCE"/>
    <w:rsid w:val="00285F83"/>
    <w:rsid w:val="00286068"/>
    <w:rsid w:val="00286077"/>
    <w:rsid w:val="002861AB"/>
    <w:rsid w:val="0028638B"/>
    <w:rsid w:val="00286488"/>
    <w:rsid w:val="002864E1"/>
    <w:rsid w:val="0028664D"/>
    <w:rsid w:val="00286655"/>
    <w:rsid w:val="00286D2F"/>
    <w:rsid w:val="00286D80"/>
    <w:rsid w:val="00286FAA"/>
    <w:rsid w:val="00287596"/>
    <w:rsid w:val="002875D6"/>
    <w:rsid w:val="0028777E"/>
    <w:rsid w:val="00287869"/>
    <w:rsid w:val="00287C85"/>
    <w:rsid w:val="00287E1E"/>
    <w:rsid w:val="00290346"/>
    <w:rsid w:val="002907B8"/>
    <w:rsid w:val="00290898"/>
    <w:rsid w:val="00290940"/>
    <w:rsid w:val="00290A04"/>
    <w:rsid w:val="00290BB7"/>
    <w:rsid w:val="00290FF7"/>
    <w:rsid w:val="0029105F"/>
    <w:rsid w:val="0029116E"/>
    <w:rsid w:val="00291472"/>
    <w:rsid w:val="002914A7"/>
    <w:rsid w:val="002916F1"/>
    <w:rsid w:val="002917D3"/>
    <w:rsid w:val="00291928"/>
    <w:rsid w:val="00291A0A"/>
    <w:rsid w:val="00291EF3"/>
    <w:rsid w:val="00291F41"/>
    <w:rsid w:val="00291FE1"/>
    <w:rsid w:val="002923DF"/>
    <w:rsid w:val="0029258E"/>
    <w:rsid w:val="0029283B"/>
    <w:rsid w:val="0029289C"/>
    <w:rsid w:val="002928F4"/>
    <w:rsid w:val="00292A49"/>
    <w:rsid w:val="00292BCF"/>
    <w:rsid w:val="002931E8"/>
    <w:rsid w:val="002933F0"/>
    <w:rsid w:val="002933F9"/>
    <w:rsid w:val="002935DF"/>
    <w:rsid w:val="002935F1"/>
    <w:rsid w:val="00293A1D"/>
    <w:rsid w:val="00293A67"/>
    <w:rsid w:val="00294054"/>
    <w:rsid w:val="00294066"/>
    <w:rsid w:val="00294271"/>
    <w:rsid w:val="002942A0"/>
    <w:rsid w:val="002942DA"/>
    <w:rsid w:val="00294858"/>
    <w:rsid w:val="00294912"/>
    <w:rsid w:val="00294ABB"/>
    <w:rsid w:val="00294BAB"/>
    <w:rsid w:val="00294D94"/>
    <w:rsid w:val="00295100"/>
    <w:rsid w:val="00295497"/>
    <w:rsid w:val="002954BC"/>
    <w:rsid w:val="002955FE"/>
    <w:rsid w:val="00295721"/>
    <w:rsid w:val="00295A46"/>
    <w:rsid w:val="00295A65"/>
    <w:rsid w:val="00295B11"/>
    <w:rsid w:val="00295B20"/>
    <w:rsid w:val="00295D70"/>
    <w:rsid w:val="00295E18"/>
    <w:rsid w:val="00295E95"/>
    <w:rsid w:val="00296709"/>
    <w:rsid w:val="002968CA"/>
    <w:rsid w:val="00296A01"/>
    <w:rsid w:val="00296C36"/>
    <w:rsid w:val="00296C9F"/>
    <w:rsid w:val="00297021"/>
    <w:rsid w:val="002970C5"/>
    <w:rsid w:val="002971F4"/>
    <w:rsid w:val="0029758B"/>
    <w:rsid w:val="00297604"/>
    <w:rsid w:val="002976EB"/>
    <w:rsid w:val="00297908"/>
    <w:rsid w:val="00297A83"/>
    <w:rsid w:val="00297A8A"/>
    <w:rsid w:val="00297B12"/>
    <w:rsid w:val="00297BDC"/>
    <w:rsid w:val="00297C45"/>
    <w:rsid w:val="00297FB2"/>
    <w:rsid w:val="002A001D"/>
    <w:rsid w:val="002A0446"/>
    <w:rsid w:val="002A07C2"/>
    <w:rsid w:val="002A0948"/>
    <w:rsid w:val="002A0AAB"/>
    <w:rsid w:val="002A0AD8"/>
    <w:rsid w:val="002A0AE8"/>
    <w:rsid w:val="002A0BBC"/>
    <w:rsid w:val="002A0E43"/>
    <w:rsid w:val="002A0E98"/>
    <w:rsid w:val="002A0EEF"/>
    <w:rsid w:val="002A0FB9"/>
    <w:rsid w:val="002A111B"/>
    <w:rsid w:val="002A1AAD"/>
    <w:rsid w:val="002A1B83"/>
    <w:rsid w:val="002A1BB4"/>
    <w:rsid w:val="002A1EA6"/>
    <w:rsid w:val="002A1EBC"/>
    <w:rsid w:val="002A23CA"/>
    <w:rsid w:val="002A23DC"/>
    <w:rsid w:val="002A2479"/>
    <w:rsid w:val="002A2509"/>
    <w:rsid w:val="002A2519"/>
    <w:rsid w:val="002A2567"/>
    <w:rsid w:val="002A2632"/>
    <w:rsid w:val="002A2751"/>
    <w:rsid w:val="002A28BC"/>
    <w:rsid w:val="002A2C50"/>
    <w:rsid w:val="002A31CE"/>
    <w:rsid w:val="002A326C"/>
    <w:rsid w:val="002A32C2"/>
    <w:rsid w:val="002A377B"/>
    <w:rsid w:val="002A37A1"/>
    <w:rsid w:val="002A37ED"/>
    <w:rsid w:val="002A391F"/>
    <w:rsid w:val="002A41EB"/>
    <w:rsid w:val="002A421D"/>
    <w:rsid w:val="002A4470"/>
    <w:rsid w:val="002A44EC"/>
    <w:rsid w:val="002A4503"/>
    <w:rsid w:val="002A4529"/>
    <w:rsid w:val="002A4585"/>
    <w:rsid w:val="002A4881"/>
    <w:rsid w:val="002A4CA1"/>
    <w:rsid w:val="002A4E1C"/>
    <w:rsid w:val="002A4EF5"/>
    <w:rsid w:val="002A506C"/>
    <w:rsid w:val="002A50D0"/>
    <w:rsid w:val="002A5360"/>
    <w:rsid w:val="002A56D2"/>
    <w:rsid w:val="002A579C"/>
    <w:rsid w:val="002A5973"/>
    <w:rsid w:val="002A5A12"/>
    <w:rsid w:val="002A5AC6"/>
    <w:rsid w:val="002A5FFA"/>
    <w:rsid w:val="002A6017"/>
    <w:rsid w:val="002A61AB"/>
    <w:rsid w:val="002A61E4"/>
    <w:rsid w:val="002A61E5"/>
    <w:rsid w:val="002A6280"/>
    <w:rsid w:val="002A62AD"/>
    <w:rsid w:val="002A6857"/>
    <w:rsid w:val="002A692B"/>
    <w:rsid w:val="002A6ABB"/>
    <w:rsid w:val="002A6EF8"/>
    <w:rsid w:val="002A73CD"/>
    <w:rsid w:val="002A76C4"/>
    <w:rsid w:val="002A76C5"/>
    <w:rsid w:val="002A77C4"/>
    <w:rsid w:val="002A7897"/>
    <w:rsid w:val="002A78B9"/>
    <w:rsid w:val="002A7C57"/>
    <w:rsid w:val="002B0389"/>
    <w:rsid w:val="002B038D"/>
    <w:rsid w:val="002B05B8"/>
    <w:rsid w:val="002B0639"/>
    <w:rsid w:val="002B07F3"/>
    <w:rsid w:val="002B0F12"/>
    <w:rsid w:val="002B0F87"/>
    <w:rsid w:val="002B138E"/>
    <w:rsid w:val="002B15B3"/>
    <w:rsid w:val="002B1760"/>
    <w:rsid w:val="002B1A57"/>
    <w:rsid w:val="002B1E02"/>
    <w:rsid w:val="002B1E61"/>
    <w:rsid w:val="002B221F"/>
    <w:rsid w:val="002B2396"/>
    <w:rsid w:val="002B23AA"/>
    <w:rsid w:val="002B256E"/>
    <w:rsid w:val="002B2694"/>
    <w:rsid w:val="002B27DC"/>
    <w:rsid w:val="002B2883"/>
    <w:rsid w:val="002B2DA7"/>
    <w:rsid w:val="002B2DC3"/>
    <w:rsid w:val="002B2ED6"/>
    <w:rsid w:val="002B2F9A"/>
    <w:rsid w:val="002B3129"/>
    <w:rsid w:val="002B3132"/>
    <w:rsid w:val="002B31B5"/>
    <w:rsid w:val="002B320C"/>
    <w:rsid w:val="002B339E"/>
    <w:rsid w:val="002B33FA"/>
    <w:rsid w:val="002B3604"/>
    <w:rsid w:val="002B3884"/>
    <w:rsid w:val="002B395D"/>
    <w:rsid w:val="002B3A10"/>
    <w:rsid w:val="002B3ABC"/>
    <w:rsid w:val="002B3B76"/>
    <w:rsid w:val="002B3F22"/>
    <w:rsid w:val="002B4240"/>
    <w:rsid w:val="002B42E0"/>
    <w:rsid w:val="002B42E5"/>
    <w:rsid w:val="002B472B"/>
    <w:rsid w:val="002B4831"/>
    <w:rsid w:val="002B4941"/>
    <w:rsid w:val="002B4BD3"/>
    <w:rsid w:val="002B4D00"/>
    <w:rsid w:val="002B5103"/>
    <w:rsid w:val="002B512B"/>
    <w:rsid w:val="002B524A"/>
    <w:rsid w:val="002B5683"/>
    <w:rsid w:val="002B5927"/>
    <w:rsid w:val="002B595C"/>
    <w:rsid w:val="002B5D74"/>
    <w:rsid w:val="002B62FC"/>
    <w:rsid w:val="002B64EB"/>
    <w:rsid w:val="002B6621"/>
    <w:rsid w:val="002B678B"/>
    <w:rsid w:val="002B67CA"/>
    <w:rsid w:val="002B6817"/>
    <w:rsid w:val="002B6924"/>
    <w:rsid w:val="002B6AA6"/>
    <w:rsid w:val="002B6BFA"/>
    <w:rsid w:val="002B7085"/>
    <w:rsid w:val="002B70DD"/>
    <w:rsid w:val="002B7ADB"/>
    <w:rsid w:val="002B7B5A"/>
    <w:rsid w:val="002B7C71"/>
    <w:rsid w:val="002B7F13"/>
    <w:rsid w:val="002C00F5"/>
    <w:rsid w:val="002C0349"/>
    <w:rsid w:val="002C04D7"/>
    <w:rsid w:val="002C093A"/>
    <w:rsid w:val="002C0A43"/>
    <w:rsid w:val="002C0C63"/>
    <w:rsid w:val="002C0E6F"/>
    <w:rsid w:val="002C0EDA"/>
    <w:rsid w:val="002C143E"/>
    <w:rsid w:val="002C1543"/>
    <w:rsid w:val="002C1619"/>
    <w:rsid w:val="002C1785"/>
    <w:rsid w:val="002C1787"/>
    <w:rsid w:val="002C17C7"/>
    <w:rsid w:val="002C17FC"/>
    <w:rsid w:val="002C18AF"/>
    <w:rsid w:val="002C1AC7"/>
    <w:rsid w:val="002C1C92"/>
    <w:rsid w:val="002C1CE1"/>
    <w:rsid w:val="002C1CF3"/>
    <w:rsid w:val="002C1D2F"/>
    <w:rsid w:val="002C23FA"/>
    <w:rsid w:val="002C2781"/>
    <w:rsid w:val="002C27BA"/>
    <w:rsid w:val="002C2BDE"/>
    <w:rsid w:val="002C2BE4"/>
    <w:rsid w:val="002C2D95"/>
    <w:rsid w:val="002C2EDD"/>
    <w:rsid w:val="002C2FDD"/>
    <w:rsid w:val="002C2FEB"/>
    <w:rsid w:val="002C31A8"/>
    <w:rsid w:val="002C349E"/>
    <w:rsid w:val="002C34C0"/>
    <w:rsid w:val="002C37D4"/>
    <w:rsid w:val="002C3BF2"/>
    <w:rsid w:val="002C42DD"/>
    <w:rsid w:val="002C456F"/>
    <w:rsid w:val="002C463F"/>
    <w:rsid w:val="002C485B"/>
    <w:rsid w:val="002C49F6"/>
    <w:rsid w:val="002C4BE4"/>
    <w:rsid w:val="002C4E92"/>
    <w:rsid w:val="002C5633"/>
    <w:rsid w:val="002C5681"/>
    <w:rsid w:val="002C577B"/>
    <w:rsid w:val="002C5848"/>
    <w:rsid w:val="002C585F"/>
    <w:rsid w:val="002C5915"/>
    <w:rsid w:val="002C5E89"/>
    <w:rsid w:val="002C615E"/>
    <w:rsid w:val="002C6198"/>
    <w:rsid w:val="002C6749"/>
    <w:rsid w:val="002C68DC"/>
    <w:rsid w:val="002C6BCF"/>
    <w:rsid w:val="002C6C40"/>
    <w:rsid w:val="002C6D1B"/>
    <w:rsid w:val="002C6F24"/>
    <w:rsid w:val="002C7024"/>
    <w:rsid w:val="002C719E"/>
    <w:rsid w:val="002C738D"/>
    <w:rsid w:val="002C7706"/>
    <w:rsid w:val="002C7AB3"/>
    <w:rsid w:val="002C7C13"/>
    <w:rsid w:val="002C7C21"/>
    <w:rsid w:val="002C7D60"/>
    <w:rsid w:val="002C7EDF"/>
    <w:rsid w:val="002D0EF2"/>
    <w:rsid w:val="002D1242"/>
    <w:rsid w:val="002D15EB"/>
    <w:rsid w:val="002D23E6"/>
    <w:rsid w:val="002D24AC"/>
    <w:rsid w:val="002D252F"/>
    <w:rsid w:val="002D29CE"/>
    <w:rsid w:val="002D2D56"/>
    <w:rsid w:val="002D2FCA"/>
    <w:rsid w:val="002D312A"/>
    <w:rsid w:val="002D320C"/>
    <w:rsid w:val="002D3374"/>
    <w:rsid w:val="002D3511"/>
    <w:rsid w:val="002D351A"/>
    <w:rsid w:val="002D359A"/>
    <w:rsid w:val="002D37CF"/>
    <w:rsid w:val="002D3803"/>
    <w:rsid w:val="002D3A26"/>
    <w:rsid w:val="002D3AF8"/>
    <w:rsid w:val="002D3E22"/>
    <w:rsid w:val="002D3E4E"/>
    <w:rsid w:val="002D3FC8"/>
    <w:rsid w:val="002D4224"/>
    <w:rsid w:val="002D4941"/>
    <w:rsid w:val="002D4B30"/>
    <w:rsid w:val="002D4BF0"/>
    <w:rsid w:val="002D508F"/>
    <w:rsid w:val="002D510C"/>
    <w:rsid w:val="002D51A8"/>
    <w:rsid w:val="002D51CE"/>
    <w:rsid w:val="002D5579"/>
    <w:rsid w:val="002D55E7"/>
    <w:rsid w:val="002D564A"/>
    <w:rsid w:val="002D58AB"/>
    <w:rsid w:val="002D5A6D"/>
    <w:rsid w:val="002D5BFE"/>
    <w:rsid w:val="002D6155"/>
    <w:rsid w:val="002D63B3"/>
    <w:rsid w:val="002D6416"/>
    <w:rsid w:val="002D644D"/>
    <w:rsid w:val="002D64E5"/>
    <w:rsid w:val="002D6613"/>
    <w:rsid w:val="002D6909"/>
    <w:rsid w:val="002D6DB1"/>
    <w:rsid w:val="002D6E67"/>
    <w:rsid w:val="002D7015"/>
    <w:rsid w:val="002D7160"/>
    <w:rsid w:val="002D73D1"/>
    <w:rsid w:val="002D7823"/>
    <w:rsid w:val="002D7912"/>
    <w:rsid w:val="002D7B90"/>
    <w:rsid w:val="002D7BA0"/>
    <w:rsid w:val="002E04C8"/>
    <w:rsid w:val="002E056B"/>
    <w:rsid w:val="002E071C"/>
    <w:rsid w:val="002E163F"/>
    <w:rsid w:val="002E17E6"/>
    <w:rsid w:val="002E1B1D"/>
    <w:rsid w:val="002E1DF1"/>
    <w:rsid w:val="002E1E3B"/>
    <w:rsid w:val="002E1F57"/>
    <w:rsid w:val="002E2178"/>
    <w:rsid w:val="002E254D"/>
    <w:rsid w:val="002E2A81"/>
    <w:rsid w:val="002E2D5C"/>
    <w:rsid w:val="002E2FB8"/>
    <w:rsid w:val="002E316B"/>
    <w:rsid w:val="002E3592"/>
    <w:rsid w:val="002E35B6"/>
    <w:rsid w:val="002E35CF"/>
    <w:rsid w:val="002E389F"/>
    <w:rsid w:val="002E38F7"/>
    <w:rsid w:val="002E3B8D"/>
    <w:rsid w:val="002E3BBB"/>
    <w:rsid w:val="002E3D3B"/>
    <w:rsid w:val="002E405B"/>
    <w:rsid w:val="002E409B"/>
    <w:rsid w:val="002E4129"/>
    <w:rsid w:val="002E4293"/>
    <w:rsid w:val="002E4474"/>
    <w:rsid w:val="002E47D9"/>
    <w:rsid w:val="002E49AD"/>
    <w:rsid w:val="002E4C2D"/>
    <w:rsid w:val="002E4F6F"/>
    <w:rsid w:val="002E5285"/>
    <w:rsid w:val="002E5436"/>
    <w:rsid w:val="002E55B7"/>
    <w:rsid w:val="002E58E5"/>
    <w:rsid w:val="002E5B77"/>
    <w:rsid w:val="002E5DD0"/>
    <w:rsid w:val="002E5DEA"/>
    <w:rsid w:val="002E647F"/>
    <w:rsid w:val="002E690F"/>
    <w:rsid w:val="002E6D38"/>
    <w:rsid w:val="002E6E86"/>
    <w:rsid w:val="002E716F"/>
    <w:rsid w:val="002E724A"/>
    <w:rsid w:val="002E72C8"/>
    <w:rsid w:val="002E74EE"/>
    <w:rsid w:val="002E776E"/>
    <w:rsid w:val="002E78C4"/>
    <w:rsid w:val="002E78FB"/>
    <w:rsid w:val="002E795F"/>
    <w:rsid w:val="002E7A8B"/>
    <w:rsid w:val="002E7B78"/>
    <w:rsid w:val="002F002D"/>
    <w:rsid w:val="002F022D"/>
    <w:rsid w:val="002F02B7"/>
    <w:rsid w:val="002F05C9"/>
    <w:rsid w:val="002F078A"/>
    <w:rsid w:val="002F0C6B"/>
    <w:rsid w:val="002F121C"/>
    <w:rsid w:val="002F12AA"/>
    <w:rsid w:val="002F14A2"/>
    <w:rsid w:val="002F185E"/>
    <w:rsid w:val="002F1BAA"/>
    <w:rsid w:val="002F1BD4"/>
    <w:rsid w:val="002F1C23"/>
    <w:rsid w:val="002F1C45"/>
    <w:rsid w:val="002F1D57"/>
    <w:rsid w:val="002F1DE0"/>
    <w:rsid w:val="002F1FBC"/>
    <w:rsid w:val="002F23E7"/>
    <w:rsid w:val="002F26E6"/>
    <w:rsid w:val="002F2AE0"/>
    <w:rsid w:val="002F2E90"/>
    <w:rsid w:val="002F2EA8"/>
    <w:rsid w:val="002F3081"/>
    <w:rsid w:val="002F311E"/>
    <w:rsid w:val="002F313A"/>
    <w:rsid w:val="002F32B9"/>
    <w:rsid w:val="002F32D9"/>
    <w:rsid w:val="002F345B"/>
    <w:rsid w:val="002F3878"/>
    <w:rsid w:val="002F389A"/>
    <w:rsid w:val="002F392C"/>
    <w:rsid w:val="002F3AC5"/>
    <w:rsid w:val="002F40E1"/>
    <w:rsid w:val="002F43A0"/>
    <w:rsid w:val="002F4515"/>
    <w:rsid w:val="002F4ACA"/>
    <w:rsid w:val="002F4AFF"/>
    <w:rsid w:val="002F4BA7"/>
    <w:rsid w:val="002F4E4A"/>
    <w:rsid w:val="002F540F"/>
    <w:rsid w:val="002F5838"/>
    <w:rsid w:val="002F5E30"/>
    <w:rsid w:val="002F5FEC"/>
    <w:rsid w:val="002F6018"/>
    <w:rsid w:val="002F61EE"/>
    <w:rsid w:val="002F62D7"/>
    <w:rsid w:val="002F68ED"/>
    <w:rsid w:val="002F6C2F"/>
    <w:rsid w:val="002F6C42"/>
    <w:rsid w:val="002F71B8"/>
    <w:rsid w:val="002F71F4"/>
    <w:rsid w:val="002F763A"/>
    <w:rsid w:val="002F791A"/>
    <w:rsid w:val="002F7A6B"/>
    <w:rsid w:val="002F7B2F"/>
    <w:rsid w:val="002F7D9F"/>
    <w:rsid w:val="003004DC"/>
    <w:rsid w:val="00300718"/>
    <w:rsid w:val="003009BB"/>
    <w:rsid w:val="0030109D"/>
    <w:rsid w:val="00301227"/>
    <w:rsid w:val="0030196B"/>
    <w:rsid w:val="00301A30"/>
    <w:rsid w:val="00301A98"/>
    <w:rsid w:val="00301B77"/>
    <w:rsid w:val="00301BF8"/>
    <w:rsid w:val="00301EA1"/>
    <w:rsid w:val="00301ED8"/>
    <w:rsid w:val="00301F26"/>
    <w:rsid w:val="00301FC4"/>
    <w:rsid w:val="003020A0"/>
    <w:rsid w:val="003023F7"/>
    <w:rsid w:val="00302605"/>
    <w:rsid w:val="00302621"/>
    <w:rsid w:val="003028B6"/>
    <w:rsid w:val="0030299D"/>
    <w:rsid w:val="003029FA"/>
    <w:rsid w:val="00302A20"/>
    <w:rsid w:val="00302C16"/>
    <w:rsid w:val="00302CC1"/>
    <w:rsid w:val="00302E36"/>
    <w:rsid w:val="00302FCC"/>
    <w:rsid w:val="003030C3"/>
    <w:rsid w:val="00303145"/>
    <w:rsid w:val="003032EC"/>
    <w:rsid w:val="003035C8"/>
    <w:rsid w:val="0030362F"/>
    <w:rsid w:val="003036C3"/>
    <w:rsid w:val="0030391E"/>
    <w:rsid w:val="00303F4E"/>
    <w:rsid w:val="0030402C"/>
    <w:rsid w:val="00304455"/>
    <w:rsid w:val="0030448F"/>
    <w:rsid w:val="003044BF"/>
    <w:rsid w:val="003048B2"/>
    <w:rsid w:val="00304A7B"/>
    <w:rsid w:val="00304BE9"/>
    <w:rsid w:val="00304FEF"/>
    <w:rsid w:val="00304FF0"/>
    <w:rsid w:val="003051CB"/>
    <w:rsid w:val="00305238"/>
    <w:rsid w:val="003052DC"/>
    <w:rsid w:val="00305513"/>
    <w:rsid w:val="00305604"/>
    <w:rsid w:val="003057B1"/>
    <w:rsid w:val="0030584E"/>
    <w:rsid w:val="00305BD5"/>
    <w:rsid w:val="00305C7E"/>
    <w:rsid w:val="00305D53"/>
    <w:rsid w:val="00305D89"/>
    <w:rsid w:val="00305F13"/>
    <w:rsid w:val="00305F60"/>
    <w:rsid w:val="003061B3"/>
    <w:rsid w:val="00306254"/>
    <w:rsid w:val="003062AE"/>
    <w:rsid w:val="00306361"/>
    <w:rsid w:val="00306621"/>
    <w:rsid w:val="003066D6"/>
    <w:rsid w:val="00306BFF"/>
    <w:rsid w:val="00306D59"/>
    <w:rsid w:val="0030702B"/>
    <w:rsid w:val="0030717F"/>
    <w:rsid w:val="003071DA"/>
    <w:rsid w:val="00307223"/>
    <w:rsid w:val="003074BB"/>
    <w:rsid w:val="00307546"/>
    <w:rsid w:val="00307700"/>
    <w:rsid w:val="003077DC"/>
    <w:rsid w:val="0030786B"/>
    <w:rsid w:val="003079D8"/>
    <w:rsid w:val="00307A3D"/>
    <w:rsid w:val="00307C65"/>
    <w:rsid w:val="00307DAF"/>
    <w:rsid w:val="00307EFF"/>
    <w:rsid w:val="00307F7F"/>
    <w:rsid w:val="0031030C"/>
    <w:rsid w:val="0031033B"/>
    <w:rsid w:val="003105CA"/>
    <w:rsid w:val="00310753"/>
    <w:rsid w:val="00310894"/>
    <w:rsid w:val="00310AD6"/>
    <w:rsid w:val="00310CB4"/>
    <w:rsid w:val="00310D4F"/>
    <w:rsid w:val="00310E37"/>
    <w:rsid w:val="00311040"/>
    <w:rsid w:val="0031106D"/>
    <w:rsid w:val="00311368"/>
    <w:rsid w:val="00311396"/>
    <w:rsid w:val="00311448"/>
    <w:rsid w:val="00311FF1"/>
    <w:rsid w:val="00312473"/>
    <w:rsid w:val="003128BF"/>
    <w:rsid w:val="00312BBA"/>
    <w:rsid w:val="00312EBC"/>
    <w:rsid w:val="00313265"/>
    <w:rsid w:val="00313568"/>
    <w:rsid w:val="003136A8"/>
    <w:rsid w:val="003137A2"/>
    <w:rsid w:val="003138B6"/>
    <w:rsid w:val="00313F42"/>
    <w:rsid w:val="003144A1"/>
    <w:rsid w:val="003145CA"/>
    <w:rsid w:val="00314658"/>
    <w:rsid w:val="0031480D"/>
    <w:rsid w:val="00314A11"/>
    <w:rsid w:val="00314A82"/>
    <w:rsid w:val="00314BB5"/>
    <w:rsid w:val="00314BF9"/>
    <w:rsid w:val="00314BFC"/>
    <w:rsid w:val="003152AA"/>
    <w:rsid w:val="0031531B"/>
    <w:rsid w:val="0031546B"/>
    <w:rsid w:val="003154BD"/>
    <w:rsid w:val="00315514"/>
    <w:rsid w:val="003155D0"/>
    <w:rsid w:val="00315667"/>
    <w:rsid w:val="003156C3"/>
    <w:rsid w:val="003157A5"/>
    <w:rsid w:val="00315C30"/>
    <w:rsid w:val="00315C9F"/>
    <w:rsid w:val="00315E5B"/>
    <w:rsid w:val="00315EEC"/>
    <w:rsid w:val="00316208"/>
    <w:rsid w:val="003162EB"/>
    <w:rsid w:val="003163D5"/>
    <w:rsid w:val="00316664"/>
    <w:rsid w:val="0031713A"/>
    <w:rsid w:val="003176AA"/>
    <w:rsid w:val="003176BB"/>
    <w:rsid w:val="0031791D"/>
    <w:rsid w:val="00317A1D"/>
    <w:rsid w:val="00317D69"/>
    <w:rsid w:val="00317E18"/>
    <w:rsid w:val="00317E7F"/>
    <w:rsid w:val="00317F6E"/>
    <w:rsid w:val="0032001D"/>
    <w:rsid w:val="003200C4"/>
    <w:rsid w:val="0032015C"/>
    <w:rsid w:val="0032037E"/>
    <w:rsid w:val="003204B0"/>
    <w:rsid w:val="0032078B"/>
    <w:rsid w:val="003208AE"/>
    <w:rsid w:val="00320B2F"/>
    <w:rsid w:val="00320C62"/>
    <w:rsid w:val="00320CDA"/>
    <w:rsid w:val="00320D11"/>
    <w:rsid w:val="00320DEF"/>
    <w:rsid w:val="0032121E"/>
    <w:rsid w:val="00321358"/>
    <w:rsid w:val="003215EF"/>
    <w:rsid w:val="00321BAB"/>
    <w:rsid w:val="00321D3D"/>
    <w:rsid w:val="00321DEB"/>
    <w:rsid w:val="00322233"/>
    <w:rsid w:val="003222E6"/>
    <w:rsid w:val="00322800"/>
    <w:rsid w:val="00322C42"/>
    <w:rsid w:val="00322F94"/>
    <w:rsid w:val="003232BA"/>
    <w:rsid w:val="003232F9"/>
    <w:rsid w:val="00323A5F"/>
    <w:rsid w:val="00323C87"/>
    <w:rsid w:val="00323CB9"/>
    <w:rsid w:val="00323CDD"/>
    <w:rsid w:val="00323E12"/>
    <w:rsid w:val="00324021"/>
    <w:rsid w:val="00324141"/>
    <w:rsid w:val="00324238"/>
    <w:rsid w:val="0032449D"/>
    <w:rsid w:val="00324692"/>
    <w:rsid w:val="003246E3"/>
    <w:rsid w:val="00324810"/>
    <w:rsid w:val="00324A81"/>
    <w:rsid w:val="00324B79"/>
    <w:rsid w:val="00324BCB"/>
    <w:rsid w:val="00324D7D"/>
    <w:rsid w:val="00325055"/>
    <w:rsid w:val="0032514C"/>
    <w:rsid w:val="00325654"/>
    <w:rsid w:val="0032581A"/>
    <w:rsid w:val="00325BB5"/>
    <w:rsid w:val="00326008"/>
    <w:rsid w:val="0032646C"/>
    <w:rsid w:val="0032685C"/>
    <w:rsid w:val="00326A73"/>
    <w:rsid w:val="00326E07"/>
    <w:rsid w:val="00326E91"/>
    <w:rsid w:val="003276A0"/>
    <w:rsid w:val="003277C0"/>
    <w:rsid w:val="003278BE"/>
    <w:rsid w:val="003278C0"/>
    <w:rsid w:val="00327956"/>
    <w:rsid w:val="00327A88"/>
    <w:rsid w:val="00327C06"/>
    <w:rsid w:val="003300F7"/>
    <w:rsid w:val="0033037E"/>
    <w:rsid w:val="0033039F"/>
    <w:rsid w:val="00330D61"/>
    <w:rsid w:val="00330DCA"/>
    <w:rsid w:val="00330DF0"/>
    <w:rsid w:val="00330E8B"/>
    <w:rsid w:val="00331171"/>
    <w:rsid w:val="003313F0"/>
    <w:rsid w:val="00331602"/>
    <w:rsid w:val="00331A16"/>
    <w:rsid w:val="00331C8C"/>
    <w:rsid w:val="00332005"/>
    <w:rsid w:val="003320A4"/>
    <w:rsid w:val="003322A1"/>
    <w:rsid w:val="003323FF"/>
    <w:rsid w:val="00332874"/>
    <w:rsid w:val="00332DA0"/>
    <w:rsid w:val="00332DF6"/>
    <w:rsid w:val="003330CA"/>
    <w:rsid w:val="00333169"/>
    <w:rsid w:val="0033335C"/>
    <w:rsid w:val="00333444"/>
    <w:rsid w:val="00333682"/>
    <w:rsid w:val="00333792"/>
    <w:rsid w:val="00333856"/>
    <w:rsid w:val="00333925"/>
    <w:rsid w:val="00333A25"/>
    <w:rsid w:val="00333B26"/>
    <w:rsid w:val="00333C84"/>
    <w:rsid w:val="00333E41"/>
    <w:rsid w:val="003342EA"/>
    <w:rsid w:val="003345FF"/>
    <w:rsid w:val="003347E5"/>
    <w:rsid w:val="003348C6"/>
    <w:rsid w:val="0033491A"/>
    <w:rsid w:val="00334938"/>
    <w:rsid w:val="00334ACF"/>
    <w:rsid w:val="00334BF5"/>
    <w:rsid w:val="0033505C"/>
    <w:rsid w:val="003350A5"/>
    <w:rsid w:val="003352B3"/>
    <w:rsid w:val="00335372"/>
    <w:rsid w:val="0033542B"/>
    <w:rsid w:val="00335497"/>
    <w:rsid w:val="00335644"/>
    <w:rsid w:val="0033581E"/>
    <w:rsid w:val="0033591B"/>
    <w:rsid w:val="00335A88"/>
    <w:rsid w:val="00335D3B"/>
    <w:rsid w:val="00335DA4"/>
    <w:rsid w:val="00335F2D"/>
    <w:rsid w:val="0033605D"/>
    <w:rsid w:val="00336182"/>
    <w:rsid w:val="003362C2"/>
    <w:rsid w:val="003363BD"/>
    <w:rsid w:val="003364FA"/>
    <w:rsid w:val="0033663C"/>
    <w:rsid w:val="00336E9E"/>
    <w:rsid w:val="003371BE"/>
    <w:rsid w:val="003372EF"/>
    <w:rsid w:val="0033777E"/>
    <w:rsid w:val="00337BBC"/>
    <w:rsid w:val="003403A4"/>
    <w:rsid w:val="003404A4"/>
    <w:rsid w:val="0034078E"/>
    <w:rsid w:val="00340AE1"/>
    <w:rsid w:val="00341400"/>
    <w:rsid w:val="0034164C"/>
    <w:rsid w:val="003417B9"/>
    <w:rsid w:val="00341847"/>
    <w:rsid w:val="00341A14"/>
    <w:rsid w:val="00341E1D"/>
    <w:rsid w:val="00341E44"/>
    <w:rsid w:val="0034220C"/>
    <w:rsid w:val="003426E5"/>
    <w:rsid w:val="003429D1"/>
    <w:rsid w:val="00342D61"/>
    <w:rsid w:val="00342EC7"/>
    <w:rsid w:val="00343079"/>
    <w:rsid w:val="003432E0"/>
    <w:rsid w:val="003432ED"/>
    <w:rsid w:val="0034331B"/>
    <w:rsid w:val="00343462"/>
    <w:rsid w:val="00344124"/>
    <w:rsid w:val="00344677"/>
    <w:rsid w:val="00344B37"/>
    <w:rsid w:val="00344BD5"/>
    <w:rsid w:val="00344C20"/>
    <w:rsid w:val="00344EC0"/>
    <w:rsid w:val="0034537F"/>
    <w:rsid w:val="00345488"/>
    <w:rsid w:val="00345963"/>
    <w:rsid w:val="003459E1"/>
    <w:rsid w:val="00345CB4"/>
    <w:rsid w:val="00345E01"/>
    <w:rsid w:val="00345EC1"/>
    <w:rsid w:val="00346001"/>
    <w:rsid w:val="003466F4"/>
    <w:rsid w:val="00346962"/>
    <w:rsid w:val="00346987"/>
    <w:rsid w:val="00346DAA"/>
    <w:rsid w:val="0034710E"/>
    <w:rsid w:val="0034720F"/>
    <w:rsid w:val="003472DA"/>
    <w:rsid w:val="00347899"/>
    <w:rsid w:val="00347D15"/>
    <w:rsid w:val="00347D9F"/>
    <w:rsid w:val="0035045D"/>
    <w:rsid w:val="00350530"/>
    <w:rsid w:val="00350A1C"/>
    <w:rsid w:val="00350B3F"/>
    <w:rsid w:val="00350D96"/>
    <w:rsid w:val="00350FA3"/>
    <w:rsid w:val="00351381"/>
    <w:rsid w:val="0035170D"/>
    <w:rsid w:val="00351981"/>
    <w:rsid w:val="00351C3D"/>
    <w:rsid w:val="00351CCC"/>
    <w:rsid w:val="00352434"/>
    <w:rsid w:val="003528B6"/>
    <w:rsid w:val="00352BAD"/>
    <w:rsid w:val="00352F3D"/>
    <w:rsid w:val="00353040"/>
    <w:rsid w:val="003530A6"/>
    <w:rsid w:val="003534B3"/>
    <w:rsid w:val="00353627"/>
    <w:rsid w:val="0035370C"/>
    <w:rsid w:val="003537AD"/>
    <w:rsid w:val="00353DE4"/>
    <w:rsid w:val="00353F43"/>
    <w:rsid w:val="00354048"/>
    <w:rsid w:val="003541B6"/>
    <w:rsid w:val="003544C2"/>
    <w:rsid w:val="003544F3"/>
    <w:rsid w:val="00354671"/>
    <w:rsid w:val="0035467D"/>
    <w:rsid w:val="003549EF"/>
    <w:rsid w:val="00354E17"/>
    <w:rsid w:val="00354E99"/>
    <w:rsid w:val="0035515C"/>
    <w:rsid w:val="00355559"/>
    <w:rsid w:val="00355773"/>
    <w:rsid w:val="00355967"/>
    <w:rsid w:val="00355BE7"/>
    <w:rsid w:val="00355F72"/>
    <w:rsid w:val="0035613B"/>
    <w:rsid w:val="00356EDF"/>
    <w:rsid w:val="00356F31"/>
    <w:rsid w:val="003570DA"/>
    <w:rsid w:val="003570FC"/>
    <w:rsid w:val="00357153"/>
    <w:rsid w:val="00357158"/>
    <w:rsid w:val="003573F3"/>
    <w:rsid w:val="00357657"/>
    <w:rsid w:val="003576D8"/>
    <w:rsid w:val="00357897"/>
    <w:rsid w:val="00357D9F"/>
    <w:rsid w:val="00357E32"/>
    <w:rsid w:val="00360198"/>
    <w:rsid w:val="003601B9"/>
    <w:rsid w:val="0036042C"/>
    <w:rsid w:val="0036070E"/>
    <w:rsid w:val="00360945"/>
    <w:rsid w:val="00360D56"/>
    <w:rsid w:val="00360DDB"/>
    <w:rsid w:val="0036100F"/>
    <w:rsid w:val="00361012"/>
    <w:rsid w:val="003610D0"/>
    <w:rsid w:val="0036115C"/>
    <w:rsid w:val="0036172F"/>
    <w:rsid w:val="00361903"/>
    <w:rsid w:val="00361FEE"/>
    <w:rsid w:val="00362344"/>
    <w:rsid w:val="003626D4"/>
    <w:rsid w:val="0036276C"/>
    <w:rsid w:val="003627BF"/>
    <w:rsid w:val="00362904"/>
    <w:rsid w:val="00362EB6"/>
    <w:rsid w:val="00362EE3"/>
    <w:rsid w:val="00362FC1"/>
    <w:rsid w:val="00362FEB"/>
    <w:rsid w:val="0036300D"/>
    <w:rsid w:val="0036318C"/>
    <w:rsid w:val="00363487"/>
    <w:rsid w:val="0036363E"/>
    <w:rsid w:val="003636AB"/>
    <w:rsid w:val="003639A6"/>
    <w:rsid w:val="00363B8F"/>
    <w:rsid w:val="00363E0B"/>
    <w:rsid w:val="00363E9B"/>
    <w:rsid w:val="00363FB1"/>
    <w:rsid w:val="00364285"/>
    <w:rsid w:val="0036437B"/>
    <w:rsid w:val="003645D5"/>
    <w:rsid w:val="00364659"/>
    <w:rsid w:val="00364869"/>
    <w:rsid w:val="003649F9"/>
    <w:rsid w:val="00364C9B"/>
    <w:rsid w:val="00364CAC"/>
    <w:rsid w:val="00364F26"/>
    <w:rsid w:val="00365032"/>
    <w:rsid w:val="00365043"/>
    <w:rsid w:val="00365187"/>
    <w:rsid w:val="003654E5"/>
    <w:rsid w:val="0036585B"/>
    <w:rsid w:val="00365C0B"/>
    <w:rsid w:val="0036623C"/>
    <w:rsid w:val="00366347"/>
    <w:rsid w:val="0036635C"/>
    <w:rsid w:val="00366408"/>
    <w:rsid w:val="00366409"/>
    <w:rsid w:val="003665F2"/>
    <w:rsid w:val="00366755"/>
    <w:rsid w:val="00366F31"/>
    <w:rsid w:val="00366FC5"/>
    <w:rsid w:val="00367027"/>
    <w:rsid w:val="003670B4"/>
    <w:rsid w:val="003670CB"/>
    <w:rsid w:val="0036774D"/>
    <w:rsid w:val="003679AE"/>
    <w:rsid w:val="00367B69"/>
    <w:rsid w:val="00367CAA"/>
    <w:rsid w:val="00367DFD"/>
    <w:rsid w:val="003701CF"/>
    <w:rsid w:val="0037064D"/>
    <w:rsid w:val="00370688"/>
    <w:rsid w:val="003706E5"/>
    <w:rsid w:val="00370A69"/>
    <w:rsid w:val="00370B94"/>
    <w:rsid w:val="00370BA9"/>
    <w:rsid w:val="00370BC7"/>
    <w:rsid w:val="00370EDD"/>
    <w:rsid w:val="00370FFB"/>
    <w:rsid w:val="003711B5"/>
    <w:rsid w:val="0037121E"/>
    <w:rsid w:val="003714BA"/>
    <w:rsid w:val="0037190A"/>
    <w:rsid w:val="0037190C"/>
    <w:rsid w:val="00371BC2"/>
    <w:rsid w:val="00371C49"/>
    <w:rsid w:val="00371F14"/>
    <w:rsid w:val="00371F6F"/>
    <w:rsid w:val="00372006"/>
    <w:rsid w:val="00372613"/>
    <w:rsid w:val="003727C9"/>
    <w:rsid w:val="00372BCF"/>
    <w:rsid w:val="00372CCB"/>
    <w:rsid w:val="00372FD5"/>
    <w:rsid w:val="00372FFB"/>
    <w:rsid w:val="00373117"/>
    <w:rsid w:val="0037320D"/>
    <w:rsid w:val="00373409"/>
    <w:rsid w:val="003736BD"/>
    <w:rsid w:val="00373775"/>
    <w:rsid w:val="00373886"/>
    <w:rsid w:val="0037391F"/>
    <w:rsid w:val="00373957"/>
    <w:rsid w:val="003739E1"/>
    <w:rsid w:val="0037412C"/>
    <w:rsid w:val="003741A7"/>
    <w:rsid w:val="0037425F"/>
    <w:rsid w:val="0037437B"/>
    <w:rsid w:val="0037479A"/>
    <w:rsid w:val="003747ED"/>
    <w:rsid w:val="00374BD1"/>
    <w:rsid w:val="00374E68"/>
    <w:rsid w:val="00374F67"/>
    <w:rsid w:val="00375351"/>
    <w:rsid w:val="00375778"/>
    <w:rsid w:val="00375979"/>
    <w:rsid w:val="00375BBC"/>
    <w:rsid w:val="0037609B"/>
    <w:rsid w:val="00376156"/>
    <w:rsid w:val="00376372"/>
    <w:rsid w:val="0037676B"/>
    <w:rsid w:val="00376BEA"/>
    <w:rsid w:val="00376F2E"/>
    <w:rsid w:val="00376F79"/>
    <w:rsid w:val="0037708E"/>
    <w:rsid w:val="00377392"/>
    <w:rsid w:val="00377587"/>
    <w:rsid w:val="00377AC1"/>
    <w:rsid w:val="00377E52"/>
    <w:rsid w:val="0038018F"/>
    <w:rsid w:val="003802AE"/>
    <w:rsid w:val="003802D7"/>
    <w:rsid w:val="003805B2"/>
    <w:rsid w:val="003805C4"/>
    <w:rsid w:val="003808D7"/>
    <w:rsid w:val="00380B35"/>
    <w:rsid w:val="00380C18"/>
    <w:rsid w:val="0038115B"/>
    <w:rsid w:val="003811A2"/>
    <w:rsid w:val="00381435"/>
    <w:rsid w:val="0038198A"/>
    <w:rsid w:val="00381B5A"/>
    <w:rsid w:val="003823DB"/>
    <w:rsid w:val="003827CD"/>
    <w:rsid w:val="00382818"/>
    <w:rsid w:val="0038281C"/>
    <w:rsid w:val="00382DF3"/>
    <w:rsid w:val="003830EB"/>
    <w:rsid w:val="00383CE8"/>
    <w:rsid w:val="00383D90"/>
    <w:rsid w:val="00383FD2"/>
    <w:rsid w:val="003842BE"/>
    <w:rsid w:val="00384353"/>
    <w:rsid w:val="00384481"/>
    <w:rsid w:val="00384489"/>
    <w:rsid w:val="00384730"/>
    <w:rsid w:val="00384827"/>
    <w:rsid w:val="00384BA6"/>
    <w:rsid w:val="00384E86"/>
    <w:rsid w:val="0038500C"/>
    <w:rsid w:val="0038516B"/>
    <w:rsid w:val="003851F5"/>
    <w:rsid w:val="00385250"/>
    <w:rsid w:val="003854B2"/>
    <w:rsid w:val="00385688"/>
    <w:rsid w:val="003857F3"/>
    <w:rsid w:val="00385A64"/>
    <w:rsid w:val="00385AE7"/>
    <w:rsid w:val="00385BFA"/>
    <w:rsid w:val="00385C4D"/>
    <w:rsid w:val="00385CE9"/>
    <w:rsid w:val="00385F0B"/>
    <w:rsid w:val="0038604D"/>
    <w:rsid w:val="0038635A"/>
    <w:rsid w:val="003863BC"/>
    <w:rsid w:val="00386819"/>
    <w:rsid w:val="00386A8F"/>
    <w:rsid w:val="00386BBA"/>
    <w:rsid w:val="00386D1A"/>
    <w:rsid w:val="00386DB2"/>
    <w:rsid w:val="00386DD1"/>
    <w:rsid w:val="00386EAC"/>
    <w:rsid w:val="00387195"/>
    <w:rsid w:val="00387376"/>
    <w:rsid w:val="003874D6"/>
    <w:rsid w:val="00387747"/>
    <w:rsid w:val="003877EB"/>
    <w:rsid w:val="00387881"/>
    <w:rsid w:val="00387890"/>
    <w:rsid w:val="003900AC"/>
    <w:rsid w:val="003901BE"/>
    <w:rsid w:val="003902F3"/>
    <w:rsid w:val="0039045D"/>
    <w:rsid w:val="00390D06"/>
    <w:rsid w:val="00391008"/>
    <w:rsid w:val="00391210"/>
    <w:rsid w:val="00391256"/>
    <w:rsid w:val="003913AD"/>
    <w:rsid w:val="00391479"/>
    <w:rsid w:val="00391703"/>
    <w:rsid w:val="0039182E"/>
    <w:rsid w:val="003919EA"/>
    <w:rsid w:val="00391A41"/>
    <w:rsid w:val="00391F1F"/>
    <w:rsid w:val="00392362"/>
    <w:rsid w:val="00392393"/>
    <w:rsid w:val="003923CF"/>
    <w:rsid w:val="0039240D"/>
    <w:rsid w:val="00392592"/>
    <w:rsid w:val="003929EB"/>
    <w:rsid w:val="00392A46"/>
    <w:rsid w:val="00392D97"/>
    <w:rsid w:val="00393041"/>
    <w:rsid w:val="00393096"/>
    <w:rsid w:val="0039342B"/>
    <w:rsid w:val="00393433"/>
    <w:rsid w:val="0039354D"/>
    <w:rsid w:val="00393579"/>
    <w:rsid w:val="00393687"/>
    <w:rsid w:val="003938BC"/>
    <w:rsid w:val="00393931"/>
    <w:rsid w:val="003939FD"/>
    <w:rsid w:val="00393BC7"/>
    <w:rsid w:val="00393EBB"/>
    <w:rsid w:val="00394159"/>
    <w:rsid w:val="00394218"/>
    <w:rsid w:val="0039488C"/>
    <w:rsid w:val="00394C83"/>
    <w:rsid w:val="00394DBD"/>
    <w:rsid w:val="00394DC3"/>
    <w:rsid w:val="00395236"/>
    <w:rsid w:val="0039567A"/>
    <w:rsid w:val="003957AC"/>
    <w:rsid w:val="00395BDA"/>
    <w:rsid w:val="00395C43"/>
    <w:rsid w:val="00395E85"/>
    <w:rsid w:val="0039608A"/>
    <w:rsid w:val="00396339"/>
    <w:rsid w:val="003964F8"/>
    <w:rsid w:val="003964FA"/>
    <w:rsid w:val="003966C9"/>
    <w:rsid w:val="003967E6"/>
    <w:rsid w:val="00396A8D"/>
    <w:rsid w:val="00397170"/>
    <w:rsid w:val="00397724"/>
    <w:rsid w:val="00397873"/>
    <w:rsid w:val="00397C6F"/>
    <w:rsid w:val="00397C83"/>
    <w:rsid w:val="00397DA8"/>
    <w:rsid w:val="00397DDF"/>
    <w:rsid w:val="003A0014"/>
    <w:rsid w:val="003A0103"/>
    <w:rsid w:val="003A0107"/>
    <w:rsid w:val="003A0294"/>
    <w:rsid w:val="003A04B8"/>
    <w:rsid w:val="003A0642"/>
    <w:rsid w:val="003A096A"/>
    <w:rsid w:val="003A0AC7"/>
    <w:rsid w:val="003A0B90"/>
    <w:rsid w:val="003A0F07"/>
    <w:rsid w:val="003A0F0F"/>
    <w:rsid w:val="003A10B7"/>
    <w:rsid w:val="003A141A"/>
    <w:rsid w:val="003A1580"/>
    <w:rsid w:val="003A1B18"/>
    <w:rsid w:val="003A1BCA"/>
    <w:rsid w:val="003A1BEE"/>
    <w:rsid w:val="003A212F"/>
    <w:rsid w:val="003A2660"/>
    <w:rsid w:val="003A26BF"/>
    <w:rsid w:val="003A26E9"/>
    <w:rsid w:val="003A2F3F"/>
    <w:rsid w:val="003A30AE"/>
    <w:rsid w:val="003A30B4"/>
    <w:rsid w:val="003A30E1"/>
    <w:rsid w:val="003A3163"/>
    <w:rsid w:val="003A3433"/>
    <w:rsid w:val="003A34C9"/>
    <w:rsid w:val="003A3652"/>
    <w:rsid w:val="003A3BF4"/>
    <w:rsid w:val="003A3EE2"/>
    <w:rsid w:val="003A4267"/>
    <w:rsid w:val="003A429E"/>
    <w:rsid w:val="003A4347"/>
    <w:rsid w:val="003A46F2"/>
    <w:rsid w:val="003A4A7F"/>
    <w:rsid w:val="003A4BEF"/>
    <w:rsid w:val="003A4F86"/>
    <w:rsid w:val="003A51AF"/>
    <w:rsid w:val="003A537E"/>
    <w:rsid w:val="003A53E6"/>
    <w:rsid w:val="003A5A9E"/>
    <w:rsid w:val="003A5D25"/>
    <w:rsid w:val="003A5DFB"/>
    <w:rsid w:val="003A6233"/>
    <w:rsid w:val="003A660F"/>
    <w:rsid w:val="003A6673"/>
    <w:rsid w:val="003A6742"/>
    <w:rsid w:val="003A693E"/>
    <w:rsid w:val="003A6992"/>
    <w:rsid w:val="003A6DBE"/>
    <w:rsid w:val="003A70A3"/>
    <w:rsid w:val="003A7248"/>
    <w:rsid w:val="003A7595"/>
    <w:rsid w:val="003A79A4"/>
    <w:rsid w:val="003A7B91"/>
    <w:rsid w:val="003A7C42"/>
    <w:rsid w:val="003B0164"/>
    <w:rsid w:val="003B031B"/>
    <w:rsid w:val="003B0328"/>
    <w:rsid w:val="003B0738"/>
    <w:rsid w:val="003B0905"/>
    <w:rsid w:val="003B095E"/>
    <w:rsid w:val="003B0D6A"/>
    <w:rsid w:val="003B0F8F"/>
    <w:rsid w:val="003B1040"/>
    <w:rsid w:val="003B11C6"/>
    <w:rsid w:val="003B12E8"/>
    <w:rsid w:val="003B164D"/>
    <w:rsid w:val="003B1728"/>
    <w:rsid w:val="003B1F7B"/>
    <w:rsid w:val="003B1FB8"/>
    <w:rsid w:val="003B21A6"/>
    <w:rsid w:val="003B2438"/>
    <w:rsid w:val="003B26EE"/>
    <w:rsid w:val="003B279D"/>
    <w:rsid w:val="003B2F09"/>
    <w:rsid w:val="003B2F79"/>
    <w:rsid w:val="003B3089"/>
    <w:rsid w:val="003B34FA"/>
    <w:rsid w:val="003B386D"/>
    <w:rsid w:val="003B3A58"/>
    <w:rsid w:val="003B3ACD"/>
    <w:rsid w:val="003B3B0A"/>
    <w:rsid w:val="003B3B7B"/>
    <w:rsid w:val="003B3C35"/>
    <w:rsid w:val="003B3CB3"/>
    <w:rsid w:val="003B3CD4"/>
    <w:rsid w:val="003B40A8"/>
    <w:rsid w:val="003B44A7"/>
    <w:rsid w:val="003B4540"/>
    <w:rsid w:val="003B4541"/>
    <w:rsid w:val="003B4969"/>
    <w:rsid w:val="003B4D78"/>
    <w:rsid w:val="003B4DC8"/>
    <w:rsid w:val="003B4F05"/>
    <w:rsid w:val="003B4F83"/>
    <w:rsid w:val="003B527D"/>
    <w:rsid w:val="003B56CF"/>
    <w:rsid w:val="003B580B"/>
    <w:rsid w:val="003B5B21"/>
    <w:rsid w:val="003B630B"/>
    <w:rsid w:val="003B631F"/>
    <w:rsid w:val="003B6320"/>
    <w:rsid w:val="003B6594"/>
    <w:rsid w:val="003B669E"/>
    <w:rsid w:val="003B6755"/>
    <w:rsid w:val="003B67A4"/>
    <w:rsid w:val="003B6819"/>
    <w:rsid w:val="003B6906"/>
    <w:rsid w:val="003B6C56"/>
    <w:rsid w:val="003B70C6"/>
    <w:rsid w:val="003B72B5"/>
    <w:rsid w:val="003B7303"/>
    <w:rsid w:val="003B73F9"/>
    <w:rsid w:val="003B7407"/>
    <w:rsid w:val="003B7656"/>
    <w:rsid w:val="003B7691"/>
    <w:rsid w:val="003B772F"/>
    <w:rsid w:val="003B786B"/>
    <w:rsid w:val="003B7888"/>
    <w:rsid w:val="003B7894"/>
    <w:rsid w:val="003B79B8"/>
    <w:rsid w:val="003B7ACD"/>
    <w:rsid w:val="003B7C5F"/>
    <w:rsid w:val="003B7FFA"/>
    <w:rsid w:val="003C0127"/>
    <w:rsid w:val="003C03C9"/>
    <w:rsid w:val="003C0478"/>
    <w:rsid w:val="003C055D"/>
    <w:rsid w:val="003C069C"/>
    <w:rsid w:val="003C06C0"/>
    <w:rsid w:val="003C0EAF"/>
    <w:rsid w:val="003C0F94"/>
    <w:rsid w:val="003C1043"/>
    <w:rsid w:val="003C10AA"/>
    <w:rsid w:val="003C1353"/>
    <w:rsid w:val="003C148A"/>
    <w:rsid w:val="003C16C8"/>
    <w:rsid w:val="003C16FF"/>
    <w:rsid w:val="003C1909"/>
    <w:rsid w:val="003C19D8"/>
    <w:rsid w:val="003C1A2D"/>
    <w:rsid w:val="003C1A9F"/>
    <w:rsid w:val="003C1BC8"/>
    <w:rsid w:val="003C1D09"/>
    <w:rsid w:val="003C1DD1"/>
    <w:rsid w:val="003C1E5F"/>
    <w:rsid w:val="003C2112"/>
    <w:rsid w:val="003C2360"/>
    <w:rsid w:val="003C2711"/>
    <w:rsid w:val="003C2754"/>
    <w:rsid w:val="003C27BC"/>
    <w:rsid w:val="003C2902"/>
    <w:rsid w:val="003C2E84"/>
    <w:rsid w:val="003C2FFE"/>
    <w:rsid w:val="003C30B9"/>
    <w:rsid w:val="003C332B"/>
    <w:rsid w:val="003C38B3"/>
    <w:rsid w:val="003C3922"/>
    <w:rsid w:val="003C3CFF"/>
    <w:rsid w:val="003C3EED"/>
    <w:rsid w:val="003C40E8"/>
    <w:rsid w:val="003C41A3"/>
    <w:rsid w:val="003C42F6"/>
    <w:rsid w:val="003C46D5"/>
    <w:rsid w:val="003C48FD"/>
    <w:rsid w:val="003C4B89"/>
    <w:rsid w:val="003C4EEF"/>
    <w:rsid w:val="003C50DE"/>
    <w:rsid w:val="003C5227"/>
    <w:rsid w:val="003C5281"/>
    <w:rsid w:val="003C52DA"/>
    <w:rsid w:val="003C535A"/>
    <w:rsid w:val="003C549A"/>
    <w:rsid w:val="003C54D2"/>
    <w:rsid w:val="003C56C4"/>
    <w:rsid w:val="003C5787"/>
    <w:rsid w:val="003C57A3"/>
    <w:rsid w:val="003C5AC5"/>
    <w:rsid w:val="003C5F39"/>
    <w:rsid w:val="003C6251"/>
    <w:rsid w:val="003C63B6"/>
    <w:rsid w:val="003C641D"/>
    <w:rsid w:val="003C6906"/>
    <w:rsid w:val="003C6907"/>
    <w:rsid w:val="003C6A73"/>
    <w:rsid w:val="003C6BD3"/>
    <w:rsid w:val="003C6D3E"/>
    <w:rsid w:val="003C6DDD"/>
    <w:rsid w:val="003C6EE1"/>
    <w:rsid w:val="003C7303"/>
    <w:rsid w:val="003C7432"/>
    <w:rsid w:val="003C7644"/>
    <w:rsid w:val="003C76F2"/>
    <w:rsid w:val="003C777E"/>
    <w:rsid w:val="003C788A"/>
    <w:rsid w:val="003C7A8B"/>
    <w:rsid w:val="003C7BC6"/>
    <w:rsid w:val="003D024C"/>
    <w:rsid w:val="003D03C8"/>
    <w:rsid w:val="003D0459"/>
    <w:rsid w:val="003D053B"/>
    <w:rsid w:val="003D0929"/>
    <w:rsid w:val="003D0C59"/>
    <w:rsid w:val="003D0D8C"/>
    <w:rsid w:val="003D111B"/>
    <w:rsid w:val="003D118C"/>
    <w:rsid w:val="003D11A9"/>
    <w:rsid w:val="003D1437"/>
    <w:rsid w:val="003D1451"/>
    <w:rsid w:val="003D151C"/>
    <w:rsid w:val="003D1832"/>
    <w:rsid w:val="003D197B"/>
    <w:rsid w:val="003D1A9A"/>
    <w:rsid w:val="003D1CAE"/>
    <w:rsid w:val="003D1FB3"/>
    <w:rsid w:val="003D2083"/>
    <w:rsid w:val="003D261C"/>
    <w:rsid w:val="003D26A9"/>
    <w:rsid w:val="003D27F0"/>
    <w:rsid w:val="003D2A37"/>
    <w:rsid w:val="003D2B13"/>
    <w:rsid w:val="003D3428"/>
    <w:rsid w:val="003D359A"/>
    <w:rsid w:val="003D3C57"/>
    <w:rsid w:val="003D3E6A"/>
    <w:rsid w:val="003D3EFE"/>
    <w:rsid w:val="003D402F"/>
    <w:rsid w:val="003D42A9"/>
    <w:rsid w:val="003D42EE"/>
    <w:rsid w:val="003D460D"/>
    <w:rsid w:val="003D4646"/>
    <w:rsid w:val="003D499A"/>
    <w:rsid w:val="003D49B6"/>
    <w:rsid w:val="003D4CF9"/>
    <w:rsid w:val="003D4D09"/>
    <w:rsid w:val="003D4DC7"/>
    <w:rsid w:val="003D5053"/>
    <w:rsid w:val="003D5078"/>
    <w:rsid w:val="003D562F"/>
    <w:rsid w:val="003D5658"/>
    <w:rsid w:val="003D5911"/>
    <w:rsid w:val="003D5ADF"/>
    <w:rsid w:val="003D5E54"/>
    <w:rsid w:val="003D5EC6"/>
    <w:rsid w:val="003D5F01"/>
    <w:rsid w:val="003D5F2C"/>
    <w:rsid w:val="003D62A7"/>
    <w:rsid w:val="003D6425"/>
    <w:rsid w:val="003D662F"/>
    <w:rsid w:val="003D66DC"/>
    <w:rsid w:val="003D672E"/>
    <w:rsid w:val="003D6738"/>
    <w:rsid w:val="003D697A"/>
    <w:rsid w:val="003D69EF"/>
    <w:rsid w:val="003D7288"/>
    <w:rsid w:val="003D72A2"/>
    <w:rsid w:val="003D72B6"/>
    <w:rsid w:val="003D74F3"/>
    <w:rsid w:val="003D760F"/>
    <w:rsid w:val="003D76B3"/>
    <w:rsid w:val="003D7753"/>
    <w:rsid w:val="003D7D9D"/>
    <w:rsid w:val="003D7F2E"/>
    <w:rsid w:val="003E006F"/>
    <w:rsid w:val="003E0146"/>
    <w:rsid w:val="003E0338"/>
    <w:rsid w:val="003E0455"/>
    <w:rsid w:val="003E045A"/>
    <w:rsid w:val="003E07B4"/>
    <w:rsid w:val="003E0C92"/>
    <w:rsid w:val="003E0E30"/>
    <w:rsid w:val="003E0E66"/>
    <w:rsid w:val="003E0E8F"/>
    <w:rsid w:val="003E0EDB"/>
    <w:rsid w:val="003E157F"/>
    <w:rsid w:val="003E16B2"/>
    <w:rsid w:val="003E16D1"/>
    <w:rsid w:val="003E18E9"/>
    <w:rsid w:val="003E1B36"/>
    <w:rsid w:val="003E1B45"/>
    <w:rsid w:val="003E1E9B"/>
    <w:rsid w:val="003E2045"/>
    <w:rsid w:val="003E244E"/>
    <w:rsid w:val="003E295E"/>
    <w:rsid w:val="003E2C44"/>
    <w:rsid w:val="003E2DA6"/>
    <w:rsid w:val="003E330E"/>
    <w:rsid w:val="003E3664"/>
    <w:rsid w:val="003E38F4"/>
    <w:rsid w:val="003E3946"/>
    <w:rsid w:val="003E39DD"/>
    <w:rsid w:val="003E3D76"/>
    <w:rsid w:val="003E40AE"/>
    <w:rsid w:val="003E4698"/>
    <w:rsid w:val="003E5014"/>
    <w:rsid w:val="003E561B"/>
    <w:rsid w:val="003E5C56"/>
    <w:rsid w:val="003E601F"/>
    <w:rsid w:val="003E6196"/>
    <w:rsid w:val="003E6475"/>
    <w:rsid w:val="003E6554"/>
    <w:rsid w:val="003E65FB"/>
    <w:rsid w:val="003E6CE5"/>
    <w:rsid w:val="003E737D"/>
    <w:rsid w:val="003E749D"/>
    <w:rsid w:val="003E76CA"/>
    <w:rsid w:val="003E77A3"/>
    <w:rsid w:val="003E78BE"/>
    <w:rsid w:val="003E7AD0"/>
    <w:rsid w:val="003F00CF"/>
    <w:rsid w:val="003F0331"/>
    <w:rsid w:val="003F033F"/>
    <w:rsid w:val="003F03CF"/>
    <w:rsid w:val="003F043D"/>
    <w:rsid w:val="003F06A2"/>
    <w:rsid w:val="003F0C0A"/>
    <w:rsid w:val="003F0C1B"/>
    <w:rsid w:val="003F105A"/>
    <w:rsid w:val="003F1149"/>
    <w:rsid w:val="003F13F3"/>
    <w:rsid w:val="003F195F"/>
    <w:rsid w:val="003F1AF9"/>
    <w:rsid w:val="003F1D56"/>
    <w:rsid w:val="003F1D75"/>
    <w:rsid w:val="003F1E73"/>
    <w:rsid w:val="003F2000"/>
    <w:rsid w:val="003F22F2"/>
    <w:rsid w:val="003F24A8"/>
    <w:rsid w:val="003F2742"/>
    <w:rsid w:val="003F2973"/>
    <w:rsid w:val="003F2CC6"/>
    <w:rsid w:val="003F2D08"/>
    <w:rsid w:val="003F2EBB"/>
    <w:rsid w:val="003F2F6D"/>
    <w:rsid w:val="003F2F83"/>
    <w:rsid w:val="003F331C"/>
    <w:rsid w:val="003F3385"/>
    <w:rsid w:val="003F373F"/>
    <w:rsid w:val="003F37A6"/>
    <w:rsid w:val="003F3DEC"/>
    <w:rsid w:val="003F3F2E"/>
    <w:rsid w:val="003F4259"/>
    <w:rsid w:val="003F4299"/>
    <w:rsid w:val="003F430D"/>
    <w:rsid w:val="003F4CA9"/>
    <w:rsid w:val="003F4F06"/>
    <w:rsid w:val="003F4F35"/>
    <w:rsid w:val="003F4FA7"/>
    <w:rsid w:val="003F518B"/>
    <w:rsid w:val="003F54F5"/>
    <w:rsid w:val="003F5697"/>
    <w:rsid w:val="003F57E6"/>
    <w:rsid w:val="003F594F"/>
    <w:rsid w:val="003F5B14"/>
    <w:rsid w:val="003F5BCD"/>
    <w:rsid w:val="003F5F83"/>
    <w:rsid w:val="003F5FBE"/>
    <w:rsid w:val="003F60D8"/>
    <w:rsid w:val="003F6199"/>
    <w:rsid w:val="003F61D5"/>
    <w:rsid w:val="003F6A43"/>
    <w:rsid w:val="003F6BA8"/>
    <w:rsid w:val="003F6C42"/>
    <w:rsid w:val="003F70CC"/>
    <w:rsid w:val="003F70DF"/>
    <w:rsid w:val="003F713E"/>
    <w:rsid w:val="003F73AE"/>
    <w:rsid w:val="003F76A7"/>
    <w:rsid w:val="003F779D"/>
    <w:rsid w:val="003F7892"/>
    <w:rsid w:val="003F78CB"/>
    <w:rsid w:val="003F7D41"/>
    <w:rsid w:val="003F7DF7"/>
    <w:rsid w:val="003F7FEB"/>
    <w:rsid w:val="004000CA"/>
    <w:rsid w:val="004004B6"/>
    <w:rsid w:val="00400789"/>
    <w:rsid w:val="004007FA"/>
    <w:rsid w:val="00400A9A"/>
    <w:rsid w:val="00400B74"/>
    <w:rsid w:val="00400CE7"/>
    <w:rsid w:val="00400F19"/>
    <w:rsid w:val="00400F8A"/>
    <w:rsid w:val="004012C7"/>
    <w:rsid w:val="0040136F"/>
    <w:rsid w:val="00401482"/>
    <w:rsid w:val="00401582"/>
    <w:rsid w:val="00401678"/>
    <w:rsid w:val="00401828"/>
    <w:rsid w:val="00401E77"/>
    <w:rsid w:val="00401F14"/>
    <w:rsid w:val="00402006"/>
    <w:rsid w:val="00402157"/>
    <w:rsid w:val="00402880"/>
    <w:rsid w:val="004029A1"/>
    <w:rsid w:val="004033BF"/>
    <w:rsid w:val="004034D0"/>
    <w:rsid w:val="00403A20"/>
    <w:rsid w:val="00403C05"/>
    <w:rsid w:val="004041A5"/>
    <w:rsid w:val="00404289"/>
    <w:rsid w:val="004042EE"/>
    <w:rsid w:val="004044F2"/>
    <w:rsid w:val="004048BB"/>
    <w:rsid w:val="0040494E"/>
    <w:rsid w:val="00404ACC"/>
    <w:rsid w:val="00404B00"/>
    <w:rsid w:val="00404B7C"/>
    <w:rsid w:val="00404BBC"/>
    <w:rsid w:val="00404C3E"/>
    <w:rsid w:val="00404C88"/>
    <w:rsid w:val="00404CC9"/>
    <w:rsid w:val="00404D15"/>
    <w:rsid w:val="00404EDF"/>
    <w:rsid w:val="00405193"/>
    <w:rsid w:val="004051F7"/>
    <w:rsid w:val="00405251"/>
    <w:rsid w:val="00405513"/>
    <w:rsid w:val="00405934"/>
    <w:rsid w:val="00405C77"/>
    <w:rsid w:val="00405CE0"/>
    <w:rsid w:val="0040607B"/>
    <w:rsid w:val="00406222"/>
    <w:rsid w:val="00406359"/>
    <w:rsid w:val="004064F9"/>
    <w:rsid w:val="0040650C"/>
    <w:rsid w:val="00406603"/>
    <w:rsid w:val="0040678B"/>
    <w:rsid w:val="004067E0"/>
    <w:rsid w:val="0040684C"/>
    <w:rsid w:val="00406D27"/>
    <w:rsid w:val="004070F8"/>
    <w:rsid w:val="004073DC"/>
    <w:rsid w:val="004073EB"/>
    <w:rsid w:val="0040771D"/>
    <w:rsid w:val="00407D44"/>
    <w:rsid w:val="00407DC5"/>
    <w:rsid w:val="00407E8E"/>
    <w:rsid w:val="0041009B"/>
    <w:rsid w:val="004104E7"/>
    <w:rsid w:val="00410A48"/>
    <w:rsid w:val="00410B15"/>
    <w:rsid w:val="00410BF5"/>
    <w:rsid w:val="00410CA0"/>
    <w:rsid w:val="00410D55"/>
    <w:rsid w:val="00411013"/>
    <w:rsid w:val="004112C2"/>
    <w:rsid w:val="004117C2"/>
    <w:rsid w:val="004117EA"/>
    <w:rsid w:val="004118BF"/>
    <w:rsid w:val="00411B6E"/>
    <w:rsid w:val="00411D0E"/>
    <w:rsid w:val="00411D3A"/>
    <w:rsid w:val="00411F2D"/>
    <w:rsid w:val="004121E2"/>
    <w:rsid w:val="00412B8D"/>
    <w:rsid w:val="00412B92"/>
    <w:rsid w:val="00412D7B"/>
    <w:rsid w:val="00413365"/>
    <w:rsid w:val="004136A7"/>
    <w:rsid w:val="00413891"/>
    <w:rsid w:val="00413A63"/>
    <w:rsid w:val="00413D5E"/>
    <w:rsid w:val="00413D7E"/>
    <w:rsid w:val="00413DBA"/>
    <w:rsid w:val="00413FE6"/>
    <w:rsid w:val="004140E9"/>
    <w:rsid w:val="00414755"/>
    <w:rsid w:val="0041498A"/>
    <w:rsid w:val="00414F02"/>
    <w:rsid w:val="00414FDC"/>
    <w:rsid w:val="00415162"/>
    <w:rsid w:val="00415238"/>
    <w:rsid w:val="004152EA"/>
    <w:rsid w:val="00415589"/>
    <w:rsid w:val="004158DA"/>
    <w:rsid w:val="004159E4"/>
    <w:rsid w:val="00415BF8"/>
    <w:rsid w:val="00415F31"/>
    <w:rsid w:val="00416479"/>
    <w:rsid w:val="00416764"/>
    <w:rsid w:val="0041685C"/>
    <w:rsid w:val="00416E8E"/>
    <w:rsid w:val="00416F3B"/>
    <w:rsid w:val="004177AD"/>
    <w:rsid w:val="00417913"/>
    <w:rsid w:val="00417C3E"/>
    <w:rsid w:val="00417FAF"/>
    <w:rsid w:val="00420230"/>
    <w:rsid w:val="0042040B"/>
    <w:rsid w:val="00420529"/>
    <w:rsid w:val="00420540"/>
    <w:rsid w:val="0042056C"/>
    <w:rsid w:val="004207E6"/>
    <w:rsid w:val="004208B1"/>
    <w:rsid w:val="00420AB1"/>
    <w:rsid w:val="00420B29"/>
    <w:rsid w:val="00420B8E"/>
    <w:rsid w:val="00420F95"/>
    <w:rsid w:val="004213C8"/>
    <w:rsid w:val="00421450"/>
    <w:rsid w:val="004215A8"/>
    <w:rsid w:val="004218B8"/>
    <w:rsid w:val="00421EF5"/>
    <w:rsid w:val="00421F3E"/>
    <w:rsid w:val="00421F5F"/>
    <w:rsid w:val="004220F6"/>
    <w:rsid w:val="004223D0"/>
    <w:rsid w:val="0042261E"/>
    <w:rsid w:val="00422A2E"/>
    <w:rsid w:val="00422B73"/>
    <w:rsid w:val="00422B78"/>
    <w:rsid w:val="00422C0B"/>
    <w:rsid w:val="00422F23"/>
    <w:rsid w:val="00422F8F"/>
    <w:rsid w:val="0042318A"/>
    <w:rsid w:val="004233FE"/>
    <w:rsid w:val="004236C9"/>
    <w:rsid w:val="004236D5"/>
    <w:rsid w:val="00423A7A"/>
    <w:rsid w:val="00423F3A"/>
    <w:rsid w:val="0042437D"/>
    <w:rsid w:val="0042442B"/>
    <w:rsid w:val="0042484C"/>
    <w:rsid w:val="00424C78"/>
    <w:rsid w:val="00424CCA"/>
    <w:rsid w:val="00424DA2"/>
    <w:rsid w:val="00425029"/>
    <w:rsid w:val="0042507A"/>
    <w:rsid w:val="00425085"/>
    <w:rsid w:val="00425317"/>
    <w:rsid w:val="004253E4"/>
    <w:rsid w:val="0042568B"/>
    <w:rsid w:val="00425745"/>
    <w:rsid w:val="00425961"/>
    <w:rsid w:val="00425B70"/>
    <w:rsid w:val="00426090"/>
    <w:rsid w:val="00426648"/>
    <w:rsid w:val="004268C3"/>
    <w:rsid w:val="004268CB"/>
    <w:rsid w:val="00426A8E"/>
    <w:rsid w:val="00426C29"/>
    <w:rsid w:val="00426CD0"/>
    <w:rsid w:val="00426CF2"/>
    <w:rsid w:val="00426DBC"/>
    <w:rsid w:val="00426E23"/>
    <w:rsid w:val="00427384"/>
    <w:rsid w:val="004273AD"/>
    <w:rsid w:val="00427509"/>
    <w:rsid w:val="00427B96"/>
    <w:rsid w:val="00427E55"/>
    <w:rsid w:val="004301FC"/>
    <w:rsid w:val="0043030F"/>
    <w:rsid w:val="00430530"/>
    <w:rsid w:val="004305B8"/>
    <w:rsid w:val="0043083B"/>
    <w:rsid w:val="00430DDA"/>
    <w:rsid w:val="00430E69"/>
    <w:rsid w:val="004311B7"/>
    <w:rsid w:val="00431875"/>
    <w:rsid w:val="004319D5"/>
    <w:rsid w:val="00431A3A"/>
    <w:rsid w:val="00431B28"/>
    <w:rsid w:val="00431D4D"/>
    <w:rsid w:val="00432084"/>
    <w:rsid w:val="0043237D"/>
    <w:rsid w:val="004323B5"/>
    <w:rsid w:val="00432534"/>
    <w:rsid w:val="00432862"/>
    <w:rsid w:val="00432962"/>
    <w:rsid w:val="00432A8C"/>
    <w:rsid w:val="00432BA8"/>
    <w:rsid w:val="00432CD2"/>
    <w:rsid w:val="00432DE6"/>
    <w:rsid w:val="00432FF2"/>
    <w:rsid w:val="004330B8"/>
    <w:rsid w:val="00433120"/>
    <w:rsid w:val="004332FC"/>
    <w:rsid w:val="00433675"/>
    <w:rsid w:val="004339E4"/>
    <w:rsid w:val="00434112"/>
    <w:rsid w:val="004341A0"/>
    <w:rsid w:val="004343DD"/>
    <w:rsid w:val="0043441E"/>
    <w:rsid w:val="004348B5"/>
    <w:rsid w:val="00434B9E"/>
    <w:rsid w:val="00434EE9"/>
    <w:rsid w:val="00435360"/>
    <w:rsid w:val="004356BB"/>
    <w:rsid w:val="0043579D"/>
    <w:rsid w:val="00435A63"/>
    <w:rsid w:val="00435BCD"/>
    <w:rsid w:val="00435EBD"/>
    <w:rsid w:val="00435F06"/>
    <w:rsid w:val="00435F66"/>
    <w:rsid w:val="00436009"/>
    <w:rsid w:val="004361FD"/>
    <w:rsid w:val="004364B8"/>
    <w:rsid w:val="0043655B"/>
    <w:rsid w:val="004365EC"/>
    <w:rsid w:val="004367D7"/>
    <w:rsid w:val="00436DDC"/>
    <w:rsid w:val="00436FD5"/>
    <w:rsid w:val="0043796A"/>
    <w:rsid w:val="00437BB5"/>
    <w:rsid w:val="004406EC"/>
    <w:rsid w:val="00440BEE"/>
    <w:rsid w:val="00440C2E"/>
    <w:rsid w:val="004410F7"/>
    <w:rsid w:val="0044158A"/>
    <w:rsid w:val="00441705"/>
    <w:rsid w:val="004418D9"/>
    <w:rsid w:val="00441962"/>
    <w:rsid w:val="00441FD5"/>
    <w:rsid w:val="00442191"/>
    <w:rsid w:val="0044226C"/>
    <w:rsid w:val="004422F6"/>
    <w:rsid w:val="004423F4"/>
    <w:rsid w:val="004427D4"/>
    <w:rsid w:val="0044282D"/>
    <w:rsid w:val="004428D8"/>
    <w:rsid w:val="00442DB5"/>
    <w:rsid w:val="00442EEC"/>
    <w:rsid w:val="0044302D"/>
    <w:rsid w:val="004430EC"/>
    <w:rsid w:val="0044316E"/>
    <w:rsid w:val="004431CE"/>
    <w:rsid w:val="004434F0"/>
    <w:rsid w:val="004435EE"/>
    <w:rsid w:val="00443775"/>
    <w:rsid w:val="00443794"/>
    <w:rsid w:val="0044381A"/>
    <w:rsid w:val="00443B77"/>
    <w:rsid w:val="00443F1A"/>
    <w:rsid w:val="00443F31"/>
    <w:rsid w:val="004441CC"/>
    <w:rsid w:val="00444321"/>
    <w:rsid w:val="00444398"/>
    <w:rsid w:val="00444619"/>
    <w:rsid w:val="00444644"/>
    <w:rsid w:val="0044468C"/>
    <w:rsid w:val="004446A7"/>
    <w:rsid w:val="00444BAA"/>
    <w:rsid w:val="00444CB6"/>
    <w:rsid w:val="00444E57"/>
    <w:rsid w:val="00445299"/>
    <w:rsid w:val="00445721"/>
    <w:rsid w:val="004457F0"/>
    <w:rsid w:val="004458C8"/>
    <w:rsid w:val="00445928"/>
    <w:rsid w:val="004459D2"/>
    <w:rsid w:val="004459EF"/>
    <w:rsid w:val="00445A11"/>
    <w:rsid w:val="00445CBD"/>
    <w:rsid w:val="00446328"/>
    <w:rsid w:val="00446471"/>
    <w:rsid w:val="00446551"/>
    <w:rsid w:val="00446AE0"/>
    <w:rsid w:val="00446B21"/>
    <w:rsid w:val="00446BD7"/>
    <w:rsid w:val="00446E73"/>
    <w:rsid w:val="00447621"/>
    <w:rsid w:val="0044780C"/>
    <w:rsid w:val="004504BA"/>
    <w:rsid w:val="0045050C"/>
    <w:rsid w:val="0045076D"/>
    <w:rsid w:val="0045084E"/>
    <w:rsid w:val="004509D8"/>
    <w:rsid w:val="00450C9A"/>
    <w:rsid w:val="00450E64"/>
    <w:rsid w:val="004510AD"/>
    <w:rsid w:val="004510C4"/>
    <w:rsid w:val="0045111A"/>
    <w:rsid w:val="004513E2"/>
    <w:rsid w:val="00451753"/>
    <w:rsid w:val="00451969"/>
    <w:rsid w:val="00451B2F"/>
    <w:rsid w:val="00451BC2"/>
    <w:rsid w:val="00451BD0"/>
    <w:rsid w:val="0045230A"/>
    <w:rsid w:val="0045230F"/>
    <w:rsid w:val="00452AAF"/>
    <w:rsid w:val="00452DC1"/>
    <w:rsid w:val="00453397"/>
    <w:rsid w:val="00453556"/>
    <w:rsid w:val="0045369B"/>
    <w:rsid w:val="0045389C"/>
    <w:rsid w:val="00453AEE"/>
    <w:rsid w:val="00453BAE"/>
    <w:rsid w:val="00453D59"/>
    <w:rsid w:val="00453DF0"/>
    <w:rsid w:val="00454424"/>
    <w:rsid w:val="0045455F"/>
    <w:rsid w:val="00454639"/>
    <w:rsid w:val="004546C7"/>
    <w:rsid w:val="004548E9"/>
    <w:rsid w:val="00454945"/>
    <w:rsid w:val="0045495F"/>
    <w:rsid w:val="00454AEC"/>
    <w:rsid w:val="00454B0E"/>
    <w:rsid w:val="00454B20"/>
    <w:rsid w:val="00454BFF"/>
    <w:rsid w:val="00454D9F"/>
    <w:rsid w:val="00455154"/>
    <w:rsid w:val="0045545A"/>
    <w:rsid w:val="00455628"/>
    <w:rsid w:val="00455642"/>
    <w:rsid w:val="00455678"/>
    <w:rsid w:val="00455692"/>
    <w:rsid w:val="00455C75"/>
    <w:rsid w:val="00455FB1"/>
    <w:rsid w:val="00456070"/>
    <w:rsid w:val="004561F4"/>
    <w:rsid w:val="004561FC"/>
    <w:rsid w:val="00456242"/>
    <w:rsid w:val="00456586"/>
    <w:rsid w:val="00456633"/>
    <w:rsid w:val="00456912"/>
    <w:rsid w:val="00456A1A"/>
    <w:rsid w:val="00456BBE"/>
    <w:rsid w:val="00456BE4"/>
    <w:rsid w:val="00456EEB"/>
    <w:rsid w:val="00456F6E"/>
    <w:rsid w:val="0045730B"/>
    <w:rsid w:val="00457430"/>
    <w:rsid w:val="00457461"/>
    <w:rsid w:val="00457519"/>
    <w:rsid w:val="00457522"/>
    <w:rsid w:val="00457585"/>
    <w:rsid w:val="004575EE"/>
    <w:rsid w:val="00457610"/>
    <w:rsid w:val="0045766F"/>
    <w:rsid w:val="00457850"/>
    <w:rsid w:val="00457979"/>
    <w:rsid w:val="0045797A"/>
    <w:rsid w:val="00460091"/>
    <w:rsid w:val="004601E9"/>
    <w:rsid w:val="00460250"/>
    <w:rsid w:val="00460335"/>
    <w:rsid w:val="004604E2"/>
    <w:rsid w:val="00460751"/>
    <w:rsid w:val="0046082B"/>
    <w:rsid w:val="00460B6A"/>
    <w:rsid w:val="00460BCD"/>
    <w:rsid w:val="00460D58"/>
    <w:rsid w:val="00460DCA"/>
    <w:rsid w:val="00460DDB"/>
    <w:rsid w:val="00460EAA"/>
    <w:rsid w:val="004610AD"/>
    <w:rsid w:val="004611D3"/>
    <w:rsid w:val="004612EC"/>
    <w:rsid w:val="00461314"/>
    <w:rsid w:val="00461550"/>
    <w:rsid w:val="0046194B"/>
    <w:rsid w:val="004619B0"/>
    <w:rsid w:val="004619BB"/>
    <w:rsid w:val="00461C99"/>
    <w:rsid w:val="00461CDF"/>
    <w:rsid w:val="00462386"/>
    <w:rsid w:val="004625EC"/>
    <w:rsid w:val="00462809"/>
    <w:rsid w:val="00462913"/>
    <w:rsid w:val="0046298D"/>
    <w:rsid w:val="00462A91"/>
    <w:rsid w:val="00462AB2"/>
    <w:rsid w:val="00462AC6"/>
    <w:rsid w:val="00463027"/>
    <w:rsid w:val="00463A83"/>
    <w:rsid w:val="00463B35"/>
    <w:rsid w:val="004642D4"/>
    <w:rsid w:val="00464321"/>
    <w:rsid w:val="0046498E"/>
    <w:rsid w:val="004649C5"/>
    <w:rsid w:val="00464D1C"/>
    <w:rsid w:val="00464D48"/>
    <w:rsid w:val="00464D8D"/>
    <w:rsid w:val="004650ED"/>
    <w:rsid w:val="004654A5"/>
    <w:rsid w:val="004655E4"/>
    <w:rsid w:val="00465906"/>
    <w:rsid w:val="00465AF0"/>
    <w:rsid w:val="00465BFC"/>
    <w:rsid w:val="00465C3F"/>
    <w:rsid w:val="00465C44"/>
    <w:rsid w:val="00465D3F"/>
    <w:rsid w:val="00465F99"/>
    <w:rsid w:val="0046600B"/>
    <w:rsid w:val="0046621E"/>
    <w:rsid w:val="0046632E"/>
    <w:rsid w:val="0046651A"/>
    <w:rsid w:val="00466763"/>
    <w:rsid w:val="004668E2"/>
    <w:rsid w:val="00466D48"/>
    <w:rsid w:val="00466D6A"/>
    <w:rsid w:val="00466FA7"/>
    <w:rsid w:val="00467016"/>
    <w:rsid w:val="00467327"/>
    <w:rsid w:val="004673CD"/>
    <w:rsid w:val="004676E8"/>
    <w:rsid w:val="004677B8"/>
    <w:rsid w:val="00467AF8"/>
    <w:rsid w:val="00467C46"/>
    <w:rsid w:val="00467CC9"/>
    <w:rsid w:val="00467D1F"/>
    <w:rsid w:val="00467DDA"/>
    <w:rsid w:val="00467E63"/>
    <w:rsid w:val="0047043B"/>
    <w:rsid w:val="00470538"/>
    <w:rsid w:val="00470971"/>
    <w:rsid w:val="004712CE"/>
    <w:rsid w:val="00471675"/>
    <w:rsid w:val="00471BC4"/>
    <w:rsid w:val="00471D94"/>
    <w:rsid w:val="00471FE6"/>
    <w:rsid w:val="0047215C"/>
    <w:rsid w:val="0047223B"/>
    <w:rsid w:val="00472296"/>
    <w:rsid w:val="004724D8"/>
    <w:rsid w:val="00472A07"/>
    <w:rsid w:val="00472D4D"/>
    <w:rsid w:val="00472E69"/>
    <w:rsid w:val="00473128"/>
    <w:rsid w:val="0047323C"/>
    <w:rsid w:val="00473339"/>
    <w:rsid w:val="00473352"/>
    <w:rsid w:val="00473652"/>
    <w:rsid w:val="00473799"/>
    <w:rsid w:val="00473DC0"/>
    <w:rsid w:val="00473E98"/>
    <w:rsid w:val="0047407F"/>
    <w:rsid w:val="00474219"/>
    <w:rsid w:val="0047474D"/>
    <w:rsid w:val="00474763"/>
    <w:rsid w:val="00474E22"/>
    <w:rsid w:val="00474F91"/>
    <w:rsid w:val="004750D7"/>
    <w:rsid w:val="004755AD"/>
    <w:rsid w:val="00475A57"/>
    <w:rsid w:val="00475A7F"/>
    <w:rsid w:val="00475C56"/>
    <w:rsid w:val="00475CBD"/>
    <w:rsid w:val="00475D02"/>
    <w:rsid w:val="004760B6"/>
    <w:rsid w:val="00476549"/>
    <w:rsid w:val="004765D6"/>
    <w:rsid w:val="0047666F"/>
    <w:rsid w:val="00476961"/>
    <w:rsid w:val="00476C71"/>
    <w:rsid w:val="00476D32"/>
    <w:rsid w:val="004772C3"/>
    <w:rsid w:val="00477405"/>
    <w:rsid w:val="00477527"/>
    <w:rsid w:val="0047790B"/>
    <w:rsid w:val="00477AAA"/>
    <w:rsid w:val="0048044C"/>
    <w:rsid w:val="00480585"/>
    <w:rsid w:val="00480702"/>
    <w:rsid w:val="00481180"/>
    <w:rsid w:val="00481549"/>
    <w:rsid w:val="004818C4"/>
    <w:rsid w:val="0048237E"/>
    <w:rsid w:val="0048254C"/>
    <w:rsid w:val="00482686"/>
    <w:rsid w:val="004828A0"/>
    <w:rsid w:val="00482A7E"/>
    <w:rsid w:val="00482BE5"/>
    <w:rsid w:val="00482D60"/>
    <w:rsid w:val="0048314D"/>
    <w:rsid w:val="00483287"/>
    <w:rsid w:val="00483320"/>
    <w:rsid w:val="0048384D"/>
    <w:rsid w:val="004838CD"/>
    <w:rsid w:val="00483B63"/>
    <w:rsid w:val="00483E37"/>
    <w:rsid w:val="00483EC5"/>
    <w:rsid w:val="00483ECA"/>
    <w:rsid w:val="00483ECD"/>
    <w:rsid w:val="00484070"/>
    <w:rsid w:val="004843C8"/>
    <w:rsid w:val="00484461"/>
    <w:rsid w:val="00484685"/>
    <w:rsid w:val="0048478C"/>
    <w:rsid w:val="004847D1"/>
    <w:rsid w:val="00484C93"/>
    <w:rsid w:val="00484CCB"/>
    <w:rsid w:val="00484E4A"/>
    <w:rsid w:val="00485039"/>
    <w:rsid w:val="0048521C"/>
    <w:rsid w:val="004852ED"/>
    <w:rsid w:val="0048541D"/>
    <w:rsid w:val="004856DE"/>
    <w:rsid w:val="00485AA2"/>
    <w:rsid w:val="00485B91"/>
    <w:rsid w:val="00485E45"/>
    <w:rsid w:val="00485E64"/>
    <w:rsid w:val="00485EB5"/>
    <w:rsid w:val="00485F55"/>
    <w:rsid w:val="004862E2"/>
    <w:rsid w:val="004863B6"/>
    <w:rsid w:val="0048643A"/>
    <w:rsid w:val="0048678F"/>
    <w:rsid w:val="00486CB7"/>
    <w:rsid w:val="00486D75"/>
    <w:rsid w:val="00487304"/>
    <w:rsid w:val="0048761C"/>
    <w:rsid w:val="004876B7"/>
    <w:rsid w:val="0048793E"/>
    <w:rsid w:val="00487A18"/>
    <w:rsid w:val="00487F7D"/>
    <w:rsid w:val="00487FF1"/>
    <w:rsid w:val="00490690"/>
    <w:rsid w:val="004908B7"/>
    <w:rsid w:val="00490A71"/>
    <w:rsid w:val="00490C53"/>
    <w:rsid w:val="00490CFC"/>
    <w:rsid w:val="00490FA5"/>
    <w:rsid w:val="00491127"/>
    <w:rsid w:val="004912BF"/>
    <w:rsid w:val="004918AE"/>
    <w:rsid w:val="004919DD"/>
    <w:rsid w:val="00491EDD"/>
    <w:rsid w:val="004920E5"/>
    <w:rsid w:val="00492323"/>
    <w:rsid w:val="0049238A"/>
    <w:rsid w:val="0049242C"/>
    <w:rsid w:val="004927F2"/>
    <w:rsid w:val="004928A9"/>
    <w:rsid w:val="00492C71"/>
    <w:rsid w:val="004935C0"/>
    <w:rsid w:val="004935EF"/>
    <w:rsid w:val="00493EB7"/>
    <w:rsid w:val="00493EFB"/>
    <w:rsid w:val="00493F7D"/>
    <w:rsid w:val="0049424B"/>
    <w:rsid w:val="0049424D"/>
    <w:rsid w:val="004942F6"/>
    <w:rsid w:val="004943A5"/>
    <w:rsid w:val="00494474"/>
    <w:rsid w:val="00494C92"/>
    <w:rsid w:val="00494D66"/>
    <w:rsid w:val="00494F09"/>
    <w:rsid w:val="00494F7C"/>
    <w:rsid w:val="00495519"/>
    <w:rsid w:val="0049567F"/>
    <w:rsid w:val="004959FD"/>
    <w:rsid w:val="00495F4C"/>
    <w:rsid w:val="004965C8"/>
    <w:rsid w:val="004968FC"/>
    <w:rsid w:val="00496C2E"/>
    <w:rsid w:val="004979B7"/>
    <w:rsid w:val="00497EFB"/>
    <w:rsid w:val="00497F3F"/>
    <w:rsid w:val="00497F4A"/>
    <w:rsid w:val="004A0074"/>
    <w:rsid w:val="004A00AE"/>
    <w:rsid w:val="004A042F"/>
    <w:rsid w:val="004A04A1"/>
    <w:rsid w:val="004A0719"/>
    <w:rsid w:val="004A0860"/>
    <w:rsid w:val="004A0AE3"/>
    <w:rsid w:val="004A0C6D"/>
    <w:rsid w:val="004A0C78"/>
    <w:rsid w:val="004A0F72"/>
    <w:rsid w:val="004A12DD"/>
    <w:rsid w:val="004A13C4"/>
    <w:rsid w:val="004A1531"/>
    <w:rsid w:val="004A162A"/>
    <w:rsid w:val="004A16FD"/>
    <w:rsid w:val="004A1FFA"/>
    <w:rsid w:val="004A2003"/>
    <w:rsid w:val="004A20B3"/>
    <w:rsid w:val="004A2281"/>
    <w:rsid w:val="004A235D"/>
    <w:rsid w:val="004A236B"/>
    <w:rsid w:val="004A263D"/>
    <w:rsid w:val="004A2B71"/>
    <w:rsid w:val="004A2D4D"/>
    <w:rsid w:val="004A2D50"/>
    <w:rsid w:val="004A2DF5"/>
    <w:rsid w:val="004A2F33"/>
    <w:rsid w:val="004A3866"/>
    <w:rsid w:val="004A3AA0"/>
    <w:rsid w:val="004A3B1C"/>
    <w:rsid w:val="004A3E52"/>
    <w:rsid w:val="004A3E7F"/>
    <w:rsid w:val="004A3EA8"/>
    <w:rsid w:val="004A4116"/>
    <w:rsid w:val="004A44B0"/>
    <w:rsid w:val="004A459C"/>
    <w:rsid w:val="004A45EE"/>
    <w:rsid w:val="004A4693"/>
    <w:rsid w:val="004A491B"/>
    <w:rsid w:val="004A49B1"/>
    <w:rsid w:val="004A4EF3"/>
    <w:rsid w:val="004A4F6C"/>
    <w:rsid w:val="004A527D"/>
    <w:rsid w:val="004A54A7"/>
    <w:rsid w:val="004A55F9"/>
    <w:rsid w:val="004A5746"/>
    <w:rsid w:val="004A58A3"/>
    <w:rsid w:val="004A5999"/>
    <w:rsid w:val="004A5EFF"/>
    <w:rsid w:val="004A60B2"/>
    <w:rsid w:val="004A62BF"/>
    <w:rsid w:val="004A6780"/>
    <w:rsid w:val="004A6894"/>
    <w:rsid w:val="004A6A61"/>
    <w:rsid w:val="004A6F73"/>
    <w:rsid w:val="004A6FCC"/>
    <w:rsid w:val="004A761C"/>
    <w:rsid w:val="004A7A15"/>
    <w:rsid w:val="004A7A22"/>
    <w:rsid w:val="004A7AA0"/>
    <w:rsid w:val="004A7E4F"/>
    <w:rsid w:val="004A7EDB"/>
    <w:rsid w:val="004A7FE4"/>
    <w:rsid w:val="004B010F"/>
    <w:rsid w:val="004B01EE"/>
    <w:rsid w:val="004B033F"/>
    <w:rsid w:val="004B056B"/>
    <w:rsid w:val="004B0669"/>
    <w:rsid w:val="004B071F"/>
    <w:rsid w:val="004B078E"/>
    <w:rsid w:val="004B0ADA"/>
    <w:rsid w:val="004B0FD3"/>
    <w:rsid w:val="004B1646"/>
    <w:rsid w:val="004B1787"/>
    <w:rsid w:val="004B18F5"/>
    <w:rsid w:val="004B1D3A"/>
    <w:rsid w:val="004B1F72"/>
    <w:rsid w:val="004B21A9"/>
    <w:rsid w:val="004B23E2"/>
    <w:rsid w:val="004B23FF"/>
    <w:rsid w:val="004B2427"/>
    <w:rsid w:val="004B2437"/>
    <w:rsid w:val="004B2679"/>
    <w:rsid w:val="004B286C"/>
    <w:rsid w:val="004B29AF"/>
    <w:rsid w:val="004B2E42"/>
    <w:rsid w:val="004B300C"/>
    <w:rsid w:val="004B3097"/>
    <w:rsid w:val="004B32F3"/>
    <w:rsid w:val="004B34AE"/>
    <w:rsid w:val="004B36C9"/>
    <w:rsid w:val="004B38B8"/>
    <w:rsid w:val="004B3AAC"/>
    <w:rsid w:val="004B3C00"/>
    <w:rsid w:val="004B3D4A"/>
    <w:rsid w:val="004B3EA6"/>
    <w:rsid w:val="004B403F"/>
    <w:rsid w:val="004B40AC"/>
    <w:rsid w:val="004B4539"/>
    <w:rsid w:val="004B46C5"/>
    <w:rsid w:val="004B484E"/>
    <w:rsid w:val="004B4C33"/>
    <w:rsid w:val="004B4D03"/>
    <w:rsid w:val="004B4D3B"/>
    <w:rsid w:val="004B4FC4"/>
    <w:rsid w:val="004B5086"/>
    <w:rsid w:val="004B5147"/>
    <w:rsid w:val="004B51F7"/>
    <w:rsid w:val="004B5344"/>
    <w:rsid w:val="004B5461"/>
    <w:rsid w:val="004B5599"/>
    <w:rsid w:val="004B5721"/>
    <w:rsid w:val="004B58C3"/>
    <w:rsid w:val="004B5A0C"/>
    <w:rsid w:val="004B5A36"/>
    <w:rsid w:val="004B5CF1"/>
    <w:rsid w:val="004B5DEC"/>
    <w:rsid w:val="004B5FF2"/>
    <w:rsid w:val="004B623E"/>
    <w:rsid w:val="004B6360"/>
    <w:rsid w:val="004B639E"/>
    <w:rsid w:val="004B6CE1"/>
    <w:rsid w:val="004B7321"/>
    <w:rsid w:val="004B7782"/>
    <w:rsid w:val="004B77DD"/>
    <w:rsid w:val="004B788F"/>
    <w:rsid w:val="004B7A17"/>
    <w:rsid w:val="004B7A3A"/>
    <w:rsid w:val="004B7ADF"/>
    <w:rsid w:val="004B7B28"/>
    <w:rsid w:val="004B7D7B"/>
    <w:rsid w:val="004B7D80"/>
    <w:rsid w:val="004B7FB4"/>
    <w:rsid w:val="004C000E"/>
    <w:rsid w:val="004C0024"/>
    <w:rsid w:val="004C0170"/>
    <w:rsid w:val="004C019E"/>
    <w:rsid w:val="004C02DD"/>
    <w:rsid w:val="004C02FD"/>
    <w:rsid w:val="004C0572"/>
    <w:rsid w:val="004C05BE"/>
    <w:rsid w:val="004C0705"/>
    <w:rsid w:val="004C0777"/>
    <w:rsid w:val="004C099A"/>
    <w:rsid w:val="004C0DF5"/>
    <w:rsid w:val="004C0E03"/>
    <w:rsid w:val="004C0E47"/>
    <w:rsid w:val="004C0F7C"/>
    <w:rsid w:val="004C1153"/>
    <w:rsid w:val="004C1299"/>
    <w:rsid w:val="004C1337"/>
    <w:rsid w:val="004C13D0"/>
    <w:rsid w:val="004C142A"/>
    <w:rsid w:val="004C168E"/>
    <w:rsid w:val="004C1ABD"/>
    <w:rsid w:val="004C1B7A"/>
    <w:rsid w:val="004C1CD8"/>
    <w:rsid w:val="004C1D0C"/>
    <w:rsid w:val="004C215C"/>
    <w:rsid w:val="004C2508"/>
    <w:rsid w:val="004C2656"/>
    <w:rsid w:val="004C2EA2"/>
    <w:rsid w:val="004C2FF3"/>
    <w:rsid w:val="004C3411"/>
    <w:rsid w:val="004C35E4"/>
    <w:rsid w:val="004C37B3"/>
    <w:rsid w:val="004C3B63"/>
    <w:rsid w:val="004C3F1D"/>
    <w:rsid w:val="004C3F79"/>
    <w:rsid w:val="004C445C"/>
    <w:rsid w:val="004C447B"/>
    <w:rsid w:val="004C4652"/>
    <w:rsid w:val="004C48B8"/>
    <w:rsid w:val="004C49CE"/>
    <w:rsid w:val="004C4D7F"/>
    <w:rsid w:val="004C4DC4"/>
    <w:rsid w:val="004C506F"/>
    <w:rsid w:val="004C524A"/>
    <w:rsid w:val="004C5303"/>
    <w:rsid w:val="004C5582"/>
    <w:rsid w:val="004C559B"/>
    <w:rsid w:val="004C56A9"/>
    <w:rsid w:val="004C588D"/>
    <w:rsid w:val="004C58C2"/>
    <w:rsid w:val="004C5BF8"/>
    <w:rsid w:val="004C5EAC"/>
    <w:rsid w:val="004C5F62"/>
    <w:rsid w:val="004C5FD5"/>
    <w:rsid w:val="004C6059"/>
    <w:rsid w:val="004C6301"/>
    <w:rsid w:val="004C6990"/>
    <w:rsid w:val="004C69F6"/>
    <w:rsid w:val="004C6A3E"/>
    <w:rsid w:val="004C6A9A"/>
    <w:rsid w:val="004C70F3"/>
    <w:rsid w:val="004C73D6"/>
    <w:rsid w:val="004C74AA"/>
    <w:rsid w:val="004C76DA"/>
    <w:rsid w:val="004C77BD"/>
    <w:rsid w:val="004C7A0D"/>
    <w:rsid w:val="004C7B7D"/>
    <w:rsid w:val="004C7C6B"/>
    <w:rsid w:val="004C7E63"/>
    <w:rsid w:val="004C7F17"/>
    <w:rsid w:val="004D001E"/>
    <w:rsid w:val="004D0172"/>
    <w:rsid w:val="004D0383"/>
    <w:rsid w:val="004D0831"/>
    <w:rsid w:val="004D0B37"/>
    <w:rsid w:val="004D0DD4"/>
    <w:rsid w:val="004D0F1E"/>
    <w:rsid w:val="004D1006"/>
    <w:rsid w:val="004D134F"/>
    <w:rsid w:val="004D1585"/>
    <w:rsid w:val="004D17B3"/>
    <w:rsid w:val="004D1899"/>
    <w:rsid w:val="004D1AA2"/>
    <w:rsid w:val="004D1BC3"/>
    <w:rsid w:val="004D1BFA"/>
    <w:rsid w:val="004D1C06"/>
    <w:rsid w:val="004D1DA2"/>
    <w:rsid w:val="004D1F44"/>
    <w:rsid w:val="004D225D"/>
    <w:rsid w:val="004D2361"/>
    <w:rsid w:val="004D24AB"/>
    <w:rsid w:val="004D26D9"/>
    <w:rsid w:val="004D2804"/>
    <w:rsid w:val="004D2CF0"/>
    <w:rsid w:val="004D2EF5"/>
    <w:rsid w:val="004D3219"/>
    <w:rsid w:val="004D328B"/>
    <w:rsid w:val="004D3694"/>
    <w:rsid w:val="004D3821"/>
    <w:rsid w:val="004D39F8"/>
    <w:rsid w:val="004D3D6E"/>
    <w:rsid w:val="004D3E8A"/>
    <w:rsid w:val="004D42F5"/>
    <w:rsid w:val="004D45DF"/>
    <w:rsid w:val="004D46E1"/>
    <w:rsid w:val="004D46FD"/>
    <w:rsid w:val="004D4A2E"/>
    <w:rsid w:val="004D5161"/>
    <w:rsid w:val="004D5466"/>
    <w:rsid w:val="004D5535"/>
    <w:rsid w:val="004D5686"/>
    <w:rsid w:val="004D5B71"/>
    <w:rsid w:val="004D63CB"/>
    <w:rsid w:val="004D642E"/>
    <w:rsid w:val="004D67E3"/>
    <w:rsid w:val="004D6A72"/>
    <w:rsid w:val="004D6C0E"/>
    <w:rsid w:val="004D6C96"/>
    <w:rsid w:val="004D70E9"/>
    <w:rsid w:val="004D7250"/>
    <w:rsid w:val="004D740B"/>
    <w:rsid w:val="004D74C6"/>
    <w:rsid w:val="004D7910"/>
    <w:rsid w:val="004D7B70"/>
    <w:rsid w:val="004D7D30"/>
    <w:rsid w:val="004D7E36"/>
    <w:rsid w:val="004D7F30"/>
    <w:rsid w:val="004E02BC"/>
    <w:rsid w:val="004E02EC"/>
    <w:rsid w:val="004E05E6"/>
    <w:rsid w:val="004E06F1"/>
    <w:rsid w:val="004E08F4"/>
    <w:rsid w:val="004E0C0B"/>
    <w:rsid w:val="004E0F0B"/>
    <w:rsid w:val="004E10E5"/>
    <w:rsid w:val="004E16FF"/>
    <w:rsid w:val="004E1858"/>
    <w:rsid w:val="004E1C13"/>
    <w:rsid w:val="004E1D63"/>
    <w:rsid w:val="004E2125"/>
    <w:rsid w:val="004E2147"/>
    <w:rsid w:val="004E2150"/>
    <w:rsid w:val="004E21AF"/>
    <w:rsid w:val="004E232C"/>
    <w:rsid w:val="004E25C7"/>
    <w:rsid w:val="004E26D9"/>
    <w:rsid w:val="004E2DF3"/>
    <w:rsid w:val="004E329F"/>
    <w:rsid w:val="004E346E"/>
    <w:rsid w:val="004E351C"/>
    <w:rsid w:val="004E398E"/>
    <w:rsid w:val="004E3B12"/>
    <w:rsid w:val="004E4105"/>
    <w:rsid w:val="004E4346"/>
    <w:rsid w:val="004E4A4A"/>
    <w:rsid w:val="004E4A9F"/>
    <w:rsid w:val="004E5093"/>
    <w:rsid w:val="004E522B"/>
    <w:rsid w:val="004E570A"/>
    <w:rsid w:val="004E5933"/>
    <w:rsid w:val="004E5A9A"/>
    <w:rsid w:val="004E5BD4"/>
    <w:rsid w:val="004E5DAC"/>
    <w:rsid w:val="004E5E07"/>
    <w:rsid w:val="004E5F8F"/>
    <w:rsid w:val="004E687A"/>
    <w:rsid w:val="004E68FA"/>
    <w:rsid w:val="004E6CBE"/>
    <w:rsid w:val="004E6CFF"/>
    <w:rsid w:val="004E6D75"/>
    <w:rsid w:val="004E6F5F"/>
    <w:rsid w:val="004E6F94"/>
    <w:rsid w:val="004E73D2"/>
    <w:rsid w:val="004E76F8"/>
    <w:rsid w:val="004E779A"/>
    <w:rsid w:val="004E7AD4"/>
    <w:rsid w:val="004E7B6C"/>
    <w:rsid w:val="004E7CAF"/>
    <w:rsid w:val="004E7D1E"/>
    <w:rsid w:val="004E7D32"/>
    <w:rsid w:val="004E7ED2"/>
    <w:rsid w:val="004F0212"/>
    <w:rsid w:val="004F02B4"/>
    <w:rsid w:val="004F0C82"/>
    <w:rsid w:val="004F0FC5"/>
    <w:rsid w:val="004F103F"/>
    <w:rsid w:val="004F1050"/>
    <w:rsid w:val="004F150F"/>
    <w:rsid w:val="004F1539"/>
    <w:rsid w:val="004F15D2"/>
    <w:rsid w:val="004F17CD"/>
    <w:rsid w:val="004F1802"/>
    <w:rsid w:val="004F1AA2"/>
    <w:rsid w:val="004F1B7B"/>
    <w:rsid w:val="004F1CBA"/>
    <w:rsid w:val="004F1FD5"/>
    <w:rsid w:val="004F201A"/>
    <w:rsid w:val="004F203A"/>
    <w:rsid w:val="004F2248"/>
    <w:rsid w:val="004F248D"/>
    <w:rsid w:val="004F248E"/>
    <w:rsid w:val="004F24B7"/>
    <w:rsid w:val="004F2608"/>
    <w:rsid w:val="004F26DB"/>
    <w:rsid w:val="004F27D6"/>
    <w:rsid w:val="004F28DB"/>
    <w:rsid w:val="004F29FC"/>
    <w:rsid w:val="004F2ACD"/>
    <w:rsid w:val="004F30D2"/>
    <w:rsid w:val="004F3252"/>
    <w:rsid w:val="004F331C"/>
    <w:rsid w:val="004F3688"/>
    <w:rsid w:val="004F36A6"/>
    <w:rsid w:val="004F36C8"/>
    <w:rsid w:val="004F3AAE"/>
    <w:rsid w:val="004F3C32"/>
    <w:rsid w:val="004F41CD"/>
    <w:rsid w:val="004F4253"/>
    <w:rsid w:val="004F469D"/>
    <w:rsid w:val="004F475A"/>
    <w:rsid w:val="004F476C"/>
    <w:rsid w:val="004F477C"/>
    <w:rsid w:val="004F4B9B"/>
    <w:rsid w:val="004F4BDE"/>
    <w:rsid w:val="004F521F"/>
    <w:rsid w:val="004F522E"/>
    <w:rsid w:val="004F530A"/>
    <w:rsid w:val="004F5C65"/>
    <w:rsid w:val="004F5E94"/>
    <w:rsid w:val="004F6052"/>
    <w:rsid w:val="004F6287"/>
    <w:rsid w:val="004F644B"/>
    <w:rsid w:val="004F64E9"/>
    <w:rsid w:val="004F65E2"/>
    <w:rsid w:val="004F6781"/>
    <w:rsid w:val="004F6846"/>
    <w:rsid w:val="004F6E45"/>
    <w:rsid w:val="004F71FC"/>
    <w:rsid w:val="004F762D"/>
    <w:rsid w:val="004F76A5"/>
    <w:rsid w:val="004F774D"/>
    <w:rsid w:val="004F7776"/>
    <w:rsid w:val="004F786B"/>
    <w:rsid w:val="004F7CAC"/>
    <w:rsid w:val="00500042"/>
    <w:rsid w:val="005000C2"/>
    <w:rsid w:val="00500178"/>
    <w:rsid w:val="005003E9"/>
    <w:rsid w:val="0050076A"/>
    <w:rsid w:val="0050087A"/>
    <w:rsid w:val="005009C8"/>
    <w:rsid w:val="005011FA"/>
    <w:rsid w:val="005013A9"/>
    <w:rsid w:val="0050161C"/>
    <w:rsid w:val="005016CE"/>
    <w:rsid w:val="0050175A"/>
    <w:rsid w:val="00501873"/>
    <w:rsid w:val="00501C00"/>
    <w:rsid w:val="00501CA3"/>
    <w:rsid w:val="00501F5B"/>
    <w:rsid w:val="0050209B"/>
    <w:rsid w:val="00502229"/>
    <w:rsid w:val="00502264"/>
    <w:rsid w:val="00502270"/>
    <w:rsid w:val="00502693"/>
    <w:rsid w:val="00502A88"/>
    <w:rsid w:val="00502DA7"/>
    <w:rsid w:val="005031ED"/>
    <w:rsid w:val="00503E77"/>
    <w:rsid w:val="00503E96"/>
    <w:rsid w:val="00504433"/>
    <w:rsid w:val="005048C9"/>
    <w:rsid w:val="00504DA3"/>
    <w:rsid w:val="00504DBC"/>
    <w:rsid w:val="00504F41"/>
    <w:rsid w:val="00504FC7"/>
    <w:rsid w:val="00505037"/>
    <w:rsid w:val="00505322"/>
    <w:rsid w:val="005058DE"/>
    <w:rsid w:val="00505943"/>
    <w:rsid w:val="00505AA3"/>
    <w:rsid w:val="00505D7E"/>
    <w:rsid w:val="00506055"/>
    <w:rsid w:val="005062C9"/>
    <w:rsid w:val="00506585"/>
    <w:rsid w:val="0050661E"/>
    <w:rsid w:val="00506623"/>
    <w:rsid w:val="00506F33"/>
    <w:rsid w:val="005072CA"/>
    <w:rsid w:val="005075A6"/>
    <w:rsid w:val="0050764E"/>
    <w:rsid w:val="005079D2"/>
    <w:rsid w:val="00507D90"/>
    <w:rsid w:val="00507DB6"/>
    <w:rsid w:val="00507E1B"/>
    <w:rsid w:val="00507FC3"/>
    <w:rsid w:val="0051007D"/>
    <w:rsid w:val="0051019D"/>
    <w:rsid w:val="005101E6"/>
    <w:rsid w:val="005102D3"/>
    <w:rsid w:val="005102D8"/>
    <w:rsid w:val="00510595"/>
    <w:rsid w:val="005105D9"/>
    <w:rsid w:val="005106DB"/>
    <w:rsid w:val="00510819"/>
    <w:rsid w:val="005109B0"/>
    <w:rsid w:val="00510C31"/>
    <w:rsid w:val="00510F27"/>
    <w:rsid w:val="00511053"/>
    <w:rsid w:val="005110E3"/>
    <w:rsid w:val="005111E9"/>
    <w:rsid w:val="00511320"/>
    <w:rsid w:val="0051166E"/>
    <w:rsid w:val="005119C9"/>
    <w:rsid w:val="00511A9C"/>
    <w:rsid w:val="00511B0C"/>
    <w:rsid w:val="00511FE9"/>
    <w:rsid w:val="005121AE"/>
    <w:rsid w:val="00512504"/>
    <w:rsid w:val="00512734"/>
    <w:rsid w:val="00512B8D"/>
    <w:rsid w:val="00512CCB"/>
    <w:rsid w:val="00512FB6"/>
    <w:rsid w:val="00512FDD"/>
    <w:rsid w:val="00513692"/>
    <w:rsid w:val="0051387B"/>
    <w:rsid w:val="0051387C"/>
    <w:rsid w:val="00513C4B"/>
    <w:rsid w:val="00513EA1"/>
    <w:rsid w:val="00513F9D"/>
    <w:rsid w:val="005142BF"/>
    <w:rsid w:val="005143F9"/>
    <w:rsid w:val="00514440"/>
    <w:rsid w:val="00514493"/>
    <w:rsid w:val="005148D8"/>
    <w:rsid w:val="005149BF"/>
    <w:rsid w:val="00514A09"/>
    <w:rsid w:val="00514AE5"/>
    <w:rsid w:val="00514D08"/>
    <w:rsid w:val="00514DA9"/>
    <w:rsid w:val="00514E56"/>
    <w:rsid w:val="00514ED6"/>
    <w:rsid w:val="00515001"/>
    <w:rsid w:val="00515595"/>
    <w:rsid w:val="0051584B"/>
    <w:rsid w:val="00515918"/>
    <w:rsid w:val="00515E4C"/>
    <w:rsid w:val="00515ECE"/>
    <w:rsid w:val="005162AC"/>
    <w:rsid w:val="0051645A"/>
    <w:rsid w:val="005164CA"/>
    <w:rsid w:val="00516566"/>
    <w:rsid w:val="005168EB"/>
    <w:rsid w:val="00516933"/>
    <w:rsid w:val="00516BFF"/>
    <w:rsid w:val="00516F57"/>
    <w:rsid w:val="005171B1"/>
    <w:rsid w:val="0051740D"/>
    <w:rsid w:val="00517B35"/>
    <w:rsid w:val="00517EF6"/>
    <w:rsid w:val="005203E3"/>
    <w:rsid w:val="0052050D"/>
    <w:rsid w:val="0052090B"/>
    <w:rsid w:val="00520CDF"/>
    <w:rsid w:val="00521371"/>
    <w:rsid w:val="005215E3"/>
    <w:rsid w:val="005218C3"/>
    <w:rsid w:val="005218EC"/>
    <w:rsid w:val="00521A0D"/>
    <w:rsid w:val="00521A5E"/>
    <w:rsid w:val="00521CBC"/>
    <w:rsid w:val="00521CF3"/>
    <w:rsid w:val="00521DEE"/>
    <w:rsid w:val="00521E44"/>
    <w:rsid w:val="00521E6D"/>
    <w:rsid w:val="00522174"/>
    <w:rsid w:val="005224AD"/>
    <w:rsid w:val="00522933"/>
    <w:rsid w:val="00522A10"/>
    <w:rsid w:val="00522CDF"/>
    <w:rsid w:val="00522D42"/>
    <w:rsid w:val="00522E60"/>
    <w:rsid w:val="00522EF9"/>
    <w:rsid w:val="0052301D"/>
    <w:rsid w:val="00523281"/>
    <w:rsid w:val="005232C7"/>
    <w:rsid w:val="005234F5"/>
    <w:rsid w:val="00523598"/>
    <w:rsid w:val="005236DF"/>
    <w:rsid w:val="00523717"/>
    <w:rsid w:val="005239F2"/>
    <w:rsid w:val="00523A77"/>
    <w:rsid w:val="00523C32"/>
    <w:rsid w:val="00523E0B"/>
    <w:rsid w:val="00523EE4"/>
    <w:rsid w:val="00524016"/>
    <w:rsid w:val="00524261"/>
    <w:rsid w:val="005243EE"/>
    <w:rsid w:val="005245BA"/>
    <w:rsid w:val="00524604"/>
    <w:rsid w:val="00524B53"/>
    <w:rsid w:val="00524E92"/>
    <w:rsid w:val="0052529F"/>
    <w:rsid w:val="00525653"/>
    <w:rsid w:val="005256A3"/>
    <w:rsid w:val="005259AF"/>
    <w:rsid w:val="005259BE"/>
    <w:rsid w:val="00525A02"/>
    <w:rsid w:val="00525AF8"/>
    <w:rsid w:val="00525BAE"/>
    <w:rsid w:val="00525C1D"/>
    <w:rsid w:val="00525C42"/>
    <w:rsid w:val="00525DA4"/>
    <w:rsid w:val="00525E44"/>
    <w:rsid w:val="00525E52"/>
    <w:rsid w:val="00526059"/>
    <w:rsid w:val="0052621C"/>
    <w:rsid w:val="005262E1"/>
    <w:rsid w:val="0052680D"/>
    <w:rsid w:val="005269C8"/>
    <w:rsid w:val="00526BD1"/>
    <w:rsid w:val="00526CD0"/>
    <w:rsid w:val="005271FE"/>
    <w:rsid w:val="0052724C"/>
    <w:rsid w:val="005273FB"/>
    <w:rsid w:val="0052758B"/>
    <w:rsid w:val="0052771F"/>
    <w:rsid w:val="00527CAF"/>
    <w:rsid w:val="005301AD"/>
    <w:rsid w:val="005301FA"/>
    <w:rsid w:val="0053020C"/>
    <w:rsid w:val="005304BF"/>
    <w:rsid w:val="00530688"/>
    <w:rsid w:val="0053068A"/>
    <w:rsid w:val="005306A7"/>
    <w:rsid w:val="005306A8"/>
    <w:rsid w:val="00530ACB"/>
    <w:rsid w:val="00530BFD"/>
    <w:rsid w:val="00530CB7"/>
    <w:rsid w:val="00530E0F"/>
    <w:rsid w:val="0053103C"/>
    <w:rsid w:val="005310F0"/>
    <w:rsid w:val="0053130E"/>
    <w:rsid w:val="00531435"/>
    <w:rsid w:val="00531555"/>
    <w:rsid w:val="00531630"/>
    <w:rsid w:val="0053175A"/>
    <w:rsid w:val="0053193D"/>
    <w:rsid w:val="00531BD1"/>
    <w:rsid w:val="00531C11"/>
    <w:rsid w:val="0053211C"/>
    <w:rsid w:val="0053263E"/>
    <w:rsid w:val="005326E8"/>
    <w:rsid w:val="005326EE"/>
    <w:rsid w:val="00532E75"/>
    <w:rsid w:val="00533115"/>
    <w:rsid w:val="005331CF"/>
    <w:rsid w:val="0053345D"/>
    <w:rsid w:val="0053350B"/>
    <w:rsid w:val="005336E8"/>
    <w:rsid w:val="00533879"/>
    <w:rsid w:val="00533A56"/>
    <w:rsid w:val="00533E39"/>
    <w:rsid w:val="005347F4"/>
    <w:rsid w:val="00534A96"/>
    <w:rsid w:val="00534BD8"/>
    <w:rsid w:val="00534CB4"/>
    <w:rsid w:val="00534E61"/>
    <w:rsid w:val="00534F14"/>
    <w:rsid w:val="00535362"/>
    <w:rsid w:val="005353C8"/>
    <w:rsid w:val="0053555B"/>
    <w:rsid w:val="00535C74"/>
    <w:rsid w:val="00535CB6"/>
    <w:rsid w:val="00535CCF"/>
    <w:rsid w:val="00535D95"/>
    <w:rsid w:val="00535F0C"/>
    <w:rsid w:val="005361AB"/>
    <w:rsid w:val="005361AE"/>
    <w:rsid w:val="005361CE"/>
    <w:rsid w:val="00536207"/>
    <w:rsid w:val="0053633F"/>
    <w:rsid w:val="00536660"/>
    <w:rsid w:val="005367F7"/>
    <w:rsid w:val="00536A5F"/>
    <w:rsid w:val="00536B24"/>
    <w:rsid w:val="00536E58"/>
    <w:rsid w:val="00536F9A"/>
    <w:rsid w:val="005377ED"/>
    <w:rsid w:val="00537C5A"/>
    <w:rsid w:val="00537ECE"/>
    <w:rsid w:val="00537F52"/>
    <w:rsid w:val="00537F65"/>
    <w:rsid w:val="0054026A"/>
    <w:rsid w:val="0054056E"/>
    <w:rsid w:val="00540581"/>
    <w:rsid w:val="00540619"/>
    <w:rsid w:val="005407CA"/>
    <w:rsid w:val="0054087C"/>
    <w:rsid w:val="00540880"/>
    <w:rsid w:val="005409BB"/>
    <w:rsid w:val="00540BD6"/>
    <w:rsid w:val="00540DDA"/>
    <w:rsid w:val="005416CF"/>
    <w:rsid w:val="00541C64"/>
    <w:rsid w:val="00541D43"/>
    <w:rsid w:val="00541E68"/>
    <w:rsid w:val="00541F49"/>
    <w:rsid w:val="00542068"/>
    <w:rsid w:val="0054233D"/>
    <w:rsid w:val="005427F8"/>
    <w:rsid w:val="0054281D"/>
    <w:rsid w:val="005431EC"/>
    <w:rsid w:val="005437E9"/>
    <w:rsid w:val="005438D3"/>
    <w:rsid w:val="005439E5"/>
    <w:rsid w:val="00543AF9"/>
    <w:rsid w:val="00544056"/>
    <w:rsid w:val="00544266"/>
    <w:rsid w:val="00544312"/>
    <w:rsid w:val="005445B5"/>
    <w:rsid w:val="005445D8"/>
    <w:rsid w:val="005449F4"/>
    <w:rsid w:val="00544C74"/>
    <w:rsid w:val="00544CB7"/>
    <w:rsid w:val="00544DE1"/>
    <w:rsid w:val="00544ED0"/>
    <w:rsid w:val="00544FEB"/>
    <w:rsid w:val="00545051"/>
    <w:rsid w:val="00545111"/>
    <w:rsid w:val="0054512E"/>
    <w:rsid w:val="00545819"/>
    <w:rsid w:val="00545898"/>
    <w:rsid w:val="00545978"/>
    <w:rsid w:val="00545AD7"/>
    <w:rsid w:val="00545BE1"/>
    <w:rsid w:val="00545C1C"/>
    <w:rsid w:val="00545C78"/>
    <w:rsid w:val="00545CC3"/>
    <w:rsid w:val="00546074"/>
    <w:rsid w:val="005460AD"/>
    <w:rsid w:val="00546168"/>
    <w:rsid w:val="005464EA"/>
    <w:rsid w:val="0054667A"/>
    <w:rsid w:val="00546701"/>
    <w:rsid w:val="0054670A"/>
    <w:rsid w:val="005467EE"/>
    <w:rsid w:val="00546C20"/>
    <w:rsid w:val="00546D85"/>
    <w:rsid w:val="00546DEE"/>
    <w:rsid w:val="005471EC"/>
    <w:rsid w:val="0054728E"/>
    <w:rsid w:val="00547398"/>
    <w:rsid w:val="005473A1"/>
    <w:rsid w:val="005473DC"/>
    <w:rsid w:val="00547763"/>
    <w:rsid w:val="00547803"/>
    <w:rsid w:val="0054796F"/>
    <w:rsid w:val="00547B02"/>
    <w:rsid w:val="00547CD2"/>
    <w:rsid w:val="00547FC0"/>
    <w:rsid w:val="00550238"/>
    <w:rsid w:val="0055072B"/>
    <w:rsid w:val="005508B6"/>
    <w:rsid w:val="00550D33"/>
    <w:rsid w:val="005514AF"/>
    <w:rsid w:val="00551519"/>
    <w:rsid w:val="0055178B"/>
    <w:rsid w:val="005517B7"/>
    <w:rsid w:val="005518F6"/>
    <w:rsid w:val="00551902"/>
    <w:rsid w:val="00551ADE"/>
    <w:rsid w:val="00551DCF"/>
    <w:rsid w:val="00552015"/>
    <w:rsid w:val="00552033"/>
    <w:rsid w:val="00552544"/>
    <w:rsid w:val="00552642"/>
    <w:rsid w:val="00552688"/>
    <w:rsid w:val="005528EF"/>
    <w:rsid w:val="005528F6"/>
    <w:rsid w:val="00552A93"/>
    <w:rsid w:val="00552CAB"/>
    <w:rsid w:val="00552D32"/>
    <w:rsid w:val="00552E17"/>
    <w:rsid w:val="00552E5C"/>
    <w:rsid w:val="0055316A"/>
    <w:rsid w:val="0055323C"/>
    <w:rsid w:val="005532FE"/>
    <w:rsid w:val="005535A0"/>
    <w:rsid w:val="00553688"/>
    <w:rsid w:val="005539E9"/>
    <w:rsid w:val="00553A98"/>
    <w:rsid w:val="00553C64"/>
    <w:rsid w:val="00553D5B"/>
    <w:rsid w:val="00553FB0"/>
    <w:rsid w:val="0055417D"/>
    <w:rsid w:val="005541E9"/>
    <w:rsid w:val="0055454F"/>
    <w:rsid w:val="00554647"/>
    <w:rsid w:val="005547D6"/>
    <w:rsid w:val="00554932"/>
    <w:rsid w:val="00554DEA"/>
    <w:rsid w:val="00555017"/>
    <w:rsid w:val="00555066"/>
    <w:rsid w:val="0055529A"/>
    <w:rsid w:val="0055532F"/>
    <w:rsid w:val="005554FE"/>
    <w:rsid w:val="005558A9"/>
    <w:rsid w:val="00556072"/>
    <w:rsid w:val="005562C1"/>
    <w:rsid w:val="00556345"/>
    <w:rsid w:val="00556D9C"/>
    <w:rsid w:val="00556DD9"/>
    <w:rsid w:val="00556E0E"/>
    <w:rsid w:val="00557137"/>
    <w:rsid w:val="005572AD"/>
    <w:rsid w:val="00557628"/>
    <w:rsid w:val="0055780A"/>
    <w:rsid w:val="00557846"/>
    <w:rsid w:val="00557849"/>
    <w:rsid w:val="00557880"/>
    <w:rsid w:val="00557906"/>
    <w:rsid w:val="00557CFC"/>
    <w:rsid w:val="00557D6E"/>
    <w:rsid w:val="00560033"/>
    <w:rsid w:val="00560181"/>
    <w:rsid w:val="005601C1"/>
    <w:rsid w:val="00560346"/>
    <w:rsid w:val="0056057C"/>
    <w:rsid w:val="00560618"/>
    <w:rsid w:val="005608B5"/>
    <w:rsid w:val="00560A7A"/>
    <w:rsid w:val="00560B37"/>
    <w:rsid w:val="00560B4A"/>
    <w:rsid w:val="00560BC3"/>
    <w:rsid w:val="00560BEB"/>
    <w:rsid w:val="00560C5C"/>
    <w:rsid w:val="00560D73"/>
    <w:rsid w:val="00560DF2"/>
    <w:rsid w:val="00560E87"/>
    <w:rsid w:val="0056110C"/>
    <w:rsid w:val="00561643"/>
    <w:rsid w:val="005617DF"/>
    <w:rsid w:val="005617E5"/>
    <w:rsid w:val="00561993"/>
    <w:rsid w:val="005619A5"/>
    <w:rsid w:val="00561C69"/>
    <w:rsid w:val="00561CDB"/>
    <w:rsid w:val="00561CF8"/>
    <w:rsid w:val="00561D24"/>
    <w:rsid w:val="00561DFC"/>
    <w:rsid w:val="00561E9B"/>
    <w:rsid w:val="00561F22"/>
    <w:rsid w:val="00562AF1"/>
    <w:rsid w:val="00563103"/>
    <w:rsid w:val="005634F7"/>
    <w:rsid w:val="0056358A"/>
    <w:rsid w:val="0056375E"/>
    <w:rsid w:val="005638A1"/>
    <w:rsid w:val="00563D55"/>
    <w:rsid w:val="00563F5E"/>
    <w:rsid w:val="0056405A"/>
    <w:rsid w:val="0056429D"/>
    <w:rsid w:val="0056442C"/>
    <w:rsid w:val="0056456A"/>
    <w:rsid w:val="00564718"/>
    <w:rsid w:val="005649F1"/>
    <w:rsid w:val="00564C33"/>
    <w:rsid w:val="00564E0F"/>
    <w:rsid w:val="0056517D"/>
    <w:rsid w:val="0056534D"/>
    <w:rsid w:val="005654C6"/>
    <w:rsid w:val="0056591B"/>
    <w:rsid w:val="005659F7"/>
    <w:rsid w:val="00565A06"/>
    <w:rsid w:val="00565B3A"/>
    <w:rsid w:val="00565B8E"/>
    <w:rsid w:val="00565D37"/>
    <w:rsid w:val="00565EC8"/>
    <w:rsid w:val="00565F3E"/>
    <w:rsid w:val="00566662"/>
    <w:rsid w:val="005668A9"/>
    <w:rsid w:val="00566926"/>
    <w:rsid w:val="005669EE"/>
    <w:rsid w:val="00566A70"/>
    <w:rsid w:val="00566BB4"/>
    <w:rsid w:val="00566D7F"/>
    <w:rsid w:val="00567780"/>
    <w:rsid w:val="00567CC0"/>
    <w:rsid w:val="00570110"/>
    <w:rsid w:val="00570157"/>
    <w:rsid w:val="005702EE"/>
    <w:rsid w:val="0057053F"/>
    <w:rsid w:val="00570694"/>
    <w:rsid w:val="00570A06"/>
    <w:rsid w:val="00570A49"/>
    <w:rsid w:val="00570E08"/>
    <w:rsid w:val="00571317"/>
    <w:rsid w:val="00571703"/>
    <w:rsid w:val="0057173E"/>
    <w:rsid w:val="00571930"/>
    <w:rsid w:val="00571B08"/>
    <w:rsid w:val="00571D72"/>
    <w:rsid w:val="00571E94"/>
    <w:rsid w:val="00571F8E"/>
    <w:rsid w:val="00571F95"/>
    <w:rsid w:val="00572088"/>
    <w:rsid w:val="0057216A"/>
    <w:rsid w:val="00572552"/>
    <w:rsid w:val="005725A5"/>
    <w:rsid w:val="0057279B"/>
    <w:rsid w:val="00572AA8"/>
    <w:rsid w:val="00572B06"/>
    <w:rsid w:val="00572DA1"/>
    <w:rsid w:val="005730C8"/>
    <w:rsid w:val="00573225"/>
    <w:rsid w:val="0057324A"/>
    <w:rsid w:val="0057338A"/>
    <w:rsid w:val="00573682"/>
    <w:rsid w:val="005737B2"/>
    <w:rsid w:val="005738A6"/>
    <w:rsid w:val="0057394D"/>
    <w:rsid w:val="00573B93"/>
    <w:rsid w:val="00573DFE"/>
    <w:rsid w:val="00573E7E"/>
    <w:rsid w:val="005741AC"/>
    <w:rsid w:val="005741DC"/>
    <w:rsid w:val="005744DA"/>
    <w:rsid w:val="00574FCA"/>
    <w:rsid w:val="0057524C"/>
    <w:rsid w:val="005753B8"/>
    <w:rsid w:val="00575488"/>
    <w:rsid w:val="0057555D"/>
    <w:rsid w:val="0057573B"/>
    <w:rsid w:val="005759AD"/>
    <w:rsid w:val="00575CFD"/>
    <w:rsid w:val="00575FFA"/>
    <w:rsid w:val="005762EF"/>
    <w:rsid w:val="005768D6"/>
    <w:rsid w:val="005769A6"/>
    <w:rsid w:val="00576ADE"/>
    <w:rsid w:val="00576D4F"/>
    <w:rsid w:val="00576DF0"/>
    <w:rsid w:val="00576E00"/>
    <w:rsid w:val="005770BA"/>
    <w:rsid w:val="00577471"/>
    <w:rsid w:val="00577726"/>
    <w:rsid w:val="00577A33"/>
    <w:rsid w:val="00577B05"/>
    <w:rsid w:val="00577C05"/>
    <w:rsid w:val="00577CFD"/>
    <w:rsid w:val="00577DEF"/>
    <w:rsid w:val="00580097"/>
    <w:rsid w:val="005800F3"/>
    <w:rsid w:val="00580161"/>
    <w:rsid w:val="00580289"/>
    <w:rsid w:val="005803FF"/>
    <w:rsid w:val="005805B7"/>
    <w:rsid w:val="0058069C"/>
    <w:rsid w:val="005806D2"/>
    <w:rsid w:val="0058092C"/>
    <w:rsid w:val="005809DF"/>
    <w:rsid w:val="00580A5D"/>
    <w:rsid w:val="00580BCD"/>
    <w:rsid w:val="00580C3F"/>
    <w:rsid w:val="00581072"/>
    <w:rsid w:val="005814DF"/>
    <w:rsid w:val="00581696"/>
    <w:rsid w:val="005816FD"/>
    <w:rsid w:val="00581719"/>
    <w:rsid w:val="0058199A"/>
    <w:rsid w:val="00581B29"/>
    <w:rsid w:val="00581EB6"/>
    <w:rsid w:val="00582129"/>
    <w:rsid w:val="0058234E"/>
    <w:rsid w:val="00582367"/>
    <w:rsid w:val="005823A7"/>
    <w:rsid w:val="00582537"/>
    <w:rsid w:val="0058286A"/>
    <w:rsid w:val="0058289A"/>
    <w:rsid w:val="005828DC"/>
    <w:rsid w:val="005830A4"/>
    <w:rsid w:val="00583110"/>
    <w:rsid w:val="005837D8"/>
    <w:rsid w:val="005837EC"/>
    <w:rsid w:val="005838F4"/>
    <w:rsid w:val="00583D6D"/>
    <w:rsid w:val="00583F39"/>
    <w:rsid w:val="00584040"/>
    <w:rsid w:val="00584193"/>
    <w:rsid w:val="00584483"/>
    <w:rsid w:val="0058454D"/>
    <w:rsid w:val="00584846"/>
    <w:rsid w:val="00584AED"/>
    <w:rsid w:val="00584BB2"/>
    <w:rsid w:val="00584C84"/>
    <w:rsid w:val="00584C95"/>
    <w:rsid w:val="00584CAB"/>
    <w:rsid w:val="00584DAF"/>
    <w:rsid w:val="0058532E"/>
    <w:rsid w:val="00585608"/>
    <w:rsid w:val="005857E2"/>
    <w:rsid w:val="00585A31"/>
    <w:rsid w:val="00585A70"/>
    <w:rsid w:val="00585B76"/>
    <w:rsid w:val="00585CBA"/>
    <w:rsid w:val="00585FC2"/>
    <w:rsid w:val="0058601A"/>
    <w:rsid w:val="005860E1"/>
    <w:rsid w:val="0058637F"/>
    <w:rsid w:val="005863B1"/>
    <w:rsid w:val="005866DF"/>
    <w:rsid w:val="00586822"/>
    <w:rsid w:val="005868CA"/>
    <w:rsid w:val="00586B68"/>
    <w:rsid w:val="00586BB7"/>
    <w:rsid w:val="0058764D"/>
    <w:rsid w:val="005878BF"/>
    <w:rsid w:val="005878CE"/>
    <w:rsid w:val="0058794F"/>
    <w:rsid w:val="00587C84"/>
    <w:rsid w:val="00587CD2"/>
    <w:rsid w:val="00587EF0"/>
    <w:rsid w:val="00587F46"/>
    <w:rsid w:val="005904E0"/>
    <w:rsid w:val="00590C3D"/>
    <w:rsid w:val="00590CD1"/>
    <w:rsid w:val="00590E3B"/>
    <w:rsid w:val="00591062"/>
    <w:rsid w:val="005919B6"/>
    <w:rsid w:val="00591B74"/>
    <w:rsid w:val="00591E88"/>
    <w:rsid w:val="00591F10"/>
    <w:rsid w:val="00592330"/>
    <w:rsid w:val="00592D49"/>
    <w:rsid w:val="00592FC3"/>
    <w:rsid w:val="00593703"/>
    <w:rsid w:val="00593758"/>
    <w:rsid w:val="00593787"/>
    <w:rsid w:val="005938C9"/>
    <w:rsid w:val="005938D4"/>
    <w:rsid w:val="00593998"/>
    <w:rsid w:val="00593A6F"/>
    <w:rsid w:val="00593AE1"/>
    <w:rsid w:val="00593D34"/>
    <w:rsid w:val="00594197"/>
    <w:rsid w:val="005941FF"/>
    <w:rsid w:val="00594747"/>
    <w:rsid w:val="00594D92"/>
    <w:rsid w:val="00594E01"/>
    <w:rsid w:val="00594EF3"/>
    <w:rsid w:val="00595560"/>
    <w:rsid w:val="00595861"/>
    <w:rsid w:val="005959FA"/>
    <w:rsid w:val="00595C11"/>
    <w:rsid w:val="005965D7"/>
    <w:rsid w:val="005967E8"/>
    <w:rsid w:val="00596907"/>
    <w:rsid w:val="005969BF"/>
    <w:rsid w:val="00596BB4"/>
    <w:rsid w:val="00596D38"/>
    <w:rsid w:val="00596E50"/>
    <w:rsid w:val="005972C1"/>
    <w:rsid w:val="005973D5"/>
    <w:rsid w:val="0059744A"/>
    <w:rsid w:val="005975BB"/>
    <w:rsid w:val="00597972"/>
    <w:rsid w:val="005979A2"/>
    <w:rsid w:val="00597C95"/>
    <w:rsid w:val="00597FAB"/>
    <w:rsid w:val="005A0028"/>
    <w:rsid w:val="005A004A"/>
    <w:rsid w:val="005A01D6"/>
    <w:rsid w:val="005A044D"/>
    <w:rsid w:val="005A047D"/>
    <w:rsid w:val="005A064D"/>
    <w:rsid w:val="005A06DF"/>
    <w:rsid w:val="005A0B22"/>
    <w:rsid w:val="005A0B6A"/>
    <w:rsid w:val="005A0D03"/>
    <w:rsid w:val="005A0E21"/>
    <w:rsid w:val="005A1273"/>
    <w:rsid w:val="005A1D74"/>
    <w:rsid w:val="005A20B6"/>
    <w:rsid w:val="005A2100"/>
    <w:rsid w:val="005A251A"/>
    <w:rsid w:val="005A28DC"/>
    <w:rsid w:val="005A2967"/>
    <w:rsid w:val="005A2979"/>
    <w:rsid w:val="005A3281"/>
    <w:rsid w:val="005A3439"/>
    <w:rsid w:val="005A34BF"/>
    <w:rsid w:val="005A350C"/>
    <w:rsid w:val="005A3598"/>
    <w:rsid w:val="005A368F"/>
    <w:rsid w:val="005A39A3"/>
    <w:rsid w:val="005A3CDE"/>
    <w:rsid w:val="005A41A1"/>
    <w:rsid w:val="005A41D2"/>
    <w:rsid w:val="005A490B"/>
    <w:rsid w:val="005A497D"/>
    <w:rsid w:val="005A4C43"/>
    <w:rsid w:val="005A4C9E"/>
    <w:rsid w:val="005A4D0B"/>
    <w:rsid w:val="005A4D37"/>
    <w:rsid w:val="005A4DFD"/>
    <w:rsid w:val="005A55FD"/>
    <w:rsid w:val="005A58C9"/>
    <w:rsid w:val="005A5924"/>
    <w:rsid w:val="005A5A9E"/>
    <w:rsid w:val="005A5D1C"/>
    <w:rsid w:val="005A5D6A"/>
    <w:rsid w:val="005A6347"/>
    <w:rsid w:val="005A6518"/>
    <w:rsid w:val="005A66AF"/>
    <w:rsid w:val="005A6A7A"/>
    <w:rsid w:val="005A6E9F"/>
    <w:rsid w:val="005A6EFE"/>
    <w:rsid w:val="005A71F8"/>
    <w:rsid w:val="005A722C"/>
    <w:rsid w:val="005A7349"/>
    <w:rsid w:val="005A7753"/>
    <w:rsid w:val="005A78C9"/>
    <w:rsid w:val="005A7959"/>
    <w:rsid w:val="005A7DC7"/>
    <w:rsid w:val="005A7E2F"/>
    <w:rsid w:val="005B01C2"/>
    <w:rsid w:val="005B02CC"/>
    <w:rsid w:val="005B02DE"/>
    <w:rsid w:val="005B03BE"/>
    <w:rsid w:val="005B0400"/>
    <w:rsid w:val="005B046C"/>
    <w:rsid w:val="005B05C4"/>
    <w:rsid w:val="005B0DAE"/>
    <w:rsid w:val="005B0E9B"/>
    <w:rsid w:val="005B0FCF"/>
    <w:rsid w:val="005B104C"/>
    <w:rsid w:val="005B10A1"/>
    <w:rsid w:val="005B10E7"/>
    <w:rsid w:val="005B110E"/>
    <w:rsid w:val="005B1698"/>
    <w:rsid w:val="005B18AD"/>
    <w:rsid w:val="005B1A46"/>
    <w:rsid w:val="005B2262"/>
    <w:rsid w:val="005B248C"/>
    <w:rsid w:val="005B298D"/>
    <w:rsid w:val="005B3131"/>
    <w:rsid w:val="005B36A2"/>
    <w:rsid w:val="005B39F6"/>
    <w:rsid w:val="005B3B56"/>
    <w:rsid w:val="005B3CA7"/>
    <w:rsid w:val="005B407D"/>
    <w:rsid w:val="005B4246"/>
    <w:rsid w:val="005B45B3"/>
    <w:rsid w:val="005B498B"/>
    <w:rsid w:val="005B4DCC"/>
    <w:rsid w:val="005B50C3"/>
    <w:rsid w:val="005B5428"/>
    <w:rsid w:val="005B54FF"/>
    <w:rsid w:val="005B5691"/>
    <w:rsid w:val="005B57A4"/>
    <w:rsid w:val="005B57D8"/>
    <w:rsid w:val="005B5DAF"/>
    <w:rsid w:val="005B5DED"/>
    <w:rsid w:val="005B5ED4"/>
    <w:rsid w:val="005B5F45"/>
    <w:rsid w:val="005B61EA"/>
    <w:rsid w:val="005B62BC"/>
    <w:rsid w:val="005B66FC"/>
    <w:rsid w:val="005B694B"/>
    <w:rsid w:val="005B6CD5"/>
    <w:rsid w:val="005B6EB6"/>
    <w:rsid w:val="005B709C"/>
    <w:rsid w:val="005B72B1"/>
    <w:rsid w:val="005B7AEF"/>
    <w:rsid w:val="005B7B08"/>
    <w:rsid w:val="005B7B44"/>
    <w:rsid w:val="005B7D99"/>
    <w:rsid w:val="005B7E9B"/>
    <w:rsid w:val="005C037F"/>
    <w:rsid w:val="005C0418"/>
    <w:rsid w:val="005C0536"/>
    <w:rsid w:val="005C0658"/>
    <w:rsid w:val="005C06F7"/>
    <w:rsid w:val="005C0C3B"/>
    <w:rsid w:val="005C0DC3"/>
    <w:rsid w:val="005C0F95"/>
    <w:rsid w:val="005C0FA1"/>
    <w:rsid w:val="005C153F"/>
    <w:rsid w:val="005C16F6"/>
    <w:rsid w:val="005C18AF"/>
    <w:rsid w:val="005C1DDA"/>
    <w:rsid w:val="005C2085"/>
    <w:rsid w:val="005C2134"/>
    <w:rsid w:val="005C241B"/>
    <w:rsid w:val="005C28E5"/>
    <w:rsid w:val="005C2C5D"/>
    <w:rsid w:val="005C2F3E"/>
    <w:rsid w:val="005C30B7"/>
    <w:rsid w:val="005C33F7"/>
    <w:rsid w:val="005C3792"/>
    <w:rsid w:val="005C3A10"/>
    <w:rsid w:val="005C3FFA"/>
    <w:rsid w:val="005C407E"/>
    <w:rsid w:val="005C45BE"/>
    <w:rsid w:val="005C4731"/>
    <w:rsid w:val="005C4817"/>
    <w:rsid w:val="005C4ABB"/>
    <w:rsid w:val="005C4EF7"/>
    <w:rsid w:val="005C5056"/>
    <w:rsid w:val="005C528A"/>
    <w:rsid w:val="005C5312"/>
    <w:rsid w:val="005C53D6"/>
    <w:rsid w:val="005C549A"/>
    <w:rsid w:val="005C5569"/>
    <w:rsid w:val="005C580B"/>
    <w:rsid w:val="005C5922"/>
    <w:rsid w:val="005C5B5F"/>
    <w:rsid w:val="005C5E0D"/>
    <w:rsid w:val="005C5E37"/>
    <w:rsid w:val="005C5F8B"/>
    <w:rsid w:val="005C5F9E"/>
    <w:rsid w:val="005C6052"/>
    <w:rsid w:val="005C631F"/>
    <w:rsid w:val="005C6A16"/>
    <w:rsid w:val="005C6A66"/>
    <w:rsid w:val="005C6BE4"/>
    <w:rsid w:val="005C6C2C"/>
    <w:rsid w:val="005C6F85"/>
    <w:rsid w:val="005C7402"/>
    <w:rsid w:val="005C7462"/>
    <w:rsid w:val="005C7546"/>
    <w:rsid w:val="005C76CF"/>
    <w:rsid w:val="005C76F6"/>
    <w:rsid w:val="005C776D"/>
    <w:rsid w:val="005C793C"/>
    <w:rsid w:val="005C7AF6"/>
    <w:rsid w:val="005C7B10"/>
    <w:rsid w:val="005C7D62"/>
    <w:rsid w:val="005C7FA5"/>
    <w:rsid w:val="005C7FA8"/>
    <w:rsid w:val="005D0AC3"/>
    <w:rsid w:val="005D0BC0"/>
    <w:rsid w:val="005D0CBF"/>
    <w:rsid w:val="005D0EA7"/>
    <w:rsid w:val="005D0F72"/>
    <w:rsid w:val="005D1078"/>
    <w:rsid w:val="005D115E"/>
    <w:rsid w:val="005D15A5"/>
    <w:rsid w:val="005D1877"/>
    <w:rsid w:val="005D187F"/>
    <w:rsid w:val="005D18A5"/>
    <w:rsid w:val="005D23CE"/>
    <w:rsid w:val="005D2A73"/>
    <w:rsid w:val="005D2A8E"/>
    <w:rsid w:val="005D3131"/>
    <w:rsid w:val="005D33FD"/>
    <w:rsid w:val="005D3561"/>
    <w:rsid w:val="005D360A"/>
    <w:rsid w:val="005D3986"/>
    <w:rsid w:val="005D39BA"/>
    <w:rsid w:val="005D39CE"/>
    <w:rsid w:val="005D3CE4"/>
    <w:rsid w:val="005D4037"/>
    <w:rsid w:val="005D43D2"/>
    <w:rsid w:val="005D4576"/>
    <w:rsid w:val="005D477F"/>
    <w:rsid w:val="005D4A05"/>
    <w:rsid w:val="005D4A6D"/>
    <w:rsid w:val="005D4D0E"/>
    <w:rsid w:val="005D5124"/>
    <w:rsid w:val="005D5790"/>
    <w:rsid w:val="005D57DA"/>
    <w:rsid w:val="005D5BA1"/>
    <w:rsid w:val="005D5E13"/>
    <w:rsid w:val="005D5E30"/>
    <w:rsid w:val="005D5FFA"/>
    <w:rsid w:val="005D617D"/>
    <w:rsid w:val="005D6314"/>
    <w:rsid w:val="005D650F"/>
    <w:rsid w:val="005D658C"/>
    <w:rsid w:val="005D67A1"/>
    <w:rsid w:val="005D687A"/>
    <w:rsid w:val="005D697E"/>
    <w:rsid w:val="005D6BF7"/>
    <w:rsid w:val="005D6D2E"/>
    <w:rsid w:val="005D6F78"/>
    <w:rsid w:val="005D6FC6"/>
    <w:rsid w:val="005D6FC9"/>
    <w:rsid w:val="005D7916"/>
    <w:rsid w:val="005D79B9"/>
    <w:rsid w:val="005D79C3"/>
    <w:rsid w:val="005E00B9"/>
    <w:rsid w:val="005E05D4"/>
    <w:rsid w:val="005E089A"/>
    <w:rsid w:val="005E0A7D"/>
    <w:rsid w:val="005E0C5A"/>
    <w:rsid w:val="005E0C5E"/>
    <w:rsid w:val="005E0C6E"/>
    <w:rsid w:val="005E0E24"/>
    <w:rsid w:val="005E0FEA"/>
    <w:rsid w:val="005E1122"/>
    <w:rsid w:val="005E1208"/>
    <w:rsid w:val="005E1CD8"/>
    <w:rsid w:val="005E1E40"/>
    <w:rsid w:val="005E1E47"/>
    <w:rsid w:val="005E1E8F"/>
    <w:rsid w:val="005E20DC"/>
    <w:rsid w:val="005E2240"/>
    <w:rsid w:val="005E2323"/>
    <w:rsid w:val="005E2851"/>
    <w:rsid w:val="005E2895"/>
    <w:rsid w:val="005E2C6D"/>
    <w:rsid w:val="005E36F0"/>
    <w:rsid w:val="005E371E"/>
    <w:rsid w:val="005E37CF"/>
    <w:rsid w:val="005E3954"/>
    <w:rsid w:val="005E3D40"/>
    <w:rsid w:val="005E3F69"/>
    <w:rsid w:val="005E425C"/>
    <w:rsid w:val="005E4419"/>
    <w:rsid w:val="005E44FA"/>
    <w:rsid w:val="005E46D7"/>
    <w:rsid w:val="005E49B2"/>
    <w:rsid w:val="005E4A19"/>
    <w:rsid w:val="005E4DA1"/>
    <w:rsid w:val="005E5040"/>
    <w:rsid w:val="005E5076"/>
    <w:rsid w:val="005E518A"/>
    <w:rsid w:val="005E53CB"/>
    <w:rsid w:val="005E5476"/>
    <w:rsid w:val="005E54EE"/>
    <w:rsid w:val="005E551A"/>
    <w:rsid w:val="005E5EA7"/>
    <w:rsid w:val="005E600F"/>
    <w:rsid w:val="005E6063"/>
    <w:rsid w:val="005E6066"/>
    <w:rsid w:val="005E6143"/>
    <w:rsid w:val="005E6358"/>
    <w:rsid w:val="005E63ED"/>
    <w:rsid w:val="005E6600"/>
    <w:rsid w:val="005E669C"/>
    <w:rsid w:val="005E6823"/>
    <w:rsid w:val="005E68EB"/>
    <w:rsid w:val="005E6EE7"/>
    <w:rsid w:val="005E6F84"/>
    <w:rsid w:val="005E7369"/>
    <w:rsid w:val="005E73E7"/>
    <w:rsid w:val="005E7953"/>
    <w:rsid w:val="005E7B30"/>
    <w:rsid w:val="005E7FA3"/>
    <w:rsid w:val="005F018C"/>
    <w:rsid w:val="005F0327"/>
    <w:rsid w:val="005F0754"/>
    <w:rsid w:val="005F08C3"/>
    <w:rsid w:val="005F08DF"/>
    <w:rsid w:val="005F0AE8"/>
    <w:rsid w:val="005F0C01"/>
    <w:rsid w:val="005F0D81"/>
    <w:rsid w:val="005F1012"/>
    <w:rsid w:val="005F1158"/>
    <w:rsid w:val="005F1444"/>
    <w:rsid w:val="005F1502"/>
    <w:rsid w:val="005F1518"/>
    <w:rsid w:val="005F1835"/>
    <w:rsid w:val="005F1A5D"/>
    <w:rsid w:val="005F1A7D"/>
    <w:rsid w:val="005F1FD6"/>
    <w:rsid w:val="005F2515"/>
    <w:rsid w:val="005F26CA"/>
    <w:rsid w:val="005F2779"/>
    <w:rsid w:val="005F2A56"/>
    <w:rsid w:val="005F2A6B"/>
    <w:rsid w:val="005F2CF0"/>
    <w:rsid w:val="005F2E04"/>
    <w:rsid w:val="005F3018"/>
    <w:rsid w:val="005F3366"/>
    <w:rsid w:val="005F3821"/>
    <w:rsid w:val="005F3872"/>
    <w:rsid w:val="005F3A29"/>
    <w:rsid w:val="005F3A7E"/>
    <w:rsid w:val="005F3C3E"/>
    <w:rsid w:val="005F3CBB"/>
    <w:rsid w:val="005F3D38"/>
    <w:rsid w:val="005F3E47"/>
    <w:rsid w:val="005F3F72"/>
    <w:rsid w:val="005F3FAF"/>
    <w:rsid w:val="005F4079"/>
    <w:rsid w:val="005F40C1"/>
    <w:rsid w:val="005F428D"/>
    <w:rsid w:val="005F432D"/>
    <w:rsid w:val="005F4431"/>
    <w:rsid w:val="005F456E"/>
    <w:rsid w:val="005F4586"/>
    <w:rsid w:val="005F470C"/>
    <w:rsid w:val="005F4C04"/>
    <w:rsid w:val="005F4DBA"/>
    <w:rsid w:val="005F546B"/>
    <w:rsid w:val="005F54B3"/>
    <w:rsid w:val="005F54EC"/>
    <w:rsid w:val="005F55A1"/>
    <w:rsid w:val="005F5690"/>
    <w:rsid w:val="005F59B5"/>
    <w:rsid w:val="005F5A50"/>
    <w:rsid w:val="005F60F3"/>
    <w:rsid w:val="005F614E"/>
    <w:rsid w:val="005F66D4"/>
    <w:rsid w:val="005F66E0"/>
    <w:rsid w:val="005F6C09"/>
    <w:rsid w:val="005F70E6"/>
    <w:rsid w:val="005F71E6"/>
    <w:rsid w:val="005F776B"/>
    <w:rsid w:val="005F7877"/>
    <w:rsid w:val="005F7B80"/>
    <w:rsid w:val="005F7E40"/>
    <w:rsid w:val="005F7E96"/>
    <w:rsid w:val="005F7F29"/>
    <w:rsid w:val="005F7F38"/>
    <w:rsid w:val="005F7FA8"/>
    <w:rsid w:val="00600015"/>
    <w:rsid w:val="00600063"/>
    <w:rsid w:val="00600099"/>
    <w:rsid w:val="006000B0"/>
    <w:rsid w:val="00600229"/>
    <w:rsid w:val="00600411"/>
    <w:rsid w:val="006005BB"/>
    <w:rsid w:val="006008E0"/>
    <w:rsid w:val="00600926"/>
    <w:rsid w:val="00600A39"/>
    <w:rsid w:val="00600B6A"/>
    <w:rsid w:val="00600C4A"/>
    <w:rsid w:val="00600C81"/>
    <w:rsid w:val="00600F4F"/>
    <w:rsid w:val="00601635"/>
    <w:rsid w:val="00601869"/>
    <w:rsid w:val="006018C2"/>
    <w:rsid w:val="00601CD1"/>
    <w:rsid w:val="00602036"/>
    <w:rsid w:val="006021E3"/>
    <w:rsid w:val="0060224A"/>
    <w:rsid w:val="0060237C"/>
    <w:rsid w:val="006024D3"/>
    <w:rsid w:val="006025CB"/>
    <w:rsid w:val="00602BE9"/>
    <w:rsid w:val="00602C88"/>
    <w:rsid w:val="00602F99"/>
    <w:rsid w:val="00603238"/>
    <w:rsid w:val="006033D2"/>
    <w:rsid w:val="00603A2B"/>
    <w:rsid w:val="00603A6C"/>
    <w:rsid w:val="00603AFE"/>
    <w:rsid w:val="00603B6F"/>
    <w:rsid w:val="0060402F"/>
    <w:rsid w:val="00604067"/>
    <w:rsid w:val="0060423E"/>
    <w:rsid w:val="0060433C"/>
    <w:rsid w:val="00604389"/>
    <w:rsid w:val="00604453"/>
    <w:rsid w:val="006050E7"/>
    <w:rsid w:val="006053B0"/>
    <w:rsid w:val="006053C9"/>
    <w:rsid w:val="006057A3"/>
    <w:rsid w:val="00605824"/>
    <w:rsid w:val="0060598E"/>
    <w:rsid w:val="00605A52"/>
    <w:rsid w:val="00605ED9"/>
    <w:rsid w:val="00605EE9"/>
    <w:rsid w:val="00606056"/>
    <w:rsid w:val="00606187"/>
    <w:rsid w:val="00606676"/>
    <w:rsid w:val="006067CD"/>
    <w:rsid w:val="00606B54"/>
    <w:rsid w:val="00606DF4"/>
    <w:rsid w:val="00606EF9"/>
    <w:rsid w:val="00606F1F"/>
    <w:rsid w:val="0060706A"/>
    <w:rsid w:val="0060718C"/>
    <w:rsid w:val="0060744E"/>
    <w:rsid w:val="00607758"/>
    <w:rsid w:val="00607C81"/>
    <w:rsid w:val="00607D37"/>
    <w:rsid w:val="00607D40"/>
    <w:rsid w:val="00607D6B"/>
    <w:rsid w:val="00607D9A"/>
    <w:rsid w:val="00607EBA"/>
    <w:rsid w:val="00607F05"/>
    <w:rsid w:val="00607F79"/>
    <w:rsid w:val="00610146"/>
    <w:rsid w:val="00610478"/>
    <w:rsid w:val="00610582"/>
    <w:rsid w:val="00610674"/>
    <w:rsid w:val="006106DC"/>
    <w:rsid w:val="00610706"/>
    <w:rsid w:val="0061089A"/>
    <w:rsid w:val="00610D5E"/>
    <w:rsid w:val="00610EB6"/>
    <w:rsid w:val="00610F53"/>
    <w:rsid w:val="006110E3"/>
    <w:rsid w:val="006110E8"/>
    <w:rsid w:val="006111B2"/>
    <w:rsid w:val="006112E3"/>
    <w:rsid w:val="00611744"/>
    <w:rsid w:val="00611BA7"/>
    <w:rsid w:val="00611C6B"/>
    <w:rsid w:val="00611E3A"/>
    <w:rsid w:val="00611EB2"/>
    <w:rsid w:val="00612295"/>
    <w:rsid w:val="00612641"/>
    <w:rsid w:val="006127DA"/>
    <w:rsid w:val="0061284A"/>
    <w:rsid w:val="006129C4"/>
    <w:rsid w:val="00612C77"/>
    <w:rsid w:val="00612D29"/>
    <w:rsid w:val="00612EBC"/>
    <w:rsid w:val="00612EFD"/>
    <w:rsid w:val="00613121"/>
    <w:rsid w:val="0061319E"/>
    <w:rsid w:val="0061323E"/>
    <w:rsid w:val="00613467"/>
    <w:rsid w:val="00613494"/>
    <w:rsid w:val="00613512"/>
    <w:rsid w:val="00613668"/>
    <w:rsid w:val="00613756"/>
    <w:rsid w:val="00613C12"/>
    <w:rsid w:val="00613E06"/>
    <w:rsid w:val="00614050"/>
    <w:rsid w:val="00614080"/>
    <w:rsid w:val="00614241"/>
    <w:rsid w:val="006143F8"/>
    <w:rsid w:val="00614A18"/>
    <w:rsid w:val="00614BAE"/>
    <w:rsid w:val="00614C2A"/>
    <w:rsid w:val="00614E7C"/>
    <w:rsid w:val="00615167"/>
    <w:rsid w:val="006152B2"/>
    <w:rsid w:val="00615649"/>
    <w:rsid w:val="0061585E"/>
    <w:rsid w:val="006158C6"/>
    <w:rsid w:val="00615AB7"/>
    <w:rsid w:val="00615BB3"/>
    <w:rsid w:val="00615CF2"/>
    <w:rsid w:val="00615EEC"/>
    <w:rsid w:val="00616553"/>
    <w:rsid w:val="0061655A"/>
    <w:rsid w:val="00616BB6"/>
    <w:rsid w:val="00616C56"/>
    <w:rsid w:val="00616DF8"/>
    <w:rsid w:val="00616E8E"/>
    <w:rsid w:val="00616EB3"/>
    <w:rsid w:val="00616F61"/>
    <w:rsid w:val="006170E8"/>
    <w:rsid w:val="0061782C"/>
    <w:rsid w:val="00617B8A"/>
    <w:rsid w:val="00617D6B"/>
    <w:rsid w:val="006200E5"/>
    <w:rsid w:val="0062017C"/>
    <w:rsid w:val="0062027A"/>
    <w:rsid w:val="00620310"/>
    <w:rsid w:val="00620521"/>
    <w:rsid w:val="00620535"/>
    <w:rsid w:val="00620847"/>
    <w:rsid w:val="00620A81"/>
    <w:rsid w:val="00620A88"/>
    <w:rsid w:val="00620AE7"/>
    <w:rsid w:val="00621832"/>
    <w:rsid w:val="006218B2"/>
    <w:rsid w:val="00621931"/>
    <w:rsid w:val="006219BA"/>
    <w:rsid w:val="00621C18"/>
    <w:rsid w:val="00621E04"/>
    <w:rsid w:val="00621F5F"/>
    <w:rsid w:val="00621F7E"/>
    <w:rsid w:val="00622062"/>
    <w:rsid w:val="0062214A"/>
    <w:rsid w:val="006227CC"/>
    <w:rsid w:val="00622A08"/>
    <w:rsid w:val="00622DD2"/>
    <w:rsid w:val="00622EDE"/>
    <w:rsid w:val="00622FAF"/>
    <w:rsid w:val="00623092"/>
    <w:rsid w:val="006230C5"/>
    <w:rsid w:val="00623454"/>
    <w:rsid w:val="0062398E"/>
    <w:rsid w:val="006239CC"/>
    <w:rsid w:val="00623BA7"/>
    <w:rsid w:val="00623C98"/>
    <w:rsid w:val="00623D0B"/>
    <w:rsid w:val="00623FD1"/>
    <w:rsid w:val="006240FF"/>
    <w:rsid w:val="00624315"/>
    <w:rsid w:val="00624322"/>
    <w:rsid w:val="00624366"/>
    <w:rsid w:val="006245AB"/>
    <w:rsid w:val="00624601"/>
    <w:rsid w:val="00624778"/>
    <w:rsid w:val="00624A75"/>
    <w:rsid w:val="00624B8F"/>
    <w:rsid w:val="00624D3A"/>
    <w:rsid w:val="00624D6F"/>
    <w:rsid w:val="00624FD7"/>
    <w:rsid w:val="0062502D"/>
    <w:rsid w:val="0062545B"/>
    <w:rsid w:val="0062552A"/>
    <w:rsid w:val="00625690"/>
    <w:rsid w:val="006257DC"/>
    <w:rsid w:val="006258CF"/>
    <w:rsid w:val="00625901"/>
    <w:rsid w:val="00625ADB"/>
    <w:rsid w:val="00625D5E"/>
    <w:rsid w:val="00625F3B"/>
    <w:rsid w:val="0062601C"/>
    <w:rsid w:val="00626242"/>
    <w:rsid w:val="00626297"/>
    <w:rsid w:val="0062637D"/>
    <w:rsid w:val="0062640B"/>
    <w:rsid w:val="00626853"/>
    <w:rsid w:val="00626EB2"/>
    <w:rsid w:val="00626F1A"/>
    <w:rsid w:val="00626FE6"/>
    <w:rsid w:val="00626FEF"/>
    <w:rsid w:val="00627021"/>
    <w:rsid w:val="006271A8"/>
    <w:rsid w:val="0062726F"/>
    <w:rsid w:val="0062733B"/>
    <w:rsid w:val="00627374"/>
    <w:rsid w:val="00627527"/>
    <w:rsid w:val="00627A15"/>
    <w:rsid w:val="00627C07"/>
    <w:rsid w:val="00627C4E"/>
    <w:rsid w:val="00627CBD"/>
    <w:rsid w:val="0063021A"/>
    <w:rsid w:val="006302E2"/>
    <w:rsid w:val="00630349"/>
    <w:rsid w:val="00630496"/>
    <w:rsid w:val="00630594"/>
    <w:rsid w:val="00630790"/>
    <w:rsid w:val="00630803"/>
    <w:rsid w:val="00630877"/>
    <w:rsid w:val="00630ACF"/>
    <w:rsid w:val="00630AF8"/>
    <w:rsid w:val="00630B97"/>
    <w:rsid w:val="00630CAD"/>
    <w:rsid w:val="0063113C"/>
    <w:rsid w:val="006311AB"/>
    <w:rsid w:val="00631213"/>
    <w:rsid w:val="006313D9"/>
    <w:rsid w:val="00631648"/>
    <w:rsid w:val="0063164B"/>
    <w:rsid w:val="006316FB"/>
    <w:rsid w:val="00631C87"/>
    <w:rsid w:val="00631CBF"/>
    <w:rsid w:val="00631FDD"/>
    <w:rsid w:val="006322AA"/>
    <w:rsid w:val="00632371"/>
    <w:rsid w:val="00632A92"/>
    <w:rsid w:val="00632B4D"/>
    <w:rsid w:val="00632E37"/>
    <w:rsid w:val="00632EA9"/>
    <w:rsid w:val="00633169"/>
    <w:rsid w:val="006332BE"/>
    <w:rsid w:val="006332D8"/>
    <w:rsid w:val="006333C5"/>
    <w:rsid w:val="006337B3"/>
    <w:rsid w:val="00633A27"/>
    <w:rsid w:val="00633D37"/>
    <w:rsid w:val="00633F74"/>
    <w:rsid w:val="006340BC"/>
    <w:rsid w:val="006343C0"/>
    <w:rsid w:val="006348E4"/>
    <w:rsid w:val="00634C7E"/>
    <w:rsid w:val="006351EC"/>
    <w:rsid w:val="00635451"/>
    <w:rsid w:val="00635514"/>
    <w:rsid w:val="0063554C"/>
    <w:rsid w:val="00635AA7"/>
    <w:rsid w:val="00635AB4"/>
    <w:rsid w:val="00635F20"/>
    <w:rsid w:val="00636078"/>
    <w:rsid w:val="006361A1"/>
    <w:rsid w:val="00636257"/>
    <w:rsid w:val="00636379"/>
    <w:rsid w:val="006365EB"/>
    <w:rsid w:val="00636647"/>
    <w:rsid w:val="0063666D"/>
    <w:rsid w:val="00636805"/>
    <w:rsid w:val="0063680C"/>
    <w:rsid w:val="00636B9D"/>
    <w:rsid w:val="00636D93"/>
    <w:rsid w:val="00636DA5"/>
    <w:rsid w:val="00636F13"/>
    <w:rsid w:val="00636F53"/>
    <w:rsid w:val="00637544"/>
    <w:rsid w:val="00637761"/>
    <w:rsid w:val="00637A0F"/>
    <w:rsid w:val="00637C5B"/>
    <w:rsid w:val="00637DCC"/>
    <w:rsid w:val="00637EB2"/>
    <w:rsid w:val="00640023"/>
    <w:rsid w:val="0064003B"/>
    <w:rsid w:val="0064024C"/>
    <w:rsid w:val="006404B1"/>
    <w:rsid w:val="00640574"/>
    <w:rsid w:val="0064060F"/>
    <w:rsid w:val="006408C3"/>
    <w:rsid w:val="00640A40"/>
    <w:rsid w:val="00640DAB"/>
    <w:rsid w:val="00640E65"/>
    <w:rsid w:val="006413B4"/>
    <w:rsid w:val="00641561"/>
    <w:rsid w:val="00641665"/>
    <w:rsid w:val="006416F4"/>
    <w:rsid w:val="006418D1"/>
    <w:rsid w:val="0064198A"/>
    <w:rsid w:val="00641C2B"/>
    <w:rsid w:val="00641F9D"/>
    <w:rsid w:val="00641FEF"/>
    <w:rsid w:val="006421DC"/>
    <w:rsid w:val="00642293"/>
    <w:rsid w:val="006422DD"/>
    <w:rsid w:val="006428AF"/>
    <w:rsid w:val="00642900"/>
    <w:rsid w:val="0064290C"/>
    <w:rsid w:val="00642996"/>
    <w:rsid w:val="00642AA5"/>
    <w:rsid w:val="00642C61"/>
    <w:rsid w:val="00642E52"/>
    <w:rsid w:val="00642E92"/>
    <w:rsid w:val="00642E98"/>
    <w:rsid w:val="00642F97"/>
    <w:rsid w:val="0064344A"/>
    <w:rsid w:val="006436B7"/>
    <w:rsid w:val="006437E3"/>
    <w:rsid w:val="00643CE6"/>
    <w:rsid w:val="00643F98"/>
    <w:rsid w:val="00644122"/>
    <w:rsid w:val="006442A5"/>
    <w:rsid w:val="00644498"/>
    <w:rsid w:val="00644834"/>
    <w:rsid w:val="0064485F"/>
    <w:rsid w:val="006448C0"/>
    <w:rsid w:val="00644B1E"/>
    <w:rsid w:val="00644B9E"/>
    <w:rsid w:val="00644BEA"/>
    <w:rsid w:val="00644E3E"/>
    <w:rsid w:val="006452B3"/>
    <w:rsid w:val="0064547E"/>
    <w:rsid w:val="006454BB"/>
    <w:rsid w:val="006455FF"/>
    <w:rsid w:val="00645879"/>
    <w:rsid w:val="006458B6"/>
    <w:rsid w:val="00645AB3"/>
    <w:rsid w:val="00645C35"/>
    <w:rsid w:val="00645E3D"/>
    <w:rsid w:val="00645FCA"/>
    <w:rsid w:val="0064620D"/>
    <w:rsid w:val="006463A5"/>
    <w:rsid w:val="006463D3"/>
    <w:rsid w:val="00646471"/>
    <w:rsid w:val="0064677A"/>
    <w:rsid w:val="006468C1"/>
    <w:rsid w:val="00646ADB"/>
    <w:rsid w:val="00646DBC"/>
    <w:rsid w:val="00646E4F"/>
    <w:rsid w:val="00647019"/>
    <w:rsid w:val="0064719A"/>
    <w:rsid w:val="00647244"/>
    <w:rsid w:val="006474CB"/>
    <w:rsid w:val="00647784"/>
    <w:rsid w:val="006501CB"/>
    <w:rsid w:val="006506AF"/>
    <w:rsid w:val="006509EF"/>
    <w:rsid w:val="00650B1A"/>
    <w:rsid w:val="00650F8D"/>
    <w:rsid w:val="00650FCE"/>
    <w:rsid w:val="006510EB"/>
    <w:rsid w:val="006517EB"/>
    <w:rsid w:val="00651861"/>
    <w:rsid w:val="006518B3"/>
    <w:rsid w:val="006518C5"/>
    <w:rsid w:val="006519DF"/>
    <w:rsid w:val="00651CCE"/>
    <w:rsid w:val="00651D27"/>
    <w:rsid w:val="00651E78"/>
    <w:rsid w:val="00651EE5"/>
    <w:rsid w:val="0065226B"/>
    <w:rsid w:val="006525BD"/>
    <w:rsid w:val="00652803"/>
    <w:rsid w:val="00652B9E"/>
    <w:rsid w:val="00652DAC"/>
    <w:rsid w:val="00652EE5"/>
    <w:rsid w:val="00653434"/>
    <w:rsid w:val="0065378D"/>
    <w:rsid w:val="00653A5D"/>
    <w:rsid w:val="00653F26"/>
    <w:rsid w:val="00653F4E"/>
    <w:rsid w:val="0065406B"/>
    <w:rsid w:val="0065442D"/>
    <w:rsid w:val="006544C0"/>
    <w:rsid w:val="006545E6"/>
    <w:rsid w:val="0065479E"/>
    <w:rsid w:val="00654C2A"/>
    <w:rsid w:val="00654D78"/>
    <w:rsid w:val="00655158"/>
    <w:rsid w:val="006552B0"/>
    <w:rsid w:val="006553A2"/>
    <w:rsid w:val="006554ED"/>
    <w:rsid w:val="006555F0"/>
    <w:rsid w:val="006557DD"/>
    <w:rsid w:val="00655BF4"/>
    <w:rsid w:val="00655CCF"/>
    <w:rsid w:val="006564AE"/>
    <w:rsid w:val="006566A4"/>
    <w:rsid w:val="006568AF"/>
    <w:rsid w:val="00656A27"/>
    <w:rsid w:val="00656BAC"/>
    <w:rsid w:val="00656C3D"/>
    <w:rsid w:val="00656D0B"/>
    <w:rsid w:val="00656D87"/>
    <w:rsid w:val="00656F37"/>
    <w:rsid w:val="00657035"/>
    <w:rsid w:val="006574E0"/>
    <w:rsid w:val="0065751F"/>
    <w:rsid w:val="006575D7"/>
    <w:rsid w:val="0065770C"/>
    <w:rsid w:val="00657754"/>
    <w:rsid w:val="006578F2"/>
    <w:rsid w:val="0065795C"/>
    <w:rsid w:val="00657A35"/>
    <w:rsid w:val="0066015A"/>
    <w:rsid w:val="0066046E"/>
    <w:rsid w:val="00660794"/>
    <w:rsid w:val="006609C7"/>
    <w:rsid w:val="00660A2A"/>
    <w:rsid w:val="00660BDF"/>
    <w:rsid w:val="00660C40"/>
    <w:rsid w:val="00660F8D"/>
    <w:rsid w:val="006612E6"/>
    <w:rsid w:val="0066130D"/>
    <w:rsid w:val="006614A5"/>
    <w:rsid w:val="006618AA"/>
    <w:rsid w:val="006618BC"/>
    <w:rsid w:val="0066197F"/>
    <w:rsid w:val="00661BC3"/>
    <w:rsid w:val="00661BCA"/>
    <w:rsid w:val="00661D25"/>
    <w:rsid w:val="00661D5A"/>
    <w:rsid w:val="00661E06"/>
    <w:rsid w:val="00661E82"/>
    <w:rsid w:val="006620D0"/>
    <w:rsid w:val="006621B9"/>
    <w:rsid w:val="00662435"/>
    <w:rsid w:val="006624B7"/>
    <w:rsid w:val="00662DFF"/>
    <w:rsid w:val="0066308C"/>
    <w:rsid w:val="00663221"/>
    <w:rsid w:val="006634D7"/>
    <w:rsid w:val="006636A0"/>
    <w:rsid w:val="006636F7"/>
    <w:rsid w:val="00663A5C"/>
    <w:rsid w:val="00664356"/>
    <w:rsid w:val="00664BE7"/>
    <w:rsid w:val="00664E77"/>
    <w:rsid w:val="00665125"/>
    <w:rsid w:val="00665213"/>
    <w:rsid w:val="00665353"/>
    <w:rsid w:val="0066537D"/>
    <w:rsid w:val="006657BD"/>
    <w:rsid w:val="006657E6"/>
    <w:rsid w:val="0066587D"/>
    <w:rsid w:val="00665D7C"/>
    <w:rsid w:val="00665FC6"/>
    <w:rsid w:val="00665FF7"/>
    <w:rsid w:val="00666004"/>
    <w:rsid w:val="006662B0"/>
    <w:rsid w:val="00666396"/>
    <w:rsid w:val="006664E7"/>
    <w:rsid w:val="0066667B"/>
    <w:rsid w:val="006669B2"/>
    <w:rsid w:val="00666DB7"/>
    <w:rsid w:val="00666E78"/>
    <w:rsid w:val="00667104"/>
    <w:rsid w:val="006671BD"/>
    <w:rsid w:val="0066751F"/>
    <w:rsid w:val="006676E3"/>
    <w:rsid w:val="006676FD"/>
    <w:rsid w:val="00667846"/>
    <w:rsid w:val="00667926"/>
    <w:rsid w:val="00667965"/>
    <w:rsid w:val="00667A2F"/>
    <w:rsid w:val="00667B00"/>
    <w:rsid w:val="00667C0C"/>
    <w:rsid w:val="00667CBF"/>
    <w:rsid w:val="00667D46"/>
    <w:rsid w:val="0067034B"/>
    <w:rsid w:val="0067064F"/>
    <w:rsid w:val="00671225"/>
    <w:rsid w:val="006718A3"/>
    <w:rsid w:val="006718CD"/>
    <w:rsid w:val="00671E7D"/>
    <w:rsid w:val="00671EF8"/>
    <w:rsid w:val="00672120"/>
    <w:rsid w:val="00672285"/>
    <w:rsid w:val="00672325"/>
    <w:rsid w:val="0067262B"/>
    <w:rsid w:val="00672729"/>
    <w:rsid w:val="00672814"/>
    <w:rsid w:val="0067327D"/>
    <w:rsid w:val="00673352"/>
    <w:rsid w:val="006735A5"/>
    <w:rsid w:val="00673640"/>
    <w:rsid w:val="0067371F"/>
    <w:rsid w:val="006737A7"/>
    <w:rsid w:val="00673843"/>
    <w:rsid w:val="00673A50"/>
    <w:rsid w:val="00673A7A"/>
    <w:rsid w:val="00673C3A"/>
    <w:rsid w:val="00673D2F"/>
    <w:rsid w:val="00673DB2"/>
    <w:rsid w:val="006742ED"/>
    <w:rsid w:val="006744AA"/>
    <w:rsid w:val="00674927"/>
    <w:rsid w:val="00675022"/>
    <w:rsid w:val="0067551A"/>
    <w:rsid w:val="00675792"/>
    <w:rsid w:val="00675C43"/>
    <w:rsid w:val="00675EEB"/>
    <w:rsid w:val="006760F7"/>
    <w:rsid w:val="0067613B"/>
    <w:rsid w:val="00676C85"/>
    <w:rsid w:val="00676DD6"/>
    <w:rsid w:val="00676E15"/>
    <w:rsid w:val="00676F4E"/>
    <w:rsid w:val="00676F51"/>
    <w:rsid w:val="006770A7"/>
    <w:rsid w:val="006770D5"/>
    <w:rsid w:val="00677246"/>
    <w:rsid w:val="0067771E"/>
    <w:rsid w:val="00677C04"/>
    <w:rsid w:val="00677DAA"/>
    <w:rsid w:val="00677F9C"/>
    <w:rsid w:val="0068075C"/>
    <w:rsid w:val="006807C9"/>
    <w:rsid w:val="00680906"/>
    <w:rsid w:val="00680ACE"/>
    <w:rsid w:val="00680E44"/>
    <w:rsid w:val="00680F1D"/>
    <w:rsid w:val="0068138F"/>
    <w:rsid w:val="0068151A"/>
    <w:rsid w:val="00681522"/>
    <w:rsid w:val="006815A9"/>
    <w:rsid w:val="0068188A"/>
    <w:rsid w:val="00681C5B"/>
    <w:rsid w:val="00681C60"/>
    <w:rsid w:val="00681DAC"/>
    <w:rsid w:val="00681E2E"/>
    <w:rsid w:val="00681F0A"/>
    <w:rsid w:val="0068200E"/>
    <w:rsid w:val="006823D0"/>
    <w:rsid w:val="00682AB6"/>
    <w:rsid w:val="00682D7A"/>
    <w:rsid w:val="00682E6D"/>
    <w:rsid w:val="00683061"/>
    <w:rsid w:val="0068320E"/>
    <w:rsid w:val="00683382"/>
    <w:rsid w:val="0068356B"/>
    <w:rsid w:val="0068368C"/>
    <w:rsid w:val="00683753"/>
    <w:rsid w:val="0068379F"/>
    <w:rsid w:val="00683CE7"/>
    <w:rsid w:val="00683D4D"/>
    <w:rsid w:val="00683F45"/>
    <w:rsid w:val="00683F83"/>
    <w:rsid w:val="0068422F"/>
    <w:rsid w:val="0068446B"/>
    <w:rsid w:val="00684753"/>
    <w:rsid w:val="00684754"/>
    <w:rsid w:val="00684B2B"/>
    <w:rsid w:val="00684C04"/>
    <w:rsid w:val="00684DA1"/>
    <w:rsid w:val="00684FE5"/>
    <w:rsid w:val="006851C2"/>
    <w:rsid w:val="00685242"/>
    <w:rsid w:val="00685527"/>
    <w:rsid w:val="0068562F"/>
    <w:rsid w:val="00685ED7"/>
    <w:rsid w:val="0068650C"/>
    <w:rsid w:val="006865D0"/>
    <w:rsid w:val="0068665D"/>
    <w:rsid w:val="00686877"/>
    <w:rsid w:val="00686912"/>
    <w:rsid w:val="00686969"/>
    <w:rsid w:val="00686A71"/>
    <w:rsid w:val="00686FE1"/>
    <w:rsid w:val="006871A1"/>
    <w:rsid w:val="00687572"/>
    <w:rsid w:val="0068799B"/>
    <w:rsid w:val="00690083"/>
    <w:rsid w:val="00690175"/>
    <w:rsid w:val="0069019F"/>
    <w:rsid w:val="0069046C"/>
    <w:rsid w:val="00690678"/>
    <w:rsid w:val="00690681"/>
    <w:rsid w:val="006907F6"/>
    <w:rsid w:val="00690872"/>
    <w:rsid w:val="00690988"/>
    <w:rsid w:val="00690B83"/>
    <w:rsid w:val="00690D28"/>
    <w:rsid w:val="00690E1B"/>
    <w:rsid w:val="0069123E"/>
    <w:rsid w:val="006912D5"/>
    <w:rsid w:val="00691677"/>
    <w:rsid w:val="00691913"/>
    <w:rsid w:val="006919D7"/>
    <w:rsid w:val="00692000"/>
    <w:rsid w:val="00692233"/>
    <w:rsid w:val="0069237B"/>
    <w:rsid w:val="0069278B"/>
    <w:rsid w:val="00692934"/>
    <w:rsid w:val="00692F6D"/>
    <w:rsid w:val="00693358"/>
    <w:rsid w:val="00693399"/>
    <w:rsid w:val="00693869"/>
    <w:rsid w:val="00693971"/>
    <w:rsid w:val="00693977"/>
    <w:rsid w:val="00693C35"/>
    <w:rsid w:val="00693DC3"/>
    <w:rsid w:val="00693E28"/>
    <w:rsid w:val="006942AF"/>
    <w:rsid w:val="00694434"/>
    <w:rsid w:val="0069459C"/>
    <w:rsid w:val="00694AE2"/>
    <w:rsid w:val="00694BA1"/>
    <w:rsid w:val="00694DC9"/>
    <w:rsid w:val="00695000"/>
    <w:rsid w:val="0069506B"/>
    <w:rsid w:val="00695294"/>
    <w:rsid w:val="0069541F"/>
    <w:rsid w:val="0069565F"/>
    <w:rsid w:val="0069589F"/>
    <w:rsid w:val="00695906"/>
    <w:rsid w:val="00695B03"/>
    <w:rsid w:val="00695DA2"/>
    <w:rsid w:val="00696072"/>
    <w:rsid w:val="0069619F"/>
    <w:rsid w:val="006969CC"/>
    <w:rsid w:val="006969F2"/>
    <w:rsid w:val="00696BBD"/>
    <w:rsid w:val="00696CAF"/>
    <w:rsid w:val="00696F95"/>
    <w:rsid w:val="006971AB"/>
    <w:rsid w:val="0069739B"/>
    <w:rsid w:val="0069762E"/>
    <w:rsid w:val="00697898"/>
    <w:rsid w:val="00697DC4"/>
    <w:rsid w:val="00697F14"/>
    <w:rsid w:val="006A00F0"/>
    <w:rsid w:val="006A0596"/>
    <w:rsid w:val="006A0AB9"/>
    <w:rsid w:val="006A0DD1"/>
    <w:rsid w:val="006A0E17"/>
    <w:rsid w:val="006A138B"/>
    <w:rsid w:val="006A14D1"/>
    <w:rsid w:val="006A1569"/>
    <w:rsid w:val="006A15B9"/>
    <w:rsid w:val="006A18BB"/>
    <w:rsid w:val="006A1A82"/>
    <w:rsid w:val="006A1CC6"/>
    <w:rsid w:val="006A1D49"/>
    <w:rsid w:val="006A1DD1"/>
    <w:rsid w:val="006A221F"/>
    <w:rsid w:val="006A22FC"/>
    <w:rsid w:val="006A239A"/>
    <w:rsid w:val="006A23E5"/>
    <w:rsid w:val="006A2543"/>
    <w:rsid w:val="006A26F6"/>
    <w:rsid w:val="006A2F70"/>
    <w:rsid w:val="006A3201"/>
    <w:rsid w:val="006A3388"/>
    <w:rsid w:val="006A397D"/>
    <w:rsid w:val="006A3EBE"/>
    <w:rsid w:val="006A40C0"/>
    <w:rsid w:val="006A46C1"/>
    <w:rsid w:val="006A4AE9"/>
    <w:rsid w:val="006A4C42"/>
    <w:rsid w:val="006A4D02"/>
    <w:rsid w:val="006A56AC"/>
    <w:rsid w:val="006A5A7B"/>
    <w:rsid w:val="006A612C"/>
    <w:rsid w:val="006A6243"/>
    <w:rsid w:val="006A6295"/>
    <w:rsid w:val="006A67B1"/>
    <w:rsid w:val="006A6B3B"/>
    <w:rsid w:val="006A6C80"/>
    <w:rsid w:val="006A6D83"/>
    <w:rsid w:val="006A6DA8"/>
    <w:rsid w:val="006A6DC8"/>
    <w:rsid w:val="006A711F"/>
    <w:rsid w:val="006A769E"/>
    <w:rsid w:val="006A7706"/>
    <w:rsid w:val="006A77D5"/>
    <w:rsid w:val="006A78D7"/>
    <w:rsid w:val="006A7BA7"/>
    <w:rsid w:val="006A7CED"/>
    <w:rsid w:val="006A7D99"/>
    <w:rsid w:val="006B009D"/>
    <w:rsid w:val="006B046D"/>
    <w:rsid w:val="006B0480"/>
    <w:rsid w:val="006B0567"/>
    <w:rsid w:val="006B069D"/>
    <w:rsid w:val="006B0B7D"/>
    <w:rsid w:val="006B0C03"/>
    <w:rsid w:val="006B0FC1"/>
    <w:rsid w:val="006B1374"/>
    <w:rsid w:val="006B140A"/>
    <w:rsid w:val="006B188D"/>
    <w:rsid w:val="006B2417"/>
    <w:rsid w:val="006B249C"/>
    <w:rsid w:val="006B24C3"/>
    <w:rsid w:val="006B2572"/>
    <w:rsid w:val="006B2CEF"/>
    <w:rsid w:val="006B2DFA"/>
    <w:rsid w:val="006B2E25"/>
    <w:rsid w:val="006B2ED2"/>
    <w:rsid w:val="006B32AD"/>
    <w:rsid w:val="006B33EE"/>
    <w:rsid w:val="006B3728"/>
    <w:rsid w:val="006B37F4"/>
    <w:rsid w:val="006B3B52"/>
    <w:rsid w:val="006B472D"/>
    <w:rsid w:val="006B47D1"/>
    <w:rsid w:val="006B48C7"/>
    <w:rsid w:val="006B4C72"/>
    <w:rsid w:val="006B4F5C"/>
    <w:rsid w:val="006B53A7"/>
    <w:rsid w:val="006B5708"/>
    <w:rsid w:val="006B5B1A"/>
    <w:rsid w:val="006B5C76"/>
    <w:rsid w:val="006B5CE1"/>
    <w:rsid w:val="006B5CE5"/>
    <w:rsid w:val="006B5D20"/>
    <w:rsid w:val="006B5D29"/>
    <w:rsid w:val="006B6044"/>
    <w:rsid w:val="006B6872"/>
    <w:rsid w:val="006B6AAD"/>
    <w:rsid w:val="006B6BD1"/>
    <w:rsid w:val="006B6DE4"/>
    <w:rsid w:val="006B6FA2"/>
    <w:rsid w:val="006B71A2"/>
    <w:rsid w:val="006B75A2"/>
    <w:rsid w:val="006B7628"/>
    <w:rsid w:val="006B7A85"/>
    <w:rsid w:val="006B7FCF"/>
    <w:rsid w:val="006B7FE6"/>
    <w:rsid w:val="006C0025"/>
    <w:rsid w:val="006C014A"/>
    <w:rsid w:val="006C029B"/>
    <w:rsid w:val="006C06D7"/>
    <w:rsid w:val="006C08BB"/>
    <w:rsid w:val="006C08C9"/>
    <w:rsid w:val="006C08DF"/>
    <w:rsid w:val="006C0935"/>
    <w:rsid w:val="006C0974"/>
    <w:rsid w:val="006C0A7F"/>
    <w:rsid w:val="006C0C28"/>
    <w:rsid w:val="006C0DD3"/>
    <w:rsid w:val="006C0F5F"/>
    <w:rsid w:val="006C11DB"/>
    <w:rsid w:val="006C1271"/>
    <w:rsid w:val="006C162B"/>
    <w:rsid w:val="006C17EC"/>
    <w:rsid w:val="006C23AB"/>
    <w:rsid w:val="006C257D"/>
    <w:rsid w:val="006C2723"/>
    <w:rsid w:val="006C29A1"/>
    <w:rsid w:val="006C2C76"/>
    <w:rsid w:val="006C2DE8"/>
    <w:rsid w:val="006C318F"/>
    <w:rsid w:val="006C325E"/>
    <w:rsid w:val="006C32E8"/>
    <w:rsid w:val="006C35DE"/>
    <w:rsid w:val="006C36CA"/>
    <w:rsid w:val="006C36D2"/>
    <w:rsid w:val="006C3865"/>
    <w:rsid w:val="006C39BE"/>
    <w:rsid w:val="006C39D8"/>
    <w:rsid w:val="006C3DB1"/>
    <w:rsid w:val="006C3EBE"/>
    <w:rsid w:val="006C4126"/>
    <w:rsid w:val="006C4906"/>
    <w:rsid w:val="006C4AEA"/>
    <w:rsid w:val="006C4BDF"/>
    <w:rsid w:val="006C4C32"/>
    <w:rsid w:val="006C4CD6"/>
    <w:rsid w:val="006C4D0A"/>
    <w:rsid w:val="006C4E89"/>
    <w:rsid w:val="006C504B"/>
    <w:rsid w:val="006C514D"/>
    <w:rsid w:val="006C52BB"/>
    <w:rsid w:val="006C52BE"/>
    <w:rsid w:val="006C543E"/>
    <w:rsid w:val="006C5544"/>
    <w:rsid w:val="006C5A27"/>
    <w:rsid w:val="006C5C34"/>
    <w:rsid w:val="006C5DF4"/>
    <w:rsid w:val="006C5FE5"/>
    <w:rsid w:val="006C603F"/>
    <w:rsid w:val="006C63BE"/>
    <w:rsid w:val="006C6594"/>
    <w:rsid w:val="006C66CA"/>
    <w:rsid w:val="006C6AA6"/>
    <w:rsid w:val="006C6E29"/>
    <w:rsid w:val="006C6E78"/>
    <w:rsid w:val="006C735B"/>
    <w:rsid w:val="006C73CC"/>
    <w:rsid w:val="006C7609"/>
    <w:rsid w:val="006C7FA5"/>
    <w:rsid w:val="006D00C1"/>
    <w:rsid w:val="006D055F"/>
    <w:rsid w:val="006D0693"/>
    <w:rsid w:val="006D0A46"/>
    <w:rsid w:val="006D0B3F"/>
    <w:rsid w:val="006D0E57"/>
    <w:rsid w:val="006D1234"/>
    <w:rsid w:val="006D168B"/>
    <w:rsid w:val="006D1725"/>
    <w:rsid w:val="006D1917"/>
    <w:rsid w:val="006D1AE1"/>
    <w:rsid w:val="006D1B74"/>
    <w:rsid w:val="006D1C79"/>
    <w:rsid w:val="006D205B"/>
    <w:rsid w:val="006D263F"/>
    <w:rsid w:val="006D2941"/>
    <w:rsid w:val="006D3271"/>
    <w:rsid w:val="006D334A"/>
    <w:rsid w:val="006D33C5"/>
    <w:rsid w:val="006D33F0"/>
    <w:rsid w:val="006D3469"/>
    <w:rsid w:val="006D399E"/>
    <w:rsid w:val="006D3C84"/>
    <w:rsid w:val="006D4080"/>
    <w:rsid w:val="006D412F"/>
    <w:rsid w:val="006D46B6"/>
    <w:rsid w:val="006D4713"/>
    <w:rsid w:val="006D48D6"/>
    <w:rsid w:val="006D4CF8"/>
    <w:rsid w:val="006D4E1F"/>
    <w:rsid w:val="006D535C"/>
    <w:rsid w:val="006D548A"/>
    <w:rsid w:val="006D5678"/>
    <w:rsid w:val="006D58E6"/>
    <w:rsid w:val="006D5968"/>
    <w:rsid w:val="006D5D03"/>
    <w:rsid w:val="006D5F43"/>
    <w:rsid w:val="006D61BE"/>
    <w:rsid w:val="006D61F7"/>
    <w:rsid w:val="006D641E"/>
    <w:rsid w:val="006D6718"/>
    <w:rsid w:val="006D6853"/>
    <w:rsid w:val="006D6954"/>
    <w:rsid w:val="006D6B7E"/>
    <w:rsid w:val="006D7117"/>
    <w:rsid w:val="006D7321"/>
    <w:rsid w:val="006D738B"/>
    <w:rsid w:val="006D75FF"/>
    <w:rsid w:val="006D773F"/>
    <w:rsid w:val="006D7B28"/>
    <w:rsid w:val="006D7C21"/>
    <w:rsid w:val="006D7CC2"/>
    <w:rsid w:val="006D7D25"/>
    <w:rsid w:val="006D7FC3"/>
    <w:rsid w:val="006E002F"/>
    <w:rsid w:val="006E0090"/>
    <w:rsid w:val="006E04C6"/>
    <w:rsid w:val="006E04E6"/>
    <w:rsid w:val="006E0725"/>
    <w:rsid w:val="006E076C"/>
    <w:rsid w:val="006E0854"/>
    <w:rsid w:val="006E0BC7"/>
    <w:rsid w:val="006E0F7B"/>
    <w:rsid w:val="006E117A"/>
    <w:rsid w:val="006E1332"/>
    <w:rsid w:val="006E1362"/>
    <w:rsid w:val="006E18C5"/>
    <w:rsid w:val="006E191D"/>
    <w:rsid w:val="006E1971"/>
    <w:rsid w:val="006E1CCB"/>
    <w:rsid w:val="006E22F6"/>
    <w:rsid w:val="006E240F"/>
    <w:rsid w:val="006E245C"/>
    <w:rsid w:val="006E2599"/>
    <w:rsid w:val="006E25E6"/>
    <w:rsid w:val="006E2831"/>
    <w:rsid w:val="006E2FE4"/>
    <w:rsid w:val="006E3103"/>
    <w:rsid w:val="006E3291"/>
    <w:rsid w:val="006E3333"/>
    <w:rsid w:val="006E371C"/>
    <w:rsid w:val="006E3750"/>
    <w:rsid w:val="006E3816"/>
    <w:rsid w:val="006E3CBC"/>
    <w:rsid w:val="006E3E49"/>
    <w:rsid w:val="006E3E5E"/>
    <w:rsid w:val="006E4081"/>
    <w:rsid w:val="006E4264"/>
    <w:rsid w:val="006E439D"/>
    <w:rsid w:val="006E454F"/>
    <w:rsid w:val="006E4681"/>
    <w:rsid w:val="006E47CF"/>
    <w:rsid w:val="006E47DE"/>
    <w:rsid w:val="006E4B13"/>
    <w:rsid w:val="006E4BD1"/>
    <w:rsid w:val="006E4C64"/>
    <w:rsid w:val="006E4E3A"/>
    <w:rsid w:val="006E4EBB"/>
    <w:rsid w:val="006E4FD2"/>
    <w:rsid w:val="006E51D5"/>
    <w:rsid w:val="006E556D"/>
    <w:rsid w:val="006E592B"/>
    <w:rsid w:val="006E596E"/>
    <w:rsid w:val="006E5986"/>
    <w:rsid w:val="006E59EA"/>
    <w:rsid w:val="006E5A04"/>
    <w:rsid w:val="006E5CF2"/>
    <w:rsid w:val="006E5D94"/>
    <w:rsid w:val="006E5DB1"/>
    <w:rsid w:val="006E5DF7"/>
    <w:rsid w:val="006E60AB"/>
    <w:rsid w:val="006E61E1"/>
    <w:rsid w:val="006E653C"/>
    <w:rsid w:val="006E6741"/>
    <w:rsid w:val="006E67F5"/>
    <w:rsid w:val="006E687C"/>
    <w:rsid w:val="006E6BEF"/>
    <w:rsid w:val="006E6C24"/>
    <w:rsid w:val="006E6C74"/>
    <w:rsid w:val="006E6E4A"/>
    <w:rsid w:val="006E7042"/>
    <w:rsid w:val="006E719A"/>
    <w:rsid w:val="006E7302"/>
    <w:rsid w:val="006E76EA"/>
    <w:rsid w:val="006E78F0"/>
    <w:rsid w:val="006E7B45"/>
    <w:rsid w:val="006E7D28"/>
    <w:rsid w:val="006E7D49"/>
    <w:rsid w:val="006E7DE3"/>
    <w:rsid w:val="006E7F91"/>
    <w:rsid w:val="006F0178"/>
    <w:rsid w:val="006F0231"/>
    <w:rsid w:val="006F029B"/>
    <w:rsid w:val="006F03CD"/>
    <w:rsid w:val="006F0619"/>
    <w:rsid w:val="006F0632"/>
    <w:rsid w:val="006F0B60"/>
    <w:rsid w:val="006F0BC5"/>
    <w:rsid w:val="006F0F4C"/>
    <w:rsid w:val="006F1055"/>
    <w:rsid w:val="006F1224"/>
    <w:rsid w:val="006F161E"/>
    <w:rsid w:val="006F19D9"/>
    <w:rsid w:val="006F1BB3"/>
    <w:rsid w:val="006F1DED"/>
    <w:rsid w:val="006F1F0C"/>
    <w:rsid w:val="006F206F"/>
    <w:rsid w:val="006F21CC"/>
    <w:rsid w:val="006F272E"/>
    <w:rsid w:val="006F29C1"/>
    <w:rsid w:val="006F2BEE"/>
    <w:rsid w:val="006F2EED"/>
    <w:rsid w:val="006F2F8F"/>
    <w:rsid w:val="006F3102"/>
    <w:rsid w:val="006F31AF"/>
    <w:rsid w:val="006F327C"/>
    <w:rsid w:val="006F3435"/>
    <w:rsid w:val="006F350A"/>
    <w:rsid w:val="006F384D"/>
    <w:rsid w:val="006F3D9D"/>
    <w:rsid w:val="006F3FE4"/>
    <w:rsid w:val="006F419E"/>
    <w:rsid w:val="006F45C9"/>
    <w:rsid w:val="006F4775"/>
    <w:rsid w:val="006F4C25"/>
    <w:rsid w:val="006F4D87"/>
    <w:rsid w:val="006F533F"/>
    <w:rsid w:val="006F5441"/>
    <w:rsid w:val="006F5B54"/>
    <w:rsid w:val="006F5F30"/>
    <w:rsid w:val="006F5FC2"/>
    <w:rsid w:val="006F601E"/>
    <w:rsid w:val="006F608D"/>
    <w:rsid w:val="006F60E9"/>
    <w:rsid w:val="006F615E"/>
    <w:rsid w:val="006F633C"/>
    <w:rsid w:val="006F6365"/>
    <w:rsid w:val="006F636A"/>
    <w:rsid w:val="006F6402"/>
    <w:rsid w:val="006F6D91"/>
    <w:rsid w:val="006F6F7D"/>
    <w:rsid w:val="006F726F"/>
    <w:rsid w:val="006F72D2"/>
    <w:rsid w:val="006F76CD"/>
    <w:rsid w:val="006F775A"/>
    <w:rsid w:val="006F799C"/>
    <w:rsid w:val="006F7AAE"/>
    <w:rsid w:val="006F7DDD"/>
    <w:rsid w:val="006F7E28"/>
    <w:rsid w:val="007000FF"/>
    <w:rsid w:val="0070019E"/>
    <w:rsid w:val="00700658"/>
    <w:rsid w:val="00700698"/>
    <w:rsid w:val="00700702"/>
    <w:rsid w:val="00700819"/>
    <w:rsid w:val="007009CD"/>
    <w:rsid w:val="00700FE7"/>
    <w:rsid w:val="00701160"/>
    <w:rsid w:val="007012B5"/>
    <w:rsid w:val="0070140A"/>
    <w:rsid w:val="00701434"/>
    <w:rsid w:val="007019F6"/>
    <w:rsid w:val="00701D5A"/>
    <w:rsid w:val="00701DDA"/>
    <w:rsid w:val="00701DFD"/>
    <w:rsid w:val="007028A5"/>
    <w:rsid w:val="00702F5C"/>
    <w:rsid w:val="00703130"/>
    <w:rsid w:val="00703418"/>
    <w:rsid w:val="007034A0"/>
    <w:rsid w:val="00703691"/>
    <w:rsid w:val="0070379D"/>
    <w:rsid w:val="0070398E"/>
    <w:rsid w:val="0070419C"/>
    <w:rsid w:val="00704439"/>
    <w:rsid w:val="0070459F"/>
    <w:rsid w:val="007046C4"/>
    <w:rsid w:val="007046FB"/>
    <w:rsid w:val="007047B3"/>
    <w:rsid w:val="007047BC"/>
    <w:rsid w:val="0070484F"/>
    <w:rsid w:val="00704E3D"/>
    <w:rsid w:val="007052F1"/>
    <w:rsid w:val="0070564A"/>
    <w:rsid w:val="00705B89"/>
    <w:rsid w:val="00705CBC"/>
    <w:rsid w:val="007061AA"/>
    <w:rsid w:val="007062C2"/>
    <w:rsid w:val="00706318"/>
    <w:rsid w:val="007063D3"/>
    <w:rsid w:val="007065C5"/>
    <w:rsid w:val="00706875"/>
    <w:rsid w:val="00706A22"/>
    <w:rsid w:val="00706B2A"/>
    <w:rsid w:val="0070707E"/>
    <w:rsid w:val="007070A2"/>
    <w:rsid w:val="0070754A"/>
    <w:rsid w:val="00707662"/>
    <w:rsid w:val="007079ED"/>
    <w:rsid w:val="00707BF0"/>
    <w:rsid w:val="00707CBB"/>
    <w:rsid w:val="007100CD"/>
    <w:rsid w:val="00710485"/>
    <w:rsid w:val="0071051B"/>
    <w:rsid w:val="00710942"/>
    <w:rsid w:val="007109D8"/>
    <w:rsid w:val="00710A12"/>
    <w:rsid w:val="00710AFB"/>
    <w:rsid w:val="00710CF1"/>
    <w:rsid w:val="00710FA8"/>
    <w:rsid w:val="00711042"/>
    <w:rsid w:val="0071108E"/>
    <w:rsid w:val="0071155F"/>
    <w:rsid w:val="007115E8"/>
    <w:rsid w:val="0071194A"/>
    <w:rsid w:val="007119E6"/>
    <w:rsid w:val="00711AAF"/>
    <w:rsid w:val="00711ADC"/>
    <w:rsid w:val="00711B9F"/>
    <w:rsid w:val="00711EF2"/>
    <w:rsid w:val="007120DA"/>
    <w:rsid w:val="0071212B"/>
    <w:rsid w:val="00712AE8"/>
    <w:rsid w:val="00712C73"/>
    <w:rsid w:val="00712F7F"/>
    <w:rsid w:val="00713015"/>
    <w:rsid w:val="00713176"/>
    <w:rsid w:val="00713395"/>
    <w:rsid w:val="0071341A"/>
    <w:rsid w:val="0071362E"/>
    <w:rsid w:val="00713886"/>
    <w:rsid w:val="00713888"/>
    <w:rsid w:val="00713943"/>
    <w:rsid w:val="00713ECC"/>
    <w:rsid w:val="00713F99"/>
    <w:rsid w:val="00714068"/>
    <w:rsid w:val="007141E9"/>
    <w:rsid w:val="00714383"/>
    <w:rsid w:val="007143C0"/>
    <w:rsid w:val="007144C2"/>
    <w:rsid w:val="007145E6"/>
    <w:rsid w:val="007148CB"/>
    <w:rsid w:val="00714969"/>
    <w:rsid w:val="00714E0D"/>
    <w:rsid w:val="00714F18"/>
    <w:rsid w:val="00715033"/>
    <w:rsid w:val="00715262"/>
    <w:rsid w:val="007154FA"/>
    <w:rsid w:val="0071560F"/>
    <w:rsid w:val="00715990"/>
    <w:rsid w:val="00715B02"/>
    <w:rsid w:val="00715BF2"/>
    <w:rsid w:val="00715C73"/>
    <w:rsid w:val="00715CC8"/>
    <w:rsid w:val="00715E6D"/>
    <w:rsid w:val="007162F2"/>
    <w:rsid w:val="0071644D"/>
    <w:rsid w:val="00716460"/>
    <w:rsid w:val="0071652C"/>
    <w:rsid w:val="007165BF"/>
    <w:rsid w:val="007165E8"/>
    <w:rsid w:val="00716A60"/>
    <w:rsid w:val="007170A3"/>
    <w:rsid w:val="0071714E"/>
    <w:rsid w:val="0071744D"/>
    <w:rsid w:val="007176AA"/>
    <w:rsid w:val="007179D4"/>
    <w:rsid w:val="00717C8E"/>
    <w:rsid w:val="00720599"/>
    <w:rsid w:val="00720DF5"/>
    <w:rsid w:val="00720E59"/>
    <w:rsid w:val="00720F57"/>
    <w:rsid w:val="007210C6"/>
    <w:rsid w:val="0072127F"/>
    <w:rsid w:val="00721551"/>
    <w:rsid w:val="00721832"/>
    <w:rsid w:val="00721EF5"/>
    <w:rsid w:val="00721F0B"/>
    <w:rsid w:val="00722107"/>
    <w:rsid w:val="0072211B"/>
    <w:rsid w:val="007223A4"/>
    <w:rsid w:val="007223F1"/>
    <w:rsid w:val="00722446"/>
    <w:rsid w:val="00722582"/>
    <w:rsid w:val="007225C7"/>
    <w:rsid w:val="0072263A"/>
    <w:rsid w:val="0072280D"/>
    <w:rsid w:val="007229EE"/>
    <w:rsid w:val="00722AAE"/>
    <w:rsid w:val="00722D43"/>
    <w:rsid w:val="00722D95"/>
    <w:rsid w:val="00722E7E"/>
    <w:rsid w:val="0072326A"/>
    <w:rsid w:val="00723396"/>
    <w:rsid w:val="00723922"/>
    <w:rsid w:val="00723E1E"/>
    <w:rsid w:val="00724475"/>
    <w:rsid w:val="007244C5"/>
    <w:rsid w:val="00724569"/>
    <w:rsid w:val="007246F8"/>
    <w:rsid w:val="00724872"/>
    <w:rsid w:val="00724954"/>
    <w:rsid w:val="007249F0"/>
    <w:rsid w:val="00724AAB"/>
    <w:rsid w:val="00724DAA"/>
    <w:rsid w:val="00724F0D"/>
    <w:rsid w:val="007251B6"/>
    <w:rsid w:val="00725612"/>
    <w:rsid w:val="00725668"/>
    <w:rsid w:val="00725B65"/>
    <w:rsid w:val="00725B9F"/>
    <w:rsid w:val="00725CCD"/>
    <w:rsid w:val="00725EC2"/>
    <w:rsid w:val="00725EE6"/>
    <w:rsid w:val="00726026"/>
    <w:rsid w:val="00726388"/>
    <w:rsid w:val="00726426"/>
    <w:rsid w:val="0072675A"/>
    <w:rsid w:val="007267DB"/>
    <w:rsid w:val="0072685C"/>
    <w:rsid w:val="00726C51"/>
    <w:rsid w:val="00726CA2"/>
    <w:rsid w:val="00726EC3"/>
    <w:rsid w:val="00726F17"/>
    <w:rsid w:val="0072740F"/>
    <w:rsid w:val="00727433"/>
    <w:rsid w:val="0072745E"/>
    <w:rsid w:val="00727864"/>
    <w:rsid w:val="007279F8"/>
    <w:rsid w:val="00727C12"/>
    <w:rsid w:val="00727CDB"/>
    <w:rsid w:val="0073009F"/>
    <w:rsid w:val="0073026A"/>
    <w:rsid w:val="00730439"/>
    <w:rsid w:val="0073076E"/>
    <w:rsid w:val="00730859"/>
    <w:rsid w:val="00730CE1"/>
    <w:rsid w:val="00730D7F"/>
    <w:rsid w:val="00730F87"/>
    <w:rsid w:val="00731133"/>
    <w:rsid w:val="00731655"/>
    <w:rsid w:val="0073182A"/>
    <w:rsid w:val="00731CE2"/>
    <w:rsid w:val="00731DA6"/>
    <w:rsid w:val="00731E68"/>
    <w:rsid w:val="0073240A"/>
    <w:rsid w:val="00732487"/>
    <w:rsid w:val="007324DD"/>
    <w:rsid w:val="00732509"/>
    <w:rsid w:val="00732762"/>
    <w:rsid w:val="00732A27"/>
    <w:rsid w:val="00732BA9"/>
    <w:rsid w:val="00732C31"/>
    <w:rsid w:val="00732DAF"/>
    <w:rsid w:val="00733002"/>
    <w:rsid w:val="007333D0"/>
    <w:rsid w:val="0073369E"/>
    <w:rsid w:val="007337D5"/>
    <w:rsid w:val="00733A4C"/>
    <w:rsid w:val="00733F1F"/>
    <w:rsid w:val="00733FEF"/>
    <w:rsid w:val="00734690"/>
    <w:rsid w:val="00734E21"/>
    <w:rsid w:val="00735029"/>
    <w:rsid w:val="00735150"/>
    <w:rsid w:val="00735494"/>
    <w:rsid w:val="007356AA"/>
    <w:rsid w:val="00735846"/>
    <w:rsid w:val="00735A45"/>
    <w:rsid w:val="00735AF8"/>
    <w:rsid w:val="00735D25"/>
    <w:rsid w:val="00735D57"/>
    <w:rsid w:val="00735DB6"/>
    <w:rsid w:val="00735E68"/>
    <w:rsid w:val="00735EDF"/>
    <w:rsid w:val="00736328"/>
    <w:rsid w:val="007364BE"/>
    <w:rsid w:val="00736611"/>
    <w:rsid w:val="00736F9E"/>
    <w:rsid w:val="007371FA"/>
    <w:rsid w:val="00737A3E"/>
    <w:rsid w:val="00737CF3"/>
    <w:rsid w:val="00740057"/>
    <w:rsid w:val="0074018D"/>
    <w:rsid w:val="0074021C"/>
    <w:rsid w:val="0074029C"/>
    <w:rsid w:val="007402E3"/>
    <w:rsid w:val="007406FA"/>
    <w:rsid w:val="007408F2"/>
    <w:rsid w:val="00740BF1"/>
    <w:rsid w:val="00740EE6"/>
    <w:rsid w:val="00740FFF"/>
    <w:rsid w:val="00741276"/>
    <w:rsid w:val="0074159F"/>
    <w:rsid w:val="007416BC"/>
    <w:rsid w:val="007416F3"/>
    <w:rsid w:val="00741702"/>
    <w:rsid w:val="00741DFC"/>
    <w:rsid w:val="00741F9C"/>
    <w:rsid w:val="0074211F"/>
    <w:rsid w:val="00742196"/>
    <w:rsid w:val="0074221C"/>
    <w:rsid w:val="00742229"/>
    <w:rsid w:val="0074236B"/>
    <w:rsid w:val="00742473"/>
    <w:rsid w:val="007424CE"/>
    <w:rsid w:val="0074251E"/>
    <w:rsid w:val="00742BF5"/>
    <w:rsid w:val="00742C2D"/>
    <w:rsid w:val="0074304D"/>
    <w:rsid w:val="00743116"/>
    <w:rsid w:val="007431E2"/>
    <w:rsid w:val="007436BA"/>
    <w:rsid w:val="00743A3F"/>
    <w:rsid w:val="00743B80"/>
    <w:rsid w:val="00743C90"/>
    <w:rsid w:val="00743CE8"/>
    <w:rsid w:val="00743E53"/>
    <w:rsid w:val="00743E9D"/>
    <w:rsid w:val="00743F16"/>
    <w:rsid w:val="00743F3F"/>
    <w:rsid w:val="00744331"/>
    <w:rsid w:val="00744612"/>
    <w:rsid w:val="00744833"/>
    <w:rsid w:val="00744A6F"/>
    <w:rsid w:val="00744D26"/>
    <w:rsid w:val="00744D79"/>
    <w:rsid w:val="00744DDF"/>
    <w:rsid w:val="00744E61"/>
    <w:rsid w:val="00744F89"/>
    <w:rsid w:val="00744FB8"/>
    <w:rsid w:val="00745476"/>
    <w:rsid w:val="00745C20"/>
    <w:rsid w:val="0074602A"/>
    <w:rsid w:val="00746455"/>
    <w:rsid w:val="00746533"/>
    <w:rsid w:val="00746579"/>
    <w:rsid w:val="0074692B"/>
    <w:rsid w:val="00746E02"/>
    <w:rsid w:val="00746EA1"/>
    <w:rsid w:val="00746F0E"/>
    <w:rsid w:val="00747076"/>
    <w:rsid w:val="0074711D"/>
    <w:rsid w:val="00747380"/>
    <w:rsid w:val="00747461"/>
    <w:rsid w:val="007479C3"/>
    <w:rsid w:val="00747C80"/>
    <w:rsid w:val="00747DC2"/>
    <w:rsid w:val="00747EA5"/>
    <w:rsid w:val="00747F64"/>
    <w:rsid w:val="00747FD2"/>
    <w:rsid w:val="00750027"/>
    <w:rsid w:val="007500B6"/>
    <w:rsid w:val="007502E5"/>
    <w:rsid w:val="007503C5"/>
    <w:rsid w:val="00750420"/>
    <w:rsid w:val="0075049B"/>
    <w:rsid w:val="007504C9"/>
    <w:rsid w:val="00750646"/>
    <w:rsid w:val="00750704"/>
    <w:rsid w:val="0075082C"/>
    <w:rsid w:val="007509A6"/>
    <w:rsid w:val="00750AE7"/>
    <w:rsid w:val="00750B5A"/>
    <w:rsid w:val="00750E17"/>
    <w:rsid w:val="00750EA8"/>
    <w:rsid w:val="00750FB8"/>
    <w:rsid w:val="00751012"/>
    <w:rsid w:val="00751A22"/>
    <w:rsid w:val="00751B92"/>
    <w:rsid w:val="00751C6B"/>
    <w:rsid w:val="00751D4C"/>
    <w:rsid w:val="00751EB3"/>
    <w:rsid w:val="00751F15"/>
    <w:rsid w:val="007521C3"/>
    <w:rsid w:val="007526A4"/>
    <w:rsid w:val="0075275F"/>
    <w:rsid w:val="00752ADD"/>
    <w:rsid w:val="00752B5E"/>
    <w:rsid w:val="00752FBE"/>
    <w:rsid w:val="007530C0"/>
    <w:rsid w:val="00753356"/>
    <w:rsid w:val="00753855"/>
    <w:rsid w:val="00753871"/>
    <w:rsid w:val="0075387E"/>
    <w:rsid w:val="007538FF"/>
    <w:rsid w:val="00753B4A"/>
    <w:rsid w:val="007544AE"/>
    <w:rsid w:val="007544BB"/>
    <w:rsid w:val="00754510"/>
    <w:rsid w:val="00754630"/>
    <w:rsid w:val="00754674"/>
    <w:rsid w:val="007546A0"/>
    <w:rsid w:val="007547BE"/>
    <w:rsid w:val="007547DB"/>
    <w:rsid w:val="00754E85"/>
    <w:rsid w:val="00754F1E"/>
    <w:rsid w:val="007557CF"/>
    <w:rsid w:val="007558D1"/>
    <w:rsid w:val="007558FA"/>
    <w:rsid w:val="00756031"/>
    <w:rsid w:val="007561DD"/>
    <w:rsid w:val="00756270"/>
    <w:rsid w:val="00756370"/>
    <w:rsid w:val="0075652A"/>
    <w:rsid w:val="00756827"/>
    <w:rsid w:val="0075682C"/>
    <w:rsid w:val="007569F7"/>
    <w:rsid w:val="00756A01"/>
    <w:rsid w:val="00756AD4"/>
    <w:rsid w:val="00756BB4"/>
    <w:rsid w:val="00756CB7"/>
    <w:rsid w:val="00756F1D"/>
    <w:rsid w:val="00757057"/>
    <w:rsid w:val="00757273"/>
    <w:rsid w:val="0075734D"/>
    <w:rsid w:val="007576C5"/>
    <w:rsid w:val="00757822"/>
    <w:rsid w:val="00757860"/>
    <w:rsid w:val="00757978"/>
    <w:rsid w:val="00757C42"/>
    <w:rsid w:val="00757C64"/>
    <w:rsid w:val="00757E1D"/>
    <w:rsid w:val="00757F9E"/>
    <w:rsid w:val="007600C0"/>
    <w:rsid w:val="00760284"/>
    <w:rsid w:val="0076032D"/>
    <w:rsid w:val="0076037B"/>
    <w:rsid w:val="00760494"/>
    <w:rsid w:val="00760E4A"/>
    <w:rsid w:val="00760EDB"/>
    <w:rsid w:val="0076141B"/>
    <w:rsid w:val="007615C1"/>
    <w:rsid w:val="007615EA"/>
    <w:rsid w:val="007616D6"/>
    <w:rsid w:val="007617B2"/>
    <w:rsid w:val="007618E2"/>
    <w:rsid w:val="00761942"/>
    <w:rsid w:val="00761CC5"/>
    <w:rsid w:val="00761FB2"/>
    <w:rsid w:val="0076201B"/>
    <w:rsid w:val="00762370"/>
    <w:rsid w:val="00762373"/>
    <w:rsid w:val="007625CA"/>
    <w:rsid w:val="007625D4"/>
    <w:rsid w:val="0076263C"/>
    <w:rsid w:val="007627E2"/>
    <w:rsid w:val="00762A25"/>
    <w:rsid w:val="00762D38"/>
    <w:rsid w:val="0076320A"/>
    <w:rsid w:val="0076358A"/>
    <w:rsid w:val="00763BBC"/>
    <w:rsid w:val="00763BF0"/>
    <w:rsid w:val="00763C19"/>
    <w:rsid w:val="00763C42"/>
    <w:rsid w:val="00763F86"/>
    <w:rsid w:val="00763FA4"/>
    <w:rsid w:val="00763FBD"/>
    <w:rsid w:val="007640B4"/>
    <w:rsid w:val="0076438C"/>
    <w:rsid w:val="0076446C"/>
    <w:rsid w:val="007649F5"/>
    <w:rsid w:val="00764A1E"/>
    <w:rsid w:val="00764A24"/>
    <w:rsid w:val="00764CC9"/>
    <w:rsid w:val="00765044"/>
    <w:rsid w:val="007651CB"/>
    <w:rsid w:val="00765257"/>
    <w:rsid w:val="00765388"/>
    <w:rsid w:val="007657F7"/>
    <w:rsid w:val="0076599B"/>
    <w:rsid w:val="007659E4"/>
    <w:rsid w:val="00765A77"/>
    <w:rsid w:val="00766414"/>
    <w:rsid w:val="007666CC"/>
    <w:rsid w:val="007669E1"/>
    <w:rsid w:val="00766AFA"/>
    <w:rsid w:val="00766C6C"/>
    <w:rsid w:val="00766ECE"/>
    <w:rsid w:val="00767111"/>
    <w:rsid w:val="00767841"/>
    <w:rsid w:val="007678B6"/>
    <w:rsid w:val="00767A1E"/>
    <w:rsid w:val="00767E89"/>
    <w:rsid w:val="00767EA1"/>
    <w:rsid w:val="00767ED4"/>
    <w:rsid w:val="00767FAB"/>
    <w:rsid w:val="007700AF"/>
    <w:rsid w:val="00770216"/>
    <w:rsid w:val="00770966"/>
    <w:rsid w:val="00770B5D"/>
    <w:rsid w:val="00770D56"/>
    <w:rsid w:val="00770D86"/>
    <w:rsid w:val="00771091"/>
    <w:rsid w:val="007712E2"/>
    <w:rsid w:val="00771964"/>
    <w:rsid w:val="00771B0E"/>
    <w:rsid w:val="00771F52"/>
    <w:rsid w:val="0077200F"/>
    <w:rsid w:val="007720EA"/>
    <w:rsid w:val="00772127"/>
    <w:rsid w:val="00772549"/>
    <w:rsid w:val="007725E6"/>
    <w:rsid w:val="007726A8"/>
    <w:rsid w:val="00772AC1"/>
    <w:rsid w:val="00772C70"/>
    <w:rsid w:val="00772D45"/>
    <w:rsid w:val="00773093"/>
    <w:rsid w:val="007732D0"/>
    <w:rsid w:val="00773357"/>
    <w:rsid w:val="00773476"/>
    <w:rsid w:val="0077369C"/>
    <w:rsid w:val="00773A0B"/>
    <w:rsid w:val="00773D15"/>
    <w:rsid w:val="007742B7"/>
    <w:rsid w:val="00774390"/>
    <w:rsid w:val="00774A07"/>
    <w:rsid w:val="00774A17"/>
    <w:rsid w:val="00774B14"/>
    <w:rsid w:val="00774F1F"/>
    <w:rsid w:val="007750F2"/>
    <w:rsid w:val="007753AF"/>
    <w:rsid w:val="007753DC"/>
    <w:rsid w:val="0077548D"/>
    <w:rsid w:val="00776117"/>
    <w:rsid w:val="007761A4"/>
    <w:rsid w:val="007767E9"/>
    <w:rsid w:val="00776A99"/>
    <w:rsid w:val="0077725F"/>
    <w:rsid w:val="0077759C"/>
    <w:rsid w:val="007776FC"/>
    <w:rsid w:val="00777A6A"/>
    <w:rsid w:val="00777C1E"/>
    <w:rsid w:val="00777CB0"/>
    <w:rsid w:val="00777D30"/>
    <w:rsid w:val="00777F7F"/>
    <w:rsid w:val="00780117"/>
    <w:rsid w:val="00780340"/>
    <w:rsid w:val="007808BE"/>
    <w:rsid w:val="00780D38"/>
    <w:rsid w:val="00780D89"/>
    <w:rsid w:val="00780F99"/>
    <w:rsid w:val="00781217"/>
    <w:rsid w:val="00781346"/>
    <w:rsid w:val="007816C0"/>
    <w:rsid w:val="0078171A"/>
    <w:rsid w:val="00781777"/>
    <w:rsid w:val="00781975"/>
    <w:rsid w:val="00781C54"/>
    <w:rsid w:val="00781EC7"/>
    <w:rsid w:val="00781F4B"/>
    <w:rsid w:val="00781FBB"/>
    <w:rsid w:val="00782157"/>
    <w:rsid w:val="0078218C"/>
    <w:rsid w:val="007824E5"/>
    <w:rsid w:val="0078252F"/>
    <w:rsid w:val="007826F8"/>
    <w:rsid w:val="0078280F"/>
    <w:rsid w:val="0078295A"/>
    <w:rsid w:val="00782D7A"/>
    <w:rsid w:val="007830A3"/>
    <w:rsid w:val="00783538"/>
    <w:rsid w:val="007835AC"/>
    <w:rsid w:val="00783A93"/>
    <w:rsid w:val="00783C17"/>
    <w:rsid w:val="00783CB4"/>
    <w:rsid w:val="0078403C"/>
    <w:rsid w:val="007842CF"/>
    <w:rsid w:val="007846D3"/>
    <w:rsid w:val="007847FA"/>
    <w:rsid w:val="00784930"/>
    <w:rsid w:val="00784CC6"/>
    <w:rsid w:val="0078541E"/>
    <w:rsid w:val="00785461"/>
    <w:rsid w:val="00785BF9"/>
    <w:rsid w:val="00785C12"/>
    <w:rsid w:val="00785CBE"/>
    <w:rsid w:val="00785F8B"/>
    <w:rsid w:val="00786113"/>
    <w:rsid w:val="00786243"/>
    <w:rsid w:val="00786303"/>
    <w:rsid w:val="00786317"/>
    <w:rsid w:val="0078644E"/>
    <w:rsid w:val="007865DA"/>
    <w:rsid w:val="0078678B"/>
    <w:rsid w:val="00786B27"/>
    <w:rsid w:val="00786E95"/>
    <w:rsid w:val="00786F28"/>
    <w:rsid w:val="00787327"/>
    <w:rsid w:val="00787332"/>
    <w:rsid w:val="00787392"/>
    <w:rsid w:val="00787AAA"/>
    <w:rsid w:val="00787B31"/>
    <w:rsid w:val="00787B9A"/>
    <w:rsid w:val="00787BDA"/>
    <w:rsid w:val="00787CE6"/>
    <w:rsid w:val="00787F01"/>
    <w:rsid w:val="0079013D"/>
    <w:rsid w:val="00790241"/>
    <w:rsid w:val="00790249"/>
    <w:rsid w:val="0079039F"/>
    <w:rsid w:val="0079070E"/>
    <w:rsid w:val="007907AD"/>
    <w:rsid w:val="00790910"/>
    <w:rsid w:val="00790962"/>
    <w:rsid w:val="00790B32"/>
    <w:rsid w:val="00790C20"/>
    <w:rsid w:val="00790C4A"/>
    <w:rsid w:val="00790D9D"/>
    <w:rsid w:val="00790E43"/>
    <w:rsid w:val="00790FCD"/>
    <w:rsid w:val="007910BF"/>
    <w:rsid w:val="00791AD4"/>
    <w:rsid w:val="00791B22"/>
    <w:rsid w:val="00791B8C"/>
    <w:rsid w:val="00791D11"/>
    <w:rsid w:val="00791DE1"/>
    <w:rsid w:val="0079212D"/>
    <w:rsid w:val="007921F6"/>
    <w:rsid w:val="007922B7"/>
    <w:rsid w:val="007922F2"/>
    <w:rsid w:val="0079235D"/>
    <w:rsid w:val="00792581"/>
    <w:rsid w:val="007929BB"/>
    <w:rsid w:val="00792B3E"/>
    <w:rsid w:val="00792EC8"/>
    <w:rsid w:val="00792F99"/>
    <w:rsid w:val="007931CB"/>
    <w:rsid w:val="00793276"/>
    <w:rsid w:val="0079329E"/>
    <w:rsid w:val="00793331"/>
    <w:rsid w:val="007933FC"/>
    <w:rsid w:val="00793443"/>
    <w:rsid w:val="007934EC"/>
    <w:rsid w:val="0079375E"/>
    <w:rsid w:val="00793A9C"/>
    <w:rsid w:val="00793C67"/>
    <w:rsid w:val="00793DB8"/>
    <w:rsid w:val="00794900"/>
    <w:rsid w:val="00794A31"/>
    <w:rsid w:val="00794BF1"/>
    <w:rsid w:val="00794D62"/>
    <w:rsid w:val="00794E16"/>
    <w:rsid w:val="00795106"/>
    <w:rsid w:val="0079515E"/>
    <w:rsid w:val="00795259"/>
    <w:rsid w:val="00795630"/>
    <w:rsid w:val="00795DEE"/>
    <w:rsid w:val="00795E17"/>
    <w:rsid w:val="00796059"/>
    <w:rsid w:val="00796480"/>
    <w:rsid w:val="007965C8"/>
    <w:rsid w:val="00796BF1"/>
    <w:rsid w:val="00796D37"/>
    <w:rsid w:val="007971C5"/>
    <w:rsid w:val="0079751D"/>
    <w:rsid w:val="007976BB"/>
    <w:rsid w:val="007977BC"/>
    <w:rsid w:val="00797819"/>
    <w:rsid w:val="007979D7"/>
    <w:rsid w:val="00797B36"/>
    <w:rsid w:val="00797BB2"/>
    <w:rsid w:val="00797C02"/>
    <w:rsid w:val="00797D36"/>
    <w:rsid w:val="00797D6E"/>
    <w:rsid w:val="00797E72"/>
    <w:rsid w:val="00797EFD"/>
    <w:rsid w:val="00797F66"/>
    <w:rsid w:val="007A00B4"/>
    <w:rsid w:val="007A03FA"/>
    <w:rsid w:val="007A0667"/>
    <w:rsid w:val="007A0965"/>
    <w:rsid w:val="007A0C94"/>
    <w:rsid w:val="007A0D97"/>
    <w:rsid w:val="007A1084"/>
    <w:rsid w:val="007A1119"/>
    <w:rsid w:val="007A1453"/>
    <w:rsid w:val="007A15B8"/>
    <w:rsid w:val="007A1609"/>
    <w:rsid w:val="007A1939"/>
    <w:rsid w:val="007A19F2"/>
    <w:rsid w:val="007A1A74"/>
    <w:rsid w:val="007A1AEB"/>
    <w:rsid w:val="007A1E0B"/>
    <w:rsid w:val="007A1F13"/>
    <w:rsid w:val="007A2347"/>
    <w:rsid w:val="007A2388"/>
    <w:rsid w:val="007A2961"/>
    <w:rsid w:val="007A2C21"/>
    <w:rsid w:val="007A3018"/>
    <w:rsid w:val="007A321D"/>
    <w:rsid w:val="007A32ED"/>
    <w:rsid w:val="007A33D1"/>
    <w:rsid w:val="007A361E"/>
    <w:rsid w:val="007A37EA"/>
    <w:rsid w:val="007A3A8C"/>
    <w:rsid w:val="007A3C97"/>
    <w:rsid w:val="007A40B9"/>
    <w:rsid w:val="007A449E"/>
    <w:rsid w:val="007A4500"/>
    <w:rsid w:val="007A45E0"/>
    <w:rsid w:val="007A46E5"/>
    <w:rsid w:val="007A4B70"/>
    <w:rsid w:val="007A4D40"/>
    <w:rsid w:val="007A4DEB"/>
    <w:rsid w:val="007A4EC3"/>
    <w:rsid w:val="007A508B"/>
    <w:rsid w:val="007A5799"/>
    <w:rsid w:val="007A5A5E"/>
    <w:rsid w:val="007A5A7D"/>
    <w:rsid w:val="007A5D68"/>
    <w:rsid w:val="007A5FB6"/>
    <w:rsid w:val="007A6254"/>
    <w:rsid w:val="007A626E"/>
    <w:rsid w:val="007A6582"/>
    <w:rsid w:val="007A6688"/>
    <w:rsid w:val="007A66C8"/>
    <w:rsid w:val="007A68B0"/>
    <w:rsid w:val="007A6B1A"/>
    <w:rsid w:val="007A6BFA"/>
    <w:rsid w:val="007A6F05"/>
    <w:rsid w:val="007A71B1"/>
    <w:rsid w:val="007A720F"/>
    <w:rsid w:val="007A724E"/>
    <w:rsid w:val="007A7520"/>
    <w:rsid w:val="007A7856"/>
    <w:rsid w:val="007A79FD"/>
    <w:rsid w:val="007A7AE5"/>
    <w:rsid w:val="007A7BAC"/>
    <w:rsid w:val="007A7E6C"/>
    <w:rsid w:val="007B00DC"/>
    <w:rsid w:val="007B0301"/>
    <w:rsid w:val="007B05D1"/>
    <w:rsid w:val="007B0A7D"/>
    <w:rsid w:val="007B0D09"/>
    <w:rsid w:val="007B0E0C"/>
    <w:rsid w:val="007B107F"/>
    <w:rsid w:val="007B15CF"/>
    <w:rsid w:val="007B165D"/>
    <w:rsid w:val="007B1720"/>
    <w:rsid w:val="007B17A1"/>
    <w:rsid w:val="007B1886"/>
    <w:rsid w:val="007B194D"/>
    <w:rsid w:val="007B19BF"/>
    <w:rsid w:val="007B1AE3"/>
    <w:rsid w:val="007B20D7"/>
    <w:rsid w:val="007B23AF"/>
    <w:rsid w:val="007B2AAB"/>
    <w:rsid w:val="007B2AF8"/>
    <w:rsid w:val="007B3198"/>
    <w:rsid w:val="007B33A1"/>
    <w:rsid w:val="007B37B6"/>
    <w:rsid w:val="007B3B3E"/>
    <w:rsid w:val="007B3C56"/>
    <w:rsid w:val="007B409C"/>
    <w:rsid w:val="007B41C9"/>
    <w:rsid w:val="007B4223"/>
    <w:rsid w:val="007B424F"/>
    <w:rsid w:val="007B4581"/>
    <w:rsid w:val="007B463F"/>
    <w:rsid w:val="007B4960"/>
    <w:rsid w:val="007B4ABE"/>
    <w:rsid w:val="007B4F57"/>
    <w:rsid w:val="007B5209"/>
    <w:rsid w:val="007B5836"/>
    <w:rsid w:val="007B5883"/>
    <w:rsid w:val="007B5AD0"/>
    <w:rsid w:val="007B5C90"/>
    <w:rsid w:val="007B5E38"/>
    <w:rsid w:val="007B5E53"/>
    <w:rsid w:val="007B60DA"/>
    <w:rsid w:val="007B6339"/>
    <w:rsid w:val="007B6523"/>
    <w:rsid w:val="007B6AA8"/>
    <w:rsid w:val="007B6EF9"/>
    <w:rsid w:val="007B71E8"/>
    <w:rsid w:val="007B72F2"/>
    <w:rsid w:val="007B7914"/>
    <w:rsid w:val="007B7A0E"/>
    <w:rsid w:val="007C0592"/>
    <w:rsid w:val="007C066F"/>
    <w:rsid w:val="007C067F"/>
    <w:rsid w:val="007C0AD5"/>
    <w:rsid w:val="007C0AEF"/>
    <w:rsid w:val="007C0B75"/>
    <w:rsid w:val="007C0D0E"/>
    <w:rsid w:val="007C0D55"/>
    <w:rsid w:val="007C0E5B"/>
    <w:rsid w:val="007C0F5A"/>
    <w:rsid w:val="007C1303"/>
    <w:rsid w:val="007C15D9"/>
    <w:rsid w:val="007C1857"/>
    <w:rsid w:val="007C1CC6"/>
    <w:rsid w:val="007C1DC0"/>
    <w:rsid w:val="007C1E81"/>
    <w:rsid w:val="007C2243"/>
    <w:rsid w:val="007C2364"/>
    <w:rsid w:val="007C242D"/>
    <w:rsid w:val="007C2493"/>
    <w:rsid w:val="007C26E5"/>
    <w:rsid w:val="007C29A8"/>
    <w:rsid w:val="007C2CF1"/>
    <w:rsid w:val="007C3242"/>
    <w:rsid w:val="007C32B2"/>
    <w:rsid w:val="007C347C"/>
    <w:rsid w:val="007C351A"/>
    <w:rsid w:val="007C3528"/>
    <w:rsid w:val="007C3557"/>
    <w:rsid w:val="007C367F"/>
    <w:rsid w:val="007C3705"/>
    <w:rsid w:val="007C37FC"/>
    <w:rsid w:val="007C3E96"/>
    <w:rsid w:val="007C3FE4"/>
    <w:rsid w:val="007C40E1"/>
    <w:rsid w:val="007C4A43"/>
    <w:rsid w:val="007C4A67"/>
    <w:rsid w:val="007C4F80"/>
    <w:rsid w:val="007C5014"/>
    <w:rsid w:val="007C505A"/>
    <w:rsid w:val="007C5065"/>
    <w:rsid w:val="007C50BC"/>
    <w:rsid w:val="007C5313"/>
    <w:rsid w:val="007C532E"/>
    <w:rsid w:val="007C54AF"/>
    <w:rsid w:val="007C55DD"/>
    <w:rsid w:val="007C5601"/>
    <w:rsid w:val="007C5709"/>
    <w:rsid w:val="007C578C"/>
    <w:rsid w:val="007C58DB"/>
    <w:rsid w:val="007C636B"/>
    <w:rsid w:val="007C6631"/>
    <w:rsid w:val="007C6B1D"/>
    <w:rsid w:val="007C6CE5"/>
    <w:rsid w:val="007C720A"/>
    <w:rsid w:val="007C7497"/>
    <w:rsid w:val="007C7499"/>
    <w:rsid w:val="007C7588"/>
    <w:rsid w:val="007C76BC"/>
    <w:rsid w:val="007C7756"/>
    <w:rsid w:val="007C7C97"/>
    <w:rsid w:val="007C7CB2"/>
    <w:rsid w:val="007C7D0E"/>
    <w:rsid w:val="007C7DD6"/>
    <w:rsid w:val="007D026A"/>
    <w:rsid w:val="007D0392"/>
    <w:rsid w:val="007D0703"/>
    <w:rsid w:val="007D1092"/>
    <w:rsid w:val="007D111A"/>
    <w:rsid w:val="007D118C"/>
    <w:rsid w:val="007D1711"/>
    <w:rsid w:val="007D1799"/>
    <w:rsid w:val="007D1924"/>
    <w:rsid w:val="007D1C74"/>
    <w:rsid w:val="007D1D37"/>
    <w:rsid w:val="007D1F44"/>
    <w:rsid w:val="007D211C"/>
    <w:rsid w:val="007D2248"/>
    <w:rsid w:val="007D2292"/>
    <w:rsid w:val="007D2402"/>
    <w:rsid w:val="007D245F"/>
    <w:rsid w:val="007D24DD"/>
    <w:rsid w:val="007D2549"/>
    <w:rsid w:val="007D25BE"/>
    <w:rsid w:val="007D2621"/>
    <w:rsid w:val="007D2864"/>
    <w:rsid w:val="007D2982"/>
    <w:rsid w:val="007D29F5"/>
    <w:rsid w:val="007D2B5C"/>
    <w:rsid w:val="007D2D70"/>
    <w:rsid w:val="007D3077"/>
    <w:rsid w:val="007D309F"/>
    <w:rsid w:val="007D317E"/>
    <w:rsid w:val="007D3192"/>
    <w:rsid w:val="007D3664"/>
    <w:rsid w:val="007D387F"/>
    <w:rsid w:val="007D3BFB"/>
    <w:rsid w:val="007D3D2A"/>
    <w:rsid w:val="007D3DA3"/>
    <w:rsid w:val="007D3DCD"/>
    <w:rsid w:val="007D3E42"/>
    <w:rsid w:val="007D3F08"/>
    <w:rsid w:val="007D3F47"/>
    <w:rsid w:val="007D4273"/>
    <w:rsid w:val="007D441D"/>
    <w:rsid w:val="007D47CD"/>
    <w:rsid w:val="007D4F99"/>
    <w:rsid w:val="007D560D"/>
    <w:rsid w:val="007D561C"/>
    <w:rsid w:val="007D5CA8"/>
    <w:rsid w:val="007D5F5E"/>
    <w:rsid w:val="007D6087"/>
    <w:rsid w:val="007D6330"/>
    <w:rsid w:val="007D63F0"/>
    <w:rsid w:val="007D672C"/>
    <w:rsid w:val="007D6B9E"/>
    <w:rsid w:val="007D72BA"/>
    <w:rsid w:val="007D74DB"/>
    <w:rsid w:val="007D7548"/>
    <w:rsid w:val="007D787B"/>
    <w:rsid w:val="007D79DD"/>
    <w:rsid w:val="007D7D5C"/>
    <w:rsid w:val="007D7E01"/>
    <w:rsid w:val="007E0208"/>
    <w:rsid w:val="007E0293"/>
    <w:rsid w:val="007E02D2"/>
    <w:rsid w:val="007E082B"/>
    <w:rsid w:val="007E0ADF"/>
    <w:rsid w:val="007E0C5C"/>
    <w:rsid w:val="007E0CAF"/>
    <w:rsid w:val="007E0CDE"/>
    <w:rsid w:val="007E10FD"/>
    <w:rsid w:val="007E13D8"/>
    <w:rsid w:val="007E15F8"/>
    <w:rsid w:val="007E1733"/>
    <w:rsid w:val="007E17A3"/>
    <w:rsid w:val="007E19AF"/>
    <w:rsid w:val="007E1BA5"/>
    <w:rsid w:val="007E1F27"/>
    <w:rsid w:val="007E23D4"/>
    <w:rsid w:val="007E2593"/>
    <w:rsid w:val="007E28E1"/>
    <w:rsid w:val="007E2B07"/>
    <w:rsid w:val="007E2E21"/>
    <w:rsid w:val="007E2F09"/>
    <w:rsid w:val="007E30C7"/>
    <w:rsid w:val="007E3516"/>
    <w:rsid w:val="007E3E05"/>
    <w:rsid w:val="007E40BC"/>
    <w:rsid w:val="007E4136"/>
    <w:rsid w:val="007E456D"/>
    <w:rsid w:val="007E47F5"/>
    <w:rsid w:val="007E4A65"/>
    <w:rsid w:val="007E4FCC"/>
    <w:rsid w:val="007E5033"/>
    <w:rsid w:val="007E563F"/>
    <w:rsid w:val="007E58EB"/>
    <w:rsid w:val="007E5940"/>
    <w:rsid w:val="007E5A76"/>
    <w:rsid w:val="007E5C5D"/>
    <w:rsid w:val="007E5C97"/>
    <w:rsid w:val="007E5DD7"/>
    <w:rsid w:val="007E600E"/>
    <w:rsid w:val="007E6014"/>
    <w:rsid w:val="007E6180"/>
    <w:rsid w:val="007E61D5"/>
    <w:rsid w:val="007E64CE"/>
    <w:rsid w:val="007E6526"/>
    <w:rsid w:val="007E692D"/>
    <w:rsid w:val="007E697A"/>
    <w:rsid w:val="007E6F6D"/>
    <w:rsid w:val="007E7134"/>
    <w:rsid w:val="007E7225"/>
    <w:rsid w:val="007E7288"/>
    <w:rsid w:val="007E7488"/>
    <w:rsid w:val="007E78B6"/>
    <w:rsid w:val="007E7BEA"/>
    <w:rsid w:val="007E7EAB"/>
    <w:rsid w:val="007F026A"/>
    <w:rsid w:val="007F0455"/>
    <w:rsid w:val="007F067A"/>
    <w:rsid w:val="007F06E6"/>
    <w:rsid w:val="007F08CA"/>
    <w:rsid w:val="007F09B4"/>
    <w:rsid w:val="007F0CE5"/>
    <w:rsid w:val="007F0CFA"/>
    <w:rsid w:val="007F0EFE"/>
    <w:rsid w:val="007F1361"/>
    <w:rsid w:val="007F1776"/>
    <w:rsid w:val="007F183C"/>
    <w:rsid w:val="007F1AF6"/>
    <w:rsid w:val="007F21D9"/>
    <w:rsid w:val="007F22C8"/>
    <w:rsid w:val="007F23DF"/>
    <w:rsid w:val="007F267E"/>
    <w:rsid w:val="007F26E3"/>
    <w:rsid w:val="007F2C3E"/>
    <w:rsid w:val="007F32BB"/>
    <w:rsid w:val="007F3332"/>
    <w:rsid w:val="007F34EE"/>
    <w:rsid w:val="007F35F5"/>
    <w:rsid w:val="007F36AF"/>
    <w:rsid w:val="007F39AA"/>
    <w:rsid w:val="007F39DB"/>
    <w:rsid w:val="007F3A80"/>
    <w:rsid w:val="007F3B6E"/>
    <w:rsid w:val="007F3C2D"/>
    <w:rsid w:val="007F4060"/>
    <w:rsid w:val="007F41A9"/>
    <w:rsid w:val="007F4244"/>
    <w:rsid w:val="007F4361"/>
    <w:rsid w:val="007F43D1"/>
    <w:rsid w:val="007F5275"/>
    <w:rsid w:val="007F5278"/>
    <w:rsid w:val="007F5658"/>
    <w:rsid w:val="007F57B1"/>
    <w:rsid w:val="007F5EBE"/>
    <w:rsid w:val="007F5F7C"/>
    <w:rsid w:val="007F6269"/>
    <w:rsid w:val="007F6441"/>
    <w:rsid w:val="007F6600"/>
    <w:rsid w:val="007F66B9"/>
    <w:rsid w:val="007F69DB"/>
    <w:rsid w:val="007F6C81"/>
    <w:rsid w:val="007F6F2D"/>
    <w:rsid w:val="007F7158"/>
    <w:rsid w:val="007F74BC"/>
    <w:rsid w:val="007F75C1"/>
    <w:rsid w:val="007F7AC2"/>
    <w:rsid w:val="007F7AE9"/>
    <w:rsid w:val="007F7BD2"/>
    <w:rsid w:val="007F7C4A"/>
    <w:rsid w:val="007F7F03"/>
    <w:rsid w:val="0080016B"/>
    <w:rsid w:val="00800544"/>
    <w:rsid w:val="00800A90"/>
    <w:rsid w:val="00800BE5"/>
    <w:rsid w:val="00800C45"/>
    <w:rsid w:val="00800E99"/>
    <w:rsid w:val="00800ED2"/>
    <w:rsid w:val="008013CD"/>
    <w:rsid w:val="008013FE"/>
    <w:rsid w:val="0080187E"/>
    <w:rsid w:val="00801B87"/>
    <w:rsid w:val="00801C7A"/>
    <w:rsid w:val="00801EC6"/>
    <w:rsid w:val="00801F60"/>
    <w:rsid w:val="00802144"/>
    <w:rsid w:val="00802271"/>
    <w:rsid w:val="0080230C"/>
    <w:rsid w:val="008023F2"/>
    <w:rsid w:val="008024D5"/>
    <w:rsid w:val="008029DB"/>
    <w:rsid w:val="00802B63"/>
    <w:rsid w:val="00802ECD"/>
    <w:rsid w:val="00802F73"/>
    <w:rsid w:val="00803156"/>
    <w:rsid w:val="008031D9"/>
    <w:rsid w:val="00803540"/>
    <w:rsid w:val="00803552"/>
    <w:rsid w:val="0080365D"/>
    <w:rsid w:val="008036F2"/>
    <w:rsid w:val="008038B6"/>
    <w:rsid w:val="00803973"/>
    <w:rsid w:val="00803D46"/>
    <w:rsid w:val="00803E55"/>
    <w:rsid w:val="00803F38"/>
    <w:rsid w:val="00803FE4"/>
    <w:rsid w:val="008046DB"/>
    <w:rsid w:val="00804997"/>
    <w:rsid w:val="00804C39"/>
    <w:rsid w:val="00804CCC"/>
    <w:rsid w:val="00804D43"/>
    <w:rsid w:val="0080501C"/>
    <w:rsid w:val="00805540"/>
    <w:rsid w:val="00805C9F"/>
    <w:rsid w:val="0080638B"/>
    <w:rsid w:val="00806434"/>
    <w:rsid w:val="0080664D"/>
    <w:rsid w:val="008069AC"/>
    <w:rsid w:val="00807023"/>
    <w:rsid w:val="0080712D"/>
    <w:rsid w:val="0080730A"/>
    <w:rsid w:val="00807528"/>
    <w:rsid w:val="00807559"/>
    <w:rsid w:val="00807643"/>
    <w:rsid w:val="00807655"/>
    <w:rsid w:val="00807791"/>
    <w:rsid w:val="008077A2"/>
    <w:rsid w:val="00807967"/>
    <w:rsid w:val="008079F3"/>
    <w:rsid w:val="00807D3E"/>
    <w:rsid w:val="00807FBC"/>
    <w:rsid w:val="00810184"/>
    <w:rsid w:val="0081027D"/>
    <w:rsid w:val="00810511"/>
    <w:rsid w:val="00810A9B"/>
    <w:rsid w:val="00810B45"/>
    <w:rsid w:val="00810C87"/>
    <w:rsid w:val="0081129F"/>
    <w:rsid w:val="00811421"/>
    <w:rsid w:val="008115C2"/>
    <w:rsid w:val="008117BF"/>
    <w:rsid w:val="00811BBC"/>
    <w:rsid w:val="008122BE"/>
    <w:rsid w:val="0081235C"/>
    <w:rsid w:val="0081240A"/>
    <w:rsid w:val="008124C0"/>
    <w:rsid w:val="008125A4"/>
    <w:rsid w:val="0081274C"/>
    <w:rsid w:val="008127AA"/>
    <w:rsid w:val="00812997"/>
    <w:rsid w:val="00812A79"/>
    <w:rsid w:val="00812C56"/>
    <w:rsid w:val="00812D95"/>
    <w:rsid w:val="008130E0"/>
    <w:rsid w:val="00813184"/>
    <w:rsid w:val="00813288"/>
    <w:rsid w:val="008133F6"/>
    <w:rsid w:val="00813455"/>
    <w:rsid w:val="00813479"/>
    <w:rsid w:val="008139F9"/>
    <w:rsid w:val="00813A20"/>
    <w:rsid w:val="00813FBE"/>
    <w:rsid w:val="00814150"/>
    <w:rsid w:val="008147B6"/>
    <w:rsid w:val="008147F2"/>
    <w:rsid w:val="00814BE1"/>
    <w:rsid w:val="00815109"/>
    <w:rsid w:val="008151A2"/>
    <w:rsid w:val="00815488"/>
    <w:rsid w:val="0081578F"/>
    <w:rsid w:val="00815B36"/>
    <w:rsid w:val="0081600B"/>
    <w:rsid w:val="008162E4"/>
    <w:rsid w:val="00816316"/>
    <w:rsid w:val="00816574"/>
    <w:rsid w:val="00816851"/>
    <w:rsid w:val="00816857"/>
    <w:rsid w:val="008169E7"/>
    <w:rsid w:val="008170CC"/>
    <w:rsid w:val="00817447"/>
    <w:rsid w:val="00817894"/>
    <w:rsid w:val="00817AA9"/>
    <w:rsid w:val="00817B01"/>
    <w:rsid w:val="008201DB"/>
    <w:rsid w:val="0082041E"/>
    <w:rsid w:val="00820B9C"/>
    <w:rsid w:val="00820D5F"/>
    <w:rsid w:val="00821124"/>
    <w:rsid w:val="0082136A"/>
    <w:rsid w:val="008213C6"/>
    <w:rsid w:val="00821A29"/>
    <w:rsid w:val="00821BA1"/>
    <w:rsid w:val="00821D92"/>
    <w:rsid w:val="008223F3"/>
    <w:rsid w:val="00822753"/>
    <w:rsid w:val="008229E8"/>
    <w:rsid w:val="00822AE8"/>
    <w:rsid w:val="0082310B"/>
    <w:rsid w:val="00823233"/>
    <w:rsid w:val="008237CE"/>
    <w:rsid w:val="00823B37"/>
    <w:rsid w:val="00823DE5"/>
    <w:rsid w:val="00823FDA"/>
    <w:rsid w:val="00824415"/>
    <w:rsid w:val="00824426"/>
    <w:rsid w:val="00824484"/>
    <w:rsid w:val="0082468C"/>
    <w:rsid w:val="008246E6"/>
    <w:rsid w:val="00824834"/>
    <w:rsid w:val="00824AEF"/>
    <w:rsid w:val="00824B0E"/>
    <w:rsid w:val="00824BBB"/>
    <w:rsid w:val="00824C1D"/>
    <w:rsid w:val="00824C28"/>
    <w:rsid w:val="00824C9D"/>
    <w:rsid w:val="0082585C"/>
    <w:rsid w:val="00825883"/>
    <w:rsid w:val="008258C0"/>
    <w:rsid w:val="00825A7D"/>
    <w:rsid w:val="00825A90"/>
    <w:rsid w:val="00825EC0"/>
    <w:rsid w:val="008260B8"/>
    <w:rsid w:val="0082648C"/>
    <w:rsid w:val="008269BC"/>
    <w:rsid w:val="008269FD"/>
    <w:rsid w:val="00827126"/>
    <w:rsid w:val="008273ED"/>
    <w:rsid w:val="00827570"/>
    <w:rsid w:val="008276C1"/>
    <w:rsid w:val="00827A6E"/>
    <w:rsid w:val="00827C1C"/>
    <w:rsid w:val="0083047D"/>
    <w:rsid w:val="0083050A"/>
    <w:rsid w:val="00830597"/>
    <w:rsid w:val="00830648"/>
    <w:rsid w:val="008307AF"/>
    <w:rsid w:val="008308C2"/>
    <w:rsid w:val="00830906"/>
    <w:rsid w:val="00830CFA"/>
    <w:rsid w:val="00830DB1"/>
    <w:rsid w:val="00830E52"/>
    <w:rsid w:val="00830FA1"/>
    <w:rsid w:val="00830FEA"/>
    <w:rsid w:val="0083120D"/>
    <w:rsid w:val="008315EB"/>
    <w:rsid w:val="00831AFD"/>
    <w:rsid w:val="00831E11"/>
    <w:rsid w:val="00831FAA"/>
    <w:rsid w:val="00831FCC"/>
    <w:rsid w:val="00831FFA"/>
    <w:rsid w:val="0083229D"/>
    <w:rsid w:val="0083233F"/>
    <w:rsid w:val="00832399"/>
    <w:rsid w:val="008323C1"/>
    <w:rsid w:val="008324E3"/>
    <w:rsid w:val="00832642"/>
    <w:rsid w:val="008328D8"/>
    <w:rsid w:val="00832C65"/>
    <w:rsid w:val="00832F7F"/>
    <w:rsid w:val="00833012"/>
    <w:rsid w:val="0083328B"/>
    <w:rsid w:val="008333FC"/>
    <w:rsid w:val="0083349E"/>
    <w:rsid w:val="00833668"/>
    <w:rsid w:val="00833B9F"/>
    <w:rsid w:val="00833E59"/>
    <w:rsid w:val="00833E86"/>
    <w:rsid w:val="00834129"/>
    <w:rsid w:val="0083430A"/>
    <w:rsid w:val="0083443F"/>
    <w:rsid w:val="008344FC"/>
    <w:rsid w:val="00834D35"/>
    <w:rsid w:val="00835011"/>
    <w:rsid w:val="008351A2"/>
    <w:rsid w:val="00835280"/>
    <w:rsid w:val="00835D6E"/>
    <w:rsid w:val="0083678A"/>
    <w:rsid w:val="0083696A"/>
    <w:rsid w:val="00836E8D"/>
    <w:rsid w:val="0083731E"/>
    <w:rsid w:val="00837781"/>
    <w:rsid w:val="008378F0"/>
    <w:rsid w:val="008379FC"/>
    <w:rsid w:val="00840083"/>
    <w:rsid w:val="008401CF"/>
    <w:rsid w:val="00840933"/>
    <w:rsid w:val="00840D55"/>
    <w:rsid w:val="00840EA4"/>
    <w:rsid w:val="008411AD"/>
    <w:rsid w:val="008414A8"/>
    <w:rsid w:val="008414C2"/>
    <w:rsid w:val="0084158F"/>
    <w:rsid w:val="00841655"/>
    <w:rsid w:val="0084168C"/>
    <w:rsid w:val="00841894"/>
    <w:rsid w:val="008418C7"/>
    <w:rsid w:val="008419DC"/>
    <w:rsid w:val="00841BA6"/>
    <w:rsid w:val="00841DDC"/>
    <w:rsid w:val="00841E62"/>
    <w:rsid w:val="008422F8"/>
    <w:rsid w:val="0084286A"/>
    <w:rsid w:val="008428F8"/>
    <w:rsid w:val="00842A82"/>
    <w:rsid w:val="00842C5D"/>
    <w:rsid w:val="00842D07"/>
    <w:rsid w:val="00843297"/>
    <w:rsid w:val="008432F9"/>
    <w:rsid w:val="008435B7"/>
    <w:rsid w:val="00843AAD"/>
    <w:rsid w:val="008441F2"/>
    <w:rsid w:val="00844347"/>
    <w:rsid w:val="0084437F"/>
    <w:rsid w:val="008443A7"/>
    <w:rsid w:val="00844418"/>
    <w:rsid w:val="00844801"/>
    <w:rsid w:val="0084491C"/>
    <w:rsid w:val="008449F2"/>
    <w:rsid w:val="00844EEB"/>
    <w:rsid w:val="00844F94"/>
    <w:rsid w:val="00844FEF"/>
    <w:rsid w:val="008450B4"/>
    <w:rsid w:val="008450F3"/>
    <w:rsid w:val="008452C5"/>
    <w:rsid w:val="00845389"/>
    <w:rsid w:val="00845534"/>
    <w:rsid w:val="00845659"/>
    <w:rsid w:val="00845844"/>
    <w:rsid w:val="00845946"/>
    <w:rsid w:val="00845C83"/>
    <w:rsid w:val="00845C86"/>
    <w:rsid w:val="00845F53"/>
    <w:rsid w:val="008462E5"/>
    <w:rsid w:val="00846425"/>
    <w:rsid w:val="0084648A"/>
    <w:rsid w:val="00846567"/>
    <w:rsid w:val="008465A0"/>
    <w:rsid w:val="008465A1"/>
    <w:rsid w:val="008467C2"/>
    <w:rsid w:val="00846A0A"/>
    <w:rsid w:val="008471DE"/>
    <w:rsid w:val="00847681"/>
    <w:rsid w:val="008476A0"/>
    <w:rsid w:val="0084785A"/>
    <w:rsid w:val="008478F6"/>
    <w:rsid w:val="00847D54"/>
    <w:rsid w:val="0085031A"/>
    <w:rsid w:val="0085035D"/>
    <w:rsid w:val="0085041B"/>
    <w:rsid w:val="0085044B"/>
    <w:rsid w:val="00850612"/>
    <w:rsid w:val="008508D9"/>
    <w:rsid w:val="008509E0"/>
    <w:rsid w:val="00850AAE"/>
    <w:rsid w:val="00850CCD"/>
    <w:rsid w:val="00850EC8"/>
    <w:rsid w:val="00851186"/>
    <w:rsid w:val="0085157C"/>
    <w:rsid w:val="008519BD"/>
    <w:rsid w:val="00851A19"/>
    <w:rsid w:val="00851C5E"/>
    <w:rsid w:val="00851D75"/>
    <w:rsid w:val="00851DC4"/>
    <w:rsid w:val="00851F38"/>
    <w:rsid w:val="00852124"/>
    <w:rsid w:val="00852137"/>
    <w:rsid w:val="00852411"/>
    <w:rsid w:val="00852466"/>
    <w:rsid w:val="0085292F"/>
    <w:rsid w:val="0085296C"/>
    <w:rsid w:val="00852DEB"/>
    <w:rsid w:val="00852E61"/>
    <w:rsid w:val="00852E6A"/>
    <w:rsid w:val="00852F38"/>
    <w:rsid w:val="00853289"/>
    <w:rsid w:val="008532B2"/>
    <w:rsid w:val="008532B9"/>
    <w:rsid w:val="0085358A"/>
    <w:rsid w:val="00853676"/>
    <w:rsid w:val="0085374D"/>
    <w:rsid w:val="0085385A"/>
    <w:rsid w:val="008538B3"/>
    <w:rsid w:val="00853998"/>
    <w:rsid w:val="00854217"/>
    <w:rsid w:val="00854464"/>
    <w:rsid w:val="00854506"/>
    <w:rsid w:val="008545CF"/>
    <w:rsid w:val="00854AF6"/>
    <w:rsid w:val="00854E58"/>
    <w:rsid w:val="00854EF0"/>
    <w:rsid w:val="00854F1E"/>
    <w:rsid w:val="008550F6"/>
    <w:rsid w:val="00855275"/>
    <w:rsid w:val="00855746"/>
    <w:rsid w:val="008557C3"/>
    <w:rsid w:val="00855ABC"/>
    <w:rsid w:val="00855ADE"/>
    <w:rsid w:val="00856193"/>
    <w:rsid w:val="0085655B"/>
    <w:rsid w:val="00856AD8"/>
    <w:rsid w:val="00856B2F"/>
    <w:rsid w:val="00856C34"/>
    <w:rsid w:val="00856C98"/>
    <w:rsid w:val="00856FB3"/>
    <w:rsid w:val="0085711C"/>
    <w:rsid w:val="008574F9"/>
    <w:rsid w:val="00857668"/>
    <w:rsid w:val="008576AC"/>
    <w:rsid w:val="00857705"/>
    <w:rsid w:val="008578E4"/>
    <w:rsid w:val="008579D8"/>
    <w:rsid w:val="0086036E"/>
    <w:rsid w:val="00860AF4"/>
    <w:rsid w:val="00860C80"/>
    <w:rsid w:val="00860CE5"/>
    <w:rsid w:val="0086103B"/>
    <w:rsid w:val="0086123D"/>
    <w:rsid w:val="00861767"/>
    <w:rsid w:val="00861806"/>
    <w:rsid w:val="00861AD1"/>
    <w:rsid w:val="0086204A"/>
    <w:rsid w:val="008620D4"/>
    <w:rsid w:val="008621C6"/>
    <w:rsid w:val="008621D4"/>
    <w:rsid w:val="00862476"/>
    <w:rsid w:val="008627FB"/>
    <w:rsid w:val="00862A8A"/>
    <w:rsid w:val="00862B69"/>
    <w:rsid w:val="008630CC"/>
    <w:rsid w:val="00863120"/>
    <w:rsid w:val="008631B5"/>
    <w:rsid w:val="008632FD"/>
    <w:rsid w:val="00863355"/>
    <w:rsid w:val="0086337E"/>
    <w:rsid w:val="0086349C"/>
    <w:rsid w:val="008634D8"/>
    <w:rsid w:val="00863632"/>
    <w:rsid w:val="008636FF"/>
    <w:rsid w:val="00863853"/>
    <w:rsid w:val="008639A0"/>
    <w:rsid w:val="008639DB"/>
    <w:rsid w:val="00863A8B"/>
    <w:rsid w:val="00863C58"/>
    <w:rsid w:val="00863E95"/>
    <w:rsid w:val="0086406D"/>
    <w:rsid w:val="0086457B"/>
    <w:rsid w:val="00864A52"/>
    <w:rsid w:val="00864AC7"/>
    <w:rsid w:val="00864B20"/>
    <w:rsid w:val="00864C19"/>
    <w:rsid w:val="00864C5A"/>
    <w:rsid w:val="00864DA9"/>
    <w:rsid w:val="008653C0"/>
    <w:rsid w:val="00865445"/>
    <w:rsid w:val="00865546"/>
    <w:rsid w:val="00865627"/>
    <w:rsid w:val="008657B1"/>
    <w:rsid w:val="00865A33"/>
    <w:rsid w:val="00865DC1"/>
    <w:rsid w:val="00865E6F"/>
    <w:rsid w:val="00865E9B"/>
    <w:rsid w:val="00866159"/>
    <w:rsid w:val="008665EF"/>
    <w:rsid w:val="0086689F"/>
    <w:rsid w:val="00866C24"/>
    <w:rsid w:val="00866D44"/>
    <w:rsid w:val="00866DDE"/>
    <w:rsid w:val="00866EBD"/>
    <w:rsid w:val="008671B8"/>
    <w:rsid w:val="00867264"/>
    <w:rsid w:val="008672A7"/>
    <w:rsid w:val="008672FE"/>
    <w:rsid w:val="00867705"/>
    <w:rsid w:val="008679F8"/>
    <w:rsid w:val="00867AC0"/>
    <w:rsid w:val="00867B4C"/>
    <w:rsid w:val="00867C8B"/>
    <w:rsid w:val="00867D61"/>
    <w:rsid w:val="00867E67"/>
    <w:rsid w:val="00870112"/>
    <w:rsid w:val="008701D0"/>
    <w:rsid w:val="00870554"/>
    <w:rsid w:val="00870BBE"/>
    <w:rsid w:val="00870C8E"/>
    <w:rsid w:val="00870E9E"/>
    <w:rsid w:val="0087105A"/>
    <w:rsid w:val="0087168C"/>
    <w:rsid w:val="0087168E"/>
    <w:rsid w:val="008719E0"/>
    <w:rsid w:val="00871A8F"/>
    <w:rsid w:val="00871B70"/>
    <w:rsid w:val="00871F5C"/>
    <w:rsid w:val="0087215D"/>
    <w:rsid w:val="008721AD"/>
    <w:rsid w:val="00872607"/>
    <w:rsid w:val="00872FFD"/>
    <w:rsid w:val="0087365A"/>
    <w:rsid w:val="0087395D"/>
    <w:rsid w:val="00873E5C"/>
    <w:rsid w:val="00873E75"/>
    <w:rsid w:val="00874334"/>
    <w:rsid w:val="008743C7"/>
    <w:rsid w:val="00874857"/>
    <w:rsid w:val="008748B2"/>
    <w:rsid w:val="008748B8"/>
    <w:rsid w:val="00874CE8"/>
    <w:rsid w:val="00874E06"/>
    <w:rsid w:val="00874E45"/>
    <w:rsid w:val="00874EB2"/>
    <w:rsid w:val="0087501B"/>
    <w:rsid w:val="008750CD"/>
    <w:rsid w:val="008750F9"/>
    <w:rsid w:val="00875341"/>
    <w:rsid w:val="0087536F"/>
    <w:rsid w:val="008754AF"/>
    <w:rsid w:val="00875506"/>
    <w:rsid w:val="00875737"/>
    <w:rsid w:val="0087583F"/>
    <w:rsid w:val="0087588C"/>
    <w:rsid w:val="00875BC2"/>
    <w:rsid w:val="00875F8B"/>
    <w:rsid w:val="00876435"/>
    <w:rsid w:val="0087643A"/>
    <w:rsid w:val="008764D5"/>
    <w:rsid w:val="0087657E"/>
    <w:rsid w:val="0087684E"/>
    <w:rsid w:val="00876BAA"/>
    <w:rsid w:val="00876F26"/>
    <w:rsid w:val="0087704A"/>
    <w:rsid w:val="0087730D"/>
    <w:rsid w:val="008773CC"/>
    <w:rsid w:val="00877673"/>
    <w:rsid w:val="00877C12"/>
    <w:rsid w:val="00877ED8"/>
    <w:rsid w:val="00880152"/>
    <w:rsid w:val="008802FE"/>
    <w:rsid w:val="008803CE"/>
    <w:rsid w:val="00880513"/>
    <w:rsid w:val="00880677"/>
    <w:rsid w:val="008806B8"/>
    <w:rsid w:val="00880A40"/>
    <w:rsid w:val="00880A95"/>
    <w:rsid w:val="00880CF8"/>
    <w:rsid w:val="00880D45"/>
    <w:rsid w:val="008810DB"/>
    <w:rsid w:val="008811FE"/>
    <w:rsid w:val="0088122D"/>
    <w:rsid w:val="00881283"/>
    <w:rsid w:val="00881334"/>
    <w:rsid w:val="0088162B"/>
    <w:rsid w:val="00881671"/>
    <w:rsid w:val="008817C9"/>
    <w:rsid w:val="00881804"/>
    <w:rsid w:val="008818F0"/>
    <w:rsid w:val="00881995"/>
    <w:rsid w:val="00881A5D"/>
    <w:rsid w:val="00881AC4"/>
    <w:rsid w:val="00881BD1"/>
    <w:rsid w:val="00881C2F"/>
    <w:rsid w:val="00881C81"/>
    <w:rsid w:val="00881D8C"/>
    <w:rsid w:val="00882277"/>
    <w:rsid w:val="008825FB"/>
    <w:rsid w:val="00882A31"/>
    <w:rsid w:val="00882AEC"/>
    <w:rsid w:val="00882C06"/>
    <w:rsid w:val="00882CC7"/>
    <w:rsid w:val="00882EBC"/>
    <w:rsid w:val="00882F6C"/>
    <w:rsid w:val="00883162"/>
    <w:rsid w:val="008832A9"/>
    <w:rsid w:val="0088352B"/>
    <w:rsid w:val="00883644"/>
    <w:rsid w:val="0088381A"/>
    <w:rsid w:val="0088395B"/>
    <w:rsid w:val="00883CC3"/>
    <w:rsid w:val="00883DC4"/>
    <w:rsid w:val="0088415D"/>
    <w:rsid w:val="00884421"/>
    <w:rsid w:val="008844C4"/>
    <w:rsid w:val="008844D3"/>
    <w:rsid w:val="0088476E"/>
    <w:rsid w:val="00884F9C"/>
    <w:rsid w:val="008854E5"/>
    <w:rsid w:val="00885939"/>
    <w:rsid w:val="00885A72"/>
    <w:rsid w:val="00885BA4"/>
    <w:rsid w:val="00885FF5"/>
    <w:rsid w:val="00886267"/>
    <w:rsid w:val="008862AA"/>
    <w:rsid w:val="0088642D"/>
    <w:rsid w:val="008864A3"/>
    <w:rsid w:val="00886737"/>
    <w:rsid w:val="008869F4"/>
    <w:rsid w:val="0088712F"/>
    <w:rsid w:val="0088730F"/>
    <w:rsid w:val="008878EC"/>
    <w:rsid w:val="008879D3"/>
    <w:rsid w:val="00887A0B"/>
    <w:rsid w:val="00887A72"/>
    <w:rsid w:val="00887D1B"/>
    <w:rsid w:val="00887DB9"/>
    <w:rsid w:val="00890235"/>
    <w:rsid w:val="0089023C"/>
    <w:rsid w:val="0089027D"/>
    <w:rsid w:val="00890373"/>
    <w:rsid w:val="00890734"/>
    <w:rsid w:val="0089074C"/>
    <w:rsid w:val="00890894"/>
    <w:rsid w:val="008908C6"/>
    <w:rsid w:val="00890932"/>
    <w:rsid w:val="00890B3B"/>
    <w:rsid w:val="00891008"/>
    <w:rsid w:val="008911CB"/>
    <w:rsid w:val="00891217"/>
    <w:rsid w:val="0089131F"/>
    <w:rsid w:val="00891471"/>
    <w:rsid w:val="0089156C"/>
    <w:rsid w:val="008915C6"/>
    <w:rsid w:val="0089180C"/>
    <w:rsid w:val="00891A8B"/>
    <w:rsid w:val="00892253"/>
    <w:rsid w:val="008926DD"/>
    <w:rsid w:val="008928E0"/>
    <w:rsid w:val="00892C1B"/>
    <w:rsid w:val="00892C28"/>
    <w:rsid w:val="00892C3B"/>
    <w:rsid w:val="00893ABE"/>
    <w:rsid w:val="00893C96"/>
    <w:rsid w:val="00893D98"/>
    <w:rsid w:val="00893EEF"/>
    <w:rsid w:val="0089450D"/>
    <w:rsid w:val="0089479B"/>
    <w:rsid w:val="00894828"/>
    <w:rsid w:val="00894979"/>
    <w:rsid w:val="00894AC5"/>
    <w:rsid w:val="00894F80"/>
    <w:rsid w:val="0089591D"/>
    <w:rsid w:val="00895A9B"/>
    <w:rsid w:val="008962E2"/>
    <w:rsid w:val="0089633C"/>
    <w:rsid w:val="00896360"/>
    <w:rsid w:val="008963C0"/>
    <w:rsid w:val="0089658C"/>
    <w:rsid w:val="00896A24"/>
    <w:rsid w:val="00896E2F"/>
    <w:rsid w:val="0089722C"/>
    <w:rsid w:val="008975A2"/>
    <w:rsid w:val="00897846"/>
    <w:rsid w:val="00897B51"/>
    <w:rsid w:val="00897F44"/>
    <w:rsid w:val="008A0025"/>
    <w:rsid w:val="008A0638"/>
    <w:rsid w:val="008A06EC"/>
    <w:rsid w:val="008A0774"/>
    <w:rsid w:val="008A0850"/>
    <w:rsid w:val="008A0921"/>
    <w:rsid w:val="008A0AED"/>
    <w:rsid w:val="008A0BF4"/>
    <w:rsid w:val="008A0E55"/>
    <w:rsid w:val="008A0E7F"/>
    <w:rsid w:val="008A12B3"/>
    <w:rsid w:val="008A14CB"/>
    <w:rsid w:val="008A184F"/>
    <w:rsid w:val="008A185E"/>
    <w:rsid w:val="008A1A1F"/>
    <w:rsid w:val="008A1AFD"/>
    <w:rsid w:val="008A1B63"/>
    <w:rsid w:val="008A1C84"/>
    <w:rsid w:val="008A1EFB"/>
    <w:rsid w:val="008A20F0"/>
    <w:rsid w:val="008A2319"/>
    <w:rsid w:val="008A232C"/>
    <w:rsid w:val="008A2880"/>
    <w:rsid w:val="008A2A4F"/>
    <w:rsid w:val="008A2BE3"/>
    <w:rsid w:val="008A2C72"/>
    <w:rsid w:val="008A32C6"/>
    <w:rsid w:val="008A32E0"/>
    <w:rsid w:val="008A33A5"/>
    <w:rsid w:val="008A33C2"/>
    <w:rsid w:val="008A3425"/>
    <w:rsid w:val="008A3606"/>
    <w:rsid w:val="008A39F0"/>
    <w:rsid w:val="008A3AC2"/>
    <w:rsid w:val="008A3ADD"/>
    <w:rsid w:val="008A3B10"/>
    <w:rsid w:val="008A3B27"/>
    <w:rsid w:val="008A3D02"/>
    <w:rsid w:val="008A3EAB"/>
    <w:rsid w:val="008A40BC"/>
    <w:rsid w:val="008A40DD"/>
    <w:rsid w:val="008A41CD"/>
    <w:rsid w:val="008A4355"/>
    <w:rsid w:val="008A43DE"/>
    <w:rsid w:val="008A46B5"/>
    <w:rsid w:val="008A4880"/>
    <w:rsid w:val="008A49F4"/>
    <w:rsid w:val="008A4BD1"/>
    <w:rsid w:val="008A5059"/>
    <w:rsid w:val="008A517F"/>
    <w:rsid w:val="008A52B1"/>
    <w:rsid w:val="008A5486"/>
    <w:rsid w:val="008A5679"/>
    <w:rsid w:val="008A5754"/>
    <w:rsid w:val="008A5764"/>
    <w:rsid w:val="008A5859"/>
    <w:rsid w:val="008A5B91"/>
    <w:rsid w:val="008A5D9C"/>
    <w:rsid w:val="008A5DE1"/>
    <w:rsid w:val="008A5E0E"/>
    <w:rsid w:val="008A6014"/>
    <w:rsid w:val="008A6363"/>
    <w:rsid w:val="008A6546"/>
    <w:rsid w:val="008A6667"/>
    <w:rsid w:val="008A770D"/>
    <w:rsid w:val="008A7B84"/>
    <w:rsid w:val="008A7BD3"/>
    <w:rsid w:val="008A7E51"/>
    <w:rsid w:val="008A7F9C"/>
    <w:rsid w:val="008B0132"/>
    <w:rsid w:val="008B04DE"/>
    <w:rsid w:val="008B051F"/>
    <w:rsid w:val="008B0520"/>
    <w:rsid w:val="008B05E2"/>
    <w:rsid w:val="008B07E6"/>
    <w:rsid w:val="008B0913"/>
    <w:rsid w:val="008B0926"/>
    <w:rsid w:val="008B0993"/>
    <w:rsid w:val="008B0BAE"/>
    <w:rsid w:val="008B0C53"/>
    <w:rsid w:val="008B1193"/>
    <w:rsid w:val="008B1230"/>
    <w:rsid w:val="008B131F"/>
    <w:rsid w:val="008B1460"/>
    <w:rsid w:val="008B15F1"/>
    <w:rsid w:val="008B176E"/>
    <w:rsid w:val="008B1B63"/>
    <w:rsid w:val="008B1BD1"/>
    <w:rsid w:val="008B1DFD"/>
    <w:rsid w:val="008B1F95"/>
    <w:rsid w:val="008B1FFD"/>
    <w:rsid w:val="008B2100"/>
    <w:rsid w:val="008B21AD"/>
    <w:rsid w:val="008B222D"/>
    <w:rsid w:val="008B2287"/>
    <w:rsid w:val="008B274F"/>
    <w:rsid w:val="008B2785"/>
    <w:rsid w:val="008B2825"/>
    <w:rsid w:val="008B2B86"/>
    <w:rsid w:val="008B2C31"/>
    <w:rsid w:val="008B2E23"/>
    <w:rsid w:val="008B2E71"/>
    <w:rsid w:val="008B2FAA"/>
    <w:rsid w:val="008B3191"/>
    <w:rsid w:val="008B33C1"/>
    <w:rsid w:val="008B3508"/>
    <w:rsid w:val="008B3BA8"/>
    <w:rsid w:val="008B3C2A"/>
    <w:rsid w:val="008B3D7F"/>
    <w:rsid w:val="008B3DD6"/>
    <w:rsid w:val="008B41CB"/>
    <w:rsid w:val="008B41D6"/>
    <w:rsid w:val="008B4228"/>
    <w:rsid w:val="008B4623"/>
    <w:rsid w:val="008B46F0"/>
    <w:rsid w:val="008B4AFB"/>
    <w:rsid w:val="008B4CD2"/>
    <w:rsid w:val="008B4EA4"/>
    <w:rsid w:val="008B4F90"/>
    <w:rsid w:val="008B5138"/>
    <w:rsid w:val="008B5A47"/>
    <w:rsid w:val="008B5B32"/>
    <w:rsid w:val="008B5B98"/>
    <w:rsid w:val="008B5DDB"/>
    <w:rsid w:val="008B624F"/>
    <w:rsid w:val="008B6286"/>
    <w:rsid w:val="008B64EF"/>
    <w:rsid w:val="008B6528"/>
    <w:rsid w:val="008B67BF"/>
    <w:rsid w:val="008B6AA7"/>
    <w:rsid w:val="008B6BE2"/>
    <w:rsid w:val="008B6EE7"/>
    <w:rsid w:val="008B71D8"/>
    <w:rsid w:val="008B75B1"/>
    <w:rsid w:val="008B76F7"/>
    <w:rsid w:val="008B7BA0"/>
    <w:rsid w:val="008B7F49"/>
    <w:rsid w:val="008C0140"/>
    <w:rsid w:val="008C05BF"/>
    <w:rsid w:val="008C0839"/>
    <w:rsid w:val="008C09E4"/>
    <w:rsid w:val="008C0B73"/>
    <w:rsid w:val="008C0BA8"/>
    <w:rsid w:val="008C0BF3"/>
    <w:rsid w:val="008C116A"/>
    <w:rsid w:val="008C1513"/>
    <w:rsid w:val="008C1740"/>
    <w:rsid w:val="008C1787"/>
    <w:rsid w:val="008C19D8"/>
    <w:rsid w:val="008C1A14"/>
    <w:rsid w:val="008C2069"/>
    <w:rsid w:val="008C2242"/>
    <w:rsid w:val="008C2324"/>
    <w:rsid w:val="008C23A4"/>
    <w:rsid w:val="008C240D"/>
    <w:rsid w:val="008C2989"/>
    <w:rsid w:val="008C2C9D"/>
    <w:rsid w:val="008C315C"/>
    <w:rsid w:val="008C33FE"/>
    <w:rsid w:val="008C3447"/>
    <w:rsid w:val="008C34E0"/>
    <w:rsid w:val="008C3552"/>
    <w:rsid w:val="008C3A0F"/>
    <w:rsid w:val="008C3A37"/>
    <w:rsid w:val="008C3B63"/>
    <w:rsid w:val="008C3D0F"/>
    <w:rsid w:val="008C41C3"/>
    <w:rsid w:val="008C421F"/>
    <w:rsid w:val="008C460D"/>
    <w:rsid w:val="008C4858"/>
    <w:rsid w:val="008C4991"/>
    <w:rsid w:val="008C4B2F"/>
    <w:rsid w:val="008C4B64"/>
    <w:rsid w:val="008C54EF"/>
    <w:rsid w:val="008C56C3"/>
    <w:rsid w:val="008C57FC"/>
    <w:rsid w:val="008C58A0"/>
    <w:rsid w:val="008C598B"/>
    <w:rsid w:val="008C59D4"/>
    <w:rsid w:val="008C5AE5"/>
    <w:rsid w:val="008C5B6C"/>
    <w:rsid w:val="008C5BBB"/>
    <w:rsid w:val="008C5BE9"/>
    <w:rsid w:val="008C5FA3"/>
    <w:rsid w:val="008C6339"/>
    <w:rsid w:val="008C65A5"/>
    <w:rsid w:val="008C6733"/>
    <w:rsid w:val="008C67E8"/>
    <w:rsid w:val="008C682B"/>
    <w:rsid w:val="008C69C5"/>
    <w:rsid w:val="008C6FBC"/>
    <w:rsid w:val="008C712E"/>
    <w:rsid w:val="008C7356"/>
    <w:rsid w:val="008C7603"/>
    <w:rsid w:val="008C764A"/>
    <w:rsid w:val="008C76D9"/>
    <w:rsid w:val="008C7D52"/>
    <w:rsid w:val="008C7F9F"/>
    <w:rsid w:val="008D014A"/>
    <w:rsid w:val="008D03E2"/>
    <w:rsid w:val="008D0778"/>
    <w:rsid w:val="008D083D"/>
    <w:rsid w:val="008D09DD"/>
    <w:rsid w:val="008D102F"/>
    <w:rsid w:val="008D103F"/>
    <w:rsid w:val="008D1491"/>
    <w:rsid w:val="008D167D"/>
    <w:rsid w:val="008D16B2"/>
    <w:rsid w:val="008D1784"/>
    <w:rsid w:val="008D18C1"/>
    <w:rsid w:val="008D1F5A"/>
    <w:rsid w:val="008D23DB"/>
    <w:rsid w:val="008D249D"/>
    <w:rsid w:val="008D2508"/>
    <w:rsid w:val="008D269A"/>
    <w:rsid w:val="008D2703"/>
    <w:rsid w:val="008D2965"/>
    <w:rsid w:val="008D2B66"/>
    <w:rsid w:val="008D3168"/>
    <w:rsid w:val="008D3296"/>
    <w:rsid w:val="008D32E3"/>
    <w:rsid w:val="008D3529"/>
    <w:rsid w:val="008D37F0"/>
    <w:rsid w:val="008D3C0C"/>
    <w:rsid w:val="008D3F6C"/>
    <w:rsid w:val="008D41E0"/>
    <w:rsid w:val="008D475B"/>
    <w:rsid w:val="008D4DF5"/>
    <w:rsid w:val="008D4EAE"/>
    <w:rsid w:val="008D52A2"/>
    <w:rsid w:val="008D532B"/>
    <w:rsid w:val="008D53AA"/>
    <w:rsid w:val="008D5A13"/>
    <w:rsid w:val="008D5BA3"/>
    <w:rsid w:val="008D60D3"/>
    <w:rsid w:val="008D61B9"/>
    <w:rsid w:val="008D6464"/>
    <w:rsid w:val="008D65AB"/>
    <w:rsid w:val="008D681E"/>
    <w:rsid w:val="008D6B1C"/>
    <w:rsid w:val="008D6B94"/>
    <w:rsid w:val="008D6BDE"/>
    <w:rsid w:val="008D6C10"/>
    <w:rsid w:val="008D6D3C"/>
    <w:rsid w:val="008D70AA"/>
    <w:rsid w:val="008D7672"/>
    <w:rsid w:val="008D77E4"/>
    <w:rsid w:val="008D78FF"/>
    <w:rsid w:val="008D798F"/>
    <w:rsid w:val="008D79A9"/>
    <w:rsid w:val="008D7BF5"/>
    <w:rsid w:val="008D7F0C"/>
    <w:rsid w:val="008E02C1"/>
    <w:rsid w:val="008E02CD"/>
    <w:rsid w:val="008E094A"/>
    <w:rsid w:val="008E0960"/>
    <w:rsid w:val="008E0969"/>
    <w:rsid w:val="008E09FA"/>
    <w:rsid w:val="008E11B9"/>
    <w:rsid w:val="008E126B"/>
    <w:rsid w:val="008E12AE"/>
    <w:rsid w:val="008E12C7"/>
    <w:rsid w:val="008E1307"/>
    <w:rsid w:val="008E15EA"/>
    <w:rsid w:val="008E18F0"/>
    <w:rsid w:val="008E1929"/>
    <w:rsid w:val="008E1A42"/>
    <w:rsid w:val="008E1AC9"/>
    <w:rsid w:val="008E1E19"/>
    <w:rsid w:val="008E1F85"/>
    <w:rsid w:val="008E24F3"/>
    <w:rsid w:val="008E264C"/>
    <w:rsid w:val="008E274E"/>
    <w:rsid w:val="008E27DE"/>
    <w:rsid w:val="008E28A3"/>
    <w:rsid w:val="008E2DB7"/>
    <w:rsid w:val="008E2E07"/>
    <w:rsid w:val="008E3624"/>
    <w:rsid w:val="008E3DCA"/>
    <w:rsid w:val="008E3DD3"/>
    <w:rsid w:val="008E4309"/>
    <w:rsid w:val="008E4361"/>
    <w:rsid w:val="008E4368"/>
    <w:rsid w:val="008E4435"/>
    <w:rsid w:val="008E4484"/>
    <w:rsid w:val="008E4498"/>
    <w:rsid w:val="008E487A"/>
    <w:rsid w:val="008E4E39"/>
    <w:rsid w:val="008E4E5C"/>
    <w:rsid w:val="008E5062"/>
    <w:rsid w:val="008E50D6"/>
    <w:rsid w:val="008E5564"/>
    <w:rsid w:val="008E56AF"/>
    <w:rsid w:val="008E5B2A"/>
    <w:rsid w:val="008E5C97"/>
    <w:rsid w:val="008E5F57"/>
    <w:rsid w:val="008E632B"/>
    <w:rsid w:val="008E6359"/>
    <w:rsid w:val="008E63AA"/>
    <w:rsid w:val="008E6573"/>
    <w:rsid w:val="008E7096"/>
    <w:rsid w:val="008E7763"/>
    <w:rsid w:val="008E7824"/>
    <w:rsid w:val="008E78DB"/>
    <w:rsid w:val="008E79C6"/>
    <w:rsid w:val="008E79D5"/>
    <w:rsid w:val="008E7AEF"/>
    <w:rsid w:val="008E7DA9"/>
    <w:rsid w:val="008E7DF3"/>
    <w:rsid w:val="008E7F5B"/>
    <w:rsid w:val="008E7FEC"/>
    <w:rsid w:val="008F0458"/>
    <w:rsid w:val="008F0497"/>
    <w:rsid w:val="008F04C7"/>
    <w:rsid w:val="008F05BF"/>
    <w:rsid w:val="008F05D8"/>
    <w:rsid w:val="008F0694"/>
    <w:rsid w:val="008F07FC"/>
    <w:rsid w:val="008F0915"/>
    <w:rsid w:val="008F091C"/>
    <w:rsid w:val="008F0C16"/>
    <w:rsid w:val="008F0D6E"/>
    <w:rsid w:val="008F0FCD"/>
    <w:rsid w:val="008F105B"/>
    <w:rsid w:val="008F120B"/>
    <w:rsid w:val="008F149F"/>
    <w:rsid w:val="008F1634"/>
    <w:rsid w:val="008F1A65"/>
    <w:rsid w:val="008F226B"/>
    <w:rsid w:val="008F2730"/>
    <w:rsid w:val="008F273B"/>
    <w:rsid w:val="008F283D"/>
    <w:rsid w:val="008F2D87"/>
    <w:rsid w:val="008F2FD3"/>
    <w:rsid w:val="008F305E"/>
    <w:rsid w:val="008F326A"/>
    <w:rsid w:val="008F3479"/>
    <w:rsid w:val="008F3519"/>
    <w:rsid w:val="008F3634"/>
    <w:rsid w:val="008F3A31"/>
    <w:rsid w:val="008F3AEC"/>
    <w:rsid w:val="008F3EE6"/>
    <w:rsid w:val="008F3FDF"/>
    <w:rsid w:val="008F4399"/>
    <w:rsid w:val="008F4407"/>
    <w:rsid w:val="008F447E"/>
    <w:rsid w:val="008F44DF"/>
    <w:rsid w:val="008F49DB"/>
    <w:rsid w:val="008F4A7E"/>
    <w:rsid w:val="008F4AB3"/>
    <w:rsid w:val="008F4AD4"/>
    <w:rsid w:val="008F4BF6"/>
    <w:rsid w:val="008F4CF5"/>
    <w:rsid w:val="008F4E44"/>
    <w:rsid w:val="008F518E"/>
    <w:rsid w:val="008F51D6"/>
    <w:rsid w:val="008F523C"/>
    <w:rsid w:val="008F5299"/>
    <w:rsid w:val="008F5CF7"/>
    <w:rsid w:val="008F5E79"/>
    <w:rsid w:val="008F624C"/>
    <w:rsid w:val="008F6781"/>
    <w:rsid w:val="008F681C"/>
    <w:rsid w:val="008F6FB7"/>
    <w:rsid w:val="008F703E"/>
    <w:rsid w:val="008F72BF"/>
    <w:rsid w:val="008F7700"/>
    <w:rsid w:val="008F7789"/>
    <w:rsid w:val="00900041"/>
    <w:rsid w:val="009000E7"/>
    <w:rsid w:val="00900174"/>
    <w:rsid w:val="0090020A"/>
    <w:rsid w:val="0090033C"/>
    <w:rsid w:val="009003BE"/>
    <w:rsid w:val="00900715"/>
    <w:rsid w:val="0090083E"/>
    <w:rsid w:val="00900936"/>
    <w:rsid w:val="00900A3F"/>
    <w:rsid w:val="00900C5C"/>
    <w:rsid w:val="00900FEA"/>
    <w:rsid w:val="00901343"/>
    <w:rsid w:val="00901605"/>
    <w:rsid w:val="00901C26"/>
    <w:rsid w:val="00901E01"/>
    <w:rsid w:val="00902199"/>
    <w:rsid w:val="009023B3"/>
    <w:rsid w:val="00902549"/>
    <w:rsid w:val="009025CF"/>
    <w:rsid w:val="009026AA"/>
    <w:rsid w:val="00902922"/>
    <w:rsid w:val="0090298A"/>
    <w:rsid w:val="00902A71"/>
    <w:rsid w:val="00902C12"/>
    <w:rsid w:val="00902D2D"/>
    <w:rsid w:val="00902E92"/>
    <w:rsid w:val="00902EB7"/>
    <w:rsid w:val="00903205"/>
    <w:rsid w:val="00903783"/>
    <w:rsid w:val="009038B4"/>
    <w:rsid w:val="00903F33"/>
    <w:rsid w:val="00903F40"/>
    <w:rsid w:val="00903FF4"/>
    <w:rsid w:val="00904121"/>
    <w:rsid w:val="00904204"/>
    <w:rsid w:val="009044F3"/>
    <w:rsid w:val="0090467A"/>
    <w:rsid w:val="00904780"/>
    <w:rsid w:val="00904B0F"/>
    <w:rsid w:val="00904B13"/>
    <w:rsid w:val="00904BE9"/>
    <w:rsid w:val="00904DEE"/>
    <w:rsid w:val="00904E8B"/>
    <w:rsid w:val="00904FDA"/>
    <w:rsid w:val="00905183"/>
    <w:rsid w:val="00905209"/>
    <w:rsid w:val="0090524E"/>
    <w:rsid w:val="009052CB"/>
    <w:rsid w:val="009054EB"/>
    <w:rsid w:val="009060EA"/>
    <w:rsid w:val="00906349"/>
    <w:rsid w:val="00906A54"/>
    <w:rsid w:val="00906C06"/>
    <w:rsid w:val="00906C2F"/>
    <w:rsid w:val="00906C5E"/>
    <w:rsid w:val="00906DEB"/>
    <w:rsid w:val="00906DFB"/>
    <w:rsid w:val="00906E8B"/>
    <w:rsid w:val="00906EE5"/>
    <w:rsid w:val="0090719F"/>
    <w:rsid w:val="00907334"/>
    <w:rsid w:val="0090734D"/>
    <w:rsid w:val="00907541"/>
    <w:rsid w:val="009075B4"/>
    <w:rsid w:val="00907801"/>
    <w:rsid w:val="00907866"/>
    <w:rsid w:val="00907899"/>
    <w:rsid w:val="00907B02"/>
    <w:rsid w:val="00907D98"/>
    <w:rsid w:val="00907DE8"/>
    <w:rsid w:val="00907F8D"/>
    <w:rsid w:val="00907FF6"/>
    <w:rsid w:val="0091002C"/>
    <w:rsid w:val="009102F1"/>
    <w:rsid w:val="00910AE3"/>
    <w:rsid w:val="00910DDF"/>
    <w:rsid w:val="009110DE"/>
    <w:rsid w:val="009115DF"/>
    <w:rsid w:val="0091186D"/>
    <w:rsid w:val="0091189F"/>
    <w:rsid w:val="00911A8A"/>
    <w:rsid w:val="00911DA4"/>
    <w:rsid w:val="00911E47"/>
    <w:rsid w:val="0091238F"/>
    <w:rsid w:val="0091246F"/>
    <w:rsid w:val="009124ED"/>
    <w:rsid w:val="0091278D"/>
    <w:rsid w:val="00912AF0"/>
    <w:rsid w:val="00912D71"/>
    <w:rsid w:val="00912F50"/>
    <w:rsid w:val="00912FF6"/>
    <w:rsid w:val="009131B7"/>
    <w:rsid w:val="00913258"/>
    <w:rsid w:val="00913259"/>
    <w:rsid w:val="009136BE"/>
    <w:rsid w:val="00913AE3"/>
    <w:rsid w:val="0091419E"/>
    <w:rsid w:val="00914731"/>
    <w:rsid w:val="009149F2"/>
    <w:rsid w:val="00914BD0"/>
    <w:rsid w:val="00914D38"/>
    <w:rsid w:val="00914DA7"/>
    <w:rsid w:val="00914F26"/>
    <w:rsid w:val="0091504D"/>
    <w:rsid w:val="00915230"/>
    <w:rsid w:val="009155C6"/>
    <w:rsid w:val="00915731"/>
    <w:rsid w:val="009157D7"/>
    <w:rsid w:val="00915BA8"/>
    <w:rsid w:val="00915CCA"/>
    <w:rsid w:val="00915D04"/>
    <w:rsid w:val="00915D51"/>
    <w:rsid w:val="00915D9C"/>
    <w:rsid w:val="00915F41"/>
    <w:rsid w:val="00915F63"/>
    <w:rsid w:val="00915FC3"/>
    <w:rsid w:val="009161C9"/>
    <w:rsid w:val="009168BA"/>
    <w:rsid w:val="00916AF0"/>
    <w:rsid w:val="00916AFA"/>
    <w:rsid w:val="00916D05"/>
    <w:rsid w:val="00916D4D"/>
    <w:rsid w:val="00916E79"/>
    <w:rsid w:val="00916EA1"/>
    <w:rsid w:val="00917196"/>
    <w:rsid w:val="009171AC"/>
    <w:rsid w:val="009171DD"/>
    <w:rsid w:val="0091721E"/>
    <w:rsid w:val="009175A6"/>
    <w:rsid w:val="009175B2"/>
    <w:rsid w:val="009177E9"/>
    <w:rsid w:val="0091791C"/>
    <w:rsid w:val="00917B28"/>
    <w:rsid w:val="00917D11"/>
    <w:rsid w:val="0092016A"/>
    <w:rsid w:val="009202D2"/>
    <w:rsid w:val="0092085C"/>
    <w:rsid w:val="009208B0"/>
    <w:rsid w:val="00920A6B"/>
    <w:rsid w:val="00920AED"/>
    <w:rsid w:val="00920B64"/>
    <w:rsid w:val="0092183A"/>
    <w:rsid w:val="0092193A"/>
    <w:rsid w:val="00921EA1"/>
    <w:rsid w:val="00922180"/>
    <w:rsid w:val="009221AD"/>
    <w:rsid w:val="00922298"/>
    <w:rsid w:val="00922482"/>
    <w:rsid w:val="009227C3"/>
    <w:rsid w:val="009227D6"/>
    <w:rsid w:val="00922A16"/>
    <w:rsid w:val="00922BF7"/>
    <w:rsid w:val="00922D79"/>
    <w:rsid w:val="00922E3D"/>
    <w:rsid w:val="00922E41"/>
    <w:rsid w:val="00923366"/>
    <w:rsid w:val="009233D7"/>
    <w:rsid w:val="0092361C"/>
    <w:rsid w:val="009236A3"/>
    <w:rsid w:val="00923769"/>
    <w:rsid w:val="00923B21"/>
    <w:rsid w:val="00923C2D"/>
    <w:rsid w:val="00923CB4"/>
    <w:rsid w:val="00923D2F"/>
    <w:rsid w:val="009240B7"/>
    <w:rsid w:val="00924591"/>
    <w:rsid w:val="00924810"/>
    <w:rsid w:val="009249D5"/>
    <w:rsid w:val="00924D2D"/>
    <w:rsid w:val="00924DCE"/>
    <w:rsid w:val="00924DF7"/>
    <w:rsid w:val="00925115"/>
    <w:rsid w:val="00925165"/>
    <w:rsid w:val="00925166"/>
    <w:rsid w:val="0092525C"/>
    <w:rsid w:val="009252CE"/>
    <w:rsid w:val="0092536F"/>
    <w:rsid w:val="00925491"/>
    <w:rsid w:val="009257C1"/>
    <w:rsid w:val="009258EA"/>
    <w:rsid w:val="00925A27"/>
    <w:rsid w:val="00925AA0"/>
    <w:rsid w:val="00925BAF"/>
    <w:rsid w:val="0092600B"/>
    <w:rsid w:val="0092611E"/>
    <w:rsid w:val="00926172"/>
    <w:rsid w:val="00926397"/>
    <w:rsid w:val="00926484"/>
    <w:rsid w:val="009264C0"/>
    <w:rsid w:val="00926572"/>
    <w:rsid w:val="009265C7"/>
    <w:rsid w:val="009266B4"/>
    <w:rsid w:val="00926AD3"/>
    <w:rsid w:val="00926C42"/>
    <w:rsid w:val="00926C4B"/>
    <w:rsid w:val="00926C8C"/>
    <w:rsid w:val="00926D45"/>
    <w:rsid w:val="00926D7C"/>
    <w:rsid w:val="0092745C"/>
    <w:rsid w:val="009275D3"/>
    <w:rsid w:val="00927668"/>
    <w:rsid w:val="00927A7A"/>
    <w:rsid w:val="00927C8D"/>
    <w:rsid w:val="00927DEB"/>
    <w:rsid w:val="0093012D"/>
    <w:rsid w:val="009301B7"/>
    <w:rsid w:val="00930618"/>
    <w:rsid w:val="0093079D"/>
    <w:rsid w:val="00930988"/>
    <w:rsid w:val="00930B1E"/>
    <w:rsid w:val="00930D09"/>
    <w:rsid w:val="00930DBF"/>
    <w:rsid w:val="00931044"/>
    <w:rsid w:val="0093115B"/>
    <w:rsid w:val="009312E4"/>
    <w:rsid w:val="009314C2"/>
    <w:rsid w:val="00931561"/>
    <w:rsid w:val="0093156C"/>
    <w:rsid w:val="00931788"/>
    <w:rsid w:val="0093178F"/>
    <w:rsid w:val="00931976"/>
    <w:rsid w:val="00931BE1"/>
    <w:rsid w:val="00931DE3"/>
    <w:rsid w:val="00931ECF"/>
    <w:rsid w:val="0093208C"/>
    <w:rsid w:val="0093212F"/>
    <w:rsid w:val="0093221B"/>
    <w:rsid w:val="00932419"/>
    <w:rsid w:val="00932493"/>
    <w:rsid w:val="009324B8"/>
    <w:rsid w:val="009328C9"/>
    <w:rsid w:val="00932CE0"/>
    <w:rsid w:val="00932ED1"/>
    <w:rsid w:val="009331CF"/>
    <w:rsid w:val="009334AC"/>
    <w:rsid w:val="0093358E"/>
    <w:rsid w:val="00933624"/>
    <w:rsid w:val="00933C9A"/>
    <w:rsid w:val="00933E5F"/>
    <w:rsid w:val="00934056"/>
    <w:rsid w:val="00934060"/>
    <w:rsid w:val="009341F7"/>
    <w:rsid w:val="0093424D"/>
    <w:rsid w:val="00934564"/>
    <w:rsid w:val="009345CA"/>
    <w:rsid w:val="0093493D"/>
    <w:rsid w:val="00934F55"/>
    <w:rsid w:val="00934FEE"/>
    <w:rsid w:val="009351FB"/>
    <w:rsid w:val="00935301"/>
    <w:rsid w:val="00935370"/>
    <w:rsid w:val="009355FD"/>
    <w:rsid w:val="009356DA"/>
    <w:rsid w:val="00935A11"/>
    <w:rsid w:val="00935C1C"/>
    <w:rsid w:val="00935D95"/>
    <w:rsid w:val="00935E03"/>
    <w:rsid w:val="00935EBC"/>
    <w:rsid w:val="0093611E"/>
    <w:rsid w:val="009362F7"/>
    <w:rsid w:val="0093654C"/>
    <w:rsid w:val="00936782"/>
    <w:rsid w:val="009367E2"/>
    <w:rsid w:val="00936A34"/>
    <w:rsid w:val="009371DF"/>
    <w:rsid w:val="0093725F"/>
    <w:rsid w:val="009373FE"/>
    <w:rsid w:val="00937426"/>
    <w:rsid w:val="00937466"/>
    <w:rsid w:val="00937497"/>
    <w:rsid w:val="00937A13"/>
    <w:rsid w:val="00937AE7"/>
    <w:rsid w:val="00937CDA"/>
    <w:rsid w:val="00937D7A"/>
    <w:rsid w:val="00937E3D"/>
    <w:rsid w:val="00937E53"/>
    <w:rsid w:val="00937EA4"/>
    <w:rsid w:val="0094009D"/>
    <w:rsid w:val="00940145"/>
    <w:rsid w:val="009403F5"/>
    <w:rsid w:val="009404B8"/>
    <w:rsid w:val="009409AF"/>
    <w:rsid w:val="009409B6"/>
    <w:rsid w:val="00940A9A"/>
    <w:rsid w:val="00940BF4"/>
    <w:rsid w:val="00941012"/>
    <w:rsid w:val="00941195"/>
    <w:rsid w:val="009411EA"/>
    <w:rsid w:val="0094146D"/>
    <w:rsid w:val="00941573"/>
    <w:rsid w:val="009417E6"/>
    <w:rsid w:val="009418CD"/>
    <w:rsid w:val="00941A22"/>
    <w:rsid w:val="00941AE6"/>
    <w:rsid w:val="00941ED9"/>
    <w:rsid w:val="00942010"/>
    <w:rsid w:val="00942700"/>
    <w:rsid w:val="0094287E"/>
    <w:rsid w:val="00942922"/>
    <w:rsid w:val="009429A3"/>
    <w:rsid w:val="00942C3C"/>
    <w:rsid w:val="00942D5D"/>
    <w:rsid w:val="0094313F"/>
    <w:rsid w:val="0094320A"/>
    <w:rsid w:val="009435A5"/>
    <w:rsid w:val="0094369D"/>
    <w:rsid w:val="009437C3"/>
    <w:rsid w:val="009438C2"/>
    <w:rsid w:val="009439BE"/>
    <w:rsid w:val="00943D3D"/>
    <w:rsid w:val="00943D72"/>
    <w:rsid w:val="009441B8"/>
    <w:rsid w:val="00944291"/>
    <w:rsid w:val="00944423"/>
    <w:rsid w:val="00944435"/>
    <w:rsid w:val="009445E2"/>
    <w:rsid w:val="00944A70"/>
    <w:rsid w:val="00944C33"/>
    <w:rsid w:val="00944E9F"/>
    <w:rsid w:val="009450DA"/>
    <w:rsid w:val="00945311"/>
    <w:rsid w:val="0094554E"/>
    <w:rsid w:val="009455AB"/>
    <w:rsid w:val="009455B7"/>
    <w:rsid w:val="00945A89"/>
    <w:rsid w:val="00945AD6"/>
    <w:rsid w:val="00945D57"/>
    <w:rsid w:val="00945F1C"/>
    <w:rsid w:val="00946161"/>
    <w:rsid w:val="009461A0"/>
    <w:rsid w:val="009464CE"/>
    <w:rsid w:val="00946B78"/>
    <w:rsid w:val="00946D64"/>
    <w:rsid w:val="00946EC8"/>
    <w:rsid w:val="00946F0D"/>
    <w:rsid w:val="00947035"/>
    <w:rsid w:val="0094780E"/>
    <w:rsid w:val="00947993"/>
    <w:rsid w:val="00947E55"/>
    <w:rsid w:val="009502AF"/>
    <w:rsid w:val="0095058A"/>
    <w:rsid w:val="00950600"/>
    <w:rsid w:val="00950839"/>
    <w:rsid w:val="009509B4"/>
    <w:rsid w:val="00950CBE"/>
    <w:rsid w:val="00950DE9"/>
    <w:rsid w:val="00950EC8"/>
    <w:rsid w:val="00951474"/>
    <w:rsid w:val="0095170D"/>
    <w:rsid w:val="009517B2"/>
    <w:rsid w:val="00951C6E"/>
    <w:rsid w:val="0095250E"/>
    <w:rsid w:val="00952558"/>
    <w:rsid w:val="0095258A"/>
    <w:rsid w:val="00952632"/>
    <w:rsid w:val="00952AF1"/>
    <w:rsid w:val="00952D55"/>
    <w:rsid w:val="00952DA1"/>
    <w:rsid w:val="00952FD8"/>
    <w:rsid w:val="0095307F"/>
    <w:rsid w:val="0095326A"/>
    <w:rsid w:val="009532AF"/>
    <w:rsid w:val="009532B6"/>
    <w:rsid w:val="00953559"/>
    <w:rsid w:val="0095358F"/>
    <w:rsid w:val="009535EF"/>
    <w:rsid w:val="00953A73"/>
    <w:rsid w:val="00953A7D"/>
    <w:rsid w:val="00953CD1"/>
    <w:rsid w:val="009540FE"/>
    <w:rsid w:val="009541FF"/>
    <w:rsid w:val="009542E7"/>
    <w:rsid w:val="009548FF"/>
    <w:rsid w:val="00954965"/>
    <w:rsid w:val="009549A8"/>
    <w:rsid w:val="00955526"/>
    <w:rsid w:val="00955A10"/>
    <w:rsid w:val="00955A7F"/>
    <w:rsid w:val="00955ABF"/>
    <w:rsid w:val="00955D9A"/>
    <w:rsid w:val="0095647C"/>
    <w:rsid w:val="00956506"/>
    <w:rsid w:val="00956643"/>
    <w:rsid w:val="009566DA"/>
    <w:rsid w:val="00956750"/>
    <w:rsid w:val="00956943"/>
    <w:rsid w:val="00956D96"/>
    <w:rsid w:val="00957009"/>
    <w:rsid w:val="00957080"/>
    <w:rsid w:val="0095717B"/>
    <w:rsid w:val="00957707"/>
    <w:rsid w:val="009577F8"/>
    <w:rsid w:val="00957B11"/>
    <w:rsid w:val="00957B8E"/>
    <w:rsid w:val="00957BC1"/>
    <w:rsid w:val="00957BD1"/>
    <w:rsid w:val="00957CB3"/>
    <w:rsid w:val="00957F6B"/>
    <w:rsid w:val="00957FD5"/>
    <w:rsid w:val="00960091"/>
    <w:rsid w:val="009600D1"/>
    <w:rsid w:val="00960523"/>
    <w:rsid w:val="00960672"/>
    <w:rsid w:val="00960699"/>
    <w:rsid w:val="009606F5"/>
    <w:rsid w:val="00960A30"/>
    <w:rsid w:val="00960AF4"/>
    <w:rsid w:val="00960D2B"/>
    <w:rsid w:val="00960F39"/>
    <w:rsid w:val="009612BB"/>
    <w:rsid w:val="00961536"/>
    <w:rsid w:val="00962108"/>
    <w:rsid w:val="009622AE"/>
    <w:rsid w:val="009624EC"/>
    <w:rsid w:val="009624F6"/>
    <w:rsid w:val="00962538"/>
    <w:rsid w:val="00962EEF"/>
    <w:rsid w:val="0096301C"/>
    <w:rsid w:val="009632C5"/>
    <w:rsid w:val="00963329"/>
    <w:rsid w:val="00963484"/>
    <w:rsid w:val="00963511"/>
    <w:rsid w:val="00963620"/>
    <w:rsid w:val="00963874"/>
    <w:rsid w:val="00963904"/>
    <w:rsid w:val="009639A1"/>
    <w:rsid w:val="00963EE9"/>
    <w:rsid w:val="009641E9"/>
    <w:rsid w:val="009645C7"/>
    <w:rsid w:val="0096473C"/>
    <w:rsid w:val="00964816"/>
    <w:rsid w:val="00964989"/>
    <w:rsid w:val="009649FE"/>
    <w:rsid w:val="00965269"/>
    <w:rsid w:val="009654E4"/>
    <w:rsid w:val="009655DC"/>
    <w:rsid w:val="009655E2"/>
    <w:rsid w:val="00965757"/>
    <w:rsid w:val="00965816"/>
    <w:rsid w:val="00965CB9"/>
    <w:rsid w:val="0096621F"/>
    <w:rsid w:val="00966270"/>
    <w:rsid w:val="00966650"/>
    <w:rsid w:val="00966C09"/>
    <w:rsid w:val="00966C2B"/>
    <w:rsid w:val="00967196"/>
    <w:rsid w:val="00967209"/>
    <w:rsid w:val="00967385"/>
    <w:rsid w:val="0096751C"/>
    <w:rsid w:val="00967B25"/>
    <w:rsid w:val="00967CE3"/>
    <w:rsid w:val="00967E55"/>
    <w:rsid w:val="009701CC"/>
    <w:rsid w:val="0097049F"/>
    <w:rsid w:val="009704CD"/>
    <w:rsid w:val="00970817"/>
    <w:rsid w:val="00970D2E"/>
    <w:rsid w:val="00970EEA"/>
    <w:rsid w:val="00971005"/>
    <w:rsid w:val="009712D3"/>
    <w:rsid w:val="009716A9"/>
    <w:rsid w:val="009716FE"/>
    <w:rsid w:val="009717DC"/>
    <w:rsid w:val="0097183E"/>
    <w:rsid w:val="0097191C"/>
    <w:rsid w:val="00971AE1"/>
    <w:rsid w:val="00971B38"/>
    <w:rsid w:val="00971C2C"/>
    <w:rsid w:val="00971D62"/>
    <w:rsid w:val="00971F0E"/>
    <w:rsid w:val="009720FE"/>
    <w:rsid w:val="00972166"/>
    <w:rsid w:val="0097243E"/>
    <w:rsid w:val="00972511"/>
    <w:rsid w:val="0097257D"/>
    <w:rsid w:val="00972742"/>
    <w:rsid w:val="00972A45"/>
    <w:rsid w:val="00972E24"/>
    <w:rsid w:val="00972F43"/>
    <w:rsid w:val="00972F8A"/>
    <w:rsid w:val="00973188"/>
    <w:rsid w:val="009731AD"/>
    <w:rsid w:val="009732E6"/>
    <w:rsid w:val="00973419"/>
    <w:rsid w:val="00973AD8"/>
    <w:rsid w:val="00973BA0"/>
    <w:rsid w:val="00973C8E"/>
    <w:rsid w:val="00973E9B"/>
    <w:rsid w:val="00974104"/>
    <w:rsid w:val="00974240"/>
    <w:rsid w:val="00974287"/>
    <w:rsid w:val="00974526"/>
    <w:rsid w:val="00974577"/>
    <w:rsid w:val="0097494C"/>
    <w:rsid w:val="00974A41"/>
    <w:rsid w:val="00974E0A"/>
    <w:rsid w:val="00974E66"/>
    <w:rsid w:val="009757D3"/>
    <w:rsid w:val="00975811"/>
    <w:rsid w:val="00975907"/>
    <w:rsid w:val="00975920"/>
    <w:rsid w:val="00975A73"/>
    <w:rsid w:val="00975E78"/>
    <w:rsid w:val="00975FFE"/>
    <w:rsid w:val="0097665A"/>
    <w:rsid w:val="0097670E"/>
    <w:rsid w:val="009774A9"/>
    <w:rsid w:val="009777D1"/>
    <w:rsid w:val="00977872"/>
    <w:rsid w:val="00977A1F"/>
    <w:rsid w:val="00977CB4"/>
    <w:rsid w:val="00977E1A"/>
    <w:rsid w:val="00977EFA"/>
    <w:rsid w:val="0098020D"/>
    <w:rsid w:val="009804BA"/>
    <w:rsid w:val="00980678"/>
    <w:rsid w:val="009808DB"/>
    <w:rsid w:val="00980F44"/>
    <w:rsid w:val="00980F87"/>
    <w:rsid w:val="009810BB"/>
    <w:rsid w:val="00981427"/>
    <w:rsid w:val="00981467"/>
    <w:rsid w:val="00981694"/>
    <w:rsid w:val="00981707"/>
    <w:rsid w:val="00981A94"/>
    <w:rsid w:val="00981BC3"/>
    <w:rsid w:val="00981E48"/>
    <w:rsid w:val="00982008"/>
    <w:rsid w:val="009827E4"/>
    <w:rsid w:val="0098283E"/>
    <w:rsid w:val="0098285A"/>
    <w:rsid w:val="00982B5D"/>
    <w:rsid w:val="00982CFB"/>
    <w:rsid w:val="009833B3"/>
    <w:rsid w:val="00983489"/>
    <w:rsid w:val="009835C4"/>
    <w:rsid w:val="0098385F"/>
    <w:rsid w:val="0098424F"/>
    <w:rsid w:val="00984441"/>
    <w:rsid w:val="00984470"/>
    <w:rsid w:val="009844AF"/>
    <w:rsid w:val="009844CF"/>
    <w:rsid w:val="009844FD"/>
    <w:rsid w:val="00984508"/>
    <w:rsid w:val="009848B7"/>
    <w:rsid w:val="00984980"/>
    <w:rsid w:val="00984A16"/>
    <w:rsid w:val="00984A3C"/>
    <w:rsid w:val="00984CEC"/>
    <w:rsid w:val="00984DD8"/>
    <w:rsid w:val="00984E31"/>
    <w:rsid w:val="00984E62"/>
    <w:rsid w:val="009850A1"/>
    <w:rsid w:val="00985186"/>
    <w:rsid w:val="0098518D"/>
    <w:rsid w:val="009851C5"/>
    <w:rsid w:val="00985284"/>
    <w:rsid w:val="009852E1"/>
    <w:rsid w:val="009857B6"/>
    <w:rsid w:val="00985CDF"/>
    <w:rsid w:val="00985E10"/>
    <w:rsid w:val="00985F88"/>
    <w:rsid w:val="0098622E"/>
    <w:rsid w:val="00986421"/>
    <w:rsid w:val="0098655E"/>
    <w:rsid w:val="00986654"/>
    <w:rsid w:val="009867AE"/>
    <w:rsid w:val="0098681D"/>
    <w:rsid w:val="0098697D"/>
    <w:rsid w:val="0098706F"/>
    <w:rsid w:val="009871B0"/>
    <w:rsid w:val="00987354"/>
    <w:rsid w:val="00987574"/>
    <w:rsid w:val="00987666"/>
    <w:rsid w:val="00987A22"/>
    <w:rsid w:val="00987A6B"/>
    <w:rsid w:val="00987EFA"/>
    <w:rsid w:val="00987F45"/>
    <w:rsid w:val="00990044"/>
    <w:rsid w:val="009900D7"/>
    <w:rsid w:val="009901F1"/>
    <w:rsid w:val="009903F2"/>
    <w:rsid w:val="0099071D"/>
    <w:rsid w:val="009907B9"/>
    <w:rsid w:val="0099085F"/>
    <w:rsid w:val="009908BB"/>
    <w:rsid w:val="00990966"/>
    <w:rsid w:val="0099097F"/>
    <w:rsid w:val="00990A4C"/>
    <w:rsid w:val="00990CA2"/>
    <w:rsid w:val="00990D91"/>
    <w:rsid w:val="00990F42"/>
    <w:rsid w:val="00991080"/>
    <w:rsid w:val="009910F4"/>
    <w:rsid w:val="009911C5"/>
    <w:rsid w:val="00991342"/>
    <w:rsid w:val="00991381"/>
    <w:rsid w:val="009916DD"/>
    <w:rsid w:val="00991AAD"/>
    <w:rsid w:val="00991FD5"/>
    <w:rsid w:val="00992175"/>
    <w:rsid w:val="0099242E"/>
    <w:rsid w:val="0099250F"/>
    <w:rsid w:val="009925DB"/>
    <w:rsid w:val="00992923"/>
    <w:rsid w:val="00992C36"/>
    <w:rsid w:val="00992F0B"/>
    <w:rsid w:val="00993114"/>
    <w:rsid w:val="0099366B"/>
    <w:rsid w:val="00993900"/>
    <w:rsid w:val="00993916"/>
    <w:rsid w:val="00993A38"/>
    <w:rsid w:val="00993AEF"/>
    <w:rsid w:val="00993B72"/>
    <w:rsid w:val="00993CC9"/>
    <w:rsid w:val="00993E88"/>
    <w:rsid w:val="009940A4"/>
    <w:rsid w:val="00994156"/>
    <w:rsid w:val="009941EB"/>
    <w:rsid w:val="00994327"/>
    <w:rsid w:val="009943EA"/>
    <w:rsid w:val="00994774"/>
    <w:rsid w:val="00994D83"/>
    <w:rsid w:val="00994EEB"/>
    <w:rsid w:val="00995069"/>
    <w:rsid w:val="0099508F"/>
    <w:rsid w:val="00995241"/>
    <w:rsid w:val="00995666"/>
    <w:rsid w:val="00995669"/>
    <w:rsid w:val="0099593C"/>
    <w:rsid w:val="00995A2C"/>
    <w:rsid w:val="00995AD7"/>
    <w:rsid w:val="00996331"/>
    <w:rsid w:val="00996667"/>
    <w:rsid w:val="00996714"/>
    <w:rsid w:val="0099675D"/>
    <w:rsid w:val="0099677A"/>
    <w:rsid w:val="00996914"/>
    <w:rsid w:val="00996BBB"/>
    <w:rsid w:val="00996DDA"/>
    <w:rsid w:val="00996E6D"/>
    <w:rsid w:val="00996F0F"/>
    <w:rsid w:val="00997206"/>
    <w:rsid w:val="009973EE"/>
    <w:rsid w:val="00997646"/>
    <w:rsid w:val="00997735"/>
    <w:rsid w:val="009977D1"/>
    <w:rsid w:val="00997AC5"/>
    <w:rsid w:val="00997AE5"/>
    <w:rsid w:val="00997B6A"/>
    <w:rsid w:val="00997BCB"/>
    <w:rsid w:val="00997BEC"/>
    <w:rsid w:val="00997FEB"/>
    <w:rsid w:val="009A0014"/>
    <w:rsid w:val="009A043C"/>
    <w:rsid w:val="009A04A0"/>
    <w:rsid w:val="009A0627"/>
    <w:rsid w:val="009A0650"/>
    <w:rsid w:val="009A07D5"/>
    <w:rsid w:val="009A089D"/>
    <w:rsid w:val="009A08F5"/>
    <w:rsid w:val="009A0C36"/>
    <w:rsid w:val="009A0CFB"/>
    <w:rsid w:val="009A0D27"/>
    <w:rsid w:val="009A0DE8"/>
    <w:rsid w:val="009A0EFC"/>
    <w:rsid w:val="009A1166"/>
    <w:rsid w:val="009A1197"/>
    <w:rsid w:val="009A12EB"/>
    <w:rsid w:val="009A13AB"/>
    <w:rsid w:val="009A1472"/>
    <w:rsid w:val="009A166A"/>
    <w:rsid w:val="009A1740"/>
    <w:rsid w:val="009A17C3"/>
    <w:rsid w:val="009A1927"/>
    <w:rsid w:val="009A1A0E"/>
    <w:rsid w:val="009A1BEE"/>
    <w:rsid w:val="009A1C88"/>
    <w:rsid w:val="009A1FDE"/>
    <w:rsid w:val="009A2013"/>
    <w:rsid w:val="009A2132"/>
    <w:rsid w:val="009A272F"/>
    <w:rsid w:val="009A2DE3"/>
    <w:rsid w:val="009A2EC7"/>
    <w:rsid w:val="009A313D"/>
    <w:rsid w:val="009A35B4"/>
    <w:rsid w:val="009A3DE1"/>
    <w:rsid w:val="009A3E7C"/>
    <w:rsid w:val="009A3E7E"/>
    <w:rsid w:val="009A3EAA"/>
    <w:rsid w:val="009A4305"/>
    <w:rsid w:val="009A463A"/>
    <w:rsid w:val="009A47D7"/>
    <w:rsid w:val="009A480A"/>
    <w:rsid w:val="009A4878"/>
    <w:rsid w:val="009A4F17"/>
    <w:rsid w:val="009A4FB2"/>
    <w:rsid w:val="009A580E"/>
    <w:rsid w:val="009A5850"/>
    <w:rsid w:val="009A5979"/>
    <w:rsid w:val="009A5A06"/>
    <w:rsid w:val="009A5B55"/>
    <w:rsid w:val="009A5D4A"/>
    <w:rsid w:val="009A5E53"/>
    <w:rsid w:val="009A6A4D"/>
    <w:rsid w:val="009A6CD8"/>
    <w:rsid w:val="009A6E03"/>
    <w:rsid w:val="009A6E97"/>
    <w:rsid w:val="009A6F74"/>
    <w:rsid w:val="009A6FBE"/>
    <w:rsid w:val="009A700C"/>
    <w:rsid w:val="009A7022"/>
    <w:rsid w:val="009A723D"/>
    <w:rsid w:val="009A75BE"/>
    <w:rsid w:val="009A7789"/>
    <w:rsid w:val="009A7D5B"/>
    <w:rsid w:val="009A7F39"/>
    <w:rsid w:val="009A7F73"/>
    <w:rsid w:val="009B0039"/>
    <w:rsid w:val="009B00B9"/>
    <w:rsid w:val="009B0146"/>
    <w:rsid w:val="009B01D6"/>
    <w:rsid w:val="009B03E9"/>
    <w:rsid w:val="009B064F"/>
    <w:rsid w:val="009B0768"/>
    <w:rsid w:val="009B07A0"/>
    <w:rsid w:val="009B0826"/>
    <w:rsid w:val="009B0A82"/>
    <w:rsid w:val="009B0AF0"/>
    <w:rsid w:val="009B0B63"/>
    <w:rsid w:val="009B0E69"/>
    <w:rsid w:val="009B0F86"/>
    <w:rsid w:val="009B1240"/>
    <w:rsid w:val="009B153E"/>
    <w:rsid w:val="009B1699"/>
    <w:rsid w:val="009B182A"/>
    <w:rsid w:val="009B1A7C"/>
    <w:rsid w:val="009B1BD6"/>
    <w:rsid w:val="009B2138"/>
    <w:rsid w:val="009B2AF5"/>
    <w:rsid w:val="009B2B31"/>
    <w:rsid w:val="009B2D57"/>
    <w:rsid w:val="009B30F8"/>
    <w:rsid w:val="009B38C3"/>
    <w:rsid w:val="009B3AEF"/>
    <w:rsid w:val="009B3D50"/>
    <w:rsid w:val="009B4211"/>
    <w:rsid w:val="009B42CB"/>
    <w:rsid w:val="009B4441"/>
    <w:rsid w:val="009B47AB"/>
    <w:rsid w:val="009B4F49"/>
    <w:rsid w:val="009B530B"/>
    <w:rsid w:val="009B54A5"/>
    <w:rsid w:val="009B550D"/>
    <w:rsid w:val="009B5591"/>
    <w:rsid w:val="009B567E"/>
    <w:rsid w:val="009B56F6"/>
    <w:rsid w:val="009B5772"/>
    <w:rsid w:val="009B585E"/>
    <w:rsid w:val="009B5AB4"/>
    <w:rsid w:val="009B5ABF"/>
    <w:rsid w:val="009B5AC4"/>
    <w:rsid w:val="009B5BDA"/>
    <w:rsid w:val="009B5E64"/>
    <w:rsid w:val="009B5F75"/>
    <w:rsid w:val="009B62CD"/>
    <w:rsid w:val="009B650D"/>
    <w:rsid w:val="009B6583"/>
    <w:rsid w:val="009B65A4"/>
    <w:rsid w:val="009B664F"/>
    <w:rsid w:val="009B6650"/>
    <w:rsid w:val="009B668F"/>
    <w:rsid w:val="009B67C5"/>
    <w:rsid w:val="009B72DF"/>
    <w:rsid w:val="009B78F8"/>
    <w:rsid w:val="009B7F0D"/>
    <w:rsid w:val="009C00FD"/>
    <w:rsid w:val="009C06A7"/>
    <w:rsid w:val="009C08E3"/>
    <w:rsid w:val="009C0CC4"/>
    <w:rsid w:val="009C0E96"/>
    <w:rsid w:val="009C0F03"/>
    <w:rsid w:val="009C0F40"/>
    <w:rsid w:val="009C100C"/>
    <w:rsid w:val="009C13B9"/>
    <w:rsid w:val="009C1416"/>
    <w:rsid w:val="009C15AD"/>
    <w:rsid w:val="009C1731"/>
    <w:rsid w:val="009C1987"/>
    <w:rsid w:val="009C19D7"/>
    <w:rsid w:val="009C212C"/>
    <w:rsid w:val="009C2305"/>
    <w:rsid w:val="009C2676"/>
    <w:rsid w:val="009C293A"/>
    <w:rsid w:val="009C2DFD"/>
    <w:rsid w:val="009C2F33"/>
    <w:rsid w:val="009C2F37"/>
    <w:rsid w:val="009C33C9"/>
    <w:rsid w:val="009C35AD"/>
    <w:rsid w:val="009C3662"/>
    <w:rsid w:val="009C3794"/>
    <w:rsid w:val="009C3812"/>
    <w:rsid w:val="009C39AF"/>
    <w:rsid w:val="009C3ABA"/>
    <w:rsid w:val="009C3D96"/>
    <w:rsid w:val="009C43F0"/>
    <w:rsid w:val="009C474C"/>
    <w:rsid w:val="009C49C0"/>
    <w:rsid w:val="009C4AED"/>
    <w:rsid w:val="009C4D08"/>
    <w:rsid w:val="009C4D74"/>
    <w:rsid w:val="009C4F22"/>
    <w:rsid w:val="009C526E"/>
    <w:rsid w:val="009C54EC"/>
    <w:rsid w:val="009C54F5"/>
    <w:rsid w:val="009C580E"/>
    <w:rsid w:val="009C5870"/>
    <w:rsid w:val="009C5A8C"/>
    <w:rsid w:val="009C5D14"/>
    <w:rsid w:val="009C5D4E"/>
    <w:rsid w:val="009C5EB1"/>
    <w:rsid w:val="009C60FA"/>
    <w:rsid w:val="009C66A2"/>
    <w:rsid w:val="009C6784"/>
    <w:rsid w:val="009C678F"/>
    <w:rsid w:val="009C6B05"/>
    <w:rsid w:val="009C6BFD"/>
    <w:rsid w:val="009C6D97"/>
    <w:rsid w:val="009C6E16"/>
    <w:rsid w:val="009C6F5B"/>
    <w:rsid w:val="009C7263"/>
    <w:rsid w:val="009C72C4"/>
    <w:rsid w:val="009C75C7"/>
    <w:rsid w:val="009C77DB"/>
    <w:rsid w:val="009C7DA1"/>
    <w:rsid w:val="009D078F"/>
    <w:rsid w:val="009D0A54"/>
    <w:rsid w:val="009D10F5"/>
    <w:rsid w:val="009D140F"/>
    <w:rsid w:val="009D159D"/>
    <w:rsid w:val="009D166F"/>
    <w:rsid w:val="009D16E2"/>
    <w:rsid w:val="009D186F"/>
    <w:rsid w:val="009D1ADA"/>
    <w:rsid w:val="009D1B55"/>
    <w:rsid w:val="009D1E57"/>
    <w:rsid w:val="009D2039"/>
    <w:rsid w:val="009D2499"/>
    <w:rsid w:val="009D253F"/>
    <w:rsid w:val="009D2770"/>
    <w:rsid w:val="009D29BD"/>
    <w:rsid w:val="009D29E1"/>
    <w:rsid w:val="009D2F28"/>
    <w:rsid w:val="009D31F4"/>
    <w:rsid w:val="009D3237"/>
    <w:rsid w:val="009D35F1"/>
    <w:rsid w:val="009D360C"/>
    <w:rsid w:val="009D3628"/>
    <w:rsid w:val="009D3A77"/>
    <w:rsid w:val="009D3B8D"/>
    <w:rsid w:val="009D3C6B"/>
    <w:rsid w:val="009D3EA4"/>
    <w:rsid w:val="009D3FB9"/>
    <w:rsid w:val="009D4060"/>
    <w:rsid w:val="009D4177"/>
    <w:rsid w:val="009D425D"/>
    <w:rsid w:val="009D48EC"/>
    <w:rsid w:val="009D4904"/>
    <w:rsid w:val="009D4A9E"/>
    <w:rsid w:val="009D4C2A"/>
    <w:rsid w:val="009D4D13"/>
    <w:rsid w:val="009D4F2A"/>
    <w:rsid w:val="009D5001"/>
    <w:rsid w:val="009D5260"/>
    <w:rsid w:val="009D53F8"/>
    <w:rsid w:val="009D590F"/>
    <w:rsid w:val="009D5A4A"/>
    <w:rsid w:val="009D5BB3"/>
    <w:rsid w:val="009D5DDC"/>
    <w:rsid w:val="009D5EE9"/>
    <w:rsid w:val="009D600B"/>
    <w:rsid w:val="009D615A"/>
    <w:rsid w:val="009D61C4"/>
    <w:rsid w:val="009D6305"/>
    <w:rsid w:val="009D637B"/>
    <w:rsid w:val="009D6448"/>
    <w:rsid w:val="009D64B6"/>
    <w:rsid w:val="009D6543"/>
    <w:rsid w:val="009D6914"/>
    <w:rsid w:val="009D6D33"/>
    <w:rsid w:val="009D6DE2"/>
    <w:rsid w:val="009D7246"/>
    <w:rsid w:val="009D73AC"/>
    <w:rsid w:val="009D75D9"/>
    <w:rsid w:val="009D7907"/>
    <w:rsid w:val="009D7C2B"/>
    <w:rsid w:val="009D7F76"/>
    <w:rsid w:val="009E0041"/>
    <w:rsid w:val="009E0074"/>
    <w:rsid w:val="009E03E0"/>
    <w:rsid w:val="009E040B"/>
    <w:rsid w:val="009E0602"/>
    <w:rsid w:val="009E0A5B"/>
    <w:rsid w:val="009E0B0F"/>
    <w:rsid w:val="009E0B15"/>
    <w:rsid w:val="009E0DDC"/>
    <w:rsid w:val="009E0DEA"/>
    <w:rsid w:val="009E15AF"/>
    <w:rsid w:val="009E1A3C"/>
    <w:rsid w:val="009E1A3F"/>
    <w:rsid w:val="009E1C22"/>
    <w:rsid w:val="009E1DF4"/>
    <w:rsid w:val="009E1E6A"/>
    <w:rsid w:val="009E2481"/>
    <w:rsid w:val="009E2636"/>
    <w:rsid w:val="009E2DA3"/>
    <w:rsid w:val="009E3426"/>
    <w:rsid w:val="009E35DF"/>
    <w:rsid w:val="009E37E4"/>
    <w:rsid w:val="009E3C7E"/>
    <w:rsid w:val="009E3D66"/>
    <w:rsid w:val="009E3D69"/>
    <w:rsid w:val="009E3E64"/>
    <w:rsid w:val="009E3EC3"/>
    <w:rsid w:val="009E4095"/>
    <w:rsid w:val="009E43E8"/>
    <w:rsid w:val="009E49CA"/>
    <w:rsid w:val="009E4A4B"/>
    <w:rsid w:val="009E4AD4"/>
    <w:rsid w:val="009E4C5D"/>
    <w:rsid w:val="009E4C70"/>
    <w:rsid w:val="009E4D45"/>
    <w:rsid w:val="009E521E"/>
    <w:rsid w:val="009E52A1"/>
    <w:rsid w:val="009E59CC"/>
    <w:rsid w:val="009E5A34"/>
    <w:rsid w:val="009E5CB4"/>
    <w:rsid w:val="009E5D8F"/>
    <w:rsid w:val="009E618F"/>
    <w:rsid w:val="009E63A0"/>
    <w:rsid w:val="009E6558"/>
    <w:rsid w:val="009E6E04"/>
    <w:rsid w:val="009E6E5E"/>
    <w:rsid w:val="009E6F7E"/>
    <w:rsid w:val="009E7052"/>
    <w:rsid w:val="009E71FA"/>
    <w:rsid w:val="009E72AD"/>
    <w:rsid w:val="009E7696"/>
    <w:rsid w:val="009E78EC"/>
    <w:rsid w:val="009E7A04"/>
    <w:rsid w:val="009E7A78"/>
    <w:rsid w:val="009E7D0E"/>
    <w:rsid w:val="009E7E87"/>
    <w:rsid w:val="009F0381"/>
    <w:rsid w:val="009F0454"/>
    <w:rsid w:val="009F083A"/>
    <w:rsid w:val="009F087B"/>
    <w:rsid w:val="009F0922"/>
    <w:rsid w:val="009F0AE8"/>
    <w:rsid w:val="009F0B20"/>
    <w:rsid w:val="009F106F"/>
    <w:rsid w:val="009F15A9"/>
    <w:rsid w:val="009F1763"/>
    <w:rsid w:val="009F193A"/>
    <w:rsid w:val="009F1A16"/>
    <w:rsid w:val="009F1A4F"/>
    <w:rsid w:val="009F1A78"/>
    <w:rsid w:val="009F1D3F"/>
    <w:rsid w:val="009F26B2"/>
    <w:rsid w:val="009F288B"/>
    <w:rsid w:val="009F29D2"/>
    <w:rsid w:val="009F2A75"/>
    <w:rsid w:val="009F2D94"/>
    <w:rsid w:val="009F2F96"/>
    <w:rsid w:val="009F3217"/>
    <w:rsid w:val="009F3414"/>
    <w:rsid w:val="009F3631"/>
    <w:rsid w:val="009F363C"/>
    <w:rsid w:val="009F3790"/>
    <w:rsid w:val="009F37F9"/>
    <w:rsid w:val="009F3D28"/>
    <w:rsid w:val="009F3D62"/>
    <w:rsid w:val="009F3DFA"/>
    <w:rsid w:val="009F3E79"/>
    <w:rsid w:val="009F3EF2"/>
    <w:rsid w:val="009F4637"/>
    <w:rsid w:val="009F476C"/>
    <w:rsid w:val="009F4982"/>
    <w:rsid w:val="009F4A10"/>
    <w:rsid w:val="009F4A2F"/>
    <w:rsid w:val="009F528D"/>
    <w:rsid w:val="009F555C"/>
    <w:rsid w:val="009F567E"/>
    <w:rsid w:val="009F586C"/>
    <w:rsid w:val="009F5933"/>
    <w:rsid w:val="009F59CE"/>
    <w:rsid w:val="009F5BEE"/>
    <w:rsid w:val="009F5D30"/>
    <w:rsid w:val="009F5F13"/>
    <w:rsid w:val="009F5FC1"/>
    <w:rsid w:val="009F6020"/>
    <w:rsid w:val="009F605A"/>
    <w:rsid w:val="009F62AF"/>
    <w:rsid w:val="009F646F"/>
    <w:rsid w:val="009F6668"/>
    <w:rsid w:val="009F6A4A"/>
    <w:rsid w:val="009F6C6E"/>
    <w:rsid w:val="009F6E3F"/>
    <w:rsid w:val="009F6ED8"/>
    <w:rsid w:val="009F706D"/>
    <w:rsid w:val="009F70CD"/>
    <w:rsid w:val="009F74E1"/>
    <w:rsid w:val="009F754E"/>
    <w:rsid w:val="009F79E3"/>
    <w:rsid w:val="009F7A90"/>
    <w:rsid w:val="009F7CEB"/>
    <w:rsid w:val="00A003A1"/>
    <w:rsid w:val="00A00920"/>
    <w:rsid w:val="00A00CBE"/>
    <w:rsid w:val="00A00D01"/>
    <w:rsid w:val="00A00D09"/>
    <w:rsid w:val="00A011BE"/>
    <w:rsid w:val="00A012AF"/>
    <w:rsid w:val="00A0130F"/>
    <w:rsid w:val="00A01A80"/>
    <w:rsid w:val="00A02156"/>
    <w:rsid w:val="00A0222B"/>
    <w:rsid w:val="00A02614"/>
    <w:rsid w:val="00A02878"/>
    <w:rsid w:val="00A02C23"/>
    <w:rsid w:val="00A02CAD"/>
    <w:rsid w:val="00A02F48"/>
    <w:rsid w:val="00A03256"/>
    <w:rsid w:val="00A03258"/>
    <w:rsid w:val="00A0332C"/>
    <w:rsid w:val="00A033B0"/>
    <w:rsid w:val="00A037EA"/>
    <w:rsid w:val="00A03A33"/>
    <w:rsid w:val="00A03B1C"/>
    <w:rsid w:val="00A03C62"/>
    <w:rsid w:val="00A03FCC"/>
    <w:rsid w:val="00A040FD"/>
    <w:rsid w:val="00A0418E"/>
    <w:rsid w:val="00A0426A"/>
    <w:rsid w:val="00A04418"/>
    <w:rsid w:val="00A045EA"/>
    <w:rsid w:val="00A04A09"/>
    <w:rsid w:val="00A04A0F"/>
    <w:rsid w:val="00A04BAE"/>
    <w:rsid w:val="00A04BD6"/>
    <w:rsid w:val="00A04C0D"/>
    <w:rsid w:val="00A04F86"/>
    <w:rsid w:val="00A05120"/>
    <w:rsid w:val="00A05190"/>
    <w:rsid w:val="00A052CD"/>
    <w:rsid w:val="00A0598D"/>
    <w:rsid w:val="00A05CE6"/>
    <w:rsid w:val="00A06005"/>
    <w:rsid w:val="00A0617B"/>
    <w:rsid w:val="00A06253"/>
    <w:rsid w:val="00A062EF"/>
    <w:rsid w:val="00A064B7"/>
    <w:rsid w:val="00A06668"/>
    <w:rsid w:val="00A06A40"/>
    <w:rsid w:val="00A06F13"/>
    <w:rsid w:val="00A07271"/>
    <w:rsid w:val="00A07327"/>
    <w:rsid w:val="00A07478"/>
    <w:rsid w:val="00A074F6"/>
    <w:rsid w:val="00A07662"/>
    <w:rsid w:val="00A077D7"/>
    <w:rsid w:val="00A07814"/>
    <w:rsid w:val="00A07828"/>
    <w:rsid w:val="00A07CFE"/>
    <w:rsid w:val="00A07D03"/>
    <w:rsid w:val="00A105C4"/>
    <w:rsid w:val="00A108A6"/>
    <w:rsid w:val="00A10A22"/>
    <w:rsid w:val="00A10E15"/>
    <w:rsid w:val="00A10FBF"/>
    <w:rsid w:val="00A11178"/>
    <w:rsid w:val="00A1130C"/>
    <w:rsid w:val="00A1147A"/>
    <w:rsid w:val="00A11591"/>
    <w:rsid w:val="00A116D6"/>
    <w:rsid w:val="00A11BB6"/>
    <w:rsid w:val="00A11CAA"/>
    <w:rsid w:val="00A1261D"/>
    <w:rsid w:val="00A12965"/>
    <w:rsid w:val="00A12A44"/>
    <w:rsid w:val="00A12D02"/>
    <w:rsid w:val="00A12D71"/>
    <w:rsid w:val="00A12EB4"/>
    <w:rsid w:val="00A1311A"/>
    <w:rsid w:val="00A13225"/>
    <w:rsid w:val="00A132DC"/>
    <w:rsid w:val="00A134A2"/>
    <w:rsid w:val="00A134C5"/>
    <w:rsid w:val="00A137B1"/>
    <w:rsid w:val="00A1390E"/>
    <w:rsid w:val="00A13D69"/>
    <w:rsid w:val="00A13F4E"/>
    <w:rsid w:val="00A14074"/>
    <w:rsid w:val="00A145E9"/>
    <w:rsid w:val="00A14CF9"/>
    <w:rsid w:val="00A15782"/>
    <w:rsid w:val="00A158C9"/>
    <w:rsid w:val="00A1598A"/>
    <w:rsid w:val="00A159AB"/>
    <w:rsid w:val="00A15EDA"/>
    <w:rsid w:val="00A1610E"/>
    <w:rsid w:val="00A1638A"/>
    <w:rsid w:val="00A16629"/>
    <w:rsid w:val="00A16638"/>
    <w:rsid w:val="00A1664F"/>
    <w:rsid w:val="00A16A67"/>
    <w:rsid w:val="00A16FFC"/>
    <w:rsid w:val="00A17490"/>
    <w:rsid w:val="00A17614"/>
    <w:rsid w:val="00A17728"/>
    <w:rsid w:val="00A179C8"/>
    <w:rsid w:val="00A17A8D"/>
    <w:rsid w:val="00A17EB5"/>
    <w:rsid w:val="00A17EFE"/>
    <w:rsid w:val="00A17F04"/>
    <w:rsid w:val="00A2033D"/>
    <w:rsid w:val="00A206F3"/>
    <w:rsid w:val="00A20B1A"/>
    <w:rsid w:val="00A20C51"/>
    <w:rsid w:val="00A20DE0"/>
    <w:rsid w:val="00A20FC9"/>
    <w:rsid w:val="00A21337"/>
    <w:rsid w:val="00A216F9"/>
    <w:rsid w:val="00A21E48"/>
    <w:rsid w:val="00A21FAC"/>
    <w:rsid w:val="00A2200F"/>
    <w:rsid w:val="00A22119"/>
    <w:rsid w:val="00A22A39"/>
    <w:rsid w:val="00A22AC8"/>
    <w:rsid w:val="00A22BF9"/>
    <w:rsid w:val="00A22C6B"/>
    <w:rsid w:val="00A22E6B"/>
    <w:rsid w:val="00A22F7E"/>
    <w:rsid w:val="00A22FB3"/>
    <w:rsid w:val="00A23041"/>
    <w:rsid w:val="00A230DD"/>
    <w:rsid w:val="00A2315A"/>
    <w:rsid w:val="00A233DA"/>
    <w:rsid w:val="00A2340F"/>
    <w:rsid w:val="00A234F6"/>
    <w:rsid w:val="00A238F0"/>
    <w:rsid w:val="00A23E64"/>
    <w:rsid w:val="00A2415B"/>
    <w:rsid w:val="00A24208"/>
    <w:rsid w:val="00A242EE"/>
    <w:rsid w:val="00A244FE"/>
    <w:rsid w:val="00A24719"/>
    <w:rsid w:val="00A2486D"/>
    <w:rsid w:val="00A24A48"/>
    <w:rsid w:val="00A24B95"/>
    <w:rsid w:val="00A24CB9"/>
    <w:rsid w:val="00A250D0"/>
    <w:rsid w:val="00A2512F"/>
    <w:rsid w:val="00A254FC"/>
    <w:rsid w:val="00A2572D"/>
    <w:rsid w:val="00A25761"/>
    <w:rsid w:val="00A25CC0"/>
    <w:rsid w:val="00A260D3"/>
    <w:rsid w:val="00A261E2"/>
    <w:rsid w:val="00A263BC"/>
    <w:rsid w:val="00A266C1"/>
    <w:rsid w:val="00A266F3"/>
    <w:rsid w:val="00A2672F"/>
    <w:rsid w:val="00A26ABF"/>
    <w:rsid w:val="00A26D49"/>
    <w:rsid w:val="00A26D63"/>
    <w:rsid w:val="00A26E4A"/>
    <w:rsid w:val="00A26F33"/>
    <w:rsid w:val="00A2713A"/>
    <w:rsid w:val="00A27511"/>
    <w:rsid w:val="00A275F9"/>
    <w:rsid w:val="00A2770A"/>
    <w:rsid w:val="00A27850"/>
    <w:rsid w:val="00A27A29"/>
    <w:rsid w:val="00A27BEF"/>
    <w:rsid w:val="00A30124"/>
    <w:rsid w:val="00A301EB"/>
    <w:rsid w:val="00A3038D"/>
    <w:rsid w:val="00A3083A"/>
    <w:rsid w:val="00A308D8"/>
    <w:rsid w:val="00A30B16"/>
    <w:rsid w:val="00A30C28"/>
    <w:rsid w:val="00A30FCE"/>
    <w:rsid w:val="00A31119"/>
    <w:rsid w:val="00A31309"/>
    <w:rsid w:val="00A31807"/>
    <w:rsid w:val="00A31A43"/>
    <w:rsid w:val="00A31AFC"/>
    <w:rsid w:val="00A31F36"/>
    <w:rsid w:val="00A324BF"/>
    <w:rsid w:val="00A324C8"/>
    <w:rsid w:val="00A32835"/>
    <w:rsid w:val="00A329B7"/>
    <w:rsid w:val="00A32A9E"/>
    <w:rsid w:val="00A33287"/>
    <w:rsid w:val="00A33296"/>
    <w:rsid w:val="00A33821"/>
    <w:rsid w:val="00A3383A"/>
    <w:rsid w:val="00A33888"/>
    <w:rsid w:val="00A33BAC"/>
    <w:rsid w:val="00A33BF9"/>
    <w:rsid w:val="00A33ECC"/>
    <w:rsid w:val="00A33FC1"/>
    <w:rsid w:val="00A34222"/>
    <w:rsid w:val="00A3425F"/>
    <w:rsid w:val="00A343C8"/>
    <w:rsid w:val="00A3442D"/>
    <w:rsid w:val="00A34436"/>
    <w:rsid w:val="00A34908"/>
    <w:rsid w:val="00A34A0F"/>
    <w:rsid w:val="00A34B4B"/>
    <w:rsid w:val="00A35120"/>
    <w:rsid w:val="00A35184"/>
    <w:rsid w:val="00A351B4"/>
    <w:rsid w:val="00A35270"/>
    <w:rsid w:val="00A35520"/>
    <w:rsid w:val="00A3552E"/>
    <w:rsid w:val="00A35699"/>
    <w:rsid w:val="00A35929"/>
    <w:rsid w:val="00A35A22"/>
    <w:rsid w:val="00A35A2A"/>
    <w:rsid w:val="00A35ED5"/>
    <w:rsid w:val="00A35F44"/>
    <w:rsid w:val="00A3616C"/>
    <w:rsid w:val="00A361C3"/>
    <w:rsid w:val="00A3665C"/>
    <w:rsid w:val="00A36A83"/>
    <w:rsid w:val="00A36EC0"/>
    <w:rsid w:val="00A36F07"/>
    <w:rsid w:val="00A370F3"/>
    <w:rsid w:val="00A37393"/>
    <w:rsid w:val="00A37A19"/>
    <w:rsid w:val="00A4019D"/>
    <w:rsid w:val="00A402D7"/>
    <w:rsid w:val="00A40345"/>
    <w:rsid w:val="00A40350"/>
    <w:rsid w:val="00A404B3"/>
    <w:rsid w:val="00A40599"/>
    <w:rsid w:val="00A40615"/>
    <w:rsid w:val="00A40A63"/>
    <w:rsid w:val="00A40B32"/>
    <w:rsid w:val="00A40BDA"/>
    <w:rsid w:val="00A40E62"/>
    <w:rsid w:val="00A41C3F"/>
    <w:rsid w:val="00A41E1F"/>
    <w:rsid w:val="00A41E5D"/>
    <w:rsid w:val="00A42145"/>
    <w:rsid w:val="00A422AE"/>
    <w:rsid w:val="00A424B0"/>
    <w:rsid w:val="00A4277E"/>
    <w:rsid w:val="00A42891"/>
    <w:rsid w:val="00A42CC2"/>
    <w:rsid w:val="00A434FD"/>
    <w:rsid w:val="00A436A0"/>
    <w:rsid w:val="00A43854"/>
    <w:rsid w:val="00A43E7A"/>
    <w:rsid w:val="00A43FD2"/>
    <w:rsid w:val="00A441D0"/>
    <w:rsid w:val="00A443D7"/>
    <w:rsid w:val="00A4449E"/>
    <w:rsid w:val="00A444BA"/>
    <w:rsid w:val="00A445E6"/>
    <w:rsid w:val="00A44E11"/>
    <w:rsid w:val="00A45200"/>
    <w:rsid w:val="00A45338"/>
    <w:rsid w:val="00A45378"/>
    <w:rsid w:val="00A45693"/>
    <w:rsid w:val="00A45906"/>
    <w:rsid w:val="00A45993"/>
    <w:rsid w:val="00A45B58"/>
    <w:rsid w:val="00A45B7E"/>
    <w:rsid w:val="00A46250"/>
    <w:rsid w:val="00A462B6"/>
    <w:rsid w:val="00A46680"/>
    <w:rsid w:val="00A46694"/>
    <w:rsid w:val="00A46843"/>
    <w:rsid w:val="00A46946"/>
    <w:rsid w:val="00A46F30"/>
    <w:rsid w:val="00A46F74"/>
    <w:rsid w:val="00A47774"/>
    <w:rsid w:val="00A47862"/>
    <w:rsid w:val="00A47B6D"/>
    <w:rsid w:val="00A47CCF"/>
    <w:rsid w:val="00A47FE2"/>
    <w:rsid w:val="00A50365"/>
    <w:rsid w:val="00A5043A"/>
    <w:rsid w:val="00A5057A"/>
    <w:rsid w:val="00A5078A"/>
    <w:rsid w:val="00A50A47"/>
    <w:rsid w:val="00A50BE0"/>
    <w:rsid w:val="00A50BFC"/>
    <w:rsid w:val="00A50D64"/>
    <w:rsid w:val="00A50E8B"/>
    <w:rsid w:val="00A50F63"/>
    <w:rsid w:val="00A512B3"/>
    <w:rsid w:val="00A512D2"/>
    <w:rsid w:val="00A51793"/>
    <w:rsid w:val="00A51C9A"/>
    <w:rsid w:val="00A51F7C"/>
    <w:rsid w:val="00A521E0"/>
    <w:rsid w:val="00A5227E"/>
    <w:rsid w:val="00A52553"/>
    <w:rsid w:val="00A526DA"/>
    <w:rsid w:val="00A527BD"/>
    <w:rsid w:val="00A52A0C"/>
    <w:rsid w:val="00A53556"/>
    <w:rsid w:val="00A53558"/>
    <w:rsid w:val="00A535FB"/>
    <w:rsid w:val="00A53731"/>
    <w:rsid w:val="00A5387C"/>
    <w:rsid w:val="00A53D1E"/>
    <w:rsid w:val="00A53FA8"/>
    <w:rsid w:val="00A5414C"/>
    <w:rsid w:val="00A541D3"/>
    <w:rsid w:val="00A5425B"/>
    <w:rsid w:val="00A5453C"/>
    <w:rsid w:val="00A54572"/>
    <w:rsid w:val="00A54B12"/>
    <w:rsid w:val="00A54BE5"/>
    <w:rsid w:val="00A54C32"/>
    <w:rsid w:val="00A55031"/>
    <w:rsid w:val="00A550AE"/>
    <w:rsid w:val="00A5519B"/>
    <w:rsid w:val="00A551DD"/>
    <w:rsid w:val="00A55359"/>
    <w:rsid w:val="00A55723"/>
    <w:rsid w:val="00A55738"/>
    <w:rsid w:val="00A55A22"/>
    <w:rsid w:val="00A55B1B"/>
    <w:rsid w:val="00A55FBD"/>
    <w:rsid w:val="00A56008"/>
    <w:rsid w:val="00A5640D"/>
    <w:rsid w:val="00A56447"/>
    <w:rsid w:val="00A56624"/>
    <w:rsid w:val="00A56628"/>
    <w:rsid w:val="00A567F3"/>
    <w:rsid w:val="00A57338"/>
    <w:rsid w:val="00A5759F"/>
    <w:rsid w:val="00A576EA"/>
    <w:rsid w:val="00A602D5"/>
    <w:rsid w:val="00A603EF"/>
    <w:rsid w:val="00A6060E"/>
    <w:rsid w:val="00A609A9"/>
    <w:rsid w:val="00A60B51"/>
    <w:rsid w:val="00A6112A"/>
    <w:rsid w:val="00A61626"/>
    <w:rsid w:val="00A61681"/>
    <w:rsid w:val="00A61B06"/>
    <w:rsid w:val="00A61BF1"/>
    <w:rsid w:val="00A61C54"/>
    <w:rsid w:val="00A61C73"/>
    <w:rsid w:val="00A61F8A"/>
    <w:rsid w:val="00A6228E"/>
    <w:rsid w:val="00A6229B"/>
    <w:rsid w:val="00A622B8"/>
    <w:rsid w:val="00A62784"/>
    <w:rsid w:val="00A62942"/>
    <w:rsid w:val="00A62B5B"/>
    <w:rsid w:val="00A62DA0"/>
    <w:rsid w:val="00A62E60"/>
    <w:rsid w:val="00A632C7"/>
    <w:rsid w:val="00A632FF"/>
    <w:rsid w:val="00A63630"/>
    <w:rsid w:val="00A6374D"/>
    <w:rsid w:val="00A639CC"/>
    <w:rsid w:val="00A63A9A"/>
    <w:rsid w:val="00A63B75"/>
    <w:rsid w:val="00A6446D"/>
    <w:rsid w:val="00A646D8"/>
    <w:rsid w:val="00A646F2"/>
    <w:rsid w:val="00A6473D"/>
    <w:rsid w:val="00A6497B"/>
    <w:rsid w:val="00A64A08"/>
    <w:rsid w:val="00A64CA6"/>
    <w:rsid w:val="00A64CE1"/>
    <w:rsid w:val="00A64F75"/>
    <w:rsid w:val="00A64FA9"/>
    <w:rsid w:val="00A64FCB"/>
    <w:rsid w:val="00A65169"/>
    <w:rsid w:val="00A6517D"/>
    <w:rsid w:val="00A65211"/>
    <w:rsid w:val="00A65230"/>
    <w:rsid w:val="00A65411"/>
    <w:rsid w:val="00A6545A"/>
    <w:rsid w:val="00A65524"/>
    <w:rsid w:val="00A6555F"/>
    <w:rsid w:val="00A65574"/>
    <w:rsid w:val="00A65BF6"/>
    <w:rsid w:val="00A65C1F"/>
    <w:rsid w:val="00A6631D"/>
    <w:rsid w:val="00A66379"/>
    <w:rsid w:val="00A66A13"/>
    <w:rsid w:val="00A66C05"/>
    <w:rsid w:val="00A66DE1"/>
    <w:rsid w:val="00A66E19"/>
    <w:rsid w:val="00A66F45"/>
    <w:rsid w:val="00A670A4"/>
    <w:rsid w:val="00A6714A"/>
    <w:rsid w:val="00A6719E"/>
    <w:rsid w:val="00A6739D"/>
    <w:rsid w:val="00A67510"/>
    <w:rsid w:val="00A67838"/>
    <w:rsid w:val="00A6789D"/>
    <w:rsid w:val="00A67B0C"/>
    <w:rsid w:val="00A67D83"/>
    <w:rsid w:val="00A70167"/>
    <w:rsid w:val="00A705CD"/>
    <w:rsid w:val="00A70650"/>
    <w:rsid w:val="00A70778"/>
    <w:rsid w:val="00A70E52"/>
    <w:rsid w:val="00A70E7B"/>
    <w:rsid w:val="00A70F72"/>
    <w:rsid w:val="00A71351"/>
    <w:rsid w:val="00A718CF"/>
    <w:rsid w:val="00A71ABB"/>
    <w:rsid w:val="00A720DE"/>
    <w:rsid w:val="00A720F8"/>
    <w:rsid w:val="00A721DD"/>
    <w:rsid w:val="00A72ED6"/>
    <w:rsid w:val="00A73042"/>
    <w:rsid w:val="00A7304D"/>
    <w:rsid w:val="00A73059"/>
    <w:rsid w:val="00A73A9C"/>
    <w:rsid w:val="00A73E98"/>
    <w:rsid w:val="00A73FC6"/>
    <w:rsid w:val="00A7444F"/>
    <w:rsid w:val="00A744FD"/>
    <w:rsid w:val="00A74529"/>
    <w:rsid w:val="00A74792"/>
    <w:rsid w:val="00A747BE"/>
    <w:rsid w:val="00A747F8"/>
    <w:rsid w:val="00A74A31"/>
    <w:rsid w:val="00A74F12"/>
    <w:rsid w:val="00A75112"/>
    <w:rsid w:val="00A75213"/>
    <w:rsid w:val="00A752BE"/>
    <w:rsid w:val="00A75420"/>
    <w:rsid w:val="00A75524"/>
    <w:rsid w:val="00A759D9"/>
    <w:rsid w:val="00A75DA1"/>
    <w:rsid w:val="00A75DD6"/>
    <w:rsid w:val="00A75F84"/>
    <w:rsid w:val="00A763CD"/>
    <w:rsid w:val="00A7646E"/>
    <w:rsid w:val="00A7660B"/>
    <w:rsid w:val="00A7663E"/>
    <w:rsid w:val="00A769A6"/>
    <w:rsid w:val="00A76B4D"/>
    <w:rsid w:val="00A76C61"/>
    <w:rsid w:val="00A76EA4"/>
    <w:rsid w:val="00A76F4E"/>
    <w:rsid w:val="00A77420"/>
    <w:rsid w:val="00A77BDE"/>
    <w:rsid w:val="00A77CBB"/>
    <w:rsid w:val="00A77D27"/>
    <w:rsid w:val="00A77F64"/>
    <w:rsid w:val="00A77FDF"/>
    <w:rsid w:val="00A8014A"/>
    <w:rsid w:val="00A804FC"/>
    <w:rsid w:val="00A80508"/>
    <w:rsid w:val="00A80529"/>
    <w:rsid w:val="00A807FA"/>
    <w:rsid w:val="00A808AB"/>
    <w:rsid w:val="00A80C9A"/>
    <w:rsid w:val="00A80D33"/>
    <w:rsid w:val="00A81386"/>
    <w:rsid w:val="00A81D06"/>
    <w:rsid w:val="00A81D83"/>
    <w:rsid w:val="00A81F82"/>
    <w:rsid w:val="00A82437"/>
    <w:rsid w:val="00A82510"/>
    <w:rsid w:val="00A8274D"/>
    <w:rsid w:val="00A82BC2"/>
    <w:rsid w:val="00A82D11"/>
    <w:rsid w:val="00A8351C"/>
    <w:rsid w:val="00A83655"/>
    <w:rsid w:val="00A83751"/>
    <w:rsid w:val="00A839EA"/>
    <w:rsid w:val="00A83C42"/>
    <w:rsid w:val="00A83F7D"/>
    <w:rsid w:val="00A841B0"/>
    <w:rsid w:val="00A842F9"/>
    <w:rsid w:val="00A846D9"/>
    <w:rsid w:val="00A84770"/>
    <w:rsid w:val="00A8488A"/>
    <w:rsid w:val="00A84BEB"/>
    <w:rsid w:val="00A84C30"/>
    <w:rsid w:val="00A84EAA"/>
    <w:rsid w:val="00A84EED"/>
    <w:rsid w:val="00A84F5C"/>
    <w:rsid w:val="00A85099"/>
    <w:rsid w:val="00A853C3"/>
    <w:rsid w:val="00A85406"/>
    <w:rsid w:val="00A857EC"/>
    <w:rsid w:val="00A8599E"/>
    <w:rsid w:val="00A859EA"/>
    <w:rsid w:val="00A85A2B"/>
    <w:rsid w:val="00A85A38"/>
    <w:rsid w:val="00A85B9B"/>
    <w:rsid w:val="00A86148"/>
    <w:rsid w:val="00A8619D"/>
    <w:rsid w:val="00A86270"/>
    <w:rsid w:val="00A8630E"/>
    <w:rsid w:val="00A86377"/>
    <w:rsid w:val="00A86B22"/>
    <w:rsid w:val="00A86B92"/>
    <w:rsid w:val="00A86E5D"/>
    <w:rsid w:val="00A86F75"/>
    <w:rsid w:val="00A87008"/>
    <w:rsid w:val="00A870CC"/>
    <w:rsid w:val="00A8781A"/>
    <w:rsid w:val="00A87967"/>
    <w:rsid w:val="00A87B10"/>
    <w:rsid w:val="00A87B6A"/>
    <w:rsid w:val="00A87C69"/>
    <w:rsid w:val="00A87E09"/>
    <w:rsid w:val="00A9087C"/>
    <w:rsid w:val="00A90ABE"/>
    <w:rsid w:val="00A90F09"/>
    <w:rsid w:val="00A9106D"/>
    <w:rsid w:val="00A9132E"/>
    <w:rsid w:val="00A91B2E"/>
    <w:rsid w:val="00A91EF2"/>
    <w:rsid w:val="00A91F3F"/>
    <w:rsid w:val="00A9202B"/>
    <w:rsid w:val="00A92282"/>
    <w:rsid w:val="00A92533"/>
    <w:rsid w:val="00A92541"/>
    <w:rsid w:val="00A9284A"/>
    <w:rsid w:val="00A92AB4"/>
    <w:rsid w:val="00A92F2C"/>
    <w:rsid w:val="00A92F5B"/>
    <w:rsid w:val="00A92F85"/>
    <w:rsid w:val="00A93320"/>
    <w:rsid w:val="00A93543"/>
    <w:rsid w:val="00A936A5"/>
    <w:rsid w:val="00A93D1E"/>
    <w:rsid w:val="00A93D25"/>
    <w:rsid w:val="00A93DAA"/>
    <w:rsid w:val="00A93E85"/>
    <w:rsid w:val="00A93F16"/>
    <w:rsid w:val="00A93F50"/>
    <w:rsid w:val="00A93F6B"/>
    <w:rsid w:val="00A940D0"/>
    <w:rsid w:val="00A9430D"/>
    <w:rsid w:val="00A9447C"/>
    <w:rsid w:val="00A944F2"/>
    <w:rsid w:val="00A94593"/>
    <w:rsid w:val="00A94995"/>
    <w:rsid w:val="00A94A13"/>
    <w:rsid w:val="00A94DB3"/>
    <w:rsid w:val="00A94EC9"/>
    <w:rsid w:val="00A94EFC"/>
    <w:rsid w:val="00A9521F"/>
    <w:rsid w:val="00A95308"/>
    <w:rsid w:val="00A95582"/>
    <w:rsid w:val="00A9562F"/>
    <w:rsid w:val="00A95CC8"/>
    <w:rsid w:val="00A95E72"/>
    <w:rsid w:val="00A96196"/>
    <w:rsid w:val="00A9633C"/>
    <w:rsid w:val="00A9639D"/>
    <w:rsid w:val="00A963DD"/>
    <w:rsid w:val="00A9644D"/>
    <w:rsid w:val="00A965D8"/>
    <w:rsid w:val="00A967A1"/>
    <w:rsid w:val="00A96920"/>
    <w:rsid w:val="00A9694E"/>
    <w:rsid w:val="00A96AF1"/>
    <w:rsid w:val="00A96E18"/>
    <w:rsid w:val="00A97290"/>
    <w:rsid w:val="00A97762"/>
    <w:rsid w:val="00A979AE"/>
    <w:rsid w:val="00A97AD0"/>
    <w:rsid w:val="00A97ADA"/>
    <w:rsid w:val="00A97F91"/>
    <w:rsid w:val="00AA05BC"/>
    <w:rsid w:val="00AA05E3"/>
    <w:rsid w:val="00AA07C1"/>
    <w:rsid w:val="00AA0C73"/>
    <w:rsid w:val="00AA0DCE"/>
    <w:rsid w:val="00AA1044"/>
    <w:rsid w:val="00AA1242"/>
    <w:rsid w:val="00AA1494"/>
    <w:rsid w:val="00AA1681"/>
    <w:rsid w:val="00AA1799"/>
    <w:rsid w:val="00AA1989"/>
    <w:rsid w:val="00AA1BA9"/>
    <w:rsid w:val="00AA1BD0"/>
    <w:rsid w:val="00AA1BDE"/>
    <w:rsid w:val="00AA1C91"/>
    <w:rsid w:val="00AA1CEE"/>
    <w:rsid w:val="00AA1CF2"/>
    <w:rsid w:val="00AA1E9F"/>
    <w:rsid w:val="00AA2157"/>
    <w:rsid w:val="00AA2186"/>
    <w:rsid w:val="00AA237F"/>
    <w:rsid w:val="00AA257C"/>
    <w:rsid w:val="00AA2FA1"/>
    <w:rsid w:val="00AA38D2"/>
    <w:rsid w:val="00AA3973"/>
    <w:rsid w:val="00AA39F3"/>
    <w:rsid w:val="00AA3ABB"/>
    <w:rsid w:val="00AA3C2A"/>
    <w:rsid w:val="00AA3E49"/>
    <w:rsid w:val="00AA3FFB"/>
    <w:rsid w:val="00AA4065"/>
    <w:rsid w:val="00AA4DB9"/>
    <w:rsid w:val="00AA4FB1"/>
    <w:rsid w:val="00AA51C1"/>
    <w:rsid w:val="00AA5345"/>
    <w:rsid w:val="00AA55DF"/>
    <w:rsid w:val="00AA5C9E"/>
    <w:rsid w:val="00AA5DEB"/>
    <w:rsid w:val="00AA5FAC"/>
    <w:rsid w:val="00AA6156"/>
    <w:rsid w:val="00AA6315"/>
    <w:rsid w:val="00AA6377"/>
    <w:rsid w:val="00AA661E"/>
    <w:rsid w:val="00AA6888"/>
    <w:rsid w:val="00AA6A6C"/>
    <w:rsid w:val="00AA6AFA"/>
    <w:rsid w:val="00AA71A7"/>
    <w:rsid w:val="00AA7210"/>
    <w:rsid w:val="00AA73AC"/>
    <w:rsid w:val="00AA7633"/>
    <w:rsid w:val="00AA7B07"/>
    <w:rsid w:val="00AA7B77"/>
    <w:rsid w:val="00AA7C98"/>
    <w:rsid w:val="00AA7D3E"/>
    <w:rsid w:val="00AA7E1A"/>
    <w:rsid w:val="00AB00C7"/>
    <w:rsid w:val="00AB035B"/>
    <w:rsid w:val="00AB0486"/>
    <w:rsid w:val="00AB065E"/>
    <w:rsid w:val="00AB06A1"/>
    <w:rsid w:val="00AB074C"/>
    <w:rsid w:val="00AB0982"/>
    <w:rsid w:val="00AB0A73"/>
    <w:rsid w:val="00AB10CF"/>
    <w:rsid w:val="00AB1837"/>
    <w:rsid w:val="00AB187A"/>
    <w:rsid w:val="00AB1B73"/>
    <w:rsid w:val="00AB1CF6"/>
    <w:rsid w:val="00AB217E"/>
    <w:rsid w:val="00AB2325"/>
    <w:rsid w:val="00AB2373"/>
    <w:rsid w:val="00AB24D2"/>
    <w:rsid w:val="00AB2754"/>
    <w:rsid w:val="00AB2951"/>
    <w:rsid w:val="00AB2BA3"/>
    <w:rsid w:val="00AB2FA5"/>
    <w:rsid w:val="00AB35A8"/>
    <w:rsid w:val="00AB3781"/>
    <w:rsid w:val="00AB3A95"/>
    <w:rsid w:val="00AB3CE7"/>
    <w:rsid w:val="00AB3CF1"/>
    <w:rsid w:val="00AB3DC4"/>
    <w:rsid w:val="00AB4291"/>
    <w:rsid w:val="00AB4865"/>
    <w:rsid w:val="00AB4C3E"/>
    <w:rsid w:val="00AB514A"/>
    <w:rsid w:val="00AB5155"/>
    <w:rsid w:val="00AB545C"/>
    <w:rsid w:val="00AB5A67"/>
    <w:rsid w:val="00AB5B01"/>
    <w:rsid w:val="00AB5DDC"/>
    <w:rsid w:val="00AB5DFE"/>
    <w:rsid w:val="00AB6013"/>
    <w:rsid w:val="00AB641E"/>
    <w:rsid w:val="00AB65A0"/>
    <w:rsid w:val="00AB65FF"/>
    <w:rsid w:val="00AB6CA7"/>
    <w:rsid w:val="00AB6CD4"/>
    <w:rsid w:val="00AB6EE9"/>
    <w:rsid w:val="00AB6EEF"/>
    <w:rsid w:val="00AB6F3C"/>
    <w:rsid w:val="00AB72A6"/>
    <w:rsid w:val="00AB7318"/>
    <w:rsid w:val="00AB74A1"/>
    <w:rsid w:val="00AB78CF"/>
    <w:rsid w:val="00AB7A1D"/>
    <w:rsid w:val="00AB7B77"/>
    <w:rsid w:val="00AB7C12"/>
    <w:rsid w:val="00AB7F1B"/>
    <w:rsid w:val="00AC0078"/>
    <w:rsid w:val="00AC027F"/>
    <w:rsid w:val="00AC0869"/>
    <w:rsid w:val="00AC0E6E"/>
    <w:rsid w:val="00AC1020"/>
    <w:rsid w:val="00AC1027"/>
    <w:rsid w:val="00AC109C"/>
    <w:rsid w:val="00AC12B7"/>
    <w:rsid w:val="00AC1369"/>
    <w:rsid w:val="00AC1412"/>
    <w:rsid w:val="00AC1568"/>
    <w:rsid w:val="00AC16A1"/>
    <w:rsid w:val="00AC1742"/>
    <w:rsid w:val="00AC1772"/>
    <w:rsid w:val="00AC17D8"/>
    <w:rsid w:val="00AC1A7C"/>
    <w:rsid w:val="00AC1B77"/>
    <w:rsid w:val="00AC1D9B"/>
    <w:rsid w:val="00AC1DEF"/>
    <w:rsid w:val="00AC1E12"/>
    <w:rsid w:val="00AC2192"/>
    <w:rsid w:val="00AC224C"/>
    <w:rsid w:val="00AC24BF"/>
    <w:rsid w:val="00AC273C"/>
    <w:rsid w:val="00AC295E"/>
    <w:rsid w:val="00AC2A39"/>
    <w:rsid w:val="00AC2A59"/>
    <w:rsid w:val="00AC2A64"/>
    <w:rsid w:val="00AC2D2E"/>
    <w:rsid w:val="00AC2D51"/>
    <w:rsid w:val="00AC2E7F"/>
    <w:rsid w:val="00AC2F0F"/>
    <w:rsid w:val="00AC2F66"/>
    <w:rsid w:val="00AC3064"/>
    <w:rsid w:val="00AC357C"/>
    <w:rsid w:val="00AC37FD"/>
    <w:rsid w:val="00AC3A5B"/>
    <w:rsid w:val="00AC4ABD"/>
    <w:rsid w:val="00AC4DD7"/>
    <w:rsid w:val="00AC50E3"/>
    <w:rsid w:val="00AC512D"/>
    <w:rsid w:val="00AC53B2"/>
    <w:rsid w:val="00AC53F1"/>
    <w:rsid w:val="00AC564E"/>
    <w:rsid w:val="00AC56F2"/>
    <w:rsid w:val="00AC58BE"/>
    <w:rsid w:val="00AC59CF"/>
    <w:rsid w:val="00AC5B34"/>
    <w:rsid w:val="00AC5DB0"/>
    <w:rsid w:val="00AC5E44"/>
    <w:rsid w:val="00AC5EAC"/>
    <w:rsid w:val="00AC63D8"/>
    <w:rsid w:val="00AC643F"/>
    <w:rsid w:val="00AC64BE"/>
    <w:rsid w:val="00AC6973"/>
    <w:rsid w:val="00AC6A4C"/>
    <w:rsid w:val="00AC6BCA"/>
    <w:rsid w:val="00AC6E05"/>
    <w:rsid w:val="00AC6E3B"/>
    <w:rsid w:val="00AC6F9B"/>
    <w:rsid w:val="00AC6FEA"/>
    <w:rsid w:val="00AC7157"/>
    <w:rsid w:val="00AC763F"/>
    <w:rsid w:val="00AC76A6"/>
    <w:rsid w:val="00AC79D7"/>
    <w:rsid w:val="00AC7C82"/>
    <w:rsid w:val="00AD01D0"/>
    <w:rsid w:val="00AD0327"/>
    <w:rsid w:val="00AD0333"/>
    <w:rsid w:val="00AD073A"/>
    <w:rsid w:val="00AD08DC"/>
    <w:rsid w:val="00AD0908"/>
    <w:rsid w:val="00AD0929"/>
    <w:rsid w:val="00AD0D5D"/>
    <w:rsid w:val="00AD0EC3"/>
    <w:rsid w:val="00AD0F25"/>
    <w:rsid w:val="00AD0FE3"/>
    <w:rsid w:val="00AD111F"/>
    <w:rsid w:val="00AD11F1"/>
    <w:rsid w:val="00AD1439"/>
    <w:rsid w:val="00AD14AF"/>
    <w:rsid w:val="00AD161A"/>
    <w:rsid w:val="00AD22B2"/>
    <w:rsid w:val="00AD24DD"/>
    <w:rsid w:val="00AD2A0A"/>
    <w:rsid w:val="00AD2A4C"/>
    <w:rsid w:val="00AD2DA6"/>
    <w:rsid w:val="00AD2FA5"/>
    <w:rsid w:val="00AD2FEA"/>
    <w:rsid w:val="00AD34AA"/>
    <w:rsid w:val="00AD356A"/>
    <w:rsid w:val="00AD35BC"/>
    <w:rsid w:val="00AD36F5"/>
    <w:rsid w:val="00AD3734"/>
    <w:rsid w:val="00AD3777"/>
    <w:rsid w:val="00AD39B2"/>
    <w:rsid w:val="00AD3D42"/>
    <w:rsid w:val="00AD3D9A"/>
    <w:rsid w:val="00AD4001"/>
    <w:rsid w:val="00AD4062"/>
    <w:rsid w:val="00AD40CD"/>
    <w:rsid w:val="00AD4199"/>
    <w:rsid w:val="00AD422C"/>
    <w:rsid w:val="00AD423F"/>
    <w:rsid w:val="00AD4388"/>
    <w:rsid w:val="00AD4613"/>
    <w:rsid w:val="00AD4786"/>
    <w:rsid w:val="00AD4871"/>
    <w:rsid w:val="00AD4986"/>
    <w:rsid w:val="00AD51C9"/>
    <w:rsid w:val="00AD51DA"/>
    <w:rsid w:val="00AD53B9"/>
    <w:rsid w:val="00AD542F"/>
    <w:rsid w:val="00AD5972"/>
    <w:rsid w:val="00AD5CDA"/>
    <w:rsid w:val="00AD5CF3"/>
    <w:rsid w:val="00AD5D7F"/>
    <w:rsid w:val="00AD5DB2"/>
    <w:rsid w:val="00AD61CE"/>
    <w:rsid w:val="00AD6253"/>
    <w:rsid w:val="00AD648B"/>
    <w:rsid w:val="00AD64CD"/>
    <w:rsid w:val="00AD6570"/>
    <w:rsid w:val="00AD65E4"/>
    <w:rsid w:val="00AD67F4"/>
    <w:rsid w:val="00AD6938"/>
    <w:rsid w:val="00AD6BC4"/>
    <w:rsid w:val="00AD6F5C"/>
    <w:rsid w:val="00AD7097"/>
    <w:rsid w:val="00AD71D7"/>
    <w:rsid w:val="00AD7518"/>
    <w:rsid w:val="00AD760C"/>
    <w:rsid w:val="00AD7698"/>
    <w:rsid w:val="00AD7B35"/>
    <w:rsid w:val="00AD7B4E"/>
    <w:rsid w:val="00AD7FFD"/>
    <w:rsid w:val="00AE021F"/>
    <w:rsid w:val="00AE0931"/>
    <w:rsid w:val="00AE09D1"/>
    <w:rsid w:val="00AE0C1E"/>
    <w:rsid w:val="00AE0DD1"/>
    <w:rsid w:val="00AE121F"/>
    <w:rsid w:val="00AE1299"/>
    <w:rsid w:val="00AE144C"/>
    <w:rsid w:val="00AE14F5"/>
    <w:rsid w:val="00AE15A8"/>
    <w:rsid w:val="00AE1AF7"/>
    <w:rsid w:val="00AE1CDE"/>
    <w:rsid w:val="00AE1D47"/>
    <w:rsid w:val="00AE1E48"/>
    <w:rsid w:val="00AE223F"/>
    <w:rsid w:val="00AE2489"/>
    <w:rsid w:val="00AE2A68"/>
    <w:rsid w:val="00AE2AE8"/>
    <w:rsid w:val="00AE2B4D"/>
    <w:rsid w:val="00AE33C3"/>
    <w:rsid w:val="00AE3422"/>
    <w:rsid w:val="00AE36AC"/>
    <w:rsid w:val="00AE3798"/>
    <w:rsid w:val="00AE38B2"/>
    <w:rsid w:val="00AE3912"/>
    <w:rsid w:val="00AE3A32"/>
    <w:rsid w:val="00AE3A5A"/>
    <w:rsid w:val="00AE3B19"/>
    <w:rsid w:val="00AE3CF3"/>
    <w:rsid w:val="00AE4915"/>
    <w:rsid w:val="00AE4CD5"/>
    <w:rsid w:val="00AE4E65"/>
    <w:rsid w:val="00AE4F15"/>
    <w:rsid w:val="00AE543F"/>
    <w:rsid w:val="00AE57FD"/>
    <w:rsid w:val="00AE5A14"/>
    <w:rsid w:val="00AE602A"/>
    <w:rsid w:val="00AE635E"/>
    <w:rsid w:val="00AE6424"/>
    <w:rsid w:val="00AE6885"/>
    <w:rsid w:val="00AE6892"/>
    <w:rsid w:val="00AE6961"/>
    <w:rsid w:val="00AE6963"/>
    <w:rsid w:val="00AE6B43"/>
    <w:rsid w:val="00AE6B7A"/>
    <w:rsid w:val="00AE6D7E"/>
    <w:rsid w:val="00AE70BD"/>
    <w:rsid w:val="00AE724F"/>
    <w:rsid w:val="00AE729D"/>
    <w:rsid w:val="00AE7600"/>
    <w:rsid w:val="00AE760A"/>
    <w:rsid w:val="00AE772D"/>
    <w:rsid w:val="00AE7884"/>
    <w:rsid w:val="00AE7A54"/>
    <w:rsid w:val="00AE7BB5"/>
    <w:rsid w:val="00AE7C7A"/>
    <w:rsid w:val="00AF0099"/>
    <w:rsid w:val="00AF03A9"/>
    <w:rsid w:val="00AF04D1"/>
    <w:rsid w:val="00AF04E2"/>
    <w:rsid w:val="00AF05A8"/>
    <w:rsid w:val="00AF06AF"/>
    <w:rsid w:val="00AF06CA"/>
    <w:rsid w:val="00AF0843"/>
    <w:rsid w:val="00AF08FA"/>
    <w:rsid w:val="00AF0C0A"/>
    <w:rsid w:val="00AF0D76"/>
    <w:rsid w:val="00AF0DF9"/>
    <w:rsid w:val="00AF0F19"/>
    <w:rsid w:val="00AF12EF"/>
    <w:rsid w:val="00AF1301"/>
    <w:rsid w:val="00AF1A7D"/>
    <w:rsid w:val="00AF1A88"/>
    <w:rsid w:val="00AF1B37"/>
    <w:rsid w:val="00AF1C7C"/>
    <w:rsid w:val="00AF1D95"/>
    <w:rsid w:val="00AF1F0B"/>
    <w:rsid w:val="00AF1F21"/>
    <w:rsid w:val="00AF1F79"/>
    <w:rsid w:val="00AF20D9"/>
    <w:rsid w:val="00AF2304"/>
    <w:rsid w:val="00AF24F1"/>
    <w:rsid w:val="00AF2721"/>
    <w:rsid w:val="00AF2825"/>
    <w:rsid w:val="00AF2C33"/>
    <w:rsid w:val="00AF2CD4"/>
    <w:rsid w:val="00AF2F1E"/>
    <w:rsid w:val="00AF30A9"/>
    <w:rsid w:val="00AF318D"/>
    <w:rsid w:val="00AF33C4"/>
    <w:rsid w:val="00AF33D3"/>
    <w:rsid w:val="00AF3528"/>
    <w:rsid w:val="00AF38FD"/>
    <w:rsid w:val="00AF3E3D"/>
    <w:rsid w:val="00AF41DD"/>
    <w:rsid w:val="00AF423A"/>
    <w:rsid w:val="00AF45DF"/>
    <w:rsid w:val="00AF46AC"/>
    <w:rsid w:val="00AF4B1A"/>
    <w:rsid w:val="00AF4BE4"/>
    <w:rsid w:val="00AF4C16"/>
    <w:rsid w:val="00AF4C6A"/>
    <w:rsid w:val="00AF4DD9"/>
    <w:rsid w:val="00AF4FF2"/>
    <w:rsid w:val="00AF510C"/>
    <w:rsid w:val="00AF51BC"/>
    <w:rsid w:val="00AF51BF"/>
    <w:rsid w:val="00AF5755"/>
    <w:rsid w:val="00AF57BF"/>
    <w:rsid w:val="00AF585F"/>
    <w:rsid w:val="00AF5B54"/>
    <w:rsid w:val="00AF6004"/>
    <w:rsid w:val="00AF608E"/>
    <w:rsid w:val="00AF61A6"/>
    <w:rsid w:val="00AF6424"/>
    <w:rsid w:val="00AF6429"/>
    <w:rsid w:val="00AF6436"/>
    <w:rsid w:val="00AF6780"/>
    <w:rsid w:val="00AF6B8E"/>
    <w:rsid w:val="00AF6D4D"/>
    <w:rsid w:val="00AF7045"/>
    <w:rsid w:val="00AF7050"/>
    <w:rsid w:val="00AF715C"/>
    <w:rsid w:val="00AF7178"/>
    <w:rsid w:val="00AF7440"/>
    <w:rsid w:val="00AF7443"/>
    <w:rsid w:val="00AF75D7"/>
    <w:rsid w:val="00AF768C"/>
    <w:rsid w:val="00AF76B3"/>
    <w:rsid w:val="00AF77E2"/>
    <w:rsid w:val="00AF7B27"/>
    <w:rsid w:val="00AF7B9C"/>
    <w:rsid w:val="00AF7C23"/>
    <w:rsid w:val="00AF7DDD"/>
    <w:rsid w:val="00B000DF"/>
    <w:rsid w:val="00B0053C"/>
    <w:rsid w:val="00B0065B"/>
    <w:rsid w:val="00B0096F"/>
    <w:rsid w:val="00B00DC9"/>
    <w:rsid w:val="00B0129F"/>
    <w:rsid w:val="00B01333"/>
    <w:rsid w:val="00B01BB3"/>
    <w:rsid w:val="00B02093"/>
    <w:rsid w:val="00B02173"/>
    <w:rsid w:val="00B02281"/>
    <w:rsid w:val="00B0230D"/>
    <w:rsid w:val="00B0243A"/>
    <w:rsid w:val="00B02535"/>
    <w:rsid w:val="00B025DD"/>
    <w:rsid w:val="00B026A2"/>
    <w:rsid w:val="00B02B26"/>
    <w:rsid w:val="00B02D76"/>
    <w:rsid w:val="00B02F41"/>
    <w:rsid w:val="00B034F8"/>
    <w:rsid w:val="00B0357C"/>
    <w:rsid w:val="00B0368B"/>
    <w:rsid w:val="00B038DD"/>
    <w:rsid w:val="00B03989"/>
    <w:rsid w:val="00B03DDE"/>
    <w:rsid w:val="00B03E39"/>
    <w:rsid w:val="00B03F23"/>
    <w:rsid w:val="00B042A4"/>
    <w:rsid w:val="00B04492"/>
    <w:rsid w:val="00B04533"/>
    <w:rsid w:val="00B045A3"/>
    <w:rsid w:val="00B04CCE"/>
    <w:rsid w:val="00B04F75"/>
    <w:rsid w:val="00B0502B"/>
    <w:rsid w:val="00B05154"/>
    <w:rsid w:val="00B0529B"/>
    <w:rsid w:val="00B052A7"/>
    <w:rsid w:val="00B052CE"/>
    <w:rsid w:val="00B05569"/>
    <w:rsid w:val="00B0557D"/>
    <w:rsid w:val="00B05653"/>
    <w:rsid w:val="00B05A6C"/>
    <w:rsid w:val="00B05BF5"/>
    <w:rsid w:val="00B05CD6"/>
    <w:rsid w:val="00B05E21"/>
    <w:rsid w:val="00B05FD4"/>
    <w:rsid w:val="00B060D6"/>
    <w:rsid w:val="00B0644E"/>
    <w:rsid w:val="00B06461"/>
    <w:rsid w:val="00B06643"/>
    <w:rsid w:val="00B067C4"/>
    <w:rsid w:val="00B0681B"/>
    <w:rsid w:val="00B06827"/>
    <w:rsid w:val="00B06A0D"/>
    <w:rsid w:val="00B0715A"/>
    <w:rsid w:val="00B07553"/>
    <w:rsid w:val="00B07F42"/>
    <w:rsid w:val="00B07F6A"/>
    <w:rsid w:val="00B100B9"/>
    <w:rsid w:val="00B10163"/>
    <w:rsid w:val="00B10316"/>
    <w:rsid w:val="00B10A5F"/>
    <w:rsid w:val="00B10A73"/>
    <w:rsid w:val="00B1123D"/>
    <w:rsid w:val="00B116C4"/>
    <w:rsid w:val="00B117F3"/>
    <w:rsid w:val="00B1196C"/>
    <w:rsid w:val="00B11C4F"/>
    <w:rsid w:val="00B11DB8"/>
    <w:rsid w:val="00B11EA0"/>
    <w:rsid w:val="00B1212D"/>
    <w:rsid w:val="00B12264"/>
    <w:rsid w:val="00B1236A"/>
    <w:rsid w:val="00B123A3"/>
    <w:rsid w:val="00B123BF"/>
    <w:rsid w:val="00B127BC"/>
    <w:rsid w:val="00B12A78"/>
    <w:rsid w:val="00B12B39"/>
    <w:rsid w:val="00B12CAA"/>
    <w:rsid w:val="00B12D4F"/>
    <w:rsid w:val="00B12DCF"/>
    <w:rsid w:val="00B1312C"/>
    <w:rsid w:val="00B1315A"/>
    <w:rsid w:val="00B1331D"/>
    <w:rsid w:val="00B1331F"/>
    <w:rsid w:val="00B13338"/>
    <w:rsid w:val="00B1362C"/>
    <w:rsid w:val="00B1374C"/>
    <w:rsid w:val="00B13894"/>
    <w:rsid w:val="00B13949"/>
    <w:rsid w:val="00B13A13"/>
    <w:rsid w:val="00B13C59"/>
    <w:rsid w:val="00B13CAC"/>
    <w:rsid w:val="00B13CE1"/>
    <w:rsid w:val="00B13E26"/>
    <w:rsid w:val="00B14139"/>
    <w:rsid w:val="00B141A7"/>
    <w:rsid w:val="00B141F7"/>
    <w:rsid w:val="00B14232"/>
    <w:rsid w:val="00B142F4"/>
    <w:rsid w:val="00B144F7"/>
    <w:rsid w:val="00B1474D"/>
    <w:rsid w:val="00B14CB8"/>
    <w:rsid w:val="00B14E6B"/>
    <w:rsid w:val="00B1530F"/>
    <w:rsid w:val="00B1542E"/>
    <w:rsid w:val="00B1559E"/>
    <w:rsid w:val="00B15787"/>
    <w:rsid w:val="00B157A5"/>
    <w:rsid w:val="00B15972"/>
    <w:rsid w:val="00B15B98"/>
    <w:rsid w:val="00B1617F"/>
    <w:rsid w:val="00B167AE"/>
    <w:rsid w:val="00B16C23"/>
    <w:rsid w:val="00B16E0C"/>
    <w:rsid w:val="00B16EEC"/>
    <w:rsid w:val="00B16FA1"/>
    <w:rsid w:val="00B17686"/>
    <w:rsid w:val="00B17740"/>
    <w:rsid w:val="00B1789A"/>
    <w:rsid w:val="00B1796C"/>
    <w:rsid w:val="00B17F97"/>
    <w:rsid w:val="00B17FD4"/>
    <w:rsid w:val="00B17FDB"/>
    <w:rsid w:val="00B20AF0"/>
    <w:rsid w:val="00B20F72"/>
    <w:rsid w:val="00B2138A"/>
    <w:rsid w:val="00B21411"/>
    <w:rsid w:val="00B2146E"/>
    <w:rsid w:val="00B214CF"/>
    <w:rsid w:val="00B216C3"/>
    <w:rsid w:val="00B21BB1"/>
    <w:rsid w:val="00B21C2A"/>
    <w:rsid w:val="00B21C7C"/>
    <w:rsid w:val="00B21D8E"/>
    <w:rsid w:val="00B21DC0"/>
    <w:rsid w:val="00B21EA4"/>
    <w:rsid w:val="00B220D5"/>
    <w:rsid w:val="00B22169"/>
    <w:rsid w:val="00B22202"/>
    <w:rsid w:val="00B22247"/>
    <w:rsid w:val="00B22266"/>
    <w:rsid w:val="00B22275"/>
    <w:rsid w:val="00B2228E"/>
    <w:rsid w:val="00B223A0"/>
    <w:rsid w:val="00B223AD"/>
    <w:rsid w:val="00B2243B"/>
    <w:rsid w:val="00B225D0"/>
    <w:rsid w:val="00B22651"/>
    <w:rsid w:val="00B22C58"/>
    <w:rsid w:val="00B22F7F"/>
    <w:rsid w:val="00B235C9"/>
    <w:rsid w:val="00B2362F"/>
    <w:rsid w:val="00B23667"/>
    <w:rsid w:val="00B23940"/>
    <w:rsid w:val="00B23944"/>
    <w:rsid w:val="00B23A04"/>
    <w:rsid w:val="00B23A10"/>
    <w:rsid w:val="00B23AF6"/>
    <w:rsid w:val="00B23B4B"/>
    <w:rsid w:val="00B23CDD"/>
    <w:rsid w:val="00B23D55"/>
    <w:rsid w:val="00B24007"/>
    <w:rsid w:val="00B24190"/>
    <w:rsid w:val="00B24230"/>
    <w:rsid w:val="00B246E6"/>
    <w:rsid w:val="00B24969"/>
    <w:rsid w:val="00B24AA0"/>
    <w:rsid w:val="00B25082"/>
    <w:rsid w:val="00B25106"/>
    <w:rsid w:val="00B2518D"/>
    <w:rsid w:val="00B252D5"/>
    <w:rsid w:val="00B254E2"/>
    <w:rsid w:val="00B259DF"/>
    <w:rsid w:val="00B259FC"/>
    <w:rsid w:val="00B25C83"/>
    <w:rsid w:val="00B25D68"/>
    <w:rsid w:val="00B25FCF"/>
    <w:rsid w:val="00B262B7"/>
    <w:rsid w:val="00B262F3"/>
    <w:rsid w:val="00B263B7"/>
    <w:rsid w:val="00B26450"/>
    <w:rsid w:val="00B264BE"/>
    <w:rsid w:val="00B26D8A"/>
    <w:rsid w:val="00B270A7"/>
    <w:rsid w:val="00B27176"/>
    <w:rsid w:val="00B27586"/>
    <w:rsid w:val="00B275A0"/>
    <w:rsid w:val="00B2777B"/>
    <w:rsid w:val="00B27832"/>
    <w:rsid w:val="00B27838"/>
    <w:rsid w:val="00B27FEF"/>
    <w:rsid w:val="00B30120"/>
    <w:rsid w:val="00B30267"/>
    <w:rsid w:val="00B303A1"/>
    <w:rsid w:val="00B303E5"/>
    <w:rsid w:val="00B304A9"/>
    <w:rsid w:val="00B30733"/>
    <w:rsid w:val="00B30946"/>
    <w:rsid w:val="00B30AA3"/>
    <w:rsid w:val="00B30D73"/>
    <w:rsid w:val="00B30EDB"/>
    <w:rsid w:val="00B31163"/>
    <w:rsid w:val="00B3155F"/>
    <w:rsid w:val="00B315BC"/>
    <w:rsid w:val="00B316C6"/>
    <w:rsid w:val="00B31A56"/>
    <w:rsid w:val="00B31A72"/>
    <w:rsid w:val="00B31A89"/>
    <w:rsid w:val="00B31ACD"/>
    <w:rsid w:val="00B31C72"/>
    <w:rsid w:val="00B31DAA"/>
    <w:rsid w:val="00B32169"/>
    <w:rsid w:val="00B321AB"/>
    <w:rsid w:val="00B3257C"/>
    <w:rsid w:val="00B325B7"/>
    <w:rsid w:val="00B32686"/>
    <w:rsid w:val="00B3276A"/>
    <w:rsid w:val="00B32872"/>
    <w:rsid w:val="00B32B36"/>
    <w:rsid w:val="00B32B77"/>
    <w:rsid w:val="00B32CF5"/>
    <w:rsid w:val="00B32CFB"/>
    <w:rsid w:val="00B32F0B"/>
    <w:rsid w:val="00B3319C"/>
    <w:rsid w:val="00B332D9"/>
    <w:rsid w:val="00B337C5"/>
    <w:rsid w:val="00B33914"/>
    <w:rsid w:val="00B33A60"/>
    <w:rsid w:val="00B33EFF"/>
    <w:rsid w:val="00B34040"/>
    <w:rsid w:val="00B341F2"/>
    <w:rsid w:val="00B343C2"/>
    <w:rsid w:val="00B3468F"/>
    <w:rsid w:val="00B3491D"/>
    <w:rsid w:val="00B34940"/>
    <w:rsid w:val="00B34E32"/>
    <w:rsid w:val="00B35023"/>
    <w:rsid w:val="00B35078"/>
    <w:rsid w:val="00B350BD"/>
    <w:rsid w:val="00B3563C"/>
    <w:rsid w:val="00B3588D"/>
    <w:rsid w:val="00B35DB9"/>
    <w:rsid w:val="00B35E39"/>
    <w:rsid w:val="00B3600A"/>
    <w:rsid w:val="00B36059"/>
    <w:rsid w:val="00B363CF"/>
    <w:rsid w:val="00B36785"/>
    <w:rsid w:val="00B367E2"/>
    <w:rsid w:val="00B36DF5"/>
    <w:rsid w:val="00B37FD7"/>
    <w:rsid w:val="00B4027B"/>
    <w:rsid w:val="00B40C7F"/>
    <w:rsid w:val="00B41021"/>
    <w:rsid w:val="00B41086"/>
    <w:rsid w:val="00B41107"/>
    <w:rsid w:val="00B41293"/>
    <w:rsid w:val="00B41650"/>
    <w:rsid w:val="00B417BB"/>
    <w:rsid w:val="00B41D41"/>
    <w:rsid w:val="00B4207A"/>
    <w:rsid w:val="00B4220C"/>
    <w:rsid w:val="00B42662"/>
    <w:rsid w:val="00B42821"/>
    <w:rsid w:val="00B4282C"/>
    <w:rsid w:val="00B42BAF"/>
    <w:rsid w:val="00B42F23"/>
    <w:rsid w:val="00B42F8E"/>
    <w:rsid w:val="00B43074"/>
    <w:rsid w:val="00B43106"/>
    <w:rsid w:val="00B4315E"/>
    <w:rsid w:val="00B43B4E"/>
    <w:rsid w:val="00B43BBC"/>
    <w:rsid w:val="00B44263"/>
    <w:rsid w:val="00B44627"/>
    <w:rsid w:val="00B446C2"/>
    <w:rsid w:val="00B44892"/>
    <w:rsid w:val="00B448CE"/>
    <w:rsid w:val="00B44D7C"/>
    <w:rsid w:val="00B45043"/>
    <w:rsid w:val="00B451B1"/>
    <w:rsid w:val="00B452DB"/>
    <w:rsid w:val="00B454EA"/>
    <w:rsid w:val="00B45975"/>
    <w:rsid w:val="00B45A56"/>
    <w:rsid w:val="00B45B8E"/>
    <w:rsid w:val="00B45E92"/>
    <w:rsid w:val="00B45F4C"/>
    <w:rsid w:val="00B45F6F"/>
    <w:rsid w:val="00B460CD"/>
    <w:rsid w:val="00B46238"/>
    <w:rsid w:val="00B4654A"/>
    <w:rsid w:val="00B4656A"/>
    <w:rsid w:val="00B46921"/>
    <w:rsid w:val="00B46A2A"/>
    <w:rsid w:val="00B46B05"/>
    <w:rsid w:val="00B46C8C"/>
    <w:rsid w:val="00B470ED"/>
    <w:rsid w:val="00B47262"/>
    <w:rsid w:val="00B475B7"/>
    <w:rsid w:val="00B47746"/>
    <w:rsid w:val="00B479D1"/>
    <w:rsid w:val="00B50312"/>
    <w:rsid w:val="00B50C3F"/>
    <w:rsid w:val="00B50DDE"/>
    <w:rsid w:val="00B50F6A"/>
    <w:rsid w:val="00B510CE"/>
    <w:rsid w:val="00B51310"/>
    <w:rsid w:val="00B514EC"/>
    <w:rsid w:val="00B51529"/>
    <w:rsid w:val="00B51654"/>
    <w:rsid w:val="00B5190B"/>
    <w:rsid w:val="00B51A55"/>
    <w:rsid w:val="00B51C4B"/>
    <w:rsid w:val="00B51F7B"/>
    <w:rsid w:val="00B51FBB"/>
    <w:rsid w:val="00B52163"/>
    <w:rsid w:val="00B527C7"/>
    <w:rsid w:val="00B527D6"/>
    <w:rsid w:val="00B52992"/>
    <w:rsid w:val="00B529A4"/>
    <w:rsid w:val="00B52A43"/>
    <w:rsid w:val="00B52AD0"/>
    <w:rsid w:val="00B52DAE"/>
    <w:rsid w:val="00B53127"/>
    <w:rsid w:val="00B534C1"/>
    <w:rsid w:val="00B5355A"/>
    <w:rsid w:val="00B5394D"/>
    <w:rsid w:val="00B539B7"/>
    <w:rsid w:val="00B53AA8"/>
    <w:rsid w:val="00B53BA4"/>
    <w:rsid w:val="00B53D4C"/>
    <w:rsid w:val="00B54370"/>
    <w:rsid w:val="00B547BB"/>
    <w:rsid w:val="00B54964"/>
    <w:rsid w:val="00B54C37"/>
    <w:rsid w:val="00B550E2"/>
    <w:rsid w:val="00B55108"/>
    <w:rsid w:val="00B552D7"/>
    <w:rsid w:val="00B553AF"/>
    <w:rsid w:val="00B555E1"/>
    <w:rsid w:val="00B55600"/>
    <w:rsid w:val="00B556CD"/>
    <w:rsid w:val="00B559D6"/>
    <w:rsid w:val="00B55BB1"/>
    <w:rsid w:val="00B55CAC"/>
    <w:rsid w:val="00B55E75"/>
    <w:rsid w:val="00B55E98"/>
    <w:rsid w:val="00B55FB7"/>
    <w:rsid w:val="00B56195"/>
    <w:rsid w:val="00B56687"/>
    <w:rsid w:val="00B5685B"/>
    <w:rsid w:val="00B568C7"/>
    <w:rsid w:val="00B5698D"/>
    <w:rsid w:val="00B56C09"/>
    <w:rsid w:val="00B56D6A"/>
    <w:rsid w:val="00B5707D"/>
    <w:rsid w:val="00B571EB"/>
    <w:rsid w:val="00B57219"/>
    <w:rsid w:val="00B5721C"/>
    <w:rsid w:val="00B57915"/>
    <w:rsid w:val="00B57967"/>
    <w:rsid w:val="00B579BD"/>
    <w:rsid w:val="00B57FB1"/>
    <w:rsid w:val="00B6001B"/>
    <w:rsid w:val="00B6010A"/>
    <w:rsid w:val="00B60E30"/>
    <w:rsid w:val="00B60F0A"/>
    <w:rsid w:val="00B615D2"/>
    <w:rsid w:val="00B6171A"/>
    <w:rsid w:val="00B61AC2"/>
    <w:rsid w:val="00B61D07"/>
    <w:rsid w:val="00B6201E"/>
    <w:rsid w:val="00B6210F"/>
    <w:rsid w:val="00B6216B"/>
    <w:rsid w:val="00B621B4"/>
    <w:rsid w:val="00B628DC"/>
    <w:rsid w:val="00B630C9"/>
    <w:rsid w:val="00B632A5"/>
    <w:rsid w:val="00B63460"/>
    <w:rsid w:val="00B63976"/>
    <w:rsid w:val="00B63F32"/>
    <w:rsid w:val="00B6424D"/>
    <w:rsid w:val="00B64569"/>
    <w:rsid w:val="00B6494B"/>
    <w:rsid w:val="00B6498B"/>
    <w:rsid w:val="00B64AD6"/>
    <w:rsid w:val="00B64C84"/>
    <w:rsid w:val="00B64CF6"/>
    <w:rsid w:val="00B64CFF"/>
    <w:rsid w:val="00B64EE6"/>
    <w:rsid w:val="00B65313"/>
    <w:rsid w:val="00B65433"/>
    <w:rsid w:val="00B65447"/>
    <w:rsid w:val="00B657C8"/>
    <w:rsid w:val="00B65F1B"/>
    <w:rsid w:val="00B65FE7"/>
    <w:rsid w:val="00B66194"/>
    <w:rsid w:val="00B6628A"/>
    <w:rsid w:val="00B662A1"/>
    <w:rsid w:val="00B66726"/>
    <w:rsid w:val="00B6699B"/>
    <w:rsid w:val="00B66B31"/>
    <w:rsid w:val="00B66C04"/>
    <w:rsid w:val="00B66C37"/>
    <w:rsid w:val="00B66E7B"/>
    <w:rsid w:val="00B66F63"/>
    <w:rsid w:val="00B6706D"/>
    <w:rsid w:val="00B6709D"/>
    <w:rsid w:val="00B67119"/>
    <w:rsid w:val="00B67267"/>
    <w:rsid w:val="00B67508"/>
    <w:rsid w:val="00B67B86"/>
    <w:rsid w:val="00B67C85"/>
    <w:rsid w:val="00B7020F"/>
    <w:rsid w:val="00B70297"/>
    <w:rsid w:val="00B704C3"/>
    <w:rsid w:val="00B70522"/>
    <w:rsid w:val="00B7056E"/>
    <w:rsid w:val="00B7059C"/>
    <w:rsid w:val="00B70695"/>
    <w:rsid w:val="00B70706"/>
    <w:rsid w:val="00B7096E"/>
    <w:rsid w:val="00B70B26"/>
    <w:rsid w:val="00B70F1B"/>
    <w:rsid w:val="00B71098"/>
    <w:rsid w:val="00B71552"/>
    <w:rsid w:val="00B715F8"/>
    <w:rsid w:val="00B71675"/>
    <w:rsid w:val="00B7192C"/>
    <w:rsid w:val="00B71AC2"/>
    <w:rsid w:val="00B71B62"/>
    <w:rsid w:val="00B71E99"/>
    <w:rsid w:val="00B721CA"/>
    <w:rsid w:val="00B7254B"/>
    <w:rsid w:val="00B7254F"/>
    <w:rsid w:val="00B7276C"/>
    <w:rsid w:val="00B7286C"/>
    <w:rsid w:val="00B72FFA"/>
    <w:rsid w:val="00B7317A"/>
    <w:rsid w:val="00B735E7"/>
    <w:rsid w:val="00B7376E"/>
    <w:rsid w:val="00B739EE"/>
    <w:rsid w:val="00B743E7"/>
    <w:rsid w:val="00B74430"/>
    <w:rsid w:val="00B745B0"/>
    <w:rsid w:val="00B7486C"/>
    <w:rsid w:val="00B7489A"/>
    <w:rsid w:val="00B74990"/>
    <w:rsid w:val="00B74C85"/>
    <w:rsid w:val="00B74CB6"/>
    <w:rsid w:val="00B752E5"/>
    <w:rsid w:val="00B75BC0"/>
    <w:rsid w:val="00B75F1C"/>
    <w:rsid w:val="00B7636B"/>
    <w:rsid w:val="00B7647D"/>
    <w:rsid w:val="00B76485"/>
    <w:rsid w:val="00B76492"/>
    <w:rsid w:val="00B765EA"/>
    <w:rsid w:val="00B766DC"/>
    <w:rsid w:val="00B767D7"/>
    <w:rsid w:val="00B7683A"/>
    <w:rsid w:val="00B768AA"/>
    <w:rsid w:val="00B769A2"/>
    <w:rsid w:val="00B76DF3"/>
    <w:rsid w:val="00B7713B"/>
    <w:rsid w:val="00B771B9"/>
    <w:rsid w:val="00B775C4"/>
    <w:rsid w:val="00B775F2"/>
    <w:rsid w:val="00B77793"/>
    <w:rsid w:val="00B77835"/>
    <w:rsid w:val="00B7796D"/>
    <w:rsid w:val="00B77CCA"/>
    <w:rsid w:val="00B77D9F"/>
    <w:rsid w:val="00B77DFC"/>
    <w:rsid w:val="00B77FD8"/>
    <w:rsid w:val="00B77FE0"/>
    <w:rsid w:val="00B800ED"/>
    <w:rsid w:val="00B8080B"/>
    <w:rsid w:val="00B809C1"/>
    <w:rsid w:val="00B80B83"/>
    <w:rsid w:val="00B80E69"/>
    <w:rsid w:val="00B81108"/>
    <w:rsid w:val="00B8127F"/>
    <w:rsid w:val="00B81772"/>
    <w:rsid w:val="00B81837"/>
    <w:rsid w:val="00B82047"/>
    <w:rsid w:val="00B82171"/>
    <w:rsid w:val="00B8254D"/>
    <w:rsid w:val="00B82869"/>
    <w:rsid w:val="00B82980"/>
    <w:rsid w:val="00B82DA2"/>
    <w:rsid w:val="00B82FCB"/>
    <w:rsid w:val="00B82FDF"/>
    <w:rsid w:val="00B8310F"/>
    <w:rsid w:val="00B83199"/>
    <w:rsid w:val="00B83300"/>
    <w:rsid w:val="00B8361F"/>
    <w:rsid w:val="00B83640"/>
    <w:rsid w:val="00B8371F"/>
    <w:rsid w:val="00B8395F"/>
    <w:rsid w:val="00B83ED2"/>
    <w:rsid w:val="00B83F54"/>
    <w:rsid w:val="00B84150"/>
    <w:rsid w:val="00B8440E"/>
    <w:rsid w:val="00B846A2"/>
    <w:rsid w:val="00B84A10"/>
    <w:rsid w:val="00B84B5D"/>
    <w:rsid w:val="00B84C0B"/>
    <w:rsid w:val="00B84EBB"/>
    <w:rsid w:val="00B84F84"/>
    <w:rsid w:val="00B85354"/>
    <w:rsid w:val="00B853C4"/>
    <w:rsid w:val="00B854D1"/>
    <w:rsid w:val="00B8560C"/>
    <w:rsid w:val="00B85AE0"/>
    <w:rsid w:val="00B85B33"/>
    <w:rsid w:val="00B85C16"/>
    <w:rsid w:val="00B85D2C"/>
    <w:rsid w:val="00B85DBB"/>
    <w:rsid w:val="00B85E52"/>
    <w:rsid w:val="00B85E8D"/>
    <w:rsid w:val="00B863A0"/>
    <w:rsid w:val="00B864D6"/>
    <w:rsid w:val="00B864E2"/>
    <w:rsid w:val="00B86625"/>
    <w:rsid w:val="00B868E8"/>
    <w:rsid w:val="00B86A75"/>
    <w:rsid w:val="00B86E41"/>
    <w:rsid w:val="00B8721D"/>
    <w:rsid w:val="00B8745A"/>
    <w:rsid w:val="00B874E3"/>
    <w:rsid w:val="00B878B0"/>
    <w:rsid w:val="00B87A2B"/>
    <w:rsid w:val="00B901BF"/>
    <w:rsid w:val="00B904A1"/>
    <w:rsid w:val="00B9055D"/>
    <w:rsid w:val="00B908E5"/>
    <w:rsid w:val="00B90959"/>
    <w:rsid w:val="00B90A96"/>
    <w:rsid w:val="00B90B42"/>
    <w:rsid w:val="00B913CB"/>
    <w:rsid w:val="00B917DA"/>
    <w:rsid w:val="00B91937"/>
    <w:rsid w:val="00B91A99"/>
    <w:rsid w:val="00B91B88"/>
    <w:rsid w:val="00B91CE2"/>
    <w:rsid w:val="00B91D97"/>
    <w:rsid w:val="00B91E98"/>
    <w:rsid w:val="00B92020"/>
    <w:rsid w:val="00B92354"/>
    <w:rsid w:val="00B9248B"/>
    <w:rsid w:val="00B924F8"/>
    <w:rsid w:val="00B92808"/>
    <w:rsid w:val="00B929EB"/>
    <w:rsid w:val="00B92CA9"/>
    <w:rsid w:val="00B92DE8"/>
    <w:rsid w:val="00B92F9C"/>
    <w:rsid w:val="00B937B6"/>
    <w:rsid w:val="00B937D4"/>
    <w:rsid w:val="00B9392F"/>
    <w:rsid w:val="00B93BF9"/>
    <w:rsid w:val="00B93C89"/>
    <w:rsid w:val="00B93CCD"/>
    <w:rsid w:val="00B9434E"/>
    <w:rsid w:val="00B94394"/>
    <w:rsid w:val="00B943C6"/>
    <w:rsid w:val="00B944A9"/>
    <w:rsid w:val="00B9461A"/>
    <w:rsid w:val="00B94634"/>
    <w:rsid w:val="00B946BE"/>
    <w:rsid w:val="00B9477F"/>
    <w:rsid w:val="00B94BB7"/>
    <w:rsid w:val="00B94CBD"/>
    <w:rsid w:val="00B94F71"/>
    <w:rsid w:val="00B9507F"/>
    <w:rsid w:val="00B9511B"/>
    <w:rsid w:val="00B9536D"/>
    <w:rsid w:val="00B9560C"/>
    <w:rsid w:val="00B95672"/>
    <w:rsid w:val="00B95744"/>
    <w:rsid w:val="00B95E69"/>
    <w:rsid w:val="00B95E72"/>
    <w:rsid w:val="00B96004"/>
    <w:rsid w:val="00B963CB"/>
    <w:rsid w:val="00B9650F"/>
    <w:rsid w:val="00B965C5"/>
    <w:rsid w:val="00B96695"/>
    <w:rsid w:val="00B96796"/>
    <w:rsid w:val="00B96D40"/>
    <w:rsid w:val="00B96DCB"/>
    <w:rsid w:val="00B96EF9"/>
    <w:rsid w:val="00B9707C"/>
    <w:rsid w:val="00B971B5"/>
    <w:rsid w:val="00B973CE"/>
    <w:rsid w:val="00B9752C"/>
    <w:rsid w:val="00B97748"/>
    <w:rsid w:val="00B97980"/>
    <w:rsid w:val="00B97A09"/>
    <w:rsid w:val="00B97A30"/>
    <w:rsid w:val="00B97B24"/>
    <w:rsid w:val="00B97EA4"/>
    <w:rsid w:val="00BA01AB"/>
    <w:rsid w:val="00BA0200"/>
    <w:rsid w:val="00BA03ED"/>
    <w:rsid w:val="00BA0616"/>
    <w:rsid w:val="00BA080A"/>
    <w:rsid w:val="00BA09F7"/>
    <w:rsid w:val="00BA0B16"/>
    <w:rsid w:val="00BA0B21"/>
    <w:rsid w:val="00BA0D18"/>
    <w:rsid w:val="00BA0D3A"/>
    <w:rsid w:val="00BA1091"/>
    <w:rsid w:val="00BA1895"/>
    <w:rsid w:val="00BA1929"/>
    <w:rsid w:val="00BA1E15"/>
    <w:rsid w:val="00BA1F1A"/>
    <w:rsid w:val="00BA1F24"/>
    <w:rsid w:val="00BA21DD"/>
    <w:rsid w:val="00BA2224"/>
    <w:rsid w:val="00BA22A8"/>
    <w:rsid w:val="00BA2370"/>
    <w:rsid w:val="00BA2828"/>
    <w:rsid w:val="00BA2B91"/>
    <w:rsid w:val="00BA2D21"/>
    <w:rsid w:val="00BA2D9C"/>
    <w:rsid w:val="00BA2FC7"/>
    <w:rsid w:val="00BA3154"/>
    <w:rsid w:val="00BA3306"/>
    <w:rsid w:val="00BA3518"/>
    <w:rsid w:val="00BA3865"/>
    <w:rsid w:val="00BA3950"/>
    <w:rsid w:val="00BA3971"/>
    <w:rsid w:val="00BA3A7A"/>
    <w:rsid w:val="00BA3AD5"/>
    <w:rsid w:val="00BA3D70"/>
    <w:rsid w:val="00BA40F6"/>
    <w:rsid w:val="00BA41E8"/>
    <w:rsid w:val="00BA424B"/>
    <w:rsid w:val="00BA42A0"/>
    <w:rsid w:val="00BA44A1"/>
    <w:rsid w:val="00BA477F"/>
    <w:rsid w:val="00BA4B00"/>
    <w:rsid w:val="00BA5326"/>
    <w:rsid w:val="00BA5501"/>
    <w:rsid w:val="00BA5598"/>
    <w:rsid w:val="00BA5618"/>
    <w:rsid w:val="00BA5711"/>
    <w:rsid w:val="00BA5724"/>
    <w:rsid w:val="00BA5F27"/>
    <w:rsid w:val="00BA6357"/>
    <w:rsid w:val="00BA6662"/>
    <w:rsid w:val="00BA6704"/>
    <w:rsid w:val="00BA68DA"/>
    <w:rsid w:val="00BA6A4E"/>
    <w:rsid w:val="00BA6B5C"/>
    <w:rsid w:val="00BA6EA6"/>
    <w:rsid w:val="00BA6F97"/>
    <w:rsid w:val="00BA7278"/>
    <w:rsid w:val="00BA739E"/>
    <w:rsid w:val="00BA73EE"/>
    <w:rsid w:val="00BA7699"/>
    <w:rsid w:val="00BA76D8"/>
    <w:rsid w:val="00BA773A"/>
    <w:rsid w:val="00BA77E6"/>
    <w:rsid w:val="00BA7D7E"/>
    <w:rsid w:val="00BA7EE8"/>
    <w:rsid w:val="00BA7EF0"/>
    <w:rsid w:val="00BB0418"/>
    <w:rsid w:val="00BB0616"/>
    <w:rsid w:val="00BB0C3E"/>
    <w:rsid w:val="00BB0E85"/>
    <w:rsid w:val="00BB1129"/>
    <w:rsid w:val="00BB147C"/>
    <w:rsid w:val="00BB16A7"/>
    <w:rsid w:val="00BB1C25"/>
    <w:rsid w:val="00BB1CC0"/>
    <w:rsid w:val="00BB1CFF"/>
    <w:rsid w:val="00BB1D20"/>
    <w:rsid w:val="00BB221D"/>
    <w:rsid w:val="00BB22A9"/>
    <w:rsid w:val="00BB2329"/>
    <w:rsid w:val="00BB23F5"/>
    <w:rsid w:val="00BB2410"/>
    <w:rsid w:val="00BB27B2"/>
    <w:rsid w:val="00BB2A48"/>
    <w:rsid w:val="00BB2F45"/>
    <w:rsid w:val="00BB3021"/>
    <w:rsid w:val="00BB3110"/>
    <w:rsid w:val="00BB3288"/>
    <w:rsid w:val="00BB3328"/>
    <w:rsid w:val="00BB361C"/>
    <w:rsid w:val="00BB3951"/>
    <w:rsid w:val="00BB3A38"/>
    <w:rsid w:val="00BB3B47"/>
    <w:rsid w:val="00BB3B80"/>
    <w:rsid w:val="00BB4074"/>
    <w:rsid w:val="00BB411C"/>
    <w:rsid w:val="00BB42ED"/>
    <w:rsid w:val="00BB43E0"/>
    <w:rsid w:val="00BB45A2"/>
    <w:rsid w:val="00BB46A6"/>
    <w:rsid w:val="00BB46D3"/>
    <w:rsid w:val="00BB49F2"/>
    <w:rsid w:val="00BB4A84"/>
    <w:rsid w:val="00BB4C2B"/>
    <w:rsid w:val="00BB4D08"/>
    <w:rsid w:val="00BB4DFF"/>
    <w:rsid w:val="00BB4E48"/>
    <w:rsid w:val="00BB50D1"/>
    <w:rsid w:val="00BB5358"/>
    <w:rsid w:val="00BB54A6"/>
    <w:rsid w:val="00BB5E52"/>
    <w:rsid w:val="00BB5FF9"/>
    <w:rsid w:val="00BB60A7"/>
    <w:rsid w:val="00BB618E"/>
    <w:rsid w:val="00BB648F"/>
    <w:rsid w:val="00BB64B7"/>
    <w:rsid w:val="00BB6626"/>
    <w:rsid w:val="00BB6705"/>
    <w:rsid w:val="00BB6875"/>
    <w:rsid w:val="00BB69F5"/>
    <w:rsid w:val="00BB6B13"/>
    <w:rsid w:val="00BB6B89"/>
    <w:rsid w:val="00BB6EA0"/>
    <w:rsid w:val="00BB7062"/>
    <w:rsid w:val="00BB71F8"/>
    <w:rsid w:val="00BB7407"/>
    <w:rsid w:val="00BB75C1"/>
    <w:rsid w:val="00BB785E"/>
    <w:rsid w:val="00BB78A3"/>
    <w:rsid w:val="00BB7F0C"/>
    <w:rsid w:val="00BC0682"/>
    <w:rsid w:val="00BC0C60"/>
    <w:rsid w:val="00BC1015"/>
    <w:rsid w:val="00BC1106"/>
    <w:rsid w:val="00BC1189"/>
    <w:rsid w:val="00BC11DE"/>
    <w:rsid w:val="00BC1360"/>
    <w:rsid w:val="00BC136F"/>
    <w:rsid w:val="00BC16F1"/>
    <w:rsid w:val="00BC19B1"/>
    <w:rsid w:val="00BC1C9D"/>
    <w:rsid w:val="00BC1CAF"/>
    <w:rsid w:val="00BC1D07"/>
    <w:rsid w:val="00BC1DCF"/>
    <w:rsid w:val="00BC1ECD"/>
    <w:rsid w:val="00BC268D"/>
    <w:rsid w:val="00BC284D"/>
    <w:rsid w:val="00BC28B3"/>
    <w:rsid w:val="00BC2918"/>
    <w:rsid w:val="00BC2AB1"/>
    <w:rsid w:val="00BC3595"/>
    <w:rsid w:val="00BC3791"/>
    <w:rsid w:val="00BC3A07"/>
    <w:rsid w:val="00BC3A43"/>
    <w:rsid w:val="00BC4308"/>
    <w:rsid w:val="00BC443E"/>
    <w:rsid w:val="00BC446D"/>
    <w:rsid w:val="00BC4C83"/>
    <w:rsid w:val="00BC4DF3"/>
    <w:rsid w:val="00BC4FE1"/>
    <w:rsid w:val="00BC5185"/>
    <w:rsid w:val="00BC5315"/>
    <w:rsid w:val="00BC53F5"/>
    <w:rsid w:val="00BC5847"/>
    <w:rsid w:val="00BC5965"/>
    <w:rsid w:val="00BC59C9"/>
    <w:rsid w:val="00BC5CD0"/>
    <w:rsid w:val="00BC5CE4"/>
    <w:rsid w:val="00BC5D46"/>
    <w:rsid w:val="00BC619D"/>
    <w:rsid w:val="00BC6720"/>
    <w:rsid w:val="00BC6CB4"/>
    <w:rsid w:val="00BC6CBB"/>
    <w:rsid w:val="00BC6EED"/>
    <w:rsid w:val="00BC72E7"/>
    <w:rsid w:val="00BC751A"/>
    <w:rsid w:val="00BC771F"/>
    <w:rsid w:val="00BC7FC2"/>
    <w:rsid w:val="00BD0116"/>
    <w:rsid w:val="00BD01CB"/>
    <w:rsid w:val="00BD03EC"/>
    <w:rsid w:val="00BD0680"/>
    <w:rsid w:val="00BD0683"/>
    <w:rsid w:val="00BD0CB6"/>
    <w:rsid w:val="00BD0D90"/>
    <w:rsid w:val="00BD0D93"/>
    <w:rsid w:val="00BD110C"/>
    <w:rsid w:val="00BD12F9"/>
    <w:rsid w:val="00BD1540"/>
    <w:rsid w:val="00BD1809"/>
    <w:rsid w:val="00BD1859"/>
    <w:rsid w:val="00BD1994"/>
    <w:rsid w:val="00BD19DC"/>
    <w:rsid w:val="00BD1AA1"/>
    <w:rsid w:val="00BD1B35"/>
    <w:rsid w:val="00BD1B90"/>
    <w:rsid w:val="00BD1C05"/>
    <w:rsid w:val="00BD1C6F"/>
    <w:rsid w:val="00BD1E8D"/>
    <w:rsid w:val="00BD1F7D"/>
    <w:rsid w:val="00BD1FFB"/>
    <w:rsid w:val="00BD21A4"/>
    <w:rsid w:val="00BD2348"/>
    <w:rsid w:val="00BD26DE"/>
    <w:rsid w:val="00BD2C11"/>
    <w:rsid w:val="00BD2C5F"/>
    <w:rsid w:val="00BD305F"/>
    <w:rsid w:val="00BD35F2"/>
    <w:rsid w:val="00BD3A6C"/>
    <w:rsid w:val="00BD3DAC"/>
    <w:rsid w:val="00BD413A"/>
    <w:rsid w:val="00BD414C"/>
    <w:rsid w:val="00BD4497"/>
    <w:rsid w:val="00BD473B"/>
    <w:rsid w:val="00BD48C6"/>
    <w:rsid w:val="00BD4A85"/>
    <w:rsid w:val="00BD4BE9"/>
    <w:rsid w:val="00BD4EDB"/>
    <w:rsid w:val="00BD4F53"/>
    <w:rsid w:val="00BD525C"/>
    <w:rsid w:val="00BD525F"/>
    <w:rsid w:val="00BD53BE"/>
    <w:rsid w:val="00BD5418"/>
    <w:rsid w:val="00BD5569"/>
    <w:rsid w:val="00BD5654"/>
    <w:rsid w:val="00BD590A"/>
    <w:rsid w:val="00BD6795"/>
    <w:rsid w:val="00BD686D"/>
    <w:rsid w:val="00BD6AA4"/>
    <w:rsid w:val="00BD6D36"/>
    <w:rsid w:val="00BD6E9C"/>
    <w:rsid w:val="00BD6F4D"/>
    <w:rsid w:val="00BD72D1"/>
    <w:rsid w:val="00BD74F3"/>
    <w:rsid w:val="00BD77C8"/>
    <w:rsid w:val="00BD7813"/>
    <w:rsid w:val="00BD78B7"/>
    <w:rsid w:val="00BD797F"/>
    <w:rsid w:val="00BD79AD"/>
    <w:rsid w:val="00BD7B37"/>
    <w:rsid w:val="00BD7BFF"/>
    <w:rsid w:val="00BD7FB0"/>
    <w:rsid w:val="00BE000D"/>
    <w:rsid w:val="00BE0047"/>
    <w:rsid w:val="00BE0285"/>
    <w:rsid w:val="00BE02CF"/>
    <w:rsid w:val="00BE03A6"/>
    <w:rsid w:val="00BE03C7"/>
    <w:rsid w:val="00BE0601"/>
    <w:rsid w:val="00BE07C5"/>
    <w:rsid w:val="00BE0AFD"/>
    <w:rsid w:val="00BE1055"/>
    <w:rsid w:val="00BE10AC"/>
    <w:rsid w:val="00BE113E"/>
    <w:rsid w:val="00BE1550"/>
    <w:rsid w:val="00BE165D"/>
    <w:rsid w:val="00BE1722"/>
    <w:rsid w:val="00BE192B"/>
    <w:rsid w:val="00BE1A2C"/>
    <w:rsid w:val="00BE1F44"/>
    <w:rsid w:val="00BE2208"/>
    <w:rsid w:val="00BE262B"/>
    <w:rsid w:val="00BE2686"/>
    <w:rsid w:val="00BE27D3"/>
    <w:rsid w:val="00BE2802"/>
    <w:rsid w:val="00BE28ED"/>
    <w:rsid w:val="00BE2BC3"/>
    <w:rsid w:val="00BE2D28"/>
    <w:rsid w:val="00BE2FEA"/>
    <w:rsid w:val="00BE3301"/>
    <w:rsid w:val="00BE35D7"/>
    <w:rsid w:val="00BE3756"/>
    <w:rsid w:val="00BE37E9"/>
    <w:rsid w:val="00BE389C"/>
    <w:rsid w:val="00BE3A6B"/>
    <w:rsid w:val="00BE3A74"/>
    <w:rsid w:val="00BE3CAA"/>
    <w:rsid w:val="00BE3D49"/>
    <w:rsid w:val="00BE3E5F"/>
    <w:rsid w:val="00BE4015"/>
    <w:rsid w:val="00BE41B0"/>
    <w:rsid w:val="00BE4215"/>
    <w:rsid w:val="00BE45C3"/>
    <w:rsid w:val="00BE47B6"/>
    <w:rsid w:val="00BE47E4"/>
    <w:rsid w:val="00BE4BB2"/>
    <w:rsid w:val="00BE4DA7"/>
    <w:rsid w:val="00BE522A"/>
    <w:rsid w:val="00BE5337"/>
    <w:rsid w:val="00BE537D"/>
    <w:rsid w:val="00BE53A1"/>
    <w:rsid w:val="00BE54F1"/>
    <w:rsid w:val="00BE5791"/>
    <w:rsid w:val="00BE583A"/>
    <w:rsid w:val="00BE58FE"/>
    <w:rsid w:val="00BE5DD1"/>
    <w:rsid w:val="00BE5FD0"/>
    <w:rsid w:val="00BE6075"/>
    <w:rsid w:val="00BE61CF"/>
    <w:rsid w:val="00BE623A"/>
    <w:rsid w:val="00BE629D"/>
    <w:rsid w:val="00BE6506"/>
    <w:rsid w:val="00BE6679"/>
    <w:rsid w:val="00BE69AF"/>
    <w:rsid w:val="00BE6B86"/>
    <w:rsid w:val="00BE6D3B"/>
    <w:rsid w:val="00BE6EDA"/>
    <w:rsid w:val="00BE6FF1"/>
    <w:rsid w:val="00BE747D"/>
    <w:rsid w:val="00BE7560"/>
    <w:rsid w:val="00BE762F"/>
    <w:rsid w:val="00BE765C"/>
    <w:rsid w:val="00BE77B5"/>
    <w:rsid w:val="00BE787B"/>
    <w:rsid w:val="00BE7BFD"/>
    <w:rsid w:val="00BE7DB0"/>
    <w:rsid w:val="00BE7E89"/>
    <w:rsid w:val="00BE7FF9"/>
    <w:rsid w:val="00BF0113"/>
    <w:rsid w:val="00BF0337"/>
    <w:rsid w:val="00BF039A"/>
    <w:rsid w:val="00BF041F"/>
    <w:rsid w:val="00BF04DA"/>
    <w:rsid w:val="00BF084D"/>
    <w:rsid w:val="00BF0D05"/>
    <w:rsid w:val="00BF0D6A"/>
    <w:rsid w:val="00BF0E7F"/>
    <w:rsid w:val="00BF0F21"/>
    <w:rsid w:val="00BF104B"/>
    <w:rsid w:val="00BF10F5"/>
    <w:rsid w:val="00BF141F"/>
    <w:rsid w:val="00BF19C3"/>
    <w:rsid w:val="00BF1B23"/>
    <w:rsid w:val="00BF1C6A"/>
    <w:rsid w:val="00BF1CDF"/>
    <w:rsid w:val="00BF2443"/>
    <w:rsid w:val="00BF28C0"/>
    <w:rsid w:val="00BF2A7D"/>
    <w:rsid w:val="00BF2C06"/>
    <w:rsid w:val="00BF2C25"/>
    <w:rsid w:val="00BF2C7A"/>
    <w:rsid w:val="00BF2C7C"/>
    <w:rsid w:val="00BF2D48"/>
    <w:rsid w:val="00BF2DE5"/>
    <w:rsid w:val="00BF2EE2"/>
    <w:rsid w:val="00BF2F25"/>
    <w:rsid w:val="00BF2F4D"/>
    <w:rsid w:val="00BF2F88"/>
    <w:rsid w:val="00BF2FF5"/>
    <w:rsid w:val="00BF31D3"/>
    <w:rsid w:val="00BF3497"/>
    <w:rsid w:val="00BF35E6"/>
    <w:rsid w:val="00BF36CD"/>
    <w:rsid w:val="00BF378D"/>
    <w:rsid w:val="00BF3AD9"/>
    <w:rsid w:val="00BF4010"/>
    <w:rsid w:val="00BF41EB"/>
    <w:rsid w:val="00BF44F0"/>
    <w:rsid w:val="00BF451B"/>
    <w:rsid w:val="00BF455D"/>
    <w:rsid w:val="00BF4728"/>
    <w:rsid w:val="00BF481F"/>
    <w:rsid w:val="00BF48E9"/>
    <w:rsid w:val="00BF49B6"/>
    <w:rsid w:val="00BF49E5"/>
    <w:rsid w:val="00BF4AE6"/>
    <w:rsid w:val="00BF4B48"/>
    <w:rsid w:val="00BF4B98"/>
    <w:rsid w:val="00BF4C84"/>
    <w:rsid w:val="00BF4C98"/>
    <w:rsid w:val="00BF4D33"/>
    <w:rsid w:val="00BF4F2B"/>
    <w:rsid w:val="00BF5019"/>
    <w:rsid w:val="00BF50C6"/>
    <w:rsid w:val="00BF5414"/>
    <w:rsid w:val="00BF5482"/>
    <w:rsid w:val="00BF55D8"/>
    <w:rsid w:val="00BF573F"/>
    <w:rsid w:val="00BF5820"/>
    <w:rsid w:val="00BF5929"/>
    <w:rsid w:val="00BF5A82"/>
    <w:rsid w:val="00BF5C52"/>
    <w:rsid w:val="00BF5E45"/>
    <w:rsid w:val="00BF60E4"/>
    <w:rsid w:val="00BF60FE"/>
    <w:rsid w:val="00BF61A3"/>
    <w:rsid w:val="00BF6475"/>
    <w:rsid w:val="00BF67BF"/>
    <w:rsid w:val="00BF6942"/>
    <w:rsid w:val="00BF698F"/>
    <w:rsid w:val="00BF6D0E"/>
    <w:rsid w:val="00BF72FF"/>
    <w:rsid w:val="00BF758E"/>
    <w:rsid w:val="00BF75C5"/>
    <w:rsid w:val="00BF781E"/>
    <w:rsid w:val="00BF7A17"/>
    <w:rsid w:val="00BF7D18"/>
    <w:rsid w:val="00BF7E30"/>
    <w:rsid w:val="00BF7FDB"/>
    <w:rsid w:val="00C000A6"/>
    <w:rsid w:val="00C000FE"/>
    <w:rsid w:val="00C00456"/>
    <w:rsid w:val="00C006E3"/>
    <w:rsid w:val="00C00B28"/>
    <w:rsid w:val="00C00EEC"/>
    <w:rsid w:val="00C00F68"/>
    <w:rsid w:val="00C01224"/>
    <w:rsid w:val="00C01387"/>
    <w:rsid w:val="00C016C6"/>
    <w:rsid w:val="00C01AB8"/>
    <w:rsid w:val="00C01B65"/>
    <w:rsid w:val="00C01B7D"/>
    <w:rsid w:val="00C01B94"/>
    <w:rsid w:val="00C01DEB"/>
    <w:rsid w:val="00C0241D"/>
    <w:rsid w:val="00C02438"/>
    <w:rsid w:val="00C02568"/>
    <w:rsid w:val="00C025B2"/>
    <w:rsid w:val="00C0274D"/>
    <w:rsid w:val="00C028DB"/>
    <w:rsid w:val="00C02A0D"/>
    <w:rsid w:val="00C02B23"/>
    <w:rsid w:val="00C02DE1"/>
    <w:rsid w:val="00C02DE3"/>
    <w:rsid w:val="00C02DED"/>
    <w:rsid w:val="00C02DF5"/>
    <w:rsid w:val="00C0316C"/>
    <w:rsid w:val="00C0319B"/>
    <w:rsid w:val="00C031FA"/>
    <w:rsid w:val="00C03492"/>
    <w:rsid w:val="00C03E59"/>
    <w:rsid w:val="00C03EBD"/>
    <w:rsid w:val="00C04024"/>
    <w:rsid w:val="00C0408D"/>
    <w:rsid w:val="00C0429B"/>
    <w:rsid w:val="00C0445F"/>
    <w:rsid w:val="00C05142"/>
    <w:rsid w:val="00C05183"/>
    <w:rsid w:val="00C05305"/>
    <w:rsid w:val="00C053AF"/>
    <w:rsid w:val="00C053BC"/>
    <w:rsid w:val="00C05782"/>
    <w:rsid w:val="00C05B75"/>
    <w:rsid w:val="00C05C57"/>
    <w:rsid w:val="00C05CA6"/>
    <w:rsid w:val="00C05DB1"/>
    <w:rsid w:val="00C05E69"/>
    <w:rsid w:val="00C05EB4"/>
    <w:rsid w:val="00C05F15"/>
    <w:rsid w:val="00C0602E"/>
    <w:rsid w:val="00C0610A"/>
    <w:rsid w:val="00C0644A"/>
    <w:rsid w:val="00C06459"/>
    <w:rsid w:val="00C06712"/>
    <w:rsid w:val="00C06A2A"/>
    <w:rsid w:val="00C06CBA"/>
    <w:rsid w:val="00C06E86"/>
    <w:rsid w:val="00C07417"/>
    <w:rsid w:val="00C076FE"/>
    <w:rsid w:val="00C0791A"/>
    <w:rsid w:val="00C07BBA"/>
    <w:rsid w:val="00C07BE6"/>
    <w:rsid w:val="00C07DD7"/>
    <w:rsid w:val="00C07EF7"/>
    <w:rsid w:val="00C10407"/>
    <w:rsid w:val="00C105AC"/>
    <w:rsid w:val="00C105FC"/>
    <w:rsid w:val="00C106E8"/>
    <w:rsid w:val="00C108BF"/>
    <w:rsid w:val="00C10B20"/>
    <w:rsid w:val="00C10B79"/>
    <w:rsid w:val="00C10EAB"/>
    <w:rsid w:val="00C10FBC"/>
    <w:rsid w:val="00C115F0"/>
    <w:rsid w:val="00C116B5"/>
    <w:rsid w:val="00C116C4"/>
    <w:rsid w:val="00C117F8"/>
    <w:rsid w:val="00C1182A"/>
    <w:rsid w:val="00C118CF"/>
    <w:rsid w:val="00C11A01"/>
    <w:rsid w:val="00C11A09"/>
    <w:rsid w:val="00C11B2B"/>
    <w:rsid w:val="00C11C68"/>
    <w:rsid w:val="00C11FD3"/>
    <w:rsid w:val="00C1212D"/>
    <w:rsid w:val="00C1215E"/>
    <w:rsid w:val="00C12397"/>
    <w:rsid w:val="00C125F0"/>
    <w:rsid w:val="00C12681"/>
    <w:rsid w:val="00C128F3"/>
    <w:rsid w:val="00C12D92"/>
    <w:rsid w:val="00C12E6E"/>
    <w:rsid w:val="00C131C9"/>
    <w:rsid w:val="00C131D3"/>
    <w:rsid w:val="00C137FF"/>
    <w:rsid w:val="00C138F9"/>
    <w:rsid w:val="00C13D29"/>
    <w:rsid w:val="00C13FCA"/>
    <w:rsid w:val="00C14272"/>
    <w:rsid w:val="00C144DE"/>
    <w:rsid w:val="00C148DC"/>
    <w:rsid w:val="00C14BD8"/>
    <w:rsid w:val="00C15865"/>
    <w:rsid w:val="00C158CC"/>
    <w:rsid w:val="00C15AEB"/>
    <w:rsid w:val="00C15C3F"/>
    <w:rsid w:val="00C15E26"/>
    <w:rsid w:val="00C15EDC"/>
    <w:rsid w:val="00C161FD"/>
    <w:rsid w:val="00C164A4"/>
    <w:rsid w:val="00C165FD"/>
    <w:rsid w:val="00C16968"/>
    <w:rsid w:val="00C169AE"/>
    <w:rsid w:val="00C16ACC"/>
    <w:rsid w:val="00C16B7F"/>
    <w:rsid w:val="00C17105"/>
    <w:rsid w:val="00C1734E"/>
    <w:rsid w:val="00C17516"/>
    <w:rsid w:val="00C1755F"/>
    <w:rsid w:val="00C1774D"/>
    <w:rsid w:val="00C17948"/>
    <w:rsid w:val="00C20277"/>
    <w:rsid w:val="00C2030D"/>
    <w:rsid w:val="00C2060D"/>
    <w:rsid w:val="00C209D3"/>
    <w:rsid w:val="00C20ECE"/>
    <w:rsid w:val="00C21047"/>
    <w:rsid w:val="00C2106D"/>
    <w:rsid w:val="00C21241"/>
    <w:rsid w:val="00C2162A"/>
    <w:rsid w:val="00C21726"/>
    <w:rsid w:val="00C21784"/>
    <w:rsid w:val="00C21785"/>
    <w:rsid w:val="00C217A9"/>
    <w:rsid w:val="00C21949"/>
    <w:rsid w:val="00C21A97"/>
    <w:rsid w:val="00C21F5A"/>
    <w:rsid w:val="00C22052"/>
    <w:rsid w:val="00C221BF"/>
    <w:rsid w:val="00C222A8"/>
    <w:rsid w:val="00C22320"/>
    <w:rsid w:val="00C2264E"/>
    <w:rsid w:val="00C226EA"/>
    <w:rsid w:val="00C2288A"/>
    <w:rsid w:val="00C22CEC"/>
    <w:rsid w:val="00C2304E"/>
    <w:rsid w:val="00C23FEA"/>
    <w:rsid w:val="00C24003"/>
    <w:rsid w:val="00C24300"/>
    <w:rsid w:val="00C2468E"/>
    <w:rsid w:val="00C247CA"/>
    <w:rsid w:val="00C247F7"/>
    <w:rsid w:val="00C24961"/>
    <w:rsid w:val="00C249B7"/>
    <w:rsid w:val="00C24C86"/>
    <w:rsid w:val="00C24E13"/>
    <w:rsid w:val="00C25014"/>
    <w:rsid w:val="00C253B3"/>
    <w:rsid w:val="00C25509"/>
    <w:rsid w:val="00C25583"/>
    <w:rsid w:val="00C256DD"/>
    <w:rsid w:val="00C25B35"/>
    <w:rsid w:val="00C262DC"/>
    <w:rsid w:val="00C2632A"/>
    <w:rsid w:val="00C26869"/>
    <w:rsid w:val="00C268CF"/>
    <w:rsid w:val="00C26EB7"/>
    <w:rsid w:val="00C27265"/>
    <w:rsid w:val="00C275C4"/>
    <w:rsid w:val="00C27AB4"/>
    <w:rsid w:val="00C27C0C"/>
    <w:rsid w:val="00C27CFA"/>
    <w:rsid w:val="00C3090E"/>
    <w:rsid w:val="00C30C03"/>
    <w:rsid w:val="00C30D55"/>
    <w:rsid w:val="00C3132B"/>
    <w:rsid w:val="00C313B3"/>
    <w:rsid w:val="00C314FA"/>
    <w:rsid w:val="00C317F3"/>
    <w:rsid w:val="00C3182C"/>
    <w:rsid w:val="00C31A1A"/>
    <w:rsid w:val="00C31EE8"/>
    <w:rsid w:val="00C31FFB"/>
    <w:rsid w:val="00C32157"/>
    <w:rsid w:val="00C3217D"/>
    <w:rsid w:val="00C325FD"/>
    <w:rsid w:val="00C326A9"/>
    <w:rsid w:val="00C326EC"/>
    <w:rsid w:val="00C327B4"/>
    <w:rsid w:val="00C32E6E"/>
    <w:rsid w:val="00C32ED1"/>
    <w:rsid w:val="00C32F5A"/>
    <w:rsid w:val="00C32FC6"/>
    <w:rsid w:val="00C3369C"/>
    <w:rsid w:val="00C3376A"/>
    <w:rsid w:val="00C339CC"/>
    <w:rsid w:val="00C33AE9"/>
    <w:rsid w:val="00C33D56"/>
    <w:rsid w:val="00C33EEC"/>
    <w:rsid w:val="00C341E1"/>
    <w:rsid w:val="00C34250"/>
    <w:rsid w:val="00C342CF"/>
    <w:rsid w:val="00C344F9"/>
    <w:rsid w:val="00C34686"/>
    <w:rsid w:val="00C349C2"/>
    <w:rsid w:val="00C349C5"/>
    <w:rsid w:val="00C34C32"/>
    <w:rsid w:val="00C34D57"/>
    <w:rsid w:val="00C34E08"/>
    <w:rsid w:val="00C34E85"/>
    <w:rsid w:val="00C351B5"/>
    <w:rsid w:val="00C35295"/>
    <w:rsid w:val="00C3539C"/>
    <w:rsid w:val="00C35D0C"/>
    <w:rsid w:val="00C35D53"/>
    <w:rsid w:val="00C35ED8"/>
    <w:rsid w:val="00C35F29"/>
    <w:rsid w:val="00C35F3C"/>
    <w:rsid w:val="00C35FD9"/>
    <w:rsid w:val="00C361F4"/>
    <w:rsid w:val="00C36355"/>
    <w:rsid w:val="00C36900"/>
    <w:rsid w:val="00C3717F"/>
    <w:rsid w:val="00C37472"/>
    <w:rsid w:val="00C3748C"/>
    <w:rsid w:val="00C3766B"/>
    <w:rsid w:val="00C3771C"/>
    <w:rsid w:val="00C377C0"/>
    <w:rsid w:val="00C37B14"/>
    <w:rsid w:val="00C37C07"/>
    <w:rsid w:val="00C37DEA"/>
    <w:rsid w:val="00C37EB9"/>
    <w:rsid w:val="00C401BA"/>
    <w:rsid w:val="00C4044A"/>
    <w:rsid w:val="00C40522"/>
    <w:rsid w:val="00C408A2"/>
    <w:rsid w:val="00C4095E"/>
    <w:rsid w:val="00C40A69"/>
    <w:rsid w:val="00C40DC9"/>
    <w:rsid w:val="00C41402"/>
    <w:rsid w:val="00C4166E"/>
    <w:rsid w:val="00C41817"/>
    <w:rsid w:val="00C4194E"/>
    <w:rsid w:val="00C41A81"/>
    <w:rsid w:val="00C41B69"/>
    <w:rsid w:val="00C42422"/>
    <w:rsid w:val="00C42495"/>
    <w:rsid w:val="00C428A0"/>
    <w:rsid w:val="00C429C6"/>
    <w:rsid w:val="00C42C4B"/>
    <w:rsid w:val="00C42CA6"/>
    <w:rsid w:val="00C42F7F"/>
    <w:rsid w:val="00C43476"/>
    <w:rsid w:val="00C434D1"/>
    <w:rsid w:val="00C435A6"/>
    <w:rsid w:val="00C439EF"/>
    <w:rsid w:val="00C439FA"/>
    <w:rsid w:val="00C43C7C"/>
    <w:rsid w:val="00C43D01"/>
    <w:rsid w:val="00C43F70"/>
    <w:rsid w:val="00C43FD2"/>
    <w:rsid w:val="00C44568"/>
    <w:rsid w:val="00C44C37"/>
    <w:rsid w:val="00C44F93"/>
    <w:rsid w:val="00C45116"/>
    <w:rsid w:val="00C4519A"/>
    <w:rsid w:val="00C45290"/>
    <w:rsid w:val="00C45296"/>
    <w:rsid w:val="00C45459"/>
    <w:rsid w:val="00C455B5"/>
    <w:rsid w:val="00C457B1"/>
    <w:rsid w:val="00C45844"/>
    <w:rsid w:val="00C45E09"/>
    <w:rsid w:val="00C463A1"/>
    <w:rsid w:val="00C464A3"/>
    <w:rsid w:val="00C46525"/>
    <w:rsid w:val="00C465F9"/>
    <w:rsid w:val="00C46643"/>
    <w:rsid w:val="00C46A94"/>
    <w:rsid w:val="00C46AE5"/>
    <w:rsid w:val="00C46FCD"/>
    <w:rsid w:val="00C46FDF"/>
    <w:rsid w:val="00C47201"/>
    <w:rsid w:val="00C473D6"/>
    <w:rsid w:val="00C47457"/>
    <w:rsid w:val="00C4748A"/>
    <w:rsid w:val="00C47654"/>
    <w:rsid w:val="00C47A5F"/>
    <w:rsid w:val="00C47B92"/>
    <w:rsid w:val="00C47E70"/>
    <w:rsid w:val="00C47F44"/>
    <w:rsid w:val="00C505BB"/>
    <w:rsid w:val="00C505C9"/>
    <w:rsid w:val="00C505E2"/>
    <w:rsid w:val="00C50639"/>
    <w:rsid w:val="00C506E2"/>
    <w:rsid w:val="00C50B62"/>
    <w:rsid w:val="00C50C0C"/>
    <w:rsid w:val="00C50EDB"/>
    <w:rsid w:val="00C50EFC"/>
    <w:rsid w:val="00C51148"/>
    <w:rsid w:val="00C513DB"/>
    <w:rsid w:val="00C5142B"/>
    <w:rsid w:val="00C515BF"/>
    <w:rsid w:val="00C51EB3"/>
    <w:rsid w:val="00C51F9A"/>
    <w:rsid w:val="00C5202E"/>
    <w:rsid w:val="00C524EB"/>
    <w:rsid w:val="00C52827"/>
    <w:rsid w:val="00C52874"/>
    <w:rsid w:val="00C528AC"/>
    <w:rsid w:val="00C52BE0"/>
    <w:rsid w:val="00C52F96"/>
    <w:rsid w:val="00C53101"/>
    <w:rsid w:val="00C5310F"/>
    <w:rsid w:val="00C5351C"/>
    <w:rsid w:val="00C535AC"/>
    <w:rsid w:val="00C53975"/>
    <w:rsid w:val="00C53E48"/>
    <w:rsid w:val="00C54787"/>
    <w:rsid w:val="00C54A5F"/>
    <w:rsid w:val="00C54C2C"/>
    <w:rsid w:val="00C54D00"/>
    <w:rsid w:val="00C550E6"/>
    <w:rsid w:val="00C55182"/>
    <w:rsid w:val="00C5533C"/>
    <w:rsid w:val="00C554E2"/>
    <w:rsid w:val="00C55AE9"/>
    <w:rsid w:val="00C55BED"/>
    <w:rsid w:val="00C55C53"/>
    <w:rsid w:val="00C55DB4"/>
    <w:rsid w:val="00C55F28"/>
    <w:rsid w:val="00C56093"/>
    <w:rsid w:val="00C5636D"/>
    <w:rsid w:val="00C5645D"/>
    <w:rsid w:val="00C564DB"/>
    <w:rsid w:val="00C56594"/>
    <w:rsid w:val="00C5697B"/>
    <w:rsid w:val="00C56B59"/>
    <w:rsid w:val="00C56BD4"/>
    <w:rsid w:val="00C56C2D"/>
    <w:rsid w:val="00C56CF1"/>
    <w:rsid w:val="00C56E76"/>
    <w:rsid w:val="00C56F0C"/>
    <w:rsid w:val="00C571AE"/>
    <w:rsid w:val="00C57386"/>
    <w:rsid w:val="00C573A5"/>
    <w:rsid w:val="00C5797A"/>
    <w:rsid w:val="00C579D1"/>
    <w:rsid w:val="00C57C3E"/>
    <w:rsid w:val="00C57E4D"/>
    <w:rsid w:val="00C60036"/>
    <w:rsid w:val="00C60286"/>
    <w:rsid w:val="00C608BA"/>
    <w:rsid w:val="00C60B50"/>
    <w:rsid w:val="00C60B7B"/>
    <w:rsid w:val="00C60D47"/>
    <w:rsid w:val="00C60DDB"/>
    <w:rsid w:val="00C60EDC"/>
    <w:rsid w:val="00C61B1A"/>
    <w:rsid w:val="00C61BA3"/>
    <w:rsid w:val="00C61C2C"/>
    <w:rsid w:val="00C61C38"/>
    <w:rsid w:val="00C61C59"/>
    <w:rsid w:val="00C622A3"/>
    <w:rsid w:val="00C62571"/>
    <w:rsid w:val="00C625B4"/>
    <w:rsid w:val="00C626E2"/>
    <w:rsid w:val="00C628C8"/>
    <w:rsid w:val="00C62AC2"/>
    <w:rsid w:val="00C62BAB"/>
    <w:rsid w:val="00C62C40"/>
    <w:rsid w:val="00C62D11"/>
    <w:rsid w:val="00C62D6E"/>
    <w:rsid w:val="00C62D8C"/>
    <w:rsid w:val="00C62DF5"/>
    <w:rsid w:val="00C62DFB"/>
    <w:rsid w:val="00C62F51"/>
    <w:rsid w:val="00C632AA"/>
    <w:rsid w:val="00C63354"/>
    <w:rsid w:val="00C633FA"/>
    <w:rsid w:val="00C6361B"/>
    <w:rsid w:val="00C63B00"/>
    <w:rsid w:val="00C63F05"/>
    <w:rsid w:val="00C641F4"/>
    <w:rsid w:val="00C64223"/>
    <w:rsid w:val="00C642E0"/>
    <w:rsid w:val="00C6499E"/>
    <w:rsid w:val="00C64EF0"/>
    <w:rsid w:val="00C652BD"/>
    <w:rsid w:val="00C652F3"/>
    <w:rsid w:val="00C65340"/>
    <w:rsid w:val="00C659F2"/>
    <w:rsid w:val="00C65B07"/>
    <w:rsid w:val="00C65B7B"/>
    <w:rsid w:val="00C65BDF"/>
    <w:rsid w:val="00C65C0A"/>
    <w:rsid w:val="00C6609F"/>
    <w:rsid w:val="00C6634D"/>
    <w:rsid w:val="00C668AA"/>
    <w:rsid w:val="00C6693C"/>
    <w:rsid w:val="00C66B81"/>
    <w:rsid w:val="00C66ECD"/>
    <w:rsid w:val="00C66F1F"/>
    <w:rsid w:val="00C672F3"/>
    <w:rsid w:val="00C673F8"/>
    <w:rsid w:val="00C67809"/>
    <w:rsid w:val="00C679E8"/>
    <w:rsid w:val="00C67B05"/>
    <w:rsid w:val="00C67E43"/>
    <w:rsid w:val="00C70215"/>
    <w:rsid w:val="00C702F9"/>
    <w:rsid w:val="00C70466"/>
    <w:rsid w:val="00C704A5"/>
    <w:rsid w:val="00C70D93"/>
    <w:rsid w:val="00C70E94"/>
    <w:rsid w:val="00C7116D"/>
    <w:rsid w:val="00C71655"/>
    <w:rsid w:val="00C7189C"/>
    <w:rsid w:val="00C719CA"/>
    <w:rsid w:val="00C71A17"/>
    <w:rsid w:val="00C71A5D"/>
    <w:rsid w:val="00C71B1D"/>
    <w:rsid w:val="00C71D53"/>
    <w:rsid w:val="00C71DDE"/>
    <w:rsid w:val="00C71F05"/>
    <w:rsid w:val="00C721CC"/>
    <w:rsid w:val="00C7239E"/>
    <w:rsid w:val="00C7268B"/>
    <w:rsid w:val="00C726A9"/>
    <w:rsid w:val="00C727EE"/>
    <w:rsid w:val="00C72981"/>
    <w:rsid w:val="00C729E5"/>
    <w:rsid w:val="00C72AB1"/>
    <w:rsid w:val="00C72B56"/>
    <w:rsid w:val="00C72C7A"/>
    <w:rsid w:val="00C730C2"/>
    <w:rsid w:val="00C73340"/>
    <w:rsid w:val="00C73561"/>
    <w:rsid w:val="00C736E7"/>
    <w:rsid w:val="00C7386D"/>
    <w:rsid w:val="00C73BC3"/>
    <w:rsid w:val="00C73CE6"/>
    <w:rsid w:val="00C73F75"/>
    <w:rsid w:val="00C74096"/>
    <w:rsid w:val="00C74268"/>
    <w:rsid w:val="00C746D4"/>
    <w:rsid w:val="00C74732"/>
    <w:rsid w:val="00C74A3D"/>
    <w:rsid w:val="00C74C22"/>
    <w:rsid w:val="00C74C43"/>
    <w:rsid w:val="00C74CA0"/>
    <w:rsid w:val="00C74EEE"/>
    <w:rsid w:val="00C75000"/>
    <w:rsid w:val="00C7519E"/>
    <w:rsid w:val="00C75488"/>
    <w:rsid w:val="00C75589"/>
    <w:rsid w:val="00C756C0"/>
    <w:rsid w:val="00C757AF"/>
    <w:rsid w:val="00C759A2"/>
    <w:rsid w:val="00C75BA2"/>
    <w:rsid w:val="00C75C21"/>
    <w:rsid w:val="00C75F00"/>
    <w:rsid w:val="00C76281"/>
    <w:rsid w:val="00C76943"/>
    <w:rsid w:val="00C76A89"/>
    <w:rsid w:val="00C76C4D"/>
    <w:rsid w:val="00C76D5E"/>
    <w:rsid w:val="00C76EEC"/>
    <w:rsid w:val="00C76FAA"/>
    <w:rsid w:val="00C774D8"/>
    <w:rsid w:val="00C77641"/>
    <w:rsid w:val="00C77954"/>
    <w:rsid w:val="00C77994"/>
    <w:rsid w:val="00C77B81"/>
    <w:rsid w:val="00C77BF4"/>
    <w:rsid w:val="00C77CE3"/>
    <w:rsid w:val="00C77FAC"/>
    <w:rsid w:val="00C8017D"/>
    <w:rsid w:val="00C80246"/>
    <w:rsid w:val="00C8074F"/>
    <w:rsid w:val="00C8131C"/>
    <w:rsid w:val="00C81833"/>
    <w:rsid w:val="00C8183E"/>
    <w:rsid w:val="00C81A12"/>
    <w:rsid w:val="00C81DDB"/>
    <w:rsid w:val="00C81FD8"/>
    <w:rsid w:val="00C82261"/>
    <w:rsid w:val="00C824E4"/>
    <w:rsid w:val="00C8256C"/>
    <w:rsid w:val="00C82579"/>
    <w:rsid w:val="00C82636"/>
    <w:rsid w:val="00C826E7"/>
    <w:rsid w:val="00C82910"/>
    <w:rsid w:val="00C8296F"/>
    <w:rsid w:val="00C82976"/>
    <w:rsid w:val="00C82C92"/>
    <w:rsid w:val="00C82D0C"/>
    <w:rsid w:val="00C82DFC"/>
    <w:rsid w:val="00C82EBD"/>
    <w:rsid w:val="00C82F79"/>
    <w:rsid w:val="00C8303A"/>
    <w:rsid w:val="00C831E5"/>
    <w:rsid w:val="00C83271"/>
    <w:rsid w:val="00C8367E"/>
    <w:rsid w:val="00C8369D"/>
    <w:rsid w:val="00C8373E"/>
    <w:rsid w:val="00C83827"/>
    <w:rsid w:val="00C83873"/>
    <w:rsid w:val="00C83A9B"/>
    <w:rsid w:val="00C83AAE"/>
    <w:rsid w:val="00C83AF0"/>
    <w:rsid w:val="00C83DF5"/>
    <w:rsid w:val="00C83E9A"/>
    <w:rsid w:val="00C8401D"/>
    <w:rsid w:val="00C842BA"/>
    <w:rsid w:val="00C8434B"/>
    <w:rsid w:val="00C8436F"/>
    <w:rsid w:val="00C844AB"/>
    <w:rsid w:val="00C84504"/>
    <w:rsid w:val="00C8468D"/>
    <w:rsid w:val="00C846BE"/>
    <w:rsid w:val="00C84736"/>
    <w:rsid w:val="00C8490F"/>
    <w:rsid w:val="00C84C02"/>
    <w:rsid w:val="00C84EF9"/>
    <w:rsid w:val="00C84F93"/>
    <w:rsid w:val="00C84FEC"/>
    <w:rsid w:val="00C853C1"/>
    <w:rsid w:val="00C85468"/>
    <w:rsid w:val="00C8590D"/>
    <w:rsid w:val="00C85A46"/>
    <w:rsid w:val="00C85B69"/>
    <w:rsid w:val="00C85EC9"/>
    <w:rsid w:val="00C85EF1"/>
    <w:rsid w:val="00C86BF7"/>
    <w:rsid w:val="00C86FAD"/>
    <w:rsid w:val="00C87120"/>
    <w:rsid w:val="00C873D7"/>
    <w:rsid w:val="00C87442"/>
    <w:rsid w:val="00C87806"/>
    <w:rsid w:val="00C87F5E"/>
    <w:rsid w:val="00C9000E"/>
    <w:rsid w:val="00C90073"/>
    <w:rsid w:val="00C90129"/>
    <w:rsid w:val="00C901B9"/>
    <w:rsid w:val="00C90801"/>
    <w:rsid w:val="00C90E0D"/>
    <w:rsid w:val="00C91392"/>
    <w:rsid w:val="00C9161F"/>
    <w:rsid w:val="00C91723"/>
    <w:rsid w:val="00C918A6"/>
    <w:rsid w:val="00C9193A"/>
    <w:rsid w:val="00C91EB6"/>
    <w:rsid w:val="00C91F5E"/>
    <w:rsid w:val="00C92083"/>
    <w:rsid w:val="00C920A1"/>
    <w:rsid w:val="00C92195"/>
    <w:rsid w:val="00C922DE"/>
    <w:rsid w:val="00C9261B"/>
    <w:rsid w:val="00C92771"/>
    <w:rsid w:val="00C92A37"/>
    <w:rsid w:val="00C92B94"/>
    <w:rsid w:val="00C92B97"/>
    <w:rsid w:val="00C92F19"/>
    <w:rsid w:val="00C93089"/>
    <w:rsid w:val="00C931CE"/>
    <w:rsid w:val="00C931DE"/>
    <w:rsid w:val="00C9320A"/>
    <w:rsid w:val="00C934DC"/>
    <w:rsid w:val="00C93538"/>
    <w:rsid w:val="00C93787"/>
    <w:rsid w:val="00C937ED"/>
    <w:rsid w:val="00C93973"/>
    <w:rsid w:val="00C9422F"/>
    <w:rsid w:val="00C94751"/>
    <w:rsid w:val="00C9484E"/>
    <w:rsid w:val="00C94ED4"/>
    <w:rsid w:val="00C94F86"/>
    <w:rsid w:val="00C95654"/>
    <w:rsid w:val="00C957C6"/>
    <w:rsid w:val="00C95838"/>
    <w:rsid w:val="00C96094"/>
    <w:rsid w:val="00C963DE"/>
    <w:rsid w:val="00C9679F"/>
    <w:rsid w:val="00C967DD"/>
    <w:rsid w:val="00C968EB"/>
    <w:rsid w:val="00C96AF7"/>
    <w:rsid w:val="00C96B4A"/>
    <w:rsid w:val="00C96E98"/>
    <w:rsid w:val="00C972D0"/>
    <w:rsid w:val="00C9732E"/>
    <w:rsid w:val="00C973C6"/>
    <w:rsid w:val="00C97801"/>
    <w:rsid w:val="00C97E9D"/>
    <w:rsid w:val="00CA00ED"/>
    <w:rsid w:val="00CA0602"/>
    <w:rsid w:val="00CA06E7"/>
    <w:rsid w:val="00CA0C26"/>
    <w:rsid w:val="00CA0E75"/>
    <w:rsid w:val="00CA1148"/>
    <w:rsid w:val="00CA11E9"/>
    <w:rsid w:val="00CA121F"/>
    <w:rsid w:val="00CA1A8B"/>
    <w:rsid w:val="00CA1B15"/>
    <w:rsid w:val="00CA1D57"/>
    <w:rsid w:val="00CA21A2"/>
    <w:rsid w:val="00CA23C5"/>
    <w:rsid w:val="00CA2621"/>
    <w:rsid w:val="00CA2B44"/>
    <w:rsid w:val="00CA2CFF"/>
    <w:rsid w:val="00CA2F08"/>
    <w:rsid w:val="00CA315B"/>
    <w:rsid w:val="00CA33CC"/>
    <w:rsid w:val="00CA3580"/>
    <w:rsid w:val="00CA378D"/>
    <w:rsid w:val="00CA37F5"/>
    <w:rsid w:val="00CA3888"/>
    <w:rsid w:val="00CA3C9F"/>
    <w:rsid w:val="00CA4062"/>
    <w:rsid w:val="00CA4303"/>
    <w:rsid w:val="00CA4A53"/>
    <w:rsid w:val="00CA4BBF"/>
    <w:rsid w:val="00CA4F73"/>
    <w:rsid w:val="00CA50B2"/>
    <w:rsid w:val="00CA510B"/>
    <w:rsid w:val="00CA539D"/>
    <w:rsid w:val="00CA53A0"/>
    <w:rsid w:val="00CA54D2"/>
    <w:rsid w:val="00CA565A"/>
    <w:rsid w:val="00CA5753"/>
    <w:rsid w:val="00CA58C2"/>
    <w:rsid w:val="00CA5A24"/>
    <w:rsid w:val="00CA5AD1"/>
    <w:rsid w:val="00CA5B13"/>
    <w:rsid w:val="00CA5BB3"/>
    <w:rsid w:val="00CA5FD4"/>
    <w:rsid w:val="00CA6222"/>
    <w:rsid w:val="00CA6382"/>
    <w:rsid w:val="00CA63CB"/>
    <w:rsid w:val="00CA6693"/>
    <w:rsid w:val="00CA6794"/>
    <w:rsid w:val="00CA6841"/>
    <w:rsid w:val="00CA6875"/>
    <w:rsid w:val="00CA68E4"/>
    <w:rsid w:val="00CA69AC"/>
    <w:rsid w:val="00CA75B3"/>
    <w:rsid w:val="00CA7884"/>
    <w:rsid w:val="00CA78AD"/>
    <w:rsid w:val="00CA7A8C"/>
    <w:rsid w:val="00CA7A9F"/>
    <w:rsid w:val="00CA7C38"/>
    <w:rsid w:val="00CA7CB6"/>
    <w:rsid w:val="00CA7FEE"/>
    <w:rsid w:val="00CB0679"/>
    <w:rsid w:val="00CB0717"/>
    <w:rsid w:val="00CB07A8"/>
    <w:rsid w:val="00CB0BD9"/>
    <w:rsid w:val="00CB0CFF"/>
    <w:rsid w:val="00CB0E06"/>
    <w:rsid w:val="00CB1024"/>
    <w:rsid w:val="00CB10AA"/>
    <w:rsid w:val="00CB11B4"/>
    <w:rsid w:val="00CB11C4"/>
    <w:rsid w:val="00CB1ABA"/>
    <w:rsid w:val="00CB1AE9"/>
    <w:rsid w:val="00CB1BC2"/>
    <w:rsid w:val="00CB1BE3"/>
    <w:rsid w:val="00CB1D52"/>
    <w:rsid w:val="00CB1DB8"/>
    <w:rsid w:val="00CB2072"/>
    <w:rsid w:val="00CB21AF"/>
    <w:rsid w:val="00CB2405"/>
    <w:rsid w:val="00CB2F9A"/>
    <w:rsid w:val="00CB318F"/>
    <w:rsid w:val="00CB39FD"/>
    <w:rsid w:val="00CB3C27"/>
    <w:rsid w:val="00CB3CFF"/>
    <w:rsid w:val="00CB3F33"/>
    <w:rsid w:val="00CB4209"/>
    <w:rsid w:val="00CB4296"/>
    <w:rsid w:val="00CB48FB"/>
    <w:rsid w:val="00CB4AA0"/>
    <w:rsid w:val="00CB4E60"/>
    <w:rsid w:val="00CB5278"/>
    <w:rsid w:val="00CB5389"/>
    <w:rsid w:val="00CB5627"/>
    <w:rsid w:val="00CB5644"/>
    <w:rsid w:val="00CB5920"/>
    <w:rsid w:val="00CB61E5"/>
    <w:rsid w:val="00CB6BEE"/>
    <w:rsid w:val="00CB6C20"/>
    <w:rsid w:val="00CB6E5C"/>
    <w:rsid w:val="00CB6E86"/>
    <w:rsid w:val="00CB6F5B"/>
    <w:rsid w:val="00CB70CD"/>
    <w:rsid w:val="00CB70E2"/>
    <w:rsid w:val="00CB71A2"/>
    <w:rsid w:val="00CB7246"/>
    <w:rsid w:val="00CB73FE"/>
    <w:rsid w:val="00CB7544"/>
    <w:rsid w:val="00CB7754"/>
    <w:rsid w:val="00CB79C8"/>
    <w:rsid w:val="00CC0015"/>
    <w:rsid w:val="00CC034A"/>
    <w:rsid w:val="00CC0921"/>
    <w:rsid w:val="00CC097E"/>
    <w:rsid w:val="00CC0B3B"/>
    <w:rsid w:val="00CC0B3F"/>
    <w:rsid w:val="00CC0CF0"/>
    <w:rsid w:val="00CC109D"/>
    <w:rsid w:val="00CC10E1"/>
    <w:rsid w:val="00CC172A"/>
    <w:rsid w:val="00CC1C10"/>
    <w:rsid w:val="00CC1CEB"/>
    <w:rsid w:val="00CC215C"/>
    <w:rsid w:val="00CC22D9"/>
    <w:rsid w:val="00CC2458"/>
    <w:rsid w:val="00CC2A53"/>
    <w:rsid w:val="00CC30C6"/>
    <w:rsid w:val="00CC313E"/>
    <w:rsid w:val="00CC3373"/>
    <w:rsid w:val="00CC3520"/>
    <w:rsid w:val="00CC3540"/>
    <w:rsid w:val="00CC3543"/>
    <w:rsid w:val="00CC371B"/>
    <w:rsid w:val="00CC37C9"/>
    <w:rsid w:val="00CC3861"/>
    <w:rsid w:val="00CC3A1D"/>
    <w:rsid w:val="00CC3A29"/>
    <w:rsid w:val="00CC3A64"/>
    <w:rsid w:val="00CC3DBA"/>
    <w:rsid w:val="00CC3DC4"/>
    <w:rsid w:val="00CC3EBF"/>
    <w:rsid w:val="00CC446F"/>
    <w:rsid w:val="00CC4B54"/>
    <w:rsid w:val="00CC4D7C"/>
    <w:rsid w:val="00CC4F76"/>
    <w:rsid w:val="00CC51E9"/>
    <w:rsid w:val="00CC5294"/>
    <w:rsid w:val="00CC56C8"/>
    <w:rsid w:val="00CC620A"/>
    <w:rsid w:val="00CC62D1"/>
    <w:rsid w:val="00CC62E5"/>
    <w:rsid w:val="00CC62FB"/>
    <w:rsid w:val="00CC6667"/>
    <w:rsid w:val="00CC6968"/>
    <w:rsid w:val="00CC6AAB"/>
    <w:rsid w:val="00CC6B46"/>
    <w:rsid w:val="00CC6DC8"/>
    <w:rsid w:val="00CC720F"/>
    <w:rsid w:val="00CC7284"/>
    <w:rsid w:val="00CC7285"/>
    <w:rsid w:val="00CC7321"/>
    <w:rsid w:val="00CC76D0"/>
    <w:rsid w:val="00CC76E5"/>
    <w:rsid w:val="00CC76E7"/>
    <w:rsid w:val="00CC784D"/>
    <w:rsid w:val="00CC788F"/>
    <w:rsid w:val="00CC79A7"/>
    <w:rsid w:val="00CC7BEC"/>
    <w:rsid w:val="00CC7FF2"/>
    <w:rsid w:val="00CD009B"/>
    <w:rsid w:val="00CD0262"/>
    <w:rsid w:val="00CD0277"/>
    <w:rsid w:val="00CD02C2"/>
    <w:rsid w:val="00CD02C5"/>
    <w:rsid w:val="00CD02DA"/>
    <w:rsid w:val="00CD0661"/>
    <w:rsid w:val="00CD068B"/>
    <w:rsid w:val="00CD06EC"/>
    <w:rsid w:val="00CD09AC"/>
    <w:rsid w:val="00CD0A1B"/>
    <w:rsid w:val="00CD0E20"/>
    <w:rsid w:val="00CD1023"/>
    <w:rsid w:val="00CD10D9"/>
    <w:rsid w:val="00CD12B8"/>
    <w:rsid w:val="00CD12E3"/>
    <w:rsid w:val="00CD140B"/>
    <w:rsid w:val="00CD1557"/>
    <w:rsid w:val="00CD15B7"/>
    <w:rsid w:val="00CD1FAC"/>
    <w:rsid w:val="00CD201B"/>
    <w:rsid w:val="00CD2210"/>
    <w:rsid w:val="00CD247D"/>
    <w:rsid w:val="00CD2593"/>
    <w:rsid w:val="00CD2C8A"/>
    <w:rsid w:val="00CD2D61"/>
    <w:rsid w:val="00CD2F6A"/>
    <w:rsid w:val="00CD3597"/>
    <w:rsid w:val="00CD35D6"/>
    <w:rsid w:val="00CD37F3"/>
    <w:rsid w:val="00CD382D"/>
    <w:rsid w:val="00CD3934"/>
    <w:rsid w:val="00CD3FFA"/>
    <w:rsid w:val="00CD4049"/>
    <w:rsid w:val="00CD44D5"/>
    <w:rsid w:val="00CD466B"/>
    <w:rsid w:val="00CD4E39"/>
    <w:rsid w:val="00CD4E83"/>
    <w:rsid w:val="00CD4F46"/>
    <w:rsid w:val="00CD4FA8"/>
    <w:rsid w:val="00CD4FFE"/>
    <w:rsid w:val="00CD5000"/>
    <w:rsid w:val="00CD5101"/>
    <w:rsid w:val="00CD51EF"/>
    <w:rsid w:val="00CD536A"/>
    <w:rsid w:val="00CD5A06"/>
    <w:rsid w:val="00CD5A93"/>
    <w:rsid w:val="00CD5BEE"/>
    <w:rsid w:val="00CD5C9E"/>
    <w:rsid w:val="00CD5D1E"/>
    <w:rsid w:val="00CD5EAE"/>
    <w:rsid w:val="00CD5ED3"/>
    <w:rsid w:val="00CD6327"/>
    <w:rsid w:val="00CD6359"/>
    <w:rsid w:val="00CD65C2"/>
    <w:rsid w:val="00CD660F"/>
    <w:rsid w:val="00CD666D"/>
    <w:rsid w:val="00CD6882"/>
    <w:rsid w:val="00CD6D5F"/>
    <w:rsid w:val="00CD720A"/>
    <w:rsid w:val="00CD7445"/>
    <w:rsid w:val="00CD78EA"/>
    <w:rsid w:val="00CD7A48"/>
    <w:rsid w:val="00CD7B48"/>
    <w:rsid w:val="00CD7F10"/>
    <w:rsid w:val="00CE00FD"/>
    <w:rsid w:val="00CE0226"/>
    <w:rsid w:val="00CE030E"/>
    <w:rsid w:val="00CE03B7"/>
    <w:rsid w:val="00CE04D8"/>
    <w:rsid w:val="00CE0539"/>
    <w:rsid w:val="00CE05BB"/>
    <w:rsid w:val="00CE068E"/>
    <w:rsid w:val="00CE086B"/>
    <w:rsid w:val="00CE0952"/>
    <w:rsid w:val="00CE0A4A"/>
    <w:rsid w:val="00CE0B81"/>
    <w:rsid w:val="00CE0BA8"/>
    <w:rsid w:val="00CE0EA4"/>
    <w:rsid w:val="00CE0F29"/>
    <w:rsid w:val="00CE0F6C"/>
    <w:rsid w:val="00CE0FF4"/>
    <w:rsid w:val="00CE10CE"/>
    <w:rsid w:val="00CE1170"/>
    <w:rsid w:val="00CE119E"/>
    <w:rsid w:val="00CE12B3"/>
    <w:rsid w:val="00CE1374"/>
    <w:rsid w:val="00CE1F1C"/>
    <w:rsid w:val="00CE1FE2"/>
    <w:rsid w:val="00CE2174"/>
    <w:rsid w:val="00CE2337"/>
    <w:rsid w:val="00CE26D6"/>
    <w:rsid w:val="00CE27D2"/>
    <w:rsid w:val="00CE27DC"/>
    <w:rsid w:val="00CE28F4"/>
    <w:rsid w:val="00CE2ADA"/>
    <w:rsid w:val="00CE2B78"/>
    <w:rsid w:val="00CE2C7E"/>
    <w:rsid w:val="00CE2FB8"/>
    <w:rsid w:val="00CE3011"/>
    <w:rsid w:val="00CE353B"/>
    <w:rsid w:val="00CE37AF"/>
    <w:rsid w:val="00CE3957"/>
    <w:rsid w:val="00CE3A87"/>
    <w:rsid w:val="00CE3B08"/>
    <w:rsid w:val="00CE3F42"/>
    <w:rsid w:val="00CE3FBC"/>
    <w:rsid w:val="00CE41C8"/>
    <w:rsid w:val="00CE42D5"/>
    <w:rsid w:val="00CE47CD"/>
    <w:rsid w:val="00CE4842"/>
    <w:rsid w:val="00CE4867"/>
    <w:rsid w:val="00CE4885"/>
    <w:rsid w:val="00CE5013"/>
    <w:rsid w:val="00CE53A2"/>
    <w:rsid w:val="00CE5405"/>
    <w:rsid w:val="00CE54F9"/>
    <w:rsid w:val="00CE55BA"/>
    <w:rsid w:val="00CE55D7"/>
    <w:rsid w:val="00CE57E9"/>
    <w:rsid w:val="00CE5848"/>
    <w:rsid w:val="00CE592F"/>
    <w:rsid w:val="00CE5997"/>
    <w:rsid w:val="00CE5B02"/>
    <w:rsid w:val="00CE5F20"/>
    <w:rsid w:val="00CE620D"/>
    <w:rsid w:val="00CE6461"/>
    <w:rsid w:val="00CE65C5"/>
    <w:rsid w:val="00CE6CE8"/>
    <w:rsid w:val="00CE6CF8"/>
    <w:rsid w:val="00CE6E45"/>
    <w:rsid w:val="00CE6E7C"/>
    <w:rsid w:val="00CE6E7F"/>
    <w:rsid w:val="00CE702F"/>
    <w:rsid w:val="00CE7094"/>
    <w:rsid w:val="00CE7179"/>
    <w:rsid w:val="00CE74A3"/>
    <w:rsid w:val="00CE76D5"/>
    <w:rsid w:val="00CE7779"/>
    <w:rsid w:val="00CE7A3F"/>
    <w:rsid w:val="00CE7A52"/>
    <w:rsid w:val="00CE7ACB"/>
    <w:rsid w:val="00CE7CAE"/>
    <w:rsid w:val="00CE7CF6"/>
    <w:rsid w:val="00CE7FA7"/>
    <w:rsid w:val="00CF0087"/>
    <w:rsid w:val="00CF00D6"/>
    <w:rsid w:val="00CF02BD"/>
    <w:rsid w:val="00CF0370"/>
    <w:rsid w:val="00CF0533"/>
    <w:rsid w:val="00CF090F"/>
    <w:rsid w:val="00CF0B2B"/>
    <w:rsid w:val="00CF0B34"/>
    <w:rsid w:val="00CF0DCB"/>
    <w:rsid w:val="00CF1140"/>
    <w:rsid w:val="00CF12F2"/>
    <w:rsid w:val="00CF15D1"/>
    <w:rsid w:val="00CF1824"/>
    <w:rsid w:val="00CF18D0"/>
    <w:rsid w:val="00CF250D"/>
    <w:rsid w:val="00CF25C1"/>
    <w:rsid w:val="00CF26D3"/>
    <w:rsid w:val="00CF2A15"/>
    <w:rsid w:val="00CF2B76"/>
    <w:rsid w:val="00CF2CB3"/>
    <w:rsid w:val="00CF2E52"/>
    <w:rsid w:val="00CF2FBA"/>
    <w:rsid w:val="00CF3052"/>
    <w:rsid w:val="00CF3367"/>
    <w:rsid w:val="00CF33C7"/>
    <w:rsid w:val="00CF376C"/>
    <w:rsid w:val="00CF37CA"/>
    <w:rsid w:val="00CF3D4A"/>
    <w:rsid w:val="00CF3D93"/>
    <w:rsid w:val="00CF3DB4"/>
    <w:rsid w:val="00CF3F5E"/>
    <w:rsid w:val="00CF40AD"/>
    <w:rsid w:val="00CF40BF"/>
    <w:rsid w:val="00CF4240"/>
    <w:rsid w:val="00CF434A"/>
    <w:rsid w:val="00CF437B"/>
    <w:rsid w:val="00CF504B"/>
    <w:rsid w:val="00CF5253"/>
    <w:rsid w:val="00CF530D"/>
    <w:rsid w:val="00CF53AF"/>
    <w:rsid w:val="00CF56DC"/>
    <w:rsid w:val="00CF5700"/>
    <w:rsid w:val="00CF5720"/>
    <w:rsid w:val="00CF573A"/>
    <w:rsid w:val="00CF59C2"/>
    <w:rsid w:val="00CF5D2D"/>
    <w:rsid w:val="00CF5F53"/>
    <w:rsid w:val="00CF667C"/>
    <w:rsid w:val="00CF69EA"/>
    <w:rsid w:val="00CF6B69"/>
    <w:rsid w:val="00CF6E6C"/>
    <w:rsid w:val="00CF71DA"/>
    <w:rsid w:val="00CF7716"/>
    <w:rsid w:val="00CF775D"/>
    <w:rsid w:val="00CF7C11"/>
    <w:rsid w:val="00CF7DB9"/>
    <w:rsid w:val="00CF7F2B"/>
    <w:rsid w:val="00D000F9"/>
    <w:rsid w:val="00D0078B"/>
    <w:rsid w:val="00D00AB3"/>
    <w:rsid w:val="00D00F9C"/>
    <w:rsid w:val="00D01027"/>
    <w:rsid w:val="00D01042"/>
    <w:rsid w:val="00D01123"/>
    <w:rsid w:val="00D01461"/>
    <w:rsid w:val="00D0152E"/>
    <w:rsid w:val="00D015DF"/>
    <w:rsid w:val="00D0196F"/>
    <w:rsid w:val="00D01E54"/>
    <w:rsid w:val="00D01EF8"/>
    <w:rsid w:val="00D01F14"/>
    <w:rsid w:val="00D0229D"/>
    <w:rsid w:val="00D022B4"/>
    <w:rsid w:val="00D022DC"/>
    <w:rsid w:val="00D023BF"/>
    <w:rsid w:val="00D023C3"/>
    <w:rsid w:val="00D026F7"/>
    <w:rsid w:val="00D02A12"/>
    <w:rsid w:val="00D02A50"/>
    <w:rsid w:val="00D02BA5"/>
    <w:rsid w:val="00D02C44"/>
    <w:rsid w:val="00D02CB4"/>
    <w:rsid w:val="00D02F9E"/>
    <w:rsid w:val="00D034DD"/>
    <w:rsid w:val="00D039D2"/>
    <w:rsid w:val="00D039F5"/>
    <w:rsid w:val="00D03E01"/>
    <w:rsid w:val="00D03E6B"/>
    <w:rsid w:val="00D040A7"/>
    <w:rsid w:val="00D04118"/>
    <w:rsid w:val="00D041AD"/>
    <w:rsid w:val="00D0432A"/>
    <w:rsid w:val="00D04675"/>
    <w:rsid w:val="00D0468F"/>
    <w:rsid w:val="00D04716"/>
    <w:rsid w:val="00D04771"/>
    <w:rsid w:val="00D04952"/>
    <w:rsid w:val="00D04A26"/>
    <w:rsid w:val="00D04A87"/>
    <w:rsid w:val="00D04ACD"/>
    <w:rsid w:val="00D0523A"/>
    <w:rsid w:val="00D05288"/>
    <w:rsid w:val="00D05BB9"/>
    <w:rsid w:val="00D060B1"/>
    <w:rsid w:val="00D066F8"/>
    <w:rsid w:val="00D06A16"/>
    <w:rsid w:val="00D06B89"/>
    <w:rsid w:val="00D07115"/>
    <w:rsid w:val="00D0757D"/>
    <w:rsid w:val="00D075AF"/>
    <w:rsid w:val="00D07706"/>
    <w:rsid w:val="00D07973"/>
    <w:rsid w:val="00D07A6E"/>
    <w:rsid w:val="00D07B2B"/>
    <w:rsid w:val="00D07F31"/>
    <w:rsid w:val="00D10709"/>
    <w:rsid w:val="00D1077D"/>
    <w:rsid w:val="00D1078F"/>
    <w:rsid w:val="00D107C4"/>
    <w:rsid w:val="00D1091F"/>
    <w:rsid w:val="00D109F5"/>
    <w:rsid w:val="00D10A4E"/>
    <w:rsid w:val="00D10B72"/>
    <w:rsid w:val="00D10C0E"/>
    <w:rsid w:val="00D10DF6"/>
    <w:rsid w:val="00D10E26"/>
    <w:rsid w:val="00D10E60"/>
    <w:rsid w:val="00D10FAF"/>
    <w:rsid w:val="00D110BF"/>
    <w:rsid w:val="00D11382"/>
    <w:rsid w:val="00D113AC"/>
    <w:rsid w:val="00D11500"/>
    <w:rsid w:val="00D11684"/>
    <w:rsid w:val="00D1170B"/>
    <w:rsid w:val="00D11759"/>
    <w:rsid w:val="00D11AB9"/>
    <w:rsid w:val="00D11BF3"/>
    <w:rsid w:val="00D11E5D"/>
    <w:rsid w:val="00D11F3A"/>
    <w:rsid w:val="00D12139"/>
    <w:rsid w:val="00D12550"/>
    <w:rsid w:val="00D12939"/>
    <w:rsid w:val="00D12CD2"/>
    <w:rsid w:val="00D12D5A"/>
    <w:rsid w:val="00D12FD6"/>
    <w:rsid w:val="00D13254"/>
    <w:rsid w:val="00D136A4"/>
    <w:rsid w:val="00D13ABB"/>
    <w:rsid w:val="00D13D0D"/>
    <w:rsid w:val="00D13D6A"/>
    <w:rsid w:val="00D13E10"/>
    <w:rsid w:val="00D13EB5"/>
    <w:rsid w:val="00D13F4E"/>
    <w:rsid w:val="00D13FA6"/>
    <w:rsid w:val="00D1410A"/>
    <w:rsid w:val="00D14164"/>
    <w:rsid w:val="00D14577"/>
    <w:rsid w:val="00D14860"/>
    <w:rsid w:val="00D14CF8"/>
    <w:rsid w:val="00D14D23"/>
    <w:rsid w:val="00D14F49"/>
    <w:rsid w:val="00D15492"/>
    <w:rsid w:val="00D156D7"/>
    <w:rsid w:val="00D15755"/>
    <w:rsid w:val="00D15C26"/>
    <w:rsid w:val="00D15D6D"/>
    <w:rsid w:val="00D15D8B"/>
    <w:rsid w:val="00D16719"/>
    <w:rsid w:val="00D1694F"/>
    <w:rsid w:val="00D16E4D"/>
    <w:rsid w:val="00D16EA2"/>
    <w:rsid w:val="00D1709E"/>
    <w:rsid w:val="00D17303"/>
    <w:rsid w:val="00D17689"/>
    <w:rsid w:val="00D176F0"/>
    <w:rsid w:val="00D17764"/>
    <w:rsid w:val="00D1777D"/>
    <w:rsid w:val="00D1785C"/>
    <w:rsid w:val="00D17886"/>
    <w:rsid w:val="00D17984"/>
    <w:rsid w:val="00D17A75"/>
    <w:rsid w:val="00D17AAD"/>
    <w:rsid w:val="00D17B43"/>
    <w:rsid w:val="00D17C22"/>
    <w:rsid w:val="00D17CDF"/>
    <w:rsid w:val="00D17E2A"/>
    <w:rsid w:val="00D17F46"/>
    <w:rsid w:val="00D17F6B"/>
    <w:rsid w:val="00D17F8C"/>
    <w:rsid w:val="00D202A2"/>
    <w:rsid w:val="00D203D0"/>
    <w:rsid w:val="00D208A6"/>
    <w:rsid w:val="00D208D2"/>
    <w:rsid w:val="00D20D07"/>
    <w:rsid w:val="00D21044"/>
    <w:rsid w:val="00D210B5"/>
    <w:rsid w:val="00D210E9"/>
    <w:rsid w:val="00D21151"/>
    <w:rsid w:val="00D212CE"/>
    <w:rsid w:val="00D21818"/>
    <w:rsid w:val="00D219CB"/>
    <w:rsid w:val="00D21CF3"/>
    <w:rsid w:val="00D22127"/>
    <w:rsid w:val="00D2216E"/>
    <w:rsid w:val="00D2224B"/>
    <w:rsid w:val="00D2272E"/>
    <w:rsid w:val="00D22B5A"/>
    <w:rsid w:val="00D22F5A"/>
    <w:rsid w:val="00D22F94"/>
    <w:rsid w:val="00D23207"/>
    <w:rsid w:val="00D23ADA"/>
    <w:rsid w:val="00D242F1"/>
    <w:rsid w:val="00D24478"/>
    <w:rsid w:val="00D244C2"/>
    <w:rsid w:val="00D24664"/>
    <w:rsid w:val="00D2468C"/>
    <w:rsid w:val="00D24886"/>
    <w:rsid w:val="00D24AA6"/>
    <w:rsid w:val="00D24D4B"/>
    <w:rsid w:val="00D24DAD"/>
    <w:rsid w:val="00D24E9C"/>
    <w:rsid w:val="00D24FBD"/>
    <w:rsid w:val="00D251A0"/>
    <w:rsid w:val="00D25308"/>
    <w:rsid w:val="00D25682"/>
    <w:rsid w:val="00D257EC"/>
    <w:rsid w:val="00D25916"/>
    <w:rsid w:val="00D25ADE"/>
    <w:rsid w:val="00D25CF9"/>
    <w:rsid w:val="00D25D83"/>
    <w:rsid w:val="00D25E9A"/>
    <w:rsid w:val="00D25F89"/>
    <w:rsid w:val="00D25FCE"/>
    <w:rsid w:val="00D26251"/>
    <w:rsid w:val="00D26405"/>
    <w:rsid w:val="00D2665E"/>
    <w:rsid w:val="00D266E8"/>
    <w:rsid w:val="00D26B89"/>
    <w:rsid w:val="00D26C07"/>
    <w:rsid w:val="00D26D42"/>
    <w:rsid w:val="00D26D97"/>
    <w:rsid w:val="00D27082"/>
    <w:rsid w:val="00D271B6"/>
    <w:rsid w:val="00D27F3C"/>
    <w:rsid w:val="00D30130"/>
    <w:rsid w:val="00D301F6"/>
    <w:rsid w:val="00D305C3"/>
    <w:rsid w:val="00D306B5"/>
    <w:rsid w:val="00D30AA5"/>
    <w:rsid w:val="00D30C73"/>
    <w:rsid w:val="00D30CC3"/>
    <w:rsid w:val="00D3107D"/>
    <w:rsid w:val="00D3167B"/>
    <w:rsid w:val="00D318FE"/>
    <w:rsid w:val="00D3194C"/>
    <w:rsid w:val="00D3196C"/>
    <w:rsid w:val="00D31D2A"/>
    <w:rsid w:val="00D31D8B"/>
    <w:rsid w:val="00D32002"/>
    <w:rsid w:val="00D3208B"/>
    <w:rsid w:val="00D3233D"/>
    <w:rsid w:val="00D325FA"/>
    <w:rsid w:val="00D32855"/>
    <w:rsid w:val="00D329E6"/>
    <w:rsid w:val="00D329E8"/>
    <w:rsid w:val="00D32CC0"/>
    <w:rsid w:val="00D32EF0"/>
    <w:rsid w:val="00D332BE"/>
    <w:rsid w:val="00D333FF"/>
    <w:rsid w:val="00D33597"/>
    <w:rsid w:val="00D3367E"/>
    <w:rsid w:val="00D3395E"/>
    <w:rsid w:val="00D339A7"/>
    <w:rsid w:val="00D33CA6"/>
    <w:rsid w:val="00D33DFD"/>
    <w:rsid w:val="00D340C0"/>
    <w:rsid w:val="00D3476E"/>
    <w:rsid w:val="00D34A19"/>
    <w:rsid w:val="00D3524D"/>
    <w:rsid w:val="00D359AD"/>
    <w:rsid w:val="00D35FF2"/>
    <w:rsid w:val="00D36314"/>
    <w:rsid w:val="00D36619"/>
    <w:rsid w:val="00D368CD"/>
    <w:rsid w:val="00D368F1"/>
    <w:rsid w:val="00D3696A"/>
    <w:rsid w:val="00D3697C"/>
    <w:rsid w:val="00D36E2F"/>
    <w:rsid w:val="00D36E4D"/>
    <w:rsid w:val="00D37014"/>
    <w:rsid w:val="00D37050"/>
    <w:rsid w:val="00D37463"/>
    <w:rsid w:val="00D37592"/>
    <w:rsid w:val="00D376F8"/>
    <w:rsid w:val="00D3788E"/>
    <w:rsid w:val="00D37972"/>
    <w:rsid w:val="00D40544"/>
    <w:rsid w:val="00D40896"/>
    <w:rsid w:val="00D408F7"/>
    <w:rsid w:val="00D40BB7"/>
    <w:rsid w:val="00D40D5D"/>
    <w:rsid w:val="00D4110C"/>
    <w:rsid w:val="00D41534"/>
    <w:rsid w:val="00D4155F"/>
    <w:rsid w:val="00D4177A"/>
    <w:rsid w:val="00D41905"/>
    <w:rsid w:val="00D41949"/>
    <w:rsid w:val="00D419E8"/>
    <w:rsid w:val="00D41B95"/>
    <w:rsid w:val="00D422FF"/>
    <w:rsid w:val="00D42453"/>
    <w:rsid w:val="00D42518"/>
    <w:rsid w:val="00D4265F"/>
    <w:rsid w:val="00D4284F"/>
    <w:rsid w:val="00D42B02"/>
    <w:rsid w:val="00D42CE3"/>
    <w:rsid w:val="00D42FA3"/>
    <w:rsid w:val="00D431B2"/>
    <w:rsid w:val="00D43243"/>
    <w:rsid w:val="00D43282"/>
    <w:rsid w:val="00D4331B"/>
    <w:rsid w:val="00D43456"/>
    <w:rsid w:val="00D435C6"/>
    <w:rsid w:val="00D43615"/>
    <w:rsid w:val="00D43B0C"/>
    <w:rsid w:val="00D43E13"/>
    <w:rsid w:val="00D43E54"/>
    <w:rsid w:val="00D43F47"/>
    <w:rsid w:val="00D441B7"/>
    <w:rsid w:val="00D4433A"/>
    <w:rsid w:val="00D44509"/>
    <w:rsid w:val="00D44980"/>
    <w:rsid w:val="00D4499A"/>
    <w:rsid w:val="00D44BC3"/>
    <w:rsid w:val="00D44E27"/>
    <w:rsid w:val="00D44F9D"/>
    <w:rsid w:val="00D45045"/>
    <w:rsid w:val="00D4514F"/>
    <w:rsid w:val="00D451FC"/>
    <w:rsid w:val="00D45215"/>
    <w:rsid w:val="00D45338"/>
    <w:rsid w:val="00D4579E"/>
    <w:rsid w:val="00D458A9"/>
    <w:rsid w:val="00D45FE4"/>
    <w:rsid w:val="00D463FE"/>
    <w:rsid w:val="00D465A7"/>
    <w:rsid w:val="00D46DDD"/>
    <w:rsid w:val="00D46F08"/>
    <w:rsid w:val="00D47CDD"/>
    <w:rsid w:val="00D50958"/>
    <w:rsid w:val="00D50CDE"/>
    <w:rsid w:val="00D50DD0"/>
    <w:rsid w:val="00D50E1F"/>
    <w:rsid w:val="00D50F47"/>
    <w:rsid w:val="00D50FB5"/>
    <w:rsid w:val="00D512C8"/>
    <w:rsid w:val="00D512DE"/>
    <w:rsid w:val="00D51418"/>
    <w:rsid w:val="00D5159E"/>
    <w:rsid w:val="00D51996"/>
    <w:rsid w:val="00D51D97"/>
    <w:rsid w:val="00D51E81"/>
    <w:rsid w:val="00D51EB4"/>
    <w:rsid w:val="00D51FD5"/>
    <w:rsid w:val="00D5238F"/>
    <w:rsid w:val="00D5278C"/>
    <w:rsid w:val="00D52DE7"/>
    <w:rsid w:val="00D53876"/>
    <w:rsid w:val="00D538C8"/>
    <w:rsid w:val="00D53AAC"/>
    <w:rsid w:val="00D53B02"/>
    <w:rsid w:val="00D53D03"/>
    <w:rsid w:val="00D53DA0"/>
    <w:rsid w:val="00D53F67"/>
    <w:rsid w:val="00D53F99"/>
    <w:rsid w:val="00D545EE"/>
    <w:rsid w:val="00D54694"/>
    <w:rsid w:val="00D54732"/>
    <w:rsid w:val="00D5485D"/>
    <w:rsid w:val="00D5492F"/>
    <w:rsid w:val="00D54BB8"/>
    <w:rsid w:val="00D550F2"/>
    <w:rsid w:val="00D55249"/>
    <w:rsid w:val="00D5525B"/>
    <w:rsid w:val="00D5532F"/>
    <w:rsid w:val="00D55490"/>
    <w:rsid w:val="00D55639"/>
    <w:rsid w:val="00D55770"/>
    <w:rsid w:val="00D55874"/>
    <w:rsid w:val="00D55894"/>
    <w:rsid w:val="00D559C8"/>
    <w:rsid w:val="00D55E0F"/>
    <w:rsid w:val="00D55EDD"/>
    <w:rsid w:val="00D56130"/>
    <w:rsid w:val="00D56D44"/>
    <w:rsid w:val="00D5706A"/>
    <w:rsid w:val="00D57673"/>
    <w:rsid w:val="00D57842"/>
    <w:rsid w:val="00D57886"/>
    <w:rsid w:val="00D579FE"/>
    <w:rsid w:val="00D57A05"/>
    <w:rsid w:val="00D57D57"/>
    <w:rsid w:val="00D57D71"/>
    <w:rsid w:val="00D57EAA"/>
    <w:rsid w:val="00D60164"/>
    <w:rsid w:val="00D6016B"/>
    <w:rsid w:val="00D6023F"/>
    <w:rsid w:val="00D6052C"/>
    <w:rsid w:val="00D6060D"/>
    <w:rsid w:val="00D60B11"/>
    <w:rsid w:val="00D60C39"/>
    <w:rsid w:val="00D60CFE"/>
    <w:rsid w:val="00D60F83"/>
    <w:rsid w:val="00D610BC"/>
    <w:rsid w:val="00D610D5"/>
    <w:rsid w:val="00D610FF"/>
    <w:rsid w:val="00D61236"/>
    <w:rsid w:val="00D61373"/>
    <w:rsid w:val="00D61377"/>
    <w:rsid w:val="00D615E7"/>
    <w:rsid w:val="00D6175B"/>
    <w:rsid w:val="00D61809"/>
    <w:rsid w:val="00D61897"/>
    <w:rsid w:val="00D619EA"/>
    <w:rsid w:val="00D61C0C"/>
    <w:rsid w:val="00D61C5F"/>
    <w:rsid w:val="00D61F15"/>
    <w:rsid w:val="00D62319"/>
    <w:rsid w:val="00D628D3"/>
    <w:rsid w:val="00D6290A"/>
    <w:rsid w:val="00D62984"/>
    <w:rsid w:val="00D629A2"/>
    <w:rsid w:val="00D62A07"/>
    <w:rsid w:val="00D62AA3"/>
    <w:rsid w:val="00D62BA1"/>
    <w:rsid w:val="00D62BCD"/>
    <w:rsid w:val="00D62EE3"/>
    <w:rsid w:val="00D62EEB"/>
    <w:rsid w:val="00D63345"/>
    <w:rsid w:val="00D63499"/>
    <w:rsid w:val="00D6350A"/>
    <w:rsid w:val="00D637A4"/>
    <w:rsid w:val="00D6394B"/>
    <w:rsid w:val="00D63A1E"/>
    <w:rsid w:val="00D63C48"/>
    <w:rsid w:val="00D63EE8"/>
    <w:rsid w:val="00D63FDB"/>
    <w:rsid w:val="00D64289"/>
    <w:rsid w:val="00D6471C"/>
    <w:rsid w:val="00D64762"/>
    <w:rsid w:val="00D648D8"/>
    <w:rsid w:val="00D64E3D"/>
    <w:rsid w:val="00D64E9D"/>
    <w:rsid w:val="00D64F44"/>
    <w:rsid w:val="00D64FA6"/>
    <w:rsid w:val="00D65016"/>
    <w:rsid w:val="00D65130"/>
    <w:rsid w:val="00D65178"/>
    <w:rsid w:val="00D651D7"/>
    <w:rsid w:val="00D65266"/>
    <w:rsid w:val="00D653E6"/>
    <w:rsid w:val="00D65BA3"/>
    <w:rsid w:val="00D65F52"/>
    <w:rsid w:val="00D65FBC"/>
    <w:rsid w:val="00D66092"/>
    <w:rsid w:val="00D66573"/>
    <w:rsid w:val="00D6667B"/>
    <w:rsid w:val="00D667F3"/>
    <w:rsid w:val="00D66B29"/>
    <w:rsid w:val="00D66D33"/>
    <w:rsid w:val="00D66D79"/>
    <w:rsid w:val="00D66DD5"/>
    <w:rsid w:val="00D67299"/>
    <w:rsid w:val="00D6739D"/>
    <w:rsid w:val="00D67644"/>
    <w:rsid w:val="00D6782C"/>
    <w:rsid w:val="00D6798E"/>
    <w:rsid w:val="00D67A77"/>
    <w:rsid w:val="00D67C78"/>
    <w:rsid w:val="00D70497"/>
    <w:rsid w:val="00D705B4"/>
    <w:rsid w:val="00D70831"/>
    <w:rsid w:val="00D70DD2"/>
    <w:rsid w:val="00D70E1A"/>
    <w:rsid w:val="00D71194"/>
    <w:rsid w:val="00D71323"/>
    <w:rsid w:val="00D71400"/>
    <w:rsid w:val="00D715DE"/>
    <w:rsid w:val="00D7174E"/>
    <w:rsid w:val="00D717F8"/>
    <w:rsid w:val="00D71888"/>
    <w:rsid w:val="00D719C5"/>
    <w:rsid w:val="00D71AB5"/>
    <w:rsid w:val="00D71B71"/>
    <w:rsid w:val="00D71C8B"/>
    <w:rsid w:val="00D7280D"/>
    <w:rsid w:val="00D7283A"/>
    <w:rsid w:val="00D7296B"/>
    <w:rsid w:val="00D73055"/>
    <w:rsid w:val="00D73180"/>
    <w:rsid w:val="00D731F6"/>
    <w:rsid w:val="00D7337A"/>
    <w:rsid w:val="00D73385"/>
    <w:rsid w:val="00D734ED"/>
    <w:rsid w:val="00D735D4"/>
    <w:rsid w:val="00D7374F"/>
    <w:rsid w:val="00D73B45"/>
    <w:rsid w:val="00D73F44"/>
    <w:rsid w:val="00D741B2"/>
    <w:rsid w:val="00D741B8"/>
    <w:rsid w:val="00D7452E"/>
    <w:rsid w:val="00D74A49"/>
    <w:rsid w:val="00D74B57"/>
    <w:rsid w:val="00D74ECD"/>
    <w:rsid w:val="00D75518"/>
    <w:rsid w:val="00D756E3"/>
    <w:rsid w:val="00D75763"/>
    <w:rsid w:val="00D758C9"/>
    <w:rsid w:val="00D75A7A"/>
    <w:rsid w:val="00D75B23"/>
    <w:rsid w:val="00D75CF0"/>
    <w:rsid w:val="00D7625F"/>
    <w:rsid w:val="00D764AD"/>
    <w:rsid w:val="00D766C1"/>
    <w:rsid w:val="00D76EF6"/>
    <w:rsid w:val="00D76F6C"/>
    <w:rsid w:val="00D77028"/>
    <w:rsid w:val="00D77168"/>
    <w:rsid w:val="00D77468"/>
    <w:rsid w:val="00D77A0A"/>
    <w:rsid w:val="00D77A0E"/>
    <w:rsid w:val="00D77A98"/>
    <w:rsid w:val="00D77B52"/>
    <w:rsid w:val="00D77E95"/>
    <w:rsid w:val="00D77FA6"/>
    <w:rsid w:val="00D800FE"/>
    <w:rsid w:val="00D801B0"/>
    <w:rsid w:val="00D80521"/>
    <w:rsid w:val="00D80D8D"/>
    <w:rsid w:val="00D80E16"/>
    <w:rsid w:val="00D80F94"/>
    <w:rsid w:val="00D8111F"/>
    <w:rsid w:val="00D813B5"/>
    <w:rsid w:val="00D814C6"/>
    <w:rsid w:val="00D81649"/>
    <w:rsid w:val="00D816B6"/>
    <w:rsid w:val="00D816D6"/>
    <w:rsid w:val="00D818F3"/>
    <w:rsid w:val="00D8207B"/>
    <w:rsid w:val="00D82317"/>
    <w:rsid w:val="00D82394"/>
    <w:rsid w:val="00D824DF"/>
    <w:rsid w:val="00D82620"/>
    <w:rsid w:val="00D827D0"/>
    <w:rsid w:val="00D82CC5"/>
    <w:rsid w:val="00D82CE6"/>
    <w:rsid w:val="00D82D12"/>
    <w:rsid w:val="00D82D74"/>
    <w:rsid w:val="00D82D9C"/>
    <w:rsid w:val="00D82F4C"/>
    <w:rsid w:val="00D831E8"/>
    <w:rsid w:val="00D83580"/>
    <w:rsid w:val="00D83633"/>
    <w:rsid w:val="00D8366C"/>
    <w:rsid w:val="00D83B93"/>
    <w:rsid w:val="00D83B9D"/>
    <w:rsid w:val="00D83CE3"/>
    <w:rsid w:val="00D83CFA"/>
    <w:rsid w:val="00D83DF1"/>
    <w:rsid w:val="00D83F84"/>
    <w:rsid w:val="00D8412D"/>
    <w:rsid w:val="00D8430B"/>
    <w:rsid w:val="00D84385"/>
    <w:rsid w:val="00D8441F"/>
    <w:rsid w:val="00D844E7"/>
    <w:rsid w:val="00D84846"/>
    <w:rsid w:val="00D849DF"/>
    <w:rsid w:val="00D84B6C"/>
    <w:rsid w:val="00D84E54"/>
    <w:rsid w:val="00D8516F"/>
    <w:rsid w:val="00D85520"/>
    <w:rsid w:val="00D85BD4"/>
    <w:rsid w:val="00D85C64"/>
    <w:rsid w:val="00D86195"/>
    <w:rsid w:val="00D86529"/>
    <w:rsid w:val="00D872D9"/>
    <w:rsid w:val="00D873A0"/>
    <w:rsid w:val="00D875B2"/>
    <w:rsid w:val="00D87AA6"/>
    <w:rsid w:val="00D87B8A"/>
    <w:rsid w:val="00D87C28"/>
    <w:rsid w:val="00D900A3"/>
    <w:rsid w:val="00D901E1"/>
    <w:rsid w:val="00D90332"/>
    <w:rsid w:val="00D9051B"/>
    <w:rsid w:val="00D90884"/>
    <w:rsid w:val="00D90908"/>
    <w:rsid w:val="00D90A15"/>
    <w:rsid w:val="00D90CD7"/>
    <w:rsid w:val="00D90D1F"/>
    <w:rsid w:val="00D90DA7"/>
    <w:rsid w:val="00D911BA"/>
    <w:rsid w:val="00D91579"/>
    <w:rsid w:val="00D91848"/>
    <w:rsid w:val="00D91C62"/>
    <w:rsid w:val="00D91C77"/>
    <w:rsid w:val="00D91CDF"/>
    <w:rsid w:val="00D91E9E"/>
    <w:rsid w:val="00D91F04"/>
    <w:rsid w:val="00D9210E"/>
    <w:rsid w:val="00D92430"/>
    <w:rsid w:val="00D92494"/>
    <w:rsid w:val="00D927EB"/>
    <w:rsid w:val="00D929DD"/>
    <w:rsid w:val="00D92A5A"/>
    <w:rsid w:val="00D92A60"/>
    <w:rsid w:val="00D92D4E"/>
    <w:rsid w:val="00D930CB"/>
    <w:rsid w:val="00D933BD"/>
    <w:rsid w:val="00D9364A"/>
    <w:rsid w:val="00D93937"/>
    <w:rsid w:val="00D93BF0"/>
    <w:rsid w:val="00D93D75"/>
    <w:rsid w:val="00D93D97"/>
    <w:rsid w:val="00D93F35"/>
    <w:rsid w:val="00D94219"/>
    <w:rsid w:val="00D9473D"/>
    <w:rsid w:val="00D94B37"/>
    <w:rsid w:val="00D94DCA"/>
    <w:rsid w:val="00D94E39"/>
    <w:rsid w:val="00D94FCB"/>
    <w:rsid w:val="00D95394"/>
    <w:rsid w:val="00D9540A"/>
    <w:rsid w:val="00D9540F"/>
    <w:rsid w:val="00D9561E"/>
    <w:rsid w:val="00D95814"/>
    <w:rsid w:val="00D9589D"/>
    <w:rsid w:val="00D95CFC"/>
    <w:rsid w:val="00D95F36"/>
    <w:rsid w:val="00D9627D"/>
    <w:rsid w:val="00D96A4F"/>
    <w:rsid w:val="00D96B68"/>
    <w:rsid w:val="00D96E38"/>
    <w:rsid w:val="00D96E4B"/>
    <w:rsid w:val="00D970B9"/>
    <w:rsid w:val="00D970E7"/>
    <w:rsid w:val="00D970E8"/>
    <w:rsid w:val="00D97335"/>
    <w:rsid w:val="00D97679"/>
    <w:rsid w:val="00D976E3"/>
    <w:rsid w:val="00D97E3F"/>
    <w:rsid w:val="00DA0144"/>
    <w:rsid w:val="00DA01E5"/>
    <w:rsid w:val="00DA032B"/>
    <w:rsid w:val="00DA0456"/>
    <w:rsid w:val="00DA05A4"/>
    <w:rsid w:val="00DA0ADB"/>
    <w:rsid w:val="00DA0AE2"/>
    <w:rsid w:val="00DA0AEB"/>
    <w:rsid w:val="00DA0BE1"/>
    <w:rsid w:val="00DA0BF0"/>
    <w:rsid w:val="00DA0F96"/>
    <w:rsid w:val="00DA126B"/>
    <w:rsid w:val="00DA15B7"/>
    <w:rsid w:val="00DA168A"/>
    <w:rsid w:val="00DA1DE8"/>
    <w:rsid w:val="00DA27D7"/>
    <w:rsid w:val="00DA28AA"/>
    <w:rsid w:val="00DA29F4"/>
    <w:rsid w:val="00DA2A29"/>
    <w:rsid w:val="00DA3025"/>
    <w:rsid w:val="00DA336A"/>
    <w:rsid w:val="00DA373A"/>
    <w:rsid w:val="00DA3751"/>
    <w:rsid w:val="00DA3AE8"/>
    <w:rsid w:val="00DA3BB7"/>
    <w:rsid w:val="00DA3CA2"/>
    <w:rsid w:val="00DA3E75"/>
    <w:rsid w:val="00DA45AC"/>
    <w:rsid w:val="00DA488E"/>
    <w:rsid w:val="00DA4A72"/>
    <w:rsid w:val="00DA4B67"/>
    <w:rsid w:val="00DA4BB1"/>
    <w:rsid w:val="00DA4D17"/>
    <w:rsid w:val="00DA4DC6"/>
    <w:rsid w:val="00DA51C1"/>
    <w:rsid w:val="00DA541B"/>
    <w:rsid w:val="00DA55BB"/>
    <w:rsid w:val="00DA55C3"/>
    <w:rsid w:val="00DA59E8"/>
    <w:rsid w:val="00DA5C45"/>
    <w:rsid w:val="00DA5CCF"/>
    <w:rsid w:val="00DA6118"/>
    <w:rsid w:val="00DA639D"/>
    <w:rsid w:val="00DA641A"/>
    <w:rsid w:val="00DA6498"/>
    <w:rsid w:val="00DA6841"/>
    <w:rsid w:val="00DA6868"/>
    <w:rsid w:val="00DA69A8"/>
    <w:rsid w:val="00DA6A60"/>
    <w:rsid w:val="00DA6AEE"/>
    <w:rsid w:val="00DA73EE"/>
    <w:rsid w:val="00DA7AF1"/>
    <w:rsid w:val="00DA7BBA"/>
    <w:rsid w:val="00DB059C"/>
    <w:rsid w:val="00DB06C2"/>
    <w:rsid w:val="00DB0861"/>
    <w:rsid w:val="00DB161C"/>
    <w:rsid w:val="00DB1914"/>
    <w:rsid w:val="00DB1A5A"/>
    <w:rsid w:val="00DB230E"/>
    <w:rsid w:val="00DB245F"/>
    <w:rsid w:val="00DB24E9"/>
    <w:rsid w:val="00DB25BF"/>
    <w:rsid w:val="00DB29D2"/>
    <w:rsid w:val="00DB2A46"/>
    <w:rsid w:val="00DB2F1D"/>
    <w:rsid w:val="00DB3399"/>
    <w:rsid w:val="00DB396F"/>
    <w:rsid w:val="00DB3ED1"/>
    <w:rsid w:val="00DB404F"/>
    <w:rsid w:val="00DB41E7"/>
    <w:rsid w:val="00DB4253"/>
    <w:rsid w:val="00DB4273"/>
    <w:rsid w:val="00DB42AD"/>
    <w:rsid w:val="00DB4357"/>
    <w:rsid w:val="00DB44F4"/>
    <w:rsid w:val="00DB451F"/>
    <w:rsid w:val="00DB45EA"/>
    <w:rsid w:val="00DB47A6"/>
    <w:rsid w:val="00DB49A1"/>
    <w:rsid w:val="00DB4D21"/>
    <w:rsid w:val="00DB4EC8"/>
    <w:rsid w:val="00DB5214"/>
    <w:rsid w:val="00DB5348"/>
    <w:rsid w:val="00DB56E2"/>
    <w:rsid w:val="00DB574F"/>
    <w:rsid w:val="00DB57A5"/>
    <w:rsid w:val="00DB5830"/>
    <w:rsid w:val="00DB59BF"/>
    <w:rsid w:val="00DB5B00"/>
    <w:rsid w:val="00DB5EBB"/>
    <w:rsid w:val="00DB5F62"/>
    <w:rsid w:val="00DB5FEE"/>
    <w:rsid w:val="00DB6127"/>
    <w:rsid w:val="00DB64BA"/>
    <w:rsid w:val="00DB64C2"/>
    <w:rsid w:val="00DB6687"/>
    <w:rsid w:val="00DB6C11"/>
    <w:rsid w:val="00DB6CAC"/>
    <w:rsid w:val="00DB6D30"/>
    <w:rsid w:val="00DB6D8C"/>
    <w:rsid w:val="00DB6EE6"/>
    <w:rsid w:val="00DB6F47"/>
    <w:rsid w:val="00DB722D"/>
    <w:rsid w:val="00DB72E3"/>
    <w:rsid w:val="00DB75DF"/>
    <w:rsid w:val="00DB774D"/>
    <w:rsid w:val="00DB789A"/>
    <w:rsid w:val="00DB7A6E"/>
    <w:rsid w:val="00DB7EF1"/>
    <w:rsid w:val="00DB7EF4"/>
    <w:rsid w:val="00DB7F14"/>
    <w:rsid w:val="00DB7F65"/>
    <w:rsid w:val="00DC0793"/>
    <w:rsid w:val="00DC09BB"/>
    <w:rsid w:val="00DC09FD"/>
    <w:rsid w:val="00DC0C0B"/>
    <w:rsid w:val="00DC0C22"/>
    <w:rsid w:val="00DC0CB8"/>
    <w:rsid w:val="00DC0F0C"/>
    <w:rsid w:val="00DC13CB"/>
    <w:rsid w:val="00DC1743"/>
    <w:rsid w:val="00DC17B0"/>
    <w:rsid w:val="00DC1929"/>
    <w:rsid w:val="00DC197E"/>
    <w:rsid w:val="00DC19AE"/>
    <w:rsid w:val="00DC1BFD"/>
    <w:rsid w:val="00DC2057"/>
    <w:rsid w:val="00DC2098"/>
    <w:rsid w:val="00DC219C"/>
    <w:rsid w:val="00DC23A0"/>
    <w:rsid w:val="00DC273B"/>
    <w:rsid w:val="00DC3304"/>
    <w:rsid w:val="00DC379E"/>
    <w:rsid w:val="00DC3846"/>
    <w:rsid w:val="00DC3940"/>
    <w:rsid w:val="00DC39E3"/>
    <w:rsid w:val="00DC3A41"/>
    <w:rsid w:val="00DC3BCB"/>
    <w:rsid w:val="00DC3CCD"/>
    <w:rsid w:val="00DC418A"/>
    <w:rsid w:val="00DC41A3"/>
    <w:rsid w:val="00DC4451"/>
    <w:rsid w:val="00DC478D"/>
    <w:rsid w:val="00DC4827"/>
    <w:rsid w:val="00DC4B55"/>
    <w:rsid w:val="00DC4CC9"/>
    <w:rsid w:val="00DC4D5B"/>
    <w:rsid w:val="00DC4D65"/>
    <w:rsid w:val="00DC555D"/>
    <w:rsid w:val="00DC557C"/>
    <w:rsid w:val="00DC5754"/>
    <w:rsid w:val="00DC5B2D"/>
    <w:rsid w:val="00DC5B83"/>
    <w:rsid w:val="00DC63C2"/>
    <w:rsid w:val="00DC6434"/>
    <w:rsid w:val="00DC6596"/>
    <w:rsid w:val="00DC660C"/>
    <w:rsid w:val="00DC66A2"/>
    <w:rsid w:val="00DC6C72"/>
    <w:rsid w:val="00DC6E98"/>
    <w:rsid w:val="00DC6F32"/>
    <w:rsid w:val="00DC73E9"/>
    <w:rsid w:val="00DC7472"/>
    <w:rsid w:val="00DC7746"/>
    <w:rsid w:val="00DC78B3"/>
    <w:rsid w:val="00DC79C5"/>
    <w:rsid w:val="00DC7DBC"/>
    <w:rsid w:val="00DC7F0F"/>
    <w:rsid w:val="00DD0616"/>
    <w:rsid w:val="00DD095F"/>
    <w:rsid w:val="00DD0AA7"/>
    <w:rsid w:val="00DD0C55"/>
    <w:rsid w:val="00DD1137"/>
    <w:rsid w:val="00DD1397"/>
    <w:rsid w:val="00DD145A"/>
    <w:rsid w:val="00DD1BDA"/>
    <w:rsid w:val="00DD1E95"/>
    <w:rsid w:val="00DD1EC8"/>
    <w:rsid w:val="00DD1F97"/>
    <w:rsid w:val="00DD1FDC"/>
    <w:rsid w:val="00DD20A1"/>
    <w:rsid w:val="00DD225F"/>
    <w:rsid w:val="00DD2365"/>
    <w:rsid w:val="00DD2409"/>
    <w:rsid w:val="00DD25D9"/>
    <w:rsid w:val="00DD2A5F"/>
    <w:rsid w:val="00DD2CE9"/>
    <w:rsid w:val="00DD2D0C"/>
    <w:rsid w:val="00DD2D6F"/>
    <w:rsid w:val="00DD2DAF"/>
    <w:rsid w:val="00DD2E42"/>
    <w:rsid w:val="00DD2FA0"/>
    <w:rsid w:val="00DD3049"/>
    <w:rsid w:val="00DD30CC"/>
    <w:rsid w:val="00DD329F"/>
    <w:rsid w:val="00DD3356"/>
    <w:rsid w:val="00DD373C"/>
    <w:rsid w:val="00DD37EB"/>
    <w:rsid w:val="00DD3974"/>
    <w:rsid w:val="00DD3F7E"/>
    <w:rsid w:val="00DD458A"/>
    <w:rsid w:val="00DD472B"/>
    <w:rsid w:val="00DD4887"/>
    <w:rsid w:val="00DD489B"/>
    <w:rsid w:val="00DD495A"/>
    <w:rsid w:val="00DD4A18"/>
    <w:rsid w:val="00DD4AB8"/>
    <w:rsid w:val="00DD4CB2"/>
    <w:rsid w:val="00DD4E47"/>
    <w:rsid w:val="00DD4F04"/>
    <w:rsid w:val="00DD5714"/>
    <w:rsid w:val="00DD58B2"/>
    <w:rsid w:val="00DD5A2D"/>
    <w:rsid w:val="00DD5C78"/>
    <w:rsid w:val="00DD5D2C"/>
    <w:rsid w:val="00DD5F09"/>
    <w:rsid w:val="00DD624A"/>
    <w:rsid w:val="00DD62DD"/>
    <w:rsid w:val="00DD64F6"/>
    <w:rsid w:val="00DD65EF"/>
    <w:rsid w:val="00DD6B21"/>
    <w:rsid w:val="00DD6DD8"/>
    <w:rsid w:val="00DD71C5"/>
    <w:rsid w:val="00DD7240"/>
    <w:rsid w:val="00DD726E"/>
    <w:rsid w:val="00DD72FB"/>
    <w:rsid w:val="00DD73BF"/>
    <w:rsid w:val="00DD7561"/>
    <w:rsid w:val="00DD7812"/>
    <w:rsid w:val="00DD7B9B"/>
    <w:rsid w:val="00DD7E4F"/>
    <w:rsid w:val="00DE0002"/>
    <w:rsid w:val="00DE00B9"/>
    <w:rsid w:val="00DE010F"/>
    <w:rsid w:val="00DE0406"/>
    <w:rsid w:val="00DE050F"/>
    <w:rsid w:val="00DE0681"/>
    <w:rsid w:val="00DE0971"/>
    <w:rsid w:val="00DE09D7"/>
    <w:rsid w:val="00DE0CD0"/>
    <w:rsid w:val="00DE0E7E"/>
    <w:rsid w:val="00DE1023"/>
    <w:rsid w:val="00DE1840"/>
    <w:rsid w:val="00DE18CE"/>
    <w:rsid w:val="00DE1B16"/>
    <w:rsid w:val="00DE1CDF"/>
    <w:rsid w:val="00DE1DBB"/>
    <w:rsid w:val="00DE1ED4"/>
    <w:rsid w:val="00DE1F52"/>
    <w:rsid w:val="00DE1FB5"/>
    <w:rsid w:val="00DE2163"/>
    <w:rsid w:val="00DE230F"/>
    <w:rsid w:val="00DE2368"/>
    <w:rsid w:val="00DE26E0"/>
    <w:rsid w:val="00DE285A"/>
    <w:rsid w:val="00DE287F"/>
    <w:rsid w:val="00DE2B35"/>
    <w:rsid w:val="00DE2EDD"/>
    <w:rsid w:val="00DE2F07"/>
    <w:rsid w:val="00DE30E2"/>
    <w:rsid w:val="00DE3158"/>
    <w:rsid w:val="00DE31D7"/>
    <w:rsid w:val="00DE3337"/>
    <w:rsid w:val="00DE342C"/>
    <w:rsid w:val="00DE37E8"/>
    <w:rsid w:val="00DE380B"/>
    <w:rsid w:val="00DE393B"/>
    <w:rsid w:val="00DE3A9A"/>
    <w:rsid w:val="00DE3B37"/>
    <w:rsid w:val="00DE3C7C"/>
    <w:rsid w:val="00DE4894"/>
    <w:rsid w:val="00DE494D"/>
    <w:rsid w:val="00DE49B4"/>
    <w:rsid w:val="00DE4A03"/>
    <w:rsid w:val="00DE4D19"/>
    <w:rsid w:val="00DE57C7"/>
    <w:rsid w:val="00DE58E7"/>
    <w:rsid w:val="00DE59FD"/>
    <w:rsid w:val="00DE5B09"/>
    <w:rsid w:val="00DE5D95"/>
    <w:rsid w:val="00DE5ECD"/>
    <w:rsid w:val="00DE6421"/>
    <w:rsid w:val="00DE6753"/>
    <w:rsid w:val="00DE6F57"/>
    <w:rsid w:val="00DE6FD7"/>
    <w:rsid w:val="00DE706B"/>
    <w:rsid w:val="00DE7291"/>
    <w:rsid w:val="00DE73F7"/>
    <w:rsid w:val="00DE74A7"/>
    <w:rsid w:val="00DE762B"/>
    <w:rsid w:val="00DE76E9"/>
    <w:rsid w:val="00DE7A9B"/>
    <w:rsid w:val="00DE7B02"/>
    <w:rsid w:val="00DE7DB9"/>
    <w:rsid w:val="00DE7FCA"/>
    <w:rsid w:val="00DF0217"/>
    <w:rsid w:val="00DF024A"/>
    <w:rsid w:val="00DF028C"/>
    <w:rsid w:val="00DF041D"/>
    <w:rsid w:val="00DF0689"/>
    <w:rsid w:val="00DF06C0"/>
    <w:rsid w:val="00DF0815"/>
    <w:rsid w:val="00DF0B4B"/>
    <w:rsid w:val="00DF0B4C"/>
    <w:rsid w:val="00DF0B60"/>
    <w:rsid w:val="00DF0C4D"/>
    <w:rsid w:val="00DF0E05"/>
    <w:rsid w:val="00DF0F10"/>
    <w:rsid w:val="00DF0FDF"/>
    <w:rsid w:val="00DF1141"/>
    <w:rsid w:val="00DF116B"/>
    <w:rsid w:val="00DF1250"/>
    <w:rsid w:val="00DF14FA"/>
    <w:rsid w:val="00DF16C0"/>
    <w:rsid w:val="00DF1A90"/>
    <w:rsid w:val="00DF1AF9"/>
    <w:rsid w:val="00DF1BE3"/>
    <w:rsid w:val="00DF1E6C"/>
    <w:rsid w:val="00DF1F72"/>
    <w:rsid w:val="00DF25A4"/>
    <w:rsid w:val="00DF25DA"/>
    <w:rsid w:val="00DF2865"/>
    <w:rsid w:val="00DF28C0"/>
    <w:rsid w:val="00DF28C3"/>
    <w:rsid w:val="00DF29FB"/>
    <w:rsid w:val="00DF2D1A"/>
    <w:rsid w:val="00DF2D46"/>
    <w:rsid w:val="00DF2F4F"/>
    <w:rsid w:val="00DF2F91"/>
    <w:rsid w:val="00DF2F97"/>
    <w:rsid w:val="00DF3305"/>
    <w:rsid w:val="00DF3472"/>
    <w:rsid w:val="00DF3638"/>
    <w:rsid w:val="00DF38A7"/>
    <w:rsid w:val="00DF3A42"/>
    <w:rsid w:val="00DF3B71"/>
    <w:rsid w:val="00DF3CC8"/>
    <w:rsid w:val="00DF4179"/>
    <w:rsid w:val="00DF41C1"/>
    <w:rsid w:val="00DF4376"/>
    <w:rsid w:val="00DF4564"/>
    <w:rsid w:val="00DF4741"/>
    <w:rsid w:val="00DF4811"/>
    <w:rsid w:val="00DF49A9"/>
    <w:rsid w:val="00DF4B2D"/>
    <w:rsid w:val="00DF4C43"/>
    <w:rsid w:val="00DF4E27"/>
    <w:rsid w:val="00DF5068"/>
    <w:rsid w:val="00DF508A"/>
    <w:rsid w:val="00DF5362"/>
    <w:rsid w:val="00DF548B"/>
    <w:rsid w:val="00DF56A0"/>
    <w:rsid w:val="00DF5861"/>
    <w:rsid w:val="00DF5894"/>
    <w:rsid w:val="00DF58BB"/>
    <w:rsid w:val="00DF590E"/>
    <w:rsid w:val="00DF5A0A"/>
    <w:rsid w:val="00DF5AAF"/>
    <w:rsid w:val="00DF5B64"/>
    <w:rsid w:val="00DF5C13"/>
    <w:rsid w:val="00DF5CB4"/>
    <w:rsid w:val="00DF5CBF"/>
    <w:rsid w:val="00DF5E37"/>
    <w:rsid w:val="00DF5E6E"/>
    <w:rsid w:val="00DF5FCA"/>
    <w:rsid w:val="00DF61AA"/>
    <w:rsid w:val="00DF6290"/>
    <w:rsid w:val="00DF6529"/>
    <w:rsid w:val="00DF68F0"/>
    <w:rsid w:val="00DF6982"/>
    <w:rsid w:val="00DF69EC"/>
    <w:rsid w:val="00DF6BF1"/>
    <w:rsid w:val="00DF6D7A"/>
    <w:rsid w:val="00DF6F74"/>
    <w:rsid w:val="00DF708E"/>
    <w:rsid w:val="00DF7094"/>
    <w:rsid w:val="00DF70CC"/>
    <w:rsid w:val="00DF70FE"/>
    <w:rsid w:val="00DF715C"/>
    <w:rsid w:val="00DF73CB"/>
    <w:rsid w:val="00DF744A"/>
    <w:rsid w:val="00DF74D8"/>
    <w:rsid w:val="00DF7538"/>
    <w:rsid w:val="00DF770A"/>
    <w:rsid w:val="00DF7768"/>
    <w:rsid w:val="00DF7A83"/>
    <w:rsid w:val="00DF7C06"/>
    <w:rsid w:val="00DF7C1E"/>
    <w:rsid w:val="00DF7CF6"/>
    <w:rsid w:val="00DF7D60"/>
    <w:rsid w:val="00DF7E2E"/>
    <w:rsid w:val="00DF7EB1"/>
    <w:rsid w:val="00E001F3"/>
    <w:rsid w:val="00E00307"/>
    <w:rsid w:val="00E006CC"/>
    <w:rsid w:val="00E00AC7"/>
    <w:rsid w:val="00E00B58"/>
    <w:rsid w:val="00E00BBF"/>
    <w:rsid w:val="00E00DEF"/>
    <w:rsid w:val="00E01465"/>
    <w:rsid w:val="00E016A7"/>
    <w:rsid w:val="00E01B8D"/>
    <w:rsid w:val="00E01D22"/>
    <w:rsid w:val="00E01E6C"/>
    <w:rsid w:val="00E0202F"/>
    <w:rsid w:val="00E020A1"/>
    <w:rsid w:val="00E0271E"/>
    <w:rsid w:val="00E02D91"/>
    <w:rsid w:val="00E03284"/>
    <w:rsid w:val="00E034A5"/>
    <w:rsid w:val="00E03718"/>
    <w:rsid w:val="00E03769"/>
    <w:rsid w:val="00E03C4F"/>
    <w:rsid w:val="00E03DC7"/>
    <w:rsid w:val="00E03F03"/>
    <w:rsid w:val="00E03FF8"/>
    <w:rsid w:val="00E041D3"/>
    <w:rsid w:val="00E041E4"/>
    <w:rsid w:val="00E043FD"/>
    <w:rsid w:val="00E0460A"/>
    <w:rsid w:val="00E04BBB"/>
    <w:rsid w:val="00E04D37"/>
    <w:rsid w:val="00E052C2"/>
    <w:rsid w:val="00E058B3"/>
    <w:rsid w:val="00E05A38"/>
    <w:rsid w:val="00E05FBC"/>
    <w:rsid w:val="00E05FF8"/>
    <w:rsid w:val="00E06067"/>
    <w:rsid w:val="00E0662A"/>
    <w:rsid w:val="00E06737"/>
    <w:rsid w:val="00E06864"/>
    <w:rsid w:val="00E06AD4"/>
    <w:rsid w:val="00E06B59"/>
    <w:rsid w:val="00E06EF2"/>
    <w:rsid w:val="00E06F0A"/>
    <w:rsid w:val="00E0702F"/>
    <w:rsid w:val="00E0735E"/>
    <w:rsid w:val="00E073D5"/>
    <w:rsid w:val="00E0779A"/>
    <w:rsid w:val="00E07A67"/>
    <w:rsid w:val="00E07B17"/>
    <w:rsid w:val="00E07C12"/>
    <w:rsid w:val="00E07E1F"/>
    <w:rsid w:val="00E100EC"/>
    <w:rsid w:val="00E10139"/>
    <w:rsid w:val="00E1027B"/>
    <w:rsid w:val="00E10435"/>
    <w:rsid w:val="00E10718"/>
    <w:rsid w:val="00E1081A"/>
    <w:rsid w:val="00E1086A"/>
    <w:rsid w:val="00E10B48"/>
    <w:rsid w:val="00E10B7D"/>
    <w:rsid w:val="00E10BC4"/>
    <w:rsid w:val="00E10F93"/>
    <w:rsid w:val="00E1164C"/>
    <w:rsid w:val="00E1165C"/>
    <w:rsid w:val="00E1185D"/>
    <w:rsid w:val="00E11897"/>
    <w:rsid w:val="00E11A41"/>
    <w:rsid w:val="00E11AC2"/>
    <w:rsid w:val="00E11C93"/>
    <w:rsid w:val="00E11D4F"/>
    <w:rsid w:val="00E124EE"/>
    <w:rsid w:val="00E12748"/>
    <w:rsid w:val="00E12829"/>
    <w:rsid w:val="00E1292C"/>
    <w:rsid w:val="00E12A0D"/>
    <w:rsid w:val="00E12C22"/>
    <w:rsid w:val="00E130B1"/>
    <w:rsid w:val="00E13681"/>
    <w:rsid w:val="00E136D7"/>
    <w:rsid w:val="00E1375C"/>
    <w:rsid w:val="00E13FB3"/>
    <w:rsid w:val="00E142C9"/>
    <w:rsid w:val="00E14367"/>
    <w:rsid w:val="00E1448C"/>
    <w:rsid w:val="00E147EC"/>
    <w:rsid w:val="00E14821"/>
    <w:rsid w:val="00E14EB5"/>
    <w:rsid w:val="00E14F34"/>
    <w:rsid w:val="00E15242"/>
    <w:rsid w:val="00E15383"/>
    <w:rsid w:val="00E153A9"/>
    <w:rsid w:val="00E1541F"/>
    <w:rsid w:val="00E154E0"/>
    <w:rsid w:val="00E15DA1"/>
    <w:rsid w:val="00E15ED1"/>
    <w:rsid w:val="00E15ED3"/>
    <w:rsid w:val="00E15F0B"/>
    <w:rsid w:val="00E160D4"/>
    <w:rsid w:val="00E16F96"/>
    <w:rsid w:val="00E1712D"/>
    <w:rsid w:val="00E171CF"/>
    <w:rsid w:val="00E171FD"/>
    <w:rsid w:val="00E173F8"/>
    <w:rsid w:val="00E17557"/>
    <w:rsid w:val="00E177EA"/>
    <w:rsid w:val="00E178CB"/>
    <w:rsid w:val="00E20048"/>
    <w:rsid w:val="00E202E4"/>
    <w:rsid w:val="00E203E0"/>
    <w:rsid w:val="00E20705"/>
    <w:rsid w:val="00E2085B"/>
    <w:rsid w:val="00E208F6"/>
    <w:rsid w:val="00E20D4E"/>
    <w:rsid w:val="00E20FC1"/>
    <w:rsid w:val="00E20FF1"/>
    <w:rsid w:val="00E21008"/>
    <w:rsid w:val="00E211AD"/>
    <w:rsid w:val="00E2148A"/>
    <w:rsid w:val="00E215DB"/>
    <w:rsid w:val="00E21622"/>
    <w:rsid w:val="00E21EB4"/>
    <w:rsid w:val="00E2223F"/>
    <w:rsid w:val="00E2267B"/>
    <w:rsid w:val="00E227EA"/>
    <w:rsid w:val="00E22B58"/>
    <w:rsid w:val="00E22D10"/>
    <w:rsid w:val="00E22E32"/>
    <w:rsid w:val="00E22F0E"/>
    <w:rsid w:val="00E22F28"/>
    <w:rsid w:val="00E22FCD"/>
    <w:rsid w:val="00E23351"/>
    <w:rsid w:val="00E23377"/>
    <w:rsid w:val="00E23426"/>
    <w:rsid w:val="00E23660"/>
    <w:rsid w:val="00E236E3"/>
    <w:rsid w:val="00E23D6C"/>
    <w:rsid w:val="00E244B5"/>
    <w:rsid w:val="00E246B1"/>
    <w:rsid w:val="00E24881"/>
    <w:rsid w:val="00E24B68"/>
    <w:rsid w:val="00E24BAA"/>
    <w:rsid w:val="00E24D82"/>
    <w:rsid w:val="00E252AB"/>
    <w:rsid w:val="00E25439"/>
    <w:rsid w:val="00E255F5"/>
    <w:rsid w:val="00E258F9"/>
    <w:rsid w:val="00E25A81"/>
    <w:rsid w:val="00E25B8A"/>
    <w:rsid w:val="00E25C83"/>
    <w:rsid w:val="00E25D0E"/>
    <w:rsid w:val="00E25EFA"/>
    <w:rsid w:val="00E25F34"/>
    <w:rsid w:val="00E2613D"/>
    <w:rsid w:val="00E264A6"/>
    <w:rsid w:val="00E265A5"/>
    <w:rsid w:val="00E26743"/>
    <w:rsid w:val="00E267CC"/>
    <w:rsid w:val="00E2685D"/>
    <w:rsid w:val="00E269D0"/>
    <w:rsid w:val="00E269E8"/>
    <w:rsid w:val="00E26A41"/>
    <w:rsid w:val="00E26B19"/>
    <w:rsid w:val="00E26B60"/>
    <w:rsid w:val="00E270D0"/>
    <w:rsid w:val="00E272AF"/>
    <w:rsid w:val="00E2751F"/>
    <w:rsid w:val="00E275D4"/>
    <w:rsid w:val="00E275DF"/>
    <w:rsid w:val="00E2761D"/>
    <w:rsid w:val="00E27703"/>
    <w:rsid w:val="00E2779A"/>
    <w:rsid w:val="00E2781B"/>
    <w:rsid w:val="00E27B04"/>
    <w:rsid w:val="00E27BA2"/>
    <w:rsid w:val="00E27C0E"/>
    <w:rsid w:val="00E27D07"/>
    <w:rsid w:val="00E27D9F"/>
    <w:rsid w:val="00E27F24"/>
    <w:rsid w:val="00E3002A"/>
    <w:rsid w:val="00E3019A"/>
    <w:rsid w:val="00E303E0"/>
    <w:rsid w:val="00E30723"/>
    <w:rsid w:val="00E30774"/>
    <w:rsid w:val="00E307FE"/>
    <w:rsid w:val="00E308BC"/>
    <w:rsid w:val="00E30D5A"/>
    <w:rsid w:val="00E30E76"/>
    <w:rsid w:val="00E312DC"/>
    <w:rsid w:val="00E31326"/>
    <w:rsid w:val="00E3136F"/>
    <w:rsid w:val="00E3147E"/>
    <w:rsid w:val="00E318A1"/>
    <w:rsid w:val="00E31A1E"/>
    <w:rsid w:val="00E31B4D"/>
    <w:rsid w:val="00E31B9C"/>
    <w:rsid w:val="00E320AD"/>
    <w:rsid w:val="00E321B4"/>
    <w:rsid w:val="00E32406"/>
    <w:rsid w:val="00E32867"/>
    <w:rsid w:val="00E32869"/>
    <w:rsid w:val="00E32A57"/>
    <w:rsid w:val="00E32B79"/>
    <w:rsid w:val="00E32C0D"/>
    <w:rsid w:val="00E32C18"/>
    <w:rsid w:val="00E32CCA"/>
    <w:rsid w:val="00E32D1E"/>
    <w:rsid w:val="00E32DA5"/>
    <w:rsid w:val="00E32E15"/>
    <w:rsid w:val="00E32F5C"/>
    <w:rsid w:val="00E330F9"/>
    <w:rsid w:val="00E3310F"/>
    <w:rsid w:val="00E33187"/>
    <w:rsid w:val="00E333AA"/>
    <w:rsid w:val="00E33877"/>
    <w:rsid w:val="00E34484"/>
    <w:rsid w:val="00E3449B"/>
    <w:rsid w:val="00E345C1"/>
    <w:rsid w:val="00E34773"/>
    <w:rsid w:val="00E34908"/>
    <w:rsid w:val="00E34CB2"/>
    <w:rsid w:val="00E34EB3"/>
    <w:rsid w:val="00E352A2"/>
    <w:rsid w:val="00E3544E"/>
    <w:rsid w:val="00E3554A"/>
    <w:rsid w:val="00E35916"/>
    <w:rsid w:val="00E35C8C"/>
    <w:rsid w:val="00E35CA7"/>
    <w:rsid w:val="00E35E6E"/>
    <w:rsid w:val="00E35F6A"/>
    <w:rsid w:val="00E3614B"/>
    <w:rsid w:val="00E36373"/>
    <w:rsid w:val="00E363D7"/>
    <w:rsid w:val="00E367E8"/>
    <w:rsid w:val="00E3681C"/>
    <w:rsid w:val="00E36C7D"/>
    <w:rsid w:val="00E37424"/>
    <w:rsid w:val="00E37EC8"/>
    <w:rsid w:val="00E400BB"/>
    <w:rsid w:val="00E402D7"/>
    <w:rsid w:val="00E40541"/>
    <w:rsid w:val="00E409B4"/>
    <w:rsid w:val="00E40AC7"/>
    <w:rsid w:val="00E40AD6"/>
    <w:rsid w:val="00E40EB2"/>
    <w:rsid w:val="00E411AD"/>
    <w:rsid w:val="00E4146E"/>
    <w:rsid w:val="00E4156E"/>
    <w:rsid w:val="00E415E2"/>
    <w:rsid w:val="00E41874"/>
    <w:rsid w:val="00E4188D"/>
    <w:rsid w:val="00E41D3E"/>
    <w:rsid w:val="00E41D4C"/>
    <w:rsid w:val="00E41DB8"/>
    <w:rsid w:val="00E41E23"/>
    <w:rsid w:val="00E42093"/>
    <w:rsid w:val="00E421A9"/>
    <w:rsid w:val="00E4221A"/>
    <w:rsid w:val="00E42B7D"/>
    <w:rsid w:val="00E42F54"/>
    <w:rsid w:val="00E42FBA"/>
    <w:rsid w:val="00E43036"/>
    <w:rsid w:val="00E4324C"/>
    <w:rsid w:val="00E432B4"/>
    <w:rsid w:val="00E436D1"/>
    <w:rsid w:val="00E43AEA"/>
    <w:rsid w:val="00E43B8B"/>
    <w:rsid w:val="00E43E00"/>
    <w:rsid w:val="00E43F14"/>
    <w:rsid w:val="00E43FD7"/>
    <w:rsid w:val="00E441C8"/>
    <w:rsid w:val="00E445FE"/>
    <w:rsid w:val="00E44C0B"/>
    <w:rsid w:val="00E44D5B"/>
    <w:rsid w:val="00E45016"/>
    <w:rsid w:val="00E45124"/>
    <w:rsid w:val="00E4516D"/>
    <w:rsid w:val="00E45180"/>
    <w:rsid w:val="00E45305"/>
    <w:rsid w:val="00E45424"/>
    <w:rsid w:val="00E454F7"/>
    <w:rsid w:val="00E4559B"/>
    <w:rsid w:val="00E45714"/>
    <w:rsid w:val="00E457E9"/>
    <w:rsid w:val="00E45903"/>
    <w:rsid w:val="00E45A11"/>
    <w:rsid w:val="00E45AFF"/>
    <w:rsid w:val="00E45CD9"/>
    <w:rsid w:val="00E45E7E"/>
    <w:rsid w:val="00E4601B"/>
    <w:rsid w:val="00E4603E"/>
    <w:rsid w:val="00E4608D"/>
    <w:rsid w:val="00E4636B"/>
    <w:rsid w:val="00E463D3"/>
    <w:rsid w:val="00E466B5"/>
    <w:rsid w:val="00E4683C"/>
    <w:rsid w:val="00E469E8"/>
    <w:rsid w:val="00E46AC9"/>
    <w:rsid w:val="00E46D98"/>
    <w:rsid w:val="00E46DC9"/>
    <w:rsid w:val="00E46E11"/>
    <w:rsid w:val="00E46F69"/>
    <w:rsid w:val="00E46FF2"/>
    <w:rsid w:val="00E4703E"/>
    <w:rsid w:val="00E472A0"/>
    <w:rsid w:val="00E47466"/>
    <w:rsid w:val="00E47805"/>
    <w:rsid w:val="00E5020D"/>
    <w:rsid w:val="00E50254"/>
    <w:rsid w:val="00E50327"/>
    <w:rsid w:val="00E509FF"/>
    <w:rsid w:val="00E50E98"/>
    <w:rsid w:val="00E51288"/>
    <w:rsid w:val="00E51294"/>
    <w:rsid w:val="00E51414"/>
    <w:rsid w:val="00E517FA"/>
    <w:rsid w:val="00E51F8A"/>
    <w:rsid w:val="00E5230A"/>
    <w:rsid w:val="00E52327"/>
    <w:rsid w:val="00E52368"/>
    <w:rsid w:val="00E52629"/>
    <w:rsid w:val="00E527C7"/>
    <w:rsid w:val="00E52DFD"/>
    <w:rsid w:val="00E52EA4"/>
    <w:rsid w:val="00E53269"/>
    <w:rsid w:val="00E53407"/>
    <w:rsid w:val="00E53482"/>
    <w:rsid w:val="00E53733"/>
    <w:rsid w:val="00E53804"/>
    <w:rsid w:val="00E53813"/>
    <w:rsid w:val="00E539F6"/>
    <w:rsid w:val="00E53A7E"/>
    <w:rsid w:val="00E53D66"/>
    <w:rsid w:val="00E53DB6"/>
    <w:rsid w:val="00E53E47"/>
    <w:rsid w:val="00E54090"/>
    <w:rsid w:val="00E548D5"/>
    <w:rsid w:val="00E549CC"/>
    <w:rsid w:val="00E54ACA"/>
    <w:rsid w:val="00E54BF2"/>
    <w:rsid w:val="00E54F6C"/>
    <w:rsid w:val="00E54FB3"/>
    <w:rsid w:val="00E54FD0"/>
    <w:rsid w:val="00E54FF5"/>
    <w:rsid w:val="00E55152"/>
    <w:rsid w:val="00E55904"/>
    <w:rsid w:val="00E5598C"/>
    <w:rsid w:val="00E55E72"/>
    <w:rsid w:val="00E56250"/>
    <w:rsid w:val="00E562E5"/>
    <w:rsid w:val="00E5639C"/>
    <w:rsid w:val="00E564D0"/>
    <w:rsid w:val="00E56543"/>
    <w:rsid w:val="00E56692"/>
    <w:rsid w:val="00E569BD"/>
    <w:rsid w:val="00E56B64"/>
    <w:rsid w:val="00E56F6B"/>
    <w:rsid w:val="00E57138"/>
    <w:rsid w:val="00E57156"/>
    <w:rsid w:val="00E571C4"/>
    <w:rsid w:val="00E573F1"/>
    <w:rsid w:val="00E5746F"/>
    <w:rsid w:val="00E57482"/>
    <w:rsid w:val="00E57521"/>
    <w:rsid w:val="00E5759B"/>
    <w:rsid w:val="00E578AD"/>
    <w:rsid w:val="00E579A4"/>
    <w:rsid w:val="00E57A3B"/>
    <w:rsid w:val="00E57B49"/>
    <w:rsid w:val="00E57B51"/>
    <w:rsid w:val="00E57BE9"/>
    <w:rsid w:val="00E57CF4"/>
    <w:rsid w:val="00E57D6F"/>
    <w:rsid w:val="00E57F0A"/>
    <w:rsid w:val="00E57F33"/>
    <w:rsid w:val="00E60005"/>
    <w:rsid w:val="00E602B2"/>
    <w:rsid w:val="00E602BF"/>
    <w:rsid w:val="00E6034E"/>
    <w:rsid w:val="00E6041A"/>
    <w:rsid w:val="00E60616"/>
    <w:rsid w:val="00E60754"/>
    <w:rsid w:val="00E60EB2"/>
    <w:rsid w:val="00E60F8D"/>
    <w:rsid w:val="00E612F9"/>
    <w:rsid w:val="00E61521"/>
    <w:rsid w:val="00E61532"/>
    <w:rsid w:val="00E6157A"/>
    <w:rsid w:val="00E61BF4"/>
    <w:rsid w:val="00E6265C"/>
    <w:rsid w:val="00E6277A"/>
    <w:rsid w:val="00E62875"/>
    <w:rsid w:val="00E628DC"/>
    <w:rsid w:val="00E63097"/>
    <w:rsid w:val="00E630E9"/>
    <w:rsid w:val="00E63104"/>
    <w:rsid w:val="00E6346D"/>
    <w:rsid w:val="00E6368E"/>
    <w:rsid w:val="00E6388D"/>
    <w:rsid w:val="00E63963"/>
    <w:rsid w:val="00E63ED9"/>
    <w:rsid w:val="00E64002"/>
    <w:rsid w:val="00E64158"/>
    <w:rsid w:val="00E643E8"/>
    <w:rsid w:val="00E644AB"/>
    <w:rsid w:val="00E6466B"/>
    <w:rsid w:val="00E64686"/>
    <w:rsid w:val="00E649E4"/>
    <w:rsid w:val="00E64CFA"/>
    <w:rsid w:val="00E65268"/>
    <w:rsid w:val="00E6556F"/>
    <w:rsid w:val="00E6577D"/>
    <w:rsid w:val="00E6578A"/>
    <w:rsid w:val="00E657D9"/>
    <w:rsid w:val="00E65859"/>
    <w:rsid w:val="00E65B52"/>
    <w:rsid w:val="00E65BAF"/>
    <w:rsid w:val="00E660FD"/>
    <w:rsid w:val="00E66574"/>
    <w:rsid w:val="00E66614"/>
    <w:rsid w:val="00E66669"/>
    <w:rsid w:val="00E66924"/>
    <w:rsid w:val="00E6692C"/>
    <w:rsid w:val="00E6697B"/>
    <w:rsid w:val="00E66B8E"/>
    <w:rsid w:val="00E66C75"/>
    <w:rsid w:val="00E66D40"/>
    <w:rsid w:val="00E66FE1"/>
    <w:rsid w:val="00E67147"/>
    <w:rsid w:val="00E673A3"/>
    <w:rsid w:val="00E67512"/>
    <w:rsid w:val="00E675C1"/>
    <w:rsid w:val="00E67AA7"/>
    <w:rsid w:val="00E67BE2"/>
    <w:rsid w:val="00E67E79"/>
    <w:rsid w:val="00E67E96"/>
    <w:rsid w:val="00E67EEA"/>
    <w:rsid w:val="00E700B6"/>
    <w:rsid w:val="00E701AA"/>
    <w:rsid w:val="00E70208"/>
    <w:rsid w:val="00E703A1"/>
    <w:rsid w:val="00E70729"/>
    <w:rsid w:val="00E70A10"/>
    <w:rsid w:val="00E70ADD"/>
    <w:rsid w:val="00E70B83"/>
    <w:rsid w:val="00E70C01"/>
    <w:rsid w:val="00E70EAF"/>
    <w:rsid w:val="00E70F79"/>
    <w:rsid w:val="00E71323"/>
    <w:rsid w:val="00E71601"/>
    <w:rsid w:val="00E716C5"/>
    <w:rsid w:val="00E7176C"/>
    <w:rsid w:val="00E71774"/>
    <w:rsid w:val="00E71CEB"/>
    <w:rsid w:val="00E71DAA"/>
    <w:rsid w:val="00E72122"/>
    <w:rsid w:val="00E72193"/>
    <w:rsid w:val="00E722C9"/>
    <w:rsid w:val="00E722D0"/>
    <w:rsid w:val="00E7231E"/>
    <w:rsid w:val="00E724A0"/>
    <w:rsid w:val="00E72531"/>
    <w:rsid w:val="00E726E6"/>
    <w:rsid w:val="00E72A79"/>
    <w:rsid w:val="00E73343"/>
    <w:rsid w:val="00E73464"/>
    <w:rsid w:val="00E73466"/>
    <w:rsid w:val="00E735A1"/>
    <w:rsid w:val="00E737E5"/>
    <w:rsid w:val="00E7398B"/>
    <w:rsid w:val="00E73A5E"/>
    <w:rsid w:val="00E73CAC"/>
    <w:rsid w:val="00E73FDE"/>
    <w:rsid w:val="00E74154"/>
    <w:rsid w:val="00E7437B"/>
    <w:rsid w:val="00E74741"/>
    <w:rsid w:val="00E747FE"/>
    <w:rsid w:val="00E74C47"/>
    <w:rsid w:val="00E750DE"/>
    <w:rsid w:val="00E753B0"/>
    <w:rsid w:val="00E755FF"/>
    <w:rsid w:val="00E75607"/>
    <w:rsid w:val="00E758B4"/>
    <w:rsid w:val="00E7599A"/>
    <w:rsid w:val="00E75A49"/>
    <w:rsid w:val="00E75BEA"/>
    <w:rsid w:val="00E75D28"/>
    <w:rsid w:val="00E75D40"/>
    <w:rsid w:val="00E75D50"/>
    <w:rsid w:val="00E75FCC"/>
    <w:rsid w:val="00E76076"/>
    <w:rsid w:val="00E760C4"/>
    <w:rsid w:val="00E761A3"/>
    <w:rsid w:val="00E76312"/>
    <w:rsid w:val="00E7650B"/>
    <w:rsid w:val="00E76675"/>
    <w:rsid w:val="00E76692"/>
    <w:rsid w:val="00E76800"/>
    <w:rsid w:val="00E76A74"/>
    <w:rsid w:val="00E776EA"/>
    <w:rsid w:val="00E77A2F"/>
    <w:rsid w:val="00E77C41"/>
    <w:rsid w:val="00E77C94"/>
    <w:rsid w:val="00E80035"/>
    <w:rsid w:val="00E80246"/>
    <w:rsid w:val="00E8049C"/>
    <w:rsid w:val="00E806A4"/>
    <w:rsid w:val="00E8093B"/>
    <w:rsid w:val="00E80B08"/>
    <w:rsid w:val="00E8145C"/>
    <w:rsid w:val="00E81791"/>
    <w:rsid w:val="00E81806"/>
    <w:rsid w:val="00E8193E"/>
    <w:rsid w:val="00E81BE8"/>
    <w:rsid w:val="00E81C47"/>
    <w:rsid w:val="00E81C98"/>
    <w:rsid w:val="00E81DEB"/>
    <w:rsid w:val="00E81E23"/>
    <w:rsid w:val="00E81FAA"/>
    <w:rsid w:val="00E8210F"/>
    <w:rsid w:val="00E8232F"/>
    <w:rsid w:val="00E825A9"/>
    <w:rsid w:val="00E8269B"/>
    <w:rsid w:val="00E826E8"/>
    <w:rsid w:val="00E82CF3"/>
    <w:rsid w:val="00E82D9A"/>
    <w:rsid w:val="00E833B1"/>
    <w:rsid w:val="00E834C9"/>
    <w:rsid w:val="00E83840"/>
    <w:rsid w:val="00E841C9"/>
    <w:rsid w:val="00E8434B"/>
    <w:rsid w:val="00E84739"/>
    <w:rsid w:val="00E84ECC"/>
    <w:rsid w:val="00E84F30"/>
    <w:rsid w:val="00E85178"/>
    <w:rsid w:val="00E851A5"/>
    <w:rsid w:val="00E85496"/>
    <w:rsid w:val="00E85860"/>
    <w:rsid w:val="00E85ADB"/>
    <w:rsid w:val="00E85B48"/>
    <w:rsid w:val="00E85B85"/>
    <w:rsid w:val="00E85E44"/>
    <w:rsid w:val="00E86451"/>
    <w:rsid w:val="00E86DE2"/>
    <w:rsid w:val="00E86F5B"/>
    <w:rsid w:val="00E86F61"/>
    <w:rsid w:val="00E86FD0"/>
    <w:rsid w:val="00E872DB"/>
    <w:rsid w:val="00E8747B"/>
    <w:rsid w:val="00E87B5D"/>
    <w:rsid w:val="00E87EA9"/>
    <w:rsid w:val="00E9021C"/>
    <w:rsid w:val="00E90632"/>
    <w:rsid w:val="00E90783"/>
    <w:rsid w:val="00E90CDD"/>
    <w:rsid w:val="00E90CF1"/>
    <w:rsid w:val="00E90D05"/>
    <w:rsid w:val="00E90E18"/>
    <w:rsid w:val="00E90ECB"/>
    <w:rsid w:val="00E9103F"/>
    <w:rsid w:val="00E91A9C"/>
    <w:rsid w:val="00E91ACA"/>
    <w:rsid w:val="00E91D0B"/>
    <w:rsid w:val="00E91D80"/>
    <w:rsid w:val="00E91F9D"/>
    <w:rsid w:val="00E9263E"/>
    <w:rsid w:val="00E92ABA"/>
    <w:rsid w:val="00E92B30"/>
    <w:rsid w:val="00E92F15"/>
    <w:rsid w:val="00E93071"/>
    <w:rsid w:val="00E93098"/>
    <w:rsid w:val="00E930FA"/>
    <w:rsid w:val="00E93202"/>
    <w:rsid w:val="00E93435"/>
    <w:rsid w:val="00E93455"/>
    <w:rsid w:val="00E937F2"/>
    <w:rsid w:val="00E938EF"/>
    <w:rsid w:val="00E93D46"/>
    <w:rsid w:val="00E93EAA"/>
    <w:rsid w:val="00E93EBF"/>
    <w:rsid w:val="00E9437D"/>
    <w:rsid w:val="00E946B0"/>
    <w:rsid w:val="00E9476D"/>
    <w:rsid w:val="00E948F4"/>
    <w:rsid w:val="00E94954"/>
    <w:rsid w:val="00E94B41"/>
    <w:rsid w:val="00E95486"/>
    <w:rsid w:val="00E95585"/>
    <w:rsid w:val="00E956C1"/>
    <w:rsid w:val="00E957AF"/>
    <w:rsid w:val="00E9582B"/>
    <w:rsid w:val="00E9595C"/>
    <w:rsid w:val="00E95AD5"/>
    <w:rsid w:val="00E960E3"/>
    <w:rsid w:val="00E963A9"/>
    <w:rsid w:val="00E963B3"/>
    <w:rsid w:val="00E96475"/>
    <w:rsid w:val="00E96899"/>
    <w:rsid w:val="00E96913"/>
    <w:rsid w:val="00E96E01"/>
    <w:rsid w:val="00E971AA"/>
    <w:rsid w:val="00E9733E"/>
    <w:rsid w:val="00E9742B"/>
    <w:rsid w:val="00E976DF"/>
    <w:rsid w:val="00E978BB"/>
    <w:rsid w:val="00E97D19"/>
    <w:rsid w:val="00E97DB0"/>
    <w:rsid w:val="00E97E3C"/>
    <w:rsid w:val="00EA025E"/>
    <w:rsid w:val="00EA0272"/>
    <w:rsid w:val="00EA034F"/>
    <w:rsid w:val="00EA03D4"/>
    <w:rsid w:val="00EA06F4"/>
    <w:rsid w:val="00EA07AD"/>
    <w:rsid w:val="00EA08C9"/>
    <w:rsid w:val="00EA08D9"/>
    <w:rsid w:val="00EA0D28"/>
    <w:rsid w:val="00EA0D41"/>
    <w:rsid w:val="00EA0D78"/>
    <w:rsid w:val="00EA0D94"/>
    <w:rsid w:val="00EA1235"/>
    <w:rsid w:val="00EA1417"/>
    <w:rsid w:val="00EA1617"/>
    <w:rsid w:val="00EA161D"/>
    <w:rsid w:val="00EA17B9"/>
    <w:rsid w:val="00EA1952"/>
    <w:rsid w:val="00EA1B29"/>
    <w:rsid w:val="00EA1C8B"/>
    <w:rsid w:val="00EA20CC"/>
    <w:rsid w:val="00EA20E3"/>
    <w:rsid w:val="00EA2233"/>
    <w:rsid w:val="00EA273F"/>
    <w:rsid w:val="00EA279D"/>
    <w:rsid w:val="00EA29F1"/>
    <w:rsid w:val="00EA2B07"/>
    <w:rsid w:val="00EA2E9C"/>
    <w:rsid w:val="00EA2F13"/>
    <w:rsid w:val="00EA3023"/>
    <w:rsid w:val="00EA344A"/>
    <w:rsid w:val="00EA3535"/>
    <w:rsid w:val="00EA36BA"/>
    <w:rsid w:val="00EA3756"/>
    <w:rsid w:val="00EA38D2"/>
    <w:rsid w:val="00EA3EB1"/>
    <w:rsid w:val="00EA4170"/>
    <w:rsid w:val="00EA41EE"/>
    <w:rsid w:val="00EA4214"/>
    <w:rsid w:val="00EA43C2"/>
    <w:rsid w:val="00EA4478"/>
    <w:rsid w:val="00EA489D"/>
    <w:rsid w:val="00EA4956"/>
    <w:rsid w:val="00EA4CA6"/>
    <w:rsid w:val="00EA4CAB"/>
    <w:rsid w:val="00EA4D2A"/>
    <w:rsid w:val="00EA4D45"/>
    <w:rsid w:val="00EA4DF9"/>
    <w:rsid w:val="00EA4FBA"/>
    <w:rsid w:val="00EA5363"/>
    <w:rsid w:val="00EA53E8"/>
    <w:rsid w:val="00EA5552"/>
    <w:rsid w:val="00EA5A08"/>
    <w:rsid w:val="00EA6066"/>
    <w:rsid w:val="00EA60A5"/>
    <w:rsid w:val="00EA62F1"/>
    <w:rsid w:val="00EA64EC"/>
    <w:rsid w:val="00EA655D"/>
    <w:rsid w:val="00EA66E6"/>
    <w:rsid w:val="00EA6B8F"/>
    <w:rsid w:val="00EA6E92"/>
    <w:rsid w:val="00EA6F21"/>
    <w:rsid w:val="00EA701D"/>
    <w:rsid w:val="00EA70FB"/>
    <w:rsid w:val="00EA72AE"/>
    <w:rsid w:val="00EA72D0"/>
    <w:rsid w:val="00EA72E4"/>
    <w:rsid w:val="00EA75C9"/>
    <w:rsid w:val="00EA75D9"/>
    <w:rsid w:val="00EA7B29"/>
    <w:rsid w:val="00EA7D51"/>
    <w:rsid w:val="00EA7FE9"/>
    <w:rsid w:val="00EB01F5"/>
    <w:rsid w:val="00EB0449"/>
    <w:rsid w:val="00EB08E5"/>
    <w:rsid w:val="00EB09E3"/>
    <w:rsid w:val="00EB0B90"/>
    <w:rsid w:val="00EB0E2A"/>
    <w:rsid w:val="00EB0ECE"/>
    <w:rsid w:val="00EB12D1"/>
    <w:rsid w:val="00EB14D0"/>
    <w:rsid w:val="00EB1598"/>
    <w:rsid w:val="00EB1624"/>
    <w:rsid w:val="00EB182F"/>
    <w:rsid w:val="00EB1983"/>
    <w:rsid w:val="00EB1A25"/>
    <w:rsid w:val="00EB1A7A"/>
    <w:rsid w:val="00EB1AE5"/>
    <w:rsid w:val="00EB20A4"/>
    <w:rsid w:val="00EB21E8"/>
    <w:rsid w:val="00EB22A4"/>
    <w:rsid w:val="00EB250B"/>
    <w:rsid w:val="00EB27D6"/>
    <w:rsid w:val="00EB2816"/>
    <w:rsid w:val="00EB295A"/>
    <w:rsid w:val="00EB2B28"/>
    <w:rsid w:val="00EB2B5E"/>
    <w:rsid w:val="00EB2F82"/>
    <w:rsid w:val="00EB2FB3"/>
    <w:rsid w:val="00EB3566"/>
    <w:rsid w:val="00EB360C"/>
    <w:rsid w:val="00EB36AD"/>
    <w:rsid w:val="00EB36C9"/>
    <w:rsid w:val="00EB3ADA"/>
    <w:rsid w:val="00EB3F09"/>
    <w:rsid w:val="00EB3F80"/>
    <w:rsid w:val="00EB403E"/>
    <w:rsid w:val="00EB426B"/>
    <w:rsid w:val="00EB42AE"/>
    <w:rsid w:val="00EB42B1"/>
    <w:rsid w:val="00EB4325"/>
    <w:rsid w:val="00EB4403"/>
    <w:rsid w:val="00EB44BF"/>
    <w:rsid w:val="00EB4710"/>
    <w:rsid w:val="00EB47B0"/>
    <w:rsid w:val="00EB49AF"/>
    <w:rsid w:val="00EB4C85"/>
    <w:rsid w:val="00EB4E02"/>
    <w:rsid w:val="00EB4F9F"/>
    <w:rsid w:val="00EB5038"/>
    <w:rsid w:val="00EB5242"/>
    <w:rsid w:val="00EB524E"/>
    <w:rsid w:val="00EB54A1"/>
    <w:rsid w:val="00EB55DC"/>
    <w:rsid w:val="00EB57F1"/>
    <w:rsid w:val="00EB5844"/>
    <w:rsid w:val="00EB5862"/>
    <w:rsid w:val="00EB592E"/>
    <w:rsid w:val="00EB59C5"/>
    <w:rsid w:val="00EB5E6D"/>
    <w:rsid w:val="00EB5FB3"/>
    <w:rsid w:val="00EB6224"/>
    <w:rsid w:val="00EB627E"/>
    <w:rsid w:val="00EB63A4"/>
    <w:rsid w:val="00EB6609"/>
    <w:rsid w:val="00EB66EB"/>
    <w:rsid w:val="00EB6897"/>
    <w:rsid w:val="00EB6A05"/>
    <w:rsid w:val="00EB6D8F"/>
    <w:rsid w:val="00EB6E56"/>
    <w:rsid w:val="00EB714F"/>
    <w:rsid w:val="00EB73E5"/>
    <w:rsid w:val="00EB7480"/>
    <w:rsid w:val="00EB7513"/>
    <w:rsid w:val="00EB7AD9"/>
    <w:rsid w:val="00EB7D02"/>
    <w:rsid w:val="00EB7D48"/>
    <w:rsid w:val="00EB7FB7"/>
    <w:rsid w:val="00EC0174"/>
    <w:rsid w:val="00EC0509"/>
    <w:rsid w:val="00EC050A"/>
    <w:rsid w:val="00EC055F"/>
    <w:rsid w:val="00EC0683"/>
    <w:rsid w:val="00EC080B"/>
    <w:rsid w:val="00EC087E"/>
    <w:rsid w:val="00EC0971"/>
    <w:rsid w:val="00EC09D8"/>
    <w:rsid w:val="00EC0A36"/>
    <w:rsid w:val="00EC0DE1"/>
    <w:rsid w:val="00EC131B"/>
    <w:rsid w:val="00EC1580"/>
    <w:rsid w:val="00EC1886"/>
    <w:rsid w:val="00EC2014"/>
    <w:rsid w:val="00EC23D0"/>
    <w:rsid w:val="00EC277E"/>
    <w:rsid w:val="00EC28C2"/>
    <w:rsid w:val="00EC2A30"/>
    <w:rsid w:val="00EC300D"/>
    <w:rsid w:val="00EC31AD"/>
    <w:rsid w:val="00EC32A5"/>
    <w:rsid w:val="00EC35A6"/>
    <w:rsid w:val="00EC36DC"/>
    <w:rsid w:val="00EC39A8"/>
    <w:rsid w:val="00EC3A5B"/>
    <w:rsid w:val="00EC3B5B"/>
    <w:rsid w:val="00EC3C67"/>
    <w:rsid w:val="00EC4281"/>
    <w:rsid w:val="00EC449D"/>
    <w:rsid w:val="00EC46BF"/>
    <w:rsid w:val="00EC4758"/>
    <w:rsid w:val="00EC4826"/>
    <w:rsid w:val="00EC51CF"/>
    <w:rsid w:val="00EC5365"/>
    <w:rsid w:val="00EC538A"/>
    <w:rsid w:val="00EC54CF"/>
    <w:rsid w:val="00EC56C6"/>
    <w:rsid w:val="00EC57D3"/>
    <w:rsid w:val="00EC5B68"/>
    <w:rsid w:val="00EC5BEE"/>
    <w:rsid w:val="00EC5DF8"/>
    <w:rsid w:val="00EC5E37"/>
    <w:rsid w:val="00EC5EB6"/>
    <w:rsid w:val="00EC5EE1"/>
    <w:rsid w:val="00EC5FC0"/>
    <w:rsid w:val="00EC618E"/>
    <w:rsid w:val="00EC61F8"/>
    <w:rsid w:val="00EC620A"/>
    <w:rsid w:val="00EC62FB"/>
    <w:rsid w:val="00EC6449"/>
    <w:rsid w:val="00EC653E"/>
    <w:rsid w:val="00EC6696"/>
    <w:rsid w:val="00EC66A6"/>
    <w:rsid w:val="00EC66AC"/>
    <w:rsid w:val="00EC6710"/>
    <w:rsid w:val="00EC6741"/>
    <w:rsid w:val="00EC6814"/>
    <w:rsid w:val="00EC6A03"/>
    <w:rsid w:val="00EC6A3E"/>
    <w:rsid w:val="00EC6B53"/>
    <w:rsid w:val="00EC6C47"/>
    <w:rsid w:val="00EC6F0E"/>
    <w:rsid w:val="00EC7120"/>
    <w:rsid w:val="00EC7189"/>
    <w:rsid w:val="00EC757D"/>
    <w:rsid w:val="00EC7593"/>
    <w:rsid w:val="00EC7658"/>
    <w:rsid w:val="00EC76EC"/>
    <w:rsid w:val="00EC789F"/>
    <w:rsid w:val="00EC7C78"/>
    <w:rsid w:val="00EC7E7E"/>
    <w:rsid w:val="00ED0186"/>
    <w:rsid w:val="00ED038B"/>
    <w:rsid w:val="00ED0407"/>
    <w:rsid w:val="00ED0659"/>
    <w:rsid w:val="00ED0721"/>
    <w:rsid w:val="00ED0767"/>
    <w:rsid w:val="00ED0A4A"/>
    <w:rsid w:val="00ED0A4D"/>
    <w:rsid w:val="00ED0B42"/>
    <w:rsid w:val="00ED0D57"/>
    <w:rsid w:val="00ED0D5F"/>
    <w:rsid w:val="00ED0E1D"/>
    <w:rsid w:val="00ED0EF9"/>
    <w:rsid w:val="00ED11D5"/>
    <w:rsid w:val="00ED1229"/>
    <w:rsid w:val="00ED12A2"/>
    <w:rsid w:val="00ED13F4"/>
    <w:rsid w:val="00ED1AAA"/>
    <w:rsid w:val="00ED20AE"/>
    <w:rsid w:val="00ED24E5"/>
    <w:rsid w:val="00ED29A2"/>
    <w:rsid w:val="00ED2C33"/>
    <w:rsid w:val="00ED3080"/>
    <w:rsid w:val="00ED3123"/>
    <w:rsid w:val="00ED3283"/>
    <w:rsid w:val="00ED348C"/>
    <w:rsid w:val="00ED378E"/>
    <w:rsid w:val="00ED3FE1"/>
    <w:rsid w:val="00ED42AA"/>
    <w:rsid w:val="00ED43F1"/>
    <w:rsid w:val="00ED45CF"/>
    <w:rsid w:val="00ED46CB"/>
    <w:rsid w:val="00ED4D64"/>
    <w:rsid w:val="00ED4E8C"/>
    <w:rsid w:val="00ED5042"/>
    <w:rsid w:val="00ED506D"/>
    <w:rsid w:val="00ED50F3"/>
    <w:rsid w:val="00ED549C"/>
    <w:rsid w:val="00ED56E1"/>
    <w:rsid w:val="00ED5870"/>
    <w:rsid w:val="00ED5932"/>
    <w:rsid w:val="00ED59D9"/>
    <w:rsid w:val="00ED5BB3"/>
    <w:rsid w:val="00ED5BDD"/>
    <w:rsid w:val="00ED5C38"/>
    <w:rsid w:val="00ED5CD1"/>
    <w:rsid w:val="00ED5FEC"/>
    <w:rsid w:val="00ED6020"/>
    <w:rsid w:val="00ED630B"/>
    <w:rsid w:val="00ED636F"/>
    <w:rsid w:val="00ED65F9"/>
    <w:rsid w:val="00ED66FE"/>
    <w:rsid w:val="00ED694A"/>
    <w:rsid w:val="00ED69E5"/>
    <w:rsid w:val="00ED6AB2"/>
    <w:rsid w:val="00ED6B5F"/>
    <w:rsid w:val="00ED6E2C"/>
    <w:rsid w:val="00ED7509"/>
    <w:rsid w:val="00ED7797"/>
    <w:rsid w:val="00ED7915"/>
    <w:rsid w:val="00ED7997"/>
    <w:rsid w:val="00ED7D45"/>
    <w:rsid w:val="00EE003E"/>
    <w:rsid w:val="00EE04B9"/>
    <w:rsid w:val="00EE054D"/>
    <w:rsid w:val="00EE05A0"/>
    <w:rsid w:val="00EE07D2"/>
    <w:rsid w:val="00EE07EC"/>
    <w:rsid w:val="00EE08D6"/>
    <w:rsid w:val="00EE0977"/>
    <w:rsid w:val="00EE0E40"/>
    <w:rsid w:val="00EE0FE9"/>
    <w:rsid w:val="00EE1383"/>
    <w:rsid w:val="00EE162D"/>
    <w:rsid w:val="00EE16EE"/>
    <w:rsid w:val="00EE19EC"/>
    <w:rsid w:val="00EE1BE1"/>
    <w:rsid w:val="00EE1BEE"/>
    <w:rsid w:val="00EE1E83"/>
    <w:rsid w:val="00EE2193"/>
    <w:rsid w:val="00EE21D6"/>
    <w:rsid w:val="00EE2220"/>
    <w:rsid w:val="00EE264F"/>
    <w:rsid w:val="00EE280F"/>
    <w:rsid w:val="00EE2852"/>
    <w:rsid w:val="00EE289C"/>
    <w:rsid w:val="00EE2A78"/>
    <w:rsid w:val="00EE31E7"/>
    <w:rsid w:val="00EE3477"/>
    <w:rsid w:val="00EE3D86"/>
    <w:rsid w:val="00EE41BA"/>
    <w:rsid w:val="00EE41D1"/>
    <w:rsid w:val="00EE4230"/>
    <w:rsid w:val="00EE4568"/>
    <w:rsid w:val="00EE4AB0"/>
    <w:rsid w:val="00EE4D57"/>
    <w:rsid w:val="00EE4EA5"/>
    <w:rsid w:val="00EE5014"/>
    <w:rsid w:val="00EE502B"/>
    <w:rsid w:val="00EE53A6"/>
    <w:rsid w:val="00EE53B6"/>
    <w:rsid w:val="00EE5690"/>
    <w:rsid w:val="00EE5E5C"/>
    <w:rsid w:val="00EE5EAB"/>
    <w:rsid w:val="00EE5ECE"/>
    <w:rsid w:val="00EE6024"/>
    <w:rsid w:val="00EE625C"/>
    <w:rsid w:val="00EE65A8"/>
    <w:rsid w:val="00EE65F2"/>
    <w:rsid w:val="00EE6C38"/>
    <w:rsid w:val="00EE7208"/>
    <w:rsid w:val="00EE7712"/>
    <w:rsid w:val="00EE7ED2"/>
    <w:rsid w:val="00EE7F14"/>
    <w:rsid w:val="00EF0081"/>
    <w:rsid w:val="00EF018F"/>
    <w:rsid w:val="00EF03FA"/>
    <w:rsid w:val="00EF08D8"/>
    <w:rsid w:val="00EF0A83"/>
    <w:rsid w:val="00EF0C6E"/>
    <w:rsid w:val="00EF0D0A"/>
    <w:rsid w:val="00EF10B2"/>
    <w:rsid w:val="00EF143F"/>
    <w:rsid w:val="00EF149F"/>
    <w:rsid w:val="00EF157A"/>
    <w:rsid w:val="00EF167C"/>
    <w:rsid w:val="00EF18D0"/>
    <w:rsid w:val="00EF18E2"/>
    <w:rsid w:val="00EF19FD"/>
    <w:rsid w:val="00EF1BB7"/>
    <w:rsid w:val="00EF1DCC"/>
    <w:rsid w:val="00EF1F1A"/>
    <w:rsid w:val="00EF2009"/>
    <w:rsid w:val="00EF2055"/>
    <w:rsid w:val="00EF2573"/>
    <w:rsid w:val="00EF264F"/>
    <w:rsid w:val="00EF26B3"/>
    <w:rsid w:val="00EF279A"/>
    <w:rsid w:val="00EF2868"/>
    <w:rsid w:val="00EF2B99"/>
    <w:rsid w:val="00EF2BC3"/>
    <w:rsid w:val="00EF3138"/>
    <w:rsid w:val="00EF3278"/>
    <w:rsid w:val="00EF333A"/>
    <w:rsid w:val="00EF3354"/>
    <w:rsid w:val="00EF3357"/>
    <w:rsid w:val="00EF33E2"/>
    <w:rsid w:val="00EF3417"/>
    <w:rsid w:val="00EF3590"/>
    <w:rsid w:val="00EF38D6"/>
    <w:rsid w:val="00EF3A1A"/>
    <w:rsid w:val="00EF3A4D"/>
    <w:rsid w:val="00EF3D71"/>
    <w:rsid w:val="00EF3E23"/>
    <w:rsid w:val="00EF3E8B"/>
    <w:rsid w:val="00EF3F85"/>
    <w:rsid w:val="00EF4178"/>
    <w:rsid w:val="00EF4330"/>
    <w:rsid w:val="00EF45B8"/>
    <w:rsid w:val="00EF4B6A"/>
    <w:rsid w:val="00EF4D68"/>
    <w:rsid w:val="00EF4F9F"/>
    <w:rsid w:val="00EF51DB"/>
    <w:rsid w:val="00EF528D"/>
    <w:rsid w:val="00EF54C6"/>
    <w:rsid w:val="00EF568A"/>
    <w:rsid w:val="00EF58D9"/>
    <w:rsid w:val="00EF5A36"/>
    <w:rsid w:val="00EF5ADB"/>
    <w:rsid w:val="00EF5F68"/>
    <w:rsid w:val="00EF60D1"/>
    <w:rsid w:val="00EF60F2"/>
    <w:rsid w:val="00EF6172"/>
    <w:rsid w:val="00EF6416"/>
    <w:rsid w:val="00EF64BF"/>
    <w:rsid w:val="00EF6B1C"/>
    <w:rsid w:val="00EF6B40"/>
    <w:rsid w:val="00EF6E31"/>
    <w:rsid w:val="00EF6E37"/>
    <w:rsid w:val="00EF6F55"/>
    <w:rsid w:val="00EF7751"/>
    <w:rsid w:val="00EF775D"/>
    <w:rsid w:val="00EF794B"/>
    <w:rsid w:val="00EF7BB3"/>
    <w:rsid w:val="00EF7C82"/>
    <w:rsid w:val="00F0028F"/>
    <w:rsid w:val="00F002B8"/>
    <w:rsid w:val="00F002DA"/>
    <w:rsid w:val="00F0056A"/>
    <w:rsid w:val="00F00678"/>
    <w:rsid w:val="00F007B1"/>
    <w:rsid w:val="00F00C5A"/>
    <w:rsid w:val="00F00C74"/>
    <w:rsid w:val="00F00CC8"/>
    <w:rsid w:val="00F00DA9"/>
    <w:rsid w:val="00F00F4A"/>
    <w:rsid w:val="00F01183"/>
    <w:rsid w:val="00F014CE"/>
    <w:rsid w:val="00F0152D"/>
    <w:rsid w:val="00F01723"/>
    <w:rsid w:val="00F01911"/>
    <w:rsid w:val="00F01D3E"/>
    <w:rsid w:val="00F01E1F"/>
    <w:rsid w:val="00F02262"/>
    <w:rsid w:val="00F02286"/>
    <w:rsid w:val="00F02576"/>
    <w:rsid w:val="00F0261C"/>
    <w:rsid w:val="00F029A9"/>
    <w:rsid w:val="00F02AD9"/>
    <w:rsid w:val="00F02BC2"/>
    <w:rsid w:val="00F02CBF"/>
    <w:rsid w:val="00F0308B"/>
    <w:rsid w:val="00F03596"/>
    <w:rsid w:val="00F049EC"/>
    <w:rsid w:val="00F04AC7"/>
    <w:rsid w:val="00F04F1F"/>
    <w:rsid w:val="00F050C0"/>
    <w:rsid w:val="00F05131"/>
    <w:rsid w:val="00F052DF"/>
    <w:rsid w:val="00F0542E"/>
    <w:rsid w:val="00F054A0"/>
    <w:rsid w:val="00F05665"/>
    <w:rsid w:val="00F05701"/>
    <w:rsid w:val="00F05B9D"/>
    <w:rsid w:val="00F06320"/>
    <w:rsid w:val="00F0645B"/>
    <w:rsid w:val="00F064EC"/>
    <w:rsid w:val="00F0650C"/>
    <w:rsid w:val="00F06691"/>
    <w:rsid w:val="00F06905"/>
    <w:rsid w:val="00F06B8F"/>
    <w:rsid w:val="00F07087"/>
    <w:rsid w:val="00F070FD"/>
    <w:rsid w:val="00F0755F"/>
    <w:rsid w:val="00F075A6"/>
    <w:rsid w:val="00F075D9"/>
    <w:rsid w:val="00F07823"/>
    <w:rsid w:val="00F078DD"/>
    <w:rsid w:val="00F07D1D"/>
    <w:rsid w:val="00F07F69"/>
    <w:rsid w:val="00F1002D"/>
    <w:rsid w:val="00F10639"/>
    <w:rsid w:val="00F10780"/>
    <w:rsid w:val="00F10893"/>
    <w:rsid w:val="00F108D5"/>
    <w:rsid w:val="00F10AF6"/>
    <w:rsid w:val="00F10E44"/>
    <w:rsid w:val="00F10E5F"/>
    <w:rsid w:val="00F10EAA"/>
    <w:rsid w:val="00F10EC4"/>
    <w:rsid w:val="00F11186"/>
    <w:rsid w:val="00F11187"/>
    <w:rsid w:val="00F11276"/>
    <w:rsid w:val="00F11277"/>
    <w:rsid w:val="00F1131A"/>
    <w:rsid w:val="00F115E7"/>
    <w:rsid w:val="00F11621"/>
    <w:rsid w:val="00F11905"/>
    <w:rsid w:val="00F11E4F"/>
    <w:rsid w:val="00F11F1E"/>
    <w:rsid w:val="00F122BB"/>
    <w:rsid w:val="00F12425"/>
    <w:rsid w:val="00F1265E"/>
    <w:rsid w:val="00F12668"/>
    <w:rsid w:val="00F12945"/>
    <w:rsid w:val="00F12ED0"/>
    <w:rsid w:val="00F13CFE"/>
    <w:rsid w:val="00F13DD1"/>
    <w:rsid w:val="00F13EDC"/>
    <w:rsid w:val="00F13F8E"/>
    <w:rsid w:val="00F142B6"/>
    <w:rsid w:val="00F1437C"/>
    <w:rsid w:val="00F1441D"/>
    <w:rsid w:val="00F14450"/>
    <w:rsid w:val="00F145A6"/>
    <w:rsid w:val="00F147BC"/>
    <w:rsid w:val="00F14A67"/>
    <w:rsid w:val="00F14BBA"/>
    <w:rsid w:val="00F150AB"/>
    <w:rsid w:val="00F1536E"/>
    <w:rsid w:val="00F15387"/>
    <w:rsid w:val="00F153FF"/>
    <w:rsid w:val="00F1546C"/>
    <w:rsid w:val="00F15A83"/>
    <w:rsid w:val="00F15A89"/>
    <w:rsid w:val="00F15B99"/>
    <w:rsid w:val="00F15C56"/>
    <w:rsid w:val="00F15E67"/>
    <w:rsid w:val="00F15F71"/>
    <w:rsid w:val="00F15F85"/>
    <w:rsid w:val="00F15F8C"/>
    <w:rsid w:val="00F16036"/>
    <w:rsid w:val="00F1645C"/>
    <w:rsid w:val="00F16494"/>
    <w:rsid w:val="00F16853"/>
    <w:rsid w:val="00F16A37"/>
    <w:rsid w:val="00F16FC5"/>
    <w:rsid w:val="00F1702E"/>
    <w:rsid w:val="00F17383"/>
    <w:rsid w:val="00F1755A"/>
    <w:rsid w:val="00F1759B"/>
    <w:rsid w:val="00F1761D"/>
    <w:rsid w:val="00F17671"/>
    <w:rsid w:val="00F17770"/>
    <w:rsid w:val="00F1783A"/>
    <w:rsid w:val="00F17850"/>
    <w:rsid w:val="00F178DE"/>
    <w:rsid w:val="00F17A3F"/>
    <w:rsid w:val="00F17BFF"/>
    <w:rsid w:val="00F201DA"/>
    <w:rsid w:val="00F203A6"/>
    <w:rsid w:val="00F20655"/>
    <w:rsid w:val="00F2066E"/>
    <w:rsid w:val="00F20716"/>
    <w:rsid w:val="00F207AB"/>
    <w:rsid w:val="00F208E6"/>
    <w:rsid w:val="00F20B5B"/>
    <w:rsid w:val="00F20DCE"/>
    <w:rsid w:val="00F20E44"/>
    <w:rsid w:val="00F214DE"/>
    <w:rsid w:val="00F223F4"/>
    <w:rsid w:val="00F22449"/>
    <w:rsid w:val="00F226A1"/>
    <w:rsid w:val="00F22C87"/>
    <w:rsid w:val="00F23075"/>
    <w:rsid w:val="00F231EF"/>
    <w:rsid w:val="00F23220"/>
    <w:rsid w:val="00F232F2"/>
    <w:rsid w:val="00F233E2"/>
    <w:rsid w:val="00F234AA"/>
    <w:rsid w:val="00F234D9"/>
    <w:rsid w:val="00F235BB"/>
    <w:rsid w:val="00F237EB"/>
    <w:rsid w:val="00F23923"/>
    <w:rsid w:val="00F23AF2"/>
    <w:rsid w:val="00F23B06"/>
    <w:rsid w:val="00F23CBE"/>
    <w:rsid w:val="00F23D5C"/>
    <w:rsid w:val="00F23F87"/>
    <w:rsid w:val="00F24267"/>
    <w:rsid w:val="00F246C2"/>
    <w:rsid w:val="00F2474C"/>
    <w:rsid w:val="00F24F34"/>
    <w:rsid w:val="00F24F7A"/>
    <w:rsid w:val="00F25088"/>
    <w:rsid w:val="00F25809"/>
    <w:rsid w:val="00F2593A"/>
    <w:rsid w:val="00F26024"/>
    <w:rsid w:val="00F26060"/>
    <w:rsid w:val="00F265F0"/>
    <w:rsid w:val="00F26A00"/>
    <w:rsid w:val="00F26B4B"/>
    <w:rsid w:val="00F26DFE"/>
    <w:rsid w:val="00F26F21"/>
    <w:rsid w:val="00F2701A"/>
    <w:rsid w:val="00F2706C"/>
    <w:rsid w:val="00F27226"/>
    <w:rsid w:val="00F2728E"/>
    <w:rsid w:val="00F274DF"/>
    <w:rsid w:val="00F27593"/>
    <w:rsid w:val="00F276E8"/>
    <w:rsid w:val="00F2771A"/>
    <w:rsid w:val="00F278DC"/>
    <w:rsid w:val="00F279EB"/>
    <w:rsid w:val="00F27A3D"/>
    <w:rsid w:val="00F27A6F"/>
    <w:rsid w:val="00F27E24"/>
    <w:rsid w:val="00F27E66"/>
    <w:rsid w:val="00F30020"/>
    <w:rsid w:val="00F300F0"/>
    <w:rsid w:val="00F30372"/>
    <w:rsid w:val="00F304C8"/>
    <w:rsid w:val="00F3094A"/>
    <w:rsid w:val="00F30B10"/>
    <w:rsid w:val="00F30B73"/>
    <w:rsid w:val="00F314D6"/>
    <w:rsid w:val="00F315A3"/>
    <w:rsid w:val="00F316AD"/>
    <w:rsid w:val="00F316BF"/>
    <w:rsid w:val="00F316C7"/>
    <w:rsid w:val="00F319B3"/>
    <w:rsid w:val="00F31A3D"/>
    <w:rsid w:val="00F31A7F"/>
    <w:rsid w:val="00F31C95"/>
    <w:rsid w:val="00F31DC3"/>
    <w:rsid w:val="00F31FEB"/>
    <w:rsid w:val="00F320CB"/>
    <w:rsid w:val="00F32401"/>
    <w:rsid w:val="00F324CB"/>
    <w:rsid w:val="00F325DD"/>
    <w:rsid w:val="00F32740"/>
    <w:rsid w:val="00F32755"/>
    <w:rsid w:val="00F32A13"/>
    <w:rsid w:val="00F32DA4"/>
    <w:rsid w:val="00F32FF6"/>
    <w:rsid w:val="00F33020"/>
    <w:rsid w:val="00F33320"/>
    <w:rsid w:val="00F334EE"/>
    <w:rsid w:val="00F33660"/>
    <w:rsid w:val="00F33812"/>
    <w:rsid w:val="00F33EEA"/>
    <w:rsid w:val="00F341CA"/>
    <w:rsid w:val="00F3451D"/>
    <w:rsid w:val="00F345F9"/>
    <w:rsid w:val="00F34B72"/>
    <w:rsid w:val="00F34BB0"/>
    <w:rsid w:val="00F34DF3"/>
    <w:rsid w:val="00F34F56"/>
    <w:rsid w:val="00F35259"/>
    <w:rsid w:val="00F35459"/>
    <w:rsid w:val="00F358B4"/>
    <w:rsid w:val="00F35B37"/>
    <w:rsid w:val="00F35C7E"/>
    <w:rsid w:val="00F35C84"/>
    <w:rsid w:val="00F35DB5"/>
    <w:rsid w:val="00F35E4C"/>
    <w:rsid w:val="00F3609B"/>
    <w:rsid w:val="00F36331"/>
    <w:rsid w:val="00F3634B"/>
    <w:rsid w:val="00F36555"/>
    <w:rsid w:val="00F368AC"/>
    <w:rsid w:val="00F36D7D"/>
    <w:rsid w:val="00F36DDB"/>
    <w:rsid w:val="00F36EF7"/>
    <w:rsid w:val="00F36F24"/>
    <w:rsid w:val="00F37068"/>
    <w:rsid w:val="00F37405"/>
    <w:rsid w:val="00F3767C"/>
    <w:rsid w:val="00F37691"/>
    <w:rsid w:val="00F3774E"/>
    <w:rsid w:val="00F37864"/>
    <w:rsid w:val="00F37935"/>
    <w:rsid w:val="00F37A01"/>
    <w:rsid w:val="00F37FC5"/>
    <w:rsid w:val="00F40148"/>
    <w:rsid w:val="00F40188"/>
    <w:rsid w:val="00F402AC"/>
    <w:rsid w:val="00F4031A"/>
    <w:rsid w:val="00F40731"/>
    <w:rsid w:val="00F4094E"/>
    <w:rsid w:val="00F409F5"/>
    <w:rsid w:val="00F40C06"/>
    <w:rsid w:val="00F40E37"/>
    <w:rsid w:val="00F40F7C"/>
    <w:rsid w:val="00F40FFE"/>
    <w:rsid w:val="00F4125C"/>
    <w:rsid w:val="00F416D8"/>
    <w:rsid w:val="00F41E2B"/>
    <w:rsid w:val="00F4204A"/>
    <w:rsid w:val="00F42095"/>
    <w:rsid w:val="00F423F3"/>
    <w:rsid w:val="00F4241C"/>
    <w:rsid w:val="00F42D4E"/>
    <w:rsid w:val="00F42E71"/>
    <w:rsid w:val="00F4309C"/>
    <w:rsid w:val="00F43144"/>
    <w:rsid w:val="00F43226"/>
    <w:rsid w:val="00F432FC"/>
    <w:rsid w:val="00F43364"/>
    <w:rsid w:val="00F433B6"/>
    <w:rsid w:val="00F435BA"/>
    <w:rsid w:val="00F43C38"/>
    <w:rsid w:val="00F43E92"/>
    <w:rsid w:val="00F43FD2"/>
    <w:rsid w:val="00F4410B"/>
    <w:rsid w:val="00F442B2"/>
    <w:rsid w:val="00F4445A"/>
    <w:rsid w:val="00F44DA3"/>
    <w:rsid w:val="00F44DA8"/>
    <w:rsid w:val="00F45654"/>
    <w:rsid w:val="00F4577F"/>
    <w:rsid w:val="00F45B79"/>
    <w:rsid w:val="00F45C2E"/>
    <w:rsid w:val="00F45E7F"/>
    <w:rsid w:val="00F46112"/>
    <w:rsid w:val="00F46127"/>
    <w:rsid w:val="00F46357"/>
    <w:rsid w:val="00F4643A"/>
    <w:rsid w:val="00F4691D"/>
    <w:rsid w:val="00F46930"/>
    <w:rsid w:val="00F4699F"/>
    <w:rsid w:val="00F46CA1"/>
    <w:rsid w:val="00F46DFE"/>
    <w:rsid w:val="00F46E10"/>
    <w:rsid w:val="00F46FCD"/>
    <w:rsid w:val="00F471A5"/>
    <w:rsid w:val="00F473E4"/>
    <w:rsid w:val="00F47589"/>
    <w:rsid w:val="00F479E8"/>
    <w:rsid w:val="00F47C40"/>
    <w:rsid w:val="00F47D3D"/>
    <w:rsid w:val="00F47D9F"/>
    <w:rsid w:val="00F47F89"/>
    <w:rsid w:val="00F500CC"/>
    <w:rsid w:val="00F50391"/>
    <w:rsid w:val="00F504C3"/>
    <w:rsid w:val="00F50A34"/>
    <w:rsid w:val="00F50B69"/>
    <w:rsid w:val="00F50E0E"/>
    <w:rsid w:val="00F50E11"/>
    <w:rsid w:val="00F50EA8"/>
    <w:rsid w:val="00F50F3C"/>
    <w:rsid w:val="00F50F4D"/>
    <w:rsid w:val="00F512F7"/>
    <w:rsid w:val="00F513CB"/>
    <w:rsid w:val="00F513EE"/>
    <w:rsid w:val="00F51BC8"/>
    <w:rsid w:val="00F51BE2"/>
    <w:rsid w:val="00F51D60"/>
    <w:rsid w:val="00F51F46"/>
    <w:rsid w:val="00F5208F"/>
    <w:rsid w:val="00F52225"/>
    <w:rsid w:val="00F52355"/>
    <w:rsid w:val="00F52576"/>
    <w:rsid w:val="00F528F8"/>
    <w:rsid w:val="00F52A97"/>
    <w:rsid w:val="00F52C12"/>
    <w:rsid w:val="00F52FAD"/>
    <w:rsid w:val="00F53029"/>
    <w:rsid w:val="00F5304B"/>
    <w:rsid w:val="00F538D3"/>
    <w:rsid w:val="00F53A37"/>
    <w:rsid w:val="00F53FCC"/>
    <w:rsid w:val="00F5401F"/>
    <w:rsid w:val="00F5452F"/>
    <w:rsid w:val="00F54907"/>
    <w:rsid w:val="00F54A53"/>
    <w:rsid w:val="00F54FA4"/>
    <w:rsid w:val="00F552D3"/>
    <w:rsid w:val="00F553E3"/>
    <w:rsid w:val="00F5576D"/>
    <w:rsid w:val="00F559A5"/>
    <w:rsid w:val="00F56314"/>
    <w:rsid w:val="00F56539"/>
    <w:rsid w:val="00F5672D"/>
    <w:rsid w:val="00F568B7"/>
    <w:rsid w:val="00F56A2F"/>
    <w:rsid w:val="00F573E3"/>
    <w:rsid w:val="00F57CA2"/>
    <w:rsid w:val="00F57E70"/>
    <w:rsid w:val="00F60040"/>
    <w:rsid w:val="00F601BE"/>
    <w:rsid w:val="00F604BA"/>
    <w:rsid w:val="00F60591"/>
    <w:rsid w:val="00F60666"/>
    <w:rsid w:val="00F6098A"/>
    <w:rsid w:val="00F613BD"/>
    <w:rsid w:val="00F6165C"/>
    <w:rsid w:val="00F6177B"/>
    <w:rsid w:val="00F6182D"/>
    <w:rsid w:val="00F61A80"/>
    <w:rsid w:val="00F61B18"/>
    <w:rsid w:val="00F61B3C"/>
    <w:rsid w:val="00F61C06"/>
    <w:rsid w:val="00F61E38"/>
    <w:rsid w:val="00F62297"/>
    <w:rsid w:val="00F625F2"/>
    <w:rsid w:val="00F626F4"/>
    <w:rsid w:val="00F62AFE"/>
    <w:rsid w:val="00F62B40"/>
    <w:rsid w:val="00F62C46"/>
    <w:rsid w:val="00F62CB9"/>
    <w:rsid w:val="00F62DD1"/>
    <w:rsid w:val="00F630C9"/>
    <w:rsid w:val="00F63314"/>
    <w:rsid w:val="00F636B4"/>
    <w:rsid w:val="00F637B4"/>
    <w:rsid w:val="00F63A11"/>
    <w:rsid w:val="00F63AB2"/>
    <w:rsid w:val="00F64271"/>
    <w:rsid w:val="00F644D1"/>
    <w:rsid w:val="00F645F0"/>
    <w:rsid w:val="00F64643"/>
    <w:rsid w:val="00F649A4"/>
    <w:rsid w:val="00F64DE1"/>
    <w:rsid w:val="00F64EFE"/>
    <w:rsid w:val="00F64F05"/>
    <w:rsid w:val="00F6505E"/>
    <w:rsid w:val="00F6524F"/>
    <w:rsid w:val="00F655B9"/>
    <w:rsid w:val="00F65692"/>
    <w:rsid w:val="00F65975"/>
    <w:rsid w:val="00F65A47"/>
    <w:rsid w:val="00F6625A"/>
    <w:rsid w:val="00F662BF"/>
    <w:rsid w:val="00F6639F"/>
    <w:rsid w:val="00F663F9"/>
    <w:rsid w:val="00F6681C"/>
    <w:rsid w:val="00F674F5"/>
    <w:rsid w:val="00F67736"/>
    <w:rsid w:val="00F6795F"/>
    <w:rsid w:val="00F67D66"/>
    <w:rsid w:val="00F7026E"/>
    <w:rsid w:val="00F7036A"/>
    <w:rsid w:val="00F70370"/>
    <w:rsid w:val="00F70528"/>
    <w:rsid w:val="00F707B5"/>
    <w:rsid w:val="00F708B1"/>
    <w:rsid w:val="00F70A70"/>
    <w:rsid w:val="00F70EE2"/>
    <w:rsid w:val="00F70EF3"/>
    <w:rsid w:val="00F71114"/>
    <w:rsid w:val="00F71170"/>
    <w:rsid w:val="00F713B7"/>
    <w:rsid w:val="00F71444"/>
    <w:rsid w:val="00F71507"/>
    <w:rsid w:val="00F715E2"/>
    <w:rsid w:val="00F71695"/>
    <w:rsid w:val="00F718A4"/>
    <w:rsid w:val="00F719C5"/>
    <w:rsid w:val="00F71B01"/>
    <w:rsid w:val="00F71E29"/>
    <w:rsid w:val="00F72234"/>
    <w:rsid w:val="00F7224F"/>
    <w:rsid w:val="00F72273"/>
    <w:rsid w:val="00F722A6"/>
    <w:rsid w:val="00F7260B"/>
    <w:rsid w:val="00F72808"/>
    <w:rsid w:val="00F72842"/>
    <w:rsid w:val="00F72952"/>
    <w:rsid w:val="00F72A70"/>
    <w:rsid w:val="00F72ACB"/>
    <w:rsid w:val="00F72B42"/>
    <w:rsid w:val="00F72BB2"/>
    <w:rsid w:val="00F72BF2"/>
    <w:rsid w:val="00F72F03"/>
    <w:rsid w:val="00F730C9"/>
    <w:rsid w:val="00F731A9"/>
    <w:rsid w:val="00F733F3"/>
    <w:rsid w:val="00F73409"/>
    <w:rsid w:val="00F734F4"/>
    <w:rsid w:val="00F736F8"/>
    <w:rsid w:val="00F73A39"/>
    <w:rsid w:val="00F73C0E"/>
    <w:rsid w:val="00F73C98"/>
    <w:rsid w:val="00F73E47"/>
    <w:rsid w:val="00F743F3"/>
    <w:rsid w:val="00F745D2"/>
    <w:rsid w:val="00F7460B"/>
    <w:rsid w:val="00F74736"/>
    <w:rsid w:val="00F747D6"/>
    <w:rsid w:val="00F748EC"/>
    <w:rsid w:val="00F74BBE"/>
    <w:rsid w:val="00F758FF"/>
    <w:rsid w:val="00F759CA"/>
    <w:rsid w:val="00F75A20"/>
    <w:rsid w:val="00F75D3A"/>
    <w:rsid w:val="00F75DFC"/>
    <w:rsid w:val="00F75F45"/>
    <w:rsid w:val="00F75F6F"/>
    <w:rsid w:val="00F76378"/>
    <w:rsid w:val="00F76980"/>
    <w:rsid w:val="00F76B68"/>
    <w:rsid w:val="00F76CBF"/>
    <w:rsid w:val="00F7707C"/>
    <w:rsid w:val="00F773D9"/>
    <w:rsid w:val="00F77515"/>
    <w:rsid w:val="00F7775D"/>
    <w:rsid w:val="00F77A6D"/>
    <w:rsid w:val="00F80139"/>
    <w:rsid w:val="00F8013A"/>
    <w:rsid w:val="00F80325"/>
    <w:rsid w:val="00F80466"/>
    <w:rsid w:val="00F80585"/>
    <w:rsid w:val="00F80627"/>
    <w:rsid w:val="00F80C0D"/>
    <w:rsid w:val="00F80DAA"/>
    <w:rsid w:val="00F80E41"/>
    <w:rsid w:val="00F81005"/>
    <w:rsid w:val="00F811B1"/>
    <w:rsid w:val="00F811DB"/>
    <w:rsid w:val="00F812E3"/>
    <w:rsid w:val="00F813CE"/>
    <w:rsid w:val="00F816EE"/>
    <w:rsid w:val="00F81C14"/>
    <w:rsid w:val="00F81C3C"/>
    <w:rsid w:val="00F81DEC"/>
    <w:rsid w:val="00F82072"/>
    <w:rsid w:val="00F82090"/>
    <w:rsid w:val="00F82093"/>
    <w:rsid w:val="00F82494"/>
    <w:rsid w:val="00F825B5"/>
    <w:rsid w:val="00F82679"/>
    <w:rsid w:val="00F8283D"/>
    <w:rsid w:val="00F828FC"/>
    <w:rsid w:val="00F82B08"/>
    <w:rsid w:val="00F82C26"/>
    <w:rsid w:val="00F82C8B"/>
    <w:rsid w:val="00F82CB1"/>
    <w:rsid w:val="00F82EA5"/>
    <w:rsid w:val="00F82ED9"/>
    <w:rsid w:val="00F82FB9"/>
    <w:rsid w:val="00F831C4"/>
    <w:rsid w:val="00F841CA"/>
    <w:rsid w:val="00F84573"/>
    <w:rsid w:val="00F84C68"/>
    <w:rsid w:val="00F84C84"/>
    <w:rsid w:val="00F84D25"/>
    <w:rsid w:val="00F84E8B"/>
    <w:rsid w:val="00F850E1"/>
    <w:rsid w:val="00F851A2"/>
    <w:rsid w:val="00F85374"/>
    <w:rsid w:val="00F85546"/>
    <w:rsid w:val="00F85800"/>
    <w:rsid w:val="00F85802"/>
    <w:rsid w:val="00F85C43"/>
    <w:rsid w:val="00F85C93"/>
    <w:rsid w:val="00F85D06"/>
    <w:rsid w:val="00F861FD"/>
    <w:rsid w:val="00F865D4"/>
    <w:rsid w:val="00F868E6"/>
    <w:rsid w:val="00F86F6C"/>
    <w:rsid w:val="00F8752B"/>
    <w:rsid w:val="00F879A7"/>
    <w:rsid w:val="00F87A7A"/>
    <w:rsid w:val="00F87B06"/>
    <w:rsid w:val="00F87C31"/>
    <w:rsid w:val="00F902B7"/>
    <w:rsid w:val="00F90594"/>
    <w:rsid w:val="00F905BE"/>
    <w:rsid w:val="00F90894"/>
    <w:rsid w:val="00F9097F"/>
    <w:rsid w:val="00F90DF5"/>
    <w:rsid w:val="00F91014"/>
    <w:rsid w:val="00F9107C"/>
    <w:rsid w:val="00F910A0"/>
    <w:rsid w:val="00F91244"/>
    <w:rsid w:val="00F91351"/>
    <w:rsid w:val="00F91B14"/>
    <w:rsid w:val="00F91B71"/>
    <w:rsid w:val="00F91ED2"/>
    <w:rsid w:val="00F91F5B"/>
    <w:rsid w:val="00F92044"/>
    <w:rsid w:val="00F9212E"/>
    <w:rsid w:val="00F92550"/>
    <w:rsid w:val="00F92826"/>
    <w:rsid w:val="00F92B23"/>
    <w:rsid w:val="00F93145"/>
    <w:rsid w:val="00F93498"/>
    <w:rsid w:val="00F935BB"/>
    <w:rsid w:val="00F93650"/>
    <w:rsid w:val="00F936C6"/>
    <w:rsid w:val="00F93732"/>
    <w:rsid w:val="00F93CD2"/>
    <w:rsid w:val="00F93DC9"/>
    <w:rsid w:val="00F93E12"/>
    <w:rsid w:val="00F9445F"/>
    <w:rsid w:val="00F94AC4"/>
    <w:rsid w:val="00F94BAD"/>
    <w:rsid w:val="00F94BCA"/>
    <w:rsid w:val="00F950BE"/>
    <w:rsid w:val="00F9510E"/>
    <w:rsid w:val="00F951EB"/>
    <w:rsid w:val="00F9523C"/>
    <w:rsid w:val="00F9542D"/>
    <w:rsid w:val="00F95529"/>
    <w:rsid w:val="00F95675"/>
    <w:rsid w:val="00F95687"/>
    <w:rsid w:val="00F95F0A"/>
    <w:rsid w:val="00F95F43"/>
    <w:rsid w:val="00F962C6"/>
    <w:rsid w:val="00F962E7"/>
    <w:rsid w:val="00F96334"/>
    <w:rsid w:val="00F96749"/>
    <w:rsid w:val="00F96839"/>
    <w:rsid w:val="00F969C4"/>
    <w:rsid w:val="00F96AD5"/>
    <w:rsid w:val="00F96B96"/>
    <w:rsid w:val="00F96BFD"/>
    <w:rsid w:val="00F96E21"/>
    <w:rsid w:val="00F97408"/>
    <w:rsid w:val="00F9753B"/>
    <w:rsid w:val="00F975B8"/>
    <w:rsid w:val="00F977E5"/>
    <w:rsid w:val="00F9786F"/>
    <w:rsid w:val="00F97B42"/>
    <w:rsid w:val="00F97E5F"/>
    <w:rsid w:val="00FA0329"/>
    <w:rsid w:val="00FA06F0"/>
    <w:rsid w:val="00FA0AEE"/>
    <w:rsid w:val="00FA0C34"/>
    <w:rsid w:val="00FA0CD1"/>
    <w:rsid w:val="00FA0E08"/>
    <w:rsid w:val="00FA0EB2"/>
    <w:rsid w:val="00FA10DD"/>
    <w:rsid w:val="00FA12E6"/>
    <w:rsid w:val="00FA143E"/>
    <w:rsid w:val="00FA15DB"/>
    <w:rsid w:val="00FA1681"/>
    <w:rsid w:val="00FA1698"/>
    <w:rsid w:val="00FA1A77"/>
    <w:rsid w:val="00FA1C2D"/>
    <w:rsid w:val="00FA1FB3"/>
    <w:rsid w:val="00FA2107"/>
    <w:rsid w:val="00FA2168"/>
    <w:rsid w:val="00FA2242"/>
    <w:rsid w:val="00FA24B0"/>
    <w:rsid w:val="00FA24D3"/>
    <w:rsid w:val="00FA26A7"/>
    <w:rsid w:val="00FA2ACC"/>
    <w:rsid w:val="00FA2C51"/>
    <w:rsid w:val="00FA2E52"/>
    <w:rsid w:val="00FA2EB6"/>
    <w:rsid w:val="00FA35B2"/>
    <w:rsid w:val="00FA3706"/>
    <w:rsid w:val="00FA3738"/>
    <w:rsid w:val="00FA396E"/>
    <w:rsid w:val="00FA39F2"/>
    <w:rsid w:val="00FA3A8A"/>
    <w:rsid w:val="00FA3ED4"/>
    <w:rsid w:val="00FA48E0"/>
    <w:rsid w:val="00FA4BA7"/>
    <w:rsid w:val="00FA51B7"/>
    <w:rsid w:val="00FA523E"/>
    <w:rsid w:val="00FA5263"/>
    <w:rsid w:val="00FA5270"/>
    <w:rsid w:val="00FA530E"/>
    <w:rsid w:val="00FA5374"/>
    <w:rsid w:val="00FA53D8"/>
    <w:rsid w:val="00FA5504"/>
    <w:rsid w:val="00FA5ABD"/>
    <w:rsid w:val="00FA5D5D"/>
    <w:rsid w:val="00FA600F"/>
    <w:rsid w:val="00FA6080"/>
    <w:rsid w:val="00FA6093"/>
    <w:rsid w:val="00FA60DE"/>
    <w:rsid w:val="00FA61CB"/>
    <w:rsid w:val="00FA6222"/>
    <w:rsid w:val="00FA6469"/>
    <w:rsid w:val="00FA679F"/>
    <w:rsid w:val="00FA6A3D"/>
    <w:rsid w:val="00FA6B13"/>
    <w:rsid w:val="00FA6B7E"/>
    <w:rsid w:val="00FA6BC1"/>
    <w:rsid w:val="00FA6D9D"/>
    <w:rsid w:val="00FA6E49"/>
    <w:rsid w:val="00FA6FF0"/>
    <w:rsid w:val="00FA70D0"/>
    <w:rsid w:val="00FA7279"/>
    <w:rsid w:val="00FA7531"/>
    <w:rsid w:val="00FA7560"/>
    <w:rsid w:val="00FA76E7"/>
    <w:rsid w:val="00FA7F45"/>
    <w:rsid w:val="00FB03AC"/>
    <w:rsid w:val="00FB0A91"/>
    <w:rsid w:val="00FB1147"/>
    <w:rsid w:val="00FB14D0"/>
    <w:rsid w:val="00FB1A4C"/>
    <w:rsid w:val="00FB1E82"/>
    <w:rsid w:val="00FB22DD"/>
    <w:rsid w:val="00FB2412"/>
    <w:rsid w:val="00FB25BD"/>
    <w:rsid w:val="00FB265B"/>
    <w:rsid w:val="00FB2AD8"/>
    <w:rsid w:val="00FB2BD6"/>
    <w:rsid w:val="00FB2C96"/>
    <w:rsid w:val="00FB2CF2"/>
    <w:rsid w:val="00FB2EA9"/>
    <w:rsid w:val="00FB2F88"/>
    <w:rsid w:val="00FB318F"/>
    <w:rsid w:val="00FB36B3"/>
    <w:rsid w:val="00FB38E0"/>
    <w:rsid w:val="00FB41EE"/>
    <w:rsid w:val="00FB4485"/>
    <w:rsid w:val="00FB450A"/>
    <w:rsid w:val="00FB4686"/>
    <w:rsid w:val="00FB46A3"/>
    <w:rsid w:val="00FB4803"/>
    <w:rsid w:val="00FB494B"/>
    <w:rsid w:val="00FB495B"/>
    <w:rsid w:val="00FB495E"/>
    <w:rsid w:val="00FB4DEE"/>
    <w:rsid w:val="00FB4F11"/>
    <w:rsid w:val="00FB4F93"/>
    <w:rsid w:val="00FB523B"/>
    <w:rsid w:val="00FB57DB"/>
    <w:rsid w:val="00FB5823"/>
    <w:rsid w:val="00FB5B26"/>
    <w:rsid w:val="00FB6005"/>
    <w:rsid w:val="00FB6039"/>
    <w:rsid w:val="00FB6295"/>
    <w:rsid w:val="00FB6372"/>
    <w:rsid w:val="00FB6669"/>
    <w:rsid w:val="00FB6AAD"/>
    <w:rsid w:val="00FB6B73"/>
    <w:rsid w:val="00FB6CDB"/>
    <w:rsid w:val="00FB6D8C"/>
    <w:rsid w:val="00FB7428"/>
    <w:rsid w:val="00FB7487"/>
    <w:rsid w:val="00FB76B2"/>
    <w:rsid w:val="00FB77EB"/>
    <w:rsid w:val="00FB7864"/>
    <w:rsid w:val="00FB7DC2"/>
    <w:rsid w:val="00FB7DD9"/>
    <w:rsid w:val="00FC01CE"/>
    <w:rsid w:val="00FC02B4"/>
    <w:rsid w:val="00FC036D"/>
    <w:rsid w:val="00FC06E3"/>
    <w:rsid w:val="00FC0890"/>
    <w:rsid w:val="00FC092C"/>
    <w:rsid w:val="00FC09FE"/>
    <w:rsid w:val="00FC12AC"/>
    <w:rsid w:val="00FC1412"/>
    <w:rsid w:val="00FC1C09"/>
    <w:rsid w:val="00FC20CE"/>
    <w:rsid w:val="00FC219D"/>
    <w:rsid w:val="00FC2250"/>
    <w:rsid w:val="00FC22AB"/>
    <w:rsid w:val="00FC23DE"/>
    <w:rsid w:val="00FC2478"/>
    <w:rsid w:val="00FC2510"/>
    <w:rsid w:val="00FC25FA"/>
    <w:rsid w:val="00FC272E"/>
    <w:rsid w:val="00FC294A"/>
    <w:rsid w:val="00FC29C7"/>
    <w:rsid w:val="00FC2A1D"/>
    <w:rsid w:val="00FC2ABD"/>
    <w:rsid w:val="00FC2AFB"/>
    <w:rsid w:val="00FC2F0A"/>
    <w:rsid w:val="00FC3053"/>
    <w:rsid w:val="00FC30F3"/>
    <w:rsid w:val="00FC31E5"/>
    <w:rsid w:val="00FC329C"/>
    <w:rsid w:val="00FC3530"/>
    <w:rsid w:val="00FC35EF"/>
    <w:rsid w:val="00FC37D8"/>
    <w:rsid w:val="00FC37E2"/>
    <w:rsid w:val="00FC3899"/>
    <w:rsid w:val="00FC3930"/>
    <w:rsid w:val="00FC395A"/>
    <w:rsid w:val="00FC39C2"/>
    <w:rsid w:val="00FC3A0F"/>
    <w:rsid w:val="00FC3CD6"/>
    <w:rsid w:val="00FC3CEC"/>
    <w:rsid w:val="00FC3D48"/>
    <w:rsid w:val="00FC3D49"/>
    <w:rsid w:val="00FC4277"/>
    <w:rsid w:val="00FC464B"/>
    <w:rsid w:val="00FC4674"/>
    <w:rsid w:val="00FC4D58"/>
    <w:rsid w:val="00FC4DBD"/>
    <w:rsid w:val="00FC4F65"/>
    <w:rsid w:val="00FC518F"/>
    <w:rsid w:val="00FC51C5"/>
    <w:rsid w:val="00FC5354"/>
    <w:rsid w:val="00FC58D5"/>
    <w:rsid w:val="00FC594B"/>
    <w:rsid w:val="00FC5A27"/>
    <w:rsid w:val="00FC5E16"/>
    <w:rsid w:val="00FC6139"/>
    <w:rsid w:val="00FC6327"/>
    <w:rsid w:val="00FC6520"/>
    <w:rsid w:val="00FC6638"/>
    <w:rsid w:val="00FC6AED"/>
    <w:rsid w:val="00FC6C1E"/>
    <w:rsid w:val="00FC6DF4"/>
    <w:rsid w:val="00FC6E63"/>
    <w:rsid w:val="00FC6E7E"/>
    <w:rsid w:val="00FC6E91"/>
    <w:rsid w:val="00FC7125"/>
    <w:rsid w:val="00FC72B0"/>
    <w:rsid w:val="00FC73AF"/>
    <w:rsid w:val="00FC75B0"/>
    <w:rsid w:val="00FC764C"/>
    <w:rsid w:val="00FC7667"/>
    <w:rsid w:val="00FC7715"/>
    <w:rsid w:val="00FC7727"/>
    <w:rsid w:val="00FC7C50"/>
    <w:rsid w:val="00FC7DDB"/>
    <w:rsid w:val="00FC7EF4"/>
    <w:rsid w:val="00FC7F62"/>
    <w:rsid w:val="00FD00BF"/>
    <w:rsid w:val="00FD03F7"/>
    <w:rsid w:val="00FD0454"/>
    <w:rsid w:val="00FD046E"/>
    <w:rsid w:val="00FD07C6"/>
    <w:rsid w:val="00FD0C3F"/>
    <w:rsid w:val="00FD0DA5"/>
    <w:rsid w:val="00FD0ED2"/>
    <w:rsid w:val="00FD1014"/>
    <w:rsid w:val="00FD1088"/>
    <w:rsid w:val="00FD11F2"/>
    <w:rsid w:val="00FD1927"/>
    <w:rsid w:val="00FD1A0C"/>
    <w:rsid w:val="00FD1A96"/>
    <w:rsid w:val="00FD1B66"/>
    <w:rsid w:val="00FD1C3C"/>
    <w:rsid w:val="00FD1FB5"/>
    <w:rsid w:val="00FD1FEE"/>
    <w:rsid w:val="00FD217D"/>
    <w:rsid w:val="00FD2247"/>
    <w:rsid w:val="00FD22BC"/>
    <w:rsid w:val="00FD2394"/>
    <w:rsid w:val="00FD245E"/>
    <w:rsid w:val="00FD2694"/>
    <w:rsid w:val="00FD27C3"/>
    <w:rsid w:val="00FD287E"/>
    <w:rsid w:val="00FD2AD7"/>
    <w:rsid w:val="00FD2B94"/>
    <w:rsid w:val="00FD2E62"/>
    <w:rsid w:val="00FD31F5"/>
    <w:rsid w:val="00FD37AD"/>
    <w:rsid w:val="00FD37CD"/>
    <w:rsid w:val="00FD39FC"/>
    <w:rsid w:val="00FD3A51"/>
    <w:rsid w:val="00FD3B9E"/>
    <w:rsid w:val="00FD3EC8"/>
    <w:rsid w:val="00FD417F"/>
    <w:rsid w:val="00FD4211"/>
    <w:rsid w:val="00FD42E7"/>
    <w:rsid w:val="00FD45E5"/>
    <w:rsid w:val="00FD4958"/>
    <w:rsid w:val="00FD49BF"/>
    <w:rsid w:val="00FD5096"/>
    <w:rsid w:val="00FD53D0"/>
    <w:rsid w:val="00FD5726"/>
    <w:rsid w:val="00FD5FAA"/>
    <w:rsid w:val="00FD67D9"/>
    <w:rsid w:val="00FD6929"/>
    <w:rsid w:val="00FD699B"/>
    <w:rsid w:val="00FD69F3"/>
    <w:rsid w:val="00FD6BF1"/>
    <w:rsid w:val="00FD6DFA"/>
    <w:rsid w:val="00FD6F51"/>
    <w:rsid w:val="00FD6FEA"/>
    <w:rsid w:val="00FD701D"/>
    <w:rsid w:val="00FD71BC"/>
    <w:rsid w:val="00FD72E5"/>
    <w:rsid w:val="00FD7319"/>
    <w:rsid w:val="00FD762D"/>
    <w:rsid w:val="00FD7841"/>
    <w:rsid w:val="00FD7881"/>
    <w:rsid w:val="00FD7963"/>
    <w:rsid w:val="00FD7D0E"/>
    <w:rsid w:val="00FD7D50"/>
    <w:rsid w:val="00FE01C5"/>
    <w:rsid w:val="00FE09EB"/>
    <w:rsid w:val="00FE0C90"/>
    <w:rsid w:val="00FE0CC1"/>
    <w:rsid w:val="00FE0FBF"/>
    <w:rsid w:val="00FE104B"/>
    <w:rsid w:val="00FE11A5"/>
    <w:rsid w:val="00FE1291"/>
    <w:rsid w:val="00FE1B08"/>
    <w:rsid w:val="00FE1C68"/>
    <w:rsid w:val="00FE1D8A"/>
    <w:rsid w:val="00FE2274"/>
    <w:rsid w:val="00FE229A"/>
    <w:rsid w:val="00FE2431"/>
    <w:rsid w:val="00FE245C"/>
    <w:rsid w:val="00FE261D"/>
    <w:rsid w:val="00FE26B7"/>
    <w:rsid w:val="00FE28DE"/>
    <w:rsid w:val="00FE2CD8"/>
    <w:rsid w:val="00FE2D95"/>
    <w:rsid w:val="00FE342E"/>
    <w:rsid w:val="00FE374F"/>
    <w:rsid w:val="00FE3888"/>
    <w:rsid w:val="00FE3906"/>
    <w:rsid w:val="00FE3970"/>
    <w:rsid w:val="00FE3C00"/>
    <w:rsid w:val="00FE40AD"/>
    <w:rsid w:val="00FE453C"/>
    <w:rsid w:val="00FE47AC"/>
    <w:rsid w:val="00FE482B"/>
    <w:rsid w:val="00FE4C00"/>
    <w:rsid w:val="00FE4C58"/>
    <w:rsid w:val="00FE4DBE"/>
    <w:rsid w:val="00FE4FDF"/>
    <w:rsid w:val="00FE5075"/>
    <w:rsid w:val="00FE50ED"/>
    <w:rsid w:val="00FE59CB"/>
    <w:rsid w:val="00FE5B2A"/>
    <w:rsid w:val="00FE5D4E"/>
    <w:rsid w:val="00FE600C"/>
    <w:rsid w:val="00FE649C"/>
    <w:rsid w:val="00FE6536"/>
    <w:rsid w:val="00FE65CC"/>
    <w:rsid w:val="00FE6746"/>
    <w:rsid w:val="00FE6993"/>
    <w:rsid w:val="00FE712A"/>
    <w:rsid w:val="00FE75D1"/>
    <w:rsid w:val="00FE77DE"/>
    <w:rsid w:val="00FE7A46"/>
    <w:rsid w:val="00FE7AD1"/>
    <w:rsid w:val="00FE7AFB"/>
    <w:rsid w:val="00FE7B95"/>
    <w:rsid w:val="00FE7C90"/>
    <w:rsid w:val="00FE7EE9"/>
    <w:rsid w:val="00FE7F38"/>
    <w:rsid w:val="00FE7F90"/>
    <w:rsid w:val="00FF03FF"/>
    <w:rsid w:val="00FF077D"/>
    <w:rsid w:val="00FF0B31"/>
    <w:rsid w:val="00FF0E20"/>
    <w:rsid w:val="00FF0FE7"/>
    <w:rsid w:val="00FF10FE"/>
    <w:rsid w:val="00FF1110"/>
    <w:rsid w:val="00FF1433"/>
    <w:rsid w:val="00FF194A"/>
    <w:rsid w:val="00FF1BB3"/>
    <w:rsid w:val="00FF1F70"/>
    <w:rsid w:val="00FF210E"/>
    <w:rsid w:val="00FF2125"/>
    <w:rsid w:val="00FF2224"/>
    <w:rsid w:val="00FF2293"/>
    <w:rsid w:val="00FF2438"/>
    <w:rsid w:val="00FF24D0"/>
    <w:rsid w:val="00FF2550"/>
    <w:rsid w:val="00FF2611"/>
    <w:rsid w:val="00FF277B"/>
    <w:rsid w:val="00FF2829"/>
    <w:rsid w:val="00FF28E9"/>
    <w:rsid w:val="00FF2ABB"/>
    <w:rsid w:val="00FF2D71"/>
    <w:rsid w:val="00FF2E2C"/>
    <w:rsid w:val="00FF2ECA"/>
    <w:rsid w:val="00FF30D5"/>
    <w:rsid w:val="00FF321A"/>
    <w:rsid w:val="00FF3592"/>
    <w:rsid w:val="00FF36EE"/>
    <w:rsid w:val="00FF376A"/>
    <w:rsid w:val="00FF3D05"/>
    <w:rsid w:val="00FF3DB0"/>
    <w:rsid w:val="00FF42F9"/>
    <w:rsid w:val="00FF4979"/>
    <w:rsid w:val="00FF4BFF"/>
    <w:rsid w:val="00FF4C68"/>
    <w:rsid w:val="00FF4FF4"/>
    <w:rsid w:val="00FF51B6"/>
    <w:rsid w:val="00FF5299"/>
    <w:rsid w:val="00FF541D"/>
    <w:rsid w:val="00FF5437"/>
    <w:rsid w:val="00FF5474"/>
    <w:rsid w:val="00FF55D4"/>
    <w:rsid w:val="00FF5E65"/>
    <w:rsid w:val="00FF5E95"/>
    <w:rsid w:val="00FF5F7F"/>
    <w:rsid w:val="00FF60EA"/>
    <w:rsid w:val="00FF610D"/>
    <w:rsid w:val="00FF6173"/>
    <w:rsid w:val="00FF6508"/>
    <w:rsid w:val="00FF67F5"/>
    <w:rsid w:val="00FF6AD6"/>
    <w:rsid w:val="00FF6BFD"/>
    <w:rsid w:val="00FF6C2B"/>
    <w:rsid w:val="00FF6CFB"/>
    <w:rsid w:val="00FF6EBF"/>
    <w:rsid w:val="00FF6F8B"/>
    <w:rsid w:val="00FF6FAA"/>
    <w:rsid w:val="00FF7453"/>
    <w:rsid w:val="00FF7503"/>
    <w:rsid w:val="00FF75D4"/>
    <w:rsid w:val="00FF7618"/>
    <w:rsid w:val="00FF7666"/>
    <w:rsid w:val="00FF7E64"/>
    <w:rsid w:val="00FF7E7B"/>
    <w:rsid w:val="01526D13"/>
    <w:rsid w:val="01B55B78"/>
    <w:rsid w:val="029E09EB"/>
    <w:rsid w:val="02F8BC85"/>
    <w:rsid w:val="036F9091"/>
    <w:rsid w:val="0458A690"/>
    <w:rsid w:val="0476391B"/>
    <w:rsid w:val="060014C0"/>
    <w:rsid w:val="077F5F68"/>
    <w:rsid w:val="084C4A1E"/>
    <w:rsid w:val="087648BC"/>
    <w:rsid w:val="09BFCDD1"/>
    <w:rsid w:val="0A104100"/>
    <w:rsid w:val="0AC9B26F"/>
    <w:rsid w:val="0B0A19F5"/>
    <w:rsid w:val="0B583D24"/>
    <w:rsid w:val="0C633C18"/>
    <w:rsid w:val="0DB7991A"/>
    <w:rsid w:val="10A21709"/>
    <w:rsid w:val="10AC2613"/>
    <w:rsid w:val="139B3343"/>
    <w:rsid w:val="143EAA7D"/>
    <w:rsid w:val="1471DEBE"/>
    <w:rsid w:val="15BC264F"/>
    <w:rsid w:val="15DD5A08"/>
    <w:rsid w:val="1621D8A0"/>
    <w:rsid w:val="16A70707"/>
    <w:rsid w:val="16AE549E"/>
    <w:rsid w:val="16AFE1F4"/>
    <w:rsid w:val="182471E2"/>
    <w:rsid w:val="1833C35E"/>
    <w:rsid w:val="18739D89"/>
    <w:rsid w:val="18925579"/>
    <w:rsid w:val="198C6A2B"/>
    <w:rsid w:val="1A52B82B"/>
    <w:rsid w:val="1AABA9FA"/>
    <w:rsid w:val="1BB280C1"/>
    <w:rsid w:val="1C780CE5"/>
    <w:rsid w:val="1D845E98"/>
    <w:rsid w:val="1DD47FB5"/>
    <w:rsid w:val="1F1BA6FD"/>
    <w:rsid w:val="1F7BB45B"/>
    <w:rsid w:val="1F93BCB4"/>
    <w:rsid w:val="1FFAFEA5"/>
    <w:rsid w:val="22E7205E"/>
    <w:rsid w:val="237F39FA"/>
    <w:rsid w:val="24F50F7E"/>
    <w:rsid w:val="2762043C"/>
    <w:rsid w:val="279667FC"/>
    <w:rsid w:val="27EA552C"/>
    <w:rsid w:val="28275374"/>
    <w:rsid w:val="29FCBEEE"/>
    <w:rsid w:val="29FE695B"/>
    <w:rsid w:val="2A23BF27"/>
    <w:rsid w:val="2B165B09"/>
    <w:rsid w:val="2B4F972A"/>
    <w:rsid w:val="2B9BA0BC"/>
    <w:rsid w:val="2BFBF792"/>
    <w:rsid w:val="2C13A460"/>
    <w:rsid w:val="2D5C079B"/>
    <w:rsid w:val="2EB8DEA4"/>
    <w:rsid w:val="2F0C9384"/>
    <w:rsid w:val="2F405B59"/>
    <w:rsid w:val="2F608568"/>
    <w:rsid w:val="301CEB00"/>
    <w:rsid w:val="3065FBB9"/>
    <w:rsid w:val="30C0C86D"/>
    <w:rsid w:val="31223B7A"/>
    <w:rsid w:val="31405FFC"/>
    <w:rsid w:val="31F2CF5B"/>
    <w:rsid w:val="33B00A95"/>
    <w:rsid w:val="34F5211D"/>
    <w:rsid w:val="35638EF2"/>
    <w:rsid w:val="35FF3D96"/>
    <w:rsid w:val="362F7389"/>
    <w:rsid w:val="3665B94D"/>
    <w:rsid w:val="37ACD9F2"/>
    <w:rsid w:val="37DB2B3A"/>
    <w:rsid w:val="39D54472"/>
    <w:rsid w:val="3E2B5DA3"/>
    <w:rsid w:val="3EC7A49E"/>
    <w:rsid w:val="3EDE6942"/>
    <w:rsid w:val="3F08F9F3"/>
    <w:rsid w:val="3F95A297"/>
    <w:rsid w:val="421C33DD"/>
    <w:rsid w:val="43DEB2D2"/>
    <w:rsid w:val="44D00431"/>
    <w:rsid w:val="46BFB115"/>
    <w:rsid w:val="47D70308"/>
    <w:rsid w:val="47E8217A"/>
    <w:rsid w:val="481ED471"/>
    <w:rsid w:val="484D24CC"/>
    <w:rsid w:val="486D4AE7"/>
    <w:rsid w:val="49061153"/>
    <w:rsid w:val="4BC55D81"/>
    <w:rsid w:val="4CA90461"/>
    <w:rsid w:val="4CD7E53E"/>
    <w:rsid w:val="4CD8772F"/>
    <w:rsid w:val="4EE5049B"/>
    <w:rsid w:val="4EF408A2"/>
    <w:rsid w:val="4F11D8C8"/>
    <w:rsid w:val="50F2A5D6"/>
    <w:rsid w:val="514F057C"/>
    <w:rsid w:val="518832AF"/>
    <w:rsid w:val="52AC8D4A"/>
    <w:rsid w:val="52DE15AA"/>
    <w:rsid w:val="5316504B"/>
    <w:rsid w:val="54FE0107"/>
    <w:rsid w:val="55414ABA"/>
    <w:rsid w:val="56486CF0"/>
    <w:rsid w:val="56AD3E3E"/>
    <w:rsid w:val="56C669E3"/>
    <w:rsid w:val="5731B752"/>
    <w:rsid w:val="57A33E0A"/>
    <w:rsid w:val="58971CEA"/>
    <w:rsid w:val="5C0B1371"/>
    <w:rsid w:val="5DF89702"/>
    <w:rsid w:val="5FAA688B"/>
    <w:rsid w:val="6000BEC5"/>
    <w:rsid w:val="606DB3DB"/>
    <w:rsid w:val="6098816B"/>
    <w:rsid w:val="619F5DE1"/>
    <w:rsid w:val="6281B18D"/>
    <w:rsid w:val="62ED289C"/>
    <w:rsid w:val="64044D50"/>
    <w:rsid w:val="648F4467"/>
    <w:rsid w:val="6558CE75"/>
    <w:rsid w:val="66D63FD7"/>
    <w:rsid w:val="680973DA"/>
    <w:rsid w:val="69DA86A1"/>
    <w:rsid w:val="6B6EBAC7"/>
    <w:rsid w:val="6C285BC1"/>
    <w:rsid w:val="6C8CABB4"/>
    <w:rsid w:val="6CA9B686"/>
    <w:rsid w:val="6D4F699F"/>
    <w:rsid w:val="6D6FC905"/>
    <w:rsid w:val="6DFA2939"/>
    <w:rsid w:val="6E347183"/>
    <w:rsid w:val="6E50311E"/>
    <w:rsid w:val="6E57F9E7"/>
    <w:rsid w:val="6F390A64"/>
    <w:rsid w:val="6FB50FD8"/>
    <w:rsid w:val="716DE039"/>
    <w:rsid w:val="71D306AB"/>
    <w:rsid w:val="72DD23C1"/>
    <w:rsid w:val="73675965"/>
    <w:rsid w:val="740684D2"/>
    <w:rsid w:val="7691CE24"/>
    <w:rsid w:val="774708C8"/>
    <w:rsid w:val="77DFB8FA"/>
    <w:rsid w:val="781A1305"/>
    <w:rsid w:val="78316AEC"/>
    <w:rsid w:val="784680A2"/>
    <w:rsid w:val="78555E06"/>
    <w:rsid w:val="7B1B4379"/>
    <w:rsid w:val="7B717AF3"/>
    <w:rsid w:val="7C9C07B7"/>
    <w:rsid w:val="7D5700F9"/>
    <w:rsid w:val="7E314D3D"/>
    <w:rsid w:val="7E611538"/>
    <w:rsid w:val="7EA89209"/>
    <w:rsid w:val="7EB3F364"/>
    <w:rsid w:val="7EF849DB"/>
    <w:rsid w:val="7F7566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04"/>
    <w:pPr>
      <w:spacing w:before="120" w:line="240" w:lineRule="auto"/>
      <w:jc w:val="both"/>
    </w:pPr>
    <w:rPr>
      <w:sz w:val="24"/>
    </w:rPr>
  </w:style>
  <w:style w:type="paragraph" w:styleId="Heading1">
    <w:name w:val="heading 1"/>
    <w:next w:val="MSACESParagraph"/>
    <w:link w:val="Heading1Char"/>
    <w:uiPriority w:val="2"/>
    <w:qFormat/>
    <w:rsid w:val="00593787"/>
    <w:pPr>
      <w:keepNext/>
      <w:keepLines/>
      <w:spacing w:before="400" w:after="120"/>
      <w:ind w:left="720" w:hanging="36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662435"/>
    <w:pPr>
      <w:keepNext/>
      <w:keepLines/>
      <w:spacing w:before="360" w:after="120"/>
      <w:ind w:left="360" w:hanging="360"/>
      <w:jc w:val="left"/>
      <w:outlineLvl w:val="1"/>
    </w:pPr>
    <w:rPr>
      <w:rFonts w:ascii="Arial" w:eastAsiaTheme="majorEastAsia" w:hAnsi="Arial" w:cstheme="majorBidi"/>
      <w:b/>
      <w:snapToGrid w:val="0"/>
      <w:sz w:val="28"/>
      <w:szCs w:val="28"/>
    </w:rPr>
  </w:style>
  <w:style w:type="paragraph" w:styleId="Heading3">
    <w:name w:val="heading 3"/>
    <w:basedOn w:val="Normal"/>
    <w:next w:val="Normal"/>
    <w:link w:val="Heading3Char"/>
    <w:uiPriority w:val="9"/>
    <w:qFormat/>
    <w:rsid w:val="00186307"/>
    <w:pPr>
      <w:keepNext/>
      <w:keepLines/>
      <w:spacing w:after="120"/>
      <w:ind w:left="4320" w:hanging="36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1A6C90"/>
    <w:pPr>
      <w:spacing w:before="240" w:after="0"/>
      <w:ind w:left="0" w:firstLine="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ind w:left="0" w:firstLine="0"/>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ind w:left="648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snapToGrid w:val="0"/>
      <w:sz w:val="28"/>
      <w:szCs w:val="28"/>
    </w:rPr>
  </w:style>
  <w:style w:type="character" w:customStyle="1" w:styleId="Heading3Char">
    <w:name w:val="Heading 3 Char"/>
    <w:basedOn w:val="DefaultParagraphFont"/>
    <w:link w:val="Heading3"/>
    <w:uiPriority w:val="9"/>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Figure_name,Numbered Indented Text,Bullet- First level,List NUmber,Listenabsatz1,lp"/>
    <w:basedOn w:val="Normal"/>
    <w:link w:val="ListParagraphChar"/>
    <w:uiPriority w:val="34"/>
    <w:qFormat/>
    <w:rsid w:val="004908B7"/>
    <w:pPr>
      <w:numPr>
        <w:ilvl w:val="4"/>
        <w:numId w:val="3"/>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PBAC table,HTAtableplain,YHEC table,Lash Style Table,HealthConsult,Dossier table,Summary Table,PHE Table Grid,Section 3- footnotes"/>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Normal"/>
    <w:link w:val="CaptionChar"/>
    <w:autoRedefine/>
    <w:qFormat/>
    <w:rsid w:val="002A4881"/>
    <w:pPr>
      <w:keepNext/>
      <w:tabs>
        <w:tab w:val="left" w:pos="1418"/>
      </w:tabs>
      <w:spacing w:before="240" w:after="0"/>
      <w:contextualSpacing/>
    </w:pPr>
    <w:rPr>
      <w:rFonts w:ascii="Arial Narrow" w:hAnsi="Arial Narrow"/>
      <w:b/>
      <w:bCs/>
      <w:iCs/>
      <w:color w:val="000000" w:themeColor="text1"/>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DD458A"/>
    <w:rPr>
      <w:rFonts w:ascii="Arial Narrow" w:hAnsi="Arial Narrow"/>
      <w:b/>
      <w:bCs/>
      <w:iCs/>
      <w:color w:val="000000" w:themeColor="text1"/>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semiHidden/>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semiHidden/>
    <w:rsid w:val="00481549"/>
    <w:rPr>
      <w:sz w:val="24"/>
    </w:rPr>
  </w:style>
  <w:style w:type="paragraph" w:styleId="Footer">
    <w:name w:val="footer"/>
    <w:basedOn w:val="Normal"/>
    <w:link w:val="FooterChar"/>
    <w:uiPriority w:val="99"/>
    <w:semiHidden/>
    <w:rsid w:val="00C317F3"/>
    <w:pPr>
      <w:tabs>
        <w:tab w:val="center" w:pos="4513"/>
        <w:tab w:val="right" w:pos="9026"/>
      </w:tabs>
      <w:spacing w:before="0" w:after="0"/>
    </w:pPr>
  </w:style>
  <w:style w:type="character" w:customStyle="1" w:styleId="FooterChar">
    <w:name w:val="Footer Char"/>
    <w:basedOn w:val="DefaultParagraphFont"/>
    <w:link w:val="Footer"/>
    <w:uiPriority w:val="99"/>
    <w:semiHidden/>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semiHidden/>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Figure_name Char,lp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3"/>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ind w:left="1905" w:hanging="374"/>
    </w:pPr>
    <w:rPr>
      <w:caps/>
    </w:rPr>
  </w:style>
  <w:style w:type="paragraph" w:customStyle="1" w:styleId="Heading2SECTION2">
    <w:name w:val="Heading 2 SECTION 2"/>
    <w:basedOn w:val="Heading2"/>
    <w:next w:val="Normal"/>
    <w:link w:val="Heading2SECTION2Char"/>
    <w:uiPriority w:val="3"/>
    <w:qFormat/>
    <w:rsid w:val="00C934DC"/>
    <w:pPr>
      <w:tabs>
        <w:tab w:val="left" w:pos="1134"/>
      </w:tabs>
      <w:ind w:left="2302" w:hanging="374"/>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val="0"/>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ind w:left="0" w:firstLine="0"/>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5"/>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3"/>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smallCaps/>
      <w:sz w:val="32"/>
    </w:rPr>
  </w:style>
  <w:style w:type="paragraph" w:customStyle="1" w:styleId="PBACESHeading3">
    <w:name w:val="PBAC ES Heading 3"/>
    <w:basedOn w:val="PBACESHeading2"/>
    <w:link w:val="PBACESHeading3Char"/>
    <w:uiPriority w:val="1"/>
    <w:qFormat/>
    <w:rsid w:val="00396339"/>
    <w:pPr>
      <w:numPr>
        <w:ilvl w:val="3"/>
      </w:numPr>
    </w:pPr>
    <w:rPr>
      <w:i/>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0"/>
      </w:numPr>
      <w:spacing w:after="120"/>
      <w:ind w:left="432" w:hanging="432"/>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ind w:left="0" w:firstLine="0"/>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val="0"/>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tabs>
        <w:tab w:val="left" w:pos="1418"/>
      </w:tabs>
      <w:ind w:left="3600"/>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numPr>
        <w:ilvl w:val="5"/>
        <w:numId w:val="3"/>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pPr>
      <w:numPr>
        <w:ilvl w:val="6"/>
        <w:numId w:val="3"/>
      </w:numPr>
    </w:pPr>
    <w:rPr>
      <w:rFonts w:ascii="Cambria" w:hAnsi="Cambria"/>
      <w:i/>
      <w:sz w:val="24"/>
    </w:rPr>
  </w:style>
  <w:style w:type="paragraph" w:customStyle="1" w:styleId="MSACESBulletPoint">
    <w:name w:val="MSAC ES Bullet Point"/>
    <w:basedOn w:val="MSACESParagraph"/>
    <w:link w:val="MSACESBulletPointChar"/>
    <w:uiPriority w:val="1"/>
    <w:rsid w:val="002532B4"/>
    <w:pPr>
      <w:numPr>
        <w:numId w:val="7"/>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i/>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spacing w:before="240" w:line="240" w:lineRule="auto"/>
      <w:ind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smallCaps/>
      <w:sz w:val="32"/>
    </w:rPr>
  </w:style>
  <w:style w:type="paragraph" w:customStyle="1" w:styleId="ESHeading3">
    <w:name w:val="ES Heading 3"/>
    <w:basedOn w:val="ESHeading2"/>
    <w:uiPriority w:val="8"/>
    <w:semiHidden/>
    <w:rsid w:val="00703418"/>
    <w:pPr>
      <w:ind w:left="1080" w:hanging="1080"/>
    </w:pPr>
    <w:rPr>
      <w:i/>
      <w:sz w:val="24"/>
    </w:rPr>
  </w:style>
  <w:style w:type="numbering" w:customStyle="1" w:styleId="MSACESBulletpoints">
    <w:name w:val="MSAC ES Bullet points"/>
    <w:uiPriority w:val="99"/>
    <w:rsid w:val="00FA1A77"/>
    <w:pPr>
      <w:numPr>
        <w:numId w:val="2"/>
      </w:numPr>
    </w:pPr>
  </w:style>
  <w:style w:type="paragraph" w:customStyle="1" w:styleId="MainBodyBulletPoint">
    <w:name w:val="MainBody Bullet Point"/>
    <w:basedOn w:val="InstructionBulletpoint"/>
    <w:link w:val="MainBodyBulletPointChar"/>
    <w:uiPriority w:val="1"/>
    <w:qFormat/>
    <w:rsid w:val="002532B4"/>
    <w:pPr>
      <w:numPr>
        <w:numId w:val="0"/>
      </w:numPr>
      <w:ind w:left="720" w:hanging="360"/>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style>
  <w:style w:type="numbering" w:customStyle="1" w:styleId="Style2">
    <w:name w:val="Style2"/>
    <w:uiPriority w:val="99"/>
    <w:rsid w:val="002A391F"/>
    <w:pPr>
      <w:numPr>
        <w:numId w:val="4"/>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3"/>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H19,Commentaire,Comment Text Char1 Char Char,Comment Text Char Char1"/>
    <w:basedOn w:val="Normal"/>
    <w:link w:val="CommentTextChar"/>
    <w:uiPriority w:val="99"/>
    <w:unhideWhenUsed/>
    <w:qFormat/>
    <w:rsid w:val="001952BB"/>
    <w:rPr>
      <w:sz w:val="20"/>
      <w:szCs w:val="20"/>
    </w:rPr>
  </w:style>
  <w:style w:type="character" w:customStyle="1" w:styleId="CommentTextChar">
    <w:name w:val="Comment Text Char"/>
    <w:aliases w:val="Comment Text Char Char Char Char,Comment Text Char Char Char1,- H19 Char,Commentaire Char,Comment Text Char1 Char Char Char,Comment Text Char Char1 Char"/>
    <w:basedOn w:val="DefaultParagraphFont"/>
    <w:link w:val="CommentText"/>
    <w:uiPriority w:val="99"/>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8"/>
      </w:numPr>
      <w:spacing w:before="0" w:after="0"/>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9"/>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ilvl w:val="0"/>
        <w:numId w:val="10"/>
      </w:numPr>
      <w:spacing w:before="0" w:after="120"/>
      <w:ind w:left="36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unhideWhenUsed/>
    <w:rsid w:val="009E2636"/>
    <w:pPr>
      <w:spacing w:after="120"/>
    </w:pPr>
  </w:style>
  <w:style w:type="character" w:customStyle="1" w:styleId="BodyTextChar">
    <w:name w:val="Body Text Char"/>
    <w:basedOn w:val="DefaultParagraphFont"/>
    <w:link w:val="BodyText"/>
    <w:uiPriority w:val="4"/>
    <w:rsid w:val="009E2636"/>
    <w:rPr>
      <w:sz w:val="24"/>
    </w:rPr>
  </w:style>
  <w:style w:type="paragraph" w:customStyle="1" w:styleId="4-SubsectionHeading">
    <w:name w:val="4-Subsection Heading"/>
    <w:basedOn w:val="Heading2"/>
    <w:next w:val="3-BodyText"/>
    <w:link w:val="4-SubsectionHeadingChar"/>
    <w:qFormat/>
    <w:rsid w:val="00C15EDC"/>
    <w:pPr>
      <w:keepLines w:val="0"/>
      <w:spacing w:before="120"/>
      <w:ind w:left="0" w:firstLine="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val="0"/>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FooterTableFigure">
    <w:name w:val="Footer Table/Figure"/>
    <w:basedOn w:val="Normal"/>
    <w:link w:val="FooterTableFigureChar"/>
    <w:rsid w:val="009C49C0"/>
    <w:pPr>
      <w:spacing w:before="0" w:after="120"/>
      <w:contextualSpacing/>
    </w:pPr>
    <w:rPr>
      <w:rFonts w:ascii="Arial Narrow" w:eastAsia="Times New Roman" w:hAnsi="Arial Narrow" w:cs="Arial"/>
      <w:snapToGrid w:val="0"/>
      <w:sz w:val="18"/>
      <w:lang w:eastAsia="en-AU"/>
    </w:rPr>
  </w:style>
  <w:style w:type="character" w:customStyle="1" w:styleId="FooterTableFigureChar">
    <w:name w:val="Footer Table/Figure Char"/>
    <w:link w:val="FooterTableFigure"/>
    <w:rsid w:val="009C49C0"/>
    <w:rPr>
      <w:rFonts w:ascii="Arial Narrow" w:eastAsia="Times New Roman" w:hAnsi="Arial Narrow" w:cs="Arial"/>
      <w:snapToGrid w:val="0"/>
      <w:sz w:val="18"/>
      <w:lang w:eastAsia="en-AU"/>
    </w:rPr>
  </w:style>
  <w:style w:type="character" w:styleId="Mention">
    <w:name w:val="Mention"/>
    <w:basedOn w:val="DefaultParagraphFont"/>
    <w:uiPriority w:val="99"/>
    <w:unhideWhenUsed/>
    <w:rsid w:val="0072675A"/>
    <w:rPr>
      <w:color w:val="2B579A"/>
      <w:shd w:val="clear" w:color="auto" w:fill="E1DFDD"/>
    </w:rPr>
  </w:style>
  <w:style w:type="table" w:customStyle="1" w:styleId="LashStyleTable1">
    <w:name w:val="Lash Style Table1"/>
    <w:basedOn w:val="TableNormal"/>
    <w:next w:val="TableGrid"/>
    <w:uiPriority w:val="39"/>
    <w:rsid w:val="00A64CA6"/>
    <w:pPr>
      <w:spacing w:after="0" w:line="240" w:lineRule="auto"/>
    </w:pPr>
    <w:rPr>
      <w:rFonts w:ascii="Calibri" w:eastAsia="Calibri" w:hAnsi="Calibri" w:cs="Arial"/>
      <w:sz w:val="20"/>
      <w:szCs w:val="20"/>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E">
    <w:name w:val="ACE"/>
    <w:basedOn w:val="TableNormal"/>
    <w:uiPriority w:val="99"/>
    <w:rsid w:val="009437C3"/>
    <w:pPr>
      <w:spacing w:after="0" w:line="240" w:lineRule="auto"/>
    </w:pPr>
    <w:rPr>
      <w:rFonts w:ascii="Century Gothic" w:eastAsiaTheme="minorEastAsia" w:hAnsi="Century Gothic"/>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jc w:val="left"/>
      </w:pPr>
      <w:rPr>
        <w:b/>
      </w:rPr>
      <w:tblPr/>
      <w:tcPr>
        <w:shd w:val="clear" w:color="auto" w:fill="EEFAF9"/>
      </w:tcPr>
    </w:tblStylePr>
  </w:style>
  <w:style w:type="paragraph" w:customStyle="1" w:styleId="Default">
    <w:name w:val="Default"/>
    <w:rsid w:val="009437C3"/>
    <w:pPr>
      <w:autoSpaceDE w:val="0"/>
      <w:autoSpaceDN w:val="0"/>
      <w:adjustRightInd w:val="0"/>
      <w:spacing w:after="0" w:line="240" w:lineRule="auto"/>
    </w:pPr>
    <w:rPr>
      <w:rFonts w:ascii="Calibri" w:eastAsiaTheme="minorEastAsia" w:hAnsi="Calibri" w:cs="Calibri"/>
      <w:color w:val="000000"/>
      <w:sz w:val="24"/>
      <w:szCs w:val="24"/>
      <w:lang w:val="es-ES"/>
    </w:rPr>
  </w:style>
  <w:style w:type="paragraph" w:customStyle="1" w:styleId="tablefootnote">
    <w:name w:val="table footnote"/>
    <w:basedOn w:val="Normal"/>
    <w:link w:val="tablefootnoteChar"/>
    <w:qFormat/>
    <w:rsid w:val="009437C3"/>
    <w:pPr>
      <w:spacing w:before="40" w:after="120" w:line="264" w:lineRule="auto"/>
      <w:contextualSpacing/>
    </w:pPr>
    <w:rPr>
      <w:rFonts w:ascii="Calibri" w:eastAsiaTheme="minorEastAsia" w:hAnsi="Calibri"/>
      <w:sz w:val="16"/>
      <w:lang w:val="en-GB"/>
    </w:rPr>
  </w:style>
  <w:style w:type="character" w:customStyle="1" w:styleId="tablefootnoteChar">
    <w:name w:val="table footnote Char"/>
    <w:basedOn w:val="DefaultParagraphFont"/>
    <w:link w:val="tablefootnote"/>
    <w:rsid w:val="009437C3"/>
    <w:rPr>
      <w:rFonts w:ascii="Calibri" w:eastAsiaTheme="minorEastAsia" w:hAnsi="Calibri"/>
      <w:sz w:val="16"/>
      <w:lang w:val="en-GB"/>
    </w:rPr>
  </w:style>
  <w:style w:type="paragraph" w:customStyle="1" w:styleId="TableFootnote0">
    <w:name w:val="Table Footnote"/>
    <w:basedOn w:val="Normal"/>
    <w:qFormat/>
    <w:rsid w:val="009437C3"/>
    <w:pPr>
      <w:spacing w:before="0" w:after="240"/>
      <w:contextualSpacing/>
      <w:jc w:val="left"/>
    </w:pPr>
    <w:rPr>
      <w:rFonts w:ascii="Calibri" w:eastAsia="Calibri" w:hAnsi="Calibri" w:cs="Arial"/>
      <w:i/>
      <w:sz w:val="16"/>
      <w:szCs w:val="24"/>
    </w:rPr>
  </w:style>
  <w:style w:type="character" w:customStyle="1" w:styleId="ui-provider">
    <w:name w:val="ui-provider"/>
    <w:basedOn w:val="DefaultParagraphFont"/>
    <w:rsid w:val="009437C3"/>
  </w:style>
  <w:style w:type="numbering" w:customStyle="1" w:styleId="CurrentList7">
    <w:name w:val="Current List7"/>
    <w:uiPriority w:val="99"/>
    <w:rsid w:val="009437C3"/>
  </w:style>
  <w:style w:type="paragraph" w:customStyle="1" w:styleId="PBACH5">
    <w:name w:val="PBAC H5"/>
    <w:basedOn w:val="Heading5"/>
    <w:next w:val="Normal"/>
    <w:qFormat/>
    <w:rsid w:val="009437C3"/>
    <w:pPr>
      <w:keepNext w:val="0"/>
      <w:keepLines w:val="0"/>
      <w:spacing w:before="240"/>
    </w:pPr>
    <w:rPr>
      <w:rFonts w:ascii="Calibri" w:eastAsia="Times New Roman" w:hAnsi="Calibri" w:cs="Arial"/>
      <w:snapToGrid/>
      <w:sz w:val="24"/>
      <w:szCs w:val="24"/>
      <w:lang w:eastAsia="en-GB"/>
    </w:rPr>
  </w:style>
  <w:style w:type="paragraph" w:customStyle="1" w:styleId="PBACH4">
    <w:name w:val="PBAC H4"/>
    <w:basedOn w:val="Heading4"/>
    <w:next w:val="Normal"/>
    <w:qFormat/>
    <w:rsid w:val="009437C3"/>
    <w:pPr>
      <w:spacing w:after="120" w:line="240" w:lineRule="auto"/>
    </w:pPr>
    <w:rPr>
      <w:rFonts w:ascii="Calibri" w:hAnsi="Calibri"/>
      <w:bCs/>
      <w:iCs/>
      <w:color w:val="auto"/>
      <w:sz w:val="26"/>
      <w:szCs w:val="24"/>
      <w:u w:val="single"/>
      <w:lang w:eastAsia="en-GB"/>
    </w:rPr>
  </w:style>
  <w:style w:type="character" w:customStyle="1" w:styleId="normaltextrun">
    <w:name w:val="normaltextrun"/>
    <w:basedOn w:val="DefaultParagraphFont"/>
    <w:rsid w:val="009437C3"/>
  </w:style>
  <w:style w:type="character" w:customStyle="1" w:styleId="eop">
    <w:name w:val="eop"/>
    <w:basedOn w:val="DefaultParagraphFont"/>
    <w:rsid w:val="009437C3"/>
  </w:style>
  <w:style w:type="paragraph" w:customStyle="1" w:styleId="AbbVieBody">
    <w:name w:val="AbbVie.Body"/>
    <w:basedOn w:val="Normal"/>
    <w:link w:val="AbbVieBodyChar"/>
    <w:rsid w:val="009437C3"/>
    <w:pPr>
      <w:spacing w:before="0" w:after="0" w:line="259" w:lineRule="auto"/>
      <w:jc w:val="left"/>
    </w:pPr>
    <w:rPr>
      <w:rFonts w:ascii="Calibri" w:eastAsia="Times New Roman" w:hAnsi="Calibri" w:cs="Calibri"/>
      <w:b/>
      <w:bCs/>
      <w:sz w:val="20"/>
      <w:szCs w:val="20"/>
      <w:lang w:val="en-CA" w:eastAsia="en-CA"/>
    </w:rPr>
  </w:style>
  <w:style w:type="character" w:customStyle="1" w:styleId="AbbVieBodyChar">
    <w:name w:val="AbbVie.Body Char"/>
    <w:basedOn w:val="DefaultParagraphFont"/>
    <w:link w:val="AbbVieBody"/>
    <w:rsid w:val="009437C3"/>
    <w:rPr>
      <w:rFonts w:ascii="Calibri" w:eastAsia="Times New Roman" w:hAnsi="Calibri" w:cs="Calibri"/>
      <w:b/>
      <w:bCs/>
      <w:sz w:val="20"/>
      <w:szCs w:val="20"/>
      <w:lang w:val="en-CA" w:eastAsia="en-CA"/>
    </w:rPr>
  </w:style>
  <w:style w:type="paragraph" w:customStyle="1" w:styleId="EndNoteBibliography">
    <w:name w:val="EndNote Bibliography"/>
    <w:basedOn w:val="Normal"/>
    <w:link w:val="EndNoteBibliographyChar"/>
    <w:rsid w:val="007141E9"/>
    <w:pPr>
      <w:spacing w:before="0" w:after="240"/>
      <w:jc w:val="left"/>
    </w:pPr>
    <w:rPr>
      <w:rFonts w:ascii="Calibri" w:eastAsia="Calibri" w:hAnsi="Calibri" w:cs="Calibri"/>
      <w:szCs w:val="24"/>
      <w:lang w:val="en-US"/>
    </w:rPr>
  </w:style>
  <w:style w:type="character" w:customStyle="1" w:styleId="EndNoteBibliographyChar">
    <w:name w:val="EndNote Bibliography Char"/>
    <w:link w:val="EndNoteBibliography"/>
    <w:rsid w:val="007141E9"/>
    <w:rPr>
      <w:rFonts w:ascii="Calibri" w:eastAsia="Calibri" w:hAnsi="Calibri" w:cs="Calibri"/>
      <w:sz w:val="24"/>
      <w:szCs w:val="24"/>
      <w:lang w:val="en-US"/>
    </w:rPr>
  </w:style>
  <w:style w:type="table" w:customStyle="1" w:styleId="PBACTableStyle1">
    <w:name w:val="PBAC Table Style1"/>
    <w:basedOn w:val="TableGrid1"/>
    <w:uiPriority w:val="99"/>
    <w:rsid w:val="005E547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l2br w:val="none" w:sz="0" w:space="0" w:color="auto"/>
          <w:tr2bl w:val="none" w:sz="0" w:space="0" w:color="auto"/>
        </w:tcBorders>
      </w:tcPr>
    </w:tblStylePr>
  </w:style>
  <w:style w:type="numbering" w:customStyle="1" w:styleId="Style4">
    <w:name w:val="Style4"/>
    <w:uiPriority w:val="99"/>
    <w:rsid w:val="005759AD"/>
    <w:pPr>
      <w:numPr>
        <w:numId w:val="8"/>
      </w:numPr>
    </w:pPr>
  </w:style>
  <w:style w:type="numbering" w:customStyle="1" w:styleId="Style5">
    <w:name w:val="Style5"/>
    <w:uiPriority w:val="99"/>
    <w:rsid w:val="005759AD"/>
    <w:pPr>
      <w:numPr>
        <w:numId w:val="11"/>
      </w:numPr>
    </w:pPr>
  </w:style>
  <w:style w:type="numbering" w:customStyle="1" w:styleId="MSACESBulletpoints1">
    <w:name w:val="MSAC ES Bullet points1"/>
    <w:uiPriority w:val="99"/>
    <w:rsid w:val="005759AD"/>
  </w:style>
  <w:style w:type="numbering" w:customStyle="1" w:styleId="Style41">
    <w:name w:val="Style41"/>
    <w:uiPriority w:val="99"/>
    <w:rsid w:val="005759AD"/>
  </w:style>
  <w:style w:type="numbering" w:customStyle="1" w:styleId="Style42">
    <w:name w:val="Style42"/>
    <w:uiPriority w:val="99"/>
    <w:rsid w:val="005759AD"/>
  </w:style>
  <w:style w:type="numbering" w:customStyle="1" w:styleId="Style43">
    <w:name w:val="Style43"/>
    <w:uiPriority w:val="99"/>
    <w:rsid w:val="005759AD"/>
  </w:style>
  <w:style w:type="numbering" w:customStyle="1" w:styleId="Style44">
    <w:name w:val="Style44"/>
    <w:uiPriority w:val="99"/>
    <w:rsid w:val="005759AD"/>
  </w:style>
  <w:style w:type="numbering" w:customStyle="1" w:styleId="Style45">
    <w:name w:val="Style45"/>
    <w:uiPriority w:val="99"/>
    <w:rsid w:val="005759AD"/>
  </w:style>
  <w:style w:type="numbering" w:customStyle="1" w:styleId="Style46">
    <w:name w:val="Style46"/>
    <w:uiPriority w:val="99"/>
    <w:rsid w:val="005759AD"/>
  </w:style>
  <w:style w:type="numbering" w:customStyle="1" w:styleId="Style47">
    <w:name w:val="Style47"/>
    <w:uiPriority w:val="99"/>
    <w:rsid w:val="005759AD"/>
  </w:style>
  <w:style w:type="numbering" w:customStyle="1" w:styleId="Style48">
    <w:name w:val="Style48"/>
    <w:uiPriority w:val="99"/>
    <w:rsid w:val="005759AD"/>
  </w:style>
  <w:style w:type="numbering" w:customStyle="1" w:styleId="Style49">
    <w:name w:val="Style49"/>
    <w:uiPriority w:val="99"/>
    <w:rsid w:val="005759AD"/>
  </w:style>
  <w:style w:type="numbering" w:customStyle="1" w:styleId="Style410">
    <w:name w:val="Style410"/>
    <w:uiPriority w:val="99"/>
    <w:rsid w:val="005759AD"/>
  </w:style>
  <w:style w:type="numbering" w:customStyle="1" w:styleId="Style411">
    <w:name w:val="Style411"/>
    <w:uiPriority w:val="99"/>
    <w:rsid w:val="005759AD"/>
  </w:style>
  <w:style w:type="numbering" w:customStyle="1" w:styleId="Style412">
    <w:name w:val="Style412"/>
    <w:uiPriority w:val="99"/>
    <w:rsid w:val="005759AD"/>
  </w:style>
  <w:style w:type="numbering" w:customStyle="1" w:styleId="Style413">
    <w:name w:val="Style413"/>
    <w:uiPriority w:val="99"/>
    <w:rsid w:val="005759AD"/>
  </w:style>
  <w:style w:type="numbering" w:customStyle="1" w:styleId="Style414">
    <w:name w:val="Style414"/>
    <w:uiPriority w:val="99"/>
    <w:rsid w:val="005759AD"/>
  </w:style>
  <w:style w:type="character" w:customStyle="1" w:styleId="cf01">
    <w:name w:val="cf01"/>
    <w:basedOn w:val="DefaultParagraphFont"/>
    <w:rsid w:val="001E1039"/>
    <w:rPr>
      <w:rFonts w:ascii="Segoe UI" w:hAnsi="Segoe UI" w:cs="Segoe UI" w:hint="default"/>
      <w:b/>
      <w:bCs/>
      <w:sz w:val="18"/>
      <w:szCs w:val="18"/>
    </w:rPr>
  </w:style>
  <w:style w:type="paragraph" w:customStyle="1" w:styleId="PBACHeading1">
    <w:name w:val="PBAC Heading 1"/>
    <w:qFormat/>
    <w:rsid w:val="001E4366"/>
    <w:pPr>
      <w:spacing w:after="0" w:line="240" w:lineRule="auto"/>
      <w:ind w:left="720" w:hanging="720"/>
      <w:outlineLvl w:val="0"/>
    </w:pPr>
    <w:rPr>
      <w:rFonts w:ascii="Calibri" w:eastAsia="Times New Roman" w:hAnsi="Calibri" w:cs="Calibri"/>
      <w:b/>
      <w:snapToGrid w:val="0"/>
      <w:sz w:val="32"/>
      <w:szCs w:val="32"/>
    </w:rPr>
  </w:style>
  <w:style w:type="paragraph" w:styleId="HTMLPreformatted">
    <w:name w:val="HTML Preformatted"/>
    <w:basedOn w:val="Normal"/>
    <w:link w:val="HTMLPreformattedChar"/>
    <w:uiPriority w:val="99"/>
    <w:semiHidden/>
    <w:rsid w:val="00EE41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41D1"/>
    <w:rPr>
      <w:rFonts w:ascii="Consolas" w:hAnsi="Consolas"/>
      <w:sz w:val="20"/>
      <w:szCs w:val="20"/>
    </w:rPr>
  </w:style>
  <w:style w:type="paragraph" w:customStyle="1" w:styleId="xmsonormal">
    <w:name w:val="x_msonormal"/>
    <w:basedOn w:val="Normal"/>
    <w:rsid w:val="007E0208"/>
    <w:pPr>
      <w:spacing w:before="0" w:after="0"/>
      <w:jc w:val="left"/>
    </w:pPr>
    <w:rPr>
      <w:rFonts w:ascii="Aptos" w:hAnsi="Aptos" w:cs="Aptos"/>
      <w:szCs w:val="24"/>
      <w:lang w:eastAsia="en-AU"/>
    </w:rPr>
  </w:style>
  <w:style w:type="table" w:customStyle="1" w:styleId="Section3-footnot1">
    <w:name w:val="Section 3- footnot1"/>
    <w:basedOn w:val="TableNormal"/>
    <w:next w:val="TableGrid"/>
    <w:uiPriority w:val="59"/>
    <w:rsid w:val="00CA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5562C1"/>
    <w:pPr>
      <w:spacing w:before="0" w:after="0"/>
    </w:pPr>
    <w:rPr>
      <w:sz w:val="20"/>
      <w:szCs w:val="20"/>
    </w:rPr>
  </w:style>
  <w:style w:type="character" w:customStyle="1" w:styleId="EndnoteTextChar">
    <w:name w:val="Endnote Text Char"/>
    <w:basedOn w:val="DefaultParagraphFont"/>
    <w:link w:val="EndnoteText"/>
    <w:uiPriority w:val="99"/>
    <w:semiHidden/>
    <w:rsid w:val="005562C1"/>
    <w:rPr>
      <w:sz w:val="20"/>
      <w:szCs w:val="20"/>
    </w:rPr>
  </w:style>
  <w:style w:type="character" w:styleId="EndnoteReference">
    <w:name w:val="endnote reference"/>
    <w:basedOn w:val="DefaultParagraphFont"/>
    <w:uiPriority w:val="99"/>
    <w:semiHidden/>
    <w:rsid w:val="005562C1"/>
    <w:rPr>
      <w:vertAlign w:val="superscript"/>
    </w:rPr>
  </w:style>
  <w:style w:type="table" w:styleId="PlainTable1">
    <w:name w:val="Plain Table 1"/>
    <w:basedOn w:val="TableNormal"/>
    <w:uiPriority w:val="41"/>
    <w:rsid w:val="00232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8869726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22714792">
      <w:bodyDiv w:val="1"/>
      <w:marLeft w:val="0"/>
      <w:marRight w:val="0"/>
      <w:marTop w:val="0"/>
      <w:marBottom w:val="0"/>
      <w:divBdr>
        <w:top w:val="none" w:sz="0" w:space="0" w:color="auto"/>
        <w:left w:val="none" w:sz="0" w:space="0" w:color="auto"/>
        <w:bottom w:val="none" w:sz="0" w:space="0" w:color="auto"/>
        <w:right w:val="none" w:sz="0" w:space="0" w:color="auto"/>
      </w:divBdr>
    </w:div>
    <w:div w:id="256251605">
      <w:bodyDiv w:val="1"/>
      <w:marLeft w:val="0"/>
      <w:marRight w:val="0"/>
      <w:marTop w:val="0"/>
      <w:marBottom w:val="0"/>
      <w:divBdr>
        <w:top w:val="none" w:sz="0" w:space="0" w:color="auto"/>
        <w:left w:val="none" w:sz="0" w:space="0" w:color="auto"/>
        <w:bottom w:val="none" w:sz="0" w:space="0" w:color="auto"/>
        <w:right w:val="none" w:sz="0" w:space="0" w:color="auto"/>
      </w:divBdr>
    </w:div>
    <w:div w:id="273367379">
      <w:bodyDiv w:val="1"/>
      <w:marLeft w:val="0"/>
      <w:marRight w:val="0"/>
      <w:marTop w:val="0"/>
      <w:marBottom w:val="0"/>
      <w:divBdr>
        <w:top w:val="none" w:sz="0" w:space="0" w:color="auto"/>
        <w:left w:val="none" w:sz="0" w:space="0" w:color="auto"/>
        <w:bottom w:val="none" w:sz="0" w:space="0" w:color="auto"/>
        <w:right w:val="none" w:sz="0" w:space="0" w:color="auto"/>
      </w:divBdr>
      <w:divsChild>
        <w:div w:id="64380538">
          <w:marLeft w:val="360"/>
          <w:marRight w:val="0"/>
          <w:marTop w:val="200"/>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8919797">
      <w:bodyDiv w:val="1"/>
      <w:marLeft w:val="0"/>
      <w:marRight w:val="0"/>
      <w:marTop w:val="0"/>
      <w:marBottom w:val="0"/>
      <w:divBdr>
        <w:top w:val="none" w:sz="0" w:space="0" w:color="auto"/>
        <w:left w:val="none" w:sz="0" w:space="0" w:color="auto"/>
        <w:bottom w:val="none" w:sz="0" w:space="0" w:color="auto"/>
        <w:right w:val="none" w:sz="0" w:space="0" w:color="auto"/>
      </w:divBdr>
    </w:div>
    <w:div w:id="318970923">
      <w:bodyDiv w:val="1"/>
      <w:marLeft w:val="0"/>
      <w:marRight w:val="0"/>
      <w:marTop w:val="0"/>
      <w:marBottom w:val="0"/>
      <w:divBdr>
        <w:top w:val="none" w:sz="0" w:space="0" w:color="auto"/>
        <w:left w:val="none" w:sz="0" w:space="0" w:color="auto"/>
        <w:bottom w:val="none" w:sz="0" w:space="0" w:color="auto"/>
        <w:right w:val="none" w:sz="0" w:space="0" w:color="auto"/>
      </w:divBdr>
    </w:div>
    <w:div w:id="362360995">
      <w:bodyDiv w:val="1"/>
      <w:marLeft w:val="0"/>
      <w:marRight w:val="0"/>
      <w:marTop w:val="0"/>
      <w:marBottom w:val="0"/>
      <w:divBdr>
        <w:top w:val="none" w:sz="0" w:space="0" w:color="auto"/>
        <w:left w:val="none" w:sz="0" w:space="0" w:color="auto"/>
        <w:bottom w:val="none" w:sz="0" w:space="0" w:color="auto"/>
        <w:right w:val="none" w:sz="0" w:space="0" w:color="auto"/>
      </w:divBdr>
      <w:divsChild>
        <w:div w:id="676543032">
          <w:marLeft w:val="288"/>
          <w:marRight w:val="0"/>
          <w:marTop w:val="0"/>
          <w:marBottom w:val="120"/>
          <w:divBdr>
            <w:top w:val="none" w:sz="0" w:space="0" w:color="auto"/>
            <w:left w:val="none" w:sz="0" w:space="0" w:color="auto"/>
            <w:bottom w:val="none" w:sz="0" w:space="0" w:color="auto"/>
            <w:right w:val="none" w:sz="0" w:space="0" w:color="auto"/>
          </w:divBdr>
        </w:div>
        <w:div w:id="776103147">
          <w:marLeft w:val="288"/>
          <w:marRight w:val="0"/>
          <w:marTop w:val="0"/>
          <w:marBottom w:val="120"/>
          <w:divBdr>
            <w:top w:val="none" w:sz="0" w:space="0" w:color="auto"/>
            <w:left w:val="none" w:sz="0" w:space="0" w:color="auto"/>
            <w:bottom w:val="none" w:sz="0" w:space="0" w:color="auto"/>
            <w:right w:val="none" w:sz="0" w:space="0" w:color="auto"/>
          </w:divBdr>
        </w:div>
        <w:div w:id="828593609">
          <w:marLeft w:val="288"/>
          <w:marRight w:val="0"/>
          <w:marTop w:val="0"/>
          <w:marBottom w:val="12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6727751">
      <w:bodyDiv w:val="1"/>
      <w:marLeft w:val="0"/>
      <w:marRight w:val="0"/>
      <w:marTop w:val="0"/>
      <w:marBottom w:val="0"/>
      <w:divBdr>
        <w:top w:val="none" w:sz="0" w:space="0" w:color="auto"/>
        <w:left w:val="none" w:sz="0" w:space="0" w:color="auto"/>
        <w:bottom w:val="none" w:sz="0" w:space="0" w:color="auto"/>
        <w:right w:val="none" w:sz="0" w:space="0" w:color="auto"/>
      </w:divBdr>
      <w:divsChild>
        <w:div w:id="220213896">
          <w:marLeft w:val="0"/>
          <w:marRight w:val="0"/>
          <w:marTop w:val="0"/>
          <w:marBottom w:val="0"/>
          <w:divBdr>
            <w:top w:val="none" w:sz="0" w:space="0" w:color="auto"/>
            <w:left w:val="none" w:sz="0" w:space="0" w:color="auto"/>
            <w:bottom w:val="none" w:sz="0" w:space="0" w:color="auto"/>
            <w:right w:val="none" w:sz="0" w:space="0" w:color="auto"/>
          </w:divBdr>
        </w:div>
        <w:div w:id="617951203">
          <w:marLeft w:val="0"/>
          <w:marRight w:val="0"/>
          <w:marTop w:val="0"/>
          <w:marBottom w:val="0"/>
          <w:divBdr>
            <w:top w:val="none" w:sz="0" w:space="0" w:color="auto"/>
            <w:left w:val="none" w:sz="0" w:space="0" w:color="auto"/>
            <w:bottom w:val="none" w:sz="0" w:space="0" w:color="auto"/>
            <w:right w:val="none" w:sz="0" w:space="0" w:color="auto"/>
          </w:divBdr>
        </w:div>
        <w:div w:id="698625809">
          <w:marLeft w:val="0"/>
          <w:marRight w:val="0"/>
          <w:marTop w:val="0"/>
          <w:marBottom w:val="0"/>
          <w:divBdr>
            <w:top w:val="none" w:sz="0" w:space="0" w:color="auto"/>
            <w:left w:val="none" w:sz="0" w:space="0" w:color="auto"/>
            <w:bottom w:val="none" w:sz="0" w:space="0" w:color="auto"/>
            <w:right w:val="none" w:sz="0" w:space="0" w:color="auto"/>
          </w:divBdr>
        </w:div>
      </w:divsChild>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0337">
      <w:bodyDiv w:val="1"/>
      <w:marLeft w:val="0"/>
      <w:marRight w:val="0"/>
      <w:marTop w:val="0"/>
      <w:marBottom w:val="0"/>
      <w:divBdr>
        <w:top w:val="none" w:sz="0" w:space="0" w:color="auto"/>
        <w:left w:val="none" w:sz="0" w:space="0" w:color="auto"/>
        <w:bottom w:val="none" w:sz="0" w:space="0" w:color="auto"/>
        <w:right w:val="none" w:sz="0" w:space="0" w:color="auto"/>
      </w:divBdr>
      <w:divsChild>
        <w:div w:id="779031154">
          <w:marLeft w:val="288"/>
          <w:marRight w:val="0"/>
          <w:marTop w:val="0"/>
          <w:marBottom w:val="120"/>
          <w:divBdr>
            <w:top w:val="none" w:sz="0" w:space="0" w:color="auto"/>
            <w:left w:val="none" w:sz="0" w:space="0" w:color="auto"/>
            <w:bottom w:val="none" w:sz="0" w:space="0" w:color="auto"/>
            <w:right w:val="none" w:sz="0" w:space="0" w:color="auto"/>
          </w:divBdr>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97259846">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4957496">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443812">
      <w:bodyDiv w:val="1"/>
      <w:marLeft w:val="0"/>
      <w:marRight w:val="0"/>
      <w:marTop w:val="0"/>
      <w:marBottom w:val="0"/>
      <w:divBdr>
        <w:top w:val="none" w:sz="0" w:space="0" w:color="auto"/>
        <w:left w:val="none" w:sz="0" w:space="0" w:color="auto"/>
        <w:bottom w:val="none" w:sz="0" w:space="0" w:color="auto"/>
        <w:right w:val="none" w:sz="0" w:space="0" w:color="auto"/>
      </w:divBdr>
    </w:div>
    <w:div w:id="958876594">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997879438">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935">
      <w:bodyDiv w:val="1"/>
      <w:marLeft w:val="0"/>
      <w:marRight w:val="0"/>
      <w:marTop w:val="0"/>
      <w:marBottom w:val="0"/>
      <w:divBdr>
        <w:top w:val="none" w:sz="0" w:space="0" w:color="auto"/>
        <w:left w:val="none" w:sz="0" w:space="0" w:color="auto"/>
        <w:bottom w:val="none" w:sz="0" w:space="0" w:color="auto"/>
        <w:right w:val="none" w:sz="0" w:space="0" w:color="auto"/>
      </w:divBdr>
      <w:divsChild>
        <w:div w:id="967662884">
          <w:marLeft w:val="446"/>
          <w:marRight w:val="0"/>
          <w:marTop w:val="0"/>
          <w:marBottom w:val="0"/>
          <w:divBdr>
            <w:top w:val="none" w:sz="0" w:space="0" w:color="auto"/>
            <w:left w:val="none" w:sz="0" w:space="0" w:color="auto"/>
            <w:bottom w:val="none" w:sz="0" w:space="0" w:color="auto"/>
            <w:right w:val="none" w:sz="0" w:space="0" w:color="auto"/>
          </w:divBdr>
        </w:div>
        <w:div w:id="1812482859">
          <w:marLeft w:val="446"/>
          <w:marRight w:val="0"/>
          <w:marTop w:val="0"/>
          <w:marBottom w:val="0"/>
          <w:divBdr>
            <w:top w:val="none" w:sz="0" w:space="0" w:color="auto"/>
            <w:left w:val="none" w:sz="0" w:space="0" w:color="auto"/>
            <w:bottom w:val="none" w:sz="0" w:space="0" w:color="auto"/>
            <w:right w:val="none" w:sz="0" w:space="0" w:color="auto"/>
          </w:divBdr>
        </w:div>
      </w:divsChild>
    </w:div>
    <w:div w:id="1038893411">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47820007">
      <w:bodyDiv w:val="1"/>
      <w:marLeft w:val="0"/>
      <w:marRight w:val="0"/>
      <w:marTop w:val="0"/>
      <w:marBottom w:val="0"/>
      <w:divBdr>
        <w:top w:val="none" w:sz="0" w:space="0" w:color="auto"/>
        <w:left w:val="none" w:sz="0" w:space="0" w:color="auto"/>
        <w:bottom w:val="none" w:sz="0" w:space="0" w:color="auto"/>
        <w:right w:val="none" w:sz="0" w:space="0" w:color="auto"/>
      </w:divBdr>
      <w:divsChild>
        <w:div w:id="1837501165">
          <w:marLeft w:val="547"/>
          <w:marRight w:val="0"/>
          <w:marTop w:val="86"/>
          <w:marBottom w:val="0"/>
          <w:divBdr>
            <w:top w:val="none" w:sz="0" w:space="0" w:color="auto"/>
            <w:left w:val="none" w:sz="0" w:space="0" w:color="auto"/>
            <w:bottom w:val="none" w:sz="0" w:space="0" w:color="auto"/>
            <w:right w:val="none" w:sz="0" w:space="0" w:color="auto"/>
          </w:divBdr>
        </w:div>
      </w:divsChild>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25944813">
      <w:bodyDiv w:val="1"/>
      <w:marLeft w:val="0"/>
      <w:marRight w:val="0"/>
      <w:marTop w:val="0"/>
      <w:marBottom w:val="0"/>
      <w:divBdr>
        <w:top w:val="none" w:sz="0" w:space="0" w:color="auto"/>
        <w:left w:val="none" w:sz="0" w:space="0" w:color="auto"/>
        <w:bottom w:val="none" w:sz="0" w:space="0" w:color="auto"/>
        <w:right w:val="none" w:sz="0" w:space="0" w:color="auto"/>
      </w:divBdr>
      <w:divsChild>
        <w:div w:id="20788503">
          <w:marLeft w:val="547"/>
          <w:marRight w:val="0"/>
          <w:marTop w:val="96"/>
          <w:marBottom w:val="0"/>
          <w:divBdr>
            <w:top w:val="none" w:sz="0" w:space="0" w:color="auto"/>
            <w:left w:val="none" w:sz="0" w:space="0" w:color="auto"/>
            <w:bottom w:val="none" w:sz="0" w:space="0" w:color="auto"/>
            <w:right w:val="none" w:sz="0" w:space="0" w:color="auto"/>
          </w:divBdr>
        </w:div>
      </w:divsChild>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4775028">
      <w:bodyDiv w:val="1"/>
      <w:marLeft w:val="0"/>
      <w:marRight w:val="0"/>
      <w:marTop w:val="0"/>
      <w:marBottom w:val="0"/>
      <w:divBdr>
        <w:top w:val="none" w:sz="0" w:space="0" w:color="auto"/>
        <w:left w:val="none" w:sz="0" w:space="0" w:color="auto"/>
        <w:bottom w:val="none" w:sz="0" w:space="0" w:color="auto"/>
        <w:right w:val="none" w:sz="0" w:space="0" w:color="auto"/>
      </w:divBdr>
    </w:div>
    <w:div w:id="1287814756">
      <w:bodyDiv w:val="1"/>
      <w:marLeft w:val="0"/>
      <w:marRight w:val="0"/>
      <w:marTop w:val="0"/>
      <w:marBottom w:val="0"/>
      <w:divBdr>
        <w:top w:val="none" w:sz="0" w:space="0" w:color="auto"/>
        <w:left w:val="none" w:sz="0" w:space="0" w:color="auto"/>
        <w:bottom w:val="none" w:sz="0" w:space="0" w:color="auto"/>
        <w:right w:val="none" w:sz="0" w:space="0" w:color="auto"/>
      </w:divBdr>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3139203">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07648649">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40371677">
      <w:bodyDiv w:val="1"/>
      <w:marLeft w:val="0"/>
      <w:marRight w:val="0"/>
      <w:marTop w:val="0"/>
      <w:marBottom w:val="0"/>
      <w:divBdr>
        <w:top w:val="none" w:sz="0" w:space="0" w:color="auto"/>
        <w:left w:val="none" w:sz="0" w:space="0" w:color="auto"/>
        <w:bottom w:val="none" w:sz="0" w:space="0" w:color="auto"/>
        <w:right w:val="none" w:sz="0" w:space="0" w:color="auto"/>
      </w:divBdr>
      <w:divsChild>
        <w:div w:id="455569568">
          <w:marLeft w:val="288"/>
          <w:marRight w:val="0"/>
          <w:marTop w:val="115"/>
          <w:marBottom w:val="120"/>
          <w:divBdr>
            <w:top w:val="none" w:sz="0" w:space="0" w:color="auto"/>
            <w:left w:val="none" w:sz="0" w:space="0" w:color="auto"/>
            <w:bottom w:val="none" w:sz="0" w:space="0" w:color="auto"/>
            <w:right w:val="none" w:sz="0" w:space="0" w:color="auto"/>
          </w:divBdr>
        </w:div>
      </w:divsChild>
    </w:div>
    <w:div w:id="1450395530">
      <w:bodyDiv w:val="1"/>
      <w:marLeft w:val="0"/>
      <w:marRight w:val="0"/>
      <w:marTop w:val="0"/>
      <w:marBottom w:val="0"/>
      <w:divBdr>
        <w:top w:val="none" w:sz="0" w:space="0" w:color="auto"/>
        <w:left w:val="none" w:sz="0" w:space="0" w:color="auto"/>
        <w:bottom w:val="none" w:sz="0" w:space="0" w:color="auto"/>
        <w:right w:val="none" w:sz="0" w:space="0" w:color="auto"/>
      </w:divBdr>
    </w:div>
    <w:div w:id="1454640649">
      <w:bodyDiv w:val="1"/>
      <w:marLeft w:val="0"/>
      <w:marRight w:val="0"/>
      <w:marTop w:val="0"/>
      <w:marBottom w:val="0"/>
      <w:divBdr>
        <w:top w:val="none" w:sz="0" w:space="0" w:color="auto"/>
        <w:left w:val="none" w:sz="0" w:space="0" w:color="auto"/>
        <w:bottom w:val="none" w:sz="0" w:space="0" w:color="auto"/>
        <w:right w:val="none" w:sz="0" w:space="0" w:color="auto"/>
      </w:divBdr>
    </w:div>
    <w:div w:id="1467553657">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78643796">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18108034">
      <w:bodyDiv w:val="1"/>
      <w:marLeft w:val="0"/>
      <w:marRight w:val="0"/>
      <w:marTop w:val="0"/>
      <w:marBottom w:val="0"/>
      <w:divBdr>
        <w:top w:val="none" w:sz="0" w:space="0" w:color="auto"/>
        <w:left w:val="none" w:sz="0" w:space="0" w:color="auto"/>
        <w:bottom w:val="none" w:sz="0" w:space="0" w:color="auto"/>
        <w:right w:val="none" w:sz="0" w:space="0" w:color="auto"/>
      </w:divBdr>
      <w:divsChild>
        <w:div w:id="893783678">
          <w:marLeft w:val="0"/>
          <w:marRight w:val="0"/>
          <w:marTop w:val="0"/>
          <w:marBottom w:val="0"/>
          <w:divBdr>
            <w:top w:val="none" w:sz="0" w:space="0" w:color="auto"/>
            <w:left w:val="none" w:sz="0" w:space="0" w:color="auto"/>
            <w:bottom w:val="none" w:sz="0" w:space="0" w:color="auto"/>
            <w:right w:val="none" w:sz="0" w:space="0" w:color="auto"/>
          </w:divBdr>
        </w:div>
        <w:div w:id="2073961132">
          <w:marLeft w:val="0"/>
          <w:marRight w:val="0"/>
          <w:marTop w:val="0"/>
          <w:marBottom w:val="0"/>
          <w:divBdr>
            <w:top w:val="none" w:sz="0" w:space="0" w:color="auto"/>
            <w:left w:val="none" w:sz="0" w:space="0" w:color="auto"/>
            <w:bottom w:val="none" w:sz="0" w:space="0" w:color="auto"/>
            <w:right w:val="none" w:sz="0" w:space="0" w:color="auto"/>
          </w:divBdr>
        </w:div>
        <w:div w:id="2140411604">
          <w:marLeft w:val="0"/>
          <w:marRight w:val="0"/>
          <w:marTop w:val="0"/>
          <w:marBottom w:val="0"/>
          <w:divBdr>
            <w:top w:val="none" w:sz="0" w:space="0" w:color="auto"/>
            <w:left w:val="none" w:sz="0" w:space="0" w:color="auto"/>
            <w:bottom w:val="none" w:sz="0" w:space="0" w:color="auto"/>
            <w:right w:val="none" w:sz="0" w:space="0" w:color="auto"/>
          </w:divBdr>
        </w:div>
      </w:divsChild>
    </w:div>
    <w:div w:id="1546672962">
      <w:bodyDiv w:val="1"/>
      <w:marLeft w:val="0"/>
      <w:marRight w:val="0"/>
      <w:marTop w:val="0"/>
      <w:marBottom w:val="0"/>
      <w:divBdr>
        <w:top w:val="none" w:sz="0" w:space="0" w:color="auto"/>
        <w:left w:val="none" w:sz="0" w:space="0" w:color="auto"/>
        <w:bottom w:val="none" w:sz="0" w:space="0" w:color="auto"/>
        <w:right w:val="none" w:sz="0" w:space="0" w:color="auto"/>
      </w:divBdr>
      <w:divsChild>
        <w:div w:id="1517964002">
          <w:marLeft w:val="288"/>
          <w:marRight w:val="0"/>
          <w:marTop w:val="0"/>
          <w:marBottom w:val="12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49265">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778519049">
      <w:bodyDiv w:val="1"/>
      <w:marLeft w:val="0"/>
      <w:marRight w:val="0"/>
      <w:marTop w:val="0"/>
      <w:marBottom w:val="0"/>
      <w:divBdr>
        <w:top w:val="none" w:sz="0" w:space="0" w:color="auto"/>
        <w:left w:val="none" w:sz="0" w:space="0" w:color="auto"/>
        <w:bottom w:val="none" w:sz="0" w:space="0" w:color="auto"/>
        <w:right w:val="none" w:sz="0" w:space="0" w:color="auto"/>
      </w:divBdr>
    </w:div>
    <w:div w:id="1794011629">
      <w:bodyDiv w:val="1"/>
      <w:marLeft w:val="0"/>
      <w:marRight w:val="0"/>
      <w:marTop w:val="0"/>
      <w:marBottom w:val="0"/>
      <w:divBdr>
        <w:top w:val="none" w:sz="0" w:space="0" w:color="auto"/>
        <w:left w:val="none" w:sz="0" w:space="0" w:color="auto"/>
        <w:bottom w:val="none" w:sz="0" w:space="0" w:color="auto"/>
        <w:right w:val="none" w:sz="0" w:space="0" w:color="auto"/>
      </w:divBdr>
    </w:div>
    <w:div w:id="1807770227">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4163">
      <w:bodyDiv w:val="1"/>
      <w:marLeft w:val="0"/>
      <w:marRight w:val="0"/>
      <w:marTop w:val="0"/>
      <w:marBottom w:val="0"/>
      <w:divBdr>
        <w:top w:val="none" w:sz="0" w:space="0" w:color="auto"/>
        <w:left w:val="none" w:sz="0" w:space="0" w:color="auto"/>
        <w:bottom w:val="none" w:sz="0" w:space="0" w:color="auto"/>
        <w:right w:val="none" w:sz="0" w:space="0" w:color="auto"/>
      </w:divBdr>
    </w:div>
    <w:div w:id="1847089797">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1741679">
      <w:bodyDiv w:val="1"/>
      <w:marLeft w:val="0"/>
      <w:marRight w:val="0"/>
      <w:marTop w:val="0"/>
      <w:marBottom w:val="0"/>
      <w:divBdr>
        <w:top w:val="none" w:sz="0" w:space="0" w:color="auto"/>
        <w:left w:val="none" w:sz="0" w:space="0" w:color="auto"/>
        <w:bottom w:val="none" w:sz="0" w:space="0" w:color="auto"/>
        <w:right w:val="none" w:sz="0" w:space="0" w:color="auto"/>
      </w:divBdr>
    </w:div>
    <w:div w:id="1934169909">
      <w:bodyDiv w:val="1"/>
      <w:marLeft w:val="0"/>
      <w:marRight w:val="0"/>
      <w:marTop w:val="0"/>
      <w:marBottom w:val="0"/>
      <w:divBdr>
        <w:top w:val="none" w:sz="0" w:space="0" w:color="auto"/>
        <w:left w:val="none" w:sz="0" w:space="0" w:color="auto"/>
        <w:bottom w:val="none" w:sz="0" w:space="0" w:color="auto"/>
        <w:right w:val="none" w:sz="0" w:space="0" w:color="auto"/>
      </w:divBdr>
      <w:divsChild>
        <w:div w:id="315304005">
          <w:marLeft w:val="547"/>
          <w:marRight w:val="0"/>
          <w:marTop w:val="154"/>
          <w:marBottom w:val="0"/>
          <w:divBdr>
            <w:top w:val="none" w:sz="0" w:space="0" w:color="auto"/>
            <w:left w:val="none" w:sz="0" w:space="0" w:color="auto"/>
            <w:bottom w:val="none" w:sz="0" w:space="0" w:color="auto"/>
            <w:right w:val="none" w:sz="0" w:space="0" w:color="auto"/>
          </w:divBdr>
        </w:div>
      </w:divsChild>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1846">
      <w:bodyDiv w:val="1"/>
      <w:marLeft w:val="0"/>
      <w:marRight w:val="0"/>
      <w:marTop w:val="0"/>
      <w:marBottom w:val="0"/>
      <w:divBdr>
        <w:top w:val="none" w:sz="0" w:space="0" w:color="auto"/>
        <w:left w:val="none" w:sz="0" w:space="0" w:color="auto"/>
        <w:bottom w:val="none" w:sz="0" w:space="0" w:color="auto"/>
        <w:right w:val="none" w:sz="0" w:space="0" w:color="auto"/>
      </w:divBdr>
    </w:div>
    <w:div w:id="1996686325">
      <w:bodyDiv w:val="1"/>
      <w:marLeft w:val="0"/>
      <w:marRight w:val="0"/>
      <w:marTop w:val="0"/>
      <w:marBottom w:val="0"/>
      <w:divBdr>
        <w:top w:val="none" w:sz="0" w:space="0" w:color="auto"/>
        <w:left w:val="none" w:sz="0" w:space="0" w:color="auto"/>
        <w:bottom w:val="none" w:sz="0" w:space="0" w:color="auto"/>
        <w:right w:val="none" w:sz="0" w:space="0" w:color="auto"/>
      </w:divBdr>
    </w:div>
    <w:div w:id="2007896821">
      <w:bodyDiv w:val="1"/>
      <w:marLeft w:val="0"/>
      <w:marRight w:val="0"/>
      <w:marTop w:val="0"/>
      <w:marBottom w:val="0"/>
      <w:divBdr>
        <w:top w:val="none" w:sz="0" w:space="0" w:color="auto"/>
        <w:left w:val="none" w:sz="0" w:space="0" w:color="auto"/>
        <w:bottom w:val="none" w:sz="0" w:space="0" w:color="auto"/>
        <w:right w:val="none" w:sz="0" w:space="0" w:color="auto"/>
      </w:divBdr>
    </w:div>
    <w:div w:id="2041858623">
      <w:bodyDiv w:val="1"/>
      <w:marLeft w:val="0"/>
      <w:marRight w:val="0"/>
      <w:marTop w:val="0"/>
      <w:marBottom w:val="0"/>
      <w:divBdr>
        <w:top w:val="none" w:sz="0" w:space="0" w:color="auto"/>
        <w:left w:val="none" w:sz="0" w:space="0" w:color="auto"/>
        <w:bottom w:val="none" w:sz="0" w:space="0" w:color="auto"/>
        <w:right w:val="none" w:sz="0" w:space="0" w:color="auto"/>
      </w:divBdr>
      <w:divsChild>
        <w:div w:id="1408071007">
          <w:marLeft w:val="547"/>
          <w:marRight w:val="0"/>
          <w:marTop w:val="115"/>
          <w:marBottom w:val="0"/>
          <w:divBdr>
            <w:top w:val="none" w:sz="0" w:space="0" w:color="auto"/>
            <w:left w:val="none" w:sz="0" w:space="0" w:color="auto"/>
            <w:bottom w:val="none" w:sz="0" w:space="0" w:color="auto"/>
            <w:right w:val="none" w:sz="0" w:space="0" w:color="auto"/>
          </w:divBdr>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97633513">
      <w:bodyDiv w:val="1"/>
      <w:marLeft w:val="0"/>
      <w:marRight w:val="0"/>
      <w:marTop w:val="0"/>
      <w:marBottom w:val="0"/>
      <w:divBdr>
        <w:top w:val="none" w:sz="0" w:space="0" w:color="auto"/>
        <w:left w:val="none" w:sz="0" w:space="0" w:color="auto"/>
        <w:bottom w:val="none" w:sz="0" w:space="0" w:color="auto"/>
        <w:right w:val="none" w:sz="0" w:space="0" w:color="auto"/>
      </w:divBdr>
      <w:divsChild>
        <w:div w:id="355274342">
          <w:marLeft w:val="547"/>
          <w:marRight w:val="0"/>
          <w:marTop w:val="115"/>
          <w:marBottom w:val="0"/>
          <w:divBdr>
            <w:top w:val="none" w:sz="0" w:space="0" w:color="auto"/>
            <w:left w:val="none" w:sz="0" w:space="0" w:color="auto"/>
            <w:bottom w:val="none" w:sz="0" w:space="0" w:color="auto"/>
            <w:right w:val="none" w:sz="0" w:space="0" w:color="auto"/>
          </w:divBdr>
        </w:div>
      </w:divsChild>
    </w:div>
    <w:div w:id="2112505868">
      <w:bodyDiv w:val="1"/>
      <w:marLeft w:val="0"/>
      <w:marRight w:val="0"/>
      <w:marTop w:val="0"/>
      <w:marBottom w:val="0"/>
      <w:divBdr>
        <w:top w:val="none" w:sz="0" w:space="0" w:color="auto"/>
        <w:left w:val="none" w:sz="0" w:space="0" w:color="auto"/>
        <w:bottom w:val="none" w:sz="0" w:space="0" w:color="auto"/>
        <w:right w:val="none" w:sz="0" w:space="0" w:color="auto"/>
      </w:divBdr>
      <w:divsChild>
        <w:div w:id="10645979">
          <w:marLeft w:val="130"/>
          <w:marRight w:val="0"/>
          <w:marTop w:val="0"/>
          <w:marBottom w:val="80"/>
          <w:divBdr>
            <w:top w:val="none" w:sz="0" w:space="0" w:color="auto"/>
            <w:left w:val="none" w:sz="0" w:space="0" w:color="auto"/>
            <w:bottom w:val="none" w:sz="0" w:space="0" w:color="auto"/>
            <w:right w:val="none" w:sz="0" w:space="0" w:color="auto"/>
          </w:divBdr>
        </w:div>
        <w:div w:id="2120173878">
          <w:marLeft w:val="130"/>
          <w:marRight w:val="0"/>
          <w:marTop w:val="0"/>
          <w:marBottom w:val="80"/>
          <w:divBdr>
            <w:top w:val="none" w:sz="0" w:space="0" w:color="auto"/>
            <w:left w:val="none" w:sz="0" w:space="0" w:color="auto"/>
            <w:bottom w:val="none" w:sz="0" w:space="0" w:color="auto"/>
            <w:right w:val="none" w:sz="0" w:space="0" w:color="auto"/>
          </w:divBdr>
        </w:div>
      </w:divsChild>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5659549">
      <w:bodyDiv w:val="1"/>
      <w:marLeft w:val="0"/>
      <w:marRight w:val="0"/>
      <w:marTop w:val="0"/>
      <w:marBottom w:val="0"/>
      <w:divBdr>
        <w:top w:val="none" w:sz="0" w:space="0" w:color="auto"/>
        <w:left w:val="none" w:sz="0" w:space="0" w:color="auto"/>
        <w:bottom w:val="none" w:sz="0" w:space="0" w:color="auto"/>
        <w:right w:val="none" w:sz="0" w:space="0" w:color="auto"/>
      </w:divBdr>
      <w:divsChild>
        <w:div w:id="12053738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sac.gov.au/internet/msac/publishing.nsf/Content/Home-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meetings.asco.org/abstracts-presentations/253565" TargetMode="External"/><Relationship Id="rId2" Type="http://schemas.openxmlformats.org/officeDocument/2006/relationships/hyperlink" Target="https://www.msac.gov.au/applications/1767" TargetMode="External"/><Relationship Id="rId1" Type="http://schemas.openxmlformats.org/officeDocument/2006/relationships/hyperlink" Target="https://www.canceraustralia.gov.au/publications-and-resources/position-statements/testing-ovarian-cancer-asymptomatic-women/background" TargetMode="External"/><Relationship Id="rId6" Type="http://schemas.openxmlformats.org/officeDocument/2006/relationships/hyperlink" Target="https://www9.health.gov.au/mbs/search.cfm?q=72860&amp;Submit=&amp;sopt=S" TargetMode="External"/><Relationship Id="rId5" Type="http://schemas.openxmlformats.org/officeDocument/2006/relationships/hyperlink" Target="https://meetings.asco.org/abstracts-presentations/253565" TargetMode="External"/><Relationship Id="rId4" Type="http://schemas.openxmlformats.org/officeDocument/2006/relationships/hyperlink" Target="https://elabdoc-prod.roche.com/eLD/api/downloads/625da298-2641-ee11-2091-005056a71a5d?countryIsoCode=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22157</Words>
  <Characters>126519</Characters>
  <Application>Microsoft Office Word</Application>
  <DocSecurity>0</DocSecurity>
  <Lines>3953</Lines>
  <Paragraphs>2703</Paragraphs>
  <ScaleCrop>false</ScaleCrop>
  <Company/>
  <LinksUpToDate>false</LinksUpToDate>
  <CharactersWithSpaces>145973</CharactersWithSpaces>
  <SharedDoc>false</SharedDoc>
  <HLinks>
    <vt:vector size="48" baseType="variant">
      <vt:variant>
        <vt:i4>6684716</vt:i4>
      </vt:variant>
      <vt:variant>
        <vt:i4>315</vt:i4>
      </vt:variant>
      <vt:variant>
        <vt:i4>0</vt:i4>
      </vt:variant>
      <vt:variant>
        <vt:i4>5</vt:i4>
      </vt:variant>
      <vt:variant>
        <vt:lpwstr>http://msac.gov.au/internet/msac/publishing.nsf/Content/Home-1</vt:lpwstr>
      </vt:variant>
      <vt:variant>
        <vt:lpwstr/>
      </vt:variant>
      <vt:variant>
        <vt:i4>3997744</vt:i4>
      </vt:variant>
      <vt:variant>
        <vt:i4>0</vt:i4>
      </vt:variant>
      <vt:variant>
        <vt:i4>0</vt:i4>
      </vt:variant>
      <vt:variant>
        <vt:i4>5</vt:i4>
      </vt:variant>
      <vt:variant>
        <vt:lpwstr>http://www.msac.gov.au/</vt:lpwstr>
      </vt:variant>
      <vt:variant>
        <vt:lpwstr/>
      </vt:variant>
      <vt:variant>
        <vt:i4>1900633</vt:i4>
      </vt:variant>
      <vt:variant>
        <vt:i4>15</vt:i4>
      </vt:variant>
      <vt:variant>
        <vt:i4>0</vt:i4>
      </vt:variant>
      <vt:variant>
        <vt:i4>5</vt:i4>
      </vt:variant>
      <vt:variant>
        <vt:lpwstr>https://www9.health.gov.au/mbs/search.cfm?q=72860&amp;Submit=&amp;sopt=S</vt:lpwstr>
      </vt:variant>
      <vt:variant>
        <vt:lpwstr/>
      </vt:variant>
      <vt:variant>
        <vt:i4>5308503</vt:i4>
      </vt:variant>
      <vt:variant>
        <vt:i4>12</vt:i4>
      </vt:variant>
      <vt:variant>
        <vt:i4>0</vt:i4>
      </vt:variant>
      <vt:variant>
        <vt:i4>5</vt:i4>
      </vt:variant>
      <vt:variant>
        <vt:lpwstr>https://meetings.asco.org/abstracts-presentations/253565</vt:lpwstr>
      </vt:variant>
      <vt:variant>
        <vt:lpwstr/>
      </vt:variant>
      <vt:variant>
        <vt:i4>3211377</vt:i4>
      </vt:variant>
      <vt:variant>
        <vt:i4>9</vt:i4>
      </vt:variant>
      <vt:variant>
        <vt:i4>0</vt:i4>
      </vt:variant>
      <vt:variant>
        <vt:i4>5</vt:i4>
      </vt:variant>
      <vt:variant>
        <vt:lpwstr>https://elabdoc-prod.roche.com/eLD/api/downloads/625da298-2641-ee11-2091-005056a71a5d?countryIsoCode=XG</vt:lpwstr>
      </vt:variant>
      <vt:variant>
        <vt:lpwstr/>
      </vt:variant>
      <vt:variant>
        <vt:i4>5308503</vt:i4>
      </vt:variant>
      <vt:variant>
        <vt:i4>6</vt:i4>
      </vt:variant>
      <vt:variant>
        <vt:i4>0</vt:i4>
      </vt:variant>
      <vt:variant>
        <vt:i4>5</vt:i4>
      </vt:variant>
      <vt:variant>
        <vt:lpwstr>https://meetings.asco.org/abstracts-presentations/253565</vt:lpwstr>
      </vt:variant>
      <vt:variant>
        <vt:lpwstr/>
      </vt:variant>
      <vt:variant>
        <vt:i4>1507408</vt:i4>
      </vt:variant>
      <vt:variant>
        <vt:i4>3</vt:i4>
      </vt:variant>
      <vt:variant>
        <vt:i4>0</vt:i4>
      </vt:variant>
      <vt:variant>
        <vt:i4>5</vt:i4>
      </vt:variant>
      <vt:variant>
        <vt:lpwstr>https://www.msac.gov.au/applications/1767</vt:lpwstr>
      </vt:variant>
      <vt:variant>
        <vt:lpwstr/>
      </vt:variant>
      <vt:variant>
        <vt:i4>2490474</vt:i4>
      </vt:variant>
      <vt:variant>
        <vt:i4>0</vt:i4>
      </vt:variant>
      <vt:variant>
        <vt:i4>0</vt:i4>
      </vt:variant>
      <vt:variant>
        <vt:i4>5</vt:i4>
      </vt:variant>
      <vt:variant>
        <vt:lpwstr>https://www.canceraustralia.gov.au/publications-and-resources/position-statements/testing-ovarian-cancer-asymptomatic-women/background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2025-11-21T01:59:00Z</dcterms:created>
  <dcterms:modified xsi:type="dcterms:W3CDTF">2025-11-21T01:59:00Z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4a6f1768,668ce7a8,68b52cb0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66ff85ec,6fdeaa76,26a08f9b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2025-11-21T01:59:37Z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714fb1f2-5f92-4054-95a1-3b81ad25889a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